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1571" w:name="_GoBack"/>
      <w:bookmarkEnd w:id="1571"/>
    </w:p>
    <w:p>
      <w:r>
        <mc:AlternateContent>
          <mc:Choice Requires="wps">
            <w:drawing>
              <wp:anchor distT="0" distB="0" distL="114300" distR="114300" simplePos="0" relativeHeight="251659264" behindDoc="0" locked="0" layoutInCell="1" allowOverlap="1">
                <wp:simplePos x="0" y="0"/>
                <wp:positionH relativeFrom="column">
                  <wp:posOffset>6057900</wp:posOffset>
                </wp:positionH>
                <wp:positionV relativeFrom="paragraph">
                  <wp:posOffset>-1905</wp:posOffset>
                </wp:positionV>
                <wp:extent cx="685800" cy="8122920"/>
                <wp:effectExtent l="0" t="0" r="0" b="3810"/>
                <wp:wrapSquare wrapText="bothSides"/>
                <wp:docPr id="4" name="1026"/>
                <wp:cNvGraphicFramePr/>
                <a:graphic xmlns:a="http://schemas.openxmlformats.org/drawingml/2006/main">
                  <a:graphicData uri="http://schemas.microsoft.com/office/word/2010/wordprocessingShape">
                    <wps:wsp>
                      <wps:cNvSpPr>
                        <a:spLocks noChangeArrowheads="1"/>
                      </wps:cNvSpPr>
                      <wps:spPr bwMode="auto">
                        <a:xfrm>
                          <a:off x="0" y="0"/>
                          <a:ext cx="685800" cy="8122920"/>
                        </a:xfrm>
                        <a:prstGeom prst="rect">
                          <a:avLst/>
                        </a:prstGeom>
                        <a:solidFill>
                          <a:srgbClr val="FFFFFF"/>
                        </a:solidFill>
                        <a:ln>
                          <a:noFill/>
                        </a:ln>
                      </wps:spPr>
                      <wps:txbx>
                        <w:txbxContent>
                          <w:p>
                            <w:pPr>
                              <w:spacing w:line="1100" w:lineRule="exact"/>
                              <w:jc w:val="center"/>
                              <w:rPr>
                                <w:rFonts w:ascii="仿宋_GB2312" w:hAnsi="Calibri" w:eastAsia="仿宋_GB2312"/>
                                <w:b/>
                                <w:sz w:val="44"/>
                                <w:szCs w:val="44"/>
                              </w:rPr>
                            </w:pPr>
                            <w:r>
                              <w:rPr>
                                <w:rFonts w:hint="eastAsia" w:ascii="仿宋_GB2312" w:eastAsia="仿宋_GB2312"/>
                                <w:b/>
                                <w:sz w:val="44"/>
                                <w:szCs w:val="44"/>
                              </w:rPr>
                              <w:t xml:space="preserve">河南农业大学教学大纲          </w:t>
                            </w:r>
                            <w:r>
                              <w:rPr>
                                <w:rFonts w:hint="eastAsia" w:ascii="仿宋_GB2312" w:hAnsi="Calibri" w:eastAsia="仿宋_GB2312"/>
                                <w:b/>
                                <w:sz w:val="44"/>
                                <w:szCs w:val="44"/>
                              </w:rPr>
                              <w:t>园艺学院</w:t>
                            </w:r>
                            <w:r>
                              <w:rPr>
                                <w:rFonts w:hint="eastAsia" w:ascii="仿宋_GB2312" w:hAnsi="Calibri" w:eastAsia="仿宋_GB2312"/>
                                <w:b/>
                                <w:sz w:val="44"/>
                                <w:szCs w:val="44"/>
                                <w:lang w:eastAsia="zh-CN"/>
                              </w:rPr>
                              <w:t>（园艺专业）</w:t>
                            </w:r>
                            <w:r>
                              <w:rPr>
                                <w:rFonts w:hint="eastAsia" w:ascii="仿宋_GB2312" w:hAnsi="Calibri" w:eastAsia="仿宋_GB2312"/>
                                <w:b/>
                                <w:sz w:val="44"/>
                                <w:szCs w:val="44"/>
                              </w:rPr>
                              <w:t>分册</w:t>
                            </w:r>
                          </w:p>
                          <w:p>
                            <w:pPr>
                              <w:rPr>
                                <w:b/>
                                <w:sz w:val="30"/>
                                <w:szCs w:val="30"/>
                              </w:rPr>
                            </w:pPr>
                            <w:r>
                              <w:rPr>
                                <w:rFonts w:hint="eastAsia"/>
                                <w:b/>
                                <w:sz w:val="30"/>
                                <w:szCs w:val="30"/>
                              </w:rPr>
                              <w:t xml:space="preserve">    </w:t>
                            </w:r>
                          </w:p>
                          <w:p>
                            <w:pPr>
                              <w:rPr>
                                <w:b/>
                                <w:sz w:val="30"/>
                                <w:szCs w:val="30"/>
                              </w:rPr>
                            </w:pPr>
                          </w:p>
                        </w:txbxContent>
                      </wps:txbx>
                      <wps:bodyPr rot="0" vert="eaVert" wrap="square" lIns="91440" tIns="45720" rIns="91440" bIns="45720" anchor="t" anchorCtr="0" upright="1">
                        <a:noAutofit/>
                      </wps:bodyPr>
                    </wps:wsp>
                  </a:graphicData>
                </a:graphic>
              </wp:anchor>
            </w:drawing>
          </mc:Choice>
          <mc:Fallback>
            <w:pict>
              <v:rect id="1026" o:spid="_x0000_s1026" o:spt="1" style="position:absolute;left:0pt;margin-left:477pt;margin-top:-0.15pt;height:639.6pt;width:54pt;mso-wrap-distance-bottom:0pt;mso-wrap-distance-left:9pt;mso-wrap-distance-right:9pt;mso-wrap-distance-top:0pt;z-index:251659264;mso-width-relative:page;mso-height-relative:page;" fillcolor="#FFFFFF" filled="t" stroked="f" coordsize="21600,21600" o:gfxdata="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kGpR3AAAAAsBAAAP&#10;AAAAAAAAAAEAIAAAACIAAABkcnMvZG93bnJldi54bWxQSwECFAAUAAAACACHTuJAMnIuJRQCAAAv&#10;BAAADgAAAAAAAAABACAAAAArAQAAZHJzL2Uyb0RvYy54bWxQSwUGAAAAAAYABgBZAQAAsQUAAAAA&#10;">
                <v:fill on="t" focussize="0,0"/>
                <v:stroke on="f"/>
                <v:imagedata o:title=""/>
                <o:lock v:ext="edit" aspectratio="f"/>
                <v:textbox style="layout-flow:vertical-ideographic;">
                  <w:txbxContent>
                    <w:p>
                      <w:pPr>
                        <w:spacing w:line="1100" w:lineRule="exact"/>
                        <w:jc w:val="center"/>
                        <w:rPr>
                          <w:rFonts w:ascii="仿宋_GB2312" w:hAnsi="Calibri" w:eastAsia="仿宋_GB2312"/>
                          <w:b/>
                          <w:sz w:val="44"/>
                          <w:szCs w:val="44"/>
                        </w:rPr>
                      </w:pPr>
                      <w:r>
                        <w:rPr>
                          <w:rFonts w:hint="eastAsia" w:ascii="仿宋_GB2312" w:eastAsia="仿宋_GB2312"/>
                          <w:b/>
                          <w:sz w:val="44"/>
                          <w:szCs w:val="44"/>
                        </w:rPr>
                        <w:t xml:space="preserve">河南农业大学教学大纲          </w:t>
                      </w:r>
                      <w:r>
                        <w:rPr>
                          <w:rFonts w:hint="eastAsia" w:ascii="仿宋_GB2312" w:hAnsi="Calibri" w:eastAsia="仿宋_GB2312"/>
                          <w:b/>
                          <w:sz w:val="44"/>
                          <w:szCs w:val="44"/>
                        </w:rPr>
                        <w:t>园艺学院</w:t>
                      </w:r>
                      <w:r>
                        <w:rPr>
                          <w:rFonts w:hint="eastAsia" w:ascii="仿宋_GB2312" w:hAnsi="Calibri" w:eastAsia="仿宋_GB2312"/>
                          <w:b/>
                          <w:sz w:val="44"/>
                          <w:szCs w:val="44"/>
                          <w:lang w:eastAsia="zh-CN"/>
                        </w:rPr>
                        <w:t>（园艺专业）</w:t>
                      </w:r>
                      <w:r>
                        <w:rPr>
                          <w:rFonts w:hint="eastAsia" w:ascii="仿宋_GB2312" w:hAnsi="Calibri" w:eastAsia="仿宋_GB2312"/>
                          <w:b/>
                          <w:sz w:val="44"/>
                          <w:szCs w:val="44"/>
                        </w:rPr>
                        <w:t>分册</w:t>
                      </w:r>
                    </w:p>
                    <w:p>
                      <w:pPr>
                        <w:rPr>
                          <w:b/>
                          <w:sz w:val="30"/>
                          <w:szCs w:val="30"/>
                        </w:rPr>
                      </w:pPr>
                      <w:r>
                        <w:rPr>
                          <w:rFonts w:hint="eastAsia"/>
                          <w:b/>
                          <w:sz w:val="30"/>
                          <w:szCs w:val="30"/>
                        </w:rPr>
                        <w:t xml:space="preserve">    </w:t>
                      </w:r>
                    </w:p>
                    <w:p>
                      <w:pPr>
                        <w:rPr>
                          <w:b/>
                          <w:sz w:val="30"/>
                          <w:szCs w:val="30"/>
                        </w:rPr>
                      </w:pPr>
                    </w:p>
                  </w:txbxContent>
                </v:textbox>
                <w10:wrap type="square"/>
              </v:rect>
            </w:pict>
          </mc:Fallback>
        </mc:AlternateContent>
      </w:r>
    </w:p>
    <w:p/>
    <w:p/>
    <w:p/>
    <w:p/>
    <w:p/>
    <w:p/>
    <w:p/>
    <w:p/>
    <w:p/>
    <w:p/>
    <w:p/>
    <w:p/>
    <w:p/>
    <w:p/>
    <w:p/>
    <w:p/>
    <w:p/>
    <w:p/>
    <w:p/>
    <w:p/>
    <w:p/>
    <w:p/>
    <w:p/>
    <w:p/>
    <w:p/>
    <w:p/>
    <w:p/>
    <w:p/>
    <w:p/>
    <w:p/>
    <w:p/>
    <w:p/>
    <w:p/>
    <w:p/>
    <w:p/>
    <w:p/>
    <w:p/>
    <w:p/>
    <w:p/>
    <w:p/>
    <w:p/>
    <w:p/>
    <w:p>
      <w:pPr>
        <w:pStyle w:val="20"/>
        <w:snapToGrid w:val="0"/>
        <w:spacing w:before="0" w:beforeAutospacing="0" w:after="0" w:afterAutospacing="0"/>
        <w:jc w:val="both"/>
      </w:pPr>
      <w:r>
        <mc:AlternateContent>
          <mc:Choice Requires="wpg">
            <w:drawing>
              <wp:anchor distT="0" distB="0" distL="0" distR="0" simplePos="0" relativeHeight="251660288" behindDoc="0" locked="0" layoutInCell="1" allowOverlap="1">
                <wp:simplePos x="0" y="0"/>
                <wp:positionH relativeFrom="column">
                  <wp:posOffset>0</wp:posOffset>
                </wp:positionH>
                <wp:positionV relativeFrom="paragraph">
                  <wp:posOffset>0</wp:posOffset>
                </wp:positionV>
                <wp:extent cx="4208145" cy="834390"/>
                <wp:effectExtent l="0" t="0" r="1905" b="3810"/>
                <wp:wrapNone/>
                <wp:docPr id="1" name="1027"/>
                <wp:cNvGraphicFramePr/>
                <a:graphic xmlns:a="http://schemas.openxmlformats.org/drawingml/2006/main">
                  <a:graphicData uri="http://schemas.microsoft.com/office/word/2010/wordprocessingGroup">
                    <wpg:wgp>
                      <wpg:cNvGrpSpPr/>
                      <wpg:grpSpPr>
                        <a:xfrm>
                          <a:off x="0" y="0"/>
                          <a:ext cx="4208145" cy="834390"/>
                          <a:chOff x="2103" y="4204"/>
                          <a:chExt cx="6627" cy="1314"/>
                        </a:xfrm>
                      </wpg:grpSpPr>
                      <pic:pic xmlns:pic="http://schemas.openxmlformats.org/drawingml/2006/picture">
                        <pic:nvPicPr>
                          <pic:cNvPr id="2" name="1028" descr="农大标准组合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3648" y="4432"/>
                            <a:ext cx="5083" cy="858"/>
                          </a:xfrm>
                          <a:prstGeom prst="rect">
                            <a:avLst/>
                          </a:prstGeom>
                          <a:noFill/>
                          <a:ln>
                            <a:noFill/>
                          </a:ln>
                        </pic:spPr>
                      </pic:pic>
                      <pic:pic xmlns:pic="http://schemas.openxmlformats.org/drawingml/2006/picture">
                        <pic:nvPicPr>
                          <pic:cNvPr id="3" name="1029" descr="校徽标准版"/>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103" y="4204"/>
                            <a:ext cx="1545" cy="1314"/>
                          </a:xfrm>
                          <a:prstGeom prst="rect">
                            <a:avLst/>
                          </a:prstGeom>
                          <a:noFill/>
                          <a:ln>
                            <a:noFill/>
                          </a:ln>
                        </pic:spPr>
                      </pic:pic>
                    </wpg:wgp>
                  </a:graphicData>
                </a:graphic>
              </wp:anchor>
            </w:drawing>
          </mc:Choice>
          <mc:Fallback>
            <w:pict>
              <v:group id="1027" o:spid="_x0000_s1026" o:spt="203" style="position:absolute;left:0pt;margin-left:0pt;margin-top:0pt;height:65.7pt;width:331.35pt;z-index:251660288;mso-width-relative:page;mso-height-relative:page;" coordorigin="2103,4204" coordsize="6627,1314" o:gfxdata="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">
                <o:lock v:ext="edit" aspectratio="f"/>
                <v:shape id="1028" o:spid="_x0000_s1026" o:spt="75" alt="农大标准组合10" type="#_x0000_t75" style="position:absolute;left:3648;top:4432;height:858;width:5083;" filled="f" o:preferrelative="t" stroked="f" coordsize="21600,21600" o:gfxdata="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UPfL4A&#10;AADaAAAADwAAAAAAAAABACAAAAAiAAAAZHJzL2Rvd25yZXYueG1sUEsBAhQAFAAAAAgAh07iQDMv&#10;BZ47AAAAOQAAABAAAAAAAAAAAQAgAAAADQEAAGRycy9zaGFwZXhtbC54bWxQSwUGAAAAAAYABgBb&#10;AQAAtwMAAAAA&#10;">
                  <v:fill on="f" focussize="0,0"/>
                  <v:stroke on="f"/>
                  <v:imagedata r:id="rId15" o:title=""/>
                  <o:lock v:ext="edit" aspectratio="t"/>
                </v:shape>
                <v:shape id="1029" o:spid="_x0000_s1026" o:spt="75" alt="校徽标准版" type="#_x0000_t75" style="position:absolute;left:2103;top:4204;height:1314;width:1545;" filled="f" o:preferrelative="t" stroked="f" coordsize="21600,21600" o:gfxdata="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uekG8AAAA&#10;2gAAAA8AAAAAAAAAAQAgAAAAIgAAAGRycy9kb3ducmV2LnhtbFBLAQIUABQAAAAIAIdO4kAzLwWe&#10;OwAAADkAAAAQAAAAAAAAAAEAIAAAAAsBAABkcnMvc2hhcGV4bWwueG1sUEsFBgAAAAAGAAYAWwEA&#10;ALUDAAAAAA==&#10;">
                  <v:fill on="f" focussize="0,0"/>
                  <v:stroke on="f"/>
                  <v:imagedata r:id="rId16" o:title=""/>
                  <o:lock v:ext="edit" aspectratio="t"/>
                </v:shape>
              </v:group>
            </w:pict>
          </mc:Fallback>
        </mc:AlternateContent>
      </w:r>
    </w:p>
    <w:p>
      <w:pPr>
        <w:snapToGrid w:val="0"/>
        <w:spacing w:line="360" w:lineRule="auto"/>
        <w:jc w:val="center"/>
        <w:rPr>
          <w:rFonts w:ascii="黑体" w:hAnsi="黑体" w:eastAsia="黑体"/>
          <w:b/>
          <w:sz w:val="72"/>
          <w:szCs w:val="72"/>
        </w:rPr>
      </w:pPr>
    </w:p>
    <w:p>
      <w:pPr>
        <w:snapToGrid w:val="0"/>
        <w:spacing w:line="360" w:lineRule="auto"/>
        <w:jc w:val="center"/>
        <w:rPr>
          <w:rFonts w:ascii="黑体" w:hAnsi="黑体" w:eastAsia="黑体"/>
          <w:b/>
          <w:sz w:val="52"/>
          <w:szCs w:val="52"/>
        </w:rPr>
      </w:pPr>
    </w:p>
    <w:p>
      <w:pPr>
        <w:snapToGrid w:val="0"/>
        <w:spacing w:line="360" w:lineRule="auto"/>
        <w:jc w:val="center"/>
        <w:rPr>
          <w:rFonts w:ascii="黑体" w:hAnsi="黑体" w:eastAsia="黑体"/>
          <w:b/>
          <w:sz w:val="72"/>
          <w:szCs w:val="72"/>
        </w:rPr>
      </w:pPr>
      <w:r>
        <w:rPr>
          <w:rFonts w:hint="eastAsia" w:ascii="黑体" w:hAnsi="黑体" w:eastAsia="黑体"/>
          <w:b/>
          <w:sz w:val="72"/>
          <w:szCs w:val="72"/>
        </w:rPr>
        <w:t>本科专业教学大纲</w:t>
      </w:r>
    </w:p>
    <w:p>
      <w:pPr>
        <w:snapToGrid w:val="0"/>
        <w:spacing w:line="360" w:lineRule="auto"/>
        <w:jc w:val="center"/>
        <w:rPr>
          <w:rFonts w:ascii="黑体" w:hAnsi="Calibri" w:eastAsia="黑体"/>
          <w:b/>
          <w:sz w:val="48"/>
          <w:szCs w:val="48"/>
        </w:rPr>
      </w:pPr>
      <w:r>
        <w:rPr>
          <w:rFonts w:hint="eastAsia" w:ascii="黑体" w:hAnsi="Calibri" w:eastAsia="黑体"/>
          <w:b/>
          <w:sz w:val="48"/>
          <w:szCs w:val="48"/>
        </w:rPr>
        <w:t>园艺学院</w:t>
      </w:r>
      <w:r>
        <w:rPr>
          <w:rFonts w:hint="eastAsia" w:ascii="黑体" w:hAnsi="Calibri" w:eastAsia="黑体"/>
          <w:b/>
          <w:sz w:val="48"/>
          <w:szCs w:val="48"/>
          <w:lang w:eastAsia="zh-CN"/>
        </w:rPr>
        <w:t>（园艺专业）</w:t>
      </w:r>
      <w:r>
        <w:rPr>
          <w:rFonts w:hint="eastAsia" w:ascii="黑体" w:hAnsi="Calibri" w:eastAsia="黑体"/>
          <w:b/>
          <w:sz w:val="48"/>
          <w:szCs w:val="48"/>
        </w:rPr>
        <w:t>分册</w:t>
      </w:r>
    </w:p>
    <w:p/>
    <w:p/>
    <w:p/>
    <w:p/>
    <w:p/>
    <w:p/>
    <w:p/>
    <w:p/>
    <w:p/>
    <w:p/>
    <w:p/>
    <w:p/>
    <w:p/>
    <w:p/>
    <w:p/>
    <w:p/>
    <w:p/>
    <w:p/>
    <w:p>
      <w:pPr>
        <w:snapToGrid w:val="0"/>
        <w:spacing w:line="360" w:lineRule="auto"/>
        <w:jc w:val="center"/>
        <w:rPr>
          <w:rFonts w:ascii="黑体" w:hAnsi="Calibri" w:eastAsia="黑体"/>
          <w:b/>
          <w:sz w:val="32"/>
          <w:szCs w:val="32"/>
        </w:rPr>
      </w:pPr>
      <w:r>
        <w:rPr>
          <w:rFonts w:hint="eastAsia" w:ascii="黑体" w:hAnsi="Calibri" w:eastAsia="黑体"/>
          <w:b/>
          <w:sz w:val="32"/>
          <w:szCs w:val="32"/>
        </w:rPr>
        <w:t>园艺学院</w:t>
      </w:r>
    </w:p>
    <w:p>
      <w:pPr>
        <w:snapToGrid w:val="0"/>
        <w:spacing w:line="360" w:lineRule="auto"/>
        <w:jc w:val="center"/>
        <w:rPr>
          <w:rFonts w:ascii="黑体" w:hAnsi="Calibri" w:eastAsia="黑体"/>
          <w:b/>
          <w:sz w:val="32"/>
          <w:szCs w:val="32"/>
        </w:rPr>
      </w:pPr>
      <w:r>
        <w:rPr>
          <w:rFonts w:hint="eastAsia" w:ascii="黑体" w:hAnsi="Calibri" w:eastAsia="黑体"/>
          <w:b/>
          <w:sz w:val="32"/>
          <w:szCs w:val="32"/>
        </w:rPr>
        <w:t>二O二三年</w:t>
      </w:r>
    </w:p>
    <w:p>
      <w:pPr>
        <w:snapToGrid w:val="0"/>
        <w:spacing w:line="360" w:lineRule="auto"/>
        <w:jc w:val="center"/>
        <w:rPr>
          <w:rFonts w:ascii="黑体" w:hAnsi="Calibri" w:eastAsia="黑体"/>
          <w:b/>
          <w:sz w:val="32"/>
          <w:szCs w:val="32"/>
        </w:rPr>
        <w:sectPr>
          <w:footerReference r:id="rId5" w:type="first"/>
          <w:footerReference r:id="rId3" w:type="default"/>
          <w:footerReference r:id="rId4" w:type="even"/>
          <w:pgSz w:w="23814" w:h="16840" w:orient="landscape"/>
          <w:pgMar w:top="1797" w:right="1701" w:bottom="1797" w:left="1440" w:header="851" w:footer="992" w:gutter="0"/>
          <w:pgBorders>
            <w:top w:val="none" w:sz="0" w:space="0"/>
            <w:left w:val="none" w:sz="0" w:space="0"/>
            <w:bottom w:val="none" w:sz="0" w:space="0"/>
            <w:right w:val="none" w:sz="0" w:space="0"/>
          </w:pgBorders>
          <w:cols w:space="2520" w:num="2"/>
          <w:docGrid w:type="lines" w:linePitch="312" w:charSpace="0"/>
        </w:sectPr>
      </w:pPr>
    </w:p>
    <w:p>
      <w:pPr>
        <w:spacing w:before="156" w:beforeLines="50" w:after="156" w:afterLines="50" w:line="400" w:lineRule="exact"/>
        <w:jc w:val="center"/>
        <w:rPr>
          <w:rFonts w:hint="eastAsia" w:ascii="宋体" w:hAnsi="宋体"/>
          <w:b/>
          <w:bCs/>
          <w:sz w:val="32"/>
          <w:szCs w:val="32"/>
        </w:rPr>
      </w:pPr>
    </w:p>
    <w:p>
      <w:pPr>
        <w:spacing w:before="156" w:beforeLines="50" w:after="156" w:afterLines="50" w:line="400" w:lineRule="exact"/>
        <w:jc w:val="center"/>
        <w:rPr>
          <w:rFonts w:hint="eastAsia" w:ascii="宋体" w:hAnsi="宋体"/>
          <w:b/>
          <w:bCs/>
          <w:sz w:val="32"/>
          <w:szCs w:val="32"/>
        </w:rPr>
      </w:pPr>
      <w:r>
        <w:rPr>
          <w:rFonts w:hint="eastAsia" w:ascii="宋体" w:hAnsi="宋体"/>
          <w:b/>
          <w:bCs/>
          <w:sz w:val="32"/>
          <w:szCs w:val="32"/>
        </w:rPr>
        <w:t>教学大纲目录</w:t>
      </w:r>
    </w:p>
    <w:p>
      <w:pPr>
        <w:spacing w:before="156" w:beforeLines="50" w:after="156" w:afterLines="50" w:line="400" w:lineRule="exact"/>
        <w:jc w:val="center"/>
        <w:rPr>
          <w:rFonts w:hint="eastAsia" w:ascii="宋体" w:hAnsi="宋体"/>
          <w:b/>
          <w:bCs/>
          <w:sz w:val="32"/>
          <w:szCs w:val="32"/>
        </w:rPr>
      </w:pPr>
    </w:p>
    <w:sdt>
      <w:sdtPr>
        <w:rPr>
          <w:rFonts w:ascii="宋体" w:hAnsi="宋体"/>
          <w:b/>
          <w:sz w:val="24"/>
        </w:rPr>
        <w:id w:val="-1450228763"/>
        <w:docPartObj>
          <w:docPartGallery w:val="Table of Contents"/>
          <w:docPartUnique/>
        </w:docPartObj>
      </w:sdtPr>
      <w:sdtEndPr>
        <w:rPr>
          <w:rStyle w:val="27"/>
          <w:rFonts w:ascii="Times New Roman" w:hAnsi="Times New Roman" w:eastAsia="Times New Roman"/>
          <w:b w:val="0"/>
          <w:color w:val="0000FF" w:themeColor="hyperlink"/>
          <w:sz w:val="21"/>
          <w:u w:val="single"/>
          <w14:textFill>
            <w14:solidFill>
              <w14:schemeClr w14:val="hlink"/>
            </w14:solidFill>
          </w14:textFill>
        </w:rPr>
      </w:sdtEndPr>
      <w:sdtContent>
        <w:p>
          <w:pPr>
            <w:spacing w:line="360" w:lineRule="auto"/>
            <w:jc w:val="center"/>
            <w:rPr>
              <w:rFonts w:ascii="宋体" w:hAnsi="宋体"/>
              <w:b/>
              <w:sz w:val="24"/>
            </w:rPr>
          </w:pPr>
          <w:r>
            <w:rPr>
              <w:rFonts w:hint="eastAsia" w:ascii="宋体" w:hAnsi="宋体"/>
              <w:b/>
              <w:sz w:val="24"/>
            </w:rPr>
            <w:t>第一篇 课程教学大纲</w:t>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eastAsia="Times New Roman"/>
              <w:sz w:val="21"/>
            </w:rPr>
            <w:fldChar w:fldCharType="begin"/>
          </w:r>
          <w:r>
            <w:rPr>
              <w:rFonts w:eastAsia="Times New Roman"/>
              <w:sz w:val="21"/>
            </w:rPr>
            <w:instrText xml:space="preserve"> TOC \o "1-3" \h \z \u </w:instrText>
          </w:r>
          <w:r>
            <w:rPr>
              <w:rFonts w:eastAsia="Times New Roman"/>
              <w:sz w:val="21"/>
            </w:rPr>
            <w:fldChar w:fldCharType="separate"/>
          </w:r>
          <w:r>
            <w:rPr>
              <w:rFonts w:ascii="Times New Roman" w:hAnsi="Times New Roman" w:eastAsia="宋体"/>
              <w:sz w:val="21"/>
            </w:rPr>
            <w:fldChar w:fldCharType="begin"/>
          </w:r>
          <w:r>
            <w:rPr>
              <w:rFonts w:ascii="Times New Roman" w:hAnsi="Times New Roman" w:eastAsia="宋体"/>
              <w:sz w:val="21"/>
            </w:rPr>
            <w:instrText xml:space="preserve"> HYPERLINK \l "_Toc138076047" </w:instrText>
          </w:r>
          <w:r>
            <w:rPr>
              <w:rFonts w:ascii="Times New Roman" w:hAnsi="Times New Roman" w:eastAsia="宋体"/>
              <w:sz w:val="21"/>
            </w:rPr>
            <w:fldChar w:fldCharType="separate"/>
          </w:r>
          <w:r>
            <w:rPr>
              <w:rStyle w:val="27"/>
              <w:rFonts w:hint="eastAsia" w:ascii="Times New Roman" w:hAnsi="Times New Roman" w:eastAsia="宋体"/>
              <w:sz w:val="21"/>
            </w:rPr>
            <w:t>现代园艺导论</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_Toc138076047 \h </w:instrText>
          </w:r>
          <w:r>
            <w:rPr>
              <w:rFonts w:ascii="Times New Roman" w:hAnsi="Times New Roman" w:eastAsia="宋体"/>
              <w:sz w:val="21"/>
            </w:rPr>
            <w:fldChar w:fldCharType="separate"/>
          </w:r>
          <w:r>
            <w:rPr>
              <w:rFonts w:ascii="Times New Roman" w:hAnsi="Times New Roman" w:eastAsia="宋体"/>
              <w:sz w:val="21"/>
            </w:rPr>
            <w:t>1</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"_Toc138076048" </w:instrText>
          </w:r>
          <w:r>
            <w:rPr>
              <w:rFonts w:ascii="Times New Roman" w:hAnsi="Times New Roman" w:eastAsia="宋体"/>
              <w:sz w:val="21"/>
            </w:rPr>
            <w:fldChar w:fldCharType="separate"/>
          </w:r>
          <w:r>
            <w:rPr>
              <w:rStyle w:val="27"/>
              <w:rFonts w:hint="eastAsia" w:ascii="Times New Roman" w:hAnsi="Times New Roman" w:eastAsia="宋体"/>
              <w:sz w:val="21"/>
            </w:rPr>
            <w:t>分子生物学基础</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_Toc138076048 \h </w:instrText>
          </w:r>
          <w:r>
            <w:rPr>
              <w:rFonts w:ascii="Times New Roman" w:hAnsi="Times New Roman" w:eastAsia="宋体"/>
              <w:sz w:val="21"/>
            </w:rPr>
            <w:fldChar w:fldCharType="separate"/>
          </w:r>
          <w:r>
            <w:rPr>
              <w:rFonts w:ascii="Times New Roman" w:hAnsi="Times New Roman" w:eastAsia="宋体"/>
              <w:sz w:val="21"/>
            </w:rPr>
            <w:t>10</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"_Toc138076049" </w:instrText>
          </w:r>
          <w:r>
            <w:rPr>
              <w:rFonts w:ascii="Times New Roman" w:hAnsi="Times New Roman" w:eastAsia="宋体"/>
              <w:sz w:val="21"/>
            </w:rPr>
            <w:fldChar w:fldCharType="separate"/>
          </w:r>
          <w:r>
            <w:rPr>
              <w:rStyle w:val="27"/>
              <w:rFonts w:hint="eastAsia" w:ascii="Times New Roman" w:hAnsi="Times New Roman" w:eastAsia="宋体"/>
              <w:sz w:val="21"/>
            </w:rPr>
            <w:t>园艺植物遗传学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_Toc138076049 \h </w:instrText>
          </w:r>
          <w:r>
            <w:rPr>
              <w:rFonts w:ascii="Times New Roman" w:hAnsi="Times New Roman" w:eastAsia="宋体"/>
              <w:sz w:val="21"/>
            </w:rPr>
            <w:fldChar w:fldCharType="separate"/>
          </w:r>
          <w:r>
            <w:rPr>
              <w:rFonts w:ascii="Times New Roman" w:hAnsi="Times New Roman" w:eastAsia="宋体"/>
              <w:sz w:val="21"/>
            </w:rPr>
            <w:t>21</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"_Toc138076055" </w:instrText>
          </w:r>
          <w:r>
            <w:rPr>
              <w:rFonts w:ascii="Times New Roman" w:hAnsi="Times New Roman" w:eastAsia="宋体"/>
              <w:sz w:val="21"/>
            </w:rPr>
            <w:fldChar w:fldCharType="separate"/>
          </w:r>
          <w:r>
            <w:rPr>
              <w:rStyle w:val="27"/>
              <w:rFonts w:hint="eastAsia" w:ascii="Times New Roman" w:hAnsi="Times New Roman" w:eastAsia="宋体"/>
              <w:sz w:val="21"/>
            </w:rPr>
            <w:t>园艺植物育种学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_Toc138076055 \h </w:instrText>
          </w:r>
          <w:r>
            <w:rPr>
              <w:rFonts w:ascii="Times New Roman" w:hAnsi="Times New Roman" w:eastAsia="宋体"/>
              <w:sz w:val="21"/>
            </w:rPr>
            <w:fldChar w:fldCharType="separate"/>
          </w:r>
          <w:r>
            <w:rPr>
              <w:rFonts w:ascii="Times New Roman" w:hAnsi="Times New Roman" w:eastAsia="宋体"/>
              <w:sz w:val="21"/>
            </w:rPr>
            <w:t>36</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"_Toc138076057" </w:instrText>
          </w:r>
          <w:r>
            <w:rPr>
              <w:rFonts w:ascii="Times New Roman" w:hAnsi="Times New Roman" w:eastAsia="宋体"/>
              <w:sz w:val="21"/>
            </w:rPr>
            <w:fldChar w:fldCharType="separate"/>
          </w:r>
          <w:r>
            <w:rPr>
              <w:rStyle w:val="27"/>
              <w:rFonts w:hint="eastAsia" w:ascii="Times New Roman" w:hAnsi="Times New Roman" w:eastAsia="宋体"/>
              <w:sz w:val="21"/>
            </w:rPr>
            <w:t>蔬菜栽培学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_Toc138076057 \h </w:instrText>
          </w:r>
          <w:r>
            <w:rPr>
              <w:rFonts w:ascii="Times New Roman" w:hAnsi="Times New Roman" w:eastAsia="宋体"/>
              <w:sz w:val="21"/>
            </w:rPr>
            <w:fldChar w:fldCharType="separate"/>
          </w:r>
          <w:r>
            <w:rPr>
              <w:rFonts w:ascii="Times New Roman" w:hAnsi="Times New Roman" w:eastAsia="宋体"/>
              <w:sz w:val="21"/>
            </w:rPr>
            <w:t>49</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pPr>
          <w:r>
            <w:rPr>
              <w:rFonts w:ascii="Times New Roman" w:hAnsi="Times New Roman" w:eastAsia="宋体"/>
              <w:sz w:val="21"/>
            </w:rPr>
            <w:fldChar w:fldCharType="begin"/>
          </w:r>
          <w:r>
            <w:rPr>
              <w:rFonts w:ascii="Times New Roman" w:hAnsi="Times New Roman" w:eastAsia="宋体"/>
              <w:sz w:val="21"/>
            </w:rPr>
            <w:instrText xml:space="preserve"> HYPERLINK \l "_Toc138076057" </w:instrText>
          </w:r>
          <w:r>
            <w:rPr>
              <w:rFonts w:ascii="Times New Roman" w:hAnsi="Times New Roman" w:eastAsia="宋体"/>
              <w:sz w:val="21"/>
            </w:rPr>
            <w:fldChar w:fldCharType="separate"/>
          </w:r>
          <w:r>
            <w:rPr>
              <w:rFonts w:hint="eastAsia"/>
              <w:sz w:val="21"/>
              <w:lang w:val="en-US" w:eastAsia="zh-CN"/>
            </w:rPr>
            <w:t>果树</w:t>
          </w:r>
          <w:r>
            <w:rPr>
              <w:rStyle w:val="27"/>
              <w:rFonts w:hint="eastAsia" w:ascii="Times New Roman" w:hAnsi="Times New Roman" w:eastAsia="宋体"/>
              <w:sz w:val="21"/>
            </w:rPr>
            <w:t>栽培学</w:t>
          </w:r>
          <w:r>
            <w:rPr>
              <w:rFonts w:ascii="Times New Roman" w:hAnsi="Times New Roman" w:eastAsia="宋体"/>
              <w:sz w:val="21"/>
            </w:rPr>
            <w:tab/>
          </w:r>
          <w:r>
            <w:rPr>
              <w:rFonts w:hint="eastAsia"/>
              <w:sz w:val="21"/>
              <w:lang w:val="en-US" w:eastAsia="zh-CN"/>
            </w:rPr>
            <w:t>7</w:t>
          </w:r>
          <w:r>
            <w:rPr>
              <w:rFonts w:ascii="Times New Roman" w:hAnsi="Times New Roman" w:eastAsia="宋体"/>
              <w:sz w:val="21"/>
            </w:rPr>
            <w:fldChar w:fldCharType="end"/>
          </w:r>
          <w:r>
            <w:rPr>
              <w:rFonts w:hint="eastAsia"/>
              <w:sz w:val="21"/>
              <w:lang w:val="en-US" w:eastAsia="zh-CN"/>
            </w:rPr>
            <w:t>2</w:t>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"_Toc138076067" </w:instrText>
          </w:r>
          <w:r>
            <w:rPr>
              <w:rFonts w:ascii="Times New Roman" w:hAnsi="Times New Roman" w:eastAsia="宋体"/>
              <w:sz w:val="21"/>
            </w:rPr>
            <w:fldChar w:fldCharType="separate"/>
          </w:r>
          <w:r>
            <w:rPr>
              <w:rStyle w:val="27"/>
              <w:rFonts w:hint="eastAsia" w:ascii="Times New Roman" w:hAnsi="Times New Roman" w:eastAsia="宋体"/>
              <w:sz w:val="21"/>
            </w:rPr>
            <w:t>试验设计与统计分析</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_Toc138076067 \h </w:instrText>
          </w:r>
          <w:r>
            <w:rPr>
              <w:rFonts w:ascii="Times New Roman" w:hAnsi="Times New Roman" w:eastAsia="宋体"/>
              <w:sz w:val="21"/>
            </w:rPr>
            <w:fldChar w:fldCharType="separate"/>
          </w:r>
          <w:r>
            <w:rPr>
              <w:rFonts w:ascii="Times New Roman" w:hAnsi="Times New Roman" w:eastAsia="宋体"/>
              <w:sz w:val="21"/>
            </w:rPr>
            <w:t>95</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"_Toc138076068" </w:instrText>
          </w:r>
          <w:r>
            <w:rPr>
              <w:rFonts w:ascii="Times New Roman" w:hAnsi="Times New Roman" w:eastAsia="宋体"/>
              <w:sz w:val="21"/>
            </w:rPr>
            <w:fldChar w:fldCharType="separate"/>
          </w:r>
          <w:r>
            <w:rPr>
              <w:rStyle w:val="27"/>
              <w:rFonts w:hint="eastAsia" w:ascii="Times New Roman" w:hAnsi="Times New Roman" w:eastAsia="宋体"/>
              <w:sz w:val="21"/>
            </w:rPr>
            <w:t>设施园艺学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_Toc138076068 \h </w:instrText>
          </w:r>
          <w:r>
            <w:rPr>
              <w:rFonts w:ascii="Times New Roman" w:hAnsi="Times New Roman" w:eastAsia="宋体"/>
              <w:sz w:val="21"/>
            </w:rPr>
            <w:fldChar w:fldCharType="separate"/>
          </w:r>
          <w:r>
            <w:rPr>
              <w:rFonts w:ascii="Times New Roman" w:hAnsi="Times New Roman" w:eastAsia="宋体"/>
              <w:sz w:val="21"/>
            </w:rPr>
            <w:t>111</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"_Toc138076069" </w:instrText>
          </w:r>
          <w:r>
            <w:rPr>
              <w:rFonts w:ascii="Times New Roman" w:hAnsi="Times New Roman" w:eastAsia="宋体"/>
              <w:sz w:val="21"/>
            </w:rPr>
            <w:fldChar w:fldCharType="separate"/>
          </w:r>
          <w:r>
            <w:rPr>
              <w:rStyle w:val="27"/>
              <w:rFonts w:hint="eastAsia" w:ascii="Times New Roman" w:hAnsi="Times New Roman" w:eastAsia="宋体"/>
              <w:sz w:val="21"/>
            </w:rPr>
            <w:t>花卉栽培学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_Toc138076069 \h </w:instrText>
          </w:r>
          <w:r>
            <w:rPr>
              <w:rFonts w:ascii="Times New Roman" w:hAnsi="Times New Roman" w:eastAsia="宋体"/>
              <w:sz w:val="21"/>
            </w:rPr>
            <w:fldChar w:fldCharType="separate"/>
          </w:r>
          <w:r>
            <w:rPr>
              <w:rFonts w:ascii="Times New Roman" w:hAnsi="Times New Roman" w:eastAsia="宋体"/>
              <w:sz w:val="21"/>
            </w:rPr>
            <w:t>126</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"_Toc138076070" </w:instrText>
          </w:r>
          <w:r>
            <w:rPr>
              <w:rFonts w:ascii="Times New Roman" w:hAnsi="Times New Roman" w:eastAsia="宋体"/>
              <w:sz w:val="21"/>
            </w:rPr>
            <w:fldChar w:fldCharType="separate"/>
          </w:r>
          <w:r>
            <w:rPr>
              <w:rStyle w:val="27"/>
              <w:rFonts w:hint="eastAsia" w:ascii="Times New Roman" w:hAnsi="Times New Roman" w:eastAsia="宋体"/>
              <w:sz w:val="21"/>
            </w:rPr>
            <w:t>园艺植物生物技术</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_Toc138076070 \h </w:instrText>
          </w:r>
          <w:r>
            <w:rPr>
              <w:rFonts w:ascii="Times New Roman" w:hAnsi="Times New Roman" w:eastAsia="宋体"/>
              <w:sz w:val="21"/>
            </w:rPr>
            <w:fldChar w:fldCharType="separate"/>
          </w:r>
          <w:r>
            <w:rPr>
              <w:rFonts w:ascii="Times New Roman" w:hAnsi="Times New Roman" w:eastAsia="宋体"/>
              <w:sz w:val="21"/>
            </w:rPr>
            <w:t>145</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"_Toc138076071" </w:instrText>
          </w:r>
          <w:r>
            <w:rPr>
              <w:rFonts w:ascii="Times New Roman" w:hAnsi="Times New Roman" w:eastAsia="宋体"/>
              <w:sz w:val="21"/>
            </w:rPr>
            <w:fldChar w:fldCharType="separate"/>
          </w:r>
          <w:r>
            <w:rPr>
              <w:rStyle w:val="27"/>
              <w:rFonts w:hint="eastAsia" w:ascii="Times New Roman" w:hAnsi="Times New Roman" w:eastAsia="宋体"/>
              <w:sz w:val="21"/>
            </w:rPr>
            <w:t>园艺产品采后处理学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_Toc138076071 \h </w:instrText>
          </w:r>
          <w:r>
            <w:rPr>
              <w:rFonts w:ascii="Times New Roman" w:hAnsi="Times New Roman" w:eastAsia="宋体"/>
              <w:sz w:val="21"/>
            </w:rPr>
            <w:fldChar w:fldCharType="separate"/>
          </w:r>
          <w:r>
            <w:rPr>
              <w:rFonts w:ascii="Times New Roman" w:hAnsi="Times New Roman" w:eastAsia="宋体"/>
              <w:sz w:val="21"/>
            </w:rPr>
            <w:t>154</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"_Toc138076072" </w:instrText>
          </w:r>
          <w:r>
            <w:rPr>
              <w:rFonts w:ascii="Times New Roman" w:hAnsi="Times New Roman" w:eastAsia="宋体"/>
              <w:sz w:val="21"/>
            </w:rPr>
            <w:fldChar w:fldCharType="separate"/>
          </w:r>
          <w:r>
            <w:rPr>
              <w:rStyle w:val="27"/>
              <w:rFonts w:hint="eastAsia" w:ascii="Times New Roman" w:hAnsi="Times New Roman" w:eastAsia="宋体"/>
              <w:sz w:val="21"/>
            </w:rPr>
            <w:t>园艺产品营销学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_Toc138076072 \h </w:instrText>
          </w:r>
          <w:r>
            <w:rPr>
              <w:rFonts w:ascii="Times New Roman" w:hAnsi="Times New Roman" w:eastAsia="宋体"/>
              <w:sz w:val="21"/>
            </w:rPr>
            <w:fldChar w:fldCharType="separate"/>
          </w:r>
          <w:r>
            <w:rPr>
              <w:rFonts w:ascii="Times New Roman" w:hAnsi="Times New Roman" w:eastAsia="宋体"/>
              <w:sz w:val="21"/>
            </w:rPr>
            <w:t>171</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"_Toc138076073" </w:instrText>
          </w:r>
          <w:r>
            <w:rPr>
              <w:rFonts w:ascii="Times New Roman" w:hAnsi="Times New Roman" w:eastAsia="宋体"/>
              <w:sz w:val="21"/>
            </w:rPr>
            <w:fldChar w:fldCharType="separate"/>
          </w:r>
          <w:r>
            <w:rPr>
              <w:rStyle w:val="27"/>
              <w:rFonts w:hint="eastAsia" w:ascii="Times New Roman" w:hAnsi="Times New Roman" w:eastAsia="宋体"/>
              <w:sz w:val="21"/>
            </w:rPr>
            <w:t>茶艺</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_Toc138076073 \h </w:instrText>
          </w:r>
          <w:r>
            <w:rPr>
              <w:rFonts w:ascii="Times New Roman" w:hAnsi="Times New Roman" w:eastAsia="宋体"/>
              <w:sz w:val="21"/>
            </w:rPr>
            <w:fldChar w:fldCharType="separate"/>
          </w:r>
          <w:r>
            <w:rPr>
              <w:rFonts w:ascii="Times New Roman" w:hAnsi="Times New Roman" w:eastAsia="宋体"/>
              <w:sz w:val="21"/>
            </w:rPr>
            <w:t>179</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hint="eastAsia" w:ascii="Times New Roman" w:hAnsi="Times New Roman" w:eastAsia="宋体"/>
              <w:sz w:val="21"/>
              <w:lang w:eastAsia="zh-CN"/>
            </w:rPr>
            <w:t>设施装备与智能化</w:t>
          </w:r>
          <w:r>
            <w:rPr>
              <w:rFonts w:ascii="Times New Roman" w:hAnsi="Times New Roman" w:eastAsia="宋体"/>
              <w:sz w:val="21"/>
            </w:rPr>
            <w:fldChar w:fldCharType="begin"/>
          </w:r>
          <w:r>
            <w:rPr>
              <w:rFonts w:ascii="Times New Roman" w:hAnsi="Times New Roman" w:eastAsia="宋体"/>
              <w:sz w:val="21"/>
            </w:rPr>
            <w:instrText xml:space="preserve"> HYPERLINK \l "_Toc138076074" </w:instrText>
          </w:r>
          <w:r>
            <w:rPr>
              <w:rFonts w:ascii="Times New Roman" w:hAnsi="Times New Roman" w:eastAsia="宋体"/>
              <w:sz w:val="21"/>
            </w:rPr>
            <w:fldChar w:fldCharType="separate"/>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_Toc138076074 \h </w:instrText>
          </w:r>
          <w:r>
            <w:rPr>
              <w:rFonts w:ascii="Times New Roman" w:hAnsi="Times New Roman" w:eastAsia="宋体"/>
              <w:sz w:val="21"/>
            </w:rPr>
            <w:fldChar w:fldCharType="separate"/>
          </w:r>
          <w:r>
            <w:rPr>
              <w:rFonts w:ascii="Times New Roman" w:hAnsi="Times New Roman" w:eastAsia="宋体"/>
              <w:sz w:val="21"/>
            </w:rPr>
            <w:t>186</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"_Toc138076075" </w:instrText>
          </w:r>
          <w:r>
            <w:rPr>
              <w:rFonts w:ascii="Times New Roman" w:hAnsi="Times New Roman" w:eastAsia="宋体"/>
              <w:sz w:val="21"/>
            </w:rPr>
            <w:fldChar w:fldCharType="separate"/>
          </w:r>
          <w:r>
            <w:rPr>
              <w:rStyle w:val="27"/>
              <w:rFonts w:hint="eastAsia" w:ascii="Times New Roman" w:hAnsi="Times New Roman" w:eastAsia="宋体"/>
              <w:sz w:val="21"/>
            </w:rPr>
            <w:t>智慧园艺</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_Toc138076075 \h </w:instrText>
          </w:r>
          <w:r>
            <w:rPr>
              <w:rFonts w:ascii="Times New Roman" w:hAnsi="Times New Roman" w:eastAsia="宋体"/>
              <w:sz w:val="21"/>
            </w:rPr>
            <w:fldChar w:fldCharType="separate"/>
          </w:r>
          <w:r>
            <w:rPr>
              <w:rFonts w:ascii="Times New Roman" w:hAnsi="Times New Roman" w:eastAsia="宋体"/>
              <w:sz w:val="21"/>
            </w:rPr>
            <w:t>203</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"_Toc138076076" </w:instrText>
          </w:r>
          <w:r>
            <w:rPr>
              <w:rFonts w:ascii="Times New Roman" w:hAnsi="Times New Roman" w:eastAsia="宋体"/>
              <w:sz w:val="21"/>
            </w:rPr>
            <w:fldChar w:fldCharType="separate"/>
          </w:r>
          <w:r>
            <w:rPr>
              <w:rStyle w:val="27"/>
              <w:rFonts w:hint="eastAsia" w:ascii="Times New Roman" w:hAnsi="Times New Roman" w:eastAsia="宋体"/>
              <w:sz w:val="21"/>
            </w:rPr>
            <w:t>创意农业</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_Toc138076076 \h </w:instrText>
          </w:r>
          <w:r>
            <w:rPr>
              <w:rFonts w:ascii="Times New Roman" w:hAnsi="Times New Roman" w:eastAsia="宋体"/>
              <w:sz w:val="21"/>
            </w:rPr>
            <w:fldChar w:fldCharType="separate"/>
          </w:r>
          <w:r>
            <w:rPr>
              <w:rFonts w:ascii="Times New Roman" w:hAnsi="Times New Roman" w:eastAsia="宋体"/>
              <w:sz w:val="21"/>
            </w:rPr>
            <w:t>212</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"_Toc138076077" </w:instrText>
          </w:r>
          <w:r>
            <w:rPr>
              <w:rFonts w:ascii="Times New Roman" w:hAnsi="Times New Roman" w:eastAsia="宋体"/>
              <w:sz w:val="21"/>
            </w:rPr>
            <w:fldChar w:fldCharType="separate"/>
          </w:r>
          <w:r>
            <w:rPr>
              <w:rStyle w:val="27"/>
              <w:rFonts w:hint="eastAsia" w:ascii="Times New Roman" w:hAnsi="Times New Roman" w:eastAsia="宋体"/>
              <w:sz w:val="21"/>
            </w:rPr>
            <w:t>葡萄酒鉴赏</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_Toc138076077 \h </w:instrText>
          </w:r>
          <w:r>
            <w:rPr>
              <w:rFonts w:ascii="Times New Roman" w:hAnsi="Times New Roman" w:eastAsia="宋体"/>
              <w:sz w:val="21"/>
            </w:rPr>
            <w:fldChar w:fldCharType="separate"/>
          </w:r>
          <w:r>
            <w:rPr>
              <w:rFonts w:ascii="Times New Roman" w:hAnsi="Times New Roman" w:eastAsia="宋体"/>
              <w:sz w:val="21"/>
            </w:rPr>
            <w:t>219</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"_Toc138076078" </w:instrText>
          </w:r>
          <w:r>
            <w:rPr>
              <w:rFonts w:ascii="Times New Roman" w:hAnsi="Times New Roman" w:eastAsia="宋体"/>
              <w:sz w:val="21"/>
            </w:rPr>
            <w:fldChar w:fldCharType="separate"/>
          </w:r>
          <w:r>
            <w:rPr>
              <w:rStyle w:val="27"/>
              <w:rFonts w:hint="eastAsia" w:ascii="Times New Roman" w:hAnsi="Times New Roman" w:eastAsia="宋体"/>
              <w:sz w:val="21"/>
            </w:rPr>
            <w:t>园艺产业创业案例</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_Toc138076078 \h </w:instrText>
          </w:r>
          <w:r>
            <w:rPr>
              <w:rFonts w:ascii="Times New Roman" w:hAnsi="Times New Roman" w:eastAsia="宋体"/>
              <w:sz w:val="21"/>
            </w:rPr>
            <w:fldChar w:fldCharType="separate"/>
          </w:r>
          <w:r>
            <w:rPr>
              <w:rFonts w:ascii="Times New Roman" w:hAnsi="Times New Roman" w:eastAsia="宋体"/>
              <w:sz w:val="21"/>
            </w:rPr>
            <w:t>225</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"_Toc138076079" </w:instrText>
          </w:r>
          <w:r>
            <w:rPr>
              <w:rFonts w:ascii="Times New Roman" w:hAnsi="Times New Roman" w:eastAsia="宋体"/>
              <w:sz w:val="21"/>
            </w:rPr>
            <w:fldChar w:fldCharType="separate"/>
          </w:r>
          <w:r>
            <w:rPr>
              <w:rStyle w:val="27"/>
              <w:rFonts w:hint="eastAsia" w:ascii="Times New Roman" w:hAnsi="Times New Roman" w:eastAsia="宋体"/>
              <w:sz w:val="21"/>
            </w:rPr>
            <w:t>农业园区设计与管理</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_Toc138076079 \h </w:instrText>
          </w:r>
          <w:r>
            <w:rPr>
              <w:rFonts w:ascii="Times New Roman" w:hAnsi="Times New Roman" w:eastAsia="宋体"/>
              <w:sz w:val="21"/>
            </w:rPr>
            <w:fldChar w:fldCharType="separate"/>
          </w:r>
          <w:r>
            <w:rPr>
              <w:rFonts w:ascii="Times New Roman" w:hAnsi="Times New Roman" w:eastAsia="宋体"/>
              <w:sz w:val="21"/>
            </w:rPr>
            <w:t>232</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"_Toc138076080" </w:instrText>
          </w:r>
          <w:r>
            <w:rPr>
              <w:rFonts w:ascii="Times New Roman" w:hAnsi="Times New Roman" w:eastAsia="宋体"/>
              <w:sz w:val="21"/>
            </w:rPr>
            <w:fldChar w:fldCharType="separate"/>
          </w:r>
          <w:r>
            <w:rPr>
              <w:rStyle w:val="27"/>
              <w:rFonts w:hint="eastAsia" w:ascii="Times New Roman" w:hAnsi="Times New Roman" w:eastAsia="宋体"/>
              <w:sz w:val="21"/>
            </w:rPr>
            <w:t>都市园艺</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_Toc138076080 \h </w:instrText>
          </w:r>
          <w:r>
            <w:rPr>
              <w:rFonts w:ascii="Times New Roman" w:hAnsi="Times New Roman" w:eastAsia="宋体"/>
              <w:sz w:val="21"/>
            </w:rPr>
            <w:fldChar w:fldCharType="separate"/>
          </w:r>
          <w:r>
            <w:rPr>
              <w:rFonts w:ascii="Times New Roman" w:hAnsi="Times New Roman" w:eastAsia="宋体"/>
              <w:sz w:val="21"/>
            </w:rPr>
            <w:t>241</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"_Toc138076081" </w:instrText>
          </w:r>
          <w:r>
            <w:rPr>
              <w:rFonts w:ascii="Times New Roman" w:hAnsi="Times New Roman" w:eastAsia="宋体"/>
              <w:sz w:val="21"/>
            </w:rPr>
            <w:fldChar w:fldCharType="separate"/>
          </w:r>
          <w:r>
            <w:rPr>
              <w:rStyle w:val="27"/>
              <w:rFonts w:hint="eastAsia" w:ascii="Times New Roman" w:hAnsi="Times New Roman" w:eastAsia="宋体"/>
              <w:sz w:val="21"/>
            </w:rPr>
            <w:t>果蔬产品加工</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_Toc138076081 \h </w:instrText>
          </w:r>
          <w:r>
            <w:rPr>
              <w:rFonts w:ascii="Times New Roman" w:hAnsi="Times New Roman" w:eastAsia="宋体"/>
              <w:sz w:val="21"/>
            </w:rPr>
            <w:fldChar w:fldCharType="separate"/>
          </w:r>
          <w:r>
            <w:rPr>
              <w:rFonts w:ascii="Times New Roman" w:hAnsi="Times New Roman" w:eastAsia="宋体"/>
              <w:sz w:val="21"/>
            </w:rPr>
            <w:t>248</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"_Toc138076082" </w:instrText>
          </w:r>
          <w:r>
            <w:rPr>
              <w:rFonts w:ascii="Times New Roman" w:hAnsi="Times New Roman" w:eastAsia="宋体"/>
              <w:sz w:val="21"/>
            </w:rPr>
            <w:fldChar w:fldCharType="separate"/>
          </w:r>
          <w:r>
            <w:rPr>
              <w:rStyle w:val="27"/>
              <w:rFonts w:hint="eastAsia" w:ascii="Times New Roman" w:hAnsi="Times New Roman" w:eastAsia="宋体"/>
              <w:sz w:val="21"/>
            </w:rPr>
            <w:t>工厂化育苗原理与技术</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_Toc138076082 \h </w:instrText>
          </w:r>
          <w:r>
            <w:rPr>
              <w:rFonts w:ascii="Times New Roman" w:hAnsi="Times New Roman" w:eastAsia="宋体"/>
              <w:sz w:val="21"/>
            </w:rPr>
            <w:fldChar w:fldCharType="separate"/>
          </w:r>
          <w:r>
            <w:rPr>
              <w:rFonts w:ascii="Times New Roman" w:hAnsi="Times New Roman" w:eastAsia="宋体"/>
              <w:sz w:val="21"/>
            </w:rPr>
            <w:t>260</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"_Toc138076083" </w:instrText>
          </w:r>
          <w:r>
            <w:rPr>
              <w:rFonts w:ascii="Times New Roman" w:hAnsi="Times New Roman" w:eastAsia="宋体"/>
              <w:sz w:val="21"/>
            </w:rPr>
            <w:fldChar w:fldCharType="separate"/>
          </w:r>
          <w:r>
            <w:rPr>
              <w:rStyle w:val="27"/>
              <w:rFonts w:hint="eastAsia" w:ascii="Times New Roman" w:hAnsi="Times New Roman" w:eastAsia="宋体"/>
              <w:sz w:val="21"/>
            </w:rPr>
            <w:t>盆景学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_Toc138076083 \h </w:instrText>
          </w:r>
          <w:r>
            <w:rPr>
              <w:rFonts w:ascii="Times New Roman" w:hAnsi="Times New Roman" w:eastAsia="宋体"/>
              <w:sz w:val="21"/>
            </w:rPr>
            <w:fldChar w:fldCharType="separate"/>
          </w:r>
          <w:r>
            <w:rPr>
              <w:rFonts w:ascii="Times New Roman" w:hAnsi="Times New Roman" w:eastAsia="宋体"/>
              <w:sz w:val="21"/>
            </w:rPr>
            <w:t>272</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"_Toc138076084" </w:instrText>
          </w:r>
          <w:r>
            <w:rPr>
              <w:rFonts w:ascii="Times New Roman" w:hAnsi="Times New Roman" w:eastAsia="宋体"/>
              <w:sz w:val="21"/>
            </w:rPr>
            <w:fldChar w:fldCharType="separate"/>
          </w:r>
          <w:r>
            <w:rPr>
              <w:rStyle w:val="27"/>
              <w:rFonts w:hint="eastAsia" w:ascii="Times New Roman" w:hAnsi="Times New Roman" w:eastAsia="宋体"/>
              <w:sz w:val="21"/>
            </w:rPr>
            <w:t>茶文化学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_Toc138076084 \h </w:instrText>
          </w:r>
          <w:r>
            <w:rPr>
              <w:rFonts w:ascii="Times New Roman" w:hAnsi="Times New Roman" w:eastAsia="宋体"/>
              <w:sz w:val="21"/>
            </w:rPr>
            <w:fldChar w:fldCharType="separate"/>
          </w:r>
          <w:r>
            <w:rPr>
              <w:rFonts w:ascii="Times New Roman" w:hAnsi="Times New Roman" w:eastAsia="宋体"/>
              <w:sz w:val="21"/>
            </w:rPr>
            <w:t>281</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"_Toc138076085" </w:instrText>
          </w:r>
          <w:r>
            <w:rPr>
              <w:rFonts w:ascii="Times New Roman" w:hAnsi="Times New Roman" w:eastAsia="宋体"/>
              <w:sz w:val="21"/>
            </w:rPr>
            <w:fldChar w:fldCharType="separate"/>
          </w:r>
          <w:r>
            <w:rPr>
              <w:rStyle w:val="27"/>
              <w:rFonts w:hint="eastAsia" w:ascii="Times New Roman" w:hAnsi="Times New Roman" w:eastAsia="宋体"/>
              <w:sz w:val="21"/>
            </w:rPr>
            <w:t>园艺植物组织培养</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_Toc138076085 \h </w:instrText>
          </w:r>
          <w:r>
            <w:rPr>
              <w:rFonts w:ascii="Times New Roman" w:hAnsi="Times New Roman" w:eastAsia="宋体"/>
              <w:sz w:val="21"/>
            </w:rPr>
            <w:fldChar w:fldCharType="separate"/>
          </w:r>
          <w:r>
            <w:rPr>
              <w:rFonts w:ascii="Times New Roman" w:hAnsi="Times New Roman" w:eastAsia="宋体"/>
              <w:sz w:val="21"/>
            </w:rPr>
            <w:t>287</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"_Toc138076086" </w:instrText>
          </w:r>
          <w:r>
            <w:rPr>
              <w:rFonts w:ascii="Times New Roman" w:hAnsi="Times New Roman" w:eastAsia="宋体"/>
              <w:sz w:val="21"/>
            </w:rPr>
            <w:fldChar w:fldCharType="separate"/>
          </w:r>
          <w:r>
            <w:rPr>
              <w:rStyle w:val="27"/>
              <w:rFonts w:hint="eastAsia" w:ascii="Times New Roman" w:hAnsi="Times New Roman" w:eastAsia="宋体"/>
              <w:sz w:val="21"/>
            </w:rPr>
            <w:t>无土栽培学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_Toc138076086 \h </w:instrText>
          </w:r>
          <w:r>
            <w:rPr>
              <w:rFonts w:ascii="Times New Roman" w:hAnsi="Times New Roman" w:eastAsia="宋体"/>
              <w:sz w:val="21"/>
            </w:rPr>
            <w:fldChar w:fldCharType="separate"/>
          </w:r>
          <w:r>
            <w:rPr>
              <w:rFonts w:ascii="Times New Roman" w:hAnsi="Times New Roman" w:eastAsia="宋体"/>
              <w:sz w:val="21"/>
            </w:rPr>
            <w:t>301</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"_Toc138076087" </w:instrText>
          </w:r>
          <w:r>
            <w:rPr>
              <w:rFonts w:ascii="Times New Roman" w:hAnsi="Times New Roman" w:eastAsia="宋体"/>
              <w:sz w:val="21"/>
            </w:rPr>
            <w:fldChar w:fldCharType="separate"/>
          </w:r>
          <w:r>
            <w:rPr>
              <w:rStyle w:val="27"/>
              <w:rFonts w:hint="eastAsia" w:ascii="Times New Roman" w:hAnsi="Times New Roman" w:eastAsia="宋体"/>
              <w:sz w:val="21"/>
            </w:rPr>
            <w:t>园艺专业外语</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_Toc138076087 \h </w:instrText>
          </w:r>
          <w:r>
            <w:rPr>
              <w:rFonts w:ascii="Times New Roman" w:hAnsi="Times New Roman" w:eastAsia="宋体"/>
              <w:sz w:val="21"/>
            </w:rPr>
            <w:fldChar w:fldCharType="separate"/>
          </w:r>
          <w:r>
            <w:rPr>
              <w:rFonts w:ascii="Times New Roman" w:hAnsi="Times New Roman" w:eastAsia="宋体"/>
              <w:sz w:val="21"/>
            </w:rPr>
            <w:t>312</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"_Toc138076088" </w:instrText>
          </w:r>
          <w:r>
            <w:rPr>
              <w:rFonts w:ascii="Times New Roman" w:hAnsi="Times New Roman" w:eastAsia="宋体"/>
              <w:sz w:val="21"/>
            </w:rPr>
            <w:fldChar w:fldCharType="separate"/>
          </w:r>
          <w:r>
            <w:rPr>
              <w:rStyle w:val="27"/>
              <w:rFonts w:hint="eastAsia" w:ascii="Times New Roman" w:hAnsi="Times New Roman" w:eastAsia="宋体"/>
              <w:sz w:val="21"/>
            </w:rPr>
            <w:t>园艺植物种子学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_Toc138076088 \h </w:instrText>
          </w:r>
          <w:r>
            <w:rPr>
              <w:rFonts w:ascii="Times New Roman" w:hAnsi="Times New Roman" w:eastAsia="宋体"/>
              <w:sz w:val="21"/>
            </w:rPr>
            <w:fldChar w:fldCharType="separate"/>
          </w:r>
          <w:r>
            <w:rPr>
              <w:rFonts w:ascii="Times New Roman" w:hAnsi="Times New Roman" w:eastAsia="宋体"/>
              <w:sz w:val="21"/>
            </w:rPr>
            <w:t>319</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"_Toc138076089" </w:instrText>
          </w:r>
          <w:r>
            <w:rPr>
              <w:rFonts w:ascii="Times New Roman" w:hAnsi="Times New Roman" w:eastAsia="宋体"/>
              <w:sz w:val="21"/>
            </w:rPr>
            <w:fldChar w:fldCharType="separate"/>
          </w:r>
          <w:r>
            <w:rPr>
              <w:rStyle w:val="27"/>
              <w:rFonts w:hint="eastAsia" w:ascii="Times New Roman" w:hAnsi="Times New Roman" w:eastAsia="宋体"/>
              <w:sz w:val="21"/>
            </w:rPr>
            <w:t>生物信息学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_Toc138076089 \h </w:instrText>
          </w:r>
          <w:r>
            <w:rPr>
              <w:rFonts w:ascii="Times New Roman" w:hAnsi="Times New Roman" w:eastAsia="宋体"/>
              <w:sz w:val="21"/>
            </w:rPr>
            <w:fldChar w:fldCharType="separate"/>
          </w:r>
          <w:r>
            <w:rPr>
              <w:rFonts w:ascii="Times New Roman" w:hAnsi="Times New Roman" w:eastAsia="宋体"/>
              <w:sz w:val="21"/>
            </w:rPr>
            <w:t>325</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"_Toc138076090" </w:instrText>
          </w:r>
          <w:r>
            <w:rPr>
              <w:rFonts w:ascii="Times New Roman" w:hAnsi="Times New Roman" w:eastAsia="宋体"/>
              <w:sz w:val="21"/>
            </w:rPr>
            <w:fldChar w:fldCharType="separate"/>
          </w:r>
          <w:r>
            <w:rPr>
              <w:rStyle w:val="27"/>
              <w:rFonts w:hint="eastAsia" w:ascii="Times New Roman" w:hAnsi="Times New Roman" w:eastAsia="宋体"/>
              <w:sz w:val="21"/>
            </w:rPr>
            <w:t>植物生长调节剂与利用</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_Toc138076090 \h </w:instrText>
          </w:r>
          <w:r>
            <w:rPr>
              <w:rFonts w:ascii="Times New Roman" w:hAnsi="Times New Roman" w:eastAsia="宋体"/>
              <w:sz w:val="21"/>
            </w:rPr>
            <w:fldChar w:fldCharType="separate"/>
          </w:r>
          <w:r>
            <w:rPr>
              <w:rFonts w:ascii="Times New Roman" w:hAnsi="Times New Roman" w:eastAsia="宋体"/>
              <w:sz w:val="21"/>
            </w:rPr>
            <w:t>337</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"_Toc138076091" </w:instrText>
          </w:r>
          <w:r>
            <w:rPr>
              <w:rFonts w:ascii="Times New Roman" w:hAnsi="Times New Roman" w:eastAsia="宋体"/>
              <w:sz w:val="21"/>
            </w:rPr>
            <w:fldChar w:fldCharType="separate"/>
          </w:r>
          <w:r>
            <w:rPr>
              <w:rStyle w:val="27"/>
              <w:rFonts w:hint="eastAsia" w:ascii="Times New Roman" w:hAnsi="Times New Roman" w:eastAsia="宋体"/>
              <w:sz w:val="21"/>
            </w:rPr>
            <w:t>文献检索与科技论文写作</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_Toc138076091 \h </w:instrText>
          </w:r>
          <w:r>
            <w:rPr>
              <w:rFonts w:ascii="Times New Roman" w:hAnsi="Times New Roman" w:eastAsia="宋体"/>
              <w:sz w:val="21"/>
            </w:rPr>
            <w:fldChar w:fldCharType="separate"/>
          </w:r>
          <w:r>
            <w:rPr>
              <w:rFonts w:ascii="Times New Roman" w:hAnsi="Times New Roman" w:eastAsia="宋体"/>
              <w:sz w:val="21"/>
            </w:rPr>
            <w:t>346</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"_Toc138076092" </w:instrText>
          </w:r>
          <w:r>
            <w:rPr>
              <w:rFonts w:ascii="Times New Roman" w:hAnsi="Times New Roman" w:eastAsia="宋体"/>
              <w:sz w:val="21"/>
            </w:rPr>
            <w:fldChar w:fldCharType="separate"/>
          </w:r>
          <w:r>
            <w:rPr>
              <w:rStyle w:val="27"/>
              <w:rFonts w:hint="eastAsia" w:ascii="Times New Roman" w:hAnsi="Times New Roman" w:eastAsia="宋体"/>
              <w:sz w:val="21"/>
            </w:rPr>
            <w:t>园艺产品营养学</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_Toc138076092 \h </w:instrText>
          </w:r>
          <w:r>
            <w:rPr>
              <w:rFonts w:ascii="Times New Roman" w:hAnsi="Times New Roman" w:eastAsia="宋体"/>
              <w:sz w:val="21"/>
            </w:rPr>
            <w:fldChar w:fldCharType="separate"/>
          </w:r>
          <w:r>
            <w:rPr>
              <w:rFonts w:ascii="Times New Roman" w:hAnsi="Times New Roman" w:eastAsia="宋体"/>
              <w:sz w:val="21"/>
            </w:rPr>
            <w:t>353</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ascii="Times New Roman" w:hAnsi="Times New Roman" w:eastAsia="宋体"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"_Toc138076093" </w:instrText>
          </w:r>
          <w:r>
            <w:rPr>
              <w:rFonts w:ascii="Times New Roman" w:hAnsi="Times New Roman" w:eastAsia="宋体"/>
              <w:sz w:val="21"/>
            </w:rPr>
            <w:fldChar w:fldCharType="separate"/>
          </w:r>
          <w:r>
            <w:rPr>
              <w:rFonts w:hint="eastAsia" w:ascii="Times New Roman" w:hAnsi="Times New Roman" w:eastAsia="宋体"/>
              <w:sz w:val="21"/>
            </w:rPr>
            <w:t>生物育种</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_Toc138076093 \h </w:instrText>
          </w:r>
          <w:r>
            <w:rPr>
              <w:rFonts w:ascii="Times New Roman" w:hAnsi="Times New Roman" w:eastAsia="宋体"/>
              <w:sz w:val="21"/>
            </w:rPr>
            <w:fldChar w:fldCharType="separate"/>
          </w:r>
          <w:r>
            <w:rPr>
              <w:rFonts w:ascii="Times New Roman" w:hAnsi="Times New Roman" w:eastAsia="宋体"/>
              <w:sz w:val="21"/>
            </w:rPr>
            <w:t>364</w:t>
          </w:r>
          <w:r>
            <w:rPr>
              <w:rFonts w:ascii="Times New Roman" w:hAnsi="Times New Roman" w:eastAsia="宋体"/>
              <w:sz w:val="21"/>
            </w:rPr>
            <w:fldChar w:fldCharType="end"/>
          </w:r>
          <w:r>
            <w:rPr>
              <w:rFonts w:ascii="Times New Roman" w:hAnsi="Times New Roman" w:eastAsia="宋体"/>
              <w:sz w:val="21"/>
            </w:rPr>
            <w:fldChar w:fldCharType="end"/>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eastAsia="Times New Roman" w:asciiTheme="minorHAnsi" w:hAnsiTheme="minorHAnsi"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"_Toc138076094" </w:instrText>
          </w:r>
          <w:r>
            <w:rPr>
              <w:rFonts w:ascii="Times New Roman" w:hAnsi="Times New Roman" w:eastAsia="宋体"/>
              <w:sz w:val="21"/>
            </w:rPr>
            <w:fldChar w:fldCharType="separate"/>
          </w:r>
          <w:r>
            <w:rPr>
              <w:rStyle w:val="27"/>
              <w:rFonts w:hint="eastAsia" w:ascii="Times New Roman" w:hAnsi="Times New Roman" w:eastAsia="宋体"/>
              <w:kern w:val="36"/>
              <w:sz w:val="21"/>
            </w:rPr>
            <w:t>农业信息技术</w:t>
          </w:r>
          <w:r>
            <w:rPr>
              <w:rFonts w:ascii="Times New Roman" w:hAnsi="Times New Roman" w:eastAsia="宋体"/>
              <w:sz w:val="21"/>
            </w:rPr>
            <w:tab/>
          </w:r>
          <w:r>
            <w:rPr>
              <w:rFonts w:ascii="Times New Roman" w:hAnsi="Times New Roman" w:eastAsia="宋体"/>
              <w:sz w:val="21"/>
            </w:rPr>
            <w:fldChar w:fldCharType="begin"/>
          </w:r>
          <w:r>
            <w:rPr>
              <w:rFonts w:ascii="Times New Roman" w:hAnsi="Times New Roman" w:eastAsia="宋体"/>
              <w:sz w:val="21"/>
            </w:rPr>
            <w:instrText xml:space="preserve"> PAGEREF _Toc138076094 \h </w:instrText>
          </w:r>
          <w:r>
            <w:rPr>
              <w:rFonts w:ascii="Times New Roman" w:hAnsi="Times New Roman" w:eastAsia="宋体"/>
              <w:sz w:val="21"/>
            </w:rPr>
            <w:fldChar w:fldCharType="separate"/>
          </w:r>
          <w:r>
            <w:rPr>
              <w:rFonts w:ascii="Times New Roman" w:hAnsi="Times New Roman" w:eastAsia="宋体"/>
              <w:sz w:val="21"/>
            </w:rPr>
            <w:t>3</w:t>
          </w:r>
          <w:r>
            <w:rPr>
              <w:rFonts w:hint="eastAsia"/>
              <w:sz w:val="21"/>
              <w:lang w:val="en-US" w:eastAsia="zh-CN"/>
            </w:rPr>
            <w:t>7</w:t>
          </w:r>
          <w:r>
            <w:rPr>
              <w:rFonts w:ascii="Times New Roman" w:hAnsi="Times New Roman" w:eastAsia="宋体"/>
              <w:sz w:val="21"/>
            </w:rPr>
            <w:fldChar w:fldCharType="end"/>
          </w:r>
          <w:r>
            <w:rPr>
              <w:rFonts w:ascii="Times New Roman" w:hAnsi="Times New Roman" w:eastAsia="宋体"/>
              <w:sz w:val="21"/>
            </w:rPr>
            <w:fldChar w:fldCharType="end"/>
          </w:r>
          <w:r>
            <w:rPr>
              <w:rFonts w:hint="eastAsia"/>
              <w:sz w:val="21"/>
              <w:lang w:val="en-US" w:eastAsia="zh-CN"/>
            </w:rPr>
            <w:t>2</w:t>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eastAsia="Times New Roman" w:asciiTheme="minorHAnsi" w:hAnsiTheme="minorHAnsi"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"_Toc138076094" </w:instrText>
          </w:r>
          <w:r>
            <w:rPr>
              <w:rFonts w:ascii="Times New Roman" w:hAnsi="Times New Roman" w:eastAsia="宋体"/>
              <w:sz w:val="21"/>
            </w:rPr>
            <w:fldChar w:fldCharType="separate"/>
          </w:r>
          <w:r>
            <w:rPr>
              <w:rFonts w:hint="eastAsia"/>
              <w:sz w:val="21"/>
              <w:lang w:val="en-US" w:eastAsia="zh-CN"/>
            </w:rPr>
            <w:t>园艺学概论（公共选修课）</w:t>
          </w:r>
          <w:r>
            <w:rPr>
              <w:rFonts w:ascii="Times New Roman" w:hAnsi="Times New Roman" w:eastAsia="宋体"/>
              <w:sz w:val="21"/>
            </w:rPr>
            <w:tab/>
          </w:r>
          <w:r>
            <w:rPr>
              <w:rFonts w:hint="eastAsia"/>
              <w:sz w:val="21"/>
              <w:lang w:val="en-US" w:eastAsia="zh-CN"/>
            </w:rPr>
            <w:t>3</w:t>
          </w:r>
          <w:r>
            <w:rPr>
              <w:rFonts w:ascii="Times New Roman" w:hAnsi="Times New Roman" w:eastAsia="宋体"/>
              <w:sz w:val="21"/>
            </w:rPr>
            <w:fldChar w:fldCharType="end"/>
          </w:r>
          <w:r>
            <w:rPr>
              <w:rFonts w:hint="eastAsia"/>
              <w:sz w:val="21"/>
              <w:lang w:val="en-US" w:eastAsia="zh-CN"/>
            </w:rPr>
            <w:t>80</w:t>
          </w:r>
        </w:p>
        <w:p>
          <w:pPr>
            <w:pStyle w:val="15"/>
            <w:keepNext w:val="0"/>
            <w:keepLines w:val="0"/>
            <w:pageBreakBefore w:val="0"/>
            <w:widowControl w:val="0"/>
            <w:numPr>
              <w:ilvl w:val="0"/>
              <w:numId w:val="1"/>
            </w:numPr>
            <w:tabs>
              <w:tab w:val="right" w:leader="dot" w:pos="8890"/>
            </w:tabs>
            <w:kinsoku/>
            <w:wordWrap/>
            <w:overflowPunct/>
            <w:topLinePunct w:val="0"/>
            <w:autoSpaceDE/>
            <w:autoSpaceDN/>
            <w:bidi w:val="0"/>
            <w:adjustRightInd/>
            <w:snapToGrid/>
            <w:spacing w:line="400" w:lineRule="exact"/>
            <w:ind w:left="17" w:leftChars="0" w:firstLine="403" w:firstLineChars="0"/>
            <w:textAlignment w:val="auto"/>
            <w:rPr>
              <w:rFonts w:eastAsia="Times New Roman" w:asciiTheme="minorHAnsi" w:hAnsiTheme="minorHAnsi" w:cstheme="minorBidi"/>
              <w:sz w:val="21"/>
              <w:szCs w:val="22"/>
            </w:rPr>
          </w:pPr>
          <w:r>
            <w:rPr>
              <w:rFonts w:ascii="Times New Roman" w:hAnsi="Times New Roman" w:eastAsia="宋体"/>
              <w:sz w:val="21"/>
            </w:rPr>
            <w:fldChar w:fldCharType="begin"/>
          </w:r>
          <w:r>
            <w:rPr>
              <w:rFonts w:ascii="Times New Roman" w:hAnsi="Times New Roman" w:eastAsia="宋体"/>
              <w:sz w:val="21"/>
            </w:rPr>
            <w:instrText xml:space="preserve"> HYPERLINK \l "_Toc138076094" </w:instrText>
          </w:r>
          <w:r>
            <w:rPr>
              <w:rFonts w:ascii="Times New Roman" w:hAnsi="Times New Roman" w:eastAsia="宋体"/>
              <w:sz w:val="21"/>
            </w:rPr>
            <w:fldChar w:fldCharType="separate"/>
          </w:r>
          <w:r>
            <w:rPr>
              <w:rStyle w:val="27"/>
              <w:rFonts w:hint="eastAsia"/>
              <w:kern w:val="36"/>
              <w:sz w:val="21"/>
              <w:lang w:val="en-US" w:eastAsia="zh-CN"/>
            </w:rPr>
            <w:t>阳台园艺</w:t>
          </w:r>
          <w:r>
            <w:rPr>
              <w:rFonts w:hint="eastAsia"/>
              <w:sz w:val="21"/>
              <w:lang w:val="en-US" w:eastAsia="zh-CN"/>
            </w:rPr>
            <w:t>（公共选修课）</w:t>
          </w:r>
          <w:r>
            <w:rPr>
              <w:rFonts w:ascii="Times New Roman" w:hAnsi="Times New Roman" w:eastAsia="宋体"/>
              <w:sz w:val="21"/>
            </w:rPr>
            <w:tab/>
          </w:r>
          <w:r>
            <w:rPr>
              <w:rFonts w:hint="eastAsia"/>
              <w:sz w:val="21"/>
              <w:lang w:val="en-US" w:eastAsia="zh-CN"/>
            </w:rPr>
            <w:t>3</w:t>
          </w:r>
          <w:r>
            <w:rPr>
              <w:rFonts w:ascii="Times New Roman" w:hAnsi="Times New Roman" w:eastAsia="宋体"/>
              <w:sz w:val="21"/>
            </w:rPr>
            <w:fldChar w:fldCharType="end"/>
          </w:r>
          <w:r>
            <w:rPr>
              <w:rFonts w:hint="eastAsia"/>
              <w:sz w:val="21"/>
              <w:lang w:val="en-US" w:eastAsia="zh-CN"/>
            </w:rPr>
            <w:t>86</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eastAsia="Times New Roman"/>
              <w:sz w:val="21"/>
            </w:rPr>
          </w:pPr>
          <w:r>
            <w:rPr>
              <w:rFonts w:eastAsia="Times New Roman"/>
              <w:b/>
              <w:bCs/>
              <w:sz w:val="21"/>
              <w:lang w:val="zh-CN"/>
            </w:rPr>
            <w:fldChar w:fldCharType="end"/>
          </w:r>
        </w:p>
      </w:sdtContent>
    </w:sdt>
    <w:sdt>
      <w:sdtPr>
        <w:rPr>
          <w:rFonts w:ascii="Times New Roman" w:hAnsi="Times New Roman" w:eastAsia="宋体" w:cs="Times New Roman"/>
          <w:b w:val="0"/>
          <w:bCs w:val="0"/>
          <w:color w:val="auto"/>
          <w:kern w:val="2"/>
          <w:sz w:val="21"/>
          <w:szCs w:val="24"/>
          <w:lang w:val="zh-CN"/>
        </w:rPr>
        <w:id w:val="-32814144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56"/>
            <w:jc w:val="center"/>
            <w:rPr>
              <w:color w:val="auto"/>
              <w:sz w:val="24"/>
              <w:szCs w:val="24"/>
            </w:rPr>
          </w:pPr>
          <w:r>
            <w:rPr>
              <w:rFonts w:hint="eastAsia"/>
              <w:color w:val="auto"/>
              <w:sz w:val="24"/>
              <w:szCs w:val="24"/>
              <w:lang w:val="zh-CN"/>
            </w:rPr>
            <w:t>第二篇 实习教学大纲</w:t>
          </w:r>
        </w:p>
        <w:p>
          <w:pPr>
            <w:pStyle w:val="15"/>
            <w:keepNext w:val="0"/>
            <w:keepLines w:val="0"/>
            <w:pageBreakBefore w:val="0"/>
            <w:widowControl w:val="0"/>
            <w:numPr>
              <w:ilvl w:val="0"/>
              <w:numId w:val="2"/>
            </w:numPr>
            <w:tabs>
              <w:tab w:val="right" w:leader="dot" w:pos="8890"/>
            </w:tabs>
            <w:kinsoku/>
            <w:wordWrap/>
            <w:overflowPunct/>
            <w:topLinePunct w:val="0"/>
            <w:autoSpaceDE/>
            <w:autoSpaceDN/>
            <w:bidi w:val="0"/>
            <w:adjustRightInd/>
            <w:snapToGrid/>
            <w:spacing w:line="400" w:lineRule="exact"/>
            <w:ind w:left="0" w:leftChars="0" w:firstLine="400" w:firstLineChars="0"/>
            <w:textAlignment w:val="auto"/>
          </w:pPr>
          <w:r>
            <w:fldChar w:fldCharType="begin"/>
          </w:r>
          <w:r>
            <w:instrText xml:space="preserve"> TOC \o "1-3" \h \z \u </w:instrText>
          </w:r>
          <w:r>
            <w:fldChar w:fldCharType="separate"/>
          </w:r>
          <w:r>
            <w:fldChar w:fldCharType="begin"/>
          </w:r>
          <w:r>
            <w:instrText xml:space="preserve"> HYPERLINK \l "_Toc138075641" </w:instrText>
          </w:r>
          <w:r>
            <w:fldChar w:fldCharType="separate"/>
          </w:r>
          <w:r>
            <w:rPr>
              <w:rStyle w:val="27"/>
              <w:rFonts w:hint="eastAsia"/>
            </w:rPr>
            <w:t>园艺植物育种学实习</w:t>
          </w:r>
          <w:r>
            <w:tab/>
          </w:r>
          <w:r>
            <w:fldChar w:fldCharType="begin"/>
          </w:r>
          <w:r>
            <w:instrText xml:space="preserve"> PAGEREF _Toc138075641 \h </w:instrText>
          </w:r>
          <w:r>
            <w:fldChar w:fldCharType="separate"/>
          </w:r>
          <w:r>
            <w:t>391</w:t>
          </w:r>
          <w:r>
            <w:fldChar w:fldCharType="end"/>
          </w:r>
          <w:r>
            <w:fldChar w:fldCharType="end"/>
          </w:r>
        </w:p>
        <w:p>
          <w:pPr>
            <w:pStyle w:val="15"/>
            <w:keepNext w:val="0"/>
            <w:keepLines w:val="0"/>
            <w:pageBreakBefore w:val="0"/>
            <w:widowControl w:val="0"/>
            <w:numPr>
              <w:ilvl w:val="0"/>
              <w:numId w:val="2"/>
            </w:numPr>
            <w:tabs>
              <w:tab w:val="right" w:leader="dot" w:pos="8890"/>
            </w:tabs>
            <w:kinsoku/>
            <w:wordWrap/>
            <w:overflowPunct/>
            <w:topLinePunct w:val="0"/>
            <w:autoSpaceDE/>
            <w:autoSpaceDN/>
            <w:bidi w:val="0"/>
            <w:adjustRightInd/>
            <w:snapToGrid/>
            <w:spacing w:line="400" w:lineRule="exact"/>
            <w:ind w:left="0" w:leftChars="0" w:firstLine="400" w:firstLineChars="0"/>
            <w:textAlignment w:val="auto"/>
          </w:pPr>
          <w:r>
            <w:fldChar w:fldCharType="begin"/>
          </w:r>
          <w:r>
            <w:instrText xml:space="preserve"> HYPERLINK \l "_Toc138075642" </w:instrText>
          </w:r>
          <w:r>
            <w:fldChar w:fldCharType="separate"/>
          </w:r>
          <w:r>
            <w:rPr>
              <w:rStyle w:val="27"/>
              <w:rFonts w:hint="eastAsia"/>
            </w:rPr>
            <w:t>蔬菜栽培学实习</w:t>
          </w:r>
          <w:r>
            <w:tab/>
          </w:r>
          <w:r>
            <w:fldChar w:fldCharType="begin"/>
          </w:r>
          <w:r>
            <w:instrText xml:space="preserve"> PAGEREF _Toc138075642 \h </w:instrText>
          </w:r>
          <w:r>
            <w:fldChar w:fldCharType="separate"/>
          </w:r>
          <w:r>
            <w:t>393</w:t>
          </w:r>
          <w:r>
            <w:fldChar w:fldCharType="end"/>
          </w:r>
          <w:r>
            <w:fldChar w:fldCharType="end"/>
          </w:r>
        </w:p>
        <w:p>
          <w:pPr>
            <w:pStyle w:val="15"/>
            <w:keepNext w:val="0"/>
            <w:keepLines w:val="0"/>
            <w:pageBreakBefore w:val="0"/>
            <w:widowControl w:val="0"/>
            <w:numPr>
              <w:ilvl w:val="0"/>
              <w:numId w:val="2"/>
            </w:numPr>
            <w:tabs>
              <w:tab w:val="right" w:leader="dot" w:pos="8890"/>
            </w:tabs>
            <w:kinsoku/>
            <w:wordWrap/>
            <w:overflowPunct/>
            <w:topLinePunct w:val="0"/>
            <w:autoSpaceDE/>
            <w:autoSpaceDN/>
            <w:bidi w:val="0"/>
            <w:adjustRightInd/>
            <w:snapToGrid/>
            <w:spacing w:line="400" w:lineRule="exact"/>
            <w:ind w:left="0" w:leftChars="0" w:firstLine="400" w:firstLineChars="0"/>
            <w:textAlignment w:val="auto"/>
          </w:pPr>
          <w:r>
            <w:fldChar w:fldCharType="begin"/>
          </w:r>
          <w:r>
            <w:instrText xml:space="preserve"> HYPERLINK \l "_Toc138075643" </w:instrText>
          </w:r>
          <w:r>
            <w:fldChar w:fldCharType="separate"/>
          </w:r>
          <w:r>
            <w:rPr>
              <w:rStyle w:val="27"/>
              <w:rFonts w:hint="eastAsia"/>
            </w:rPr>
            <w:t>果树栽培学实习</w:t>
          </w:r>
          <w:r>
            <w:rPr>
              <w:rFonts w:hint="eastAsia" w:ascii="宋体" w:hAnsi="宋体"/>
              <w:b/>
              <w:bCs/>
              <w:sz w:val="21"/>
              <w:szCs w:val="21"/>
            </w:rPr>
            <w:t>Ⅰ</w:t>
          </w:r>
          <w:r>
            <w:tab/>
          </w:r>
          <w:r>
            <w:fldChar w:fldCharType="begin"/>
          </w:r>
          <w:r>
            <w:instrText xml:space="preserve"> PAGEREF _Toc138075643 \h </w:instrText>
          </w:r>
          <w:r>
            <w:fldChar w:fldCharType="separate"/>
          </w:r>
          <w:r>
            <w:t>395</w:t>
          </w:r>
          <w:r>
            <w:fldChar w:fldCharType="end"/>
          </w:r>
          <w:r>
            <w:fldChar w:fldCharType="end"/>
          </w:r>
        </w:p>
        <w:p>
          <w:pPr>
            <w:pStyle w:val="15"/>
            <w:keepNext w:val="0"/>
            <w:keepLines w:val="0"/>
            <w:pageBreakBefore w:val="0"/>
            <w:widowControl w:val="0"/>
            <w:numPr>
              <w:ilvl w:val="0"/>
              <w:numId w:val="2"/>
            </w:numPr>
            <w:tabs>
              <w:tab w:val="right" w:leader="dot" w:pos="8890"/>
            </w:tabs>
            <w:kinsoku/>
            <w:wordWrap/>
            <w:overflowPunct/>
            <w:topLinePunct w:val="0"/>
            <w:autoSpaceDE/>
            <w:autoSpaceDN/>
            <w:bidi w:val="0"/>
            <w:adjustRightInd/>
            <w:snapToGrid/>
            <w:spacing w:line="400" w:lineRule="exact"/>
            <w:ind w:left="0" w:leftChars="0" w:firstLine="400" w:firstLineChars="0"/>
            <w:textAlignment w:val="auto"/>
          </w:pPr>
          <w:r>
            <w:fldChar w:fldCharType="begin"/>
          </w:r>
          <w:r>
            <w:instrText xml:space="preserve"> HYPERLINK \l "_Toc138075643" </w:instrText>
          </w:r>
          <w:r>
            <w:fldChar w:fldCharType="separate"/>
          </w:r>
          <w:r>
            <w:rPr>
              <w:rStyle w:val="27"/>
              <w:rFonts w:hint="eastAsia"/>
            </w:rPr>
            <w:t>果树栽培学实习</w:t>
          </w:r>
          <w:r>
            <w:rPr>
              <w:rFonts w:hint="eastAsia" w:asciiTheme="majorHAnsi" w:hAnsiTheme="majorHAnsi" w:eastAsiaTheme="majorEastAsia" w:cstheme="majorBidi"/>
              <w:b/>
              <w:bCs/>
              <w:kern w:val="2"/>
              <w:sz w:val="21"/>
              <w:szCs w:val="21"/>
              <w:lang w:val="en-US" w:eastAsia="zh-CN" w:bidi="ar-SA"/>
            </w:rPr>
            <w:t>Ⅱ</w:t>
          </w:r>
          <w:r>
            <w:tab/>
          </w:r>
          <w:r>
            <w:fldChar w:fldCharType="begin"/>
          </w:r>
          <w:r>
            <w:instrText xml:space="preserve"> PAGEREF _Toc138075643 \h </w:instrText>
          </w:r>
          <w:r>
            <w:fldChar w:fldCharType="separate"/>
          </w:r>
          <w:r>
            <w:t>395</w:t>
          </w:r>
          <w:r>
            <w:fldChar w:fldCharType="end"/>
          </w:r>
          <w:r>
            <w:fldChar w:fldCharType="end"/>
          </w:r>
        </w:p>
        <w:p>
          <w:pPr>
            <w:pStyle w:val="15"/>
            <w:keepNext w:val="0"/>
            <w:keepLines w:val="0"/>
            <w:pageBreakBefore w:val="0"/>
            <w:widowControl w:val="0"/>
            <w:numPr>
              <w:ilvl w:val="0"/>
              <w:numId w:val="2"/>
            </w:numPr>
            <w:tabs>
              <w:tab w:val="right" w:leader="dot" w:pos="8890"/>
            </w:tabs>
            <w:kinsoku/>
            <w:wordWrap/>
            <w:overflowPunct/>
            <w:topLinePunct w:val="0"/>
            <w:autoSpaceDE/>
            <w:autoSpaceDN/>
            <w:bidi w:val="0"/>
            <w:adjustRightInd/>
            <w:snapToGrid/>
            <w:spacing w:line="400" w:lineRule="exact"/>
            <w:ind w:left="0" w:leftChars="0" w:firstLine="400" w:firstLineChars="0"/>
            <w:textAlignment w:val="auto"/>
          </w:pPr>
          <w:r>
            <w:fldChar w:fldCharType="begin"/>
          </w:r>
          <w:r>
            <w:instrText xml:space="preserve"> HYPERLINK \l "_Toc138075644" </w:instrText>
          </w:r>
          <w:r>
            <w:fldChar w:fldCharType="separate"/>
          </w:r>
          <w:r>
            <w:rPr>
              <w:rStyle w:val="27"/>
              <w:rFonts w:hint="eastAsia"/>
            </w:rPr>
            <w:t>花卉栽培学实习</w:t>
          </w:r>
          <w:r>
            <w:tab/>
          </w:r>
          <w:r>
            <w:fldChar w:fldCharType="begin"/>
          </w:r>
          <w:r>
            <w:instrText xml:space="preserve"> PAGEREF _Toc138075644 \h </w:instrText>
          </w:r>
          <w:r>
            <w:fldChar w:fldCharType="separate"/>
          </w:r>
          <w:r>
            <w:t>399</w:t>
          </w:r>
          <w:r>
            <w:fldChar w:fldCharType="end"/>
          </w:r>
          <w:r>
            <w:fldChar w:fldCharType="end"/>
          </w:r>
        </w:p>
        <w:p>
          <w:pPr>
            <w:pStyle w:val="15"/>
            <w:keepNext w:val="0"/>
            <w:keepLines w:val="0"/>
            <w:pageBreakBefore w:val="0"/>
            <w:widowControl w:val="0"/>
            <w:numPr>
              <w:ilvl w:val="0"/>
              <w:numId w:val="2"/>
            </w:numPr>
            <w:tabs>
              <w:tab w:val="right" w:leader="dot" w:pos="8890"/>
            </w:tabs>
            <w:kinsoku/>
            <w:wordWrap/>
            <w:overflowPunct/>
            <w:topLinePunct w:val="0"/>
            <w:autoSpaceDE/>
            <w:autoSpaceDN/>
            <w:bidi w:val="0"/>
            <w:adjustRightInd/>
            <w:snapToGrid/>
            <w:spacing w:line="400" w:lineRule="exact"/>
            <w:ind w:left="0" w:leftChars="0" w:firstLine="400" w:firstLineChars="0"/>
            <w:textAlignment w:val="auto"/>
          </w:pPr>
          <w:r>
            <w:fldChar w:fldCharType="begin"/>
          </w:r>
          <w:r>
            <w:instrText xml:space="preserve"> HYPERLINK \l "_Toc138075645" </w:instrText>
          </w:r>
          <w:r>
            <w:fldChar w:fldCharType="separate"/>
          </w:r>
          <w:r>
            <w:rPr>
              <w:rStyle w:val="27"/>
              <w:rFonts w:hint="eastAsia"/>
            </w:rPr>
            <w:t>设施园艺学实习</w:t>
          </w:r>
          <w:r>
            <w:tab/>
          </w:r>
          <w:r>
            <w:fldChar w:fldCharType="begin"/>
          </w:r>
          <w:r>
            <w:instrText xml:space="preserve"> PAGEREF _Toc138075645 \h </w:instrText>
          </w:r>
          <w:r>
            <w:fldChar w:fldCharType="separate"/>
          </w:r>
          <w:r>
            <w:t>401</w:t>
          </w:r>
          <w:r>
            <w:fldChar w:fldCharType="end"/>
          </w:r>
          <w:r>
            <w:fldChar w:fldCharType="end"/>
          </w:r>
        </w:p>
        <w:p>
          <w:pPr>
            <w:pStyle w:val="15"/>
            <w:keepNext w:val="0"/>
            <w:keepLines w:val="0"/>
            <w:pageBreakBefore w:val="0"/>
            <w:widowControl w:val="0"/>
            <w:numPr>
              <w:ilvl w:val="0"/>
              <w:numId w:val="2"/>
            </w:numPr>
            <w:tabs>
              <w:tab w:val="right" w:leader="dot" w:pos="8890"/>
            </w:tabs>
            <w:kinsoku/>
            <w:wordWrap/>
            <w:overflowPunct/>
            <w:topLinePunct w:val="0"/>
            <w:autoSpaceDE/>
            <w:autoSpaceDN/>
            <w:bidi w:val="0"/>
            <w:adjustRightInd/>
            <w:snapToGrid/>
            <w:spacing w:line="400" w:lineRule="exact"/>
            <w:ind w:left="0" w:leftChars="0" w:firstLine="400" w:firstLineChars="0"/>
            <w:textAlignment w:val="auto"/>
          </w:pPr>
          <w:r>
            <w:fldChar w:fldCharType="begin"/>
          </w:r>
          <w:r>
            <w:instrText xml:space="preserve"> HYPERLINK \l "_Toc138075646" </w:instrText>
          </w:r>
          <w:r>
            <w:fldChar w:fldCharType="separate"/>
          </w:r>
          <w:r>
            <w:rPr>
              <w:rStyle w:val="27"/>
              <w:rFonts w:hint="eastAsia"/>
            </w:rPr>
            <w:t>毕业（生产）实习</w:t>
          </w:r>
          <w:r>
            <w:tab/>
          </w:r>
          <w:r>
            <w:fldChar w:fldCharType="begin"/>
          </w:r>
          <w:r>
            <w:instrText xml:space="preserve"> PAGEREF _Toc138075646 \h </w:instrText>
          </w:r>
          <w:r>
            <w:fldChar w:fldCharType="separate"/>
          </w:r>
          <w:r>
            <w:t>402</w:t>
          </w:r>
          <w:r>
            <w:fldChar w:fldCharType="end"/>
          </w:r>
          <w:r>
            <w:fldChar w:fldCharType="end"/>
          </w:r>
        </w:p>
        <w:p>
          <w:pPr>
            <w:keepNext w:val="0"/>
            <w:keepLines w:val="0"/>
            <w:pageBreakBefore w:val="0"/>
            <w:widowControl w:val="0"/>
            <w:kinsoku/>
            <w:wordWrap/>
            <w:overflowPunct/>
            <w:topLinePunct w:val="0"/>
            <w:autoSpaceDE/>
            <w:autoSpaceDN/>
            <w:bidi w:val="0"/>
            <w:adjustRightInd/>
            <w:snapToGrid/>
            <w:spacing w:line="400" w:lineRule="exact"/>
            <w:textAlignment w:val="auto"/>
            <w:rPr>
              <w:b/>
              <w:bCs/>
              <w:lang w:val="zh-CN"/>
            </w:rPr>
          </w:pPr>
          <w:r>
            <w:rPr>
              <w:b/>
              <w:bCs/>
              <w:lang w:val="zh-CN"/>
            </w:rPr>
            <w:fldChar w:fldCharType="end"/>
          </w:r>
        </w:p>
      </w:sdtContent>
    </w:sdt>
    <w:sdt>
      <w:sdtPr>
        <w:rPr>
          <w:rFonts w:ascii="Times New Roman" w:hAnsi="Times New Roman" w:eastAsia="宋体" w:cs="Times New Roman"/>
          <w:b w:val="0"/>
          <w:bCs w:val="0"/>
          <w:color w:val="auto"/>
          <w:kern w:val="2"/>
          <w:sz w:val="21"/>
          <w:szCs w:val="24"/>
          <w:lang w:val="zh-CN"/>
        </w:rPr>
        <w:id w:val="1150939188"/>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56"/>
            <w:jc w:val="center"/>
            <w:rPr>
              <w:color w:val="auto"/>
              <w:sz w:val="24"/>
            </w:rPr>
          </w:pPr>
          <w:r>
            <w:rPr>
              <w:rFonts w:hint="eastAsia"/>
              <w:color w:val="auto"/>
              <w:sz w:val="24"/>
              <w:lang w:val="zh-CN"/>
            </w:rPr>
            <w:t>第三篇 考核大纲</w:t>
          </w:r>
        </w:p>
        <w:p>
          <w:pPr>
            <w:pStyle w:val="15"/>
            <w:tabs>
              <w:tab w:val="right" w:leader="dot" w:pos="8900"/>
            </w:tabs>
          </w:pPr>
          <w:r>
            <w:fldChar w:fldCharType="begin"/>
          </w:r>
          <w:r>
            <w:instrText xml:space="preserve"> TOC \o "1-3" \h \z \u </w:instrText>
          </w:r>
          <w:r>
            <w:fldChar w:fldCharType="separate"/>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"_Toc21267" </w:instrText>
          </w:r>
          <w:r>
            <w:fldChar w:fldCharType="separate"/>
          </w:r>
          <w:r>
            <w:rPr>
              <w:rFonts w:hint="eastAsia"/>
            </w:rPr>
            <w:t>现代园艺导论</w:t>
          </w:r>
          <w:r>
            <w:rPr>
              <w:rFonts w:hint="eastAsia"/>
              <w:lang w:val="en-US" w:eastAsia="zh-CN"/>
            </w:rPr>
            <w:t>考核大纲</w:t>
          </w:r>
          <w:r>
            <w:tab/>
          </w:r>
          <w:r>
            <w:fldChar w:fldCharType="begin"/>
          </w:r>
          <w:r>
            <w:instrText xml:space="preserve"> PAGEREF _Toc21267 \h </w:instrText>
          </w:r>
          <w:r>
            <w:fldChar w:fldCharType="separate"/>
          </w:r>
          <w:r>
            <w:t>405</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"_Toc2092" </w:instrText>
          </w:r>
          <w:r>
            <w:fldChar w:fldCharType="separate"/>
          </w:r>
          <w:r>
            <w:rPr>
              <w:rFonts w:hint="eastAsia"/>
            </w:rPr>
            <w:t>分子生物学基础</w:t>
          </w:r>
          <w:r>
            <w:rPr>
              <w:rFonts w:hint="eastAsia"/>
              <w:lang w:val="en-US" w:eastAsia="zh-CN"/>
            </w:rPr>
            <w:t>考核大纲</w:t>
          </w:r>
          <w:r>
            <w:tab/>
          </w:r>
          <w:r>
            <w:fldChar w:fldCharType="begin"/>
          </w:r>
          <w:r>
            <w:instrText xml:space="preserve"> PAGEREF _Toc2092 \h </w:instrText>
          </w:r>
          <w:r>
            <w:fldChar w:fldCharType="separate"/>
          </w:r>
          <w:r>
            <w:t>410</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"_Toc2092" </w:instrText>
          </w:r>
          <w:r>
            <w:fldChar w:fldCharType="separate"/>
          </w:r>
          <w:r>
            <w:rPr>
              <w:rFonts w:hint="eastAsia"/>
              <w:lang w:val="en-US" w:eastAsia="zh-CN"/>
            </w:rPr>
            <w:t>园艺植物遗传学考核大纲</w:t>
          </w:r>
          <w:r>
            <w:tab/>
          </w:r>
          <w:r>
            <w:fldChar w:fldCharType="begin"/>
          </w:r>
          <w:r>
            <w:instrText xml:space="preserve"> PAGEREF _Toc2092 \h </w:instrText>
          </w:r>
          <w:r>
            <w:fldChar w:fldCharType="separate"/>
          </w:r>
          <w:r>
            <w:t>410</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"_Toc18527" </w:instrText>
          </w:r>
          <w:r>
            <w:fldChar w:fldCharType="separate"/>
          </w:r>
          <w:r>
            <w:rPr>
              <w:rFonts w:hint="eastAsia"/>
            </w:rPr>
            <w:t>园艺植物育种学</w:t>
          </w:r>
          <w:r>
            <w:rPr>
              <w:rFonts w:hint="eastAsia"/>
              <w:lang w:val="en-US" w:eastAsia="zh-CN"/>
            </w:rPr>
            <w:t>考核大纲</w:t>
          </w:r>
          <w:r>
            <w:tab/>
          </w:r>
          <w:r>
            <w:fldChar w:fldCharType="begin"/>
          </w:r>
          <w:r>
            <w:instrText xml:space="preserve"> PAGEREF _Toc18527 \h </w:instrText>
          </w:r>
          <w:r>
            <w:fldChar w:fldCharType="separate"/>
          </w:r>
          <w:r>
            <w:t>424</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"_Toc26985" </w:instrText>
          </w:r>
          <w:r>
            <w:fldChar w:fldCharType="separate"/>
          </w:r>
          <w:r>
            <w:rPr>
              <w:rFonts w:hint="eastAsia"/>
            </w:rPr>
            <w:t>蔬菜栽培学</w:t>
          </w:r>
          <w:r>
            <w:rPr>
              <w:rFonts w:hint="eastAsia"/>
              <w:lang w:val="en-US" w:eastAsia="zh-CN"/>
            </w:rPr>
            <w:t>考核大纲</w:t>
          </w:r>
          <w:r>
            <w:tab/>
          </w:r>
          <w:r>
            <w:fldChar w:fldCharType="begin"/>
          </w:r>
          <w:r>
            <w:instrText xml:space="preserve"> PAGEREF _Toc26985 \h </w:instrText>
          </w:r>
          <w:r>
            <w:fldChar w:fldCharType="separate"/>
          </w:r>
          <w:r>
            <w:t>432</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"_Toc14166" </w:instrText>
          </w:r>
          <w:r>
            <w:fldChar w:fldCharType="separate"/>
          </w:r>
          <w:r>
            <w:rPr>
              <w:rFonts w:hint="eastAsia"/>
            </w:rPr>
            <w:t>果树栽培学</w:t>
          </w:r>
          <w:r>
            <w:rPr>
              <w:rFonts w:hint="eastAsia"/>
              <w:lang w:val="en-US" w:eastAsia="zh-CN"/>
            </w:rPr>
            <w:t>考核大纲</w:t>
          </w:r>
          <w:r>
            <w:tab/>
          </w:r>
          <w:r>
            <w:fldChar w:fldCharType="begin"/>
          </w:r>
          <w:r>
            <w:instrText xml:space="preserve"> PAGEREF _Toc14166 \h </w:instrText>
          </w:r>
          <w:r>
            <w:fldChar w:fldCharType="separate"/>
          </w:r>
          <w:r>
            <w:t>443</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"_Toc14533" </w:instrText>
          </w:r>
          <w:r>
            <w:fldChar w:fldCharType="separate"/>
          </w:r>
          <w:r>
            <w:t>试验设计与统计分析</w:t>
          </w:r>
          <w:r>
            <w:rPr>
              <w:rFonts w:hint="eastAsia"/>
              <w:lang w:val="en-US" w:eastAsia="zh-CN"/>
            </w:rPr>
            <w:t>考核大纲</w:t>
          </w:r>
          <w:r>
            <w:tab/>
          </w:r>
          <w:r>
            <w:fldChar w:fldCharType="begin"/>
          </w:r>
          <w:r>
            <w:instrText xml:space="preserve"> PAGEREF _Toc14533 \h </w:instrText>
          </w:r>
          <w:r>
            <w:fldChar w:fldCharType="separate"/>
          </w:r>
          <w:r>
            <w:t>451</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"_Toc3721" </w:instrText>
          </w:r>
          <w:r>
            <w:fldChar w:fldCharType="separate"/>
          </w:r>
          <w:r>
            <w:rPr>
              <w:rFonts w:hint="eastAsia"/>
            </w:rPr>
            <w:t>设施园艺学</w:t>
          </w:r>
          <w:r>
            <w:rPr>
              <w:rFonts w:hint="eastAsia"/>
              <w:lang w:val="en-US" w:eastAsia="zh-CN"/>
            </w:rPr>
            <w:t>考核大纲</w:t>
          </w:r>
          <w:r>
            <w:tab/>
          </w:r>
          <w:r>
            <w:fldChar w:fldCharType="begin"/>
          </w:r>
          <w:r>
            <w:instrText xml:space="preserve"> PAGEREF _Toc3721 \h </w:instrText>
          </w:r>
          <w:r>
            <w:fldChar w:fldCharType="separate"/>
          </w:r>
          <w:r>
            <w:t>458</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"_Toc3178" </w:instrText>
          </w:r>
          <w:r>
            <w:fldChar w:fldCharType="separate"/>
          </w:r>
          <w:r>
            <w:rPr>
              <w:rFonts w:hint="eastAsia"/>
            </w:rPr>
            <w:t>花卉栽培学</w:t>
          </w:r>
          <w:r>
            <w:rPr>
              <w:rFonts w:hint="eastAsia"/>
              <w:lang w:val="en-US" w:eastAsia="zh-CN"/>
            </w:rPr>
            <w:t>考核大纲</w:t>
          </w:r>
          <w:r>
            <w:tab/>
          </w:r>
          <w:r>
            <w:fldChar w:fldCharType="begin"/>
          </w:r>
          <w:r>
            <w:instrText xml:space="preserve"> PAGEREF _Toc3178 \h </w:instrText>
          </w:r>
          <w:r>
            <w:fldChar w:fldCharType="separate"/>
          </w:r>
          <w:r>
            <w:t>464</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"_Toc29057" </w:instrText>
          </w:r>
          <w:r>
            <w:fldChar w:fldCharType="separate"/>
          </w:r>
          <w:r>
            <w:rPr>
              <w:rFonts w:hint="eastAsia"/>
            </w:rPr>
            <w:t>园艺植物生物技术</w:t>
          </w:r>
          <w:r>
            <w:rPr>
              <w:rFonts w:hint="eastAsia"/>
              <w:lang w:val="en-US" w:eastAsia="zh-CN"/>
            </w:rPr>
            <w:t>考核大纲</w:t>
          </w:r>
          <w:r>
            <w:tab/>
          </w:r>
          <w:r>
            <w:fldChar w:fldCharType="begin"/>
          </w:r>
          <w:r>
            <w:instrText xml:space="preserve"> PAGEREF _Toc29057 \h </w:instrText>
          </w:r>
          <w:r>
            <w:fldChar w:fldCharType="separate"/>
          </w:r>
          <w:r>
            <w:t>474</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"_Toc1162" </w:instrText>
          </w:r>
          <w:r>
            <w:fldChar w:fldCharType="separate"/>
          </w:r>
          <w:r>
            <w:rPr>
              <w:rFonts w:hint="eastAsia"/>
            </w:rPr>
            <w:t>园艺产品采后处理学</w:t>
          </w:r>
          <w:r>
            <w:rPr>
              <w:rFonts w:hint="eastAsia"/>
              <w:lang w:val="en-US" w:eastAsia="zh-CN"/>
            </w:rPr>
            <w:t>考核大纲</w:t>
          </w:r>
          <w:r>
            <w:tab/>
          </w:r>
          <w:r>
            <w:fldChar w:fldCharType="begin"/>
          </w:r>
          <w:r>
            <w:instrText xml:space="preserve"> PAGEREF _Toc1162 \h </w:instrText>
          </w:r>
          <w:r>
            <w:fldChar w:fldCharType="separate"/>
          </w:r>
          <w:r>
            <w:t>480</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"_Toc21402" </w:instrText>
          </w:r>
          <w:r>
            <w:fldChar w:fldCharType="separate"/>
          </w:r>
          <w:r>
            <w:rPr>
              <w:rFonts w:hint="eastAsia"/>
            </w:rPr>
            <w:t>园艺产品营销学</w:t>
          </w:r>
          <w:r>
            <w:rPr>
              <w:rFonts w:hint="eastAsia"/>
              <w:lang w:val="en-US" w:eastAsia="zh-CN"/>
            </w:rPr>
            <w:t>考核大纲</w:t>
          </w:r>
          <w:r>
            <w:tab/>
          </w:r>
          <w:r>
            <w:fldChar w:fldCharType="begin"/>
          </w:r>
          <w:r>
            <w:instrText xml:space="preserve"> PAGEREF _Toc21402 \h </w:instrText>
          </w:r>
          <w:r>
            <w:fldChar w:fldCharType="separate"/>
          </w:r>
          <w:r>
            <w:t>488</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"_Toc12866" </w:instrText>
          </w:r>
          <w:r>
            <w:fldChar w:fldCharType="separate"/>
          </w:r>
          <w:r>
            <w:rPr>
              <w:rFonts w:hint="eastAsia"/>
            </w:rPr>
            <w:t>茶艺</w:t>
          </w:r>
          <w:r>
            <w:rPr>
              <w:rFonts w:hint="eastAsia"/>
              <w:lang w:val="en-US" w:eastAsia="zh-CN"/>
            </w:rPr>
            <w:t>考核大纲</w:t>
          </w:r>
          <w:r>
            <w:tab/>
          </w:r>
          <w:r>
            <w:fldChar w:fldCharType="begin"/>
          </w:r>
          <w:r>
            <w:instrText xml:space="preserve"> PAGEREF _Toc12866 \h </w:instrText>
          </w:r>
          <w:r>
            <w:fldChar w:fldCharType="separate"/>
          </w:r>
          <w:r>
            <w:t>493</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"_Toc25618" </w:instrText>
          </w:r>
          <w:r>
            <w:fldChar w:fldCharType="separate"/>
          </w:r>
          <w:r>
            <w:rPr>
              <w:rFonts w:hint="eastAsia"/>
            </w:rPr>
            <w:t>设施装备与智能化</w:t>
          </w:r>
          <w:r>
            <w:rPr>
              <w:rFonts w:hint="eastAsia"/>
              <w:lang w:val="en-US" w:eastAsia="zh-CN"/>
            </w:rPr>
            <w:t>考核大纲</w:t>
          </w:r>
          <w:r>
            <w:tab/>
          </w:r>
          <w:r>
            <w:fldChar w:fldCharType="begin"/>
          </w:r>
          <w:r>
            <w:instrText xml:space="preserve"> PAGEREF _Toc25618 \h </w:instrText>
          </w:r>
          <w:r>
            <w:fldChar w:fldCharType="separate"/>
          </w:r>
          <w:r>
            <w:t>498</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"_Toc24972" </w:instrText>
          </w:r>
          <w:r>
            <w:fldChar w:fldCharType="separate"/>
          </w:r>
          <w:r>
            <w:rPr>
              <w:rFonts w:hint="eastAsia"/>
            </w:rPr>
            <w:t>智慧园艺</w:t>
          </w:r>
          <w:r>
            <w:rPr>
              <w:rFonts w:hint="eastAsia"/>
              <w:lang w:val="en-US" w:eastAsia="zh-CN"/>
            </w:rPr>
            <w:t>考核大纲</w:t>
          </w:r>
          <w:r>
            <w:tab/>
          </w:r>
          <w:r>
            <w:fldChar w:fldCharType="begin"/>
          </w:r>
          <w:r>
            <w:instrText xml:space="preserve"> PAGEREF _Toc24972 \h </w:instrText>
          </w:r>
          <w:r>
            <w:fldChar w:fldCharType="separate"/>
          </w:r>
          <w:r>
            <w:t>506</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"_Toc4631" </w:instrText>
          </w:r>
          <w:r>
            <w:fldChar w:fldCharType="separate"/>
          </w:r>
          <w:r>
            <w:t>创意农业</w:t>
          </w:r>
          <w:r>
            <w:rPr>
              <w:rFonts w:hint="eastAsia"/>
              <w:lang w:val="en-US" w:eastAsia="zh-CN"/>
            </w:rPr>
            <w:t>考核大纲</w:t>
          </w:r>
          <w:r>
            <w:tab/>
          </w:r>
          <w:r>
            <w:fldChar w:fldCharType="begin"/>
          </w:r>
          <w:r>
            <w:instrText xml:space="preserve"> PAGEREF _Toc4631 \h </w:instrText>
          </w:r>
          <w:r>
            <w:fldChar w:fldCharType="separate"/>
          </w:r>
          <w:r>
            <w:t>510</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"_Toc10288" </w:instrText>
          </w:r>
          <w:r>
            <w:fldChar w:fldCharType="separate"/>
          </w:r>
          <w:r>
            <w:t>葡萄酒鉴赏</w:t>
          </w:r>
          <w:r>
            <w:rPr>
              <w:rFonts w:hint="eastAsia"/>
              <w:lang w:val="en-US" w:eastAsia="zh-CN"/>
            </w:rPr>
            <w:t>考核大纲</w:t>
          </w:r>
          <w:r>
            <w:tab/>
          </w:r>
          <w:r>
            <w:fldChar w:fldCharType="begin"/>
          </w:r>
          <w:r>
            <w:instrText xml:space="preserve"> PAGEREF _Toc10288 \h </w:instrText>
          </w:r>
          <w:r>
            <w:fldChar w:fldCharType="separate"/>
          </w:r>
          <w:r>
            <w:t>513</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"_Toc18330" </w:instrText>
          </w:r>
          <w:r>
            <w:fldChar w:fldCharType="separate"/>
          </w:r>
          <w:r>
            <w:rPr>
              <w:rFonts w:hint="eastAsia"/>
            </w:rPr>
            <w:t>园艺产业创业案例</w:t>
          </w:r>
          <w:r>
            <w:rPr>
              <w:rFonts w:hint="eastAsia"/>
              <w:lang w:val="en-US" w:eastAsia="zh-CN"/>
            </w:rPr>
            <w:t>考核大纲</w:t>
          </w:r>
          <w:r>
            <w:tab/>
          </w:r>
          <w:r>
            <w:fldChar w:fldCharType="begin"/>
          </w:r>
          <w:r>
            <w:instrText xml:space="preserve"> PAGEREF _Toc18330 \h </w:instrText>
          </w:r>
          <w:r>
            <w:fldChar w:fldCharType="separate"/>
          </w:r>
          <w:r>
            <w:t>517</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"_Toc29785" </w:instrText>
          </w:r>
          <w:r>
            <w:fldChar w:fldCharType="separate"/>
          </w:r>
          <w:r>
            <w:t>农业园区</w:t>
          </w:r>
          <w:r>
            <w:rPr>
              <w:rFonts w:hint="eastAsia"/>
            </w:rPr>
            <w:t>设计</w:t>
          </w:r>
          <w:r>
            <w:t>与管理</w:t>
          </w:r>
          <w:r>
            <w:rPr>
              <w:rFonts w:hint="eastAsia"/>
              <w:lang w:val="en-US" w:eastAsia="zh-CN"/>
            </w:rPr>
            <w:t>考核大纲</w:t>
          </w:r>
          <w:r>
            <w:tab/>
          </w:r>
          <w:r>
            <w:fldChar w:fldCharType="begin"/>
          </w:r>
          <w:r>
            <w:instrText xml:space="preserve"> PAGEREF _Toc29785 \h </w:instrText>
          </w:r>
          <w:r>
            <w:fldChar w:fldCharType="separate"/>
          </w:r>
          <w:r>
            <w:t>521</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"_Toc6439" </w:instrText>
          </w:r>
          <w:r>
            <w:fldChar w:fldCharType="separate"/>
          </w:r>
          <w:r>
            <w:rPr>
              <w:rFonts w:hint="eastAsia"/>
            </w:rPr>
            <w:t>都市</w:t>
          </w:r>
          <w:r>
            <w:t>园艺</w:t>
          </w:r>
          <w:r>
            <w:rPr>
              <w:rFonts w:hint="eastAsia"/>
              <w:lang w:val="en-US" w:eastAsia="zh-CN"/>
            </w:rPr>
            <w:t>考核大纲</w:t>
          </w:r>
          <w:r>
            <w:tab/>
          </w:r>
          <w:r>
            <w:fldChar w:fldCharType="begin"/>
          </w:r>
          <w:r>
            <w:instrText xml:space="preserve"> PAGEREF _Toc6439 \h </w:instrText>
          </w:r>
          <w:r>
            <w:fldChar w:fldCharType="separate"/>
          </w:r>
          <w:r>
            <w:t>527</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"_Toc1400" </w:instrText>
          </w:r>
          <w:r>
            <w:fldChar w:fldCharType="separate"/>
          </w:r>
          <w:r>
            <w:rPr>
              <w:rFonts w:hint="eastAsia"/>
            </w:rPr>
            <w:t>果蔬产品加工</w:t>
          </w:r>
          <w:r>
            <w:rPr>
              <w:rFonts w:hint="eastAsia"/>
              <w:lang w:val="en-US" w:eastAsia="zh-CN"/>
            </w:rPr>
            <w:t>考核大纲</w:t>
          </w:r>
          <w:r>
            <w:tab/>
          </w:r>
          <w:r>
            <w:fldChar w:fldCharType="begin"/>
          </w:r>
          <w:r>
            <w:instrText xml:space="preserve"> PAGEREF _Toc1400 \h </w:instrText>
          </w:r>
          <w:r>
            <w:fldChar w:fldCharType="separate"/>
          </w:r>
          <w:r>
            <w:t>532</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"_Toc8863" </w:instrText>
          </w:r>
          <w:r>
            <w:fldChar w:fldCharType="separate"/>
          </w:r>
          <w:r>
            <w:rPr>
              <w:rFonts w:hint="eastAsia"/>
            </w:rPr>
            <w:t>工厂化育苗原理与技术</w:t>
          </w:r>
          <w:r>
            <w:rPr>
              <w:rFonts w:hint="eastAsia"/>
              <w:lang w:val="en-US" w:eastAsia="zh-CN"/>
            </w:rPr>
            <w:t>考核大纲</w:t>
          </w:r>
          <w:r>
            <w:tab/>
          </w:r>
          <w:r>
            <w:fldChar w:fldCharType="begin"/>
          </w:r>
          <w:r>
            <w:instrText xml:space="preserve"> PAGEREF _Toc8863 \h </w:instrText>
          </w:r>
          <w:r>
            <w:fldChar w:fldCharType="separate"/>
          </w:r>
          <w:r>
            <w:t>538</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"_Toc1542" </w:instrText>
          </w:r>
          <w:r>
            <w:fldChar w:fldCharType="separate"/>
          </w:r>
          <w:r>
            <w:rPr>
              <w:rFonts w:hint="eastAsia"/>
            </w:rPr>
            <w:t>盆景学</w:t>
          </w:r>
          <w:r>
            <w:rPr>
              <w:rFonts w:hint="eastAsia"/>
              <w:lang w:val="en-US" w:eastAsia="zh-CN"/>
            </w:rPr>
            <w:t>考核大纲</w:t>
          </w:r>
          <w:r>
            <w:tab/>
          </w:r>
          <w:r>
            <w:fldChar w:fldCharType="begin"/>
          </w:r>
          <w:r>
            <w:instrText xml:space="preserve"> PAGEREF _Toc1542 \h </w:instrText>
          </w:r>
          <w:r>
            <w:fldChar w:fldCharType="separate"/>
          </w:r>
          <w:r>
            <w:t>545</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"_Toc9801" </w:instrText>
          </w:r>
          <w:r>
            <w:fldChar w:fldCharType="separate"/>
          </w:r>
          <w:r>
            <w:rPr>
              <w:rFonts w:hint="eastAsia"/>
            </w:rPr>
            <w:t>茶文化学</w:t>
          </w:r>
          <w:r>
            <w:rPr>
              <w:rFonts w:hint="eastAsia"/>
              <w:lang w:val="en-US" w:eastAsia="zh-CN"/>
            </w:rPr>
            <w:t>考核大纲</w:t>
          </w:r>
          <w:r>
            <w:tab/>
          </w:r>
          <w:r>
            <w:fldChar w:fldCharType="begin"/>
          </w:r>
          <w:r>
            <w:instrText xml:space="preserve"> PAGEREF _Toc9801 \h </w:instrText>
          </w:r>
          <w:r>
            <w:fldChar w:fldCharType="separate"/>
          </w:r>
          <w:r>
            <w:t>551</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"_Toc3233" </w:instrText>
          </w:r>
          <w:r>
            <w:fldChar w:fldCharType="separate"/>
          </w:r>
          <w:r>
            <w:rPr>
              <w:rFonts w:hint="eastAsia"/>
            </w:rPr>
            <w:t>园艺植物组织培养</w:t>
          </w:r>
          <w:r>
            <w:rPr>
              <w:rFonts w:hint="eastAsia"/>
              <w:lang w:val="en-US" w:eastAsia="zh-CN"/>
            </w:rPr>
            <w:t>考核大纲</w:t>
          </w:r>
          <w:r>
            <w:tab/>
          </w:r>
          <w:r>
            <w:fldChar w:fldCharType="begin"/>
          </w:r>
          <w:r>
            <w:instrText xml:space="preserve"> PAGEREF _Toc3233 \h </w:instrText>
          </w:r>
          <w:r>
            <w:fldChar w:fldCharType="separate"/>
          </w:r>
          <w:r>
            <w:t>555</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"_Toc188" </w:instrText>
          </w:r>
          <w:r>
            <w:fldChar w:fldCharType="separate"/>
          </w:r>
          <w:r>
            <w:rPr>
              <w:rFonts w:hint="eastAsia"/>
            </w:rPr>
            <w:t>无土栽培学</w:t>
          </w:r>
          <w:r>
            <w:rPr>
              <w:rFonts w:hint="eastAsia"/>
              <w:lang w:val="en-US" w:eastAsia="zh-CN"/>
            </w:rPr>
            <w:t>考核大纲</w:t>
          </w:r>
          <w:r>
            <w:tab/>
          </w:r>
          <w:r>
            <w:fldChar w:fldCharType="begin"/>
          </w:r>
          <w:r>
            <w:instrText xml:space="preserve"> PAGEREF _Toc188 \h </w:instrText>
          </w:r>
          <w:r>
            <w:fldChar w:fldCharType="separate"/>
          </w:r>
          <w:r>
            <w:t>562</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"_Toc2917" </w:instrText>
          </w:r>
          <w:r>
            <w:fldChar w:fldCharType="separate"/>
          </w:r>
          <w:r>
            <w:rPr>
              <w:rFonts w:hint="eastAsia"/>
            </w:rPr>
            <w:t>园艺专业外语</w:t>
          </w:r>
          <w:r>
            <w:rPr>
              <w:rFonts w:hint="eastAsia"/>
              <w:lang w:val="en-US" w:eastAsia="zh-CN"/>
            </w:rPr>
            <w:t>考核大纲</w:t>
          </w:r>
          <w:r>
            <w:tab/>
          </w:r>
          <w:r>
            <w:fldChar w:fldCharType="begin"/>
          </w:r>
          <w:r>
            <w:instrText xml:space="preserve"> PAGEREF _Toc2917 \h </w:instrText>
          </w:r>
          <w:r>
            <w:fldChar w:fldCharType="separate"/>
          </w:r>
          <w:r>
            <w:t>564</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"_Toc30695" </w:instrText>
          </w:r>
          <w:r>
            <w:fldChar w:fldCharType="separate"/>
          </w:r>
          <w:r>
            <w:rPr>
              <w:rFonts w:hint="eastAsia"/>
            </w:rPr>
            <w:t>园艺植物种子学</w:t>
          </w:r>
          <w:r>
            <w:rPr>
              <w:rFonts w:hint="eastAsia"/>
              <w:lang w:val="en-US" w:eastAsia="zh-CN"/>
            </w:rPr>
            <w:t>考核大纲</w:t>
          </w:r>
          <w:r>
            <w:tab/>
          </w:r>
          <w:r>
            <w:fldChar w:fldCharType="begin"/>
          </w:r>
          <w:r>
            <w:instrText xml:space="preserve"> PAGEREF _Toc30695 \h </w:instrText>
          </w:r>
          <w:r>
            <w:fldChar w:fldCharType="separate"/>
          </w:r>
          <w:r>
            <w:t>570</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"_Toc27892" </w:instrText>
          </w:r>
          <w:r>
            <w:fldChar w:fldCharType="separate"/>
          </w:r>
          <w:r>
            <w:t>生物信息学</w:t>
          </w:r>
          <w:r>
            <w:rPr>
              <w:rFonts w:hint="eastAsia"/>
              <w:lang w:val="en-US" w:eastAsia="zh-CN"/>
            </w:rPr>
            <w:t>考核大纲</w:t>
          </w:r>
          <w:r>
            <w:tab/>
          </w:r>
          <w:r>
            <w:fldChar w:fldCharType="begin"/>
          </w:r>
          <w:r>
            <w:instrText xml:space="preserve"> PAGEREF _Toc27892 \h </w:instrText>
          </w:r>
          <w:r>
            <w:fldChar w:fldCharType="separate"/>
          </w:r>
          <w:r>
            <w:t>578</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"_Toc27397" </w:instrText>
          </w:r>
          <w:r>
            <w:fldChar w:fldCharType="separate"/>
          </w:r>
          <w:r>
            <w:rPr>
              <w:rFonts w:hint="eastAsia"/>
            </w:rPr>
            <w:t>植物生长调节剂与利用</w:t>
          </w:r>
          <w:r>
            <w:rPr>
              <w:rFonts w:hint="eastAsia"/>
              <w:lang w:val="en-US" w:eastAsia="zh-CN"/>
            </w:rPr>
            <w:t>考核大纲</w:t>
          </w:r>
          <w:r>
            <w:tab/>
          </w:r>
          <w:r>
            <w:fldChar w:fldCharType="begin"/>
          </w:r>
          <w:r>
            <w:instrText xml:space="preserve"> PAGEREF _Toc27397 \h </w:instrText>
          </w:r>
          <w:r>
            <w:fldChar w:fldCharType="separate"/>
          </w:r>
          <w:r>
            <w:t>584</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"_Toc31746" </w:instrText>
          </w:r>
          <w:r>
            <w:fldChar w:fldCharType="separate"/>
          </w:r>
          <w:r>
            <w:t>文献检索与科技论文写作</w:t>
          </w:r>
          <w:r>
            <w:rPr>
              <w:rFonts w:hint="eastAsia"/>
              <w:lang w:val="en-US" w:eastAsia="zh-CN"/>
            </w:rPr>
            <w:t>考核大纲</w:t>
          </w:r>
          <w:r>
            <w:tab/>
          </w:r>
          <w:r>
            <w:fldChar w:fldCharType="begin"/>
          </w:r>
          <w:r>
            <w:instrText xml:space="preserve"> PAGEREF _Toc31746 \h </w:instrText>
          </w:r>
          <w:r>
            <w:fldChar w:fldCharType="separate"/>
          </w:r>
          <w:r>
            <w:t>588</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"_Toc25287" </w:instrText>
          </w:r>
          <w:r>
            <w:fldChar w:fldCharType="separate"/>
          </w:r>
          <w:r>
            <w:t>园艺产品营养学</w:t>
          </w:r>
          <w:r>
            <w:rPr>
              <w:rFonts w:hint="eastAsia"/>
              <w:lang w:val="en-US" w:eastAsia="zh-CN"/>
            </w:rPr>
            <w:t>考核大纲</w:t>
          </w:r>
          <w:r>
            <w:tab/>
          </w:r>
          <w:r>
            <w:fldChar w:fldCharType="begin"/>
          </w:r>
          <w:r>
            <w:instrText xml:space="preserve"> PAGEREF _Toc25287 \h </w:instrText>
          </w:r>
          <w:r>
            <w:fldChar w:fldCharType="separate"/>
          </w:r>
          <w:r>
            <w:t>593</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"_Toc32563" </w:instrText>
          </w:r>
          <w:r>
            <w:fldChar w:fldCharType="separate"/>
          </w:r>
          <w:r>
            <w:rPr>
              <w:rFonts w:hint="eastAsia"/>
            </w:rPr>
            <w:t>生物育种</w:t>
          </w:r>
          <w:r>
            <w:rPr>
              <w:rFonts w:hint="eastAsia"/>
              <w:lang w:val="en-US" w:eastAsia="zh-CN"/>
            </w:rPr>
            <w:t>考核大纲</w:t>
          </w:r>
          <w:r>
            <w:tab/>
          </w:r>
          <w:r>
            <w:rPr>
              <w:rFonts w:hint="eastAsia"/>
            </w:rPr>
            <w:t>5</w:t>
          </w:r>
          <w:r>
            <w:rPr>
              <w:rFonts w:hint="eastAsia"/>
            </w:rPr>
            <w:fldChar w:fldCharType="end"/>
          </w:r>
          <w:r>
            <w:rPr>
              <w:rFonts w:hint="eastAsia"/>
              <w:bCs/>
            </w:rPr>
            <w:t>88</w:t>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"_Toc22967" </w:instrText>
          </w:r>
          <w:r>
            <w:fldChar w:fldCharType="separate"/>
          </w:r>
          <w:r>
            <w:rPr>
              <w:rFonts w:hint="eastAsia"/>
            </w:rPr>
            <w:t>农业信息技术</w:t>
          </w:r>
          <w:r>
            <w:rPr>
              <w:rFonts w:hint="eastAsia"/>
              <w:lang w:val="en-US" w:eastAsia="zh-CN"/>
            </w:rPr>
            <w:t>考核大纲</w:t>
          </w:r>
          <w:r>
            <w:tab/>
          </w:r>
          <w:r>
            <w:fldChar w:fldCharType="begin"/>
          </w:r>
          <w:r>
            <w:instrText xml:space="preserve"> PAGEREF _Toc22967 \h </w:instrText>
          </w:r>
          <w:r>
            <w:fldChar w:fldCharType="separate"/>
          </w:r>
          <w:r>
            <w:t>603</w:t>
          </w:r>
          <w:r>
            <w:fldChar w:fldCharType="end"/>
          </w:r>
          <w:r>
            <w:fldChar w:fldCharType="end"/>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"_Toc22967" </w:instrText>
          </w:r>
          <w:r>
            <w:fldChar w:fldCharType="separate"/>
          </w:r>
          <w:r>
            <w:rPr>
              <w:rFonts w:hint="eastAsia"/>
              <w:sz w:val="21"/>
              <w:lang w:val="en-US" w:eastAsia="zh-CN"/>
            </w:rPr>
            <w:t>园艺学概论考核大纲（公共选修课）</w:t>
          </w:r>
          <w:r>
            <w:tab/>
          </w:r>
          <w:r>
            <w:rPr>
              <w:rFonts w:hint="eastAsia"/>
              <w:lang w:val="en-US" w:eastAsia="zh-CN"/>
            </w:rPr>
            <w:t>6</w:t>
          </w:r>
          <w:r>
            <w:fldChar w:fldCharType="end"/>
          </w:r>
          <w:r>
            <w:rPr>
              <w:rFonts w:hint="eastAsia"/>
              <w:lang w:val="en-US" w:eastAsia="zh-CN"/>
            </w:rPr>
            <w:t>09</w:t>
          </w:r>
        </w:p>
        <w:p>
          <w:pPr>
            <w:pStyle w:val="15"/>
            <w:keepNext w:val="0"/>
            <w:keepLines w:val="0"/>
            <w:pageBreakBefore w:val="0"/>
            <w:widowControl w:val="0"/>
            <w:numPr>
              <w:ilvl w:val="0"/>
              <w:numId w:val="3"/>
            </w:numPr>
            <w:tabs>
              <w:tab w:val="right" w:leader="dot" w:pos="8900"/>
            </w:tabs>
            <w:kinsoku/>
            <w:wordWrap/>
            <w:overflowPunct/>
            <w:topLinePunct w:val="0"/>
            <w:autoSpaceDE/>
            <w:autoSpaceDN/>
            <w:bidi w:val="0"/>
            <w:adjustRightInd/>
            <w:snapToGrid/>
            <w:spacing w:line="400" w:lineRule="exact"/>
            <w:ind w:left="0" w:leftChars="0" w:firstLine="403" w:firstLineChars="0"/>
            <w:textAlignment w:val="auto"/>
          </w:pPr>
          <w:r>
            <w:fldChar w:fldCharType="begin"/>
          </w:r>
          <w:r>
            <w:instrText xml:space="preserve"> HYPERLINK \l "_Toc22967" </w:instrText>
          </w:r>
          <w:r>
            <w:fldChar w:fldCharType="separate"/>
          </w:r>
          <w:r>
            <w:rPr>
              <w:rStyle w:val="27"/>
              <w:rFonts w:hint="eastAsia"/>
              <w:kern w:val="36"/>
              <w:sz w:val="21"/>
              <w:lang w:val="en-US" w:eastAsia="zh-CN"/>
            </w:rPr>
            <w:t>阳台园艺考核大纲</w:t>
          </w:r>
          <w:r>
            <w:rPr>
              <w:rFonts w:hint="eastAsia"/>
              <w:sz w:val="21"/>
              <w:lang w:val="en-US" w:eastAsia="zh-CN"/>
            </w:rPr>
            <w:t>（公共选修课）</w:t>
          </w:r>
          <w:r>
            <w:tab/>
          </w:r>
          <w:r>
            <w:rPr>
              <w:rFonts w:hint="eastAsia"/>
              <w:lang w:val="en-US" w:eastAsia="zh-CN"/>
            </w:rPr>
            <w:t>6</w:t>
          </w:r>
          <w:r>
            <w:fldChar w:fldCharType="end"/>
          </w:r>
          <w:r>
            <w:rPr>
              <w:rFonts w:hint="eastAsia"/>
              <w:lang w:val="en-US" w:eastAsia="zh-CN"/>
            </w:rPr>
            <w:t>15</w:t>
          </w:r>
        </w:p>
        <w:p/>
        <w:p>
          <w:r>
            <w:rPr>
              <w:bCs/>
              <w:lang w:val="zh-CN"/>
            </w:rPr>
            <w:fldChar w:fldCharType="end"/>
          </w:r>
        </w:p>
      </w:sdtContent>
    </w:sdt>
    <w:p>
      <w:pPr>
        <w:widowControl/>
        <w:jc w:val="center"/>
        <w:rPr>
          <w:rFonts w:ascii="宋体" w:hAnsi="宋体"/>
        </w:rPr>
      </w:pPr>
      <w:r>
        <w:rPr>
          <w:rFonts w:ascii="宋体" w:hAnsi="宋体"/>
        </w:rPr>
        <w:br w:type="page"/>
      </w: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tabs>
          <w:tab w:val="left" w:pos="6185"/>
        </w:tabs>
        <w:jc w:val="left"/>
        <w:rPr>
          <w:rFonts w:hint="eastAsia" w:ascii="宋体" w:hAnsi="宋体" w:eastAsia="宋体"/>
          <w:lang w:eastAsia="zh-CN"/>
        </w:rPr>
      </w:pPr>
      <w:r>
        <w:rPr>
          <w:rFonts w:hint="eastAsia" w:ascii="宋体" w:hAnsi="宋体"/>
          <w:lang w:eastAsia="zh-CN"/>
        </w:rPr>
        <w:tab/>
      </w: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ascii="宋体" w:hAnsi="宋体"/>
        </w:rPr>
      </w:pPr>
    </w:p>
    <w:p>
      <w:pPr>
        <w:widowControl/>
        <w:jc w:val="center"/>
        <w:rPr>
          <w:rFonts w:hint="eastAsia"/>
          <w:sz w:val="28"/>
          <w:szCs w:val="28"/>
        </w:rPr>
        <w:sectPr>
          <w:footerReference r:id="rId6" w:type="default"/>
          <w:footerReference r:id="rId7" w:type="even"/>
          <w:pgSz w:w="11906" w:h="16838"/>
          <w:pgMar w:top="1418" w:right="1588" w:bottom="1588" w:left="1418" w:header="851" w:footer="850"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b/>
          <w:sz w:val="44"/>
          <w:szCs w:val="44"/>
        </w:rPr>
        <w:t>第一篇 课程教学大纲</w:t>
      </w:r>
      <w:bookmarkStart w:id="0" w:name="_Toc138076296"/>
      <w:bookmarkStart w:id="1" w:name="_Toc138070677"/>
      <w:bookmarkStart w:id="2" w:name="_Toc138070407"/>
      <w:bookmarkStart w:id="3" w:name="_Toc138068777"/>
      <w:bookmarkStart w:id="4" w:name="_Toc138076047"/>
      <w:bookmarkStart w:id="5" w:name="_Toc138076591"/>
      <w:bookmarkStart w:id="6" w:name="_Toc21158"/>
    </w:p>
    <w:p>
      <w:pPr>
        <w:pStyle w:val="21"/>
        <w:rPr>
          <w:rFonts w:ascii="Times New Roman" w:hAnsi="Times New Roman"/>
          <w:color w:val="0000FF"/>
          <w:sz w:val="28"/>
          <w:szCs w:val="28"/>
        </w:rPr>
      </w:pPr>
      <w:r>
        <w:rPr>
          <w:rFonts w:hint="eastAsia"/>
          <w:sz w:val="28"/>
          <w:szCs w:val="28"/>
        </w:rPr>
        <w:t>现代园艺导论</w:t>
      </w:r>
      <w:bookmarkEnd w:id="0"/>
      <w:bookmarkEnd w:id="1"/>
      <w:bookmarkEnd w:id="2"/>
      <w:bookmarkEnd w:id="3"/>
      <w:bookmarkEnd w:id="4"/>
      <w:bookmarkEnd w:id="5"/>
      <w:bookmarkEnd w:id="6"/>
    </w:p>
    <w:p>
      <w:pPr>
        <w:snapToGrid w:val="0"/>
        <w:spacing w:line="360" w:lineRule="auto"/>
        <w:jc w:val="center"/>
        <w:rPr>
          <w:rFonts w:hAnsi="宋体"/>
          <w:bCs/>
          <w:color w:val="000000"/>
          <w:kern w:val="0"/>
          <w:sz w:val="24"/>
        </w:rPr>
      </w:pPr>
      <w:r>
        <w:rPr>
          <w:rFonts w:hAnsi="宋体"/>
          <w:bCs/>
          <w:color w:val="000000"/>
          <w:kern w:val="0"/>
          <w:sz w:val="24"/>
        </w:rPr>
        <w:t>（</w:t>
      </w:r>
      <w:r>
        <w:rPr>
          <w:rFonts w:hint="eastAsia" w:hAnsi="宋体"/>
          <w:bCs/>
          <w:color w:val="000000"/>
          <w:kern w:val="0"/>
          <w:sz w:val="24"/>
        </w:rPr>
        <w:t>I</w:t>
      </w:r>
      <w:r>
        <w:rPr>
          <w:rFonts w:hAnsi="宋体"/>
          <w:bCs/>
          <w:color w:val="000000"/>
          <w:kern w:val="0"/>
          <w:sz w:val="24"/>
        </w:rPr>
        <w:t>ntroduction to Modern Horticulture）</w:t>
      </w:r>
    </w:p>
    <w:p>
      <w:pPr>
        <w:snapToGrid w:val="0"/>
        <w:spacing w:line="360" w:lineRule="auto"/>
        <w:jc w:val="center"/>
        <w:rPr>
          <w:rFonts w:hAnsi="宋体"/>
          <w:bCs/>
          <w:color w:val="0000FF"/>
          <w:kern w:val="0"/>
          <w:szCs w:val="21"/>
        </w:rPr>
      </w:pPr>
    </w:p>
    <w:p>
      <w:pPr>
        <w:snapToGrid w:val="0"/>
        <w:spacing w:line="360" w:lineRule="auto"/>
        <w:jc w:val="center"/>
        <w:rPr>
          <w:b/>
          <w:szCs w:val="21"/>
        </w:rPr>
      </w:pPr>
      <w:r>
        <w:rPr>
          <w:rFonts w:hint="eastAsia"/>
          <w:b/>
          <w:szCs w:val="21"/>
        </w:rPr>
        <w:t>课程基本信息</w:t>
      </w:r>
    </w:p>
    <w:tbl>
      <w:tblPr>
        <w:tblStyle w:val="22"/>
        <w:tblW w:w="5361" w:type="pct"/>
        <w:tblInd w:w="0" w:type="dxa"/>
        <w:tblLayout w:type="autofit"/>
        <w:tblCellMar>
          <w:top w:w="0" w:type="dxa"/>
          <w:left w:w="108" w:type="dxa"/>
          <w:bottom w:w="0" w:type="dxa"/>
          <w:right w:w="108" w:type="dxa"/>
        </w:tblCellMar>
      </w:tblPr>
      <w:tblGrid>
        <w:gridCol w:w="3039"/>
        <w:gridCol w:w="3306"/>
        <w:gridCol w:w="3429"/>
      </w:tblGrid>
      <w:tr>
        <w:tblPrEx>
          <w:tblCellMar>
            <w:top w:w="0" w:type="dxa"/>
            <w:left w:w="108" w:type="dxa"/>
            <w:bottom w:w="0" w:type="dxa"/>
            <w:right w:w="108" w:type="dxa"/>
          </w:tblCellMar>
        </w:tblPrEx>
        <w:tc>
          <w:tcPr>
            <w:tcW w:w="1555" w:type="pct"/>
          </w:tcPr>
          <w:p>
            <w:pPr>
              <w:spacing w:line="300" w:lineRule="auto"/>
              <w:ind w:firstLine="422"/>
              <w:rPr>
                <w:rFonts w:ascii="宋体" w:hAnsi="宋体"/>
                <w:b/>
                <w:bCs/>
                <w:szCs w:val="21"/>
              </w:rPr>
            </w:pPr>
            <w:r>
              <w:rPr>
                <w:rFonts w:hint="eastAsia" w:ascii="宋体" w:hAnsi="宋体"/>
                <w:b/>
                <w:bCs/>
                <w:szCs w:val="21"/>
              </w:rPr>
              <w:t>课程编号：1</w:t>
            </w:r>
            <w:r>
              <w:rPr>
                <w:rFonts w:ascii="宋体" w:hAnsi="宋体"/>
                <w:b/>
                <w:bCs/>
                <w:szCs w:val="21"/>
              </w:rPr>
              <w:t>9011111</w:t>
            </w:r>
          </w:p>
        </w:tc>
        <w:tc>
          <w:tcPr>
            <w:tcW w:w="1691" w:type="pct"/>
          </w:tcPr>
          <w:p>
            <w:pPr>
              <w:spacing w:line="300" w:lineRule="auto"/>
              <w:ind w:firstLine="422"/>
              <w:rPr>
                <w:rFonts w:ascii="宋体" w:hAnsi="宋体"/>
                <w:b/>
                <w:bCs/>
                <w:szCs w:val="21"/>
              </w:rPr>
            </w:pPr>
            <w:r>
              <w:rPr>
                <w:rFonts w:hint="eastAsia" w:ascii="宋体" w:hAnsi="宋体"/>
                <w:b/>
                <w:bCs/>
                <w:szCs w:val="21"/>
              </w:rPr>
              <w:t>课程总学时：2</w:t>
            </w:r>
            <w:r>
              <w:rPr>
                <w:rFonts w:ascii="宋体" w:hAnsi="宋体"/>
                <w:b/>
                <w:bCs/>
                <w:szCs w:val="21"/>
              </w:rPr>
              <w:t>4</w:t>
            </w:r>
          </w:p>
        </w:tc>
        <w:tc>
          <w:tcPr>
            <w:tcW w:w="1754" w:type="pct"/>
          </w:tcPr>
          <w:p>
            <w:pPr>
              <w:spacing w:line="300" w:lineRule="auto"/>
              <w:ind w:firstLine="459"/>
              <w:rPr>
                <w:rFonts w:ascii="宋体" w:hAnsi="宋体"/>
                <w:b/>
                <w:bCs/>
                <w:szCs w:val="21"/>
              </w:rPr>
            </w:pPr>
            <w:r>
              <w:rPr>
                <w:rFonts w:hint="eastAsia" w:ascii="宋体" w:hAnsi="宋体"/>
                <w:b/>
                <w:bCs/>
                <w:szCs w:val="21"/>
              </w:rPr>
              <w:t>实验学时： 0 学时</w:t>
            </w:r>
          </w:p>
        </w:tc>
      </w:tr>
      <w:tr>
        <w:tblPrEx>
          <w:tblCellMar>
            <w:top w:w="0" w:type="dxa"/>
            <w:left w:w="108" w:type="dxa"/>
            <w:bottom w:w="0" w:type="dxa"/>
            <w:right w:w="108" w:type="dxa"/>
          </w:tblCellMar>
        </w:tblPrEx>
        <w:tc>
          <w:tcPr>
            <w:tcW w:w="1555" w:type="pct"/>
          </w:tcPr>
          <w:p>
            <w:pPr>
              <w:spacing w:line="300" w:lineRule="auto"/>
              <w:ind w:firstLine="422"/>
              <w:rPr>
                <w:rFonts w:ascii="宋体" w:hAnsi="宋体"/>
                <w:b/>
                <w:bCs/>
                <w:szCs w:val="21"/>
              </w:rPr>
            </w:pPr>
            <w:r>
              <w:rPr>
                <w:rFonts w:hint="eastAsia" w:ascii="宋体" w:hAnsi="宋体"/>
                <w:b/>
                <w:bCs/>
                <w:szCs w:val="21"/>
              </w:rPr>
              <w:t>课程性质：必修</w:t>
            </w:r>
          </w:p>
        </w:tc>
        <w:tc>
          <w:tcPr>
            <w:tcW w:w="1691" w:type="pct"/>
          </w:tcPr>
          <w:p>
            <w:pPr>
              <w:spacing w:line="300" w:lineRule="auto"/>
              <w:ind w:firstLine="422"/>
              <w:rPr>
                <w:rFonts w:ascii="宋体" w:hAnsi="宋体"/>
                <w:b/>
                <w:bCs/>
                <w:szCs w:val="21"/>
              </w:rPr>
            </w:pPr>
            <w:r>
              <w:rPr>
                <w:rFonts w:hint="eastAsia" w:ascii="宋体" w:hAnsi="宋体"/>
                <w:b/>
                <w:szCs w:val="21"/>
              </w:rPr>
              <w:t>课程属性</w:t>
            </w:r>
            <w:r>
              <w:rPr>
                <w:rFonts w:hint="eastAsia" w:ascii="宋体" w:hAnsi="宋体"/>
                <w:b/>
                <w:bCs/>
                <w:szCs w:val="21"/>
              </w:rPr>
              <w:t>:专业类</w:t>
            </w:r>
          </w:p>
        </w:tc>
        <w:tc>
          <w:tcPr>
            <w:tcW w:w="1754" w:type="pct"/>
          </w:tcPr>
          <w:p>
            <w:pPr>
              <w:spacing w:line="300" w:lineRule="auto"/>
              <w:ind w:firstLine="459"/>
              <w:rPr>
                <w:rFonts w:ascii="宋体" w:hAnsi="宋体"/>
                <w:b/>
                <w:bCs/>
                <w:szCs w:val="21"/>
              </w:rPr>
            </w:pPr>
            <w:r>
              <w:rPr>
                <w:rFonts w:hint="eastAsia" w:ascii="宋体" w:hAnsi="宋体"/>
                <w:b/>
                <w:bCs/>
                <w:szCs w:val="21"/>
              </w:rPr>
              <w:t xml:space="preserve">开设学期：第 </w:t>
            </w:r>
            <w:r>
              <w:rPr>
                <w:rFonts w:ascii="宋体" w:hAnsi="宋体"/>
                <w:b/>
                <w:bCs/>
                <w:szCs w:val="21"/>
              </w:rPr>
              <w:t>1</w:t>
            </w:r>
            <w:r>
              <w:rPr>
                <w:rFonts w:hint="eastAsia" w:ascii="宋体" w:hAnsi="宋体"/>
                <w:b/>
                <w:bCs/>
                <w:szCs w:val="21"/>
              </w:rPr>
              <w:t xml:space="preserve"> 学期</w:t>
            </w:r>
          </w:p>
        </w:tc>
      </w:tr>
      <w:tr>
        <w:tblPrEx>
          <w:tblCellMar>
            <w:top w:w="0" w:type="dxa"/>
            <w:left w:w="108" w:type="dxa"/>
            <w:bottom w:w="0" w:type="dxa"/>
            <w:right w:w="108" w:type="dxa"/>
          </w:tblCellMar>
        </w:tblPrEx>
        <w:tc>
          <w:tcPr>
            <w:tcW w:w="1555" w:type="pct"/>
          </w:tcPr>
          <w:p>
            <w:pPr>
              <w:spacing w:line="300" w:lineRule="auto"/>
              <w:ind w:firstLine="422"/>
              <w:rPr>
                <w:rFonts w:ascii="宋体" w:hAnsi="宋体"/>
                <w:b/>
                <w:bCs/>
                <w:szCs w:val="21"/>
              </w:rPr>
            </w:pPr>
            <w:r>
              <w:rPr>
                <w:rFonts w:hint="eastAsia" w:ascii="宋体" w:hAnsi="宋体"/>
                <w:b/>
                <w:bCs/>
                <w:szCs w:val="21"/>
              </w:rPr>
              <w:t>课程负责人：郑先波</w:t>
            </w:r>
          </w:p>
        </w:tc>
        <w:tc>
          <w:tcPr>
            <w:tcW w:w="1691" w:type="pct"/>
          </w:tcPr>
          <w:p>
            <w:pPr>
              <w:spacing w:line="300" w:lineRule="auto"/>
              <w:ind w:firstLine="422"/>
              <w:rPr>
                <w:rFonts w:ascii="宋体" w:hAnsi="宋体"/>
                <w:b/>
                <w:bCs/>
                <w:szCs w:val="21"/>
              </w:rPr>
            </w:pPr>
            <w:r>
              <w:rPr>
                <w:rFonts w:hint="eastAsia" w:ascii="宋体" w:hAnsi="宋体"/>
                <w:b/>
                <w:bCs/>
                <w:szCs w:val="21"/>
              </w:rPr>
              <w:t>课程团队：王吉庆、胡建斌</w:t>
            </w:r>
          </w:p>
        </w:tc>
        <w:tc>
          <w:tcPr>
            <w:tcW w:w="1754" w:type="pct"/>
          </w:tcPr>
          <w:p>
            <w:pPr>
              <w:spacing w:line="300" w:lineRule="auto"/>
              <w:ind w:firstLine="459"/>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firstLine="422"/>
              <w:rPr>
                <w:rFonts w:ascii="宋体" w:hAnsi="宋体"/>
                <w:bCs/>
                <w:color w:val="0000FF"/>
                <w:szCs w:val="21"/>
              </w:rPr>
            </w:pPr>
            <w:r>
              <w:rPr>
                <w:rFonts w:hint="eastAsia" w:ascii="宋体" w:hAnsi="宋体"/>
                <w:b/>
                <w:bCs/>
                <w:szCs w:val="21"/>
              </w:rPr>
              <w:t>适用专业：植物生产类（园艺类）；核心</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对先修的要求：无</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对后续的支撑：是园艺类专业的基础课程，对园艺专业、设施农业科学与工程专业和茶学专业的后续专业课程的学习是非常有帮助。</w:t>
            </w:r>
          </w:p>
        </w:tc>
      </w:tr>
      <w:tr>
        <w:tblPrEx>
          <w:tblCellMar>
            <w:top w:w="0" w:type="dxa"/>
            <w:left w:w="108" w:type="dxa"/>
            <w:bottom w:w="0" w:type="dxa"/>
            <w:right w:w="108" w:type="dxa"/>
          </w:tblCellMar>
        </w:tblPrEx>
        <w:tc>
          <w:tcPr>
            <w:tcW w:w="1555" w:type="pct"/>
          </w:tcPr>
          <w:p>
            <w:pPr>
              <w:spacing w:line="300" w:lineRule="auto"/>
              <w:ind w:firstLine="422"/>
              <w:rPr>
                <w:rFonts w:ascii="宋体" w:hAnsi="宋体"/>
                <w:b/>
                <w:bCs/>
                <w:szCs w:val="21"/>
              </w:rPr>
            </w:pPr>
            <w:r>
              <w:rPr>
                <w:rFonts w:hint="eastAsia" w:ascii="宋体" w:hAnsi="宋体"/>
                <w:b/>
                <w:bCs/>
                <w:szCs w:val="21"/>
              </w:rPr>
              <w:t>主撰人：郑先波</w:t>
            </w:r>
          </w:p>
        </w:tc>
        <w:tc>
          <w:tcPr>
            <w:tcW w:w="1691" w:type="pct"/>
          </w:tcPr>
          <w:p>
            <w:pPr>
              <w:spacing w:line="300" w:lineRule="auto"/>
              <w:ind w:firstLine="422"/>
              <w:rPr>
                <w:rFonts w:ascii="宋体" w:hAnsi="宋体"/>
                <w:b/>
                <w:bCs/>
                <w:szCs w:val="21"/>
              </w:rPr>
            </w:pPr>
            <w:r>
              <w:rPr>
                <w:rFonts w:hint="eastAsia" w:ascii="宋体" w:hAnsi="宋体"/>
                <w:b/>
                <w:bCs/>
                <w:szCs w:val="21"/>
              </w:rPr>
              <w:t>审核人：孙守如</w:t>
            </w:r>
          </w:p>
        </w:tc>
        <w:tc>
          <w:tcPr>
            <w:tcW w:w="1754" w:type="pct"/>
          </w:tcPr>
          <w:p>
            <w:pPr>
              <w:spacing w:line="300" w:lineRule="auto"/>
              <w:ind w:firstLine="422"/>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rPr>
          <w:rFonts w:hAnsi="宋体"/>
          <w:color w:val="000000"/>
          <w:kern w:val="0"/>
          <w:szCs w:val="21"/>
        </w:rPr>
      </w:pPr>
      <w:r>
        <w:rPr>
          <w:kern w:val="0"/>
          <w:szCs w:val="21"/>
        </w:rPr>
        <w:t> </w:t>
      </w:r>
      <w:bookmarkStart w:id="7" w:name="OLE_LINK2"/>
      <w:bookmarkStart w:id="8" w:name="OLE_LINK1"/>
      <w:r>
        <w:rPr>
          <w:rFonts w:hint="eastAsia"/>
          <w:kern w:val="0"/>
          <w:szCs w:val="21"/>
        </w:rPr>
        <w:t>《现代园艺导论》</w:t>
      </w:r>
      <w:r>
        <w:rPr>
          <w:rFonts w:hint="eastAsia" w:hAnsi="宋体"/>
          <w:color w:val="000000"/>
          <w:kern w:val="0"/>
          <w:szCs w:val="21"/>
        </w:rPr>
        <w:t>属植物生产类（园艺类）</w:t>
      </w:r>
      <w:r>
        <w:rPr>
          <w:rFonts w:hAnsi="宋体"/>
          <w:color w:val="000000"/>
          <w:kern w:val="0"/>
          <w:szCs w:val="21"/>
        </w:rPr>
        <w:t>专业核心课程，</w:t>
      </w:r>
      <w:r>
        <w:rPr>
          <w:rFonts w:hint="eastAsia" w:hAnsi="宋体"/>
          <w:color w:val="000000"/>
          <w:kern w:val="0"/>
          <w:szCs w:val="21"/>
        </w:rPr>
        <w:t>是</w:t>
      </w:r>
      <w:r>
        <w:rPr>
          <w:rFonts w:hAnsi="宋体"/>
          <w:color w:val="000000"/>
          <w:kern w:val="0"/>
          <w:szCs w:val="21"/>
        </w:rPr>
        <w:t>—</w:t>
      </w:r>
      <w:r>
        <w:rPr>
          <w:rFonts w:hint="eastAsia" w:hAnsi="宋体"/>
          <w:color w:val="000000"/>
          <w:kern w:val="0"/>
          <w:szCs w:val="21"/>
        </w:rPr>
        <w:t>门</w:t>
      </w:r>
      <w:bookmarkEnd w:id="7"/>
      <w:bookmarkEnd w:id="8"/>
      <w:r>
        <w:rPr>
          <w:rFonts w:hint="eastAsia" w:hAnsi="宋体"/>
          <w:color w:val="000000"/>
          <w:kern w:val="0"/>
          <w:szCs w:val="21"/>
        </w:rPr>
        <w:t>将果树学、蔬菜学、设施园艺学、茶学、观赏园艺学等相结合的交叉学科，同时也是一门应用性极强的学科。本课程</w:t>
      </w:r>
      <w:r>
        <w:rPr>
          <w:rFonts w:hAnsi="宋体"/>
          <w:color w:val="000000"/>
          <w:kern w:val="0"/>
          <w:szCs w:val="21"/>
        </w:rPr>
        <w:t>教学</w:t>
      </w:r>
      <w:r>
        <w:rPr>
          <w:rFonts w:hint="eastAsia" w:hAnsi="宋体"/>
          <w:color w:val="000000"/>
          <w:kern w:val="0"/>
          <w:szCs w:val="21"/>
        </w:rPr>
        <w:t>坚持</w:t>
      </w:r>
      <w:r>
        <w:rPr>
          <w:rFonts w:hAnsi="宋体"/>
          <w:color w:val="000000"/>
          <w:kern w:val="0"/>
          <w:szCs w:val="21"/>
        </w:rPr>
        <w:t>以“</w:t>
      </w:r>
      <w:r>
        <w:rPr>
          <w:rFonts w:hint="eastAsia" w:hAnsi="宋体"/>
          <w:color w:val="000000"/>
          <w:kern w:val="0"/>
          <w:szCs w:val="21"/>
        </w:rPr>
        <w:t>学生</w:t>
      </w:r>
      <w:r>
        <w:rPr>
          <w:rFonts w:hAnsi="宋体"/>
          <w:color w:val="000000"/>
          <w:kern w:val="0"/>
          <w:szCs w:val="21"/>
        </w:rPr>
        <w:t>全面发展</w:t>
      </w:r>
      <w:r>
        <w:rPr>
          <w:rFonts w:hint="eastAsia" w:hAnsi="宋体"/>
          <w:color w:val="000000"/>
          <w:kern w:val="0"/>
          <w:szCs w:val="21"/>
        </w:rPr>
        <w:t>为</w:t>
      </w:r>
      <w:r>
        <w:rPr>
          <w:rFonts w:hAnsi="宋体"/>
          <w:color w:val="000000"/>
          <w:kern w:val="0"/>
          <w:szCs w:val="21"/>
        </w:rPr>
        <w:t>中心”</w:t>
      </w:r>
      <w:r>
        <w:rPr>
          <w:rFonts w:hint="eastAsia" w:hAnsi="宋体"/>
          <w:color w:val="000000"/>
          <w:kern w:val="0"/>
          <w:szCs w:val="21"/>
        </w:rPr>
        <w:t>的</w:t>
      </w:r>
      <w:r>
        <w:rPr>
          <w:rFonts w:hAnsi="宋体"/>
          <w:color w:val="000000"/>
          <w:kern w:val="0"/>
          <w:szCs w:val="21"/>
        </w:rPr>
        <w:t>教学理念</w:t>
      </w:r>
      <w:r>
        <w:rPr>
          <w:rFonts w:hint="eastAsia" w:hAnsi="宋体"/>
          <w:color w:val="000000"/>
          <w:kern w:val="0"/>
          <w:szCs w:val="21"/>
        </w:rPr>
        <w:t>，不忘</w:t>
      </w:r>
      <w:r>
        <w:rPr>
          <w:rFonts w:hAnsi="宋体"/>
          <w:color w:val="000000"/>
          <w:kern w:val="0"/>
          <w:szCs w:val="21"/>
        </w:rPr>
        <w:t>初心，坚持立德树人</w:t>
      </w:r>
      <w:r>
        <w:rPr>
          <w:rFonts w:hint="eastAsia" w:hAnsi="宋体"/>
          <w:color w:val="000000"/>
          <w:kern w:val="0"/>
          <w:szCs w:val="21"/>
        </w:rPr>
        <w:t>。通过运用线上</w:t>
      </w:r>
      <w:r>
        <w:rPr>
          <w:rFonts w:hAnsi="宋体"/>
          <w:color w:val="000000"/>
          <w:kern w:val="0"/>
          <w:szCs w:val="21"/>
        </w:rPr>
        <w:t>线下的混合式教学</w:t>
      </w:r>
      <w:r>
        <w:rPr>
          <w:rFonts w:hint="eastAsia" w:hAnsi="宋体"/>
          <w:color w:val="000000"/>
          <w:kern w:val="0"/>
          <w:szCs w:val="21"/>
        </w:rPr>
        <w:t>及</w:t>
      </w:r>
      <w:r>
        <w:rPr>
          <w:rFonts w:hAnsi="宋体"/>
          <w:color w:val="000000"/>
          <w:kern w:val="0"/>
          <w:szCs w:val="21"/>
        </w:rPr>
        <w:t>翻转课堂的模式</w:t>
      </w:r>
      <w:r>
        <w:rPr>
          <w:rFonts w:hint="eastAsia" w:hAnsi="宋体"/>
          <w:color w:val="000000"/>
          <w:kern w:val="0"/>
          <w:szCs w:val="21"/>
        </w:rPr>
        <w:t>，并采用</w:t>
      </w:r>
      <w:r>
        <w:rPr>
          <w:rFonts w:hAnsi="宋体"/>
          <w:color w:val="000000"/>
          <w:kern w:val="0"/>
          <w:szCs w:val="21"/>
        </w:rPr>
        <w:t>“</w:t>
      </w:r>
      <w:r>
        <w:rPr>
          <w:rFonts w:hint="eastAsia" w:hAnsi="宋体"/>
          <w:color w:val="000000"/>
          <w:kern w:val="0"/>
          <w:szCs w:val="21"/>
        </w:rPr>
        <w:t>情景</w:t>
      </w:r>
      <w:r>
        <w:rPr>
          <w:rFonts w:hAnsi="宋体"/>
          <w:color w:val="000000"/>
          <w:kern w:val="0"/>
          <w:szCs w:val="21"/>
        </w:rPr>
        <w:t>教学法</w:t>
      </w:r>
      <w:r>
        <w:rPr>
          <w:rFonts w:hint="eastAsia" w:hAnsi="宋体"/>
          <w:color w:val="000000"/>
          <w:kern w:val="0"/>
          <w:szCs w:val="21"/>
        </w:rPr>
        <w:t>+启发式</w:t>
      </w:r>
      <w:r>
        <w:rPr>
          <w:rFonts w:hAnsi="宋体"/>
          <w:color w:val="000000"/>
          <w:kern w:val="0"/>
          <w:szCs w:val="21"/>
        </w:rPr>
        <w:t>探究法</w:t>
      </w:r>
      <w:r>
        <w:rPr>
          <w:rFonts w:hint="eastAsia" w:hAnsi="宋体"/>
          <w:color w:val="000000"/>
          <w:kern w:val="0"/>
          <w:szCs w:val="21"/>
        </w:rPr>
        <w:t>+分组讨论法+示范模仿法+任务</w:t>
      </w:r>
      <w:r>
        <w:rPr>
          <w:rFonts w:hAnsi="宋体"/>
          <w:color w:val="000000"/>
          <w:kern w:val="0"/>
          <w:szCs w:val="21"/>
        </w:rPr>
        <w:t>驱动</w:t>
      </w:r>
      <w:r>
        <w:rPr>
          <w:rFonts w:hint="eastAsia" w:hAnsi="宋体"/>
          <w:color w:val="000000"/>
          <w:kern w:val="0"/>
          <w:szCs w:val="21"/>
        </w:rPr>
        <w:t>法</w:t>
      </w:r>
      <w:r>
        <w:rPr>
          <w:rFonts w:hAnsi="宋体"/>
          <w:color w:val="000000"/>
          <w:kern w:val="0"/>
          <w:szCs w:val="21"/>
        </w:rPr>
        <w:t>”</w:t>
      </w:r>
      <w:r>
        <w:rPr>
          <w:rFonts w:hint="eastAsia" w:hAnsi="宋体"/>
          <w:color w:val="000000"/>
          <w:kern w:val="0"/>
          <w:szCs w:val="21"/>
        </w:rPr>
        <w:t>等</w:t>
      </w:r>
      <w:r>
        <w:rPr>
          <w:rFonts w:hAnsi="宋体"/>
          <w:color w:val="000000"/>
          <w:kern w:val="0"/>
          <w:szCs w:val="21"/>
        </w:rPr>
        <w:t>多种教学</w:t>
      </w:r>
      <w:r>
        <w:rPr>
          <w:rFonts w:hint="eastAsia" w:hAnsi="宋体"/>
          <w:color w:val="000000"/>
          <w:kern w:val="0"/>
          <w:szCs w:val="21"/>
        </w:rPr>
        <w:t>方法，</w:t>
      </w:r>
      <w:r>
        <w:rPr>
          <w:rFonts w:hAnsi="宋体"/>
          <w:color w:val="000000"/>
          <w:kern w:val="0"/>
          <w:szCs w:val="21"/>
        </w:rPr>
        <w:t>打造“</w:t>
      </w:r>
      <w:r>
        <w:rPr>
          <w:rFonts w:hint="eastAsia" w:hAnsi="宋体"/>
          <w:color w:val="000000"/>
          <w:kern w:val="0"/>
          <w:szCs w:val="21"/>
        </w:rPr>
        <w:t>学中做</w:t>
      </w:r>
      <w:r>
        <w:rPr>
          <w:rFonts w:hAnsi="宋体"/>
          <w:color w:val="000000"/>
          <w:kern w:val="0"/>
          <w:szCs w:val="21"/>
        </w:rPr>
        <w:t>、做中学”</w:t>
      </w:r>
      <w:r>
        <w:rPr>
          <w:rFonts w:hint="eastAsia" w:hAnsi="宋体"/>
          <w:color w:val="000000"/>
          <w:kern w:val="0"/>
          <w:szCs w:val="21"/>
        </w:rPr>
        <w:t>的学习环境。</w:t>
      </w:r>
      <w:r>
        <w:rPr>
          <w:rFonts w:hAnsi="宋体"/>
          <w:color w:val="000000"/>
          <w:kern w:val="0"/>
          <w:szCs w:val="21"/>
        </w:rPr>
        <w:t>不断创新教学方式，提高课程的吸引力和感染力，让学生从“要我学”变成“我要学”，培养学生的自学意识</w:t>
      </w:r>
      <w:r>
        <w:rPr>
          <w:rFonts w:hint="eastAsia" w:hAnsi="宋体"/>
          <w:color w:val="000000"/>
          <w:kern w:val="0"/>
          <w:szCs w:val="21"/>
        </w:rPr>
        <w:t>和</w:t>
      </w:r>
      <w:r>
        <w:rPr>
          <w:rFonts w:hAnsi="宋体"/>
          <w:color w:val="000000"/>
          <w:kern w:val="0"/>
          <w:szCs w:val="21"/>
        </w:rPr>
        <w:t>创新意识。</w:t>
      </w:r>
    </w:p>
    <w:p>
      <w:pPr>
        <w:spacing w:line="360" w:lineRule="auto"/>
        <w:ind w:right="-170" w:rightChars="-81" w:firstLine="420" w:firstLineChars="200"/>
        <w:rPr>
          <w:kern w:val="0"/>
          <w:szCs w:val="21"/>
        </w:rPr>
      </w:pPr>
      <w:r>
        <w:rPr>
          <w:rFonts w:hint="eastAsia"/>
          <w:kern w:val="0"/>
          <w:szCs w:val="21"/>
        </w:rPr>
        <w:t>《现代园艺导论》</w:t>
      </w:r>
      <w:r>
        <w:rPr>
          <w:kern w:val="0"/>
          <w:szCs w:val="21"/>
        </w:rPr>
        <w:t xml:space="preserve"> </w:t>
      </w:r>
      <w:r>
        <w:rPr>
          <w:rFonts w:hint="eastAsia"/>
          <w:kern w:val="0"/>
          <w:szCs w:val="21"/>
        </w:rPr>
        <w:t xml:space="preserve">为植物生产类（园艺类）专业先修课程，开设的主要目的是向大一新生介绍园艺类专业、课程体系及就业和研究方向等。课程主要针对园艺植物的起源、利用、历史与文化、育种、采后、贸易、经营等方面的知识对学生进行介绍。本课程旨在让学生了解这些园艺类的知识，并对园艺类专业产生兴趣，这样他们在四年里将会迎来快乐的专业学习。 </w:t>
      </w:r>
    </w:p>
    <w:p>
      <w:pPr>
        <w:spacing w:line="360" w:lineRule="auto"/>
        <w:ind w:right="-170" w:rightChars="-81" w:firstLine="420" w:firstLineChars="200"/>
        <w:rPr>
          <w:kern w:val="0"/>
          <w:szCs w:val="21"/>
        </w:rPr>
      </w:pPr>
      <w:r>
        <w:rPr>
          <w:kern w:val="0"/>
          <w:szCs w:val="21"/>
        </w:rPr>
        <w:t> </w:t>
      </w:r>
      <w:r>
        <w:rPr>
          <w:rFonts w:hint="eastAsia"/>
          <w:kern w:val="0"/>
          <w:szCs w:val="21"/>
        </w:rPr>
        <w:t xml:space="preserve">《现代园艺导论》还针对园艺最新的研究进展向学生进行介绍，这样一方面可以让学生认识到园艺学是一门古老又新潮的学科，另一方面又可以激起学生对园艺学研究的积极性，为学生未来的择业和继续深造打下基础。 </w:t>
      </w:r>
      <w:r>
        <w:rPr>
          <w:kern w:val="0"/>
          <w:szCs w:val="21"/>
        </w:rPr>
        <w:t xml:space="preserve"> </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rFonts w:hAnsi="宋体"/>
          <w:bCs/>
          <w:color w:val="0000FF"/>
          <w:kern w:val="0"/>
          <w:szCs w:val="21"/>
        </w:rPr>
      </w:pPr>
      <w:r>
        <w:rPr>
          <w:rFonts w:hint="eastAsia"/>
          <w:kern w:val="0"/>
          <w:szCs w:val="21"/>
        </w:rPr>
        <w:t>1.</w:t>
      </w:r>
      <w:r>
        <w:rPr>
          <w:rFonts w:hAnsi="宋体"/>
          <w:kern w:val="0"/>
          <w:szCs w:val="21"/>
        </w:rPr>
        <w:t>理论知识方面：</w:t>
      </w:r>
    </w:p>
    <w:p>
      <w:pPr>
        <w:spacing w:line="360" w:lineRule="auto"/>
        <w:ind w:firstLine="420"/>
        <w:rPr>
          <w:rFonts w:hAnsi="宋体"/>
          <w:kern w:val="0"/>
          <w:szCs w:val="21"/>
        </w:rPr>
      </w:pPr>
      <w:r>
        <w:rPr>
          <w:rFonts w:hint="eastAsia" w:hAnsi="宋体"/>
          <w:kern w:val="0"/>
          <w:szCs w:val="21"/>
        </w:rPr>
        <w:t>通过本课程学习，要求学生掌握从事果园、菜园及茶园建设、栽培管理、采后处理、营销及文化传播等职业岗位工作所必须具备或掌握园艺学基本知识、基本原理和基本技能；能合理运用所学知识和技能，稳定</w:t>
      </w:r>
      <w:r>
        <w:rPr>
          <w:rFonts w:hAnsi="宋体"/>
          <w:kern w:val="0"/>
          <w:szCs w:val="21"/>
        </w:rPr>
        <w:t>和</w:t>
      </w:r>
      <w:r>
        <w:rPr>
          <w:rFonts w:hint="eastAsia" w:hAnsi="宋体"/>
          <w:kern w:val="0"/>
          <w:szCs w:val="21"/>
        </w:rPr>
        <w:t>提高果、菜花、茶品质，降低生产成本；能总结和推广先进栽培技术，指导园艺的产业化经营和标准化，为实现园艺业高产、优质、高效服务；了解国内外园艺学科研动向。</w:t>
      </w:r>
    </w:p>
    <w:p>
      <w:pPr>
        <w:widowControl/>
        <w:snapToGrid w:val="0"/>
        <w:spacing w:line="360" w:lineRule="auto"/>
        <w:ind w:firstLine="420" w:firstLineChars="200"/>
        <w:jc w:val="left"/>
        <w:rPr>
          <w:rFonts w:hAnsi="宋体"/>
          <w:bCs/>
          <w:color w:val="0000FF"/>
          <w:kern w:val="0"/>
          <w:szCs w:val="21"/>
        </w:rPr>
      </w:pPr>
      <w:r>
        <w:rPr>
          <w:rFonts w:hint="eastAsia"/>
          <w:kern w:val="0"/>
          <w:szCs w:val="21"/>
        </w:rPr>
        <w:t>2.</w:t>
      </w:r>
      <w:r>
        <w:rPr>
          <w:rFonts w:hAnsi="宋体"/>
          <w:kern w:val="0"/>
          <w:szCs w:val="21"/>
        </w:rPr>
        <w:t>实验技能方面：</w:t>
      </w:r>
    </w:p>
    <w:p>
      <w:pPr>
        <w:widowControl/>
        <w:snapToGrid w:val="0"/>
        <w:spacing w:line="360" w:lineRule="auto"/>
        <w:ind w:firstLine="420" w:firstLineChars="200"/>
        <w:jc w:val="left"/>
        <w:rPr>
          <w:rFonts w:hAnsi="宋体"/>
          <w:kern w:val="0"/>
          <w:szCs w:val="21"/>
        </w:rPr>
      </w:pPr>
      <w:r>
        <w:rPr>
          <w:rFonts w:hint="eastAsia" w:hAnsi="宋体"/>
          <w:kern w:val="0"/>
          <w:szCs w:val="21"/>
        </w:rPr>
        <w:t>通过查阅资料学习，能够初步了解园艺相关的实验技能。</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widowControl/>
        <w:snapToGrid w:val="0"/>
        <w:spacing w:line="360" w:lineRule="auto"/>
        <w:ind w:firstLine="420" w:firstLineChars="200"/>
        <w:jc w:val="left"/>
        <w:rPr>
          <w:rFonts w:ascii="宋体" w:hAnsi="宋体"/>
          <w:szCs w:val="21"/>
        </w:rPr>
      </w:pPr>
      <w:r>
        <w:rPr>
          <w:rFonts w:hint="eastAsia" w:ascii="宋体" w:hAnsi="宋体"/>
          <w:szCs w:val="21"/>
        </w:rPr>
        <w:t>基于</w:t>
      </w:r>
      <w:r>
        <w:rPr>
          <w:rFonts w:ascii="宋体" w:hAnsi="宋体"/>
          <w:szCs w:val="21"/>
        </w:rPr>
        <w:t>新农科背景下，《</w:t>
      </w:r>
      <w:r>
        <w:rPr>
          <w:rFonts w:hint="eastAsia" w:ascii="宋体" w:hAnsi="宋体"/>
          <w:szCs w:val="21"/>
        </w:rPr>
        <w:t>现代园艺导论</w:t>
      </w:r>
      <w:r>
        <w:rPr>
          <w:rFonts w:ascii="宋体" w:hAnsi="宋体"/>
          <w:szCs w:val="21"/>
        </w:rPr>
        <w:t>》</w:t>
      </w:r>
      <w:r>
        <w:rPr>
          <w:rFonts w:hint="eastAsia" w:ascii="宋体" w:hAnsi="宋体"/>
          <w:szCs w:val="21"/>
        </w:rPr>
        <w:t>课程教学是紧紧围绕</w:t>
      </w:r>
      <w:r>
        <w:rPr>
          <w:rFonts w:ascii="宋体" w:hAnsi="宋体"/>
          <w:szCs w:val="21"/>
        </w:rPr>
        <w:t>教育部</w:t>
      </w:r>
      <w:r>
        <w:rPr>
          <w:rFonts w:hint="eastAsia" w:ascii="宋体" w:hAnsi="宋体"/>
          <w:szCs w:val="21"/>
        </w:rPr>
        <w:t>提出</w:t>
      </w:r>
      <w:r>
        <w:rPr>
          <w:rFonts w:ascii="宋体" w:hAnsi="宋体"/>
          <w:szCs w:val="21"/>
        </w:rPr>
        <w:t>的“</w:t>
      </w:r>
      <w:r>
        <w:rPr>
          <w:rFonts w:hint="eastAsia" w:ascii="宋体" w:hAnsi="宋体"/>
          <w:szCs w:val="21"/>
        </w:rPr>
        <w:t>两性一度</w:t>
      </w:r>
      <w:r>
        <w:rPr>
          <w:rFonts w:ascii="宋体" w:hAnsi="宋体"/>
          <w:szCs w:val="21"/>
        </w:rPr>
        <w:t>”</w:t>
      </w:r>
      <w:r>
        <w:rPr>
          <w:rFonts w:hint="eastAsia" w:ascii="宋体" w:hAnsi="宋体"/>
          <w:szCs w:val="21"/>
        </w:rPr>
        <w:t>新</w:t>
      </w:r>
      <w:r>
        <w:rPr>
          <w:rFonts w:ascii="宋体" w:hAnsi="宋体"/>
          <w:szCs w:val="21"/>
        </w:rPr>
        <w:t>要求</w:t>
      </w:r>
      <w:r>
        <w:rPr>
          <w:rFonts w:hint="eastAsia" w:ascii="宋体" w:hAnsi="宋体"/>
          <w:szCs w:val="21"/>
        </w:rPr>
        <w:t>而进行</w:t>
      </w:r>
      <w:r>
        <w:rPr>
          <w:rFonts w:ascii="宋体" w:hAnsi="宋体"/>
          <w:szCs w:val="21"/>
        </w:rPr>
        <w:t>设计的</w:t>
      </w:r>
      <w:r>
        <w:rPr>
          <w:rFonts w:hint="eastAsia" w:ascii="宋体" w:hAnsi="宋体"/>
          <w:szCs w:val="21"/>
        </w:rPr>
        <w:t>，</w:t>
      </w:r>
      <w:r>
        <w:rPr>
          <w:rFonts w:ascii="宋体" w:hAnsi="宋体"/>
          <w:szCs w:val="21"/>
        </w:rPr>
        <w:t>体现出</w:t>
      </w:r>
      <w:r>
        <w:rPr>
          <w:rFonts w:hint="eastAsia" w:ascii="宋体" w:hAnsi="宋体"/>
          <w:szCs w:val="21"/>
        </w:rPr>
        <w:t>“高阶性</w:t>
      </w:r>
      <w:r>
        <w:rPr>
          <w:rFonts w:ascii="宋体" w:hAnsi="宋体"/>
          <w:szCs w:val="21"/>
        </w:rPr>
        <w:t>、创新性和挑战度</w:t>
      </w:r>
      <w:r>
        <w:rPr>
          <w:rFonts w:hint="eastAsia" w:ascii="宋体" w:hAnsi="宋体"/>
          <w:szCs w:val="21"/>
        </w:rPr>
        <w:t>”</w:t>
      </w:r>
      <w:r>
        <w:rPr>
          <w:rFonts w:ascii="宋体" w:hAnsi="宋体"/>
          <w:szCs w:val="21"/>
        </w:rPr>
        <w:t>。</w:t>
      </w:r>
      <w:r>
        <w:rPr>
          <w:rFonts w:hint="eastAsia" w:ascii="宋体" w:hAnsi="宋体"/>
          <w:szCs w:val="21"/>
        </w:rPr>
        <w:t xml:space="preserve"> </w:t>
      </w:r>
    </w:p>
    <w:p>
      <w:pPr>
        <w:spacing w:line="360" w:lineRule="auto"/>
        <w:ind w:firstLine="420" w:firstLineChars="200"/>
        <w:rPr>
          <w:szCs w:val="21"/>
        </w:rPr>
      </w:pPr>
      <w:r>
        <w:rPr>
          <w:rFonts w:hint="eastAsia" w:ascii="宋体" w:hAnsi="宋体"/>
          <w:szCs w:val="21"/>
        </w:rPr>
        <w:t>在</w:t>
      </w:r>
      <w:r>
        <w:rPr>
          <w:rFonts w:ascii="宋体" w:hAnsi="宋体"/>
          <w:szCs w:val="21"/>
        </w:rPr>
        <w:t>教学目标</w:t>
      </w:r>
      <w:r>
        <w:rPr>
          <w:rFonts w:hint="eastAsia" w:ascii="宋体" w:hAnsi="宋体"/>
          <w:szCs w:val="21"/>
        </w:rPr>
        <w:t>达成</w:t>
      </w:r>
      <w:r>
        <w:rPr>
          <w:rFonts w:ascii="宋体" w:hAnsi="宋体"/>
          <w:szCs w:val="21"/>
        </w:rPr>
        <w:t>上</w:t>
      </w:r>
      <w:r>
        <w:rPr>
          <w:rFonts w:hint="eastAsia" w:ascii="宋体" w:hAnsi="宋体"/>
          <w:szCs w:val="21"/>
        </w:rPr>
        <w:t>，要求</w:t>
      </w:r>
      <w:r>
        <w:rPr>
          <w:rFonts w:ascii="宋体" w:hAnsi="宋体"/>
          <w:szCs w:val="21"/>
        </w:rPr>
        <w:t>完成知识、能力和素质三个维度的教学目标</w:t>
      </w:r>
      <w:r>
        <w:rPr>
          <w:rFonts w:hint="eastAsia" w:ascii="宋体" w:hAnsi="宋体"/>
          <w:szCs w:val="21"/>
        </w:rPr>
        <w:t>。首先</w:t>
      </w:r>
      <w:r>
        <w:rPr>
          <w:rFonts w:ascii="宋体" w:hAnsi="宋体"/>
          <w:szCs w:val="21"/>
        </w:rPr>
        <w:t>在知识目标达成上，要求同学们能够熟练掌握</w:t>
      </w:r>
      <w:r>
        <w:rPr>
          <w:rFonts w:hint="eastAsia" w:ascii="宋体" w:hAnsi="宋体"/>
          <w:szCs w:val="21"/>
        </w:rPr>
        <w:t>现代果园、菜园、茶园建设，栽培管理，采后处理，并能够不断</w:t>
      </w:r>
      <w:r>
        <w:rPr>
          <w:rFonts w:ascii="宋体" w:hAnsi="宋体"/>
          <w:szCs w:val="21"/>
        </w:rPr>
        <w:t>创新</w:t>
      </w:r>
      <w:r>
        <w:rPr>
          <w:rFonts w:hint="eastAsia" w:ascii="宋体" w:hAnsi="宋体"/>
          <w:szCs w:val="21"/>
        </w:rPr>
        <w:t>栽培管理</w:t>
      </w:r>
      <w:r>
        <w:rPr>
          <w:rFonts w:ascii="宋体" w:hAnsi="宋体"/>
          <w:szCs w:val="21"/>
        </w:rPr>
        <w:t>技术。</w:t>
      </w:r>
      <w:r>
        <w:rPr>
          <w:rFonts w:hint="eastAsia" w:ascii="宋体" w:hAnsi="宋体"/>
          <w:szCs w:val="21"/>
        </w:rPr>
        <w:t>在</w:t>
      </w:r>
      <w:r>
        <w:rPr>
          <w:rFonts w:ascii="宋体" w:hAnsi="宋体"/>
          <w:szCs w:val="21"/>
        </w:rPr>
        <w:t>能力目标达成上，要求同学们能运用</w:t>
      </w:r>
      <w:r>
        <w:rPr>
          <w:rFonts w:hint="eastAsia" w:ascii="宋体" w:hAnsi="宋体"/>
          <w:szCs w:val="21"/>
        </w:rPr>
        <w:t>创新</w:t>
      </w:r>
      <w:r>
        <w:rPr>
          <w:rFonts w:ascii="宋体" w:hAnsi="宋体"/>
          <w:szCs w:val="21"/>
        </w:rPr>
        <w:t>思维，</w:t>
      </w:r>
      <w:r>
        <w:rPr>
          <w:rFonts w:hint="eastAsia" w:ascii="宋体" w:hAnsi="宋体"/>
          <w:szCs w:val="21"/>
        </w:rPr>
        <w:t>提出现代园艺种植及采后处理中的新技术、新目标</w:t>
      </w:r>
      <w:r>
        <w:rPr>
          <w:szCs w:val="21"/>
        </w:rPr>
        <w:t>。</w:t>
      </w:r>
      <w:r>
        <w:rPr>
          <w:rFonts w:hint="eastAsia"/>
          <w:szCs w:val="21"/>
        </w:rPr>
        <w:t>在</w:t>
      </w:r>
      <w:r>
        <w:rPr>
          <w:szCs w:val="21"/>
        </w:rPr>
        <w:t>素质目标达成上，通过本课程的学习，</w:t>
      </w:r>
      <w:r>
        <w:rPr>
          <w:rFonts w:hint="eastAsia"/>
          <w:szCs w:val="21"/>
        </w:rPr>
        <w:t>要</w:t>
      </w:r>
      <w:r>
        <w:rPr>
          <w:szCs w:val="21"/>
        </w:rPr>
        <w:t>一方面增强同学们的民族自豪感和文化自信；另一方面培养学生懂得细节决定成败、个人发展与集体发展的认知观。</w:t>
      </w:r>
    </w:p>
    <w:p>
      <w:pPr>
        <w:spacing w:line="360" w:lineRule="auto"/>
        <w:ind w:firstLine="420" w:firstLineChars="200"/>
        <w:rPr>
          <w:szCs w:val="21"/>
        </w:rPr>
      </w:pPr>
      <w:r>
        <w:rPr>
          <w:rFonts w:hint="eastAsia"/>
          <w:szCs w:val="21"/>
        </w:rPr>
        <w:t>在教学</w:t>
      </w:r>
      <w:r>
        <w:rPr>
          <w:szCs w:val="21"/>
        </w:rPr>
        <w:t>组织实施过程</w:t>
      </w:r>
      <w:r>
        <w:rPr>
          <w:rFonts w:hint="eastAsia"/>
          <w:szCs w:val="21"/>
        </w:rPr>
        <w:t>中，首先构建“</w:t>
      </w:r>
      <w:r>
        <w:rPr>
          <w:szCs w:val="21"/>
        </w:rPr>
        <w:t>线上</w:t>
      </w:r>
      <w:r>
        <w:rPr>
          <w:rFonts w:hint="eastAsia"/>
          <w:szCs w:val="21"/>
        </w:rPr>
        <w:t>+线下、</w:t>
      </w:r>
      <w:r>
        <w:rPr>
          <w:szCs w:val="21"/>
        </w:rPr>
        <w:t>校内</w:t>
      </w:r>
      <w:r>
        <w:rPr>
          <w:rFonts w:hint="eastAsia"/>
          <w:szCs w:val="21"/>
        </w:rPr>
        <w:t>+校外”</w:t>
      </w:r>
      <w:r>
        <w:rPr>
          <w:szCs w:val="21"/>
        </w:rPr>
        <w:t>立体化的教学资源</w:t>
      </w:r>
      <w:r>
        <w:rPr>
          <w:rFonts w:hint="eastAsia"/>
          <w:szCs w:val="21"/>
        </w:rPr>
        <w:t>，</w:t>
      </w:r>
      <w:r>
        <w:rPr>
          <w:szCs w:val="21"/>
        </w:rPr>
        <w:t>保障教学目标的实现</w:t>
      </w:r>
      <w:r>
        <w:rPr>
          <w:rFonts w:hint="eastAsia"/>
          <w:szCs w:val="21"/>
        </w:rPr>
        <w:t>。</w:t>
      </w:r>
      <w:r>
        <w:rPr>
          <w:szCs w:val="21"/>
        </w:rPr>
        <w:t>其次</w:t>
      </w:r>
      <w:r>
        <w:rPr>
          <w:rFonts w:hint="eastAsia"/>
          <w:szCs w:val="21"/>
        </w:rPr>
        <w:t>是</w:t>
      </w:r>
      <w:r>
        <w:rPr>
          <w:szCs w:val="21"/>
        </w:rPr>
        <w:t>采用线下线上相结合的混合式</w:t>
      </w:r>
      <w:r>
        <w:rPr>
          <w:rFonts w:hint="eastAsia"/>
          <w:szCs w:val="21"/>
        </w:rPr>
        <w:t>及</w:t>
      </w:r>
      <w:r>
        <w:rPr>
          <w:szCs w:val="21"/>
        </w:rPr>
        <w:t>翻转课堂教学</w:t>
      </w:r>
      <w:r>
        <w:rPr>
          <w:rFonts w:hint="eastAsia"/>
          <w:szCs w:val="21"/>
        </w:rPr>
        <w:t>模式，激发</w:t>
      </w:r>
      <w:r>
        <w:rPr>
          <w:szCs w:val="21"/>
        </w:rPr>
        <w:t>同学</w:t>
      </w:r>
      <w:r>
        <w:rPr>
          <w:rFonts w:hint="eastAsia"/>
          <w:szCs w:val="21"/>
        </w:rPr>
        <w:t>们</w:t>
      </w:r>
      <w:r>
        <w:rPr>
          <w:szCs w:val="21"/>
        </w:rPr>
        <w:t>的学习兴趣。再次是</w:t>
      </w:r>
      <w:r>
        <w:rPr>
          <w:rFonts w:hint="eastAsia"/>
          <w:szCs w:val="21"/>
        </w:rPr>
        <w:t>采用</w:t>
      </w:r>
      <w:r>
        <w:rPr>
          <w:szCs w:val="21"/>
        </w:rPr>
        <w:t>启发</w:t>
      </w:r>
      <w:r>
        <w:rPr>
          <w:rFonts w:hint="eastAsia"/>
          <w:szCs w:val="21"/>
        </w:rPr>
        <w:t>式</w:t>
      </w:r>
      <w:r>
        <w:rPr>
          <w:szCs w:val="21"/>
        </w:rPr>
        <w:t>、分组讨论式</w:t>
      </w:r>
      <w:r>
        <w:rPr>
          <w:rFonts w:hint="eastAsia"/>
          <w:szCs w:val="21"/>
        </w:rPr>
        <w:t>、</w:t>
      </w:r>
      <w:r>
        <w:rPr>
          <w:szCs w:val="21"/>
        </w:rPr>
        <w:t>任务驱动等</w:t>
      </w:r>
      <w:r>
        <w:rPr>
          <w:rFonts w:hint="eastAsia"/>
          <w:szCs w:val="21"/>
        </w:rPr>
        <w:t>多元化</w:t>
      </w:r>
      <w:r>
        <w:rPr>
          <w:szCs w:val="21"/>
        </w:rPr>
        <w:t>的教学方法，引导学生主动学习。</w:t>
      </w:r>
      <w:r>
        <w:rPr>
          <w:rFonts w:hint="eastAsia"/>
          <w:szCs w:val="21"/>
        </w:rPr>
        <w:t>最后采用互动讨论、布置作业</w:t>
      </w:r>
      <w:r>
        <w:rPr>
          <w:szCs w:val="21"/>
        </w:rPr>
        <w:t>、</w:t>
      </w:r>
      <w:r>
        <w:rPr>
          <w:rFonts w:hint="eastAsia"/>
          <w:szCs w:val="21"/>
        </w:rPr>
        <w:t>期中考试等过程性评价</w:t>
      </w:r>
      <w:r>
        <w:rPr>
          <w:szCs w:val="21"/>
        </w:rPr>
        <w:t>，</w:t>
      </w:r>
      <w:r>
        <w:rPr>
          <w:rFonts w:hint="eastAsia"/>
          <w:szCs w:val="21"/>
        </w:rPr>
        <w:t>及时发现阶段性教学效果。</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both"/>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ascii="宋体" w:hAnsi="宋体"/>
                <w:color w:val="000000"/>
                <w:sz w:val="18"/>
                <w:szCs w:val="18"/>
              </w:rPr>
            </w:pPr>
            <w:r>
              <w:rPr>
                <w:rFonts w:ascii="宋体" w:hAnsi="宋体"/>
                <w:color w:val="000000"/>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rPr>
                <w:rFonts w:ascii="宋体" w:hAnsi="宋体"/>
                <w:color w:val="000000"/>
                <w:sz w:val="18"/>
                <w:szCs w:val="18"/>
              </w:rPr>
            </w:pPr>
            <w:r>
              <w:rPr>
                <w:rFonts w:hint="eastAsia" w:ascii="宋体" w:hAnsi="宋体"/>
                <w:color w:val="000000"/>
                <w:sz w:val="18"/>
                <w:szCs w:val="18"/>
              </w:rPr>
              <w:t>课程目标与毕业要求衔接一致。</w:t>
            </w:r>
            <w:r>
              <w:rPr>
                <w:rFonts w:ascii="宋体" w:hAnsi="宋体"/>
                <w:color w:val="000000"/>
                <w:sz w:val="18"/>
                <w:szCs w:val="18"/>
              </w:rPr>
              <w:t>课程目标</w:t>
            </w:r>
            <w:r>
              <w:rPr>
                <w:rFonts w:hint="eastAsia" w:ascii="宋体" w:hAnsi="宋体"/>
                <w:color w:val="000000"/>
                <w:sz w:val="18"/>
                <w:szCs w:val="18"/>
              </w:rPr>
              <w:t>首先培养学生正确的价值观和理想信念，要求同学们掌握本专业的基本知识和技能，具有宽阔的国际视野和大国三农的爱国情怀。</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ascii="宋体" w:hAnsi="宋体"/>
                <w:color w:val="000000"/>
                <w:sz w:val="18"/>
                <w:szCs w:val="18"/>
              </w:rPr>
            </w:pPr>
            <w:r>
              <w:rPr>
                <w:rFonts w:ascii="宋体" w:hAnsi="宋体"/>
                <w:color w:val="000000"/>
                <w:sz w:val="18"/>
                <w:szCs w:val="18"/>
              </w:rPr>
              <w:t>1</w:t>
            </w:r>
          </w:p>
          <w:p>
            <w:pPr>
              <w:spacing w:line="320" w:lineRule="exact"/>
              <w:ind w:firstLine="360"/>
              <w:jc w:val="both"/>
              <w:rPr>
                <w:rFonts w:hint="eastAsia" w:ascii="宋体" w:hAnsi="宋体"/>
                <w:color w:val="000000"/>
                <w:sz w:val="18"/>
                <w:szCs w:val="18"/>
              </w:rPr>
            </w:pPr>
            <w:r>
              <w:rPr>
                <w:rFonts w:hint="eastAsia" w:ascii="宋体" w:hAnsi="宋体"/>
                <w:color w:val="000000"/>
                <w:sz w:val="18"/>
                <w:szCs w:val="18"/>
              </w:rPr>
              <w:t>2</w:t>
            </w:r>
          </w:p>
          <w:p>
            <w:pPr>
              <w:spacing w:line="320" w:lineRule="exact"/>
              <w:ind w:firstLine="360"/>
              <w:jc w:val="both"/>
              <w:rPr>
                <w:rFonts w:ascii="宋体" w:hAnsi="宋体"/>
                <w:color w:val="000000"/>
                <w:sz w:val="18"/>
                <w:szCs w:val="18"/>
              </w:rPr>
            </w:pPr>
            <w:r>
              <w:rPr>
                <w:rFonts w:hint="eastAsia" w:ascii="宋体" w:hAnsi="宋体"/>
                <w:color w:val="000000"/>
                <w:sz w:val="18"/>
                <w:szCs w:val="18"/>
              </w:rPr>
              <w:t>8</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ascii="宋体" w:hAnsi="宋体"/>
                <w:color w:val="000000"/>
                <w:sz w:val="18"/>
                <w:szCs w:val="18"/>
              </w:rPr>
            </w:pPr>
            <w:r>
              <w:rPr>
                <w:rFonts w:ascii="宋体" w:hAnsi="宋体"/>
                <w:color w:val="000000"/>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rPr>
                <w:rFonts w:ascii="宋体" w:hAnsi="宋体"/>
                <w:color w:val="000000"/>
                <w:sz w:val="18"/>
                <w:szCs w:val="18"/>
              </w:rPr>
            </w:pPr>
            <w:r>
              <w:rPr>
                <w:rFonts w:hint="eastAsia" w:ascii="宋体" w:hAnsi="宋体"/>
                <w:color w:val="000000"/>
                <w:sz w:val="18"/>
                <w:szCs w:val="18"/>
              </w:rPr>
              <w:t>了解园艺、园艺学、园艺业的概念、园艺作物的种类。了解园艺产品规模、供求关系分析，园艺产业的经济效益和社会效益等。全面了解高新技术在园艺业中的应用。</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ascii="宋体" w:hAnsi="宋体"/>
                <w:color w:val="000000"/>
                <w:sz w:val="18"/>
                <w:szCs w:val="18"/>
              </w:rPr>
            </w:pPr>
            <w:r>
              <w:rPr>
                <w:rFonts w:ascii="宋体" w:hAnsi="宋体"/>
                <w:color w:val="000000"/>
                <w:sz w:val="18"/>
                <w:szCs w:val="18"/>
              </w:rPr>
              <w:t>3</w:t>
            </w:r>
          </w:p>
          <w:p>
            <w:pPr>
              <w:spacing w:line="320" w:lineRule="exact"/>
              <w:ind w:firstLine="360"/>
              <w:jc w:val="both"/>
              <w:rPr>
                <w:rFonts w:hint="eastAsia" w:ascii="宋体" w:hAnsi="宋体"/>
                <w:color w:val="000000"/>
                <w:sz w:val="18"/>
                <w:szCs w:val="18"/>
              </w:rPr>
            </w:pPr>
            <w:r>
              <w:rPr>
                <w:rFonts w:hint="eastAsia" w:ascii="宋体" w:hAnsi="宋体"/>
                <w:color w:val="000000"/>
                <w:sz w:val="18"/>
                <w:szCs w:val="18"/>
              </w:rPr>
              <w:t>4</w:t>
            </w:r>
          </w:p>
          <w:p>
            <w:pPr>
              <w:spacing w:line="320" w:lineRule="exact"/>
              <w:ind w:firstLine="360"/>
              <w:jc w:val="both"/>
              <w:rPr>
                <w:rFonts w:ascii="宋体" w:hAnsi="宋体"/>
                <w:color w:val="000000"/>
                <w:sz w:val="18"/>
                <w:szCs w:val="18"/>
              </w:rPr>
            </w:pPr>
            <w:r>
              <w:rPr>
                <w:rFonts w:hint="eastAsia" w:ascii="宋体" w:hAnsi="宋体"/>
                <w:color w:val="000000"/>
                <w:sz w:val="18"/>
                <w:szCs w:val="18"/>
              </w:rPr>
              <w:t>7</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ascii="宋体" w:hAnsi="宋体"/>
                <w:color w:val="000000"/>
                <w:sz w:val="18"/>
                <w:szCs w:val="18"/>
              </w:rPr>
            </w:pPr>
            <w:r>
              <w:rPr>
                <w:rFonts w:ascii="宋体" w:hAnsi="宋体"/>
                <w:color w:val="000000"/>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tabs>
                <w:tab w:val="left" w:pos="540"/>
              </w:tabs>
              <w:snapToGrid w:val="0"/>
              <w:spacing w:line="320" w:lineRule="exact"/>
              <w:ind w:firstLine="360" w:firstLineChars="200"/>
              <w:rPr>
                <w:rFonts w:ascii="宋体" w:hAnsi="宋体"/>
                <w:color w:val="000000"/>
                <w:sz w:val="18"/>
                <w:szCs w:val="18"/>
              </w:rPr>
            </w:pPr>
            <w:r>
              <w:rPr>
                <w:rFonts w:ascii="宋体" w:hAnsi="宋体"/>
                <w:color w:val="000000"/>
                <w:sz w:val="18"/>
                <w:szCs w:val="18"/>
              </w:rPr>
              <w:t>通过学生反思、师生交流</w:t>
            </w:r>
            <w:r>
              <w:rPr>
                <w:rFonts w:hint="eastAsia" w:ascii="宋体" w:hAnsi="宋体"/>
                <w:color w:val="000000"/>
                <w:sz w:val="18"/>
                <w:szCs w:val="18"/>
              </w:rPr>
              <w:t>、</w:t>
            </w:r>
            <w:r>
              <w:rPr>
                <w:rFonts w:ascii="宋体" w:hAnsi="宋体"/>
                <w:color w:val="000000"/>
                <w:sz w:val="18"/>
                <w:szCs w:val="18"/>
              </w:rPr>
              <w:t>项目实践</w:t>
            </w:r>
            <w:r>
              <w:rPr>
                <w:rFonts w:hint="eastAsia" w:ascii="宋体" w:hAnsi="宋体"/>
                <w:color w:val="000000"/>
                <w:sz w:val="18"/>
                <w:szCs w:val="18"/>
              </w:rPr>
              <w:t>和</w:t>
            </w:r>
            <w:r>
              <w:rPr>
                <w:rFonts w:ascii="宋体" w:hAnsi="宋体"/>
                <w:color w:val="000000"/>
                <w:sz w:val="18"/>
                <w:szCs w:val="18"/>
              </w:rPr>
              <w:t>拓展讨论，</w:t>
            </w:r>
            <w:r>
              <w:rPr>
                <w:rFonts w:hint="eastAsia" w:ascii="宋体" w:hAnsi="宋体"/>
                <w:color w:val="000000"/>
                <w:sz w:val="18"/>
                <w:szCs w:val="18"/>
              </w:rPr>
              <w:t>了解生物技术、信息技术在园艺产业中的应用，植物工厂，航天育种等。</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ascii="宋体" w:hAnsi="宋体"/>
                <w:color w:val="000000"/>
                <w:sz w:val="18"/>
                <w:szCs w:val="18"/>
              </w:rPr>
            </w:pPr>
            <w:r>
              <w:rPr>
                <w:rFonts w:ascii="宋体" w:hAnsi="宋体"/>
                <w:color w:val="000000"/>
                <w:sz w:val="18"/>
                <w:szCs w:val="18"/>
              </w:rPr>
              <w:t>5</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ascii="宋体" w:hAnsi="宋体"/>
                <w:color w:val="000000"/>
                <w:sz w:val="18"/>
                <w:szCs w:val="18"/>
              </w:rPr>
            </w:pPr>
            <w:r>
              <w:rPr>
                <w:rFonts w:hint="eastAsia" w:ascii="宋体" w:hAnsi="宋体"/>
                <w:color w:val="000000"/>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rPr>
                <w:rFonts w:ascii="宋体" w:hAnsi="宋体"/>
                <w:color w:val="000000"/>
                <w:sz w:val="18"/>
                <w:szCs w:val="18"/>
              </w:rPr>
            </w:pPr>
            <w:r>
              <w:rPr>
                <w:rFonts w:hint="eastAsia" w:ascii="宋体" w:hAnsi="宋体"/>
                <w:color w:val="000000"/>
                <w:sz w:val="18"/>
                <w:szCs w:val="18"/>
              </w:rPr>
              <w:t>培育学生守正创新理念，弘扬大国工匠精神。坚持“绿水青山就是金山银山”的</w:t>
            </w:r>
            <w:r>
              <w:rPr>
                <w:rFonts w:ascii="宋体" w:hAnsi="宋体"/>
                <w:color w:val="000000"/>
                <w:sz w:val="18"/>
                <w:szCs w:val="18"/>
              </w:rPr>
              <w:t>发展理念</w:t>
            </w:r>
            <w:r>
              <w:rPr>
                <w:rFonts w:hint="eastAsia" w:ascii="宋体" w:hAnsi="宋体"/>
                <w:color w:val="000000"/>
                <w:sz w:val="18"/>
                <w:szCs w:val="18"/>
              </w:rPr>
              <w:t xml:space="preserve">，培养学生的责任意识与家国情怀。 </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hint="eastAsia" w:ascii="宋体" w:hAnsi="宋体"/>
                <w:color w:val="000000"/>
                <w:sz w:val="18"/>
                <w:szCs w:val="18"/>
              </w:rPr>
            </w:pPr>
            <w:r>
              <w:rPr>
                <w:rFonts w:hint="eastAsia" w:ascii="宋体" w:hAnsi="宋体"/>
                <w:color w:val="000000"/>
                <w:sz w:val="18"/>
                <w:szCs w:val="18"/>
              </w:rPr>
              <w:t>6</w:t>
            </w:r>
          </w:p>
          <w:p>
            <w:pPr>
              <w:spacing w:line="320" w:lineRule="exact"/>
              <w:ind w:firstLine="360"/>
              <w:jc w:val="both"/>
              <w:rPr>
                <w:rFonts w:hint="eastAsia" w:ascii="宋体" w:hAnsi="宋体"/>
                <w:color w:val="000000"/>
                <w:sz w:val="18"/>
                <w:szCs w:val="18"/>
              </w:rPr>
            </w:pPr>
            <w:r>
              <w:rPr>
                <w:rFonts w:hint="eastAsia" w:ascii="宋体" w:hAnsi="宋体"/>
                <w:color w:val="000000"/>
                <w:sz w:val="18"/>
                <w:szCs w:val="18"/>
              </w:rPr>
              <w:t>9</w:t>
            </w:r>
          </w:p>
          <w:p>
            <w:pPr>
              <w:spacing w:line="320" w:lineRule="exact"/>
              <w:ind w:firstLine="360"/>
              <w:jc w:val="both"/>
              <w:rPr>
                <w:rFonts w:ascii="宋体" w:hAnsi="宋体"/>
                <w:color w:val="000000"/>
                <w:sz w:val="18"/>
                <w:szCs w:val="18"/>
              </w:rPr>
            </w:pPr>
            <w:r>
              <w:rPr>
                <w:rFonts w:hint="eastAsia" w:ascii="宋体" w:hAnsi="宋体"/>
                <w:color w:val="000000"/>
                <w:sz w:val="18"/>
                <w:szCs w:val="18"/>
              </w:rPr>
              <w:t>1</w:t>
            </w:r>
            <w:r>
              <w:rPr>
                <w:rFonts w:ascii="宋体" w:hAnsi="宋体"/>
                <w:color w:val="000000"/>
                <w:sz w:val="18"/>
                <w:szCs w:val="18"/>
              </w:rPr>
              <w:t>0</w:t>
            </w:r>
          </w:p>
        </w:tc>
      </w:tr>
    </w:tbl>
    <w:p>
      <w:pPr>
        <w:widowControl/>
        <w:snapToGrid w:val="0"/>
        <w:spacing w:line="360" w:lineRule="auto"/>
        <w:jc w:val="left"/>
        <w:rPr>
          <w:rFonts w:hAnsi="宋体"/>
          <w:bCs/>
          <w:color w:val="0000FF"/>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hAnsi="宋体"/>
          <w:b/>
          <w:bCs/>
          <w:kern w:val="0"/>
          <w:szCs w:val="21"/>
        </w:rPr>
        <w:t>24</w:t>
      </w:r>
      <w:r>
        <w:rPr>
          <w:rFonts w:hint="eastAsia" w:hAnsi="宋体"/>
          <w:b/>
          <w:bCs/>
          <w:kern w:val="0"/>
          <w:szCs w:val="21"/>
        </w:rPr>
        <w:t>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color w:val="000000"/>
                <w:szCs w:val="21"/>
              </w:rPr>
            </w:pPr>
            <w:r>
              <w:rPr>
                <w:rFonts w:hAnsi="宋体"/>
                <w:b/>
                <w:bCs/>
                <w:color w:val="000000"/>
                <w:szCs w:val="21"/>
              </w:rPr>
              <w:t>第一章</w:t>
            </w:r>
            <w:r>
              <w:rPr>
                <w:rFonts w:hint="eastAsia"/>
                <w:b/>
                <w:bCs/>
                <w:color w:val="000000"/>
                <w:szCs w:val="21"/>
              </w:rPr>
              <w:t xml:space="preserve">  </w:t>
            </w:r>
            <w:r>
              <w:rPr>
                <w:rFonts w:hint="eastAsia"/>
                <w:b/>
                <w:color w:val="000000"/>
                <w:szCs w:val="21"/>
              </w:rPr>
              <w:t>园艺让生活更美好</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color w:val="000000"/>
                <w:szCs w:val="21"/>
              </w:rPr>
            </w:pPr>
            <w:r>
              <w:rPr>
                <w:rFonts w:hAnsi="宋体"/>
                <w:b/>
                <w:bCs/>
                <w:color w:val="000000"/>
                <w:szCs w:val="21"/>
              </w:rPr>
              <w:t>学时</w:t>
            </w:r>
            <w:r>
              <w:rPr>
                <w:rFonts w:hint="eastAsia" w:hAnsi="宋体"/>
                <w:b/>
                <w:bCs/>
                <w:color w:val="000000"/>
                <w:szCs w:val="21"/>
              </w:rPr>
              <w:t>数：</w:t>
            </w:r>
            <w:r>
              <w:rPr>
                <w:rFonts w:hAnsi="宋体"/>
                <w:b/>
                <w:bCs/>
                <w:color w:val="000000"/>
                <w:szCs w:val="21"/>
              </w:rPr>
              <w:t>2</w:t>
            </w:r>
          </w:p>
        </w:tc>
      </w:tr>
    </w:tbl>
    <w:p>
      <w:pPr>
        <w:snapToGrid w:val="0"/>
        <w:spacing w:line="360" w:lineRule="auto"/>
        <w:rPr>
          <w:rFonts w:ascii="宋体" w:hAnsi="宋体"/>
          <w:b/>
          <w:bCs/>
        </w:rPr>
      </w:pPr>
      <w:r>
        <w:rPr>
          <w:rFonts w:ascii="宋体" w:hAnsi="宋体"/>
          <w:b/>
          <w:bCs/>
        </w:rPr>
        <w:t>第一节</w:t>
      </w:r>
      <w:r>
        <w:rPr>
          <w:rFonts w:hint="eastAsia" w:ascii="宋体" w:hAnsi="宋体"/>
          <w:b/>
          <w:bCs/>
        </w:rPr>
        <w:t xml:space="preserve">  认识园艺</w:t>
      </w:r>
    </w:p>
    <w:p>
      <w:pPr>
        <w:widowControl/>
        <w:snapToGrid w:val="0"/>
        <w:spacing w:line="360" w:lineRule="auto"/>
        <w:rPr>
          <w:rFonts w:ascii="宋体" w:hAnsi="宋体"/>
          <w:color w:val="000000"/>
          <w:szCs w:val="20"/>
        </w:rPr>
      </w:pPr>
      <w:r>
        <w:rPr>
          <w:rFonts w:hint="eastAsia" w:ascii="宋体" w:hAnsi="宋体"/>
          <w:b/>
          <w:bCs/>
        </w:rPr>
        <w:t>教学目标：</w:t>
      </w:r>
      <w:r>
        <w:rPr>
          <w:rFonts w:hint="eastAsia" w:ascii="宋体" w:hAnsi="宋体"/>
          <w:color w:val="000000"/>
          <w:szCs w:val="20"/>
        </w:rPr>
        <w:t>让学生全面了解植物生产类（园艺类）专业学习和研究范畴，培养学生的三农情怀和人文素养。</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园艺、园艺学、园艺业的概念、园艺作物的种类。</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hint="eastAsia" w:ascii="宋体" w:hAnsi="宋体"/>
          <w:szCs w:val="20"/>
        </w:rPr>
        <w:t>认识园艺、园艺作物的种类和研究范畴。</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w:t>
      </w:r>
      <w:r>
        <w:rPr>
          <w:rFonts w:hint="eastAsia" w:ascii="仿宋_GB2312" w:hAnsi="宋体"/>
          <w:kern w:val="0"/>
          <w:szCs w:val="21"/>
        </w:rPr>
        <w:t>园艺、园艺学、园艺业的概念、园艺作物的种类和园艺在农业中的地位</w:t>
      </w:r>
      <w:r>
        <w:rPr>
          <w:rFonts w:hint="eastAsia" w:ascii="宋体" w:hAnsi="宋体"/>
          <w:szCs w:val="20"/>
        </w:rPr>
        <w:t>。</w:t>
      </w:r>
    </w:p>
    <w:p>
      <w:pPr>
        <w:widowControl/>
        <w:snapToGrid w:val="0"/>
        <w:spacing w:line="360" w:lineRule="auto"/>
        <w:rPr>
          <w:rFonts w:ascii="宋体" w:hAnsi="宋体"/>
          <w:szCs w:val="20"/>
        </w:rPr>
      </w:pPr>
      <w:r>
        <w:rPr>
          <w:rFonts w:hint="eastAsia" w:ascii="宋体" w:hAnsi="宋体"/>
          <w:b/>
          <w:bCs/>
        </w:rPr>
        <w:t>教学组织与实施：</w:t>
      </w:r>
      <w:r>
        <w:rPr>
          <w:rFonts w:hint="eastAsia" w:ascii="宋体" w:hAnsi="宋体"/>
          <w:szCs w:val="20"/>
        </w:rPr>
        <w:t>教师讲解为主，辅助以教学视频，并随时与学生开展互动让学生加深对</w:t>
      </w:r>
      <w:r>
        <w:rPr>
          <w:rFonts w:hint="eastAsia" w:hAnsi="宋体"/>
          <w:kern w:val="0"/>
          <w:szCs w:val="21"/>
        </w:rPr>
        <w:t>植物生产类（园艺类）专业</w:t>
      </w:r>
      <w:r>
        <w:rPr>
          <w:rFonts w:hint="eastAsia" w:ascii="宋体" w:hAnsi="宋体"/>
          <w:szCs w:val="20"/>
        </w:rPr>
        <w:t>的兴趣。</w:t>
      </w:r>
    </w:p>
    <w:p>
      <w:pPr>
        <w:tabs>
          <w:tab w:val="left" w:pos="540"/>
        </w:tabs>
        <w:snapToGrid w:val="0"/>
        <w:spacing w:line="360" w:lineRule="auto"/>
        <w:rPr>
          <w:rFonts w:ascii="仿宋_GB2312" w:hAnsi="宋体"/>
          <w:b/>
          <w:bCs/>
          <w:kern w:val="0"/>
          <w:szCs w:val="21"/>
        </w:rPr>
      </w:pPr>
      <w:r>
        <w:rPr>
          <w:rFonts w:ascii="仿宋_GB2312" w:hAnsi="宋体"/>
          <w:b/>
          <w:kern w:val="0"/>
          <w:szCs w:val="21"/>
        </w:rPr>
        <w:t>第</w:t>
      </w:r>
      <w:r>
        <w:rPr>
          <w:rFonts w:hint="eastAsia" w:ascii="仿宋_GB2312" w:hAnsi="宋体"/>
          <w:b/>
          <w:kern w:val="0"/>
          <w:szCs w:val="21"/>
        </w:rPr>
        <w:t>二</w:t>
      </w:r>
      <w:r>
        <w:rPr>
          <w:rFonts w:ascii="仿宋_GB2312" w:hAnsi="宋体"/>
          <w:b/>
          <w:kern w:val="0"/>
          <w:szCs w:val="21"/>
        </w:rPr>
        <w:t>节</w:t>
      </w:r>
      <w:r>
        <w:rPr>
          <w:rFonts w:hint="eastAsia" w:ascii="仿宋_GB2312" w:hAnsi="宋体"/>
          <w:b/>
          <w:kern w:val="0"/>
          <w:szCs w:val="21"/>
        </w:rPr>
        <w:t xml:space="preserve">  </w:t>
      </w:r>
      <w:r>
        <w:rPr>
          <w:rFonts w:hint="eastAsia" w:ascii="仿宋_GB2312" w:hAnsi="宋体"/>
          <w:b/>
          <w:bCs/>
          <w:kern w:val="0"/>
          <w:szCs w:val="21"/>
        </w:rPr>
        <w:t>园艺业的社会经济作用</w:t>
      </w:r>
    </w:p>
    <w:p>
      <w:pPr>
        <w:snapToGrid w:val="0"/>
        <w:spacing w:line="360" w:lineRule="auto"/>
        <w:rPr>
          <w:b/>
          <w:bCs/>
        </w:rPr>
      </w:pPr>
      <w:r>
        <w:rPr>
          <w:rFonts w:hint="eastAsia" w:ascii="宋体" w:hAnsi="宋体"/>
          <w:b/>
          <w:bCs/>
        </w:rPr>
        <w:t>教学目标：</w:t>
      </w:r>
      <w:r>
        <w:rPr>
          <w:rFonts w:hint="eastAsia" w:hAnsi="宋体"/>
          <w:kern w:val="0"/>
          <w:szCs w:val="21"/>
        </w:rPr>
        <w:t>让学生了解园艺业的社会经济作用，树立专业信心，培养学生的理想信念和三农情怀。</w:t>
      </w:r>
    </w:p>
    <w:p>
      <w:pPr>
        <w:tabs>
          <w:tab w:val="left" w:pos="540"/>
        </w:tabs>
        <w:snapToGrid w:val="0"/>
        <w:spacing w:line="360" w:lineRule="auto"/>
        <w:rPr>
          <w:rFonts w:ascii="仿宋_GB2312" w:hAnsi="宋体"/>
          <w:b/>
          <w:bCs/>
          <w:kern w:val="0"/>
          <w:szCs w:val="21"/>
        </w:rPr>
      </w:pPr>
      <w:r>
        <w:rPr>
          <w:rFonts w:hint="eastAsia" w:ascii="宋体" w:hAnsi="宋体"/>
          <w:b/>
          <w:bCs/>
          <w:szCs w:val="20"/>
        </w:rPr>
        <w:t>教学重点和难点：</w:t>
      </w:r>
      <w:r>
        <w:rPr>
          <w:rFonts w:hint="eastAsia" w:ascii="仿宋_GB2312" w:hAnsi="宋体"/>
          <w:kern w:val="0"/>
          <w:szCs w:val="21"/>
        </w:rPr>
        <w:t>园艺产品规模、供求关系分析，园艺产业的经济效益和社会效益等。</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hint="eastAsia" w:ascii="仿宋_GB2312" w:hAnsi="宋体"/>
          <w:kern w:val="0"/>
          <w:szCs w:val="21"/>
        </w:rPr>
        <w:t>园艺产品规模、供求关系，园艺产业的经济效益、社会效益</w:t>
      </w:r>
      <w:r>
        <w:rPr>
          <w:rFonts w:hint="eastAsia" w:ascii="宋体" w:hAnsi="宋体"/>
          <w:szCs w:val="20"/>
        </w:rPr>
        <w:t>。</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w:t>
      </w:r>
      <w:r>
        <w:rPr>
          <w:rFonts w:hint="eastAsia" w:ascii="仿宋_GB2312" w:hAnsi="宋体"/>
          <w:kern w:val="0"/>
          <w:szCs w:val="21"/>
        </w:rPr>
        <w:t>园艺产业的社会经济作用</w:t>
      </w:r>
      <w:r>
        <w:rPr>
          <w:rFonts w:hint="eastAsia" w:ascii="宋体" w:hAnsi="宋体"/>
          <w:szCs w:val="20"/>
        </w:rPr>
        <w:t>。</w:t>
      </w:r>
    </w:p>
    <w:p>
      <w:pPr>
        <w:widowControl/>
        <w:snapToGrid w:val="0"/>
        <w:spacing w:line="360" w:lineRule="auto"/>
        <w:rPr>
          <w:rFonts w:ascii="宋体" w:hAnsi="宋体"/>
          <w:szCs w:val="20"/>
        </w:rPr>
      </w:pPr>
      <w:r>
        <w:rPr>
          <w:rFonts w:hint="eastAsia" w:ascii="宋体" w:hAnsi="宋体"/>
          <w:b/>
          <w:bCs/>
        </w:rPr>
        <w:t>教学组织与实施：</w:t>
      </w:r>
      <w:r>
        <w:rPr>
          <w:rFonts w:hint="eastAsia" w:ascii="宋体" w:hAnsi="宋体"/>
          <w:szCs w:val="20"/>
        </w:rPr>
        <w:t>教师讲解为主，辅助以教学视频，并随时与学生开展互动让学生初步了解中国园艺业影响世界，从而加深对</w:t>
      </w:r>
      <w:r>
        <w:rPr>
          <w:rFonts w:hint="eastAsia" w:hAnsi="宋体"/>
          <w:kern w:val="0"/>
          <w:szCs w:val="21"/>
        </w:rPr>
        <w:t>植物生产类（园艺类）专业</w:t>
      </w:r>
      <w:r>
        <w:rPr>
          <w:rFonts w:hint="eastAsia" w:ascii="宋体" w:hAnsi="宋体"/>
          <w:szCs w:val="20"/>
        </w:rPr>
        <w:t>的兴趣。</w:t>
      </w:r>
    </w:p>
    <w:p>
      <w:pPr>
        <w:tabs>
          <w:tab w:val="left" w:pos="540"/>
        </w:tabs>
        <w:snapToGrid w:val="0"/>
        <w:spacing w:line="360" w:lineRule="auto"/>
        <w:rPr>
          <w:rFonts w:ascii="仿宋_GB2312" w:hAnsi="宋体"/>
          <w:b/>
          <w:bCs/>
          <w:kern w:val="0"/>
          <w:szCs w:val="21"/>
        </w:rPr>
      </w:pPr>
      <w:r>
        <w:rPr>
          <w:rFonts w:ascii="仿宋_GB2312" w:hAnsi="宋体"/>
          <w:b/>
          <w:kern w:val="0"/>
          <w:szCs w:val="21"/>
        </w:rPr>
        <w:t>第</w:t>
      </w:r>
      <w:r>
        <w:rPr>
          <w:rFonts w:hint="eastAsia" w:ascii="仿宋_GB2312" w:hAnsi="宋体"/>
          <w:b/>
          <w:kern w:val="0"/>
          <w:szCs w:val="21"/>
        </w:rPr>
        <w:t>三</w:t>
      </w:r>
      <w:r>
        <w:rPr>
          <w:rFonts w:ascii="仿宋_GB2312" w:hAnsi="宋体"/>
          <w:b/>
          <w:kern w:val="0"/>
          <w:szCs w:val="21"/>
        </w:rPr>
        <w:t>节</w:t>
      </w:r>
      <w:r>
        <w:rPr>
          <w:rFonts w:hint="eastAsia" w:ascii="仿宋_GB2312" w:hAnsi="宋体"/>
          <w:b/>
          <w:kern w:val="0"/>
          <w:szCs w:val="21"/>
        </w:rPr>
        <w:t xml:space="preserve"> </w:t>
      </w:r>
      <w:r>
        <w:rPr>
          <w:rFonts w:hint="eastAsia" w:ascii="仿宋_GB2312" w:hAnsi="宋体"/>
          <w:b/>
          <w:bCs/>
          <w:kern w:val="0"/>
          <w:szCs w:val="21"/>
        </w:rPr>
        <w:t>高新技术在园艺业中的应用</w:t>
      </w:r>
    </w:p>
    <w:p>
      <w:pPr>
        <w:snapToGrid w:val="0"/>
        <w:spacing w:line="360" w:lineRule="auto"/>
        <w:rPr>
          <w:b/>
          <w:bCs/>
        </w:rPr>
      </w:pPr>
      <w:r>
        <w:rPr>
          <w:rFonts w:hint="eastAsia" w:ascii="宋体" w:hAnsi="宋体"/>
          <w:b/>
          <w:bCs/>
        </w:rPr>
        <w:t>教学目标：</w:t>
      </w:r>
      <w:r>
        <w:rPr>
          <w:rFonts w:hint="eastAsia" w:hAnsi="宋体"/>
          <w:kern w:val="0"/>
          <w:szCs w:val="21"/>
        </w:rPr>
        <w:t>让学生全面了解</w:t>
      </w:r>
      <w:r>
        <w:rPr>
          <w:rFonts w:hint="eastAsia" w:ascii="宋体" w:hAnsi="宋体"/>
          <w:szCs w:val="20"/>
        </w:rPr>
        <w:t>高新技术在园艺业中的应用，培养学生终身学习的习惯和开阔的国际视野</w:t>
      </w:r>
      <w:r>
        <w:rPr>
          <w:rFonts w:hint="eastAsia" w:hAnsi="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高新技术包括空间技术、新能源、新材料、信息技术、生物技术等园艺产业中的应用。</w:t>
      </w:r>
    </w:p>
    <w:p>
      <w:pPr>
        <w:tabs>
          <w:tab w:val="left" w:pos="540"/>
        </w:tabs>
        <w:snapToGrid w:val="0"/>
        <w:spacing w:line="360" w:lineRule="auto"/>
        <w:rPr>
          <w:rFonts w:hAnsi="宋体"/>
          <w:kern w:val="0"/>
          <w:szCs w:val="21"/>
        </w:rPr>
      </w:pPr>
      <w:r>
        <w:rPr>
          <w:rFonts w:hint="eastAsia" w:ascii="宋体" w:hAnsi="宋体"/>
          <w:b/>
          <w:szCs w:val="20"/>
        </w:rPr>
        <w:t>主要教学内容及要求：</w:t>
      </w:r>
      <w:r>
        <w:rPr>
          <w:rFonts w:hint="eastAsia" w:hAnsi="宋体"/>
          <w:kern w:val="0"/>
          <w:szCs w:val="21"/>
        </w:rPr>
        <w:t>生物技术、信息技术在园艺产业中的应用，植物工厂，航天育种等</w:t>
      </w:r>
      <w:r>
        <w:rPr>
          <w:rFonts w:hint="eastAsia" w:ascii="仿宋_GB2312" w:hAnsi="宋体"/>
          <w:kern w:val="0"/>
          <w:szCs w:val="21"/>
        </w:rPr>
        <w:t>。</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了解：高新技术在园艺业中的应用。</w:t>
      </w:r>
    </w:p>
    <w:p>
      <w:pPr>
        <w:widowControl/>
        <w:snapToGrid w:val="0"/>
        <w:spacing w:line="360" w:lineRule="auto"/>
        <w:rPr>
          <w:rFonts w:ascii="宋体" w:hAnsi="宋体"/>
          <w:szCs w:val="20"/>
        </w:rPr>
      </w:pPr>
      <w:r>
        <w:rPr>
          <w:rFonts w:hint="eastAsia" w:ascii="宋体" w:hAnsi="宋体"/>
          <w:b/>
          <w:bCs/>
        </w:rPr>
        <w:t>教学组织与实施：</w:t>
      </w:r>
      <w:r>
        <w:rPr>
          <w:rFonts w:hint="eastAsia" w:ascii="宋体" w:hAnsi="宋体"/>
          <w:szCs w:val="20"/>
        </w:rPr>
        <w:t>教师讲解为主，辅助以教学视频，并随时与学生开展互动让学生初步了解高新技术在园艺业中的应用，从而加深对</w:t>
      </w:r>
      <w:r>
        <w:rPr>
          <w:rFonts w:hint="eastAsia" w:hAnsi="宋体"/>
          <w:kern w:val="0"/>
          <w:szCs w:val="21"/>
        </w:rPr>
        <w:t>植物生产类（园艺类）专业</w:t>
      </w:r>
      <w:r>
        <w:rPr>
          <w:rFonts w:hint="eastAsia" w:ascii="宋体" w:hAnsi="宋体"/>
          <w:szCs w:val="20"/>
        </w:rPr>
        <w:t>的兴趣。</w:t>
      </w:r>
    </w:p>
    <w:p>
      <w:pPr>
        <w:tabs>
          <w:tab w:val="left" w:pos="540"/>
        </w:tabs>
        <w:snapToGrid w:val="0"/>
        <w:spacing w:line="360" w:lineRule="auto"/>
        <w:rPr>
          <w:rFonts w:ascii="仿宋_GB2312" w:hAnsi="宋体"/>
          <w:b/>
          <w:bCs/>
          <w:kern w:val="0"/>
          <w:szCs w:val="21"/>
        </w:rPr>
      </w:pPr>
      <w:r>
        <w:rPr>
          <w:rFonts w:ascii="仿宋_GB2312" w:hAnsi="宋体"/>
          <w:b/>
          <w:kern w:val="0"/>
          <w:szCs w:val="21"/>
        </w:rPr>
        <w:t>第</w:t>
      </w:r>
      <w:r>
        <w:rPr>
          <w:rFonts w:hint="eastAsia" w:ascii="仿宋_GB2312" w:hAnsi="宋体"/>
          <w:b/>
          <w:kern w:val="0"/>
          <w:szCs w:val="21"/>
        </w:rPr>
        <w:t>四</w:t>
      </w:r>
      <w:r>
        <w:rPr>
          <w:rFonts w:ascii="仿宋_GB2312" w:hAnsi="宋体"/>
          <w:b/>
          <w:kern w:val="0"/>
          <w:szCs w:val="21"/>
        </w:rPr>
        <w:t>节</w:t>
      </w:r>
      <w:r>
        <w:rPr>
          <w:rFonts w:hint="eastAsia" w:ascii="仿宋_GB2312" w:hAnsi="宋体"/>
          <w:b/>
          <w:kern w:val="0"/>
          <w:szCs w:val="21"/>
        </w:rPr>
        <w:t xml:space="preserve"> </w:t>
      </w:r>
      <w:r>
        <w:rPr>
          <w:rFonts w:hint="eastAsia" w:ascii="仿宋_GB2312" w:hAnsi="宋体"/>
          <w:b/>
          <w:bCs/>
          <w:kern w:val="0"/>
          <w:szCs w:val="21"/>
        </w:rPr>
        <w:t>本科人才培养方案解读</w:t>
      </w:r>
    </w:p>
    <w:p>
      <w:pPr>
        <w:snapToGrid w:val="0"/>
        <w:spacing w:line="360" w:lineRule="auto"/>
        <w:rPr>
          <w:kern w:val="0"/>
          <w:szCs w:val="21"/>
        </w:rPr>
      </w:pPr>
      <w:r>
        <w:rPr>
          <w:rFonts w:hint="eastAsia"/>
          <w:b/>
          <w:bCs/>
        </w:rPr>
        <w:t>教学目标：</w:t>
      </w:r>
      <w:r>
        <w:rPr>
          <w:rFonts w:hint="eastAsia"/>
          <w:kern w:val="0"/>
          <w:szCs w:val="21"/>
        </w:rPr>
        <w:t>让学生全面了解植物生产类（园艺类）专业总体思路与培养目标、培养标准、学时分配、最低学分要求、核心课程体系建设和实践环节设置等，</w:t>
      </w:r>
      <w:r>
        <w:rPr>
          <w:rFonts w:hint="eastAsia" w:ascii="宋体" w:hAnsi="宋体"/>
          <w:szCs w:val="20"/>
        </w:rPr>
        <w:t>引导学生树立终身学习的习惯</w:t>
      </w:r>
      <w:r>
        <w:rPr>
          <w:rFonts w:hint="eastAsia"/>
          <w:kern w:val="0"/>
          <w:szCs w:val="21"/>
        </w:rPr>
        <w:t>。</w:t>
      </w:r>
    </w:p>
    <w:p>
      <w:pPr>
        <w:snapToGrid w:val="0"/>
        <w:spacing w:line="360" w:lineRule="auto"/>
        <w:rPr>
          <w:b/>
          <w:bCs/>
          <w:szCs w:val="21"/>
        </w:rPr>
      </w:pPr>
      <w:r>
        <w:rPr>
          <w:rFonts w:hint="eastAsia" w:ascii="宋体"/>
          <w:b/>
          <w:bCs/>
        </w:rPr>
        <w:t>教学重点和难点：</w:t>
      </w:r>
      <w:r>
        <w:rPr>
          <w:rFonts w:hint="eastAsia"/>
          <w:kern w:val="0"/>
          <w:szCs w:val="21"/>
        </w:rPr>
        <w:t>植物生产类（园艺类）专业核心课程体系建设和实践环节设置等</w:t>
      </w:r>
      <w:r>
        <w:rPr>
          <w:rFonts w:hint="eastAsia"/>
          <w:szCs w:val="21"/>
        </w:rPr>
        <w:t>。</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hint="eastAsia" w:ascii="仿宋_GB2312"/>
          <w:kern w:val="0"/>
          <w:szCs w:val="21"/>
        </w:rPr>
        <w:t>生产类（园艺类）专业总体思路与培养目标、</w:t>
      </w:r>
      <w:r>
        <w:rPr>
          <w:rFonts w:hint="eastAsia"/>
          <w:kern w:val="0"/>
          <w:szCs w:val="21"/>
        </w:rPr>
        <w:t>培养标准</w:t>
      </w:r>
      <w:r>
        <w:rPr>
          <w:rFonts w:hint="eastAsia" w:ascii="仿宋_GB2312"/>
          <w:kern w:val="0"/>
          <w:szCs w:val="21"/>
        </w:rPr>
        <w:t>、</w:t>
      </w:r>
      <w:r>
        <w:rPr>
          <w:rFonts w:hint="eastAsia"/>
          <w:kern w:val="0"/>
          <w:szCs w:val="21"/>
        </w:rPr>
        <w:t>学时分配、最低学分要求</w:t>
      </w:r>
      <w:r>
        <w:rPr>
          <w:rFonts w:hint="eastAsia" w:ascii="仿宋_GB2312"/>
          <w:kern w:val="0"/>
          <w:szCs w:val="21"/>
        </w:rPr>
        <w:t>、</w:t>
      </w:r>
      <w:r>
        <w:rPr>
          <w:rFonts w:hint="eastAsia"/>
          <w:kern w:val="0"/>
          <w:szCs w:val="21"/>
        </w:rPr>
        <w:t>核心课程体系建设</w:t>
      </w:r>
      <w:r>
        <w:rPr>
          <w:rFonts w:hint="eastAsia" w:ascii="仿宋_GB2312"/>
          <w:kern w:val="0"/>
          <w:szCs w:val="21"/>
        </w:rPr>
        <w:t>和</w:t>
      </w:r>
      <w:r>
        <w:rPr>
          <w:rFonts w:hint="eastAsia"/>
          <w:kern w:val="0"/>
          <w:szCs w:val="21"/>
        </w:rPr>
        <w:t>实践环节设置</w:t>
      </w:r>
      <w:r>
        <w:rPr>
          <w:rFonts w:hint="eastAsia" w:ascii="仿宋_GB2312"/>
          <w:kern w:val="0"/>
          <w:szCs w:val="21"/>
        </w:rPr>
        <w:t>等</w:t>
      </w:r>
      <w:r>
        <w:rPr>
          <w:rFonts w:hint="eastAsia" w:ascii="宋体" w:hAnsi="宋体"/>
          <w:szCs w:val="20"/>
        </w:rPr>
        <w:t>。</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w:t>
      </w:r>
      <w:r>
        <w:rPr>
          <w:rFonts w:hint="eastAsia" w:ascii="仿宋_GB2312"/>
          <w:kern w:val="0"/>
          <w:szCs w:val="21"/>
        </w:rPr>
        <w:t>植物生产类（园艺类）专业后期如何分流到园艺专业、设施农业科与工程和茶学专业</w:t>
      </w:r>
      <w:r>
        <w:rPr>
          <w:rFonts w:hint="eastAsia" w:ascii="宋体" w:hAnsi="宋体"/>
          <w:szCs w:val="20"/>
        </w:rPr>
        <w:t>。</w:t>
      </w:r>
    </w:p>
    <w:p>
      <w:pPr>
        <w:snapToGrid w:val="0"/>
        <w:spacing w:line="360" w:lineRule="auto"/>
        <w:rPr>
          <w:szCs w:val="20"/>
        </w:rPr>
      </w:pPr>
      <w:r>
        <w:rPr>
          <w:rFonts w:hint="eastAsia"/>
          <w:b/>
          <w:bCs/>
        </w:rPr>
        <w:t>教学组织与实施：</w:t>
      </w:r>
      <w:r>
        <w:rPr>
          <w:rFonts w:hint="eastAsia"/>
          <w:szCs w:val="20"/>
        </w:rPr>
        <w:t>教师讲解为主，辅助以教学视频，并随时与学生开展互动让学生初步了解高新技术在园艺业中的应用，从而加深对</w:t>
      </w:r>
      <w:r>
        <w:rPr>
          <w:rFonts w:hint="eastAsia"/>
          <w:kern w:val="0"/>
          <w:szCs w:val="21"/>
        </w:rPr>
        <w:t>植物生产类（园艺类）专业</w:t>
      </w:r>
      <w:r>
        <w:rPr>
          <w:rFonts w:hint="eastAsia"/>
          <w:szCs w:val="20"/>
        </w:rPr>
        <w:t>的兴趣。</w:t>
      </w:r>
    </w:p>
    <w:tbl>
      <w:tblPr>
        <w:tblStyle w:val="22"/>
        <w:tblW w:w="0" w:type="auto"/>
        <w:tblInd w:w="4" w:type="dxa"/>
        <w:tblLayout w:type="autofit"/>
        <w:tblCellMar>
          <w:top w:w="0" w:type="dxa"/>
          <w:left w:w="0" w:type="dxa"/>
          <w:bottom w:w="0" w:type="dxa"/>
          <w:right w:w="0" w:type="dxa"/>
        </w:tblCellMar>
      </w:tblPr>
      <w:tblGrid>
        <w:gridCol w:w="821"/>
        <w:gridCol w:w="5480"/>
        <w:gridCol w:w="2595"/>
      </w:tblGrid>
      <w:tr>
        <w:tblPrEx>
          <w:tblCellMar>
            <w:top w:w="0" w:type="dxa"/>
            <w:left w:w="0" w:type="dxa"/>
            <w:bottom w:w="0" w:type="dxa"/>
            <w:right w:w="0" w:type="dxa"/>
          </w:tblCellMar>
        </w:tblPrEx>
        <w:trPr>
          <w:trHeight w:val="270" w:hRule="atLeast"/>
        </w:trPr>
        <w:tc>
          <w:tcPr>
            <w:tcW w:w="82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5480"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rFonts w:hint="eastAsia"/>
                <w:b/>
                <w:bCs/>
                <w:szCs w:val="21"/>
              </w:rPr>
              <w:t xml:space="preserve">  </w:t>
            </w:r>
            <w:r>
              <w:rPr>
                <w:rFonts w:hint="eastAsia"/>
                <w:b/>
                <w:color w:val="000000"/>
                <w:szCs w:val="21"/>
              </w:rPr>
              <w:t>设施农业是现代农业的引领产业</w:t>
            </w:r>
          </w:p>
        </w:tc>
        <w:tc>
          <w:tcPr>
            <w:tcW w:w="2595"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pacing w:line="360" w:lineRule="auto"/>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了解设施园艺</w:t>
      </w:r>
      <w:bookmarkStart w:id="9" w:name="_Hlk137969707"/>
      <w:r>
        <w:rPr>
          <w:rFonts w:hint="eastAsia" w:ascii="宋体" w:hAnsi="宋体" w:cs="宋体"/>
          <w:color w:val="353535"/>
          <w:kern w:val="0"/>
          <w:szCs w:val="21"/>
        </w:rPr>
        <w:t>的类型和特点</w:t>
      </w:r>
      <w:bookmarkEnd w:id="9"/>
      <w:r>
        <w:rPr>
          <w:rFonts w:hint="eastAsia" w:ascii="宋体" w:hAnsi="宋体" w:cs="宋体"/>
          <w:color w:val="353535"/>
          <w:kern w:val="0"/>
          <w:szCs w:val="21"/>
        </w:rPr>
        <w:t>；了解国外设施农业发展的现状和趋势，了解</w:t>
      </w:r>
      <w:bookmarkStart w:id="10" w:name="_Hlk137969782"/>
      <w:r>
        <w:rPr>
          <w:rFonts w:hint="eastAsia" w:ascii="宋体" w:hAnsi="宋体" w:cs="宋体"/>
          <w:color w:val="353535"/>
          <w:kern w:val="0"/>
          <w:szCs w:val="21"/>
        </w:rPr>
        <w:t>我国设施园艺取得的成就、产业存在的问题与发展趋势</w:t>
      </w:r>
      <w:bookmarkEnd w:id="10"/>
      <w:r>
        <w:rPr>
          <w:rFonts w:hint="eastAsia" w:ascii="宋体" w:hAnsi="宋体" w:cs="宋体"/>
          <w:color w:val="353535"/>
          <w:kern w:val="0"/>
          <w:szCs w:val="21"/>
        </w:rPr>
        <w:t>，</w:t>
      </w:r>
      <w:bookmarkStart w:id="11" w:name="_Hlk137969853"/>
      <w:r>
        <w:rPr>
          <w:rFonts w:hint="eastAsia" w:ascii="宋体" w:hAnsi="宋体" w:cs="宋体"/>
          <w:color w:val="353535"/>
          <w:kern w:val="0"/>
          <w:szCs w:val="21"/>
        </w:rPr>
        <w:t>了解设施园艺科学研究的热点与工程技术需要突破的重点</w:t>
      </w:r>
      <w:bookmarkEnd w:id="11"/>
      <w:r>
        <w:rPr>
          <w:rFonts w:hint="eastAsia" w:ascii="宋体" w:hAnsi="宋体" w:cs="宋体"/>
          <w:color w:val="353535"/>
          <w:kern w:val="0"/>
          <w:szCs w:val="21"/>
        </w:rPr>
        <w:t>。理解发展设施园艺的意义，掌握设施农业、设施园艺、设施产业的概念。</w:t>
      </w:r>
    </w:p>
    <w:p>
      <w:pPr>
        <w:widowControl/>
        <w:spacing w:line="360" w:lineRule="auto"/>
        <w:rPr>
          <w:rFonts w:ascii="宋体" w:hAnsi="宋体" w:cs="宋体"/>
          <w:color w:val="353535"/>
          <w:kern w:val="0"/>
          <w:szCs w:val="21"/>
        </w:rPr>
      </w:pPr>
      <w:r>
        <w:rPr>
          <w:rFonts w:hint="eastAsia" w:ascii="宋体" w:hAnsi="宋体" w:cs="宋体"/>
          <w:b/>
          <w:bCs/>
          <w:color w:val="353535"/>
          <w:kern w:val="0"/>
          <w:szCs w:val="21"/>
        </w:rPr>
        <w:t>教学重点和难点：</w:t>
      </w:r>
      <w:r>
        <w:rPr>
          <w:rFonts w:hint="eastAsia" w:ascii="宋体" w:hAnsi="宋体" w:cs="宋体"/>
          <w:color w:val="353535"/>
          <w:kern w:val="0"/>
          <w:szCs w:val="21"/>
        </w:rPr>
        <w:t>本章重点内容为设施园艺的类型和特点，国外设施农业发展的现状和趋势；我国设施园艺产业存在的问题与发展趋势，我国设施园艺科学研究的热点与工程技术需要突破的重点。</w:t>
      </w:r>
    </w:p>
    <w:p>
      <w:pPr>
        <w:widowControl/>
        <w:spacing w:line="360" w:lineRule="auto"/>
        <w:rPr>
          <w:rFonts w:ascii="宋体" w:hAnsi="宋体" w:cs="宋体"/>
          <w:b/>
          <w:bCs/>
          <w:szCs w:val="21"/>
        </w:rPr>
      </w:pPr>
      <w:r>
        <w:rPr>
          <w:rFonts w:hint="eastAsia" w:ascii="宋体" w:hAnsi="宋体" w:cs="宋体"/>
          <w:b/>
          <w:bCs/>
          <w:szCs w:val="21"/>
        </w:rPr>
        <w:t>主要教学内容及要求：</w:t>
      </w:r>
    </w:p>
    <w:p>
      <w:pPr>
        <w:widowControl/>
        <w:spacing w:line="360" w:lineRule="auto"/>
        <w:ind w:firstLine="422"/>
        <w:rPr>
          <w:rFonts w:ascii="宋体" w:hAnsi="宋体" w:cs="宋体"/>
          <w:color w:val="353535"/>
          <w:kern w:val="0"/>
          <w:szCs w:val="21"/>
        </w:rPr>
      </w:pPr>
      <w:r>
        <w:rPr>
          <w:rFonts w:hint="eastAsia" w:ascii="宋体" w:hAnsi="宋体" w:cs="宋体"/>
          <w:color w:val="353535"/>
          <w:kern w:val="0"/>
          <w:szCs w:val="21"/>
        </w:rPr>
        <w:t>了解传统农业生产的局限性、设施园艺的生产类型和特点；</w:t>
      </w:r>
    </w:p>
    <w:p>
      <w:pPr>
        <w:widowControl/>
        <w:spacing w:line="360" w:lineRule="auto"/>
        <w:ind w:firstLine="422"/>
        <w:rPr>
          <w:rFonts w:ascii="宋体" w:hAnsi="宋体" w:cs="宋体"/>
          <w:color w:val="353535"/>
          <w:kern w:val="0"/>
          <w:szCs w:val="21"/>
        </w:rPr>
      </w:pPr>
      <w:r>
        <w:rPr>
          <w:rFonts w:hint="eastAsia" w:ascii="宋体" w:hAnsi="宋体" w:cs="宋体"/>
          <w:color w:val="353535"/>
          <w:kern w:val="0"/>
          <w:szCs w:val="21"/>
        </w:rPr>
        <w:t>了解国外园艺植物温室栽培，无土栽培和植物工厂生产情况；</w:t>
      </w:r>
    </w:p>
    <w:p>
      <w:pPr>
        <w:widowControl/>
        <w:spacing w:line="360" w:lineRule="auto"/>
        <w:ind w:firstLine="422"/>
        <w:rPr>
          <w:rFonts w:ascii="宋体" w:hAnsi="宋体" w:cs="宋体"/>
          <w:color w:val="353535"/>
          <w:kern w:val="0"/>
          <w:szCs w:val="21"/>
        </w:rPr>
      </w:pPr>
      <w:r>
        <w:rPr>
          <w:rFonts w:hint="eastAsia" w:ascii="宋体" w:hAnsi="宋体" w:cs="宋体"/>
          <w:color w:val="353535"/>
          <w:kern w:val="0"/>
          <w:szCs w:val="21"/>
        </w:rPr>
        <w:t>了解世界设施园艺在设施覆盖材料、设施结构、栽培方式、生产手段和园艺植物病虫绿色防控等方面的发展的趋势；</w:t>
      </w:r>
    </w:p>
    <w:p>
      <w:pPr>
        <w:widowControl/>
        <w:spacing w:line="360" w:lineRule="auto"/>
        <w:ind w:firstLine="422"/>
        <w:rPr>
          <w:rFonts w:ascii="宋体" w:hAnsi="宋体" w:cs="宋体"/>
          <w:color w:val="353535"/>
          <w:kern w:val="0"/>
          <w:szCs w:val="21"/>
        </w:rPr>
      </w:pPr>
      <w:r>
        <w:rPr>
          <w:rFonts w:hint="eastAsia" w:ascii="宋体" w:hAnsi="宋体" w:cs="宋体"/>
          <w:color w:val="353535"/>
          <w:kern w:val="0"/>
          <w:szCs w:val="21"/>
        </w:rPr>
        <w:t>了解我国在设施结构、设施园艺栽培技术、设施园艺应用领域取得的成绩；</w:t>
      </w:r>
    </w:p>
    <w:p>
      <w:pPr>
        <w:widowControl/>
        <w:spacing w:line="360" w:lineRule="auto"/>
        <w:ind w:firstLine="422"/>
        <w:rPr>
          <w:rFonts w:ascii="宋体" w:hAnsi="宋体" w:cs="宋体"/>
          <w:color w:val="353535"/>
          <w:kern w:val="0"/>
          <w:szCs w:val="21"/>
        </w:rPr>
      </w:pPr>
      <w:r>
        <w:rPr>
          <w:rFonts w:hint="eastAsia" w:ascii="宋体" w:hAnsi="宋体" w:cs="宋体"/>
          <w:color w:val="353535"/>
          <w:kern w:val="0"/>
          <w:szCs w:val="21"/>
        </w:rPr>
        <w:t>了解我国在设施结构，设施农业生产技术、科学研究、工程技术等方面存在的不足与发展的趋势。</w:t>
      </w:r>
    </w:p>
    <w:p>
      <w:pPr>
        <w:widowControl/>
        <w:spacing w:line="360" w:lineRule="auto"/>
        <w:ind w:firstLine="422"/>
        <w:rPr>
          <w:rFonts w:ascii="宋体" w:hAnsi="宋体" w:cs="宋体"/>
          <w:color w:val="353535"/>
          <w:kern w:val="0"/>
          <w:szCs w:val="21"/>
        </w:rPr>
      </w:pPr>
      <w:r>
        <w:rPr>
          <w:rFonts w:hint="eastAsia" w:ascii="宋体" w:hAnsi="宋体" w:cs="宋体"/>
          <w:color w:val="353535"/>
          <w:kern w:val="0"/>
          <w:szCs w:val="21"/>
        </w:rPr>
        <w:t>理解</w:t>
      </w:r>
      <w:bookmarkStart w:id="12" w:name="_Hlk137972582"/>
      <w:r>
        <w:rPr>
          <w:rFonts w:hint="eastAsia" w:ascii="宋体" w:hAnsi="宋体" w:cs="宋体"/>
          <w:color w:val="353535"/>
          <w:kern w:val="0"/>
          <w:szCs w:val="21"/>
        </w:rPr>
        <w:t>发展设施园艺对充分利用农业资源、减轻劳动强度、保障食品安全的意义</w:t>
      </w:r>
      <w:bookmarkEnd w:id="12"/>
      <w:r>
        <w:rPr>
          <w:rFonts w:hint="eastAsia" w:ascii="宋体" w:hAnsi="宋体" w:cs="宋体"/>
          <w:color w:val="353535"/>
          <w:kern w:val="0"/>
          <w:szCs w:val="21"/>
        </w:rPr>
        <w:t>；</w:t>
      </w:r>
    </w:p>
    <w:p>
      <w:pPr>
        <w:widowControl/>
        <w:spacing w:line="360" w:lineRule="auto"/>
        <w:ind w:firstLine="422"/>
        <w:rPr>
          <w:rFonts w:ascii="宋体" w:hAnsi="宋体" w:cs="宋体"/>
          <w:color w:val="353535"/>
          <w:kern w:val="0"/>
          <w:szCs w:val="21"/>
        </w:rPr>
      </w:pPr>
      <w:r>
        <w:rPr>
          <w:rFonts w:hint="eastAsia" w:ascii="宋体" w:hAnsi="宋体" w:cs="宋体"/>
          <w:color w:val="353535"/>
          <w:kern w:val="0"/>
          <w:szCs w:val="21"/>
        </w:rPr>
        <w:t>掌握设施农业、设施园艺、设施园艺产业的概念。</w:t>
      </w:r>
    </w:p>
    <w:p>
      <w:pPr>
        <w:widowControl/>
        <w:spacing w:line="360" w:lineRule="auto"/>
        <w:rPr>
          <w:rFonts w:ascii="宋体" w:hAnsi="宋体"/>
          <w:kern w:val="0"/>
          <w:szCs w:val="21"/>
        </w:rPr>
      </w:pPr>
      <w:r>
        <w:rPr>
          <w:rFonts w:hint="eastAsia" w:ascii="宋体" w:hAnsi="宋体" w:cs="宋体"/>
          <w:b/>
          <w:bCs/>
          <w:szCs w:val="21"/>
        </w:rPr>
        <w:t>教学组织与实施：</w:t>
      </w:r>
      <w:r>
        <w:rPr>
          <w:rFonts w:hint="eastAsia" w:ascii="宋体" w:hAnsi="宋体"/>
          <w:kern w:val="0"/>
          <w:szCs w:val="21"/>
        </w:rPr>
        <w:t>通过</w:t>
      </w:r>
      <w:r>
        <w:rPr>
          <w:rFonts w:ascii="宋体" w:hAnsi="宋体"/>
          <w:kern w:val="0"/>
          <w:szCs w:val="21"/>
        </w:rPr>
        <w:t>在</w:t>
      </w:r>
      <w:r>
        <w:rPr>
          <w:rFonts w:hint="eastAsia" w:ascii="宋体" w:hAnsi="宋体"/>
          <w:kern w:val="0"/>
          <w:szCs w:val="21"/>
        </w:rPr>
        <w:t>超星</w:t>
      </w:r>
      <w:r>
        <w:rPr>
          <w:rFonts w:ascii="宋体" w:hAnsi="宋体"/>
          <w:kern w:val="0"/>
          <w:szCs w:val="21"/>
        </w:rPr>
        <w:t>学习通平台</w:t>
      </w:r>
      <w:r>
        <w:rPr>
          <w:rFonts w:hint="eastAsia" w:ascii="宋体" w:hAnsi="宋体"/>
          <w:kern w:val="0"/>
          <w:szCs w:val="21"/>
        </w:rPr>
        <w:t>上传视频</w:t>
      </w:r>
      <w:r>
        <w:rPr>
          <w:rFonts w:ascii="宋体" w:hAnsi="宋体"/>
          <w:kern w:val="0"/>
          <w:szCs w:val="21"/>
        </w:rPr>
        <w:t>资源、</w:t>
      </w:r>
      <w:r>
        <w:rPr>
          <w:rFonts w:hint="eastAsia" w:ascii="宋体" w:hAnsi="宋体"/>
          <w:kern w:val="0"/>
          <w:szCs w:val="21"/>
        </w:rPr>
        <w:t>PPT、</w:t>
      </w:r>
      <w:r>
        <w:rPr>
          <w:rFonts w:ascii="宋体" w:hAnsi="宋体"/>
          <w:kern w:val="0"/>
          <w:szCs w:val="21"/>
        </w:rPr>
        <w:t>讲义、在线测试题、作业等，</w:t>
      </w:r>
      <w:r>
        <w:rPr>
          <w:rFonts w:hint="eastAsia" w:ascii="宋体" w:hAnsi="宋体"/>
          <w:kern w:val="0"/>
          <w:szCs w:val="21"/>
        </w:rPr>
        <w:t>以任务</w:t>
      </w:r>
      <w:r>
        <w:rPr>
          <w:rFonts w:ascii="宋体" w:hAnsi="宋体"/>
          <w:kern w:val="0"/>
          <w:szCs w:val="21"/>
        </w:rPr>
        <w:t>驱动的</w:t>
      </w:r>
      <w:r>
        <w:rPr>
          <w:rFonts w:hint="eastAsia" w:ascii="宋体" w:hAnsi="宋体"/>
          <w:kern w:val="0"/>
          <w:szCs w:val="21"/>
        </w:rPr>
        <w:t>教学方法，</w:t>
      </w:r>
      <w:r>
        <w:rPr>
          <w:rFonts w:hint="eastAsia" w:ascii="宋体" w:hAnsi="宋体" w:cs="宋体"/>
          <w:szCs w:val="21"/>
        </w:rPr>
        <w:t>帮助同学们了解基本概念和基本知识；</w:t>
      </w:r>
      <w:r>
        <w:rPr>
          <w:rFonts w:hint="eastAsia" w:ascii="宋体" w:hAnsi="宋体" w:cs="宋体"/>
          <w:color w:val="353535"/>
          <w:kern w:val="0"/>
          <w:szCs w:val="21"/>
        </w:rPr>
        <w:t>以课堂讲授结合案例分析，对重点和难点知识进行讲述。</w:t>
      </w:r>
      <w:r>
        <w:rPr>
          <w:rFonts w:hint="eastAsia" w:ascii="宋体" w:hAnsi="宋体"/>
          <w:kern w:val="0"/>
          <w:szCs w:val="21"/>
        </w:rPr>
        <w:t>通过</w:t>
      </w:r>
      <w:r>
        <w:rPr>
          <w:rFonts w:ascii="宋体" w:hAnsi="宋体"/>
          <w:kern w:val="0"/>
          <w:szCs w:val="21"/>
        </w:rPr>
        <w:t>学习通平台大数据</w:t>
      </w:r>
      <w:r>
        <w:rPr>
          <w:rFonts w:hint="eastAsia" w:ascii="宋体" w:hAnsi="宋体"/>
          <w:kern w:val="0"/>
          <w:szCs w:val="21"/>
        </w:rPr>
        <w:t>统计</w:t>
      </w:r>
      <w:r>
        <w:rPr>
          <w:rFonts w:ascii="宋体" w:hAnsi="宋体"/>
          <w:kern w:val="0"/>
          <w:szCs w:val="21"/>
        </w:rPr>
        <w:t>结果，及时</w:t>
      </w:r>
      <w:r>
        <w:rPr>
          <w:rFonts w:hint="eastAsia" w:ascii="宋体" w:hAnsi="宋体"/>
          <w:kern w:val="0"/>
          <w:szCs w:val="21"/>
        </w:rPr>
        <w:t>反馈</w:t>
      </w:r>
      <w:r>
        <w:rPr>
          <w:rFonts w:ascii="宋体" w:hAnsi="宋体"/>
          <w:kern w:val="0"/>
          <w:szCs w:val="21"/>
        </w:rPr>
        <w:t>每位同学对</w:t>
      </w:r>
      <w:r>
        <w:rPr>
          <w:rFonts w:hint="eastAsia" w:ascii="宋体" w:hAnsi="宋体"/>
          <w:kern w:val="0"/>
          <w:szCs w:val="21"/>
        </w:rPr>
        <w:t>知识点</w:t>
      </w:r>
      <w:r>
        <w:rPr>
          <w:rFonts w:ascii="宋体" w:hAnsi="宋体"/>
          <w:kern w:val="0"/>
          <w:szCs w:val="21"/>
        </w:rPr>
        <w:t>的理解和掌握情况，</w:t>
      </w:r>
      <w:r>
        <w:rPr>
          <w:rFonts w:hint="eastAsia" w:ascii="宋体" w:hAnsi="宋体"/>
          <w:kern w:val="0"/>
          <w:szCs w:val="21"/>
        </w:rPr>
        <w:t>进一步</w:t>
      </w:r>
      <w:r>
        <w:rPr>
          <w:rFonts w:ascii="宋体" w:hAnsi="宋体"/>
          <w:kern w:val="0"/>
          <w:szCs w:val="21"/>
        </w:rPr>
        <w:t>提高教</w:t>
      </w:r>
      <w:r>
        <w:rPr>
          <w:rFonts w:hint="eastAsia" w:ascii="宋体" w:hAnsi="宋体"/>
          <w:kern w:val="0"/>
          <w:szCs w:val="21"/>
        </w:rPr>
        <w:t>与</w:t>
      </w:r>
      <w:r>
        <w:rPr>
          <w:rFonts w:ascii="宋体" w:hAnsi="宋体"/>
          <w:kern w:val="0"/>
          <w:szCs w:val="21"/>
        </w:rPr>
        <w:t>学</w:t>
      </w:r>
      <w:r>
        <w:rPr>
          <w:rFonts w:hint="eastAsia" w:ascii="宋体" w:hAnsi="宋体"/>
          <w:kern w:val="0"/>
          <w:szCs w:val="21"/>
        </w:rPr>
        <w:t>的</w:t>
      </w:r>
      <w:r>
        <w:rPr>
          <w:rFonts w:ascii="宋体" w:hAnsi="宋体"/>
          <w:kern w:val="0"/>
          <w:szCs w:val="21"/>
        </w:rPr>
        <w:t>效果</w:t>
      </w:r>
      <w:r>
        <w:rPr>
          <w:rFonts w:hint="eastAsia" w:ascii="宋体" w:hAnsi="宋体"/>
          <w:kern w:val="0"/>
          <w:szCs w:val="21"/>
        </w:rPr>
        <w:t>。</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三</w:t>
            </w:r>
            <w:r>
              <w:rPr>
                <w:rFonts w:hAnsi="宋体"/>
                <w:b/>
                <w:bCs/>
                <w:szCs w:val="21"/>
              </w:rPr>
              <w:t>章</w:t>
            </w:r>
            <w:r>
              <w:rPr>
                <w:rFonts w:hint="eastAsia"/>
                <w:b/>
                <w:bCs/>
                <w:szCs w:val="21"/>
              </w:rPr>
              <w:t xml:space="preserve">  </w:t>
            </w:r>
            <w:r>
              <w:rPr>
                <w:rFonts w:hint="eastAsia"/>
                <w:b/>
                <w:color w:val="000000"/>
                <w:szCs w:val="21"/>
              </w:rPr>
              <w:t>茶之源流</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rFonts w:ascii="宋体" w:hAnsi="宋体"/>
          <w:b/>
          <w:bCs/>
        </w:rPr>
      </w:pPr>
      <w:r>
        <w:rPr>
          <w:rFonts w:ascii="宋体" w:hAnsi="宋体"/>
          <w:b/>
          <w:bCs/>
        </w:rPr>
        <w:t>第一节</w:t>
      </w:r>
      <w:r>
        <w:rPr>
          <w:rFonts w:hint="eastAsia" w:ascii="宋体" w:hAnsi="宋体"/>
          <w:b/>
          <w:bCs/>
        </w:rPr>
        <w:t xml:space="preserve">  茶学专业简介</w:t>
      </w:r>
    </w:p>
    <w:p>
      <w:pPr>
        <w:widowControl/>
        <w:snapToGrid w:val="0"/>
        <w:spacing w:line="360" w:lineRule="auto"/>
        <w:rPr>
          <w:rFonts w:ascii="宋体" w:hAnsi="宋体"/>
          <w:color w:val="000000"/>
          <w:szCs w:val="20"/>
        </w:rPr>
      </w:pPr>
      <w:r>
        <w:rPr>
          <w:rFonts w:hint="eastAsia" w:ascii="宋体" w:hAnsi="宋体"/>
          <w:b/>
          <w:bCs/>
        </w:rPr>
        <w:t>教学目标：</w:t>
      </w:r>
      <w:r>
        <w:rPr>
          <w:rFonts w:hint="eastAsia" w:hAnsi="宋体"/>
          <w:kern w:val="0"/>
          <w:szCs w:val="21"/>
        </w:rPr>
        <w:t>让学生全面了解茶学专业学习和研究范畴</w:t>
      </w:r>
      <w:r>
        <w:rPr>
          <w:rFonts w:hint="eastAsia" w:ascii="宋体" w:hAnsi="宋体"/>
          <w:color w:val="000000"/>
          <w:szCs w:val="20"/>
        </w:rPr>
        <w:t>，培养学生的三农情怀和人文素养。</w:t>
      </w:r>
    </w:p>
    <w:p>
      <w:pPr>
        <w:widowControl/>
        <w:snapToGrid w:val="0"/>
        <w:spacing w:line="360" w:lineRule="auto"/>
        <w:rPr>
          <w:rFonts w:hAnsi="宋体"/>
          <w:b/>
          <w:bCs/>
          <w:kern w:val="0"/>
          <w:szCs w:val="21"/>
        </w:rPr>
      </w:pPr>
      <w:r>
        <w:rPr>
          <w:rFonts w:hint="eastAsia" w:ascii="宋体" w:hAnsi="宋体"/>
          <w:b/>
          <w:bCs/>
        </w:rPr>
        <w:t>教学重点和难点：重点：</w:t>
      </w:r>
      <w:r>
        <w:rPr>
          <w:rFonts w:hint="eastAsia" w:hAnsi="宋体"/>
          <w:kern w:val="0"/>
          <w:szCs w:val="21"/>
        </w:rPr>
        <w:t>茶学专业的主要课程。</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hint="eastAsia" w:ascii="宋体" w:hAnsi="宋体"/>
          <w:szCs w:val="20"/>
        </w:rPr>
        <w:t>茶学专业的学习内容和研究范畴。</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了解：茶学专业的学习内容和研究范畴。</w:t>
      </w:r>
    </w:p>
    <w:p>
      <w:pPr>
        <w:widowControl/>
        <w:snapToGrid w:val="0"/>
        <w:spacing w:line="360" w:lineRule="auto"/>
        <w:rPr>
          <w:rFonts w:ascii="宋体" w:hAnsi="宋体"/>
          <w:szCs w:val="20"/>
        </w:rPr>
      </w:pPr>
      <w:r>
        <w:rPr>
          <w:rFonts w:hint="eastAsia" w:ascii="宋体" w:hAnsi="宋体"/>
          <w:b/>
          <w:bCs/>
        </w:rPr>
        <w:t>教学组织与实施：</w:t>
      </w:r>
      <w:r>
        <w:rPr>
          <w:rFonts w:hint="eastAsia" w:ascii="宋体" w:hAnsi="宋体"/>
          <w:szCs w:val="20"/>
        </w:rPr>
        <w:t>教师讲解为主，辅助以教学视频，并随时与学生开展互动让学生加深对茶学专业的兴趣。</w:t>
      </w:r>
    </w:p>
    <w:p>
      <w:pPr>
        <w:snapToGrid w:val="0"/>
        <w:spacing w:line="360" w:lineRule="auto"/>
        <w:rPr>
          <w:rFonts w:ascii="宋体" w:hAnsi="宋体"/>
          <w:b/>
          <w:bCs/>
        </w:rPr>
      </w:pPr>
      <w:r>
        <w:rPr>
          <w:rFonts w:ascii="宋体" w:hAnsi="宋体"/>
          <w:b/>
          <w:bCs/>
        </w:rPr>
        <w:t>第</w:t>
      </w:r>
      <w:r>
        <w:rPr>
          <w:rFonts w:hint="eastAsia" w:ascii="宋体" w:hAnsi="宋体"/>
          <w:b/>
          <w:bCs/>
        </w:rPr>
        <w:t>二</w:t>
      </w:r>
      <w:r>
        <w:rPr>
          <w:rFonts w:ascii="宋体" w:hAnsi="宋体"/>
          <w:b/>
          <w:bCs/>
        </w:rPr>
        <w:t>节</w:t>
      </w:r>
      <w:r>
        <w:rPr>
          <w:rFonts w:hint="eastAsia" w:ascii="宋体" w:hAnsi="宋体"/>
          <w:b/>
          <w:bCs/>
        </w:rPr>
        <w:t xml:space="preserve">  茶叶简史</w:t>
      </w:r>
    </w:p>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让学生了解世界茶叶的起源与发展。</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教学重点和难点：重点：</w:t>
      </w:r>
      <w:r>
        <w:rPr>
          <w:rFonts w:hint="eastAsia" w:hAnsi="宋体"/>
          <w:kern w:val="0"/>
          <w:szCs w:val="21"/>
        </w:rPr>
        <w:t>世界茶叶的起源与发展。</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hint="eastAsia" w:ascii="仿宋_GB2312" w:hAnsi="宋体"/>
          <w:kern w:val="0"/>
          <w:szCs w:val="21"/>
        </w:rPr>
        <w:t>世界茶叶的起源与发展</w:t>
      </w:r>
      <w:r>
        <w:rPr>
          <w:rFonts w:hint="eastAsia" w:ascii="宋体" w:hAnsi="宋体"/>
          <w:szCs w:val="20"/>
        </w:rPr>
        <w:t>。</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w:t>
      </w:r>
      <w:r>
        <w:rPr>
          <w:rFonts w:hint="eastAsia" w:ascii="仿宋_GB2312" w:hAnsi="宋体"/>
          <w:kern w:val="0"/>
          <w:szCs w:val="21"/>
        </w:rPr>
        <w:t>世界茶叶的起源与发展</w:t>
      </w:r>
      <w:r>
        <w:rPr>
          <w:rFonts w:hint="eastAsia" w:ascii="宋体" w:hAnsi="宋体"/>
          <w:szCs w:val="20"/>
        </w:rPr>
        <w:t>。</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szCs w:val="20"/>
        </w:rPr>
        <w:t>教师讲解为主，辅助以教学视频，并随时与学生开展互动让学生初步了解中国茶叶影响世界，从而加深对茶学专业的兴趣。</w:t>
      </w:r>
    </w:p>
    <w:p>
      <w:pPr>
        <w:snapToGrid w:val="0"/>
        <w:spacing w:line="360" w:lineRule="auto"/>
        <w:rPr>
          <w:rFonts w:ascii="宋体" w:hAnsi="宋体"/>
          <w:b/>
          <w:bCs/>
        </w:rPr>
      </w:pPr>
      <w:r>
        <w:rPr>
          <w:rFonts w:ascii="宋体" w:hAnsi="宋体"/>
          <w:b/>
          <w:bCs/>
        </w:rPr>
        <w:t>第</w:t>
      </w:r>
      <w:r>
        <w:rPr>
          <w:rFonts w:hint="eastAsia" w:ascii="宋体" w:hAnsi="宋体"/>
          <w:b/>
          <w:bCs/>
        </w:rPr>
        <w:t>三</w:t>
      </w:r>
      <w:r>
        <w:rPr>
          <w:rFonts w:ascii="宋体" w:hAnsi="宋体"/>
          <w:b/>
          <w:bCs/>
        </w:rPr>
        <w:t>节</w:t>
      </w:r>
      <w:r>
        <w:rPr>
          <w:rFonts w:hint="eastAsia" w:ascii="宋体" w:hAnsi="宋体"/>
          <w:b/>
          <w:bCs/>
        </w:rPr>
        <w:t xml:space="preserve">  茶叶文化</w:t>
      </w:r>
    </w:p>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让学生全面了解茶文化的范畴。</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教学重点和难点：重点：</w:t>
      </w:r>
      <w:r>
        <w:rPr>
          <w:rFonts w:hint="eastAsia" w:hAnsi="宋体"/>
          <w:kern w:val="0"/>
          <w:szCs w:val="21"/>
        </w:rPr>
        <w:t>茶文化的范畴。</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hint="eastAsia" w:ascii="仿宋_GB2312" w:hAnsi="宋体"/>
          <w:kern w:val="0"/>
          <w:szCs w:val="21"/>
        </w:rPr>
        <w:t>茶文化的范畴。</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w:t>
      </w:r>
      <w:r>
        <w:rPr>
          <w:rFonts w:hint="eastAsia" w:ascii="仿宋_GB2312" w:hAnsi="宋体"/>
          <w:kern w:val="0"/>
          <w:szCs w:val="21"/>
        </w:rPr>
        <w:t>茶文化的范畴</w:t>
      </w:r>
      <w:r>
        <w:rPr>
          <w:rFonts w:hint="eastAsia" w:ascii="宋体" w:hAnsi="宋体"/>
          <w:szCs w:val="20"/>
        </w:rPr>
        <w:t>。</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szCs w:val="20"/>
        </w:rPr>
        <w:t>教师讲解为主，辅助以教学视频，并随时与学生开展互动让学生初步了解中国茶文化，从而加深对茶学专业的兴趣。</w:t>
      </w:r>
    </w:p>
    <w:tbl>
      <w:tblPr>
        <w:tblStyle w:val="22"/>
        <w:tblW w:w="0" w:type="auto"/>
        <w:tblInd w:w="4" w:type="dxa"/>
        <w:tblLayout w:type="autofit"/>
        <w:tblCellMar>
          <w:top w:w="0" w:type="dxa"/>
          <w:left w:w="0" w:type="dxa"/>
          <w:bottom w:w="0" w:type="dxa"/>
          <w:right w:w="0" w:type="dxa"/>
        </w:tblCellMar>
      </w:tblPr>
      <w:tblGrid>
        <w:gridCol w:w="1521"/>
        <w:gridCol w:w="4409"/>
        <w:gridCol w:w="2966"/>
      </w:tblGrid>
      <w:tr>
        <w:tblPrEx>
          <w:tblCellMar>
            <w:top w:w="0" w:type="dxa"/>
            <w:left w:w="0" w:type="dxa"/>
            <w:bottom w:w="0" w:type="dxa"/>
            <w:right w:w="0" w:type="dxa"/>
          </w:tblCellMar>
        </w:tblPrEx>
        <w:trPr>
          <w:trHeight w:val="270" w:hRule="atLeast"/>
        </w:trPr>
        <w:tc>
          <w:tcPr>
            <w:tcW w:w="152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40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四</w:t>
            </w:r>
            <w:r>
              <w:rPr>
                <w:rFonts w:hAnsi="宋体"/>
                <w:b/>
                <w:bCs/>
                <w:szCs w:val="21"/>
              </w:rPr>
              <w:t>章</w:t>
            </w:r>
            <w:r>
              <w:rPr>
                <w:rFonts w:hint="eastAsia"/>
                <w:b/>
                <w:bCs/>
                <w:szCs w:val="21"/>
              </w:rPr>
              <w:t xml:space="preserve">  </w:t>
            </w:r>
            <w:r>
              <w:rPr>
                <w:rFonts w:hint="eastAsia"/>
                <w:b/>
                <w:color w:val="000000"/>
                <w:szCs w:val="21"/>
              </w:rPr>
              <w:t>我国蔬菜产业现状及发展方向</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rFonts w:hAnsi="宋体"/>
          <w:kern w:val="0"/>
          <w:szCs w:val="21"/>
        </w:rPr>
      </w:pPr>
      <w:r>
        <w:rPr>
          <w:rFonts w:hint="eastAsia" w:ascii="宋体" w:hAnsi="宋体"/>
          <w:b/>
          <w:bCs/>
        </w:rPr>
        <w:t>教学目标：</w:t>
      </w:r>
      <w:r>
        <w:rPr>
          <w:kern w:val="0"/>
          <w:szCs w:val="21"/>
        </w:rPr>
        <w:t xml:space="preserve"> </w:t>
      </w:r>
      <w:r>
        <w:rPr>
          <w:rFonts w:hint="eastAsia"/>
          <w:kern w:val="0"/>
          <w:szCs w:val="21"/>
        </w:rPr>
        <w:t>蔬菜产业是农业中的重要组成部分。本章从世界、国内、河南三个层面介绍蔬菜出产业的发展现状，让学生初步了解蔬菜产业在农业和国民经济中的重要地位，激发学习兴趣，树立专业信心，培育学农爱农情怀。</w:t>
      </w:r>
    </w:p>
    <w:p>
      <w:pPr>
        <w:snapToGrid w:val="0"/>
        <w:spacing w:line="360" w:lineRule="auto"/>
        <w:rPr>
          <w:rFonts w:hAnsi="宋体"/>
          <w:kern w:val="0"/>
          <w:szCs w:val="21"/>
          <w:highlight w:val="yellow"/>
        </w:rPr>
      </w:pPr>
      <w:r>
        <w:rPr>
          <w:rFonts w:hint="eastAsia" w:ascii="宋体" w:hAnsi="宋体"/>
          <w:b/>
          <w:bCs/>
        </w:rPr>
        <w:t>教学重点和难点：</w:t>
      </w:r>
      <w:r>
        <w:rPr>
          <w:rFonts w:hint="eastAsia" w:ascii="宋体" w:hAnsi="宋体" w:cs="宋体"/>
          <w:kern w:val="0"/>
          <w:szCs w:val="21"/>
        </w:rPr>
        <w:t>重点在于理解国内蔬菜生产区域、生产方式和产业现状，难点在于分析发现国内蔬菜产业不同环节的问题和堵点，分析其背后的科学问题和专业问题，利用专业知识提出解决这些问题的途径和方法</w:t>
      </w:r>
      <w:r>
        <w:rPr>
          <w:rFonts w:hint="eastAsia" w:hAnsi="宋体"/>
          <w:kern w:val="0"/>
          <w:szCs w:val="21"/>
        </w:rPr>
        <w:t>。</w:t>
      </w:r>
    </w:p>
    <w:p>
      <w:pPr>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kern w:val="0"/>
          <w:szCs w:val="21"/>
        </w:rPr>
      </w:pPr>
      <w:r>
        <w:rPr>
          <w:rFonts w:hint="eastAsia"/>
          <w:kern w:val="0"/>
          <w:szCs w:val="21"/>
        </w:rPr>
        <w:t>本章主要介绍我国蔬菜产业的规模、生产区域和基本特点，河南省蔬菜生产设施和技术进步和面临的发展瓶颈。</w:t>
      </w:r>
    </w:p>
    <w:p>
      <w:pPr>
        <w:widowControl/>
        <w:snapToGrid w:val="0"/>
        <w:spacing w:line="360" w:lineRule="auto"/>
        <w:ind w:firstLine="420" w:firstLineChars="200"/>
        <w:rPr>
          <w:rFonts w:hAnsi="宋体"/>
          <w:kern w:val="0"/>
          <w:szCs w:val="21"/>
        </w:rPr>
      </w:pPr>
      <w:r>
        <w:rPr>
          <w:rFonts w:hint="eastAsia" w:hAnsi="宋体"/>
          <w:kern w:val="0"/>
          <w:szCs w:val="21"/>
        </w:rPr>
        <w:t>要求学生了解国内蔬菜产业的生产布局和生产特点，理解蔬菜产业在农业生产中的作用和地位，以及蔬菜发展面临的问题，掌握现阶段蔬菜生产的基本方式和生产技术，熟练掌握园艺设施、栽培技术和新优品种在蔬菜生产中的重要意义。</w:t>
      </w:r>
    </w:p>
    <w:p>
      <w:pPr>
        <w:snapToGrid w:val="0"/>
        <w:spacing w:line="360" w:lineRule="auto"/>
        <w:rPr>
          <w:kern w:val="0"/>
          <w:szCs w:val="21"/>
        </w:rPr>
      </w:pPr>
      <w:r>
        <w:rPr>
          <w:rFonts w:hint="eastAsia" w:ascii="宋体" w:hAnsi="宋体"/>
          <w:b/>
          <w:bCs/>
        </w:rPr>
        <w:t>教学组织与实施：</w:t>
      </w:r>
      <w:r>
        <w:rPr>
          <w:rFonts w:hint="eastAsia" w:hAnsi="宋体"/>
          <w:kern w:val="0"/>
          <w:szCs w:val="21"/>
        </w:rPr>
        <w:t>本章力求让学生全面了解国内外蔬菜产业的现状及问题。</w:t>
      </w:r>
      <w:r>
        <w:rPr>
          <w:rFonts w:hint="eastAsia" w:ascii="宋体" w:hAnsi="宋体"/>
        </w:rPr>
        <w:t>课程教学过程中，教师积极了解当前蔬菜产业中出现的新技术、新品种和新业态，分析栽培、设施、育种等专业知识在这</w:t>
      </w:r>
      <w:r>
        <w:rPr>
          <w:rFonts w:hint="eastAsia"/>
          <w:kern w:val="0"/>
          <w:szCs w:val="21"/>
        </w:rPr>
        <w:t>些实例中的作用，收集并展示相关的</w:t>
      </w:r>
      <w:r>
        <w:rPr>
          <w:rFonts w:hint="eastAsia" w:ascii="宋体" w:hAnsi="宋体"/>
        </w:rPr>
        <w:t>图片和数据，让授课内容更加丰富，从而</w:t>
      </w:r>
      <w:r>
        <w:rPr>
          <w:rFonts w:hint="eastAsia"/>
          <w:kern w:val="0"/>
          <w:szCs w:val="21"/>
        </w:rPr>
        <w:t>激发学生兴趣。本章未有教材，教师力求收集最新的数据资料，授课过程要与专业知识相结合，启发学生从专业知识中寻找答案，解决问题，增强对专业知识的运用能力。授课过程中，采取 “问”“答”“教”的方式，力求让更多的学生参与讨论，加深对问题的理解，增加对专业的认同感。</w:t>
      </w:r>
    </w:p>
    <w:tbl>
      <w:tblPr>
        <w:tblStyle w:val="22"/>
        <w:tblW w:w="0" w:type="auto"/>
        <w:tblInd w:w="4" w:type="dxa"/>
        <w:tblLayout w:type="autofit"/>
        <w:tblCellMar>
          <w:top w:w="0" w:type="dxa"/>
          <w:left w:w="0" w:type="dxa"/>
          <w:bottom w:w="0" w:type="dxa"/>
          <w:right w:w="0" w:type="dxa"/>
        </w:tblCellMar>
      </w:tblPr>
      <w:tblGrid>
        <w:gridCol w:w="731"/>
        <w:gridCol w:w="5199"/>
        <w:gridCol w:w="2966"/>
      </w:tblGrid>
      <w:tr>
        <w:tblPrEx>
          <w:tblCellMar>
            <w:top w:w="0" w:type="dxa"/>
            <w:left w:w="0" w:type="dxa"/>
            <w:bottom w:w="0" w:type="dxa"/>
            <w:right w:w="0" w:type="dxa"/>
          </w:tblCellMar>
        </w:tblPrEx>
        <w:trPr>
          <w:trHeight w:val="270" w:hRule="atLeast"/>
        </w:trPr>
        <w:tc>
          <w:tcPr>
            <w:tcW w:w="73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519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五</w:t>
            </w:r>
            <w:r>
              <w:rPr>
                <w:rFonts w:hAnsi="宋体"/>
                <w:b/>
                <w:bCs/>
                <w:szCs w:val="21"/>
              </w:rPr>
              <w:t>章</w:t>
            </w:r>
            <w:r>
              <w:rPr>
                <w:rFonts w:hint="eastAsia"/>
                <w:b/>
                <w:bCs/>
                <w:szCs w:val="21"/>
              </w:rPr>
              <w:t xml:space="preserve">  </w:t>
            </w:r>
            <w:r>
              <w:rPr>
                <w:rFonts w:hint="eastAsia"/>
                <w:b/>
                <w:color w:val="000000"/>
                <w:szCs w:val="21"/>
              </w:rPr>
              <w:t>蔬菜基因组与分子育种</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cs="宋体"/>
          <w:kern w:val="0"/>
          <w:szCs w:val="21"/>
        </w:rPr>
        <w:t>了解基因组的概念及基因组测序的过程和基本原理；了解当前蔬菜作物基因组测序进展及其应用领域；了解分子育种在蔬菜品种改良中的应用及其发展趋势；理解基因组与分子育种的研究内容。</w:t>
      </w:r>
    </w:p>
    <w:p>
      <w:pPr>
        <w:widowControl/>
        <w:snapToGrid w:val="0"/>
        <w:spacing w:line="360" w:lineRule="auto"/>
        <w:jc w:val="left"/>
        <w:rPr>
          <w:rFonts w:hAnsi="宋体"/>
          <w:color w:val="0000FF"/>
          <w:kern w:val="0"/>
          <w:szCs w:val="21"/>
        </w:rPr>
      </w:pPr>
      <w:r>
        <w:rPr>
          <w:rFonts w:hint="eastAsia" w:ascii="宋体" w:hAnsi="宋体"/>
          <w:b/>
          <w:bCs/>
        </w:rPr>
        <w:t>教学重点和难点：</w:t>
      </w:r>
      <w:r>
        <w:rPr>
          <w:kern w:val="0"/>
          <w:szCs w:val="21"/>
        </w:rPr>
        <w:t>理解</w:t>
      </w:r>
      <w:r>
        <w:rPr>
          <w:rFonts w:hint="eastAsia"/>
          <w:kern w:val="0"/>
          <w:szCs w:val="21"/>
        </w:rPr>
        <w:t>基因组测序的原理及其在分子育种应用中的领域和内容。</w:t>
      </w:r>
    </w:p>
    <w:p>
      <w:pPr>
        <w:widowControl/>
        <w:snapToGrid w:val="0"/>
        <w:spacing w:line="360" w:lineRule="auto"/>
        <w:jc w:val="left"/>
        <w:rPr>
          <w:rFonts w:hAnsi="宋体"/>
          <w:color w:val="0000FF"/>
          <w:kern w:val="0"/>
          <w:szCs w:val="21"/>
        </w:rPr>
      </w:pPr>
      <w:r>
        <w:rPr>
          <w:rFonts w:hint="eastAsia" w:ascii="宋体" w:hAnsi="宋体"/>
          <w:b/>
        </w:rPr>
        <w:t>主要教学内容及要求：</w:t>
      </w:r>
    </w:p>
    <w:p>
      <w:pPr>
        <w:widowControl/>
        <w:numPr>
          <w:ilvl w:val="0"/>
          <w:numId w:val="4"/>
        </w:numPr>
        <w:adjustRightInd w:val="0"/>
        <w:snapToGrid w:val="0"/>
        <w:spacing w:line="360" w:lineRule="auto"/>
        <w:jc w:val="left"/>
        <w:rPr>
          <w:kern w:val="0"/>
          <w:szCs w:val="21"/>
        </w:rPr>
      </w:pPr>
      <w:r>
        <w:rPr>
          <w:rFonts w:hint="eastAsia"/>
          <w:kern w:val="0"/>
          <w:szCs w:val="21"/>
        </w:rPr>
        <w:t>全基因组测序计划及其测序的原理。</w:t>
      </w:r>
    </w:p>
    <w:p>
      <w:pPr>
        <w:widowControl/>
        <w:numPr>
          <w:ilvl w:val="0"/>
          <w:numId w:val="4"/>
        </w:numPr>
        <w:adjustRightInd w:val="0"/>
        <w:snapToGrid w:val="0"/>
        <w:spacing w:line="360" w:lineRule="auto"/>
        <w:jc w:val="left"/>
        <w:rPr>
          <w:kern w:val="0"/>
          <w:szCs w:val="21"/>
        </w:rPr>
      </w:pPr>
      <w:r>
        <w:rPr>
          <w:rFonts w:hint="eastAsia"/>
          <w:kern w:val="0"/>
          <w:szCs w:val="21"/>
        </w:rPr>
        <w:t>基因组学的研究内容和领域，蔬菜作物基因组测序进展及其研究领域。</w:t>
      </w:r>
    </w:p>
    <w:p>
      <w:pPr>
        <w:widowControl/>
        <w:numPr>
          <w:ilvl w:val="0"/>
          <w:numId w:val="4"/>
        </w:numPr>
        <w:adjustRightInd w:val="0"/>
        <w:snapToGrid w:val="0"/>
        <w:spacing w:line="360" w:lineRule="auto"/>
        <w:jc w:val="left"/>
        <w:rPr>
          <w:kern w:val="0"/>
          <w:szCs w:val="21"/>
        </w:rPr>
      </w:pPr>
      <w:r>
        <w:rPr>
          <w:rFonts w:hint="eastAsia"/>
          <w:kern w:val="0"/>
          <w:szCs w:val="21"/>
        </w:rPr>
        <w:t>育种的主要过程及未来生物技术育种的发展方向和趋势。</w:t>
      </w:r>
    </w:p>
    <w:p>
      <w:pPr>
        <w:widowControl/>
        <w:adjustRightInd w:val="0"/>
        <w:snapToGrid w:val="0"/>
        <w:spacing w:line="360" w:lineRule="auto"/>
        <w:ind w:left="360"/>
        <w:rPr>
          <w:b/>
          <w:kern w:val="0"/>
          <w:szCs w:val="21"/>
        </w:rPr>
      </w:pPr>
      <w:r>
        <w:rPr>
          <w:b/>
          <w:kern w:val="0"/>
          <w:szCs w:val="21"/>
        </w:rPr>
        <w:t>要求：</w:t>
      </w:r>
    </w:p>
    <w:p>
      <w:pPr>
        <w:widowControl/>
        <w:adjustRightInd w:val="0"/>
        <w:snapToGrid w:val="0"/>
        <w:spacing w:line="360" w:lineRule="auto"/>
        <w:ind w:firstLine="420" w:firstLineChars="200"/>
        <w:jc w:val="left"/>
        <w:rPr>
          <w:kern w:val="0"/>
          <w:szCs w:val="21"/>
        </w:rPr>
      </w:pPr>
      <w:r>
        <w:rPr>
          <w:rFonts w:hint="eastAsia"/>
          <w:kern w:val="0"/>
          <w:szCs w:val="21"/>
        </w:rPr>
        <w:t>了解：全基因组测序计划及其原理；蔬菜作物全基因组测序研究进展；未来生物技术育种的发展趋势。</w:t>
      </w:r>
    </w:p>
    <w:p>
      <w:pPr>
        <w:snapToGrid w:val="0"/>
        <w:spacing w:line="360" w:lineRule="auto"/>
        <w:ind w:left="360"/>
        <w:rPr>
          <w:rFonts w:ascii="宋体" w:hAnsi="宋体"/>
          <w:szCs w:val="20"/>
        </w:rPr>
      </w:pPr>
      <w:r>
        <w:rPr>
          <w:rFonts w:hint="eastAsia" w:ascii="仿宋_GB2312"/>
          <w:kern w:val="0"/>
          <w:szCs w:val="21"/>
        </w:rPr>
        <w:t>理解：基因组</w:t>
      </w:r>
      <w:r>
        <w:rPr>
          <w:rFonts w:ascii="仿宋_GB2312"/>
          <w:kern w:val="0"/>
          <w:szCs w:val="21"/>
        </w:rPr>
        <w:t>学的主要研究内容</w:t>
      </w:r>
    </w:p>
    <w:p>
      <w:pPr>
        <w:widowControl/>
        <w:snapToGrid w:val="0"/>
        <w:spacing w:line="360" w:lineRule="auto"/>
        <w:jc w:val="left"/>
        <w:rPr>
          <w:kern w:val="0"/>
          <w:szCs w:val="21"/>
        </w:rPr>
      </w:pPr>
      <w:r>
        <w:rPr>
          <w:rFonts w:hint="eastAsia" w:ascii="宋体" w:hAnsi="宋体"/>
          <w:b/>
          <w:bCs/>
        </w:rPr>
        <w:t>教学组织与实施：</w:t>
      </w:r>
      <w:r>
        <w:rPr>
          <w:rFonts w:hint="eastAsia"/>
          <w:kern w:val="0"/>
          <w:szCs w:val="21"/>
        </w:rPr>
        <w:t>以班级授课的形式讲解基因组测序及分子育种发展中的重要事件，并对里程碑式的发现通过小故事或小视频等形式进行重点讲解。</w:t>
      </w:r>
    </w:p>
    <w:tbl>
      <w:tblPr>
        <w:tblStyle w:val="22"/>
        <w:tblW w:w="0" w:type="auto"/>
        <w:tblInd w:w="4" w:type="dxa"/>
        <w:tblLayout w:type="autofit"/>
        <w:tblCellMar>
          <w:top w:w="0" w:type="dxa"/>
          <w:left w:w="0" w:type="dxa"/>
          <w:bottom w:w="0" w:type="dxa"/>
          <w:right w:w="0" w:type="dxa"/>
        </w:tblCellMar>
      </w:tblPr>
      <w:tblGrid>
        <w:gridCol w:w="1061"/>
        <w:gridCol w:w="4869"/>
        <w:gridCol w:w="2966"/>
      </w:tblGrid>
      <w:tr>
        <w:tblPrEx>
          <w:tblCellMar>
            <w:top w:w="0" w:type="dxa"/>
            <w:left w:w="0" w:type="dxa"/>
            <w:bottom w:w="0" w:type="dxa"/>
            <w:right w:w="0" w:type="dxa"/>
          </w:tblCellMar>
        </w:tblPrEx>
        <w:trPr>
          <w:trHeight w:val="270" w:hRule="atLeast"/>
        </w:trPr>
        <w:tc>
          <w:tcPr>
            <w:tcW w:w="106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86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六</w:t>
            </w:r>
            <w:r>
              <w:rPr>
                <w:rFonts w:hAnsi="宋体"/>
                <w:b/>
                <w:bCs/>
                <w:szCs w:val="21"/>
              </w:rPr>
              <w:t>章</w:t>
            </w:r>
            <w:r>
              <w:rPr>
                <w:rFonts w:hint="eastAsia"/>
                <w:b/>
                <w:bCs/>
                <w:szCs w:val="21"/>
              </w:rPr>
              <w:t xml:space="preserve">  </w:t>
            </w:r>
            <w:r>
              <w:rPr>
                <w:rFonts w:hint="eastAsia"/>
                <w:b/>
                <w:color w:val="000000"/>
                <w:szCs w:val="21"/>
              </w:rPr>
              <w:t>我国茶产业发展现状及研究新进展</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rFonts w:hAnsi="宋体"/>
          <w:kern w:val="0"/>
          <w:szCs w:val="21"/>
        </w:rPr>
      </w:pPr>
      <w:r>
        <w:rPr>
          <w:rFonts w:hint="eastAsia" w:ascii="宋体" w:hAnsi="宋体"/>
          <w:b/>
          <w:bCs/>
        </w:rPr>
        <w:t>教学目标：</w:t>
      </w:r>
      <w:r>
        <w:rPr>
          <w:kern w:val="0"/>
          <w:szCs w:val="21"/>
        </w:rPr>
        <w:t xml:space="preserve"> </w:t>
      </w:r>
      <w:r>
        <w:rPr>
          <w:rFonts w:hint="eastAsia"/>
          <w:kern w:val="0"/>
          <w:szCs w:val="21"/>
        </w:rPr>
        <w:t>茶产业是农业中的重要组成部分。本章从世界、国内、河南三个层面介绍茶产业的发展现状，让学生初步了解茶产业在农业和国民经济中的重要地位，激发学习兴趣，树立专业信心，培育学农爱农情怀。</w:t>
      </w:r>
    </w:p>
    <w:p>
      <w:pPr>
        <w:snapToGrid w:val="0"/>
        <w:spacing w:line="360" w:lineRule="auto"/>
        <w:rPr>
          <w:rFonts w:hAnsi="宋体"/>
          <w:kern w:val="0"/>
          <w:szCs w:val="21"/>
          <w:highlight w:val="yellow"/>
        </w:rPr>
      </w:pPr>
      <w:r>
        <w:rPr>
          <w:rFonts w:hint="eastAsia" w:ascii="宋体" w:hAnsi="宋体"/>
          <w:b/>
          <w:bCs/>
        </w:rPr>
        <w:t>教学重点和难点：</w:t>
      </w:r>
      <w:r>
        <w:rPr>
          <w:rFonts w:hint="eastAsia" w:ascii="宋体" w:hAnsi="宋体" w:cs="宋体"/>
          <w:kern w:val="0"/>
          <w:szCs w:val="21"/>
        </w:rPr>
        <w:t>重点在于理解国内茶叶种植区域、加工方式和产业现状，难点在于分析发现国内茶产业不同环节的问题和堵点，分析其背后的科学问题和专业问题，利用专业知识提出解决这些问题的途径和方法</w:t>
      </w:r>
      <w:r>
        <w:rPr>
          <w:rFonts w:hint="eastAsia" w:hAnsi="宋体"/>
          <w:kern w:val="0"/>
          <w:szCs w:val="21"/>
        </w:rPr>
        <w:t>。</w:t>
      </w:r>
    </w:p>
    <w:p>
      <w:pPr>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kern w:val="0"/>
          <w:szCs w:val="21"/>
        </w:rPr>
      </w:pPr>
      <w:r>
        <w:rPr>
          <w:rFonts w:hint="eastAsia"/>
          <w:kern w:val="0"/>
          <w:szCs w:val="21"/>
        </w:rPr>
        <w:t>本章主要介绍我国茶产业的规模、生产区域和基本特点，河南省茶产业生产中面临的发展瓶颈。</w:t>
      </w:r>
    </w:p>
    <w:p>
      <w:pPr>
        <w:widowControl/>
        <w:snapToGrid w:val="0"/>
        <w:spacing w:line="360" w:lineRule="auto"/>
        <w:ind w:firstLine="420" w:firstLineChars="200"/>
        <w:rPr>
          <w:rFonts w:hAnsi="宋体"/>
          <w:kern w:val="0"/>
          <w:szCs w:val="21"/>
        </w:rPr>
      </w:pPr>
      <w:r>
        <w:rPr>
          <w:rFonts w:hint="eastAsia" w:hAnsi="宋体"/>
          <w:kern w:val="0"/>
          <w:szCs w:val="21"/>
        </w:rPr>
        <w:t>要求学生了解国内茶产业的生产布局和生产特点，理解茶产业在农业生产中的作用和地位，以及茶产业发展面临的问题，掌握现阶段茶叶生产的基本方式和生产技术，熟练掌握现代生产技术在茶叶生产中的重要意义。</w:t>
      </w:r>
    </w:p>
    <w:p>
      <w:pPr>
        <w:snapToGrid w:val="0"/>
        <w:spacing w:line="360" w:lineRule="auto"/>
        <w:rPr>
          <w:kern w:val="0"/>
          <w:szCs w:val="21"/>
        </w:rPr>
      </w:pPr>
      <w:r>
        <w:rPr>
          <w:rFonts w:hint="eastAsia" w:ascii="宋体" w:hAnsi="宋体"/>
          <w:b/>
          <w:bCs/>
        </w:rPr>
        <w:t>教学组织与实施：</w:t>
      </w:r>
      <w:r>
        <w:rPr>
          <w:rFonts w:hint="eastAsia" w:hAnsi="宋体"/>
          <w:kern w:val="0"/>
          <w:szCs w:val="21"/>
        </w:rPr>
        <w:t>本章力求让学生全面了解国内外茶产业的现状及问题。</w:t>
      </w:r>
      <w:r>
        <w:rPr>
          <w:rFonts w:hint="eastAsia" w:ascii="宋体" w:hAnsi="宋体"/>
        </w:rPr>
        <w:t>课程教学过程中，教师积极了解当前茶菜产业中出现的新技术、新品种和新业态，分析栽培、加工等专业知识在这</w:t>
      </w:r>
      <w:r>
        <w:rPr>
          <w:rFonts w:hint="eastAsia"/>
          <w:kern w:val="0"/>
          <w:szCs w:val="21"/>
        </w:rPr>
        <w:t>些实例中的作用，收集并展示相关的</w:t>
      </w:r>
      <w:r>
        <w:rPr>
          <w:rFonts w:hint="eastAsia" w:ascii="宋体" w:hAnsi="宋体"/>
        </w:rPr>
        <w:t>图片和数据，让授课内容更加丰富，从而</w:t>
      </w:r>
      <w:r>
        <w:rPr>
          <w:rFonts w:hint="eastAsia"/>
          <w:kern w:val="0"/>
          <w:szCs w:val="21"/>
        </w:rPr>
        <w:t>激发学生兴趣。本章未有教材，教师力求收集最新的数据资料，授课过程要与专业知识相结合，启发学生从专业知识中寻找答案，解决问题，增强对专业知识的运用能力。授课过程中，采取 “问”“答”“教”的方式，力求让更多的学生参与讨论，加深对问题的理解，增加对专业的认同感。</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七</w:t>
            </w:r>
            <w:r>
              <w:rPr>
                <w:rFonts w:hAnsi="宋体"/>
                <w:b/>
                <w:bCs/>
                <w:szCs w:val="21"/>
              </w:rPr>
              <w:t>章</w:t>
            </w:r>
            <w:r>
              <w:rPr>
                <w:rFonts w:hint="eastAsia"/>
                <w:b/>
                <w:bCs/>
                <w:szCs w:val="21"/>
              </w:rPr>
              <w:t xml:space="preserve">  果树与美好人生</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rFonts w:ascii="宋体" w:hAnsi="宋体"/>
          <w:b/>
          <w:bCs/>
        </w:rPr>
      </w:pPr>
      <w:r>
        <w:rPr>
          <w:rFonts w:ascii="宋体" w:hAnsi="宋体"/>
          <w:b/>
          <w:bCs/>
        </w:rPr>
        <w:t>第一节</w:t>
      </w:r>
      <w:r>
        <w:rPr>
          <w:rFonts w:hint="eastAsia" w:ascii="宋体" w:hAnsi="宋体"/>
          <w:b/>
          <w:bCs/>
        </w:rPr>
        <w:t xml:space="preserve">  果树产业发展现状 </w:t>
      </w:r>
      <w:r>
        <w:rPr>
          <w:rFonts w:ascii="宋体" w:hAnsi="宋体"/>
          <w:b/>
          <w:bCs/>
        </w:rPr>
        <w:t xml:space="preserve"> </w:t>
      </w:r>
      <w:r>
        <w:rPr>
          <w:b/>
          <w:bCs/>
        </w:rPr>
        <w:t>0.5学时</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通过对我国及河南省果树产业发展现状的学习，为后续专业核心课程的学习奠定基础。</w:t>
      </w:r>
    </w:p>
    <w:p>
      <w:pPr>
        <w:widowControl/>
        <w:snapToGrid w:val="0"/>
        <w:spacing w:line="360" w:lineRule="auto"/>
        <w:rPr>
          <w:rFonts w:hAnsi="宋体"/>
          <w:bCs/>
          <w:kern w:val="0"/>
          <w:szCs w:val="21"/>
        </w:rPr>
      </w:pPr>
      <w:r>
        <w:rPr>
          <w:rFonts w:hint="eastAsia" w:ascii="宋体" w:hAnsi="宋体"/>
          <w:b/>
          <w:bCs/>
        </w:rPr>
        <w:t>教学重点和难点：</w:t>
      </w:r>
      <w:r>
        <w:rPr>
          <w:rFonts w:hint="eastAsia" w:ascii="宋体" w:hAnsi="宋体"/>
          <w:bCs/>
        </w:rPr>
        <w:t>重点介绍我国水果产业发展现状、河南省果树产业发展特点及现状，果树新的栽培技术和模式为难点。</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ascii="宋体" w:hAnsi="宋体"/>
          <w:szCs w:val="20"/>
        </w:rPr>
        <w:t xml:space="preserve"> </w:t>
      </w:r>
    </w:p>
    <w:p>
      <w:pPr>
        <w:tabs>
          <w:tab w:val="left" w:pos="540"/>
        </w:tabs>
        <w:snapToGrid w:val="0"/>
        <w:spacing w:line="360" w:lineRule="auto"/>
        <w:ind w:firstLine="422" w:firstLineChars="200"/>
        <w:rPr>
          <w:rFonts w:ascii="宋体" w:hAnsi="宋体"/>
          <w:szCs w:val="20"/>
        </w:rPr>
      </w:pPr>
      <w:r>
        <w:rPr>
          <w:rFonts w:hint="eastAsia" w:ascii="宋体" w:hAnsi="宋体"/>
          <w:b/>
          <w:szCs w:val="20"/>
        </w:rPr>
        <w:t>了解：</w:t>
      </w:r>
      <w:r>
        <w:rPr>
          <w:rFonts w:hint="eastAsia" w:ascii="宋体" w:hAnsi="宋体"/>
          <w:szCs w:val="20"/>
        </w:rPr>
        <w:t>我国果树产业和河南省果树产业发展的现状。</w:t>
      </w:r>
    </w:p>
    <w:p>
      <w:pPr>
        <w:tabs>
          <w:tab w:val="left" w:pos="540"/>
        </w:tabs>
        <w:snapToGrid w:val="0"/>
        <w:spacing w:line="360" w:lineRule="auto"/>
        <w:ind w:firstLine="422" w:firstLineChars="200"/>
        <w:rPr>
          <w:rFonts w:ascii="宋体" w:hAnsi="宋体"/>
          <w:szCs w:val="20"/>
        </w:rPr>
      </w:pPr>
      <w:r>
        <w:rPr>
          <w:rFonts w:hint="eastAsia" w:ascii="宋体" w:hAnsi="宋体"/>
          <w:b/>
          <w:szCs w:val="20"/>
        </w:rPr>
        <w:t>理解：</w:t>
      </w:r>
      <w:r>
        <w:rPr>
          <w:rFonts w:hint="eastAsia" w:ascii="宋体" w:hAnsi="宋体"/>
          <w:szCs w:val="20"/>
        </w:rPr>
        <w:t>果树产业在我国农业经济中的重要作用。</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课堂讲授方式结合大量图片资料和实例介绍我国果树产业和河南省果树产业发展的现状；引导学生思考果树产业的发展在农业产业中的重要作用，引导学生讨论果树产业发展中所了解的主要品种、栽培技术等</w:t>
      </w:r>
      <w:r>
        <w:rPr>
          <w:rFonts w:hint="eastAsia" w:ascii="宋体" w:hAnsi="宋体"/>
          <w:szCs w:val="20"/>
        </w:rPr>
        <w:t>。</w:t>
      </w:r>
    </w:p>
    <w:p>
      <w:pPr>
        <w:widowControl/>
        <w:snapToGrid w:val="0"/>
        <w:spacing w:line="360" w:lineRule="auto"/>
        <w:jc w:val="left"/>
        <w:rPr>
          <w:rFonts w:hAnsi="宋体"/>
          <w:b/>
          <w:kern w:val="0"/>
          <w:szCs w:val="21"/>
        </w:rPr>
      </w:pPr>
      <w:r>
        <w:rPr>
          <w:rFonts w:hAnsi="宋体"/>
          <w:b/>
          <w:kern w:val="0"/>
          <w:szCs w:val="21"/>
        </w:rPr>
        <w:t>第</w:t>
      </w:r>
      <w:r>
        <w:rPr>
          <w:rFonts w:hint="eastAsia" w:hAnsi="宋体"/>
          <w:b/>
          <w:kern w:val="0"/>
          <w:szCs w:val="21"/>
        </w:rPr>
        <w:t>二</w:t>
      </w:r>
      <w:r>
        <w:rPr>
          <w:rFonts w:hAnsi="宋体"/>
          <w:b/>
          <w:kern w:val="0"/>
          <w:szCs w:val="21"/>
        </w:rPr>
        <w:t>节</w:t>
      </w:r>
      <w:r>
        <w:rPr>
          <w:rFonts w:hint="eastAsia" w:hAnsi="宋体"/>
          <w:b/>
          <w:kern w:val="0"/>
          <w:szCs w:val="21"/>
        </w:rPr>
        <w:t xml:space="preserve">  果树与美好人生</w:t>
      </w:r>
      <w:r>
        <w:rPr>
          <w:b/>
          <w:kern w:val="0"/>
          <w:szCs w:val="21"/>
        </w:rPr>
        <w:t>    1.5</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通过对我国果树界两位院士—束怀瑞院士和邓秀新院士的人生经历、科研和育人成果的学习，树牢专业思想，确立人生目标。</w:t>
      </w:r>
    </w:p>
    <w:p>
      <w:pPr>
        <w:widowControl/>
        <w:snapToGrid w:val="0"/>
        <w:spacing w:line="360" w:lineRule="auto"/>
        <w:rPr>
          <w:rFonts w:hAnsi="宋体"/>
          <w:bCs/>
          <w:kern w:val="0"/>
          <w:szCs w:val="21"/>
        </w:rPr>
      </w:pPr>
      <w:r>
        <w:rPr>
          <w:rFonts w:hint="eastAsia" w:ascii="宋体" w:hAnsi="宋体"/>
          <w:b/>
          <w:bCs/>
        </w:rPr>
        <w:t>教学重点和难点：</w:t>
      </w:r>
      <w:r>
        <w:rPr>
          <w:rFonts w:hint="eastAsia" w:ascii="宋体" w:hAnsi="宋体"/>
          <w:bCs/>
        </w:rPr>
        <w:t>重点介绍束怀瑞院士和邓秀新院士在各自的研究领域（苹果和柑橘）取得的科研和育人成果，学生从中领悟美好人生的真谛是难点。</w:t>
      </w:r>
    </w:p>
    <w:p>
      <w:pPr>
        <w:tabs>
          <w:tab w:val="left" w:pos="540"/>
        </w:tabs>
        <w:snapToGrid w:val="0"/>
        <w:spacing w:line="360" w:lineRule="auto"/>
        <w:rPr>
          <w:rFonts w:ascii="宋体" w:hAnsi="宋体"/>
          <w:szCs w:val="20"/>
        </w:rPr>
      </w:pPr>
      <w:r>
        <w:rPr>
          <w:rFonts w:hint="eastAsia" w:ascii="宋体" w:hAnsi="宋体"/>
          <w:b/>
          <w:szCs w:val="20"/>
        </w:rPr>
        <w:t>主要教学内容及要求：</w:t>
      </w:r>
      <w:r>
        <w:rPr>
          <w:rFonts w:ascii="宋体" w:hAnsi="宋体"/>
          <w:szCs w:val="20"/>
        </w:rPr>
        <w:t xml:space="preserve"> </w:t>
      </w:r>
    </w:p>
    <w:p>
      <w:pPr>
        <w:tabs>
          <w:tab w:val="left" w:pos="540"/>
        </w:tabs>
        <w:snapToGrid w:val="0"/>
        <w:spacing w:line="360" w:lineRule="auto"/>
        <w:ind w:firstLine="420" w:firstLineChars="200"/>
        <w:rPr>
          <w:rFonts w:ascii="宋体" w:hAnsi="宋体"/>
          <w:szCs w:val="20"/>
        </w:rPr>
      </w:pPr>
      <w:r>
        <w:rPr>
          <w:rFonts w:hint="eastAsia" w:ascii="宋体" w:hAnsi="宋体"/>
          <w:szCs w:val="20"/>
        </w:rPr>
        <w:t>了解：束怀瑞院士在苹果栽培和育种中所取得的一系列成果；邓秀新院士在柑橘遗传育种尤其是在柑橘体细胞杂交育种中取得成果。</w:t>
      </w:r>
    </w:p>
    <w:p>
      <w:pPr>
        <w:tabs>
          <w:tab w:val="left" w:pos="540"/>
        </w:tabs>
        <w:snapToGrid w:val="0"/>
        <w:spacing w:line="360" w:lineRule="auto"/>
        <w:ind w:firstLine="420" w:firstLineChars="200"/>
        <w:rPr>
          <w:rFonts w:ascii="宋体" w:hAnsi="宋体"/>
          <w:szCs w:val="20"/>
        </w:rPr>
      </w:pPr>
      <w:r>
        <w:rPr>
          <w:rFonts w:hint="eastAsia" w:ascii="宋体" w:hAnsi="宋体"/>
          <w:szCs w:val="20"/>
        </w:rPr>
        <w:t>理解：专业学习的目的和意义；美好人生的真谛。</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课堂讲授方式结合大量图片、视频资料和实例介绍两位院士在科研、教学和育人中所取得的成就；引导学生思考美好人生的真谛是什么，引导学生围绕“我为什么上大学”、“我的美好人生”开展讨论</w:t>
      </w:r>
      <w:r>
        <w:rPr>
          <w:rFonts w:hint="eastAsia" w:ascii="宋体" w:hAnsi="宋体"/>
          <w:szCs w:val="20"/>
        </w:rPr>
        <w:t>。</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八</w:t>
            </w:r>
            <w:r>
              <w:rPr>
                <w:rFonts w:hAnsi="宋体"/>
                <w:b/>
                <w:bCs/>
                <w:szCs w:val="21"/>
              </w:rPr>
              <w:t>章</w:t>
            </w:r>
            <w:r>
              <w:rPr>
                <w:rFonts w:hint="eastAsia"/>
                <w:b/>
                <w:bCs/>
                <w:szCs w:val="21"/>
              </w:rPr>
              <w:t xml:space="preserve">  一株幼苗的由来</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kern w:val="0"/>
          <w:szCs w:val="21"/>
        </w:rPr>
        <w:t>了解种苗对蔬菜产业的重要性。</w:t>
      </w:r>
    </w:p>
    <w:p>
      <w:pPr>
        <w:widowControl/>
        <w:snapToGrid w:val="0"/>
        <w:spacing w:line="360" w:lineRule="auto"/>
        <w:rPr>
          <w:kern w:val="0"/>
          <w:szCs w:val="21"/>
        </w:rPr>
      </w:pPr>
      <w:r>
        <w:rPr>
          <w:rFonts w:hint="eastAsia" w:ascii="宋体" w:hAnsi="宋体"/>
          <w:b/>
          <w:bCs/>
        </w:rPr>
        <w:t>教学重点和难点：</w:t>
      </w:r>
      <w:r>
        <w:rPr>
          <w:rFonts w:hint="eastAsia"/>
          <w:kern w:val="0"/>
          <w:szCs w:val="21"/>
        </w:rPr>
        <w:t>种苗概念和内涵的确切把握。</w:t>
      </w:r>
    </w:p>
    <w:p>
      <w:pPr>
        <w:tabs>
          <w:tab w:val="left" w:pos="540"/>
        </w:tabs>
        <w:snapToGrid w:val="0"/>
        <w:spacing w:line="360" w:lineRule="auto"/>
        <w:rPr>
          <w:kern w:val="0"/>
          <w:szCs w:val="21"/>
        </w:rPr>
      </w:pPr>
      <w:r>
        <w:rPr>
          <w:rFonts w:hint="eastAsia" w:ascii="宋体" w:hAnsi="宋体"/>
          <w:b/>
          <w:szCs w:val="20"/>
        </w:rPr>
        <w:t>主要教学内容及要求：</w:t>
      </w:r>
      <w:r>
        <w:rPr>
          <w:rFonts w:hint="eastAsia"/>
          <w:kern w:val="0"/>
          <w:szCs w:val="21"/>
        </w:rPr>
        <w:t>种子和种苗的内涵，种苗对产业的意义</w:t>
      </w:r>
    </w:p>
    <w:p>
      <w:pPr>
        <w:tabs>
          <w:tab w:val="left" w:pos="540"/>
        </w:tabs>
        <w:snapToGrid w:val="0"/>
        <w:spacing w:line="360" w:lineRule="auto"/>
        <w:ind w:firstLine="420" w:firstLineChars="200"/>
        <w:rPr>
          <w:kern w:val="0"/>
          <w:szCs w:val="21"/>
        </w:rPr>
      </w:pPr>
      <w:r>
        <w:rPr>
          <w:rFonts w:hint="eastAsia"/>
          <w:kern w:val="0"/>
          <w:szCs w:val="21"/>
        </w:rPr>
        <w:t>了解：种子、种苗对产业的作用。</w:t>
      </w:r>
    </w:p>
    <w:p>
      <w:pPr>
        <w:tabs>
          <w:tab w:val="left" w:pos="540"/>
        </w:tabs>
        <w:snapToGrid w:val="0"/>
        <w:spacing w:line="360" w:lineRule="auto"/>
        <w:ind w:firstLine="420" w:firstLineChars="200"/>
        <w:rPr>
          <w:kern w:val="0"/>
          <w:szCs w:val="21"/>
        </w:rPr>
      </w:pPr>
      <w:r>
        <w:rPr>
          <w:rFonts w:hint="eastAsia"/>
          <w:kern w:val="0"/>
          <w:szCs w:val="21"/>
        </w:rPr>
        <w:t>理解：种苗、种子质量、种苗质量的内涵。</w:t>
      </w:r>
    </w:p>
    <w:p>
      <w:pPr>
        <w:tabs>
          <w:tab w:val="left" w:pos="540"/>
        </w:tabs>
        <w:snapToGrid w:val="0"/>
        <w:spacing w:line="360" w:lineRule="auto"/>
        <w:ind w:firstLine="420" w:firstLineChars="200"/>
        <w:rPr>
          <w:kern w:val="0"/>
          <w:szCs w:val="21"/>
        </w:rPr>
      </w:pPr>
      <w:r>
        <w:rPr>
          <w:rFonts w:hint="eastAsia"/>
          <w:kern w:val="0"/>
          <w:szCs w:val="21"/>
        </w:rPr>
        <w:t>掌握：工厂化育苗概念、现代育苗种类。</w:t>
      </w:r>
    </w:p>
    <w:p>
      <w:pPr>
        <w:tabs>
          <w:tab w:val="left" w:pos="540"/>
        </w:tabs>
        <w:snapToGrid w:val="0"/>
        <w:spacing w:line="360" w:lineRule="auto"/>
        <w:ind w:firstLine="420" w:firstLineChars="200"/>
        <w:rPr>
          <w:kern w:val="0"/>
          <w:szCs w:val="21"/>
        </w:rPr>
      </w:pPr>
      <w:r>
        <w:rPr>
          <w:rFonts w:hint="eastAsia"/>
          <w:kern w:val="0"/>
          <w:szCs w:val="21"/>
        </w:rPr>
        <w:t>熟练掌握：为什么要为种苗换一条强大的根系；如何让种苗吃好、住好。</w:t>
      </w:r>
      <w:r>
        <w:rPr>
          <w:kern w:val="0"/>
          <w:szCs w:val="21"/>
        </w:rPr>
        <w:t xml:space="preserve"> </w:t>
      </w:r>
    </w:p>
    <w:p>
      <w:pPr>
        <w:widowControl/>
        <w:snapToGrid w:val="0"/>
        <w:spacing w:line="360" w:lineRule="auto"/>
        <w:rPr>
          <w:kern w:val="0"/>
          <w:szCs w:val="21"/>
        </w:rPr>
      </w:pPr>
      <w:r>
        <w:rPr>
          <w:rFonts w:hint="eastAsia" w:ascii="宋体" w:hAnsi="宋体"/>
          <w:b/>
          <w:bCs/>
        </w:rPr>
        <w:t>教学组织与实施：</w:t>
      </w:r>
      <w:r>
        <w:rPr>
          <w:rFonts w:hint="eastAsia"/>
          <w:kern w:val="0"/>
          <w:szCs w:val="21"/>
        </w:rPr>
        <w:t>突出学生的中心地位，根据学生认知规律和接受特点，通过视频教学法，让同学们首先从感性上连接现代育苗技术，然后再引入本节教学；同时采用类比教学法，通过人民重视幼儿教育一样要重视种苗的培育，引入种苗对产业的重要性。</w:t>
      </w:r>
    </w:p>
    <w:tbl>
      <w:tblPr>
        <w:tblStyle w:val="22"/>
        <w:tblW w:w="0" w:type="auto"/>
        <w:tblInd w:w="4" w:type="dxa"/>
        <w:tblLayout w:type="autofit"/>
        <w:tblCellMar>
          <w:top w:w="0" w:type="dxa"/>
          <w:left w:w="0" w:type="dxa"/>
          <w:bottom w:w="0" w:type="dxa"/>
          <w:right w:w="0" w:type="dxa"/>
        </w:tblCellMar>
      </w:tblPr>
      <w:tblGrid>
        <w:gridCol w:w="871"/>
        <w:gridCol w:w="5059"/>
        <w:gridCol w:w="2966"/>
      </w:tblGrid>
      <w:tr>
        <w:tblPrEx>
          <w:tblCellMar>
            <w:top w:w="0" w:type="dxa"/>
            <w:left w:w="0" w:type="dxa"/>
            <w:bottom w:w="0" w:type="dxa"/>
            <w:right w:w="0" w:type="dxa"/>
          </w:tblCellMar>
        </w:tblPrEx>
        <w:trPr>
          <w:trHeight w:val="270" w:hRule="atLeast"/>
        </w:trPr>
        <w:tc>
          <w:tcPr>
            <w:tcW w:w="87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505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九</w:t>
            </w:r>
            <w:r>
              <w:rPr>
                <w:rFonts w:hAnsi="宋体"/>
                <w:b/>
                <w:bCs/>
                <w:szCs w:val="21"/>
              </w:rPr>
              <w:t>章</w:t>
            </w:r>
            <w:r>
              <w:rPr>
                <w:rFonts w:hint="eastAsia"/>
                <w:b/>
                <w:bCs/>
                <w:szCs w:val="21"/>
              </w:rPr>
              <w:t xml:space="preserve">  科技创新与园艺产业未来发展前景</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8</w:t>
            </w:r>
          </w:p>
        </w:tc>
      </w:tr>
    </w:tbl>
    <w:p>
      <w:pPr>
        <w:snapToGrid w:val="0"/>
        <w:spacing w:line="360" w:lineRule="auto"/>
        <w:rPr>
          <w:rFonts w:hAnsi="宋体"/>
          <w:kern w:val="0"/>
          <w:szCs w:val="21"/>
        </w:rPr>
      </w:pPr>
      <w:r>
        <w:rPr>
          <w:rFonts w:hint="eastAsia" w:ascii="宋体" w:hAnsi="宋体"/>
          <w:b/>
          <w:bCs/>
        </w:rPr>
        <w:t>教学目标：</w:t>
      </w:r>
      <w:r>
        <w:rPr>
          <w:rFonts w:hint="eastAsia"/>
          <w:kern w:val="0"/>
          <w:szCs w:val="21"/>
        </w:rPr>
        <w:t>邀请行业主管部门、企业家、科学家等，围绕果、菜、花、茶产业，从不同角度，向同学们介绍园艺产业未来发展趋势，以及科技创新在推进园艺产业高质量发展中的重要性。让学生更加了解园艺产业在农业和国民经济中的重要地位，激发学习兴趣，树立专业信心，培育学农爱农情怀。</w:t>
      </w:r>
    </w:p>
    <w:p>
      <w:pPr>
        <w:widowControl/>
        <w:snapToGrid w:val="0"/>
        <w:spacing w:line="360" w:lineRule="auto"/>
        <w:jc w:val="left"/>
        <w:rPr>
          <w:kern w:val="0"/>
          <w:szCs w:val="21"/>
        </w:rPr>
      </w:pPr>
      <w:r>
        <w:rPr>
          <w:rFonts w:hint="eastAsia" w:ascii="宋体" w:hAnsi="宋体"/>
          <w:b/>
          <w:bCs/>
        </w:rPr>
        <w:t>教学重点和难点：</w:t>
      </w:r>
      <w:r>
        <w:rPr>
          <w:rFonts w:hint="eastAsia"/>
          <w:kern w:val="0"/>
          <w:szCs w:val="21"/>
        </w:rPr>
        <w:t>科技是如何赋能园艺产业高质量发展的，园艺产业在发展中还有哪些卡脖子的关键问题。</w:t>
      </w:r>
    </w:p>
    <w:p>
      <w:pPr>
        <w:widowControl/>
        <w:snapToGrid w:val="0"/>
        <w:spacing w:line="360" w:lineRule="auto"/>
        <w:jc w:val="left"/>
        <w:rPr>
          <w:kern w:val="0"/>
          <w:szCs w:val="21"/>
        </w:rPr>
      </w:pPr>
      <w:r>
        <w:rPr>
          <w:rFonts w:hint="eastAsia" w:ascii="宋体" w:hAnsi="宋体"/>
          <w:b/>
        </w:rPr>
        <w:t>主要教学内容及要求：</w:t>
      </w:r>
    </w:p>
    <w:p>
      <w:pPr>
        <w:tabs>
          <w:tab w:val="left" w:pos="540"/>
        </w:tabs>
        <w:snapToGrid w:val="0"/>
        <w:spacing w:line="360" w:lineRule="auto"/>
        <w:ind w:firstLine="420" w:firstLineChars="200"/>
        <w:rPr>
          <w:kern w:val="0"/>
          <w:szCs w:val="21"/>
        </w:rPr>
      </w:pPr>
      <w:r>
        <w:rPr>
          <w:rFonts w:hint="eastAsia"/>
          <w:kern w:val="0"/>
          <w:szCs w:val="21"/>
        </w:rPr>
        <w:t>了解：园艺业产业发展现状，未来发展趋势。</w:t>
      </w:r>
    </w:p>
    <w:p>
      <w:pPr>
        <w:tabs>
          <w:tab w:val="left" w:pos="540"/>
        </w:tabs>
        <w:snapToGrid w:val="0"/>
        <w:spacing w:line="360" w:lineRule="auto"/>
        <w:ind w:firstLine="420" w:firstLineChars="200"/>
        <w:rPr>
          <w:kern w:val="0"/>
          <w:szCs w:val="21"/>
        </w:rPr>
      </w:pPr>
      <w:r>
        <w:rPr>
          <w:rFonts w:hint="eastAsia"/>
          <w:kern w:val="0"/>
          <w:szCs w:val="21"/>
        </w:rPr>
        <w:t>理解：园艺产业发展中已经解决的，未解决的，亟待解决的关键科学问题。</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课堂讲授方式结合大量图片资料和实例介绍我国园艺产业和河南省园艺产业发展的现状；引导学生思考园艺产业的发展在农业产业中的重要作用，引导学生讨论园艺产业发展中所了解的主要品种、栽培技术等</w:t>
      </w:r>
      <w:r>
        <w:rPr>
          <w:rFonts w:hint="eastAsia" w:ascii="宋体" w:hAnsi="宋体"/>
          <w:szCs w:val="20"/>
        </w:rPr>
        <w:t>。</w:t>
      </w:r>
    </w:p>
    <w:p>
      <w:pPr>
        <w:widowControl/>
        <w:snapToGrid w:val="0"/>
        <w:spacing w:line="360" w:lineRule="auto"/>
        <w:jc w:val="left"/>
        <w:rPr>
          <w:rFonts w:ascii="宋体" w:hAnsi="宋体"/>
          <w:b/>
          <w:szCs w:val="21"/>
        </w:rPr>
      </w:pPr>
      <w:r>
        <w:rPr>
          <w:rFonts w:hint="eastAsia" w:hAnsi="宋体"/>
          <w:b/>
          <w:bCs/>
          <w:kern w:val="0"/>
          <w:szCs w:val="21"/>
        </w:rPr>
        <w:t>五</w:t>
      </w:r>
      <w:r>
        <w:rPr>
          <w:rFonts w:hAnsi="宋体"/>
          <w:b/>
          <w:bCs/>
          <w:kern w:val="0"/>
          <w:szCs w:val="21"/>
        </w:rPr>
        <w:t>、</w:t>
      </w:r>
      <w:r>
        <w:rPr>
          <w:rFonts w:hint="eastAsia" w:ascii="宋体" w:hAnsi="宋体"/>
          <w:b/>
          <w:szCs w:val="21"/>
        </w:rPr>
        <w:t>课程思政</w:t>
      </w:r>
    </w:p>
    <w:p>
      <w:pPr>
        <w:spacing w:line="360" w:lineRule="auto"/>
        <w:ind w:firstLine="420" w:firstLineChars="200"/>
        <w:rPr>
          <w:color w:val="000000"/>
        </w:rPr>
      </w:pPr>
      <w:r>
        <w:rPr>
          <w:rFonts w:hint="eastAsia"/>
          <w:color w:val="000000"/>
        </w:rPr>
        <w:t>根据本校办学定位、专业特色和人才培养要求，课程思政建设方向和重点是培养学生的“大国三农”情怀和“生态文明”理念；课程思政建设目标是：培养学生“懂农业、爱农村，爱农民”，把论文写在祖国大地上，增强学生强农兴农、服务农业农村现代化、服务乡村全面振兴的使命感和责任感。</w:t>
      </w:r>
    </w:p>
    <w:p>
      <w:pPr>
        <w:spacing w:line="360" w:lineRule="auto"/>
        <w:ind w:firstLine="420" w:firstLineChars="200"/>
        <w:rPr>
          <w:color w:val="000000"/>
        </w:rPr>
      </w:pPr>
      <w:r>
        <w:rPr>
          <w:rFonts w:hint="eastAsia"/>
          <w:color w:val="000000"/>
        </w:rPr>
        <w:t xml:space="preserve">1. </w:t>
      </w:r>
      <w:r>
        <w:rPr>
          <w:color w:val="000000"/>
        </w:rPr>
        <w:t>从我国水资源、肥料资源短缺和设施农业连作障碍，引导学生树立生态文明、绿色发展的理念。</w:t>
      </w:r>
    </w:p>
    <w:p>
      <w:pPr>
        <w:spacing w:line="360" w:lineRule="auto"/>
        <w:ind w:firstLine="420" w:firstLineChars="200"/>
        <w:rPr>
          <w:color w:val="000000"/>
        </w:rPr>
      </w:pPr>
      <w:r>
        <w:rPr>
          <w:rFonts w:hint="eastAsia"/>
          <w:color w:val="000000"/>
        </w:rPr>
        <w:t xml:space="preserve">2. </w:t>
      </w:r>
      <w:r>
        <w:rPr>
          <w:color w:val="000000"/>
        </w:rPr>
        <w:t>从发达国家设施农业发展现状、我国设施农业存在问题，</w:t>
      </w:r>
      <w:r>
        <w:rPr>
          <w:rFonts w:hint="eastAsia"/>
          <w:color w:val="000000"/>
        </w:rPr>
        <w:t>激发</w:t>
      </w:r>
      <w:r>
        <w:rPr>
          <w:color w:val="000000"/>
        </w:rPr>
        <w:t>学生强农兴农的使命感。</w:t>
      </w:r>
    </w:p>
    <w:p>
      <w:pPr>
        <w:spacing w:line="360" w:lineRule="auto"/>
        <w:ind w:firstLine="420" w:firstLineChars="200"/>
        <w:rPr>
          <w:color w:val="000000"/>
        </w:rPr>
      </w:pPr>
      <w:r>
        <w:rPr>
          <w:color w:val="000000"/>
        </w:rPr>
        <w:t>3</w:t>
      </w:r>
      <w:r>
        <w:rPr>
          <w:rFonts w:hint="eastAsia"/>
          <w:color w:val="000000"/>
        </w:rPr>
        <w:t>. 通过园艺院士吴明珠李天来、喻景权对园艺发展的科学贡献、借助校史搜集的知名专家、校友服务“三农”事迹，激发学生树立“大国三农”的情怀，增强服务农业农村现代化、服务乡村全面振兴的使命感。</w:t>
      </w:r>
    </w:p>
    <w:p>
      <w:pPr>
        <w:widowControl/>
        <w:snapToGrid w:val="0"/>
        <w:spacing w:line="360" w:lineRule="auto"/>
        <w:jc w:val="left"/>
        <w:rPr>
          <w:kern w:val="0"/>
          <w:szCs w:val="21"/>
        </w:rPr>
      </w:pPr>
      <w:r>
        <w:rPr>
          <w:rFonts w:hint="eastAsia" w:ascii="宋体" w:hAnsi="宋体"/>
          <w:b/>
          <w:szCs w:val="21"/>
        </w:rPr>
        <w:t>六</w:t>
      </w:r>
      <w:r>
        <w:rPr>
          <w:rFonts w:hAnsi="宋体"/>
          <w:b/>
          <w:bCs/>
          <w:kern w:val="0"/>
          <w:szCs w:val="21"/>
        </w:rPr>
        <w:t>、教材</w:t>
      </w:r>
      <w:r>
        <w:rPr>
          <w:rFonts w:hint="eastAsia" w:hAnsi="宋体"/>
          <w:b/>
          <w:bCs/>
          <w:kern w:val="0"/>
          <w:szCs w:val="21"/>
        </w:rPr>
        <w:t>及教学参考书</w:t>
      </w:r>
      <w:r>
        <w:rPr>
          <w:rFonts w:hint="eastAsia" w:ascii="宋体" w:hAnsi="宋体" w:cs="宋体"/>
          <w:b/>
          <w:bCs/>
          <w:color w:val="0000FF"/>
          <w:kern w:val="0"/>
          <w:szCs w:val="21"/>
        </w:rPr>
        <w:t></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ascii="宋体" w:hAnsi="宋体"/>
          <w:bCs/>
          <w:kern w:val="0"/>
          <w:szCs w:val="21"/>
        </w:rPr>
      </w:pPr>
      <w:r>
        <w:rPr>
          <w:rFonts w:hint="eastAsia" w:ascii="宋体" w:hAnsi="宋体"/>
          <w:bCs/>
          <w:kern w:val="0"/>
          <w:szCs w:val="21"/>
        </w:rPr>
        <w:t xml:space="preserve">园艺概论，徐强 </w:t>
      </w:r>
      <w:r>
        <w:rPr>
          <w:rFonts w:ascii="宋体" w:hAnsi="宋体"/>
          <w:bCs/>
          <w:kern w:val="0"/>
          <w:szCs w:val="21"/>
        </w:rPr>
        <w:t xml:space="preserve"> </w:t>
      </w:r>
      <w:r>
        <w:rPr>
          <w:rFonts w:hint="eastAsia" w:ascii="宋体" w:hAnsi="宋体"/>
          <w:bCs/>
          <w:kern w:val="0"/>
          <w:szCs w:val="21"/>
        </w:rPr>
        <w:t>何燕红主编，高等教育出版社，2</w:t>
      </w:r>
      <w:r>
        <w:rPr>
          <w:rFonts w:ascii="宋体" w:hAnsi="宋体"/>
          <w:bCs/>
          <w:kern w:val="0"/>
          <w:szCs w:val="21"/>
        </w:rPr>
        <w:t>023</w:t>
      </w:r>
      <w:r>
        <w:rPr>
          <w:rFonts w:hint="eastAsia" w:ascii="宋体" w:hAnsi="宋体"/>
          <w:bCs/>
          <w:kern w:val="0"/>
          <w:szCs w:val="21"/>
        </w:rPr>
        <w:t>年</w:t>
      </w:r>
    </w:p>
    <w:p>
      <w:pPr>
        <w:widowControl/>
        <w:snapToGrid w:val="0"/>
        <w:spacing w:line="360" w:lineRule="auto"/>
        <w:ind w:firstLine="422" w:firstLineChars="200"/>
        <w:jc w:val="left"/>
        <w:rPr>
          <w:rFonts w:hAnsi="宋体"/>
          <w:b/>
          <w:bCs/>
          <w:kern w:val="0"/>
          <w:szCs w:val="21"/>
        </w:rPr>
      </w:pPr>
      <w:r>
        <w:rPr>
          <w:b/>
          <w:bCs/>
          <w:kern w:val="0"/>
          <w:szCs w:val="21"/>
        </w:rPr>
        <w:t>2</w:t>
      </w:r>
      <w:r>
        <w:rPr>
          <w:rFonts w:hint="eastAsia" w:hAnsi="宋体"/>
          <w:b/>
          <w:bCs/>
          <w:kern w:val="0"/>
          <w:szCs w:val="21"/>
        </w:rPr>
        <w:t>.</w:t>
      </w:r>
      <w:r>
        <w:rPr>
          <w:rFonts w:hAnsi="宋体"/>
          <w:b/>
          <w:bCs/>
          <w:kern w:val="0"/>
          <w:szCs w:val="21"/>
        </w:rPr>
        <w:t>参考书：</w:t>
      </w:r>
    </w:p>
    <w:p>
      <w:pPr>
        <w:widowControl/>
        <w:snapToGrid w:val="0"/>
        <w:spacing w:line="360" w:lineRule="auto"/>
        <w:ind w:firstLine="420" w:firstLineChars="200"/>
        <w:jc w:val="left"/>
        <w:rPr>
          <w:rFonts w:ascii="宋体" w:hAnsi="宋体"/>
          <w:bCs/>
          <w:kern w:val="0"/>
          <w:szCs w:val="21"/>
        </w:rPr>
      </w:pPr>
      <w:r>
        <w:rPr>
          <w:rFonts w:hint="eastAsia" w:ascii="宋体" w:hAnsi="宋体"/>
          <w:bCs/>
          <w:kern w:val="0"/>
          <w:szCs w:val="21"/>
        </w:rPr>
        <w:t>（1）园艺概论.</w:t>
      </w:r>
      <w:r>
        <w:rPr>
          <w:rFonts w:ascii="宋体" w:hAnsi="宋体"/>
          <w:bCs/>
          <w:kern w:val="0"/>
          <w:szCs w:val="21"/>
        </w:rPr>
        <w:t xml:space="preserve"> </w:t>
      </w:r>
      <w:r>
        <w:rPr>
          <w:rFonts w:hint="eastAsia" w:ascii="宋体" w:hAnsi="宋体"/>
          <w:bCs/>
          <w:kern w:val="0"/>
          <w:szCs w:val="21"/>
        </w:rPr>
        <w:t>程智慧主编.</w:t>
      </w:r>
      <w:r>
        <w:rPr>
          <w:rFonts w:ascii="宋体" w:hAnsi="宋体"/>
          <w:bCs/>
          <w:kern w:val="0"/>
          <w:szCs w:val="21"/>
        </w:rPr>
        <w:t xml:space="preserve"> </w:t>
      </w:r>
      <w:r>
        <w:rPr>
          <w:rFonts w:hint="eastAsia" w:ascii="宋体" w:hAnsi="宋体"/>
          <w:bCs/>
          <w:kern w:val="0"/>
          <w:szCs w:val="21"/>
        </w:rPr>
        <w:t>科学出版社，2</w:t>
      </w:r>
      <w:r>
        <w:rPr>
          <w:rFonts w:ascii="宋体" w:hAnsi="宋体"/>
          <w:bCs/>
          <w:kern w:val="0"/>
          <w:szCs w:val="21"/>
        </w:rPr>
        <w:t>016</w:t>
      </w:r>
      <w:r>
        <w:rPr>
          <w:rFonts w:hint="eastAsia" w:ascii="宋体" w:hAnsi="宋体"/>
          <w:bCs/>
          <w:kern w:val="0"/>
          <w:szCs w:val="21"/>
        </w:rPr>
        <w:t>年</w:t>
      </w:r>
    </w:p>
    <w:p>
      <w:pPr>
        <w:widowControl/>
        <w:snapToGrid w:val="0"/>
        <w:spacing w:line="360" w:lineRule="auto"/>
        <w:ind w:firstLine="420" w:firstLineChars="200"/>
        <w:jc w:val="left"/>
        <w:rPr>
          <w:kern w:val="0"/>
          <w:szCs w:val="21"/>
        </w:rPr>
      </w:pPr>
      <w:r>
        <w:rPr>
          <w:rFonts w:hint="eastAsia"/>
          <w:kern w:val="0"/>
          <w:szCs w:val="21"/>
        </w:rPr>
        <w:t>（2）观赏园艺概论.</w:t>
      </w:r>
      <w:r>
        <w:rPr>
          <w:kern w:val="0"/>
          <w:szCs w:val="21"/>
        </w:rPr>
        <w:t xml:space="preserve"> </w:t>
      </w:r>
      <w:r>
        <w:rPr>
          <w:rFonts w:hint="eastAsia"/>
          <w:kern w:val="0"/>
          <w:szCs w:val="21"/>
        </w:rPr>
        <w:t>罗长维主编.</w:t>
      </w:r>
      <w:r>
        <w:rPr>
          <w:kern w:val="0"/>
          <w:szCs w:val="21"/>
        </w:rPr>
        <w:t xml:space="preserve"> </w:t>
      </w:r>
      <w:r>
        <w:rPr>
          <w:rFonts w:hint="eastAsia"/>
          <w:kern w:val="0"/>
          <w:szCs w:val="21"/>
        </w:rPr>
        <w:t>中国林业出版社，2</w:t>
      </w:r>
      <w:r>
        <w:rPr>
          <w:kern w:val="0"/>
          <w:szCs w:val="21"/>
        </w:rPr>
        <w:t>017</w:t>
      </w:r>
      <w:r>
        <w:rPr>
          <w:rFonts w:hint="eastAsia"/>
          <w:kern w:val="0"/>
          <w:szCs w:val="21"/>
        </w:rPr>
        <w:t>年</w:t>
      </w:r>
    </w:p>
    <w:p>
      <w:pPr>
        <w:widowControl/>
        <w:snapToGrid w:val="0"/>
        <w:spacing w:line="360" w:lineRule="auto"/>
        <w:ind w:firstLine="420" w:firstLineChars="200"/>
        <w:jc w:val="left"/>
        <w:rPr>
          <w:kern w:val="0"/>
          <w:szCs w:val="21"/>
        </w:rPr>
      </w:pPr>
      <w:r>
        <w:rPr>
          <w:rFonts w:hint="eastAsia"/>
          <w:kern w:val="0"/>
          <w:szCs w:val="21"/>
        </w:rPr>
        <w:t>（3）茶学概论.</w:t>
      </w:r>
      <w:r>
        <w:rPr>
          <w:kern w:val="0"/>
          <w:szCs w:val="21"/>
        </w:rPr>
        <w:t xml:space="preserve"> </w:t>
      </w:r>
      <w:r>
        <w:rPr>
          <w:rFonts w:hint="eastAsia"/>
          <w:kern w:val="0"/>
          <w:szCs w:val="21"/>
        </w:rPr>
        <w:t>朱旗主编.</w:t>
      </w:r>
      <w:r>
        <w:rPr>
          <w:kern w:val="0"/>
          <w:szCs w:val="21"/>
        </w:rPr>
        <w:t xml:space="preserve"> </w:t>
      </w:r>
      <w:r>
        <w:rPr>
          <w:rFonts w:hint="eastAsia"/>
          <w:kern w:val="0"/>
          <w:szCs w:val="21"/>
        </w:rPr>
        <w:t>中国农业出版社，2</w:t>
      </w:r>
      <w:r>
        <w:rPr>
          <w:kern w:val="0"/>
          <w:szCs w:val="21"/>
        </w:rPr>
        <w:t>020</w:t>
      </w:r>
      <w:r>
        <w:rPr>
          <w:rFonts w:hint="eastAsia"/>
          <w:kern w:val="0"/>
          <w:szCs w:val="21"/>
        </w:rPr>
        <w:t>年</w:t>
      </w: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snapToGrid w:val="0"/>
        <w:spacing w:line="360" w:lineRule="auto"/>
        <w:ind w:firstLine="420" w:firstLineChars="200"/>
        <w:rPr>
          <w:kern w:val="0"/>
          <w:szCs w:val="21"/>
        </w:rPr>
      </w:pPr>
      <w:r>
        <w:rPr>
          <w:rFonts w:hAnsi="宋体"/>
          <w:szCs w:val="21"/>
        </w:rPr>
        <w:t>（</w:t>
      </w:r>
      <w:r>
        <w:rPr>
          <w:kern w:val="0"/>
          <w:szCs w:val="21"/>
        </w:rPr>
        <w:t>1）</w:t>
      </w:r>
      <w:r>
        <w:rPr>
          <w:rFonts w:hint="eastAsia"/>
          <w:kern w:val="0"/>
          <w:szCs w:val="21"/>
        </w:rPr>
        <w:t>中国园艺学会</w:t>
      </w:r>
      <w:r>
        <w:rPr>
          <w:kern w:val="0"/>
          <w:szCs w:val="21"/>
        </w:rPr>
        <w:t>，</w:t>
      </w:r>
      <w:r>
        <w:rPr>
          <w:rFonts w:hint="eastAsia"/>
          <w:kern w:val="0"/>
          <w:szCs w:val="21"/>
        </w:rPr>
        <w:t>h</w:t>
      </w:r>
      <w:r>
        <w:rPr>
          <w:kern w:val="0"/>
          <w:szCs w:val="21"/>
        </w:rPr>
        <w:t>ttps://www.cshs.org.cn</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2</w:t>
      </w:r>
      <w:r>
        <w:rPr>
          <w:rFonts w:hint="eastAsia"/>
          <w:kern w:val="0"/>
          <w:szCs w:val="21"/>
        </w:rPr>
        <w:t>）华中农业大学公开课：园艺概论</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kern w:val="0"/>
          <w:szCs w:val="21"/>
        </w:rPr>
      </w:pPr>
      <w:r>
        <w:rPr>
          <w:rFonts w:hint="eastAsia"/>
          <w:kern w:val="0"/>
          <w:szCs w:val="21"/>
        </w:rPr>
        <w:t>本课程师资大部分是学院二级学科负责人、省级现代农业岗位专家、教授和博导，还有来自行业主管部门领导、企业家及国内外知名园艺专家，师资力量阵容强大。教学场地除了学校的教室、实验室外，还有校外实践教学基地等，均可满足本课程教学需要。</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ascii="宋体" w:hAnsi="宋体"/>
          <w:color w:val="0000FF"/>
        </w:rPr>
      </w:pPr>
      <w:r>
        <w:rPr>
          <w:rFonts w:hint="eastAsia" w:hAnsi="宋体"/>
          <w:b/>
          <w:bCs/>
          <w:kern w:val="0"/>
          <w:szCs w:val="21"/>
        </w:rPr>
        <w:t>1.过程性评价：</w:t>
      </w:r>
    </w:p>
    <w:p>
      <w:pPr>
        <w:widowControl/>
        <w:snapToGrid w:val="0"/>
        <w:spacing w:line="360" w:lineRule="auto"/>
        <w:ind w:firstLine="420"/>
        <w:jc w:val="left"/>
        <w:rPr>
          <w:color w:val="000000"/>
          <w:szCs w:val="21"/>
        </w:rPr>
      </w:pPr>
      <w:r>
        <w:rPr>
          <w:rFonts w:hint="eastAsia"/>
          <w:color w:val="000000"/>
          <w:szCs w:val="21"/>
        </w:rPr>
        <w:t>本课程注重过程性评价，将课前预习、课堂表现、线上学习（测验）、课后作业、小组学习讨论和课程实验报告等学习过程全面纳入课程形成性评价体系。其中课程实验报告占2</w:t>
      </w:r>
      <w:r>
        <w:rPr>
          <w:color w:val="000000"/>
          <w:szCs w:val="21"/>
        </w:rPr>
        <w:t>0</w:t>
      </w:r>
      <w:r>
        <w:rPr>
          <w:rFonts w:hint="eastAsia"/>
          <w:color w:val="000000"/>
          <w:szCs w:val="21"/>
        </w:rPr>
        <w:t>%，其余占2</w:t>
      </w:r>
      <w:r>
        <w:rPr>
          <w:color w:val="000000"/>
          <w:szCs w:val="21"/>
        </w:rPr>
        <w:t>0</w:t>
      </w:r>
      <w:r>
        <w:rPr>
          <w:rFonts w:hint="eastAsia"/>
          <w:color w:val="000000"/>
          <w:szCs w:val="21"/>
        </w:rPr>
        <w:t>%。</w:t>
      </w:r>
    </w:p>
    <w:p>
      <w:pPr>
        <w:widowControl/>
        <w:snapToGrid w:val="0"/>
        <w:spacing w:line="360" w:lineRule="auto"/>
        <w:ind w:firstLine="420"/>
        <w:jc w:val="left"/>
        <w:rPr>
          <w:rFonts w:ascii="宋体" w:hAnsi="宋体"/>
          <w:color w:val="0000FF"/>
        </w:rPr>
      </w:pPr>
      <w:r>
        <w:rPr>
          <w:rFonts w:hint="eastAsia" w:hAnsi="宋体"/>
          <w:b/>
          <w:bCs/>
          <w:kern w:val="0"/>
          <w:szCs w:val="21"/>
        </w:rPr>
        <w:t>2.终结性评价：</w:t>
      </w:r>
    </w:p>
    <w:p>
      <w:pPr>
        <w:widowControl/>
        <w:snapToGrid w:val="0"/>
        <w:spacing w:line="360" w:lineRule="auto"/>
        <w:ind w:firstLine="420"/>
        <w:jc w:val="left"/>
        <w:rPr>
          <w:color w:val="000000"/>
          <w:szCs w:val="21"/>
        </w:rPr>
      </w:pPr>
      <w:r>
        <w:rPr>
          <w:rFonts w:hint="eastAsia"/>
          <w:color w:val="000000"/>
          <w:szCs w:val="21"/>
        </w:rPr>
        <w:t>期末考试采取撰写课程论文的方式，占比6</w:t>
      </w:r>
      <w:r>
        <w:rPr>
          <w:color w:val="000000"/>
          <w:szCs w:val="21"/>
        </w:rPr>
        <w:t>0</w:t>
      </w:r>
      <w:r>
        <w:rPr>
          <w:rFonts w:hint="eastAsia"/>
          <w:color w:val="000000"/>
          <w:szCs w:val="21"/>
        </w:rPr>
        <w:t>%。</w:t>
      </w:r>
    </w:p>
    <w:p>
      <w:pPr>
        <w:widowControl/>
        <w:snapToGrid w:val="0"/>
        <w:spacing w:line="360" w:lineRule="auto"/>
        <w:ind w:firstLine="420"/>
        <w:jc w:val="left"/>
        <w:rPr>
          <w:rFonts w:ascii="宋体" w:hAnsi="宋体"/>
        </w:rPr>
      </w:pPr>
      <w:r>
        <w:rPr>
          <w:rFonts w:hint="eastAsia" w:hAnsi="宋体"/>
          <w:b/>
          <w:bCs/>
          <w:kern w:val="0"/>
          <w:szCs w:val="21"/>
        </w:rPr>
        <w:t>3.课程综合评价：</w:t>
      </w:r>
    </w:p>
    <w:p>
      <w:pPr>
        <w:adjustRightInd w:val="0"/>
        <w:snapToGrid w:val="0"/>
        <w:spacing w:line="360" w:lineRule="auto"/>
        <w:ind w:firstLine="420" w:firstLineChars="200"/>
        <w:rPr>
          <w:rFonts w:ascii="宋体" w:hAnsi="宋体"/>
          <w:color w:val="000000"/>
        </w:rPr>
      </w:pPr>
      <w:r>
        <w:rPr>
          <w:rFonts w:hint="eastAsia" w:ascii="宋体" w:hAnsi="宋体"/>
          <w:color w:val="000000"/>
        </w:rPr>
        <w:t>最终成绩的确定由三部分组成，卷面考试成绩、平时成绩与课程实验成绩。其中</w:t>
      </w:r>
      <w:r>
        <w:rPr>
          <w:rFonts w:hint="eastAsia"/>
          <w:color w:val="000000"/>
          <w:szCs w:val="21"/>
        </w:rPr>
        <w:t>课程论文</w:t>
      </w:r>
      <w:r>
        <w:rPr>
          <w:rFonts w:hint="eastAsia" w:ascii="宋体" w:hAnsi="宋体"/>
          <w:color w:val="000000"/>
        </w:rPr>
        <w:t>占60%，平时成绩占</w:t>
      </w:r>
      <w:r>
        <w:rPr>
          <w:rFonts w:ascii="宋体" w:hAnsi="宋体"/>
          <w:color w:val="000000"/>
        </w:rPr>
        <w:t>20</w:t>
      </w:r>
      <w:r>
        <w:rPr>
          <w:rFonts w:hint="eastAsia" w:ascii="宋体" w:hAnsi="宋体"/>
          <w:color w:val="000000"/>
        </w:rPr>
        <w:t>%，课程实验报告占2</w:t>
      </w:r>
      <w:r>
        <w:rPr>
          <w:rFonts w:ascii="宋体" w:hAnsi="宋体"/>
          <w:color w:val="000000"/>
        </w:rPr>
        <w:t>0</w:t>
      </w:r>
      <w:r>
        <w:rPr>
          <w:rFonts w:hint="eastAsia" w:ascii="宋体" w:hAnsi="宋体"/>
          <w:color w:val="000000"/>
        </w:rPr>
        <w:t>%。平时成绩由单元测验、课堂讨论、作业、实验报告等组成。</w:t>
      </w:r>
    </w:p>
    <w:p>
      <w:pPr>
        <w:widowControl/>
        <w:snapToGrid w:val="0"/>
        <w:spacing w:line="360" w:lineRule="auto"/>
        <w:ind w:firstLine="420"/>
        <w:jc w:val="left"/>
        <w:rPr>
          <w:rFonts w:ascii="宋体" w:hAnsi="宋体"/>
          <w:color w:val="000000"/>
        </w:rPr>
      </w:pPr>
      <w:r>
        <w:rPr>
          <w:rFonts w:hint="eastAsia" w:ascii="宋体" w:hAnsi="宋体"/>
          <w:color w:val="000000"/>
        </w:rPr>
        <w:t>对应课程目标中的1、</w:t>
      </w:r>
      <w:r>
        <w:rPr>
          <w:rFonts w:ascii="宋体" w:hAnsi="宋体"/>
          <w:color w:val="000000"/>
        </w:rPr>
        <w:t>2</w:t>
      </w:r>
      <w:r>
        <w:rPr>
          <w:rFonts w:hint="eastAsia" w:ascii="宋体" w:hAnsi="宋体"/>
          <w:color w:val="000000"/>
        </w:rPr>
        <w:t>、</w:t>
      </w:r>
      <w:r>
        <w:rPr>
          <w:rFonts w:ascii="宋体" w:hAnsi="宋体"/>
          <w:color w:val="000000"/>
        </w:rPr>
        <w:t>3</w:t>
      </w:r>
      <w:r>
        <w:rPr>
          <w:rFonts w:hint="eastAsia" w:ascii="宋体" w:hAnsi="宋体"/>
          <w:color w:val="000000"/>
        </w:rPr>
        <w:t>、</w:t>
      </w:r>
      <w:r>
        <w:rPr>
          <w:rFonts w:ascii="宋体" w:hAnsi="宋体"/>
          <w:color w:val="000000"/>
        </w:rPr>
        <w:t>4</w:t>
      </w:r>
      <w:r>
        <w:rPr>
          <w:rFonts w:hint="eastAsia" w:ascii="宋体" w:hAnsi="宋体"/>
          <w:color w:val="000000"/>
        </w:rPr>
        <w:t>。</w:t>
      </w:r>
    </w:p>
    <w:p>
      <w:pPr>
        <w:widowControl/>
        <w:snapToGrid w:val="0"/>
        <w:spacing w:line="360" w:lineRule="auto"/>
        <w:ind w:firstLine="420"/>
        <w:jc w:val="left"/>
        <w:rPr>
          <w:rFonts w:ascii="宋体" w:hAnsi="宋体"/>
          <w:color w:val="000000"/>
        </w:rPr>
      </w:pPr>
    </w:p>
    <w:p>
      <w:pPr>
        <w:widowControl/>
        <w:snapToGrid w:val="0"/>
        <w:spacing w:line="360" w:lineRule="auto"/>
        <w:ind w:firstLine="420"/>
        <w:jc w:val="left"/>
        <w:rPr>
          <w:rFonts w:ascii="宋体" w:hAnsi="宋体"/>
          <w:color w:val="000000"/>
        </w:rPr>
      </w:pPr>
    </w:p>
    <w:p>
      <w:pPr>
        <w:widowControl/>
        <w:snapToGrid w:val="0"/>
        <w:spacing w:line="360" w:lineRule="auto"/>
        <w:ind w:firstLine="420"/>
        <w:jc w:val="left"/>
        <w:rPr>
          <w:rFonts w:ascii="宋体" w:hAnsi="宋体"/>
          <w:color w:val="000000"/>
        </w:rPr>
      </w:pPr>
    </w:p>
    <w:p>
      <w:pPr>
        <w:widowControl/>
        <w:snapToGrid w:val="0"/>
        <w:spacing w:line="360" w:lineRule="auto"/>
        <w:ind w:firstLine="420"/>
        <w:jc w:val="left"/>
        <w:rPr>
          <w:rFonts w:ascii="宋体" w:hAnsi="宋体"/>
          <w:color w:val="000000"/>
        </w:rPr>
      </w:pPr>
    </w:p>
    <w:p>
      <w:pPr>
        <w:widowControl/>
        <w:snapToGrid w:val="0"/>
        <w:spacing w:line="360" w:lineRule="auto"/>
        <w:ind w:firstLine="420"/>
        <w:jc w:val="left"/>
        <w:rPr>
          <w:rFonts w:ascii="宋体" w:hAnsi="宋体"/>
          <w:color w:val="000000"/>
        </w:rPr>
      </w:pPr>
    </w:p>
    <w:p>
      <w:pPr>
        <w:widowControl/>
        <w:snapToGrid w:val="0"/>
        <w:spacing w:line="360" w:lineRule="auto"/>
        <w:ind w:firstLine="420"/>
        <w:jc w:val="left"/>
        <w:rPr>
          <w:rFonts w:ascii="宋体" w:hAnsi="宋体"/>
          <w:color w:val="000000"/>
        </w:rPr>
      </w:pPr>
    </w:p>
    <w:p>
      <w:pPr>
        <w:widowControl/>
        <w:snapToGrid w:val="0"/>
        <w:spacing w:line="360" w:lineRule="auto"/>
        <w:ind w:firstLine="420"/>
        <w:jc w:val="left"/>
        <w:rPr>
          <w:rFonts w:ascii="宋体" w:hAnsi="宋体"/>
          <w:color w:val="000000"/>
        </w:rPr>
      </w:pPr>
    </w:p>
    <w:p>
      <w:pPr>
        <w:widowControl/>
        <w:snapToGrid w:val="0"/>
        <w:spacing w:line="360" w:lineRule="auto"/>
        <w:ind w:firstLine="420"/>
        <w:jc w:val="left"/>
        <w:rPr>
          <w:rFonts w:ascii="宋体" w:hAnsi="宋体"/>
          <w:color w:val="000000"/>
        </w:rPr>
      </w:pPr>
    </w:p>
    <w:p>
      <w:pPr>
        <w:widowControl/>
        <w:jc w:val="left"/>
        <w:rPr>
          <w:rFonts w:ascii="宋体" w:hAnsi="宋体"/>
          <w:color w:val="000000"/>
        </w:rPr>
      </w:pPr>
      <w:r>
        <w:rPr>
          <w:rFonts w:ascii="宋体" w:hAnsi="宋体"/>
          <w:color w:val="000000"/>
        </w:rPr>
        <w:br w:type="page"/>
      </w:r>
    </w:p>
    <w:p>
      <w:pPr>
        <w:pStyle w:val="21"/>
        <w:rPr>
          <w:sz w:val="28"/>
          <w:szCs w:val="28"/>
        </w:rPr>
      </w:pPr>
      <w:bookmarkStart w:id="13" w:name="_Toc489359078"/>
      <w:bookmarkStart w:id="14" w:name="_Toc138076048"/>
      <w:bookmarkStart w:id="15" w:name="_Toc138070678"/>
      <w:bookmarkStart w:id="16" w:name="_Toc138076297"/>
      <w:bookmarkStart w:id="17" w:name="_Toc138076592"/>
      <w:bookmarkStart w:id="18" w:name="_Toc138070408"/>
      <w:bookmarkStart w:id="19" w:name="_Toc17541"/>
      <w:bookmarkStart w:id="20" w:name="_Toc138068778"/>
      <w:r>
        <w:rPr>
          <w:sz w:val="28"/>
          <w:szCs w:val="28"/>
        </w:rPr>
        <w:t>分子生物学基础</w:t>
      </w:r>
      <w:bookmarkEnd w:id="13"/>
      <w:bookmarkEnd w:id="14"/>
      <w:bookmarkEnd w:id="15"/>
      <w:bookmarkEnd w:id="16"/>
      <w:bookmarkEnd w:id="17"/>
      <w:bookmarkEnd w:id="18"/>
      <w:bookmarkEnd w:id="19"/>
      <w:bookmarkEnd w:id="20"/>
    </w:p>
    <w:p>
      <w:pPr>
        <w:snapToGrid w:val="0"/>
        <w:spacing w:line="360" w:lineRule="auto"/>
        <w:jc w:val="center"/>
        <w:rPr>
          <w:sz w:val="24"/>
        </w:rPr>
      </w:pPr>
      <w:r>
        <w:rPr>
          <w:sz w:val="24"/>
        </w:rPr>
        <w:t>（</w:t>
      </w:r>
      <w:r>
        <w:rPr>
          <w:i w:val="0"/>
          <w:iCs/>
          <w:sz w:val="24"/>
        </w:rPr>
        <w:t>Molecular Biology</w:t>
      </w:r>
      <w:r>
        <w:rPr>
          <w:sz w:val="24"/>
        </w:rPr>
        <w:t>）</w:t>
      </w:r>
    </w:p>
    <w:p>
      <w:pPr>
        <w:snapToGrid w:val="0"/>
        <w:spacing w:before="156" w:beforeLines="50" w:line="360" w:lineRule="auto"/>
        <w:jc w:val="center"/>
        <w:rPr>
          <w:b/>
          <w:szCs w:val="21"/>
        </w:rPr>
      </w:pPr>
      <w:r>
        <w:rPr>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75"/>
        <w:gridCol w:w="2334"/>
        <w:gridCol w:w="241"/>
        <w:gridCol w:w="3429"/>
      </w:tblGrid>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ascii="宋体" w:hAnsi="宋体"/>
                <w:b/>
                <w:bCs/>
                <w:szCs w:val="21"/>
              </w:rPr>
              <w:t>课程编号：19011032</w:t>
            </w:r>
          </w:p>
        </w:tc>
        <w:tc>
          <w:tcPr>
            <w:tcW w:w="1453" w:type="pct"/>
            <w:gridSpan w:val="3"/>
          </w:tcPr>
          <w:p>
            <w:pPr>
              <w:spacing w:line="300" w:lineRule="auto"/>
              <w:rPr>
                <w:rFonts w:ascii="宋体" w:hAnsi="宋体"/>
                <w:b/>
                <w:bCs/>
                <w:szCs w:val="21"/>
              </w:rPr>
            </w:pPr>
            <w:r>
              <w:rPr>
                <w:rFonts w:ascii="宋体" w:hAnsi="宋体"/>
                <w:b/>
                <w:bCs/>
                <w:szCs w:val="21"/>
              </w:rPr>
              <w:t>课程总学时：48</w:t>
            </w:r>
          </w:p>
        </w:tc>
        <w:tc>
          <w:tcPr>
            <w:tcW w:w="1881" w:type="pct"/>
          </w:tcPr>
          <w:p>
            <w:pPr>
              <w:spacing w:line="300" w:lineRule="auto"/>
              <w:rPr>
                <w:rFonts w:ascii="宋体" w:hAnsi="宋体"/>
                <w:b/>
                <w:bCs/>
                <w:szCs w:val="21"/>
              </w:rPr>
            </w:pPr>
            <w:r>
              <w:rPr>
                <w:rFonts w:ascii="宋体" w:hAnsi="宋体"/>
                <w:b/>
                <w:bCs/>
                <w:szCs w:val="21"/>
              </w:rPr>
              <w:t>实验学时：8</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ascii="宋体" w:hAnsi="宋体"/>
                <w:b/>
                <w:bCs/>
                <w:szCs w:val="21"/>
              </w:rPr>
              <w:t>课程性质：必修</w:t>
            </w:r>
          </w:p>
        </w:tc>
        <w:tc>
          <w:tcPr>
            <w:tcW w:w="1453" w:type="pct"/>
            <w:gridSpan w:val="3"/>
          </w:tcPr>
          <w:p>
            <w:pPr>
              <w:spacing w:line="300" w:lineRule="auto"/>
              <w:rPr>
                <w:rFonts w:ascii="宋体" w:hAnsi="宋体"/>
                <w:b/>
                <w:bCs/>
                <w:szCs w:val="21"/>
              </w:rPr>
            </w:pPr>
            <w:r>
              <w:rPr>
                <w:rFonts w:ascii="宋体" w:hAnsi="宋体"/>
                <w:b/>
                <w:szCs w:val="21"/>
              </w:rPr>
              <w:t>课程属性：</w:t>
            </w:r>
            <w:r>
              <w:rPr>
                <w:rFonts w:ascii="宋体" w:hAnsi="宋体"/>
                <w:b/>
                <w:bCs/>
                <w:szCs w:val="21"/>
              </w:rPr>
              <w:t>基础类</w:t>
            </w:r>
          </w:p>
        </w:tc>
        <w:tc>
          <w:tcPr>
            <w:tcW w:w="1881" w:type="pct"/>
          </w:tcPr>
          <w:p>
            <w:pPr>
              <w:spacing w:line="300" w:lineRule="auto"/>
              <w:rPr>
                <w:rFonts w:ascii="宋体" w:hAnsi="宋体"/>
                <w:b/>
                <w:bCs/>
                <w:szCs w:val="21"/>
              </w:rPr>
            </w:pPr>
            <w:r>
              <w:rPr>
                <w:rFonts w:ascii="宋体" w:hAnsi="宋体"/>
                <w:b/>
                <w:bCs/>
                <w:szCs w:val="21"/>
              </w:rPr>
              <w:t>开设学期：第5学期</w:t>
            </w:r>
          </w:p>
        </w:tc>
      </w:tr>
      <w:tr>
        <w:tblPrEx>
          <w:tblCellMar>
            <w:top w:w="0" w:type="dxa"/>
            <w:left w:w="108" w:type="dxa"/>
            <w:bottom w:w="0" w:type="dxa"/>
            <w:right w:w="108" w:type="dxa"/>
          </w:tblCellMar>
        </w:tblPrEx>
        <w:tc>
          <w:tcPr>
            <w:tcW w:w="5000" w:type="pct"/>
            <w:gridSpan w:val="5"/>
          </w:tcPr>
          <w:p>
            <w:pPr>
              <w:spacing w:line="300" w:lineRule="auto"/>
              <w:rPr>
                <w:b/>
                <w:bCs/>
                <w:szCs w:val="21"/>
              </w:rPr>
            </w:pPr>
            <w:r>
              <w:rPr>
                <w:rFonts w:hint="eastAsia" w:ascii="宋体" w:hAnsi="宋体"/>
                <w:b/>
                <w:bCs/>
                <w:szCs w:val="21"/>
              </w:rPr>
              <w:t>课程负责人：杨路明</w:t>
            </w:r>
            <w:r>
              <w:rPr>
                <w:rFonts w:hint="eastAsia" w:ascii="宋体" w:hAnsi="宋体"/>
                <w:b/>
                <w:bCs/>
                <w:szCs w:val="21"/>
              </w:rPr>
              <w:tab/>
            </w:r>
            <w:r>
              <w:rPr>
                <w:rFonts w:hint="eastAsia" w:ascii="宋体" w:hAnsi="宋体"/>
                <w:b/>
                <w:bCs/>
                <w:szCs w:val="21"/>
              </w:rPr>
              <w:t xml:space="preserve">      课程团队：杨路明</w:t>
            </w:r>
            <w:r>
              <w:rPr>
                <w:rFonts w:ascii="宋体" w:hAnsi="宋体"/>
                <w:b/>
                <w:bCs/>
                <w:szCs w:val="21"/>
              </w:rPr>
              <w:t xml:space="preserve"> </w:t>
            </w:r>
            <w:r>
              <w:rPr>
                <w:rFonts w:hint="eastAsia" w:ascii="宋体" w:hAnsi="宋体"/>
                <w:b/>
                <w:bCs/>
                <w:szCs w:val="21"/>
              </w:rPr>
              <w:t>李营</w:t>
            </w:r>
            <w:r>
              <w:rPr>
                <w:rFonts w:ascii="宋体" w:hAnsi="宋体"/>
                <w:b/>
                <w:bCs/>
                <w:szCs w:val="21"/>
              </w:rPr>
              <w:t xml:space="preserve"> </w:t>
            </w:r>
            <w:r>
              <w:rPr>
                <w:rFonts w:hint="eastAsia" w:ascii="宋体" w:hAnsi="宋体"/>
                <w:b/>
                <w:bCs/>
                <w:szCs w:val="21"/>
              </w:rPr>
              <w:t>杨森</w:t>
            </w:r>
            <w:r>
              <w:rPr>
                <w:rFonts w:ascii="宋体" w:hAnsi="宋体"/>
                <w:b/>
                <w:bCs/>
                <w:szCs w:val="21"/>
              </w:rPr>
              <w:t xml:space="preserve"> </w:t>
            </w:r>
            <w:r>
              <w:rPr>
                <w:rFonts w:hint="eastAsia" w:ascii="宋体" w:hAnsi="宋体"/>
                <w:b/>
                <w:bCs/>
                <w:szCs w:val="21"/>
              </w:rPr>
              <w:t>孙凯乐</w:t>
            </w:r>
            <w:r>
              <w:rPr>
                <w:rFonts w:ascii="宋体" w:hAnsi="宋体"/>
                <w:b/>
                <w:bCs/>
                <w:szCs w:val="21"/>
              </w:rPr>
              <w:t xml:space="preserve"> </w:t>
            </w:r>
            <w:r>
              <w:rPr>
                <w:rFonts w:hint="eastAsia" w:ascii="宋体" w:hAnsi="宋体"/>
                <w:b/>
                <w:bCs/>
                <w:szCs w:val="21"/>
              </w:rPr>
              <w:t>李翔</w:t>
            </w:r>
            <w:r>
              <w:rPr>
                <w:rFonts w:ascii="宋体" w:hAnsi="宋体"/>
                <w:b/>
                <w:bCs/>
                <w:szCs w:val="21"/>
              </w:rPr>
              <w:t xml:space="preserve"> </w:t>
            </w:r>
            <w:r>
              <w:rPr>
                <w:rFonts w:hint="eastAsia" w:ascii="宋体" w:hAnsi="宋体"/>
                <w:b/>
                <w:bCs/>
                <w:szCs w:val="21"/>
              </w:rPr>
              <w:t>安光辉</w:t>
            </w:r>
            <w:r>
              <w:rPr>
                <w:rFonts w:ascii="宋体" w:hAnsi="宋体"/>
                <w:b/>
                <w:bCs/>
                <w:szCs w:val="21"/>
              </w:rPr>
              <w:t xml:space="preserve"> </w:t>
            </w:r>
            <w:r>
              <w:rPr>
                <w:b/>
                <w:bCs/>
                <w:szCs w:val="21"/>
              </w:rPr>
              <w:t xml:space="preserve"> </w:t>
            </w:r>
          </w:p>
          <w:p>
            <w:pPr>
              <w:spacing w:line="300" w:lineRule="auto"/>
              <w:rPr>
                <w:rFonts w:ascii="宋体" w:hAnsi="宋体"/>
                <w:b/>
                <w:bCs/>
                <w:szCs w:val="21"/>
              </w:rPr>
            </w:pPr>
            <w:r>
              <w:rPr>
                <w:rFonts w:hint="eastAsia" w:ascii="宋体" w:hAnsi="宋体"/>
                <w:b/>
                <w:bCs/>
                <w:szCs w:val="21"/>
              </w:rPr>
              <w:t xml:space="preserve">授课语言：中文 </w:t>
            </w:r>
            <w:r>
              <w:rPr>
                <w:rFonts w:ascii="宋体" w:hAnsi="宋体"/>
                <w:b/>
                <w:bCs/>
                <w:szCs w:val="21"/>
              </w:rPr>
              <w:t xml:space="preserve">           适用专业：园艺</w:t>
            </w:r>
            <w:r>
              <w:rPr>
                <w:rFonts w:hint="eastAsia" w:ascii="宋体" w:hAnsi="宋体"/>
                <w:b/>
                <w:bCs/>
                <w:szCs w:val="21"/>
              </w:rPr>
              <w:t xml:space="preserve">学，茶学                      </w:t>
            </w:r>
          </w:p>
        </w:tc>
      </w:tr>
      <w:tr>
        <w:tblPrEx>
          <w:tblCellMar>
            <w:top w:w="0" w:type="dxa"/>
            <w:left w:w="108" w:type="dxa"/>
            <w:bottom w:w="0" w:type="dxa"/>
            <w:right w:w="108" w:type="dxa"/>
          </w:tblCellMar>
        </w:tblPrEx>
        <w:tc>
          <w:tcPr>
            <w:tcW w:w="5000" w:type="pct"/>
            <w:gridSpan w:val="5"/>
          </w:tcPr>
          <w:p>
            <w:pPr>
              <w:spacing w:line="300" w:lineRule="auto"/>
              <w:rPr>
                <w:rFonts w:ascii="Arial" w:hAnsi="Arial" w:cs="Arial"/>
                <w:b/>
                <w:bCs/>
                <w:color w:val="333333"/>
                <w:szCs w:val="21"/>
                <w:shd w:val="clear" w:color="auto" w:fill="FFFFFF"/>
              </w:rPr>
            </w:pPr>
            <w:r>
              <w:rPr>
                <w:rFonts w:hint="eastAsia" w:ascii="宋体" w:hAnsi="宋体"/>
                <w:b/>
                <w:bCs/>
                <w:szCs w:val="21"/>
              </w:rPr>
              <w:t>对先修的要求</w:t>
            </w:r>
            <w:r>
              <w:rPr>
                <w:rFonts w:ascii="宋体" w:hAnsi="宋体"/>
                <w:b/>
                <w:bCs/>
                <w:szCs w:val="21"/>
              </w:rPr>
              <w:t>：</w:t>
            </w:r>
            <w:r>
              <w:rPr>
                <w:rFonts w:hint="eastAsia" w:ascii="宋体" w:hAnsi="宋体"/>
                <w:b/>
                <w:bCs/>
                <w:szCs w:val="21"/>
              </w:rPr>
              <w:t>要求学生前期通过对普通</w:t>
            </w:r>
            <w:r>
              <w:rPr>
                <w:rFonts w:ascii="宋体" w:hAnsi="宋体"/>
                <w:b/>
                <w:bCs/>
                <w:szCs w:val="21"/>
              </w:rPr>
              <w:t>化学</w:t>
            </w:r>
            <w:r>
              <w:rPr>
                <w:rFonts w:hint="eastAsia" w:ascii="宋体" w:hAnsi="宋体"/>
                <w:b/>
                <w:bCs/>
                <w:szCs w:val="21"/>
              </w:rPr>
              <w:t>、</w:t>
            </w:r>
            <w:r>
              <w:rPr>
                <w:rFonts w:ascii="宋体" w:hAnsi="宋体"/>
                <w:b/>
                <w:bCs/>
                <w:szCs w:val="21"/>
              </w:rPr>
              <w:t>有机化学</w:t>
            </w:r>
            <w:r>
              <w:rPr>
                <w:rFonts w:hint="eastAsia" w:ascii="宋体" w:hAnsi="宋体"/>
                <w:b/>
                <w:bCs/>
                <w:szCs w:val="21"/>
              </w:rPr>
              <w:t>、基础生物化学课程的学习，掌握</w:t>
            </w:r>
            <w:r>
              <w:rPr>
                <w:rFonts w:hint="eastAsia" w:ascii="Arial" w:hAnsi="Arial" w:cs="Arial"/>
                <w:b/>
                <w:bCs/>
                <w:color w:val="333333"/>
                <w:szCs w:val="21"/>
                <w:shd w:val="clear" w:color="auto" w:fill="FFFFFF"/>
              </w:rPr>
              <w:t>核酸化学、酶、糖类代谢、脂类代谢、蛋白质降解及氨基酸代谢、核酸降解及核苷酸代谢等内容，知晓各类大分子物质的代谢过程；通过对植物学、园艺植物遗传学课程的学习掌握植物不同组织器官发育过程、遗传的细胞学基础、遗传物质的分子基础、遗传学基本定律、细胞质遗传、遗传物质的变异、数量遗传与群体遗传、园林植物主要观赏性状的遗传等内容，知晓园艺植物的发育与遗传。</w:t>
            </w:r>
          </w:p>
          <w:p>
            <w:pPr>
              <w:spacing w:line="300" w:lineRule="auto"/>
              <w:rPr>
                <w:rFonts w:ascii="宋体" w:hAnsi="宋体"/>
                <w:b/>
                <w:bCs/>
                <w:szCs w:val="21"/>
              </w:rPr>
            </w:pPr>
            <w:r>
              <w:rPr>
                <w:rFonts w:hint="eastAsia" w:ascii="宋体" w:hAnsi="宋体"/>
                <w:b/>
                <w:bCs/>
                <w:szCs w:val="21"/>
              </w:rPr>
              <w:t>对后续的支撑：后续通过对园艺植物生物技术、园艺产品采后处理学等课程的学习，进一步将分子生物学基础课程知识应用到植物基因编辑育种与采后处理中，实现理论知识与实践应用的结合。</w:t>
            </w:r>
          </w:p>
        </w:tc>
      </w:tr>
      <w:tr>
        <w:tblPrEx>
          <w:tblCellMar>
            <w:top w:w="0" w:type="dxa"/>
            <w:left w:w="108" w:type="dxa"/>
            <w:bottom w:w="0" w:type="dxa"/>
            <w:right w:w="108" w:type="dxa"/>
          </w:tblCellMar>
        </w:tblPrEx>
        <w:tc>
          <w:tcPr>
            <w:tcW w:w="1707" w:type="pct"/>
            <w:gridSpan w:val="2"/>
          </w:tcPr>
          <w:p>
            <w:pPr>
              <w:spacing w:line="300" w:lineRule="auto"/>
              <w:rPr>
                <w:rFonts w:ascii="宋体" w:hAnsi="宋体"/>
                <w:b/>
                <w:bCs/>
                <w:szCs w:val="21"/>
              </w:rPr>
            </w:pPr>
            <w:r>
              <w:rPr>
                <w:rFonts w:ascii="宋体" w:hAnsi="宋体"/>
                <w:b/>
                <w:bCs/>
                <w:szCs w:val="21"/>
              </w:rPr>
              <w:t>主撰人：</w:t>
            </w:r>
            <w:r>
              <w:rPr>
                <w:rFonts w:hint="eastAsia" w:ascii="宋体" w:hAnsi="宋体"/>
                <w:b/>
                <w:bCs/>
                <w:szCs w:val="21"/>
              </w:rPr>
              <w:t>杨路明、李营、</w:t>
            </w:r>
          </w:p>
          <w:p>
            <w:pPr>
              <w:spacing w:line="300" w:lineRule="auto"/>
              <w:ind w:firstLine="843" w:firstLineChars="400"/>
              <w:rPr>
                <w:rFonts w:ascii="宋体" w:hAnsi="宋体"/>
                <w:b/>
                <w:bCs/>
                <w:szCs w:val="21"/>
              </w:rPr>
            </w:pPr>
            <w:r>
              <w:rPr>
                <w:rFonts w:hint="eastAsia" w:ascii="宋体" w:hAnsi="宋体"/>
                <w:b/>
                <w:bCs/>
                <w:szCs w:val="21"/>
              </w:rPr>
              <w:t>孙凯乐、杨森、</w:t>
            </w:r>
          </w:p>
          <w:p>
            <w:pPr>
              <w:spacing w:line="300" w:lineRule="auto"/>
              <w:ind w:firstLine="843" w:firstLineChars="400"/>
              <w:rPr>
                <w:rFonts w:ascii="宋体" w:hAnsi="宋体"/>
                <w:b/>
                <w:bCs/>
                <w:szCs w:val="21"/>
              </w:rPr>
            </w:pPr>
            <w:r>
              <w:rPr>
                <w:rFonts w:hint="eastAsia" w:ascii="宋体" w:hAnsi="宋体"/>
                <w:b/>
                <w:bCs/>
                <w:szCs w:val="21"/>
              </w:rPr>
              <w:t>李翔、安光辉</w:t>
            </w:r>
          </w:p>
        </w:tc>
        <w:tc>
          <w:tcPr>
            <w:tcW w:w="1280" w:type="pct"/>
          </w:tcPr>
          <w:p>
            <w:pPr>
              <w:spacing w:line="300" w:lineRule="auto"/>
              <w:ind w:firstLine="422" w:firstLineChars="200"/>
              <w:rPr>
                <w:rFonts w:ascii="宋体" w:hAnsi="宋体"/>
                <w:b/>
                <w:bCs/>
                <w:szCs w:val="21"/>
              </w:rPr>
            </w:pPr>
            <w:r>
              <w:rPr>
                <w:rFonts w:ascii="宋体" w:hAnsi="宋体"/>
                <w:b/>
                <w:bCs/>
                <w:szCs w:val="21"/>
              </w:rPr>
              <w:t>审核人：</w:t>
            </w:r>
            <w:r>
              <w:rPr>
                <w:rFonts w:hint="eastAsia" w:ascii="宋体" w:hAnsi="宋体"/>
                <w:b/>
                <w:bCs/>
                <w:szCs w:val="21"/>
              </w:rPr>
              <w:t>杨路明</w:t>
            </w:r>
          </w:p>
        </w:tc>
        <w:tc>
          <w:tcPr>
            <w:tcW w:w="2013" w:type="pct"/>
            <w:gridSpan w:val="2"/>
          </w:tcPr>
          <w:p>
            <w:pPr>
              <w:spacing w:line="300" w:lineRule="auto"/>
              <w:rPr>
                <w:rFonts w:ascii="宋体" w:hAnsi="宋体"/>
                <w:b/>
                <w:bCs/>
                <w:szCs w:val="21"/>
              </w:rPr>
            </w:pPr>
            <w:r>
              <w:rPr>
                <w:rFonts w:ascii="宋体" w:hAnsi="宋体"/>
                <w:b/>
                <w:bCs/>
                <w:szCs w:val="21"/>
              </w:rPr>
              <w:t>大纲制定（修订）日期：</w:t>
            </w:r>
            <w:r>
              <w:rPr>
                <w:rFonts w:hint="eastAsia" w:ascii="宋体" w:hAnsi="宋体"/>
                <w:b/>
                <w:bCs/>
                <w:szCs w:val="21"/>
              </w:rPr>
              <w:t>2023.05</w:t>
            </w:r>
          </w:p>
        </w:tc>
      </w:tr>
    </w:tbl>
    <w:p>
      <w:pPr>
        <w:pStyle w:val="35"/>
        <w:numPr>
          <w:ilvl w:val="0"/>
          <w:numId w:val="5"/>
        </w:numPr>
        <w:spacing w:line="360" w:lineRule="auto"/>
        <w:ind w:firstLineChars="0"/>
        <w:rPr>
          <w:kern w:val="0"/>
          <w:szCs w:val="21"/>
        </w:rPr>
      </w:pPr>
      <w:r>
        <w:rPr>
          <w:rFonts w:hAnsi="宋体"/>
          <w:b/>
          <w:bCs/>
          <w:kern w:val="0"/>
          <w:szCs w:val="21"/>
        </w:rPr>
        <w:t>课程的</w:t>
      </w:r>
      <w:r>
        <w:rPr>
          <w:rFonts w:hint="eastAsia" w:hAnsi="宋体"/>
          <w:b/>
          <w:bCs/>
          <w:kern w:val="0"/>
          <w:szCs w:val="21"/>
        </w:rPr>
        <w:t>教学理念、性质、目标和</w:t>
      </w:r>
      <w:r>
        <w:rPr>
          <w:rFonts w:hAnsi="宋体"/>
          <w:b/>
          <w:bCs/>
          <w:kern w:val="0"/>
          <w:szCs w:val="21"/>
        </w:rPr>
        <w:t>任务</w:t>
      </w:r>
    </w:p>
    <w:p>
      <w:pPr>
        <w:spacing w:line="360" w:lineRule="auto"/>
        <w:ind w:firstLine="420" w:firstLineChars="200"/>
        <w:rPr>
          <w:kern w:val="0"/>
          <w:szCs w:val="21"/>
        </w:rPr>
      </w:pPr>
      <w:r>
        <w:rPr>
          <w:kern w:val="0"/>
          <w:szCs w:val="21"/>
        </w:rPr>
        <w:t>分子生物学是</w:t>
      </w:r>
      <w:r>
        <w:rPr>
          <w:rFonts w:hint="eastAsia"/>
          <w:kern w:val="0"/>
          <w:szCs w:val="21"/>
        </w:rPr>
        <w:t>园艺专业必修课程和</w:t>
      </w:r>
      <w:r>
        <w:rPr>
          <w:rFonts w:hint="eastAsia" w:ascii="宋体" w:hAnsi="宋体"/>
          <w:bCs/>
          <w:szCs w:val="21"/>
        </w:rPr>
        <w:t>基础课程，是</w:t>
      </w:r>
      <w:r>
        <w:rPr>
          <w:kern w:val="0"/>
          <w:szCs w:val="21"/>
        </w:rPr>
        <w:t>一门近年来发展迅速并且在生命科学领域里应用越来越广泛、影响越来越深远的一个学科。它渗透到生命科学的各个领域，特别是生命科学、医学、农学、园艺以及生物技术、生物工程等方面。本课程</w:t>
      </w:r>
      <w:r>
        <w:rPr>
          <w:rFonts w:hint="eastAsia"/>
          <w:kern w:val="0"/>
          <w:szCs w:val="21"/>
        </w:rPr>
        <w:t>主要</w:t>
      </w:r>
      <w:r>
        <w:rPr>
          <w:kern w:val="0"/>
          <w:szCs w:val="21"/>
        </w:rPr>
        <w:t>介绍分子生物学技术的基本原理和操作方法，并详述原核和真核生物表达系统的研究等。通过该课程的讲授，使学生系统掌握分子生物学基本理论、技术和方法，初步</w:t>
      </w:r>
      <w:r>
        <w:rPr>
          <w:rFonts w:hint="eastAsia"/>
          <w:kern w:val="0"/>
          <w:szCs w:val="21"/>
        </w:rPr>
        <w:t>了解</w:t>
      </w:r>
      <w:r>
        <w:rPr>
          <w:kern w:val="0"/>
          <w:szCs w:val="21"/>
        </w:rPr>
        <w:t>当今分子生物学的应用</w:t>
      </w:r>
      <w:r>
        <w:rPr>
          <w:rFonts w:hint="eastAsia"/>
          <w:kern w:val="0"/>
          <w:szCs w:val="21"/>
        </w:rPr>
        <w:t>与</w:t>
      </w:r>
      <w:r>
        <w:rPr>
          <w:kern w:val="0"/>
          <w:szCs w:val="21"/>
        </w:rPr>
        <w:t>发展趋势，为学习其</w:t>
      </w:r>
      <w:r>
        <w:rPr>
          <w:rFonts w:hint="eastAsia"/>
          <w:kern w:val="0"/>
          <w:szCs w:val="21"/>
        </w:rPr>
        <w:t>它</w:t>
      </w:r>
      <w:r>
        <w:rPr>
          <w:kern w:val="0"/>
          <w:szCs w:val="21"/>
        </w:rPr>
        <w:t>基础课程打下坚实的</w:t>
      </w:r>
      <w:r>
        <w:rPr>
          <w:rFonts w:hint="eastAsia"/>
          <w:kern w:val="0"/>
          <w:szCs w:val="21"/>
        </w:rPr>
        <w:t>理论</w:t>
      </w:r>
      <w:r>
        <w:rPr>
          <w:kern w:val="0"/>
          <w:szCs w:val="21"/>
        </w:rPr>
        <w:t>基础，</w:t>
      </w:r>
      <w:r>
        <w:rPr>
          <w:rFonts w:hint="eastAsia"/>
          <w:kern w:val="0"/>
          <w:szCs w:val="21"/>
        </w:rPr>
        <w:t>能</w:t>
      </w:r>
      <w:r>
        <w:rPr>
          <w:kern w:val="0"/>
          <w:szCs w:val="21"/>
        </w:rPr>
        <w:t>及时跟踪</w:t>
      </w:r>
      <w:r>
        <w:rPr>
          <w:rFonts w:hint="eastAsia"/>
          <w:kern w:val="0"/>
          <w:szCs w:val="21"/>
        </w:rPr>
        <w:t>最新</w:t>
      </w:r>
      <w:r>
        <w:rPr>
          <w:kern w:val="0"/>
          <w:szCs w:val="21"/>
        </w:rPr>
        <w:t>发展动向，培养掌握分子生物学理论和技术的园艺学专业本科人才。</w:t>
      </w:r>
    </w:p>
    <w:p>
      <w:pPr>
        <w:widowControl/>
        <w:snapToGrid w:val="0"/>
        <w:spacing w:before="156" w:beforeLines="50" w:line="360" w:lineRule="auto"/>
        <w:jc w:val="left"/>
        <w:rPr>
          <w:kern w:val="0"/>
          <w:szCs w:val="21"/>
        </w:rPr>
      </w:pPr>
      <w:r>
        <w:rPr>
          <w:b/>
          <w:bCs/>
          <w:kern w:val="0"/>
          <w:szCs w:val="21"/>
        </w:rPr>
        <w:t>二、课程教学的基本要求</w:t>
      </w:r>
    </w:p>
    <w:p>
      <w:pPr>
        <w:widowControl/>
        <w:adjustRightInd w:val="0"/>
        <w:snapToGrid w:val="0"/>
        <w:spacing w:line="360" w:lineRule="auto"/>
        <w:jc w:val="left"/>
        <w:rPr>
          <w:szCs w:val="21"/>
        </w:rPr>
      </w:pPr>
      <w:r>
        <w:rPr>
          <w:rFonts w:hint="eastAsia"/>
          <w:kern w:val="0"/>
          <w:szCs w:val="21"/>
        </w:rPr>
        <w:t xml:space="preserve">1. </w:t>
      </w:r>
      <w:r>
        <w:rPr>
          <w:kern w:val="0"/>
          <w:szCs w:val="21"/>
        </w:rPr>
        <w:t>理论知识方</w:t>
      </w:r>
      <w:r>
        <w:rPr>
          <w:szCs w:val="21"/>
        </w:rPr>
        <w:t>面：</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1</w:t>
      </w:r>
      <w:r>
        <w:rPr>
          <w:rFonts w:hint="eastAsia"/>
          <w:kern w:val="0"/>
          <w:szCs w:val="21"/>
        </w:rPr>
        <w:t>）</w:t>
      </w:r>
      <w:r>
        <w:rPr>
          <w:kern w:val="0"/>
          <w:szCs w:val="21"/>
        </w:rPr>
        <w:t>掌握分子生物学的概念、研究内容与特点。</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2</w:t>
      </w:r>
      <w:r>
        <w:rPr>
          <w:rFonts w:hint="eastAsia"/>
          <w:kern w:val="0"/>
          <w:szCs w:val="21"/>
        </w:rPr>
        <w:t>）</w:t>
      </w:r>
      <w:r>
        <w:rPr>
          <w:kern w:val="0"/>
          <w:szCs w:val="21"/>
        </w:rPr>
        <w:t>了解基因概念的演变，掌握基因的概念及</w:t>
      </w:r>
      <w:r>
        <w:rPr>
          <w:rFonts w:hint="eastAsia"/>
          <w:kern w:val="0"/>
          <w:szCs w:val="21"/>
        </w:rPr>
        <w:t>其</w:t>
      </w:r>
      <w:r>
        <w:rPr>
          <w:kern w:val="0"/>
          <w:szCs w:val="21"/>
        </w:rPr>
        <w:t>结构与功能。</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3</w:t>
      </w:r>
      <w:r>
        <w:rPr>
          <w:rFonts w:hint="eastAsia"/>
          <w:kern w:val="0"/>
          <w:szCs w:val="21"/>
        </w:rPr>
        <w:t>）</w:t>
      </w:r>
      <w:r>
        <w:rPr>
          <w:kern w:val="0"/>
          <w:szCs w:val="21"/>
        </w:rPr>
        <w:t>掌握原核生物与真核生物基因组的结构及特点。</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4</w:t>
      </w:r>
      <w:r>
        <w:rPr>
          <w:rFonts w:hint="eastAsia"/>
          <w:kern w:val="0"/>
          <w:szCs w:val="21"/>
        </w:rPr>
        <w:t>）</w:t>
      </w:r>
      <w:r>
        <w:rPr>
          <w:kern w:val="0"/>
          <w:szCs w:val="21"/>
        </w:rPr>
        <w:t>掌握DNA复制的一般特点及过程，掌握基因突变和遗传重组的分子机制。</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5</w:t>
      </w:r>
      <w:r>
        <w:rPr>
          <w:rFonts w:hint="eastAsia"/>
          <w:kern w:val="0"/>
          <w:szCs w:val="21"/>
        </w:rPr>
        <w:t>）</w:t>
      </w:r>
      <w:r>
        <w:rPr>
          <w:kern w:val="0"/>
          <w:szCs w:val="21"/>
        </w:rPr>
        <w:t>理解转录的基本过程、机制，掌握真核RNA的转录后加工。</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6</w:t>
      </w:r>
      <w:r>
        <w:rPr>
          <w:rFonts w:hint="eastAsia"/>
          <w:kern w:val="0"/>
          <w:szCs w:val="21"/>
        </w:rPr>
        <w:t>）</w:t>
      </w:r>
      <w:r>
        <w:rPr>
          <w:kern w:val="0"/>
          <w:szCs w:val="21"/>
        </w:rPr>
        <w:t>掌握蛋白质合成的生物学机制。</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7</w:t>
      </w:r>
      <w:r>
        <w:rPr>
          <w:rFonts w:hint="eastAsia"/>
          <w:kern w:val="0"/>
          <w:szCs w:val="21"/>
        </w:rPr>
        <w:t>）</w:t>
      </w:r>
      <w:r>
        <w:rPr>
          <w:kern w:val="0"/>
          <w:szCs w:val="21"/>
        </w:rPr>
        <w:t>掌握原核基因表达调控模式和真核基因表达调控的一般规律，深刻理解基因表达的精细性和复杂性及高度可调控性。</w:t>
      </w:r>
    </w:p>
    <w:p>
      <w:pPr>
        <w:widowControl/>
        <w:adjustRightInd w:val="0"/>
        <w:snapToGrid w:val="0"/>
        <w:spacing w:line="360" w:lineRule="auto"/>
        <w:ind w:firstLine="420"/>
        <w:jc w:val="left"/>
        <w:rPr>
          <w:kern w:val="0"/>
          <w:szCs w:val="21"/>
        </w:rPr>
      </w:pPr>
      <w:r>
        <w:rPr>
          <w:rFonts w:hint="eastAsia"/>
          <w:kern w:val="0"/>
          <w:szCs w:val="21"/>
        </w:rPr>
        <w:t>（</w:t>
      </w:r>
      <w:r>
        <w:rPr>
          <w:kern w:val="0"/>
          <w:szCs w:val="21"/>
        </w:rPr>
        <w:t>8</w:t>
      </w:r>
      <w:r>
        <w:rPr>
          <w:rFonts w:hint="eastAsia"/>
          <w:kern w:val="0"/>
          <w:szCs w:val="21"/>
        </w:rPr>
        <w:t>）</w:t>
      </w:r>
      <w:r>
        <w:rPr>
          <w:kern w:val="0"/>
          <w:szCs w:val="21"/>
        </w:rPr>
        <w:t>结合当今快速发展的分子生物学技术讨论基因组学、转录组学、蛋白组学以及代谢组学的最新研究概况。</w:t>
      </w:r>
    </w:p>
    <w:p>
      <w:pPr>
        <w:widowControl/>
        <w:adjustRightInd w:val="0"/>
        <w:snapToGrid w:val="0"/>
        <w:spacing w:line="360" w:lineRule="auto"/>
        <w:jc w:val="left"/>
        <w:rPr>
          <w:szCs w:val="21"/>
        </w:rPr>
      </w:pPr>
      <w:r>
        <w:rPr>
          <w:rFonts w:hint="eastAsia"/>
          <w:szCs w:val="21"/>
        </w:rPr>
        <w:t xml:space="preserve">2. </w:t>
      </w:r>
      <w:r>
        <w:rPr>
          <w:szCs w:val="21"/>
        </w:rPr>
        <w:t>实验技能方面：</w:t>
      </w:r>
    </w:p>
    <w:p>
      <w:pPr>
        <w:widowControl/>
        <w:adjustRightInd w:val="0"/>
        <w:snapToGrid w:val="0"/>
        <w:spacing w:line="360" w:lineRule="auto"/>
        <w:ind w:firstLine="420"/>
        <w:jc w:val="left"/>
        <w:rPr>
          <w:szCs w:val="21"/>
        </w:rPr>
      </w:pPr>
      <w:r>
        <w:rPr>
          <w:rFonts w:hint="eastAsia"/>
          <w:szCs w:val="21"/>
        </w:rPr>
        <w:t>（</w:t>
      </w:r>
      <w:r>
        <w:rPr>
          <w:szCs w:val="21"/>
        </w:rPr>
        <w:t>1</w:t>
      </w:r>
      <w:r>
        <w:rPr>
          <w:rFonts w:hint="eastAsia"/>
          <w:szCs w:val="21"/>
        </w:rPr>
        <w:t>）</w:t>
      </w:r>
      <w:r>
        <w:rPr>
          <w:szCs w:val="21"/>
        </w:rPr>
        <w:t>掌握质粒DNA的提取，以及酶切鉴定和检测方法。</w:t>
      </w:r>
    </w:p>
    <w:p>
      <w:pPr>
        <w:widowControl/>
        <w:adjustRightInd w:val="0"/>
        <w:snapToGrid w:val="0"/>
        <w:spacing w:line="360" w:lineRule="auto"/>
        <w:ind w:firstLine="420"/>
        <w:jc w:val="left"/>
        <w:rPr>
          <w:szCs w:val="21"/>
        </w:rPr>
      </w:pPr>
      <w:r>
        <w:rPr>
          <w:rFonts w:hint="eastAsia"/>
          <w:szCs w:val="21"/>
        </w:rPr>
        <w:t>（</w:t>
      </w:r>
      <w:r>
        <w:rPr>
          <w:szCs w:val="21"/>
        </w:rPr>
        <w:t>2</w:t>
      </w:r>
      <w:r>
        <w:rPr>
          <w:rFonts w:hint="eastAsia"/>
          <w:szCs w:val="21"/>
        </w:rPr>
        <w:t>）</w:t>
      </w:r>
      <w:r>
        <w:rPr>
          <w:szCs w:val="21"/>
        </w:rPr>
        <w:t>掌握PCR技术检测SSR标记的方法。</w:t>
      </w:r>
    </w:p>
    <w:p>
      <w:pPr>
        <w:widowControl/>
        <w:adjustRightInd w:val="0"/>
        <w:snapToGrid w:val="0"/>
        <w:spacing w:line="360" w:lineRule="auto"/>
        <w:ind w:firstLine="420"/>
        <w:jc w:val="left"/>
        <w:rPr>
          <w:szCs w:val="21"/>
        </w:rPr>
      </w:pPr>
      <w:r>
        <w:rPr>
          <w:rFonts w:hint="eastAsia"/>
          <w:szCs w:val="21"/>
        </w:rPr>
        <w:t>（</w:t>
      </w:r>
      <w:r>
        <w:rPr>
          <w:szCs w:val="21"/>
        </w:rPr>
        <w:t>3</w:t>
      </w:r>
      <w:r>
        <w:rPr>
          <w:rFonts w:hint="eastAsia"/>
          <w:szCs w:val="21"/>
        </w:rPr>
        <w:t>）</w:t>
      </w:r>
      <w:r>
        <w:rPr>
          <w:szCs w:val="21"/>
        </w:rPr>
        <w:t>了解生命科学发展的方向与前沿，及其在有关领域的应用与前景。</w:t>
      </w:r>
    </w:p>
    <w:p>
      <w:pPr>
        <w:widowControl/>
        <w:adjustRightInd w:val="0"/>
        <w:snapToGrid w:val="0"/>
        <w:spacing w:line="360" w:lineRule="auto"/>
        <w:ind w:firstLine="420"/>
        <w:jc w:val="left"/>
        <w:rPr>
          <w:szCs w:val="21"/>
        </w:rPr>
      </w:pPr>
      <w:r>
        <w:rPr>
          <w:rFonts w:hint="eastAsia"/>
          <w:szCs w:val="21"/>
        </w:rPr>
        <w:t>（</w:t>
      </w:r>
      <w:r>
        <w:rPr>
          <w:szCs w:val="21"/>
        </w:rPr>
        <w:t>4</w:t>
      </w:r>
      <w:r>
        <w:rPr>
          <w:rFonts w:hint="eastAsia"/>
          <w:szCs w:val="21"/>
        </w:rPr>
        <w:t>）</w:t>
      </w:r>
      <w:r>
        <w:rPr>
          <w:szCs w:val="21"/>
        </w:rPr>
        <w:t>在教师的指导下能设计和组合实验内容，对实验结果能进行综合判断分析和解释。</w:t>
      </w:r>
    </w:p>
    <w:p>
      <w:pPr>
        <w:widowControl/>
        <w:adjustRightInd w:val="0"/>
        <w:snapToGrid w:val="0"/>
        <w:spacing w:line="360" w:lineRule="auto"/>
        <w:ind w:firstLine="420"/>
        <w:jc w:val="left"/>
        <w:rPr>
          <w:szCs w:val="21"/>
        </w:rPr>
      </w:pPr>
    </w:p>
    <w:p>
      <w:pPr>
        <w:widowControl/>
        <w:snapToGrid w:val="0"/>
        <w:spacing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spacing w:line="360" w:lineRule="auto"/>
        <w:ind w:firstLine="422" w:firstLineChars="200"/>
        <w:rPr>
          <w:rFonts w:hAnsi="宋体"/>
          <w:b/>
          <w:kern w:val="0"/>
          <w:szCs w:val="21"/>
        </w:rPr>
      </w:pPr>
      <w:r>
        <w:rPr>
          <w:rFonts w:hAnsi="宋体"/>
          <w:b/>
          <w:kern w:val="0"/>
          <w:szCs w:val="21"/>
        </w:rPr>
        <w:t>1.</w:t>
      </w:r>
      <w:r>
        <w:rPr>
          <w:rFonts w:hint="eastAsia" w:hAnsi="宋体"/>
          <w:b/>
          <w:kern w:val="0"/>
          <w:szCs w:val="21"/>
        </w:rPr>
        <w:t>教学设计说明</w:t>
      </w:r>
    </w:p>
    <w:p>
      <w:pPr>
        <w:widowControl/>
        <w:snapToGrid w:val="0"/>
        <w:spacing w:line="360" w:lineRule="auto"/>
        <w:ind w:firstLine="420"/>
        <w:jc w:val="left"/>
        <w:rPr>
          <w:rFonts w:ascii="宋体" w:hAnsi="宋体" w:cs="宋体"/>
          <w:bCs/>
          <w:color w:val="000000" w:themeColor="text1"/>
          <w:kern w:val="0"/>
          <w:szCs w:val="21"/>
          <w14:textFill>
            <w14:solidFill>
              <w14:schemeClr w14:val="tx1"/>
            </w14:solidFill>
          </w14:textFill>
        </w:rPr>
      </w:pPr>
      <w:r>
        <w:rPr>
          <w:rFonts w:ascii="宋体" w:hAnsi="宋体"/>
          <w:color w:val="000000" w:themeColor="text1"/>
          <w14:textFill>
            <w14:solidFill>
              <w14:schemeClr w14:val="tx1"/>
            </w14:solidFill>
          </w14:textFill>
        </w:rPr>
        <w:t>21世纪是分子生物学迅速发展的时代，分子生物学已成为生命科学的领头羊，其理论与基本技术迅速渗透到生物与农业的许多领域，并且得到越来越广泛的发展应用，呈现出巨大的生命力。分子生物学是一门理论性和实践性很强的学科，理论知识抽象，内容多而且有一定的深度，学生较难理解。</w:t>
      </w:r>
      <w:r>
        <w:rPr>
          <w:rFonts w:hint="eastAsia" w:ascii="宋体" w:hAnsi="宋体"/>
          <w:color w:val="000000" w:themeColor="text1"/>
          <w:kern w:val="0"/>
          <w:szCs w:val="21"/>
          <w14:textFill>
            <w14:solidFill>
              <w14:schemeClr w14:val="tx1"/>
            </w14:solidFill>
          </w14:textFill>
        </w:rPr>
        <w:t>为了使学生系统掌握</w:t>
      </w:r>
      <w:r>
        <w:rPr>
          <w:color w:val="000000" w:themeColor="text1"/>
          <w:kern w:val="0"/>
          <w:szCs w:val="21"/>
          <w14:textFill>
            <w14:solidFill>
              <w14:schemeClr w14:val="tx1"/>
            </w14:solidFill>
          </w14:textFill>
        </w:rPr>
        <w:t>分子生物学技术的基本原理和操作方法</w:t>
      </w:r>
      <w:r>
        <w:rPr>
          <w:rFonts w:hint="eastAsia"/>
          <w:color w:val="000000" w:themeColor="text1"/>
          <w:kern w:val="0"/>
          <w:szCs w:val="21"/>
          <w14:textFill>
            <w14:solidFill>
              <w14:schemeClr w14:val="tx1"/>
            </w14:solidFill>
          </w14:textFill>
        </w:rPr>
        <w:t>，分子生物学课程组</w:t>
      </w:r>
      <w:r>
        <w:rPr>
          <w:rFonts w:hint="eastAsia" w:ascii="宋体" w:hAnsi="宋体"/>
          <w:color w:val="000000" w:themeColor="text1"/>
          <w:kern w:val="0"/>
          <w:szCs w:val="21"/>
          <w14:textFill>
            <w14:solidFill>
              <w14:schemeClr w14:val="tx1"/>
            </w14:solidFill>
          </w14:textFill>
        </w:rPr>
        <w:t>采用线上线下混合式教学的模式，其中线上内容包括</w:t>
      </w:r>
      <w:r>
        <w:rPr>
          <w:rFonts w:hint="eastAsia"/>
          <w:color w:val="000000" w:themeColor="text1"/>
          <w:kern w:val="0"/>
          <w:szCs w:val="21"/>
          <w14:textFill>
            <w14:solidFill>
              <w14:schemeClr w14:val="tx1"/>
            </w14:solidFill>
          </w14:textFill>
        </w:rPr>
        <w:t>小动画、微视频、文献资料和讨论等；</w:t>
      </w:r>
      <w:r>
        <w:rPr>
          <w:rFonts w:hint="eastAsia" w:ascii="宋体" w:hAnsi="宋体" w:cs="宋体"/>
          <w:bCs/>
          <w:color w:val="000000" w:themeColor="text1"/>
          <w:kern w:val="0"/>
          <w:szCs w:val="21"/>
          <w14:textFill>
            <w14:solidFill>
              <w14:schemeClr w14:val="tx1"/>
            </w14:solidFill>
          </w14:textFill>
        </w:rPr>
        <w:t>线下内容包括教师课堂讲授、小组讨论、翻转课堂和学生实验等。</w:t>
      </w:r>
    </w:p>
    <w:p>
      <w:pPr>
        <w:spacing w:line="360" w:lineRule="auto"/>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olor w:val="000000" w:themeColor="text1"/>
          <w:kern w:val="0"/>
          <w:szCs w:val="21"/>
          <w14:textFill>
            <w14:solidFill>
              <w14:schemeClr w14:val="tx1"/>
            </w14:solidFill>
          </w14:textFill>
        </w:rPr>
        <w:t>分子生物学的基本理论和基本概念，教师一方面可以通过A</w:t>
      </w:r>
      <w:r>
        <w:rPr>
          <w:rFonts w:ascii="宋体" w:hAnsi="宋体"/>
          <w:color w:val="000000" w:themeColor="text1"/>
          <w:kern w:val="0"/>
          <w:szCs w:val="21"/>
          <w14:textFill>
            <w14:solidFill>
              <w14:schemeClr w14:val="tx1"/>
            </w14:solidFill>
          </w14:textFill>
        </w:rPr>
        <w:t>PP</w:t>
      </w:r>
      <w:r>
        <w:rPr>
          <w:rFonts w:hint="eastAsia" w:ascii="宋体" w:hAnsi="宋体"/>
          <w:color w:val="000000" w:themeColor="text1"/>
          <w:kern w:val="0"/>
          <w:szCs w:val="21"/>
          <w14:textFill>
            <w14:solidFill>
              <w14:schemeClr w14:val="tx1"/>
            </w14:solidFill>
          </w14:textFill>
        </w:rPr>
        <w:t>或者课程微信群发布小动画、视频和PPT等教学资料，把理论讲透讲明，引导学生自己安排学习，强化基础理论知识；另一方面，在讨论区安排本节内容相关的最新科学进展作为讨论题目，让学生将知识外化，启发学生思维，培养学生思考问题、查阅资料和解决问题的能力。</w:t>
      </w:r>
      <w:r>
        <w:rPr>
          <w:rFonts w:hint="eastAsia" w:ascii="宋体" w:hAnsi="宋体" w:cs="宋体"/>
          <w:bCs/>
          <w:color w:val="000000" w:themeColor="text1"/>
          <w:kern w:val="0"/>
          <w:szCs w:val="21"/>
          <w14:textFill>
            <w14:solidFill>
              <w14:schemeClr w14:val="tx1"/>
            </w14:solidFill>
          </w14:textFill>
        </w:rPr>
        <w:t>线下教学有教师课堂讲授、小组讨论、翻转课堂和学生实验等。线下教学时，在学生学会基础概念和理论的基础上，设置各种情景和实验目标，让学生采用小组讨论的方法设计相关实验技术路线，加强对分子生物学基础理论知识的理解并能初步应用在实际生产中。</w:t>
      </w:r>
    </w:p>
    <w:p>
      <w:pPr>
        <w:widowControl/>
        <w:spacing w:line="360" w:lineRule="auto"/>
        <w:ind w:firstLine="420" w:firstLineChars="200"/>
        <w:jc w:val="left"/>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本门课程的考核分为平时、期末和实验考核三个环节。平时成绩包括线上学习情况、课堂提问、小组讨论表现、作业和考勤；期末考试为闭卷；实验考核包括考勤、实验操作和实验报告。总成绩计算办法是：平时考核成绩占</w:t>
      </w:r>
      <w:r>
        <w:rPr>
          <w:rFonts w:ascii="宋体" w:hAnsi="宋体" w:cs="宋体"/>
          <w:color w:val="000000" w:themeColor="text1"/>
          <w:kern w:val="0"/>
          <w:szCs w:val="21"/>
          <w14:textFill>
            <w14:solidFill>
              <w14:schemeClr w14:val="tx1"/>
            </w14:solidFill>
          </w14:textFill>
        </w:rPr>
        <w:t>20%</w:t>
      </w:r>
      <w:r>
        <w:rPr>
          <w:rFonts w:hint="eastAsia" w:ascii="宋体" w:hAnsi="宋体" w:cs="宋体"/>
          <w:color w:val="000000" w:themeColor="text1"/>
          <w:kern w:val="0"/>
          <w:szCs w:val="21"/>
          <w14:textFill>
            <w14:solidFill>
              <w14:schemeClr w14:val="tx1"/>
            </w14:solidFill>
          </w14:textFill>
        </w:rPr>
        <w:t>，实验成绩占</w:t>
      </w:r>
      <w:r>
        <w:rPr>
          <w:rFonts w:ascii="宋体" w:hAnsi="宋体" w:cs="宋体"/>
          <w:color w:val="000000" w:themeColor="text1"/>
          <w:kern w:val="0"/>
          <w:szCs w:val="21"/>
          <w14:textFill>
            <w14:solidFill>
              <w14:schemeClr w14:val="tx1"/>
            </w14:solidFill>
          </w14:textFill>
        </w:rPr>
        <w:t>30</w:t>
      </w:r>
      <w:r>
        <w:rPr>
          <w:rFonts w:hint="eastAsia" w:ascii="宋体" w:hAnsi="宋体" w:cs="宋体"/>
          <w:color w:val="000000" w:themeColor="text1"/>
          <w:kern w:val="0"/>
          <w:szCs w:val="21"/>
          <w14:textFill>
            <w14:solidFill>
              <w14:schemeClr w14:val="tx1"/>
            </w14:solidFill>
          </w14:textFill>
        </w:rPr>
        <w:t>%，期末考试成绩占</w:t>
      </w:r>
      <w:r>
        <w:rPr>
          <w:rFonts w:ascii="宋体" w:hAnsi="宋体" w:cs="宋体"/>
          <w:color w:val="000000" w:themeColor="text1"/>
          <w:kern w:val="0"/>
          <w:szCs w:val="21"/>
          <w14:textFill>
            <w14:solidFill>
              <w14:schemeClr w14:val="tx1"/>
            </w14:solidFill>
          </w14:textFill>
        </w:rPr>
        <w:t>50%</w:t>
      </w:r>
      <w:r>
        <w:rPr>
          <w:rFonts w:hint="eastAsia" w:ascii="宋体" w:hAnsi="宋体" w:cs="宋体"/>
          <w:color w:val="000000" w:themeColor="text1"/>
          <w:kern w:val="0"/>
          <w:szCs w:val="21"/>
          <w14:textFill>
            <w14:solidFill>
              <w14:schemeClr w14:val="tx1"/>
            </w14:solidFill>
          </w14:textFill>
        </w:rPr>
        <w:t>。</w:t>
      </w:r>
    </w:p>
    <w:p>
      <w:pPr>
        <w:widowControl/>
        <w:spacing w:line="360" w:lineRule="auto"/>
        <w:ind w:firstLine="422" w:firstLineChars="200"/>
        <w:jc w:val="left"/>
        <w:rPr>
          <w:rFonts w:hint="eastAsia" w:hAnsi="宋体"/>
          <w:b/>
          <w:kern w:val="0"/>
          <w:szCs w:val="21"/>
        </w:rPr>
      </w:pPr>
      <w:r>
        <w:rPr>
          <w:rFonts w:hAnsi="宋体"/>
          <w:b/>
          <w:kern w:val="0"/>
          <w:szCs w:val="21"/>
        </w:rPr>
        <w:t>2.</w:t>
      </w:r>
      <w:r>
        <w:rPr>
          <w:rFonts w:hint="eastAsia" w:hAnsi="宋体"/>
          <w:b/>
          <w:kern w:val="0"/>
          <w:szCs w:val="21"/>
        </w:rPr>
        <w:t>课程目标及对毕业要求的支撑</w:t>
      </w:r>
    </w:p>
    <w:p>
      <w:pPr>
        <w:widowControl/>
        <w:spacing w:line="360" w:lineRule="auto"/>
        <w:ind w:firstLine="422" w:firstLineChars="200"/>
        <w:jc w:val="left"/>
        <w:rPr>
          <w:rFonts w:hAnsi="宋体"/>
          <w:b/>
          <w:kern w:val="0"/>
          <w:szCs w:val="21"/>
        </w:rPr>
      </w:pPr>
    </w:p>
    <w:tbl>
      <w:tblPr>
        <w:tblStyle w:val="23"/>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058"/>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kern w:val="0"/>
                <w:sz w:val="18"/>
                <w:szCs w:val="18"/>
              </w:rPr>
            </w:pPr>
            <w:r>
              <w:rPr>
                <w:rFonts w:hint="eastAsia" w:ascii="宋体" w:hAnsi="宋体" w:cs="宋体"/>
                <w:b/>
                <w:bCs/>
                <w:kern w:val="0"/>
                <w:sz w:val="18"/>
                <w:szCs w:val="18"/>
              </w:rPr>
              <w:t>序号</w:t>
            </w:r>
          </w:p>
        </w:tc>
        <w:tc>
          <w:tcPr>
            <w:tcW w:w="605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kern w:val="0"/>
                <w:sz w:val="18"/>
                <w:szCs w:val="18"/>
              </w:rPr>
            </w:pPr>
            <w:r>
              <w:rPr>
                <w:rFonts w:hint="eastAsia" w:ascii="宋体" w:hAnsi="宋体" w:cs="宋体"/>
                <w:b/>
                <w:bCs/>
                <w:kern w:val="0"/>
                <w:sz w:val="18"/>
                <w:szCs w:val="18"/>
              </w:rPr>
              <w:t>课程目标</w:t>
            </w:r>
          </w:p>
        </w:tc>
        <w:tc>
          <w:tcPr>
            <w:tcW w:w="111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kern w:val="0"/>
                <w:sz w:val="18"/>
                <w:szCs w:val="18"/>
              </w:rPr>
            </w:pPr>
            <w:r>
              <w:rPr>
                <w:rFonts w:hint="eastAsia" w:ascii="宋体" w:hAnsi="宋体" w:cs="宋体"/>
                <w:b/>
                <w:bCs/>
                <w:kern w:val="0"/>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81"/>
              <w:jc w:val="center"/>
              <w:rPr>
                <w:rFonts w:eastAsiaTheme="minorEastAsia"/>
                <w:kern w:val="0"/>
                <w:sz w:val="18"/>
                <w:szCs w:val="18"/>
              </w:rPr>
            </w:pPr>
            <w:r>
              <w:rPr>
                <w:rFonts w:eastAsiaTheme="minorEastAsia"/>
                <w:kern w:val="0"/>
                <w:sz w:val="18"/>
                <w:szCs w:val="18"/>
              </w:rPr>
              <w:t>1</w:t>
            </w:r>
          </w:p>
        </w:tc>
        <w:tc>
          <w:tcPr>
            <w:tcW w:w="60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firstLineChars="200"/>
              <w:jc w:val="left"/>
              <w:rPr>
                <w:rFonts w:hAnsiTheme="minorEastAsia" w:eastAsiaTheme="minorEastAsia"/>
                <w:kern w:val="0"/>
                <w:sz w:val="18"/>
                <w:szCs w:val="18"/>
              </w:rPr>
            </w:pPr>
            <w:r>
              <w:rPr>
                <w:rFonts w:hint="eastAsia" w:hAnsiTheme="minorEastAsia" w:eastAsiaTheme="minorEastAsia"/>
                <w:kern w:val="0"/>
                <w:sz w:val="18"/>
                <w:szCs w:val="18"/>
              </w:rPr>
              <w:t>树立牢固的专业思想，懂农业、爱农村、爱农民、立志服务“三农”，践行可持续发展理念。</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9"/>
              <w:jc w:val="center"/>
              <w:rPr>
                <w:rFonts w:eastAsiaTheme="minorEastAsia"/>
                <w:kern w:val="0"/>
                <w:sz w:val="18"/>
                <w:szCs w:val="18"/>
              </w:rPr>
            </w:pPr>
            <w:r>
              <w:rPr>
                <w:rFonts w:eastAsiaTheme="minorEastAsia"/>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81"/>
              <w:jc w:val="center"/>
              <w:rPr>
                <w:rFonts w:eastAsiaTheme="minorEastAsia"/>
                <w:kern w:val="0"/>
                <w:sz w:val="18"/>
                <w:szCs w:val="18"/>
              </w:rPr>
            </w:pPr>
            <w:r>
              <w:rPr>
                <w:rFonts w:eastAsiaTheme="minorEastAsia"/>
                <w:kern w:val="0"/>
                <w:sz w:val="18"/>
                <w:szCs w:val="18"/>
              </w:rPr>
              <w:t>2</w:t>
            </w:r>
          </w:p>
        </w:tc>
        <w:tc>
          <w:tcPr>
            <w:tcW w:w="60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kern w:val="0"/>
                <w:sz w:val="18"/>
                <w:szCs w:val="18"/>
              </w:rPr>
            </w:pPr>
            <w:r>
              <w:rPr>
                <w:rFonts w:hint="eastAsia" w:eastAsiaTheme="minorEastAsia"/>
                <w:kern w:val="0"/>
                <w:sz w:val="18"/>
                <w:szCs w:val="18"/>
              </w:rPr>
              <w:t>使学生系统掌握分子生物学基本理论、技术和方法。掌握现代生物科学基础理论知识和原理，能够学以致用，具备将上述理学知识应用并解决园艺生产领域实际问题的素质和能力。</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9"/>
              <w:jc w:val="center"/>
              <w:rPr>
                <w:rFonts w:eastAsiaTheme="minorEastAsia"/>
                <w:kern w:val="0"/>
                <w:sz w:val="18"/>
                <w:szCs w:val="18"/>
              </w:rPr>
            </w:pPr>
            <w:r>
              <w:rPr>
                <w:rFonts w:eastAsiaTheme="minorEastAsia"/>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81"/>
              <w:jc w:val="center"/>
              <w:rPr>
                <w:rFonts w:eastAsiaTheme="minorEastAsia"/>
                <w:kern w:val="0"/>
                <w:sz w:val="18"/>
                <w:szCs w:val="18"/>
              </w:rPr>
            </w:pPr>
            <w:r>
              <w:rPr>
                <w:rFonts w:eastAsiaTheme="minorEastAsia"/>
                <w:kern w:val="0"/>
                <w:sz w:val="18"/>
                <w:szCs w:val="18"/>
              </w:rPr>
              <w:t>3</w:t>
            </w:r>
          </w:p>
        </w:tc>
        <w:tc>
          <w:tcPr>
            <w:tcW w:w="60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kern w:val="0"/>
                <w:sz w:val="18"/>
                <w:szCs w:val="18"/>
              </w:rPr>
            </w:pPr>
            <w:r>
              <w:rPr>
                <w:rFonts w:hint="eastAsia" w:eastAsiaTheme="minorEastAsia"/>
                <w:kern w:val="0"/>
                <w:sz w:val="18"/>
                <w:szCs w:val="18"/>
              </w:rPr>
              <w:t>具备扎实的分子生物学基础知识，掌握本专业基础理论、专业知识和实验技能。了解当今分子生物学的应用与发展趋势，为学习其它基础课程打下坚实的理论基础，能及时跟踪最新发展动向。</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9"/>
              <w:jc w:val="center"/>
              <w:rPr>
                <w:rFonts w:eastAsiaTheme="minorEastAsia"/>
                <w:kern w:val="0"/>
                <w:sz w:val="18"/>
                <w:szCs w:val="18"/>
              </w:rPr>
            </w:pPr>
            <w:r>
              <w:rPr>
                <w:rFonts w:eastAsiaTheme="minorEastAsia"/>
                <w:kern w:val="0"/>
                <w:sz w:val="18"/>
                <w:szCs w:val="18"/>
              </w:rPr>
              <w:t>5</w:t>
            </w:r>
          </w:p>
          <w:p>
            <w:pPr>
              <w:spacing w:line="320" w:lineRule="exact"/>
              <w:ind w:firstLine="19"/>
              <w:jc w:val="center"/>
              <w:rPr>
                <w:rFonts w:hint="default" w:eastAsiaTheme="minorEastAsia"/>
                <w:kern w:val="0"/>
                <w:sz w:val="18"/>
                <w:szCs w:val="18"/>
                <w:lang w:val="en-US" w:eastAsia="zh-CN"/>
              </w:rPr>
            </w:pPr>
            <w:r>
              <w:rPr>
                <w:rFonts w:hint="eastAsia" w:eastAsiaTheme="minorEastAsia"/>
                <w:kern w:val="0"/>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81"/>
              <w:jc w:val="center"/>
              <w:rPr>
                <w:rFonts w:hint="eastAsia" w:eastAsiaTheme="minorEastAsia"/>
                <w:kern w:val="0"/>
                <w:sz w:val="18"/>
                <w:szCs w:val="18"/>
                <w:lang w:eastAsia="zh-CN"/>
              </w:rPr>
            </w:pPr>
            <w:r>
              <w:rPr>
                <w:rFonts w:hint="eastAsia" w:eastAsiaTheme="minorEastAsia"/>
                <w:kern w:val="0"/>
                <w:sz w:val="18"/>
                <w:szCs w:val="18"/>
                <w:lang w:val="en-US" w:eastAsia="zh-CN"/>
              </w:rPr>
              <w:t>4</w:t>
            </w:r>
          </w:p>
        </w:tc>
        <w:tc>
          <w:tcPr>
            <w:tcW w:w="60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kern w:val="0"/>
                <w:sz w:val="18"/>
                <w:szCs w:val="18"/>
              </w:rPr>
            </w:pPr>
            <w:r>
              <w:rPr>
                <w:rFonts w:hint="eastAsia" w:eastAsiaTheme="minorEastAsia"/>
                <w:kern w:val="0"/>
                <w:sz w:val="18"/>
                <w:szCs w:val="18"/>
              </w:rPr>
              <w:t>具有良好的创造性思维和开展科技创新、成果研发的能力，具有利用所学知识进行创新创业的能力。</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9"/>
              <w:jc w:val="center"/>
              <w:rPr>
                <w:rFonts w:eastAsiaTheme="minorEastAsia"/>
                <w:kern w:val="0"/>
                <w:sz w:val="18"/>
                <w:szCs w:val="18"/>
              </w:rPr>
            </w:pPr>
            <w:r>
              <w:rPr>
                <w:rFonts w:eastAsiaTheme="minorEastAsia"/>
                <w:kern w:val="0"/>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66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81"/>
              <w:jc w:val="center"/>
              <w:rPr>
                <w:rFonts w:hint="eastAsia" w:eastAsiaTheme="minorEastAsia"/>
                <w:kern w:val="0"/>
                <w:sz w:val="18"/>
                <w:szCs w:val="18"/>
                <w:lang w:eastAsia="zh-CN"/>
              </w:rPr>
            </w:pPr>
            <w:r>
              <w:rPr>
                <w:rFonts w:hint="eastAsia" w:eastAsiaTheme="minorEastAsia"/>
                <w:kern w:val="0"/>
                <w:sz w:val="18"/>
                <w:szCs w:val="18"/>
                <w:lang w:val="en-US" w:eastAsia="zh-CN"/>
              </w:rPr>
              <w:t>5</w:t>
            </w:r>
          </w:p>
        </w:tc>
        <w:tc>
          <w:tcPr>
            <w:tcW w:w="60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kern w:val="0"/>
                <w:sz w:val="18"/>
                <w:szCs w:val="18"/>
              </w:rPr>
            </w:pPr>
            <w:r>
              <w:rPr>
                <w:rFonts w:hint="eastAsia" w:eastAsiaTheme="minorEastAsia"/>
                <w:kern w:val="0"/>
                <w:sz w:val="18"/>
                <w:szCs w:val="18"/>
              </w:rPr>
              <w:t>具有较强的沟通表达和协调能力，并具有组织、管理与领导能力；具有较强的团队合作精神。</w:t>
            </w:r>
          </w:p>
        </w:tc>
        <w:tc>
          <w:tcPr>
            <w:tcW w:w="11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19"/>
              <w:jc w:val="center"/>
              <w:rPr>
                <w:rFonts w:eastAsiaTheme="minorEastAsia"/>
                <w:kern w:val="0"/>
                <w:sz w:val="18"/>
                <w:szCs w:val="18"/>
              </w:rPr>
            </w:pPr>
            <w:r>
              <w:rPr>
                <w:rFonts w:hint="eastAsia" w:eastAsiaTheme="minorEastAsia"/>
                <w:kern w:val="0"/>
                <w:sz w:val="18"/>
                <w:szCs w:val="18"/>
              </w:rPr>
              <w:t>8</w:t>
            </w:r>
          </w:p>
        </w:tc>
      </w:tr>
    </w:tbl>
    <w:p>
      <w:pPr>
        <w:widowControl/>
        <w:spacing w:line="360" w:lineRule="auto"/>
        <w:ind w:firstLine="422" w:firstLineChars="200"/>
        <w:jc w:val="left"/>
        <w:rPr>
          <w:rFonts w:ascii="宋体" w:hAnsi="宋体" w:cs="宋体"/>
          <w:b/>
          <w:color w:val="000000" w:themeColor="text1"/>
          <w:kern w:val="0"/>
          <w:szCs w:val="21"/>
          <w14:textFill>
            <w14:solidFill>
              <w14:schemeClr w14:val="tx1"/>
            </w14:solidFill>
          </w14:textFill>
        </w:rPr>
      </w:pPr>
    </w:p>
    <w:p>
      <w:pPr>
        <w:widowControl/>
        <w:snapToGrid w:val="0"/>
        <w:spacing w:before="156" w:beforeLines="50" w:line="360" w:lineRule="auto"/>
        <w:jc w:val="left"/>
        <w:rPr>
          <w:b/>
          <w:bCs/>
          <w:kern w:val="0"/>
          <w:szCs w:val="21"/>
        </w:rPr>
      </w:pPr>
      <w:r>
        <w:rPr>
          <w:rFonts w:hint="eastAsia"/>
          <w:b/>
          <w:bCs/>
          <w:kern w:val="0"/>
          <w:szCs w:val="21"/>
        </w:rPr>
        <w:t>四</w:t>
      </w:r>
      <w:r>
        <w:rPr>
          <w:b/>
          <w:bCs/>
          <w:kern w:val="0"/>
          <w:szCs w:val="21"/>
        </w:rPr>
        <w:t>、理论教学内容及学时分配（40学时）</w:t>
      </w:r>
    </w:p>
    <w:p>
      <w:pPr>
        <w:widowControl/>
        <w:snapToGrid w:val="0"/>
        <w:spacing w:before="156" w:beforeLines="50" w:line="360" w:lineRule="auto"/>
        <w:jc w:val="right"/>
        <w:rPr>
          <w:kern w:val="0"/>
          <w:szCs w:val="21"/>
        </w:rPr>
      </w:pPr>
      <w:r>
        <w:rPr>
          <w:b/>
          <w:bCs/>
          <w:kern w:val="0"/>
          <w:szCs w:val="21"/>
        </w:rPr>
        <w:t>绪  论                               学时数：2</w:t>
      </w:r>
    </w:p>
    <w:p>
      <w:pPr>
        <w:widowControl/>
        <w:snapToGrid w:val="0"/>
        <w:spacing w:line="360" w:lineRule="auto"/>
        <w:jc w:val="left"/>
        <w:rPr>
          <w:kern w:val="0"/>
          <w:szCs w:val="21"/>
        </w:rPr>
      </w:pPr>
      <w:r>
        <w:rPr>
          <w:rFonts w:hint="eastAsia" w:ascii="宋体" w:hAnsi="宋体"/>
          <w:b/>
          <w:bCs/>
        </w:rPr>
        <w:t>教学目标</w:t>
      </w:r>
      <w:r>
        <w:rPr>
          <w:b/>
          <w:bCs/>
          <w:szCs w:val="21"/>
        </w:rPr>
        <w:t>：</w:t>
      </w:r>
      <w:r>
        <w:rPr>
          <w:kern w:val="0"/>
          <w:szCs w:val="21"/>
        </w:rPr>
        <w:t>了解分子生物学的基本含义、发展简史及发展趋势，并结合其与农业科学的关系，</w:t>
      </w:r>
      <w:bookmarkStart w:id="21" w:name="OLE_LINK18"/>
      <w:r>
        <w:rPr>
          <w:kern w:val="0"/>
          <w:szCs w:val="21"/>
        </w:rPr>
        <w:t>理解分子生物学的研究内容</w:t>
      </w:r>
      <w:bookmarkEnd w:id="21"/>
      <w:r>
        <w:rPr>
          <w:kern w:val="0"/>
          <w:szCs w:val="21"/>
        </w:rPr>
        <w:t>。</w:t>
      </w:r>
    </w:p>
    <w:p>
      <w:pPr>
        <w:widowControl/>
        <w:adjustRightInd w:val="0"/>
        <w:snapToGrid w:val="0"/>
        <w:spacing w:line="360" w:lineRule="auto"/>
        <w:jc w:val="left"/>
        <w:rPr>
          <w:b/>
          <w:bCs/>
          <w:szCs w:val="21"/>
        </w:rPr>
      </w:pPr>
      <w:r>
        <w:rPr>
          <w:b/>
          <w:bCs/>
          <w:szCs w:val="21"/>
        </w:rPr>
        <w:t>教学重点和难点：</w:t>
      </w:r>
      <w:r>
        <w:rPr>
          <w:kern w:val="0"/>
          <w:szCs w:val="21"/>
        </w:rPr>
        <w:t>理解分子生物学的研究内容及相关研究技术。</w:t>
      </w:r>
    </w:p>
    <w:p>
      <w:pPr>
        <w:widowControl/>
        <w:adjustRightInd w:val="0"/>
        <w:snapToGrid w:val="0"/>
        <w:spacing w:line="360" w:lineRule="auto"/>
        <w:jc w:val="left"/>
        <w:rPr>
          <w:b/>
          <w:bCs/>
          <w:szCs w:val="21"/>
        </w:rPr>
      </w:pPr>
      <w:r>
        <w:rPr>
          <w:b/>
          <w:bCs/>
          <w:szCs w:val="21"/>
        </w:rPr>
        <w:t>主要教学内容及要求：</w:t>
      </w:r>
    </w:p>
    <w:p>
      <w:pPr>
        <w:widowControl/>
        <w:numPr>
          <w:ilvl w:val="0"/>
          <w:numId w:val="4"/>
        </w:numPr>
        <w:adjustRightInd w:val="0"/>
        <w:snapToGrid w:val="0"/>
        <w:spacing w:line="360" w:lineRule="auto"/>
        <w:jc w:val="left"/>
        <w:rPr>
          <w:kern w:val="0"/>
          <w:szCs w:val="21"/>
        </w:rPr>
      </w:pPr>
      <w:r>
        <w:rPr>
          <w:kern w:val="0"/>
          <w:szCs w:val="21"/>
        </w:rPr>
        <w:t>分子生物学的基本含义。</w:t>
      </w:r>
    </w:p>
    <w:p>
      <w:pPr>
        <w:widowControl/>
        <w:numPr>
          <w:ilvl w:val="0"/>
          <w:numId w:val="4"/>
        </w:numPr>
        <w:adjustRightInd w:val="0"/>
        <w:snapToGrid w:val="0"/>
        <w:spacing w:line="360" w:lineRule="auto"/>
        <w:jc w:val="left"/>
        <w:rPr>
          <w:kern w:val="0"/>
          <w:szCs w:val="21"/>
        </w:rPr>
      </w:pPr>
      <w:r>
        <w:rPr>
          <w:kern w:val="0"/>
          <w:szCs w:val="21"/>
        </w:rPr>
        <w:t>分子生物学的主要研究内容：包括基因与基因组的结构与功能，DNA的生物合成、修复和重组，RNA的生物合成和转录产物的加工，蛋白质的生物合成，基因表达的调控，穿插介绍相关的研究技术。</w:t>
      </w:r>
    </w:p>
    <w:p>
      <w:pPr>
        <w:widowControl/>
        <w:numPr>
          <w:ilvl w:val="0"/>
          <w:numId w:val="4"/>
        </w:numPr>
        <w:adjustRightInd w:val="0"/>
        <w:snapToGrid w:val="0"/>
        <w:spacing w:line="360" w:lineRule="auto"/>
        <w:jc w:val="left"/>
        <w:rPr>
          <w:kern w:val="0"/>
          <w:szCs w:val="21"/>
        </w:rPr>
      </w:pPr>
      <w:r>
        <w:rPr>
          <w:kern w:val="0"/>
          <w:szCs w:val="21"/>
        </w:rPr>
        <w:t>分子生物学的发展简史和展望：人类对DNA和遗传信息传递的认识阶段，重组DNA技术的建立、发展和应用，结构基因学和功能基因学</w:t>
      </w:r>
      <w:r>
        <w:rPr>
          <w:rFonts w:hint="eastAsia"/>
          <w:kern w:val="0"/>
          <w:szCs w:val="21"/>
        </w:rPr>
        <w:t>等</w:t>
      </w:r>
      <w:r>
        <w:rPr>
          <w:kern w:val="0"/>
          <w:szCs w:val="21"/>
        </w:rPr>
        <w:t>的发展现状及发展趋势。</w:t>
      </w:r>
    </w:p>
    <w:p>
      <w:pPr>
        <w:widowControl/>
        <w:numPr>
          <w:ilvl w:val="0"/>
          <w:numId w:val="4"/>
        </w:numPr>
        <w:tabs>
          <w:tab w:val="left" w:pos="0"/>
        </w:tabs>
        <w:adjustRightInd w:val="0"/>
        <w:snapToGrid w:val="0"/>
        <w:spacing w:line="360" w:lineRule="auto"/>
        <w:jc w:val="left"/>
        <w:rPr>
          <w:kern w:val="0"/>
          <w:szCs w:val="21"/>
        </w:rPr>
      </w:pPr>
      <w:r>
        <w:rPr>
          <w:kern w:val="0"/>
          <w:szCs w:val="21"/>
        </w:rPr>
        <w:t>分子生物学与农业科学的关系。</w:t>
      </w:r>
    </w:p>
    <w:p>
      <w:pPr>
        <w:widowControl/>
        <w:adjustRightInd w:val="0"/>
        <w:snapToGrid w:val="0"/>
        <w:spacing w:line="360" w:lineRule="auto"/>
        <w:rPr>
          <w:b/>
          <w:kern w:val="0"/>
          <w:szCs w:val="21"/>
        </w:rPr>
      </w:pPr>
      <w:r>
        <w:rPr>
          <w:b/>
          <w:kern w:val="0"/>
          <w:szCs w:val="21"/>
        </w:rPr>
        <w:t>要求：</w:t>
      </w:r>
    </w:p>
    <w:p>
      <w:pPr>
        <w:widowControl/>
        <w:adjustRightInd w:val="0"/>
        <w:snapToGrid w:val="0"/>
        <w:spacing w:line="360" w:lineRule="auto"/>
        <w:ind w:firstLine="420" w:firstLineChars="200"/>
        <w:rPr>
          <w:kern w:val="0"/>
          <w:szCs w:val="21"/>
        </w:rPr>
      </w:pPr>
      <w:r>
        <w:rPr>
          <w:kern w:val="0"/>
          <w:szCs w:val="21"/>
        </w:rPr>
        <w:t>了解</w:t>
      </w:r>
      <w:r>
        <w:rPr>
          <w:rFonts w:hint="eastAsia"/>
          <w:kern w:val="0"/>
          <w:szCs w:val="21"/>
        </w:rPr>
        <w:t>：</w:t>
      </w:r>
      <w:r>
        <w:rPr>
          <w:kern w:val="0"/>
          <w:szCs w:val="21"/>
        </w:rPr>
        <w:t>分子生物学的基本含义，分子生物学的发展和展望，分子生物学与农业科学的关系。</w:t>
      </w:r>
    </w:p>
    <w:p>
      <w:pPr>
        <w:widowControl/>
        <w:adjustRightInd w:val="0"/>
        <w:snapToGrid w:val="0"/>
        <w:spacing w:line="360" w:lineRule="auto"/>
        <w:ind w:firstLine="420" w:firstLineChars="200"/>
        <w:rPr>
          <w:kern w:val="0"/>
          <w:szCs w:val="21"/>
        </w:rPr>
      </w:pPr>
      <w:r>
        <w:rPr>
          <w:kern w:val="0"/>
          <w:szCs w:val="21"/>
        </w:rPr>
        <w:t>理解</w:t>
      </w:r>
      <w:r>
        <w:rPr>
          <w:rFonts w:hint="eastAsia"/>
          <w:kern w:val="0"/>
          <w:szCs w:val="21"/>
        </w:rPr>
        <w:t>：</w:t>
      </w:r>
      <w:r>
        <w:rPr>
          <w:kern w:val="0"/>
          <w:szCs w:val="21"/>
        </w:rPr>
        <w:t>分子生物学的主要研究内容。</w:t>
      </w:r>
    </w:p>
    <w:p>
      <w:pPr>
        <w:widowControl/>
        <w:adjustRightInd w:val="0"/>
        <w:snapToGrid w:val="0"/>
        <w:spacing w:line="360" w:lineRule="auto"/>
        <w:rPr>
          <w:b/>
          <w:bCs/>
          <w:szCs w:val="21"/>
        </w:rPr>
      </w:pPr>
      <w:r>
        <w:rPr>
          <w:rFonts w:hint="eastAsia"/>
          <w:b/>
          <w:bCs/>
          <w:szCs w:val="21"/>
        </w:rPr>
        <w:t>教学组织与实施：</w:t>
      </w:r>
    </w:p>
    <w:p>
      <w:pPr>
        <w:widowControl/>
        <w:adjustRightInd w:val="0"/>
        <w:snapToGrid w:val="0"/>
        <w:spacing w:line="360" w:lineRule="auto"/>
        <w:ind w:firstLine="420"/>
        <w:rPr>
          <w:bCs/>
          <w:szCs w:val="21"/>
        </w:rPr>
      </w:pPr>
      <w:r>
        <w:rPr>
          <w:rFonts w:hint="eastAsia"/>
          <w:bCs/>
          <w:szCs w:val="21"/>
        </w:rPr>
        <w:t>以班级授课的形式讲解分子生物学发展中的重要事件，并对里程碑式的发现通过小故事等形式进行重点讲解（</w:t>
      </w:r>
      <w:r>
        <w:rPr>
          <w:bCs/>
          <w:szCs w:val="21"/>
        </w:rPr>
        <w:t>2</w:t>
      </w:r>
      <w:r>
        <w:rPr>
          <w:rFonts w:hint="eastAsia"/>
          <w:bCs/>
          <w:szCs w:val="21"/>
        </w:rPr>
        <w:t>学时）。</w:t>
      </w:r>
    </w:p>
    <w:p>
      <w:pPr>
        <w:widowControl/>
        <w:adjustRightInd w:val="0"/>
        <w:snapToGrid w:val="0"/>
        <w:spacing w:before="156" w:beforeLines="50" w:line="360" w:lineRule="auto"/>
        <w:jc w:val="right"/>
        <w:rPr>
          <w:kern w:val="0"/>
          <w:szCs w:val="21"/>
        </w:rPr>
      </w:pPr>
      <w:r>
        <w:rPr>
          <w:b/>
          <w:bCs/>
          <w:kern w:val="0"/>
          <w:szCs w:val="21"/>
        </w:rPr>
        <w:t>第一章  基因概念的演变与发展                   学时数：2</w:t>
      </w:r>
    </w:p>
    <w:p>
      <w:pPr>
        <w:widowControl/>
        <w:adjustRightInd w:val="0"/>
        <w:snapToGrid w:val="0"/>
        <w:spacing w:line="360" w:lineRule="auto"/>
        <w:rPr>
          <w:kern w:val="0"/>
          <w:szCs w:val="21"/>
        </w:rPr>
      </w:pPr>
      <w:r>
        <w:rPr>
          <w:rFonts w:hint="eastAsia"/>
          <w:b/>
          <w:bCs/>
          <w:szCs w:val="21"/>
        </w:rPr>
        <w:t>教学目标：</w:t>
      </w:r>
      <w:r>
        <w:rPr>
          <w:rFonts w:hint="eastAsia"/>
          <w:bCs/>
          <w:szCs w:val="21"/>
        </w:rPr>
        <w:t>掌握经典基因概念、基因概念的发展，熟悉</w:t>
      </w:r>
      <w:r>
        <w:rPr>
          <w:bCs/>
          <w:szCs w:val="21"/>
        </w:rPr>
        <w:t>DNA</w:t>
      </w:r>
      <w:r>
        <w:rPr>
          <w:rFonts w:hint="eastAsia"/>
          <w:bCs/>
          <w:szCs w:val="21"/>
        </w:rPr>
        <w:t>的分子结构及物理化学性质，了解间隔基因和跳跃基因的概念。</w:t>
      </w:r>
    </w:p>
    <w:p>
      <w:pPr>
        <w:widowControl/>
        <w:adjustRightInd w:val="0"/>
        <w:snapToGrid w:val="0"/>
        <w:spacing w:line="360" w:lineRule="auto"/>
        <w:rPr>
          <w:b/>
          <w:bCs/>
          <w:szCs w:val="21"/>
        </w:rPr>
      </w:pPr>
      <w:r>
        <w:rPr>
          <w:rFonts w:hint="eastAsia"/>
          <w:b/>
          <w:bCs/>
          <w:szCs w:val="21"/>
        </w:rPr>
        <w:t>教学重点和难点：</w:t>
      </w:r>
      <w:r>
        <w:rPr>
          <w:rFonts w:hint="eastAsia"/>
          <w:bCs/>
          <w:szCs w:val="21"/>
        </w:rPr>
        <w:t>重点：经典基因概念；难点：拟等位基因与跳跃基因。</w:t>
      </w:r>
      <w:r>
        <w:rPr>
          <w:rFonts w:hint="eastAsia"/>
          <w:b/>
          <w:bCs/>
          <w:szCs w:val="21"/>
        </w:rPr>
        <w:t></w:t>
      </w:r>
    </w:p>
    <w:p>
      <w:pPr>
        <w:widowControl/>
        <w:adjustRightInd w:val="0"/>
        <w:snapToGrid w:val="0"/>
        <w:spacing w:line="360" w:lineRule="auto"/>
        <w:rPr>
          <w:b/>
          <w:bCs/>
          <w:szCs w:val="21"/>
        </w:rPr>
      </w:pPr>
      <w:r>
        <w:rPr>
          <w:rFonts w:hint="eastAsia"/>
          <w:b/>
          <w:bCs/>
          <w:szCs w:val="21"/>
        </w:rPr>
        <w:t>主要教学内容及要求：</w:t>
      </w:r>
    </w:p>
    <w:p>
      <w:pPr>
        <w:widowControl/>
        <w:numPr>
          <w:ilvl w:val="0"/>
          <w:numId w:val="6"/>
        </w:numPr>
        <w:adjustRightInd w:val="0"/>
        <w:snapToGrid w:val="0"/>
        <w:spacing w:line="360" w:lineRule="auto"/>
        <w:rPr>
          <w:kern w:val="0"/>
          <w:szCs w:val="21"/>
        </w:rPr>
      </w:pPr>
      <w:r>
        <w:rPr>
          <w:kern w:val="0"/>
          <w:szCs w:val="21"/>
        </w:rPr>
        <w:t>早期“基因”概念的提出及发展。</w:t>
      </w:r>
    </w:p>
    <w:p>
      <w:pPr>
        <w:widowControl/>
        <w:numPr>
          <w:ilvl w:val="0"/>
          <w:numId w:val="6"/>
        </w:numPr>
        <w:adjustRightInd w:val="0"/>
        <w:snapToGrid w:val="0"/>
        <w:spacing w:line="360" w:lineRule="auto"/>
        <w:rPr>
          <w:kern w:val="0"/>
          <w:szCs w:val="21"/>
        </w:rPr>
      </w:pPr>
      <w:r>
        <w:rPr>
          <w:kern w:val="0"/>
          <w:szCs w:val="21"/>
        </w:rPr>
        <w:t>基因概念的演变（经典基因概念、经典基因概念的第一次修正、拟等位基因概念、顺反子理论）。</w:t>
      </w:r>
    </w:p>
    <w:p>
      <w:pPr>
        <w:widowControl/>
        <w:numPr>
          <w:ilvl w:val="0"/>
          <w:numId w:val="6"/>
        </w:numPr>
        <w:adjustRightInd w:val="0"/>
        <w:snapToGrid w:val="0"/>
        <w:spacing w:line="360" w:lineRule="auto"/>
        <w:rPr>
          <w:kern w:val="0"/>
          <w:szCs w:val="21"/>
        </w:rPr>
      </w:pPr>
      <w:r>
        <w:rPr>
          <w:kern w:val="0"/>
          <w:szCs w:val="21"/>
        </w:rPr>
        <w:t>基因概念的多样性（生物进化的C值矛盾、重叠基因、重复基因、间隔基因、跳跃基因或转座子、假基因的概念）。</w:t>
      </w:r>
    </w:p>
    <w:p>
      <w:pPr>
        <w:widowControl/>
        <w:adjustRightInd w:val="0"/>
        <w:snapToGrid w:val="0"/>
        <w:spacing w:line="360" w:lineRule="auto"/>
        <w:rPr>
          <w:b/>
          <w:kern w:val="0"/>
          <w:szCs w:val="21"/>
        </w:rPr>
      </w:pPr>
      <w:r>
        <w:rPr>
          <w:b/>
          <w:kern w:val="0"/>
          <w:szCs w:val="21"/>
        </w:rPr>
        <w:t>要求：</w:t>
      </w:r>
    </w:p>
    <w:p>
      <w:pPr>
        <w:widowControl/>
        <w:adjustRightInd w:val="0"/>
        <w:snapToGrid w:val="0"/>
        <w:spacing w:line="360" w:lineRule="auto"/>
        <w:ind w:firstLine="420"/>
        <w:rPr>
          <w:kern w:val="0"/>
          <w:szCs w:val="21"/>
        </w:rPr>
      </w:pPr>
      <w:r>
        <w:rPr>
          <w:kern w:val="0"/>
          <w:szCs w:val="21"/>
        </w:rPr>
        <w:t>了解：基因概念的发展历程、转座因子的研究进展，熟悉核酸的物理化学性质及原核生物的转座因子等。</w:t>
      </w:r>
    </w:p>
    <w:p>
      <w:pPr>
        <w:widowControl/>
        <w:adjustRightInd w:val="0"/>
        <w:snapToGrid w:val="0"/>
        <w:spacing w:line="360" w:lineRule="auto"/>
        <w:ind w:firstLine="420"/>
        <w:rPr>
          <w:kern w:val="0"/>
          <w:szCs w:val="21"/>
        </w:rPr>
      </w:pPr>
      <w:r>
        <w:rPr>
          <w:kern w:val="0"/>
          <w:szCs w:val="21"/>
        </w:rPr>
        <w:t>掌握：基因的分子结构，</w:t>
      </w:r>
      <w:r>
        <w:rPr>
          <w:rFonts w:hint="eastAsia"/>
          <w:kern w:val="0"/>
          <w:szCs w:val="21"/>
        </w:rPr>
        <w:t>经典基因概念</w:t>
      </w:r>
      <w:r>
        <w:rPr>
          <w:kern w:val="0"/>
          <w:szCs w:val="21"/>
        </w:rPr>
        <w:t>，顺反子、重复序列、重叠基因、间隔基因、跳跃基因、假基因的概念。</w:t>
      </w:r>
    </w:p>
    <w:p>
      <w:pPr>
        <w:widowControl/>
        <w:adjustRightInd w:val="0"/>
        <w:snapToGrid w:val="0"/>
        <w:spacing w:line="360" w:lineRule="auto"/>
        <w:rPr>
          <w:b/>
          <w:bCs/>
          <w:szCs w:val="21"/>
        </w:rPr>
      </w:pPr>
      <w:r>
        <w:rPr>
          <w:rFonts w:hint="eastAsia"/>
          <w:b/>
          <w:bCs/>
          <w:szCs w:val="21"/>
        </w:rPr>
        <w:t>教学组织与实施：</w:t>
      </w:r>
    </w:p>
    <w:p>
      <w:pPr>
        <w:widowControl/>
        <w:adjustRightInd w:val="0"/>
        <w:snapToGrid w:val="0"/>
        <w:spacing w:line="360" w:lineRule="auto"/>
        <w:ind w:firstLine="420"/>
        <w:rPr>
          <w:bCs/>
          <w:szCs w:val="21"/>
        </w:rPr>
      </w:pPr>
      <w:r>
        <w:rPr>
          <w:rFonts w:hint="eastAsia"/>
          <w:bCs/>
          <w:szCs w:val="21"/>
        </w:rPr>
        <w:t>以启发讨论的形式，让大家介绍一下自己对基因的理解与认识，然后以班级授课的形式系统介绍基因概念的</w:t>
      </w:r>
      <w:r>
        <w:rPr>
          <w:kern w:val="0"/>
          <w:szCs w:val="21"/>
        </w:rPr>
        <w:t>发展历程</w:t>
      </w:r>
      <w:r>
        <w:rPr>
          <w:rFonts w:hint="eastAsia"/>
          <w:kern w:val="0"/>
          <w:szCs w:val="21"/>
        </w:rPr>
        <w:t>，</w:t>
      </w:r>
      <w:r>
        <w:rPr>
          <w:rFonts w:hint="eastAsia"/>
          <w:bCs/>
          <w:szCs w:val="21"/>
        </w:rPr>
        <w:t>并对关键名词进行重点讲解，通过对相关科学家事迹的介绍，激发同学们投身科研的热情，加强思政教学。（</w:t>
      </w:r>
      <w:r>
        <w:rPr>
          <w:bCs/>
          <w:szCs w:val="21"/>
        </w:rPr>
        <w:t>2</w:t>
      </w:r>
      <w:r>
        <w:rPr>
          <w:rFonts w:hint="eastAsia"/>
          <w:bCs/>
          <w:szCs w:val="21"/>
        </w:rPr>
        <w:t>学时）。</w:t>
      </w:r>
    </w:p>
    <w:p>
      <w:pPr>
        <w:widowControl/>
        <w:adjustRightInd w:val="0"/>
        <w:snapToGrid w:val="0"/>
        <w:spacing w:before="156" w:beforeLines="50" w:line="360" w:lineRule="auto"/>
        <w:jc w:val="right"/>
        <w:rPr>
          <w:kern w:val="0"/>
          <w:szCs w:val="21"/>
        </w:rPr>
      </w:pPr>
      <w:r>
        <w:rPr>
          <w:b/>
          <w:bCs/>
          <w:kern w:val="0"/>
          <w:szCs w:val="21"/>
        </w:rPr>
        <w:t>第二章  DNA复制                          学时数：4</w:t>
      </w:r>
    </w:p>
    <w:p>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kern w:val="0"/>
          <w:szCs w:val="21"/>
        </w:rPr>
        <w:t>掌握DNA复制的基本特征，真核生物DNA复制的特点，DNA复制的终止。</w:t>
      </w:r>
    </w:p>
    <w:p>
      <w:pPr>
        <w:widowControl/>
        <w:adjustRightInd w:val="0"/>
        <w:snapToGrid w:val="0"/>
        <w:spacing w:line="360" w:lineRule="auto"/>
        <w:rPr>
          <w:b/>
          <w:bCs/>
          <w:kern w:val="0"/>
          <w:szCs w:val="21"/>
        </w:rPr>
      </w:pPr>
      <w:r>
        <w:rPr>
          <w:b/>
          <w:bCs/>
          <w:szCs w:val="21"/>
        </w:rPr>
        <w:t>教学重点和难点：</w:t>
      </w:r>
      <w:r>
        <w:rPr>
          <w:kern w:val="0"/>
          <w:szCs w:val="21"/>
        </w:rPr>
        <w:t>DNA复制的模式，真核生物DNA 复制的特点，DNA复制的调控。</w:t>
      </w:r>
    </w:p>
    <w:p>
      <w:pPr>
        <w:widowControl/>
        <w:adjustRightInd w:val="0"/>
        <w:snapToGrid w:val="0"/>
        <w:spacing w:line="360" w:lineRule="auto"/>
        <w:rPr>
          <w:b/>
          <w:bCs/>
          <w:szCs w:val="21"/>
        </w:rPr>
      </w:pPr>
      <w:r>
        <w:rPr>
          <w:b/>
          <w:bCs/>
          <w:szCs w:val="21"/>
        </w:rPr>
        <w:t>主要教学内容及要求：</w:t>
      </w:r>
    </w:p>
    <w:p>
      <w:pPr>
        <w:widowControl/>
        <w:numPr>
          <w:ilvl w:val="0"/>
          <w:numId w:val="7"/>
        </w:numPr>
        <w:adjustRightInd w:val="0"/>
        <w:snapToGrid w:val="0"/>
        <w:spacing w:line="360" w:lineRule="auto"/>
        <w:rPr>
          <w:kern w:val="0"/>
          <w:szCs w:val="21"/>
        </w:rPr>
      </w:pPr>
      <w:r>
        <w:rPr>
          <w:kern w:val="0"/>
          <w:szCs w:val="21"/>
        </w:rPr>
        <w:t>DNA复制的基本特征（DNA复制的基本特征和模式、线形DNA复制的方式）。</w:t>
      </w:r>
    </w:p>
    <w:p>
      <w:pPr>
        <w:widowControl/>
        <w:numPr>
          <w:ilvl w:val="0"/>
          <w:numId w:val="7"/>
        </w:numPr>
        <w:adjustRightInd w:val="0"/>
        <w:snapToGrid w:val="0"/>
        <w:spacing w:line="360" w:lineRule="auto"/>
        <w:rPr>
          <w:kern w:val="0"/>
          <w:szCs w:val="21"/>
        </w:rPr>
      </w:pPr>
      <w:r>
        <w:rPr>
          <w:kern w:val="0"/>
          <w:szCs w:val="21"/>
        </w:rPr>
        <w:t>真核生物DNA复制的特点（多复制子复制、真核生物避免5’端缩短的机制—端粒和端粒酶）。</w:t>
      </w:r>
    </w:p>
    <w:p>
      <w:pPr>
        <w:widowControl/>
        <w:numPr>
          <w:ilvl w:val="0"/>
          <w:numId w:val="7"/>
        </w:numPr>
        <w:adjustRightInd w:val="0"/>
        <w:snapToGrid w:val="0"/>
        <w:spacing w:line="360" w:lineRule="auto"/>
        <w:rPr>
          <w:kern w:val="0"/>
          <w:szCs w:val="21"/>
        </w:rPr>
      </w:pPr>
      <w:r>
        <w:rPr>
          <w:kern w:val="0"/>
          <w:szCs w:val="21"/>
        </w:rPr>
        <w:t>DNA复制的终止（DNA复制终止子的结构、DNA复制终止机制）。</w:t>
      </w:r>
    </w:p>
    <w:p>
      <w:pPr>
        <w:widowControl/>
        <w:adjustRightInd w:val="0"/>
        <w:snapToGrid w:val="0"/>
        <w:spacing w:line="360" w:lineRule="auto"/>
        <w:jc w:val="left"/>
        <w:rPr>
          <w:b/>
          <w:kern w:val="0"/>
          <w:szCs w:val="21"/>
        </w:rPr>
      </w:pPr>
      <w:r>
        <w:rPr>
          <w:b/>
          <w:kern w:val="0"/>
          <w:szCs w:val="21"/>
        </w:rPr>
        <w:t>要求：</w:t>
      </w:r>
    </w:p>
    <w:p>
      <w:pPr>
        <w:widowControl/>
        <w:adjustRightInd w:val="0"/>
        <w:snapToGrid w:val="0"/>
        <w:spacing w:line="360" w:lineRule="auto"/>
        <w:ind w:firstLine="420"/>
        <w:jc w:val="left"/>
        <w:rPr>
          <w:b/>
          <w:kern w:val="0"/>
          <w:szCs w:val="21"/>
        </w:rPr>
      </w:pPr>
      <w:r>
        <w:rPr>
          <w:kern w:val="0"/>
          <w:szCs w:val="21"/>
        </w:rPr>
        <w:t>了解：真核生物DNA复制的特点、线形DNA复制避免5’端缩短的方式。</w:t>
      </w:r>
    </w:p>
    <w:p>
      <w:pPr>
        <w:widowControl/>
        <w:adjustRightInd w:val="0"/>
        <w:snapToGrid w:val="0"/>
        <w:spacing w:line="360" w:lineRule="auto"/>
        <w:ind w:firstLine="420"/>
        <w:jc w:val="left"/>
        <w:rPr>
          <w:kern w:val="0"/>
          <w:szCs w:val="21"/>
        </w:rPr>
      </w:pPr>
      <w:r>
        <w:rPr>
          <w:kern w:val="0"/>
          <w:szCs w:val="21"/>
        </w:rPr>
        <w:t>掌握：原核生物和真核生物DNA复制的酶系统，DNA复制的模式：滚环复制、D环复制、θ环复制等。</w:t>
      </w:r>
    </w:p>
    <w:p>
      <w:pPr>
        <w:widowControl/>
        <w:adjustRightInd w:val="0"/>
        <w:snapToGrid w:val="0"/>
        <w:spacing w:line="360" w:lineRule="auto"/>
        <w:ind w:firstLine="420"/>
        <w:jc w:val="left"/>
        <w:rPr>
          <w:kern w:val="0"/>
          <w:szCs w:val="21"/>
        </w:rPr>
      </w:pPr>
      <w:r>
        <w:rPr>
          <w:kern w:val="0"/>
          <w:szCs w:val="21"/>
        </w:rPr>
        <w:t>熟练掌握：DNA复制的方向、起点，细菌DNA 复制过程，DNA复制中重要的酶和蛋白质。</w:t>
      </w:r>
    </w:p>
    <w:p>
      <w:pPr>
        <w:widowControl/>
        <w:adjustRightInd w:val="0"/>
        <w:snapToGrid w:val="0"/>
        <w:spacing w:line="360" w:lineRule="auto"/>
        <w:jc w:val="left"/>
        <w:rPr>
          <w:rFonts w:ascii="宋体" w:hAnsi="宋体"/>
          <w:b/>
          <w:bCs/>
        </w:rPr>
      </w:pPr>
      <w:r>
        <w:rPr>
          <w:rFonts w:hint="eastAsia" w:ascii="宋体" w:hAnsi="宋体"/>
          <w:b/>
          <w:bCs/>
        </w:rPr>
        <w:t>教学组织与实施：</w:t>
      </w:r>
    </w:p>
    <w:p>
      <w:pPr>
        <w:widowControl/>
        <w:adjustRightInd w:val="0"/>
        <w:snapToGrid w:val="0"/>
        <w:spacing w:line="360" w:lineRule="auto"/>
        <w:ind w:firstLine="411" w:firstLineChars="196"/>
        <w:jc w:val="left"/>
        <w:rPr>
          <w:kern w:val="0"/>
          <w:szCs w:val="21"/>
        </w:rPr>
      </w:pPr>
      <w:r>
        <w:rPr>
          <w:rFonts w:ascii="宋体" w:hAnsi="宋体"/>
          <w:bCs/>
        </w:rPr>
        <w:t>本章节</w:t>
      </w:r>
      <w:r>
        <w:rPr>
          <w:rFonts w:hint="eastAsia" w:ascii="宋体" w:hAnsi="宋体"/>
          <w:bCs/>
        </w:rPr>
        <w:t>主要涉及</w:t>
      </w:r>
      <w:r>
        <w:rPr>
          <w:rFonts w:ascii="宋体" w:hAnsi="宋体"/>
          <w:bCs/>
        </w:rPr>
        <w:t>DNA复制以及DNA</w:t>
      </w:r>
      <w:r>
        <w:rPr>
          <w:rFonts w:hint="eastAsia" w:ascii="宋体" w:hAnsi="宋体"/>
          <w:bCs/>
        </w:rPr>
        <w:t>复制</w:t>
      </w:r>
      <w:r>
        <w:rPr>
          <w:rFonts w:ascii="宋体" w:hAnsi="宋体"/>
          <w:bCs/>
        </w:rPr>
        <w:t>的调控，</w:t>
      </w:r>
      <w:r>
        <w:rPr>
          <w:rFonts w:hint="eastAsia" w:ascii="宋体" w:hAnsi="宋体"/>
          <w:bCs/>
        </w:rPr>
        <w:t>要求学生提前预习</w:t>
      </w:r>
      <w:r>
        <w:rPr>
          <w:rFonts w:ascii="宋体" w:hAnsi="宋体"/>
          <w:bCs/>
        </w:rPr>
        <w:t>课本本章节内容，充分利用互联网查阅相关知识，做好课前准备工作。课程教授</w:t>
      </w:r>
      <w:r>
        <w:rPr>
          <w:rFonts w:hint="eastAsia" w:ascii="宋体" w:hAnsi="宋体"/>
          <w:bCs/>
        </w:rPr>
        <w:t>方式</w:t>
      </w:r>
      <w:r>
        <w:rPr>
          <w:rFonts w:ascii="宋体" w:hAnsi="宋体"/>
          <w:bCs/>
        </w:rPr>
        <w:t>为</w:t>
      </w:r>
      <w:r>
        <w:rPr>
          <w:rFonts w:hint="eastAsia" w:ascii="宋体" w:hAnsi="宋体"/>
          <w:bCs/>
        </w:rPr>
        <w:t>教学</w:t>
      </w:r>
      <w:r>
        <w:rPr>
          <w:rFonts w:ascii="宋体" w:hAnsi="宋体"/>
          <w:bCs/>
        </w:rPr>
        <w:t>PPT结合微视频</w:t>
      </w:r>
      <w:r>
        <w:rPr>
          <w:rFonts w:hint="eastAsia" w:ascii="宋体" w:hAnsi="宋体"/>
          <w:bCs/>
        </w:rPr>
        <w:t>深入浅出</w:t>
      </w:r>
      <w:r>
        <w:rPr>
          <w:rFonts w:ascii="宋体" w:hAnsi="宋体"/>
          <w:bCs/>
        </w:rPr>
        <w:t>、生动形象的讲解疑点难点</w:t>
      </w:r>
      <w:r>
        <w:rPr>
          <w:rFonts w:hint="eastAsia" w:ascii="宋体" w:hAnsi="宋体"/>
          <w:bCs/>
        </w:rPr>
        <w:t>，</w:t>
      </w:r>
      <w:r>
        <w:rPr>
          <w:rFonts w:ascii="宋体" w:hAnsi="宋体"/>
          <w:bCs/>
        </w:rPr>
        <w:t>在教学过程中与学生进行充分的互动，活跃课堂气氛，加深对课堂知识的理解与认识。</w:t>
      </w:r>
    </w:p>
    <w:p>
      <w:pPr>
        <w:widowControl/>
        <w:adjustRightInd w:val="0"/>
        <w:snapToGrid w:val="0"/>
        <w:spacing w:before="156" w:beforeLines="50" w:line="360" w:lineRule="auto"/>
        <w:jc w:val="right"/>
        <w:rPr>
          <w:kern w:val="0"/>
          <w:szCs w:val="21"/>
        </w:rPr>
      </w:pPr>
      <w:r>
        <w:rPr>
          <w:b/>
          <w:bCs/>
          <w:kern w:val="0"/>
          <w:szCs w:val="21"/>
        </w:rPr>
        <w:t>第三章  RNA的转录                       学时数：6</w:t>
      </w:r>
    </w:p>
    <w:p>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kern w:val="0"/>
          <w:szCs w:val="21"/>
        </w:rPr>
        <w:t>掌握转录的基本概念和特点，转录反应体系的组成；原核生物转录的过程：起始-延伸-终止；不同前体RNA的具体剪接机制。</w:t>
      </w:r>
    </w:p>
    <w:p>
      <w:pPr>
        <w:adjustRightInd w:val="0"/>
        <w:snapToGrid w:val="0"/>
        <w:spacing w:line="360" w:lineRule="auto"/>
        <w:rPr>
          <w:b/>
          <w:szCs w:val="21"/>
        </w:rPr>
      </w:pPr>
      <w:r>
        <w:rPr>
          <w:b/>
          <w:bCs/>
          <w:szCs w:val="21"/>
        </w:rPr>
        <w:t>教学重点和难点：</w:t>
      </w:r>
      <w:r>
        <w:rPr>
          <w:kern w:val="0"/>
          <w:szCs w:val="21"/>
        </w:rPr>
        <w:t>不同前体RNA的具体剪接机制</w:t>
      </w:r>
      <w:r>
        <w:rPr>
          <w:szCs w:val="21"/>
        </w:rPr>
        <w:t>；</w:t>
      </w:r>
      <w:r>
        <w:rPr>
          <w:kern w:val="0"/>
          <w:szCs w:val="21"/>
        </w:rPr>
        <w:t>真核生物转录起始和转录后的加工机制</w:t>
      </w:r>
      <w:r>
        <w:rPr>
          <w:szCs w:val="21"/>
        </w:rPr>
        <w:t>。</w:t>
      </w:r>
    </w:p>
    <w:p>
      <w:pPr>
        <w:widowControl/>
        <w:adjustRightInd w:val="0"/>
        <w:snapToGrid w:val="0"/>
        <w:spacing w:line="360" w:lineRule="auto"/>
        <w:jc w:val="left"/>
        <w:rPr>
          <w:szCs w:val="21"/>
        </w:rPr>
      </w:pPr>
      <w:r>
        <w:rPr>
          <w:b/>
          <w:bCs/>
          <w:szCs w:val="21"/>
        </w:rPr>
        <w:t>主要教学内容及要求：</w:t>
      </w:r>
    </w:p>
    <w:p>
      <w:pPr>
        <w:widowControl/>
        <w:numPr>
          <w:ilvl w:val="0"/>
          <w:numId w:val="8"/>
        </w:numPr>
        <w:tabs>
          <w:tab w:val="left" w:pos="0"/>
        </w:tabs>
        <w:adjustRightInd w:val="0"/>
        <w:snapToGrid w:val="0"/>
        <w:spacing w:line="360" w:lineRule="auto"/>
        <w:rPr>
          <w:b/>
          <w:kern w:val="0"/>
          <w:szCs w:val="21"/>
        </w:rPr>
      </w:pPr>
      <w:r>
        <w:rPr>
          <w:kern w:val="0"/>
          <w:szCs w:val="21"/>
        </w:rPr>
        <w:t>RNA转录的基本特征（转录的模板：有义链和反义链，不对称转录，转录的极性）。</w:t>
      </w:r>
    </w:p>
    <w:p>
      <w:pPr>
        <w:widowControl/>
        <w:numPr>
          <w:ilvl w:val="0"/>
          <w:numId w:val="8"/>
        </w:numPr>
        <w:tabs>
          <w:tab w:val="left" w:pos="0"/>
        </w:tabs>
        <w:adjustRightInd w:val="0"/>
        <w:snapToGrid w:val="0"/>
        <w:spacing w:line="360" w:lineRule="auto"/>
        <w:rPr>
          <w:kern w:val="0"/>
          <w:szCs w:val="21"/>
        </w:rPr>
      </w:pPr>
      <w:r>
        <w:rPr>
          <w:kern w:val="0"/>
          <w:szCs w:val="21"/>
        </w:rPr>
        <w:t>转录起始（原核生物的启动子的结构，及其突变效应，真核生物的启动子的基本结构）。</w:t>
      </w:r>
    </w:p>
    <w:p>
      <w:pPr>
        <w:widowControl/>
        <w:numPr>
          <w:ilvl w:val="0"/>
          <w:numId w:val="8"/>
        </w:numPr>
        <w:tabs>
          <w:tab w:val="left" w:pos="0"/>
        </w:tabs>
        <w:adjustRightInd w:val="0"/>
        <w:snapToGrid w:val="0"/>
        <w:spacing w:line="360" w:lineRule="auto"/>
        <w:rPr>
          <w:kern w:val="0"/>
          <w:szCs w:val="21"/>
        </w:rPr>
      </w:pPr>
      <w:r>
        <w:rPr>
          <w:kern w:val="0"/>
          <w:szCs w:val="21"/>
        </w:rPr>
        <w:t>RNA聚合酶（原核RNA聚合酶的组成及作用，真核生物RNA聚合酶的种类和转录起始）。</w:t>
      </w:r>
    </w:p>
    <w:p>
      <w:pPr>
        <w:widowControl/>
        <w:numPr>
          <w:ilvl w:val="0"/>
          <w:numId w:val="8"/>
        </w:numPr>
        <w:tabs>
          <w:tab w:val="left" w:pos="0"/>
        </w:tabs>
        <w:adjustRightInd w:val="0"/>
        <w:snapToGrid w:val="0"/>
        <w:spacing w:line="360" w:lineRule="auto"/>
        <w:rPr>
          <w:kern w:val="0"/>
          <w:szCs w:val="21"/>
        </w:rPr>
      </w:pPr>
      <w:r>
        <w:rPr>
          <w:kern w:val="0"/>
          <w:szCs w:val="21"/>
        </w:rPr>
        <w:t>转录因子及顺式作用元件（转录因子的种类，增强子，沉默子和绝缘子的结构和功能，反式作用因子常见的集中模体）。</w:t>
      </w:r>
    </w:p>
    <w:p>
      <w:pPr>
        <w:widowControl/>
        <w:numPr>
          <w:ilvl w:val="0"/>
          <w:numId w:val="8"/>
        </w:numPr>
        <w:tabs>
          <w:tab w:val="left" w:pos="0"/>
        </w:tabs>
        <w:adjustRightInd w:val="0"/>
        <w:snapToGrid w:val="0"/>
        <w:spacing w:line="360" w:lineRule="auto"/>
        <w:rPr>
          <w:kern w:val="0"/>
          <w:szCs w:val="21"/>
        </w:rPr>
      </w:pPr>
      <w:r>
        <w:rPr>
          <w:kern w:val="0"/>
          <w:szCs w:val="21"/>
        </w:rPr>
        <w:t>转录延伸（原核生物的转录延伸的特点、转录延伸，真核生物的转录延伸）。</w:t>
      </w:r>
    </w:p>
    <w:p>
      <w:pPr>
        <w:widowControl/>
        <w:numPr>
          <w:ilvl w:val="0"/>
          <w:numId w:val="8"/>
        </w:numPr>
        <w:tabs>
          <w:tab w:val="left" w:pos="0"/>
        </w:tabs>
        <w:adjustRightInd w:val="0"/>
        <w:snapToGrid w:val="0"/>
        <w:spacing w:line="360" w:lineRule="auto"/>
        <w:rPr>
          <w:kern w:val="0"/>
          <w:szCs w:val="21"/>
        </w:rPr>
      </w:pPr>
      <w:r>
        <w:rPr>
          <w:kern w:val="0"/>
          <w:szCs w:val="21"/>
        </w:rPr>
        <w:t>转录终止（不依赖于ρ因子的终止子的结构与功能，依赖ρ因子的终止子的结构与功能，抗终止作用）。</w:t>
      </w:r>
    </w:p>
    <w:p>
      <w:pPr>
        <w:widowControl/>
        <w:numPr>
          <w:ilvl w:val="0"/>
          <w:numId w:val="8"/>
        </w:numPr>
        <w:tabs>
          <w:tab w:val="left" w:pos="0"/>
        </w:tabs>
        <w:adjustRightInd w:val="0"/>
        <w:snapToGrid w:val="0"/>
        <w:spacing w:line="360" w:lineRule="auto"/>
        <w:rPr>
          <w:kern w:val="0"/>
          <w:szCs w:val="21"/>
        </w:rPr>
      </w:pPr>
      <w:r>
        <w:rPr>
          <w:kern w:val="0"/>
          <w:szCs w:val="21"/>
        </w:rPr>
        <w:t>RNA的加工（RNA加工的概念及加工的目的，真核生物RNA加工的过程）。</w:t>
      </w:r>
    </w:p>
    <w:p>
      <w:pPr>
        <w:widowControl/>
        <w:adjustRightInd w:val="0"/>
        <w:snapToGrid w:val="0"/>
        <w:spacing w:line="360" w:lineRule="auto"/>
        <w:rPr>
          <w:b/>
          <w:kern w:val="0"/>
          <w:szCs w:val="21"/>
        </w:rPr>
      </w:pPr>
      <w:r>
        <w:rPr>
          <w:b/>
          <w:kern w:val="0"/>
          <w:szCs w:val="21"/>
        </w:rPr>
        <w:t>要求：</w:t>
      </w:r>
    </w:p>
    <w:p>
      <w:pPr>
        <w:widowControl/>
        <w:adjustRightInd w:val="0"/>
        <w:snapToGrid w:val="0"/>
        <w:spacing w:line="360" w:lineRule="auto"/>
        <w:ind w:firstLine="420"/>
        <w:rPr>
          <w:kern w:val="0"/>
          <w:szCs w:val="21"/>
        </w:rPr>
      </w:pPr>
      <w:r>
        <w:rPr>
          <w:kern w:val="0"/>
          <w:szCs w:val="21"/>
        </w:rPr>
        <w:t>了解：真核生物转录的过程，转录因子的种类和功能，不同前体RNA的具体剪接机制。</w:t>
      </w:r>
    </w:p>
    <w:p>
      <w:pPr>
        <w:widowControl/>
        <w:adjustRightInd w:val="0"/>
        <w:snapToGrid w:val="0"/>
        <w:spacing w:line="360" w:lineRule="auto"/>
        <w:ind w:firstLine="420"/>
        <w:rPr>
          <w:kern w:val="0"/>
          <w:szCs w:val="21"/>
        </w:rPr>
      </w:pPr>
      <w:r>
        <w:rPr>
          <w:kern w:val="0"/>
          <w:szCs w:val="21"/>
        </w:rPr>
        <w:t>理解：真核生物转录起始，反式作用因子与DNA结合的常见的几种不同的模体，增强子和沉默子的结构和作用。</w:t>
      </w:r>
    </w:p>
    <w:p>
      <w:pPr>
        <w:widowControl/>
        <w:adjustRightInd w:val="0"/>
        <w:snapToGrid w:val="0"/>
        <w:spacing w:line="360" w:lineRule="auto"/>
        <w:ind w:firstLine="420"/>
        <w:rPr>
          <w:szCs w:val="21"/>
        </w:rPr>
      </w:pPr>
      <w:r>
        <w:rPr>
          <w:szCs w:val="21"/>
        </w:rPr>
        <w:t>掌握：转录反应体系的组成，转录的不对称性，原核和真核生物RNA聚合酶的种类和作用，及启动子的结构，转录的终止和终止子。</w:t>
      </w:r>
    </w:p>
    <w:p>
      <w:pPr>
        <w:widowControl/>
        <w:adjustRightInd w:val="0"/>
        <w:snapToGrid w:val="0"/>
        <w:spacing w:line="360" w:lineRule="auto"/>
        <w:ind w:firstLine="420"/>
        <w:rPr>
          <w:szCs w:val="21"/>
        </w:rPr>
      </w:pPr>
      <w:r>
        <w:rPr>
          <w:kern w:val="0"/>
          <w:szCs w:val="21"/>
        </w:rPr>
        <w:t>熟练掌握：</w:t>
      </w:r>
      <w:r>
        <w:rPr>
          <w:szCs w:val="21"/>
        </w:rPr>
        <w:t>原核生物转录的过程：起始-延伸-终止，原核生物转录终止机制，真核生物mRNA转录后的加工机制。</w:t>
      </w:r>
    </w:p>
    <w:p>
      <w:pPr>
        <w:widowControl/>
        <w:adjustRightInd w:val="0"/>
        <w:snapToGrid w:val="0"/>
        <w:spacing w:line="360" w:lineRule="auto"/>
        <w:rPr>
          <w:rFonts w:ascii="宋体" w:hAnsi="宋体"/>
          <w:b/>
          <w:bCs/>
        </w:rPr>
      </w:pPr>
      <w:r>
        <w:rPr>
          <w:rFonts w:hint="eastAsia" w:ascii="宋体" w:hAnsi="宋体"/>
          <w:b/>
          <w:bCs/>
        </w:rPr>
        <w:t>教学组织与实施：</w:t>
      </w:r>
    </w:p>
    <w:p>
      <w:pPr>
        <w:widowControl/>
        <w:adjustRightInd w:val="0"/>
        <w:snapToGrid w:val="0"/>
        <w:spacing w:line="360" w:lineRule="auto"/>
        <w:ind w:firstLine="514" w:firstLineChars="245"/>
        <w:rPr>
          <w:kern w:val="0"/>
          <w:szCs w:val="21"/>
        </w:rPr>
      </w:pPr>
      <w:r>
        <w:rPr>
          <w:rFonts w:ascii="宋体" w:hAnsi="宋体"/>
          <w:bCs/>
        </w:rPr>
        <w:t>本章节</w:t>
      </w:r>
      <w:r>
        <w:rPr>
          <w:rFonts w:hint="eastAsia" w:ascii="宋体" w:hAnsi="宋体"/>
          <w:bCs/>
        </w:rPr>
        <w:t>主要涉及</w:t>
      </w:r>
      <w:r>
        <w:rPr>
          <w:rFonts w:ascii="宋体" w:hAnsi="宋体"/>
          <w:bCs/>
        </w:rPr>
        <w:t>RNA</w:t>
      </w:r>
      <w:r>
        <w:rPr>
          <w:rFonts w:hint="eastAsia" w:ascii="宋体" w:hAnsi="宋体"/>
          <w:bCs/>
        </w:rPr>
        <w:t>的</w:t>
      </w:r>
      <w:r>
        <w:rPr>
          <w:rFonts w:ascii="宋体" w:hAnsi="宋体"/>
          <w:bCs/>
        </w:rPr>
        <w:t>转录过程</w:t>
      </w:r>
      <w:r>
        <w:rPr>
          <w:rFonts w:hint="eastAsia" w:ascii="宋体" w:hAnsi="宋体"/>
          <w:bCs/>
        </w:rPr>
        <w:t>。要求学生提前预习</w:t>
      </w:r>
      <w:r>
        <w:rPr>
          <w:rFonts w:ascii="宋体" w:hAnsi="宋体"/>
          <w:bCs/>
        </w:rPr>
        <w:t>课本本章节内容，充分利用互联网查阅相关知识，做好课前准备工作。课程教授</w:t>
      </w:r>
      <w:r>
        <w:rPr>
          <w:rFonts w:hint="eastAsia" w:ascii="宋体" w:hAnsi="宋体"/>
          <w:bCs/>
        </w:rPr>
        <w:t>方式</w:t>
      </w:r>
      <w:r>
        <w:rPr>
          <w:rFonts w:ascii="宋体" w:hAnsi="宋体"/>
          <w:bCs/>
        </w:rPr>
        <w:t>为</w:t>
      </w:r>
      <w:r>
        <w:rPr>
          <w:rFonts w:hint="eastAsia" w:ascii="宋体" w:hAnsi="宋体"/>
          <w:bCs/>
        </w:rPr>
        <w:t>教学</w:t>
      </w:r>
      <w:r>
        <w:rPr>
          <w:rFonts w:ascii="宋体" w:hAnsi="宋体"/>
          <w:bCs/>
        </w:rPr>
        <w:t>PPT结合微视频</w:t>
      </w:r>
      <w:r>
        <w:rPr>
          <w:rFonts w:hint="eastAsia" w:ascii="宋体" w:hAnsi="宋体"/>
          <w:bCs/>
        </w:rPr>
        <w:t>深入浅出</w:t>
      </w:r>
      <w:r>
        <w:rPr>
          <w:rFonts w:ascii="宋体" w:hAnsi="宋体"/>
          <w:bCs/>
        </w:rPr>
        <w:t>、生动形象的讲解疑点难点</w:t>
      </w:r>
      <w:r>
        <w:rPr>
          <w:rFonts w:hint="eastAsia" w:ascii="宋体" w:hAnsi="宋体"/>
          <w:bCs/>
        </w:rPr>
        <w:t>，</w:t>
      </w:r>
      <w:r>
        <w:rPr>
          <w:rFonts w:ascii="宋体" w:hAnsi="宋体"/>
          <w:bCs/>
        </w:rPr>
        <w:t>在教学过程中与学生进行充分的互动，活跃课堂气氛，加深对课堂知识的理解与认识。</w:t>
      </w:r>
    </w:p>
    <w:p>
      <w:pPr>
        <w:widowControl/>
        <w:adjustRightInd w:val="0"/>
        <w:snapToGrid w:val="0"/>
        <w:spacing w:before="156" w:beforeLines="50" w:line="360" w:lineRule="auto"/>
        <w:jc w:val="right"/>
        <w:rPr>
          <w:kern w:val="0"/>
          <w:szCs w:val="21"/>
        </w:rPr>
      </w:pPr>
      <w:r>
        <w:rPr>
          <w:b/>
          <w:bCs/>
          <w:kern w:val="0"/>
          <w:szCs w:val="21"/>
        </w:rPr>
        <w:t>第四章  蛋白质的翻译                        学时数：6</w:t>
      </w:r>
    </w:p>
    <w:p>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bCs/>
          <w:szCs w:val="21"/>
        </w:rPr>
        <w:t>掌握蛋白质合成的反应体系：mRNA、tRNA、核糖体、酶和各种因子；原核生物蛋白质合成的生物学机制：氨基酸的活化、翻译的起始、肽链的延伸、肽链的终止。</w:t>
      </w:r>
    </w:p>
    <w:p>
      <w:pPr>
        <w:widowControl/>
        <w:adjustRightInd w:val="0"/>
        <w:snapToGrid w:val="0"/>
        <w:spacing w:line="360" w:lineRule="auto"/>
        <w:rPr>
          <w:kern w:val="0"/>
          <w:szCs w:val="21"/>
        </w:rPr>
      </w:pPr>
      <w:r>
        <w:rPr>
          <w:b/>
          <w:bCs/>
          <w:szCs w:val="21"/>
        </w:rPr>
        <w:t>教学重点和难点：</w:t>
      </w:r>
      <w:r>
        <w:rPr>
          <w:bCs/>
          <w:szCs w:val="21"/>
        </w:rPr>
        <w:t>原核生物蛋白质合成的生物学机制，蛋白质合成的反应体系，核糖体的组成、结构和功能。</w:t>
      </w:r>
      <w:r>
        <w:rPr>
          <w:kern w:val="0"/>
          <w:szCs w:val="21"/>
        </w:rPr>
        <w:t></w:t>
      </w:r>
    </w:p>
    <w:p>
      <w:pPr>
        <w:widowControl/>
        <w:adjustRightInd w:val="0"/>
        <w:snapToGrid w:val="0"/>
        <w:spacing w:line="360" w:lineRule="auto"/>
        <w:rPr>
          <w:kern w:val="0"/>
          <w:szCs w:val="21"/>
        </w:rPr>
      </w:pPr>
      <w:r>
        <w:rPr>
          <w:b/>
          <w:bCs/>
          <w:szCs w:val="21"/>
        </w:rPr>
        <w:t>主要教学内容及要求：</w:t>
      </w:r>
      <w:r>
        <w:rPr>
          <w:kern w:val="0"/>
          <w:szCs w:val="21"/>
        </w:rPr>
        <w:t>掌握原核生物蛋白质合成的生物学机制。</w:t>
      </w:r>
    </w:p>
    <w:p>
      <w:pPr>
        <w:widowControl/>
        <w:numPr>
          <w:ilvl w:val="0"/>
          <w:numId w:val="9"/>
        </w:numPr>
        <w:adjustRightInd w:val="0"/>
        <w:snapToGrid w:val="0"/>
        <w:spacing w:line="360" w:lineRule="auto"/>
        <w:rPr>
          <w:kern w:val="0"/>
          <w:szCs w:val="21"/>
        </w:rPr>
      </w:pPr>
      <w:r>
        <w:rPr>
          <w:kern w:val="0"/>
          <w:szCs w:val="21"/>
        </w:rPr>
        <w:t>蛋白质合成的装备（mRNA的结构与功能、tRNA的结构与功能、rRNA与核糖体的结构与功能）。</w:t>
      </w:r>
    </w:p>
    <w:p>
      <w:pPr>
        <w:widowControl/>
        <w:numPr>
          <w:ilvl w:val="0"/>
          <w:numId w:val="9"/>
        </w:numPr>
        <w:adjustRightInd w:val="0"/>
        <w:snapToGrid w:val="0"/>
        <w:spacing w:line="360" w:lineRule="auto"/>
        <w:rPr>
          <w:kern w:val="0"/>
          <w:szCs w:val="21"/>
        </w:rPr>
      </w:pPr>
      <w:r>
        <w:rPr>
          <w:kern w:val="0"/>
          <w:szCs w:val="21"/>
        </w:rPr>
        <w:t>遗传密码及其简并（三联体密码的特征，遗传密码简并的特点，摇摆假说，同工受体tRNA，密码子的利用率）。</w:t>
      </w:r>
    </w:p>
    <w:p>
      <w:pPr>
        <w:widowControl/>
        <w:numPr>
          <w:ilvl w:val="0"/>
          <w:numId w:val="9"/>
        </w:numPr>
        <w:adjustRightInd w:val="0"/>
        <w:snapToGrid w:val="0"/>
        <w:spacing w:line="360" w:lineRule="auto"/>
        <w:rPr>
          <w:kern w:val="0"/>
          <w:szCs w:val="21"/>
        </w:rPr>
      </w:pPr>
      <w:r>
        <w:rPr>
          <w:kern w:val="0"/>
          <w:szCs w:val="21"/>
        </w:rPr>
        <w:t>蛋白质的翻译（基本概念：多顺反子、开放阅读框、反密码子、氨酰tRNA合成酶、核糖体结合位点，原核生物多肽链的合成：氨基酸活化及氨酰-tRNA的表示方法，翻译的起始过程：起始因子的种类及作用，SD序列的结构、多肽链的延伸，及延伸因子的种类和作用、翻译的终止，及释放因子的作用、保证蛋白质翻译准确起始的机制）。</w:t>
      </w:r>
    </w:p>
    <w:p>
      <w:pPr>
        <w:widowControl/>
        <w:adjustRightInd w:val="0"/>
        <w:snapToGrid w:val="0"/>
        <w:spacing w:line="360" w:lineRule="auto"/>
        <w:rPr>
          <w:b/>
          <w:kern w:val="0"/>
          <w:szCs w:val="21"/>
        </w:rPr>
      </w:pPr>
      <w:r>
        <w:rPr>
          <w:b/>
          <w:kern w:val="0"/>
          <w:szCs w:val="21"/>
        </w:rPr>
        <w:t>要求：</w:t>
      </w:r>
    </w:p>
    <w:p>
      <w:pPr>
        <w:widowControl/>
        <w:adjustRightInd w:val="0"/>
        <w:snapToGrid w:val="0"/>
        <w:spacing w:line="360" w:lineRule="auto"/>
        <w:ind w:firstLine="420"/>
        <w:rPr>
          <w:kern w:val="0"/>
          <w:szCs w:val="21"/>
        </w:rPr>
      </w:pPr>
      <w:r>
        <w:rPr>
          <w:szCs w:val="21"/>
        </w:rPr>
        <w:t>了解：</w:t>
      </w:r>
      <w:r>
        <w:rPr>
          <w:bCs/>
          <w:szCs w:val="21"/>
        </w:rPr>
        <w:t>保证蛋白质翻译准确起始的机制：tRNA的准确负载、反密码子对密码子的准确识读，蛋白质前体的加工和运输过程、蛋白质合成抑制剂。</w:t>
      </w:r>
    </w:p>
    <w:p>
      <w:pPr>
        <w:widowControl/>
        <w:adjustRightInd w:val="0"/>
        <w:snapToGrid w:val="0"/>
        <w:spacing w:line="360" w:lineRule="auto"/>
        <w:ind w:firstLine="420"/>
        <w:rPr>
          <w:kern w:val="0"/>
          <w:szCs w:val="21"/>
        </w:rPr>
      </w:pPr>
      <w:r>
        <w:rPr>
          <w:kern w:val="0"/>
          <w:szCs w:val="21"/>
        </w:rPr>
        <w:t>理解：mRNA、tRNA的结构与功能，密码子的特点，原核生物翻译中各种因子的作用。</w:t>
      </w:r>
    </w:p>
    <w:p>
      <w:pPr>
        <w:widowControl/>
        <w:adjustRightInd w:val="0"/>
        <w:snapToGrid w:val="0"/>
        <w:spacing w:line="360" w:lineRule="auto"/>
        <w:ind w:firstLine="420"/>
        <w:rPr>
          <w:kern w:val="0"/>
          <w:szCs w:val="21"/>
        </w:rPr>
      </w:pPr>
      <w:r>
        <w:rPr>
          <w:kern w:val="0"/>
          <w:szCs w:val="21"/>
        </w:rPr>
        <w:t>掌握：蛋白质合成的反应体系：mRNA、tRNA、核糖体、酶和各种因子，核糖体的组成，结构和功能，原核生物蛋白质合成的生物学机制：氨基酸的活化、翻译的起始、肽链的延伸、肽链的终止。</w:t>
      </w:r>
    </w:p>
    <w:p>
      <w:pPr>
        <w:widowControl/>
        <w:adjustRightInd w:val="0"/>
        <w:snapToGrid w:val="0"/>
        <w:spacing w:line="360" w:lineRule="auto"/>
        <w:ind w:firstLine="420"/>
        <w:rPr>
          <w:kern w:val="0"/>
          <w:szCs w:val="21"/>
        </w:rPr>
      </w:pPr>
      <w:r>
        <w:rPr>
          <w:kern w:val="0"/>
          <w:szCs w:val="21"/>
        </w:rPr>
        <w:t>熟练掌握：原核生物蛋白质合成的生物学机制。</w:t>
      </w:r>
    </w:p>
    <w:p>
      <w:pPr>
        <w:widowControl/>
        <w:adjustRightInd w:val="0"/>
        <w:snapToGrid w:val="0"/>
        <w:spacing w:line="360" w:lineRule="auto"/>
        <w:rPr>
          <w:rFonts w:ascii="宋体" w:hAnsi="宋体"/>
          <w:b/>
          <w:bCs/>
        </w:rPr>
      </w:pPr>
      <w:r>
        <w:rPr>
          <w:rFonts w:hint="eastAsia" w:ascii="宋体" w:hAnsi="宋体"/>
          <w:b/>
          <w:bCs/>
        </w:rPr>
        <w:t>教学组织与实施：</w:t>
      </w:r>
    </w:p>
    <w:p>
      <w:pPr>
        <w:widowControl/>
        <w:adjustRightInd w:val="0"/>
        <w:snapToGrid w:val="0"/>
        <w:spacing w:line="360" w:lineRule="auto"/>
        <w:ind w:firstLine="514" w:firstLineChars="245"/>
        <w:rPr>
          <w:rFonts w:hAnsi="Arial"/>
          <w:kern w:val="0"/>
          <w:szCs w:val="21"/>
        </w:rPr>
      </w:pPr>
      <w:r>
        <w:rPr>
          <w:rFonts w:ascii="宋体" w:hAnsi="宋体"/>
          <w:bCs/>
        </w:rPr>
        <w:t>本章节</w:t>
      </w:r>
      <w:r>
        <w:rPr>
          <w:rFonts w:hint="eastAsia" w:ascii="宋体" w:hAnsi="宋体"/>
          <w:bCs/>
        </w:rPr>
        <w:t>主要涉及蛋白质翻译</w:t>
      </w:r>
      <w:r>
        <w:rPr>
          <w:rFonts w:ascii="宋体" w:hAnsi="宋体"/>
          <w:bCs/>
        </w:rPr>
        <w:t>过程</w:t>
      </w:r>
      <w:r>
        <w:rPr>
          <w:rFonts w:hint="eastAsia" w:ascii="宋体" w:hAnsi="宋体"/>
          <w:bCs/>
        </w:rPr>
        <w:t>。要求学生提前预习</w:t>
      </w:r>
      <w:r>
        <w:rPr>
          <w:rFonts w:ascii="宋体" w:hAnsi="宋体"/>
          <w:bCs/>
        </w:rPr>
        <w:t>课本本章节内容，充分利用互联网查阅相关知识，做好课前准备工作。课程教授</w:t>
      </w:r>
      <w:r>
        <w:rPr>
          <w:rFonts w:hint="eastAsia" w:ascii="宋体" w:hAnsi="宋体"/>
          <w:bCs/>
        </w:rPr>
        <w:t>方式</w:t>
      </w:r>
      <w:r>
        <w:rPr>
          <w:rFonts w:ascii="宋体" w:hAnsi="宋体"/>
          <w:bCs/>
        </w:rPr>
        <w:t>为</w:t>
      </w:r>
      <w:r>
        <w:rPr>
          <w:rFonts w:hint="eastAsia" w:ascii="宋体" w:hAnsi="宋体"/>
          <w:bCs/>
        </w:rPr>
        <w:t>教学</w:t>
      </w:r>
      <w:r>
        <w:rPr>
          <w:rFonts w:ascii="宋体" w:hAnsi="宋体"/>
          <w:bCs/>
        </w:rPr>
        <w:t>PPT结合微视频</w:t>
      </w:r>
      <w:r>
        <w:rPr>
          <w:rFonts w:hint="eastAsia" w:ascii="宋体" w:hAnsi="宋体"/>
          <w:bCs/>
        </w:rPr>
        <w:t>深入浅出</w:t>
      </w:r>
      <w:r>
        <w:rPr>
          <w:rFonts w:ascii="宋体" w:hAnsi="宋体"/>
          <w:bCs/>
        </w:rPr>
        <w:t>、生动形象的讲解疑点难点</w:t>
      </w:r>
      <w:r>
        <w:rPr>
          <w:rFonts w:hint="eastAsia" w:ascii="宋体" w:hAnsi="宋体"/>
          <w:bCs/>
        </w:rPr>
        <w:t>，</w:t>
      </w:r>
      <w:r>
        <w:rPr>
          <w:rFonts w:ascii="宋体" w:hAnsi="宋体"/>
          <w:bCs/>
        </w:rPr>
        <w:t>在教学过程中与学生进行充分的互动，活跃课堂气氛，加深对课堂知识的理解与认识。</w:t>
      </w:r>
    </w:p>
    <w:p>
      <w:pPr>
        <w:widowControl/>
        <w:adjustRightInd w:val="0"/>
        <w:snapToGrid w:val="0"/>
        <w:spacing w:before="156" w:beforeLines="50" w:line="360" w:lineRule="auto"/>
        <w:jc w:val="right"/>
        <w:rPr>
          <w:kern w:val="0"/>
          <w:szCs w:val="21"/>
        </w:rPr>
      </w:pPr>
      <w:r>
        <w:rPr>
          <w:rFonts w:hint="eastAsia"/>
          <w:b/>
          <w:bCs/>
          <w:kern w:val="0"/>
          <w:szCs w:val="21"/>
        </w:rPr>
        <w:t>第五章</w:t>
      </w:r>
      <w:r>
        <w:rPr>
          <w:b/>
          <w:bCs/>
          <w:kern w:val="0"/>
          <w:szCs w:val="21"/>
        </w:rPr>
        <w:t xml:space="preserve">  </w:t>
      </w:r>
      <w:r>
        <w:rPr>
          <w:rFonts w:hint="eastAsia"/>
          <w:b/>
          <w:bCs/>
          <w:kern w:val="0"/>
          <w:szCs w:val="21"/>
        </w:rPr>
        <w:t>基因表达调控</w:t>
      </w:r>
      <w:r>
        <w:rPr>
          <w:b/>
          <w:bCs/>
          <w:kern w:val="0"/>
          <w:szCs w:val="21"/>
        </w:rPr>
        <w:t xml:space="preserve">                       </w:t>
      </w:r>
      <w:r>
        <w:rPr>
          <w:rFonts w:hint="eastAsia"/>
          <w:b/>
          <w:bCs/>
          <w:kern w:val="0"/>
          <w:szCs w:val="21"/>
        </w:rPr>
        <w:t>学时数：</w:t>
      </w:r>
      <w:r>
        <w:rPr>
          <w:b/>
          <w:bCs/>
          <w:kern w:val="0"/>
          <w:szCs w:val="21"/>
        </w:rPr>
        <w:t>6</w:t>
      </w:r>
    </w:p>
    <w:p>
      <w:pPr>
        <w:widowControl/>
        <w:adjustRightInd w:val="0"/>
        <w:snapToGrid w:val="0"/>
        <w:spacing w:line="360" w:lineRule="auto"/>
        <w:rPr>
          <w:kern w:val="0"/>
          <w:szCs w:val="21"/>
        </w:rPr>
      </w:pPr>
      <w:r>
        <w:rPr>
          <w:rFonts w:hint="eastAsia"/>
          <w:b/>
          <w:bCs/>
          <w:szCs w:val="21"/>
        </w:rPr>
        <w:t>教学目标：</w:t>
      </w:r>
      <w:r>
        <w:rPr>
          <w:rFonts w:hint="eastAsia" w:hAnsi="宋体"/>
          <w:bCs/>
          <w:szCs w:val="21"/>
        </w:rPr>
        <w:t>掌握</w:t>
      </w:r>
      <w:r>
        <w:rPr>
          <w:rFonts w:hint="eastAsia" w:hAnsi="Arial"/>
          <w:kern w:val="0"/>
          <w:szCs w:val="21"/>
        </w:rPr>
        <w:t>原核基因调控机制的类型与特点</w:t>
      </w:r>
      <w:r>
        <w:rPr>
          <w:rFonts w:hint="eastAsia"/>
          <w:kern w:val="0"/>
          <w:szCs w:val="21"/>
        </w:rPr>
        <w:t>（重点举例乳糖操纵子等）</w:t>
      </w:r>
      <w:r>
        <w:rPr>
          <w:rFonts w:hint="eastAsia" w:hAnsi="Arial"/>
          <w:kern w:val="0"/>
          <w:szCs w:val="21"/>
        </w:rPr>
        <w:t>；</w:t>
      </w:r>
      <w:r>
        <w:rPr>
          <w:rFonts w:hint="eastAsia"/>
          <w:kern w:val="0"/>
          <w:szCs w:val="21"/>
        </w:rPr>
        <w:t>真核生物基因表达调控及特殊类型（顺式作用元件和反式作用因子）。</w:t>
      </w:r>
    </w:p>
    <w:p>
      <w:pPr>
        <w:adjustRightInd w:val="0"/>
        <w:snapToGrid w:val="0"/>
        <w:spacing w:line="360" w:lineRule="auto"/>
        <w:rPr>
          <w:szCs w:val="21"/>
        </w:rPr>
      </w:pPr>
      <w:r>
        <w:rPr>
          <w:rFonts w:hint="eastAsia"/>
          <w:b/>
          <w:bCs/>
          <w:szCs w:val="21"/>
        </w:rPr>
        <w:t>教学重点和难点：</w:t>
      </w:r>
      <w:r>
        <w:rPr>
          <w:rFonts w:hint="eastAsia"/>
          <w:szCs w:val="21"/>
        </w:rPr>
        <w:t>真核生物转录后水平的调控</w:t>
      </w:r>
      <w:r>
        <w:rPr>
          <w:szCs w:val="21"/>
        </w:rPr>
        <w:t>—</w:t>
      </w:r>
      <w:r>
        <w:rPr>
          <w:rFonts w:hint="eastAsia"/>
          <w:kern w:val="0"/>
          <w:szCs w:val="21"/>
        </w:rPr>
        <w:t>顺式作用元件和反式作用因子</w:t>
      </w:r>
      <w:r>
        <w:rPr>
          <w:rFonts w:hint="eastAsia"/>
          <w:szCs w:val="21"/>
        </w:rPr>
        <w:t>，乳糖操纵子调控模型，真核生物转录后基因表达调控</w:t>
      </w:r>
      <w:r>
        <w:rPr>
          <w:szCs w:val="21"/>
        </w:rPr>
        <w:t>-mRNA</w:t>
      </w:r>
      <w:r>
        <w:rPr>
          <w:rFonts w:hint="eastAsia"/>
          <w:szCs w:val="21"/>
        </w:rPr>
        <w:t>的选择性剪接。</w:t>
      </w:r>
    </w:p>
    <w:p>
      <w:pPr>
        <w:widowControl/>
        <w:adjustRightInd w:val="0"/>
        <w:snapToGrid w:val="0"/>
        <w:spacing w:line="360" w:lineRule="auto"/>
        <w:rPr>
          <w:kern w:val="0"/>
          <w:szCs w:val="21"/>
        </w:rPr>
      </w:pPr>
      <w:r>
        <w:rPr>
          <w:rFonts w:hint="eastAsia"/>
          <w:b/>
          <w:bCs/>
          <w:szCs w:val="21"/>
        </w:rPr>
        <w:t>主要教学内容及要求：</w:t>
      </w:r>
      <w:r>
        <w:rPr>
          <w:rFonts w:hint="eastAsia"/>
          <w:kern w:val="0"/>
          <w:szCs w:val="21"/>
        </w:rPr>
        <w:t>掌握原核基因调控机制的类型与特点，乳糖操纵子调控模型和色氨酸操纵子模型，熟悉真核生物转录后水平的调控及翻译水平的调控。</w:t>
      </w:r>
    </w:p>
    <w:p>
      <w:pPr>
        <w:widowControl/>
        <w:numPr>
          <w:ilvl w:val="0"/>
          <w:numId w:val="10"/>
        </w:numPr>
        <w:tabs>
          <w:tab w:val="left" w:pos="840"/>
        </w:tabs>
        <w:adjustRightInd w:val="0"/>
        <w:snapToGrid w:val="0"/>
        <w:spacing w:line="360" w:lineRule="auto"/>
        <w:rPr>
          <w:kern w:val="0"/>
          <w:szCs w:val="21"/>
        </w:rPr>
      </w:pPr>
      <w:r>
        <w:rPr>
          <w:rFonts w:hint="eastAsia"/>
          <w:kern w:val="0"/>
          <w:szCs w:val="21"/>
        </w:rPr>
        <w:t>原核生物基本表达调控的理论与模式（基因表达调控的基本概念：正调控、负调控、管家基因、奢侈基因，操纵子调控模型：操纵子的概念与结构、乳糖操纵子的阻遏蛋白负调控诱导及</w:t>
      </w:r>
      <w:r>
        <w:rPr>
          <w:kern w:val="0"/>
          <w:szCs w:val="21"/>
        </w:rPr>
        <w:t>CAP</w:t>
      </w:r>
      <w:r>
        <w:rPr>
          <w:rFonts w:hint="eastAsia"/>
          <w:kern w:val="0"/>
          <w:szCs w:val="21"/>
        </w:rPr>
        <w:t>正性调节及协调调节、色氨酸合成酶操纵子负控制阻遏模型级衰减子调控）。</w:t>
      </w:r>
    </w:p>
    <w:p>
      <w:pPr>
        <w:widowControl/>
        <w:numPr>
          <w:ilvl w:val="0"/>
          <w:numId w:val="10"/>
        </w:numPr>
        <w:adjustRightInd w:val="0"/>
        <w:snapToGrid w:val="0"/>
        <w:spacing w:line="360" w:lineRule="auto"/>
        <w:rPr>
          <w:kern w:val="0"/>
          <w:szCs w:val="21"/>
        </w:rPr>
      </w:pPr>
      <w:r>
        <w:rPr>
          <w:rFonts w:hint="eastAsia"/>
          <w:kern w:val="0"/>
          <w:szCs w:val="21"/>
        </w:rPr>
        <w:t>转录水平的表达调控，包括顺式调控元件中的启动子，增强子，沉默子，反应元件。反式作用因子，转录因子的几种结构等。</w:t>
      </w:r>
    </w:p>
    <w:p>
      <w:pPr>
        <w:widowControl/>
        <w:numPr>
          <w:ilvl w:val="0"/>
          <w:numId w:val="10"/>
        </w:numPr>
        <w:tabs>
          <w:tab w:val="left" w:pos="840"/>
        </w:tabs>
        <w:adjustRightInd w:val="0"/>
        <w:snapToGrid w:val="0"/>
        <w:spacing w:line="360" w:lineRule="auto"/>
        <w:rPr>
          <w:kern w:val="0"/>
          <w:szCs w:val="21"/>
        </w:rPr>
      </w:pPr>
      <w:r>
        <w:rPr>
          <w:rFonts w:hint="eastAsia"/>
          <w:kern w:val="0"/>
          <w:szCs w:val="21"/>
        </w:rPr>
        <w:t>转录后水平的调控（真核生物转录后</w:t>
      </w:r>
      <w:r>
        <w:rPr>
          <w:kern w:val="0"/>
          <w:szCs w:val="21"/>
        </w:rPr>
        <w:t>mRNA</w:t>
      </w:r>
      <w:r>
        <w:rPr>
          <w:rFonts w:hint="eastAsia"/>
          <w:kern w:val="0"/>
          <w:szCs w:val="21"/>
        </w:rPr>
        <w:t>的加工，</w:t>
      </w:r>
      <w:r>
        <w:rPr>
          <w:kern w:val="0"/>
          <w:szCs w:val="21"/>
        </w:rPr>
        <w:t>RNA</w:t>
      </w:r>
      <w:r>
        <w:rPr>
          <w:rFonts w:hint="eastAsia"/>
          <w:kern w:val="0"/>
          <w:szCs w:val="21"/>
        </w:rPr>
        <w:t>干涉：</w:t>
      </w:r>
      <w:r>
        <w:rPr>
          <w:kern w:val="0"/>
          <w:szCs w:val="21"/>
        </w:rPr>
        <w:t>RNAi</w:t>
      </w:r>
      <w:r>
        <w:rPr>
          <w:rFonts w:hint="eastAsia"/>
          <w:kern w:val="0"/>
          <w:szCs w:val="21"/>
        </w:rPr>
        <w:t>的定义、</w:t>
      </w:r>
      <w:r>
        <w:rPr>
          <w:kern w:val="0"/>
          <w:szCs w:val="21"/>
        </w:rPr>
        <w:t>RNAi</w:t>
      </w:r>
      <w:r>
        <w:rPr>
          <w:rFonts w:hint="eastAsia"/>
          <w:kern w:val="0"/>
          <w:szCs w:val="21"/>
        </w:rPr>
        <w:t>的发现与证实、</w:t>
      </w:r>
      <w:r>
        <w:rPr>
          <w:kern w:val="0"/>
          <w:szCs w:val="21"/>
        </w:rPr>
        <w:t>RNAi</w:t>
      </w:r>
      <w:r>
        <w:rPr>
          <w:rFonts w:hint="eastAsia"/>
          <w:kern w:val="0"/>
          <w:szCs w:val="21"/>
        </w:rPr>
        <w:t>的特征与分子机制，反义</w:t>
      </w:r>
      <w:r>
        <w:rPr>
          <w:kern w:val="0"/>
          <w:szCs w:val="21"/>
        </w:rPr>
        <w:t>RNA</w:t>
      </w:r>
      <w:r>
        <w:rPr>
          <w:rFonts w:hint="eastAsia"/>
          <w:kern w:val="0"/>
          <w:szCs w:val="21"/>
        </w:rPr>
        <w:t>：反义</w:t>
      </w:r>
      <w:r>
        <w:rPr>
          <w:kern w:val="0"/>
          <w:szCs w:val="21"/>
        </w:rPr>
        <w:t>RNA</w:t>
      </w:r>
      <w:r>
        <w:rPr>
          <w:rFonts w:hint="eastAsia"/>
          <w:kern w:val="0"/>
          <w:szCs w:val="21"/>
        </w:rPr>
        <w:t>的概念，反义</w:t>
      </w:r>
      <w:r>
        <w:rPr>
          <w:kern w:val="0"/>
          <w:szCs w:val="21"/>
        </w:rPr>
        <w:t>RNA</w:t>
      </w:r>
      <w:r>
        <w:rPr>
          <w:rFonts w:hint="eastAsia"/>
          <w:kern w:val="0"/>
          <w:szCs w:val="21"/>
        </w:rPr>
        <w:t>的作用机制）。</w:t>
      </w:r>
    </w:p>
    <w:p>
      <w:pPr>
        <w:widowControl/>
        <w:numPr>
          <w:ilvl w:val="0"/>
          <w:numId w:val="10"/>
        </w:numPr>
        <w:tabs>
          <w:tab w:val="left" w:pos="840"/>
        </w:tabs>
        <w:adjustRightInd w:val="0"/>
        <w:snapToGrid w:val="0"/>
        <w:spacing w:line="360" w:lineRule="auto"/>
        <w:rPr>
          <w:kern w:val="0"/>
          <w:szCs w:val="21"/>
        </w:rPr>
      </w:pPr>
      <w:r>
        <w:rPr>
          <w:rFonts w:hint="eastAsia"/>
          <w:kern w:val="0"/>
          <w:szCs w:val="21"/>
        </w:rPr>
        <w:t>翻译水平的调控。</w:t>
      </w:r>
    </w:p>
    <w:p>
      <w:pPr>
        <w:widowControl/>
        <w:numPr>
          <w:ilvl w:val="0"/>
          <w:numId w:val="10"/>
        </w:numPr>
        <w:tabs>
          <w:tab w:val="left" w:pos="840"/>
        </w:tabs>
        <w:adjustRightInd w:val="0"/>
        <w:snapToGrid w:val="0"/>
        <w:spacing w:line="360" w:lineRule="auto"/>
        <w:rPr>
          <w:kern w:val="0"/>
          <w:szCs w:val="21"/>
        </w:rPr>
      </w:pPr>
      <w:r>
        <w:rPr>
          <w:rFonts w:hint="eastAsia"/>
          <w:kern w:val="0"/>
          <w:szCs w:val="21"/>
        </w:rPr>
        <w:t>真核生物基因表达调控的特殊类型（真核生物</w:t>
      </w:r>
      <w:r>
        <w:rPr>
          <w:kern w:val="0"/>
          <w:szCs w:val="21"/>
        </w:rPr>
        <w:t>DNA</w:t>
      </w:r>
      <w:r>
        <w:rPr>
          <w:rFonts w:hint="eastAsia"/>
          <w:kern w:val="0"/>
          <w:szCs w:val="21"/>
        </w:rPr>
        <w:t>水平的调控，</w:t>
      </w:r>
      <w:r>
        <w:rPr>
          <w:kern w:val="0"/>
          <w:szCs w:val="21"/>
        </w:rPr>
        <w:t>mRNA</w:t>
      </w:r>
      <w:r>
        <w:rPr>
          <w:rFonts w:hint="eastAsia"/>
          <w:kern w:val="0"/>
          <w:szCs w:val="21"/>
        </w:rPr>
        <w:t>的结构对翻译水平的调控）。</w:t>
      </w:r>
    </w:p>
    <w:p>
      <w:pPr>
        <w:widowControl/>
        <w:numPr>
          <w:ilvl w:val="0"/>
          <w:numId w:val="10"/>
        </w:numPr>
        <w:tabs>
          <w:tab w:val="left" w:pos="840"/>
        </w:tabs>
        <w:adjustRightInd w:val="0"/>
        <w:snapToGrid w:val="0"/>
        <w:spacing w:line="360" w:lineRule="auto"/>
        <w:rPr>
          <w:b/>
          <w:kern w:val="0"/>
          <w:szCs w:val="21"/>
        </w:rPr>
      </w:pPr>
      <w:r>
        <w:rPr>
          <w:rFonts w:hint="eastAsia"/>
          <w:kern w:val="0"/>
          <w:szCs w:val="21"/>
        </w:rPr>
        <w:t>举例说明基因表达调控的重要性：（</w:t>
      </w:r>
      <w:r>
        <w:rPr>
          <w:kern w:val="0"/>
          <w:szCs w:val="21"/>
        </w:rPr>
        <w:t>1</w:t>
      </w:r>
      <w:r>
        <w:rPr>
          <w:rFonts w:hint="eastAsia"/>
          <w:kern w:val="0"/>
          <w:szCs w:val="21"/>
        </w:rPr>
        <w:t>）基因调控与疾病（阐明癌基因、原癌基因、病毒癌基因、细胞癌基因和抑癌基因的概念，癌基因的激活方式。癌基因的诊断及发现）；（</w:t>
      </w:r>
      <w:r>
        <w:rPr>
          <w:kern w:val="0"/>
          <w:szCs w:val="21"/>
        </w:rPr>
        <w:t>2</w:t>
      </w:r>
      <w:r>
        <w:rPr>
          <w:rFonts w:hint="eastAsia"/>
          <w:kern w:val="0"/>
          <w:szCs w:val="21"/>
        </w:rPr>
        <w:t>）基因调控与植物发育（以植物组织器官发育为例，讲述植物调控的基因规律）。</w:t>
      </w:r>
    </w:p>
    <w:p>
      <w:pPr>
        <w:pStyle w:val="35"/>
        <w:widowControl/>
        <w:tabs>
          <w:tab w:val="left" w:pos="840"/>
        </w:tabs>
        <w:adjustRightInd w:val="0"/>
        <w:snapToGrid w:val="0"/>
        <w:spacing w:line="360" w:lineRule="auto"/>
        <w:ind w:left="360" w:firstLine="0" w:firstLineChars="0"/>
        <w:rPr>
          <w:b/>
          <w:kern w:val="0"/>
          <w:szCs w:val="21"/>
        </w:rPr>
      </w:pPr>
      <w:r>
        <w:rPr>
          <w:rFonts w:hint="eastAsia"/>
          <w:b/>
          <w:kern w:val="0"/>
          <w:szCs w:val="21"/>
        </w:rPr>
        <w:t>要求：</w:t>
      </w:r>
    </w:p>
    <w:p>
      <w:pPr>
        <w:pStyle w:val="35"/>
        <w:widowControl/>
        <w:adjustRightInd w:val="0"/>
        <w:snapToGrid w:val="0"/>
        <w:spacing w:line="360" w:lineRule="auto"/>
        <w:ind w:left="360" w:firstLine="0" w:firstLineChars="0"/>
        <w:rPr>
          <w:kern w:val="0"/>
          <w:szCs w:val="21"/>
        </w:rPr>
      </w:pPr>
      <w:r>
        <w:rPr>
          <w:rFonts w:hint="eastAsia"/>
          <w:szCs w:val="21"/>
        </w:rPr>
        <w:t>了解</w:t>
      </w:r>
      <w:r>
        <w:rPr>
          <w:rFonts w:hint="eastAsia"/>
          <w:kern w:val="0"/>
          <w:szCs w:val="21"/>
        </w:rPr>
        <w:t>：基因表达的基本概念，翻译水平的调控。</w:t>
      </w:r>
    </w:p>
    <w:p>
      <w:pPr>
        <w:pStyle w:val="35"/>
        <w:widowControl/>
        <w:tabs>
          <w:tab w:val="left" w:pos="840"/>
        </w:tabs>
        <w:adjustRightInd w:val="0"/>
        <w:snapToGrid w:val="0"/>
        <w:spacing w:line="360" w:lineRule="auto"/>
        <w:ind w:left="360" w:firstLine="0" w:firstLineChars="0"/>
        <w:rPr>
          <w:kern w:val="0"/>
          <w:szCs w:val="21"/>
        </w:rPr>
      </w:pPr>
      <w:r>
        <w:rPr>
          <w:rFonts w:hint="eastAsia"/>
          <w:kern w:val="0"/>
          <w:szCs w:val="21"/>
        </w:rPr>
        <w:t>理解：真核生物基因表达调控及特殊类型。</w:t>
      </w:r>
    </w:p>
    <w:p>
      <w:pPr>
        <w:pStyle w:val="35"/>
        <w:widowControl/>
        <w:tabs>
          <w:tab w:val="left" w:pos="840"/>
        </w:tabs>
        <w:adjustRightInd w:val="0"/>
        <w:snapToGrid w:val="0"/>
        <w:spacing w:line="360" w:lineRule="auto"/>
        <w:ind w:left="360" w:firstLine="0" w:firstLineChars="0"/>
        <w:rPr>
          <w:kern w:val="0"/>
          <w:szCs w:val="21"/>
        </w:rPr>
      </w:pPr>
      <w:r>
        <w:rPr>
          <w:rFonts w:hint="eastAsia"/>
          <w:kern w:val="0"/>
          <w:szCs w:val="21"/>
        </w:rPr>
        <w:t>掌握：真核生物转录后水平的调控</w:t>
      </w:r>
      <w:r>
        <w:rPr>
          <w:kern w:val="0"/>
          <w:szCs w:val="21"/>
        </w:rPr>
        <w:t>—RNAi</w:t>
      </w:r>
      <w:r>
        <w:rPr>
          <w:rFonts w:hint="eastAsia"/>
          <w:kern w:val="0"/>
          <w:szCs w:val="21"/>
        </w:rPr>
        <w:t>和反义</w:t>
      </w:r>
      <w:r>
        <w:rPr>
          <w:kern w:val="0"/>
          <w:szCs w:val="21"/>
        </w:rPr>
        <w:t>RNA</w:t>
      </w:r>
      <w:r>
        <w:rPr>
          <w:rFonts w:hint="eastAsia"/>
          <w:kern w:val="0"/>
          <w:szCs w:val="21"/>
        </w:rPr>
        <w:t>。</w:t>
      </w:r>
    </w:p>
    <w:p>
      <w:pPr>
        <w:pStyle w:val="35"/>
        <w:widowControl/>
        <w:adjustRightInd w:val="0"/>
        <w:snapToGrid w:val="0"/>
        <w:spacing w:line="360" w:lineRule="auto"/>
        <w:ind w:left="360" w:firstLine="0" w:firstLineChars="0"/>
        <w:rPr>
          <w:kern w:val="0"/>
          <w:szCs w:val="21"/>
        </w:rPr>
      </w:pPr>
      <w:r>
        <w:rPr>
          <w:rFonts w:hint="eastAsia"/>
          <w:kern w:val="0"/>
          <w:szCs w:val="21"/>
        </w:rPr>
        <w:t>熟练掌握：原核基因调控机制的类型与特点，乳糖操纵子调控模型，真核生物转录水平的调控</w:t>
      </w:r>
      <w:r>
        <w:rPr>
          <w:kern w:val="0"/>
          <w:szCs w:val="21"/>
        </w:rPr>
        <w:t>-</w:t>
      </w:r>
      <w:r>
        <w:rPr>
          <w:rFonts w:hint="eastAsia"/>
          <w:kern w:val="0"/>
          <w:szCs w:val="21"/>
        </w:rPr>
        <w:t>顺式作用元件和反式作用因子。</w:t>
      </w:r>
    </w:p>
    <w:p>
      <w:pPr>
        <w:widowControl/>
        <w:adjustRightInd w:val="0"/>
        <w:snapToGrid w:val="0"/>
        <w:spacing w:line="360" w:lineRule="auto"/>
        <w:rPr>
          <w:rFonts w:ascii="宋体" w:hAnsi="宋体"/>
          <w:b/>
          <w:bCs/>
        </w:rPr>
      </w:pPr>
      <w:bookmarkStart w:id="22" w:name="_Hlk38993094"/>
      <w:r>
        <w:rPr>
          <w:rFonts w:hint="eastAsia" w:ascii="宋体" w:hAnsi="宋体"/>
          <w:b/>
          <w:bCs/>
        </w:rPr>
        <w:t>教学组织与实施：</w:t>
      </w:r>
    </w:p>
    <w:p>
      <w:pPr>
        <w:widowControl/>
        <w:adjustRightInd w:val="0"/>
        <w:snapToGrid w:val="0"/>
        <w:spacing w:line="360" w:lineRule="auto"/>
        <w:ind w:firstLine="411" w:firstLineChars="196"/>
        <w:rPr>
          <w:rFonts w:ascii="宋体" w:hAnsi="宋体"/>
          <w:bCs/>
        </w:rPr>
      </w:pPr>
      <w:r>
        <w:rPr>
          <w:rFonts w:ascii="宋体" w:hAnsi="宋体"/>
          <w:bCs/>
        </w:rPr>
        <w:t>本章节</w:t>
      </w:r>
      <w:r>
        <w:rPr>
          <w:rFonts w:hint="eastAsia" w:ascii="宋体" w:hAnsi="宋体"/>
          <w:bCs/>
        </w:rPr>
        <w:t>主要涉及基因表达调控内容。利用超星学习通班级群提前上传课件，要求学生提前预习章节内容，做好课前准备工作。以班级授课的形式讲授原核生物基因表达调控模式（</w:t>
      </w:r>
      <w:r>
        <w:rPr>
          <w:rFonts w:ascii="宋体" w:hAnsi="宋体"/>
          <w:bCs/>
        </w:rPr>
        <w:t>2</w:t>
      </w:r>
      <w:r>
        <w:rPr>
          <w:rFonts w:hint="eastAsia" w:ascii="宋体" w:hAnsi="宋体"/>
          <w:bCs/>
        </w:rPr>
        <w:t>学时）和真核生物基因的表达调控模式（</w:t>
      </w:r>
      <w:r>
        <w:rPr>
          <w:rFonts w:ascii="宋体" w:hAnsi="宋体"/>
          <w:bCs/>
        </w:rPr>
        <w:t>4</w:t>
      </w:r>
      <w:r>
        <w:rPr>
          <w:rFonts w:hint="eastAsia" w:ascii="宋体" w:hAnsi="宋体"/>
          <w:bCs/>
        </w:rPr>
        <w:t>学时），结合</w:t>
      </w:r>
      <w:r>
        <w:rPr>
          <w:rFonts w:ascii="宋体" w:hAnsi="宋体"/>
          <w:bCs/>
        </w:rPr>
        <w:t>PPT</w:t>
      </w:r>
      <w:r>
        <w:rPr>
          <w:rFonts w:hint="eastAsia" w:ascii="宋体" w:hAnsi="宋体"/>
          <w:bCs/>
        </w:rPr>
        <w:t>及模式视频，理论基础联系实际应用，深入浅出的讲授疑点难点。</w:t>
      </w:r>
      <w:r>
        <w:rPr>
          <w:rFonts w:ascii="宋体" w:hAnsi="宋体"/>
          <w:bCs/>
        </w:rPr>
        <w:t>在教学过程中</w:t>
      </w:r>
      <w:r>
        <w:rPr>
          <w:rFonts w:hint="eastAsia" w:ascii="宋体" w:hAnsi="宋体"/>
          <w:bCs/>
        </w:rPr>
        <w:t>设置提问及</w:t>
      </w:r>
      <w:r>
        <w:rPr>
          <w:rFonts w:ascii="宋体" w:hAnsi="宋体"/>
          <w:bCs/>
        </w:rPr>
        <w:t>互动</w:t>
      </w:r>
      <w:r>
        <w:rPr>
          <w:rFonts w:hint="eastAsia" w:ascii="宋体" w:hAnsi="宋体"/>
          <w:bCs/>
        </w:rPr>
        <w:t>环节</w:t>
      </w:r>
      <w:r>
        <w:rPr>
          <w:rFonts w:ascii="宋体" w:hAnsi="宋体"/>
          <w:bCs/>
        </w:rPr>
        <w:t>，活跃课堂气氛，</w:t>
      </w:r>
      <w:r>
        <w:rPr>
          <w:rFonts w:hint="eastAsia" w:ascii="宋体" w:hAnsi="宋体"/>
          <w:bCs/>
        </w:rPr>
        <w:t>调动学生积极性及专注性，</w:t>
      </w:r>
      <w:r>
        <w:rPr>
          <w:rFonts w:ascii="宋体" w:hAnsi="宋体"/>
          <w:bCs/>
        </w:rPr>
        <w:t>加深对课堂知识的理解与认识。</w:t>
      </w:r>
    </w:p>
    <w:bookmarkEnd w:id="22"/>
    <w:p>
      <w:pPr>
        <w:widowControl/>
        <w:adjustRightInd w:val="0"/>
        <w:snapToGrid w:val="0"/>
        <w:spacing w:before="156" w:beforeLines="50" w:line="360" w:lineRule="auto"/>
        <w:jc w:val="right"/>
        <w:rPr>
          <w:kern w:val="0"/>
          <w:szCs w:val="21"/>
        </w:rPr>
      </w:pPr>
      <w:r>
        <w:rPr>
          <w:rFonts w:hint="eastAsia"/>
          <w:b/>
          <w:bCs/>
          <w:kern w:val="0"/>
          <w:szCs w:val="21"/>
        </w:rPr>
        <w:t>第六章</w:t>
      </w:r>
      <w:r>
        <w:rPr>
          <w:b/>
          <w:bCs/>
          <w:kern w:val="0"/>
          <w:szCs w:val="21"/>
        </w:rPr>
        <w:t xml:space="preserve">  </w:t>
      </w:r>
      <w:r>
        <w:rPr>
          <w:rFonts w:hint="eastAsia"/>
          <w:b/>
          <w:bCs/>
          <w:kern w:val="0"/>
          <w:szCs w:val="21"/>
        </w:rPr>
        <w:t>基因突变和遗传重组的分子机制</w:t>
      </w:r>
      <w:r>
        <w:rPr>
          <w:b/>
          <w:bCs/>
          <w:kern w:val="0"/>
          <w:szCs w:val="21"/>
        </w:rPr>
        <w:t xml:space="preserve">            </w:t>
      </w:r>
      <w:r>
        <w:rPr>
          <w:rFonts w:hint="eastAsia"/>
          <w:b/>
          <w:bCs/>
          <w:kern w:val="0"/>
          <w:szCs w:val="21"/>
        </w:rPr>
        <w:t>学时数：</w:t>
      </w:r>
      <w:r>
        <w:rPr>
          <w:b/>
          <w:bCs/>
          <w:kern w:val="0"/>
          <w:szCs w:val="21"/>
        </w:rPr>
        <w:t>4</w:t>
      </w:r>
    </w:p>
    <w:p>
      <w:pPr>
        <w:widowControl/>
        <w:adjustRightInd w:val="0"/>
        <w:snapToGrid w:val="0"/>
        <w:spacing w:line="360" w:lineRule="auto"/>
        <w:rPr>
          <w:kern w:val="0"/>
          <w:szCs w:val="21"/>
        </w:rPr>
      </w:pPr>
      <w:r>
        <w:rPr>
          <w:rFonts w:hint="eastAsia"/>
          <w:b/>
          <w:bCs/>
          <w:szCs w:val="21"/>
        </w:rPr>
        <w:t>教学目标：</w:t>
      </w:r>
      <w:r>
        <w:rPr>
          <w:rFonts w:hint="eastAsia"/>
          <w:kern w:val="0"/>
          <w:szCs w:val="21"/>
        </w:rPr>
        <w:t>掌握基因突变的类型和导致因素，了解</w:t>
      </w:r>
      <w:r>
        <w:rPr>
          <w:kern w:val="0"/>
          <w:szCs w:val="21"/>
        </w:rPr>
        <w:t>DNA</w:t>
      </w:r>
      <w:r>
        <w:rPr>
          <w:rFonts w:hint="eastAsia"/>
          <w:kern w:val="0"/>
          <w:szCs w:val="21"/>
        </w:rPr>
        <w:t>损伤的修复机制和遗传重组的分子机制。</w:t>
      </w:r>
    </w:p>
    <w:p>
      <w:pPr>
        <w:adjustRightInd w:val="0"/>
        <w:snapToGrid w:val="0"/>
        <w:spacing w:line="360" w:lineRule="auto"/>
        <w:rPr>
          <w:szCs w:val="21"/>
        </w:rPr>
      </w:pPr>
      <w:r>
        <w:rPr>
          <w:rFonts w:hint="eastAsia"/>
          <w:b/>
          <w:bCs/>
          <w:szCs w:val="21"/>
        </w:rPr>
        <w:t>教学重点和难点：重点：</w:t>
      </w:r>
      <w:r>
        <w:rPr>
          <w:rFonts w:hint="eastAsia"/>
          <w:kern w:val="0"/>
          <w:szCs w:val="21"/>
        </w:rPr>
        <w:t>基因突变的类型和</w:t>
      </w:r>
      <w:r>
        <w:rPr>
          <w:kern w:val="0"/>
          <w:szCs w:val="21"/>
        </w:rPr>
        <w:t>DNA</w:t>
      </w:r>
      <w:r>
        <w:rPr>
          <w:rFonts w:hint="eastAsia"/>
          <w:kern w:val="0"/>
          <w:szCs w:val="21"/>
        </w:rPr>
        <w:t>损伤的修复机制；</w:t>
      </w:r>
      <w:r>
        <w:rPr>
          <w:rFonts w:hint="eastAsia"/>
          <w:b/>
          <w:kern w:val="0"/>
          <w:szCs w:val="21"/>
        </w:rPr>
        <w:t>难点：</w:t>
      </w:r>
      <w:r>
        <w:rPr>
          <w:szCs w:val="21"/>
        </w:rPr>
        <w:t>DNA</w:t>
      </w:r>
      <w:r>
        <w:rPr>
          <w:rFonts w:hint="eastAsia"/>
          <w:szCs w:val="21"/>
        </w:rPr>
        <w:t>损伤的修复机制、</w:t>
      </w:r>
      <w:r>
        <w:rPr>
          <w:szCs w:val="21"/>
        </w:rPr>
        <w:t>DNA</w:t>
      </w:r>
      <w:r>
        <w:rPr>
          <w:rFonts w:hint="eastAsia"/>
          <w:szCs w:val="21"/>
        </w:rPr>
        <w:t>重组的机制。</w:t>
      </w:r>
    </w:p>
    <w:p>
      <w:pPr>
        <w:adjustRightInd w:val="0"/>
        <w:snapToGrid w:val="0"/>
        <w:spacing w:line="360" w:lineRule="auto"/>
        <w:rPr>
          <w:kern w:val="0"/>
          <w:szCs w:val="21"/>
        </w:rPr>
      </w:pPr>
      <w:r>
        <w:rPr>
          <w:rFonts w:hint="eastAsia"/>
          <w:b/>
          <w:bCs/>
          <w:szCs w:val="21"/>
        </w:rPr>
        <w:t>主要教学内容及要求：</w:t>
      </w:r>
      <w:r>
        <w:rPr>
          <w:kern w:val="0"/>
          <w:szCs w:val="21"/>
        </w:rPr>
        <w:t>DNA</w:t>
      </w:r>
      <w:r>
        <w:rPr>
          <w:rFonts w:hint="eastAsia"/>
          <w:kern w:val="0"/>
          <w:szCs w:val="21"/>
        </w:rPr>
        <w:t>损伤的原因、类型，</w:t>
      </w:r>
      <w:r>
        <w:rPr>
          <w:kern w:val="0"/>
          <w:szCs w:val="21"/>
        </w:rPr>
        <w:t>DNA</w:t>
      </w:r>
      <w:r>
        <w:rPr>
          <w:rFonts w:hint="eastAsia"/>
          <w:kern w:val="0"/>
          <w:szCs w:val="21"/>
        </w:rPr>
        <w:t>修复的方式和重组机制。</w:t>
      </w:r>
    </w:p>
    <w:p>
      <w:pPr>
        <w:widowControl/>
        <w:numPr>
          <w:ilvl w:val="0"/>
          <w:numId w:val="11"/>
        </w:numPr>
        <w:adjustRightInd w:val="0"/>
        <w:snapToGrid w:val="0"/>
        <w:spacing w:line="360" w:lineRule="auto"/>
        <w:rPr>
          <w:kern w:val="0"/>
          <w:szCs w:val="21"/>
        </w:rPr>
      </w:pPr>
      <w:r>
        <w:rPr>
          <w:rFonts w:hint="eastAsia"/>
          <w:kern w:val="0"/>
          <w:szCs w:val="21"/>
        </w:rPr>
        <w:t>基因突变（基因突变的种类：自发突变、点突变、转换突变、颠换突变、错义突变、无义突变、同义突。</w:t>
      </w:r>
    </w:p>
    <w:p>
      <w:pPr>
        <w:widowControl/>
        <w:numPr>
          <w:ilvl w:val="0"/>
          <w:numId w:val="11"/>
        </w:numPr>
        <w:adjustRightInd w:val="0"/>
        <w:snapToGrid w:val="0"/>
        <w:spacing w:line="360" w:lineRule="auto"/>
        <w:rPr>
          <w:kern w:val="0"/>
          <w:szCs w:val="21"/>
        </w:rPr>
      </w:pPr>
      <w:r>
        <w:rPr>
          <w:rFonts w:hint="eastAsia"/>
          <w:kern w:val="0"/>
          <w:szCs w:val="21"/>
        </w:rPr>
        <w:t>生物体保证稳定遗传的机制（错配修复、尿嘧啶</w:t>
      </w:r>
      <w:r>
        <w:rPr>
          <w:kern w:val="0"/>
          <w:szCs w:val="21"/>
        </w:rPr>
        <w:t>-N-</w:t>
      </w:r>
      <w:r>
        <w:rPr>
          <w:rFonts w:hint="eastAsia"/>
          <w:kern w:val="0"/>
          <w:szCs w:val="21"/>
        </w:rPr>
        <w:t>糖苷酶修复系统、基因的回复突变）。</w:t>
      </w:r>
    </w:p>
    <w:p>
      <w:pPr>
        <w:widowControl/>
        <w:numPr>
          <w:ilvl w:val="0"/>
          <w:numId w:val="11"/>
        </w:numPr>
        <w:adjustRightInd w:val="0"/>
        <w:snapToGrid w:val="0"/>
        <w:spacing w:line="360" w:lineRule="auto"/>
        <w:rPr>
          <w:kern w:val="0"/>
          <w:szCs w:val="21"/>
        </w:rPr>
      </w:pPr>
      <w:r>
        <w:rPr>
          <w:rFonts w:hint="eastAsia"/>
          <w:kern w:val="0"/>
          <w:szCs w:val="21"/>
        </w:rPr>
        <w:t>基因重组交换的分子机制（同源重组的分子机制</w:t>
      </w:r>
      <w:r>
        <w:rPr>
          <w:kern w:val="0"/>
          <w:szCs w:val="21"/>
        </w:rPr>
        <w:t>—Holliday</w:t>
      </w:r>
      <w:r>
        <w:rPr>
          <w:rFonts w:hint="eastAsia"/>
          <w:kern w:val="0"/>
          <w:szCs w:val="21"/>
        </w:rPr>
        <w:t>模型、同源重组的酶类及交换热点）。</w:t>
      </w:r>
    </w:p>
    <w:p>
      <w:pPr>
        <w:pStyle w:val="35"/>
        <w:widowControl/>
        <w:adjustRightInd w:val="0"/>
        <w:snapToGrid w:val="0"/>
        <w:spacing w:line="360" w:lineRule="auto"/>
        <w:ind w:left="360" w:firstLine="0" w:firstLineChars="0"/>
        <w:rPr>
          <w:b/>
          <w:kern w:val="0"/>
          <w:szCs w:val="21"/>
        </w:rPr>
      </w:pPr>
      <w:r>
        <w:rPr>
          <w:rFonts w:hint="eastAsia"/>
          <w:b/>
          <w:kern w:val="0"/>
          <w:szCs w:val="21"/>
        </w:rPr>
        <w:t>要求：</w:t>
      </w:r>
    </w:p>
    <w:p>
      <w:pPr>
        <w:pStyle w:val="35"/>
        <w:widowControl/>
        <w:adjustRightInd w:val="0"/>
        <w:snapToGrid w:val="0"/>
        <w:spacing w:line="360" w:lineRule="auto"/>
        <w:ind w:left="360" w:firstLine="0" w:firstLineChars="0"/>
        <w:rPr>
          <w:kern w:val="0"/>
          <w:szCs w:val="21"/>
        </w:rPr>
      </w:pPr>
      <w:r>
        <w:rPr>
          <w:rFonts w:hint="eastAsia"/>
          <w:kern w:val="0"/>
          <w:szCs w:val="21"/>
        </w:rPr>
        <w:t>了解：基因重组的概念及作用模型，大肠杆菌同源重组过程。</w:t>
      </w:r>
    </w:p>
    <w:p>
      <w:pPr>
        <w:pStyle w:val="35"/>
        <w:widowControl/>
        <w:adjustRightInd w:val="0"/>
        <w:snapToGrid w:val="0"/>
        <w:spacing w:line="360" w:lineRule="auto"/>
        <w:ind w:left="360" w:firstLine="0" w:firstLineChars="0"/>
        <w:rPr>
          <w:kern w:val="0"/>
          <w:szCs w:val="21"/>
        </w:rPr>
      </w:pPr>
      <w:r>
        <w:rPr>
          <w:rFonts w:hint="eastAsia"/>
          <w:kern w:val="0"/>
          <w:szCs w:val="21"/>
        </w:rPr>
        <w:t>理解：基因突变产生的原因。</w:t>
      </w:r>
    </w:p>
    <w:p>
      <w:pPr>
        <w:widowControl/>
        <w:adjustRightInd w:val="0"/>
        <w:snapToGrid w:val="0"/>
        <w:spacing w:line="360" w:lineRule="auto"/>
        <w:ind w:firstLine="420" w:firstLineChars="200"/>
        <w:rPr>
          <w:kern w:val="0"/>
          <w:szCs w:val="21"/>
        </w:rPr>
      </w:pPr>
      <w:r>
        <w:rPr>
          <w:rFonts w:hint="eastAsia"/>
          <w:kern w:val="0"/>
          <w:szCs w:val="21"/>
        </w:rPr>
        <w:t>掌握：</w:t>
      </w:r>
      <w:r>
        <w:rPr>
          <w:szCs w:val="21"/>
        </w:rPr>
        <w:t>DNA</w:t>
      </w:r>
      <w:r>
        <w:rPr>
          <w:rFonts w:hint="eastAsia"/>
          <w:szCs w:val="21"/>
        </w:rPr>
        <w:t>损伤的修复机制</w:t>
      </w:r>
      <w:r>
        <w:rPr>
          <w:rFonts w:hint="eastAsia"/>
          <w:kern w:val="0"/>
          <w:szCs w:val="21"/>
        </w:rPr>
        <w:t>。</w:t>
      </w:r>
    </w:p>
    <w:p>
      <w:pPr>
        <w:pStyle w:val="35"/>
        <w:widowControl/>
        <w:adjustRightInd w:val="0"/>
        <w:snapToGrid w:val="0"/>
        <w:spacing w:line="360" w:lineRule="auto"/>
        <w:ind w:left="360" w:firstLine="0" w:firstLineChars="0"/>
        <w:rPr>
          <w:kern w:val="0"/>
          <w:szCs w:val="21"/>
        </w:rPr>
      </w:pPr>
      <w:r>
        <w:rPr>
          <w:rFonts w:hint="eastAsia"/>
          <w:kern w:val="0"/>
          <w:szCs w:val="21"/>
        </w:rPr>
        <w:t>熟练掌握：基因突变的类型和</w:t>
      </w:r>
      <w:r>
        <w:rPr>
          <w:kern w:val="0"/>
          <w:szCs w:val="21"/>
        </w:rPr>
        <w:t>DNA</w:t>
      </w:r>
      <w:r>
        <w:rPr>
          <w:rFonts w:hint="eastAsia"/>
          <w:kern w:val="0"/>
          <w:szCs w:val="21"/>
        </w:rPr>
        <w:t>损伤的类型。</w:t>
      </w:r>
    </w:p>
    <w:p>
      <w:pPr>
        <w:pStyle w:val="35"/>
        <w:widowControl/>
        <w:adjustRightInd w:val="0"/>
        <w:snapToGrid w:val="0"/>
        <w:spacing w:line="360" w:lineRule="auto"/>
        <w:ind w:left="360" w:firstLine="0" w:firstLineChars="0"/>
        <w:rPr>
          <w:rFonts w:ascii="宋体" w:hAnsi="宋体"/>
          <w:b/>
          <w:bCs/>
        </w:rPr>
      </w:pPr>
      <w:r>
        <w:rPr>
          <w:rFonts w:hint="eastAsia" w:ascii="宋体" w:hAnsi="宋体"/>
          <w:b/>
          <w:bCs/>
        </w:rPr>
        <w:t>教学组织与实施：</w:t>
      </w:r>
    </w:p>
    <w:p>
      <w:pPr>
        <w:widowControl/>
        <w:adjustRightInd w:val="0"/>
        <w:snapToGrid w:val="0"/>
        <w:spacing w:line="360" w:lineRule="auto"/>
        <w:ind w:firstLine="420" w:firstLineChars="200"/>
        <w:rPr>
          <w:rFonts w:ascii="宋体" w:hAnsi="宋体"/>
          <w:bCs/>
        </w:rPr>
      </w:pPr>
      <w:r>
        <w:rPr>
          <w:rFonts w:hint="eastAsia" w:ascii="宋体" w:hAnsi="宋体"/>
          <w:bCs/>
        </w:rPr>
        <w:t>本章节主要涉及基因突变和遗传重组的分子机制。利用超星学习通提前上传课件，要求学生提前预习章节内容，做好课前准备工作。以班级授课的形式讲授基因突变（</w:t>
      </w:r>
      <w:r>
        <w:rPr>
          <w:rFonts w:ascii="宋体" w:hAnsi="宋体"/>
          <w:bCs/>
        </w:rPr>
        <w:t>2</w:t>
      </w:r>
      <w:r>
        <w:rPr>
          <w:rFonts w:hint="eastAsia" w:ascii="宋体" w:hAnsi="宋体"/>
          <w:bCs/>
        </w:rPr>
        <w:t>学时）和遗传重组的分子机制（</w:t>
      </w:r>
      <w:r>
        <w:rPr>
          <w:rFonts w:ascii="宋体" w:hAnsi="宋体"/>
          <w:bCs/>
        </w:rPr>
        <w:t>2</w:t>
      </w:r>
      <w:r>
        <w:rPr>
          <w:rFonts w:hint="eastAsia" w:ascii="宋体" w:hAnsi="宋体"/>
          <w:bCs/>
        </w:rPr>
        <w:t>学时），结合</w:t>
      </w:r>
      <w:r>
        <w:rPr>
          <w:rFonts w:ascii="宋体" w:hAnsi="宋体"/>
          <w:bCs/>
        </w:rPr>
        <w:t>PPT</w:t>
      </w:r>
      <w:r>
        <w:rPr>
          <w:rFonts w:hint="eastAsia" w:ascii="宋体" w:hAnsi="宋体"/>
          <w:bCs/>
        </w:rPr>
        <w:t>及现场提问，讲述理论基础的同时，列举实际应用范例，深入浅出的讲授疑点难点。在讲授物理诱变时，介绍我们国家的航天育种的发展与成就，激发同学们的民族自豪感。</w:t>
      </w:r>
    </w:p>
    <w:p>
      <w:pPr>
        <w:widowControl/>
        <w:adjustRightInd w:val="0"/>
        <w:snapToGrid w:val="0"/>
        <w:spacing w:before="156" w:beforeLines="50" w:line="360" w:lineRule="auto"/>
        <w:jc w:val="right"/>
        <w:rPr>
          <w:kern w:val="0"/>
          <w:szCs w:val="21"/>
        </w:rPr>
      </w:pPr>
      <w:r>
        <w:rPr>
          <w:b/>
          <w:bCs/>
          <w:kern w:val="0"/>
          <w:szCs w:val="21"/>
        </w:rPr>
        <w:t>第七章  系统分子生物学                       学时数：4</w:t>
      </w:r>
    </w:p>
    <w:p>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kern w:val="0"/>
          <w:szCs w:val="21"/>
        </w:rPr>
        <w:t>掌握系统分子生物学的研究内容及其应用。</w:t>
      </w:r>
    </w:p>
    <w:p>
      <w:pPr>
        <w:widowControl/>
        <w:adjustRightInd w:val="0"/>
        <w:snapToGrid w:val="0"/>
        <w:spacing w:line="360" w:lineRule="auto"/>
        <w:rPr>
          <w:kern w:val="0"/>
          <w:szCs w:val="21"/>
        </w:rPr>
      </w:pPr>
      <w:r>
        <w:rPr>
          <w:b/>
          <w:bCs/>
          <w:szCs w:val="21"/>
        </w:rPr>
        <w:t>教学重点和难点：</w:t>
      </w:r>
      <w:r>
        <w:rPr>
          <w:rFonts w:hint="eastAsia"/>
          <w:b/>
          <w:bCs/>
          <w:szCs w:val="21"/>
        </w:rPr>
        <w:t>重点：</w:t>
      </w:r>
      <w:r>
        <w:rPr>
          <w:rFonts w:hint="eastAsia"/>
          <w:kern w:val="0"/>
          <w:szCs w:val="21"/>
        </w:rPr>
        <w:t>系统分子生物学的主要技术平台的研究内容及其应用；难点：分子标记的种类及原理。</w:t>
      </w:r>
    </w:p>
    <w:p>
      <w:pPr>
        <w:widowControl/>
        <w:adjustRightInd w:val="0"/>
        <w:snapToGrid w:val="0"/>
        <w:spacing w:line="360" w:lineRule="auto"/>
        <w:rPr>
          <w:b/>
          <w:bCs/>
          <w:szCs w:val="21"/>
        </w:rPr>
      </w:pPr>
      <w:r>
        <w:rPr>
          <w:rFonts w:hint="eastAsia"/>
          <w:b/>
          <w:bCs/>
          <w:szCs w:val="21"/>
        </w:rPr>
        <w:t>主要教学内容及要求：</w:t>
      </w:r>
      <w:r>
        <w:rPr>
          <w:rFonts w:hint="eastAsia"/>
          <w:kern w:val="0"/>
          <w:szCs w:val="21"/>
        </w:rPr>
        <w:t>掌握系统分子生物学的研究内容及其应用，了解其发展趋势。</w:t>
      </w:r>
    </w:p>
    <w:p>
      <w:pPr>
        <w:widowControl/>
        <w:numPr>
          <w:ilvl w:val="0"/>
          <w:numId w:val="12"/>
        </w:numPr>
        <w:adjustRightInd w:val="0"/>
        <w:snapToGrid w:val="0"/>
        <w:spacing w:line="360" w:lineRule="auto"/>
        <w:rPr>
          <w:bCs/>
          <w:szCs w:val="21"/>
        </w:rPr>
      </w:pPr>
      <w:r>
        <w:rPr>
          <w:rFonts w:hint="eastAsia"/>
          <w:bCs/>
          <w:szCs w:val="21"/>
        </w:rPr>
        <w:t>系统分子生物学：系统分子生物学的主要技术平台、基本工作流程及应用。</w:t>
      </w:r>
    </w:p>
    <w:p>
      <w:pPr>
        <w:widowControl/>
        <w:numPr>
          <w:ilvl w:val="0"/>
          <w:numId w:val="12"/>
        </w:numPr>
        <w:adjustRightInd w:val="0"/>
        <w:snapToGrid w:val="0"/>
        <w:spacing w:line="360" w:lineRule="auto"/>
        <w:rPr>
          <w:bCs/>
          <w:szCs w:val="21"/>
        </w:rPr>
      </w:pPr>
      <w:r>
        <w:rPr>
          <w:rFonts w:hint="eastAsia"/>
          <w:bCs/>
          <w:szCs w:val="21"/>
        </w:rPr>
        <w:t>基因、基因组与基因组学：原核生物基因组、真核生物基因组及基因组计划研究概况。</w:t>
      </w:r>
    </w:p>
    <w:p>
      <w:pPr>
        <w:widowControl/>
        <w:numPr>
          <w:ilvl w:val="0"/>
          <w:numId w:val="12"/>
        </w:numPr>
        <w:adjustRightInd w:val="0"/>
        <w:snapToGrid w:val="0"/>
        <w:spacing w:line="360" w:lineRule="auto"/>
        <w:rPr>
          <w:bCs/>
          <w:szCs w:val="21"/>
        </w:rPr>
      </w:pPr>
      <w:r>
        <w:rPr>
          <w:rFonts w:hint="eastAsia"/>
          <w:bCs/>
          <w:szCs w:val="21"/>
        </w:rPr>
        <w:t>转录组与转录组学：转录组与转录组学的定义、主要研究内容、研究方法及研究进展。</w:t>
      </w:r>
    </w:p>
    <w:p>
      <w:pPr>
        <w:widowControl/>
        <w:numPr>
          <w:ilvl w:val="0"/>
          <w:numId w:val="12"/>
        </w:numPr>
        <w:adjustRightInd w:val="0"/>
        <w:snapToGrid w:val="0"/>
        <w:spacing w:line="360" w:lineRule="auto"/>
        <w:rPr>
          <w:bCs/>
          <w:szCs w:val="21"/>
        </w:rPr>
      </w:pPr>
      <w:r>
        <w:rPr>
          <w:rFonts w:hint="eastAsia"/>
          <w:bCs/>
          <w:szCs w:val="21"/>
        </w:rPr>
        <w:t>蛋白质组与蛋白质组学：蛋白质组与蛋白质组学的诞生、主要研究内容、技术路线及发展趋势。</w:t>
      </w:r>
    </w:p>
    <w:p>
      <w:pPr>
        <w:widowControl/>
        <w:numPr>
          <w:ilvl w:val="0"/>
          <w:numId w:val="12"/>
        </w:numPr>
        <w:adjustRightInd w:val="0"/>
        <w:snapToGrid w:val="0"/>
        <w:spacing w:line="360" w:lineRule="auto"/>
        <w:rPr>
          <w:bCs/>
          <w:szCs w:val="21"/>
        </w:rPr>
      </w:pPr>
      <w:r>
        <w:rPr>
          <w:rFonts w:hint="eastAsia"/>
          <w:bCs/>
          <w:szCs w:val="21"/>
        </w:rPr>
        <w:t>代谢组与代谢组学：代谢组与代谢组学的诞生、应用及发展趋势。</w:t>
      </w:r>
    </w:p>
    <w:p>
      <w:pPr>
        <w:widowControl/>
        <w:adjustRightInd w:val="0"/>
        <w:snapToGrid w:val="0"/>
        <w:spacing w:line="360" w:lineRule="auto"/>
        <w:rPr>
          <w:b/>
          <w:kern w:val="0"/>
          <w:szCs w:val="21"/>
        </w:rPr>
      </w:pPr>
      <w:r>
        <w:rPr>
          <w:rFonts w:hint="eastAsia"/>
          <w:b/>
          <w:kern w:val="0"/>
          <w:szCs w:val="21"/>
        </w:rPr>
        <w:t>要求：</w:t>
      </w:r>
    </w:p>
    <w:p>
      <w:pPr>
        <w:widowControl/>
        <w:adjustRightInd w:val="0"/>
        <w:snapToGrid w:val="0"/>
        <w:spacing w:line="360" w:lineRule="auto"/>
        <w:ind w:firstLine="420"/>
        <w:rPr>
          <w:kern w:val="0"/>
          <w:szCs w:val="21"/>
        </w:rPr>
      </w:pPr>
      <w:r>
        <w:rPr>
          <w:rFonts w:hint="eastAsia"/>
          <w:kern w:val="0"/>
          <w:szCs w:val="21"/>
        </w:rPr>
        <w:t>了解：各种技术平台的定义及相应的发展趋势。</w:t>
      </w:r>
    </w:p>
    <w:p>
      <w:pPr>
        <w:widowControl/>
        <w:adjustRightInd w:val="0"/>
        <w:snapToGrid w:val="0"/>
        <w:spacing w:line="360" w:lineRule="auto"/>
        <w:ind w:firstLine="420"/>
        <w:rPr>
          <w:kern w:val="0"/>
          <w:szCs w:val="21"/>
        </w:rPr>
      </w:pPr>
      <w:r>
        <w:rPr>
          <w:rFonts w:hint="eastAsia"/>
          <w:kern w:val="0"/>
          <w:szCs w:val="21"/>
        </w:rPr>
        <w:t>掌握：系统分子生物学的主要技术平台、基本工作流程及应用。</w:t>
      </w:r>
    </w:p>
    <w:p>
      <w:pPr>
        <w:widowControl/>
        <w:adjustRightInd w:val="0"/>
        <w:snapToGrid w:val="0"/>
        <w:spacing w:line="360" w:lineRule="auto"/>
        <w:ind w:firstLine="420"/>
        <w:rPr>
          <w:kern w:val="0"/>
          <w:szCs w:val="21"/>
        </w:rPr>
      </w:pPr>
      <w:r>
        <w:rPr>
          <w:rFonts w:hint="eastAsia"/>
          <w:kern w:val="0"/>
          <w:szCs w:val="21"/>
        </w:rPr>
        <w:t>熟练掌握：系统分子生物学的研究内容及基因组、转录组、蛋白组、代谢组的概念。</w:t>
      </w:r>
    </w:p>
    <w:p>
      <w:pPr>
        <w:widowControl/>
        <w:adjustRightInd w:val="0"/>
        <w:snapToGrid w:val="0"/>
        <w:spacing w:line="360" w:lineRule="auto"/>
        <w:rPr>
          <w:b/>
          <w:bCs/>
        </w:rPr>
      </w:pPr>
      <w:r>
        <w:rPr>
          <w:rFonts w:hint="eastAsia"/>
          <w:b/>
          <w:bCs/>
        </w:rPr>
        <w:t>教学组织与实施：</w:t>
      </w:r>
    </w:p>
    <w:p>
      <w:pPr>
        <w:widowControl/>
        <w:adjustRightInd w:val="0"/>
        <w:snapToGrid w:val="0"/>
        <w:spacing w:line="360" w:lineRule="auto"/>
        <w:ind w:firstLine="420" w:firstLineChars="200"/>
      </w:pPr>
      <w:r>
        <w:rPr>
          <w:rFonts w:hint="eastAsia"/>
          <w:bCs/>
        </w:rPr>
        <w:t>利用超星学习通提前上传课件，要求学生提前预习章节内容，做好课前准备工作。以班级授课的形式进行讲授，结合</w:t>
      </w:r>
      <w:r>
        <w:rPr>
          <w:bCs/>
        </w:rPr>
        <w:t>PPT</w:t>
      </w:r>
      <w:r>
        <w:rPr>
          <w:rFonts w:hint="eastAsia"/>
          <w:bCs/>
        </w:rPr>
        <w:t>及现场提问，讲述理论基础的同时，列举实际应用范例，深入浅出的讲授疑点难点。介绍我们科学界在黄瓜、番茄等蔬菜基因组学方面的成就，激发同学们的自豪感和科研热情。</w:t>
      </w:r>
    </w:p>
    <w:p>
      <w:pPr>
        <w:widowControl/>
        <w:adjustRightInd w:val="0"/>
        <w:snapToGrid w:val="0"/>
        <w:spacing w:before="156" w:beforeLines="50" w:line="360" w:lineRule="auto"/>
        <w:jc w:val="right"/>
        <w:rPr>
          <w:kern w:val="0"/>
          <w:szCs w:val="21"/>
        </w:rPr>
      </w:pPr>
      <w:r>
        <w:rPr>
          <w:b/>
          <w:bCs/>
          <w:kern w:val="0"/>
          <w:szCs w:val="21"/>
        </w:rPr>
        <w:t>第八章  分子生物学技术发展及其在农业科学中的应用      学时数：6</w:t>
      </w:r>
    </w:p>
    <w:p>
      <w:pPr>
        <w:widowControl/>
        <w:adjustRightInd w:val="0"/>
        <w:snapToGrid w:val="0"/>
        <w:spacing w:line="360" w:lineRule="auto"/>
        <w:rPr>
          <w:b/>
          <w:bCs/>
          <w:kern w:val="0"/>
          <w:szCs w:val="21"/>
        </w:rPr>
      </w:pPr>
      <w:r>
        <w:rPr>
          <w:b/>
          <w:bCs/>
          <w:szCs w:val="21"/>
        </w:rPr>
        <w:t>教学目</w:t>
      </w:r>
      <w:r>
        <w:rPr>
          <w:rFonts w:hint="eastAsia"/>
          <w:b/>
          <w:bCs/>
          <w:szCs w:val="21"/>
        </w:rPr>
        <w:t>标</w:t>
      </w:r>
      <w:r>
        <w:rPr>
          <w:b/>
          <w:bCs/>
          <w:szCs w:val="21"/>
        </w:rPr>
        <w:t>：</w:t>
      </w:r>
      <w:r>
        <w:rPr>
          <w:rFonts w:hint="eastAsia"/>
          <w:kern w:val="0"/>
          <w:szCs w:val="21"/>
        </w:rPr>
        <w:t>掌握各种分子生物学技术的原理、应用及其发展趋势。</w:t>
      </w:r>
    </w:p>
    <w:p>
      <w:pPr>
        <w:widowControl/>
        <w:adjustRightInd w:val="0"/>
        <w:snapToGrid w:val="0"/>
        <w:spacing w:line="360" w:lineRule="auto"/>
        <w:rPr>
          <w:kern w:val="0"/>
          <w:szCs w:val="21"/>
        </w:rPr>
      </w:pPr>
      <w:r>
        <w:rPr>
          <w:b/>
          <w:bCs/>
          <w:szCs w:val="21"/>
        </w:rPr>
        <w:t>教学重点和难点：</w:t>
      </w:r>
      <w:r>
        <w:rPr>
          <w:rFonts w:hint="eastAsia"/>
          <w:kern w:val="0"/>
          <w:szCs w:val="21"/>
        </w:rPr>
        <w:t>各种分子生物学技术的原理及其应用</w:t>
      </w:r>
      <w:r>
        <w:rPr>
          <w:kern w:val="0"/>
          <w:szCs w:val="21"/>
        </w:rPr>
        <w:t>。</w:t>
      </w:r>
    </w:p>
    <w:p>
      <w:pPr>
        <w:adjustRightInd w:val="0"/>
        <w:snapToGrid w:val="0"/>
        <w:spacing w:line="360" w:lineRule="auto"/>
        <w:rPr>
          <w:bCs/>
          <w:szCs w:val="21"/>
        </w:rPr>
      </w:pPr>
      <w:r>
        <w:rPr>
          <w:b/>
          <w:bCs/>
          <w:szCs w:val="21"/>
        </w:rPr>
        <w:t>主要教学内容及要求：</w:t>
      </w:r>
      <w:r>
        <w:rPr>
          <w:rFonts w:hint="eastAsia"/>
          <w:bCs/>
          <w:szCs w:val="21"/>
        </w:rPr>
        <w:t>DNA基本技术、RNA基本技术、蛋白质与蛋白质组学研究技术、载体构建技术、基因表达技术的发展及其在农业科学中的应用。</w:t>
      </w:r>
      <w:r>
        <w:rPr>
          <w:bCs/>
          <w:szCs w:val="21"/>
        </w:rPr>
        <w:t>。</w:t>
      </w:r>
    </w:p>
    <w:p>
      <w:pPr>
        <w:adjustRightInd w:val="0"/>
        <w:snapToGrid w:val="0"/>
        <w:spacing w:line="360" w:lineRule="auto"/>
        <w:rPr>
          <w:b/>
          <w:szCs w:val="21"/>
        </w:rPr>
      </w:pPr>
      <w:r>
        <w:rPr>
          <w:b/>
          <w:bCs/>
          <w:szCs w:val="21"/>
        </w:rPr>
        <w:t>要求：</w:t>
      </w:r>
    </w:p>
    <w:p>
      <w:pPr>
        <w:widowControl/>
        <w:adjustRightInd w:val="0"/>
        <w:snapToGrid w:val="0"/>
        <w:spacing w:line="360" w:lineRule="auto"/>
        <w:ind w:firstLine="420"/>
        <w:rPr>
          <w:kern w:val="0"/>
          <w:szCs w:val="21"/>
        </w:rPr>
      </w:pPr>
      <w:r>
        <w:rPr>
          <w:kern w:val="0"/>
          <w:szCs w:val="21"/>
        </w:rPr>
        <w:t>了解：分子生物学技术的发展趋势。</w:t>
      </w:r>
    </w:p>
    <w:p>
      <w:pPr>
        <w:widowControl/>
        <w:adjustRightInd w:val="0"/>
        <w:snapToGrid w:val="0"/>
        <w:spacing w:line="360" w:lineRule="auto"/>
        <w:ind w:firstLine="420"/>
        <w:rPr>
          <w:kern w:val="0"/>
          <w:szCs w:val="21"/>
        </w:rPr>
      </w:pPr>
      <w:r>
        <w:rPr>
          <w:kern w:val="0"/>
          <w:szCs w:val="21"/>
        </w:rPr>
        <w:t>掌握：分子生物学</w:t>
      </w:r>
      <w:r>
        <w:rPr>
          <w:rFonts w:hint="eastAsia"/>
          <w:kern w:val="0"/>
          <w:szCs w:val="21"/>
        </w:rPr>
        <w:t>相关</w:t>
      </w:r>
      <w:r>
        <w:rPr>
          <w:kern w:val="0"/>
          <w:szCs w:val="21"/>
        </w:rPr>
        <w:t>技术的原理。</w:t>
      </w:r>
    </w:p>
    <w:p>
      <w:pPr>
        <w:widowControl/>
        <w:adjustRightInd w:val="0"/>
        <w:snapToGrid w:val="0"/>
        <w:spacing w:line="360" w:lineRule="auto"/>
        <w:ind w:firstLine="420"/>
        <w:rPr>
          <w:kern w:val="0"/>
          <w:szCs w:val="21"/>
        </w:rPr>
      </w:pPr>
      <w:r>
        <w:rPr>
          <w:kern w:val="0"/>
          <w:szCs w:val="21"/>
        </w:rPr>
        <w:t>熟练掌握：</w:t>
      </w:r>
      <w:r>
        <w:rPr>
          <w:rFonts w:hint="eastAsia"/>
          <w:bCs/>
          <w:szCs w:val="21"/>
        </w:rPr>
        <w:t>模式植物、DNA技术、载体构建技术及基因表达技术等在农业科学中的应用。</w:t>
      </w:r>
    </w:p>
    <w:p>
      <w:pPr>
        <w:widowControl/>
        <w:adjustRightInd w:val="0"/>
        <w:snapToGrid w:val="0"/>
        <w:spacing w:line="360" w:lineRule="auto"/>
        <w:rPr>
          <w:b/>
          <w:bCs/>
          <w:szCs w:val="21"/>
        </w:rPr>
      </w:pPr>
      <w:r>
        <w:rPr>
          <w:rFonts w:hint="eastAsia"/>
          <w:b/>
          <w:bCs/>
          <w:szCs w:val="21"/>
        </w:rPr>
        <w:t>教学组织与实施：</w:t>
      </w:r>
    </w:p>
    <w:p>
      <w:pPr>
        <w:widowControl/>
        <w:adjustRightInd w:val="0"/>
        <w:snapToGrid w:val="0"/>
        <w:spacing w:line="360" w:lineRule="auto"/>
        <w:ind w:firstLine="420"/>
        <w:rPr>
          <w:bCs/>
          <w:szCs w:val="21"/>
        </w:rPr>
      </w:pPr>
      <w:r>
        <w:rPr>
          <w:rFonts w:hint="eastAsia"/>
          <w:bCs/>
          <w:szCs w:val="21"/>
        </w:rPr>
        <w:t>以班级授课的形式讲授分子生物学在农业科学中的应用中涉及的基本概念及特点（模式植物、报告基因、标记基因等）（4学时）。</w:t>
      </w:r>
    </w:p>
    <w:p>
      <w:pPr>
        <w:widowControl/>
        <w:adjustRightInd w:val="0"/>
        <w:snapToGrid w:val="0"/>
        <w:spacing w:line="360" w:lineRule="auto"/>
        <w:ind w:firstLine="420"/>
        <w:rPr>
          <w:bCs/>
          <w:szCs w:val="21"/>
        </w:rPr>
      </w:pPr>
      <w:r>
        <w:rPr>
          <w:rFonts w:hint="eastAsia"/>
          <w:bCs/>
          <w:szCs w:val="21"/>
        </w:rPr>
        <w:t>以小组协作学习的形式，让学生自己查阅教材及参考材料，然后各个小组分享信息，使学生掌握基因表达技术中RNAi与CRISPR的区别与相同点（1学时）。</w:t>
      </w:r>
    </w:p>
    <w:p>
      <w:pPr>
        <w:widowControl/>
        <w:adjustRightInd w:val="0"/>
        <w:snapToGrid w:val="0"/>
        <w:spacing w:line="360" w:lineRule="auto"/>
        <w:ind w:firstLine="420"/>
        <w:rPr>
          <w:bCs/>
          <w:szCs w:val="21"/>
        </w:rPr>
      </w:pPr>
      <w:r>
        <w:rPr>
          <w:rFonts w:hint="eastAsia"/>
          <w:bCs/>
          <w:szCs w:val="21"/>
        </w:rPr>
        <w:t>以辩论的形式，学生通过查阅相关资料后，选派代表分为正反两方针对园艺分子生物学中的相关技术展开辩论。话题:转基因 YES or No；RNAi好还是CRISPR好；等（1学时）。</w:t>
      </w:r>
    </w:p>
    <w:p>
      <w:pPr>
        <w:widowControl/>
        <w:adjustRightInd w:val="0"/>
        <w:snapToGrid w:val="0"/>
        <w:spacing w:line="360" w:lineRule="auto"/>
        <w:ind w:firstLine="420"/>
        <w:rPr>
          <w:bCs/>
          <w:szCs w:val="21"/>
        </w:rPr>
      </w:pPr>
    </w:p>
    <w:p>
      <w:pPr>
        <w:widowControl/>
        <w:snapToGrid w:val="0"/>
        <w:spacing w:before="156" w:beforeLines="50" w:line="360" w:lineRule="auto"/>
        <w:jc w:val="left"/>
        <w:rPr>
          <w:b/>
          <w:bCs/>
          <w:kern w:val="0"/>
          <w:szCs w:val="21"/>
        </w:rPr>
      </w:pPr>
      <w:r>
        <w:rPr>
          <w:rFonts w:hint="eastAsia"/>
          <w:b/>
          <w:bCs/>
          <w:kern w:val="0"/>
          <w:szCs w:val="21"/>
        </w:rPr>
        <w:t>五</w:t>
      </w:r>
      <w:r>
        <w:rPr>
          <w:b/>
          <w:bCs/>
          <w:kern w:val="0"/>
          <w:szCs w:val="21"/>
        </w:rPr>
        <w:t>、实验教学内容及学时分配（8学时）</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adjustRightInd w:val="0"/>
        <w:snapToGrid w:val="0"/>
        <w:spacing w:line="360" w:lineRule="auto"/>
        <w:ind w:firstLine="420" w:firstLineChars="200"/>
        <w:rPr>
          <w:bCs/>
          <w:szCs w:val="21"/>
        </w:rPr>
      </w:pPr>
      <w:r>
        <w:rPr>
          <w:rFonts w:hint="eastAsia" w:hAnsi="宋体"/>
          <w:bCs/>
          <w:szCs w:val="21"/>
        </w:rPr>
        <w:t>设计4个实验，常见分子生物学仪器参观，讲解相关分子生物学仪器的操作方法和应用范围；提取质粒DNA及RNA并进行</w:t>
      </w:r>
      <w:r>
        <w:rPr>
          <w:szCs w:val="21"/>
        </w:rPr>
        <w:t>琼脂糖凝胶电泳</w:t>
      </w:r>
      <w:r>
        <w:rPr>
          <w:rFonts w:hint="eastAsia" w:hAnsi="宋体"/>
          <w:bCs/>
          <w:szCs w:val="21"/>
        </w:rPr>
        <w:t>检测，通过对其结果进行分析，介绍对实验常规材料的要求及应用；利用PCR技术检测SSR标记，增强学生对PCR技术的掌握以及对分子标记的感性认识。</w:t>
      </w:r>
    </w:p>
    <w:p>
      <w:pPr>
        <w:snapToGrid w:val="0"/>
        <w:spacing w:line="360" w:lineRule="auto"/>
        <w:rPr>
          <w:rFonts w:ascii="宋体" w:hAnsi="宋体"/>
          <w:b/>
          <w:bCs/>
          <w:szCs w:val="21"/>
        </w:rPr>
      </w:pPr>
      <w:r>
        <w:rPr>
          <w:rFonts w:hint="eastAsia" w:ascii="宋体" w:hAnsi="宋体"/>
          <w:b/>
          <w:bCs/>
          <w:szCs w:val="21"/>
        </w:rPr>
        <w:t>（二）实验教学目的和基本要求</w:t>
      </w:r>
    </w:p>
    <w:p>
      <w:pPr>
        <w:adjustRightInd w:val="0"/>
        <w:snapToGrid w:val="0"/>
        <w:spacing w:line="360" w:lineRule="auto"/>
        <w:ind w:firstLine="420" w:firstLineChars="200"/>
      </w:pPr>
      <w:r>
        <w:rPr>
          <w:rFonts w:hint="eastAsia" w:hAnsi="宋体"/>
          <w:bCs/>
          <w:szCs w:val="21"/>
        </w:rPr>
        <w:t>掌握分子生物学常用的实验技术及操作方法</w:t>
      </w:r>
      <w:r>
        <w:rPr>
          <w:rFonts w:hint="eastAsia"/>
        </w:rPr>
        <w:t>。</w:t>
      </w:r>
    </w:p>
    <w:p>
      <w:pPr>
        <w:snapToGrid w:val="0"/>
        <w:spacing w:after="156" w:afterLines="50" w:line="360" w:lineRule="auto"/>
        <w:rPr>
          <w:rFonts w:ascii="宋体" w:hAnsi="宋体"/>
          <w:b/>
          <w:bCs/>
          <w:szCs w:val="21"/>
        </w:rPr>
      </w:pPr>
      <w:r>
        <w:rPr>
          <w:rFonts w:hint="eastAsia" w:ascii="宋体" w:hAnsi="宋体"/>
          <w:b/>
          <w:bCs/>
          <w:szCs w:val="21"/>
        </w:rPr>
        <w:t>（三）实验项目名称与学时分配</w:t>
      </w:r>
    </w:p>
    <w:tbl>
      <w:tblPr>
        <w:tblStyle w:val="22"/>
        <w:tblW w:w="0" w:type="auto"/>
        <w:tblInd w:w="3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3894"/>
        <w:gridCol w:w="680"/>
        <w:gridCol w:w="790"/>
        <w:gridCol w:w="1000"/>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pPr>
              <w:adjustRightInd w:val="0"/>
              <w:snapToGrid w:val="0"/>
              <w:spacing w:line="360" w:lineRule="auto"/>
              <w:jc w:val="center"/>
              <w:rPr>
                <w:b/>
                <w:sz w:val="18"/>
                <w:szCs w:val="18"/>
              </w:rPr>
            </w:pPr>
            <w:r>
              <w:rPr>
                <w:b/>
                <w:sz w:val="18"/>
                <w:szCs w:val="18"/>
              </w:rPr>
              <w:t>序号</w:t>
            </w:r>
          </w:p>
        </w:tc>
        <w:tc>
          <w:tcPr>
            <w:tcW w:w="3894" w:type="dxa"/>
            <w:vAlign w:val="center"/>
          </w:tcPr>
          <w:p>
            <w:pPr>
              <w:adjustRightInd w:val="0"/>
              <w:snapToGrid w:val="0"/>
              <w:spacing w:line="360" w:lineRule="auto"/>
              <w:jc w:val="center"/>
              <w:rPr>
                <w:b/>
                <w:sz w:val="18"/>
                <w:szCs w:val="18"/>
              </w:rPr>
            </w:pPr>
            <w:r>
              <w:rPr>
                <w:b/>
                <w:sz w:val="18"/>
                <w:szCs w:val="18"/>
              </w:rPr>
              <w:t>实验名称</w:t>
            </w:r>
          </w:p>
        </w:tc>
        <w:tc>
          <w:tcPr>
            <w:tcW w:w="680" w:type="dxa"/>
            <w:vAlign w:val="center"/>
          </w:tcPr>
          <w:p>
            <w:pPr>
              <w:adjustRightInd w:val="0"/>
              <w:snapToGrid w:val="0"/>
              <w:spacing w:line="360" w:lineRule="auto"/>
              <w:jc w:val="center"/>
              <w:rPr>
                <w:b/>
                <w:sz w:val="18"/>
                <w:szCs w:val="18"/>
              </w:rPr>
            </w:pPr>
            <w:r>
              <w:rPr>
                <w:b/>
                <w:sz w:val="18"/>
                <w:szCs w:val="18"/>
              </w:rPr>
              <w:t>学时</w:t>
            </w:r>
          </w:p>
        </w:tc>
        <w:tc>
          <w:tcPr>
            <w:tcW w:w="790" w:type="dxa"/>
            <w:vAlign w:val="center"/>
          </w:tcPr>
          <w:p>
            <w:pPr>
              <w:adjustRightInd w:val="0"/>
              <w:snapToGrid w:val="0"/>
              <w:spacing w:line="360" w:lineRule="auto"/>
              <w:jc w:val="center"/>
              <w:rPr>
                <w:b/>
                <w:sz w:val="18"/>
                <w:szCs w:val="18"/>
              </w:rPr>
            </w:pPr>
            <w:r>
              <w:rPr>
                <w:b/>
                <w:sz w:val="18"/>
                <w:szCs w:val="18"/>
              </w:rPr>
              <w:t>类型</w:t>
            </w:r>
          </w:p>
        </w:tc>
        <w:tc>
          <w:tcPr>
            <w:tcW w:w="1000" w:type="dxa"/>
            <w:vAlign w:val="center"/>
          </w:tcPr>
          <w:p>
            <w:pPr>
              <w:adjustRightInd w:val="0"/>
              <w:snapToGrid w:val="0"/>
              <w:spacing w:line="360" w:lineRule="auto"/>
              <w:jc w:val="center"/>
              <w:rPr>
                <w:b/>
                <w:sz w:val="18"/>
                <w:szCs w:val="18"/>
              </w:rPr>
            </w:pPr>
            <w:r>
              <w:rPr>
                <w:b/>
                <w:sz w:val="18"/>
                <w:szCs w:val="18"/>
              </w:rPr>
              <w:t>实验要求</w:t>
            </w:r>
          </w:p>
        </w:tc>
        <w:tc>
          <w:tcPr>
            <w:tcW w:w="980" w:type="dxa"/>
          </w:tcPr>
          <w:p>
            <w:pPr>
              <w:adjustRightInd w:val="0"/>
              <w:snapToGrid w:val="0"/>
              <w:spacing w:line="360" w:lineRule="auto"/>
              <w:jc w:val="center"/>
              <w:rPr>
                <w:b/>
                <w:sz w:val="18"/>
                <w:szCs w:val="18"/>
              </w:rPr>
            </w:pPr>
            <w:r>
              <w:rPr>
                <w:rFonts w:hint="eastAsia"/>
                <w:b/>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pPr>
              <w:adjustRightInd w:val="0"/>
              <w:snapToGrid w:val="0"/>
              <w:spacing w:line="360" w:lineRule="auto"/>
              <w:jc w:val="center"/>
              <w:rPr>
                <w:sz w:val="18"/>
                <w:szCs w:val="18"/>
              </w:rPr>
            </w:pPr>
            <w:r>
              <w:rPr>
                <w:sz w:val="18"/>
                <w:szCs w:val="18"/>
              </w:rPr>
              <w:t>1</w:t>
            </w:r>
          </w:p>
        </w:tc>
        <w:tc>
          <w:tcPr>
            <w:tcW w:w="3894" w:type="dxa"/>
            <w:vAlign w:val="center"/>
          </w:tcPr>
          <w:p>
            <w:pPr>
              <w:adjustRightInd w:val="0"/>
              <w:snapToGrid w:val="0"/>
              <w:spacing w:line="360" w:lineRule="auto"/>
              <w:rPr>
                <w:sz w:val="18"/>
                <w:szCs w:val="18"/>
              </w:rPr>
            </w:pPr>
            <w:r>
              <w:rPr>
                <w:rFonts w:hint="eastAsia"/>
                <w:kern w:val="0"/>
                <w:sz w:val="18"/>
                <w:szCs w:val="18"/>
              </w:rPr>
              <w:t>碱裂解法提取质粒</w:t>
            </w:r>
            <w:r>
              <w:rPr>
                <w:kern w:val="0"/>
                <w:sz w:val="18"/>
                <w:szCs w:val="18"/>
              </w:rPr>
              <w:t>DNA</w:t>
            </w:r>
            <w:r>
              <w:rPr>
                <w:rFonts w:hint="eastAsia"/>
                <w:kern w:val="0"/>
                <w:sz w:val="18"/>
                <w:szCs w:val="18"/>
              </w:rPr>
              <w:t>及琼脂糖凝胶电泳检测</w:t>
            </w:r>
          </w:p>
        </w:tc>
        <w:tc>
          <w:tcPr>
            <w:tcW w:w="680" w:type="dxa"/>
            <w:vAlign w:val="center"/>
          </w:tcPr>
          <w:p>
            <w:pPr>
              <w:adjustRightInd w:val="0"/>
              <w:snapToGrid w:val="0"/>
              <w:spacing w:line="360" w:lineRule="auto"/>
              <w:jc w:val="center"/>
              <w:rPr>
                <w:sz w:val="18"/>
                <w:szCs w:val="18"/>
              </w:rPr>
            </w:pPr>
            <w:r>
              <w:rPr>
                <w:sz w:val="18"/>
                <w:szCs w:val="18"/>
              </w:rPr>
              <w:t>4</w:t>
            </w:r>
          </w:p>
        </w:tc>
        <w:tc>
          <w:tcPr>
            <w:tcW w:w="790" w:type="dxa"/>
            <w:vAlign w:val="center"/>
          </w:tcPr>
          <w:p>
            <w:pPr>
              <w:adjustRightInd w:val="0"/>
              <w:snapToGrid w:val="0"/>
              <w:spacing w:line="360" w:lineRule="auto"/>
              <w:jc w:val="center"/>
              <w:rPr>
                <w:sz w:val="18"/>
                <w:szCs w:val="18"/>
              </w:rPr>
            </w:pPr>
            <w:r>
              <w:rPr>
                <w:rFonts w:hint="eastAsia"/>
                <w:sz w:val="18"/>
                <w:szCs w:val="18"/>
              </w:rPr>
              <w:t>基础性</w:t>
            </w:r>
          </w:p>
        </w:tc>
        <w:tc>
          <w:tcPr>
            <w:tcW w:w="1000" w:type="dxa"/>
            <w:vAlign w:val="center"/>
          </w:tcPr>
          <w:p>
            <w:pPr>
              <w:adjustRightInd w:val="0"/>
              <w:snapToGrid w:val="0"/>
              <w:spacing w:line="360" w:lineRule="auto"/>
              <w:jc w:val="center"/>
              <w:rPr>
                <w:sz w:val="18"/>
                <w:szCs w:val="18"/>
              </w:rPr>
            </w:pPr>
            <w:r>
              <w:rPr>
                <w:rFonts w:hint="eastAsia"/>
                <w:sz w:val="18"/>
                <w:szCs w:val="18"/>
              </w:rPr>
              <w:t>必做</w:t>
            </w:r>
          </w:p>
        </w:tc>
        <w:tc>
          <w:tcPr>
            <w:tcW w:w="980" w:type="dxa"/>
          </w:tcPr>
          <w:p>
            <w:pPr>
              <w:adjustRightInd w:val="0"/>
              <w:snapToGrid w:val="0"/>
              <w:spacing w:line="360" w:lineRule="auto"/>
              <w:jc w:val="center"/>
              <w:rPr>
                <w:sz w:val="18"/>
                <w:szCs w:val="18"/>
              </w:rPr>
            </w:pPr>
          </w:p>
          <w:p>
            <w:pPr>
              <w:adjustRightInd w:val="0"/>
              <w:snapToGrid w:val="0"/>
              <w:spacing w:line="360" w:lineRule="auto"/>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pPr>
              <w:adjustRightInd w:val="0"/>
              <w:snapToGrid w:val="0"/>
              <w:spacing w:line="360" w:lineRule="auto"/>
              <w:jc w:val="center"/>
              <w:rPr>
                <w:sz w:val="18"/>
                <w:szCs w:val="18"/>
              </w:rPr>
            </w:pPr>
            <w:r>
              <w:rPr>
                <w:sz w:val="18"/>
                <w:szCs w:val="18"/>
              </w:rPr>
              <w:t>2</w:t>
            </w:r>
          </w:p>
        </w:tc>
        <w:tc>
          <w:tcPr>
            <w:tcW w:w="3894" w:type="dxa"/>
            <w:vAlign w:val="center"/>
          </w:tcPr>
          <w:p>
            <w:pPr>
              <w:adjustRightInd w:val="0"/>
              <w:snapToGrid w:val="0"/>
              <w:spacing w:line="360" w:lineRule="auto"/>
              <w:rPr>
                <w:sz w:val="18"/>
                <w:szCs w:val="18"/>
              </w:rPr>
            </w:pPr>
            <w:r>
              <w:rPr>
                <w:rFonts w:hint="eastAsia"/>
                <w:sz w:val="18"/>
                <w:szCs w:val="18"/>
              </w:rPr>
              <w:t>利用</w:t>
            </w:r>
            <w:r>
              <w:rPr>
                <w:sz w:val="18"/>
                <w:szCs w:val="18"/>
              </w:rPr>
              <w:t>PCR</w:t>
            </w:r>
            <w:r>
              <w:rPr>
                <w:rFonts w:hint="eastAsia"/>
                <w:sz w:val="18"/>
                <w:szCs w:val="18"/>
              </w:rPr>
              <w:t>技术扩增</w:t>
            </w:r>
            <w:r>
              <w:rPr>
                <w:sz w:val="18"/>
                <w:szCs w:val="18"/>
              </w:rPr>
              <w:t>SSR</w:t>
            </w:r>
            <w:r>
              <w:rPr>
                <w:rFonts w:hint="eastAsia"/>
                <w:sz w:val="18"/>
                <w:szCs w:val="18"/>
              </w:rPr>
              <w:t>标记及聚丙烯酰胺凝胶电泳检测</w:t>
            </w:r>
          </w:p>
        </w:tc>
        <w:tc>
          <w:tcPr>
            <w:tcW w:w="680" w:type="dxa"/>
            <w:vAlign w:val="center"/>
          </w:tcPr>
          <w:p>
            <w:pPr>
              <w:adjustRightInd w:val="0"/>
              <w:snapToGrid w:val="0"/>
              <w:spacing w:line="360" w:lineRule="auto"/>
              <w:jc w:val="center"/>
              <w:rPr>
                <w:sz w:val="18"/>
                <w:szCs w:val="18"/>
              </w:rPr>
            </w:pPr>
            <w:r>
              <w:rPr>
                <w:sz w:val="18"/>
                <w:szCs w:val="18"/>
              </w:rPr>
              <w:t>4</w:t>
            </w:r>
          </w:p>
        </w:tc>
        <w:tc>
          <w:tcPr>
            <w:tcW w:w="790" w:type="dxa"/>
            <w:vAlign w:val="center"/>
          </w:tcPr>
          <w:p>
            <w:pPr>
              <w:adjustRightInd w:val="0"/>
              <w:snapToGrid w:val="0"/>
              <w:spacing w:line="360" w:lineRule="auto"/>
              <w:jc w:val="center"/>
              <w:rPr>
                <w:sz w:val="18"/>
                <w:szCs w:val="18"/>
              </w:rPr>
            </w:pPr>
            <w:r>
              <w:rPr>
                <w:sz w:val="18"/>
                <w:szCs w:val="18"/>
              </w:rPr>
              <w:t>设计性</w:t>
            </w:r>
          </w:p>
        </w:tc>
        <w:tc>
          <w:tcPr>
            <w:tcW w:w="1000" w:type="dxa"/>
            <w:vAlign w:val="center"/>
          </w:tcPr>
          <w:p>
            <w:pPr>
              <w:adjustRightInd w:val="0"/>
              <w:snapToGrid w:val="0"/>
              <w:spacing w:line="360" w:lineRule="auto"/>
              <w:jc w:val="center"/>
              <w:rPr>
                <w:sz w:val="18"/>
                <w:szCs w:val="18"/>
              </w:rPr>
            </w:pPr>
            <w:r>
              <w:rPr>
                <w:sz w:val="18"/>
                <w:szCs w:val="18"/>
              </w:rPr>
              <w:t>必做</w:t>
            </w:r>
          </w:p>
        </w:tc>
        <w:tc>
          <w:tcPr>
            <w:tcW w:w="980" w:type="dxa"/>
          </w:tcPr>
          <w:p>
            <w:pPr>
              <w:adjustRightInd w:val="0"/>
              <w:snapToGrid w:val="0"/>
              <w:spacing w:line="360" w:lineRule="auto"/>
              <w:jc w:val="center"/>
              <w:rPr>
                <w:sz w:val="18"/>
                <w:szCs w:val="18"/>
              </w:rPr>
            </w:pPr>
          </w:p>
          <w:p>
            <w:pPr>
              <w:adjustRightInd w:val="0"/>
              <w:snapToGrid w:val="0"/>
              <w:spacing w:line="360" w:lineRule="auto"/>
              <w:jc w:val="center"/>
              <w:rPr>
                <w:sz w:val="18"/>
                <w:szCs w:val="18"/>
              </w:rPr>
            </w:pPr>
            <w:r>
              <w:rPr>
                <w:rFonts w:hint="eastAsia"/>
                <w:sz w:val="18"/>
                <w:szCs w:val="18"/>
              </w:rPr>
              <w:t>6</w:t>
            </w:r>
          </w:p>
        </w:tc>
      </w:tr>
    </w:tbl>
    <w:p>
      <w:pPr>
        <w:snapToGrid w:val="0"/>
        <w:spacing w:line="360" w:lineRule="auto"/>
        <w:rPr>
          <w:rFonts w:ascii="宋体" w:hAnsi="宋体"/>
          <w:b/>
          <w:bCs/>
          <w:szCs w:val="21"/>
        </w:rPr>
      </w:pPr>
      <w:r>
        <w:rPr>
          <w:rFonts w:hint="eastAsia" w:ascii="宋体" w:hAnsi="宋体"/>
          <w:b/>
          <w:bCs/>
          <w:szCs w:val="21"/>
        </w:rPr>
        <w:t>（四）实验方式及基本要求</w:t>
      </w:r>
    </w:p>
    <w:p>
      <w:pPr>
        <w:adjustRightInd w:val="0"/>
        <w:snapToGrid w:val="0"/>
        <w:spacing w:line="360" w:lineRule="auto"/>
        <w:ind w:firstLine="420" w:firstLineChars="200"/>
        <w:rPr>
          <w:b/>
          <w:bCs/>
          <w:szCs w:val="21"/>
        </w:rPr>
      </w:pPr>
      <w:r>
        <w:rPr>
          <w:rFonts w:hint="eastAsia" w:ascii="宋体" w:hAnsi="宋体"/>
        </w:rPr>
        <w:t>老师讲解实验目的、实验原理、相关仪器和实验的操作及注意事项。学生分</w:t>
      </w:r>
      <w:r>
        <w:rPr>
          <w:rFonts w:hint="eastAsia" w:hAnsi="宋体"/>
          <w:bCs/>
          <w:szCs w:val="21"/>
        </w:rPr>
        <w:t>六人为一组，</w:t>
      </w:r>
      <w:r>
        <w:rPr>
          <w:rFonts w:hint="eastAsia" w:ascii="宋体" w:hAnsi="宋体"/>
        </w:rPr>
        <w:t>认真操作并记录实验现象，分析实验结果，按时交实验报告</w:t>
      </w:r>
      <w:r>
        <w:rPr>
          <w:rFonts w:hint="eastAsia" w:hAnsi="宋体"/>
          <w:bCs/>
          <w:szCs w:val="21"/>
        </w:rPr>
        <w:t>。</w:t>
      </w:r>
    </w:p>
    <w:p>
      <w:pPr>
        <w:snapToGrid w:val="0"/>
        <w:spacing w:line="360" w:lineRule="auto"/>
        <w:rPr>
          <w:rFonts w:ascii="宋体" w:hAnsi="宋体"/>
          <w:b/>
          <w:szCs w:val="21"/>
        </w:rPr>
      </w:pPr>
      <w:r>
        <w:rPr>
          <w:rFonts w:hint="eastAsia" w:ascii="宋体" w:hAnsi="宋体"/>
          <w:b/>
          <w:bCs/>
          <w:szCs w:val="21"/>
        </w:rPr>
        <w:t>（五）</w:t>
      </w:r>
      <w:r>
        <w:rPr>
          <w:rFonts w:hint="eastAsia" w:ascii="宋体" w:hAnsi="宋体"/>
          <w:b/>
          <w:szCs w:val="21"/>
        </w:rPr>
        <w:t>实验内容安排</w:t>
      </w:r>
    </w:p>
    <w:p>
      <w:pPr>
        <w:pStyle w:val="20"/>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w:t>
      </w:r>
      <w:r>
        <w:rPr>
          <w:b/>
          <w:sz w:val="21"/>
          <w:szCs w:val="21"/>
        </w:rPr>
        <w:t>碱裂解法提取质粒DNA及琼脂糖凝胶电泳检测</w:t>
      </w:r>
    </w:p>
    <w:p>
      <w:pPr>
        <w:adjustRightInd w:val="0"/>
        <w:snapToGrid w:val="0"/>
        <w:spacing w:line="360" w:lineRule="auto"/>
        <w:ind w:firstLine="420"/>
        <w:rPr>
          <w:szCs w:val="21"/>
        </w:rPr>
      </w:pPr>
      <w:r>
        <w:rPr>
          <w:rFonts w:hint="eastAsia"/>
          <w:b/>
          <w:szCs w:val="21"/>
        </w:rPr>
        <w:t>1.</w:t>
      </w:r>
      <w:r>
        <w:rPr>
          <w:b/>
          <w:szCs w:val="21"/>
        </w:rPr>
        <w:t>实验学时：</w:t>
      </w:r>
      <w:r>
        <w:rPr>
          <w:bCs/>
          <w:szCs w:val="21"/>
        </w:rPr>
        <w:t>4个学时</w:t>
      </w:r>
    </w:p>
    <w:p>
      <w:pPr>
        <w:adjustRightInd w:val="0"/>
        <w:snapToGrid w:val="0"/>
        <w:spacing w:line="360" w:lineRule="auto"/>
        <w:ind w:firstLine="420"/>
        <w:rPr>
          <w:bCs/>
          <w:szCs w:val="21"/>
        </w:rPr>
      </w:pPr>
      <w:r>
        <w:rPr>
          <w:rFonts w:hint="eastAsia"/>
          <w:b/>
          <w:szCs w:val="21"/>
        </w:rPr>
        <w:t>2.</w:t>
      </w:r>
      <w:r>
        <w:rPr>
          <w:b/>
          <w:szCs w:val="21"/>
        </w:rPr>
        <w:t>实验目的：</w:t>
      </w:r>
      <w:r>
        <w:rPr>
          <w:szCs w:val="21"/>
        </w:rPr>
        <w:t>掌握从大肠杆菌中制备质粒DNA的方法</w:t>
      </w:r>
      <w:r>
        <w:rPr>
          <w:rFonts w:hint="eastAsia"/>
          <w:szCs w:val="21"/>
        </w:rPr>
        <w:t>及琼脂糖</w:t>
      </w:r>
      <w:r>
        <w:rPr>
          <w:szCs w:val="21"/>
        </w:rPr>
        <w:t>凝胶电泳</w:t>
      </w:r>
      <w:r>
        <w:rPr>
          <w:rFonts w:hint="eastAsia"/>
          <w:szCs w:val="21"/>
        </w:rPr>
        <w:t>检测的相关操作</w:t>
      </w:r>
      <w:r>
        <w:rPr>
          <w:szCs w:val="21"/>
        </w:rPr>
        <w:t>。</w:t>
      </w:r>
    </w:p>
    <w:p>
      <w:pPr>
        <w:adjustRightInd w:val="0"/>
        <w:snapToGrid w:val="0"/>
        <w:spacing w:line="360" w:lineRule="auto"/>
        <w:ind w:firstLine="420"/>
        <w:rPr>
          <w:szCs w:val="21"/>
        </w:rPr>
      </w:pPr>
      <w:r>
        <w:rPr>
          <w:rFonts w:hint="eastAsia"/>
          <w:b/>
          <w:szCs w:val="21"/>
        </w:rPr>
        <w:t>3.</w:t>
      </w:r>
      <w:r>
        <w:rPr>
          <w:b/>
          <w:szCs w:val="21"/>
        </w:rPr>
        <w:t>实验内容：</w:t>
      </w:r>
      <w:r>
        <w:rPr>
          <w:szCs w:val="21"/>
        </w:rPr>
        <w:t>用碱裂解液进行细胞裂解，染色体DNA和蛋白质变性，质粒DNA释放到上清中。碱性条件下碱基配对完全破坏，但是闭环的质粒DNA双链不会完全分离，因此加酸中和后质粒DNA复性而留在上清中。 而细菌蛋白、破裂的细胞壁和变性的染色体DNA会相互缠绕成大型复合物，从溶液中有效地沉淀下来。离心即从上清中得到复性的质粒DNA。</w:t>
      </w:r>
    </w:p>
    <w:p>
      <w:pPr>
        <w:adjustRightInd w:val="0"/>
        <w:snapToGrid w:val="0"/>
        <w:spacing w:line="360" w:lineRule="auto"/>
        <w:ind w:firstLine="420"/>
        <w:rPr>
          <w:rFonts w:hAnsi="宋体"/>
          <w:szCs w:val="21"/>
        </w:rPr>
      </w:pPr>
      <w:r>
        <w:rPr>
          <w:rFonts w:hint="eastAsia"/>
          <w:b/>
          <w:szCs w:val="21"/>
        </w:rPr>
        <w:t>4.实验要求：</w:t>
      </w:r>
      <w:r>
        <w:rPr>
          <w:rFonts w:hint="eastAsia" w:hAnsi="宋体"/>
          <w:bCs/>
          <w:szCs w:val="21"/>
        </w:rPr>
        <w:t>以小组为单位，六人一组独立完成大肠杆菌质粒DNA的提取，以及琼脂糖凝胶的配置、电泳缓冲液的配置、点样、跑胶以及</w:t>
      </w:r>
      <w:r>
        <w:rPr>
          <w:szCs w:val="21"/>
        </w:rPr>
        <w:t>琼脂糖凝胶</w:t>
      </w:r>
      <w:r>
        <w:rPr>
          <w:rFonts w:hint="eastAsia" w:hAnsi="宋体"/>
          <w:szCs w:val="21"/>
        </w:rPr>
        <w:t>成像系统的操作，并独立完成实验报告，</w:t>
      </w:r>
      <w:r>
        <w:rPr>
          <w:rFonts w:hint="eastAsia"/>
          <w:szCs w:val="21"/>
        </w:rPr>
        <w:t>着重阐述</w:t>
      </w:r>
      <w:r>
        <w:rPr>
          <w:szCs w:val="21"/>
        </w:rPr>
        <w:t>质粒DNA</w:t>
      </w:r>
      <w:r>
        <w:rPr>
          <w:rFonts w:hint="eastAsia"/>
          <w:szCs w:val="21"/>
        </w:rPr>
        <w:t>以及</w:t>
      </w:r>
      <w:r>
        <w:rPr>
          <w:szCs w:val="21"/>
        </w:rPr>
        <w:t>琼脂糖凝胶</w:t>
      </w:r>
      <w:r>
        <w:rPr>
          <w:rFonts w:hint="eastAsia"/>
          <w:szCs w:val="21"/>
        </w:rPr>
        <w:t>电泳过程中遇到的问题和解决办法。</w:t>
      </w:r>
    </w:p>
    <w:p>
      <w:pPr>
        <w:adjustRightInd w:val="0"/>
        <w:snapToGrid w:val="0"/>
        <w:spacing w:line="360" w:lineRule="auto"/>
        <w:ind w:firstLine="420"/>
        <w:rPr>
          <w:rFonts w:hAnsi="宋体"/>
          <w:szCs w:val="21"/>
        </w:rPr>
      </w:pPr>
      <w:r>
        <w:rPr>
          <w:rFonts w:hint="eastAsia"/>
          <w:b/>
          <w:szCs w:val="21"/>
        </w:rPr>
        <w:t>5.</w:t>
      </w:r>
      <w:r>
        <w:rPr>
          <w:b/>
          <w:szCs w:val="21"/>
        </w:rPr>
        <w:t>实验设备及器材：</w:t>
      </w:r>
      <w:r>
        <w:rPr>
          <w:szCs w:val="21"/>
        </w:rPr>
        <w:t>恒温培养箱，恒温摇床，台式离心机，高压灭菌锅，微量移液器</w:t>
      </w:r>
      <w:r>
        <w:rPr>
          <w:rFonts w:hint="eastAsia"/>
          <w:szCs w:val="21"/>
        </w:rPr>
        <w:t>，微波炉，</w:t>
      </w:r>
      <w:r>
        <w:rPr>
          <w:szCs w:val="21"/>
        </w:rPr>
        <w:t>琼脂糖凝胶</w:t>
      </w:r>
      <w:r>
        <w:rPr>
          <w:rFonts w:hint="eastAsia" w:hAnsi="宋体"/>
          <w:szCs w:val="21"/>
        </w:rPr>
        <w:t>电泳及成像系统。</w:t>
      </w:r>
    </w:p>
    <w:p>
      <w:pPr>
        <w:pStyle w:val="20"/>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二】</w:t>
      </w:r>
      <w:r>
        <w:rPr>
          <w:b/>
          <w:sz w:val="21"/>
          <w:szCs w:val="21"/>
        </w:rPr>
        <w:t>利用PCR技术</w:t>
      </w:r>
      <w:r>
        <w:rPr>
          <w:rFonts w:hint="eastAsia"/>
          <w:b/>
          <w:sz w:val="21"/>
          <w:szCs w:val="21"/>
        </w:rPr>
        <w:t>扩增</w:t>
      </w:r>
      <w:r>
        <w:rPr>
          <w:b/>
          <w:sz w:val="21"/>
          <w:szCs w:val="21"/>
        </w:rPr>
        <w:t>SSR标记及聚丙烯酰胺凝胶电泳</w:t>
      </w:r>
      <w:r>
        <w:rPr>
          <w:rFonts w:hint="eastAsia"/>
          <w:b/>
          <w:sz w:val="21"/>
          <w:szCs w:val="21"/>
        </w:rPr>
        <w:t>检测</w:t>
      </w:r>
    </w:p>
    <w:p>
      <w:pPr>
        <w:pStyle w:val="20"/>
        <w:snapToGrid w:val="0"/>
        <w:spacing w:before="0" w:beforeAutospacing="0" w:after="0" w:afterAutospacing="0" w:line="360" w:lineRule="auto"/>
        <w:ind w:firstLine="422" w:firstLineChars="200"/>
        <w:rPr>
          <w:rFonts w:ascii="Times New Roman" w:hAnsi="Times New Roman" w:eastAsia="宋体" w:cs="Times New Roman"/>
          <w:kern w:val="2"/>
          <w:sz w:val="21"/>
          <w:szCs w:val="21"/>
        </w:rPr>
      </w:pPr>
      <w:r>
        <w:rPr>
          <w:rFonts w:hint="eastAsia" w:ascii="Times New Roman" w:hAnsi="Times New Roman" w:eastAsia="宋体" w:cs="Times New Roman"/>
          <w:b/>
          <w:kern w:val="2"/>
          <w:sz w:val="21"/>
          <w:szCs w:val="21"/>
        </w:rPr>
        <w:t>1.</w:t>
      </w:r>
      <w:r>
        <w:rPr>
          <w:rFonts w:ascii="Times New Roman" w:hAnsi="Times New Roman" w:eastAsia="宋体" w:cs="Times New Roman"/>
          <w:b/>
          <w:kern w:val="2"/>
          <w:sz w:val="21"/>
          <w:szCs w:val="21"/>
        </w:rPr>
        <w:t>实验学时</w:t>
      </w:r>
      <w:r>
        <w:rPr>
          <w:b/>
          <w:szCs w:val="21"/>
        </w:rPr>
        <w:t>：</w:t>
      </w:r>
      <w:r>
        <w:rPr>
          <w:rFonts w:ascii="Times New Roman" w:hAnsi="Times New Roman" w:eastAsia="宋体" w:cs="Times New Roman"/>
          <w:kern w:val="2"/>
          <w:sz w:val="21"/>
          <w:szCs w:val="21"/>
        </w:rPr>
        <w:t>4个学时</w:t>
      </w:r>
    </w:p>
    <w:p>
      <w:pPr>
        <w:adjustRightInd w:val="0"/>
        <w:snapToGrid w:val="0"/>
        <w:spacing w:line="360" w:lineRule="auto"/>
        <w:ind w:firstLine="420"/>
        <w:rPr>
          <w:szCs w:val="21"/>
        </w:rPr>
      </w:pPr>
      <w:r>
        <w:rPr>
          <w:rFonts w:hint="eastAsia"/>
          <w:b/>
          <w:szCs w:val="21"/>
        </w:rPr>
        <w:t>2.</w:t>
      </w:r>
      <w:r>
        <w:rPr>
          <w:b/>
          <w:szCs w:val="21"/>
        </w:rPr>
        <w:t>实验目的</w:t>
      </w:r>
      <w:r>
        <w:rPr>
          <w:rFonts w:hint="eastAsia"/>
          <w:b/>
          <w:szCs w:val="21"/>
        </w:rPr>
        <w:t>：</w:t>
      </w:r>
      <w:r>
        <w:rPr>
          <w:rFonts w:hint="eastAsia"/>
          <w:szCs w:val="21"/>
        </w:rPr>
        <w:t>学习</w:t>
      </w:r>
      <w:r>
        <w:rPr>
          <w:szCs w:val="21"/>
        </w:rPr>
        <w:t>PCR</w:t>
      </w:r>
      <w:r>
        <w:rPr>
          <w:rFonts w:hint="eastAsia"/>
          <w:szCs w:val="21"/>
        </w:rPr>
        <w:t>技术扩增的原理，了解SSR标记的基本原理、</w:t>
      </w:r>
      <w:r>
        <w:rPr>
          <w:szCs w:val="21"/>
        </w:rPr>
        <w:t>实验技术</w:t>
      </w:r>
      <w:r>
        <w:rPr>
          <w:rFonts w:hint="eastAsia"/>
          <w:szCs w:val="21"/>
        </w:rPr>
        <w:t>及其在分子生物学中的应用</w:t>
      </w:r>
      <w:r>
        <w:rPr>
          <w:szCs w:val="21"/>
        </w:rPr>
        <w:t>。</w:t>
      </w:r>
    </w:p>
    <w:p>
      <w:pPr>
        <w:adjustRightInd w:val="0"/>
        <w:snapToGrid w:val="0"/>
        <w:spacing w:line="360" w:lineRule="auto"/>
        <w:ind w:firstLine="420"/>
        <w:rPr>
          <w:bCs/>
          <w:szCs w:val="21"/>
        </w:rPr>
      </w:pPr>
      <w:r>
        <w:rPr>
          <w:rFonts w:hint="eastAsia"/>
          <w:b/>
          <w:szCs w:val="21"/>
        </w:rPr>
        <w:t>3.</w:t>
      </w:r>
      <w:r>
        <w:rPr>
          <w:b/>
          <w:szCs w:val="21"/>
        </w:rPr>
        <w:t>实验内容</w:t>
      </w:r>
      <w:r>
        <w:rPr>
          <w:rFonts w:hint="eastAsia"/>
          <w:b/>
          <w:szCs w:val="21"/>
        </w:rPr>
        <w:t>：</w:t>
      </w:r>
      <w:r>
        <w:rPr>
          <w:bCs/>
          <w:szCs w:val="21"/>
        </w:rPr>
        <w:t>利用变性、引物复性及延伸的</w:t>
      </w:r>
      <w:r>
        <w:rPr>
          <w:rFonts w:hint="eastAsia"/>
          <w:bCs/>
          <w:szCs w:val="21"/>
        </w:rPr>
        <w:t>PCR扩增技术</w:t>
      </w:r>
      <w:r>
        <w:rPr>
          <w:bCs/>
          <w:szCs w:val="21"/>
        </w:rPr>
        <w:t>，扩增</w:t>
      </w:r>
      <w:r>
        <w:rPr>
          <w:rFonts w:hint="eastAsia"/>
          <w:bCs/>
          <w:szCs w:val="21"/>
        </w:rPr>
        <w:t>SSR标记在不同生态型甜瓜中表现</w:t>
      </w:r>
      <w:r>
        <w:rPr>
          <w:bCs/>
          <w:szCs w:val="21"/>
        </w:rPr>
        <w:t>。</w:t>
      </w:r>
    </w:p>
    <w:p>
      <w:pPr>
        <w:adjustRightInd w:val="0"/>
        <w:snapToGrid w:val="0"/>
        <w:spacing w:line="360" w:lineRule="auto"/>
        <w:ind w:firstLine="420"/>
        <w:rPr>
          <w:bCs/>
          <w:szCs w:val="21"/>
        </w:rPr>
      </w:pPr>
      <w:r>
        <w:rPr>
          <w:rFonts w:hint="eastAsia"/>
          <w:b/>
          <w:szCs w:val="21"/>
        </w:rPr>
        <w:t>4.实验要求：</w:t>
      </w:r>
      <w:r>
        <w:rPr>
          <w:rFonts w:hint="eastAsia" w:hAnsi="宋体"/>
          <w:bCs/>
          <w:szCs w:val="21"/>
        </w:rPr>
        <w:t>以小组为单位，六人一组独立完成</w:t>
      </w:r>
      <w:r>
        <w:rPr>
          <w:rFonts w:hint="eastAsia"/>
          <w:bCs/>
          <w:szCs w:val="21"/>
        </w:rPr>
        <w:t>不同生态型甜瓜中的SSR片段的</w:t>
      </w:r>
      <w:r>
        <w:rPr>
          <w:rFonts w:hint="eastAsia" w:hAnsi="宋体"/>
          <w:bCs/>
          <w:szCs w:val="21"/>
        </w:rPr>
        <w:t>PCR扩增，并进行聚丙烯酰胺凝胶电泳检测</w:t>
      </w:r>
      <w:r>
        <w:rPr>
          <w:rFonts w:hint="eastAsia"/>
          <w:bCs/>
          <w:szCs w:val="21"/>
        </w:rPr>
        <w:t>不同生态型甜瓜中</w:t>
      </w:r>
      <w:r>
        <w:rPr>
          <w:rFonts w:hint="eastAsia" w:hAnsi="宋体"/>
          <w:bCs/>
          <w:szCs w:val="21"/>
        </w:rPr>
        <w:t>SSR的多态性。</w:t>
      </w:r>
      <w:r>
        <w:rPr>
          <w:rFonts w:hint="eastAsia"/>
          <w:szCs w:val="21"/>
        </w:rPr>
        <w:t>实验报告单独完成，并着重阐述PCR扩增过程中以及SSR标记</w:t>
      </w:r>
      <w:r>
        <w:rPr>
          <w:rFonts w:hint="eastAsia" w:hAnsi="宋体"/>
          <w:bCs/>
          <w:szCs w:val="21"/>
        </w:rPr>
        <w:t>聚丙烯酰胺凝胶电泳检测</w:t>
      </w:r>
      <w:r>
        <w:rPr>
          <w:rFonts w:hint="eastAsia"/>
          <w:szCs w:val="21"/>
        </w:rPr>
        <w:t>过程中遇到的问题及解决办法。</w:t>
      </w:r>
    </w:p>
    <w:p>
      <w:pPr>
        <w:pStyle w:val="20"/>
        <w:adjustRightInd w:val="0"/>
        <w:snapToGrid w:val="0"/>
        <w:spacing w:before="0" w:beforeAutospacing="0" w:after="0" w:afterAutospacing="0" w:line="360" w:lineRule="auto"/>
        <w:ind w:firstLine="420"/>
        <w:rPr>
          <w:rFonts w:ascii="Times New Roman" w:hAnsi="Times New Roman" w:eastAsia="宋体" w:cs="Times New Roman"/>
          <w:kern w:val="2"/>
          <w:sz w:val="21"/>
          <w:szCs w:val="21"/>
        </w:rPr>
      </w:pPr>
      <w:r>
        <w:rPr>
          <w:rFonts w:hint="eastAsia" w:ascii="Times New Roman" w:hAnsi="Times New Roman" w:cs="Times New Roman" w:eastAsiaTheme="minorEastAsia"/>
          <w:b/>
          <w:sz w:val="21"/>
          <w:szCs w:val="21"/>
        </w:rPr>
        <w:t>5.</w:t>
      </w:r>
      <w:r>
        <w:rPr>
          <w:rFonts w:ascii="Times New Roman" w:hAnsi="Times New Roman" w:cs="Times New Roman"/>
          <w:b/>
          <w:sz w:val="21"/>
          <w:szCs w:val="21"/>
        </w:rPr>
        <w:t>实验设备及器材：</w:t>
      </w:r>
      <w:r>
        <w:rPr>
          <w:rFonts w:ascii="Times New Roman" w:hAnsi="Times New Roman" w:eastAsia="宋体" w:cs="Times New Roman"/>
          <w:kern w:val="2"/>
          <w:sz w:val="21"/>
          <w:szCs w:val="21"/>
        </w:rPr>
        <w:t>PCR仪，琼脂糖凝胶电泳系统，凝胶成像系统，微量移液器</w:t>
      </w:r>
      <w:r>
        <w:rPr>
          <w:rFonts w:hint="eastAsia" w:ascii="Times New Roman" w:hAnsi="Times New Roman" w:eastAsia="宋体" w:cs="Times New Roman"/>
          <w:kern w:val="2"/>
          <w:sz w:val="21"/>
          <w:szCs w:val="21"/>
        </w:rPr>
        <w:t>。</w:t>
      </w:r>
    </w:p>
    <w:p>
      <w:pPr>
        <w:snapToGrid w:val="0"/>
        <w:spacing w:line="360" w:lineRule="auto"/>
        <w:rPr>
          <w:rFonts w:ascii="宋体" w:hAnsi="宋体"/>
          <w:bCs/>
          <w:color w:val="0000FF"/>
          <w:szCs w:val="21"/>
        </w:rPr>
      </w:pPr>
      <w:r>
        <w:rPr>
          <w:rFonts w:hint="eastAsia" w:ascii="宋体" w:hAnsi="宋体"/>
          <w:b/>
          <w:szCs w:val="21"/>
        </w:rPr>
        <w:t xml:space="preserve"> (六)</w:t>
      </w:r>
      <w:r>
        <w:rPr>
          <w:rFonts w:hint="eastAsia" w:ascii="宋体" w:hAnsi="宋体"/>
          <w:b/>
          <w:bCs/>
          <w:szCs w:val="21"/>
        </w:rPr>
        <w:t>考核方式及成绩评定</w:t>
      </w:r>
    </w:p>
    <w:p>
      <w:pPr>
        <w:adjustRightInd w:val="0"/>
        <w:snapToGrid w:val="0"/>
        <w:spacing w:line="360" w:lineRule="auto"/>
        <w:ind w:firstLine="422" w:firstLineChars="200"/>
        <w:rPr>
          <w:b/>
          <w:bCs/>
          <w:szCs w:val="21"/>
        </w:rPr>
      </w:pPr>
      <w:r>
        <w:rPr>
          <w:rFonts w:hint="eastAsia" w:hAnsi="宋体"/>
          <w:b/>
          <w:bCs/>
          <w:szCs w:val="21"/>
        </w:rPr>
        <w:t>实验课成绩：</w:t>
      </w:r>
      <w:r>
        <w:rPr>
          <w:rFonts w:hint="eastAsia" w:hAnsi="宋体"/>
          <w:bCs/>
          <w:szCs w:val="21"/>
        </w:rPr>
        <w:t>实验报告（占60%）+ 实验操作（占40%）。最后实验课成绩占课程总成绩的</w:t>
      </w:r>
      <w:r>
        <w:rPr>
          <w:rFonts w:hAnsi="宋体"/>
          <w:bCs/>
          <w:szCs w:val="21"/>
        </w:rPr>
        <w:t>30</w:t>
      </w:r>
      <w:r>
        <w:rPr>
          <w:rFonts w:hint="eastAsia" w:hAnsi="宋体"/>
          <w:bCs/>
          <w:szCs w:val="21"/>
        </w:rPr>
        <w:t>%。</w:t>
      </w:r>
    </w:p>
    <w:p>
      <w:pPr>
        <w:widowControl/>
        <w:adjustRightInd w:val="0"/>
        <w:snapToGrid w:val="0"/>
        <w:spacing w:before="156" w:beforeLines="50" w:line="360" w:lineRule="auto"/>
        <w:jc w:val="left"/>
        <w:rPr>
          <w:kern w:val="0"/>
          <w:szCs w:val="21"/>
        </w:rPr>
      </w:pPr>
      <w:r>
        <w:rPr>
          <w:b/>
          <w:bCs/>
          <w:kern w:val="0"/>
          <w:szCs w:val="21"/>
        </w:rPr>
        <w:t>六、使用教材</w:t>
      </w:r>
    </w:p>
    <w:p>
      <w:pPr>
        <w:widowControl/>
        <w:adjustRightInd w:val="0"/>
        <w:snapToGrid w:val="0"/>
        <w:spacing w:line="360" w:lineRule="auto"/>
        <w:jc w:val="left"/>
        <w:rPr>
          <w:b/>
          <w:bCs/>
          <w:kern w:val="0"/>
          <w:szCs w:val="21"/>
        </w:rPr>
      </w:pPr>
      <w:r>
        <w:rPr>
          <w:b/>
          <w:bCs/>
          <w:kern w:val="0"/>
          <w:szCs w:val="21"/>
        </w:rPr>
        <w:t>1</w:t>
      </w:r>
      <w:r>
        <w:rPr>
          <w:rFonts w:hint="eastAsia"/>
          <w:b/>
          <w:bCs/>
          <w:kern w:val="0"/>
          <w:szCs w:val="21"/>
        </w:rPr>
        <w:t>．</w:t>
      </w:r>
      <w:r>
        <w:rPr>
          <w:b/>
          <w:bCs/>
          <w:kern w:val="0"/>
          <w:szCs w:val="21"/>
        </w:rPr>
        <w:t>选用教材：</w:t>
      </w:r>
    </w:p>
    <w:p>
      <w:pPr>
        <w:widowControl/>
        <w:adjustRightInd w:val="0"/>
        <w:snapToGrid w:val="0"/>
        <w:spacing w:line="360" w:lineRule="auto"/>
        <w:jc w:val="left"/>
        <w:rPr>
          <w:bCs/>
          <w:kern w:val="0"/>
          <w:szCs w:val="21"/>
        </w:rPr>
      </w:pPr>
      <w:r>
        <w:rPr>
          <w:bCs/>
          <w:kern w:val="0"/>
          <w:szCs w:val="21"/>
        </w:rPr>
        <w:t>（1）理论课教材：基础分子生物学，郑用琏 编著，高等教育出版社，2012年</w:t>
      </w:r>
    </w:p>
    <w:p>
      <w:pPr>
        <w:widowControl/>
        <w:adjustRightInd w:val="0"/>
        <w:snapToGrid w:val="0"/>
        <w:spacing w:line="360" w:lineRule="auto"/>
        <w:jc w:val="left"/>
        <w:rPr>
          <w:bCs/>
          <w:kern w:val="0"/>
          <w:szCs w:val="21"/>
        </w:rPr>
      </w:pPr>
      <w:r>
        <w:rPr>
          <w:rFonts w:hint="eastAsia"/>
          <w:szCs w:val="21"/>
        </w:rPr>
        <w:t>（</w:t>
      </w:r>
      <w:r>
        <w:rPr>
          <w:szCs w:val="21"/>
        </w:rPr>
        <w:t>2</w:t>
      </w:r>
      <w:r>
        <w:rPr>
          <w:rFonts w:hint="eastAsia"/>
          <w:szCs w:val="21"/>
        </w:rPr>
        <w:t>）实验课教材：</w:t>
      </w:r>
      <w:r>
        <w:rPr>
          <w:rFonts w:hint="eastAsia"/>
          <w:bCs/>
          <w:szCs w:val="21"/>
        </w:rPr>
        <w:t>分子生物学及基因工程实验教程，刘箭</w:t>
      </w:r>
      <w:r>
        <w:rPr>
          <w:bCs/>
          <w:szCs w:val="21"/>
        </w:rPr>
        <w:t xml:space="preserve"> </w:t>
      </w:r>
      <w:r>
        <w:rPr>
          <w:rFonts w:hint="eastAsia"/>
          <w:bCs/>
          <w:szCs w:val="21"/>
        </w:rPr>
        <w:t>编著，科学出版社，</w:t>
      </w:r>
      <w:r>
        <w:rPr>
          <w:bCs/>
          <w:szCs w:val="21"/>
        </w:rPr>
        <w:t>2012</w:t>
      </w:r>
      <w:r>
        <w:rPr>
          <w:rFonts w:hint="eastAsia"/>
          <w:bCs/>
          <w:szCs w:val="21"/>
        </w:rPr>
        <w:t>年</w:t>
      </w:r>
    </w:p>
    <w:p>
      <w:pPr>
        <w:widowControl/>
        <w:adjustRightInd w:val="0"/>
        <w:snapToGrid w:val="0"/>
        <w:spacing w:line="360" w:lineRule="auto"/>
        <w:jc w:val="left"/>
        <w:rPr>
          <w:kern w:val="0"/>
          <w:szCs w:val="21"/>
        </w:rPr>
      </w:pPr>
      <w:r>
        <w:rPr>
          <w:b/>
          <w:bCs/>
          <w:kern w:val="0"/>
          <w:szCs w:val="21"/>
        </w:rPr>
        <w:t>2</w:t>
      </w:r>
      <w:r>
        <w:rPr>
          <w:rFonts w:hint="eastAsia"/>
          <w:b/>
          <w:bCs/>
          <w:kern w:val="0"/>
          <w:szCs w:val="21"/>
        </w:rPr>
        <w:t>．</w:t>
      </w:r>
      <w:r>
        <w:rPr>
          <w:b/>
          <w:bCs/>
          <w:kern w:val="0"/>
          <w:szCs w:val="21"/>
        </w:rPr>
        <w:t>参考书：</w:t>
      </w:r>
    </w:p>
    <w:p>
      <w:pPr>
        <w:adjustRightInd w:val="0"/>
        <w:snapToGrid w:val="0"/>
        <w:spacing w:line="360" w:lineRule="auto"/>
        <w:rPr>
          <w:bCs/>
          <w:kern w:val="0"/>
          <w:szCs w:val="21"/>
        </w:rPr>
      </w:pPr>
      <w:r>
        <w:rPr>
          <w:bCs/>
          <w:kern w:val="0"/>
          <w:szCs w:val="21"/>
        </w:rPr>
        <w:t>（1）分子生物学</w:t>
      </w:r>
      <w:r>
        <w:rPr>
          <w:b/>
          <w:bCs/>
          <w:kern w:val="0"/>
          <w:szCs w:val="21"/>
        </w:rPr>
        <w:t>．</w:t>
      </w:r>
      <w:r>
        <w:rPr>
          <w:bCs/>
          <w:kern w:val="0"/>
          <w:szCs w:val="21"/>
        </w:rPr>
        <w:t>阎隆飞、张玉麟 主编</w:t>
      </w:r>
      <w:r>
        <w:rPr>
          <w:rFonts w:hint="eastAsia"/>
          <w:b/>
          <w:bCs/>
          <w:kern w:val="0"/>
          <w:szCs w:val="21"/>
        </w:rPr>
        <w:t>．</w:t>
      </w:r>
      <w:r>
        <w:rPr>
          <w:rFonts w:hint="eastAsia"/>
          <w:bCs/>
          <w:kern w:val="0"/>
          <w:szCs w:val="21"/>
        </w:rPr>
        <w:t>中国农业大学出版社，</w:t>
      </w:r>
      <w:r>
        <w:rPr>
          <w:bCs/>
          <w:kern w:val="0"/>
          <w:szCs w:val="21"/>
        </w:rPr>
        <w:t>2001</w:t>
      </w:r>
      <w:r>
        <w:rPr>
          <w:rFonts w:hint="eastAsia"/>
          <w:bCs/>
          <w:kern w:val="0"/>
          <w:szCs w:val="21"/>
        </w:rPr>
        <w:t>年</w:t>
      </w:r>
    </w:p>
    <w:p>
      <w:pPr>
        <w:adjustRightInd w:val="0"/>
        <w:snapToGrid w:val="0"/>
        <w:spacing w:line="360" w:lineRule="auto"/>
        <w:rPr>
          <w:bCs/>
          <w:kern w:val="0"/>
          <w:szCs w:val="21"/>
        </w:rPr>
      </w:pPr>
      <w:r>
        <w:rPr>
          <w:rFonts w:hint="eastAsia"/>
          <w:bCs/>
          <w:kern w:val="0"/>
          <w:szCs w:val="21"/>
        </w:rPr>
        <w:t>（</w:t>
      </w:r>
      <w:r>
        <w:rPr>
          <w:bCs/>
          <w:kern w:val="0"/>
          <w:szCs w:val="21"/>
        </w:rPr>
        <w:t>2</w:t>
      </w:r>
      <w:r>
        <w:rPr>
          <w:rFonts w:hint="eastAsia"/>
          <w:bCs/>
          <w:kern w:val="0"/>
          <w:szCs w:val="21"/>
        </w:rPr>
        <w:t>）</w:t>
      </w:r>
      <w:r>
        <w:rPr>
          <w:rFonts w:hint="eastAsia"/>
          <w:bCs/>
          <w:szCs w:val="21"/>
        </w:rPr>
        <w:t>分子克隆实验指南</w:t>
      </w:r>
      <w:r>
        <w:rPr>
          <w:rFonts w:hint="eastAsia"/>
          <w:b/>
          <w:bCs/>
          <w:kern w:val="0"/>
          <w:szCs w:val="21"/>
        </w:rPr>
        <w:t>．</w:t>
      </w:r>
      <w:r>
        <w:rPr>
          <w:rFonts w:hint="eastAsia"/>
          <w:bCs/>
          <w:kern w:val="0"/>
          <w:szCs w:val="21"/>
        </w:rPr>
        <w:t>黄培堂</w:t>
      </w:r>
      <w:r>
        <w:rPr>
          <w:bCs/>
          <w:kern w:val="0"/>
          <w:szCs w:val="21"/>
        </w:rPr>
        <w:t xml:space="preserve"> </w:t>
      </w:r>
      <w:r>
        <w:rPr>
          <w:rFonts w:hint="eastAsia"/>
          <w:bCs/>
          <w:kern w:val="0"/>
          <w:szCs w:val="21"/>
        </w:rPr>
        <w:t>等译</w:t>
      </w:r>
      <w:r>
        <w:rPr>
          <w:rFonts w:hint="eastAsia"/>
          <w:b/>
          <w:bCs/>
          <w:kern w:val="0"/>
          <w:szCs w:val="21"/>
        </w:rPr>
        <w:t>．</w:t>
      </w:r>
      <w:r>
        <w:rPr>
          <w:rFonts w:hint="eastAsia"/>
          <w:bCs/>
          <w:kern w:val="0"/>
          <w:szCs w:val="21"/>
        </w:rPr>
        <w:t>科学出版社，</w:t>
      </w:r>
      <w:r>
        <w:rPr>
          <w:bCs/>
          <w:kern w:val="0"/>
          <w:szCs w:val="21"/>
        </w:rPr>
        <w:t>2002</w:t>
      </w:r>
      <w:r>
        <w:rPr>
          <w:rFonts w:hint="eastAsia"/>
          <w:bCs/>
          <w:kern w:val="0"/>
          <w:szCs w:val="21"/>
        </w:rPr>
        <w:t>年</w:t>
      </w:r>
    </w:p>
    <w:p>
      <w:pPr>
        <w:adjustRightInd w:val="0"/>
        <w:snapToGrid w:val="0"/>
        <w:spacing w:line="360" w:lineRule="auto"/>
        <w:rPr>
          <w:bCs/>
          <w:kern w:val="0"/>
          <w:szCs w:val="21"/>
        </w:rPr>
      </w:pPr>
      <w:r>
        <w:rPr>
          <w:rFonts w:hint="eastAsia"/>
          <w:bCs/>
          <w:kern w:val="0"/>
          <w:szCs w:val="21"/>
        </w:rPr>
        <w:t>（</w:t>
      </w:r>
      <w:r>
        <w:rPr>
          <w:bCs/>
          <w:kern w:val="0"/>
          <w:szCs w:val="21"/>
        </w:rPr>
        <w:t>3</w:t>
      </w:r>
      <w:r>
        <w:rPr>
          <w:rFonts w:hint="eastAsia"/>
          <w:bCs/>
          <w:kern w:val="0"/>
          <w:szCs w:val="21"/>
        </w:rPr>
        <w:t>）分子生物学简明教程</w:t>
      </w:r>
      <w:r>
        <w:rPr>
          <w:rFonts w:hint="eastAsia"/>
          <w:b/>
          <w:bCs/>
          <w:kern w:val="0"/>
          <w:szCs w:val="21"/>
        </w:rPr>
        <w:t>．</w:t>
      </w:r>
      <w:r>
        <w:rPr>
          <w:rFonts w:hint="eastAsia"/>
          <w:bCs/>
          <w:kern w:val="0"/>
          <w:szCs w:val="21"/>
        </w:rPr>
        <w:t>刘永明</w:t>
      </w:r>
      <w:r>
        <w:rPr>
          <w:bCs/>
          <w:kern w:val="0"/>
          <w:szCs w:val="21"/>
        </w:rPr>
        <w:t xml:space="preserve"> </w:t>
      </w:r>
      <w:r>
        <w:rPr>
          <w:rFonts w:hint="eastAsia"/>
          <w:bCs/>
          <w:kern w:val="0"/>
          <w:szCs w:val="21"/>
        </w:rPr>
        <w:t>主编</w:t>
      </w:r>
      <w:r>
        <w:rPr>
          <w:rFonts w:hint="eastAsia"/>
          <w:b/>
          <w:bCs/>
          <w:kern w:val="0"/>
          <w:szCs w:val="21"/>
        </w:rPr>
        <w:t>．</w:t>
      </w:r>
      <w:r>
        <w:rPr>
          <w:rFonts w:hint="eastAsia"/>
          <w:bCs/>
          <w:kern w:val="0"/>
          <w:szCs w:val="21"/>
        </w:rPr>
        <w:t>化学工业出版社，</w:t>
      </w:r>
      <w:r>
        <w:rPr>
          <w:bCs/>
          <w:kern w:val="0"/>
          <w:szCs w:val="21"/>
        </w:rPr>
        <w:t>2006</w:t>
      </w:r>
      <w:r>
        <w:rPr>
          <w:rFonts w:hint="eastAsia"/>
          <w:bCs/>
          <w:kern w:val="0"/>
          <w:szCs w:val="21"/>
        </w:rPr>
        <w:t>年</w:t>
      </w:r>
    </w:p>
    <w:p>
      <w:pPr>
        <w:adjustRightInd w:val="0"/>
        <w:snapToGrid w:val="0"/>
        <w:spacing w:line="360" w:lineRule="auto"/>
        <w:rPr>
          <w:bCs/>
          <w:kern w:val="0"/>
          <w:szCs w:val="21"/>
        </w:rPr>
      </w:pPr>
      <w:r>
        <w:rPr>
          <w:rFonts w:hint="eastAsia"/>
          <w:bCs/>
          <w:kern w:val="0"/>
          <w:szCs w:val="21"/>
        </w:rPr>
        <w:t>（</w:t>
      </w:r>
      <w:r>
        <w:rPr>
          <w:bCs/>
          <w:kern w:val="0"/>
          <w:szCs w:val="21"/>
        </w:rPr>
        <w:t>4</w:t>
      </w:r>
      <w:r>
        <w:rPr>
          <w:rFonts w:hint="eastAsia"/>
          <w:bCs/>
          <w:kern w:val="0"/>
          <w:szCs w:val="21"/>
        </w:rPr>
        <w:t>）现代分子生物学（第二版）</w:t>
      </w:r>
      <w:r>
        <w:rPr>
          <w:rFonts w:hint="eastAsia"/>
          <w:b/>
          <w:bCs/>
          <w:kern w:val="0"/>
          <w:szCs w:val="21"/>
        </w:rPr>
        <w:t>．</w:t>
      </w:r>
      <w:r>
        <w:rPr>
          <w:rFonts w:hint="eastAsia"/>
          <w:bCs/>
          <w:kern w:val="0"/>
          <w:szCs w:val="21"/>
        </w:rPr>
        <w:t>朱玉贤、李毅</w:t>
      </w:r>
      <w:r>
        <w:rPr>
          <w:bCs/>
          <w:kern w:val="0"/>
          <w:szCs w:val="21"/>
        </w:rPr>
        <w:t xml:space="preserve"> </w:t>
      </w:r>
      <w:r>
        <w:rPr>
          <w:rFonts w:hint="eastAsia"/>
          <w:bCs/>
          <w:kern w:val="0"/>
          <w:szCs w:val="21"/>
        </w:rPr>
        <w:t>编著</w:t>
      </w:r>
      <w:r>
        <w:rPr>
          <w:rFonts w:hint="eastAsia"/>
          <w:b/>
          <w:bCs/>
          <w:kern w:val="0"/>
          <w:szCs w:val="21"/>
        </w:rPr>
        <w:t>．</w:t>
      </w:r>
      <w:r>
        <w:rPr>
          <w:rFonts w:hint="eastAsia"/>
          <w:bCs/>
          <w:kern w:val="0"/>
          <w:szCs w:val="21"/>
        </w:rPr>
        <w:t>高等教育出版社，</w:t>
      </w:r>
      <w:r>
        <w:rPr>
          <w:bCs/>
          <w:kern w:val="0"/>
          <w:szCs w:val="21"/>
        </w:rPr>
        <w:t xml:space="preserve">2007 </w:t>
      </w:r>
      <w:r>
        <w:rPr>
          <w:rFonts w:hint="eastAsia"/>
          <w:bCs/>
          <w:kern w:val="0"/>
          <w:szCs w:val="21"/>
        </w:rPr>
        <w:t>年</w:t>
      </w:r>
    </w:p>
    <w:p>
      <w:pPr>
        <w:adjustRightInd w:val="0"/>
        <w:snapToGrid w:val="0"/>
        <w:spacing w:line="360" w:lineRule="auto"/>
        <w:rPr>
          <w:bCs/>
          <w:kern w:val="0"/>
          <w:szCs w:val="21"/>
        </w:rPr>
      </w:pPr>
      <w:r>
        <w:rPr>
          <w:rFonts w:hint="eastAsia"/>
          <w:bCs/>
          <w:kern w:val="0"/>
          <w:szCs w:val="21"/>
        </w:rPr>
        <w:t>（</w:t>
      </w:r>
      <w:r>
        <w:rPr>
          <w:bCs/>
          <w:kern w:val="0"/>
          <w:szCs w:val="21"/>
        </w:rPr>
        <w:t>5</w:t>
      </w:r>
      <w:r>
        <w:rPr>
          <w:rFonts w:hint="eastAsia"/>
          <w:bCs/>
          <w:kern w:val="0"/>
          <w:szCs w:val="21"/>
        </w:rPr>
        <w:t>）分子生物学</w:t>
      </w:r>
      <w:r>
        <w:rPr>
          <w:rFonts w:hint="eastAsia"/>
          <w:b/>
          <w:bCs/>
          <w:kern w:val="0"/>
          <w:szCs w:val="21"/>
        </w:rPr>
        <w:t>．</w:t>
      </w:r>
      <w:r>
        <w:rPr>
          <w:rFonts w:hint="eastAsia"/>
          <w:bCs/>
          <w:kern w:val="0"/>
          <w:szCs w:val="21"/>
        </w:rPr>
        <w:t>郜金荣、叶林柏</w:t>
      </w:r>
      <w:r>
        <w:rPr>
          <w:bCs/>
          <w:kern w:val="0"/>
          <w:szCs w:val="21"/>
        </w:rPr>
        <w:t xml:space="preserve"> </w:t>
      </w:r>
      <w:r>
        <w:rPr>
          <w:rFonts w:hint="eastAsia"/>
          <w:bCs/>
          <w:kern w:val="0"/>
          <w:szCs w:val="21"/>
        </w:rPr>
        <w:t>编著</w:t>
      </w:r>
      <w:r>
        <w:rPr>
          <w:rFonts w:hint="eastAsia"/>
          <w:b/>
          <w:bCs/>
          <w:kern w:val="0"/>
          <w:szCs w:val="21"/>
        </w:rPr>
        <w:t>．</w:t>
      </w:r>
      <w:r>
        <w:rPr>
          <w:rFonts w:hint="eastAsia"/>
          <w:bCs/>
          <w:kern w:val="0"/>
          <w:szCs w:val="21"/>
        </w:rPr>
        <w:t>武汉大学出版社，</w:t>
      </w:r>
      <w:r>
        <w:rPr>
          <w:bCs/>
          <w:kern w:val="0"/>
          <w:szCs w:val="21"/>
        </w:rPr>
        <w:t>2007</w:t>
      </w:r>
      <w:r>
        <w:rPr>
          <w:rFonts w:hint="eastAsia"/>
          <w:bCs/>
          <w:kern w:val="0"/>
          <w:szCs w:val="21"/>
        </w:rPr>
        <w:t>年</w:t>
      </w:r>
    </w:p>
    <w:p>
      <w:pPr>
        <w:autoSpaceDE w:val="0"/>
        <w:autoSpaceDN w:val="0"/>
        <w:adjustRightInd w:val="0"/>
        <w:snapToGrid w:val="0"/>
        <w:spacing w:line="360" w:lineRule="auto"/>
        <w:ind w:left="630" w:hanging="630" w:hangingChars="300"/>
        <w:jc w:val="left"/>
        <w:rPr>
          <w:kern w:val="0"/>
          <w:szCs w:val="21"/>
        </w:rPr>
      </w:pPr>
      <w:r>
        <w:rPr>
          <w:rFonts w:hint="eastAsia"/>
          <w:bCs/>
          <w:kern w:val="0"/>
          <w:szCs w:val="21"/>
        </w:rPr>
        <w:t>（</w:t>
      </w:r>
      <w:r>
        <w:rPr>
          <w:bCs/>
          <w:kern w:val="0"/>
          <w:szCs w:val="21"/>
        </w:rPr>
        <w:t>6</w:t>
      </w:r>
      <w:r>
        <w:rPr>
          <w:rFonts w:hint="eastAsia"/>
          <w:bCs/>
          <w:kern w:val="0"/>
          <w:szCs w:val="21"/>
        </w:rPr>
        <w:t>）</w:t>
      </w:r>
      <w:r>
        <w:rPr>
          <w:kern w:val="0"/>
          <w:szCs w:val="21"/>
        </w:rPr>
        <w:t>Molecular Biology of the Cell</w:t>
      </w:r>
      <w:r>
        <w:rPr>
          <w:rFonts w:hint="eastAsia"/>
          <w:b/>
          <w:bCs/>
          <w:kern w:val="0"/>
          <w:szCs w:val="21"/>
        </w:rPr>
        <w:t>．</w:t>
      </w:r>
      <w:r>
        <w:rPr>
          <w:kern w:val="0"/>
          <w:szCs w:val="21"/>
        </w:rPr>
        <w:t>Bruce Alberts, Alexander Johnson, Julian Lewis, Martin Rafi Keith Roberts, and Peter Walte</w:t>
      </w:r>
      <w:r>
        <w:rPr>
          <w:rFonts w:hint="eastAsia"/>
          <w:b/>
          <w:bCs/>
          <w:kern w:val="0"/>
          <w:szCs w:val="21"/>
        </w:rPr>
        <w:t>．</w:t>
      </w:r>
      <w:r>
        <w:rPr>
          <w:kern w:val="0"/>
          <w:szCs w:val="21"/>
        </w:rPr>
        <w:t>Published by Garland science, Taylor &amp; Francis Group, LLC</w:t>
      </w:r>
      <w:r>
        <w:rPr>
          <w:rFonts w:hint="eastAsia"/>
          <w:kern w:val="0"/>
          <w:szCs w:val="21"/>
        </w:rPr>
        <w:t>，</w:t>
      </w:r>
      <w:r>
        <w:rPr>
          <w:kern w:val="0"/>
          <w:szCs w:val="21"/>
        </w:rPr>
        <w:t>2008</w:t>
      </w:r>
    </w:p>
    <w:p>
      <w:pPr>
        <w:autoSpaceDE w:val="0"/>
        <w:autoSpaceDN w:val="0"/>
        <w:adjustRightInd w:val="0"/>
        <w:snapToGrid w:val="0"/>
        <w:spacing w:line="360" w:lineRule="auto"/>
        <w:jc w:val="left"/>
        <w:rPr>
          <w:bCs/>
          <w:kern w:val="0"/>
          <w:szCs w:val="21"/>
        </w:rPr>
      </w:pPr>
      <w:r>
        <w:rPr>
          <w:rFonts w:hint="eastAsia"/>
          <w:bCs/>
          <w:kern w:val="0"/>
          <w:szCs w:val="21"/>
        </w:rPr>
        <w:t>（</w:t>
      </w:r>
      <w:r>
        <w:rPr>
          <w:bCs/>
          <w:kern w:val="0"/>
          <w:szCs w:val="21"/>
        </w:rPr>
        <w:t>7</w:t>
      </w:r>
      <w:r>
        <w:rPr>
          <w:rFonts w:hint="eastAsia"/>
          <w:bCs/>
          <w:kern w:val="0"/>
          <w:szCs w:val="21"/>
        </w:rPr>
        <w:t>）</w:t>
      </w:r>
      <w:r>
        <w:rPr>
          <w:bCs/>
          <w:kern w:val="0"/>
          <w:szCs w:val="21"/>
        </w:rPr>
        <w:t xml:space="preserve">GENES </w:t>
      </w:r>
      <w:r>
        <w:rPr>
          <w:rFonts w:hint="eastAsia" w:ascii="宋体" w:hAnsi="宋体" w:cs="宋体"/>
          <w:bCs/>
          <w:kern w:val="0"/>
          <w:szCs w:val="21"/>
        </w:rPr>
        <w:t>Ⅸ</w:t>
      </w:r>
      <w:r>
        <w:rPr>
          <w:rFonts w:hint="eastAsia"/>
          <w:b/>
          <w:bCs/>
          <w:kern w:val="0"/>
          <w:szCs w:val="21"/>
        </w:rPr>
        <w:t>．</w:t>
      </w:r>
      <w:r>
        <w:rPr>
          <w:bCs/>
          <w:kern w:val="0"/>
          <w:szCs w:val="21"/>
        </w:rPr>
        <w:t>Benjamin Lewin</w:t>
      </w:r>
      <w:r>
        <w:rPr>
          <w:rFonts w:hint="eastAsia"/>
          <w:b/>
          <w:bCs/>
          <w:kern w:val="0"/>
          <w:szCs w:val="21"/>
        </w:rPr>
        <w:t>．</w:t>
      </w:r>
      <w:r>
        <w:rPr>
          <w:bCs/>
          <w:kern w:val="0"/>
          <w:szCs w:val="21"/>
        </w:rPr>
        <w:t>Jones and Bartlett publishers</w:t>
      </w:r>
      <w:r>
        <w:rPr>
          <w:rFonts w:hint="eastAsia"/>
          <w:bCs/>
          <w:kern w:val="0"/>
          <w:szCs w:val="21"/>
        </w:rPr>
        <w:t>，</w:t>
      </w:r>
      <w:r>
        <w:rPr>
          <w:bCs/>
          <w:kern w:val="0"/>
          <w:szCs w:val="21"/>
        </w:rPr>
        <w:t>2008</w:t>
      </w:r>
    </w:p>
    <w:p>
      <w:pPr>
        <w:widowControl/>
        <w:adjustRightInd w:val="0"/>
        <w:snapToGrid w:val="0"/>
        <w:spacing w:line="360" w:lineRule="auto"/>
        <w:jc w:val="left"/>
        <w:rPr>
          <w:b/>
          <w:kern w:val="0"/>
          <w:szCs w:val="21"/>
        </w:rPr>
      </w:pPr>
      <w:r>
        <w:rPr>
          <w:b/>
          <w:kern w:val="0"/>
          <w:szCs w:val="21"/>
        </w:rPr>
        <w:t>3</w:t>
      </w:r>
      <w:r>
        <w:rPr>
          <w:rFonts w:hint="eastAsia"/>
          <w:b/>
          <w:kern w:val="0"/>
          <w:szCs w:val="21"/>
        </w:rPr>
        <w:t>．</w:t>
      </w:r>
      <w:r>
        <w:rPr>
          <w:b/>
          <w:kern w:val="0"/>
          <w:szCs w:val="21"/>
        </w:rPr>
        <w:t>推荐网站：</w:t>
      </w:r>
    </w:p>
    <w:p>
      <w:pPr>
        <w:adjustRightInd w:val="0"/>
        <w:snapToGrid w:val="0"/>
        <w:spacing w:line="360" w:lineRule="auto"/>
        <w:rPr>
          <w:szCs w:val="21"/>
        </w:rPr>
      </w:pPr>
      <w:r>
        <w:rPr>
          <w:szCs w:val="21"/>
        </w:rPr>
        <w:t>（1）美国国立生物技术信息中心，https://www.ncbi.nlm.nih.gov/</w:t>
      </w:r>
    </w:p>
    <w:p>
      <w:pPr>
        <w:widowControl/>
        <w:adjustRightInd w:val="0"/>
        <w:snapToGrid w:val="0"/>
        <w:spacing w:line="360" w:lineRule="auto"/>
        <w:jc w:val="left"/>
        <w:rPr>
          <w:szCs w:val="21"/>
        </w:rPr>
      </w:pPr>
      <w:r>
        <w:rPr>
          <w:rFonts w:hint="eastAsia"/>
          <w:szCs w:val="21"/>
        </w:rPr>
        <w:t>（</w:t>
      </w:r>
      <w:r>
        <w:rPr>
          <w:szCs w:val="21"/>
        </w:rPr>
        <w:t>2</w:t>
      </w:r>
      <w:r>
        <w:rPr>
          <w:rFonts w:hint="eastAsia"/>
          <w:szCs w:val="21"/>
        </w:rPr>
        <w:t>）欧洲分子生物学实验室的</w:t>
      </w:r>
      <w:r>
        <w:rPr>
          <w:szCs w:val="21"/>
        </w:rPr>
        <w:t>DNA</w:t>
      </w:r>
      <w:r>
        <w:rPr>
          <w:rFonts w:hint="eastAsia"/>
          <w:szCs w:val="21"/>
        </w:rPr>
        <w:t>和</w:t>
      </w:r>
      <w:r>
        <w:rPr>
          <w:szCs w:val="21"/>
        </w:rPr>
        <w:t>RNA</w:t>
      </w:r>
      <w:r>
        <w:rPr>
          <w:rFonts w:hint="eastAsia"/>
          <w:szCs w:val="21"/>
        </w:rPr>
        <w:t>数据库，</w:t>
      </w:r>
      <w:r>
        <w:rPr>
          <w:szCs w:val="21"/>
        </w:rPr>
        <w:t>http://www.ebi.ac.uk/</w:t>
      </w:r>
    </w:p>
    <w:p>
      <w:pPr>
        <w:widowControl/>
        <w:adjustRightInd w:val="0"/>
        <w:snapToGrid w:val="0"/>
        <w:spacing w:line="360" w:lineRule="auto"/>
        <w:jc w:val="left"/>
        <w:rPr>
          <w:szCs w:val="21"/>
        </w:rPr>
      </w:pPr>
      <w:r>
        <w:rPr>
          <w:rFonts w:hint="eastAsia"/>
          <w:szCs w:val="21"/>
        </w:rPr>
        <w:t>（</w:t>
      </w:r>
      <w:r>
        <w:rPr>
          <w:szCs w:val="21"/>
        </w:rPr>
        <w:t>3</w:t>
      </w:r>
      <w:r>
        <w:rPr>
          <w:rFonts w:hint="eastAsia"/>
          <w:szCs w:val="21"/>
        </w:rPr>
        <w:t>）日本核酸数据库，</w:t>
      </w:r>
      <w:r>
        <w:rPr>
          <w:szCs w:val="21"/>
        </w:rPr>
        <w:t>http://www.ddbj.nig.ac.jp/</w:t>
      </w:r>
    </w:p>
    <w:p>
      <w:pPr>
        <w:widowControl/>
        <w:adjustRightInd w:val="0"/>
        <w:snapToGrid w:val="0"/>
        <w:spacing w:line="360" w:lineRule="auto"/>
        <w:jc w:val="left"/>
        <w:rPr>
          <w:szCs w:val="21"/>
        </w:rPr>
      </w:pPr>
      <w:r>
        <w:rPr>
          <w:rFonts w:hint="eastAsia"/>
          <w:szCs w:val="21"/>
        </w:rPr>
        <w:t>（</w:t>
      </w:r>
      <w:r>
        <w:rPr>
          <w:szCs w:val="21"/>
        </w:rPr>
        <w:t>4</w:t>
      </w:r>
      <w:r>
        <w:rPr>
          <w:rFonts w:hint="eastAsia"/>
          <w:szCs w:val="21"/>
        </w:rPr>
        <w:t>）国家基因库，</w:t>
      </w:r>
      <w:r>
        <w:rPr>
          <w:szCs w:val="21"/>
        </w:rPr>
        <w:t>https://www.cngb.org/</w:t>
      </w:r>
    </w:p>
    <w:p>
      <w:pPr>
        <w:widowControl/>
        <w:snapToGrid w:val="0"/>
        <w:spacing w:line="360" w:lineRule="auto"/>
        <w:jc w:val="left"/>
        <w:rPr>
          <w:b/>
          <w:bCs/>
          <w:kern w:val="0"/>
          <w:szCs w:val="21"/>
        </w:rPr>
      </w:pPr>
      <w:r>
        <w:rPr>
          <w:rFonts w:hint="eastAsia"/>
          <w:b/>
          <w:bCs/>
          <w:kern w:val="0"/>
          <w:szCs w:val="21"/>
        </w:rPr>
        <w:t>七、教学条件</w:t>
      </w:r>
    </w:p>
    <w:p>
      <w:pPr>
        <w:snapToGrid w:val="0"/>
        <w:spacing w:line="360" w:lineRule="auto"/>
        <w:ind w:firstLine="420" w:firstLineChars="200"/>
        <w:rPr>
          <w:szCs w:val="21"/>
        </w:rPr>
      </w:pPr>
      <w:r>
        <w:rPr>
          <w:rFonts w:hint="eastAsia"/>
          <w:szCs w:val="21"/>
        </w:rPr>
        <w:t>分子生物学理论课程采用多媒体辅助教学手段，在三号教学楼或工程楼教室完成；实验部分课程在园艺学院蔬菜系公共平台完成。实验室配备常用的实验教学仪器如：低温高速离心机、分光光度计、水浴锅、微波炉、摇床、冰箱、凝胶成像分析系统、电泳仪和电泳槽、垂直电泳槽和半干转移装置等常用仪器，实验台上配备有常温低速小离心机、漩涡震荡仪、微量加样枪等基本设备。</w:t>
      </w:r>
    </w:p>
    <w:p>
      <w:pPr>
        <w:widowControl/>
        <w:snapToGrid w:val="0"/>
        <w:spacing w:line="360" w:lineRule="auto"/>
        <w:jc w:val="left"/>
        <w:rPr>
          <w:b/>
          <w:bCs/>
          <w:kern w:val="0"/>
          <w:szCs w:val="21"/>
        </w:rPr>
      </w:pPr>
      <w:r>
        <w:rPr>
          <w:rFonts w:hint="eastAsia"/>
          <w:b/>
          <w:bCs/>
          <w:kern w:val="0"/>
          <w:szCs w:val="21"/>
        </w:rPr>
        <w:t>八、教学考核评价</w:t>
      </w:r>
    </w:p>
    <w:p>
      <w:pPr>
        <w:widowControl/>
        <w:snapToGrid w:val="0"/>
        <w:spacing w:line="360" w:lineRule="auto"/>
        <w:ind w:firstLine="420"/>
        <w:jc w:val="left"/>
        <w:rPr>
          <w:color w:val="0000FF"/>
          <w:szCs w:val="21"/>
        </w:rPr>
      </w:pPr>
      <w:r>
        <w:rPr>
          <w:b/>
          <w:bCs/>
          <w:kern w:val="0"/>
          <w:szCs w:val="21"/>
        </w:rPr>
        <w:t>1.</w:t>
      </w:r>
      <w:r>
        <w:rPr>
          <w:rFonts w:hint="eastAsia"/>
          <w:b/>
          <w:bCs/>
          <w:kern w:val="0"/>
          <w:szCs w:val="21"/>
        </w:rPr>
        <w:t>过程性评价：</w:t>
      </w:r>
      <w:r>
        <w:rPr>
          <w:rFonts w:hint="eastAsia"/>
        </w:rPr>
        <w:t>平时成绩（占总成绩百分之二十）：主要包括考勤、作业、听课状态、笔记完成情况给予成绩。</w:t>
      </w:r>
      <w:r>
        <w:rPr>
          <w:color w:val="0000FF"/>
          <w:szCs w:val="21"/>
        </w:rPr>
        <w:t xml:space="preserve"> </w:t>
      </w:r>
    </w:p>
    <w:p>
      <w:pPr>
        <w:widowControl/>
        <w:snapToGrid w:val="0"/>
        <w:spacing w:line="360" w:lineRule="auto"/>
        <w:ind w:firstLine="420"/>
        <w:jc w:val="left"/>
        <w:rPr>
          <w:szCs w:val="21"/>
        </w:rPr>
      </w:pPr>
      <w:r>
        <w:rPr>
          <w:rFonts w:hint="eastAsia"/>
          <w:szCs w:val="21"/>
        </w:rPr>
        <w:t>2</w:t>
      </w:r>
      <w:r>
        <w:rPr>
          <w:szCs w:val="21"/>
        </w:rPr>
        <w:t>.</w:t>
      </w:r>
      <w:r>
        <w:rPr>
          <w:rFonts w:hint="eastAsia"/>
          <w:b/>
          <w:bCs/>
          <w:szCs w:val="21"/>
        </w:rPr>
        <w:t>终结性评价</w:t>
      </w:r>
      <w:r>
        <w:rPr>
          <w:rFonts w:hint="eastAsia"/>
          <w:szCs w:val="21"/>
        </w:rPr>
        <w:t>：实验报告、平时成绩占5</w:t>
      </w:r>
      <w:r>
        <w:rPr>
          <w:szCs w:val="21"/>
        </w:rPr>
        <w:t>0%</w:t>
      </w:r>
      <w:r>
        <w:rPr>
          <w:rFonts w:hint="eastAsia"/>
          <w:szCs w:val="21"/>
        </w:rPr>
        <w:t>，期末考试成绩占5</w:t>
      </w:r>
      <w:r>
        <w:rPr>
          <w:szCs w:val="21"/>
        </w:rPr>
        <w:t>0%</w:t>
      </w:r>
      <w:r>
        <w:rPr>
          <w:rFonts w:hint="eastAsia"/>
          <w:szCs w:val="21"/>
        </w:rPr>
        <w:t>。</w:t>
      </w:r>
    </w:p>
    <w:p>
      <w:pPr>
        <w:widowControl/>
        <w:snapToGrid w:val="0"/>
        <w:spacing w:line="360" w:lineRule="auto"/>
        <w:ind w:firstLine="420"/>
        <w:jc w:val="left"/>
        <w:rPr>
          <w:color w:val="0000FF"/>
          <w:szCs w:val="21"/>
        </w:rPr>
      </w:pPr>
      <w:r>
        <w:rPr>
          <w:rFonts w:hint="eastAsia"/>
          <w:szCs w:val="21"/>
        </w:rPr>
        <w:t>3</w:t>
      </w:r>
      <w:r>
        <w:rPr>
          <w:szCs w:val="21"/>
        </w:rPr>
        <w:t>.</w:t>
      </w:r>
      <w:r>
        <w:rPr>
          <w:rFonts w:hint="eastAsia"/>
          <w:b/>
          <w:bCs/>
          <w:szCs w:val="21"/>
        </w:rPr>
        <w:t>课程综合评价</w:t>
      </w:r>
      <w:r>
        <w:rPr>
          <w:rFonts w:hint="eastAsia"/>
          <w:szCs w:val="21"/>
        </w:rPr>
        <w:t>：期末考试为闭卷</w:t>
      </w:r>
      <w:r>
        <w:rPr>
          <w:rFonts w:hint="eastAsia"/>
          <w:color w:val="0000FF"/>
          <w:szCs w:val="21"/>
        </w:rPr>
        <w:t>，</w:t>
      </w:r>
      <w:r>
        <w:rPr>
          <w:szCs w:val="21"/>
        </w:rPr>
        <w:t>卷面成绩50%+实验成绩30%+平时成绩20%</w:t>
      </w:r>
      <w:r>
        <w:rPr>
          <w:rFonts w:hint="eastAsia"/>
          <w:szCs w:val="21"/>
        </w:rPr>
        <w:t>。</w:t>
      </w:r>
    </w:p>
    <w:p>
      <w:pPr>
        <w:widowControl/>
        <w:snapToGrid w:val="0"/>
        <w:spacing w:line="360" w:lineRule="auto"/>
        <w:ind w:firstLine="420"/>
        <w:jc w:val="left"/>
        <w:rPr>
          <w:color w:val="0000FF"/>
          <w:szCs w:val="21"/>
        </w:rPr>
      </w:pPr>
      <w:r>
        <w:rPr>
          <w:color w:val="0000FF"/>
          <w:szCs w:val="21"/>
        </w:rPr>
        <w:t xml:space="preserve"> </w:t>
      </w:r>
    </w:p>
    <w:p>
      <w:pPr>
        <w:widowControl/>
        <w:jc w:val="left"/>
      </w:pPr>
    </w:p>
    <w:p>
      <w:pPr>
        <w:widowControl/>
        <w:jc w:val="left"/>
      </w:pPr>
    </w:p>
    <w:p>
      <w:pPr>
        <w:widowControl/>
        <w:jc w:val="left"/>
      </w:pPr>
    </w:p>
    <w:p>
      <w:pPr>
        <w:widowControl/>
        <w:jc w:val="left"/>
        <w:rPr>
          <w:rFonts w:asciiTheme="majorHAnsi" w:hAnsiTheme="majorHAnsi" w:eastAsiaTheme="majorEastAsia" w:cstheme="majorBidi"/>
          <w:b/>
          <w:bCs/>
          <w:sz w:val="28"/>
          <w:szCs w:val="28"/>
        </w:rPr>
      </w:pPr>
      <w:bookmarkStart w:id="23" w:name="_Toc138070679"/>
      <w:bookmarkStart w:id="24" w:name="_Toc138076298"/>
      <w:bookmarkStart w:id="25" w:name="_Toc138076593"/>
      <w:bookmarkStart w:id="26" w:name="_Toc138070409"/>
      <w:bookmarkStart w:id="27" w:name="_Toc137560071"/>
      <w:bookmarkStart w:id="28" w:name="_Toc8929"/>
      <w:bookmarkStart w:id="29" w:name="_Toc138068779"/>
      <w:bookmarkStart w:id="30" w:name="_Toc138076049"/>
      <w:r>
        <w:rPr>
          <w:sz w:val="28"/>
          <w:szCs w:val="28"/>
        </w:rPr>
        <w:br w:type="page"/>
      </w:r>
    </w:p>
    <w:p>
      <w:pPr>
        <w:pStyle w:val="21"/>
        <w:rPr>
          <w:sz w:val="28"/>
          <w:szCs w:val="28"/>
        </w:rPr>
      </w:pPr>
      <w:r>
        <w:rPr>
          <w:rFonts w:hint="eastAsia"/>
          <w:sz w:val="28"/>
          <w:szCs w:val="28"/>
        </w:rPr>
        <w:t>园艺植物遗传学</w:t>
      </w:r>
      <w:bookmarkEnd w:id="23"/>
      <w:bookmarkEnd w:id="24"/>
      <w:bookmarkEnd w:id="25"/>
      <w:bookmarkEnd w:id="26"/>
      <w:bookmarkEnd w:id="27"/>
      <w:bookmarkEnd w:id="28"/>
      <w:bookmarkEnd w:id="29"/>
      <w:bookmarkEnd w:id="30"/>
    </w:p>
    <w:p>
      <w:pPr>
        <w:snapToGrid w:val="0"/>
        <w:spacing w:line="360" w:lineRule="auto"/>
        <w:jc w:val="center"/>
        <w:rPr>
          <w:rFonts w:hAnsi="宋体"/>
          <w:sz w:val="28"/>
          <w:szCs w:val="28"/>
        </w:rPr>
      </w:pPr>
      <w:r>
        <w:rPr>
          <w:rFonts w:hint="eastAsia" w:hAnsi="宋体"/>
          <w:sz w:val="28"/>
          <w:szCs w:val="28"/>
        </w:rPr>
        <w:t>（</w:t>
      </w:r>
      <w:r>
        <w:rPr>
          <w:iCs/>
          <w:kern w:val="0"/>
          <w:sz w:val="24"/>
        </w:rPr>
        <w:t>Genetics of Horticultural Plants</w:t>
      </w:r>
      <w:r>
        <w:rPr>
          <w:rFonts w:hAnsi="宋体"/>
          <w:sz w:val="28"/>
          <w:szCs w:val="28"/>
        </w:rPr>
        <w:t>）</w:t>
      </w:r>
    </w:p>
    <w:p>
      <w:pPr>
        <w:snapToGrid w:val="0"/>
        <w:spacing w:line="360" w:lineRule="auto"/>
        <w:jc w:val="center"/>
        <w:rPr>
          <w:rFonts w:hAnsi="宋体"/>
          <w:sz w:val="28"/>
          <w:szCs w:val="28"/>
        </w:rPr>
      </w:pPr>
    </w:p>
    <w:p>
      <w:pPr>
        <w:snapToGrid w:val="0"/>
        <w:spacing w:line="360" w:lineRule="auto"/>
        <w:jc w:val="center"/>
        <w:rPr>
          <w:b/>
          <w:szCs w:val="21"/>
        </w:rPr>
      </w:pPr>
      <w:r>
        <w:rPr>
          <w:rFonts w:hint="eastAsia"/>
          <w:b/>
          <w:szCs w:val="21"/>
        </w:rPr>
        <w:t>课程基本信息</w:t>
      </w:r>
    </w:p>
    <w:tbl>
      <w:tblPr>
        <w:tblStyle w:val="22"/>
        <w:tblW w:w="9619" w:type="dxa"/>
        <w:tblInd w:w="0" w:type="dxa"/>
        <w:tblLayout w:type="fixed"/>
        <w:tblCellMar>
          <w:top w:w="0" w:type="dxa"/>
          <w:left w:w="108" w:type="dxa"/>
          <w:bottom w:w="0" w:type="dxa"/>
          <w:right w:w="108" w:type="dxa"/>
        </w:tblCellMar>
      </w:tblPr>
      <w:tblGrid>
        <w:gridCol w:w="2915"/>
        <w:gridCol w:w="3513"/>
        <w:gridCol w:w="3191"/>
      </w:tblGrid>
      <w:tr>
        <w:tblPrEx>
          <w:tblCellMar>
            <w:top w:w="0" w:type="dxa"/>
            <w:left w:w="108" w:type="dxa"/>
            <w:bottom w:w="0" w:type="dxa"/>
            <w:right w:w="108" w:type="dxa"/>
          </w:tblCellMar>
        </w:tblPrEx>
        <w:tc>
          <w:tcPr>
            <w:tcW w:w="2915" w:type="dxa"/>
          </w:tcPr>
          <w:p>
            <w:pPr>
              <w:spacing w:line="300" w:lineRule="auto"/>
              <w:rPr>
                <w:rFonts w:ascii="宋体" w:hAnsi="宋体"/>
                <w:b/>
                <w:bCs/>
                <w:szCs w:val="21"/>
              </w:rPr>
            </w:pPr>
            <w:r>
              <w:rPr>
                <w:rFonts w:hint="eastAsia" w:ascii="宋体" w:hAnsi="宋体"/>
                <w:b/>
                <w:bCs/>
                <w:szCs w:val="21"/>
              </w:rPr>
              <w:t>课程编号：</w:t>
            </w:r>
            <w:r>
              <w:rPr>
                <w:b/>
                <w:bCs/>
                <w:szCs w:val="21"/>
              </w:rPr>
              <w:t>19011002h</w:t>
            </w:r>
          </w:p>
        </w:tc>
        <w:tc>
          <w:tcPr>
            <w:tcW w:w="3513" w:type="dxa"/>
          </w:tcPr>
          <w:p>
            <w:pPr>
              <w:spacing w:line="300" w:lineRule="auto"/>
              <w:rPr>
                <w:rFonts w:ascii="宋体" w:hAnsi="宋体"/>
                <w:b/>
                <w:bCs/>
                <w:szCs w:val="21"/>
              </w:rPr>
            </w:pPr>
            <w:r>
              <w:rPr>
                <w:rFonts w:hint="eastAsia" w:ascii="宋体" w:hAnsi="宋体"/>
                <w:b/>
                <w:bCs/>
                <w:szCs w:val="21"/>
              </w:rPr>
              <w:t>课程总学时：</w:t>
            </w:r>
            <w:r>
              <w:rPr>
                <w:rFonts w:hint="eastAsia" w:eastAsiaTheme="minorEastAsia"/>
                <w:b/>
                <w:szCs w:val="21"/>
              </w:rPr>
              <w:t>64</w:t>
            </w:r>
          </w:p>
        </w:tc>
        <w:tc>
          <w:tcPr>
            <w:tcW w:w="3191" w:type="dxa"/>
          </w:tcPr>
          <w:p>
            <w:pPr>
              <w:spacing w:line="300" w:lineRule="auto"/>
              <w:rPr>
                <w:rFonts w:ascii="宋体" w:hAnsi="宋体"/>
                <w:b/>
                <w:bCs/>
                <w:szCs w:val="21"/>
              </w:rPr>
            </w:pPr>
            <w:r>
              <w:rPr>
                <w:rFonts w:hint="eastAsia" w:ascii="宋体" w:hAnsi="宋体"/>
                <w:b/>
                <w:bCs/>
                <w:szCs w:val="21"/>
              </w:rPr>
              <w:t xml:space="preserve">实验学时： </w:t>
            </w:r>
            <w:r>
              <w:rPr>
                <w:rFonts w:hint="eastAsia" w:eastAsiaTheme="minorEastAsia"/>
                <w:b/>
                <w:szCs w:val="21"/>
              </w:rPr>
              <w:t>20</w:t>
            </w:r>
            <w:r>
              <w:rPr>
                <w:rFonts w:hint="eastAsia" w:ascii="宋体" w:hAnsi="宋体"/>
                <w:b/>
                <w:bCs/>
                <w:szCs w:val="21"/>
              </w:rPr>
              <w:t xml:space="preserve"> 学时</w:t>
            </w:r>
          </w:p>
        </w:tc>
      </w:tr>
      <w:tr>
        <w:tblPrEx>
          <w:tblCellMar>
            <w:top w:w="0" w:type="dxa"/>
            <w:left w:w="108" w:type="dxa"/>
            <w:bottom w:w="0" w:type="dxa"/>
            <w:right w:w="108" w:type="dxa"/>
          </w:tblCellMar>
        </w:tblPrEx>
        <w:tc>
          <w:tcPr>
            <w:tcW w:w="2915" w:type="dxa"/>
          </w:tcPr>
          <w:p>
            <w:pPr>
              <w:spacing w:line="300" w:lineRule="auto"/>
              <w:rPr>
                <w:rFonts w:ascii="宋体" w:hAnsi="宋体"/>
                <w:b/>
                <w:bCs/>
                <w:szCs w:val="21"/>
              </w:rPr>
            </w:pPr>
            <w:r>
              <w:rPr>
                <w:rFonts w:hint="eastAsia" w:ascii="宋体" w:hAnsi="宋体"/>
                <w:b/>
                <w:bCs/>
                <w:szCs w:val="21"/>
              </w:rPr>
              <w:t>课程性质：</w:t>
            </w:r>
            <w:r>
              <w:rPr>
                <w:rFonts w:hAnsiTheme="minorEastAsia" w:eastAsiaTheme="minorEastAsia"/>
                <w:b/>
                <w:szCs w:val="21"/>
              </w:rPr>
              <w:t>必修</w:t>
            </w:r>
          </w:p>
        </w:tc>
        <w:tc>
          <w:tcPr>
            <w:tcW w:w="3513" w:type="dxa"/>
          </w:tcPr>
          <w:p>
            <w:pPr>
              <w:spacing w:line="300" w:lineRule="auto"/>
              <w:rPr>
                <w:rFonts w:ascii="宋体" w:hAnsi="宋体"/>
                <w:b/>
                <w:bCs/>
                <w:szCs w:val="21"/>
              </w:rPr>
            </w:pPr>
            <w:r>
              <w:rPr>
                <w:rFonts w:hint="eastAsia" w:ascii="宋体" w:hAnsi="宋体"/>
                <w:b/>
                <w:szCs w:val="21"/>
              </w:rPr>
              <w:t>课程属性:</w:t>
            </w:r>
            <w:r>
              <w:rPr>
                <w:rFonts w:hAnsiTheme="minorEastAsia" w:eastAsiaTheme="minorEastAsia"/>
                <w:b/>
                <w:szCs w:val="21"/>
              </w:rPr>
              <w:t xml:space="preserve"> 专业类</w:t>
            </w:r>
          </w:p>
        </w:tc>
        <w:tc>
          <w:tcPr>
            <w:tcW w:w="3191" w:type="dxa"/>
          </w:tcPr>
          <w:p>
            <w:pPr>
              <w:spacing w:line="300" w:lineRule="auto"/>
              <w:rPr>
                <w:rFonts w:ascii="宋体" w:hAnsi="宋体"/>
                <w:b/>
                <w:bCs/>
                <w:szCs w:val="21"/>
              </w:rPr>
            </w:pPr>
            <w:r>
              <w:rPr>
                <w:rFonts w:hint="eastAsia" w:ascii="宋体" w:hAnsi="宋体"/>
                <w:b/>
                <w:bCs/>
                <w:szCs w:val="21"/>
              </w:rPr>
              <w:t>开设学期：第</w:t>
            </w:r>
            <w:r>
              <w:rPr>
                <w:rFonts w:hint="eastAsia" w:eastAsiaTheme="minorEastAsia"/>
                <w:b/>
                <w:szCs w:val="21"/>
              </w:rPr>
              <w:t>3</w:t>
            </w:r>
            <w:r>
              <w:rPr>
                <w:rFonts w:hint="eastAsia" w:ascii="宋体" w:hAnsi="宋体"/>
                <w:b/>
                <w:bCs/>
                <w:szCs w:val="21"/>
              </w:rPr>
              <w:t>学期</w:t>
            </w:r>
          </w:p>
        </w:tc>
      </w:tr>
      <w:tr>
        <w:tblPrEx>
          <w:tblCellMar>
            <w:top w:w="0" w:type="dxa"/>
            <w:left w:w="108" w:type="dxa"/>
            <w:bottom w:w="0" w:type="dxa"/>
            <w:right w:w="108" w:type="dxa"/>
          </w:tblCellMar>
        </w:tblPrEx>
        <w:tc>
          <w:tcPr>
            <w:tcW w:w="2915" w:type="dxa"/>
          </w:tcPr>
          <w:p>
            <w:pPr>
              <w:spacing w:line="300" w:lineRule="auto"/>
              <w:rPr>
                <w:rFonts w:ascii="宋体" w:hAnsi="宋体"/>
                <w:b/>
                <w:bCs/>
                <w:szCs w:val="21"/>
              </w:rPr>
            </w:pPr>
            <w:r>
              <w:rPr>
                <w:rFonts w:hint="eastAsia" w:ascii="宋体" w:hAnsi="宋体"/>
                <w:b/>
                <w:bCs/>
                <w:szCs w:val="21"/>
              </w:rPr>
              <w:t>课程负责人：胡建斌</w:t>
            </w:r>
          </w:p>
        </w:tc>
        <w:tc>
          <w:tcPr>
            <w:tcW w:w="3513" w:type="dxa"/>
          </w:tcPr>
          <w:p>
            <w:pPr>
              <w:spacing w:line="300" w:lineRule="auto"/>
              <w:ind w:left="1054" w:hanging="1054" w:hangingChars="500"/>
              <w:rPr>
                <w:rFonts w:ascii="宋体" w:hAnsi="宋体" w:eastAsiaTheme="minorEastAsia"/>
                <w:b/>
                <w:bCs/>
                <w:szCs w:val="21"/>
              </w:rPr>
            </w:pPr>
            <w:r>
              <w:rPr>
                <w:rFonts w:hint="eastAsia" w:ascii="宋体" w:hAnsi="宋体"/>
                <w:b/>
                <w:bCs/>
                <w:szCs w:val="21"/>
              </w:rPr>
              <w:t>课程团队：</w:t>
            </w:r>
            <w:r>
              <w:rPr>
                <w:rFonts w:hint="eastAsia" w:hAnsiTheme="minorEastAsia" w:eastAsiaTheme="minorEastAsia"/>
                <w:b/>
                <w:szCs w:val="21"/>
              </w:rPr>
              <w:t>胡建斌</w:t>
            </w:r>
            <w:r>
              <w:rPr>
                <w:rFonts w:hAnsiTheme="minorEastAsia" w:eastAsiaTheme="minorEastAsia"/>
                <w:b/>
                <w:szCs w:val="21"/>
              </w:rPr>
              <w:t>、</w:t>
            </w:r>
            <w:r>
              <w:rPr>
                <w:rFonts w:hint="eastAsia" w:hAnsiTheme="minorEastAsia" w:eastAsiaTheme="minorEastAsia"/>
                <w:b/>
                <w:szCs w:val="21"/>
              </w:rPr>
              <w:t>孟海军</w:t>
            </w:r>
            <w:r>
              <w:rPr>
                <w:rFonts w:hAnsiTheme="minorEastAsia" w:eastAsiaTheme="minorEastAsia"/>
                <w:b/>
                <w:szCs w:val="21"/>
              </w:rPr>
              <w:t>、</w:t>
            </w:r>
            <w:r>
              <w:rPr>
                <w:rFonts w:hint="eastAsia" w:hAnsiTheme="minorEastAsia" w:eastAsiaTheme="minorEastAsia"/>
                <w:b/>
                <w:szCs w:val="21"/>
              </w:rPr>
              <w:t>程钧、宋春晖、张世文、王盼乔、毛文文</w:t>
            </w:r>
          </w:p>
        </w:tc>
        <w:tc>
          <w:tcPr>
            <w:tcW w:w="3191" w:type="dxa"/>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9619" w:type="dxa"/>
            <w:gridSpan w:val="3"/>
          </w:tcPr>
          <w:p>
            <w:pPr>
              <w:spacing w:line="300" w:lineRule="auto"/>
              <w:ind w:right="-170" w:rightChars="-81"/>
              <w:rPr>
                <w:rFonts w:ascii="宋体" w:hAnsi="宋体"/>
                <w:bCs/>
                <w:szCs w:val="21"/>
              </w:rPr>
            </w:pPr>
            <w:r>
              <w:rPr>
                <w:rFonts w:hint="eastAsia" w:ascii="宋体" w:hAnsi="宋体"/>
                <w:b/>
                <w:bCs/>
                <w:szCs w:val="21"/>
              </w:rPr>
              <w:t>适用专业：</w:t>
            </w:r>
            <w:r>
              <w:rPr>
                <w:b/>
                <w:bCs/>
                <w:szCs w:val="21"/>
              </w:rPr>
              <w:t>园艺</w:t>
            </w:r>
            <w:r>
              <w:rPr>
                <w:rFonts w:hint="eastAsia"/>
                <w:b/>
                <w:bCs/>
                <w:szCs w:val="21"/>
                <w:lang w:eastAsia="zh-CN"/>
              </w:rPr>
              <w:t>、</w:t>
            </w:r>
            <w:r>
              <w:rPr>
                <w:b/>
                <w:bCs/>
                <w:szCs w:val="21"/>
              </w:rPr>
              <w:t>茶学</w:t>
            </w:r>
          </w:p>
        </w:tc>
      </w:tr>
      <w:tr>
        <w:tblPrEx>
          <w:tblCellMar>
            <w:top w:w="0" w:type="dxa"/>
            <w:left w:w="108" w:type="dxa"/>
            <w:bottom w:w="0" w:type="dxa"/>
            <w:right w:w="108" w:type="dxa"/>
          </w:tblCellMar>
        </w:tblPrEx>
        <w:tc>
          <w:tcPr>
            <w:tcW w:w="9619" w:type="dxa"/>
            <w:gridSpan w:val="3"/>
          </w:tcPr>
          <w:p>
            <w:pPr>
              <w:spacing w:line="300" w:lineRule="auto"/>
              <w:rPr>
                <w:rFonts w:ascii="宋体" w:hAnsi="宋体"/>
                <w:b/>
                <w:bCs/>
                <w:szCs w:val="21"/>
              </w:rPr>
            </w:pPr>
            <w:r>
              <w:rPr>
                <w:rFonts w:hint="eastAsia" w:ascii="宋体" w:hAnsi="宋体"/>
                <w:b/>
                <w:bCs/>
                <w:szCs w:val="21"/>
              </w:rPr>
              <w:t>对先修的要求：</w:t>
            </w:r>
            <w:r>
              <w:rPr>
                <w:b/>
                <w:bCs/>
                <w:szCs w:val="21"/>
              </w:rPr>
              <w:t>数学、物理、化学、植物学、植物生理学、生物化学</w:t>
            </w:r>
          </w:p>
        </w:tc>
      </w:tr>
      <w:tr>
        <w:tblPrEx>
          <w:tblCellMar>
            <w:top w:w="0" w:type="dxa"/>
            <w:left w:w="108" w:type="dxa"/>
            <w:bottom w:w="0" w:type="dxa"/>
            <w:right w:w="108" w:type="dxa"/>
          </w:tblCellMar>
        </w:tblPrEx>
        <w:tc>
          <w:tcPr>
            <w:tcW w:w="9619" w:type="dxa"/>
            <w:gridSpan w:val="3"/>
          </w:tcPr>
          <w:p>
            <w:pPr>
              <w:spacing w:line="300" w:lineRule="auto"/>
              <w:rPr>
                <w:rFonts w:ascii="宋体" w:hAnsi="宋体"/>
                <w:b/>
                <w:bCs/>
                <w:szCs w:val="21"/>
              </w:rPr>
            </w:pPr>
            <w:r>
              <w:rPr>
                <w:rFonts w:hint="eastAsia" w:ascii="宋体" w:hAnsi="宋体"/>
                <w:b/>
                <w:bCs/>
                <w:szCs w:val="21"/>
              </w:rPr>
              <w:t>对后续的支撑：作为</w:t>
            </w:r>
            <w:r>
              <w:rPr>
                <w:b/>
                <w:bCs/>
                <w:szCs w:val="21"/>
              </w:rPr>
              <w:t>园艺植物育种学</w:t>
            </w:r>
            <w:r>
              <w:rPr>
                <w:rFonts w:hint="eastAsia"/>
                <w:b/>
                <w:bCs/>
                <w:szCs w:val="21"/>
              </w:rPr>
              <w:t>的</w:t>
            </w:r>
            <w:r>
              <w:rPr>
                <w:b/>
                <w:bCs/>
                <w:szCs w:val="21"/>
              </w:rPr>
              <w:t>先导</w:t>
            </w:r>
            <w:r>
              <w:rPr>
                <w:rFonts w:hint="eastAsia"/>
                <w:b/>
                <w:bCs/>
                <w:szCs w:val="21"/>
              </w:rPr>
              <w:t>课程，直接为</w:t>
            </w:r>
            <w:r>
              <w:rPr>
                <w:b/>
                <w:bCs/>
                <w:szCs w:val="21"/>
              </w:rPr>
              <w:t>其</w:t>
            </w:r>
            <w:r>
              <w:rPr>
                <w:rFonts w:hint="eastAsia" w:ascii="宋体" w:hAnsi="宋体"/>
                <w:b/>
                <w:bCs/>
                <w:szCs w:val="21"/>
              </w:rPr>
              <w:t>提供遗传</w:t>
            </w:r>
            <w:r>
              <w:rPr>
                <w:rFonts w:ascii="宋体" w:hAnsi="宋体"/>
                <w:b/>
                <w:bCs/>
                <w:szCs w:val="21"/>
              </w:rPr>
              <w:t>育种的</w:t>
            </w:r>
            <w:r>
              <w:rPr>
                <w:rFonts w:hint="eastAsia" w:ascii="宋体" w:hAnsi="宋体"/>
                <w:b/>
                <w:bCs/>
                <w:szCs w:val="21"/>
              </w:rPr>
              <w:t>基础</w:t>
            </w:r>
            <w:r>
              <w:rPr>
                <w:rFonts w:ascii="宋体" w:hAnsi="宋体"/>
                <w:b/>
                <w:bCs/>
                <w:szCs w:val="21"/>
              </w:rPr>
              <w:t>知识、基本原理</w:t>
            </w:r>
            <w:r>
              <w:rPr>
                <w:rFonts w:hint="eastAsia" w:ascii="宋体" w:hAnsi="宋体"/>
                <w:b/>
                <w:bCs/>
                <w:szCs w:val="21"/>
              </w:rPr>
              <w:t>和</w:t>
            </w:r>
            <w:r>
              <w:rPr>
                <w:rFonts w:ascii="宋体" w:hAnsi="宋体"/>
                <w:b/>
                <w:bCs/>
                <w:szCs w:val="21"/>
              </w:rPr>
              <w:t>基本理论，以及性状</w:t>
            </w:r>
            <w:r>
              <w:rPr>
                <w:rFonts w:hint="eastAsia" w:ascii="宋体" w:hAnsi="宋体"/>
                <w:b/>
                <w:bCs/>
                <w:szCs w:val="21"/>
              </w:rPr>
              <w:t>变异</w:t>
            </w:r>
            <w:r>
              <w:rPr>
                <w:rFonts w:ascii="宋体" w:hAnsi="宋体"/>
                <w:b/>
                <w:bCs/>
                <w:szCs w:val="21"/>
              </w:rPr>
              <w:t>的分析和统计方法</w:t>
            </w:r>
            <w:r>
              <w:rPr>
                <w:rFonts w:hint="eastAsia" w:ascii="宋体" w:hAnsi="宋体"/>
                <w:b/>
                <w:bCs/>
                <w:szCs w:val="21"/>
              </w:rPr>
              <w:t>，也体现</w:t>
            </w:r>
            <w:r>
              <w:rPr>
                <w:rFonts w:ascii="宋体" w:hAnsi="宋体"/>
                <w:b/>
                <w:bCs/>
                <w:szCs w:val="21"/>
              </w:rPr>
              <w:t>了现代分子</w:t>
            </w:r>
            <w:r>
              <w:rPr>
                <w:rFonts w:hint="eastAsia" w:ascii="宋体" w:hAnsi="宋体"/>
                <w:b/>
                <w:bCs/>
                <w:szCs w:val="21"/>
              </w:rPr>
              <w:t>遗传学对</w:t>
            </w:r>
            <w:r>
              <w:rPr>
                <w:rFonts w:ascii="宋体" w:hAnsi="宋体"/>
                <w:b/>
                <w:bCs/>
                <w:szCs w:val="21"/>
              </w:rPr>
              <w:t>传统育种</w:t>
            </w:r>
            <w:r>
              <w:rPr>
                <w:rFonts w:hint="eastAsia" w:ascii="宋体" w:hAnsi="宋体"/>
                <w:b/>
                <w:bCs/>
                <w:szCs w:val="21"/>
              </w:rPr>
              <w:t>补充及促进</w:t>
            </w:r>
            <w:r>
              <w:rPr>
                <w:rFonts w:ascii="宋体" w:hAnsi="宋体"/>
                <w:b/>
                <w:bCs/>
                <w:szCs w:val="21"/>
              </w:rPr>
              <w:t>作用</w:t>
            </w:r>
            <w:r>
              <w:rPr>
                <w:rFonts w:hint="eastAsia" w:ascii="宋体" w:hAnsi="宋体"/>
                <w:b/>
                <w:bCs/>
                <w:szCs w:val="21"/>
              </w:rPr>
              <w:t>。</w:t>
            </w:r>
          </w:p>
        </w:tc>
      </w:tr>
      <w:tr>
        <w:tblPrEx>
          <w:tblCellMar>
            <w:top w:w="0" w:type="dxa"/>
            <w:left w:w="108" w:type="dxa"/>
            <w:bottom w:w="0" w:type="dxa"/>
            <w:right w:w="108" w:type="dxa"/>
          </w:tblCellMar>
        </w:tblPrEx>
        <w:tc>
          <w:tcPr>
            <w:tcW w:w="2915" w:type="dxa"/>
          </w:tcPr>
          <w:p>
            <w:pPr>
              <w:spacing w:line="300" w:lineRule="auto"/>
              <w:rPr>
                <w:rFonts w:ascii="宋体" w:hAnsi="宋体"/>
                <w:b/>
                <w:bCs/>
                <w:szCs w:val="21"/>
              </w:rPr>
            </w:pPr>
            <w:r>
              <w:rPr>
                <w:rFonts w:hint="eastAsia" w:ascii="宋体" w:hAnsi="宋体"/>
                <w:b/>
                <w:bCs/>
                <w:szCs w:val="21"/>
              </w:rPr>
              <w:t>主撰人：</w:t>
            </w:r>
            <w:r>
              <w:rPr>
                <w:rFonts w:hint="eastAsia" w:hAnsiTheme="minorEastAsia" w:eastAsiaTheme="minorEastAsia"/>
                <w:b/>
                <w:szCs w:val="21"/>
              </w:rPr>
              <w:t>程钧、</w:t>
            </w:r>
            <w:r>
              <w:rPr>
                <w:rFonts w:hAnsiTheme="minorEastAsia" w:eastAsiaTheme="minorEastAsia"/>
                <w:b/>
                <w:szCs w:val="21"/>
              </w:rPr>
              <w:t>张世文</w:t>
            </w:r>
            <w:r>
              <w:rPr>
                <w:rFonts w:hint="eastAsia" w:hAnsiTheme="minorEastAsia" w:eastAsiaTheme="minorEastAsia"/>
                <w:b/>
                <w:szCs w:val="21"/>
              </w:rPr>
              <w:t>、孟海军、宋春晖、王盼乔、毛文文</w:t>
            </w:r>
          </w:p>
        </w:tc>
        <w:tc>
          <w:tcPr>
            <w:tcW w:w="3513" w:type="dxa"/>
          </w:tcPr>
          <w:p>
            <w:pPr>
              <w:spacing w:line="300" w:lineRule="auto"/>
              <w:rPr>
                <w:rFonts w:ascii="宋体" w:hAnsi="宋体"/>
                <w:b/>
                <w:bCs/>
                <w:szCs w:val="21"/>
              </w:rPr>
            </w:pPr>
            <w:r>
              <w:rPr>
                <w:rFonts w:hint="eastAsia" w:ascii="宋体" w:hAnsi="宋体"/>
                <w:b/>
                <w:bCs/>
                <w:szCs w:val="21"/>
              </w:rPr>
              <w:t>审核人：</w:t>
            </w:r>
            <w:r>
              <w:rPr>
                <w:rFonts w:hint="eastAsia" w:hAnsiTheme="minorEastAsia" w:eastAsiaTheme="minorEastAsia"/>
                <w:b/>
                <w:szCs w:val="21"/>
              </w:rPr>
              <w:t>胡建斌</w:t>
            </w:r>
          </w:p>
        </w:tc>
        <w:tc>
          <w:tcPr>
            <w:tcW w:w="3191" w:type="dxa"/>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p>
    <w:p>
      <w:pPr>
        <w:widowControl/>
        <w:snapToGrid w:val="0"/>
        <w:spacing w:line="360" w:lineRule="auto"/>
        <w:ind w:left="210" w:firstLine="418"/>
        <w:jc w:val="left"/>
        <w:rPr>
          <w:rFonts w:hAnsi="宋体"/>
          <w:kern w:val="0"/>
          <w:szCs w:val="21"/>
        </w:rPr>
      </w:pPr>
      <w:r>
        <w:rPr>
          <w:rFonts w:hAnsi="宋体"/>
          <w:kern w:val="0"/>
          <w:szCs w:val="21"/>
        </w:rPr>
        <w:t>该课程为</w:t>
      </w:r>
      <w:r>
        <w:rPr>
          <w:rFonts w:hint="eastAsia" w:hAnsi="宋体"/>
          <w:kern w:val="0"/>
          <w:szCs w:val="21"/>
        </w:rPr>
        <w:t>园艺、茶学本科专业的必修课程之一，为育种学的基础课程，是该</w:t>
      </w:r>
      <w:r>
        <w:rPr>
          <w:rFonts w:hAnsi="宋体"/>
          <w:kern w:val="0"/>
          <w:szCs w:val="21"/>
        </w:rPr>
        <w:t>专业学生的</w:t>
      </w:r>
      <w:r>
        <w:rPr>
          <w:rFonts w:hint="eastAsia" w:hAnsi="宋体"/>
          <w:kern w:val="0"/>
          <w:szCs w:val="21"/>
        </w:rPr>
        <w:t>核心</w:t>
      </w:r>
      <w:r>
        <w:rPr>
          <w:rFonts w:hAnsi="宋体"/>
          <w:kern w:val="0"/>
          <w:szCs w:val="21"/>
        </w:rPr>
        <w:t>课程。要求</w:t>
      </w:r>
      <w:r>
        <w:rPr>
          <w:rFonts w:hint="eastAsia" w:hAnsi="宋体"/>
          <w:kern w:val="0"/>
          <w:szCs w:val="21"/>
        </w:rPr>
        <w:t>在</w:t>
      </w:r>
      <w:r>
        <w:rPr>
          <w:rFonts w:hAnsi="宋体"/>
          <w:kern w:val="0"/>
          <w:szCs w:val="21"/>
        </w:rPr>
        <w:t>数、理、化、植物学、植物生理学和生物化学等课程</w:t>
      </w:r>
      <w:r>
        <w:rPr>
          <w:rFonts w:hint="eastAsia" w:hAnsi="宋体"/>
          <w:kern w:val="0"/>
          <w:szCs w:val="21"/>
        </w:rPr>
        <w:t>学习的基础上，</w:t>
      </w:r>
      <w:r>
        <w:rPr>
          <w:rFonts w:hAnsi="宋体"/>
          <w:kern w:val="0"/>
          <w:szCs w:val="21"/>
        </w:rPr>
        <w:t>通过学习本课程，使学生掌握</w:t>
      </w:r>
      <w:r>
        <w:rPr>
          <w:rFonts w:hint="eastAsia" w:hAnsi="宋体"/>
          <w:kern w:val="0"/>
          <w:szCs w:val="21"/>
        </w:rPr>
        <w:t>园艺植物</w:t>
      </w:r>
      <w:r>
        <w:rPr>
          <w:rFonts w:hAnsi="宋体"/>
          <w:kern w:val="0"/>
          <w:szCs w:val="21"/>
        </w:rPr>
        <w:t>遗传与变异的基本规律</w:t>
      </w:r>
      <w:r>
        <w:rPr>
          <w:rFonts w:hint="eastAsia" w:hAnsi="宋体"/>
          <w:kern w:val="0"/>
          <w:szCs w:val="21"/>
        </w:rPr>
        <w:t>，具备从事园艺植物遗传育种领域研究的能力和素养，并</w:t>
      </w:r>
      <w:r>
        <w:rPr>
          <w:rFonts w:hAnsi="宋体"/>
          <w:kern w:val="0"/>
          <w:szCs w:val="21"/>
        </w:rPr>
        <w:t>能</w:t>
      </w:r>
      <w:r>
        <w:rPr>
          <w:rFonts w:hint="eastAsia" w:hAnsi="宋体"/>
          <w:kern w:val="0"/>
          <w:szCs w:val="21"/>
        </w:rPr>
        <w:t>够</w:t>
      </w:r>
      <w:r>
        <w:rPr>
          <w:rFonts w:hAnsi="宋体"/>
          <w:kern w:val="0"/>
          <w:szCs w:val="21"/>
        </w:rPr>
        <w:t>利用其基本知识指导园艺</w:t>
      </w:r>
      <w:r>
        <w:rPr>
          <w:rFonts w:hint="eastAsia" w:hAnsi="宋体"/>
          <w:kern w:val="0"/>
          <w:szCs w:val="21"/>
        </w:rPr>
        <w:t>植物</w:t>
      </w:r>
      <w:r>
        <w:rPr>
          <w:rFonts w:hAnsi="宋体"/>
          <w:kern w:val="0"/>
          <w:szCs w:val="21"/>
        </w:rPr>
        <w:t>的育种实践</w:t>
      </w:r>
      <w:r>
        <w:rPr>
          <w:rFonts w:hint="eastAsia" w:hAnsi="宋体"/>
          <w:kern w:val="0"/>
          <w:szCs w:val="21"/>
        </w:rPr>
        <w:t>。</w:t>
      </w:r>
    </w:p>
    <w:p>
      <w:pPr>
        <w:widowControl/>
        <w:snapToGrid w:val="0"/>
        <w:spacing w:line="360" w:lineRule="auto"/>
        <w:ind w:left="210" w:firstLine="418"/>
        <w:jc w:val="left"/>
        <w:rPr>
          <w:kern w:val="0"/>
          <w:szCs w:val="21"/>
        </w:rPr>
      </w:pPr>
      <w:r>
        <w:rPr>
          <w:rFonts w:hint="eastAsia" w:ascii="宋体" w:hAnsi="宋体"/>
        </w:rPr>
        <w:t>在教学理念上，课程教学以学生为中心，关注学生的进步和发展，同时将专业知识教学与课堂育人相结合，体现教书育人的理念。同时，注重课堂教学效果，让学生能够学以致用，真正掌握专业知识，塑造</w:t>
      </w:r>
      <w:r>
        <w:rPr>
          <w:rFonts w:ascii="宋体" w:hAnsi="宋体"/>
        </w:rPr>
        <w:t>专业</w:t>
      </w:r>
      <w:r>
        <w:rPr>
          <w:rFonts w:hint="eastAsia" w:ascii="宋体" w:hAnsi="宋体"/>
        </w:rPr>
        <w:t>素质，为以后的学习和工作打下坚实的专业基础。</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rPr>
          <w:kern w:val="0"/>
          <w:szCs w:val="21"/>
        </w:rPr>
      </w:pPr>
      <w:r>
        <w:rPr>
          <w:kern w:val="0"/>
          <w:szCs w:val="21"/>
        </w:rPr>
        <w:t>1.理论知识方面：掌握</w:t>
      </w:r>
      <w:r>
        <w:rPr>
          <w:rFonts w:hint="eastAsia"/>
          <w:kern w:val="0"/>
          <w:szCs w:val="21"/>
        </w:rPr>
        <w:t>生物</w:t>
      </w:r>
      <w:r>
        <w:rPr>
          <w:kern w:val="0"/>
          <w:szCs w:val="21"/>
        </w:rPr>
        <w:t>遗传变异的基本理论、基本规律</w:t>
      </w:r>
      <w:r>
        <w:rPr>
          <w:rFonts w:hint="eastAsia"/>
          <w:kern w:val="0"/>
          <w:szCs w:val="21"/>
        </w:rPr>
        <w:t>及其</w:t>
      </w:r>
      <w:r>
        <w:rPr>
          <w:kern w:val="0"/>
          <w:szCs w:val="21"/>
        </w:rPr>
        <w:t>细胞学基础，了解</w:t>
      </w:r>
      <w:r>
        <w:rPr>
          <w:rFonts w:hint="eastAsia"/>
          <w:kern w:val="0"/>
          <w:szCs w:val="21"/>
        </w:rPr>
        <w:t>园艺植物</w:t>
      </w:r>
      <w:r>
        <w:rPr>
          <w:kern w:val="0"/>
          <w:szCs w:val="21"/>
        </w:rPr>
        <w:t>遗传与</w:t>
      </w:r>
      <w:r>
        <w:rPr>
          <w:rFonts w:hint="eastAsia"/>
          <w:kern w:val="0"/>
          <w:szCs w:val="21"/>
        </w:rPr>
        <w:t>变异的分子学基础</w:t>
      </w:r>
      <w:r>
        <w:rPr>
          <w:kern w:val="0"/>
          <w:szCs w:val="21"/>
        </w:rPr>
        <w:t>，并熟悉遗传学理论在</w:t>
      </w:r>
      <w:r>
        <w:rPr>
          <w:rFonts w:hint="eastAsia"/>
          <w:kern w:val="0"/>
          <w:szCs w:val="21"/>
        </w:rPr>
        <w:t>园艺</w:t>
      </w:r>
      <w:r>
        <w:rPr>
          <w:kern w:val="0"/>
          <w:szCs w:val="21"/>
        </w:rPr>
        <w:t>育种上的应用概况。</w:t>
      </w:r>
    </w:p>
    <w:p>
      <w:pPr>
        <w:widowControl/>
        <w:snapToGrid w:val="0"/>
        <w:spacing w:line="360" w:lineRule="auto"/>
        <w:ind w:firstLine="420" w:firstLineChars="200"/>
        <w:rPr>
          <w:kern w:val="0"/>
          <w:szCs w:val="21"/>
        </w:rPr>
      </w:pPr>
      <w:r>
        <w:rPr>
          <w:kern w:val="0"/>
          <w:szCs w:val="21"/>
        </w:rPr>
        <w:t>2.实验技能方面：</w:t>
      </w:r>
      <w:r>
        <w:rPr>
          <w:rFonts w:hint="eastAsia"/>
          <w:kern w:val="0"/>
          <w:szCs w:val="21"/>
        </w:rPr>
        <w:t>能</w:t>
      </w:r>
      <w:r>
        <w:rPr>
          <w:kern w:val="0"/>
          <w:szCs w:val="21"/>
        </w:rPr>
        <w:t>利用所学知识</w:t>
      </w:r>
      <w:r>
        <w:rPr>
          <w:rFonts w:hint="eastAsia"/>
          <w:kern w:val="0"/>
          <w:szCs w:val="21"/>
        </w:rPr>
        <w:t>，</w:t>
      </w:r>
      <w:r>
        <w:rPr>
          <w:kern w:val="0"/>
          <w:szCs w:val="21"/>
        </w:rPr>
        <w:t>根据园艺</w:t>
      </w:r>
      <w:r>
        <w:rPr>
          <w:rFonts w:hint="eastAsia"/>
          <w:kern w:val="0"/>
          <w:szCs w:val="21"/>
        </w:rPr>
        <w:t>植物</w:t>
      </w:r>
      <w:r>
        <w:rPr>
          <w:kern w:val="0"/>
          <w:szCs w:val="21"/>
        </w:rPr>
        <w:t>的特点及育种目标，设计杂交组合并能</w:t>
      </w:r>
      <w:r>
        <w:rPr>
          <w:rFonts w:hint="eastAsia"/>
          <w:kern w:val="0"/>
          <w:szCs w:val="21"/>
        </w:rPr>
        <w:t>对</w:t>
      </w:r>
      <w:r>
        <w:rPr>
          <w:kern w:val="0"/>
          <w:szCs w:val="21"/>
        </w:rPr>
        <w:t>后代性状表现进行遗传性状的</w:t>
      </w:r>
      <w:r>
        <w:rPr>
          <w:rFonts w:hint="eastAsia"/>
          <w:kern w:val="0"/>
          <w:szCs w:val="21"/>
        </w:rPr>
        <w:t>预测、</w:t>
      </w:r>
      <w:r>
        <w:rPr>
          <w:kern w:val="0"/>
          <w:szCs w:val="21"/>
        </w:rPr>
        <w:t>统计分析和研究，</w:t>
      </w:r>
      <w:r>
        <w:rPr>
          <w:rFonts w:hint="eastAsia"/>
          <w:kern w:val="0"/>
          <w:szCs w:val="21"/>
        </w:rPr>
        <w:t>解释园艺植物育种过程中出现的遗传变异现象</w:t>
      </w:r>
      <w:r>
        <w:rPr>
          <w:kern w:val="0"/>
          <w:szCs w:val="21"/>
        </w:rPr>
        <w:t>。</w:t>
      </w:r>
    </w:p>
    <w:p>
      <w:pPr>
        <w:widowControl/>
        <w:snapToGrid w:val="0"/>
        <w:spacing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Ansi="宋体"/>
          <w:bCs/>
          <w:kern w:val="0"/>
          <w:szCs w:val="21"/>
        </w:rPr>
        <w:t>1.</w:t>
      </w:r>
      <w:r>
        <w:rPr>
          <w:rFonts w:hint="eastAsia" w:hAnsi="宋体"/>
          <w:bCs/>
          <w:kern w:val="0"/>
          <w:szCs w:val="21"/>
        </w:rPr>
        <w:t>教学设计说明</w:t>
      </w:r>
    </w:p>
    <w:p>
      <w:pPr>
        <w:widowControl/>
        <w:snapToGrid w:val="0"/>
        <w:spacing w:line="360" w:lineRule="auto"/>
        <w:ind w:firstLine="420" w:firstLineChars="200"/>
        <w:rPr>
          <w:rFonts w:hAnsi="宋体"/>
          <w:bCs/>
          <w:kern w:val="0"/>
          <w:szCs w:val="21"/>
        </w:rPr>
      </w:pPr>
      <w:r>
        <w:rPr>
          <w:rFonts w:hint="eastAsia" w:hAnsi="宋体"/>
          <w:bCs/>
          <w:kern w:val="0"/>
          <w:szCs w:val="21"/>
        </w:rPr>
        <w:t>理论课</w:t>
      </w:r>
      <w:r>
        <w:rPr>
          <w:rFonts w:hint="eastAsia"/>
          <w:kern w:val="0"/>
          <w:szCs w:val="21"/>
        </w:rPr>
        <w:t>大班</w:t>
      </w:r>
      <w:r>
        <w:rPr>
          <w:rFonts w:hint="eastAsia" w:hAnsi="宋体"/>
          <w:bCs/>
          <w:kern w:val="0"/>
          <w:szCs w:val="21"/>
        </w:rPr>
        <w:t>授课，以老师为主导、学生为主体的方式授课，老师应通过课堂提问、互动、案例</w:t>
      </w:r>
      <w:r>
        <w:rPr>
          <w:rFonts w:hAnsi="宋体"/>
          <w:bCs/>
          <w:kern w:val="0"/>
          <w:szCs w:val="21"/>
        </w:rPr>
        <w:t>分析</w:t>
      </w:r>
      <w:r>
        <w:rPr>
          <w:rFonts w:hint="eastAsia" w:hAnsi="宋体"/>
          <w:bCs/>
          <w:kern w:val="0"/>
          <w:szCs w:val="21"/>
        </w:rPr>
        <w:t>、</w:t>
      </w:r>
      <w:r>
        <w:rPr>
          <w:rFonts w:hAnsi="宋体"/>
          <w:bCs/>
          <w:kern w:val="0"/>
          <w:szCs w:val="21"/>
        </w:rPr>
        <w:t>课题测试</w:t>
      </w:r>
      <w:r>
        <w:rPr>
          <w:rFonts w:hint="eastAsia" w:hAnsi="宋体"/>
          <w:bCs/>
          <w:kern w:val="0"/>
          <w:szCs w:val="21"/>
        </w:rPr>
        <w:t>等方法，充分调动起学生的积极性，及时了解学生对知识的掌握情况。</w:t>
      </w:r>
    </w:p>
    <w:p>
      <w:pPr>
        <w:widowControl/>
        <w:snapToGrid w:val="0"/>
        <w:spacing w:line="360" w:lineRule="auto"/>
        <w:ind w:firstLine="420" w:firstLineChars="200"/>
        <w:rPr>
          <w:rFonts w:hAnsi="宋体"/>
          <w:bCs/>
          <w:kern w:val="0"/>
          <w:szCs w:val="21"/>
        </w:rPr>
      </w:pPr>
      <w:r>
        <w:rPr>
          <w:rFonts w:hint="eastAsia" w:hAnsi="宋体"/>
          <w:bCs/>
          <w:kern w:val="0"/>
          <w:szCs w:val="21"/>
        </w:rPr>
        <w:t>实验课小班授课，让学生动手参与实验课程，通过实践，巩固和强化对课堂知识的理解和掌握，将理论课和实验课有机结合起来，达到最佳的教学效果。教学考核采取多种方式，通过课堂到课率、回答问题、测试</w:t>
      </w:r>
      <w:r>
        <w:rPr>
          <w:rFonts w:hAnsi="宋体"/>
          <w:bCs/>
          <w:kern w:val="0"/>
          <w:szCs w:val="21"/>
        </w:rPr>
        <w:t>、</w:t>
      </w:r>
      <w:r>
        <w:rPr>
          <w:rFonts w:hint="eastAsia" w:hAnsi="宋体"/>
          <w:bCs/>
          <w:kern w:val="0"/>
          <w:szCs w:val="21"/>
        </w:rPr>
        <w:t>实验操作过程及结果等进行综合考察，使学生更好的掌握所学。</w:t>
      </w:r>
    </w:p>
    <w:p>
      <w:pPr>
        <w:widowControl/>
        <w:snapToGrid w:val="0"/>
        <w:spacing w:line="360" w:lineRule="auto"/>
        <w:ind w:firstLine="420" w:firstLineChars="200"/>
        <w:rPr>
          <w:rFonts w:hAnsi="宋体"/>
          <w:bCs/>
          <w:kern w:val="0"/>
          <w:szCs w:val="21"/>
        </w:rPr>
      </w:pPr>
      <w:r>
        <w:rPr>
          <w:rFonts w:hAnsi="宋体"/>
          <w:bCs/>
          <w:kern w:val="0"/>
          <w:szCs w:val="21"/>
        </w:rPr>
        <w:t>2.</w:t>
      </w:r>
      <w:r>
        <w:rPr>
          <w:rFonts w:hint="eastAsia" w:hAnsi="宋体"/>
          <w:bCs/>
          <w:kern w:val="0"/>
          <w:szCs w:val="21"/>
        </w:rPr>
        <w:t>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1</w:t>
            </w:r>
          </w:p>
        </w:tc>
        <w:tc>
          <w:tcPr>
            <w:tcW w:w="684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ind w:firstLine="360"/>
              <w:rPr>
                <w:rFonts w:asciiTheme="minorEastAsia" w:hAnsiTheme="minorEastAsia" w:eastAsiaTheme="minorEastAsia"/>
                <w:sz w:val="18"/>
                <w:szCs w:val="18"/>
              </w:rPr>
            </w:pPr>
            <w:r>
              <w:rPr>
                <w:rFonts w:asciiTheme="minorEastAsia" w:hAnsiTheme="minorEastAsia" w:eastAsiaTheme="minorEastAsia"/>
                <w:bCs/>
                <w:sz w:val="18"/>
                <w:szCs w:val="18"/>
              </w:rPr>
              <w:t>目标1：</w:t>
            </w:r>
            <w:r>
              <w:rPr>
                <w:rFonts w:hint="eastAsia" w:asciiTheme="minorEastAsia" w:hAnsiTheme="minorEastAsia" w:eastAsiaTheme="minorEastAsia"/>
                <w:bCs/>
                <w:sz w:val="18"/>
                <w:szCs w:val="18"/>
              </w:rPr>
              <w:t>通过本课程的学习，使学生了解遗传规律，培养学生尊重科学、热爱科学、树立远大理想信念。</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1</w:t>
            </w:r>
          </w:p>
          <w:p>
            <w:pPr>
              <w:spacing w:line="320" w:lineRule="exact"/>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hAnsiTheme="minorEastAsia" w:eastAsiaTheme="minorEastAsia"/>
                <w:color w:val="0000FF"/>
                <w:sz w:val="18"/>
                <w:szCs w:val="18"/>
                <w:highlight w:val="yellow"/>
              </w:rPr>
            </w:pPr>
            <w:r>
              <w:rPr>
                <w:rFonts w:asciiTheme="minorEastAsia" w:hAnsiTheme="minorEastAsia" w:eastAsiaTheme="minorEastAsia"/>
                <w:bCs/>
                <w:sz w:val="18"/>
                <w:szCs w:val="18"/>
              </w:rPr>
              <w:t>目标2：</w:t>
            </w:r>
            <w:r>
              <w:rPr>
                <w:rFonts w:hint="eastAsia" w:asciiTheme="minorEastAsia" w:hAnsiTheme="minorEastAsia" w:eastAsiaTheme="minorEastAsia"/>
                <w:bCs/>
                <w:sz w:val="18"/>
                <w:szCs w:val="18"/>
              </w:rPr>
              <w:t>通过对各种遗传</w:t>
            </w:r>
            <w:r>
              <w:rPr>
                <w:rFonts w:hint="eastAsia" w:asciiTheme="minorEastAsia" w:hAnsiTheme="minorEastAsia" w:eastAsiaTheme="minorEastAsia"/>
                <w:sz w:val="18"/>
                <w:szCs w:val="18"/>
              </w:rPr>
              <w:t>变异特点</w:t>
            </w:r>
            <w:r>
              <w:rPr>
                <w:rFonts w:hint="eastAsia" w:asciiTheme="minorEastAsia" w:hAnsiTheme="minorEastAsia" w:eastAsiaTheme="minorEastAsia"/>
                <w:bCs/>
                <w:sz w:val="18"/>
                <w:szCs w:val="18"/>
              </w:rPr>
              <w:t>的学习，使学生具备遗传</w:t>
            </w:r>
            <w:r>
              <w:rPr>
                <w:rFonts w:hint="eastAsia" w:asciiTheme="minorEastAsia" w:hAnsiTheme="minorEastAsia" w:eastAsiaTheme="minorEastAsia"/>
                <w:sz w:val="18"/>
                <w:szCs w:val="18"/>
              </w:rPr>
              <w:t>变异来源类型的初步分析能力；</w:t>
            </w:r>
            <w:r>
              <w:rPr>
                <w:rFonts w:hint="eastAsia" w:asciiTheme="minorEastAsia" w:hAnsiTheme="minorEastAsia" w:eastAsiaTheme="minorEastAsia"/>
                <w:bCs/>
                <w:sz w:val="18"/>
                <w:szCs w:val="18"/>
              </w:rPr>
              <w:t>通过对遗传</w:t>
            </w:r>
            <w:r>
              <w:rPr>
                <w:rFonts w:hint="eastAsia" w:asciiTheme="minorEastAsia" w:hAnsiTheme="minorEastAsia" w:eastAsiaTheme="minorEastAsia"/>
                <w:sz w:val="18"/>
                <w:szCs w:val="18"/>
              </w:rPr>
              <w:t>变异来源</w:t>
            </w:r>
            <w:r>
              <w:rPr>
                <w:rFonts w:hint="eastAsia" w:asciiTheme="minorEastAsia" w:hAnsiTheme="minorEastAsia" w:eastAsiaTheme="minorEastAsia"/>
                <w:bCs/>
                <w:sz w:val="18"/>
                <w:szCs w:val="18"/>
              </w:rPr>
              <w:t>的学习，使学生具备创造新变异的基本能力。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5</w:t>
            </w:r>
          </w:p>
          <w:p>
            <w:pPr>
              <w:spacing w:line="320" w:lineRule="exact"/>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7</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color w:val="0000FF"/>
                <w:sz w:val="18"/>
                <w:szCs w:val="18"/>
              </w:rPr>
            </w:pPr>
            <w:r>
              <w:rPr>
                <w:rFonts w:asciiTheme="minorEastAsia" w:hAnsiTheme="minorEastAsia" w:eastAsiaTheme="minorEastAsia"/>
                <w:bCs/>
                <w:sz w:val="18"/>
                <w:szCs w:val="18"/>
              </w:rPr>
              <w:t>目标3：</w:t>
            </w:r>
            <w:r>
              <w:rPr>
                <w:rFonts w:hint="eastAsia" w:asciiTheme="minorEastAsia" w:hAnsiTheme="minorEastAsia" w:eastAsiaTheme="minorEastAsia"/>
                <w:bCs/>
                <w:sz w:val="18"/>
                <w:szCs w:val="18"/>
              </w:rPr>
              <w:t>通过对经典遗传学定律的学习，使学生具备对杂交后代基因型及其比例的分析计算能力。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4</w:t>
            </w:r>
          </w:p>
          <w:p>
            <w:pPr>
              <w:spacing w:line="320" w:lineRule="exact"/>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6</w:t>
            </w:r>
          </w:p>
        </w:tc>
      </w:tr>
    </w:tbl>
    <w:p>
      <w:pPr>
        <w:widowControl/>
        <w:snapToGrid w:val="0"/>
        <w:spacing w:line="360" w:lineRule="auto"/>
        <w:ind w:firstLine="420" w:firstLineChars="200"/>
        <w:rPr>
          <w:rFonts w:hAnsi="宋体"/>
          <w:bCs/>
          <w:kern w:val="0"/>
          <w:szCs w:val="21"/>
        </w:rPr>
      </w:pPr>
    </w:p>
    <w:p>
      <w:pPr>
        <w:widowControl/>
        <w:snapToGrid w:val="0"/>
        <w:spacing w:line="360" w:lineRule="auto"/>
        <w:jc w:val="left"/>
        <w:rPr>
          <w:rFonts w:hAnsi="宋体"/>
          <w:b/>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（44学时）</w:t>
      </w:r>
      <w:r>
        <w:rPr>
          <w:rFonts w:hint="eastAsia" w:ascii="宋体" w:hAnsi="宋体" w:cs="宋体"/>
          <w:b/>
          <w:bCs/>
          <w:kern w:val="0"/>
          <w:szCs w:val="21"/>
        </w:rPr>
        <w:t></w:t>
      </w:r>
    </w:p>
    <w:p>
      <w:pPr>
        <w:widowControl/>
        <w:wordWrap w:val="0"/>
        <w:snapToGrid w:val="0"/>
        <w:spacing w:line="360" w:lineRule="auto"/>
        <w:jc w:val="right"/>
        <w:rPr>
          <w:rFonts w:ascii="宋体" w:hAnsi="宋体"/>
          <w:b/>
          <w:bCs/>
        </w:rPr>
      </w:pPr>
      <w:r>
        <w:rPr>
          <w:rFonts w:hint="eastAsia" w:ascii="宋体" w:hAnsi="宋体"/>
          <w:b/>
          <w:bCs/>
        </w:rPr>
        <w:t>绪  论</w:t>
      </w:r>
      <w:r>
        <w:rPr>
          <w:rFonts w:ascii="宋体" w:hAnsi="宋体"/>
          <w:b/>
          <w:bCs/>
        </w:rPr>
        <w:t> </w:t>
      </w:r>
      <w:r>
        <w:rPr>
          <w:rFonts w:hint="eastAsia" w:ascii="宋体" w:hAnsi="宋体"/>
          <w:b/>
          <w:bCs/>
        </w:rPr>
        <w:t xml:space="preserve">           </w:t>
      </w:r>
      <w:r>
        <w:rPr>
          <w:rFonts w:ascii="宋体" w:hAnsi="宋体"/>
          <w:b/>
          <w:bCs/>
        </w:rPr>
        <w:t xml:space="preserve">  </w:t>
      </w:r>
      <w:r>
        <w:rPr>
          <w:rFonts w:hint="eastAsia" w:ascii="宋体" w:hAnsi="宋体"/>
          <w:b/>
          <w:bCs/>
        </w:rPr>
        <w:t xml:space="preserve">               </w:t>
      </w:r>
      <w:r>
        <w:rPr>
          <w:rFonts w:ascii="宋体" w:hAnsi="宋体"/>
          <w:b/>
          <w:bCs/>
        </w:rPr>
        <w:t>学时</w:t>
      </w:r>
      <w:r>
        <w:rPr>
          <w:rFonts w:hint="eastAsia" w:ascii="宋体" w:hAnsi="宋体"/>
          <w:b/>
          <w:bCs/>
        </w:rPr>
        <w:t>数：1</w:t>
      </w:r>
    </w:p>
    <w:p>
      <w:pPr>
        <w:snapToGrid w:val="0"/>
        <w:spacing w:line="360" w:lineRule="auto"/>
        <w:jc w:val="left"/>
        <w:rPr>
          <w:rFonts w:hAnsi="宋体"/>
          <w:kern w:val="0"/>
          <w:szCs w:val="21"/>
        </w:rPr>
      </w:pPr>
      <w:r>
        <w:rPr>
          <w:rFonts w:hint="eastAsia" w:ascii="宋体" w:hAnsi="宋体"/>
          <w:b/>
          <w:bCs/>
        </w:rPr>
        <w:t>教学目标：</w:t>
      </w:r>
      <w:r>
        <w:rPr>
          <w:kern w:val="0"/>
          <w:szCs w:val="21"/>
        </w:rPr>
        <w:t xml:space="preserve"> </w:t>
      </w:r>
      <w:r>
        <w:rPr>
          <w:rFonts w:hint="eastAsia"/>
          <w:kern w:val="0"/>
          <w:szCs w:val="21"/>
        </w:rPr>
        <w:t>介绍</w:t>
      </w:r>
      <w:r>
        <w:rPr>
          <w:kern w:val="0"/>
          <w:szCs w:val="21"/>
        </w:rPr>
        <w:t>本课程的特点、目的</w:t>
      </w:r>
      <w:r>
        <w:rPr>
          <w:rFonts w:hint="eastAsia"/>
          <w:kern w:val="0"/>
          <w:szCs w:val="21"/>
        </w:rPr>
        <w:t>、</w:t>
      </w:r>
      <w:r>
        <w:rPr>
          <w:kern w:val="0"/>
          <w:szCs w:val="21"/>
        </w:rPr>
        <w:t>要求</w:t>
      </w:r>
      <w:r>
        <w:rPr>
          <w:rFonts w:hint="eastAsia"/>
          <w:kern w:val="0"/>
          <w:szCs w:val="21"/>
        </w:rPr>
        <w:t>、</w:t>
      </w:r>
      <w:r>
        <w:rPr>
          <w:kern w:val="0"/>
          <w:szCs w:val="21"/>
        </w:rPr>
        <w:t>学习方法</w:t>
      </w:r>
      <w:r>
        <w:rPr>
          <w:rFonts w:hint="eastAsia"/>
          <w:kern w:val="0"/>
          <w:szCs w:val="21"/>
        </w:rPr>
        <w:t>和考核方式，让学生初步了解本课程，激发学习兴趣。通过</w:t>
      </w:r>
      <w:r>
        <w:rPr>
          <w:rFonts w:hint="eastAsia" w:hAnsi="宋体"/>
          <w:kern w:val="0"/>
          <w:szCs w:val="21"/>
        </w:rPr>
        <w:t>遗传学发展历史的学习，开展政治认同和家国情怀的教育。</w:t>
      </w:r>
    </w:p>
    <w:p>
      <w:pPr>
        <w:snapToGrid w:val="0"/>
        <w:spacing w:line="360" w:lineRule="auto"/>
        <w:jc w:val="left"/>
        <w:rPr>
          <w:rFonts w:hAnsi="宋体"/>
          <w:kern w:val="0"/>
          <w:szCs w:val="21"/>
          <w:highlight w:val="yellow"/>
        </w:rPr>
      </w:pPr>
      <w:r>
        <w:rPr>
          <w:rFonts w:hint="eastAsia" w:ascii="宋体" w:hAnsi="宋体"/>
          <w:b/>
          <w:bCs/>
        </w:rPr>
        <w:t>教学重点和难点：</w:t>
      </w:r>
      <w:r>
        <w:rPr>
          <w:rFonts w:hint="eastAsia" w:ascii="宋体" w:hAnsi="宋体" w:cs="宋体"/>
          <w:kern w:val="0"/>
          <w:szCs w:val="21"/>
        </w:rPr>
        <w:t>重点介绍</w:t>
      </w:r>
      <w:r>
        <w:rPr>
          <w:rFonts w:hint="eastAsia" w:hAnsi="宋体"/>
          <w:kern w:val="0"/>
          <w:szCs w:val="21"/>
        </w:rPr>
        <w:t>遗传和变异两个基础概念，遗传和变异在园艺植物育种的意义。其中遗传和变异的概念是难点。</w:t>
      </w:r>
    </w:p>
    <w:p>
      <w:pPr>
        <w:snapToGrid w:val="0"/>
        <w:spacing w:line="360" w:lineRule="auto"/>
        <w:jc w:val="left"/>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kern w:val="0"/>
          <w:szCs w:val="21"/>
        </w:rPr>
      </w:pPr>
      <w:r>
        <w:rPr>
          <w:rFonts w:hint="eastAsia"/>
          <w:kern w:val="0"/>
          <w:szCs w:val="21"/>
        </w:rPr>
        <w:t>本章主要介绍</w:t>
      </w:r>
      <w:r>
        <w:rPr>
          <w:kern w:val="0"/>
          <w:szCs w:val="21"/>
        </w:rPr>
        <w:t>本课程的研究内容及主要任务</w:t>
      </w:r>
      <w:r>
        <w:rPr>
          <w:rFonts w:hint="eastAsia"/>
          <w:kern w:val="0"/>
          <w:szCs w:val="21"/>
        </w:rPr>
        <w:t>、</w:t>
      </w:r>
      <w:r>
        <w:rPr>
          <w:kern w:val="0"/>
          <w:szCs w:val="21"/>
        </w:rPr>
        <w:t>遗传学的发展历史、现状</w:t>
      </w:r>
      <w:r>
        <w:rPr>
          <w:rFonts w:hint="eastAsia"/>
          <w:kern w:val="0"/>
          <w:szCs w:val="21"/>
        </w:rPr>
        <w:t>，在园艺植物育种以及相关领域的作用。</w:t>
      </w:r>
    </w:p>
    <w:p>
      <w:pPr>
        <w:widowControl/>
        <w:snapToGrid w:val="0"/>
        <w:spacing w:line="360" w:lineRule="auto"/>
        <w:ind w:firstLine="420" w:firstLineChars="200"/>
        <w:rPr>
          <w:rFonts w:hAnsi="宋体"/>
          <w:kern w:val="0"/>
          <w:szCs w:val="21"/>
        </w:rPr>
      </w:pPr>
      <w:r>
        <w:rPr>
          <w:rFonts w:hint="eastAsia" w:hAnsi="宋体"/>
          <w:kern w:val="0"/>
          <w:szCs w:val="21"/>
        </w:rPr>
        <w:t>要求学生了解遗传和变异两个基础概念</w:t>
      </w:r>
      <w:r>
        <w:rPr>
          <w:rFonts w:hint="eastAsia" w:ascii="宋体" w:hAnsi="宋体" w:cs="宋体"/>
          <w:kern w:val="0"/>
          <w:szCs w:val="21"/>
        </w:rPr>
        <w:t>，</w:t>
      </w:r>
      <w:r>
        <w:rPr>
          <w:rFonts w:hint="eastAsia" w:hAnsi="宋体"/>
          <w:kern w:val="0"/>
          <w:szCs w:val="21"/>
        </w:rPr>
        <w:t>理解遗传和变异在动植物育种学及医学中的基础地位，掌握遗传学的发展历史，熟练掌握变异在园艺植物育种的意义。</w:t>
      </w:r>
    </w:p>
    <w:p>
      <w:pPr>
        <w:snapToGrid w:val="0"/>
        <w:spacing w:line="360" w:lineRule="auto"/>
        <w:jc w:val="left"/>
        <w:rPr>
          <w:rFonts w:ascii="宋体" w:hAnsi="宋体"/>
          <w:b/>
          <w:bCs/>
        </w:rPr>
      </w:pPr>
      <w:r>
        <w:rPr>
          <w:rFonts w:hint="eastAsia" w:ascii="宋体" w:hAnsi="宋体"/>
          <w:b/>
          <w:bCs/>
        </w:rPr>
        <w:t>教学组织与实施：</w:t>
      </w:r>
      <w:r>
        <w:rPr>
          <w:rFonts w:hint="eastAsia" w:hAnsi="宋体"/>
          <w:kern w:val="0"/>
          <w:szCs w:val="21"/>
        </w:rPr>
        <w:t>本章是激发学生兴趣的重要环节。</w:t>
      </w:r>
      <w:r>
        <w:rPr>
          <w:rFonts w:hint="eastAsia" w:ascii="宋体" w:hAnsi="宋体"/>
        </w:rPr>
        <w:t>课程教学过程中，教师积极收集当前园艺植物遗传育种中的热点研究成果，分析遗传学在这</w:t>
      </w:r>
      <w:r>
        <w:rPr>
          <w:rFonts w:hint="eastAsia"/>
          <w:kern w:val="0"/>
          <w:szCs w:val="21"/>
        </w:rPr>
        <w:t>些研究实例中的作用，展示</w:t>
      </w:r>
      <w:r>
        <w:rPr>
          <w:rFonts w:hint="eastAsia" w:ascii="宋体" w:hAnsi="宋体"/>
        </w:rPr>
        <w:t>这</w:t>
      </w:r>
      <w:r>
        <w:rPr>
          <w:rFonts w:hint="eastAsia"/>
          <w:kern w:val="0"/>
          <w:szCs w:val="21"/>
        </w:rPr>
        <w:t>些研究实例中的</w:t>
      </w:r>
      <w:r>
        <w:rPr>
          <w:rFonts w:hint="eastAsia" w:ascii="宋体" w:hAnsi="宋体"/>
        </w:rPr>
        <w:t>图片和数据，让授课内容更加丰富，从而</w:t>
      </w:r>
      <w:r>
        <w:rPr>
          <w:rFonts w:hint="eastAsia"/>
          <w:kern w:val="0"/>
          <w:szCs w:val="21"/>
        </w:rPr>
        <w:t>激发学生兴趣。本章有部分内容涉及</w:t>
      </w:r>
      <w:r>
        <w:rPr>
          <w:rFonts w:hint="eastAsia" w:hAnsi="宋体"/>
          <w:kern w:val="0"/>
          <w:szCs w:val="21"/>
        </w:rPr>
        <w:t>遗传学的发展历史，通过比较中外研究人员在遗传学发展中的贡献比例，以及我国近百年动植物以及医学遗传学研究的发展动态，开展政治认同和家国情怀的教学。</w:t>
      </w:r>
    </w:p>
    <w:p>
      <w:pPr>
        <w:widowControl/>
        <w:wordWrap w:val="0"/>
        <w:snapToGrid w:val="0"/>
        <w:spacing w:line="360" w:lineRule="auto"/>
        <w:jc w:val="right"/>
        <w:rPr>
          <w:kern w:val="0"/>
          <w:szCs w:val="21"/>
        </w:rPr>
      </w:pPr>
      <w:r>
        <w:rPr>
          <w:b/>
          <w:bCs/>
          <w:kern w:val="0"/>
          <w:szCs w:val="21"/>
        </w:rPr>
        <w:t>    </w:t>
      </w:r>
      <w:r>
        <w:rPr>
          <w:rFonts w:hAnsi="宋体"/>
          <w:b/>
          <w:bCs/>
          <w:kern w:val="0"/>
          <w:szCs w:val="21"/>
        </w:rPr>
        <w:t>第一章</w:t>
      </w:r>
      <w:r>
        <w:rPr>
          <w:b/>
          <w:bCs/>
          <w:kern w:val="0"/>
          <w:szCs w:val="21"/>
        </w:rPr>
        <w:t>     </w:t>
      </w:r>
      <w:r>
        <w:rPr>
          <w:rFonts w:hint="eastAsia"/>
          <w:b/>
          <w:bCs/>
          <w:kern w:val="0"/>
          <w:szCs w:val="21"/>
        </w:rPr>
        <w:t>遗传的细胞学基础</w:t>
      </w:r>
      <w:r>
        <w:rPr>
          <w:b/>
          <w:bCs/>
          <w:kern w:val="0"/>
          <w:szCs w:val="21"/>
        </w:rPr>
        <w:t>       </w:t>
      </w:r>
      <w:r>
        <w:rPr>
          <w:rFonts w:hint="eastAsia"/>
          <w:b/>
          <w:bCs/>
          <w:kern w:val="0"/>
          <w:szCs w:val="21"/>
        </w:rPr>
        <w:t xml:space="preserve">        </w:t>
      </w:r>
      <w:r>
        <w:rPr>
          <w:b/>
          <w:bCs/>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Ansi="宋体"/>
          <w:b/>
          <w:bCs/>
          <w:kern w:val="0"/>
          <w:szCs w:val="21"/>
        </w:rPr>
        <w:t>3</w:t>
      </w:r>
    </w:p>
    <w:p>
      <w:pPr>
        <w:snapToGrid w:val="0"/>
        <w:spacing w:line="360" w:lineRule="auto"/>
        <w:jc w:val="left"/>
        <w:rPr>
          <w:rFonts w:ascii="宋体" w:hAnsi="宋体"/>
          <w:b/>
          <w:bCs/>
        </w:rPr>
      </w:pPr>
      <w:r>
        <w:rPr>
          <w:rFonts w:ascii="宋体" w:hAnsi="宋体"/>
          <w:b/>
          <w:bCs/>
        </w:rPr>
        <w:t>第一节</w:t>
      </w:r>
      <w:r>
        <w:rPr>
          <w:rFonts w:hint="eastAsia" w:ascii="宋体" w:hAnsi="宋体"/>
          <w:b/>
          <w:bCs/>
        </w:rPr>
        <w:t xml:space="preserve">  细胞的结构与遗传物质的形态结构（</w:t>
      </w:r>
      <w:r>
        <w:rPr>
          <w:b/>
          <w:bCs/>
        </w:rPr>
        <w:t>1</w:t>
      </w:r>
      <w:r>
        <w:rPr>
          <w:rFonts w:ascii="宋体" w:hAnsi="宋体"/>
          <w:b/>
          <w:bCs/>
        </w:rPr>
        <w:t>学时</w:t>
      </w:r>
      <w:r>
        <w:rPr>
          <w:rFonts w:hint="eastAsia" w:ascii="宋体" w:hAnsi="宋体"/>
          <w:b/>
          <w:bCs/>
        </w:rPr>
        <w:t>）</w:t>
      </w:r>
    </w:p>
    <w:p>
      <w:pPr>
        <w:widowControl/>
        <w:snapToGrid w:val="0"/>
        <w:spacing w:line="360" w:lineRule="auto"/>
        <w:rPr>
          <w:rFonts w:hAnsi="宋体"/>
          <w:kern w:val="0"/>
          <w:szCs w:val="21"/>
        </w:rPr>
      </w:pPr>
      <w:r>
        <w:rPr>
          <w:rFonts w:hint="eastAsia" w:ascii="宋体" w:hAnsi="宋体"/>
          <w:b/>
          <w:bCs/>
        </w:rPr>
        <w:t>教学目标：</w:t>
      </w:r>
      <w:r>
        <w:rPr>
          <w:rFonts w:hint="eastAsia" w:hAnsi="宋体"/>
          <w:kern w:val="0"/>
          <w:szCs w:val="21"/>
        </w:rPr>
        <w:t>通过对细胞结构和染色体</w:t>
      </w:r>
      <w:r>
        <w:rPr>
          <w:rFonts w:hint="eastAsia" w:ascii="宋体" w:hAnsi="宋体" w:cs="宋体"/>
          <w:kern w:val="0"/>
          <w:szCs w:val="21"/>
        </w:rPr>
        <w:t>特点的</w:t>
      </w:r>
      <w:r>
        <w:rPr>
          <w:rFonts w:hint="eastAsia" w:hAnsi="宋体"/>
          <w:kern w:val="0"/>
          <w:szCs w:val="21"/>
        </w:rPr>
        <w:t>学习，从细胞学的角度了解遗传物质在细胞内的载体，为基础遗传理论学习奠定基础。</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cs="宋体"/>
          <w:kern w:val="0"/>
          <w:szCs w:val="21"/>
        </w:rPr>
        <w:t>重点介绍遗传物质在细胞中的主要存在形态、数目和结构特点；核内和核外遗传体系的概念。其中染色质基本结构、染色体结构模型为其难点。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Ansi="宋体"/>
          <w:kern w:val="0"/>
          <w:szCs w:val="21"/>
        </w:rPr>
        <w:t>本节主要简述细胞的结构</w:t>
      </w:r>
      <w:r>
        <w:rPr>
          <w:rFonts w:hint="eastAsia" w:hAnsi="宋体"/>
          <w:kern w:val="0"/>
          <w:szCs w:val="21"/>
        </w:rPr>
        <w:t>和核内、核外遗传体系的概念</w:t>
      </w:r>
      <w:r>
        <w:rPr>
          <w:rFonts w:hAnsi="宋体"/>
          <w:kern w:val="0"/>
          <w:szCs w:val="21"/>
        </w:rPr>
        <w:t>，重点介绍遗传物质在细胞中的主要形态、数目和结构特点。</w:t>
      </w:r>
      <w:r>
        <w:rPr>
          <w:rFonts w:hint="eastAsia" w:hAnsi="宋体"/>
          <w:kern w:val="0"/>
          <w:szCs w:val="21"/>
        </w:rPr>
        <w:t></w:t>
      </w:r>
    </w:p>
    <w:p>
      <w:pPr>
        <w:widowControl/>
        <w:snapToGrid w:val="0"/>
        <w:spacing w:line="360" w:lineRule="auto"/>
        <w:ind w:firstLine="420" w:firstLineChars="200"/>
        <w:rPr>
          <w:rFonts w:hAnsi="宋体"/>
          <w:kern w:val="0"/>
          <w:szCs w:val="21"/>
        </w:rPr>
      </w:pPr>
      <w:r>
        <w:rPr>
          <w:rFonts w:hint="eastAsia" w:hAnsi="宋体"/>
          <w:kern w:val="0"/>
          <w:szCs w:val="21"/>
        </w:rPr>
        <w:t>要求学生了解细胞的基本结构和核内、核外遗传体系的概念</w:t>
      </w:r>
      <w:r>
        <w:rPr>
          <w:rFonts w:hint="eastAsia" w:ascii="宋体" w:hAnsi="宋体" w:cs="宋体"/>
          <w:kern w:val="0"/>
          <w:szCs w:val="21"/>
        </w:rPr>
        <w:t>，</w:t>
      </w:r>
      <w:r>
        <w:rPr>
          <w:rFonts w:hint="eastAsia" w:hAnsi="宋体"/>
          <w:kern w:val="0"/>
          <w:szCs w:val="21"/>
        </w:rPr>
        <w:t>理解细胞中遗传物质的存在方式，熟练掌握染色体概念、</w:t>
      </w:r>
      <w:r>
        <w:rPr>
          <w:rFonts w:hint="eastAsia" w:ascii="宋体" w:hAnsi="宋体" w:cs="宋体"/>
          <w:kern w:val="0"/>
          <w:szCs w:val="21"/>
        </w:rPr>
        <w:t>数目和</w:t>
      </w:r>
      <w:r>
        <w:rPr>
          <w:rFonts w:hint="eastAsia" w:hAnsi="宋体"/>
          <w:kern w:val="0"/>
          <w:szCs w:val="21"/>
        </w:rPr>
        <w:t>结构特点，熟练掌握同源染色体，常/异染色质等基本概念。</w:t>
      </w:r>
    </w:p>
    <w:p>
      <w:pPr>
        <w:snapToGrid w:val="0"/>
        <w:spacing w:line="360" w:lineRule="auto"/>
        <w:jc w:val="left"/>
        <w:rPr>
          <w:rFonts w:ascii="宋体" w:hAnsi="宋体"/>
          <w:b/>
          <w:bCs/>
        </w:rPr>
      </w:pPr>
      <w:r>
        <w:rPr>
          <w:rFonts w:hint="eastAsia" w:ascii="宋体" w:hAnsi="宋体"/>
          <w:b/>
          <w:bCs/>
        </w:rPr>
        <w:t>教学组织与实施：</w:t>
      </w:r>
      <w:r>
        <w:rPr>
          <w:rFonts w:hint="eastAsia" w:ascii="宋体" w:hAnsi="宋体"/>
        </w:rPr>
        <w:t>本节是细胞遗传学的基础知识，主要细胞结构和染色体相关的</w:t>
      </w:r>
      <w:r>
        <w:rPr>
          <w:rFonts w:ascii="宋体" w:hAnsi="宋体"/>
        </w:rPr>
        <w:t>背景知识</w:t>
      </w:r>
      <w:r>
        <w:rPr>
          <w:rFonts w:hint="eastAsia" w:ascii="宋体" w:hAnsi="宋体"/>
        </w:rPr>
        <w:t>，</w:t>
      </w:r>
      <w:r>
        <w:rPr>
          <w:rFonts w:ascii="宋体" w:hAnsi="宋体"/>
        </w:rPr>
        <w:t>强化</w:t>
      </w:r>
      <w:r>
        <w:rPr>
          <w:rFonts w:hint="eastAsia" w:ascii="宋体" w:hAnsi="宋体"/>
        </w:rPr>
        <w:t>对</w:t>
      </w:r>
      <w:r>
        <w:rPr>
          <w:rFonts w:ascii="宋体" w:hAnsi="宋体"/>
        </w:rPr>
        <w:t>基本</w:t>
      </w:r>
      <w:r>
        <w:rPr>
          <w:rFonts w:hint="eastAsia" w:ascii="宋体" w:hAnsi="宋体"/>
        </w:rPr>
        <w:t>理论</w:t>
      </w:r>
      <w:r>
        <w:rPr>
          <w:rFonts w:ascii="宋体" w:hAnsi="宋体"/>
        </w:rPr>
        <w:t>的理解</w:t>
      </w:r>
      <w:r>
        <w:rPr>
          <w:rFonts w:hint="eastAsia" w:ascii="宋体" w:hAnsi="宋体"/>
        </w:rPr>
        <w:t>。课程教学过程中充分利用图片和动画，让授课内容更加生动，激发学生对遗传学这门课程的兴趣，并建立起学好遗传学的信心。</w:t>
      </w:r>
    </w:p>
    <w:p>
      <w:pPr>
        <w:snapToGrid w:val="0"/>
        <w:spacing w:line="360" w:lineRule="auto"/>
        <w:jc w:val="left"/>
        <w:rPr>
          <w:rFonts w:ascii="宋体" w:hAnsi="宋体"/>
          <w:b/>
          <w:bCs/>
        </w:rPr>
      </w:pPr>
      <w:r>
        <w:rPr>
          <w:rFonts w:hint="eastAsia" w:ascii="宋体" w:hAnsi="宋体"/>
          <w:b/>
          <w:bCs/>
        </w:rPr>
        <w:t>第二节  细胞分裂与遗传性状的表达（</w:t>
      </w:r>
      <w:r>
        <w:rPr>
          <w:b/>
          <w:bCs/>
        </w:rPr>
        <w:t>2</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hAnsi="宋体"/>
          <w:kern w:val="0"/>
          <w:szCs w:val="21"/>
        </w:rPr>
        <w:t>通过对细胞分裂的学习，从细胞学的角度了解遗传物质变异的来源，为经典遗传理论学习奠定基础。</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cs="宋体"/>
          <w:kern w:val="0"/>
          <w:szCs w:val="21"/>
        </w:rPr>
        <w:t>重点介绍染色体的复制、分裂、交换，细胞分裂周期控制理论，细胞分裂方式与繁殖方式之间的关系。其中减数分裂、细胞周期控制理论为其难点。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本节主要介绍</w:t>
      </w:r>
      <w:r>
        <w:rPr>
          <w:rFonts w:hint="eastAsia" w:ascii="宋体" w:hAnsi="宋体" w:cs="宋体"/>
          <w:kern w:val="0"/>
          <w:szCs w:val="21"/>
        </w:rPr>
        <w:t>染色体在细胞分裂过程中分离和重组的特点，即染色体的复制、分裂、交换理论以及</w:t>
      </w:r>
      <w:r>
        <w:rPr>
          <w:rFonts w:hint="eastAsia" w:hAnsi="宋体"/>
          <w:kern w:val="0"/>
          <w:szCs w:val="21"/>
        </w:rPr>
        <w:t>园艺植物细胞的分裂周期理论；介绍园艺植物有性、无性繁殖时，遗传物质在上下代之间传递规律及性状的表达特点。</w:t>
      </w:r>
    </w:p>
    <w:p>
      <w:pPr>
        <w:widowControl/>
        <w:snapToGrid w:val="0"/>
        <w:spacing w:line="360" w:lineRule="auto"/>
        <w:ind w:firstLine="420" w:firstLineChars="200"/>
        <w:rPr>
          <w:rFonts w:hAnsi="宋体"/>
          <w:kern w:val="0"/>
          <w:szCs w:val="21"/>
        </w:rPr>
      </w:pPr>
      <w:r>
        <w:rPr>
          <w:rFonts w:hint="eastAsia" w:hAnsi="宋体"/>
          <w:kern w:val="0"/>
          <w:szCs w:val="21"/>
        </w:rPr>
        <w:t>要求学生了解</w:t>
      </w:r>
      <w:r>
        <w:rPr>
          <w:rFonts w:hint="eastAsia" w:ascii="宋体" w:hAnsi="宋体" w:cs="宋体"/>
          <w:kern w:val="0"/>
          <w:szCs w:val="21"/>
        </w:rPr>
        <w:t>细胞分裂</w:t>
      </w:r>
      <w:r>
        <w:rPr>
          <w:rFonts w:hint="eastAsia" w:hAnsi="宋体"/>
          <w:kern w:val="0"/>
          <w:szCs w:val="21"/>
        </w:rPr>
        <w:t>相关的概念，园艺植物性繁殖方式和特点</w:t>
      </w:r>
      <w:r>
        <w:rPr>
          <w:rFonts w:hint="eastAsia" w:ascii="宋体" w:hAnsi="宋体" w:cs="宋体"/>
          <w:kern w:val="0"/>
          <w:szCs w:val="21"/>
        </w:rPr>
        <w:t>，</w:t>
      </w:r>
      <w:r>
        <w:rPr>
          <w:rFonts w:hint="eastAsia" w:hAnsi="宋体"/>
          <w:kern w:val="0"/>
          <w:szCs w:val="21"/>
        </w:rPr>
        <w:t>理解</w:t>
      </w:r>
      <w:r>
        <w:rPr>
          <w:rFonts w:hint="eastAsia" w:ascii="宋体" w:hAnsi="宋体" w:cs="宋体"/>
          <w:kern w:val="0"/>
          <w:szCs w:val="21"/>
        </w:rPr>
        <w:t>细胞分裂方式与</w:t>
      </w:r>
      <w:r>
        <w:rPr>
          <w:rFonts w:hint="eastAsia" w:hAnsi="宋体"/>
          <w:kern w:val="0"/>
          <w:szCs w:val="21"/>
        </w:rPr>
        <w:t>遗传变异</w:t>
      </w:r>
      <w:r>
        <w:rPr>
          <w:rFonts w:hint="eastAsia" w:ascii="宋体" w:hAnsi="宋体" w:cs="宋体"/>
          <w:kern w:val="0"/>
          <w:szCs w:val="21"/>
        </w:rPr>
        <w:t>之间的关系，</w:t>
      </w:r>
      <w:r>
        <w:rPr>
          <w:rFonts w:hint="eastAsia" w:hAnsi="宋体"/>
          <w:kern w:val="0"/>
          <w:szCs w:val="21"/>
        </w:rPr>
        <w:t>掌握</w:t>
      </w:r>
      <w:r>
        <w:rPr>
          <w:rFonts w:hint="eastAsia" w:ascii="宋体" w:hAnsi="宋体" w:cs="宋体"/>
          <w:kern w:val="0"/>
          <w:szCs w:val="21"/>
        </w:rPr>
        <w:t>在细胞分裂过程中分离和重组规律，</w:t>
      </w:r>
      <w:r>
        <w:rPr>
          <w:rFonts w:hint="eastAsia" w:hAnsi="宋体"/>
          <w:kern w:val="0"/>
          <w:szCs w:val="21"/>
        </w:rPr>
        <w:t>细胞分裂周期的控制理论，熟练掌握</w:t>
      </w:r>
      <w:r>
        <w:rPr>
          <w:rFonts w:hint="eastAsia" w:ascii="宋体" w:hAnsi="宋体" w:cs="宋体"/>
          <w:kern w:val="0"/>
          <w:szCs w:val="21"/>
        </w:rPr>
        <w:t>细胞分裂过程中</w:t>
      </w:r>
      <w:r>
        <w:rPr>
          <w:rFonts w:hint="eastAsia" w:hAnsi="宋体"/>
          <w:kern w:val="0"/>
          <w:szCs w:val="21"/>
        </w:rPr>
        <w:t>遗传变异的来源，园艺植物有性、无性繁殖时，遗传物质在上下代之间传递规律及性状的表达规律。</w:t>
      </w:r>
    </w:p>
    <w:p>
      <w:pPr>
        <w:snapToGrid w:val="0"/>
        <w:spacing w:line="360" w:lineRule="auto"/>
        <w:jc w:val="left"/>
        <w:rPr>
          <w:rFonts w:ascii="宋体" w:hAnsi="宋体"/>
          <w:b/>
          <w:bCs/>
        </w:rPr>
      </w:pPr>
      <w:r>
        <w:rPr>
          <w:rFonts w:hint="eastAsia" w:ascii="宋体" w:hAnsi="宋体"/>
          <w:b/>
          <w:bCs/>
        </w:rPr>
        <w:t>教学组织与实施：</w:t>
      </w:r>
      <w:r>
        <w:rPr>
          <w:rFonts w:hint="eastAsia" w:ascii="宋体" w:hAnsi="宋体"/>
        </w:rPr>
        <w:t>本节是遗传学课程的基础知识，主要</w:t>
      </w:r>
      <w:r>
        <w:rPr>
          <w:rFonts w:ascii="宋体" w:hAnsi="宋体"/>
        </w:rPr>
        <w:t>回顾</w:t>
      </w:r>
      <w:r>
        <w:rPr>
          <w:rFonts w:hint="eastAsia" w:ascii="宋体" w:hAnsi="宋体"/>
        </w:rPr>
        <w:t>细胞分裂相关</w:t>
      </w:r>
      <w:r>
        <w:rPr>
          <w:rFonts w:ascii="宋体" w:hAnsi="宋体"/>
        </w:rPr>
        <w:t>的背景知识</w:t>
      </w:r>
      <w:r>
        <w:rPr>
          <w:rFonts w:hint="eastAsia" w:ascii="宋体" w:hAnsi="宋体"/>
        </w:rPr>
        <w:t>，</w:t>
      </w:r>
      <w:r>
        <w:rPr>
          <w:rFonts w:ascii="宋体" w:hAnsi="宋体"/>
        </w:rPr>
        <w:t>强化</w:t>
      </w:r>
      <w:r>
        <w:rPr>
          <w:rFonts w:hint="eastAsia" w:ascii="宋体" w:hAnsi="宋体"/>
        </w:rPr>
        <w:t>对</w:t>
      </w:r>
      <w:r>
        <w:rPr>
          <w:rFonts w:ascii="宋体" w:hAnsi="宋体"/>
        </w:rPr>
        <w:t>基本</w:t>
      </w:r>
      <w:r>
        <w:rPr>
          <w:rFonts w:hint="eastAsia" w:ascii="宋体" w:hAnsi="宋体"/>
        </w:rPr>
        <w:t>理论</w:t>
      </w:r>
      <w:r>
        <w:rPr>
          <w:rFonts w:ascii="宋体" w:hAnsi="宋体"/>
        </w:rPr>
        <w:t>的理解</w:t>
      </w:r>
      <w:r>
        <w:rPr>
          <w:rFonts w:hint="eastAsia" w:ascii="宋体" w:hAnsi="宋体"/>
        </w:rPr>
        <w:t>。课程教学过程中充分利用图片和动画，让授课内容更加丰富，激发学生对遗传学这门课程的兴趣，并建立起学好遗传学的信心。高等</w:t>
      </w:r>
      <w:r>
        <w:rPr>
          <w:rFonts w:ascii="宋体" w:hAnsi="宋体"/>
        </w:rPr>
        <w:t>植物双受精知识在教师指导下由学生课外学习。</w:t>
      </w:r>
    </w:p>
    <w:p>
      <w:pPr>
        <w:widowControl/>
        <w:wordWrap w:val="0"/>
        <w:snapToGrid w:val="0"/>
        <w:spacing w:line="360" w:lineRule="auto"/>
        <w:jc w:val="right"/>
        <w:rPr>
          <w:rFonts w:hAnsi="宋体"/>
          <w:b/>
          <w:bCs/>
          <w:kern w:val="0"/>
          <w:szCs w:val="21"/>
        </w:rPr>
      </w:pPr>
      <w:r>
        <w:rPr>
          <w:rFonts w:hAnsi="宋体"/>
          <w:b/>
          <w:bCs/>
          <w:kern w:val="0"/>
          <w:szCs w:val="21"/>
        </w:rPr>
        <w:t>第</w:t>
      </w:r>
      <w:r>
        <w:rPr>
          <w:rFonts w:hint="eastAsia" w:hAnsi="宋体"/>
          <w:b/>
          <w:bCs/>
          <w:kern w:val="0"/>
          <w:szCs w:val="21"/>
        </w:rPr>
        <w:t>二</w:t>
      </w:r>
      <w:r>
        <w:rPr>
          <w:rFonts w:hAnsi="宋体"/>
          <w:b/>
          <w:bCs/>
          <w:kern w:val="0"/>
          <w:szCs w:val="21"/>
        </w:rPr>
        <w:t>章</w:t>
      </w:r>
      <w:r>
        <w:rPr>
          <w:b/>
          <w:bCs/>
          <w:kern w:val="0"/>
          <w:szCs w:val="21"/>
        </w:rPr>
        <w:t>     </w:t>
      </w:r>
      <w:r>
        <w:rPr>
          <w:rFonts w:hint="eastAsia"/>
          <w:b/>
          <w:bCs/>
          <w:kern w:val="0"/>
          <w:szCs w:val="21"/>
        </w:rPr>
        <w:t>孟德尔遗传规律</w:t>
      </w:r>
      <w:r>
        <w:rPr>
          <w:b/>
          <w:bCs/>
          <w:kern w:val="0"/>
          <w:szCs w:val="21"/>
        </w:rPr>
        <w:t>    </w:t>
      </w:r>
      <w:r>
        <w:rPr>
          <w:rFonts w:hint="eastAsia" w:hAnsi="宋体"/>
          <w:b/>
          <w:bCs/>
          <w:color w:val="FF0000"/>
          <w:kern w:val="0"/>
          <w:szCs w:val="21"/>
        </w:rPr>
        <w:t xml:space="preserve"> </w:t>
      </w:r>
      <w:r>
        <w:rPr>
          <w:rFonts w:hAnsi="宋体"/>
          <w:b/>
          <w:bCs/>
          <w:color w:val="FF0000"/>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数：4</w:t>
      </w:r>
    </w:p>
    <w:p>
      <w:pPr>
        <w:widowControl/>
        <w:snapToGrid w:val="0"/>
        <w:spacing w:line="360" w:lineRule="auto"/>
        <w:jc w:val="left"/>
        <w:rPr>
          <w:rFonts w:hAnsi="宋体"/>
          <w:b/>
          <w:kern w:val="0"/>
          <w:szCs w:val="21"/>
        </w:rPr>
      </w:pPr>
      <w:r>
        <w:rPr>
          <w:rFonts w:hAnsi="宋体"/>
          <w:b/>
          <w:kern w:val="0"/>
          <w:szCs w:val="21"/>
        </w:rPr>
        <w:t>第一节</w:t>
      </w:r>
      <w:r>
        <w:rPr>
          <w:rFonts w:hint="eastAsia" w:hAnsi="宋体"/>
          <w:b/>
          <w:kern w:val="0"/>
          <w:szCs w:val="21"/>
        </w:rPr>
        <w:t xml:space="preserve">  </w:t>
      </w:r>
      <w:r>
        <w:rPr>
          <w:rFonts w:hAnsi="宋体"/>
          <w:b/>
          <w:kern w:val="0"/>
          <w:szCs w:val="21"/>
        </w:rPr>
        <w:t>分离规律</w:t>
      </w:r>
      <w:r>
        <w:rPr>
          <w:rFonts w:hint="eastAsia"/>
          <w:b/>
          <w:kern w:val="0"/>
          <w:szCs w:val="21"/>
        </w:rPr>
        <w:t>（2</w:t>
      </w:r>
      <w:r>
        <w:rPr>
          <w:rFonts w:hAnsi="宋体"/>
          <w:b/>
          <w:kern w:val="0"/>
          <w:szCs w:val="21"/>
        </w:rPr>
        <w:t>学时</w:t>
      </w:r>
      <w:r>
        <w:rPr>
          <w:rFonts w:hint="eastAsia"/>
          <w:b/>
          <w:kern w:val="0"/>
          <w:szCs w:val="21"/>
        </w:rPr>
        <w:t>）</w:t>
      </w:r>
    </w:p>
    <w:p>
      <w:pPr>
        <w:widowControl/>
        <w:snapToGrid w:val="0"/>
        <w:spacing w:line="360" w:lineRule="auto"/>
        <w:rPr>
          <w:rFonts w:ascii="宋体" w:hAnsi="宋体"/>
          <w:b/>
          <w:bCs/>
        </w:rPr>
      </w:pPr>
      <w:r>
        <w:rPr>
          <w:rFonts w:hint="eastAsia" w:ascii="宋体" w:hAnsi="宋体"/>
          <w:b/>
          <w:bCs/>
        </w:rPr>
        <w:t>教学目标：</w:t>
      </w:r>
      <w:r>
        <w:rPr>
          <w:rFonts w:ascii="宋体" w:hAnsi="宋体"/>
          <w:bCs/>
        </w:rPr>
        <w:t>1</w:t>
      </w:r>
      <w:r>
        <w:rPr>
          <w:rFonts w:hint="eastAsia" w:ascii="宋体" w:hAnsi="宋体"/>
          <w:bCs/>
        </w:rPr>
        <w:t>、认识</w:t>
      </w:r>
      <w:r>
        <w:rPr>
          <w:rFonts w:ascii="宋体" w:hAnsi="宋体"/>
          <w:bCs/>
        </w:rPr>
        <w:t>理解</w:t>
      </w:r>
      <w:r>
        <w:rPr>
          <w:rFonts w:hint="eastAsia" w:ascii="宋体" w:hAnsi="宋体"/>
          <w:bCs/>
        </w:rPr>
        <w:t>植物性状</w:t>
      </w:r>
      <w:r>
        <w:rPr>
          <w:rFonts w:ascii="宋体" w:hAnsi="宋体"/>
          <w:bCs/>
        </w:rPr>
        <w:t>分离</w:t>
      </w:r>
      <w:r>
        <w:rPr>
          <w:rFonts w:hint="eastAsia" w:ascii="宋体" w:hAnsi="宋体"/>
          <w:bCs/>
        </w:rPr>
        <w:t>现象；2、掌握分离</w:t>
      </w:r>
      <w:r>
        <w:rPr>
          <w:rFonts w:ascii="宋体" w:hAnsi="宋体"/>
          <w:bCs/>
        </w:rPr>
        <w:t>规律的</w:t>
      </w:r>
      <w:r>
        <w:rPr>
          <w:rFonts w:hint="eastAsia" w:ascii="宋体" w:hAnsi="宋体"/>
          <w:bCs/>
        </w:rPr>
        <w:t>基本原理；3、</w:t>
      </w:r>
      <w:r>
        <w:rPr>
          <w:rFonts w:ascii="宋体" w:hAnsi="宋体"/>
          <w:bCs/>
        </w:rPr>
        <w:t>熟悉</w:t>
      </w:r>
      <w:r>
        <w:rPr>
          <w:rFonts w:hint="eastAsia" w:ascii="宋体" w:hAnsi="宋体"/>
          <w:bCs/>
        </w:rPr>
        <w:t>分离</w:t>
      </w:r>
      <w:r>
        <w:rPr>
          <w:rFonts w:ascii="宋体" w:hAnsi="宋体"/>
          <w:bCs/>
        </w:rPr>
        <w:t>规律在</w:t>
      </w:r>
      <w:r>
        <w:rPr>
          <w:rFonts w:hint="eastAsia" w:ascii="宋体" w:hAnsi="宋体"/>
          <w:bCs/>
        </w:rPr>
        <w:t>园艺</w:t>
      </w:r>
      <w:r>
        <w:rPr>
          <w:rFonts w:ascii="宋体" w:hAnsi="宋体"/>
          <w:bCs/>
        </w:rPr>
        <w:t>作物育种中的应用。</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1、分离</w:t>
      </w:r>
      <w:r>
        <w:rPr>
          <w:rFonts w:ascii="宋体" w:hAnsi="宋体"/>
          <w:bCs/>
        </w:rPr>
        <w:t>现象的</w:t>
      </w:r>
      <w:r>
        <w:rPr>
          <w:rFonts w:hint="eastAsia" w:ascii="宋体" w:hAnsi="宋体"/>
          <w:bCs/>
        </w:rPr>
        <w:t>解释</w:t>
      </w:r>
      <w:r>
        <w:rPr>
          <w:rFonts w:ascii="宋体" w:hAnsi="宋体"/>
          <w:bCs/>
        </w:rPr>
        <w:t>是本节的重点和难点。</w:t>
      </w:r>
      <w:r>
        <w:rPr>
          <w:rFonts w:hint="eastAsia" w:ascii="宋体" w:hAnsi="宋体"/>
          <w:bCs/>
        </w:rPr>
        <w:t>2、重点</w:t>
      </w:r>
      <w:r>
        <w:rPr>
          <w:rFonts w:ascii="宋体" w:hAnsi="宋体"/>
          <w:bCs/>
        </w:rPr>
        <w:t>介绍</w:t>
      </w:r>
      <w:r>
        <w:rPr>
          <w:rFonts w:hint="eastAsia" w:ascii="宋体" w:hAnsi="宋体"/>
          <w:bCs/>
        </w:rPr>
        <w:t>分离</w:t>
      </w:r>
      <w:r>
        <w:rPr>
          <w:rFonts w:ascii="宋体" w:hAnsi="宋体"/>
          <w:bCs/>
        </w:rPr>
        <w:t>规律的验证方法。</w:t>
      </w:r>
    </w:p>
    <w:p>
      <w:pPr>
        <w:widowControl/>
        <w:snapToGrid w:val="0"/>
        <w:spacing w:line="360" w:lineRule="auto"/>
        <w:rPr>
          <w:rFonts w:ascii="宋体" w:hAnsi="宋体"/>
          <w:b/>
        </w:rPr>
      </w:pPr>
      <w:r>
        <w:rPr>
          <w:rFonts w:hint="eastAsia" w:ascii="宋体" w:hAnsi="宋体"/>
          <w:b/>
        </w:rPr>
        <w:t>主要教学内容及要求：</w:t>
      </w:r>
    </w:p>
    <w:p>
      <w:pPr>
        <w:widowControl/>
        <w:snapToGrid w:val="0"/>
        <w:spacing w:line="360" w:lineRule="auto"/>
        <w:ind w:firstLine="420" w:firstLineChars="200"/>
        <w:rPr>
          <w:rFonts w:ascii="宋体" w:hAnsi="宋体"/>
          <w:bCs/>
        </w:rPr>
      </w:pPr>
      <w:r>
        <w:rPr>
          <w:rFonts w:hint="eastAsia" w:ascii="宋体" w:hAnsi="宋体"/>
          <w:bCs/>
        </w:rPr>
        <w:t>本节介绍</w:t>
      </w:r>
      <w:r>
        <w:rPr>
          <w:rFonts w:ascii="宋体" w:hAnsi="宋体"/>
          <w:bCs/>
        </w:rPr>
        <w:t>分离规律的现象及验证方法</w:t>
      </w:r>
      <w:r>
        <w:rPr>
          <w:rFonts w:hint="eastAsia" w:ascii="宋体" w:hAnsi="宋体"/>
          <w:bCs/>
        </w:rPr>
        <w:t>、</w:t>
      </w:r>
      <w:r>
        <w:rPr>
          <w:rFonts w:ascii="宋体" w:hAnsi="宋体"/>
          <w:bCs/>
        </w:rPr>
        <w:t>分离规律的应用</w:t>
      </w:r>
      <w:r>
        <w:rPr>
          <w:rFonts w:hint="eastAsia" w:ascii="宋体" w:hAnsi="宋体"/>
          <w:bCs/>
        </w:rPr>
        <w:t>，结合实例</w:t>
      </w:r>
      <w:r>
        <w:rPr>
          <w:rFonts w:ascii="宋体" w:hAnsi="宋体"/>
          <w:bCs/>
        </w:rPr>
        <w:t>介绍分离规律在育种实践中进行后代性状预测、群体大小预测的方法。</w:t>
      </w:r>
    </w:p>
    <w:p>
      <w:pPr>
        <w:pStyle w:val="7"/>
        <w:snapToGrid w:val="0"/>
        <w:spacing w:line="360" w:lineRule="auto"/>
        <w:jc w:val="left"/>
        <w:rPr>
          <w:rFonts w:ascii="宋体" w:hAnsi="宋体"/>
        </w:rPr>
      </w:pPr>
      <w:r>
        <w:rPr>
          <w:rFonts w:hint="eastAsia" w:ascii="宋体" w:hAnsi="宋体"/>
        </w:rPr>
        <w:t>要求了解</w:t>
      </w:r>
      <w:r>
        <w:rPr>
          <w:rFonts w:ascii="宋体" w:hAnsi="宋体"/>
        </w:rPr>
        <w:t>性状分离现象</w:t>
      </w:r>
      <w:r>
        <w:rPr>
          <w:rFonts w:hint="eastAsia" w:ascii="宋体" w:hAnsi="宋体"/>
        </w:rPr>
        <w:t>、熟练掌握</w:t>
      </w:r>
      <w:r>
        <w:rPr>
          <w:rFonts w:ascii="宋体" w:hAnsi="宋体"/>
        </w:rPr>
        <w:t>分离规律的基本原理</w:t>
      </w:r>
      <w:r>
        <w:rPr>
          <w:rFonts w:hint="eastAsia" w:ascii="宋体" w:hAnsi="宋体"/>
        </w:rPr>
        <w:t>及</w:t>
      </w:r>
      <w:r>
        <w:rPr>
          <w:rFonts w:ascii="宋体" w:hAnsi="宋体"/>
        </w:rPr>
        <w:t>验证方法</w:t>
      </w:r>
      <w:r>
        <w:rPr>
          <w:rFonts w:hint="eastAsia" w:ascii="宋体" w:hAnsi="宋体"/>
        </w:rPr>
        <w:t>；掌握如何</w:t>
      </w:r>
      <w:r>
        <w:rPr>
          <w:rFonts w:ascii="宋体" w:hAnsi="宋体"/>
        </w:rPr>
        <w:t>利用分离规律对后代</w:t>
      </w:r>
      <w:r>
        <w:rPr>
          <w:rFonts w:hint="eastAsia" w:ascii="宋体" w:hAnsi="宋体"/>
        </w:rPr>
        <w:t>表型</w:t>
      </w:r>
      <w:r>
        <w:rPr>
          <w:rFonts w:ascii="宋体" w:hAnsi="宋体"/>
        </w:rPr>
        <w:t>及群体大小的预测</w:t>
      </w:r>
      <w:r>
        <w:rPr>
          <w:rFonts w:hint="eastAsia" w:ascii="宋体" w:hAnsi="宋体"/>
        </w:rPr>
        <w:t>；掌握</w:t>
      </w:r>
      <w:r>
        <w:rPr>
          <w:rFonts w:ascii="宋体" w:hAnsi="宋体"/>
        </w:rPr>
        <w:t>概率原理在分离规律验证中的应用。</w:t>
      </w:r>
    </w:p>
    <w:p>
      <w:pPr>
        <w:widowControl/>
        <w:snapToGrid w:val="0"/>
        <w:spacing w:line="360" w:lineRule="auto"/>
        <w:rPr>
          <w:rFonts w:ascii="宋体" w:hAnsi="宋体"/>
          <w:bCs/>
        </w:rPr>
      </w:pPr>
      <w:r>
        <w:rPr>
          <w:rFonts w:hint="eastAsia" w:ascii="宋体" w:hAnsi="宋体"/>
          <w:b/>
          <w:bCs/>
        </w:rPr>
        <w:t>教学组织与实施：</w:t>
      </w:r>
      <w:r>
        <w:rPr>
          <w:rFonts w:hint="eastAsia" w:ascii="宋体" w:hAnsi="宋体"/>
          <w:bCs/>
        </w:rPr>
        <w:t>在课堂上通过对分离规律的学习，结合育种实践中的案例分析和习题训练，让学生理解分离规律的实质，熟练掌握概率原理在遗传研究中的应用。</w:t>
      </w:r>
    </w:p>
    <w:p>
      <w:pPr>
        <w:widowControl/>
        <w:spacing w:line="360" w:lineRule="auto"/>
        <w:rPr>
          <w:rFonts w:hAnsi="宋体"/>
          <w:b/>
          <w:bCs/>
          <w:kern w:val="0"/>
          <w:szCs w:val="21"/>
        </w:rPr>
      </w:pPr>
      <w:r>
        <w:rPr>
          <w:rFonts w:hAnsi="宋体"/>
          <w:b/>
          <w:kern w:val="0"/>
          <w:szCs w:val="21"/>
        </w:rPr>
        <w:t>第</w:t>
      </w:r>
      <w:r>
        <w:rPr>
          <w:rFonts w:hint="eastAsia" w:hAnsi="宋体"/>
          <w:b/>
          <w:kern w:val="0"/>
          <w:szCs w:val="21"/>
        </w:rPr>
        <w:t xml:space="preserve">二节  </w:t>
      </w:r>
      <w:r>
        <w:rPr>
          <w:rFonts w:hAnsi="宋体"/>
          <w:b/>
          <w:kern w:val="0"/>
          <w:szCs w:val="21"/>
        </w:rPr>
        <w:t>独立分配规律</w:t>
      </w:r>
      <w:r>
        <w:rPr>
          <w:rFonts w:hint="eastAsia" w:hAnsi="宋体"/>
          <w:b/>
          <w:kern w:val="0"/>
          <w:szCs w:val="21"/>
        </w:rPr>
        <w:t>及其应用（</w:t>
      </w:r>
      <w:r>
        <w:rPr>
          <w:rFonts w:hint="eastAsia"/>
          <w:b/>
          <w:kern w:val="0"/>
          <w:szCs w:val="21"/>
        </w:rPr>
        <w:t>2</w:t>
      </w:r>
      <w:r>
        <w:rPr>
          <w:rFonts w:hAnsi="宋体"/>
          <w:b/>
          <w:bCs/>
          <w:kern w:val="0"/>
          <w:szCs w:val="21"/>
        </w:rPr>
        <w:t>学时</w:t>
      </w:r>
      <w:r>
        <w:rPr>
          <w:rFonts w:hint="eastAsia" w:hAnsi="宋体"/>
          <w:b/>
          <w:kern w:val="0"/>
          <w:szCs w:val="21"/>
        </w:rPr>
        <w:t>）</w:t>
      </w:r>
    </w:p>
    <w:p>
      <w:pPr>
        <w:widowControl/>
        <w:snapToGrid w:val="0"/>
        <w:spacing w:line="360" w:lineRule="auto"/>
        <w:rPr>
          <w:rFonts w:ascii="宋体" w:hAnsi="宋体"/>
          <w:b/>
          <w:bCs/>
        </w:rPr>
      </w:pPr>
      <w:r>
        <w:rPr>
          <w:rFonts w:hint="eastAsia" w:ascii="宋体" w:hAnsi="宋体"/>
          <w:b/>
          <w:bCs/>
        </w:rPr>
        <w:t>教学目标：</w:t>
      </w:r>
      <w:r>
        <w:rPr>
          <w:rFonts w:ascii="宋体" w:hAnsi="宋体"/>
          <w:bCs/>
        </w:rPr>
        <w:t>1</w:t>
      </w:r>
      <w:r>
        <w:rPr>
          <w:rFonts w:hint="eastAsia" w:ascii="宋体" w:hAnsi="宋体"/>
          <w:bCs/>
        </w:rPr>
        <w:t>、认识</w:t>
      </w:r>
      <w:r>
        <w:rPr>
          <w:rFonts w:ascii="宋体" w:hAnsi="宋体"/>
          <w:bCs/>
        </w:rPr>
        <w:t>理解</w:t>
      </w:r>
      <w:r>
        <w:rPr>
          <w:rFonts w:hint="eastAsia" w:ascii="宋体" w:hAnsi="宋体"/>
          <w:bCs/>
        </w:rPr>
        <w:t>植物表型</w:t>
      </w:r>
      <w:r>
        <w:rPr>
          <w:rFonts w:ascii="宋体" w:hAnsi="宋体"/>
          <w:bCs/>
        </w:rPr>
        <w:t>自由组合</w:t>
      </w:r>
      <w:r>
        <w:rPr>
          <w:rFonts w:hint="eastAsia" w:ascii="宋体" w:hAnsi="宋体"/>
          <w:bCs/>
        </w:rPr>
        <w:t>现象；2、掌握独立分配</w:t>
      </w:r>
      <w:r>
        <w:rPr>
          <w:rFonts w:ascii="宋体" w:hAnsi="宋体"/>
          <w:bCs/>
        </w:rPr>
        <w:t>规律的</w:t>
      </w:r>
      <w:r>
        <w:rPr>
          <w:rFonts w:hint="eastAsia" w:ascii="宋体" w:hAnsi="宋体"/>
          <w:bCs/>
        </w:rPr>
        <w:t>基本原理；3、</w:t>
      </w:r>
      <w:r>
        <w:rPr>
          <w:rFonts w:ascii="宋体" w:hAnsi="宋体"/>
          <w:bCs/>
        </w:rPr>
        <w:t>熟悉</w:t>
      </w:r>
      <w:r>
        <w:rPr>
          <w:rFonts w:hint="eastAsia" w:ascii="宋体" w:hAnsi="宋体"/>
          <w:bCs/>
        </w:rPr>
        <w:t>独立分配</w:t>
      </w:r>
      <w:r>
        <w:rPr>
          <w:rFonts w:ascii="宋体" w:hAnsi="宋体"/>
          <w:bCs/>
        </w:rPr>
        <w:t>规律在</w:t>
      </w:r>
      <w:r>
        <w:rPr>
          <w:rFonts w:hint="eastAsia" w:ascii="宋体" w:hAnsi="宋体"/>
          <w:bCs/>
        </w:rPr>
        <w:t>园艺</w:t>
      </w:r>
      <w:r>
        <w:rPr>
          <w:rFonts w:ascii="宋体" w:hAnsi="宋体"/>
          <w:bCs/>
        </w:rPr>
        <w:t>作物育种中的应用。</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1、独立分配</w:t>
      </w:r>
      <w:r>
        <w:rPr>
          <w:rFonts w:ascii="宋体" w:hAnsi="宋体"/>
          <w:bCs/>
        </w:rPr>
        <w:t>规律的</w:t>
      </w:r>
      <w:r>
        <w:rPr>
          <w:rFonts w:hint="eastAsia" w:ascii="宋体" w:hAnsi="宋体"/>
          <w:bCs/>
        </w:rPr>
        <w:t>解释</w:t>
      </w:r>
      <w:r>
        <w:rPr>
          <w:rFonts w:ascii="宋体" w:hAnsi="宋体"/>
          <w:bCs/>
        </w:rPr>
        <w:t>是本节的重点和难点。</w:t>
      </w:r>
      <w:r>
        <w:rPr>
          <w:rFonts w:hint="eastAsia" w:ascii="宋体" w:hAnsi="宋体"/>
          <w:bCs/>
        </w:rPr>
        <w:t>2、重点</w:t>
      </w:r>
      <w:r>
        <w:rPr>
          <w:rFonts w:ascii="宋体" w:hAnsi="宋体"/>
          <w:bCs/>
        </w:rPr>
        <w:t>介绍</w:t>
      </w:r>
      <w:r>
        <w:rPr>
          <w:rFonts w:hint="eastAsia" w:ascii="宋体" w:hAnsi="宋体"/>
          <w:bCs/>
        </w:rPr>
        <w:t>独立分配</w:t>
      </w:r>
      <w:r>
        <w:rPr>
          <w:rFonts w:ascii="宋体" w:hAnsi="宋体"/>
          <w:bCs/>
        </w:rPr>
        <w:t>规律的验证方法。</w:t>
      </w:r>
      <w:r>
        <w:rPr>
          <w:rFonts w:hint="eastAsia" w:ascii="宋体" w:hAnsi="宋体"/>
          <w:bCs/>
        </w:rPr>
        <w:t>3、</w:t>
      </w:r>
      <w:r>
        <w:rPr>
          <w:rFonts w:ascii="宋体" w:hAnsi="宋体"/>
          <w:bCs/>
        </w:rPr>
        <w:t>卡方检验</w:t>
      </w:r>
      <w:r>
        <w:rPr>
          <w:rFonts w:hint="eastAsia" w:ascii="宋体" w:hAnsi="宋体"/>
          <w:bCs/>
        </w:rPr>
        <w:t>在</w:t>
      </w:r>
      <w:r>
        <w:rPr>
          <w:rFonts w:ascii="宋体" w:hAnsi="宋体"/>
          <w:bCs/>
        </w:rPr>
        <w:t>独立分配规律中的应用。</w:t>
      </w:r>
      <w:r>
        <w:rPr>
          <w:rFonts w:hint="eastAsia" w:ascii="宋体" w:hAnsi="宋体"/>
          <w:bCs/>
        </w:rPr>
        <w:t>4、</w:t>
      </w:r>
      <w:r>
        <w:rPr>
          <w:rFonts w:hint="eastAsia" w:ascii="宋体" w:hAnsi="宋体" w:cs="宋体"/>
          <w:kern w:val="0"/>
          <w:szCs w:val="21"/>
        </w:rPr>
        <w:t>基因互作和性状的表现</w:t>
      </w:r>
    </w:p>
    <w:p>
      <w:pPr>
        <w:widowControl/>
        <w:snapToGrid w:val="0"/>
        <w:spacing w:line="360" w:lineRule="auto"/>
        <w:rPr>
          <w:rFonts w:ascii="宋体" w:hAnsi="宋体"/>
          <w:b/>
        </w:rPr>
      </w:pPr>
      <w:r>
        <w:rPr>
          <w:rFonts w:hint="eastAsia" w:ascii="宋体" w:hAnsi="宋体"/>
          <w:b/>
        </w:rPr>
        <w:t>主要教学内容及要求：</w:t>
      </w:r>
    </w:p>
    <w:p>
      <w:pPr>
        <w:widowControl/>
        <w:spacing w:line="360" w:lineRule="auto"/>
        <w:ind w:firstLine="420"/>
        <w:jc w:val="left"/>
        <w:rPr>
          <w:kern w:val="0"/>
          <w:szCs w:val="21"/>
        </w:rPr>
      </w:pPr>
      <w:r>
        <w:rPr>
          <w:rFonts w:hint="eastAsia" w:hAnsi="宋体"/>
          <w:kern w:val="0"/>
          <w:szCs w:val="21"/>
        </w:rPr>
        <w:t>本节介绍</w:t>
      </w:r>
      <w:r>
        <w:rPr>
          <w:rFonts w:hint="eastAsia" w:ascii="宋体" w:hAnsi="宋体"/>
          <w:bCs/>
        </w:rPr>
        <w:t>独立分配</w:t>
      </w:r>
      <w:r>
        <w:rPr>
          <w:rFonts w:ascii="宋体" w:hAnsi="宋体"/>
          <w:bCs/>
        </w:rPr>
        <w:t>规律</w:t>
      </w:r>
      <w:r>
        <w:rPr>
          <w:rFonts w:hAnsi="宋体"/>
          <w:kern w:val="0"/>
          <w:szCs w:val="21"/>
        </w:rPr>
        <w:t>的现象</w:t>
      </w:r>
      <w:r>
        <w:rPr>
          <w:rFonts w:hint="eastAsia" w:hAnsi="宋体"/>
          <w:kern w:val="0"/>
          <w:szCs w:val="21"/>
        </w:rPr>
        <w:t>、</w:t>
      </w:r>
      <w:r>
        <w:rPr>
          <w:rFonts w:hAnsi="宋体"/>
          <w:kern w:val="0"/>
          <w:szCs w:val="21"/>
        </w:rPr>
        <w:t>验证方法</w:t>
      </w:r>
      <w:r>
        <w:rPr>
          <w:rFonts w:hint="eastAsia" w:hAnsi="宋体"/>
          <w:kern w:val="0"/>
          <w:szCs w:val="21"/>
        </w:rPr>
        <w:t>及</w:t>
      </w:r>
      <w:r>
        <w:rPr>
          <w:rFonts w:hAnsi="宋体"/>
          <w:kern w:val="0"/>
          <w:szCs w:val="21"/>
        </w:rPr>
        <w:t>应用</w:t>
      </w:r>
      <w:r>
        <w:rPr>
          <w:rFonts w:hint="eastAsia" w:hAnsi="宋体"/>
          <w:kern w:val="0"/>
          <w:szCs w:val="21"/>
        </w:rPr>
        <w:t>，结合实例</w:t>
      </w:r>
      <w:r>
        <w:rPr>
          <w:rFonts w:hAnsi="宋体"/>
          <w:kern w:val="0"/>
          <w:szCs w:val="21"/>
        </w:rPr>
        <w:t>介绍</w:t>
      </w:r>
      <w:r>
        <w:rPr>
          <w:rFonts w:hint="eastAsia" w:ascii="宋体" w:hAnsi="宋体"/>
          <w:bCs/>
        </w:rPr>
        <w:t>独立分配</w:t>
      </w:r>
      <w:r>
        <w:rPr>
          <w:rFonts w:ascii="宋体" w:hAnsi="宋体"/>
          <w:bCs/>
        </w:rPr>
        <w:t>规律</w:t>
      </w:r>
      <w:r>
        <w:rPr>
          <w:rFonts w:hAnsi="宋体"/>
          <w:kern w:val="0"/>
          <w:szCs w:val="21"/>
        </w:rPr>
        <w:t>在育种实践中进行后代性状预测、群体大小预测的方法。</w:t>
      </w:r>
      <w:r>
        <w:rPr>
          <w:rFonts w:hint="eastAsia" w:hAnsi="宋体"/>
          <w:kern w:val="0"/>
          <w:szCs w:val="21"/>
        </w:rPr>
        <w:t>孟德尔</w:t>
      </w:r>
      <w:r>
        <w:rPr>
          <w:rFonts w:hAnsi="宋体"/>
          <w:kern w:val="0"/>
          <w:szCs w:val="21"/>
        </w:rPr>
        <w:t>规律的补充</w:t>
      </w:r>
      <w:r>
        <w:rPr>
          <w:rFonts w:hint="eastAsia" w:hAnsi="宋体"/>
          <w:kern w:val="0"/>
          <w:szCs w:val="21"/>
        </w:rPr>
        <w:t>和</w:t>
      </w:r>
      <w:r>
        <w:rPr>
          <w:rFonts w:hAnsi="宋体"/>
          <w:kern w:val="0"/>
          <w:szCs w:val="21"/>
        </w:rPr>
        <w:t>发展</w:t>
      </w:r>
      <w:r>
        <w:rPr>
          <w:rFonts w:hint="eastAsia" w:hAnsi="宋体"/>
          <w:kern w:val="0"/>
          <w:szCs w:val="21"/>
        </w:rPr>
        <w:t>。</w:t>
      </w:r>
    </w:p>
    <w:p>
      <w:pPr>
        <w:pStyle w:val="7"/>
        <w:snapToGrid w:val="0"/>
        <w:spacing w:line="360" w:lineRule="auto"/>
        <w:rPr>
          <w:rFonts w:ascii="宋体" w:hAnsi="宋体"/>
        </w:rPr>
      </w:pPr>
      <w:r>
        <w:rPr>
          <w:rFonts w:hint="eastAsia" w:ascii="宋体" w:hAnsi="宋体"/>
        </w:rPr>
        <w:t>要求了解</w:t>
      </w:r>
      <w:r>
        <w:rPr>
          <w:rFonts w:ascii="宋体" w:hAnsi="宋体"/>
        </w:rPr>
        <w:t>性状自由组合的现象</w:t>
      </w:r>
      <w:r>
        <w:rPr>
          <w:rFonts w:hint="eastAsia" w:ascii="宋体" w:hAnsi="宋体"/>
        </w:rPr>
        <w:t>、熟练掌握</w:t>
      </w:r>
      <w:r>
        <w:rPr>
          <w:rFonts w:hint="eastAsia" w:ascii="宋体" w:hAnsi="宋体"/>
          <w:bCs/>
        </w:rPr>
        <w:t>独立分配</w:t>
      </w:r>
      <w:r>
        <w:rPr>
          <w:rFonts w:ascii="宋体" w:hAnsi="宋体"/>
          <w:bCs/>
        </w:rPr>
        <w:t>规律</w:t>
      </w:r>
      <w:r>
        <w:rPr>
          <w:rFonts w:ascii="宋体" w:hAnsi="宋体"/>
        </w:rPr>
        <w:t>的基本原理</w:t>
      </w:r>
      <w:r>
        <w:rPr>
          <w:rFonts w:hint="eastAsia" w:ascii="宋体" w:hAnsi="宋体"/>
        </w:rPr>
        <w:t>及</w:t>
      </w:r>
      <w:r>
        <w:rPr>
          <w:rFonts w:ascii="宋体" w:hAnsi="宋体"/>
        </w:rPr>
        <w:t>验证方法</w:t>
      </w:r>
      <w:r>
        <w:rPr>
          <w:rFonts w:hint="eastAsia" w:ascii="宋体" w:hAnsi="宋体"/>
        </w:rPr>
        <w:t>；掌握如何</w:t>
      </w:r>
      <w:r>
        <w:rPr>
          <w:rFonts w:ascii="宋体" w:hAnsi="宋体"/>
        </w:rPr>
        <w:t>利用</w:t>
      </w:r>
      <w:r>
        <w:rPr>
          <w:rFonts w:hint="eastAsia" w:ascii="宋体" w:hAnsi="宋体"/>
          <w:bCs/>
        </w:rPr>
        <w:t>独立分配</w:t>
      </w:r>
      <w:r>
        <w:rPr>
          <w:rFonts w:ascii="宋体" w:hAnsi="宋体"/>
          <w:bCs/>
        </w:rPr>
        <w:t>规律</w:t>
      </w:r>
      <w:r>
        <w:rPr>
          <w:rFonts w:ascii="宋体" w:hAnsi="宋体"/>
        </w:rPr>
        <w:t>对后代</w:t>
      </w:r>
      <w:r>
        <w:rPr>
          <w:rFonts w:hint="eastAsia" w:ascii="宋体" w:hAnsi="宋体"/>
        </w:rPr>
        <w:t>表型</w:t>
      </w:r>
      <w:r>
        <w:rPr>
          <w:rFonts w:ascii="宋体" w:hAnsi="宋体"/>
        </w:rPr>
        <w:t>及群体大小的预测</w:t>
      </w:r>
      <w:r>
        <w:rPr>
          <w:rFonts w:hint="eastAsia" w:ascii="宋体" w:hAnsi="宋体"/>
        </w:rPr>
        <w:t>；掌握卡方检验</w:t>
      </w:r>
      <w:r>
        <w:rPr>
          <w:rFonts w:ascii="宋体" w:hAnsi="宋体"/>
        </w:rPr>
        <w:t>在</w:t>
      </w:r>
      <w:r>
        <w:rPr>
          <w:rFonts w:hint="eastAsia" w:ascii="宋体" w:hAnsi="宋体"/>
          <w:bCs/>
        </w:rPr>
        <w:t>独立分配</w:t>
      </w:r>
      <w:r>
        <w:rPr>
          <w:rFonts w:ascii="宋体" w:hAnsi="宋体"/>
          <w:bCs/>
        </w:rPr>
        <w:t>规律</w:t>
      </w:r>
      <w:r>
        <w:rPr>
          <w:rFonts w:ascii="宋体" w:hAnsi="宋体"/>
        </w:rPr>
        <w:t>验证中的应用。</w:t>
      </w:r>
    </w:p>
    <w:p>
      <w:pPr>
        <w:widowControl/>
        <w:snapToGrid w:val="0"/>
        <w:spacing w:line="360" w:lineRule="auto"/>
      </w:pPr>
      <w:r>
        <w:rPr>
          <w:rFonts w:hint="eastAsia" w:ascii="宋体" w:hAnsi="宋体"/>
          <w:b/>
          <w:bCs/>
        </w:rPr>
        <w:t>教学组织与实施：</w:t>
      </w:r>
      <w:r>
        <w:rPr>
          <w:rFonts w:hint="eastAsia" w:ascii="宋体" w:hAnsi="宋体"/>
          <w:bCs/>
        </w:rPr>
        <w:t>在课堂上通过对独立分配</w:t>
      </w:r>
      <w:r>
        <w:rPr>
          <w:rFonts w:ascii="宋体" w:hAnsi="宋体"/>
          <w:bCs/>
        </w:rPr>
        <w:t>规律</w:t>
      </w:r>
      <w:r>
        <w:rPr>
          <w:rFonts w:hint="eastAsia" w:ascii="宋体" w:hAnsi="宋体"/>
          <w:bCs/>
        </w:rPr>
        <w:t>的学习，结合育种实践中的案例分析和习题训练，让学生理解独立分配</w:t>
      </w:r>
      <w:r>
        <w:rPr>
          <w:rFonts w:ascii="宋体" w:hAnsi="宋体"/>
          <w:bCs/>
        </w:rPr>
        <w:t>规律</w:t>
      </w:r>
      <w:r>
        <w:rPr>
          <w:rFonts w:hint="eastAsia" w:ascii="宋体" w:hAnsi="宋体"/>
          <w:bCs/>
        </w:rPr>
        <w:t>的实质，熟练掌卡方检验在遗传研究中的应用。</w:t>
      </w:r>
    </w:p>
    <w:p>
      <w:pPr>
        <w:widowControl/>
        <w:wordWrap w:val="0"/>
        <w:snapToGrid w:val="0"/>
        <w:spacing w:line="360" w:lineRule="auto"/>
        <w:jc w:val="right"/>
        <w:rPr>
          <w:b/>
          <w:bCs/>
          <w:kern w:val="0"/>
          <w:szCs w:val="21"/>
        </w:rPr>
      </w:pPr>
      <w:r>
        <w:rPr>
          <w:b/>
          <w:bCs/>
          <w:kern w:val="0"/>
          <w:szCs w:val="21"/>
        </w:rPr>
        <w:t> 第</w:t>
      </w:r>
      <w:r>
        <w:rPr>
          <w:rFonts w:hint="eastAsia"/>
          <w:b/>
          <w:bCs/>
          <w:kern w:val="0"/>
          <w:szCs w:val="21"/>
        </w:rPr>
        <w:t>三</w:t>
      </w:r>
      <w:r>
        <w:rPr>
          <w:b/>
          <w:bCs/>
          <w:kern w:val="0"/>
          <w:szCs w:val="21"/>
        </w:rPr>
        <w:t>章     </w:t>
      </w:r>
      <w:r>
        <w:rPr>
          <w:rFonts w:hint="eastAsia"/>
          <w:b/>
          <w:bCs/>
          <w:kern w:val="0"/>
          <w:szCs w:val="21"/>
        </w:rPr>
        <w:t>连锁遗传规律</w:t>
      </w:r>
      <w:r>
        <w:rPr>
          <w:b/>
          <w:bCs/>
          <w:kern w:val="0"/>
          <w:szCs w:val="21"/>
        </w:rPr>
        <w:t>     </w:t>
      </w:r>
      <w:r>
        <w:rPr>
          <w:rFonts w:hint="eastAsia" w:hAnsi="宋体"/>
          <w:b/>
          <w:bCs/>
          <w:color w:val="FF0000"/>
          <w:kern w:val="0"/>
          <w:szCs w:val="21"/>
        </w:rPr>
        <w:t xml:space="preserve"> </w:t>
      </w:r>
      <w:r>
        <w:rPr>
          <w:rFonts w:hAnsi="宋体"/>
          <w:b/>
          <w:bCs/>
          <w:color w:val="FF0000"/>
          <w:kern w:val="0"/>
          <w:szCs w:val="21"/>
        </w:rPr>
        <w:t xml:space="preserve">        </w:t>
      </w:r>
      <w:r>
        <w:rPr>
          <w:rFonts w:hint="eastAsia"/>
          <w:b/>
          <w:bCs/>
          <w:kern w:val="0"/>
          <w:szCs w:val="21"/>
        </w:rPr>
        <w:t xml:space="preserve">    </w:t>
      </w:r>
      <w:r>
        <w:rPr>
          <w:b/>
          <w:bCs/>
          <w:kern w:val="0"/>
          <w:szCs w:val="21"/>
        </w:rPr>
        <w:t>       学时</w:t>
      </w:r>
      <w:r>
        <w:rPr>
          <w:rFonts w:hint="eastAsia"/>
          <w:b/>
          <w:bCs/>
          <w:kern w:val="0"/>
          <w:szCs w:val="21"/>
        </w:rPr>
        <w:t>数：5</w:t>
      </w:r>
    </w:p>
    <w:p>
      <w:pPr>
        <w:widowControl/>
        <w:spacing w:line="360" w:lineRule="auto"/>
        <w:jc w:val="left"/>
        <w:rPr>
          <w:rFonts w:hAnsi="宋体"/>
          <w:b/>
          <w:kern w:val="0"/>
          <w:szCs w:val="21"/>
        </w:rPr>
      </w:pPr>
      <w:r>
        <w:rPr>
          <w:rFonts w:ascii="宋体" w:hAnsi="宋体"/>
          <w:b/>
          <w:bCs/>
        </w:rPr>
        <w:t>第一节</w:t>
      </w:r>
      <w:r>
        <w:rPr>
          <w:rFonts w:hint="eastAsia" w:ascii="宋体" w:hAnsi="宋体"/>
          <w:b/>
          <w:bCs/>
        </w:rPr>
        <w:t xml:space="preserve">  连锁与</w:t>
      </w:r>
      <w:r>
        <w:rPr>
          <w:rFonts w:ascii="宋体" w:hAnsi="宋体"/>
          <w:b/>
          <w:bCs/>
        </w:rPr>
        <w:t>交换</w:t>
      </w:r>
      <w:r>
        <w:rPr>
          <w:rFonts w:hint="eastAsia" w:ascii="宋体" w:hAnsi="宋体"/>
          <w:b/>
          <w:bCs/>
        </w:rPr>
        <w:t>（</w:t>
      </w:r>
      <w:r>
        <w:rPr>
          <w:b/>
          <w:bCs/>
        </w:rPr>
        <w:t>0.5</w:t>
      </w:r>
      <w:r>
        <w:rPr>
          <w:rFonts w:hint="eastAsia" w:ascii="宋体" w:hAnsi="宋体"/>
          <w:b/>
          <w:bCs/>
        </w:rPr>
        <w:t>学时）</w:t>
      </w:r>
    </w:p>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掌握性状连锁</w:t>
      </w:r>
      <w:r>
        <w:rPr>
          <w:rFonts w:hint="eastAsia" w:hAnsi="宋体"/>
          <w:kern w:val="0"/>
          <w:szCs w:val="21"/>
        </w:rPr>
        <w:t>遗传</w:t>
      </w:r>
      <w:r>
        <w:rPr>
          <w:rFonts w:hint="eastAsia" w:ascii="宋体" w:hAnsi="宋体"/>
          <w:bCs/>
        </w:rPr>
        <w:t>的现象、解释及遗传机理</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性状连锁遗传</w:t>
      </w:r>
      <w:r>
        <w:rPr>
          <w:rFonts w:ascii="宋体" w:hAnsi="宋体"/>
          <w:bCs/>
        </w:rPr>
        <w:t>现象</w:t>
      </w:r>
      <w:r>
        <w:rPr>
          <w:rFonts w:hint="eastAsia" w:ascii="宋体" w:hAnsi="宋体"/>
          <w:bCs/>
        </w:rPr>
        <w:t>；</w:t>
      </w:r>
      <w:r>
        <w:rPr>
          <w:rFonts w:ascii="宋体" w:hAnsi="宋体"/>
          <w:bCs/>
        </w:rPr>
        <w:t>连锁遗传的内在规律</w:t>
      </w:r>
      <w:r>
        <w:rPr>
          <w:rFonts w:hint="eastAsia" w:ascii="宋体" w:hAnsi="宋体"/>
          <w:bCs/>
        </w:rPr>
        <w:t>；</w:t>
      </w:r>
      <w:r>
        <w:rPr>
          <w:rFonts w:ascii="宋体" w:hAnsi="宋体"/>
          <w:bCs/>
        </w:rPr>
        <w:t>交换</w:t>
      </w:r>
      <w:r>
        <w:rPr>
          <w:rFonts w:hint="eastAsia" w:ascii="宋体" w:hAnsi="宋体"/>
          <w:bCs/>
        </w:rPr>
        <w:t>及</w:t>
      </w:r>
      <w:r>
        <w:rPr>
          <w:rFonts w:ascii="宋体" w:hAnsi="宋体"/>
          <w:bCs/>
        </w:rPr>
        <w:t>交换</w:t>
      </w:r>
      <w:r>
        <w:rPr>
          <w:rFonts w:hint="eastAsia" w:ascii="宋体" w:hAnsi="宋体"/>
          <w:bCs/>
        </w:rPr>
        <w:t>值</w:t>
      </w:r>
      <w:r>
        <w:rPr>
          <w:rFonts w:ascii="宋体" w:hAnsi="宋体"/>
          <w:bCs/>
        </w:rPr>
        <w:t>测定</w:t>
      </w:r>
    </w:p>
    <w:p>
      <w:pPr>
        <w:widowControl/>
        <w:snapToGrid w:val="0"/>
        <w:spacing w:line="360" w:lineRule="auto"/>
        <w:rPr>
          <w:rFonts w:ascii="宋体" w:hAnsi="宋体"/>
          <w:b/>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bCs/>
        </w:rPr>
        <w:t>园艺</w:t>
      </w:r>
      <w:r>
        <w:rPr>
          <w:rFonts w:ascii="宋体" w:hAnsi="宋体"/>
          <w:bCs/>
        </w:rPr>
        <w:t>作物</w:t>
      </w:r>
      <w:r>
        <w:rPr>
          <w:rFonts w:hint="eastAsia" w:ascii="宋体" w:hAnsi="宋体"/>
          <w:bCs/>
        </w:rPr>
        <w:t>性状连锁</w:t>
      </w:r>
      <w:r>
        <w:rPr>
          <w:rFonts w:hint="eastAsia" w:hAnsi="宋体"/>
          <w:kern w:val="0"/>
          <w:szCs w:val="21"/>
        </w:rPr>
        <w:t>遗传</w:t>
      </w:r>
      <w:r>
        <w:rPr>
          <w:rFonts w:hint="eastAsia" w:ascii="宋体" w:hAnsi="宋体"/>
          <w:bCs/>
        </w:rPr>
        <w:t>的现象；性状</w:t>
      </w:r>
      <w:r>
        <w:rPr>
          <w:rFonts w:ascii="宋体" w:hAnsi="宋体"/>
          <w:bCs/>
        </w:rPr>
        <w:t>连锁遗传的原理</w:t>
      </w:r>
      <w:r>
        <w:rPr>
          <w:rFonts w:hint="eastAsia" w:ascii="宋体" w:hAnsi="宋体"/>
          <w:bCs/>
        </w:rPr>
        <w:t>；</w:t>
      </w:r>
      <w:r>
        <w:rPr>
          <w:rFonts w:ascii="宋体" w:hAnsi="宋体"/>
          <w:bCs/>
        </w:rPr>
        <w:t>交换的概念和交换值的测定。</w:t>
      </w:r>
    </w:p>
    <w:p>
      <w:pPr>
        <w:pStyle w:val="7"/>
        <w:snapToGrid w:val="0"/>
        <w:spacing w:line="360" w:lineRule="auto"/>
        <w:rPr>
          <w:rFonts w:ascii="宋体" w:hAnsi="宋体"/>
        </w:rPr>
      </w:pPr>
      <w:r>
        <w:rPr>
          <w:rFonts w:hint="eastAsia" w:ascii="宋体" w:hAnsi="宋体"/>
        </w:rPr>
        <w:t>要求</w:t>
      </w:r>
      <w:r>
        <w:rPr>
          <w:rFonts w:ascii="宋体" w:hAnsi="宋体"/>
        </w:rPr>
        <w:t>学生了解性状连锁的现象；</w:t>
      </w:r>
      <w:r>
        <w:rPr>
          <w:rFonts w:hint="eastAsia" w:ascii="宋体" w:hAnsi="宋体"/>
        </w:rPr>
        <w:t>理解</w:t>
      </w:r>
      <w:r>
        <w:rPr>
          <w:rFonts w:ascii="宋体" w:hAnsi="宋体"/>
        </w:rPr>
        <w:t>并掌握</w:t>
      </w:r>
      <w:r>
        <w:rPr>
          <w:rFonts w:hint="eastAsia" w:ascii="宋体" w:hAnsi="宋体"/>
          <w:bCs/>
        </w:rPr>
        <w:t>性状</w:t>
      </w:r>
      <w:r>
        <w:rPr>
          <w:rFonts w:ascii="宋体" w:hAnsi="宋体"/>
          <w:bCs/>
        </w:rPr>
        <w:t>连锁遗传的原理</w:t>
      </w:r>
      <w:r>
        <w:rPr>
          <w:rFonts w:hint="eastAsia" w:ascii="宋体" w:hAnsi="宋体"/>
          <w:bCs/>
        </w:rPr>
        <w:t>；熟练</w:t>
      </w:r>
      <w:r>
        <w:rPr>
          <w:rFonts w:hint="eastAsia" w:ascii="宋体" w:hAnsi="宋体"/>
        </w:rPr>
        <w:t>掌握</w:t>
      </w:r>
      <w:r>
        <w:rPr>
          <w:rFonts w:ascii="宋体" w:hAnsi="宋体"/>
        </w:rPr>
        <w:t>交换的概念及交换值测定方法</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性状连锁遗传</w:t>
      </w:r>
      <w:r>
        <w:rPr>
          <w:rFonts w:ascii="宋体" w:hAnsi="宋体"/>
        </w:rPr>
        <w:t>是</w:t>
      </w:r>
      <w:r>
        <w:rPr>
          <w:rFonts w:hint="eastAsia" w:ascii="宋体" w:hAnsi="宋体"/>
        </w:rPr>
        <w:t>遗传</w:t>
      </w:r>
      <w:r>
        <w:rPr>
          <w:rFonts w:ascii="宋体" w:hAnsi="宋体"/>
        </w:rPr>
        <w:t>学课程中最为重要的</w:t>
      </w:r>
      <w:r>
        <w:rPr>
          <w:rFonts w:hint="eastAsia" w:ascii="宋体" w:hAnsi="宋体"/>
        </w:rPr>
        <w:t>遗传</w:t>
      </w:r>
      <w:r>
        <w:rPr>
          <w:rFonts w:ascii="宋体" w:hAnsi="宋体"/>
        </w:rPr>
        <w:t>规律之一。</w:t>
      </w:r>
      <w:r>
        <w:rPr>
          <w:rFonts w:hint="eastAsia" w:ascii="宋体" w:hAnsi="宋体"/>
        </w:rPr>
        <w:t>本节</w:t>
      </w:r>
      <w:r>
        <w:rPr>
          <w:rFonts w:ascii="宋体" w:hAnsi="宋体"/>
        </w:rPr>
        <w:t>主要</w:t>
      </w:r>
      <w:r>
        <w:rPr>
          <w:rFonts w:hint="eastAsia" w:hAnsi="宋体"/>
          <w:kern w:val="0"/>
          <w:szCs w:val="21"/>
        </w:rPr>
        <w:t>对性状连锁遗传现象、交换及</w:t>
      </w:r>
      <w:r>
        <w:rPr>
          <w:rFonts w:hAnsi="宋体"/>
          <w:kern w:val="0"/>
          <w:szCs w:val="21"/>
        </w:rPr>
        <w:t>交换值的测定</w:t>
      </w:r>
      <w:r>
        <w:rPr>
          <w:rFonts w:hint="eastAsia" w:hAnsi="宋体"/>
          <w:kern w:val="0"/>
          <w:szCs w:val="21"/>
        </w:rPr>
        <w:t>等</w:t>
      </w:r>
      <w:r>
        <w:rPr>
          <w:rFonts w:hAnsi="宋体"/>
          <w:kern w:val="0"/>
          <w:szCs w:val="21"/>
        </w:rPr>
        <w:t>知识点</w:t>
      </w:r>
      <w:r>
        <w:rPr>
          <w:rFonts w:hint="eastAsia" w:hAnsi="宋体"/>
          <w:kern w:val="0"/>
          <w:szCs w:val="21"/>
        </w:rPr>
        <w:t>进行讲解</w:t>
      </w:r>
      <w:r>
        <w:rPr>
          <w:rFonts w:hAnsi="宋体"/>
          <w:kern w:val="0"/>
          <w:szCs w:val="21"/>
        </w:rPr>
        <w:t>学习</w:t>
      </w:r>
      <w:r>
        <w:rPr>
          <w:rFonts w:hint="eastAsia" w:hAnsi="宋体"/>
          <w:kern w:val="0"/>
          <w:szCs w:val="21"/>
        </w:rPr>
        <w:t>，同时</w:t>
      </w:r>
      <w:r>
        <w:rPr>
          <w:rFonts w:hAnsi="宋体"/>
          <w:kern w:val="0"/>
          <w:szCs w:val="21"/>
        </w:rPr>
        <w:t>结合</w:t>
      </w:r>
      <w:r>
        <w:rPr>
          <w:rFonts w:hint="eastAsia" w:hAnsi="宋体"/>
          <w:kern w:val="0"/>
          <w:szCs w:val="21"/>
        </w:rPr>
        <w:t>分组（班）</w:t>
      </w:r>
      <w:r>
        <w:rPr>
          <w:rFonts w:hAnsi="宋体"/>
          <w:kern w:val="0"/>
          <w:szCs w:val="21"/>
        </w:rPr>
        <w:t>讨论，</w:t>
      </w:r>
      <w:r>
        <w:rPr>
          <w:rFonts w:hint="eastAsia" w:hAnsi="宋体"/>
          <w:kern w:val="0"/>
          <w:szCs w:val="21"/>
        </w:rPr>
        <w:t>与学生充分互动。通过实验课的精心设计，让学生动手操作，强化学习效果，从而掌握园艺植物连锁性状的遗传理论以及性状预测方法，并为相关选择育种理论的学习奠定基础。</w:t>
      </w:r>
    </w:p>
    <w:p>
      <w:pPr>
        <w:snapToGrid w:val="0"/>
        <w:spacing w:line="360" w:lineRule="auto"/>
        <w:rPr>
          <w:rFonts w:ascii="宋体" w:hAnsi="宋体"/>
          <w:b/>
          <w:bCs/>
        </w:rPr>
      </w:pPr>
      <w:r>
        <w:rPr>
          <w:rFonts w:hint="eastAsia" w:ascii="宋体" w:hAnsi="宋体"/>
          <w:b/>
          <w:bCs/>
        </w:rPr>
        <w:t xml:space="preserve">第二节  </w:t>
      </w:r>
      <w:r>
        <w:rPr>
          <w:rFonts w:hint="eastAsia" w:hAnsi="宋体"/>
          <w:b/>
          <w:kern w:val="0"/>
          <w:szCs w:val="21"/>
        </w:rPr>
        <w:t>基因定位</w:t>
      </w:r>
      <w:r>
        <w:rPr>
          <w:rFonts w:hint="eastAsia" w:ascii="宋体" w:hAnsi="宋体"/>
          <w:b/>
          <w:bCs/>
        </w:rPr>
        <w:t>与遗传连锁图（</w:t>
      </w:r>
      <w:r>
        <w:rPr>
          <w:b/>
          <w:bCs/>
        </w:rPr>
        <w:t>3</w:t>
      </w:r>
      <w:r>
        <w:rPr>
          <w:rFonts w:hint="eastAsia" w:ascii="宋体" w:hAnsi="宋体"/>
          <w:b/>
          <w:bCs/>
        </w:rPr>
        <w:t>学时）</w:t>
      </w:r>
    </w:p>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理解并</w:t>
      </w:r>
      <w:r>
        <w:rPr>
          <w:rFonts w:ascii="宋体" w:hAnsi="宋体"/>
          <w:bCs/>
        </w:rPr>
        <w:t>掌握基因</w:t>
      </w:r>
      <w:r>
        <w:rPr>
          <w:rFonts w:hint="eastAsia" w:ascii="宋体" w:hAnsi="宋体"/>
          <w:bCs/>
        </w:rPr>
        <w:t>定位</w:t>
      </w:r>
      <w:r>
        <w:rPr>
          <w:rFonts w:ascii="宋体" w:hAnsi="宋体"/>
          <w:bCs/>
        </w:rPr>
        <w:t>的基本原理</w:t>
      </w:r>
      <w:r>
        <w:rPr>
          <w:rFonts w:hint="eastAsia" w:ascii="宋体" w:hAnsi="宋体"/>
          <w:bCs/>
        </w:rPr>
        <w:t>以及</w:t>
      </w:r>
      <w:r>
        <w:rPr>
          <w:rFonts w:ascii="宋体" w:hAnsi="宋体"/>
          <w:bCs/>
        </w:rPr>
        <w:t>连锁遗传图谱</w:t>
      </w:r>
      <w:r>
        <w:rPr>
          <w:rFonts w:hint="eastAsia" w:ascii="宋体" w:hAnsi="宋体"/>
          <w:bCs/>
        </w:rPr>
        <w:t>构建</w:t>
      </w:r>
      <w:r>
        <w:rPr>
          <w:rFonts w:ascii="宋体" w:hAnsi="宋体"/>
          <w:bCs/>
        </w:rPr>
        <w:t>的一般方法。</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基因</w:t>
      </w:r>
      <w:r>
        <w:rPr>
          <w:rFonts w:ascii="宋体" w:hAnsi="宋体"/>
          <w:bCs/>
        </w:rPr>
        <w:t>定位的概念；基因定位的方法：</w:t>
      </w:r>
      <w:r>
        <w:rPr>
          <w:rFonts w:hint="eastAsia" w:ascii="宋体" w:hAnsi="宋体"/>
          <w:bCs/>
        </w:rPr>
        <w:t>两点</w:t>
      </w:r>
      <w:r>
        <w:rPr>
          <w:rFonts w:ascii="宋体" w:hAnsi="宋体"/>
          <w:bCs/>
        </w:rPr>
        <w:t>测验和三点测验。</w:t>
      </w:r>
    </w:p>
    <w:p>
      <w:pPr>
        <w:widowControl/>
        <w:snapToGrid w:val="0"/>
        <w:spacing w:line="360" w:lineRule="auto"/>
        <w:rPr>
          <w:rFonts w:ascii="宋体" w:hAnsi="宋体"/>
          <w:b/>
        </w:rPr>
      </w:pPr>
      <w:r>
        <w:rPr>
          <w:rFonts w:hint="eastAsia" w:ascii="宋体" w:hAnsi="宋体"/>
          <w:b/>
        </w:rPr>
        <w:t>主要教学内容及要求：</w:t>
      </w:r>
    </w:p>
    <w:p>
      <w:pPr>
        <w:pStyle w:val="7"/>
        <w:snapToGrid w:val="0"/>
        <w:spacing w:line="360" w:lineRule="auto"/>
        <w:rPr>
          <w:rFonts w:ascii="宋体" w:hAnsi="宋体"/>
          <w:b/>
        </w:rPr>
      </w:pPr>
      <w:r>
        <w:rPr>
          <w:rFonts w:hint="eastAsia" w:ascii="宋体" w:hAnsi="宋体"/>
          <w:bCs/>
        </w:rPr>
        <w:t>本节</w:t>
      </w:r>
      <w:r>
        <w:rPr>
          <w:rFonts w:ascii="宋体" w:hAnsi="宋体"/>
          <w:bCs/>
        </w:rPr>
        <w:t>的主要教学内容包括</w:t>
      </w:r>
      <w:r>
        <w:rPr>
          <w:rFonts w:hint="eastAsia" w:ascii="宋体" w:hAnsi="宋体"/>
          <w:bCs/>
        </w:rPr>
        <w:t>基因</w:t>
      </w:r>
      <w:r>
        <w:rPr>
          <w:rFonts w:ascii="宋体" w:hAnsi="宋体"/>
          <w:bCs/>
        </w:rPr>
        <w:t>定位的概念</w:t>
      </w:r>
      <w:r>
        <w:rPr>
          <w:rFonts w:hint="eastAsia" w:ascii="宋体" w:hAnsi="宋体"/>
          <w:bCs/>
        </w:rPr>
        <w:t>、</w:t>
      </w:r>
      <w:r>
        <w:rPr>
          <w:rFonts w:ascii="宋体" w:hAnsi="宋体"/>
          <w:bCs/>
        </w:rPr>
        <w:t>两点测验、三点测验、干扰</w:t>
      </w:r>
      <w:r>
        <w:rPr>
          <w:rFonts w:hint="eastAsia" w:ascii="宋体" w:hAnsi="宋体"/>
          <w:bCs/>
        </w:rPr>
        <w:t>和</w:t>
      </w:r>
      <w:r>
        <w:rPr>
          <w:rFonts w:ascii="宋体" w:hAnsi="宋体"/>
          <w:bCs/>
        </w:rPr>
        <w:t>符合的概念、连锁遗传图谱构建的基本方法。</w:t>
      </w:r>
    </w:p>
    <w:p>
      <w:pPr>
        <w:pStyle w:val="7"/>
        <w:snapToGrid w:val="0"/>
        <w:spacing w:line="360" w:lineRule="auto"/>
        <w:rPr>
          <w:rFonts w:ascii="宋体" w:hAnsi="宋体"/>
        </w:rPr>
      </w:pPr>
      <w:r>
        <w:rPr>
          <w:rFonts w:hint="eastAsia" w:ascii="宋体" w:hAnsi="宋体"/>
        </w:rPr>
        <w:t>要求了解基因</w:t>
      </w:r>
      <w:r>
        <w:rPr>
          <w:rFonts w:ascii="宋体" w:hAnsi="宋体"/>
        </w:rPr>
        <w:t>定位</w:t>
      </w:r>
      <w:r>
        <w:rPr>
          <w:rFonts w:hint="eastAsia" w:ascii="宋体" w:hAnsi="宋体"/>
        </w:rPr>
        <w:t>概念及</w:t>
      </w:r>
      <w:r>
        <w:rPr>
          <w:rFonts w:ascii="宋体" w:hAnsi="宋体"/>
        </w:rPr>
        <w:t>方法；</w:t>
      </w:r>
      <w:r>
        <w:rPr>
          <w:rFonts w:hint="eastAsia" w:ascii="宋体" w:hAnsi="宋体"/>
        </w:rPr>
        <w:t>熟练</w:t>
      </w:r>
      <w:r>
        <w:rPr>
          <w:rFonts w:ascii="宋体" w:hAnsi="宋体"/>
        </w:rPr>
        <w:t>掌握三点测验的</w:t>
      </w:r>
      <w:r>
        <w:rPr>
          <w:rFonts w:hint="eastAsia" w:ascii="宋体" w:hAnsi="宋体"/>
        </w:rPr>
        <w:t>方法</w:t>
      </w:r>
      <w:r>
        <w:rPr>
          <w:rFonts w:ascii="宋体" w:hAnsi="宋体"/>
        </w:rPr>
        <w:t>；</w:t>
      </w:r>
      <w:r>
        <w:rPr>
          <w:rFonts w:hint="eastAsia" w:ascii="宋体" w:hAnsi="宋体"/>
        </w:rPr>
        <w:t>掌握</w:t>
      </w:r>
      <w:r>
        <w:rPr>
          <w:rFonts w:ascii="宋体" w:hAnsi="宋体"/>
        </w:rPr>
        <w:t>连锁遗传图谱的构建方法。</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基因</w:t>
      </w:r>
      <w:r>
        <w:rPr>
          <w:rFonts w:ascii="宋体" w:hAnsi="宋体"/>
        </w:rPr>
        <w:t>定位是构建连锁遗传图谱的</w:t>
      </w:r>
      <w:r>
        <w:rPr>
          <w:rFonts w:hint="eastAsia" w:ascii="宋体" w:hAnsi="宋体"/>
        </w:rPr>
        <w:t>基础</w:t>
      </w:r>
      <w:r>
        <w:rPr>
          <w:rFonts w:ascii="宋体" w:hAnsi="宋体"/>
        </w:rPr>
        <w:t>理论知识。</w:t>
      </w:r>
      <w:r>
        <w:rPr>
          <w:rFonts w:hint="eastAsia" w:ascii="宋体" w:hAnsi="宋体"/>
        </w:rPr>
        <w:t>本节通过对</w:t>
      </w:r>
      <w:r>
        <w:rPr>
          <w:rFonts w:ascii="宋体" w:hAnsi="宋体"/>
        </w:rPr>
        <w:t>两</w:t>
      </w:r>
      <w:r>
        <w:rPr>
          <w:rFonts w:hint="eastAsia" w:ascii="宋体" w:hAnsi="宋体"/>
        </w:rPr>
        <w:t>点</w:t>
      </w:r>
      <w:r>
        <w:rPr>
          <w:rFonts w:ascii="宋体" w:hAnsi="宋体"/>
        </w:rPr>
        <w:t>测验、三点测验等知识的学习</w:t>
      </w:r>
      <w:r>
        <w:rPr>
          <w:rFonts w:hint="eastAsia" w:hAnsi="宋体"/>
          <w:kern w:val="0"/>
          <w:szCs w:val="21"/>
        </w:rPr>
        <w:t>，并结合实际</w:t>
      </w:r>
      <w:r>
        <w:rPr>
          <w:rFonts w:hAnsi="宋体"/>
          <w:kern w:val="0"/>
          <w:szCs w:val="21"/>
        </w:rPr>
        <w:t>的</w:t>
      </w:r>
      <w:r>
        <w:rPr>
          <w:rFonts w:hint="eastAsia" w:hAnsi="宋体"/>
          <w:kern w:val="0"/>
          <w:szCs w:val="21"/>
        </w:rPr>
        <w:t>案例讲解，与学生充分互动。通过实验课的精心设计，让学生动手操作，强化学习效果，从而掌握园艺植物连锁性状的遗传理论以及性状预测方法，并为相关选择育种理论的学习奠定基础。</w:t>
      </w:r>
    </w:p>
    <w:p>
      <w:pPr>
        <w:snapToGrid w:val="0"/>
        <w:spacing w:line="360" w:lineRule="auto"/>
        <w:rPr>
          <w:rFonts w:ascii="宋体" w:hAnsi="宋体"/>
          <w:b/>
          <w:bCs/>
        </w:rPr>
      </w:pPr>
      <w:r>
        <w:rPr>
          <w:rFonts w:hint="eastAsia" w:ascii="宋体" w:hAnsi="宋体"/>
          <w:b/>
          <w:bCs/>
        </w:rPr>
        <w:t>第三节  连锁</w:t>
      </w:r>
      <w:r>
        <w:rPr>
          <w:rFonts w:hint="eastAsia" w:hAnsi="宋体"/>
          <w:b/>
          <w:kern w:val="0"/>
          <w:szCs w:val="21"/>
        </w:rPr>
        <w:t>遗传</w:t>
      </w:r>
      <w:r>
        <w:rPr>
          <w:rFonts w:hint="eastAsia" w:ascii="宋体" w:hAnsi="宋体"/>
          <w:b/>
          <w:bCs/>
        </w:rPr>
        <w:t>规律的应用（</w:t>
      </w:r>
      <w:r>
        <w:rPr>
          <w:b/>
          <w:bCs/>
        </w:rPr>
        <w:t>1.5</w:t>
      </w:r>
      <w:r>
        <w:rPr>
          <w:rFonts w:hint="eastAsia" w:ascii="宋体" w:hAnsi="宋体"/>
          <w:b/>
          <w:bCs/>
        </w:rPr>
        <w:t>学时）</w:t>
      </w:r>
    </w:p>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掌握连锁</w:t>
      </w:r>
      <w:r>
        <w:rPr>
          <w:rFonts w:ascii="宋体" w:hAnsi="宋体"/>
          <w:bCs/>
        </w:rPr>
        <w:t>遗传规律在育种工作</w:t>
      </w:r>
      <w:r>
        <w:rPr>
          <w:rFonts w:hint="eastAsia" w:ascii="宋体" w:hAnsi="宋体"/>
          <w:bCs/>
        </w:rPr>
        <w:t>的</w:t>
      </w:r>
      <w:r>
        <w:rPr>
          <w:rFonts w:ascii="宋体" w:hAnsi="宋体"/>
          <w:bCs/>
        </w:rPr>
        <w:t>基本应用。</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针对连锁</w:t>
      </w:r>
      <w:r>
        <w:rPr>
          <w:rFonts w:ascii="宋体" w:hAnsi="宋体"/>
          <w:bCs/>
        </w:rPr>
        <w:t>性状现象，</w:t>
      </w:r>
      <w:r>
        <w:rPr>
          <w:rFonts w:hint="eastAsia" w:ascii="宋体" w:hAnsi="宋体"/>
          <w:bCs/>
        </w:rPr>
        <w:t>开展</w:t>
      </w:r>
      <w:r>
        <w:rPr>
          <w:rFonts w:ascii="宋体" w:hAnsi="宋体"/>
          <w:bCs/>
        </w:rPr>
        <w:t>后代群体大小的预测</w:t>
      </w:r>
      <w:r>
        <w:rPr>
          <w:rFonts w:hint="eastAsia" w:ascii="宋体" w:hAnsi="宋体"/>
          <w:bCs/>
        </w:rPr>
        <w:t>及</w:t>
      </w:r>
      <w:r>
        <w:rPr>
          <w:rFonts w:ascii="宋体" w:hAnsi="宋体"/>
          <w:bCs/>
        </w:rPr>
        <w:t>每种表型类型出现的比例。</w:t>
      </w:r>
    </w:p>
    <w:p>
      <w:pPr>
        <w:widowControl/>
        <w:snapToGrid w:val="0"/>
        <w:spacing w:line="360" w:lineRule="auto"/>
        <w:rPr>
          <w:rFonts w:ascii="宋体" w:hAnsi="宋体"/>
          <w:b/>
        </w:rPr>
      </w:pPr>
      <w:r>
        <w:rPr>
          <w:rFonts w:hint="eastAsia" w:ascii="宋体" w:hAnsi="宋体"/>
          <w:b/>
        </w:rPr>
        <w:t>主要教学内容及要求：</w:t>
      </w:r>
    </w:p>
    <w:p>
      <w:pPr>
        <w:pStyle w:val="7"/>
        <w:snapToGrid w:val="0"/>
        <w:spacing w:line="360" w:lineRule="auto"/>
        <w:rPr>
          <w:rFonts w:hAnsi="宋体"/>
          <w:kern w:val="0"/>
          <w:szCs w:val="21"/>
        </w:rPr>
      </w:pPr>
      <w:r>
        <w:rPr>
          <w:rFonts w:hint="eastAsia" w:hAnsi="宋体"/>
          <w:kern w:val="0"/>
          <w:szCs w:val="21"/>
        </w:rPr>
        <w:t>本节</w:t>
      </w:r>
      <w:r>
        <w:rPr>
          <w:rFonts w:hAnsi="宋体"/>
          <w:kern w:val="0"/>
          <w:szCs w:val="21"/>
        </w:rPr>
        <w:t>主要介绍利用连锁遗传原理提高园艺作物选择效果的方法，介绍交换值在育种实践上应用。</w:t>
      </w:r>
    </w:p>
    <w:p>
      <w:pPr>
        <w:pStyle w:val="7"/>
        <w:snapToGrid w:val="0"/>
        <w:spacing w:line="360" w:lineRule="auto"/>
        <w:rPr>
          <w:rFonts w:ascii="宋体" w:hAnsi="宋体"/>
        </w:rPr>
      </w:pPr>
      <w:r>
        <w:rPr>
          <w:rFonts w:hint="eastAsia" w:ascii="宋体" w:hAnsi="宋体"/>
        </w:rPr>
        <w:t>要求了解如何</w:t>
      </w:r>
      <w:r>
        <w:rPr>
          <w:rFonts w:hAnsi="宋体"/>
          <w:kern w:val="0"/>
          <w:szCs w:val="21"/>
        </w:rPr>
        <w:t>利用连锁遗传原理提高园艺作物选择效果的方法</w:t>
      </w:r>
      <w:r>
        <w:rPr>
          <w:rFonts w:hint="eastAsia" w:hAnsi="宋体"/>
          <w:kern w:val="0"/>
          <w:szCs w:val="21"/>
        </w:rPr>
        <w:t>，掌握</w:t>
      </w:r>
      <w:r>
        <w:rPr>
          <w:rFonts w:hAnsi="宋体"/>
          <w:kern w:val="0"/>
          <w:szCs w:val="21"/>
        </w:rPr>
        <w:t>交换值在育种实践上应用。</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实现连锁</w:t>
      </w:r>
      <w:r>
        <w:rPr>
          <w:rFonts w:ascii="宋体" w:hAnsi="宋体"/>
        </w:rPr>
        <w:t>遗传规律在</w:t>
      </w:r>
      <w:r>
        <w:rPr>
          <w:rFonts w:hint="eastAsia" w:ascii="宋体" w:hAnsi="宋体"/>
        </w:rPr>
        <w:t>育种</w:t>
      </w:r>
      <w:r>
        <w:rPr>
          <w:rFonts w:ascii="宋体" w:hAnsi="宋体"/>
        </w:rPr>
        <w:t>的应用</w:t>
      </w:r>
      <w:r>
        <w:rPr>
          <w:rFonts w:hint="eastAsia" w:ascii="宋体" w:hAnsi="宋体"/>
        </w:rPr>
        <w:t>是</w:t>
      </w:r>
      <w:r>
        <w:rPr>
          <w:rFonts w:ascii="宋体" w:hAnsi="宋体"/>
        </w:rPr>
        <w:t>本章学习的最终目的。</w:t>
      </w:r>
      <w:r>
        <w:rPr>
          <w:rFonts w:hint="eastAsia" w:ascii="宋体" w:hAnsi="宋体"/>
        </w:rPr>
        <w:t>本节通过对</w:t>
      </w:r>
      <w:r>
        <w:rPr>
          <w:rFonts w:ascii="宋体" w:hAnsi="宋体"/>
        </w:rPr>
        <w:t>实际案例的</w:t>
      </w:r>
      <w:r>
        <w:rPr>
          <w:rFonts w:hint="eastAsia" w:ascii="宋体" w:hAnsi="宋体"/>
        </w:rPr>
        <w:t>讲解</w:t>
      </w:r>
      <w:r>
        <w:rPr>
          <w:rFonts w:hint="eastAsia" w:hAnsi="宋体"/>
          <w:kern w:val="0"/>
          <w:szCs w:val="21"/>
        </w:rPr>
        <w:t>让</w:t>
      </w:r>
      <w:r>
        <w:rPr>
          <w:rFonts w:hAnsi="宋体"/>
          <w:kern w:val="0"/>
          <w:szCs w:val="21"/>
        </w:rPr>
        <w:t>学生掌握连锁遗传规律</w:t>
      </w:r>
      <w:r>
        <w:rPr>
          <w:rFonts w:hint="eastAsia" w:hAnsi="宋体"/>
          <w:kern w:val="0"/>
          <w:szCs w:val="21"/>
        </w:rPr>
        <w:t>在</w:t>
      </w:r>
      <w:r>
        <w:rPr>
          <w:rFonts w:hAnsi="宋体"/>
          <w:kern w:val="0"/>
          <w:szCs w:val="21"/>
        </w:rPr>
        <w:t>园艺植物遗传育种工作中</w:t>
      </w:r>
      <w:r>
        <w:rPr>
          <w:rFonts w:hint="eastAsia" w:hAnsi="宋体"/>
          <w:kern w:val="0"/>
          <w:szCs w:val="21"/>
        </w:rPr>
        <w:t>应用</w:t>
      </w:r>
      <w:r>
        <w:rPr>
          <w:rFonts w:hAnsi="宋体"/>
          <w:kern w:val="0"/>
          <w:szCs w:val="21"/>
        </w:rPr>
        <w:t>。同时</w:t>
      </w:r>
      <w:r>
        <w:rPr>
          <w:rFonts w:hint="eastAsia" w:hAnsi="宋体"/>
          <w:kern w:val="0"/>
          <w:szCs w:val="21"/>
        </w:rPr>
        <w:t>，开展分组（班）</w:t>
      </w:r>
      <w:r>
        <w:rPr>
          <w:rFonts w:hAnsi="宋体"/>
          <w:kern w:val="0"/>
          <w:szCs w:val="21"/>
        </w:rPr>
        <w:t>讨论</w:t>
      </w:r>
      <w:r>
        <w:rPr>
          <w:rFonts w:hint="eastAsia" w:hAnsi="宋体"/>
          <w:kern w:val="0"/>
          <w:szCs w:val="21"/>
        </w:rPr>
        <w:t>，</w:t>
      </w:r>
      <w:r>
        <w:rPr>
          <w:rFonts w:hAnsi="宋体"/>
          <w:kern w:val="0"/>
          <w:szCs w:val="21"/>
        </w:rPr>
        <w:t>并</w:t>
      </w:r>
      <w:r>
        <w:rPr>
          <w:rFonts w:hint="eastAsia" w:hAnsi="宋体"/>
          <w:kern w:val="0"/>
          <w:szCs w:val="21"/>
        </w:rPr>
        <w:t>与学生充分互动。</w:t>
      </w:r>
    </w:p>
    <w:p>
      <w:pPr>
        <w:widowControl/>
        <w:snapToGrid w:val="0"/>
        <w:spacing w:line="360" w:lineRule="auto"/>
        <w:jc w:val="right"/>
        <w:rPr>
          <w:kern w:val="0"/>
          <w:szCs w:val="21"/>
        </w:rPr>
      </w:pPr>
      <w:r>
        <w:rPr>
          <w:b/>
          <w:bCs/>
          <w:kern w:val="0"/>
          <w:szCs w:val="21"/>
        </w:rPr>
        <w:t> </w:t>
      </w:r>
      <w:bookmarkStart w:id="31" w:name="_Toc138076299"/>
      <w:bookmarkStart w:id="32" w:name="_Toc138076050"/>
      <w:bookmarkStart w:id="33" w:name="_Toc138066339"/>
      <w:bookmarkStart w:id="34" w:name="_Toc138068780"/>
      <w:bookmarkStart w:id="35" w:name="_Toc137560080"/>
      <w:bookmarkStart w:id="36" w:name="_Toc138070410"/>
      <w:bookmarkStart w:id="37" w:name="_Toc138070680"/>
      <w:bookmarkStart w:id="38" w:name="_Toc138076594"/>
      <w:bookmarkStart w:id="39" w:name="_Toc138064500"/>
      <w:r>
        <w:rPr>
          <w:rStyle w:val="40"/>
        </w:rPr>
        <w:t>第</w:t>
      </w:r>
      <w:r>
        <w:rPr>
          <w:rStyle w:val="40"/>
          <w:rFonts w:hint="eastAsia"/>
        </w:rPr>
        <w:t>四</w:t>
      </w:r>
      <w:r>
        <w:rPr>
          <w:rStyle w:val="40"/>
        </w:rPr>
        <w:t>章     </w:t>
      </w:r>
      <w:r>
        <w:rPr>
          <w:rStyle w:val="40"/>
          <w:rFonts w:hint="eastAsia"/>
        </w:rPr>
        <w:t>数量性状的遗传</w:t>
      </w:r>
      <w:bookmarkEnd w:id="31"/>
      <w:bookmarkEnd w:id="32"/>
      <w:bookmarkEnd w:id="33"/>
      <w:bookmarkEnd w:id="34"/>
      <w:bookmarkEnd w:id="35"/>
      <w:bookmarkEnd w:id="36"/>
      <w:bookmarkEnd w:id="37"/>
      <w:bookmarkEnd w:id="38"/>
      <w:bookmarkEnd w:id="39"/>
      <w:r>
        <w:rPr>
          <w:b/>
          <w:bCs/>
          <w:kern w:val="0"/>
          <w:szCs w:val="21"/>
        </w:rPr>
        <w:t>       </w:t>
      </w:r>
      <w:r>
        <w:rPr>
          <w:rFonts w:hint="eastAsia"/>
          <w:b/>
          <w:bCs/>
          <w:kern w:val="0"/>
          <w:szCs w:val="21"/>
        </w:rPr>
        <w:t xml:space="preserve"> </w:t>
      </w:r>
      <w:r>
        <w:rPr>
          <w:rFonts w:hint="eastAsia" w:hAnsi="宋体"/>
          <w:b/>
          <w:bCs/>
          <w:color w:val="FF0000"/>
          <w:kern w:val="0"/>
          <w:szCs w:val="21"/>
        </w:rPr>
        <w:t xml:space="preserve"> </w:t>
      </w:r>
      <w:r>
        <w:rPr>
          <w:rFonts w:hAnsi="宋体"/>
          <w:b/>
          <w:bCs/>
          <w:color w:val="FF0000"/>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Ansi="宋体"/>
          <w:b/>
          <w:bCs/>
          <w:kern w:val="0"/>
          <w:szCs w:val="21"/>
        </w:rPr>
        <w:t>6</w:t>
      </w:r>
    </w:p>
    <w:p>
      <w:pPr>
        <w:snapToGrid w:val="0"/>
        <w:spacing w:line="360" w:lineRule="auto"/>
        <w:rPr>
          <w:rFonts w:ascii="宋体" w:hAnsi="宋体"/>
          <w:b/>
          <w:bCs/>
        </w:rPr>
      </w:pPr>
      <w:r>
        <w:rPr>
          <w:rFonts w:ascii="宋体" w:hAnsi="宋体"/>
          <w:b/>
          <w:bCs/>
        </w:rPr>
        <w:t>第一节</w:t>
      </w:r>
      <w:r>
        <w:rPr>
          <w:rFonts w:hint="eastAsia" w:ascii="宋体" w:hAnsi="宋体"/>
          <w:b/>
          <w:bCs/>
        </w:rPr>
        <w:t xml:space="preserve">  数量性状的特征及多基因假说（</w:t>
      </w:r>
      <w:r>
        <w:rPr>
          <w:b/>
          <w:bCs/>
        </w:rPr>
        <w:t>1</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hAnsi="宋体"/>
          <w:kern w:val="0"/>
          <w:szCs w:val="21"/>
        </w:rPr>
        <w:t>通过对</w:t>
      </w:r>
      <w:r>
        <w:rPr>
          <w:rFonts w:hAnsi="宋体"/>
          <w:kern w:val="0"/>
          <w:szCs w:val="21"/>
        </w:rPr>
        <w:t>数量性状的特征及多基因假说</w:t>
      </w:r>
      <w:r>
        <w:rPr>
          <w:rFonts w:hint="eastAsia" w:hAnsi="宋体"/>
          <w:kern w:val="0"/>
          <w:szCs w:val="21"/>
        </w:rPr>
        <w:t>的学习，掌握基本概念。</w:t>
      </w:r>
    </w:p>
    <w:p>
      <w:pPr>
        <w:widowControl/>
        <w:snapToGrid w:val="0"/>
        <w:spacing w:line="360" w:lineRule="auto"/>
        <w:rPr>
          <w:rFonts w:hAnsi="宋体"/>
          <w:b/>
          <w:bCs/>
          <w:kern w:val="0"/>
          <w:szCs w:val="21"/>
        </w:rPr>
      </w:pPr>
      <w:r>
        <w:rPr>
          <w:rFonts w:hint="eastAsia" w:ascii="宋体" w:hAnsi="宋体"/>
          <w:b/>
          <w:bCs/>
        </w:rPr>
        <w:t>教学重点和难点：</w:t>
      </w:r>
      <w:r>
        <w:rPr>
          <w:rFonts w:hAnsi="宋体"/>
          <w:kern w:val="0"/>
          <w:szCs w:val="21"/>
        </w:rPr>
        <w:t>数量性状的概念</w:t>
      </w:r>
      <w:r>
        <w:rPr>
          <w:rFonts w:hint="eastAsia" w:hAnsi="宋体"/>
          <w:kern w:val="0"/>
          <w:szCs w:val="21"/>
        </w:rPr>
        <w:t>、</w:t>
      </w:r>
      <w:r>
        <w:rPr>
          <w:rFonts w:hAnsi="宋体"/>
          <w:kern w:val="0"/>
          <w:szCs w:val="21"/>
        </w:rPr>
        <w:t>多基因假说</w:t>
      </w:r>
      <w:r>
        <w:rPr>
          <w:rFonts w:hint="eastAsia" w:hAnsi="宋体"/>
          <w:kern w:val="0"/>
          <w:szCs w:val="21"/>
        </w:rPr>
        <w:t>为本节的重点和难点。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w:t>
      </w:r>
      <w:r>
        <w:rPr>
          <w:rFonts w:hAnsi="宋体"/>
          <w:kern w:val="0"/>
          <w:szCs w:val="21"/>
        </w:rPr>
        <w:t>数量性状及质量性状的概念和区别，数量性状遗传的多基因假说</w:t>
      </w:r>
      <w:r>
        <w:rPr>
          <w:rFonts w:hint="eastAsia" w:hAnsi="宋体"/>
          <w:kern w:val="0"/>
          <w:szCs w:val="21"/>
        </w:rPr>
        <w:t>。</w:t>
      </w:r>
    </w:p>
    <w:p>
      <w:pPr>
        <w:widowControl/>
        <w:snapToGrid w:val="0"/>
        <w:spacing w:line="360" w:lineRule="auto"/>
        <w:ind w:firstLine="420" w:firstLineChars="200"/>
        <w:rPr>
          <w:rFonts w:hAnsi="宋体"/>
          <w:kern w:val="0"/>
          <w:szCs w:val="21"/>
        </w:rPr>
      </w:pPr>
      <w:r>
        <w:rPr>
          <w:rFonts w:hint="eastAsia" w:hAnsi="宋体"/>
          <w:kern w:val="0"/>
          <w:szCs w:val="21"/>
        </w:rPr>
        <w:t>要求学生了解</w:t>
      </w:r>
      <w:r>
        <w:rPr>
          <w:rFonts w:hAnsi="宋体"/>
          <w:kern w:val="0"/>
          <w:szCs w:val="21"/>
        </w:rPr>
        <w:t>数量性状及质量性状的概念和区别</w:t>
      </w:r>
      <w:r>
        <w:rPr>
          <w:rFonts w:hint="eastAsia" w:hAnsi="宋体"/>
          <w:kern w:val="0"/>
          <w:szCs w:val="21"/>
        </w:rPr>
        <w:t>，理解</w:t>
      </w:r>
      <w:r>
        <w:rPr>
          <w:rFonts w:hAnsi="宋体"/>
          <w:kern w:val="0"/>
          <w:szCs w:val="21"/>
        </w:rPr>
        <w:t>数量性状遗传的多基因假说</w:t>
      </w:r>
      <w:r>
        <w:rPr>
          <w:rFonts w:hint="eastAsia" w:hAnsi="宋体"/>
          <w:kern w:val="0"/>
          <w:szCs w:val="21"/>
        </w:rPr>
        <w:t>。</w:t>
      </w:r>
    </w:p>
    <w:p>
      <w:pPr>
        <w:widowControl/>
        <w:snapToGrid w:val="0"/>
        <w:spacing w:line="360" w:lineRule="auto"/>
        <w:rPr>
          <w:rFonts w:hAnsi="宋体"/>
          <w:b/>
          <w:bCs/>
          <w:kern w:val="0"/>
          <w:szCs w:val="21"/>
        </w:rPr>
      </w:pPr>
      <w:r>
        <w:rPr>
          <w:rFonts w:hint="eastAsia" w:hAnsi="宋体"/>
          <w:b/>
          <w:bCs/>
          <w:kern w:val="0"/>
          <w:szCs w:val="21"/>
        </w:rPr>
        <w:t>教学组织与实施：</w:t>
      </w:r>
      <w:r>
        <w:rPr>
          <w:rFonts w:hint="eastAsia" w:ascii="宋体" w:hAnsi="宋体"/>
          <w:bCs/>
        </w:rPr>
        <w:t>在课堂上通过对数量性状的学习，结合案例分析，让学生掌握数量性状的特点，以及理解多基因假说。</w:t>
      </w:r>
    </w:p>
    <w:p>
      <w:pPr>
        <w:snapToGrid w:val="0"/>
        <w:spacing w:line="360" w:lineRule="auto"/>
        <w:rPr>
          <w:rFonts w:ascii="宋体" w:hAnsi="宋体"/>
          <w:b/>
          <w:bCs/>
        </w:rPr>
      </w:pPr>
      <w:r>
        <w:rPr>
          <w:rFonts w:hint="eastAsia" w:ascii="宋体" w:hAnsi="宋体"/>
          <w:b/>
          <w:bCs/>
        </w:rPr>
        <w:t xml:space="preserve">第二节  </w:t>
      </w:r>
      <w:r>
        <w:rPr>
          <w:rFonts w:ascii="宋体" w:hAnsi="宋体"/>
          <w:b/>
          <w:bCs/>
        </w:rPr>
        <w:t>数量性状遗传研究的基本统计方法</w:t>
      </w:r>
      <w:r>
        <w:rPr>
          <w:rFonts w:hint="eastAsia" w:ascii="宋体" w:hAnsi="宋体"/>
          <w:b/>
          <w:bCs/>
        </w:rPr>
        <w:t>（</w:t>
      </w:r>
      <w:r>
        <w:rPr>
          <w:b/>
          <w:bCs/>
        </w:rPr>
        <w:t>1</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ascii="宋体" w:hAnsi="宋体"/>
        </w:rPr>
        <w:t>掌握</w:t>
      </w:r>
      <w:r>
        <w:rPr>
          <w:rFonts w:hAnsi="宋体"/>
          <w:kern w:val="0"/>
          <w:szCs w:val="21"/>
        </w:rPr>
        <w:t>平均数、方差及标准差在数量性状分析中的意义。</w:t>
      </w:r>
    </w:p>
    <w:p>
      <w:pPr>
        <w:widowControl/>
        <w:snapToGrid w:val="0"/>
        <w:spacing w:line="360" w:lineRule="auto"/>
        <w:rPr>
          <w:rFonts w:hAnsi="宋体"/>
          <w:kern w:val="0"/>
          <w:szCs w:val="21"/>
        </w:rPr>
      </w:pPr>
      <w:r>
        <w:rPr>
          <w:rFonts w:hint="eastAsia" w:ascii="宋体" w:hAnsi="宋体"/>
          <w:b/>
          <w:bCs/>
        </w:rPr>
        <w:t>教学重点和难点：</w:t>
      </w:r>
      <w:r>
        <w:rPr>
          <w:rFonts w:ascii="宋体" w:hAnsi="宋体"/>
        </w:rPr>
        <w:t>数量性状遗传研究的基本统计方法</w:t>
      </w:r>
      <w:r>
        <w:rPr>
          <w:rFonts w:hint="eastAsia" w:ascii="宋体" w:hAnsi="宋体"/>
        </w:rPr>
        <w:t>为本节的重点和难点</w:t>
      </w:r>
      <w:r>
        <w:rPr>
          <w:rFonts w:hint="eastAsia" w:hAnsi="宋体"/>
          <w:kern w:val="0"/>
          <w:szCs w:val="21"/>
        </w:rPr>
        <w:t>。</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w:t>
      </w:r>
      <w:r>
        <w:rPr>
          <w:rFonts w:hAnsi="宋体"/>
          <w:kern w:val="0"/>
          <w:szCs w:val="21"/>
        </w:rPr>
        <w:t>介绍平均数、方差及标准差在数量性状分析中的意义</w:t>
      </w:r>
      <w:r>
        <w:rPr>
          <w:rFonts w:hint="eastAsia" w:hAnsi="宋体"/>
          <w:kern w:val="0"/>
          <w:szCs w:val="21"/>
        </w:rPr>
        <w:t>。</w:t>
      </w:r>
    </w:p>
    <w:p>
      <w:pPr>
        <w:widowControl/>
        <w:snapToGrid w:val="0"/>
        <w:spacing w:line="360" w:lineRule="auto"/>
        <w:ind w:firstLine="420" w:firstLineChars="200"/>
        <w:rPr>
          <w:rFonts w:hAnsi="宋体"/>
          <w:kern w:val="0"/>
          <w:szCs w:val="21"/>
        </w:rPr>
      </w:pPr>
      <w:r>
        <w:rPr>
          <w:rFonts w:hint="eastAsia" w:hAnsi="宋体"/>
          <w:kern w:val="0"/>
          <w:szCs w:val="21"/>
        </w:rPr>
        <w:t>要求学生</w:t>
      </w:r>
      <w:r>
        <w:rPr>
          <w:rFonts w:hint="eastAsia" w:ascii="宋体" w:hAnsi="宋体"/>
        </w:rPr>
        <w:t>掌握</w:t>
      </w:r>
      <w:r>
        <w:rPr>
          <w:rFonts w:hAnsi="宋体"/>
          <w:kern w:val="0"/>
          <w:szCs w:val="21"/>
        </w:rPr>
        <w:t>平均数、方差及标准差在数量性状分析中的意义。</w:t>
      </w:r>
    </w:p>
    <w:p>
      <w:pPr>
        <w:widowControl/>
        <w:snapToGrid w:val="0"/>
        <w:spacing w:line="360" w:lineRule="auto"/>
        <w:rPr>
          <w:rFonts w:hAnsi="宋体"/>
          <w:bCs/>
          <w:kern w:val="0"/>
          <w:szCs w:val="21"/>
        </w:rPr>
      </w:pPr>
      <w:r>
        <w:rPr>
          <w:rFonts w:hint="eastAsia" w:hAnsi="宋体"/>
          <w:b/>
          <w:bCs/>
          <w:kern w:val="0"/>
          <w:szCs w:val="21"/>
        </w:rPr>
        <w:t>教学组织与实施：</w:t>
      </w:r>
      <w:r>
        <w:rPr>
          <w:rFonts w:hint="eastAsia" w:ascii="宋体" w:hAnsi="宋体"/>
          <w:bCs/>
        </w:rPr>
        <w:t>在课堂上通过对</w:t>
      </w:r>
      <w:r>
        <w:rPr>
          <w:rFonts w:hAnsi="宋体"/>
          <w:kern w:val="0"/>
          <w:szCs w:val="21"/>
        </w:rPr>
        <w:t>平均数、方差及标准差</w:t>
      </w:r>
      <w:r>
        <w:rPr>
          <w:rFonts w:hint="eastAsia" w:hAnsi="宋体"/>
          <w:kern w:val="0"/>
          <w:szCs w:val="21"/>
        </w:rPr>
        <w:t>公式</w:t>
      </w:r>
      <w:r>
        <w:rPr>
          <w:rFonts w:hint="eastAsia" w:ascii="宋体" w:hAnsi="宋体"/>
          <w:bCs/>
        </w:rPr>
        <w:t>的学习，让学生掌握</w:t>
      </w:r>
      <w:r>
        <w:rPr>
          <w:rFonts w:ascii="宋体" w:hAnsi="宋体"/>
          <w:bCs/>
        </w:rPr>
        <w:t>数量性状遗传研究的基本统计方法</w:t>
      </w:r>
      <w:r>
        <w:rPr>
          <w:rFonts w:hint="eastAsia" w:ascii="宋体" w:hAnsi="宋体"/>
          <w:bCs/>
        </w:rPr>
        <w:t>。</w:t>
      </w:r>
    </w:p>
    <w:p>
      <w:pPr>
        <w:snapToGrid w:val="0"/>
        <w:spacing w:line="360" w:lineRule="auto"/>
        <w:rPr>
          <w:rFonts w:hAnsi="宋体"/>
          <w:kern w:val="0"/>
          <w:szCs w:val="21"/>
        </w:rPr>
      </w:pPr>
      <w:r>
        <w:rPr>
          <w:rFonts w:hint="eastAsia" w:ascii="宋体" w:hAnsi="宋体"/>
          <w:b/>
          <w:bCs/>
        </w:rPr>
        <w:t>第三节  遗传率的估算及应用（</w:t>
      </w:r>
      <w:r>
        <w:rPr>
          <w:b/>
          <w:bCs/>
        </w:rPr>
        <w:t>1</w:t>
      </w:r>
      <w:r>
        <w:rPr>
          <w:rFonts w:hint="eastAsia" w:ascii="宋体" w:hAnsi="宋体"/>
          <w:b/>
          <w:bCs/>
        </w:rPr>
        <w:t>学时）</w:t>
      </w:r>
    </w:p>
    <w:p>
      <w:pPr>
        <w:widowControl/>
        <w:snapToGrid w:val="0"/>
        <w:spacing w:line="360" w:lineRule="auto"/>
        <w:rPr>
          <w:rFonts w:ascii="宋体" w:hAnsi="宋体"/>
          <w:b/>
          <w:bCs/>
        </w:rPr>
      </w:pPr>
      <w:r>
        <w:rPr>
          <w:rFonts w:hint="eastAsia" w:ascii="宋体" w:hAnsi="宋体"/>
          <w:b/>
          <w:bCs/>
        </w:rPr>
        <w:t>教学目标：</w:t>
      </w:r>
      <w:r>
        <w:rPr>
          <w:rFonts w:hint="eastAsia" w:hAnsi="宋体"/>
          <w:kern w:val="0"/>
          <w:szCs w:val="21"/>
        </w:rPr>
        <w:t>掌握</w:t>
      </w:r>
      <w:r>
        <w:rPr>
          <w:rFonts w:hAnsi="宋体"/>
          <w:kern w:val="0"/>
          <w:szCs w:val="21"/>
        </w:rPr>
        <w:t>遗传率的两种概念、估算方法以及在育种上的应用。</w:t>
      </w:r>
    </w:p>
    <w:p>
      <w:pPr>
        <w:widowControl/>
        <w:snapToGrid w:val="0"/>
        <w:spacing w:line="360" w:lineRule="auto"/>
        <w:rPr>
          <w:rFonts w:hAnsi="宋体"/>
          <w:b/>
          <w:bCs/>
          <w:kern w:val="0"/>
          <w:szCs w:val="21"/>
        </w:rPr>
      </w:pPr>
      <w:r>
        <w:rPr>
          <w:rFonts w:hint="eastAsia" w:ascii="宋体" w:hAnsi="宋体"/>
          <w:b/>
          <w:bCs/>
        </w:rPr>
        <w:t>教学重点和难点：</w:t>
      </w:r>
      <w:r>
        <w:rPr>
          <w:rFonts w:hAnsi="宋体"/>
          <w:kern w:val="0"/>
          <w:szCs w:val="21"/>
        </w:rPr>
        <w:t>两种遗传率的概</w:t>
      </w:r>
      <w:r>
        <w:rPr>
          <w:rFonts w:hint="eastAsia" w:hAnsi="宋体"/>
          <w:kern w:val="0"/>
          <w:szCs w:val="21"/>
        </w:rPr>
        <w:t>念和</w:t>
      </w:r>
      <w:r>
        <w:rPr>
          <w:rFonts w:hAnsi="宋体"/>
          <w:kern w:val="0"/>
          <w:szCs w:val="21"/>
        </w:rPr>
        <w:t>估算方法以及在育种上的应用</w:t>
      </w:r>
      <w:r>
        <w:rPr>
          <w:rFonts w:hint="eastAsia" w:hAnsi="宋体"/>
          <w:kern w:val="0"/>
          <w:szCs w:val="21"/>
        </w:rPr>
        <w:t>为本节重点，</w:t>
      </w:r>
      <w:r>
        <w:rPr>
          <w:rFonts w:hint="eastAsia" w:ascii="宋体" w:hAnsi="宋体" w:cs="宋体"/>
          <w:kern w:val="0"/>
          <w:szCs w:val="21"/>
        </w:rPr>
        <w:t>其中</w:t>
      </w:r>
      <w:r>
        <w:rPr>
          <w:rFonts w:hAnsi="宋体"/>
          <w:kern w:val="0"/>
          <w:szCs w:val="21"/>
        </w:rPr>
        <w:t>遗传率的</w:t>
      </w:r>
      <w:r>
        <w:rPr>
          <w:rFonts w:hint="eastAsia" w:hAnsi="宋体"/>
          <w:kern w:val="0"/>
          <w:szCs w:val="21"/>
        </w:rPr>
        <w:t>估算方法</w:t>
      </w:r>
      <w:r>
        <w:rPr>
          <w:rFonts w:hAnsi="宋体"/>
          <w:kern w:val="0"/>
          <w:szCs w:val="21"/>
        </w:rPr>
        <w:t>及应用</w:t>
      </w:r>
      <w:r>
        <w:rPr>
          <w:rFonts w:hint="eastAsia" w:ascii="宋体" w:hAnsi="宋体" w:cs="宋体"/>
          <w:kern w:val="0"/>
          <w:szCs w:val="21"/>
        </w:rPr>
        <w:t>为本节难点。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w:t>
      </w:r>
      <w:r>
        <w:rPr>
          <w:rFonts w:hAnsi="宋体"/>
          <w:kern w:val="0"/>
          <w:szCs w:val="21"/>
        </w:rPr>
        <w:t>两种遗传率的概念、估算方法以及在育种上的应用</w:t>
      </w:r>
      <w:r>
        <w:rPr>
          <w:rFonts w:hint="eastAsia" w:hAnsi="宋体"/>
          <w:kern w:val="0"/>
          <w:szCs w:val="21"/>
        </w:rPr>
        <w:t>。</w:t>
      </w:r>
    </w:p>
    <w:p>
      <w:pPr>
        <w:widowControl/>
        <w:snapToGrid w:val="0"/>
        <w:spacing w:line="360" w:lineRule="auto"/>
        <w:ind w:firstLine="420" w:firstLineChars="200"/>
        <w:rPr>
          <w:rFonts w:hAnsi="宋体"/>
          <w:kern w:val="0"/>
          <w:szCs w:val="21"/>
        </w:rPr>
      </w:pPr>
      <w:r>
        <w:rPr>
          <w:rFonts w:hint="eastAsia" w:hAnsi="宋体"/>
          <w:kern w:val="0"/>
          <w:szCs w:val="21"/>
        </w:rPr>
        <w:t>要求学生掌握</w:t>
      </w:r>
      <w:r>
        <w:rPr>
          <w:rFonts w:hAnsi="宋体"/>
          <w:kern w:val="0"/>
          <w:szCs w:val="21"/>
        </w:rPr>
        <w:t>两种遗传率的概念</w:t>
      </w:r>
      <w:r>
        <w:rPr>
          <w:rFonts w:hint="eastAsia" w:hAnsi="宋体"/>
          <w:kern w:val="0"/>
          <w:szCs w:val="21"/>
        </w:rPr>
        <w:t>及计算公式</w:t>
      </w:r>
      <w:r>
        <w:rPr>
          <w:rFonts w:hAnsi="宋体"/>
          <w:kern w:val="0"/>
          <w:szCs w:val="21"/>
        </w:rPr>
        <w:t>，</w:t>
      </w:r>
      <w:r>
        <w:rPr>
          <w:rFonts w:hint="eastAsia" w:hAnsi="宋体"/>
          <w:kern w:val="0"/>
          <w:szCs w:val="21"/>
        </w:rPr>
        <w:t>熟练掌握</w:t>
      </w:r>
      <w:r>
        <w:rPr>
          <w:rFonts w:hAnsi="宋体"/>
          <w:kern w:val="0"/>
          <w:szCs w:val="21"/>
        </w:rPr>
        <w:t>遗传率</w:t>
      </w:r>
      <w:r>
        <w:rPr>
          <w:rFonts w:hint="eastAsia" w:hAnsi="宋体"/>
          <w:kern w:val="0"/>
          <w:szCs w:val="21"/>
        </w:rPr>
        <w:t>的</w:t>
      </w:r>
      <w:r>
        <w:rPr>
          <w:rFonts w:hAnsi="宋体"/>
          <w:kern w:val="0"/>
          <w:szCs w:val="21"/>
        </w:rPr>
        <w:t>估算方法</w:t>
      </w:r>
      <w:r>
        <w:rPr>
          <w:rFonts w:hint="eastAsia" w:hAnsi="宋体"/>
          <w:kern w:val="0"/>
          <w:szCs w:val="21"/>
        </w:rPr>
        <w:t>。</w:t>
      </w:r>
    </w:p>
    <w:p>
      <w:pPr>
        <w:widowControl/>
        <w:snapToGrid w:val="0"/>
        <w:spacing w:line="360" w:lineRule="auto"/>
        <w:rPr>
          <w:rFonts w:hAnsi="宋体"/>
          <w:kern w:val="0"/>
          <w:szCs w:val="21"/>
        </w:rPr>
      </w:pPr>
      <w:r>
        <w:rPr>
          <w:rFonts w:hint="eastAsia" w:hAnsi="宋体"/>
          <w:b/>
          <w:bCs/>
          <w:kern w:val="0"/>
          <w:szCs w:val="21"/>
        </w:rPr>
        <w:t>教学组织与实施：</w:t>
      </w:r>
      <w:r>
        <w:rPr>
          <w:rFonts w:hint="eastAsia" w:ascii="宋体" w:hAnsi="宋体"/>
          <w:bCs/>
        </w:rPr>
        <w:t>在课堂上通过对</w:t>
      </w:r>
      <w:r>
        <w:rPr>
          <w:rFonts w:hAnsi="宋体"/>
          <w:kern w:val="0"/>
          <w:szCs w:val="21"/>
        </w:rPr>
        <w:t>两种遗传率的概念、估算方法</w:t>
      </w:r>
      <w:r>
        <w:rPr>
          <w:rFonts w:hint="eastAsia" w:ascii="宋体" w:hAnsi="宋体"/>
          <w:bCs/>
        </w:rPr>
        <w:t>的学习，结合育种实践中的案例分析和习题训练，让学生理解</w:t>
      </w:r>
      <w:r>
        <w:rPr>
          <w:rFonts w:hAnsi="宋体"/>
          <w:kern w:val="0"/>
          <w:szCs w:val="21"/>
        </w:rPr>
        <w:t>遗传率</w:t>
      </w:r>
      <w:r>
        <w:rPr>
          <w:rFonts w:hint="eastAsia" w:ascii="宋体" w:hAnsi="宋体"/>
          <w:bCs/>
        </w:rPr>
        <w:t>的实质，熟练掌握遗传率在育种中的应用。</w:t>
      </w:r>
    </w:p>
    <w:p>
      <w:pPr>
        <w:snapToGrid w:val="0"/>
        <w:spacing w:line="360" w:lineRule="auto"/>
        <w:rPr>
          <w:rFonts w:ascii="宋体" w:hAnsi="宋体"/>
          <w:b/>
          <w:bCs/>
        </w:rPr>
      </w:pPr>
      <w:r>
        <w:rPr>
          <w:rFonts w:hint="eastAsia" w:ascii="宋体" w:hAnsi="宋体"/>
          <w:b/>
          <w:bCs/>
        </w:rPr>
        <w:t>第四节  数量性状基因定位（</w:t>
      </w:r>
      <w:r>
        <w:rPr>
          <w:b/>
          <w:bCs/>
        </w:rPr>
        <w:t>3</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hAnsi="宋体"/>
          <w:kern w:val="0"/>
          <w:szCs w:val="21"/>
        </w:rPr>
        <w:t>介绍常用的分离群体及其构建方法</w:t>
      </w:r>
      <w:r>
        <w:rPr>
          <w:rFonts w:hAnsi="宋体"/>
          <w:kern w:val="0"/>
          <w:szCs w:val="21"/>
        </w:rPr>
        <w:t>，</w:t>
      </w:r>
      <w:r>
        <w:rPr>
          <w:rFonts w:hint="eastAsia" w:hAnsi="宋体"/>
          <w:kern w:val="0"/>
          <w:szCs w:val="21"/>
        </w:rPr>
        <w:t>QTL概念</w:t>
      </w:r>
      <w:r>
        <w:rPr>
          <w:rFonts w:hAnsi="宋体"/>
          <w:kern w:val="0"/>
          <w:szCs w:val="21"/>
        </w:rPr>
        <w:t>和</w:t>
      </w:r>
      <w:r>
        <w:rPr>
          <w:rFonts w:hint="eastAsia" w:hAnsi="宋体"/>
          <w:kern w:val="0"/>
          <w:szCs w:val="21"/>
        </w:rPr>
        <w:t>作图方法</w:t>
      </w:r>
      <w:r>
        <w:rPr>
          <w:rFonts w:hAnsi="宋体"/>
          <w:kern w:val="0"/>
          <w:szCs w:val="21"/>
        </w:rPr>
        <w:t>以及</w:t>
      </w:r>
      <w:r>
        <w:rPr>
          <w:rFonts w:hint="eastAsia" w:hAnsi="宋体"/>
          <w:kern w:val="0"/>
          <w:szCs w:val="21"/>
        </w:rPr>
        <w:t>全基因组关联分析基本</w:t>
      </w:r>
      <w:r>
        <w:rPr>
          <w:rFonts w:hAnsi="宋体"/>
          <w:kern w:val="0"/>
          <w:szCs w:val="21"/>
        </w:rPr>
        <w:t>程序。</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rPr>
        <w:t>数量性状基因定位概念及方法为本节</w:t>
      </w:r>
      <w:r>
        <w:rPr>
          <w:rFonts w:hint="eastAsia" w:ascii="宋体" w:hAnsi="宋体" w:cs="宋体"/>
          <w:kern w:val="0"/>
          <w:szCs w:val="21"/>
        </w:rPr>
        <w:t>重点</w:t>
      </w:r>
      <w:r>
        <w:rPr>
          <w:rFonts w:hint="eastAsia" w:ascii="宋体" w:hAnsi="宋体"/>
        </w:rPr>
        <w:t>，</w:t>
      </w:r>
      <w:r>
        <w:rPr>
          <w:rFonts w:hint="eastAsia" w:ascii="宋体" w:hAnsi="宋体" w:cs="宋体"/>
          <w:kern w:val="0"/>
          <w:szCs w:val="21"/>
        </w:rPr>
        <w:t>其中</w:t>
      </w:r>
      <w:r>
        <w:rPr>
          <w:rFonts w:hint="eastAsia" w:hAnsi="宋体"/>
          <w:kern w:val="0"/>
          <w:szCs w:val="21"/>
        </w:rPr>
        <w:t>QTL定位</w:t>
      </w:r>
      <w:r>
        <w:rPr>
          <w:rFonts w:hAnsi="宋体"/>
          <w:kern w:val="0"/>
          <w:szCs w:val="21"/>
        </w:rPr>
        <w:t>方法</w:t>
      </w:r>
      <w:r>
        <w:rPr>
          <w:rFonts w:hint="eastAsia" w:ascii="宋体" w:hAnsi="宋体" w:cs="宋体"/>
          <w:kern w:val="0"/>
          <w:szCs w:val="21"/>
        </w:rPr>
        <w:t>为本节难点。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ascii="宋体" w:hAnsi="宋体"/>
        </w:rPr>
      </w:pPr>
      <w:r>
        <w:rPr>
          <w:rFonts w:hint="eastAsia" w:hAnsi="宋体"/>
          <w:kern w:val="0"/>
          <w:szCs w:val="21"/>
        </w:rPr>
        <w:t>主要介绍</w:t>
      </w:r>
      <w:r>
        <w:rPr>
          <w:rFonts w:hint="eastAsia" w:ascii="宋体" w:hAnsi="宋体"/>
        </w:rPr>
        <w:t>数量性状基因定位的概念和基本流程。</w:t>
      </w:r>
    </w:p>
    <w:p>
      <w:pPr>
        <w:widowControl/>
        <w:snapToGrid w:val="0"/>
        <w:spacing w:line="360" w:lineRule="auto"/>
        <w:ind w:firstLine="420" w:firstLineChars="200"/>
        <w:rPr>
          <w:rFonts w:hAnsi="宋体"/>
          <w:kern w:val="0"/>
          <w:szCs w:val="21"/>
        </w:rPr>
      </w:pPr>
      <w:r>
        <w:rPr>
          <w:rFonts w:hint="eastAsia" w:hAnsi="宋体"/>
          <w:kern w:val="0"/>
          <w:szCs w:val="21"/>
        </w:rPr>
        <w:t>要求学生理解</w:t>
      </w:r>
      <w:r>
        <w:rPr>
          <w:rFonts w:hAnsi="宋体"/>
          <w:kern w:val="0"/>
          <w:szCs w:val="21"/>
        </w:rPr>
        <w:t>数量性状基因定位的</w:t>
      </w:r>
      <w:r>
        <w:rPr>
          <w:rFonts w:hint="eastAsia" w:hAnsi="宋体"/>
          <w:kern w:val="0"/>
          <w:szCs w:val="21"/>
        </w:rPr>
        <w:t>概念</w:t>
      </w:r>
      <w:r>
        <w:rPr>
          <w:rFonts w:hAnsi="宋体"/>
          <w:kern w:val="0"/>
          <w:szCs w:val="21"/>
        </w:rPr>
        <w:t>，</w:t>
      </w:r>
      <w:r>
        <w:rPr>
          <w:rFonts w:hint="eastAsia" w:hAnsi="宋体"/>
          <w:kern w:val="0"/>
          <w:szCs w:val="21"/>
        </w:rPr>
        <w:t>掌握</w:t>
      </w:r>
      <w:r>
        <w:rPr>
          <w:rFonts w:hAnsi="宋体"/>
          <w:kern w:val="0"/>
          <w:szCs w:val="21"/>
        </w:rPr>
        <w:t>数量性状基因定位</w:t>
      </w:r>
      <w:r>
        <w:rPr>
          <w:rFonts w:hint="eastAsia" w:hAnsi="宋体"/>
          <w:kern w:val="0"/>
          <w:szCs w:val="21"/>
        </w:rPr>
        <w:t>的流程。</w:t>
      </w:r>
      <w:r>
        <w:rPr>
          <w:rFonts w:hAnsi="宋体"/>
          <w:kern w:val="0"/>
          <w:szCs w:val="21"/>
        </w:rPr>
        <w:t></w:t>
      </w:r>
    </w:p>
    <w:p>
      <w:pPr>
        <w:widowControl/>
        <w:snapToGrid w:val="0"/>
        <w:spacing w:line="360" w:lineRule="auto"/>
        <w:rPr>
          <w:rFonts w:hAnsi="宋体"/>
          <w:kern w:val="0"/>
          <w:szCs w:val="21"/>
        </w:rPr>
      </w:pPr>
      <w:r>
        <w:rPr>
          <w:rFonts w:hint="eastAsia" w:hAnsi="宋体"/>
          <w:b/>
          <w:bCs/>
          <w:kern w:val="0"/>
          <w:szCs w:val="21"/>
        </w:rPr>
        <w:t>教学组织与实施：</w:t>
      </w:r>
      <w:r>
        <w:rPr>
          <w:rFonts w:hint="eastAsia" w:ascii="宋体" w:hAnsi="宋体"/>
          <w:bCs/>
        </w:rPr>
        <w:t>在课堂上通过对</w:t>
      </w:r>
      <w:r>
        <w:rPr>
          <w:rFonts w:hint="eastAsia" w:ascii="宋体" w:hAnsi="宋体"/>
        </w:rPr>
        <w:t>数量性状基因定位概念和流程</w:t>
      </w:r>
      <w:r>
        <w:rPr>
          <w:rFonts w:hint="eastAsia" w:ascii="宋体" w:hAnsi="宋体"/>
          <w:bCs/>
        </w:rPr>
        <w:t>的学习，结合育种实践中的案例分析和习题训练，让学生理解</w:t>
      </w:r>
      <w:r>
        <w:rPr>
          <w:rFonts w:hAnsi="宋体"/>
          <w:kern w:val="0"/>
          <w:szCs w:val="21"/>
        </w:rPr>
        <w:t>数量性状基因定位的</w:t>
      </w:r>
      <w:r>
        <w:rPr>
          <w:rFonts w:hint="eastAsia" w:hAnsi="宋体"/>
          <w:kern w:val="0"/>
          <w:szCs w:val="21"/>
        </w:rPr>
        <w:t>概念</w:t>
      </w:r>
      <w:r>
        <w:rPr>
          <w:rFonts w:hint="eastAsia" w:ascii="宋体" w:hAnsi="宋体"/>
          <w:bCs/>
        </w:rPr>
        <w:t>，掌握</w:t>
      </w:r>
      <w:r>
        <w:rPr>
          <w:rFonts w:hAnsi="宋体"/>
          <w:kern w:val="0"/>
          <w:szCs w:val="21"/>
        </w:rPr>
        <w:t>数量性状基因定位</w:t>
      </w:r>
      <w:r>
        <w:rPr>
          <w:rFonts w:hint="eastAsia" w:hAnsi="宋体"/>
          <w:kern w:val="0"/>
          <w:szCs w:val="21"/>
        </w:rPr>
        <w:t>在育种中的</w:t>
      </w:r>
      <w:r>
        <w:rPr>
          <w:rFonts w:hint="eastAsia" w:ascii="宋体" w:hAnsi="宋体"/>
          <w:bCs/>
        </w:rPr>
        <w:t>应用。</w:t>
      </w:r>
    </w:p>
    <w:p>
      <w:pPr>
        <w:widowControl/>
        <w:wordWrap w:val="0"/>
        <w:snapToGrid w:val="0"/>
        <w:spacing w:line="360" w:lineRule="auto"/>
        <w:jc w:val="right"/>
        <w:rPr>
          <w:kern w:val="0"/>
          <w:szCs w:val="21"/>
        </w:rPr>
      </w:pPr>
      <w:bookmarkStart w:id="40" w:name="_Toc138076300"/>
      <w:bookmarkStart w:id="41" w:name="_Toc138076051"/>
      <w:bookmarkStart w:id="42" w:name="_Toc138064501"/>
      <w:bookmarkStart w:id="43" w:name="_Toc138068781"/>
      <w:bookmarkStart w:id="44" w:name="_Toc138066340"/>
      <w:bookmarkStart w:id="45" w:name="_Toc138070411"/>
      <w:bookmarkStart w:id="46" w:name="_Toc138076595"/>
      <w:bookmarkStart w:id="47" w:name="_Toc138070681"/>
      <w:bookmarkStart w:id="48" w:name="_Toc137560081"/>
      <w:bookmarkStart w:id="49" w:name="_Toc31447"/>
      <w:r>
        <w:rPr>
          <w:rStyle w:val="40"/>
        </w:rPr>
        <w:t>第</w:t>
      </w:r>
      <w:r>
        <w:rPr>
          <w:rStyle w:val="40"/>
          <w:rFonts w:hint="eastAsia"/>
        </w:rPr>
        <w:t>五</w:t>
      </w:r>
      <w:r>
        <w:rPr>
          <w:rStyle w:val="40"/>
        </w:rPr>
        <w:t>章     近亲繁殖和杂种优势</w:t>
      </w:r>
      <w:bookmarkEnd w:id="40"/>
      <w:bookmarkEnd w:id="41"/>
      <w:bookmarkEnd w:id="42"/>
      <w:bookmarkEnd w:id="43"/>
      <w:bookmarkEnd w:id="44"/>
      <w:bookmarkEnd w:id="45"/>
      <w:bookmarkEnd w:id="46"/>
      <w:bookmarkEnd w:id="47"/>
      <w:bookmarkEnd w:id="48"/>
      <w:bookmarkEnd w:id="49"/>
      <w:r>
        <w:rPr>
          <w:b/>
          <w:bCs/>
          <w:kern w:val="0"/>
          <w:szCs w:val="21"/>
        </w:rPr>
        <w:t> </w:t>
      </w:r>
      <w:r>
        <w:rPr>
          <w:rFonts w:hint="eastAsia" w:hAnsi="宋体"/>
          <w:b/>
          <w:bCs/>
          <w:color w:val="FF0000"/>
          <w:kern w:val="0"/>
          <w:szCs w:val="21"/>
        </w:rPr>
        <w:t xml:space="preserve"> </w:t>
      </w:r>
      <w:r>
        <w:rPr>
          <w:rFonts w:hAnsi="宋体"/>
          <w:b/>
          <w:bCs/>
          <w:color w:val="FF0000"/>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数：4</w:t>
      </w:r>
    </w:p>
    <w:p>
      <w:pPr>
        <w:snapToGrid w:val="0"/>
        <w:spacing w:line="360" w:lineRule="auto"/>
        <w:rPr>
          <w:rFonts w:ascii="宋体" w:hAnsi="宋体"/>
          <w:b/>
          <w:bCs/>
        </w:rPr>
      </w:pPr>
      <w:r>
        <w:rPr>
          <w:rFonts w:ascii="宋体" w:hAnsi="宋体"/>
          <w:b/>
          <w:bCs/>
        </w:rPr>
        <w:t>第一节</w:t>
      </w:r>
      <w:r>
        <w:rPr>
          <w:rFonts w:hint="eastAsia" w:ascii="宋体" w:hAnsi="宋体"/>
          <w:b/>
          <w:bCs/>
        </w:rPr>
        <w:t xml:space="preserve">  近亲繁殖及遗传效应（</w:t>
      </w:r>
      <w:r>
        <w:rPr>
          <w:b/>
          <w:bCs/>
        </w:rPr>
        <w:t>2</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ascii="宋体" w:hAnsi="宋体"/>
        </w:rPr>
        <w:t>掌握</w:t>
      </w:r>
      <w:r>
        <w:rPr>
          <w:rFonts w:hint="eastAsia" w:hAnsi="宋体"/>
          <w:kern w:val="0"/>
          <w:szCs w:val="21"/>
        </w:rPr>
        <w:t>近亲繁殖的概念，多代自交后代群体的遗传效应和多代回交后代群体的遗传效应。</w:t>
      </w:r>
      <w:r>
        <w:rPr>
          <w:rFonts w:hint="eastAsia" w:ascii="宋体" w:hAnsi="宋体"/>
          <w:b/>
          <w:bCs/>
        </w:rPr>
        <w:t>教学重点和难点：</w:t>
      </w:r>
      <w:r>
        <w:rPr>
          <w:rFonts w:hAnsi="宋体"/>
          <w:kern w:val="0"/>
          <w:szCs w:val="21"/>
        </w:rPr>
        <w:t>近亲繁殖的概念</w:t>
      </w:r>
      <w:r>
        <w:rPr>
          <w:rFonts w:hint="eastAsia" w:hAnsi="宋体"/>
          <w:kern w:val="0"/>
          <w:szCs w:val="21"/>
        </w:rPr>
        <w:t>和</w:t>
      </w:r>
      <w:r>
        <w:rPr>
          <w:rFonts w:hAnsi="宋体"/>
          <w:kern w:val="0"/>
          <w:szCs w:val="21"/>
        </w:rPr>
        <w:t>遗传效应</w:t>
      </w:r>
      <w:r>
        <w:rPr>
          <w:rFonts w:hint="eastAsia" w:hAnsi="宋体"/>
          <w:kern w:val="0"/>
          <w:szCs w:val="21"/>
        </w:rPr>
        <w:t>是本节的重点，其中遗传效应为本节的难点。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left="420" w:leftChars="200"/>
        <w:rPr>
          <w:rFonts w:hAnsi="宋体"/>
          <w:kern w:val="0"/>
          <w:szCs w:val="21"/>
        </w:rPr>
      </w:pPr>
      <w:r>
        <w:rPr>
          <w:rFonts w:hint="eastAsia" w:hAnsi="宋体"/>
          <w:kern w:val="0"/>
          <w:szCs w:val="21"/>
        </w:rPr>
        <w:t>主要介绍</w:t>
      </w:r>
      <w:r>
        <w:rPr>
          <w:rFonts w:hAnsi="宋体"/>
          <w:kern w:val="0"/>
          <w:szCs w:val="21"/>
        </w:rPr>
        <w:t>近亲繁殖的概念，多代自交后代群体的遗传效应和多代回交后代群体的遗传效应</w:t>
      </w:r>
      <w:r>
        <w:rPr>
          <w:rFonts w:hint="eastAsia" w:hAnsi="宋体"/>
          <w:kern w:val="0"/>
          <w:szCs w:val="21"/>
        </w:rPr>
        <w:t>；要求学生了解</w:t>
      </w:r>
      <w:r>
        <w:rPr>
          <w:rFonts w:hAnsi="宋体"/>
          <w:kern w:val="0"/>
          <w:szCs w:val="21"/>
        </w:rPr>
        <w:t>近亲繁殖的概念</w:t>
      </w:r>
      <w:r>
        <w:rPr>
          <w:rFonts w:hint="eastAsia" w:hAnsi="宋体"/>
          <w:kern w:val="0"/>
          <w:szCs w:val="21"/>
        </w:rPr>
        <w:t>，理解</w:t>
      </w:r>
      <w:r>
        <w:rPr>
          <w:rFonts w:hAnsi="宋体"/>
          <w:kern w:val="0"/>
          <w:szCs w:val="21"/>
        </w:rPr>
        <w:t>多代自交后代群体的遗传效应和多代回交后代群体的遗传效应</w:t>
      </w:r>
      <w:r>
        <w:rPr>
          <w:rFonts w:hint="eastAsia" w:hAnsi="宋体"/>
          <w:kern w:val="0"/>
          <w:szCs w:val="21"/>
        </w:rPr>
        <w:t>。</w:t>
      </w:r>
    </w:p>
    <w:p>
      <w:pPr>
        <w:widowControl/>
        <w:snapToGrid w:val="0"/>
        <w:spacing w:line="360" w:lineRule="auto"/>
        <w:rPr>
          <w:rFonts w:hAnsi="宋体"/>
          <w:kern w:val="0"/>
          <w:szCs w:val="21"/>
        </w:rPr>
      </w:pPr>
      <w:r>
        <w:rPr>
          <w:rFonts w:hint="eastAsia" w:ascii="宋体" w:hAnsi="宋体"/>
          <w:b/>
          <w:bCs/>
        </w:rPr>
        <w:t>教学组织与实施：</w:t>
      </w:r>
      <w:r>
        <w:rPr>
          <w:rFonts w:hint="eastAsia" w:ascii="宋体" w:hAnsi="宋体"/>
        </w:rPr>
        <w:t>本节</w:t>
      </w:r>
      <w:r>
        <w:rPr>
          <w:rFonts w:hint="eastAsia" w:hAnsi="宋体"/>
          <w:kern w:val="0"/>
          <w:szCs w:val="21"/>
        </w:rPr>
        <w:t>通过课堂讲授，让学生深入理解</w:t>
      </w:r>
      <w:r>
        <w:rPr>
          <w:rFonts w:hAnsi="宋体"/>
          <w:kern w:val="0"/>
          <w:szCs w:val="21"/>
        </w:rPr>
        <w:t>近亲繁殖</w:t>
      </w:r>
      <w:r>
        <w:rPr>
          <w:rFonts w:hint="eastAsia" w:hAnsi="宋体"/>
          <w:kern w:val="0"/>
          <w:szCs w:val="21"/>
        </w:rPr>
        <w:t>的理论基础，通过案例知识加深学生的理解，并通过习题测试了解学生的掌握情况。</w:t>
      </w:r>
    </w:p>
    <w:p>
      <w:pPr>
        <w:widowControl/>
        <w:snapToGrid w:val="0"/>
        <w:spacing w:line="360" w:lineRule="auto"/>
        <w:rPr>
          <w:rFonts w:ascii="宋体" w:hAnsi="宋体"/>
          <w:b/>
          <w:bCs/>
        </w:rPr>
      </w:pPr>
      <w:r>
        <w:rPr>
          <w:rFonts w:hint="eastAsia" w:ascii="宋体" w:hAnsi="宋体"/>
          <w:b/>
          <w:bCs/>
        </w:rPr>
        <w:t>第二节  杂种优势的表现及遗传机理（</w:t>
      </w:r>
      <w:r>
        <w:rPr>
          <w:b/>
          <w:bCs/>
        </w:rPr>
        <w:t>1.5</w:t>
      </w:r>
      <w:r>
        <w:rPr>
          <w:rFonts w:hint="eastAsia" w:ascii="宋体" w:hAnsi="宋体"/>
          <w:b/>
          <w:bCs/>
        </w:rPr>
        <w:t>学时）</w:t>
      </w:r>
    </w:p>
    <w:p>
      <w:pPr>
        <w:widowControl/>
        <w:snapToGrid w:val="0"/>
        <w:spacing w:line="360" w:lineRule="auto"/>
        <w:rPr>
          <w:rFonts w:ascii="宋体" w:hAnsi="宋体"/>
          <w:b/>
          <w:bCs/>
        </w:rPr>
      </w:pPr>
      <w:r>
        <w:rPr>
          <w:rFonts w:hint="eastAsia" w:ascii="宋体" w:hAnsi="宋体"/>
          <w:b/>
          <w:bCs/>
        </w:rPr>
        <w:t>教学目标：</w:t>
      </w:r>
      <w:r>
        <w:rPr>
          <w:rFonts w:hint="eastAsia" w:ascii="宋体" w:hAnsi="宋体"/>
        </w:rPr>
        <w:t>掌握</w:t>
      </w:r>
      <w:r>
        <w:rPr>
          <w:rFonts w:hint="eastAsia" w:hAnsi="宋体"/>
          <w:kern w:val="0"/>
          <w:szCs w:val="21"/>
        </w:rPr>
        <w:t>杂种优势的概念、类型及F</w:t>
      </w:r>
      <w:r>
        <w:rPr>
          <w:rFonts w:hint="eastAsia" w:hAnsi="宋体"/>
          <w:kern w:val="0"/>
          <w:szCs w:val="21"/>
          <w:vertAlign w:val="subscript"/>
        </w:rPr>
        <w:t>l</w:t>
      </w:r>
      <w:r>
        <w:rPr>
          <w:rFonts w:hint="eastAsia" w:hAnsi="宋体"/>
          <w:kern w:val="0"/>
          <w:szCs w:val="21"/>
        </w:rPr>
        <w:t>杂种优势表现及其基本特点；F</w:t>
      </w:r>
      <w:r>
        <w:rPr>
          <w:rFonts w:hint="eastAsia" w:hAnsi="宋体"/>
          <w:kern w:val="0"/>
          <w:szCs w:val="21"/>
          <w:vertAlign w:val="subscript"/>
        </w:rPr>
        <w:t>2</w:t>
      </w:r>
      <w:r>
        <w:rPr>
          <w:rFonts w:hint="eastAsia" w:hAnsi="宋体"/>
          <w:kern w:val="0"/>
          <w:szCs w:val="21"/>
        </w:rPr>
        <w:t>的衰退现象及形成原因；理解显性假说、超显性假说的内容及异同点。</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rPr>
        <w:t>杂种优势的表现及遗传机理为本节的重点</w:t>
      </w:r>
      <w:r>
        <w:rPr>
          <w:rFonts w:hint="eastAsia" w:hAnsi="宋体"/>
          <w:kern w:val="0"/>
          <w:szCs w:val="21"/>
        </w:rPr>
        <w:t>，</w:t>
      </w:r>
      <w:r>
        <w:rPr>
          <w:rFonts w:hint="eastAsia" w:ascii="宋体" w:hAnsi="宋体" w:cs="宋体"/>
          <w:kern w:val="0"/>
          <w:szCs w:val="21"/>
        </w:rPr>
        <w:t>其中</w:t>
      </w:r>
      <w:r>
        <w:rPr>
          <w:rFonts w:hAnsi="宋体"/>
          <w:kern w:val="0"/>
          <w:szCs w:val="21"/>
        </w:rPr>
        <w:t>杂种优势的</w:t>
      </w:r>
      <w:r>
        <w:rPr>
          <w:rFonts w:hint="eastAsia" w:hAnsi="宋体"/>
          <w:kern w:val="0"/>
          <w:szCs w:val="21"/>
        </w:rPr>
        <w:t>遗传机理</w:t>
      </w:r>
      <w:r>
        <w:rPr>
          <w:rFonts w:hint="eastAsia" w:ascii="宋体" w:hAnsi="宋体" w:cs="宋体"/>
          <w:kern w:val="0"/>
          <w:szCs w:val="21"/>
        </w:rPr>
        <w:t>为本节难点。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w:t>
      </w:r>
      <w:r>
        <w:rPr>
          <w:rFonts w:hAnsi="宋体"/>
          <w:kern w:val="0"/>
          <w:szCs w:val="21"/>
        </w:rPr>
        <w:t>杂种优势的概念</w:t>
      </w:r>
      <w:r>
        <w:rPr>
          <w:rFonts w:hint="eastAsia" w:hAnsi="宋体"/>
          <w:kern w:val="0"/>
          <w:szCs w:val="21"/>
        </w:rPr>
        <w:t>、</w:t>
      </w:r>
      <w:r>
        <w:rPr>
          <w:rFonts w:hAnsi="宋体"/>
          <w:kern w:val="0"/>
          <w:szCs w:val="21"/>
        </w:rPr>
        <w:t>基本特点</w:t>
      </w:r>
      <w:r>
        <w:rPr>
          <w:rFonts w:hint="eastAsia" w:hAnsi="宋体"/>
          <w:kern w:val="0"/>
          <w:szCs w:val="21"/>
        </w:rPr>
        <w:t>、遗传理论。</w:t>
      </w:r>
    </w:p>
    <w:p>
      <w:pPr>
        <w:widowControl/>
        <w:snapToGrid w:val="0"/>
        <w:spacing w:line="360" w:lineRule="auto"/>
        <w:ind w:firstLine="420" w:firstLineChars="200"/>
        <w:rPr>
          <w:rFonts w:hAnsi="宋体"/>
          <w:kern w:val="0"/>
          <w:szCs w:val="21"/>
        </w:rPr>
      </w:pPr>
      <w:r>
        <w:rPr>
          <w:rFonts w:hint="eastAsia" w:hAnsi="宋体"/>
          <w:kern w:val="0"/>
          <w:szCs w:val="21"/>
        </w:rPr>
        <w:t>要求学生掌握</w:t>
      </w:r>
      <w:r>
        <w:rPr>
          <w:rFonts w:hAnsi="宋体"/>
          <w:kern w:val="0"/>
          <w:szCs w:val="21"/>
        </w:rPr>
        <w:t>杂种优势的概念</w:t>
      </w:r>
      <w:r>
        <w:rPr>
          <w:rFonts w:hint="eastAsia" w:hAnsi="宋体"/>
          <w:kern w:val="0"/>
          <w:szCs w:val="21"/>
        </w:rPr>
        <w:t>和</w:t>
      </w:r>
      <w:r>
        <w:rPr>
          <w:rFonts w:hAnsi="宋体"/>
          <w:kern w:val="0"/>
          <w:szCs w:val="21"/>
        </w:rPr>
        <w:t>基本特点</w:t>
      </w:r>
      <w:r>
        <w:rPr>
          <w:rFonts w:hint="eastAsia" w:hAnsi="宋体"/>
          <w:kern w:val="0"/>
          <w:szCs w:val="21"/>
        </w:rPr>
        <w:t>，熟练掌握</w:t>
      </w:r>
      <w:r>
        <w:rPr>
          <w:rFonts w:hAnsi="宋体"/>
          <w:kern w:val="0"/>
          <w:szCs w:val="21"/>
        </w:rPr>
        <w:t>杂种优势的</w:t>
      </w:r>
      <w:r>
        <w:rPr>
          <w:rFonts w:hint="eastAsia" w:hAnsi="宋体"/>
          <w:kern w:val="0"/>
          <w:szCs w:val="21"/>
        </w:rPr>
        <w:t>遗传理论。</w:t>
      </w:r>
    </w:p>
    <w:p>
      <w:pPr>
        <w:widowControl/>
        <w:snapToGrid w:val="0"/>
        <w:spacing w:line="360" w:lineRule="auto"/>
        <w:rPr>
          <w:rFonts w:hAnsi="宋体"/>
          <w:kern w:val="0"/>
          <w:szCs w:val="21"/>
        </w:rPr>
      </w:pPr>
      <w:r>
        <w:rPr>
          <w:rFonts w:hint="eastAsia" w:ascii="宋体" w:hAnsi="宋体"/>
          <w:b/>
          <w:bCs/>
        </w:rPr>
        <w:t>教学组织与实施：</w:t>
      </w:r>
      <w:r>
        <w:rPr>
          <w:rFonts w:hint="eastAsia" w:ascii="宋体" w:hAnsi="宋体"/>
        </w:rPr>
        <w:t>本节</w:t>
      </w:r>
      <w:r>
        <w:rPr>
          <w:rFonts w:hint="eastAsia" w:hAnsi="宋体"/>
          <w:kern w:val="0"/>
          <w:szCs w:val="21"/>
        </w:rPr>
        <w:t>通过课堂讲授，让学生深入理解</w:t>
      </w:r>
      <w:r>
        <w:rPr>
          <w:rFonts w:hAnsi="宋体"/>
          <w:kern w:val="0"/>
          <w:szCs w:val="21"/>
        </w:rPr>
        <w:t>杂种优势</w:t>
      </w:r>
      <w:r>
        <w:rPr>
          <w:rFonts w:hint="eastAsia" w:hAnsi="宋体"/>
          <w:kern w:val="0"/>
          <w:szCs w:val="21"/>
        </w:rPr>
        <w:t>的遗传理论，并通过习题测试学生的掌握情况。</w:t>
      </w:r>
    </w:p>
    <w:p>
      <w:pPr>
        <w:snapToGrid w:val="0"/>
        <w:spacing w:line="360" w:lineRule="auto"/>
        <w:rPr>
          <w:rFonts w:hAnsi="宋体"/>
          <w:kern w:val="0"/>
          <w:szCs w:val="21"/>
        </w:rPr>
      </w:pPr>
      <w:r>
        <w:rPr>
          <w:rFonts w:hint="eastAsia" w:ascii="宋体" w:hAnsi="宋体"/>
          <w:b/>
          <w:bCs/>
        </w:rPr>
        <w:t>第三节  近亲繁殖与杂种优势在园艺植物育种中的应用（</w:t>
      </w:r>
      <w:r>
        <w:rPr>
          <w:b/>
          <w:bCs/>
        </w:rPr>
        <w:t>0.5</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hAnsi="宋体"/>
          <w:kern w:val="0"/>
          <w:szCs w:val="21"/>
        </w:rPr>
        <w:t>介绍近亲繁殖在自花授粉作物和异花授粉作物育种中的利用方式，以及在杂种优势利用过程中应注意的问题。</w:t>
      </w:r>
    </w:p>
    <w:p>
      <w:pPr>
        <w:widowControl/>
        <w:snapToGrid w:val="0"/>
        <w:spacing w:line="360" w:lineRule="auto"/>
        <w:rPr>
          <w:rFonts w:hAnsi="宋体"/>
          <w:kern w:val="0"/>
          <w:szCs w:val="21"/>
        </w:rPr>
      </w:pPr>
      <w:r>
        <w:rPr>
          <w:rFonts w:hint="eastAsia" w:ascii="宋体" w:hAnsi="宋体"/>
          <w:b/>
          <w:bCs/>
        </w:rPr>
        <w:t>教学重点和难点：</w:t>
      </w:r>
      <w:r>
        <w:rPr>
          <w:rFonts w:hint="eastAsia" w:ascii="宋体" w:hAnsi="宋体"/>
        </w:rPr>
        <w:t>近亲繁殖与杂种优势在园艺植物育种中的应用为本节的重点和难点。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w:t>
      </w:r>
      <w:r>
        <w:rPr>
          <w:rFonts w:hAnsi="宋体"/>
          <w:kern w:val="0"/>
          <w:szCs w:val="21"/>
        </w:rPr>
        <w:t>近亲繁殖在自花授粉作物和异花授粉作物育种中的利用特点以及杂种优势利用过程中应注意的问题</w:t>
      </w:r>
      <w:r>
        <w:rPr>
          <w:rFonts w:hint="eastAsia" w:hAnsi="宋体"/>
          <w:kern w:val="0"/>
          <w:szCs w:val="21"/>
        </w:rPr>
        <w:t>。</w:t>
      </w:r>
    </w:p>
    <w:p>
      <w:pPr>
        <w:widowControl/>
        <w:snapToGrid w:val="0"/>
        <w:spacing w:line="360" w:lineRule="auto"/>
        <w:ind w:firstLine="420" w:firstLineChars="200"/>
        <w:rPr>
          <w:rFonts w:hAnsi="宋体"/>
          <w:kern w:val="0"/>
          <w:szCs w:val="21"/>
        </w:rPr>
      </w:pPr>
      <w:r>
        <w:rPr>
          <w:rFonts w:hint="eastAsia" w:hAnsi="宋体"/>
          <w:kern w:val="0"/>
          <w:szCs w:val="21"/>
        </w:rPr>
        <w:t>要求学生掌握</w:t>
      </w:r>
      <w:r>
        <w:rPr>
          <w:rFonts w:hint="eastAsia" w:ascii="宋体" w:hAnsi="宋体"/>
        </w:rPr>
        <w:t>近亲繁殖与杂种优势在园艺植物育种中的应用。</w:t>
      </w:r>
    </w:p>
    <w:p>
      <w:pPr>
        <w:widowControl/>
        <w:snapToGrid w:val="0"/>
        <w:spacing w:line="360" w:lineRule="auto"/>
        <w:rPr>
          <w:rFonts w:hAnsi="宋体"/>
          <w:kern w:val="0"/>
          <w:szCs w:val="21"/>
        </w:rPr>
      </w:pPr>
      <w:r>
        <w:rPr>
          <w:rFonts w:hint="eastAsia" w:ascii="宋体" w:hAnsi="宋体"/>
          <w:b/>
          <w:bCs/>
        </w:rPr>
        <w:t>教学组织与实施：</w:t>
      </w:r>
      <w:r>
        <w:rPr>
          <w:rFonts w:hint="eastAsia" w:ascii="宋体" w:hAnsi="宋体"/>
        </w:rPr>
        <w:t>本章</w:t>
      </w:r>
      <w:r>
        <w:rPr>
          <w:rFonts w:hint="eastAsia" w:hAnsi="宋体"/>
          <w:kern w:val="0"/>
          <w:szCs w:val="21"/>
        </w:rPr>
        <w:t>通过课堂讲授，让学生掌握</w:t>
      </w:r>
      <w:r>
        <w:rPr>
          <w:rFonts w:hint="eastAsia" w:ascii="宋体" w:hAnsi="宋体"/>
        </w:rPr>
        <w:t>近亲繁殖与杂种优势在园艺植物育种中的应用，</w:t>
      </w:r>
      <w:r>
        <w:rPr>
          <w:rFonts w:hint="eastAsia" w:hAnsi="宋体"/>
          <w:kern w:val="0"/>
          <w:szCs w:val="21"/>
        </w:rPr>
        <w:t>并通过习题测试了解学生的掌握情况。</w:t>
      </w:r>
    </w:p>
    <w:p>
      <w:pPr>
        <w:widowControl/>
        <w:wordWrap w:val="0"/>
        <w:snapToGrid w:val="0"/>
        <w:spacing w:line="360" w:lineRule="auto"/>
        <w:jc w:val="center"/>
        <w:rPr>
          <w:kern w:val="0"/>
          <w:szCs w:val="21"/>
        </w:rPr>
      </w:pPr>
      <w:r>
        <w:rPr>
          <w:rFonts w:hint="eastAsia" w:hAnsi="宋体"/>
          <w:b/>
          <w:bCs/>
          <w:kern w:val="0"/>
          <w:szCs w:val="21"/>
        </w:rPr>
        <w:t xml:space="preserve">                          </w:t>
      </w:r>
      <w:r>
        <w:rPr>
          <w:rStyle w:val="40"/>
          <w:rFonts w:hint="eastAsia"/>
        </w:rPr>
        <w:t xml:space="preserve"> </w:t>
      </w:r>
      <w:r>
        <w:rPr>
          <w:rFonts w:hAnsi="宋体"/>
          <w:b/>
          <w:bCs/>
          <w:kern w:val="0"/>
          <w:szCs w:val="21"/>
        </w:rPr>
        <w:t>第</w:t>
      </w:r>
      <w:r>
        <w:rPr>
          <w:rFonts w:hint="eastAsia" w:hAnsi="宋体"/>
          <w:b/>
          <w:bCs/>
          <w:kern w:val="0"/>
          <w:szCs w:val="21"/>
        </w:rPr>
        <w:t>六</w:t>
      </w:r>
      <w:r>
        <w:rPr>
          <w:rFonts w:hAnsi="宋体"/>
          <w:b/>
          <w:bCs/>
          <w:kern w:val="0"/>
          <w:szCs w:val="21"/>
        </w:rPr>
        <w:t>章</w:t>
      </w:r>
      <w:r>
        <w:rPr>
          <w:b/>
          <w:bCs/>
          <w:kern w:val="0"/>
          <w:szCs w:val="21"/>
        </w:rPr>
        <w:t>     </w:t>
      </w:r>
      <w:r>
        <w:rPr>
          <w:rFonts w:hint="eastAsia" w:hAnsi="宋体"/>
          <w:b/>
          <w:bCs/>
          <w:kern w:val="0"/>
          <w:szCs w:val="21"/>
        </w:rPr>
        <w:t xml:space="preserve">遗传物质的变异    </w:t>
      </w:r>
      <w:r>
        <w:rPr>
          <w:rFonts w:hAnsi="宋体"/>
          <w:b/>
          <w:bCs/>
          <w:kern w:val="0"/>
          <w:szCs w:val="21"/>
        </w:rPr>
        <w:t xml:space="preserve">           </w:t>
      </w:r>
      <w:r>
        <w:rPr>
          <w:rFonts w:hint="eastAsia" w:hAnsi="宋体"/>
          <w:b/>
          <w:bCs/>
          <w:kern w:val="0"/>
          <w:szCs w:val="21"/>
        </w:rPr>
        <w:t xml:space="preserve">       </w:t>
      </w:r>
      <w:r>
        <w:rPr>
          <w:rFonts w:hAnsi="宋体"/>
          <w:b/>
          <w:bCs/>
          <w:kern w:val="0"/>
          <w:szCs w:val="21"/>
        </w:rPr>
        <w:t>学时</w:t>
      </w:r>
      <w:r>
        <w:rPr>
          <w:rFonts w:hint="eastAsia" w:hAnsi="宋体"/>
          <w:b/>
          <w:bCs/>
          <w:kern w:val="0"/>
          <w:szCs w:val="21"/>
        </w:rPr>
        <w:t>数：7</w:t>
      </w:r>
    </w:p>
    <w:p>
      <w:pPr>
        <w:pStyle w:val="35"/>
        <w:numPr>
          <w:ilvl w:val="0"/>
          <w:numId w:val="13"/>
        </w:numPr>
        <w:snapToGrid w:val="0"/>
        <w:spacing w:line="360" w:lineRule="auto"/>
        <w:ind w:firstLineChars="0"/>
        <w:rPr>
          <w:rFonts w:ascii="宋体" w:hAnsi="宋体"/>
          <w:b/>
          <w:bCs/>
        </w:rPr>
      </w:pPr>
      <w:r>
        <w:rPr>
          <w:rFonts w:ascii="宋体" w:hAnsi="宋体"/>
          <w:b/>
          <w:bCs/>
        </w:rPr>
        <w:t>基因突变</w:t>
      </w:r>
      <w:r>
        <w:rPr>
          <w:rFonts w:hint="eastAsia" w:ascii="宋体" w:hAnsi="宋体"/>
          <w:b/>
          <w:bCs/>
        </w:rPr>
        <w:t>（</w:t>
      </w:r>
      <w:r>
        <w:rPr>
          <w:b/>
          <w:bCs/>
        </w:rPr>
        <w:t>1</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ascii="宋体" w:hAnsi="宋体" w:cs="宋体"/>
          <w:kern w:val="0"/>
          <w:szCs w:val="21"/>
        </w:rPr>
        <w:t>通过学习基因突变的时期和一般特征、基因突变的分子机制及诱发方法</w:t>
      </w:r>
      <w:r>
        <w:rPr>
          <w:rFonts w:hint="eastAsia" w:hAnsi="宋体"/>
          <w:kern w:val="0"/>
          <w:szCs w:val="21"/>
        </w:rPr>
        <w:t>，为园艺植物诱变育种奠定基础。</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cs="宋体"/>
          <w:kern w:val="0"/>
          <w:szCs w:val="21"/>
        </w:rPr>
        <w:t>如何对基因突变进行鉴定、</w:t>
      </w:r>
      <w:r>
        <w:rPr>
          <w:rFonts w:ascii="宋体" w:hAnsi="宋体" w:cs="宋体"/>
          <w:kern w:val="0"/>
          <w:szCs w:val="21"/>
        </w:rPr>
        <w:t>基因突变的分子基础。</w:t>
      </w:r>
      <w:r>
        <w:rPr>
          <w:rFonts w:hint="eastAsia" w:ascii="宋体" w:hAnsi="宋体" w:cs="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hint="eastAsia" w:ascii="宋体" w:hAnsi="宋体"/>
        </w:rPr>
        <w:t></w:t>
      </w:r>
    </w:p>
    <w:p>
      <w:pPr>
        <w:pStyle w:val="7"/>
        <w:snapToGrid w:val="0"/>
        <w:spacing w:line="360" w:lineRule="auto"/>
        <w:rPr>
          <w:rFonts w:ascii="宋体" w:hAnsi="宋体"/>
        </w:rPr>
      </w:pPr>
      <w:r>
        <w:rPr>
          <w:rFonts w:hint="eastAsia" w:ascii="宋体" w:hAnsi="宋体"/>
        </w:rPr>
        <w:t>本节主要讲述基因突变的时期和特征、基因突变与性状表现、基因突变的鉴定、基因突变的分子基础、基因突变的诱发。</w:t>
      </w:r>
    </w:p>
    <w:p>
      <w:pPr>
        <w:pStyle w:val="7"/>
        <w:snapToGrid w:val="0"/>
        <w:spacing w:line="360" w:lineRule="auto"/>
        <w:rPr>
          <w:rFonts w:ascii="宋体" w:hAnsi="宋体"/>
        </w:rPr>
      </w:pPr>
      <w:r>
        <w:rPr>
          <w:rFonts w:hint="eastAsia" w:ascii="宋体" w:hAnsi="宋体"/>
        </w:rPr>
        <w:t>要求学生了解基因突变的诱发、生化突变的鉴定；理解基因突变与性状表现，基因突变的分子基础；掌握植物基因突变的鉴定；熟练掌握基因突变的概念、基因突变的一般特征。</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课前讨论：自然界中什么样的现象可能属于基因突变？大量图片展示基因突变的实例。课程内容讲述。</w:t>
      </w:r>
    </w:p>
    <w:p>
      <w:pPr>
        <w:pStyle w:val="35"/>
        <w:numPr>
          <w:ilvl w:val="0"/>
          <w:numId w:val="13"/>
        </w:numPr>
        <w:snapToGrid w:val="0"/>
        <w:spacing w:line="360" w:lineRule="auto"/>
        <w:ind w:firstLineChars="0"/>
        <w:rPr>
          <w:rFonts w:ascii="宋体" w:hAnsi="宋体"/>
          <w:b/>
          <w:bCs/>
        </w:rPr>
      </w:pPr>
      <w:r>
        <w:rPr>
          <w:rFonts w:ascii="宋体" w:hAnsi="宋体"/>
          <w:b/>
          <w:bCs/>
        </w:rPr>
        <w:t>染色体结</w:t>
      </w:r>
      <w:r>
        <w:rPr>
          <w:rFonts w:hAnsi="宋体"/>
          <w:b/>
          <w:bCs/>
          <w:kern w:val="0"/>
          <w:szCs w:val="21"/>
        </w:rPr>
        <w:t>构变异</w:t>
      </w:r>
      <w:r>
        <w:rPr>
          <w:rFonts w:hint="eastAsia" w:ascii="宋体" w:hAnsi="宋体"/>
          <w:b/>
          <w:bCs/>
        </w:rPr>
        <w:t>（</w:t>
      </w:r>
      <w:r>
        <w:rPr>
          <w:b/>
          <w:bCs/>
        </w:rPr>
        <w:t>2</w:t>
      </w:r>
      <w:r>
        <w:rPr>
          <w:rFonts w:hint="eastAsia" w:ascii="宋体" w:hAnsi="宋体"/>
          <w:b/>
          <w:bCs/>
        </w:rPr>
        <w:t>学时）</w:t>
      </w:r>
    </w:p>
    <w:p>
      <w:pPr>
        <w:widowControl/>
        <w:snapToGrid w:val="0"/>
        <w:spacing w:line="360" w:lineRule="auto"/>
        <w:rPr>
          <w:rFonts w:ascii="宋体" w:hAnsi="宋体" w:cs="宋体"/>
          <w:kern w:val="0"/>
          <w:szCs w:val="21"/>
        </w:rPr>
      </w:pPr>
      <w:r>
        <w:rPr>
          <w:rFonts w:hint="eastAsia" w:ascii="宋体" w:hAnsi="宋体"/>
          <w:b/>
          <w:bCs/>
        </w:rPr>
        <w:t>教学目标：</w:t>
      </w:r>
      <w:r>
        <w:rPr>
          <w:rFonts w:hint="eastAsia" w:hAnsi="宋体"/>
          <w:kern w:val="0"/>
          <w:szCs w:val="21"/>
        </w:rPr>
        <w:t>通过对染色体结构变异理论的学习，为园艺植物选择育种理论学习奠定基础。</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染色体结构变异的概念、类型、形成原因和遗传效应；染色体数目变异</w:t>
      </w:r>
      <w:r>
        <w:rPr>
          <w:rFonts w:hAnsi="宋体"/>
          <w:kern w:val="0"/>
          <w:szCs w:val="21"/>
        </w:rPr>
        <w:t>的概念</w:t>
      </w:r>
      <w:r>
        <w:rPr>
          <w:rFonts w:hint="eastAsia" w:hAnsi="宋体"/>
          <w:kern w:val="0"/>
          <w:szCs w:val="21"/>
        </w:rPr>
        <w:t>、形成途径、</w:t>
      </w:r>
      <w:r>
        <w:rPr>
          <w:rFonts w:hAnsi="宋体"/>
          <w:kern w:val="0"/>
          <w:szCs w:val="21"/>
        </w:rPr>
        <w:t>特点</w:t>
      </w:r>
      <w:r>
        <w:rPr>
          <w:rFonts w:hint="eastAsia" w:hAnsi="宋体"/>
          <w:kern w:val="0"/>
          <w:szCs w:val="21"/>
        </w:rPr>
        <w:t>以及</w:t>
      </w:r>
      <w:r>
        <w:rPr>
          <w:rFonts w:hAnsi="宋体"/>
          <w:kern w:val="0"/>
          <w:szCs w:val="21"/>
        </w:rPr>
        <w:t>人工诱导多倍体的应用</w:t>
      </w:r>
      <w:r>
        <w:rPr>
          <w:rFonts w:hint="eastAsia" w:hAnsi="宋体"/>
          <w:kern w:val="0"/>
          <w:szCs w:val="21"/>
        </w:rPr>
        <w:t>。</w:t>
      </w:r>
      <w:r>
        <w:rPr>
          <w:rFonts w:hint="eastAsia" w:ascii="宋体" w:hAnsi="宋体" w:cs="宋体"/>
          <w:kern w:val="0"/>
          <w:szCs w:val="21"/>
        </w:rPr>
        <w:t>其中</w:t>
      </w:r>
      <w:r>
        <w:rPr>
          <w:rFonts w:hint="eastAsia" w:hAnsi="宋体"/>
          <w:kern w:val="0"/>
          <w:szCs w:val="21"/>
        </w:rPr>
        <w:t>染色体结构变异的遗传效应为</w:t>
      </w:r>
      <w:r>
        <w:rPr>
          <w:rFonts w:hint="eastAsia" w:ascii="宋体" w:hAnsi="宋体" w:cs="宋体"/>
          <w:kern w:val="0"/>
          <w:szCs w:val="21"/>
        </w:rPr>
        <w:t>其难点。</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widowControl/>
        <w:snapToGrid w:val="0"/>
        <w:spacing w:line="360" w:lineRule="auto"/>
        <w:ind w:firstLine="420" w:firstLineChars="200"/>
        <w:rPr>
          <w:rFonts w:hAnsi="宋体"/>
          <w:kern w:val="0"/>
          <w:szCs w:val="21"/>
        </w:rPr>
      </w:pPr>
      <w:r>
        <w:rPr>
          <w:rFonts w:hint="eastAsia" w:hAnsi="宋体"/>
          <w:kern w:val="0"/>
          <w:szCs w:val="21"/>
        </w:rPr>
        <w:t>主要介绍缺失、重复、倒位、易位染色体的概念、类型、形成原因和遗传效应。</w:t>
      </w:r>
    </w:p>
    <w:p>
      <w:pPr>
        <w:widowControl/>
        <w:snapToGrid w:val="0"/>
        <w:spacing w:line="360" w:lineRule="auto"/>
        <w:ind w:firstLine="420" w:firstLineChars="200"/>
        <w:rPr>
          <w:rFonts w:hAnsi="宋体"/>
          <w:kern w:val="0"/>
          <w:szCs w:val="21"/>
        </w:rPr>
      </w:pPr>
      <w:r>
        <w:rPr>
          <w:rFonts w:hint="eastAsia" w:hAnsi="宋体"/>
          <w:kern w:val="0"/>
          <w:szCs w:val="21"/>
        </w:rPr>
        <w:t>要求学生了解染色体结构变异和染色体数目变异的类型，理解染色体结构变异和数目变异的发生原因，掌握</w:t>
      </w:r>
      <w:r>
        <w:rPr>
          <w:rFonts w:hAnsi="宋体"/>
          <w:kern w:val="0"/>
          <w:szCs w:val="21"/>
        </w:rPr>
        <w:t>染色体变异的</w:t>
      </w:r>
      <w:r>
        <w:rPr>
          <w:rFonts w:hint="eastAsia" w:hAnsi="宋体"/>
          <w:kern w:val="0"/>
          <w:szCs w:val="21"/>
        </w:rPr>
        <w:t>原理，熟练掌握染色体变异</w:t>
      </w:r>
      <w:r>
        <w:rPr>
          <w:rFonts w:hAnsi="宋体"/>
          <w:kern w:val="0"/>
          <w:szCs w:val="21"/>
        </w:rPr>
        <w:t>的细胞学特征</w:t>
      </w:r>
      <w:r>
        <w:rPr>
          <w:rFonts w:hint="eastAsia" w:hAnsi="宋体"/>
          <w:kern w:val="0"/>
          <w:szCs w:val="21"/>
        </w:rPr>
        <w:t>。</w:t>
      </w:r>
    </w:p>
    <w:p>
      <w:pPr>
        <w:widowControl/>
        <w:snapToGrid w:val="0"/>
        <w:spacing w:line="360" w:lineRule="auto"/>
        <w:rPr>
          <w:rFonts w:ascii="宋体" w:hAnsi="宋体"/>
          <w:b/>
          <w:bCs/>
        </w:rPr>
      </w:pPr>
      <w:r>
        <w:rPr>
          <w:rFonts w:hint="eastAsia" w:ascii="宋体" w:hAnsi="宋体"/>
          <w:b/>
          <w:bCs/>
        </w:rPr>
        <w:t>教学组织与实施：</w:t>
      </w:r>
      <w:r>
        <w:rPr>
          <w:rFonts w:ascii="宋体" w:hAnsi="宋体"/>
          <w:szCs w:val="20"/>
        </w:rPr>
        <w:t>多媒体，教师主讲。</w:t>
      </w:r>
    </w:p>
    <w:p>
      <w:pPr>
        <w:pStyle w:val="35"/>
        <w:numPr>
          <w:ilvl w:val="0"/>
          <w:numId w:val="13"/>
        </w:numPr>
        <w:snapToGrid w:val="0"/>
        <w:spacing w:line="360" w:lineRule="auto"/>
        <w:ind w:firstLineChars="0"/>
        <w:rPr>
          <w:rFonts w:ascii="宋体" w:hAnsi="宋体"/>
          <w:b/>
          <w:bCs/>
        </w:rPr>
      </w:pPr>
      <w:r>
        <w:rPr>
          <w:rFonts w:ascii="宋体" w:hAnsi="宋体"/>
          <w:b/>
          <w:bCs/>
        </w:rPr>
        <w:t>染色体</w:t>
      </w:r>
      <w:r>
        <w:rPr>
          <w:rFonts w:hAnsi="宋体"/>
          <w:b/>
          <w:bCs/>
          <w:kern w:val="0"/>
          <w:szCs w:val="21"/>
        </w:rPr>
        <w:t>数目变异</w:t>
      </w:r>
      <w:r>
        <w:rPr>
          <w:rFonts w:hint="eastAsia" w:ascii="宋体" w:hAnsi="宋体"/>
          <w:b/>
          <w:bCs/>
        </w:rPr>
        <w:t>（</w:t>
      </w:r>
      <w:r>
        <w:rPr>
          <w:b/>
          <w:bCs/>
        </w:rPr>
        <w:t>4</w:t>
      </w:r>
      <w:r>
        <w:rPr>
          <w:rFonts w:hint="eastAsia" w:ascii="宋体" w:hAnsi="宋体"/>
          <w:b/>
          <w:bCs/>
        </w:rPr>
        <w:t>学时）</w:t>
      </w:r>
    </w:p>
    <w:p>
      <w:pPr>
        <w:widowControl/>
        <w:snapToGrid w:val="0"/>
        <w:spacing w:line="360" w:lineRule="auto"/>
        <w:rPr>
          <w:rFonts w:ascii="宋体" w:hAnsi="宋体" w:cs="宋体"/>
          <w:kern w:val="0"/>
          <w:szCs w:val="21"/>
        </w:rPr>
      </w:pPr>
      <w:r>
        <w:rPr>
          <w:rFonts w:hint="eastAsia" w:ascii="宋体" w:hAnsi="宋体"/>
          <w:b/>
          <w:bCs/>
        </w:rPr>
        <w:t>教学目标：</w:t>
      </w:r>
      <w:r>
        <w:rPr>
          <w:rFonts w:hint="eastAsia" w:hAnsi="宋体"/>
          <w:kern w:val="0"/>
          <w:szCs w:val="21"/>
        </w:rPr>
        <w:t>通过对染色体数目变异理论的学习，为园艺植物倍性育种奠定基础。</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cs="宋体"/>
          <w:kern w:val="0"/>
          <w:szCs w:val="21"/>
        </w:rPr>
        <w:t>多倍体和非整倍体染色体减数分裂的行为。多倍体和非整倍体减数分裂后代个体分析。</w:t>
      </w:r>
    </w:p>
    <w:p>
      <w:pPr>
        <w:pStyle w:val="7"/>
        <w:snapToGrid w:val="0"/>
        <w:spacing w:line="360" w:lineRule="auto"/>
        <w:ind w:firstLine="0" w:firstLineChars="0"/>
        <w:rPr>
          <w:rFonts w:ascii="宋体" w:hAnsi="宋体"/>
          <w:b/>
        </w:rPr>
      </w:pPr>
      <w:r>
        <w:rPr>
          <w:rFonts w:hint="eastAsia" w:ascii="宋体" w:hAnsi="宋体"/>
          <w:b/>
        </w:rPr>
        <w:t>主要教学内容及要求：</w:t>
      </w:r>
    </w:p>
    <w:p>
      <w:pPr>
        <w:pStyle w:val="7"/>
        <w:snapToGrid w:val="0"/>
        <w:spacing w:line="360" w:lineRule="auto"/>
        <w:rPr>
          <w:rFonts w:hAnsi="宋体"/>
          <w:kern w:val="0"/>
          <w:szCs w:val="21"/>
        </w:rPr>
      </w:pPr>
      <w:r>
        <w:rPr>
          <w:rFonts w:hint="eastAsia" w:hAnsi="宋体"/>
          <w:kern w:val="0"/>
          <w:szCs w:val="21"/>
        </w:rPr>
        <w:t>介绍</w:t>
      </w:r>
      <w:r>
        <w:rPr>
          <w:rFonts w:hAnsi="宋体"/>
          <w:kern w:val="0"/>
          <w:szCs w:val="21"/>
        </w:rPr>
        <w:t>染色体组、整倍体、</w:t>
      </w:r>
      <w:r>
        <w:rPr>
          <w:rFonts w:hint="eastAsia" w:hAnsi="宋体"/>
          <w:kern w:val="0"/>
          <w:szCs w:val="21"/>
        </w:rPr>
        <w:t>非整倍体</w:t>
      </w:r>
      <w:r>
        <w:rPr>
          <w:rFonts w:hAnsi="宋体"/>
          <w:kern w:val="0"/>
          <w:szCs w:val="21"/>
        </w:rPr>
        <w:t>的概念</w:t>
      </w:r>
      <w:r>
        <w:rPr>
          <w:rFonts w:hint="eastAsia" w:hAnsi="宋体"/>
          <w:kern w:val="0"/>
          <w:szCs w:val="21"/>
        </w:rPr>
        <w:t>，</w:t>
      </w:r>
      <w:r>
        <w:rPr>
          <w:rFonts w:hAnsi="宋体"/>
          <w:kern w:val="0"/>
          <w:szCs w:val="21"/>
        </w:rPr>
        <w:t>整倍体</w:t>
      </w:r>
      <w:r>
        <w:rPr>
          <w:rFonts w:hint="eastAsia" w:hAnsi="宋体"/>
          <w:kern w:val="0"/>
          <w:szCs w:val="21"/>
        </w:rPr>
        <w:t>和非整倍体</w:t>
      </w:r>
      <w:r>
        <w:rPr>
          <w:rFonts w:hAnsi="宋体"/>
          <w:kern w:val="0"/>
          <w:szCs w:val="21"/>
        </w:rPr>
        <w:t>的</w:t>
      </w:r>
      <w:r>
        <w:rPr>
          <w:rFonts w:hint="eastAsia" w:hAnsi="宋体"/>
          <w:kern w:val="0"/>
          <w:szCs w:val="21"/>
        </w:rPr>
        <w:t>形成途径、染色体</w:t>
      </w:r>
      <w:r>
        <w:rPr>
          <w:rFonts w:hAnsi="宋体"/>
          <w:kern w:val="0"/>
          <w:szCs w:val="21"/>
        </w:rPr>
        <w:t>联会及分离特点</w:t>
      </w:r>
      <w:r>
        <w:rPr>
          <w:rFonts w:hint="eastAsia" w:hAnsi="宋体"/>
          <w:kern w:val="0"/>
          <w:szCs w:val="21"/>
        </w:rPr>
        <w:t>和</w:t>
      </w:r>
      <w:r>
        <w:rPr>
          <w:rFonts w:hAnsi="宋体"/>
          <w:kern w:val="0"/>
          <w:szCs w:val="21"/>
        </w:rPr>
        <w:t>人工诱导多倍体的应用</w:t>
      </w:r>
      <w:r>
        <w:rPr>
          <w:rFonts w:hint="eastAsia" w:hAnsi="宋体"/>
          <w:kern w:val="0"/>
          <w:szCs w:val="21"/>
        </w:rPr>
        <w:t>。</w:t>
      </w:r>
    </w:p>
    <w:p>
      <w:pPr>
        <w:pStyle w:val="7"/>
        <w:snapToGrid w:val="0"/>
        <w:spacing w:line="360" w:lineRule="auto"/>
        <w:rPr>
          <w:rFonts w:ascii="宋体" w:hAnsi="宋体"/>
        </w:rPr>
      </w:pPr>
      <w:r>
        <w:rPr>
          <w:rFonts w:hint="eastAsia" w:ascii="宋体" w:hAnsi="宋体"/>
        </w:rPr>
        <w:t>要求学生了解生化突变的鉴定，基因突变的诱发，单倍体的特点；理解多倍体、非整倍体减数分裂后代个体遗传分析；掌握同源多倍体和异源多倍体的特点。熟练掌握多倍体和非整倍体染色体减数分裂的行为。</w:t>
      </w:r>
    </w:p>
    <w:p>
      <w:pPr>
        <w:widowControl/>
        <w:snapToGrid w:val="0"/>
        <w:spacing w:line="360" w:lineRule="auto"/>
        <w:rPr>
          <w:rFonts w:hAnsi="宋体"/>
          <w:kern w:val="0"/>
          <w:szCs w:val="21"/>
        </w:rPr>
      </w:pPr>
      <w:r>
        <w:rPr>
          <w:rFonts w:hint="eastAsia" w:ascii="宋体" w:hAnsi="宋体"/>
          <w:b/>
          <w:bCs/>
        </w:rPr>
        <w:t>教学组织与实施：</w:t>
      </w:r>
      <w:r>
        <w:rPr>
          <w:rFonts w:hint="eastAsia" w:ascii="宋体" w:hAnsi="宋体"/>
          <w:szCs w:val="20"/>
        </w:rPr>
        <w:t>教师主讲，多媒体演示，学生参与讨论。</w:t>
      </w:r>
    </w:p>
    <w:p>
      <w:pPr>
        <w:widowControl/>
        <w:wordWrap w:val="0"/>
        <w:snapToGrid w:val="0"/>
        <w:spacing w:line="360" w:lineRule="auto"/>
        <w:jc w:val="center"/>
        <w:rPr>
          <w:rFonts w:hAnsi="宋体"/>
          <w:b/>
          <w:bCs/>
          <w:kern w:val="0"/>
          <w:szCs w:val="21"/>
        </w:rPr>
      </w:pPr>
      <w:r>
        <w:rPr>
          <w:rFonts w:hint="eastAsia" w:hAnsi="宋体"/>
          <w:b/>
          <w:bCs/>
          <w:kern w:val="0"/>
          <w:szCs w:val="21"/>
        </w:rPr>
        <w:t xml:space="preserve">                              </w:t>
      </w:r>
      <w:r>
        <w:rPr>
          <w:rFonts w:hAnsi="宋体"/>
          <w:b/>
          <w:bCs/>
          <w:kern w:val="0"/>
          <w:szCs w:val="21"/>
        </w:rPr>
        <w:t>第</w:t>
      </w:r>
      <w:r>
        <w:rPr>
          <w:rFonts w:hint="eastAsia" w:hAnsi="宋体"/>
          <w:b/>
          <w:bCs/>
          <w:kern w:val="0"/>
          <w:szCs w:val="21"/>
        </w:rPr>
        <w:t>七</w:t>
      </w:r>
      <w:r>
        <w:rPr>
          <w:rFonts w:hAnsi="宋体"/>
          <w:b/>
          <w:bCs/>
          <w:kern w:val="0"/>
          <w:szCs w:val="21"/>
        </w:rPr>
        <w:t>章</w:t>
      </w:r>
      <w:r>
        <w:rPr>
          <w:b/>
          <w:bCs/>
          <w:kern w:val="0"/>
          <w:szCs w:val="21"/>
        </w:rPr>
        <w:t>     </w:t>
      </w:r>
      <w:r>
        <w:rPr>
          <w:rFonts w:hAnsi="宋体"/>
          <w:b/>
          <w:bCs/>
          <w:kern w:val="0"/>
          <w:szCs w:val="21"/>
        </w:rPr>
        <w:t>遗传物质</w:t>
      </w:r>
      <w:r>
        <w:rPr>
          <w:b/>
          <w:bCs/>
          <w:kern w:val="0"/>
          <w:szCs w:val="21"/>
        </w:rPr>
        <w:t>的分子基础       </w:t>
      </w:r>
      <w:r>
        <w:rPr>
          <w:rFonts w:hint="eastAsia" w:hAnsi="宋体"/>
          <w:b/>
          <w:bCs/>
          <w:kern w:val="0"/>
          <w:szCs w:val="21"/>
        </w:rPr>
        <w:t xml:space="preserve"> </w:t>
      </w:r>
      <w:r>
        <w:rPr>
          <w:rFonts w:hAnsi="宋体"/>
          <w:b/>
          <w:bCs/>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Ansi="宋体"/>
          <w:b/>
          <w:bCs/>
          <w:kern w:val="0"/>
          <w:szCs w:val="21"/>
        </w:rPr>
        <w:t>6</w:t>
      </w:r>
    </w:p>
    <w:p>
      <w:pPr>
        <w:snapToGrid w:val="0"/>
        <w:spacing w:line="360" w:lineRule="auto"/>
        <w:rPr>
          <w:rFonts w:ascii="宋体" w:hAnsi="宋体"/>
          <w:b/>
          <w:bCs/>
        </w:rPr>
      </w:pPr>
      <w:r>
        <w:rPr>
          <w:rFonts w:hint="eastAsia" w:ascii="宋体" w:hAnsi="宋体"/>
          <w:b/>
          <w:bCs/>
        </w:rPr>
        <w:t xml:space="preserve">第一节 </w:t>
      </w:r>
      <w:r>
        <w:rPr>
          <w:rFonts w:ascii="宋体" w:hAnsi="宋体"/>
          <w:b/>
          <w:bCs/>
        </w:rPr>
        <w:t xml:space="preserve"> </w:t>
      </w:r>
      <w:r>
        <w:rPr>
          <w:rFonts w:hint="eastAsia" w:ascii="宋体" w:hAnsi="宋体"/>
          <w:b/>
          <w:bCs/>
        </w:rPr>
        <w:t>遗传信息</w:t>
      </w:r>
      <w:r>
        <w:rPr>
          <w:rFonts w:ascii="宋体" w:hAnsi="宋体"/>
          <w:b/>
          <w:bCs/>
        </w:rPr>
        <w:t>及其传递</w:t>
      </w:r>
      <w:r>
        <w:rPr>
          <w:rFonts w:hint="eastAsia" w:ascii="宋体" w:hAnsi="宋体"/>
          <w:b/>
          <w:bCs/>
        </w:rPr>
        <w:t>（</w:t>
      </w:r>
      <w:r>
        <w:rPr>
          <w:rFonts w:ascii="宋体" w:hAnsi="宋体"/>
          <w:b/>
          <w:bCs/>
        </w:rPr>
        <w:t>2</w:t>
      </w:r>
      <w:r>
        <w:rPr>
          <w:rFonts w:hint="eastAsia" w:ascii="宋体" w:hAnsi="宋体"/>
          <w:b/>
          <w:bCs/>
        </w:rPr>
        <w:t>学时）</w:t>
      </w:r>
    </w:p>
    <w:p>
      <w:pPr>
        <w:widowControl/>
        <w:snapToGrid w:val="0"/>
        <w:spacing w:line="360" w:lineRule="auto"/>
        <w:rPr>
          <w:rFonts w:ascii="宋体" w:hAnsi="宋体" w:cs="宋体"/>
          <w:kern w:val="0"/>
          <w:szCs w:val="21"/>
        </w:rPr>
      </w:pPr>
      <w:r>
        <w:rPr>
          <w:rFonts w:hint="eastAsia" w:ascii="宋体" w:hAnsi="宋体"/>
          <w:b/>
          <w:bCs/>
        </w:rPr>
        <w:t>教学目标：</w:t>
      </w:r>
      <w:r>
        <w:rPr>
          <w:rFonts w:hint="eastAsia" w:hAnsi="宋体"/>
          <w:kern w:val="0"/>
          <w:szCs w:val="21"/>
        </w:rPr>
        <w:t>通过对</w:t>
      </w:r>
      <w:r>
        <w:rPr>
          <w:rFonts w:hAnsi="宋体"/>
          <w:kern w:val="0"/>
          <w:szCs w:val="21"/>
        </w:rPr>
        <w:t>遗传物质分子基础</w:t>
      </w:r>
      <w:r>
        <w:rPr>
          <w:rFonts w:hint="eastAsia" w:hAnsi="宋体"/>
          <w:kern w:val="0"/>
          <w:szCs w:val="21"/>
        </w:rPr>
        <w:t>的学习，为园艺植物分子育种理论学习奠定基础。</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cs="宋体"/>
          <w:kern w:val="0"/>
          <w:szCs w:val="21"/>
        </w:rPr>
        <w:t>D</w:t>
      </w:r>
      <w:r>
        <w:rPr>
          <w:rFonts w:ascii="宋体" w:hAnsi="宋体" w:cs="宋体"/>
          <w:kern w:val="0"/>
          <w:szCs w:val="21"/>
        </w:rPr>
        <w:t>NA</w:t>
      </w:r>
      <w:r>
        <w:rPr>
          <w:rFonts w:hint="eastAsia" w:ascii="宋体" w:hAnsi="宋体" w:cs="宋体"/>
          <w:kern w:val="0"/>
          <w:szCs w:val="21"/>
        </w:rPr>
        <w:t>半保留复制的过程，</w:t>
      </w:r>
      <w:r>
        <w:rPr>
          <w:rFonts w:ascii="宋体" w:hAnsi="宋体" w:cs="宋体"/>
          <w:kern w:val="0"/>
          <w:szCs w:val="21"/>
        </w:rPr>
        <w:t>RNA</w:t>
      </w:r>
      <w:r>
        <w:rPr>
          <w:rFonts w:hint="eastAsia" w:ascii="宋体" w:hAnsi="宋体" w:cs="宋体"/>
          <w:kern w:val="0"/>
          <w:szCs w:val="21"/>
        </w:rPr>
        <w:t>的转录及加工过程，蛋白质翻译过程。</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cs="宋体"/>
          <w:kern w:val="0"/>
          <w:szCs w:val="21"/>
        </w:rPr>
      </w:pPr>
      <w:r>
        <w:rPr>
          <w:rFonts w:hint="eastAsia" w:ascii="宋体" w:hAnsi="宋体"/>
        </w:rPr>
        <w:t>主要介绍</w:t>
      </w:r>
      <w:r>
        <w:rPr>
          <w:rFonts w:ascii="宋体" w:hAnsi="宋体" w:cs="宋体"/>
          <w:kern w:val="0"/>
          <w:szCs w:val="21"/>
        </w:rPr>
        <w:t>DNA</w:t>
      </w:r>
      <w:r>
        <w:rPr>
          <w:rFonts w:hint="eastAsia" w:ascii="宋体" w:hAnsi="宋体" w:cs="宋体"/>
          <w:kern w:val="0"/>
          <w:szCs w:val="21"/>
        </w:rPr>
        <w:t>作为主要遗传物质的证据、核酸的化学结构与自我复制、RNA的转录和加工、</w:t>
      </w:r>
      <w:r>
        <w:rPr>
          <w:rFonts w:ascii="宋体" w:hAnsi="宋体" w:cs="宋体"/>
          <w:kern w:val="0"/>
          <w:szCs w:val="21"/>
        </w:rPr>
        <w:t>蛋白质的翻译</w:t>
      </w:r>
      <w:r>
        <w:rPr>
          <w:rFonts w:hint="eastAsia" w:ascii="宋体" w:hAnsi="宋体" w:cs="宋体"/>
          <w:kern w:val="0"/>
          <w:szCs w:val="21"/>
        </w:rPr>
        <w:t>。</w:t>
      </w:r>
    </w:p>
    <w:p>
      <w:pPr>
        <w:pStyle w:val="7"/>
        <w:snapToGrid w:val="0"/>
        <w:spacing w:line="360" w:lineRule="auto"/>
        <w:rPr>
          <w:rFonts w:ascii="宋体" w:hAnsi="宋体" w:cs="宋体"/>
          <w:kern w:val="0"/>
          <w:szCs w:val="21"/>
        </w:rPr>
      </w:pPr>
      <w:r>
        <w:rPr>
          <w:rFonts w:hint="eastAsia" w:ascii="宋体" w:hAnsi="宋体"/>
        </w:rPr>
        <w:t>要求学生了解D</w:t>
      </w:r>
      <w:r>
        <w:rPr>
          <w:rFonts w:ascii="宋体" w:hAnsi="宋体"/>
        </w:rPr>
        <w:t>NA</w:t>
      </w:r>
      <w:r>
        <w:rPr>
          <w:rFonts w:hint="eastAsia" w:ascii="宋体" w:hAnsi="宋体"/>
        </w:rPr>
        <w:t>双螺旋结构发现历程、D</w:t>
      </w:r>
      <w:r>
        <w:rPr>
          <w:rFonts w:ascii="宋体" w:hAnsi="宋体"/>
        </w:rPr>
        <w:t>NA</w:t>
      </w:r>
      <w:r>
        <w:rPr>
          <w:rFonts w:hint="eastAsia" w:ascii="宋体" w:hAnsi="宋体"/>
        </w:rPr>
        <w:t>双螺旋的不同构型、DNA作为主要遗传物质的证据。理解</w:t>
      </w:r>
      <w:r>
        <w:rPr>
          <w:rFonts w:hint="eastAsia" w:ascii="宋体" w:hAnsi="宋体" w:cs="宋体"/>
          <w:kern w:val="0"/>
          <w:szCs w:val="21"/>
        </w:rPr>
        <w:t>DNA遗传密码的特点、蛋白质翻译过程。</w:t>
      </w:r>
      <w:r>
        <w:rPr>
          <w:rFonts w:hint="eastAsia" w:ascii="宋体" w:hAnsi="宋体"/>
        </w:rPr>
        <w:t>掌握</w:t>
      </w:r>
      <w:r>
        <w:rPr>
          <w:rFonts w:ascii="宋体" w:hAnsi="宋体" w:cs="宋体"/>
          <w:kern w:val="0"/>
          <w:szCs w:val="21"/>
        </w:rPr>
        <w:t>RNA</w:t>
      </w:r>
      <w:r>
        <w:rPr>
          <w:rFonts w:hint="eastAsia" w:ascii="宋体" w:hAnsi="宋体" w:cs="宋体"/>
          <w:kern w:val="0"/>
          <w:szCs w:val="21"/>
        </w:rPr>
        <w:t>的转录及加工过程。</w:t>
      </w:r>
      <w:r>
        <w:rPr>
          <w:rFonts w:hint="eastAsia" w:ascii="宋体" w:hAnsi="宋体"/>
        </w:rPr>
        <w:t>熟练掌握</w:t>
      </w:r>
      <w:r>
        <w:rPr>
          <w:rFonts w:hint="eastAsia" w:ascii="宋体" w:hAnsi="宋体" w:cs="宋体"/>
          <w:kern w:val="0"/>
          <w:szCs w:val="21"/>
        </w:rPr>
        <w:t>核酸的结构特点及D</w:t>
      </w:r>
      <w:r>
        <w:rPr>
          <w:rFonts w:ascii="宋体" w:hAnsi="宋体" w:cs="宋体"/>
          <w:kern w:val="0"/>
          <w:szCs w:val="21"/>
        </w:rPr>
        <w:t>NA</w:t>
      </w:r>
      <w:r>
        <w:rPr>
          <w:rFonts w:hint="eastAsia" w:ascii="宋体" w:hAnsi="宋体" w:cs="宋体"/>
          <w:kern w:val="0"/>
          <w:szCs w:val="21"/>
        </w:rPr>
        <w:t>双螺旋结构特点、D</w:t>
      </w:r>
      <w:r>
        <w:rPr>
          <w:rFonts w:ascii="宋体" w:hAnsi="宋体" w:cs="宋体"/>
          <w:kern w:val="0"/>
          <w:szCs w:val="21"/>
        </w:rPr>
        <w:t>NA</w:t>
      </w:r>
      <w:r>
        <w:rPr>
          <w:rFonts w:hint="eastAsia" w:ascii="宋体" w:hAnsi="宋体" w:cs="宋体"/>
          <w:kern w:val="0"/>
          <w:szCs w:val="21"/>
        </w:rPr>
        <w:t>半保留复制特点。</w:t>
      </w:r>
    </w:p>
    <w:p>
      <w:pPr>
        <w:widowControl/>
        <w:snapToGrid w:val="0"/>
        <w:spacing w:line="360" w:lineRule="auto"/>
        <w:rPr>
          <w:kern w:val="0"/>
          <w:szCs w:val="21"/>
        </w:rPr>
      </w:pPr>
      <w:r>
        <w:rPr>
          <w:rFonts w:hint="eastAsia" w:ascii="宋体" w:hAnsi="宋体"/>
          <w:b/>
          <w:bCs/>
        </w:rPr>
        <w:t>教学组织与实施：</w:t>
      </w:r>
      <w:r>
        <w:rPr>
          <w:rFonts w:hint="eastAsia" w:ascii="宋体" w:hAnsi="宋体"/>
          <w:szCs w:val="20"/>
        </w:rPr>
        <w:t>教师主讲，多媒体演示</w:t>
      </w:r>
      <w:r>
        <w:rPr>
          <w:rFonts w:ascii="宋体" w:hAnsi="宋体" w:cs="宋体"/>
          <w:kern w:val="0"/>
          <w:szCs w:val="21"/>
        </w:rPr>
        <w:t>。</w:t>
      </w:r>
      <w:r>
        <w:rPr>
          <w:rFonts w:hint="eastAsia" w:ascii="宋体" w:hAnsi="宋体" w:cs="宋体"/>
          <w:kern w:val="0"/>
          <w:szCs w:val="21"/>
        </w:rPr>
        <w:t>动画展示D</w:t>
      </w:r>
      <w:r>
        <w:rPr>
          <w:rFonts w:ascii="宋体" w:hAnsi="宋体" w:cs="宋体"/>
          <w:kern w:val="0"/>
          <w:szCs w:val="21"/>
        </w:rPr>
        <w:t>NA</w:t>
      </w:r>
      <w:r>
        <w:rPr>
          <w:rFonts w:hint="eastAsia" w:ascii="宋体" w:hAnsi="宋体" w:cs="宋体"/>
          <w:kern w:val="0"/>
          <w:szCs w:val="21"/>
        </w:rPr>
        <w:t>双螺旋结构、半保留复制、R</w:t>
      </w:r>
      <w:r>
        <w:rPr>
          <w:rFonts w:ascii="宋体" w:hAnsi="宋体" w:cs="宋体"/>
          <w:kern w:val="0"/>
          <w:szCs w:val="21"/>
        </w:rPr>
        <w:t>NA</w:t>
      </w:r>
      <w:r>
        <w:rPr>
          <w:rFonts w:hint="eastAsia" w:ascii="宋体" w:hAnsi="宋体" w:cs="宋体"/>
          <w:kern w:val="0"/>
          <w:szCs w:val="21"/>
        </w:rPr>
        <w:t>转录及加工过程、蛋白质翻译过程。</w:t>
      </w:r>
    </w:p>
    <w:p>
      <w:pPr>
        <w:snapToGrid w:val="0"/>
        <w:spacing w:line="360" w:lineRule="auto"/>
        <w:rPr>
          <w:rFonts w:ascii="宋体" w:hAnsi="宋体"/>
          <w:b/>
          <w:bCs/>
        </w:rPr>
      </w:pPr>
      <w:r>
        <w:rPr>
          <w:rFonts w:hint="eastAsia" w:ascii="宋体" w:hAnsi="宋体"/>
          <w:b/>
          <w:bCs/>
        </w:rPr>
        <w:t xml:space="preserve">第二节 </w:t>
      </w:r>
      <w:r>
        <w:rPr>
          <w:rFonts w:ascii="宋体" w:hAnsi="宋体"/>
          <w:b/>
          <w:bCs/>
        </w:rPr>
        <w:t xml:space="preserve"> </w:t>
      </w:r>
      <w:r>
        <w:rPr>
          <w:rFonts w:hint="eastAsia" w:ascii="宋体" w:hAnsi="宋体"/>
          <w:b/>
          <w:bCs/>
        </w:rPr>
        <w:t>遗传工程（</w:t>
      </w:r>
      <w:r>
        <w:rPr>
          <w:rFonts w:ascii="宋体" w:hAnsi="宋体"/>
          <w:b/>
          <w:bCs/>
        </w:rPr>
        <w:t>4</w:t>
      </w:r>
      <w:r>
        <w:rPr>
          <w:rFonts w:hint="eastAsia" w:ascii="宋体" w:hAnsi="宋体"/>
          <w:b/>
          <w:bCs/>
        </w:rPr>
        <w:t>学时）</w:t>
      </w:r>
    </w:p>
    <w:p>
      <w:pPr>
        <w:widowControl/>
        <w:snapToGrid w:val="0"/>
        <w:spacing w:line="360" w:lineRule="auto"/>
        <w:rPr>
          <w:rFonts w:ascii="宋体" w:hAnsi="宋体"/>
          <w:b/>
          <w:bCs/>
        </w:rPr>
      </w:pPr>
      <w:r>
        <w:rPr>
          <w:rFonts w:hint="eastAsia" w:ascii="宋体" w:hAnsi="宋体"/>
          <w:b/>
          <w:bCs/>
        </w:rPr>
        <w:t>教学目标：</w:t>
      </w:r>
      <w:r>
        <w:rPr>
          <w:rFonts w:hint="eastAsia" w:hAnsi="宋体"/>
          <w:kern w:val="0"/>
          <w:szCs w:val="21"/>
        </w:rPr>
        <w:t>通过对遗传工程基础理论的学习，为园艺植物基因工程育种奠定基础。</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cs="宋体"/>
          <w:kern w:val="0"/>
          <w:szCs w:val="21"/>
        </w:rPr>
        <w:t>基因工程的操作技术。基因工程技术在作物遗传育种中的应用。</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cs="宋体"/>
          <w:kern w:val="0"/>
          <w:szCs w:val="21"/>
        </w:rPr>
      </w:pPr>
      <w:r>
        <w:rPr>
          <w:rFonts w:hint="eastAsia" w:ascii="宋体" w:hAnsi="宋体" w:cs="宋体"/>
          <w:kern w:val="0"/>
          <w:szCs w:val="21"/>
        </w:rPr>
        <w:t>主要学习基因的概念、</w:t>
      </w:r>
      <w:r>
        <w:rPr>
          <w:rFonts w:hint="eastAsia" w:ascii="宋体" w:hAnsi="宋体"/>
        </w:rPr>
        <w:t>基因工程</w:t>
      </w:r>
      <w:r>
        <w:rPr>
          <w:rFonts w:hint="eastAsia" w:ascii="宋体" w:hAnsi="宋体" w:cs="宋体"/>
          <w:kern w:val="0"/>
          <w:szCs w:val="21"/>
        </w:rPr>
        <w:t>发展</w:t>
      </w:r>
      <w:r>
        <w:rPr>
          <w:rFonts w:hint="eastAsia" w:ascii="宋体" w:hAnsi="宋体"/>
        </w:rPr>
        <w:t>历史</w:t>
      </w:r>
      <w:r>
        <w:rPr>
          <w:rFonts w:hint="eastAsia" w:ascii="宋体" w:hAnsi="宋体" w:cs="宋体"/>
          <w:kern w:val="0"/>
          <w:szCs w:val="21"/>
        </w:rPr>
        <w:t>、</w:t>
      </w:r>
      <w:r>
        <w:rPr>
          <w:rFonts w:hint="eastAsia" w:ascii="宋体" w:hAnsi="宋体"/>
        </w:rPr>
        <w:t>基因分离的方法、常用限制性内切酶和载体的结构和特征及其应用范围、</w:t>
      </w:r>
      <w:r>
        <w:rPr>
          <w:rFonts w:hint="eastAsia" w:ascii="宋体" w:hAnsi="宋体" w:cs="宋体"/>
          <w:kern w:val="0"/>
          <w:szCs w:val="21"/>
        </w:rPr>
        <w:t>基因工程的应用。</w:t>
      </w:r>
    </w:p>
    <w:p>
      <w:pPr>
        <w:pStyle w:val="7"/>
        <w:snapToGrid w:val="0"/>
        <w:spacing w:line="360" w:lineRule="auto"/>
        <w:rPr>
          <w:rFonts w:ascii="宋体" w:hAnsi="宋体"/>
        </w:rPr>
      </w:pPr>
      <w:r>
        <w:rPr>
          <w:rFonts w:hint="eastAsia" w:ascii="宋体" w:hAnsi="宋体"/>
        </w:rPr>
        <w:t>要求学生了解基因工程的发展历史。理解植物基因工程在</w:t>
      </w:r>
      <w:r>
        <w:rPr>
          <w:rFonts w:hint="eastAsia" w:ascii="宋体" w:hAnsi="宋体" w:cs="宋体"/>
          <w:kern w:val="0"/>
          <w:szCs w:val="21"/>
        </w:rPr>
        <w:t>作物遗传育种、</w:t>
      </w:r>
      <w:r>
        <w:rPr>
          <w:rFonts w:hint="eastAsia" w:ascii="宋体" w:hAnsi="宋体"/>
        </w:rPr>
        <w:t>农业生成中的应用。常用的基因分离的方法。掌握常用的限制性内切酶和载体的结构和特征及其应用范围。熟练掌握</w:t>
      </w:r>
      <w:r>
        <w:rPr>
          <w:rFonts w:hint="eastAsia" w:ascii="宋体" w:hAnsi="宋体" w:cs="宋体"/>
          <w:kern w:val="0"/>
          <w:szCs w:val="21"/>
        </w:rPr>
        <w:t>基因工程操作的一般步骤。</w:t>
      </w:r>
    </w:p>
    <w:p>
      <w:pPr>
        <w:widowControl/>
        <w:snapToGrid w:val="0"/>
        <w:spacing w:line="360" w:lineRule="auto"/>
        <w:rPr>
          <w:rFonts w:hAnsi="宋体"/>
          <w:kern w:val="0"/>
          <w:szCs w:val="21"/>
        </w:rPr>
      </w:pPr>
      <w:r>
        <w:rPr>
          <w:rFonts w:hint="eastAsia" w:ascii="宋体" w:hAnsi="宋体"/>
          <w:b/>
          <w:bCs/>
        </w:rPr>
        <w:t>教学组织与实施：</w:t>
      </w:r>
      <w:r>
        <w:t>本</w:t>
      </w:r>
      <w:r>
        <w:rPr>
          <w:rFonts w:hint="eastAsia"/>
        </w:rPr>
        <w:t>节</w:t>
      </w:r>
      <w:r>
        <w:t>为分子育种理论的基础知识，在课堂上以老师讲授为主，结合图片、视频等丰富理论知识的讲解，通过人工胰岛素、黄金大米等著名案例讲解加深学生的理解，并</w:t>
      </w:r>
      <w:r>
        <w:rPr>
          <w:rFonts w:hint="eastAsia"/>
        </w:rPr>
        <w:t>利用</w:t>
      </w:r>
      <w:r>
        <w:t>课余</w:t>
      </w:r>
      <w:r>
        <w:rPr>
          <w:rFonts w:hint="eastAsia"/>
        </w:rPr>
        <w:t>时间</w:t>
      </w:r>
      <w:r>
        <w:t>邀请1~2为</w:t>
      </w:r>
      <w:r>
        <w:rPr>
          <w:rFonts w:hint="eastAsia"/>
        </w:rPr>
        <w:t>本</w:t>
      </w:r>
      <w:r>
        <w:t>领域的专业技术人员</w:t>
      </w:r>
      <w:r>
        <w:rPr>
          <w:rFonts w:hint="eastAsia"/>
        </w:rPr>
        <w:t>作</w:t>
      </w:r>
      <w:r>
        <w:t>1~2场专题报告，</w:t>
      </w:r>
      <w:r>
        <w:rPr>
          <w:kern w:val="0"/>
          <w:szCs w:val="21"/>
        </w:rPr>
        <w:t>为园艺植物的分子育种理论学习奠定坚实的基础。</w:t>
      </w:r>
    </w:p>
    <w:p>
      <w:pPr>
        <w:widowControl/>
        <w:snapToGrid w:val="0"/>
        <w:spacing w:line="360" w:lineRule="auto"/>
        <w:jc w:val="right"/>
        <w:rPr>
          <w:kern w:val="0"/>
          <w:szCs w:val="21"/>
        </w:rPr>
      </w:pPr>
      <w:r>
        <w:rPr>
          <w:rFonts w:hAnsi="宋体"/>
          <w:b/>
          <w:bCs/>
          <w:kern w:val="0"/>
          <w:szCs w:val="21"/>
        </w:rPr>
        <w:t>第</w:t>
      </w:r>
      <w:r>
        <w:rPr>
          <w:rFonts w:hint="eastAsia" w:hAnsi="宋体"/>
          <w:b/>
          <w:bCs/>
          <w:kern w:val="0"/>
          <w:szCs w:val="21"/>
        </w:rPr>
        <w:t>八</w:t>
      </w:r>
      <w:r>
        <w:rPr>
          <w:rFonts w:hAnsi="宋体"/>
          <w:b/>
          <w:bCs/>
          <w:kern w:val="0"/>
          <w:szCs w:val="21"/>
        </w:rPr>
        <w:t>章</w:t>
      </w:r>
      <w:r>
        <w:rPr>
          <w:b/>
          <w:bCs/>
          <w:kern w:val="0"/>
          <w:szCs w:val="21"/>
        </w:rPr>
        <w:t>     </w:t>
      </w:r>
      <w:r>
        <w:rPr>
          <w:rFonts w:hint="eastAsia" w:hAnsi="宋体"/>
          <w:b/>
          <w:bCs/>
          <w:kern w:val="0"/>
          <w:szCs w:val="21"/>
        </w:rPr>
        <w:t>细胞质遗传</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Ansi="宋体"/>
          <w:b/>
          <w:bCs/>
          <w:kern w:val="0"/>
          <w:szCs w:val="21"/>
        </w:rPr>
        <w:t>4</w:t>
      </w:r>
    </w:p>
    <w:p>
      <w:pPr>
        <w:widowControl/>
        <w:snapToGrid w:val="0"/>
        <w:spacing w:line="360" w:lineRule="auto"/>
        <w:rPr>
          <w:rFonts w:ascii="宋体" w:hAnsi="宋体"/>
          <w:b/>
          <w:bCs/>
        </w:rPr>
      </w:pPr>
      <w:r>
        <w:rPr>
          <w:rFonts w:hint="eastAsia" w:ascii="宋体" w:hAnsi="宋体"/>
          <w:b/>
          <w:bCs/>
        </w:rPr>
        <w:t xml:space="preserve">第一节 </w:t>
      </w:r>
      <w:r>
        <w:rPr>
          <w:rFonts w:ascii="宋体" w:hAnsi="宋体"/>
          <w:b/>
          <w:bCs/>
        </w:rPr>
        <w:t xml:space="preserve"> </w:t>
      </w:r>
      <w:r>
        <w:rPr>
          <w:rFonts w:hint="eastAsia" w:ascii="宋体" w:hAnsi="宋体"/>
          <w:b/>
          <w:bCs/>
        </w:rPr>
        <w:t>细胞质遗传的概念及特点（1学时）</w:t>
      </w:r>
    </w:p>
    <w:p>
      <w:pPr>
        <w:widowControl/>
        <w:snapToGrid w:val="0"/>
        <w:spacing w:line="360" w:lineRule="auto"/>
        <w:rPr>
          <w:rFonts w:ascii="宋体" w:hAnsi="宋体"/>
        </w:rPr>
      </w:pPr>
      <w:r>
        <w:rPr>
          <w:rFonts w:hint="eastAsia" w:ascii="宋体" w:hAnsi="宋体"/>
          <w:b/>
          <w:bCs/>
        </w:rPr>
        <w:t>教学目标：</w:t>
      </w:r>
      <w:r>
        <w:rPr>
          <w:rFonts w:hint="eastAsia" w:ascii="宋体" w:hAnsi="宋体"/>
        </w:rPr>
        <w:t>通过对细胞质遗传的概念及细胞质遗传特点的学习，为园艺植物利用细胞质遗传育种奠定基础。</w:t>
      </w:r>
    </w:p>
    <w:p>
      <w:pPr>
        <w:widowControl/>
        <w:snapToGrid w:val="0"/>
        <w:spacing w:line="360" w:lineRule="auto"/>
        <w:rPr>
          <w:rFonts w:ascii="宋体" w:hAnsi="宋体"/>
        </w:rPr>
      </w:pPr>
      <w:r>
        <w:rPr>
          <w:rFonts w:hint="eastAsia" w:ascii="宋体" w:hAnsi="宋体"/>
          <w:b/>
          <w:bCs/>
        </w:rPr>
        <w:t>教学重点和难点：</w:t>
      </w:r>
      <w:r>
        <w:rPr>
          <w:rFonts w:hint="eastAsia" w:ascii="宋体" w:hAnsi="宋体"/>
        </w:rPr>
        <w:t>细胞质遗传的概念和特点为本节的重点和难点。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主要介绍细胞质遗传的概念和特点、细胞质遗传形成原因、细胞质遗传与细胞核遗传的区别。</w:t>
      </w:r>
    </w:p>
    <w:p>
      <w:pPr>
        <w:widowControl/>
        <w:snapToGrid w:val="0"/>
        <w:spacing w:line="360" w:lineRule="auto"/>
        <w:ind w:firstLine="420" w:firstLineChars="200"/>
        <w:rPr>
          <w:rFonts w:hAnsi="宋体"/>
          <w:kern w:val="0"/>
          <w:szCs w:val="21"/>
        </w:rPr>
      </w:pPr>
      <w:r>
        <w:rPr>
          <w:rFonts w:hint="eastAsia" w:hAnsi="宋体"/>
          <w:kern w:val="0"/>
          <w:szCs w:val="21"/>
        </w:rPr>
        <w:t>要求学生了解细胞质遗传的现象，理解细胞质遗传的概念和特点，掌握细胞质遗传在育种中的应用，熟练掌握细胞质遗传与细胞核遗传的区别。</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本节通过在课堂上列举丰富的案例，结合图片、视频等让学生了解并掌握细胞质遗传的现象、概念及特点，培养学生观察、对比、分析、归纳等能力。</w:t>
      </w:r>
    </w:p>
    <w:p>
      <w:pPr>
        <w:widowControl/>
        <w:snapToGrid w:val="0"/>
        <w:spacing w:line="360" w:lineRule="auto"/>
        <w:rPr>
          <w:rFonts w:ascii="宋体" w:hAnsi="宋体"/>
          <w:b/>
          <w:bCs/>
        </w:rPr>
      </w:pPr>
      <w:r>
        <w:rPr>
          <w:rFonts w:hint="eastAsia" w:ascii="宋体" w:hAnsi="宋体"/>
          <w:b/>
          <w:bCs/>
        </w:rPr>
        <w:t xml:space="preserve">第二节 </w:t>
      </w:r>
      <w:r>
        <w:rPr>
          <w:rFonts w:ascii="宋体" w:hAnsi="宋体"/>
          <w:b/>
          <w:bCs/>
        </w:rPr>
        <w:t xml:space="preserve"> </w:t>
      </w:r>
      <w:r>
        <w:rPr>
          <w:rFonts w:hint="eastAsia" w:ascii="宋体" w:hAnsi="宋体"/>
          <w:b/>
          <w:bCs/>
        </w:rPr>
        <w:t>叶绿体和线粒体遗传（1学时）</w:t>
      </w:r>
    </w:p>
    <w:p>
      <w:pPr>
        <w:widowControl/>
        <w:snapToGrid w:val="0"/>
        <w:spacing w:line="360" w:lineRule="auto"/>
        <w:rPr>
          <w:rFonts w:hAnsi="宋体"/>
          <w:kern w:val="0"/>
          <w:szCs w:val="21"/>
        </w:rPr>
      </w:pPr>
      <w:r>
        <w:rPr>
          <w:rFonts w:hint="eastAsia" w:ascii="宋体" w:hAnsi="宋体"/>
          <w:b/>
          <w:bCs/>
        </w:rPr>
        <w:t>教学目标：</w:t>
      </w:r>
      <w:r>
        <w:rPr>
          <w:rFonts w:hint="eastAsia" w:ascii="宋体" w:hAnsi="宋体"/>
        </w:rPr>
        <w:t>通过对</w:t>
      </w:r>
      <w:r>
        <w:rPr>
          <w:rFonts w:hint="eastAsia" w:hAnsi="宋体"/>
          <w:kern w:val="0"/>
          <w:szCs w:val="21"/>
        </w:rPr>
        <w:t>叶绿体、线粒体遗传的现象及遗传的分子生物学基础学习，为园艺植物的细胞质基因研究和育种利用的理论学习奠定基础。</w:t>
      </w:r>
    </w:p>
    <w:p>
      <w:pPr>
        <w:widowControl/>
        <w:snapToGrid w:val="0"/>
        <w:spacing w:line="360" w:lineRule="auto"/>
        <w:rPr>
          <w:rFonts w:ascii="宋体" w:hAnsi="宋体"/>
        </w:rPr>
      </w:pPr>
      <w:r>
        <w:rPr>
          <w:rFonts w:hint="eastAsia" w:ascii="宋体" w:hAnsi="宋体"/>
          <w:b/>
          <w:bCs/>
        </w:rPr>
        <w:t>教学重点和难点：</w:t>
      </w:r>
      <w:r>
        <w:rPr>
          <w:rFonts w:hint="eastAsia" w:ascii="宋体" w:hAnsi="宋体"/>
        </w:rPr>
        <w:t>本节的重点和难点为</w:t>
      </w:r>
      <w:r>
        <w:rPr>
          <w:rFonts w:hint="eastAsia" w:hAnsi="宋体"/>
          <w:kern w:val="0"/>
          <w:szCs w:val="21"/>
        </w:rPr>
        <w:t>叶绿体和线粒体遗传的现象及遗传的分子基础</w:t>
      </w:r>
      <w:r>
        <w:rPr>
          <w:rFonts w:hint="eastAsia" w:ascii="宋体" w:hAnsi="宋体"/>
        </w:rPr>
        <w:t>。</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主要介绍介绍</w:t>
      </w:r>
      <w:bookmarkStart w:id="50" w:name="_Hlk137649946"/>
      <w:r>
        <w:rPr>
          <w:rFonts w:hint="eastAsia" w:hAnsi="宋体"/>
          <w:kern w:val="0"/>
          <w:szCs w:val="21"/>
        </w:rPr>
        <w:t>叶绿体遗传的现象</w:t>
      </w:r>
      <w:bookmarkEnd w:id="50"/>
      <w:r>
        <w:rPr>
          <w:rFonts w:hint="eastAsia" w:hAnsi="宋体"/>
          <w:kern w:val="0"/>
          <w:szCs w:val="21"/>
        </w:rPr>
        <w:t>及遗传的分子基础；线粒体遗传的现象及遗传的分子基础。</w:t>
      </w:r>
    </w:p>
    <w:p>
      <w:pPr>
        <w:widowControl/>
        <w:snapToGrid w:val="0"/>
        <w:spacing w:line="360" w:lineRule="auto"/>
        <w:ind w:firstLine="420" w:firstLineChars="200"/>
        <w:rPr>
          <w:rFonts w:hAnsi="宋体"/>
          <w:kern w:val="0"/>
          <w:szCs w:val="21"/>
        </w:rPr>
      </w:pPr>
      <w:r>
        <w:rPr>
          <w:rFonts w:hint="eastAsia" w:hAnsi="宋体"/>
          <w:kern w:val="0"/>
          <w:szCs w:val="21"/>
        </w:rPr>
        <w:t>要求学生了解叶绿体遗传的现象，理解线粒体遗传表现，掌握叶绿体和线粒体遗传的分子基础，熟练掌握叶绿体和线粒体遗传的特征。</w:t>
      </w:r>
      <w:r>
        <w:rPr>
          <w:rFonts w:hAnsi="宋体"/>
          <w:kern w:val="0"/>
          <w:szCs w:val="21"/>
        </w:rPr>
        <w:t xml:space="preserve"> </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本节通过学生自主观察，教师课程内容讲授，课堂互动等环节提高学生探究能力及科学素养。</w:t>
      </w:r>
    </w:p>
    <w:p>
      <w:pPr>
        <w:widowControl/>
        <w:snapToGrid w:val="0"/>
        <w:spacing w:line="360" w:lineRule="auto"/>
        <w:rPr>
          <w:rFonts w:ascii="宋体" w:hAnsi="宋体"/>
          <w:b/>
          <w:bCs/>
        </w:rPr>
      </w:pPr>
      <w:r>
        <w:rPr>
          <w:rFonts w:hint="eastAsia" w:ascii="宋体" w:hAnsi="宋体"/>
          <w:b/>
          <w:bCs/>
        </w:rPr>
        <w:t xml:space="preserve">第三节 </w:t>
      </w:r>
      <w:r>
        <w:rPr>
          <w:rFonts w:ascii="宋体" w:hAnsi="宋体"/>
          <w:b/>
          <w:bCs/>
        </w:rPr>
        <w:t xml:space="preserve"> </w:t>
      </w:r>
      <w:r>
        <w:rPr>
          <w:rFonts w:hint="eastAsia" w:ascii="宋体" w:hAnsi="宋体"/>
          <w:b/>
          <w:bCs/>
        </w:rPr>
        <w:t>植物雄性不育的遗传机理（</w:t>
      </w:r>
      <w:r>
        <w:rPr>
          <w:rFonts w:ascii="宋体" w:hAnsi="宋体"/>
          <w:b/>
          <w:bCs/>
        </w:rPr>
        <w:t>2</w:t>
      </w:r>
      <w:r>
        <w:rPr>
          <w:rFonts w:hint="eastAsia" w:ascii="宋体" w:hAnsi="宋体"/>
          <w:b/>
          <w:bCs/>
        </w:rPr>
        <w:t>学时）</w:t>
      </w:r>
    </w:p>
    <w:p>
      <w:pPr>
        <w:widowControl/>
        <w:snapToGrid w:val="0"/>
        <w:spacing w:line="360" w:lineRule="auto"/>
        <w:rPr>
          <w:rFonts w:hAnsi="宋体"/>
          <w:kern w:val="0"/>
          <w:szCs w:val="21"/>
        </w:rPr>
      </w:pPr>
      <w:r>
        <w:rPr>
          <w:rFonts w:hint="eastAsia" w:ascii="宋体" w:hAnsi="宋体"/>
          <w:b/>
          <w:bCs/>
        </w:rPr>
        <w:t>教学目标：</w:t>
      </w:r>
      <w:r>
        <w:rPr>
          <w:rFonts w:hint="eastAsia" w:ascii="宋体" w:hAnsi="宋体"/>
        </w:rPr>
        <w:t>通过对</w:t>
      </w:r>
      <w:r>
        <w:rPr>
          <w:rFonts w:hint="eastAsia" w:hAnsi="宋体"/>
          <w:kern w:val="0"/>
          <w:szCs w:val="21"/>
        </w:rPr>
        <w:t>植物雄性不育的遗传学习，为雄性不育在园艺植物中的应用奠定基础。</w:t>
      </w:r>
    </w:p>
    <w:p>
      <w:pPr>
        <w:widowControl/>
        <w:snapToGrid w:val="0"/>
        <w:spacing w:line="360" w:lineRule="auto"/>
        <w:rPr>
          <w:rFonts w:ascii="宋体" w:hAnsi="宋体"/>
        </w:rPr>
      </w:pPr>
      <w:r>
        <w:rPr>
          <w:rFonts w:hint="eastAsia" w:ascii="宋体" w:hAnsi="宋体"/>
          <w:b/>
          <w:bCs/>
        </w:rPr>
        <w:t>教学重点和难点：</w:t>
      </w:r>
      <w:r>
        <w:rPr>
          <w:rFonts w:hint="eastAsia" w:hAnsi="宋体"/>
          <w:kern w:val="0"/>
          <w:szCs w:val="21"/>
        </w:rPr>
        <w:t>雄性不育现象发生的机理及质核不育型在三系配套制种中的应用为本节的重点和难点。</w:t>
      </w:r>
      <w:r>
        <w:rPr>
          <w:rFonts w:ascii="宋体" w:hAnsi="宋体"/>
        </w:rPr>
        <w:t xml:space="preserve"> </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主要介绍介绍植物雄性不育的遗传类型及遗传特点、雄性不育现象的发生机理及质核不育型在三系配套制种中的应用。</w:t>
      </w:r>
    </w:p>
    <w:p>
      <w:pPr>
        <w:widowControl/>
        <w:snapToGrid w:val="0"/>
        <w:spacing w:line="360" w:lineRule="auto"/>
        <w:ind w:firstLine="420" w:firstLineChars="200"/>
        <w:rPr>
          <w:rFonts w:hAnsi="宋体"/>
          <w:kern w:val="0"/>
          <w:szCs w:val="21"/>
        </w:rPr>
      </w:pPr>
      <w:r>
        <w:rPr>
          <w:rFonts w:hint="eastAsia" w:hAnsi="宋体"/>
          <w:kern w:val="0"/>
          <w:szCs w:val="21"/>
        </w:rPr>
        <w:t>要求学生了解雄性不育的类别，理解其遗传特点，掌握雄性不育的发生机理，熟练掌握质核不育型在三系配套制种中的应用。</w:t>
      </w:r>
      <w:r>
        <w:rPr>
          <w:rFonts w:hAnsi="宋体"/>
          <w:kern w:val="0"/>
          <w:szCs w:val="21"/>
        </w:rPr>
        <w:t xml:space="preserve"> </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本节通过教师课程内容讲授并结合我国科学家比如袁隆平院士寻找“天然的雄性不育水稻”事迹，致敬国之脊梁，引导学生培养三农情怀，对学生进行爱国主义教育，提升专业能力及实践技能，同时增加课堂互动、提问、</w:t>
      </w:r>
      <w:r>
        <w:rPr>
          <w:rFonts w:ascii="宋体" w:hAnsi="宋体"/>
        </w:rPr>
        <w:t>课后阅读等环节</w:t>
      </w:r>
      <w:r>
        <w:rPr>
          <w:rFonts w:hint="eastAsia" w:ascii="宋体" w:hAnsi="宋体"/>
        </w:rPr>
        <w:t>，加深学生</w:t>
      </w:r>
      <w:r>
        <w:rPr>
          <w:rFonts w:ascii="宋体" w:hAnsi="宋体"/>
        </w:rPr>
        <w:t>对难点知识的理解</w:t>
      </w:r>
      <w:r>
        <w:rPr>
          <w:rFonts w:hint="eastAsia" w:ascii="宋体" w:hAnsi="宋体"/>
        </w:rPr>
        <w:t>。</w:t>
      </w:r>
    </w:p>
    <w:p>
      <w:pPr>
        <w:widowControl/>
        <w:wordWrap w:val="0"/>
        <w:snapToGrid w:val="0"/>
        <w:spacing w:line="360" w:lineRule="auto"/>
        <w:jc w:val="right"/>
        <w:rPr>
          <w:rFonts w:hAnsi="宋体"/>
          <w:b/>
          <w:bCs/>
          <w:kern w:val="0"/>
          <w:szCs w:val="21"/>
        </w:rPr>
      </w:pPr>
      <w:r>
        <w:rPr>
          <w:rFonts w:hAnsi="宋体"/>
          <w:b/>
          <w:bCs/>
          <w:kern w:val="0"/>
          <w:szCs w:val="21"/>
        </w:rPr>
        <w:t>第</w:t>
      </w:r>
      <w:r>
        <w:rPr>
          <w:rFonts w:hint="eastAsia" w:hAnsi="宋体"/>
          <w:b/>
          <w:bCs/>
          <w:kern w:val="0"/>
          <w:szCs w:val="21"/>
        </w:rPr>
        <w:t>九</w:t>
      </w:r>
      <w:r>
        <w:rPr>
          <w:rFonts w:hAnsi="宋体"/>
          <w:b/>
          <w:bCs/>
          <w:kern w:val="0"/>
          <w:szCs w:val="21"/>
        </w:rPr>
        <w:t>章</w:t>
      </w:r>
      <w:r>
        <w:rPr>
          <w:b/>
          <w:bCs/>
          <w:kern w:val="0"/>
          <w:szCs w:val="21"/>
        </w:rPr>
        <w:t>   </w:t>
      </w:r>
      <w:r>
        <w:rPr>
          <w:rFonts w:hint="eastAsia"/>
          <w:b/>
          <w:bCs/>
          <w:kern w:val="0"/>
          <w:szCs w:val="21"/>
        </w:rPr>
        <w:t>细菌和病毒的遗传</w:t>
      </w:r>
      <w:r>
        <w:rPr>
          <w:b/>
          <w:bCs/>
          <w:kern w:val="0"/>
          <w:szCs w:val="21"/>
        </w:rPr>
        <w:t>     </w:t>
      </w:r>
      <w:r>
        <w:rPr>
          <w:rFonts w:hint="eastAsia" w:hAnsi="宋体"/>
          <w:b/>
          <w:bCs/>
          <w:color w:val="FF0000"/>
          <w:kern w:val="0"/>
          <w:szCs w:val="21"/>
        </w:rPr>
        <w:t xml:space="preserve"> </w:t>
      </w:r>
      <w:r>
        <w:rPr>
          <w:rFonts w:hAnsi="宋体"/>
          <w:b/>
          <w:bCs/>
          <w:color w:val="FF0000"/>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数：4</w:t>
      </w:r>
    </w:p>
    <w:p>
      <w:pPr>
        <w:widowControl/>
        <w:snapToGrid w:val="0"/>
        <w:spacing w:line="360" w:lineRule="auto"/>
        <w:rPr>
          <w:rFonts w:ascii="宋体" w:hAnsi="宋体"/>
          <w:b/>
          <w:bCs/>
        </w:rPr>
      </w:pPr>
      <w:r>
        <w:rPr>
          <w:rFonts w:hint="eastAsia" w:ascii="宋体" w:hAnsi="宋体"/>
          <w:b/>
          <w:bCs/>
        </w:rPr>
        <w:t xml:space="preserve">第一节 </w:t>
      </w:r>
      <w:r>
        <w:rPr>
          <w:rFonts w:ascii="宋体" w:hAnsi="宋体"/>
          <w:b/>
          <w:bCs/>
        </w:rPr>
        <w:t xml:space="preserve"> </w:t>
      </w:r>
      <w:r>
        <w:rPr>
          <w:rFonts w:hint="eastAsia" w:ascii="宋体" w:hAnsi="宋体"/>
          <w:b/>
          <w:bCs/>
        </w:rPr>
        <w:t>细菌和病毒的特点及在遗传学研究中的作用（</w:t>
      </w:r>
      <w:r>
        <w:rPr>
          <w:rFonts w:ascii="宋体" w:hAnsi="宋体"/>
          <w:b/>
          <w:bCs/>
        </w:rPr>
        <w:t>2</w:t>
      </w:r>
      <w:r>
        <w:rPr>
          <w:rFonts w:hint="eastAsia" w:ascii="宋体" w:hAnsi="宋体"/>
          <w:b/>
          <w:bCs/>
        </w:rPr>
        <w:t>学时）</w:t>
      </w:r>
    </w:p>
    <w:p>
      <w:pPr>
        <w:widowControl/>
        <w:snapToGrid w:val="0"/>
        <w:spacing w:line="360" w:lineRule="auto"/>
        <w:rPr>
          <w:rFonts w:ascii="宋体" w:hAnsi="宋体"/>
          <w:b/>
          <w:bCs/>
        </w:rPr>
      </w:pPr>
      <w:r>
        <w:rPr>
          <w:rFonts w:hint="eastAsia" w:ascii="宋体" w:hAnsi="宋体"/>
          <w:b/>
          <w:bCs/>
        </w:rPr>
        <w:t>教学目标：</w:t>
      </w:r>
      <w:r>
        <w:rPr>
          <w:rFonts w:hint="eastAsia" w:hAnsi="宋体"/>
          <w:kern w:val="0"/>
          <w:szCs w:val="21"/>
        </w:rPr>
        <w:t>通过对细菌和病毒的特点学习，为园艺植物的分子育种理论学习奠定基础。</w:t>
      </w:r>
    </w:p>
    <w:p>
      <w:pPr>
        <w:widowControl/>
        <w:snapToGrid w:val="0"/>
        <w:spacing w:line="360" w:lineRule="auto"/>
        <w:rPr>
          <w:rFonts w:ascii="宋体" w:hAnsi="宋体"/>
        </w:rPr>
      </w:pPr>
      <w:r>
        <w:rPr>
          <w:rFonts w:hint="eastAsia" w:ascii="宋体" w:hAnsi="宋体"/>
          <w:b/>
          <w:bCs/>
        </w:rPr>
        <w:t>教学重点和难点：</w:t>
      </w:r>
      <w:r>
        <w:rPr>
          <w:rFonts w:hint="eastAsia" w:ascii="宋体" w:hAnsi="宋体"/>
        </w:rPr>
        <w:t>细菌和病毒的结构及特点为本节的重点，细菌和病毒在遗传学研究中的作用为本节难点。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主要介绍细菌和病毒的结构，细菌和病毒的特点，细菌和病毒在遗传学研究中的作用。</w:t>
      </w:r>
    </w:p>
    <w:p>
      <w:pPr>
        <w:widowControl/>
        <w:snapToGrid w:val="0"/>
        <w:spacing w:line="360" w:lineRule="auto"/>
        <w:ind w:firstLine="420" w:firstLineChars="200"/>
        <w:rPr>
          <w:rFonts w:hAnsi="宋体"/>
          <w:kern w:val="0"/>
          <w:szCs w:val="21"/>
        </w:rPr>
      </w:pPr>
      <w:r>
        <w:rPr>
          <w:rFonts w:hint="eastAsia" w:hAnsi="宋体"/>
          <w:kern w:val="0"/>
          <w:szCs w:val="21"/>
        </w:rPr>
        <w:t>要求学生了解细菌和病毒的特点，理解细菌和病毒在遗传学研究中的作用，掌握细菌和病毒的结构。</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本节以课堂讲授为主，</w:t>
      </w:r>
      <w:r>
        <w:rPr>
          <w:rFonts w:hint="eastAsia"/>
          <w:kern w:val="0"/>
          <w:szCs w:val="21"/>
        </w:rPr>
        <w:t>补充</w:t>
      </w:r>
      <w:r>
        <w:rPr>
          <w:kern w:val="0"/>
          <w:szCs w:val="21"/>
        </w:rPr>
        <w:t>介绍微生物学背景知识，</w:t>
      </w:r>
      <w:r>
        <w:rPr>
          <w:rFonts w:hint="eastAsia" w:ascii="宋体" w:hAnsi="宋体"/>
        </w:rPr>
        <w:t>结合图片、视频等让学生了解并掌握本节重点、难点。</w:t>
      </w:r>
    </w:p>
    <w:p>
      <w:pPr>
        <w:widowControl/>
        <w:snapToGrid w:val="0"/>
        <w:spacing w:line="360" w:lineRule="auto"/>
        <w:rPr>
          <w:rFonts w:ascii="宋体" w:hAnsi="宋体"/>
          <w:b/>
          <w:bCs/>
        </w:rPr>
      </w:pPr>
      <w:r>
        <w:rPr>
          <w:rFonts w:hint="eastAsia" w:ascii="宋体" w:hAnsi="宋体"/>
          <w:b/>
          <w:bCs/>
        </w:rPr>
        <w:t xml:space="preserve">第二节 </w:t>
      </w:r>
      <w:r>
        <w:rPr>
          <w:rFonts w:ascii="宋体" w:hAnsi="宋体"/>
          <w:b/>
          <w:bCs/>
        </w:rPr>
        <w:t xml:space="preserve"> </w:t>
      </w:r>
      <w:r>
        <w:rPr>
          <w:rFonts w:hint="eastAsia" w:ascii="宋体" w:hAnsi="宋体"/>
          <w:b/>
          <w:bCs/>
        </w:rPr>
        <w:t>细菌的遗传分析（</w:t>
      </w:r>
      <w:r>
        <w:rPr>
          <w:rFonts w:ascii="宋体" w:hAnsi="宋体"/>
          <w:b/>
          <w:bCs/>
        </w:rPr>
        <w:t>2</w:t>
      </w:r>
      <w:r>
        <w:rPr>
          <w:rFonts w:hint="eastAsia" w:ascii="宋体" w:hAnsi="宋体"/>
          <w:b/>
          <w:bCs/>
        </w:rPr>
        <w:t>学时）</w:t>
      </w:r>
    </w:p>
    <w:p>
      <w:pPr>
        <w:widowControl/>
        <w:snapToGrid w:val="0"/>
        <w:spacing w:line="360" w:lineRule="auto"/>
        <w:rPr>
          <w:rFonts w:ascii="宋体" w:hAnsi="宋体"/>
          <w:b/>
          <w:bCs/>
        </w:rPr>
      </w:pPr>
      <w:r>
        <w:rPr>
          <w:rFonts w:hint="eastAsia" w:ascii="宋体" w:hAnsi="宋体"/>
          <w:b/>
          <w:bCs/>
        </w:rPr>
        <w:t>教学目标：</w:t>
      </w:r>
      <w:r>
        <w:rPr>
          <w:rFonts w:hint="eastAsia" w:hAnsi="宋体"/>
          <w:kern w:val="0"/>
          <w:szCs w:val="21"/>
        </w:rPr>
        <w:t>通过对细菌的遗传分析学习，为其在园艺植物遗传学研究中的学习奠定基础。</w:t>
      </w:r>
    </w:p>
    <w:p>
      <w:pPr>
        <w:widowControl/>
        <w:snapToGrid w:val="0"/>
        <w:spacing w:line="360" w:lineRule="auto"/>
        <w:rPr>
          <w:rFonts w:ascii="宋体" w:hAnsi="宋体" w:cs="宋体"/>
          <w:kern w:val="0"/>
          <w:szCs w:val="21"/>
        </w:rPr>
      </w:pPr>
      <w:r>
        <w:rPr>
          <w:rFonts w:hint="eastAsia" w:ascii="宋体" w:hAnsi="宋体"/>
          <w:b/>
          <w:bCs/>
        </w:rPr>
        <w:t>教学重点和难点：</w:t>
      </w:r>
      <w:r>
        <w:rPr>
          <w:rFonts w:hint="eastAsia" w:ascii="宋体" w:hAnsi="宋体" w:cs="宋体"/>
          <w:kern w:val="0"/>
          <w:szCs w:val="21"/>
        </w:rPr>
        <w:t>重点介绍</w:t>
      </w:r>
      <w:r>
        <w:rPr>
          <w:rFonts w:hint="eastAsia" w:hAnsi="宋体"/>
          <w:kern w:val="0"/>
          <w:szCs w:val="21"/>
        </w:rPr>
        <w:t>细菌DNA交换重组方式，转化、接合、性导和转导的概念和转化的过程。</w:t>
      </w:r>
      <w:r>
        <w:rPr>
          <w:rFonts w:hint="eastAsia" w:ascii="宋体" w:hAnsi="宋体" w:cs="宋体"/>
          <w:kern w:val="0"/>
          <w:szCs w:val="21"/>
        </w:rPr>
        <w:t>其中</w:t>
      </w:r>
      <w:r>
        <w:rPr>
          <w:rFonts w:hint="eastAsia" w:hAnsi="宋体"/>
          <w:kern w:val="0"/>
          <w:szCs w:val="21"/>
        </w:rPr>
        <w:t>细菌DNA交换重组方式中转化过程</w:t>
      </w:r>
      <w:r>
        <w:rPr>
          <w:rFonts w:hint="eastAsia" w:ascii="宋体" w:hAnsi="宋体" w:cs="宋体"/>
          <w:kern w:val="0"/>
          <w:szCs w:val="21"/>
        </w:rPr>
        <w:t>为其难点。</w:t>
      </w:r>
    </w:p>
    <w:p>
      <w:pPr>
        <w:widowControl/>
        <w:snapToGrid w:val="0"/>
        <w:spacing w:line="360" w:lineRule="auto"/>
        <w:rPr>
          <w:rFonts w:ascii="宋体" w:hAnsi="宋体"/>
          <w:b/>
          <w:bCs/>
        </w:rPr>
      </w:pPr>
      <w:r>
        <w:rPr>
          <w:rFonts w:hint="eastAsia" w:ascii="宋体" w:hAnsi="宋体"/>
          <w:b/>
          <w:bCs/>
        </w:rPr>
        <w:t>主要教学内容及要求：</w:t>
      </w:r>
    </w:p>
    <w:p>
      <w:pPr>
        <w:widowControl/>
        <w:snapToGrid w:val="0"/>
        <w:spacing w:line="360" w:lineRule="auto"/>
        <w:ind w:firstLine="420" w:firstLineChars="200"/>
        <w:rPr>
          <w:rFonts w:hAnsi="宋体"/>
          <w:kern w:val="0"/>
          <w:szCs w:val="21"/>
        </w:rPr>
      </w:pPr>
      <w:r>
        <w:rPr>
          <w:rFonts w:hint="eastAsia" w:hAnsi="宋体"/>
          <w:kern w:val="0"/>
          <w:szCs w:val="21"/>
        </w:rPr>
        <w:t>主要介绍细菌和病毒在遗传学研究中的作用以及细菌DNA交换重组方式，转化、接合、性导和转导的概念和过程。</w:t>
      </w:r>
    </w:p>
    <w:p>
      <w:pPr>
        <w:widowControl/>
        <w:snapToGrid w:val="0"/>
        <w:spacing w:line="360" w:lineRule="auto"/>
        <w:ind w:firstLine="420" w:firstLineChars="200"/>
        <w:rPr>
          <w:rFonts w:hAnsi="宋体"/>
          <w:kern w:val="0"/>
          <w:szCs w:val="21"/>
        </w:rPr>
      </w:pPr>
      <w:r>
        <w:rPr>
          <w:rFonts w:hint="eastAsia" w:hAnsi="宋体"/>
          <w:kern w:val="0"/>
          <w:szCs w:val="21"/>
        </w:rPr>
        <w:t>要求学生了解细菌和病毒在遗传学研究中的作用，理解细菌的遗传分析，掌握细菌DNA交换重组4种方式的概念，熟练掌握细菌DNA交换重组方式中转化过程。</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本节重点讲解</w:t>
      </w:r>
      <w:r>
        <w:rPr>
          <w:rFonts w:hint="eastAsia"/>
          <w:kern w:val="0"/>
          <w:szCs w:val="21"/>
        </w:rPr>
        <w:t>细菌和病毒的遗传方式</w:t>
      </w:r>
      <w:r>
        <w:rPr>
          <w:kern w:val="0"/>
          <w:szCs w:val="21"/>
        </w:rPr>
        <w:t>，</w:t>
      </w:r>
      <w:r>
        <w:rPr>
          <w:rFonts w:hint="eastAsia"/>
          <w:kern w:val="0"/>
          <w:szCs w:val="21"/>
        </w:rPr>
        <w:t>在课堂以讲授为主，</w:t>
      </w:r>
      <w:r>
        <w:rPr>
          <w:rFonts w:hint="eastAsia" w:ascii="宋体" w:hAnsi="宋体"/>
        </w:rPr>
        <w:t>并结合图片、视频、时事等让学生掌握本章重点、难点，增加课堂互动、提问，了解学生掌握情况，通过本节的学习</w:t>
      </w:r>
      <w:r>
        <w:rPr>
          <w:rFonts w:hint="eastAsia" w:hAnsi="宋体"/>
          <w:kern w:val="0"/>
          <w:szCs w:val="21"/>
        </w:rPr>
        <w:t>为园艺植物的分子育种理论学习奠定基础。</w:t>
      </w:r>
    </w:p>
    <w:p>
      <w:pPr>
        <w:widowControl/>
        <w:snapToGrid w:val="0"/>
        <w:spacing w:line="360" w:lineRule="auto"/>
        <w:jc w:val="left"/>
        <w:rPr>
          <w:rFonts w:hAnsi="宋体"/>
          <w:b/>
          <w:bCs/>
          <w:kern w:val="0"/>
          <w:szCs w:val="21"/>
        </w:rPr>
      </w:pPr>
      <w:bookmarkStart w:id="51" w:name="_Toc138068782"/>
      <w:bookmarkStart w:id="52" w:name="_Toc138070412"/>
      <w:bookmarkStart w:id="53" w:name="_Toc11524"/>
      <w:bookmarkStart w:id="54" w:name="_Toc138076052"/>
      <w:bookmarkStart w:id="55" w:name="_Toc138066341"/>
      <w:bookmarkStart w:id="56" w:name="_Toc137560084"/>
      <w:bookmarkStart w:id="57" w:name="_Toc138064502"/>
      <w:bookmarkStart w:id="58" w:name="_Toc138076596"/>
      <w:bookmarkStart w:id="59" w:name="_Toc138076301"/>
      <w:bookmarkStart w:id="60" w:name="_Toc138070682"/>
      <w:r>
        <w:rPr>
          <w:rStyle w:val="40"/>
          <w:rFonts w:hint="eastAsia"/>
        </w:rPr>
        <w:t>五</w:t>
      </w:r>
      <w:r>
        <w:rPr>
          <w:rStyle w:val="40"/>
        </w:rPr>
        <w:t>、实验教学内容及学时分配</w:t>
      </w:r>
      <w:bookmarkEnd w:id="51"/>
      <w:bookmarkEnd w:id="52"/>
      <w:bookmarkEnd w:id="53"/>
      <w:bookmarkEnd w:id="54"/>
      <w:bookmarkEnd w:id="55"/>
      <w:bookmarkEnd w:id="56"/>
      <w:bookmarkEnd w:id="57"/>
      <w:bookmarkEnd w:id="58"/>
      <w:bookmarkEnd w:id="59"/>
      <w:bookmarkEnd w:id="60"/>
      <w:r>
        <w:rPr>
          <w:b/>
          <w:bCs/>
          <w:kern w:val="0"/>
          <w:szCs w:val="21"/>
        </w:rPr>
        <w:t> </w:t>
      </w:r>
      <w:r>
        <w:rPr>
          <w:rFonts w:hint="eastAsia" w:hAnsi="宋体"/>
          <w:b/>
          <w:bCs/>
          <w:kern w:val="0"/>
          <w:szCs w:val="21"/>
        </w:rPr>
        <w:t>（20</w:t>
      </w:r>
      <w:r>
        <w:rPr>
          <w:rFonts w:hAnsi="宋体"/>
          <w:b/>
          <w:bCs/>
          <w:kern w:val="0"/>
          <w:szCs w:val="21"/>
        </w:rPr>
        <w:t>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rFonts w:ascii="宋体" w:hAnsi="宋体"/>
          <w:bCs/>
          <w:szCs w:val="21"/>
        </w:rPr>
      </w:pPr>
      <w:r>
        <w:rPr>
          <w:rFonts w:hint="eastAsia" w:ascii="宋体" w:hAnsi="宋体"/>
          <w:bCs/>
          <w:szCs w:val="21"/>
        </w:rPr>
        <w:t>本课程为园艺专业的必修基础课之一，主要从个体、细胞、分子三个水平揭示遗传学的基本现象与规律，使学生加深对遗传学基本原理的理解，并通过综合性、设计性实验研究，培养学生的相关实验操作技能和初步独立进行科学研究的能力。</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rPr>
          <w:rFonts w:hint="eastAsia"/>
        </w:rPr>
        <w:t>1、通过</w:t>
      </w:r>
      <w:r>
        <w:rPr>
          <w:rFonts w:hint="eastAsia" w:ascii="宋体" w:hAnsi="宋体"/>
          <w:bCs/>
          <w:szCs w:val="21"/>
        </w:rPr>
        <w:t>实验</w:t>
      </w:r>
      <w:r>
        <w:rPr>
          <w:rFonts w:hint="eastAsia"/>
        </w:rPr>
        <w:t>课教学加深对遗传学基本原理的理解，更好地掌握遗传学的概念和基本原理。</w:t>
      </w:r>
    </w:p>
    <w:p>
      <w:pPr>
        <w:snapToGrid w:val="0"/>
        <w:spacing w:line="360" w:lineRule="auto"/>
        <w:ind w:firstLine="420" w:firstLineChars="200"/>
      </w:pPr>
      <w:r>
        <w:rPr>
          <w:rFonts w:hint="eastAsia"/>
        </w:rPr>
        <w:t>2、通过实验课教学对学生进行基础操作技术的训练，使学生学会与遗传学有关的分析方法</w:t>
      </w:r>
      <w:r>
        <w:t>与</w:t>
      </w:r>
      <w:r>
        <w:rPr>
          <w:rFonts w:hint="eastAsia"/>
        </w:rPr>
        <w:t>技术，</w:t>
      </w:r>
      <w:r>
        <w:t>能够解决园艺植物生产中的有关问题</w:t>
      </w:r>
      <w:r>
        <w:rPr>
          <w:rFonts w:hint="eastAsia"/>
        </w:rPr>
        <w:t>。</w:t>
      </w:r>
    </w:p>
    <w:p>
      <w:pPr>
        <w:snapToGrid w:val="0"/>
        <w:spacing w:line="360" w:lineRule="auto"/>
        <w:ind w:firstLine="420" w:firstLineChars="200"/>
      </w:pPr>
      <w:r>
        <w:rPr>
          <w:rFonts w:hint="eastAsia"/>
        </w:rPr>
        <w:t>让每一个</w:t>
      </w:r>
      <w:r>
        <w:rPr>
          <w:rFonts w:hint="eastAsia" w:ascii="宋体" w:hAnsi="宋体"/>
          <w:bCs/>
          <w:szCs w:val="21"/>
        </w:rPr>
        <w:t>学生</w:t>
      </w:r>
      <w:r>
        <w:rPr>
          <w:rFonts w:hint="eastAsia"/>
        </w:rPr>
        <w:t>参与整个实验过程的操作。要求学生写出所有实验的实验报告，实验课成绩作为本门课程</w:t>
      </w:r>
      <w:r>
        <w:t>最终成绩</w:t>
      </w:r>
      <w:r>
        <w:rPr>
          <w:rFonts w:hint="eastAsia"/>
        </w:rPr>
        <w:t>的一部分。</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课程老师根据园艺植物遗传学实验操作要求为学生展开讲解，规范使用实验仪器和试剂等，确保学生实验安全。</w:t>
      </w:r>
    </w:p>
    <w:p>
      <w:pPr>
        <w:numPr>
          <w:ilvl w:val="0"/>
          <w:numId w:val="14"/>
        </w:numPr>
        <w:snapToGrid w:val="0"/>
        <w:spacing w:line="360" w:lineRule="auto"/>
        <w:rPr>
          <w:rFonts w:ascii="宋体" w:hAnsi="宋体"/>
          <w:b/>
          <w:bCs/>
          <w:szCs w:val="21"/>
        </w:rPr>
      </w:pPr>
      <w:r>
        <w:rPr>
          <w:rFonts w:hint="eastAsia" w:ascii="宋体" w:hAnsi="宋体"/>
          <w:b/>
          <w:bCs/>
          <w:szCs w:val="21"/>
        </w:rPr>
        <w:t>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3537"/>
        <w:gridCol w:w="800"/>
        <w:gridCol w:w="1200"/>
        <w:gridCol w:w="1040"/>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3537"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800" w:type="dxa"/>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学时</w:t>
            </w:r>
          </w:p>
        </w:tc>
        <w:tc>
          <w:tcPr>
            <w:tcW w:w="1200" w:type="dxa"/>
            <w:shd w:val="clear" w:color="auto" w:fill="EEECE1" w:themeFill="background2"/>
            <w:vAlign w:val="center"/>
          </w:tcPr>
          <w:p>
            <w:pPr>
              <w:ind w:firstLine="37"/>
              <w:jc w:val="center"/>
              <w:rPr>
                <w:rFonts w:ascii="宋体" w:hAnsi="宋体" w:cs="宋体"/>
                <w:b/>
                <w:bCs/>
                <w:sz w:val="18"/>
                <w:szCs w:val="18"/>
              </w:rPr>
            </w:pPr>
            <w:r>
              <w:rPr>
                <w:rFonts w:hint="eastAsia" w:ascii="宋体" w:hAnsi="宋体" w:cs="宋体"/>
                <w:b/>
                <w:bCs/>
                <w:sz w:val="18"/>
                <w:szCs w:val="18"/>
              </w:rPr>
              <w:t>类型</w:t>
            </w:r>
          </w:p>
        </w:tc>
        <w:tc>
          <w:tcPr>
            <w:tcW w:w="1040" w:type="dxa"/>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实验要求</w:t>
            </w:r>
          </w:p>
        </w:tc>
        <w:tc>
          <w:tcPr>
            <w:tcW w:w="1063" w:type="dxa"/>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1901100201</w:t>
            </w:r>
          </w:p>
        </w:tc>
        <w:tc>
          <w:tcPr>
            <w:tcW w:w="3537" w:type="dxa"/>
          </w:tcPr>
          <w:p>
            <w:pPr>
              <w:ind w:firstLine="360"/>
              <w:jc w:val="center"/>
              <w:rPr>
                <w:sz w:val="18"/>
                <w:szCs w:val="18"/>
              </w:rPr>
            </w:pPr>
            <w:r>
              <w:rPr>
                <w:sz w:val="18"/>
                <w:szCs w:val="18"/>
              </w:rPr>
              <w:t>核型分析</w:t>
            </w:r>
          </w:p>
        </w:tc>
        <w:tc>
          <w:tcPr>
            <w:tcW w:w="800" w:type="dxa"/>
          </w:tcPr>
          <w:p>
            <w:pPr>
              <w:ind w:hanging="63"/>
              <w:jc w:val="center"/>
              <w:rPr>
                <w:sz w:val="18"/>
                <w:szCs w:val="18"/>
              </w:rPr>
            </w:pPr>
            <w:r>
              <w:rPr>
                <w:sz w:val="18"/>
                <w:szCs w:val="18"/>
              </w:rPr>
              <w:t>2</w:t>
            </w:r>
          </w:p>
        </w:tc>
        <w:tc>
          <w:tcPr>
            <w:tcW w:w="1200" w:type="dxa"/>
          </w:tcPr>
          <w:p>
            <w:pPr>
              <w:ind w:firstLine="37"/>
              <w:jc w:val="center"/>
              <w:rPr>
                <w:sz w:val="18"/>
                <w:szCs w:val="18"/>
              </w:rPr>
            </w:pPr>
            <w:r>
              <w:rPr>
                <w:sz w:val="18"/>
                <w:szCs w:val="18"/>
              </w:rPr>
              <w:t>基础性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1901100202</w:t>
            </w:r>
          </w:p>
        </w:tc>
        <w:tc>
          <w:tcPr>
            <w:tcW w:w="3537" w:type="dxa"/>
          </w:tcPr>
          <w:p>
            <w:pPr>
              <w:ind w:firstLine="360"/>
              <w:jc w:val="center"/>
              <w:rPr>
                <w:sz w:val="18"/>
                <w:szCs w:val="18"/>
              </w:rPr>
            </w:pPr>
            <w:r>
              <w:rPr>
                <w:sz w:val="18"/>
                <w:szCs w:val="18"/>
              </w:rPr>
              <w:t>分离规律的验证</w:t>
            </w:r>
          </w:p>
        </w:tc>
        <w:tc>
          <w:tcPr>
            <w:tcW w:w="800" w:type="dxa"/>
          </w:tcPr>
          <w:p>
            <w:pPr>
              <w:ind w:hanging="63"/>
              <w:jc w:val="center"/>
              <w:rPr>
                <w:sz w:val="18"/>
                <w:szCs w:val="18"/>
              </w:rPr>
            </w:pPr>
            <w:r>
              <w:rPr>
                <w:sz w:val="18"/>
                <w:szCs w:val="18"/>
              </w:rPr>
              <w:t>2</w:t>
            </w:r>
          </w:p>
        </w:tc>
        <w:tc>
          <w:tcPr>
            <w:tcW w:w="1200" w:type="dxa"/>
          </w:tcPr>
          <w:p>
            <w:pPr>
              <w:ind w:firstLine="37"/>
              <w:jc w:val="center"/>
              <w:rPr>
                <w:sz w:val="18"/>
                <w:szCs w:val="18"/>
              </w:rPr>
            </w:pPr>
            <w:r>
              <w:rPr>
                <w:sz w:val="18"/>
                <w:szCs w:val="18"/>
              </w:rPr>
              <w:t>验证性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1901100203</w:t>
            </w:r>
          </w:p>
        </w:tc>
        <w:tc>
          <w:tcPr>
            <w:tcW w:w="3537" w:type="dxa"/>
          </w:tcPr>
          <w:p>
            <w:pPr>
              <w:ind w:firstLine="360"/>
              <w:jc w:val="center"/>
              <w:rPr>
                <w:sz w:val="18"/>
                <w:szCs w:val="18"/>
              </w:rPr>
            </w:pPr>
            <w:r>
              <w:rPr>
                <w:sz w:val="18"/>
                <w:szCs w:val="18"/>
              </w:rPr>
              <w:t>独立分配规律的验证与基因互作观测</w:t>
            </w:r>
          </w:p>
        </w:tc>
        <w:tc>
          <w:tcPr>
            <w:tcW w:w="800" w:type="dxa"/>
          </w:tcPr>
          <w:p>
            <w:pPr>
              <w:ind w:hanging="63"/>
              <w:jc w:val="center"/>
              <w:rPr>
                <w:sz w:val="18"/>
                <w:szCs w:val="18"/>
              </w:rPr>
            </w:pPr>
            <w:r>
              <w:rPr>
                <w:sz w:val="18"/>
                <w:szCs w:val="18"/>
              </w:rPr>
              <w:t>2</w:t>
            </w:r>
          </w:p>
        </w:tc>
        <w:tc>
          <w:tcPr>
            <w:tcW w:w="1200" w:type="dxa"/>
          </w:tcPr>
          <w:p>
            <w:pPr>
              <w:ind w:firstLine="37"/>
              <w:jc w:val="center"/>
              <w:rPr>
                <w:sz w:val="18"/>
                <w:szCs w:val="18"/>
              </w:rPr>
            </w:pPr>
            <w:r>
              <w:rPr>
                <w:sz w:val="18"/>
                <w:szCs w:val="18"/>
              </w:rPr>
              <w:t>验证性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1901100204</w:t>
            </w:r>
          </w:p>
        </w:tc>
        <w:tc>
          <w:tcPr>
            <w:tcW w:w="3537" w:type="dxa"/>
          </w:tcPr>
          <w:p>
            <w:pPr>
              <w:ind w:firstLine="360"/>
              <w:jc w:val="center"/>
              <w:rPr>
                <w:sz w:val="18"/>
                <w:szCs w:val="18"/>
              </w:rPr>
            </w:pPr>
            <w:r>
              <w:rPr>
                <w:sz w:val="18"/>
                <w:szCs w:val="18"/>
              </w:rPr>
              <w:t>连锁遗传规律的验证与交换值的测定</w:t>
            </w:r>
          </w:p>
        </w:tc>
        <w:tc>
          <w:tcPr>
            <w:tcW w:w="800" w:type="dxa"/>
          </w:tcPr>
          <w:p>
            <w:pPr>
              <w:ind w:hanging="63"/>
              <w:jc w:val="center"/>
              <w:rPr>
                <w:sz w:val="18"/>
                <w:szCs w:val="18"/>
              </w:rPr>
            </w:pPr>
            <w:r>
              <w:rPr>
                <w:sz w:val="18"/>
                <w:szCs w:val="18"/>
              </w:rPr>
              <w:t>2</w:t>
            </w:r>
          </w:p>
        </w:tc>
        <w:tc>
          <w:tcPr>
            <w:tcW w:w="1200" w:type="dxa"/>
          </w:tcPr>
          <w:p>
            <w:pPr>
              <w:ind w:firstLine="37"/>
              <w:jc w:val="center"/>
              <w:rPr>
                <w:sz w:val="18"/>
                <w:szCs w:val="18"/>
              </w:rPr>
            </w:pPr>
            <w:r>
              <w:rPr>
                <w:sz w:val="18"/>
                <w:szCs w:val="18"/>
              </w:rPr>
              <w:t>验证性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1901100205</w:t>
            </w:r>
          </w:p>
        </w:tc>
        <w:tc>
          <w:tcPr>
            <w:tcW w:w="3537" w:type="dxa"/>
          </w:tcPr>
          <w:p>
            <w:pPr>
              <w:ind w:firstLine="360"/>
              <w:jc w:val="center"/>
              <w:rPr>
                <w:sz w:val="18"/>
                <w:szCs w:val="18"/>
              </w:rPr>
            </w:pPr>
            <w:r>
              <w:rPr>
                <w:sz w:val="18"/>
                <w:szCs w:val="18"/>
              </w:rPr>
              <w:t>遗传力的估算</w:t>
            </w:r>
          </w:p>
        </w:tc>
        <w:tc>
          <w:tcPr>
            <w:tcW w:w="800" w:type="dxa"/>
          </w:tcPr>
          <w:p>
            <w:pPr>
              <w:ind w:hanging="63"/>
              <w:jc w:val="center"/>
              <w:rPr>
                <w:sz w:val="18"/>
                <w:szCs w:val="18"/>
              </w:rPr>
            </w:pPr>
            <w:r>
              <w:rPr>
                <w:sz w:val="18"/>
                <w:szCs w:val="18"/>
              </w:rPr>
              <w:t>2</w:t>
            </w:r>
          </w:p>
        </w:tc>
        <w:tc>
          <w:tcPr>
            <w:tcW w:w="1200" w:type="dxa"/>
          </w:tcPr>
          <w:p>
            <w:pPr>
              <w:ind w:firstLine="37"/>
              <w:jc w:val="center"/>
              <w:rPr>
                <w:sz w:val="18"/>
                <w:szCs w:val="18"/>
              </w:rPr>
            </w:pPr>
            <w:r>
              <w:rPr>
                <w:sz w:val="18"/>
                <w:szCs w:val="18"/>
              </w:rPr>
              <w:t>综合性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1901100206</w:t>
            </w:r>
          </w:p>
        </w:tc>
        <w:tc>
          <w:tcPr>
            <w:tcW w:w="3537" w:type="dxa"/>
          </w:tcPr>
          <w:p>
            <w:pPr>
              <w:ind w:firstLine="360"/>
              <w:jc w:val="center"/>
              <w:rPr>
                <w:sz w:val="18"/>
                <w:szCs w:val="18"/>
              </w:rPr>
            </w:pPr>
            <w:r>
              <w:rPr>
                <w:sz w:val="18"/>
                <w:szCs w:val="18"/>
              </w:rPr>
              <w:t>染色体制片与染色体观察</w:t>
            </w:r>
          </w:p>
        </w:tc>
        <w:tc>
          <w:tcPr>
            <w:tcW w:w="800" w:type="dxa"/>
          </w:tcPr>
          <w:p>
            <w:pPr>
              <w:ind w:hanging="63"/>
              <w:jc w:val="center"/>
              <w:rPr>
                <w:sz w:val="18"/>
                <w:szCs w:val="18"/>
              </w:rPr>
            </w:pPr>
            <w:r>
              <w:rPr>
                <w:sz w:val="18"/>
                <w:szCs w:val="18"/>
              </w:rPr>
              <w:t>3</w:t>
            </w:r>
          </w:p>
        </w:tc>
        <w:tc>
          <w:tcPr>
            <w:tcW w:w="1200" w:type="dxa"/>
          </w:tcPr>
          <w:p>
            <w:pPr>
              <w:ind w:firstLine="37"/>
              <w:jc w:val="center"/>
              <w:rPr>
                <w:sz w:val="18"/>
                <w:szCs w:val="18"/>
              </w:rPr>
            </w:pPr>
            <w:r>
              <w:rPr>
                <w:sz w:val="18"/>
                <w:szCs w:val="18"/>
              </w:rPr>
              <w:t>综合性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1901100208</w:t>
            </w:r>
          </w:p>
        </w:tc>
        <w:tc>
          <w:tcPr>
            <w:tcW w:w="3537" w:type="dxa"/>
          </w:tcPr>
          <w:p>
            <w:pPr>
              <w:ind w:firstLine="360"/>
              <w:jc w:val="center"/>
              <w:rPr>
                <w:sz w:val="18"/>
                <w:szCs w:val="18"/>
              </w:rPr>
            </w:pPr>
            <w:r>
              <w:rPr>
                <w:sz w:val="18"/>
                <w:szCs w:val="18"/>
              </w:rPr>
              <w:t>DNA扩增与基因分型</w:t>
            </w:r>
          </w:p>
        </w:tc>
        <w:tc>
          <w:tcPr>
            <w:tcW w:w="800" w:type="dxa"/>
          </w:tcPr>
          <w:p>
            <w:pPr>
              <w:ind w:hanging="63"/>
              <w:jc w:val="center"/>
              <w:rPr>
                <w:sz w:val="18"/>
                <w:szCs w:val="18"/>
              </w:rPr>
            </w:pPr>
            <w:r>
              <w:rPr>
                <w:sz w:val="18"/>
                <w:szCs w:val="18"/>
              </w:rPr>
              <w:t>3</w:t>
            </w:r>
          </w:p>
        </w:tc>
        <w:tc>
          <w:tcPr>
            <w:tcW w:w="1200" w:type="dxa"/>
          </w:tcPr>
          <w:p>
            <w:pPr>
              <w:ind w:firstLine="37"/>
              <w:jc w:val="center"/>
              <w:rPr>
                <w:sz w:val="18"/>
                <w:szCs w:val="18"/>
              </w:rPr>
            </w:pPr>
            <w:r>
              <w:rPr>
                <w:sz w:val="18"/>
                <w:szCs w:val="18"/>
              </w:rPr>
              <w:t>综合性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1901100209</w:t>
            </w:r>
          </w:p>
        </w:tc>
        <w:tc>
          <w:tcPr>
            <w:tcW w:w="3537" w:type="dxa"/>
          </w:tcPr>
          <w:p>
            <w:pPr>
              <w:ind w:firstLine="360"/>
              <w:jc w:val="center"/>
              <w:rPr>
                <w:sz w:val="18"/>
                <w:szCs w:val="18"/>
              </w:rPr>
            </w:pPr>
            <w:r>
              <w:rPr>
                <w:sz w:val="18"/>
                <w:szCs w:val="18"/>
              </w:rPr>
              <w:t>园艺分子生物学实验室参观及仪器使用体验</w:t>
            </w:r>
          </w:p>
        </w:tc>
        <w:tc>
          <w:tcPr>
            <w:tcW w:w="800" w:type="dxa"/>
          </w:tcPr>
          <w:p>
            <w:pPr>
              <w:ind w:hanging="63"/>
              <w:jc w:val="center"/>
              <w:rPr>
                <w:sz w:val="18"/>
                <w:szCs w:val="18"/>
              </w:rPr>
            </w:pPr>
            <w:r>
              <w:rPr>
                <w:sz w:val="18"/>
                <w:szCs w:val="18"/>
              </w:rPr>
              <w:t>4</w:t>
            </w:r>
          </w:p>
        </w:tc>
        <w:tc>
          <w:tcPr>
            <w:tcW w:w="1200" w:type="dxa"/>
          </w:tcPr>
          <w:p>
            <w:pPr>
              <w:ind w:firstLine="37"/>
              <w:jc w:val="center"/>
              <w:rPr>
                <w:sz w:val="18"/>
                <w:szCs w:val="18"/>
              </w:rPr>
            </w:pPr>
            <w:r>
              <w:rPr>
                <w:sz w:val="18"/>
                <w:szCs w:val="18"/>
              </w:rPr>
              <w:t>演示性</w:t>
            </w:r>
          </w:p>
        </w:tc>
        <w:tc>
          <w:tcPr>
            <w:tcW w:w="1040" w:type="dxa"/>
          </w:tcPr>
          <w:p>
            <w:pPr>
              <w:ind w:firstLine="360"/>
              <w:jc w:val="center"/>
              <w:rPr>
                <w:sz w:val="18"/>
                <w:szCs w:val="18"/>
              </w:rPr>
            </w:pPr>
            <w:r>
              <w:rPr>
                <w:sz w:val="18"/>
                <w:szCs w:val="18"/>
              </w:rPr>
              <w:t>必做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1901100207</w:t>
            </w:r>
          </w:p>
        </w:tc>
        <w:tc>
          <w:tcPr>
            <w:tcW w:w="3537" w:type="dxa"/>
          </w:tcPr>
          <w:p>
            <w:pPr>
              <w:ind w:firstLine="360"/>
              <w:jc w:val="center"/>
              <w:rPr>
                <w:sz w:val="18"/>
                <w:szCs w:val="18"/>
              </w:rPr>
            </w:pPr>
            <w:r>
              <w:rPr>
                <w:sz w:val="18"/>
                <w:szCs w:val="18"/>
              </w:rPr>
              <w:t>分离群体及性状变异观测</w:t>
            </w:r>
          </w:p>
        </w:tc>
        <w:tc>
          <w:tcPr>
            <w:tcW w:w="800" w:type="dxa"/>
          </w:tcPr>
          <w:p>
            <w:pPr>
              <w:ind w:hanging="63"/>
              <w:jc w:val="center"/>
              <w:rPr>
                <w:sz w:val="18"/>
                <w:szCs w:val="18"/>
              </w:rPr>
            </w:pPr>
            <w:r>
              <w:rPr>
                <w:sz w:val="18"/>
                <w:szCs w:val="18"/>
              </w:rPr>
              <w:t>4</w:t>
            </w:r>
          </w:p>
        </w:tc>
        <w:tc>
          <w:tcPr>
            <w:tcW w:w="1200" w:type="dxa"/>
          </w:tcPr>
          <w:p>
            <w:pPr>
              <w:ind w:firstLine="37"/>
              <w:jc w:val="center"/>
              <w:rPr>
                <w:sz w:val="18"/>
                <w:szCs w:val="18"/>
              </w:rPr>
            </w:pPr>
            <w:r>
              <w:rPr>
                <w:sz w:val="18"/>
                <w:szCs w:val="18"/>
              </w:rPr>
              <w:t>综合性</w:t>
            </w:r>
          </w:p>
        </w:tc>
        <w:tc>
          <w:tcPr>
            <w:tcW w:w="1040" w:type="dxa"/>
          </w:tcPr>
          <w:p>
            <w:pPr>
              <w:ind w:firstLine="360"/>
              <w:jc w:val="center"/>
              <w:rPr>
                <w:sz w:val="18"/>
                <w:szCs w:val="18"/>
              </w:rPr>
            </w:pPr>
            <w:r>
              <w:rPr>
                <w:sz w:val="18"/>
                <w:szCs w:val="18"/>
              </w:rPr>
              <w:t>选做</w:t>
            </w:r>
          </w:p>
        </w:tc>
        <w:tc>
          <w:tcPr>
            <w:tcW w:w="1063" w:type="dxa"/>
          </w:tcPr>
          <w:p>
            <w:pPr>
              <w:ind w:firstLine="360"/>
              <w:jc w:val="center"/>
              <w:rPr>
                <w:sz w:val="18"/>
                <w:szCs w:val="18"/>
              </w:rPr>
            </w:pPr>
            <w:r>
              <w:rPr>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6" w:type="dxa"/>
          </w:tcPr>
          <w:p>
            <w:pPr>
              <w:ind w:firstLine="360"/>
              <w:jc w:val="center"/>
              <w:rPr>
                <w:sz w:val="18"/>
                <w:szCs w:val="18"/>
              </w:rPr>
            </w:pPr>
            <w:r>
              <w:rPr>
                <w:sz w:val="18"/>
                <w:szCs w:val="18"/>
              </w:rPr>
              <w:t>1901100211</w:t>
            </w:r>
          </w:p>
        </w:tc>
        <w:tc>
          <w:tcPr>
            <w:tcW w:w="3537" w:type="dxa"/>
          </w:tcPr>
          <w:p>
            <w:pPr>
              <w:ind w:firstLine="360"/>
              <w:jc w:val="center"/>
              <w:rPr>
                <w:sz w:val="18"/>
                <w:szCs w:val="18"/>
              </w:rPr>
            </w:pPr>
            <w:r>
              <w:rPr>
                <w:sz w:val="18"/>
                <w:szCs w:val="18"/>
              </w:rPr>
              <w:t>园艺植物品种资源遗传多样性考察</w:t>
            </w:r>
          </w:p>
        </w:tc>
        <w:tc>
          <w:tcPr>
            <w:tcW w:w="800" w:type="dxa"/>
          </w:tcPr>
          <w:p>
            <w:pPr>
              <w:ind w:hanging="63"/>
              <w:jc w:val="center"/>
              <w:rPr>
                <w:sz w:val="18"/>
                <w:szCs w:val="18"/>
              </w:rPr>
            </w:pPr>
            <w:r>
              <w:rPr>
                <w:sz w:val="18"/>
                <w:szCs w:val="18"/>
              </w:rPr>
              <w:t>8</w:t>
            </w:r>
          </w:p>
        </w:tc>
        <w:tc>
          <w:tcPr>
            <w:tcW w:w="1200" w:type="dxa"/>
          </w:tcPr>
          <w:p>
            <w:pPr>
              <w:ind w:firstLine="37"/>
              <w:jc w:val="center"/>
              <w:rPr>
                <w:sz w:val="18"/>
                <w:szCs w:val="18"/>
              </w:rPr>
            </w:pPr>
            <w:r>
              <w:rPr>
                <w:sz w:val="18"/>
                <w:szCs w:val="18"/>
              </w:rPr>
              <w:t>综合性</w:t>
            </w:r>
          </w:p>
        </w:tc>
        <w:tc>
          <w:tcPr>
            <w:tcW w:w="1040" w:type="dxa"/>
          </w:tcPr>
          <w:p>
            <w:pPr>
              <w:ind w:firstLine="360"/>
              <w:jc w:val="center"/>
              <w:rPr>
                <w:sz w:val="18"/>
                <w:szCs w:val="18"/>
              </w:rPr>
            </w:pPr>
            <w:r>
              <w:rPr>
                <w:sz w:val="18"/>
                <w:szCs w:val="18"/>
              </w:rPr>
              <w:t>选做</w:t>
            </w:r>
          </w:p>
        </w:tc>
        <w:tc>
          <w:tcPr>
            <w:tcW w:w="1063" w:type="dxa"/>
          </w:tcPr>
          <w:p>
            <w:pPr>
              <w:ind w:firstLine="360"/>
              <w:jc w:val="center"/>
              <w:rPr>
                <w:sz w:val="18"/>
                <w:szCs w:val="18"/>
              </w:rPr>
            </w:pPr>
            <w:r>
              <w:rPr>
                <w:sz w:val="18"/>
                <w:szCs w:val="18"/>
              </w:rPr>
              <w:t>4-6</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pPr>
      <w:r>
        <w:rPr>
          <w:rFonts w:hint="eastAsia"/>
        </w:rPr>
        <w:t>实验课分为必做实验和选做实验两部分，必做实验要求所有学生必需按要求完成，选做实验是在完成上述必做实验训练基础上，根据学生兴趣开设的实验课，每个</w:t>
      </w:r>
      <w:r>
        <w:t>学生限</w:t>
      </w:r>
      <w:r>
        <w:rPr>
          <w:rFonts w:hint="eastAsia"/>
        </w:rPr>
        <w:t>选</w:t>
      </w:r>
      <w:r>
        <w:t>一项，</w:t>
      </w:r>
      <w:r>
        <w:rPr>
          <w:rFonts w:hint="eastAsia"/>
        </w:rPr>
        <w:t>安排在非课堂时间进行。</w:t>
      </w:r>
    </w:p>
    <w:p>
      <w:pPr>
        <w:snapToGrid w:val="0"/>
        <w:spacing w:line="360" w:lineRule="auto"/>
        <w:ind w:firstLine="420" w:firstLineChars="200"/>
        <w:rPr>
          <w:rFonts w:ascii="宋体" w:hAnsi="宋体"/>
          <w:bCs/>
          <w:szCs w:val="21"/>
        </w:rPr>
      </w:pPr>
      <w:r>
        <w:rPr>
          <w:rFonts w:hint="eastAsia" w:ascii="宋体" w:hAnsi="宋体"/>
          <w:bCs/>
          <w:szCs w:val="21"/>
        </w:rPr>
        <w:t>通过实验教学，使学生进一步深化遗传学的</w:t>
      </w:r>
      <w:r>
        <w:rPr>
          <w:rFonts w:ascii="宋体" w:hAnsi="宋体"/>
          <w:bCs/>
          <w:szCs w:val="21"/>
        </w:rPr>
        <w:t>基本原理和理论知识</w:t>
      </w:r>
      <w:r>
        <w:rPr>
          <w:rFonts w:hint="eastAsia" w:ascii="宋体" w:hAnsi="宋体"/>
          <w:bCs/>
          <w:szCs w:val="21"/>
        </w:rPr>
        <w:t>，初步掌握现代分子遗传学实验操作技能，熟悉遗传学</w:t>
      </w:r>
      <w:r>
        <w:rPr>
          <w:rFonts w:hint="eastAsia"/>
        </w:rPr>
        <w:t>分析</w:t>
      </w:r>
      <w:r>
        <w:rPr>
          <w:rFonts w:hint="eastAsia" w:ascii="宋体" w:hAnsi="宋体"/>
          <w:bCs/>
          <w:szCs w:val="21"/>
        </w:rPr>
        <w:t>方法及有关运算</w:t>
      </w:r>
      <w:r>
        <w:rPr>
          <w:rFonts w:ascii="宋体" w:hAnsi="宋体"/>
          <w:bCs/>
          <w:szCs w:val="21"/>
        </w:rPr>
        <w:t>方法</w:t>
      </w:r>
      <w:r>
        <w:rPr>
          <w:rFonts w:hint="eastAsia" w:ascii="宋体" w:hAnsi="宋体"/>
          <w:bCs/>
          <w:szCs w:val="21"/>
        </w:rPr>
        <w:t>，初步具备进行创新性研究的能力与素质。</w:t>
      </w:r>
    </w:p>
    <w:p>
      <w:pPr>
        <w:snapToGrid w:val="0"/>
        <w:spacing w:line="360" w:lineRule="auto"/>
        <w:ind w:firstLine="420"/>
        <w:rPr>
          <w:rFonts w:ascii="宋体" w:hAnsi="宋体"/>
          <w:bCs/>
          <w:szCs w:val="21"/>
        </w:rPr>
      </w:pPr>
      <w:r>
        <w:rPr>
          <w:rFonts w:hint="eastAsia" w:ascii="宋体" w:hAnsi="宋体"/>
          <w:bCs/>
          <w:szCs w:val="21"/>
        </w:rPr>
        <w:t>本实验课内容在教师指导下由学生自己动手完成，并独立撰写实验报告。</w:t>
      </w:r>
    </w:p>
    <w:p>
      <w:pPr>
        <w:snapToGrid w:val="0"/>
        <w:spacing w:line="360" w:lineRule="auto"/>
        <w:rPr>
          <w:rFonts w:ascii="宋体" w:hAnsi="宋体"/>
          <w:b/>
          <w:szCs w:val="21"/>
        </w:rPr>
      </w:pPr>
      <w:r>
        <w:rPr>
          <w:rFonts w:hint="eastAsia" w:ascii="宋体" w:hAnsi="宋体"/>
          <w:b/>
          <w:szCs w:val="21"/>
        </w:rPr>
        <w:t>（六）实验内容安排</w:t>
      </w:r>
    </w:p>
    <w:p>
      <w:pPr>
        <w:pStyle w:val="20"/>
        <w:snapToGrid w:val="0"/>
        <w:spacing w:before="0" w:beforeAutospacing="0" w:after="0" w:afterAutospacing="0" w:line="360" w:lineRule="auto"/>
        <w:rPr>
          <w:b/>
          <w:sz w:val="21"/>
          <w:szCs w:val="21"/>
        </w:rPr>
      </w:pPr>
      <w:r>
        <w:rPr>
          <w:rFonts w:hint="eastAsia"/>
          <w:b/>
          <w:sz w:val="21"/>
          <w:szCs w:val="21"/>
        </w:rPr>
        <w:t>【</w:t>
      </w:r>
      <w:r>
        <w:rPr>
          <w:b/>
          <w:sz w:val="21"/>
          <w:szCs w:val="21"/>
        </w:rPr>
        <w:t>实验一</w:t>
      </w:r>
      <w:r>
        <w:rPr>
          <w:rFonts w:hint="eastAsia"/>
          <w:b/>
          <w:sz w:val="21"/>
          <w:szCs w:val="21"/>
        </w:rPr>
        <w:t>】核型分析</w:t>
      </w:r>
    </w:p>
    <w:p>
      <w:pPr>
        <w:snapToGrid w:val="0"/>
        <w:spacing w:line="360" w:lineRule="auto"/>
        <w:ind w:firstLine="413" w:firstLineChars="196"/>
      </w:pPr>
      <w:r>
        <w:rPr>
          <w:rFonts w:hint="eastAsia"/>
          <w:b/>
          <w:szCs w:val="21"/>
        </w:rPr>
        <w:t>1.实验学时：</w:t>
      </w:r>
      <w:r>
        <w:rPr>
          <w:rFonts w:hint="eastAsia" w:ascii="宋体" w:hAnsi="宋体"/>
          <w:bCs/>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szCs w:val="21"/>
        </w:rPr>
        <w:t>通过</w:t>
      </w:r>
      <w:r>
        <w:rPr>
          <w:rFonts w:hint="eastAsia" w:ascii="宋体" w:hAnsi="宋体"/>
          <w:bCs/>
          <w:szCs w:val="21"/>
        </w:rPr>
        <w:t>染色体形态特征的观察，掌握植物细胞核型分析的方法。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（1）观察</w:t>
      </w:r>
      <w:r>
        <w:rPr>
          <w:rFonts w:hint="eastAsia" w:ascii="宋体" w:hAnsi="宋体"/>
          <w:bCs/>
          <w:szCs w:val="21"/>
        </w:rPr>
        <w:t>染色体是否有随体；（2）测量染色体两臂长度，计算臂比并分类；（3）完成染色核型分析。</w:t>
      </w:r>
    </w:p>
    <w:p>
      <w:pPr>
        <w:snapToGrid w:val="0"/>
        <w:spacing w:line="360" w:lineRule="auto"/>
        <w:ind w:firstLine="422" w:firstLineChars="200"/>
        <w:rPr>
          <w:rFonts w:ascii="宋体" w:hAnsi="宋体"/>
          <w:bCs/>
          <w:szCs w:val="21"/>
        </w:rPr>
      </w:pPr>
      <w:r>
        <w:rPr>
          <w:rFonts w:hint="eastAsia"/>
          <w:b/>
          <w:szCs w:val="21"/>
        </w:rPr>
        <w:t>4.实验要求：</w:t>
      </w:r>
      <w:r>
        <w:rPr>
          <w:rFonts w:hint="eastAsia"/>
        </w:rPr>
        <w:t>要求学生理解并掌握核型分析的原理，掌握核型分析的一般方法，了解核型分析的目的和意义。</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剪刀、尺子、胶水、染色体照片。</w:t>
      </w:r>
    </w:p>
    <w:p>
      <w:pPr>
        <w:pStyle w:val="20"/>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b/>
          <w:sz w:val="21"/>
          <w:szCs w:val="21"/>
        </w:rPr>
        <w:t>二】分离规律的验证</w:t>
      </w:r>
    </w:p>
    <w:p>
      <w:pPr>
        <w:snapToGrid w:val="0"/>
        <w:spacing w:line="360" w:lineRule="auto"/>
        <w:ind w:firstLine="413" w:firstLineChars="196"/>
      </w:pPr>
      <w:r>
        <w:rPr>
          <w:rFonts w:hint="eastAsia"/>
          <w:b/>
          <w:szCs w:val="21"/>
        </w:rPr>
        <w:t>1.实验学时：</w:t>
      </w:r>
      <w:r>
        <w:rPr>
          <w:rFonts w:hint="eastAsia"/>
          <w:bCs/>
          <w:szCs w:val="21"/>
        </w:rPr>
        <w:t>2</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szCs w:val="21"/>
        </w:rPr>
        <w:t>通过观察园艺植物相对性状的分离，统计性状的分离比例</w:t>
      </w:r>
      <w:r>
        <w:rPr>
          <w:rFonts w:hint="eastAsia" w:ascii="宋体" w:hAnsi="宋体"/>
          <w:bCs/>
          <w:szCs w:val="21"/>
        </w:rPr>
        <w:t>（3:1或1:1），理解成对遗传因子在分离过程中的随机性，从而加深对分离规律的理解。</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w:t>
      </w:r>
      <w:r>
        <w:rPr>
          <w:rFonts w:hint="eastAsia" w:ascii="宋体" w:hAnsi="宋体"/>
          <w:bCs/>
          <w:szCs w:val="21"/>
        </w:rPr>
        <w:t>园艺植物分离群体材料的制备；（2）相对性状的确定及分离比例的统计；（3）数据的统计分析（卡平方测验）及分离比例的验证。</w:t>
      </w:r>
    </w:p>
    <w:p>
      <w:pPr>
        <w:snapToGrid w:val="0"/>
        <w:spacing w:line="360" w:lineRule="auto"/>
        <w:ind w:firstLine="422" w:firstLineChars="200"/>
        <w:rPr>
          <w:rFonts w:ascii="宋体" w:hAnsi="宋体"/>
          <w:bCs/>
          <w:szCs w:val="21"/>
        </w:rPr>
      </w:pPr>
      <w:r>
        <w:rPr>
          <w:rFonts w:hint="eastAsia"/>
          <w:b/>
          <w:szCs w:val="21"/>
        </w:rPr>
        <w:t>4.实验要求：</w:t>
      </w:r>
      <w:r>
        <w:rPr>
          <w:rFonts w:hint="eastAsia"/>
          <w:szCs w:val="21"/>
        </w:rPr>
        <w:t>要求</w:t>
      </w:r>
      <w:r>
        <w:rPr>
          <w:rFonts w:hint="eastAsia" w:ascii="宋体" w:hAnsi="宋体"/>
          <w:bCs/>
          <w:szCs w:val="21"/>
        </w:rPr>
        <w:t>学生能够明确观察与统计杂种二代（F</w:t>
      </w:r>
      <w:r>
        <w:rPr>
          <w:rFonts w:hint="eastAsia" w:ascii="宋体" w:hAnsi="宋体"/>
          <w:bCs/>
          <w:szCs w:val="21"/>
          <w:vertAlign w:val="subscript"/>
        </w:rPr>
        <w:t>2</w:t>
      </w:r>
      <w:r>
        <w:rPr>
          <w:rFonts w:hint="eastAsia" w:ascii="宋体" w:hAnsi="宋体"/>
          <w:bCs/>
          <w:szCs w:val="21"/>
        </w:rPr>
        <w:t>）或测交子代（F</w:t>
      </w:r>
      <w:r>
        <w:rPr>
          <w:rFonts w:hint="eastAsia" w:ascii="宋体" w:hAnsi="宋体"/>
          <w:bCs/>
          <w:szCs w:val="21"/>
          <w:vertAlign w:val="subscript"/>
        </w:rPr>
        <w:t>t</w:t>
      </w:r>
      <w:r>
        <w:rPr>
          <w:rFonts w:hint="eastAsia" w:ascii="宋体" w:hAnsi="宋体"/>
          <w:bCs/>
          <w:szCs w:val="21"/>
        </w:rPr>
        <w:t>）群体中处理分离状态的相对性状，能独立完成指定的相对性状的统计分析，并能根据具体的实验结果阐述分离规律的本质。</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培养皿、镊子、吸水纸、显微镜、载玻片、盖玻片、解剖刀、铅笔、橡皮、报告计载表、计算器、I</w:t>
      </w:r>
      <w:r>
        <w:rPr>
          <w:rFonts w:hint="eastAsia" w:ascii="宋体" w:hAnsi="宋体"/>
          <w:bCs/>
          <w:szCs w:val="21"/>
          <w:vertAlign w:val="subscript"/>
        </w:rPr>
        <w:t>2</w:t>
      </w:r>
      <w:r>
        <w:rPr>
          <w:rFonts w:hint="eastAsia" w:ascii="宋体" w:hAnsi="宋体"/>
          <w:bCs/>
          <w:szCs w:val="21"/>
        </w:rPr>
        <w:t>—KI溶液。</w:t>
      </w:r>
    </w:p>
    <w:p>
      <w:pPr>
        <w:pStyle w:val="20"/>
        <w:snapToGrid w:val="0"/>
        <w:spacing w:before="0" w:beforeAutospacing="0" w:after="0" w:afterAutospacing="0" w:line="360" w:lineRule="auto"/>
        <w:rPr>
          <w:rFonts w:ascii="Times New Roman" w:hAnsi="Times New Roman" w:cs="Times New Roman"/>
          <w:b/>
          <w:kern w:val="2"/>
          <w:sz w:val="21"/>
          <w:szCs w:val="21"/>
        </w:rPr>
      </w:pPr>
      <w:r>
        <w:rPr>
          <w:rFonts w:hint="eastAsia"/>
          <w:b/>
          <w:sz w:val="21"/>
          <w:szCs w:val="21"/>
        </w:rPr>
        <w:t>【</w:t>
      </w:r>
      <w:r>
        <w:rPr>
          <w:b/>
          <w:sz w:val="21"/>
          <w:szCs w:val="21"/>
        </w:rPr>
        <w:t>实验</w:t>
      </w:r>
      <w:r>
        <w:rPr>
          <w:rFonts w:hint="eastAsia"/>
          <w:b/>
          <w:sz w:val="21"/>
          <w:szCs w:val="21"/>
        </w:rPr>
        <w:t>三】独立分配规律的验证与基因互作观测</w:t>
      </w:r>
    </w:p>
    <w:p>
      <w:pPr>
        <w:snapToGrid w:val="0"/>
        <w:spacing w:line="360" w:lineRule="auto"/>
        <w:ind w:firstLine="413" w:firstLineChars="196"/>
      </w:pPr>
      <w:r>
        <w:rPr>
          <w:rFonts w:hint="eastAsia"/>
          <w:b/>
          <w:szCs w:val="21"/>
        </w:rPr>
        <w:t>1.实验学时：</w:t>
      </w:r>
      <w:r>
        <w:rPr>
          <w:rFonts w:hint="eastAsia"/>
          <w:bCs/>
          <w:szCs w:val="21"/>
        </w:rPr>
        <w:t>2</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szCs w:val="21"/>
        </w:rPr>
        <w:t>利用两对性状的杂交实验，通过统计性状分离比，验证基因的独立分配原理；通过有关性状的观察，了解并验证几种基因互作方式。</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w:t>
      </w:r>
      <w:r>
        <w:rPr>
          <w:rFonts w:hint="eastAsia" w:ascii="宋体" w:hAnsi="宋体"/>
          <w:bCs/>
          <w:szCs w:val="21"/>
        </w:rPr>
        <w:t>园艺植物分离群体材料的制备；（2）辨认两对相对并统计两对性状的分离比；（3）运用卡方测验分析性状分离比是否符合预期；（4）完成独立分配规律及基因互作的验证。</w:t>
      </w:r>
    </w:p>
    <w:p>
      <w:pPr>
        <w:snapToGrid w:val="0"/>
        <w:spacing w:line="360" w:lineRule="auto"/>
        <w:ind w:firstLine="422" w:firstLineChars="200"/>
        <w:rPr>
          <w:b/>
          <w:szCs w:val="21"/>
        </w:rPr>
      </w:pPr>
      <w:r>
        <w:rPr>
          <w:rFonts w:hint="eastAsia"/>
          <w:b/>
          <w:szCs w:val="21"/>
        </w:rPr>
        <w:t>4.实验要求：</w:t>
      </w:r>
      <w:r>
        <w:rPr>
          <w:rFonts w:hint="eastAsia"/>
          <w:szCs w:val="21"/>
        </w:rPr>
        <w:t>要求学生理解并掌握独立分配规律的基本理论知识，了解几种基因互作的基本原理；准确辨认两对相对性状并统计分离比；独立完成卡方测验；掌握验证独立分配规律和基因互作的方法。</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铅笔、橡皮、报告计载表、计算器。</w:t>
      </w:r>
    </w:p>
    <w:p>
      <w:pPr>
        <w:pStyle w:val="20"/>
        <w:snapToGrid w:val="0"/>
        <w:spacing w:before="0" w:beforeAutospacing="0" w:after="0" w:afterAutospacing="0" w:line="360" w:lineRule="auto"/>
        <w:rPr>
          <w:rFonts w:ascii="Times New Roman" w:hAnsi="Times New Roman" w:eastAsia="宋体" w:cs="Times New Roman"/>
          <w:b/>
          <w:kern w:val="2"/>
          <w:sz w:val="21"/>
          <w:szCs w:val="21"/>
        </w:rPr>
      </w:pPr>
      <w:r>
        <w:rPr>
          <w:rFonts w:hint="eastAsia"/>
          <w:b/>
          <w:sz w:val="21"/>
          <w:szCs w:val="21"/>
        </w:rPr>
        <w:t>【</w:t>
      </w:r>
      <w:r>
        <w:rPr>
          <w:b/>
          <w:sz w:val="21"/>
          <w:szCs w:val="21"/>
        </w:rPr>
        <w:t>实验</w:t>
      </w:r>
      <w:r>
        <w:rPr>
          <w:rFonts w:hint="eastAsia"/>
          <w:b/>
          <w:sz w:val="21"/>
          <w:szCs w:val="21"/>
        </w:rPr>
        <w:t>四】遗传连锁规律的验证与交换值的测定</w:t>
      </w:r>
    </w:p>
    <w:p>
      <w:pPr>
        <w:snapToGrid w:val="0"/>
        <w:spacing w:line="360" w:lineRule="auto"/>
        <w:ind w:firstLine="413" w:firstLineChars="196"/>
      </w:pPr>
      <w:r>
        <w:rPr>
          <w:rFonts w:hint="eastAsia"/>
          <w:b/>
          <w:szCs w:val="21"/>
        </w:rPr>
        <w:t>1.实验学时：</w:t>
      </w:r>
      <w:r>
        <w:rPr>
          <w:rFonts w:hint="eastAsia" w:ascii="宋体" w:hAnsi="宋体"/>
          <w:bCs/>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szCs w:val="21"/>
        </w:rPr>
        <w:t>通过观察园艺植物两对连锁遗传的相对性状及其分离比计算</w:t>
      </w:r>
      <w:r>
        <w:rPr>
          <w:rFonts w:hint="eastAsia" w:ascii="宋体" w:hAnsi="宋体"/>
          <w:bCs/>
          <w:szCs w:val="21"/>
        </w:rPr>
        <w:t>，验证遗传连锁定律，并掌握交换值的测定方法。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w:t>
      </w:r>
      <w:r>
        <w:rPr>
          <w:rFonts w:hint="eastAsia" w:ascii="宋体" w:hAnsi="宋体"/>
          <w:bCs/>
          <w:szCs w:val="21"/>
        </w:rPr>
        <w:t>园艺植物分离群体材料的制备；（2）辨认两对相对性状并统计两对性状的分离比；（3）通过测交法和自交法，学习计算两对性状的交换值。</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szCs w:val="21"/>
        </w:rPr>
        <w:t>理解并掌握连锁遗传的基本理论知识，熟悉自交法及测交法计算交换值的理论；</w:t>
      </w:r>
      <w:r>
        <w:rPr>
          <w:rFonts w:hint="eastAsia"/>
          <w:szCs w:val="21"/>
        </w:rPr>
        <w:t>准确辨认并统计两对连锁遗传的相对性状；独立完成</w:t>
      </w:r>
      <w:r>
        <w:rPr>
          <w:rFonts w:hint="eastAsia" w:ascii="宋体" w:hAnsi="宋体"/>
          <w:bCs/>
          <w:szCs w:val="21"/>
        </w:rPr>
        <w:t>交换值计算；掌握验证连锁遗传规律的方法。</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铅笔、橡皮、报告计载表、计算器。</w:t>
      </w:r>
    </w:p>
    <w:p>
      <w:pPr>
        <w:pStyle w:val="20"/>
        <w:snapToGrid w:val="0"/>
        <w:spacing w:before="0" w:beforeAutospacing="0" w:after="0" w:afterAutospacing="0" w:line="360" w:lineRule="auto"/>
        <w:rPr>
          <w:rFonts w:ascii="Times New Roman" w:hAnsi="Times New Roman" w:eastAsia="宋体" w:cs="Times New Roman"/>
          <w:b/>
          <w:kern w:val="2"/>
          <w:sz w:val="21"/>
          <w:szCs w:val="21"/>
        </w:rPr>
      </w:pPr>
      <w:r>
        <w:rPr>
          <w:rFonts w:hint="eastAsia"/>
          <w:b/>
          <w:sz w:val="21"/>
          <w:szCs w:val="21"/>
        </w:rPr>
        <w:t>【</w:t>
      </w:r>
      <w:r>
        <w:rPr>
          <w:b/>
          <w:sz w:val="21"/>
          <w:szCs w:val="21"/>
        </w:rPr>
        <w:t>实验</w:t>
      </w:r>
      <w:r>
        <w:rPr>
          <w:rFonts w:hint="eastAsia"/>
          <w:b/>
          <w:sz w:val="21"/>
          <w:szCs w:val="21"/>
        </w:rPr>
        <w:t>五】遗传力的估算</w:t>
      </w:r>
    </w:p>
    <w:p>
      <w:pPr>
        <w:snapToGrid w:val="0"/>
        <w:spacing w:line="360" w:lineRule="auto"/>
        <w:ind w:firstLine="413" w:firstLineChars="196"/>
      </w:pPr>
      <w:r>
        <w:rPr>
          <w:rFonts w:hint="eastAsia"/>
          <w:b/>
          <w:szCs w:val="21"/>
        </w:rPr>
        <w:t>1.实验学时：</w:t>
      </w:r>
      <w:r>
        <w:rPr>
          <w:rFonts w:hint="eastAsia" w:ascii="宋体" w:hAnsi="宋体"/>
          <w:bCs/>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szCs w:val="21"/>
        </w:rPr>
        <w:t>通过亲本、子一代、子二代、BC1、BC2代植株表型数据的计算分析，</w:t>
      </w:r>
      <w:r>
        <w:rPr>
          <w:rFonts w:hint="eastAsia" w:ascii="宋体" w:hAnsi="宋体"/>
          <w:bCs/>
          <w:szCs w:val="21"/>
        </w:rPr>
        <w:t>掌握遗传力估算的方法，以进一步熟悉和运用遗传力的结算原理。</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（1）园艺作物的亲本、子一代、子二代、BC1、BC2代植株</w:t>
      </w:r>
      <w:r>
        <w:rPr>
          <w:rFonts w:hint="eastAsia" w:ascii="宋体" w:hAnsi="宋体"/>
          <w:bCs/>
          <w:szCs w:val="21"/>
        </w:rPr>
        <w:t>制备；（2）</w:t>
      </w:r>
      <w:r>
        <w:rPr>
          <w:rFonts w:hint="eastAsia"/>
          <w:szCs w:val="21"/>
        </w:rPr>
        <w:t>亲本、子一代、子二代、BC1、BC2代表型数据的统计；（3）</w:t>
      </w:r>
      <w:r>
        <w:rPr>
          <w:rFonts w:hint="eastAsia" w:ascii="宋体" w:hAnsi="宋体"/>
          <w:bCs/>
          <w:szCs w:val="21"/>
        </w:rPr>
        <w:t>广义和狭义遗传力的估算。</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szCs w:val="21"/>
        </w:rPr>
        <w:t>理解遗传力概念，以及遗传力估算的目的和意义；掌握</w:t>
      </w:r>
      <w:r>
        <w:rPr>
          <w:rFonts w:hint="eastAsia"/>
          <w:szCs w:val="21"/>
        </w:rPr>
        <w:t>亲本、子一代、子二代、BC1、BC2代植株</w:t>
      </w:r>
      <w:r>
        <w:rPr>
          <w:rFonts w:hint="eastAsia" w:ascii="宋体" w:hAnsi="宋体"/>
          <w:bCs/>
          <w:szCs w:val="21"/>
        </w:rPr>
        <w:t>制备方法；准确统计五代植株的表型数据；掌握遗传力估算的方法。</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铅笔、橡皮、报告计载表、计算器。</w:t>
      </w:r>
    </w:p>
    <w:p>
      <w:pPr>
        <w:pStyle w:val="20"/>
        <w:snapToGrid w:val="0"/>
        <w:spacing w:before="0" w:beforeAutospacing="0" w:after="0" w:afterAutospacing="0" w:line="360" w:lineRule="auto"/>
        <w:rPr>
          <w:rFonts w:ascii="Times New Roman" w:hAnsi="Times New Roman" w:cs="Times New Roman"/>
          <w:b/>
          <w:kern w:val="2"/>
          <w:sz w:val="21"/>
          <w:szCs w:val="21"/>
        </w:rPr>
      </w:pPr>
      <w:r>
        <w:rPr>
          <w:rFonts w:hint="eastAsia"/>
          <w:b/>
          <w:sz w:val="21"/>
          <w:szCs w:val="21"/>
        </w:rPr>
        <w:t>【</w:t>
      </w:r>
      <w:r>
        <w:rPr>
          <w:b/>
          <w:sz w:val="21"/>
          <w:szCs w:val="21"/>
        </w:rPr>
        <w:t>实验</w:t>
      </w:r>
      <w:r>
        <w:rPr>
          <w:rFonts w:hint="eastAsia"/>
          <w:b/>
          <w:sz w:val="21"/>
          <w:szCs w:val="21"/>
        </w:rPr>
        <w:t>六】染色体制片与染色体观测</w:t>
      </w:r>
    </w:p>
    <w:p>
      <w:pPr>
        <w:snapToGrid w:val="0"/>
        <w:spacing w:line="360" w:lineRule="auto"/>
        <w:ind w:firstLine="413" w:firstLineChars="196"/>
      </w:pPr>
      <w:r>
        <w:rPr>
          <w:rFonts w:hint="eastAsia"/>
          <w:b/>
          <w:szCs w:val="21"/>
        </w:rPr>
        <w:t>1.实验学时：</w:t>
      </w:r>
      <w:r>
        <w:rPr>
          <w:rFonts w:ascii="宋体" w:hAnsi="宋体"/>
          <w:bCs/>
        </w:rPr>
        <w:t>3</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rPr>
        <w:t>掌握各种染色体结构变异在减数分裂中的形态特征，了解其遗传学意义；掌握染色体数目变异的类型，了解同源多倍体的巨大性表现。</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w:t>
      </w:r>
      <w:r>
        <w:rPr>
          <w:rFonts w:hint="eastAsia"/>
        </w:rPr>
        <w:t>园艺作物染色体结构变异固定片的制备；（2）观察</w:t>
      </w:r>
      <w:r>
        <w:rPr>
          <w:rFonts w:hint="eastAsia" w:ascii="宋体" w:hAnsi="宋体"/>
          <w:bCs/>
          <w:szCs w:val="21"/>
        </w:rPr>
        <w:t>染色体结构变异固定片；（3）辨认并区分染色体变异类型；</w:t>
      </w:r>
    </w:p>
    <w:p>
      <w:pPr>
        <w:snapToGrid w:val="0"/>
        <w:spacing w:line="360" w:lineRule="auto"/>
        <w:ind w:firstLine="422" w:firstLineChars="200"/>
        <w:rPr>
          <w:rFonts w:ascii="宋体" w:hAnsi="宋体"/>
          <w:bCs/>
          <w:szCs w:val="21"/>
        </w:rPr>
      </w:pPr>
      <w:r>
        <w:rPr>
          <w:rFonts w:hint="eastAsia"/>
          <w:b/>
          <w:szCs w:val="21"/>
        </w:rPr>
        <w:t>4.实验要求：</w:t>
      </w:r>
      <w:r>
        <w:rPr>
          <w:rFonts w:hint="eastAsia"/>
          <w:szCs w:val="21"/>
        </w:rPr>
        <w:t>要求学生</w:t>
      </w:r>
      <w:r>
        <w:rPr>
          <w:rFonts w:hint="eastAsia" w:ascii="宋体" w:hAnsi="宋体"/>
          <w:bCs/>
          <w:szCs w:val="21"/>
        </w:rPr>
        <w:t>熟悉染色体4种结构变异类型的基本知识；熟悉</w:t>
      </w:r>
      <w:r>
        <w:rPr>
          <w:rFonts w:hint="eastAsia"/>
        </w:rPr>
        <w:t>染色体结构变异固定片的制备方法；观察并熟悉</w:t>
      </w:r>
      <w:r>
        <w:rPr>
          <w:rFonts w:hint="eastAsia" w:ascii="宋体" w:hAnsi="宋体"/>
          <w:bCs/>
          <w:szCs w:val="21"/>
        </w:rPr>
        <w:t>染色体结构变异的基本特征。</w:t>
      </w:r>
    </w:p>
    <w:p>
      <w:pPr>
        <w:snapToGrid w:val="0"/>
        <w:spacing w:line="360" w:lineRule="auto"/>
        <w:ind w:firstLine="422" w:firstLineChars="200"/>
      </w:pPr>
      <w:r>
        <w:rPr>
          <w:rFonts w:hint="eastAsia"/>
          <w:b/>
          <w:szCs w:val="21"/>
        </w:rPr>
        <w:t>5.实验设备及器材：</w:t>
      </w:r>
      <w:r>
        <w:rPr>
          <w:rFonts w:hint="eastAsia"/>
        </w:rPr>
        <w:t>显微镜、载玻片、盖玻片、培养皿。</w:t>
      </w:r>
    </w:p>
    <w:p>
      <w:pPr>
        <w:pStyle w:val="20"/>
        <w:snapToGrid w:val="0"/>
        <w:spacing w:before="0" w:beforeAutospacing="0" w:after="0" w:afterAutospacing="0" w:line="360" w:lineRule="auto"/>
        <w:rPr>
          <w:rFonts w:ascii="Times New Roman" w:hAnsi="Times New Roman" w:eastAsia="宋体" w:cs="Times New Roman"/>
          <w:b/>
          <w:kern w:val="2"/>
          <w:sz w:val="21"/>
          <w:szCs w:val="21"/>
        </w:rPr>
      </w:pPr>
      <w:r>
        <w:rPr>
          <w:rFonts w:hint="eastAsia"/>
          <w:b/>
          <w:sz w:val="21"/>
          <w:szCs w:val="21"/>
        </w:rPr>
        <w:t>【</w:t>
      </w:r>
      <w:r>
        <w:rPr>
          <w:b/>
          <w:sz w:val="21"/>
          <w:szCs w:val="21"/>
        </w:rPr>
        <w:t>实验</w:t>
      </w:r>
      <w:r>
        <w:rPr>
          <w:rFonts w:hint="eastAsia"/>
          <w:b/>
          <w:sz w:val="21"/>
          <w:szCs w:val="21"/>
        </w:rPr>
        <w:t>七】DNA扩增与基因分型</w:t>
      </w:r>
    </w:p>
    <w:p>
      <w:pPr>
        <w:snapToGrid w:val="0"/>
        <w:spacing w:line="360" w:lineRule="auto"/>
        <w:ind w:firstLine="413" w:firstLineChars="196"/>
      </w:pPr>
      <w:r>
        <w:rPr>
          <w:rFonts w:hint="eastAsia"/>
          <w:b/>
          <w:szCs w:val="21"/>
        </w:rPr>
        <w:t>1.实验学时：</w:t>
      </w:r>
      <w:r>
        <w:rPr>
          <w:rFonts w:ascii="宋体" w:hAnsi="宋体"/>
          <w:bCs/>
        </w:rPr>
        <w:t>3</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szCs w:val="21"/>
        </w:rPr>
        <w:t>掌握DNA提取</w:t>
      </w:r>
      <w:r>
        <w:rPr>
          <w:rFonts w:ascii="宋体" w:hAnsi="宋体"/>
          <w:bCs/>
          <w:szCs w:val="21"/>
        </w:rPr>
        <w:t>、扩增</w:t>
      </w:r>
      <w:r>
        <w:rPr>
          <w:rFonts w:hint="eastAsia" w:ascii="宋体" w:hAnsi="宋体"/>
          <w:bCs/>
          <w:szCs w:val="21"/>
        </w:rPr>
        <w:t>及</w:t>
      </w:r>
      <w:r>
        <w:rPr>
          <w:rFonts w:ascii="宋体" w:hAnsi="宋体"/>
          <w:bCs/>
          <w:szCs w:val="21"/>
        </w:rPr>
        <w:t>带谱统计</w:t>
      </w:r>
      <w:r>
        <w:rPr>
          <w:rFonts w:hint="eastAsia" w:ascii="宋体" w:hAnsi="宋体"/>
          <w:bCs/>
          <w:szCs w:val="21"/>
        </w:rPr>
        <w:t>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w:t>
      </w:r>
      <w:r>
        <w:rPr>
          <w:rFonts w:hint="eastAsia" w:ascii="宋体" w:hAnsi="宋体"/>
          <w:bCs/>
          <w:szCs w:val="21"/>
        </w:rPr>
        <w:t>CTAB提取液的制备；（2）DNA分离</w:t>
      </w:r>
      <w:r>
        <w:rPr>
          <w:rFonts w:ascii="宋体" w:hAnsi="宋体"/>
          <w:bCs/>
          <w:szCs w:val="21"/>
        </w:rPr>
        <w:t>及纯化</w:t>
      </w:r>
      <w:r>
        <w:rPr>
          <w:rFonts w:hint="eastAsia" w:ascii="宋体" w:hAnsi="宋体"/>
          <w:bCs/>
          <w:szCs w:val="21"/>
        </w:rPr>
        <w:t>；（3）P</w:t>
      </w:r>
      <w:r>
        <w:rPr>
          <w:rFonts w:ascii="宋体" w:hAnsi="宋体"/>
          <w:bCs/>
          <w:szCs w:val="21"/>
        </w:rPr>
        <w:t>CR</w:t>
      </w:r>
      <w:r>
        <w:rPr>
          <w:rFonts w:hint="eastAsia" w:ascii="宋体" w:hAnsi="宋体"/>
          <w:bCs/>
          <w:szCs w:val="21"/>
        </w:rPr>
        <w:t>扩增、</w:t>
      </w:r>
      <w:r>
        <w:rPr>
          <w:rFonts w:ascii="宋体" w:hAnsi="宋体"/>
          <w:bCs/>
          <w:szCs w:val="21"/>
        </w:rPr>
        <w:t>电泳</w:t>
      </w:r>
      <w:r>
        <w:rPr>
          <w:rFonts w:hint="eastAsia" w:ascii="宋体" w:hAnsi="宋体"/>
          <w:bCs/>
          <w:szCs w:val="21"/>
        </w:rPr>
        <w:t>、</w:t>
      </w:r>
      <w:r>
        <w:rPr>
          <w:rFonts w:ascii="宋体" w:hAnsi="宋体"/>
          <w:bCs/>
          <w:szCs w:val="21"/>
        </w:rPr>
        <w:t>显带</w:t>
      </w:r>
      <w:r>
        <w:rPr>
          <w:rFonts w:hint="eastAsia" w:ascii="宋体" w:hAnsi="宋体"/>
          <w:bCs/>
          <w:szCs w:val="21"/>
        </w:rPr>
        <w:t>；（4）带谱统计。</w:t>
      </w:r>
    </w:p>
    <w:p>
      <w:pPr>
        <w:snapToGrid w:val="0"/>
        <w:spacing w:line="360" w:lineRule="auto"/>
        <w:ind w:firstLine="422" w:firstLineChars="200"/>
        <w:rPr>
          <w:rFonts w:ascii="宋体" w:hAnsi="宋体"/>
          <w:bCs/>
          <w:szCs w:val="21"/>
        </w:rPr>
      </w:pPr>
      <w:r>
        <w:rPr>
          <w:rFonts w:hint="eastAsia"/>
          <w:b/>
          <w:szCs w:val="21"/>
        </w:rPr>
        <w:t>4.实验要求：</w:t>
      </w:r>
      <w:r>
        <w:rPr>
          <w:rFonts w:hint="eastAsia"/>
          <w:szCs w:val="21"/>
        </w:rPr>
        <w:t>要求学生了解CTAB法提取植物基因组DNA的原理和PCR扩增原理；掌握</w:t>
      </w:r>
      <w:r>
        <w:rPr>
          <w:rFonts w:hint="eastAsia" w:ascii="宋体" w:hAnsi="宋体"/>
          <w:bCs/>
          <w:szCs w:val="21"/>
        </w:rPr>
        <w:t>植物DNA分离、纯化的基本方法，DNA扩增</w:t>
      </w:r>
      <w:r>
        <w:rPr>
          <w:rFonts w:ascii="宋体" w:hAnsi="宋体"/>
          <w:bCs/>
          <w:szCs w:val="21"/>
        </w:rPr>
        <w:t>程序和扩增产物分离方法</w:t>
      </w:r>
      <w:r>
        <w:rPr>
          <w:rFonts w:hint="eastAsia" w:ascii="宋体" w:hAnsi="宋体"/>
          <w:bCs/>
          <w:szCs w:val="21"/>
        </w:rPr>
        <w:t>；理解不同</w:t>
      </w:r>
      <w:r>
        <w:rPr>
          <w:rFonts w:ascii="宋体" w:hAnsi="宋体"/>
          <w:bCs/>
          <w:szCs w:val="21"/>
        </w:rPr>
        <w:t>品种</w:t>
      </w:r>
      <w:r>
        <w:rPr>
          <w:rFonts w:hint="eastAsia" w:ascii="宋体" w:hAnsi="宋体"/>
          <w:bCs/>
          <w:szCs w:val="21"/>
        </w:rPr>
        <w:t>间</w:t>
      </w:r>
      <w:r>
        <w:rPr>
          <w:rFonts w:ascii="宋体" w:hAnsi="宋体"/>
          <w:bCs/>
          <w:szCs w:val="21"/>
        </w:rPr>
        <w:t>的</w:t>
      </w:r>
      <w:r>
        <w:rPr>
          <w:rFonts w:hint="eastAsia" w:ascii="宋体" w:hAnsi="宋体"/>
          <w:bCs/>
          <w:szCs w:val="21"/>
        </w:rPr>
        <w:t>DNA多样性。</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研钵、移液器、2 mL 离心管及管架、水漂、记号笔、天平、水浴锅、离心机、冰箱、PCR仪、</w:t>
      </w:r>
      <w:r>
        <w:rPr>
          <w:rFonts w:ascii="宋体" w:hAnsi="宋体"/>
          <w:bCs/>
          <w:szCs w:val="21"/>
        </w:rPr>
        <w:t>电泳设备</w:t>
      </w:r>
      <w:r>
        <w:rPr>
          <w:rFonts w:hint="eastAsia" w:ascii="宋体" w:hAnsi="宋体"/>
          <w:bCs/>
          <w:szCs w:val="21"/>
        </w:rPr>
        <w:t>。</w:t>
      </w:r>
    </w:p>
    <w:p>
      <w:pPr>
        <w:pStyle w:val="20"/>
        <w:snapToGrid w:val="0"/>
        <w:spacing w:before="0" w:beforeAutospacing="0" w:after="0" w:afterAutospacing="0" w:line="360" w:lineRule="auto"/>
        <w:rPr>
          <w:rFonts w:ascii="Times New Roman" w:hAnsi="Times New Roman" w:eastAsia="宋体" w:cs="Times New Roman"/>
          <w:b/>
          <w:kern w:val="2"/>
          <w:sz w:val="21"/>
          <w:szCs w:val="21"/>
        </w:rPr>
      </w:pPr>
      <w:r>
        <w:rPr>
          <w:rFonts w:hint="eastAsia"/>
          <w:b/>
          <w:sz w:val="21"/>
          <w:szCs w:val="21"/>
        </w:rPr>
        <w:t>【</w:t>
      </w:r>
      <w:r>
        <w:rPr>
          <w:b/>
          <w:sz w:val="21"/>
          <w:szCs w:val="21"/>
        </w:rPr>
        <w:t>实验</w:t>
      </w:r>
      <w:r>
        <w:rPr>
          <w:rFonts w:hint="eastAsia"/>
          <w:b/>
          <w:sz w:val="21"/>
          <w:szCs w:val="21"/>
        </w:rPr>
        <w:t>八】园艺分子生物学实验室参观及仪器使用体验</w:t>
      </w:r>
    </w:p>
    <w:p>
      <w:pPr>
        <w:snapToGrid w:val="0"/>
        <w:spacing w:line="360" w:lineRule="auto"/>
        <w:ind w:firstLine="413" w:firstLineChars="196"/>
      </w:pPr>
      <w:r>
        <w:rPr>
          <w:rFonts w:hint="eastAsia"/>
          <w:b/>
          <w:szCs w:val="21"/>
        </w:rPr>
        <w:t>1.实验学时：</w:t>
      </w:r>
      <w:r>
        <w:rPr>
          <w:rFonts w:ascii="宋体" w:hAnsi="宋体"/>
          <w:bCs/>
        </w:rPr>
        <w:t>6</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szCs w:val="21"/>
        </w:rPr>
        <w:t>熟悉园艺分子生物学实验室</w:t>
      </w:r>
      <w:r>
        <w:rPr>
          <w:szCs w:val="21"/>
        </w:rPr>
        <w:t>的布局</w:t>
      </w:r>
      <w:r>
        <w:rPr>
          <w:rFonts w:hint="eastAsia"/>
          <w:szCs w:val="21"/>
        </w:rPr>
        <w:t>、相关试验设备及其</w:t>
      </w:r>
      <w:r>
        <w:rPr>
          <w:szCs w:val="21"/>
        </w:rPr>
        <w:t>使用方法</w:t>
      </w:r>
      <w:r>
        <w:rPr>
          <w:rFonts w:hint="eastAsia"/>
          <w:szCs w:val="21"/>
        </w:rPr>
        <w:t>，为进一步开展该方面的研究奠定基础。</w:t>
      </w:r>
    </w:p>
    <w:p>
      <w:pPr>
        <w:snapToGrid w:val="0"/>
        <w:spacing w:line="360" w:lineRule="auto"/>
        <w:ind w:firstLine="422" w:firstLineChars="200"/>
        <w:rPr>
          <w:rFonts w:ascii="宋体" w:hAnsi="宋体"/>
          <w:bCs/>
          <w:szCs w:val="21"/>
        </w:rPr>
      </w:pPr>
      <w:r>
        <w:rPr>
          <w:rFonts w:hint="eastAsia"/>
          <w:b/>
          <w:szCs w:val="21"/>
        </w:rPr>
        <w:t>3.实验内容：</w:t>
      </w:r>
      <w:r>
        <w:rPr>
          <w:rFonts w:hint="eastAsia"/>
          <w:szCs w:val="21"/>
        </w:rPr>
        <w:t>（1）</w:t>
      </w:r>
      <w:r>
        <w:rPr>
          <w:rFonts w:hint="eastAsia" w:ascii="宋体" w:hAnsi="宋体"/>
          <w:bCs/>
          <w:szCs w:val="21"/>
        </w:rPr>
        <w:t>参观</w:t>
      </w:r>
      <w:r>
        <w:rPr>
          <w:rFonts w:hint="eastAsia"/>
          <w:szCs w:val="21"/>
        </w:rPr>
        <w:t>园艺分子生物技术实验室，了解</w:t>
      </w:r>
      <w:r>
        <w:rPr>
          <w:szCs w:val="21"/>
        </w:rPr>
        <w:t>其布局特点；</w:t>
      </w:r>
      <w:r>
        <w:rPr>
          <w:rFonts w:hint="eastAsia"/>
          <w:szCs w:val="21"/>
        </w:rPr>
        <w:t>（</w:t>
      </w:r>
      <w:r>
        <w:rPr>
          <w:szCs w:val="21"/>
        </w:rPr>
        <w:t>2</w:t>
      </w:r>
      <w:r>
        <w:rPr>
          <w:rFonts w:hint="eastAsia"/>
          <w:szCs w:val="21"/>
        </w:rPr>
        <w:t>）学习</w:t>
      </w:r>
      <w:r>
        <w:rPr>
          <w:szCs w:val="21"/>
        </w:rPr>
        <w:t>科研仪器的</w:t>
      </w:r>
      <w:r>
        <w:rPr>
          <w:rFonts w:hint="eastAsia"/>
          <w:szCs w:val="21"/>
        </w:rPr>
        <w:t>正确</w:t>
      </w:r>
      <w:r>
        <w:rPr>
          <w:szCs w:val="21"/>
        </w:rPr>
        <w:t>使用方法</w:t>
      </w:r>
      <w:r>
        <w:rPr>
          <w:rFonts w:hint="eastAsia"/>
          <w:szCs w:val="21"/>
        </w:rPr>
        <w:t>与</w:t>
      </w:r>
      <w:r>
        <w:rPr>
          <w:szCs w:val="21"/>
        </w:rPr>
        <w:t>维护；（</w:t>
      </w:r>
      <w:r>
        <w:rPr>
          <w:rFonts w:hint="eastAsia"/>
          <w:szCs w:val="21"/>
        </w:rPr>
        <w:t>3</w:t>
      </w:r>
      <w:r>
        <w:rPr>
          <w:szCs w:val="21"/>
        </w:rPr>
        <w:t>）</w:t>
      </w:r>
      <w:r>
        <w:rPr>
          <w:rFonts w:hint="eastAsia"/>
          <w:szCs w:val="21"/>
        </w:rPr>
        <w:t>了解常规分子实验流程。</w:t>
      </w:r>
    </w:p>
    <w:p>
      <w:pPr>
        <w:snapToGrid w:val="0"/>
        <w:spacing w:line="360" w:lineRule="auto"/>
        <w:ind w:firstLine="422" w:firstLineChars="200"/>
        <w:rPr>
          <w:szCs w:val="21"/>
        </w:rPr>
      </w:pPr>
      <w:r>
        <w:rPr>
          <w:rFonts w:hint="eastAsia"/>
          <w:b/>
          <w:szCs w:val="21"/>
        </w:rPr>
        <w:t>4.实验要求：</w:t>
      </w:r>
      <w:r>
        <w:rPr>
          <w:rFonts w:hint="eastAsia"/>
          <w:szCs w:val="21"/>
        </w:rPr>
        <w:t>学生能够</w:t>
      </w:r>
      <w:r>
        <w:rPr>
          <w:szCs w:val="21"/>
        </w:rPr>
        <w:t>独立画出园艺</w:t>
      </w:r>
      <w:r>
        <w:rPr>
          <w:rFonts w:hint="eastAsia"/>
          <w:szCs w:val="21"/>
        </w:rPr>
        <w:t>分子</w:t>
      </w:r>
      <w:r>
        <w:rPr>
          <w:szCs w:val="21"/>
        </w:rPr>
        <w:t>实验室的基本布局示意图，能够列出至少</w:t>
      </w:r>
      <w:r>
        <w:rPr>
          <w:rFonts w:hint="eastAsia"/>
          <w:szCs w:val="21"/>
        </w:rPr>
        <w:t>10种</w:t>
      </w:r>
      <w:r>
        <w:rPr>
          <w:szCs w:val="21"/>
        </w:rPr>
        <w:t>科研仪器；掌握至少</w:t>
      </w:r>
      <w:r>
        <w:rPr>
          <w:rFonts w:hint="eastAsia"/>
          <w:szCs w:val="21"/>
        </w:rPr>
        <w:t>5种</w:t>
      </w:r>
      <w:r>
        <w:rPr>
          <w:szCs w:val="21"/>
        </w:rPr>
        <w:t>科研仪器的使用方法及维护技术；</w:t>
      </w:r>
      <w:r>
        <w:rPr>
          <w:rFonts w:hint="eastAsia"/>
          <w:szCs w:val="21"/>
        </w:rPr>
        <w:t>能够</w:t>
      </w:r>
      <w:r>
        <w:rPr>
          <w:szCs w:val="21"/>
        </w:rPr>
        <w:t>熟练称述常见的</w:t>
      </w:r>
      <w:r>
        <w:rPr>
          <w:rFonts w:hint="eastAsia"/>
          <w:szCs w:val="21"/>
        </w:rPr>
        <w:t>分子生物</w:t>
      </w:r>
      <w:r>
        <w:rPr>
          <w:szCs w:val="21"/>
        </w:rPr>
        <w:t>学技术</w:t>
      </w:r>
      <w:r>
        <w:rPr>
          <w:rFonts w:hint="eastAsia"/>
          <w:szCs w:val="21"/>
        </w:rPr>
        <w:t>（基因</w:t>
      </w:r>
      <w:r>
        <w:rPr>
          <w:szCs w:val="21"/>
        </w:rPr>
        <w:t>克隆、基因转入、</w:t>
      </w:r>
      <w:r>
        <w:rPr>
          <w:rFonts w:hint="eastAsia"/>
          <w:szCs w:val="21"/>
        </w:rPr>
        <w:t>基因表达</w:t>
      </w:r>
      <w:r>
        <w:rPr>
          <w:szCs w:val="21"/>
        </w:rPr>
        <w:t>分析</w:t>
      </w:r>
      <w:r>
        <w:rPr>
          <w:rFonts w:hint="eastAsia"/>
          <w:szCs w:val="21"/>
        </w:rPr>
        <w:t>等）</w:t>
      </w:r>
      <w:r>
        <w:rPr>
          <w:szCs w:val="21"/>
        </w:rPr>
        <w:t>的</w:t>
      </w:r>
      <w:r>
        <w:rPr>
          <w:rFonts w:hint="eastAsia"/>
          <w:szCs w:val="21"/>
        </w:rPr>
        <w:t>基本</w:t>
      </w:r>
      <w:r>
        <w:rPr>
          <w:szCs w:val="21"/>
        </w:rPr>
        <w:t>流程</w:t>
      </w:r>
      <w:r>
        <w:rPr>
          <w:rFonts w:hint="eastAsia"/>
          <w:szCs w:val="21"/>
        </w:rPr>
        <w:t>。</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实验记录本、实验服、移液枪、离心机、P</w:t>
      </w:r>
      <w:r>
        <w:rPr>
          <w:rFonts w:ascii="宋体" w:hAnsi="宋体"/>
          <w:bCs/>
          <w:szCs w:val="21"/>
        </w:rPr>
        <w:t>CR</w:t>
      </w:r>
      <w:r>
        <w:rPr>
          <w:rFonts w:hint="eastAsia" w:ascii="宋体" w:hAnsi="宋体"/>
          <w:bCs/>
          <w:szCs w:val="21"/>
        </w:rPr>
        <w:t>仪、凝胶成像系统、通风橱。</w:t>
      </w:r>
    </w:p>
    <w:p>
      <w:pPr>
        <w:pStyle w:val="20"/>
        <w:snapToGrid w:val="0"/>
        <w:spacing w:before="0" w:beforeAutospacing="0" w:after="0" w:afterAutospacing="0" w:line="360" w:lineRule="auto"/>
        <w:rPr>
          <w:rFonts w:ascii="Times New Roman" w:hAnsi="Times New Roman" w:eastAsia="宋体" w:cs="Times New Roman"/>
          <w:b/>
          <w:kern w:val="2"/>
          <w:sz w:val="21"/>
          <w:szCs w:val="21"/>
        </w:rPr>
      </w:pPr>
      <w:r>
        <w:rPr>
          <w:rFonts w:hint="eastAsia"/>
          <w:b/>
          <w:sz w:val="21"/>
          <w:szCs w:val="21"/>
        </w:rPr>
        <w:t>【</w:t>
      </w:r>
      <w:r>
        <w:rPr>
          <w:b/>
          <w:sz w:val="21"/>
          <w:szCs w:val="21"/>
        </w:rPr>
        <w:t>实验</w:t>
      </w:r>
      <w:r>
        <w:rPr>
          <w:rFonts w:hint="eastAsia"/>
          <w:b/>
          <w:sz w:val="21"/>
          <w:szCs w:val="21"/>
        </w:rPr>
        <w:t>九】分离群体及性状变异观测</w:t>
      </w:r>
    </w:p>
    <w:p>
      <w:pPr>
        <w:snapToGrid w:val="0"/>
        <w:spacing w:line="360" w:lineRule="auto"/>
        <w:ind w:firstLine="413" w:firstLineChars="196"/>
      </w:pPr>
      <w:r>
        <w:rPr>
          <w:rFonts w:hint="eastAsia"/>
          <w:b/>
          <w:szCs w:val="21"/>
        </w:rPr>
        <w:t>1.实验学时：</w:t>
      </w:r>
      <w:r>
        <w:rPr>
          <w:rFonts w:ascii="宋体" w:hAnsi="宋体"/>
          <w:bCs/>
        </w:rPr>
        <w:t>4</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szCs w:val="21"/>
        </w:rPr>
        <w:t>了解园艺植物杂交群体的类型；掌握孟德尔定律在园艺植物研究中的应用；熟练掌握园艺植物性状分离的一般统计方法。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szCs w:val="21"/>
        </w:rPr>
        <w:t>学习园艺植物常用分离群体及其构建方法；观测杂交群体中</w:t>
      </w:r>
      <w:r>
        <w:rPr>
          <w:rFonts w:ascii="宋体" w:hAnsi="宋体"/>
          <w:bCs/>
          <w:szCs w:val="21"/>
        </w:rPr>
        <w:t>质量性状</w:t>
      </w:r>
      <w:r>
        <w:rPr>
          <w:rFonts w:hint="eastAsia" w:ascii="宋体" w:hAnsi="宋体"/>
          <w:bCs/>
          <w:szCs w:val="21"/>
        </w:rPr>
        <w:t>的</w:t>
      </w:r>
      <w:r>
        <w:rPr>
          <w:rFonts w:ascii="宋体" w:hAnsi="宋体"/>
          <w:bCs/>
          <w:szCs w:val="21"/>
        </w:rPr>
        <w:t>分离</w:t>
      </w:r>
      <w:r>
        <w:rPr>
          <w:rFonts w:hint="eastAsia" w:ascii="宋体" w:hAnsi="宋体"/>
          <w:bCs/>
          <w:szCs w:val="21"/>
        </w:rPr>
        <w:t>，分析</w:t>
      </w:r>
      <w:r>
        <w:rPr>
          <w:rFonts w:ascii="宋体" w:hAnsi="宋体"/>
          <w:bCs/>
          <w:szCs w:val="21"/>
        </w:rPr>
        <w:t>其遗传</w:t>
      </w:r>
      <w:r>
        <w:rPr>
          <w:rFonts w:hint="eastAsia" w:ascii="宋体" w:hAnsi="宋体"/>
          <w:bCs/>
          <w:szCs w:val="21"/>
        </w:rPr>
        <w:t>规律</w:t>
      </w:r>
      <w:r>
        <w:rPr>
          <w:rFonts w:ascii="宋体" w:hAnsi="宋体"/>
          <w:bCs/>
          <w:szCs w:val="21"/>
        </w:rPr>
        <w:t>；</w:t>
      </w:r>
      <w:r>
        <w:rPr>
          <w:rFonts w:hint="eastAsia" w:ascii="宋体" w:hAnsi="宋体"/>
          <w:bCs/>
          <w:szCs w:val="21"/>
        </w:rPr>
        <w:t>观测</w:t>
      </w:r>
      <w:r>
        <w:rPr>
          <w:rFonts w:ascii="宋体" w:hAnsi="宋体"/>
          <w:bCs/>
          <w:szCs w:val="21"/>
        </w:rPr>
        <w:t>杂交群体中数量性状的变异，</w:t>
      </w:r>
      <w:r>
        <w:rPr>
          <w:rFonts w:hint="eastAsia" w:ascii="宋体" w:hAnsi="宋体"/>
          <w:bCs/>
          <w:szCs w:val="21"/>
        </w:rPr>
        <w:t>计算</w:t>
      </w:r>
      <w:r>
        <w:rPr>
          <w:rFonts w:ascii="宋体" w:hAnsi="宋体"/>
          <w:bCs/>
          <w:szCs w:val="21"/>
        </w:rPr>
        <w:t>基本</w:t>
      </w:r>
      <w:r>
        <w:rPr>
          <w:rFonts w:hint="eastAsia" w:ascii="宋体" w:hAnsi="宋体"/>
          <w:bCs/>
          <w:szCs w:val="21"/>
        </w:rPr>
        <w:t>遗传学参数，分析其</w:t>
      </w:r>
      <w:r>
        <w:rPr>
          <w:rFonts w:ascii="宋体" w:hAnsi="宋体"/>
          <w:bCs/>
          <w:szCs w:val="21"/>
        </w:rPr>
        <w:t>遗传倾向</w:t>
      </w:r>
      <w:r>
        <w:rPr>
          <w:rFonts w:hint="eastAsia" w:ascii="宋体" w:hAnsi="宋体"/>
          <w:bCs/>
          <w:szCs w:val="21"/>
        </w:rPr>
        <w:t>。</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szCs w:val="21"/>
        </w:rPr>
        <w:t>预先复习孟德尔分离规律、数量</w:t>
      </w:r>
      <w:r>
        <w:rPr>
          <w:rFonts w:ascii="宋体" w:hAnsi="宋体"/>
          <w:bCs/>
          <w:szCs w:val="21"/>
        </w:rPr>
        <w:t>性状遗传和</w:t>
      </w:r>
      <w:r>
        <w:rPr>
          <w:rFonts w:hint="eastAsia" w:ascii="宋体" w:hAnsi="宋体"/>
          <w:bCs/>
          <w:szCs w:val="21"/>
        </w:rPr>
        <w:t>遗传学统计分析知识；学会辨识植物相对性状。</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铅笔、橡皮、报告计载表、计算器。</w:t>
      </w:r>
    </w:p>
    <w:p>
      <w:pPr>
        <w:pStyle w:val="20"/>
        <w:snapToGrid w:val="0"/>
        <w:spacing w:before="0" w:beforeAutospacing="0" w:after="0" w:afterAutospacing="0" w:line="360" w:lineRule="auto"/>
        <w:rPr>
          <w:rFonts w:ascii="Times New Roman" w:hAnsi="Times New Roman" w:eastAsia="宋体" w:cs="Times New Roman"/>
          <w:b/>
          <w:kern w:val="2"/>
          <w:sz w:val="21"/>
          <w:szCs w:val="21"/>
        </w:rPr>
      </w:pPr>
      <w:r>
        <w:rPr>
          <w:rFonts w:hint="eastAsia"/>
          <w:b/>
          <w:sz w:val="21"/>
          <w:szCs w:val="21"/>
        </w:rPr>
        <w:t>【</w:t>
      </w:r>
      <w:r>
        <w:rPr>
          <w:b/>
          <w:sz w:val="21"/>
          <w:szCs w:val="21"/>
        </w:rPr>
        <w:t>实验</w:t>
      </w:r>
      <w:r>
        <w:rPr>
          <w:rFonts w:hint="eastAsia"/>
          <w:b/>
          <w:sz w:val="21"/>
          <w:szCs w:val="21"/>
        </w:rPr>
        <w:t>十】园艺植物品种资源遗传多样性考察</w:t>
      </w:r>
    </w:p>
    <w:p>
      <w:pPr>
        <w:snapToGrid w:val="0"/>
        <w:spacing w:line="360" w:lineRule="auto"/>
        <w:ind w:firstLine="413" w:firstLineChars="196"/>
      </w:pPr>
      <w:r>
        <w:rPr>
          <w:rFonts w:hint="eastAsia"/>
          <w:b/>
          <w:szCs w:val="21"/>
        </w:rPr>
        <w:t>1.实验学时：</w:t>
      </w:r>
      <w:r>
        <w:rPr>
          <w:rFonts w:ascii="宋体" w:hAnsi="宋体"/>
          <w:bCs/>
        </w:rPr>
        <w:t>8</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szCs w:val="21"/>
        </w:rPr>
        <w:t>了解</w:t>
      </w:r>
      <w:r>
        <w:rPr>
          <w:szCs w:val="21"/>
        </w:rPr>
        <w:t>园艺植物</w:t>
      </w:r>
      <w:r>
        <w:rPr>
          <w:rFonts w:hint="eastAsia" w:ascii="宋体" w:hAnsi="宋体"/>
          <w:bCs/>
          <w:szCs w:val="21"/>
        </w:rPr>
        <w:t>类型</w:t>
      </w:r>
      <w:r>
        <w:rPr>
          <w:rFonts w:ascii="宋体" w:hAnsi="宋体"/>
          <w:bCs/>
          <w:szCs w:val="21"/>
        </w:rPr>
        <w:t>、主要性状、繁殖方式、栽培模式的多样性，重点考察果树、蔬菜的果实性状、株型</w:t>
      </w:r>
      <w:r>
        <w:rPr>
          <w:rFonts w:hint="eastAsia" w:ascii="宋体" w:hAnsi="宋体"/>
          <w:bCs/>
          <w:szCs w:val="21"/>
        </w:rPr>
        <w:t>和</w:t>
      </w:r>
      <w:r>
        <w:rPr>
          <w:rFonts w:ascii="宋体" w:hAnsi="宋体"/>
          <w:bCs/>
          <w:szCs w:val="21"/>
        </w:rPr>
        <w:t>叶部</w:t>
      </w:r>
      <w:r>
        <w:rPr>
          <w:rFonts w:hint="eastAsia" w:ascii="宋体" w:hAnsi="宋体"/>
          <w:bCs/>
          <w:szCs w:val="21"/>
        </w:rPr>
        <w:t>性状</w:t>
      </w:r>
      <w:r>
        <w:rPr>
          <w:rFonts w:ascii="宋体" w:hAnsi="宋体"/>
          <w:bCs/>
          <w:szCs w:val="21"/>
        </w:rPr>
        <w:t>的变异，分析其多样性的构成，</w:t>
      </w:r>
      <w:r>
        <w:rPr>
          <w:rFonts w:hint="eastAsia" w:ascii="宋体" w:hAnsi="宋体"/>
          <w:bCs/>
          <w:szCs w:val="21"/>
        </w:rPr>
        <w:t>探讨</w:t>
      </w:r>
      <w:r>
        <w:rPr>
          <w:rFonts w:ascii="宋体" w:hAnsi="宋体"/>
          <w:bCs/>
          <w:szCs w:val="21"/>
        </w:rPr>
        <w:t>园艺植物栽培遗传学</w:t>
      </w:r>
      <w:r>
        <w:rPr>
          <w:rFonts w:hint="eastAsia" w:ascii="宋体" w:hAnsi="宋体"/>
          <w:bCs/>
          <w:szCs w:val="21"/>
        </w:rPr>
        <w:t>研究</w:t>
      </w:r>
      <w:r>
        <w:rPr>
          <w:rFonts w:ascii="宋体" w:hAnsi="宋体"/>
          <w:bCs/>
          <w:szCs w:val="21"/>
        </w:rPr>
        <w:t>中的特殊地位。</w:t>
      </w:r>
      <w:r>
        <w:rPr>
          <w:rFonts w:hint="eastAsia" w:ascii="宋体" w:hAnsi="宋体"/>
          <w:bCs/>
          <w:szCs w:val="21"/>
        </w:rPr>
        <w:t xml:space="preserve"> </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szCs w:val="21"/>
        </w:rPr>
        <w:t>（1）在</w:t>
      </w:r>
      <w:r>
        <w:rPr>
          <w:rFonts w:ascii="宋体" w:hAnsi="宋体"/>
          <w:bCs/>
          <w:szCs w:val="21"/>
        </w:rPr>
        <w:t>毛庄试验基地考察桃、苹果、石榴、核桃等果树的种质资源</w:t>
      </w:r>
      <w:r>
        <w:rPr>
          <w:rFonts w:hint="eastAsia" w:ascii="宋体" w:hAnsi="宋体"/>
          <w:bCs/>
          <w:szCs w:val="21"/>
        </w:rPr>
        <w:t>类型</w:t>
      </w:r>
      <w:r>
        <w:rPr>
          <w:rFonts w:ascii="宋体" w:hAnsi="宋体"/>
          <w:bCs/>
          <w:szCs w:val="21"/>
        </w:rPr>
        <w:t>和数量；</w:t>
      </w:r>
      <w:r>
        <w:rPr>
          <w:rFonts w:hint="eastAsia" w:ascii="宋体" w:hAnsi="宋体"/>
          <w:bCs/>
          <w:szCs w:val="21"/>
        </w:rPr>
        <w:t>（</w:t>
      </w:r>
      <w:r>
        <w:rPr>
          <w:rFonts w:ascii="宋体" w:hAnsi="宋体"/>
          <w:bCs/>
          <w:szCs w:val="21"/>
        </w:rPr>
        <w:t>2</w:t>
      </w:r>
      <w:r>
        <w:rPr>
          <w:rFonts w:hint="eastAsia" w:ascii="宋体" w:hAnsi="宋体"/>
          <w:bCs/>
          <w:szCs w:val="21"/>
        </w:rPr>
        <w:t>）在</w:t>
      </w:r>
      <w:r>
        <w:rPr>
          <w:rFonts w:ascii="宋体" w:hAnsi="宋体"/>
          <w:bCs/>
          <w:szCs w:val="21"/>
        </w:rPr>
        <w:t>扶沟蔬菜研究院考察</w:t>
      </w:r>
      <w:r>
        <w:rPr>
          <w:rFonts w:hint="eastAsia" w:ascii="宋体" w:hAnsi="宋体"/>
          <w:bCs/>
          <w:szCs w:val="21"/>
        </w:rPr>
        <w:t>番茄</w:t>
      </w:r>
      <w:r>
        <w:rPr>
          <w:rFonts w:ascii="宋体" w:hAnsi="宋体"/>
          <w:bCs/>
          <w:szCs w:val="21"/>
        </w:rPr>
        <w:t>、西瓜、甜瓜、辣椒</w:t>
      </w:r>
      <w:r>
        <w:rPr>
          <w:rFonts w:hint="eastAsia" w:ascii="宋体" w:hAnsi="宋体"/>
          <w:bCs/>
          <w:szCs w:val="21"/>
        </w:rPr>
        <w:t>等</w:t>
      </w:r>
      <w:r>
        <w:rPr>
          <w:rFonts w:ascii="宋体" w:hAnsi="宋体"/>
          <w:bCs/>
          <w:szCs w:val="21"/>
        </w:rPr>
        <w:t>蔬菜的品种类型和数量</w:t>
      </w:r>
      <w:r>
        <w:rPr>
          <w:rFonts w:hint="eastAsia" w:ascii="宋体" w:hAnsi="宋体"/>
          <w:bCs/>
          <w:szCs w:val="21"/>
        </w:rPr>
        <w:t>，</w:t>
      </w:r>
      <w:r>
        <w:rPr>
          <w:rFonts w:ascii="宋体" w:hAnsi="宋体"/>
          <w:bCs/>
          <w:szCs w:val="21"/>
        </w:rPr>
        <w:t>了解不同蔬菜</w:t>
      </w:r>
      <w:r>
        <w:rPr>
          <w:rFonts w:hint="eastAsia" w:ascii="宋体" w:hAnsi="宋体"/>
          <w:bCs/>
          <w:szCs w:val="21"/>
        </w:rPr>
        <w:t>栽培</w:t>
      </w:r>
      <w:r>
        <w:rPr>
          <w:rFonts w:ascii="宋体" w:hAnsi="宋体"/>
          <w:bCs/>
          <w:szCs w:val="21"/>
        </w:rPr>
        <w:t>茬口和</w:t>
      </w:r>
      <w:r>
        <w:rPr>
          <w:rFonts w:hint="eastAsia" w:ascii="宋体" w:hAnsi="宋体"/>
          <w:bCs/>
          <w:szCs w:val="21"/>
        </w:rPr>
        <w:t>栽培</w:t>
      </w:r>
      <w:r>
        <w:rPr>
          <w:rFonts w:ascii="宋体" w:hAnsi="宋体"/>
          <w:bCs/>
          <w:szCs w:val="21"/>
        </w:rPr>
        <w:t>模式</w:t>
      </w:r>
      <w:r>
        <w:rPr>
          <w:rFonts w:hint="eastAsia" w:ascii="宋体" w:hAnsi="宋体"/>
          <w:bCs/>
          <w:szCs w:val="21"/>
        </w:rPr>
        <w:t>；</w:t>
      </w:r>
      <w:r>
        <w:rPr>
          <w:rFonts w:ascii="宋体" w:hAnsi="宋体"/>
          <w:bCs/>
          <w:szCs w:val="21"/>
        </w:rPr>
        <w:t>（</w:t>
      </w:r>
      <w:r>
        <w:rPr>
          <w:rFonts w:hint="eastAsia" w:ascii="宋体" w:hAnsi="宋体"/>
          <w:bCs/>
          <w:szCs w:val="21"/>
        </w:rPr>
        <w:t>3</w:t>
      </w:r>
      <w:r>
        <w:rPr>
          <w:rFonts w:ascii="宋体" w:hAnsi="宋体"/>
          <w:bCs/>
          <w:szCs w:val="21"/>
        </w:rPr>
        <w:t>）</w:t>
      </w:r>
      <w:r>
        <w:rPr>
          <w:rFonts w:hint="eastAsia" w:ascii="宋体" w:hAnsi="宋体"/>
          <w:bCs/>
          <w:szCs w:val="21"/>
        </w:rPr>
        <w:t>观测</w:t>
      </w:r>
      <w:r>
        <w:rPr>
          <w:rFonts w:ascii="宋体" w:hAnsi="宋体"/>
          <w:bCs/>
          <w:szCs w:val="21"/>
        </w:rPr>
        <w:t>和统计不同果树和蔬菜的性状的变异，并进行赋值；（</w:t>
      </w:r>
      <w:r>
        <w:rPr>
          <w:rFonts w:hint="eastAsia" w:ascii="宋体" w:hAnsi="宋体"/>
          <w:bCs/>
          <w:szCs w:val="21"/>
        </w:rPr>
        <w:t>4</w:t>
      </w:r>
      <w:r>
        <w:rPr>
          <w:rFonts w:ascii="宋体" w:hAnsi="宋体"/>
          <w:bCs/>
          <w:szCs w:val="21"/>
        </w:rPr>
        <w:t>）</w:t>
      </w:r>
      <w:r>
        <w:rPr>
          <w:rFonts w:hint="eastAsia" w:ascii="宋体" w:hAnsi="宋体"/>
          <w:bCs/>
          <w:szCs w:val="21"/>
        </w:rPr>
        <w:t>对同一</w:t>
      </w:r>
      <w:r>
        <w:rPr>
          <w:rFonts w:ascii="宋体" w:hAnsi="宋体"/>
          <w:bCs/>
          <w:szCs w:val="21"/>
        </w:rPr>
        <w:t>种果树或蔬菜的统计性状进行</w:t>
      </w:r>
      <w:r>
        <w:rPr>
          <w:rFonts w:hint="eastAsia" w:ascii="宋体" w:hAnsi="宋体"/>
          <w:bCs/>
          <w:szCs w:val="21"/>
        </w:rPr>
        <w:t>聚类</w:t>
      </w:r>
      <w:r>
        <w:rPr>
          <w:rFonts w:ascii="宋体" w:hAnsi="宋体"/>
          <w:bCs/>
          <w:szCs w:val="21"/>
        </w:rPr>
        <w:t>分析，</w:t>
      </w:r>
      <w:r>
        <w:rPr>
          <w:rFonts w:hint="eastAsia" w:ascii="宋体" w:hAnsi="宋体"/>
          <w:bCs/>
          <w:szCs w:val="21"/>
        </w:rPr>
        <w:t>计算</w:t>
      </w:r>
      <w:r>
        <w:rPr>
          <w:rFonts w:ascii="宋体" w:hAnsi="宋体"/>
          <w:bCs/>
          <w:szCs w:val="21"/>
        </w:rPr>
        <w:t>多样性指数，分析其遗传多样性。</w:t>
      </w:r>
    </w:p>
    <w:p>
      <w:pPr>
        <w:snapToGrid w:val="0"/>
        <w:spacing w:line="360" w:lineRule="auto"/>
        <w:ind w:firstLine="422" w:firstLineChars="200"/>
        <w:rPr>
          <w:szCs w:val="21"/>
        </w:rPr>
      </w:pPr>
      <w:r>
        <w:rPr>
          <w:rFonts w:hint="eastAsia"/>
          <w:b/>
          <w:szCs w:val="21"/>
        </w:rPr>
        <w:t>4.实验要求：</w:t>
      </w:r>
      <w:r>
        <w:rPr>
          <w:rFonts w:hint="eastAsia"/>
          <w:szCs w:val="21"/>
        </w:rPr>
        <w:t>详细了解</w:t>
      </w:r>
      <w:r>
        <w:rPr>
          <w:szCs w:val="21"/>
        </w:rPr>
        <w:t>两个</w:t>
      </w:r>
      <w:r>
        <w:rPr>
          <w:rFonts w:hint="eastAsia"/>
          <w:szCs w:val="21"/>
        </w:rPr>
        <w:t>科研</w:t>
      </w:r>
      <w:r>
        <w:rPr>
          <w:szCs w:val="21"/>
        </w:rPr>
        <w:t>基地园艺植物</w:t>
      </w:r>
      <w:r>
        <w:rPr>
          <w:rFonts w:hint="eastAsia"/>
          <w:szCs w:val="21"/>
        </w:rPr>
        <w:t>品种</w:t>
      </w:r>
      <w:r>
        <w:rPr>
          <w:szCs w:val="21"/>
        </w:rPr>
        <w:t>资源的构成；</w:t>
      </w:r>
      <w:r>
        <w:rPr>
          <w:rFonts w:hint="eastAsia"/>
          <w:szCs w:val="21"/>
        </w:rPr>
        <w:t>掌握至少3种</w:t>
      </w:r>
      <w:r>
        <w:rPr>
          <w:szCs w:val="21"/>
        </w:rPr>
        <w:t>蔬菜的</w:t>
      </w:r>
      <w:r>
        <w:rPr>
          <w:rFonts w:hint="eastAsia"/>
          <w:szCs w:val="21"/>
        </w:rPr>
        <w:t>栽培</w:t>
      </w:r>
      <w:r>
        <w:rPr>
          <w:szCs w:val="21"/>
        </w:rPr>
        <w:t>茬口和栽培模式；</w:t>
      </w:r>
      <w:r>
        <w:rPr>
          <w:rFonts w:hint="eastAsia"/>
          <w:szCs w:val="21"/>
        </w:rPr>
        <w:t>每人至少观察3种</w:t>
      </w:r>
      <w:r>
        <w:rPr>
          <w:szCs w:val="21"/>
        </w:rPr>
        <w:t>果树</w:t>
      </w:r>
      <w:r>
        <w:rPr>
          <w:rFonts w:hint="eastAsia"/>
          <w:szCs w:val="21"/>
        </w:rPr>
        <w:t>的3个</w:t>
      </w:r>
      <w:r>
        <w:rPr>
          <w:szCs w:val="21"/>
        </w:rPr>
        <w:t>不同性状的变异，统计至少10</w:t>
      </w:r>
      <w:r>
        <w:rPr>
          <w:rFonts w:hint="eastAsia"/>
          <w:szCs w:val="21"/>
        </w:rPr>
        <w:t>个</w:t>
      </w:r>
      <w:r>
        <w:rPr>
          <w:szCs w:val="21"/>
        </w:rPr>
        <w:t>品种或</w:t>
      </w:r>
      <w:r>
        <w:rPr>
          <w:rFonts w:hint="eastAsia"/>
          <w:szCs w:val="21"/>
        </w:rPr>
        <w:t>资源</w:t>
      </w:r>
      <w:r>
        <w:rPr>
          <w:szCs w:val="21"/>
        </w:rPr>
        <w:t>的性状指标；</w:t>
      </w:r>
      <w:r>
        <w:rPr>
          <w:rFonts w:hint="eastAsia"/>
          <w:szCs w:val="21"/>
        </w:rPr>
        <w:t xml:space="preserve"> 每人至少观察3种蔬菜的3个</w:t>
      </w:r>
      <w:r>
        <w:rPr>
          <w:szCs w:val="21"/>
        </w:rPr>
        <w:t>不同性状的变异，统计至少20</w:t>
      </w:r>
      <w:r>
        <w:rPr>
          <w:rFonts w:hint="eastAsia"/>
          <w:szCs w:val="21"/>
        </w:rPr>
        <w:t>个</w:t>
      </w:r>
      <w:r>
        <w:rPr>
          <w:szCs w:val="21"/>
        </w:rPr>
        <w:t>品种或</w:t>
      </w:r>
      <w:r>
        <w:rPr>
          <w:rFonts w:hint="eastAsia"/>
          <w:szCs w:val="21"/>
        </w:rPr>
        <w:t>品系</w:t>
      </w:r>
      <w:r>
        <w:rPr>
          <w:szCs w:val="21"/>
        </w:rPr>
        <w:t>的性状指标；</w:t>
      </w:r>
      <w:r>
        <w:rPr>
          <w:rFonts w:hint="eastAsia"/>
          <w:szCs w:val="21"/>
        </w:rPr>
        <w:t>学会</w:t>
      </w:r>
      <w:r>
        <w:rPr>
          <w:szCs w:val="21"/>
        </w:rPr>
        <w:t>性状的多样性</w:t>
      </w:r>
      <w:r>
        <w:rPr>
          <w:rFonts w:hint="eastAsia"/>
          <w:szCs w:val="21"/>
        </w:rPr>
        <w:t>指数</w:t>
      </w:r>
      <w:r>
        <w:rPr>
          <w:szCs w:val="21"/>
        </w:rPr>
        <w:t>的计算方法，熟悉聚类分析方法</w:t>
      </w:r>
      <w:r>
        <w:rPr>
          <w:rFonts w:hint="eastAsia"/>
          <w:szCs w:val="21"/>
        </w:rPr>
        <w:t>。</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不同</w:t>
      </w:r>
      <w:r>
        <w:rPr>
          <w:rFonts w:ascii="宋体" w:hAnsi="宋体"/>
          <w:bCs/>
          <w:szCs w:val="21"/>
        </w:rPr>
        <w:t>类型果树种质材料、不同类型的蔬菜品种或品系、</w:t>
      </w:r>
      <w:r>
        <w:rPr>
          <w:rFonts w:hint="eastAsia" w:ascii="宋体" w:hAnsi="宋体"/>
          <w:bCs/>
          <w:szCs w:val="21"/>
        </w:rPr>
        <w:t>游标卡尺</w:t>
      </w:r>
      <w:r>
        <w:rPr>
          <w:rFonts w:ascii="宋体" w:hAnsi="宋体"/>
          <w:bCs/>
          <w:szCs w:val="21"/>
        </w:rPr>
        <w:t>、直尺、比色卡、</w:t>
      </w:r>
      <w:r>
        <w:rPr>
          <w:rFonts w:hint="eastAsia" w:ascii="宋体" w:hAnsi="宋体"/>
          <w:bCs/>
          <w:szCs w:val="21"/>
        </w:rPr>
        <w:t>计算器、聚类</w:t>
      </w:r>
      <w:r>
        <w:rPr>
          <w:rFonts w:ascii="宋体" w:hAnsi="宋体"/>
          <w:bCs/>
          <w:szCs w:val="21"/>
        </w:rPr>
        <w:t>分析软件。</w:t>
      </w:r>
    </w:p>
    <w:p>
      <w:pPr>
        <w:snapToGrid w:val="0"/>
        <w:spacing w:line="360" w:lineRule="auto"/>
        <w:rPr>
          <w:rFonts w:ascii="宋体" w:hAnsi="宋体"/>
          <w:b/>
          <w:bCs/>
          <w:szCs w:val="21"/>
        </w:rPr>
      </w:pPr>
      <w:r>
        <w:rPr>
          <w:rFonts w:hint="eastAsia" w:ascii="宋体" w:hAnsi="宋体"/>
          <w:b/>
          <w:szCs w:val="21"/>
        </w:rPr>
        <w:t>(七)</w:t>
      </w:r>
      <w:r>
        <w:rPr>
          <w:rFonts w:hint="eastAsia" w:ascii="宋体" w:hAnsi="宋体"/>
          <w:b/>
          <w:bCs/>
          <w:szCs w:val="21"/>
        </w:rPr>
        <w:t>考核方式及成绩评定</w:t>
      </w:r>
    </w:p>
    <w:p>
      <w:pPr>
        <w:snapToGrid w:val="0"/>
        <w:spacing w:line="360" w:lineRule="auto"/>
        <w:ind w:firstLine="420" w:firstLineChars="200"/>
        <w:rPr>
          <w:rFonts w:ascii="宋体" w:hAnsi="宋体" w:cs="宋体"/>
          <w:szCs w:val="21"/>
        </w:rPr>
      </w:pPr>
      <w:r>
        <w:rPr>
          <w:rFonts w:hint="eastAsia" w:ascii="宋体" w:hAnsi="宋体" w:cs="宋体"/>
          <w:szCs w:val="21"/>
        </w:rPr>
        <w:t>学生独立完成实验报告，</w:t>
      </w:r>
      <w:bookmarkStart w:id="61" w:name="_Toc137560085"/>
      <w:r>
        <w:rPr>
          <w:rFonts w:hint="eastAsia" w:ascii="宋体" w:hAnsi="宋体" w:cs="宋体"/>
          <w:szCs w:val="21"/>
        </w:rPr>
        <w:t>由教师进行成绩评定。</w:t>
      </w:r>
    </w:p>
    <w:p>
      <w:pPr>
        <w:snapToGrid w:val="0"/>
        <w:spacing w:line="360" w:lineRule="auto"/>
        <w:rPr>
          <w:b/>
          <w:bCs/>
        </w:rPr>
      </w:pPr>
      <w:r>
        <w:rPr>
          <w:rFonts w:hint="eastAsia"/>
          <w:b/>
          <w:bCs/>
        </w:rPr>
        <w:t>六</w:t>
      </w:r>
      <w:r>
        <w:rPr>
          <w:b/>
          <w:bCs/>
        </w:rPr>
        <w:t>、</w:t>
      </w:r>
      <w:r>
        <w:rPr>
          <w:rFonts w:hint="eastAsia"/>
          <w:b/>
          <w:bCs/>
        </w:rPr>
        <w:t>课程思政</w:t>
      </w:r>
      <w:bookmarkEnd w:id="61"/>
    </w:p>
    <w:p>
      <w:pPr>
        <w:snapToGrid w:val="0"/>
        <w:spacing w:line="360" w:lineRule="auto"/>
        <w:ind w:firstLine="420" w:firstLineChars="200"/>
        <w:rPr>
          <w:rFonts w:hAnsi="宋体"/>
          <w:kern w:val="0"/>
          <w:szCs w:val="21"/>
        </w:rPr>
      </w:pPr>
      <w:r>
        <w:rPr>
          <w:rFonts w:hint="eastAsia" w:ascii="宋体" w:hAnsi="宋体"/>
          <w:bCs/>
          <w:kern w:val="0"/>
          <w:szCs w:val="21"/>
        </w:rPr>
        <w:t>（1）绪论</w:t>
      </w:r>
      <w:r>
        <w:rPr>
          <w:rFonts w:hint="eastAsia"/>
          <w:kern w:val="0"/>
          <w:szCs w:val="21"/>
        </w:rPr>
        <w:t>有部分内容涉及</w:t>
      </w:r>
      <w:r>
        <w:rPr>
          <w:rFonts w:hint="eastAsia" w:hAnsi="宋体"/>
          <w:kern w:val="0"/>
          <w:szCs w:val="21"/>
        </w:rPr>
        <w:t>遗传学的发展历史，通过比较中外研究人员在遗传学发展中的贡献比例，以及我国近百年动植物以及医学遗传学研究的发展动态，突出新中国，特别是改革开放后我国植物遗传育种工作的丰硕成果，开展对党的科技发展政策、粮食安全政策和教育政策的认同教育。</w:t>
      </w:r>
    </w:p>
    <w:p>
      <w:pPr>
        <w:snapToGrid w:val="0"/>
        <w:spacing w:line="360" w:lineRule="auto"/>
        <w:ind w:firstLine="420" w:firstLineChars="200"/>
        <w:rPr>
          <w:rFonts w:ascii="宋体" w:hAnsi="宋体"/>
          <w:bCs/>
          <w:kern w:val="0"/>
          <w:szCs w:val="21"/>
        </w:rPr>
      </w:pPr>
      <w:r>
        <w:rPr>
          <w:rFonts w:hint="eastAsia" w:ascii="宋体" w:hAnsi="宋体"/>
          <w:bCs/>
          <w:kern w:val="0"/>
          <w:szCs w:val="21"/>
        </w:rPr>
        <w:t>（</w:t>
      </w:r>
      <w:r>
        <w:rPr>
          <w:rFonts w:ascii="宋体" w:hAnsi="宋体"/>
          <w:bCs/>
          <w:kern w:val="0"/>
          <w:szCs w:val="21"/>
        </w:rPr>
        <w:t>2</w:t>
      </w:r>
      <w:r>
        <w:rPr>
          <w:rFonts w:hint="eastAsia" w:ascii="宋体" w:hAnsi="宋体"/>
          <w:bCs/>
          <w:kern w:val="0"/>
          <w:szCs w:val="21"/>
        </w:rPr>
        <w:t>）《细胞质遗传》这一</w:t>
      </w:r>
      <w:r>
        <w:rPr>
          <w:rFonts w:hint="eastAsia"/>
          <w:kern w:val="0"/>
          <w:szCs w:val="21"/>
        </w:rPr>
        <w:t>章有部分内容涉及到袁隆平的先生开创的“三系配套”育种技术。通过对袁隆平先生的育种理念和育种实践的介绍，培养学生为国家和人们培育新品质，提高人们生活水平和质量的理念。</w:t>
      </w:r>
    </w:p>
    <w:p>
      <w:pPr>
        <w:widowControl/>
        <w:snapToGrid w:val="0"/>
        <w:spacing w:line="360" w:lineRule="auto"/>
        <w:jc w:val="left"/>
        <w:rPr>
          <w:rFonts w:hAnsi="宋体"/>
          <w:b/>
          <w:bCs/>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ascii="宋体" w:hAnsi="宋体"/>
          <w:bCs/>
          <w:kern w:val="0"/>
          <w:szCs w:val="21"/>
        </w:rPr>
      </w:pPr>
      <w:r>
        <w:rPr>
          <w:rFonts w:hint="eastAsia" w:ascii="宋体" w:hAnsi="宋体"/>
          <w:bCs/>
          <w:kern w:val="0"/>
          <w:szCs w:val="21"/>
        </w:rPr>
        <w:t>（1）理论课教材：</w:t>
      </w:r>
      <w:r>
        <w:rPr>
          <w:rFonts w:ascii="宋体" w:hAnsi="宋体"/>
          <w:bCs/>
          <w:kern w:val="0"/>
          <w:szCs w:val="21"/>
        </w:rPr>
        <w:fldChar w:fldCharType="begin"/>
      </w:r>
      <w:r>
        <w:rPr>
          <w:rFonts w:ascii="宋体" w:hAnsi="宋体"/>
          <w:bCs/>
          <w:kern w:val="0"/>
          <w:szCs w:val="21"/>
        </w:rPr>
        <w:instrText xml:space="preserve"> </w:instrText>
      </w:r>
      <w:r>
        <w:rPr>
          <w:rFonts w:hint="eastAsia" w:ascii="宋体" w:hAnsi="宋体"/>
          <w:bCs/>
          <w:kern w:val="0"/>
          <w:szCs w:val="21"/>
        </w:rPr>
        <w:instrText xml:space="preserve">= 1 \* GB3</w:instrText>
      </w:r>
      <w:r>
        <w:rPr>
          <w:rFonts w:ascii="宋体" w:hAnsi="宋体"/>
          <w:bCs/>
          <w:kern w:val="0"/>
          <w:szCs w:val="21"/>
        </w:rPr>
        <w:instrText xml:space="preserve"> </w:instrText>
      </w:r>
      <w:r>
        <w:rPr>
          <w:rFonts w:ascii="宋体" w:hAnsi="宋体"/>
          <w:bCs/>
          <w:kern w:val="0"/>
          <w:szCs w:val="21"/>
        </w:rPr>
        <w:fldChar w:fldCharType="separate"/>
      </w:r>
      <w:r>
        <w:rPr>
          <w:rFonts w:hint="eastAsia" w:ascii="宋体" w:hAnsi="宋体"/>
          <w:bCs/>
          <w:kern w:val="0"/>
          <w:szCs w:val="21"/>
        </w:rPr>
        <w:t>①</w:t>
      </w:r>
      <w:r>
        <w:rPr>
          <w:rFonts w:ascii="宋体" w:hAnsi="宋体"/>
          <w:bCs/>
          <w:kern w:val="0"/>
          <w:szCs w:val="21"/>
        </w:rPr>
        <w:fldChar w:fldCharType="end"/>
      </w:r>
      <w:r>
        <w:rPr>
          <w:rFonts w:hAnsi="宋体"/>
          <w:kern w:val="0"/>
          <w:szCs w:val="21"/>
        </w:rPr>
        <w:t>遗传学</w:t>
      </w:r>
      <w:r>
        <w:rPr>
          <w:rFonts w:hint="eastAsia" w:hAnsi="宋体"/>
          <w:kern w:val="0"/>
          <w:szCs w:val="21"/>
        </w:rPr>
        <w:t>（第四版），</w:t>
      </w:r>
      <w:r>
        <w:rPr>
          <w:rFonts w:hAnsi="宋体"/>
          <w:kern w:val="0"/>
          <w:szCs w:val="21"/>
        </w:rPr>
        <w:t>朱军</w:t>
      </w:r>
      <w:r>
        <w:rPr>
          <w:rFonts w:hint="eastAsia" w:hAnsi="宋体"/>
          <w:kern w:val="0"/>
          <w:szCs w:val="21"/>
        </w:rPr>
        <w:t>编著，中国农业出版社，2018年</w:t>
      </w:r>
      <w:r>
        <w:rPr>
          <w:rFonts w:hint="eastAsia" w:ascii="宋体" w:hAnsi="宋体"/>
          <w:bCs/>
          <w:kern w:val="0"/>
          <w:szCs w:val="21"/>
        </w:rPr>
        <w:t>；</w:t>
      </w:r>
      <w:r>
        <w:rPr>
          <w:rFonts w:ascii="宋体" w:hAnsi="宋体"/>
          <w:bCs/>
          <w:kern w:val="0"/>
          <w:szCs w:val="21"/>
        </w:rPr>
        <w:fldChar w:fldCharType="begin"/>
      </w:r>
      <w:r>
        <w:rPr>
          <w:rFonts w:ascii="宋体" w:hAnsi="宋体"/>
          <w:bCs/>
          <w:kern w:val="0"/>
          <w:szCs w:val="21"/>
        </w:rPr>
        <w:instrText xml:space="preserve"> </w:instrText>
      </w:r>
      <w:r>
        <w:rPr>
          <w:rFonts w:hint="eastAsia" w:ascii="宋体" w:hAnsi="宋体"/>
          <w:bCs/>
          <w:kern w:val="0"/>
          <w:szCs w:val="21"/>
        </w:rPr>
        <w:instrText xml:space="preserve">= 2 \* GB3</w:instrText>
      </w:r>
      <w:r>
        <w:rPr>
          <w:rFonts w:ascii="宋体" w:hAnsi="宋体"/>
          <w:bCs/>
          <w:kern w:val="0"/>
          <w:szCs w:val="21"/>
        </w:rPr>
        <w:instrText xml:space="preserve"> </w:instrText>
      </w:r>
      <w:r>
        <w:rPr>
          <w:rFonts w:ascii="宋体" w:hAnsi="宋体"/>
          <w:bCs/>
          <w:kern w:val="0"/>
          <w:szCs w:val="21"/>
        </w:rPr>
        <w:fldChar w:fldCharType="separate"/>
      </w:r>
      <w:r>
        <w:rPr>
          <w:rFonts w:hint="eastAsia" w:ascii="宋体" w:hAnsi="宋体"/>
          <w:bCs/>
          <w:kern w:val="0"/>
          <w:szCs w:val="21"/>
        </w:rPr>
        <w:t>②</w:t>
      </w:r>
      <w:r>
        <w:rPr>
          <w:rFonts w:ascii="宋体" w:hAnsi="宋体"/>
          <w:bCs/>
          <w:kern w:val="0"/>
          <w:szCs w:val="21"/>
        </w:rPr>
        <w:fldChar w:fldCharType="end"/>
      </w:r>
      <w:r>
        <w:rPr>
          <w:rFonts w:hint="eastAsia" w:ascii="宋体" w:hAnsi="宋体"/>
          <w:bCs/>
          <w:kern w:val="0"/>
          <w:szCs w:val="21"/>
        </w:rPr>
        <w:t xml:space="preserve"> 园艺植物遗传学，张菊平编著，化学工业出版社，2016年。</w:t>
      </w:r>
    </w:p>
    <w:p>
      <w:pPr>
        <w:widowControl/>
        <w:snapToGrid w:val="0"/>
        <w:spacing w:line="360" w:lineRule="auto"/>
        <w:ind w:firstLine="420" w:firstLineChars="200"/>
        <w:jc w:val="left"/>
        <w:rPr>
          <w:rFonts w:hAnsi="宋体"/>
          <w:b/>
          <w:bCs/>
          <w:strike/>
          <w:kern w:val="0"/>
          <w:szCs w:val="21"/>
        </w:rPr>
      </w:pPr>
      <w:r>
        <w:rPr>
          <w:rFonts w:hint="eastAsia" w:ascii="宋体" w:hAnsi="宋体"/>
        </w:rPr>
        <w:t>（2）实验课教材：园艺植物遗传学实验指导书，园艺学院遗传学课程组编著，内部印刷，2019年。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napToGrid w:val="0"/>
        <w:spacing w:line="360" w:lineRule="auto"/>
        <w:ind w:firstLine="420" w:firstLineChars="200"/>
        <w:rPr>
          <w:rFonts w:hAnsi="宋体"/>
          <w:bCs/>
          <w:kern w:val="0"/>
          <w:szCs w:val="21"/>
        </w:rPr>
      </w:pPr>
      <w:r>
        <w:rPr>
          <w:rFonts w:hAnsi="宋体"/>
          <w:bCs/>
          <w:kern w:val="0"/>
          <w:szCs w:val="21"/>
        </w:rPr>
        <w:t>（</w:t>
      </w:r>
      <w:r>
        <w:rPr>
          <w:bCs/>
          <w:kern w:val="0"/>
          <w:szCs w:val="21"/>
        </w:rPr>
        <w:t>1</w:t>
      </w:r>
      <w:r>
        <w:rPr>
          <w:rFonts w:hAnsi="宋体"/>
          <w:bCs/>
          <w:kern w:val="0"/>
          <w:szCs w:val="21"/>
        </w:rPr>
        <w:t>）</w:t>
      </w:r>
      <w:r>
        <w:rPr>
          <w:rFonts w:hint="eastAsia" w:hAnsi="宋体"/>
          <w:bCs/>
          <w:kern w:val="0"/>
          <w:szCs w:val="21"/>
        </w:rPr>
        <w:t>遗传学（第3版），李再云，杨业，高等教育出版社，2017年</w:t>
      </w:r>
    </w:p>
    <w:p>
      <w:pPr>
        <w:snapToGrid w:val="0"/>
        <w:spacing w:line="360" w:lineRule="auto"/>
        <w:ind w:firstLine="420" w:firstLineChars="200"/>
        <w:rPr>
          <w:rFonts w:hAnsi="宋体"/>
          <w:bCs/>
          <w:kern w:val="0"/>
          <w:szCs w:val="21"/>
        </w:rPr>
      </w:pPr>
      <w:r>
        <w:rPr>
          <w:rFonts w:hAnsi="宋体"/>
          <w:bCs/>
          <w:kern w:val="0"/>
          <w:szCs w:val="21"/>
        </w:rPr>
        <w:t>（</w:t>
      </w:r>
      <w:r>
        <w:rPr>
          <w:bCs/>
          <w:kern w:val="0"/>
          <w:szCs w:val="21"/>
        </w:rPr>
        <w:t>2</w:t>
      </w:r>
      <w:r>
        <w:rPr>
          <w:rFonts w:hAnsi="宋体"/>
          <w:bCs/>
          <w:kern w:val="0"/>
          <w:szCs w:val="21"/>
        </w:rPr>
        <w:t>）</w:t>
      </w:r>
      <w:r>
        <w:rPr>
          <w:rFonts w:hint="eastAsia" w:hAnsi="宋体"/>
          <w:bCs/>
          <w:kern w:val="0"/>
          <w:szCs w:val="21"/>
        </w:rPr>
        <w:t>普通遗传学（第三版），张飞雄，李雅轩，科学出版社，2016年</w:t>
      </w:r>
    </w:p>
    <w:p>
      <w:pPr>
        <w:snapToGrid w:val="0"/>
        <w:spacing w:line="360" w:lineRule="auto"/>
        <w:ind w:firstLine="420" w:firstLineChars="200"/>
        <w:rPr>
          <w:rFonts w:ascii="宋体" w:hAnsi="宋体"/>
          <w:szCs w:val="21"/>
        </w:rPr>
      </w:pPr>
      <w:r>
        <w:rPr>
          <w:rFonts w:hint="eastAsia" w:hAnsi="宋体"/>
          <w:bCs/>
          <w:kern w:val="0"/>
          <w:szCs w:val="21"/>
        </w:rPr>
        <w:t>（3）遗传学，刘庆昌，科学出版社，2015年</w:t>
      </w:r>
    </w:p>
    <w:p>
      <w:pPr>
        <w:widowControl/>
        <w:snapToGrid w:val="0"/>
        <w:spacing w:line="360" w:lineRule="auto"/>
        <w:ind w:firstLine="422" w:firstLineChars="200"/>
        <w:jc w:val="left"/>
        <w:rPr>
          <w:b/>
          <w:kern w:val="0"/>
          <w:szCs w:val="21"/>
        </w:rPr>
      </w:pPr>
      <w:r>
        <w:rPr>
          <w:rFonts w:hint="eastAsia"/>
          <w:b/>
          <w:kern w:val="0"/>
          <w:szCs w:val="21"/>
        </w:rPr>
        <w:t>3.推荐网站：</w:t>
      </w:r>
    </w:p>
    <w:p>
      <w:pPr>
        <w:snapToGrid w:val="0"/>
        <w:spacing w:line="360" w:lineRule="auto"/>
        <w:ind w:firstLine="420" w:firstLineChars="200"/>
        <w:rPr>
          <w:rFonts w:ascii="宋体" w:hAnsi="宋体"/>
          <w:szCs w:val="21"/>
        </w:rPr>
      </w:pPr>
      <w:r>
        <w:rPr>
          <w:rFonts w:hint="eastAsia" w:ascii="宋体" w:hAnsi="宋体"/>
          <w:szCs w:val="21"/>
        </w:rPr>
        <w:t>（1）河南农业大学园艺植物遗传学精品课程，</w:t>
      </w:r>
      <w:r>
        <w:rPr>
          <w:rFonts w:ascii="宋体" w:hAnsi="宋体"/>
          <w:szCs w:val="21"/>
        </w:rPr>
        <w:t>http://202.196.80.249/jpkc/yychenyanhui/</w:t>
      </w:r>
    </w:p>
    <w:p>
      <w:pPr>
        <w:widowControl/>
        <w:snapToGrid w:val="0"/>
        <w:spacing w:line="360" w:lineRule="auto"/>
        <w:ind w:firstLine="420" w:firstLineChars="200"/>
        <w:jc w:val="left"/>
        <w:rPr>
          <w:rFonts w:ascii="宋体" w:hAnsi="宋体"/>
          <w:szCs w:val="21"/>
        </w:rPr>
      </w:pPr>
      <w:r>
        <w:rPr>
          <w:rFonts w:hint="eastAsia" w:ascii="宋体" w:hAnsi="宋体"/>
          <w:szCs w:val="21"/>
        </w:rPr>
        <w:t>（2）浙江大学遗传学资源共享课，</w:t>
      </w:r>
      <w:r>
        <w:rPr>
          <w:rFonts w:ascii="宋体" w:hAnsi="宋体"/>
          <w:szCs w:val="21"/>
        </w:rPr>
        <w:t>ttp://www.icourses.cn/coursestatic/course_4267.html</w:t>
      </w:r>
    </w:p>
    <w:p>
      <w:pPr>
        <w:pStyle w:val="44"/>
      </w:pPr>
      <w:bookmarkStart w:id="62" w:name="_Toc138068783"/>
      <w:bookmarkStart w:id="63" w:name="_Toc138076597"/>
      <w:bookmarkStart w:id="64" w:name="_Toc138064503"/>
      <w:bookmarkStart w:id="65" w:name="_Toc28354"/>
      <w:bookmarkStart w:id="66" w:name="_Toc137560087"/>
      <w:bookmarkStart w:id="67" w:name="_Toc138070413"/>
      <w:bookmarkStart w:id="68" w:name="_Toc138066342"/>
      <w:bookmarkStart w:id="69" w:name="_Toc138076302"/>
      <w:bookmarkStart w:id="70" w:name="_Toc138070683"/>
      <w:bookmarkStart w:id="71" w:name="_Toc138076053"/>
      <w:r>
        <w:rPr>
          <w:rFonts w:hint="eastAsia"/>
        </w:rPr>
        <w:t>八</w:t>
      </w:r>
      <w:r>
        <w:t>、</w:t>
      </w:r>
      <w:r>
        <w:rPr>
          <w:rFonts w:hint="eastAsia"/>
        </w:rPr>
        <w:t>教学条件</w:t>
      </w:r>
      <w:bookmarkEnd w:id="62"/>
      <w:bookmarkEnd w:id="63"/>
      <w:bookmarkEnd w:id="64"/>
      <w:bookmarkEnd w:id="65"/>
      <w:bookmarkEnd w:id="66"/>
      <w:bookmarkEnd w:id="67"/>
      <w:bookmarkEnd w:id="68"/>
      <w:bookmarkEnd w:id="69"/>
      <w:bookmarkEnd w:id="70"/>
      <w:bookmarkEnd w:id="71"/>
    </w:p>
    <w:p>
      <w:pPr>
        <w:widowControl/>
        <w:snapToGrid w:val="0"/>
        <w:spacing w:line="360" w:lineRule="auto"/>
        <w:ind w:left="105" w:leftChars="50" w:firstLine="419"/>
        <w:jc w:val="left"/>
        <w:rPr>
          <w:rFonts w:ascii="宋体" w:hAnsi="宋体"/>
          <w:szCs w:val="21"/>
        </w:rPr>
      </w:pPr>
      <w:r>
        <w:rPr>
          <w:rFonts w:hint="eastAsia" w:ascii="宋体" w:hAnsi="宋体"/>
          <w:szCs w:val="21"/>
        </w:rPr>
        <w:t>该课程开展依托园艺植物遗传学教学团队，团队</w:t>
      </w:r>
      <w:r>
        <w:rPr>
          <w:rFonts w:ascii="宋体" w:hAnsi="宋体"/>
          <w:szCs w:val="21"/>
        </w:rPr>
        <w:t>成员中高级职称者3</w:t>
      </w:r>
      <w:r>
        <w:rPr>
          <w:rFonts w:hint="eastAsia" w:ascii="宋体" w:hAnsi="宋体"/>
          <w:szCs w:val="21"/>
        </w:rPr>
        <w:t>人</w:t>
      </w:r>
      <w:r>
        <w:rPr>
          <w:rFonts w:ascii="宋体" w:hAnsi="宋体"/>
          <w:szCs w:val="21"/>
        </w:rPr>
        <w:t>，</w:t>
      </w:r>
      <w:r>
        <w:rPr>
          <w:rFonts w:hint="eastAsia" w:ascii="宋体" w:hAnsi="宋体"/>
          <w:szCs w:val="21"/>
        </w:rPr>
        <w:t>中级</w:t>
      </w:r>
      <w:r>
        <w:rPr>
          <w:rFonts w:ascii="宋体" w:hAnsi="宋体"/>
          <w:szCs w:val="21"/>
        </w:rPr>
        <w:t>职称者</w:t>
      </w:r>
      <w:r>
        <w:rPr>
          <w:rFonts w:hint="eastAsia" w:ascii="宋体" w:hAnsi="宋体"/>
          <w:szCs w:val="21"/>
        </w:rPr>
        <w:t>3人</w:t>
      </w:r>
      <w:r>
        <w:rPr>
          <w:rFonts w:ascii="宋体" w:hAnsi="宋体"/>
          <w:szCs w:val="21"/>
        </w:rPr>
        <w:t>，具有博士学位</w:t>
      </w:r>
      <w:r>
        <w:rPr>
          <w:rFonts w:hint="eastAsia" w:ascii="宋体" w:hAnsi="宋体"/>
          <w:szCs w:val="21"/>
        </w:rPr>
        <w:t>者5人</w:t>
      </w:r>
      <w:r>
        <w:rPr>
          <w:rFonts w:ascii="宋体" w:hAnsi="宋体"/>
          <w:szCs w:val="21"/>
        </w:rPr>
        <w:t>，所有教师均</w:t>
      </w:r>
      <w:r>
        <w:rPr>
          <w:rFonts w:hint="eastAsia" w:ascii="宋体" w:hAnsi="宋体"/>
          <w:szCs w:val="21"/>
        </w:rPr>
        <w:t>有</w:t>
      </w:r>
      <w:r>
        <w:rPr>
          <w:rFonts w:ascii="宋体" w:hAnsi="宋体"/>
          <w:szCs w:val="21"/>
        </w:rPr>
        <w:t>从事遗传学相关</w:t>
      </w:r>
      <w:r>
        <w:rPr>
          <w:rFonts w:hint="eastAsia" w:ascii="宋体" w:hAnsi="宋体"/>
          <w:szCs w:val="21"/>
        </w:rPr>
        <w:t>教学</w:t>
      </w:r>
      <w:r>
        <w:rPr>
          <w:rFonts w:ascii="宋体" w:hAnsi="宋体"/>
          <w:szCs w:val="21"/>
        </w:rPr>
        <w:t>与研究</w:t>
      </w:r>
      <w:r>
        <w:rPr>
          <w:rFonts w:hint="eastAsia" w:ascii="宋体" w:hAnsi="宋体"/>
          <w:szCs w:val="21"/>
        </w:rPr>
        <w:t>的</w:t>
      </w:r>
      <w:r>
        <w:rPr>
          <w:rFonts w:ascii="宋体" w:hAnsi="宋体"/>
          <w:szCs w:val="21"/>
        </w:rPr>
        <w:t>经验。</w:t>
      </w:r>
      <w:r>
        <w:rPr>
          <w:rFonts w:hint="eastAsia" w:ascii="宋体" w:hAnsi="宋体"/>
          <w:szCs w:val="21"/>
        </w:rPr>
        <w:t>本课程理论课教学在多媒体教室中</w:t>
      </w:r>
      <w:r>
        <w:rPr>
          <w:rFonts w:ascii="宋体" w:hAnsi="宋体"/>
          <w:szCs w:val="21"/>
        </w:rPr>
        <w:t>进行</w:t>
      </w:r>
      <w:r>
        <w:rPr>
          <w:rFonts w:hint="eastAsia" w:ascii="宋体" w:hAnsi="宋体"/>
          <w:szCs w:val="21"/>
        </w:rPr>
        <w:t>，实验课在园艺</w:t>
      </w:r>
      <w:r>
        <w:rPr>
          <w:rFonts w:ascii="宋体" w:hAnsi="宋体"/>
          <w:szCs w:val="21"/>
        </w:rPr>
        <w:t>植物遗传育种</w:t>
      </w:r>
      <w:r>
        <w:rPr>
          <w:rFonts w:hint="eastAsia" w:ascii="宋体" w:hAnsi="宋体"/>
          <w:szCs w:val="21"/>
        </w:rPr>
        <w:t>实验室和</w:t>
      </w:r>
      <w:r>
        <w:rPr>
          <w:rFonts w:ascii="宋体" w:hAnsi="宋体"/>
          <w:szCs w:val="21"/>
        </w:rPr>
        <w:t>实验基地</w:t>
      </w:r>
      <w:r>
        <w:rPr>
          <w:rFonts w:hint="eastAsia" w:ascii="宋体" w:hAnsi="宋体"/>
          <w:szCs w:val="21"/>
        </w:rPr>
        <w:t>进行</w:t>
      </w:r>
      <w:r>
        <w:rPr>
          <w:rFonts w:ascii="宋体" w:hAnsi="宋体"/>
          <w:szCs w:val="21"/>
        </w:rPr>
        <w:t>。</w:t>
      </w:r>
      <w:r>
        <w:rPr>
          <w:rFonts w:hint="eastAsia" w:ascii="宋体" w:hAnsi="宋体"/>
          <w:szCs w:val="21"/>
        </w:rPr>
        <w:t>园艺学院</w:t>
      </w:r>
      <w:r>
        <w:rPr>
          <w:rFonts w:ascii="宋体" w:hAnsi="宋体"/>
          <w:szCs w:val="21"/>
        </w:rPr>
        <w:t>建有</w:t>
      </w:r>
      <w:r>
        <w:rPr>
          <w:rFonts w:hint="eastAsia" w:ascii="宋体" w:hAnsi="宋体"/>
          <w:szCs w:val="21"/>
        </w:rPr>
        <w:t>实验</w:t>
      </w:r>
      <w:r>
        <w:rPr>
          <w:rFonts w:ascii="宋体" w:hAnsi="宋体"/>
          <w:szCs w:val="21"/>
        </w:rPr>
        <w:t>教学</w:t>
      </w:r>
      <w:r>
        <w:rPr>
          <w:rFonts w:hint="eastAsia" w:ascii="宋体" w:hAnsi="宋体"/>
          <w:szCs w:val="21"/>
        </w:rPr>
        <w:t>中心，由4名</w:t>
      </w:r>
      <w:r>
        <w:rPr>
          <w:rFonts w:ascii="宋体" w:hAnsi="宋体"/>
          <w:szCs w:val="21"/>
        </w:rPr>
        <w:t>专职</w:t>
      </w:r>
      <w:r>
        <w:rPr>
          <w:rFonts w:hint="eastAsia" w:ascii="宋体" w:hAnsi="宋体"/>
          <w:szCs w:val="21"/>
        </w:rPr>
        <w:t>实验</w:t>
      </w:r>
      <w:r>
        <w:rPr>
          <w:rFonts w:ascii="宋体" w:hAnsi="宋体"/>
          <w:szCs w:val="21"/>
        </w:rPr>
        <w:t>人员负责管理，</w:t>
      </w:r>
      <w:r>
        <w:rPr>
          <w:rFonts w:hint="eastAsia" w:ascii="宋体" w:hAnsi="宋体"/>
          <w:szCs w:val="21"/>
        </w:rPr>
        <w:t>并配备满足开设实验课程的各种仪器设备。</w:t>
      </w:r>
    </w:p>
    <w:p>
      <w:pPr>
        <w:pStyle w:val="44"/>
      </w:pPr>
      <w:bookmarkStart w:id="72" w:name="_Toc138076054"/>
      <w:bookmarkStart w:id="73" w:name="_Toc137560088"/>
      <w:bookmarkStart w:id="74" w:name="_Toc138066343"/>
      <w:bookmarkStart w:id="75" w:name="_Toc138070414"/>
      <w:bookmarkStart w:id="76" w:name="_Toc19822"/>
      <w:bookmarkStart w:id="77" w:name="_Toc138068784"/>
      <w:bookmarkStart w:id="78" w:name="_Toc138064504"/>
      <w:bookmarkStart w:id="79" w:name="_Toc138076598"/>
      <w:bookmarkStart w:id="80" w:name="_Toc138076303"/>
      <w:bookmarkStart w:id="81" w:name="_Toc138070684"/>
      <w:r>
        <w:rPr>
          <w:rFonts w:hint="eastAsia"/>
        </w:rPr>
        <w:t>九、教学考核评价</w:t>
      </w:r>
      <w:bookmarkEnd w:id="72"/>
      <w:bookmarkEnd w:id="73"/>
      <w:bookmarkEnd w:id="74"/>
      <w:bookmarkEnd w:id="75"/>
      <w:bookmarkEnd w:id="76"/>
      <w:bookmarkEnd w:id="77"/>
      <w:bookmarkEnd w:id="78"/>
      <w:bookmarkEnd w:id="79"/>
      <w:bookmarkEnd w:id="80"/>
      <w:bookmarkEnd w:id="81"/>
    </w:p>
    <w:p>
      <w:pPr>
        <w:snapToGrid w:val="0"/>
        <w:spacing w:line="360" w:lineRule="auto"/>
        <w:ind w:firstLine="422" w:firstLineChars="200"/>
        <w:rPr>
          <w:rFonts w:ascii="宋体" w:hAnsi="宋体"/>
          <w:szCs w:val="21"/>
        </w:rPr>
      </w:pPr>
      <w:r>
        <w:rPr>
          <w:rFonts w:hint="eastAsia" w:hAnsi="宋体"/>
          <w:b/>
          <w:bCs/>
          <w:kern w:val="0"/>
          <w:szCs w:val="21"/>
        </w:rPr>
        <w:t>1.过程性评价：</w:t>
      </w:r>
      <w:r>
        <w:rPr>
          <w:rFonts w:hint="eastAsia" w:ascii="宋体" w:hAnsi="宋体"/>
          <w:szCs w:val="21"/>
        </w:rPr>
        <w:t>本门</w:t>
      </w:r>
      <w:r>
        <w:rPr>
          <w:rFonts w:ascii="宋体" w:hAnsi="宋体"/>
          <w:szCs w:val="21"/>
        </w:rPr>
        <w:t>课程的</w:t>
      </w:r>
      <w:r>
        <w:rPr>
          <w:rFonts w:hint="eastAsia" w:ascii="宋体" w:hAnsi="宋体"/>
          <w:szCs w:val="21"/>
        </w:rPr>
        <w:t>考核评价不仅</w:t>
      </w:r>
      <w:r>
        <w:rPr>
          <w:rFonts w:ascii="宋体" w:hAnsi="宋体"/>
          <w:szCs w:val="21"/>
        </w:rPr>
        <w:t>反映课程教学最终结果，还力求反映教学的</w:t>
      </w:r>
      <w:r>
        <w:rPr>
          <w:rFonts w:hint="eastAsia" w:ascii="宋体" w:hAnsi="宋体"/>
          <w:szCs w:val="21"/>
        </w:rPr>
        <w:t>过程</w:t>
      </w:r>
      <w:r>
        <w:rPr>
          <w:rFonts w:ascii="宋体" w:hAnsi="宋体"/>
          <w:szCs w:val="21"/>
        </w:rPr>
        <w:t>。</w:t>
      </w:r>
      <w:r>
        <w:rPr>
          <w:rFonts w:hint="eastAsia" w:ascii="宋体" w:hAnsi="宋体"/>
          <w:szCs w:val="21"/>
        </w:rPr>
        <w:t>由课堂互动、课堂提问</w:t>
      </w:r>
      <w:r>
        <w:rPr>
          <w:rFonts w:ascii="宋体" w:hAnsi="宋体"/>
          <w:szCs w:val="21"/>
        </w:rPr>
        <w:t>、</w:t>
      </w:r>
      <w:r>
        <w:rPr>
          <w:rFonts w:hint="eastAsia" w:ascii="宋体" w:hAnsi="宋体"/>
          <w:szCs w:val="21"/>
        </w:rPr>
        <w:t>课后作业、</w:t>
      </w:r>
      <w:r>
        <w:rPr>
          <w:rFonts w:ascii="宋体" w:hAnsi="宋体"/>
          <w:szCs w:val="21"/>
        </w:rPr>
        <w:t>阶段性测试、</w:t>
      </w:r>
      <w:r>
        <w:rPr>
          <w:rFonts w:hint="eastAsia" w:ascii="宋体" w:hAnsi="宋体"/>
          <w:szCs w:val="21"/>
        </w:rPr>
        <w:t>实验报告、</w:t>
      </w:r>
      <w:r>
        <w:rPr>
          <w:rFonts w:ascii="宋体" w:hAnsi="宋体"/>
          <w:szCs w:val="21"/>
        </w:rPr>
        <w:t>期中</w:t>
      </w:r>
      <w:r>
        <w:rPr>
          <w:rFonts w:hint="eastAsia" w:ascii="宋体" w:hAnsi="宋体"/>
          <w:szCs w:val="21"/>
        </w:rPr>
        <w:t>考试等多种方式组成，共同对</w:t>
      </w:r>
      <w:r>
        <w:rPr>
          <w:rFonts w:hint="eastAsia" w:ascii="宋体" w:hAnsi="宋体"/>
        </w:rPr>
        <w:t>教学目标、教学内容、教学组织进行</w:t>
      </w:r>
      <w:r>
        <w:rPr>
          <w:rFonts w:hint="eastAsia" w:ascii="宋体" w:hAnsi="宋体"/>
          <w:szCs w:val="21"/>
        </w:rPr>
        <w:t>考核评价。</w:t>
      </w:r>
    </w:p>
    <w:p>
      <w:pPr>
        <w:snapToGrid w:val="0"/>
        <w:spacing w:line="360" w:lineRule="auto"/>
        <w:ind w:firstLine="422" w:firstLineChars="200"/>
        <w:rPr>
          <w:rFonts w:ascii="宋体" w:hAnsi="宋体"/>
          <w:szCs w:val="21"/>
        </w:rPr>
      </w:pPr>
      <w:r>
        <w:rPr>
          <w:rFonts w:hint="eastAsia" w:hAnsi="宋体"/>
          <w:b/>
          <w:bCs/>
          <w:kern w:val="0"/>
          <w:szCs w:val="21"/>
        </w:rPr>
        <w:t>2.终结性评价：</w:t>
      </w:r>
      <w:r>
        <w:rPr>
          <w:rFonts w:hint="eastAsia" w:hAnsi="宋体"/>
          <w:kern w:val="0"/>
          <w:szCs w:val="21"/>
        </w:rPr>
        <w:t>实验报告成绩及阶段性测评占40%，期末考试成绩占60%。</w:t>
      </w:r>
    </w:p>
    <w:p>
      <w:pPr>
        <w:widowControl/>
        <w:snapToGrid w:val="0"/>
        <w:spacing w:line="360" w:lineRule="auto"/>
        <w:ind w:firstLine="422" w:firstLineChars="200"/>
        <w:rPr>
          <w:rFonts w:ascii="宋体" w:hAnsi="宋体"/>
        </w:rPr>
      </w:pPr>
      <w:r>
        <w:rPr>
          <w:rFonts w:hint="eastAsia" w:hAnsi="宋体"/>
          <w:b/>
          <w:bCs/>
          <w:kern w:val="0"/>
          <w:szCs w:val="21"/>
        </w:rPr>
        <w:t>3.课程综合评价：</w:t>
      </w:r>
      <w:r>
        <w:rPr>
          <w:rFonts w:ascii="宋体" w:hAnsi="宋体"/>
        </w:rPr>
        <w:t>期末考评为</w:t>
      </w:r>
      <w:r>
        <w:rPr>
          <w:rFonts w:hint="eastAsia" w:ascii="宋体" w:hAnsi="宋体"/>
        </w:rPr>
        <w:t>闭卷考试</w:t>
      </w:r>
      <w:r>
        <w:rPr>
          <w:rFonts w:ascii="宋体" w:hAnsi="宋体"/>
        </w:rPr>
        <w:t>，阶段性</w:t>
      </w:r>
      <w:r>
        <w:rPr>
          <w:rFonts w:hint="eastAsia" w:ascii="宋体" w:hAnsi="宋体"/>
        </w:rPr>
        <w:t>测评</w:t>
      </w:r>
      <w:r>
        <w:rPr>
          <w:rFonts w:ascii="宋体" w:hAnsi="宋体"/>
        </w:rPr>
        <w:t>为开卷考试</w:t>
      </w:r>
      <w:r>
        <w:rPr>
          <w:rFonts w:hint="eastAsia" w:ascii="宋体" w:hAnsi="宋体"/>
        </w:rPr>
        <w:t>；</w:t>
      </w:r>
      <w:r>
        <w:rPr>
          <w:rFonts w:hint="eastAsia" w:ascii="宋体" w:hAnsi="宋体"/>
          <w:szCs w:val="21"/>
        </w:rPr>
        <w:t>总成绩计算办法</w:t>
      </w:r>
      <w:r>
        <w:rPr>
          <w:rFonts w:hint="eastAsia" w:ascii="宋体" w:hAnsi="宋体"/>
        </w:rPr>
        <w:t>：期末试卷成绩</w:t>
      </w:r>
      <w:r>
        <w:rPr>
          <w:rFonts w:ascii="宋体" w:hAnsi="宋体"/>
        </w:rPr>
        <w:t>6</w:t>
      </w:r>
      <w:r>
        <w:rPr>
          <w:rFonts w:hint="eastAsia" w:ascii="宋体" w:hAnsi="宋体"/>
        </w:rPr>
        <w:t>0%，平时成绩40%。通过考核让学生充分掌握本课程知识点。</w:t>
      </w:r>
    </w:p>
    <w:p>
      <w:pPr>
        <w:widowControl/>
        <w:jc w:val="left"/>
        <w:rPr>
          <w:rFonts w:hint="eastAsia" w:ascii="宋体" w:hAnsi="宋体"/>
        </w:rPr>
      </w:pPr>
    </w:p>
    <w:p>
      <w:pPr>
        <w:widowControl/>
        <w:jc w:val="left"/>
        <w:rPr>
          <w:rFonts w:hint="eastAsia" w:ascii="宋体" w:hAnsi="宋体"/>
        </w:rPr>
      </w:pPr>
    </w:p>
    <w:p>
      <w:pPr>
        <w:widowControl/>
        <w:jc w:val="left"/>
        <w:rPr>
          <w:rFonts w:ascii="宋体" w:hAnsi="宋体"/>
        </w:rPr>
      </w:pPr>
    </w:p>
    <w:p>
      <w:pPr>
        <w:rPr>
          <w:sz w:val="28"/>
          <w:szCs w:val="28"/>
        </w:rPr>
      </w:pPr>
      <w:bookmarkStart w:id="82" w:name="_Toc138064505"/>
      <w:bookmarkStart w:id="83" w:name="_Toc138076304"/>
      <w:bookmarkStart w:id="84" w:name="_Toc138070415"/>
      <w:bookmarkStart w:id="85" w:name="_Toc138070685"/>
      <w:bookmarkStart w:id="86" w:name="_Toc138076599"/>
      <w:bookmarkStart w:id="87" w:name="_Toc138076055"/>
      <w:bookmarkStart w:id="88" w:name="_Toc32680"/>
      <w:bookmarkStart w:id="89" w:name="_Toc138068785"/>
      <w:r>
        <w:rPr>
          <w:sz w:val="28"/>
          <w:szCs w:val="28"/>
        </w:rPr>
        <w:br w:type="page"/>
      </w:r>
    </w:p>
    <w:p>
      <w:pPr>
        <w:pStyle w:val="21"/>
        <w:rPr>
          <w:sz w:val="28"/>
          <w:szCs w:val="28"/>
        </w:rPr>
      </w:pPr>
      <w:r>
        <w:rPr>
          <w:sz w:val="28"/>
          <w:szCs w:val="28"/>
        </w:rPr>
        <w:softHyphen/>
      </w:r>
      <w:r>
        <w:rPr>
          <w:rFonts w:hint="eastAsia"/>
          <w:sz w:val="28"/>
          <w:szCs w:val="28"/>
        </w:rPr>
        <w:softHyphen/>
      </w:r>
      <w:bookmarkEnd w:id="82"/>
      <w:r>
        <w:rPr>
          <w:rFonts w:hint="eastAsia"/>
          <w:sz w:val="28"/>
          <w:szCs w:val="28"/>
        </w:rPr>
        <w:t>园艺植物育种学</w:t>
      </w:r>
      <w:bookmarkEnd w:id="83"/>
      <w:bookmarkEnd w:id="84"/>
      <w:bookmarkEnd w:id="85"/>
      <w:bookmarkEnd w:id="86"/>
      <w:bookmarkEnd w:id="87"/>
      <w:bookmarkEnd w:id="88"/>
      <w:bookmarkEnd w:id="89"/>
    </w:p>
    <w:p>
      <w:pPr>
        <w:widowControl/>
        <w:spacing w:line="360" w:lineRule="auto"/>
        <w:jc w:val="center"/>
        <w:outlineLvl w:val="0"/>
        <w:rPr>
          <w:sz w:val="24"/>
        </w:rPr>
      </w:pPr>
      <w:bookmarkStart w:id="90" w:name="_Toc4204"/>
      <w:bookmarkStart w:id="91" w:name="_Toc138076600"/>
      <w:bookmarkStart w:id="92" w:name="_Toc138070686"/>
      <w:bookmarkStart w:id="93" w:name="_Toc138070416"/>
      <w:bookmarkStart w:id="94" w:name="_Toc138076056"/>
      <w:bookmarkStart w:id="95" w:name="_Toc138066345"/>
      <w:bookmarkStart w:id="96" w:name="_Toc138068786"/>
      <w:bookmarkStart w:id="97" w:name="_Toc138076305"/>
      <w:bookmarkStart w:id="98" w:name="_Toc138064509"/>
      <w:r>
        <w:rPr>
          <w:rFonts w:hint="eastAsia"/>
          <w:sz w:val="24"/>
        </w:rPr>
        <w:t>Breeding for Horticultural plants</w:t>
      </w:r>
      <w:bookmarkEnd w:id="90"/>
      <w:bookmarkEnd w:id="91"/>
      <w:bookmarkEnd w:id="92"/>
      <w:bookmarkEnd w:id="93"/>
      <w:bookmarkEnd w:id="94"/>
      <w:bookmarkEnd w:id="95"/>
      <w:bookmarkEnd w:id="96"/>
      <w:bookmarkEnd w:id="97"/>
      <w:bookmarkEnd w:id="98"/>
    </w:p>
    <w:p>
      <w:pPr>
        <w:snapToGrid w:val="0"/>
        <w:spacing w:line="360" w:lineRule="auto"/>
        <w:rPr>
          <w:b/>
          <w:szCs w:val="21"/>
        </w:rPr>
      </w:pPr>
    </w:p>
    <w:p>
      <w:pPr>
        <w:snapToGrid w:val="0"/>
        <w:spacing w:line="360" w:lineRule="auto"/>
        <w:jc w:val="center"/>
        <w:rPr>
          <w:b/>
          <w:szCs w:val="21"/>
        </w:rPr>
      </w:pPr>
      <w:r>
        <w:rPr>
          <w:rFonts w:hint="eastAsia"/>
          <w:b/>
          <w:szCs w:val="21"/>
        </w:rPr>
        <w:t>课程基本信息</w:t>
      </w:r>
    </w:p>
    <w:tbl>
      <w:tblPr>
        <w:tblStyle w:val="22"/>
        <w:tblW w:w="5098" w:type="pct"/>
        <w:tblInd w:w="0" w:type="dxa"/>
        <w:tblLayout w:type="autofit"/>
        <w:tblCellMar>
          <w:top w:w="0" w:type="dxa"/>
          <w:left w:w="108" w:type="dxa"/>
          <w:bottom w:w="0" w:type="dxa"/>
          <w:right w:w="108" w:type="dxa"/>
        </w:tblCellMar>
      </w:tblPr>
      <w:tblGrid>
        <w:gridCol w:w="3038"/>
        <w:gridCol w:w="2649"/>
        <w:gridCol w:w="3608"/>
      </w:tblGrid>
      <w:tr>
        <w:tblPrEx>
          <w:tblCellMar>
            <w:top w:w="0" w:type="dxa"/>
            <w:left w:w="108" w:type="dxa"/>
            <w:bottom w:w="0" w:type="dxa"/>
            <w:right w:w="108" w:type="dxa"/>
          </w:tblCellMar>
        </w:tblPrEx>
        <w:tc>
          <w:tcPr>
            <w:tcW w:w="1634" w:type="pct"/>
          </w:tcPr>
          <w:p>
            <w:pPr>
              <w:spacing w:line="300" w:lineRule="auto"/>
              <w:rPr>
                <w:rFonts w:ascii="宋体" w:hAnsi="宋体"/>
                <w:b/>
                <w:bCs/>
                <w:szCs w:val="21"/>
              </w:rPr>
            </w:pPr>
            <w:r>
              <w:rPr>
                <w:rFonts w:hint="eastAsia" w:ascii="宋体" w:hAnsi="宋体"/>
                <w:b/>
                <w:bCs/>
                <w:szCs w:val="21"/>
              </w:rPr>
              <w:t>课程编号：</w:t>
            </w:r>
            <w:r>
              <w:rPr>
                <w:b/>
                <w:szCs w:val="21"/>
              </w:rPr>
              <w:t>19011</w:t>
            </w:r>
            <w:r>
              <w:rPr>
                <w:rFonts w:hint="eastAsia"/>
                <w:b/>
                <w:szCs w:val="21"/>
              </w:rPr>
              <w:t>112h</w:t>
            </w:r>
          </w:p>
        </w:tc>
        <w:tc>
          <w:tcPr>
            <w:tcW w:w="1425" w:type="pct"/>
          </w:tcPr>
          <w:p>
            <w:pPr>
              <w:spacing w:line="300" w:lineRule="auto"/>
              <w:rPr>
                <w:rFonts w:ascii="宋体" w:hAnsi="宋体"/>
                <w:b/>
                <w:bCs/>
                <w:szCs w:val="21"/>
              </w:rPr>
            </w:pPr>
            <w:r>
              <w:rPr>
                <w:rFonts w:hint="eastAsia" w:ascii="宋体" w:hAnsi="宋体"/>
                <w:b/>
                <w:bCs/>
                <w:szCs w:val="21"/>
              </w:rPr>
              <w:t>课程总学时：</w:t>
            </w:r>
            <w:r>
              <w:rPr>
                <w:rFonts w:hint="eastAsia"/>
                <w:b/>
                <w:bCs/>
                <w:szCs w:val="21"/>
              </w:rPr>
              <w:t>72</w:t>
            </w:r>
          </w:p>
        </w:tc>
        <w:tc>
          <w:tcPr>
            <w:tcW w:w="1940" w:type="pct"/>
          </w:tcPr>
          <w:p>
            <w:pPr>
              <w:spacing w:line="300" w:lineRule="auto"/>
              <w:rPr>
                <w:rFonts w:ascii="宋体" w:hAnsi="宋体"/>
                <w:b/>
                <w:bCs/>
                <w:szCs w:val="21"/>
              </w:rPr>
            </w:pPr>
            <w:r>
              <w:rPr>
                <w:rFonts w:hint="eastAsia" w:ascii="宋体" w:hAnsi="宋体"/>
                <w:b/>
                <w:bCs/>
                <w:szCs w:val="21"/>
              </w:rPr>
              <w:t>实验学时：20学时</w:t>
            </w:r>
          </w:p>
        </w:tc>
      </w:tr>
      <w:tr>
        <w:tblPrEx>
          <w:tblCellMar>
            <w:top w:w="0" w:type="dxa"/>
            <w:left w:w="108" w:type="dxa"/>
            <w:bottom w:w="0" w:type="dxa"/>
            <w:right w:w="108" w:type="dxa"/>
          </w:tblCellMar>
        </w:tblPrEx>
        <w:tc>
          <w:tcPr>
            <w:tcW w:w="1634" w:type="pct"/>
          </w:tcPr>
          <w:p>
            <w:pPr>
              <w:spacing w:line="300" w:lineRule="auto"/>
              <w:rPr>
                <w:rFonts w:ascii="宋体" w:hAnsi="宋体"/>
                <w:b/>
                <w:bCs/>
                <w:szCs w:val="21"/>
              </w:rPr>
            </w:pPr>
            <w:r>
              <w:rPr>
                <w:rFonts w:hint="eastAsia" w:ascii="宋体" w:hAnsi="宋体"/>
                <w:b/>
                <w:bCs/>
                <w:szCs w:val="21"/>
              </w:rPr>
              <w:t>课程性质：</w:t>
            </w:r>
            <w:r>
              <w:rPr>
                <w:rFonts w:hint="eastAsia"/>
                <w:b/>
                <w:bCs/>
                <w:szCs w:val="21"/>
              </w:rPr>
              <w:t>必修</w:t>
            </w:r>
          </w:p>
        </w:tc>
        <w:tc>
          <w:tcPr>
            <w:tcW w:w="1425" w:type="pct"/>
          </w:tcPr>
          <w:p>
            <w:pPr>
              <w:spacing w:line="300" w:lineRule="auto"/>
              <w:rPr>
                <w:rFonts w:ascii="宋体" w:hAnsi="宋体"/>
                <w:b/>
                <w:bCs/>
                <w:szCs w:val="21"/>
              </w:rPr>
            </w:pPr>
            <w:r>
              <w:rPr>
                <w:rFonts w:hint="eastAsia" w:ascii="宋体" w:hAnsi="宋体"/>
                <w:b/>
                <w:szCs w:val="21"/>
              </w:rPr>
              <w:t>课程属性:</w:t>
            </w:r>
            <w:r>
              <w:rPr>
                <w:rFonts w:hint="eastAsia"/>
                <w:b/>
                <w:szCs w:val="21"/>
              </w:rPr>
              <w:t>专业类</w:t>
            </w:r>
          </w:p>
        </w:tc>
        <w:tc>
          <w:tcPr>
            <w:tcW w:w="1940" w:type="pct"/>
          </w:tcPr>
          <w:p>
            <w:pPr>
              <w:spacing w:line="300" w:lineRule="auto"/>
              <w:rPr>
                <w:rFonts w:ascii="宋体" w:hAnsi="宋体"/>
                <w:b/>
                <w:bCs/>
                <w:szCs w:val="21"/>
              </w:rPr>
            </w:pPr>
            <w:r>
              <w:rPr>
                <w:rFonts w:hint="eastAsia" w:ascii="宋体" w:hAnsi="宋体"/>
                <w:b/>
                <w:bCs/>
                <w:szCs w:val="21"/>
              </w:rPr>
              <w:t>开设学期：第四学期</w:t>
            </w:r>
          </w:p>
        </w:tc>
      </w:tr>
      <w:tr>
        <w:tblPrEx>
          <w:tblCellMar>
            <w:top w:w="0" w:type="dxa"/>
            <w:left w:w="108" w:type="dxa"/>
            <w:bottom w:w="0" w:type="dxa"/>
            <w:right w:w="108" w:type="dxa"/>
          </w:tblCellMar>
        </w:tblPrEx>
        <w:tc>
          <w:tcPr>
            <w:tcW w:w="1634" w:type="pct"/>
          </w:tcPr>
          <w:p>
            <w:pPr>
              <w:spacing w:line="300" w:lineRule="auto"/>
              <w:rPr>
                <w:rFonts w:ascii="宋体" w:hAnsi="宋体"/>
                <w:b/>
                <w:bCs/>
                <w:szCs w:val="21"/>
              </w:rPr>
            </w:pPr>
            <w:r>
              <w:rPr>
                <w:rFonts w:hint="eastAsia" w:ascii="宋体" w:hAnsi="宋体"/>
                <w:b/>
                <w:bCs/>
                <w:szCs w:val="21"/>
              </w:rPr>
              <w:t>课程负责人：谭彬</w:t>
            </w:r>
          </w:p>
        </w:tc>
        <w:tc>
          <w:tcPr>
            <w:tcW w:w="1425" w:type="pct"/>
          </w:tcPr>
          <w:p>
            <w:pPr>
              <w:spacing w:line="300" w:lineRule="auto"/>
              <w:ind w:left="1054" w:hanging="1054" w:hangingChars="500"/>
              <w:rPr>
                <w:rFonts w:ascii="宋体" w:hAnsi="宋体"/>
                <w:b/>
                <w:bCs/>
                <w:szCs w:val="21"/>
              </w:rPr>
            </w:pPr>
            <w:r>
              <w:rPr>
                <w:rFonts w:hint="eastAsia" w:ascii="宋体" w:hAnsi="宋体"/>
                <w:b/>
                <w:bCs/>
                <w:szCs w:val="21"/>
              </w:rPr>
              <w:t>课程团队：园艺植物育种学教学团队</w:t>
            </w:r>
          </w:p>
        </w:tc>
        <w:tc>
          <w:tcPr>
            <w:tcW w:w="1940" w:type="pct"/>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Cs/>
                <w:szCs w:val="21"/>
              </w:rPr>
            </w:pPr>
            <w:r>
              <w:rPr>
                <w:rFonts w:hint="eastAsia" w:ascii="宋体" w:hAnsi="宋体"/>
                <w:b/>
                <w:bCs/>
                <w:szCs w:val="21"/>
              </w:rPr>
              <w:t>适用专业：</w:t>
            </w:r>
            <w:r>
              <w:rPr>
                <w:rFonts w:hint="eastAsia"/>
                <w:b/>
                <w:bCs/>
                <w:szCs w:val="21"/>
              </w:rPr>
              <w:t>园艺</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w:t>
            </w:r>
            <w:r>
              <w:rPr>
                <w:rFonts w:hint="eastAsia"/>
                <w:b/>
                <w:bCs/>
                <w:szCs w:val="21"/>
              </w:rPr>
              <w:t>植物学，园艺植物遗传学，植物生理学</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w:t>
            </w:r>
            <w:r>
              <w:rPr>
                <w:rFonts w:hint="eastAsia"/>
                <w:b/>
                <w:bCs/>
                <w:szCs w:val="21"/>
              </w:rPr>
              <w:t>园艺植物生物技术</w:t>
            </w:r>
          </w:p>
        </w:tc>
      </w:tr>
      <w:tr>
        <w:tblPrEx>
          <w:tblCellMar>
            <w:top w:w="0" w:type="dxa"/>
            <w:left w:w="108" w:type="dxa"/>
            <w:bottom w:w="0" w:type="dxa"/>
            <w:right w:w="108" w:type="dxa"/>
          </w:tblCellMar>
        </w:tblPrEx>
        <w:tc>
          <w:tcPr>
            <w:tcW w:w="1634" w:type="pct"/>
          </w:tcPr>
          <w:p>
            <w:pPr>
              <w:spacing w:line="300" w:lineRule="auto"/>
              <w:rPr>
                <w:rFonts w:ascii="宋体" w:hAnsi="宋体"/>
                <w:b/>
                <w:bCs/>
                <w:szCs w:val="21"/>
              </w:rPr>
            </w:pPr>
            <w:r>
              <w:rPr>
                <w:rFonts w:hint="eastAsia" w:ascii="宋体" w:hAnsi="宋体"/>
                <w:b/>
                <w:bCs/>
                <w:szCs w:val="21"/>
              </w:rPr>
              <w:t>主撰人：谭彬 贾芝琪 刘东明张海朋 王小贝</w:t>
            </w:r>
          </w:p>
        </w:tc>
        <w:tc>
          <w:tcPr>
            <w:tcW w:w="1425" w:type="pct"/>
          </w:tcPr>
          <w:p>
            <w:pPr>
              <w:spacing w:line="300" w:lineRule="auto"/>
              <w:rPr>
                <w:rFonts w:ascii="宋体" w:hAnsi="宋体"/>
                <w:b/>
                <w:bCs/>
                <w:szCs w:val="21"/>
              </w:rPr>
            </w:pPr>
            <w:r>
              <w:rPr>
                <w:rFonts w:hint="eastAsia" w:ascii="宋体" w:hAnsi="宋体"/>
                <w:b/>
                <w:bCs/>
                <w:szCs w:val="21"/>
              </w:rPr>
              <w:t>审核人：孙守如 吴国良</w:t>
            </w:r>
          </w:p>
        </w:tc>
        <w:tc>
          <w:tcPr>
            <w:tcW w:w="1940" w:type="pct"/>
          </w:tcPr>
          <w:p>
            <w:pPr>
              <w:spacing w:line="300" w:lineRule="auto"/>
              <w:ind w:right="-170" w:rightChars="-81"/>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rPr>
          <w:kern w:val="0"/>
          <w:szCs w:val="21"/>
        </w:rPr>
      </w:pPr>
      <w:r>
        <w:rPr>
          <w:rFonts w:hint="eastAsia"/>
          <w:kern w:val="0"/>
          <w:szCs w:val="21"/>
        </w:rPr>
        <w:t>《园艺植物育种学》是研究园艺植物品种选育原理和方法、良种繁育原理和方法的科学，本课程是园艺专业的核心课程。</w:t>
      </w:r>
    </w:p>
    <w:p>
      <w:pPr>
        <w:spacing w:line="360" w:lineRule="auto"/>
        <w:ind w:firstLine="420" w:firstLineChars="200"/>
        <w:rPr>
          <w:rFonts w:ascii="宋体" w:hAnsi="宋体"/>
          <w:bCs/>
          <w:szCs w:val="21"/>
        </w:rPr>
      </w:pPr>
      <w:r>
        <w:rPr>
          <w:rFonts w:hint="eastAsia"/>
          <w:kern w:val="0"/>
          <w:szCs w:val="21"/>
        </w:rPr>
        <w:t>学习本课程的主要目的是使学生系统掌握培育园艺植物新品种的方法和良种繁育的基本措施，掌握不同繁殖途径的园艺植物的育种特点，学会制定培育新品种的方案。课程教学以学生为主体，科研为载体，实践为中心，利用线上线下相结合、翻转课堂等的授课模式，引入课堂思政，旨在培养学生的扎实的育种学理论知识和实践技能，提高学生的综合素质，培养适应创新型、复合型、应用型人才需要。本课程任务是利用园艺植物丰富的种质资源，培育园艺生产需要的新品种，以满足人民生活、多种经营、对外贸易、美化环境等各方面对园艺生产提出的复杂要求。</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jc w:val="left"/>
        <w:rPr>
          <w:rFonts w:hAnsi="宋体"/>
          <w:kern w:val="0"/>
          <w:szCs w:val="21"/>
        </w:rPr>
      </w:pPr>
      <w:r>
        <w:rPr>
          <w:kern w:val="0"/>
          <w:szCs w:val="21"/>
        </w:rPr>
        <w:t xml:space="preserve">    </w:t>
      </w:r>
      <w:r>
        <w:rPr>
          <w:rFonts w:hint="eastAsia"/>
          <w:kern w:val="0"/>
          <w:szCs w:val="21"/>
        </w:rPr>
        <w:t xml:space="preserve">  1.</w:t>
      </w:r>
      <w:r>
        <w:rPr>
          <w:rFonts w:hAnsi="宋体"/>
          <w:kern w:val="0"/>
          <w:szCs w:val="21"/>
        </w:rPr>
        <w:t>理论知识方面：</w:t>
      </w:r>
    </w:p>
    <w:p>
      <w:pPr>
        <w:spacing w:line="360" w:lineRule="auto"/>
        <w:rPr>
          <w:szCs w:val="21"/>
        </w:rPr>
      </w:pPr>
      <w:r>
        <w:rPr>
          <w:rFonts w:hint="eastAsia" w:cs="宋体"/>
          <w:bCs/>
          <w:kern w:val="0"/>
          <w:szCs w:val="21"/>
        </w:rPr>
        <w:t>（</w:t>
      </w:r>
      <w:r>
        <w:rPr>
          <w:bCs/>
          <w:kern w:val="0"/>
          <w:szCs w:val="21"/>
        </w:rPr>
        <w:t>1</w:t>
      </w:r>
      <w:r>
        <w:rPr>
          <w:rFonts w:hint="eastAsia" w:cs="宋体"/>
          <w:bCs/>
          <w:kern w:val="0"/>
          <w:szCs w:val="21"/>
        </w:rPr>
        <w:t>）了解</w:t>
      </w:r>
      <w:r>
        <w:rPr>
          <w:rFonts w:hint="eastAsia"/>
          <w:szCs w:val="21"/>
        </w:rPr>
        <w:t>园艺植物育种的历史、现状及发展</w:t>
      </w:r>
      <w:r>
        <w:rPr>
          <w:rFonts w:hint="eastAsia" w:cs="宋体"/>
          <w:bCs/>
          <w:kern w:val="0"/>
          <w:szCs w:val="21"/>
        </w:rPr>
        <w:t>动态，明确园艺植物育种学的任务及其与其他学科的关系，</w:t>
      </w:r>
      <w:r>
        <w:rPr>
          <w:rFonts w:hint="eastAsia"/>
          <w:szCs w:val="21"/>
        </w:rPr>
        <w:t>使学生了解本课程在本专业中的地位。</w:t>
      </w:r>
    </w:p>
    <w:p>
      <w:pPr>
        <w:spacing w:line="360" w:lineRule="auto"/>
        <w:rPr>
          <w:kern w:val="0"/>
          <w:szCs w:val="21"/>
        </w:rPr>
      </w:pPr>
      <w:r>
        <w:rPr>
          <w:rFonts w:hint="eastAsia"/>
          <w:kern w:val="0"/>
          <w:szCs w:val="21"/>
        </w:rPr>
        <w:t>（</w:t>
      </w:r>
      <w:r>
        <w:rPr>
          <w:kern w:val="0"/>
          <w:szCs w:val="21"/>
        </w:rPr>
        <w:t>2</w:t>
      </w:r>
      <w:r>
        <w:rPr>
          <w:rFonts w:hint="eastAsia"/>
          <w:kern w:val="0"/>
          <w:szCs w:val="21"/>
        </w:rPr>
        <w:t>）认识园艺植物种质资源在育种工作中的重要作用，了解我国主要园艺植物种质资源的特点，掌握种质资源调查、收集、保存的—般方法，明确今后我国园艺植物资源工作的重点。</w:t>
      </w:r>
    </w:p>
    <w:p>
      <w:pPr>
        <w:spacing w:line="360" w:lineRule="auto"/>
        <w:rPr>
          <w:kern w:val="0"/>
          <w:szCs w:val="21"/>
        </w:rPr>
      </w:pPr>
      <w:r>
        <w:rPr>
          <w:rFonts w:hint="eastAsia"/>
          <w:kern w:val="0"/>
          <w:szCs w:val="21"/>
        </w:rPr>
        <w:t>（3）明确园艺植物品种的类别和特点，掌握制定育种目标的基本原则。</w:t>
      </w:r>
    </w:p>
    <w:p>
      <w:pPr>
        <w:spacing w:line="360" w:lineRule="auto"/>
        <w:rPr>
          <w:kern w:val="0"/>
          <w:szCs w:val="21"/>
        </w:rPr>
      </w:pPr>
      <w:r>
        <w:rPr>
          <w:rFonts w:hint="eastAsia"/>
          <w:kern w:val="0"/>
          <w:szCs w:val="21"/>
        </w:rPr>
        <w:t>（4）明确引种成功的衡量标准，简单引种和驯化引种的基本原理和区别，掌握引种的原则和具体方法。</w:t>
      </w:r>
    </w:p>
    <w:p>
      <w:pPr>
        <w:spacing w:line="360" w:lineRule="auto"/>
        <w:rPr>
          <w:kern w:val="0"/>
          <w:szCs w:val="21"/>
        </w:rPr>
      </w:pPr>
      <w:r>
        <w:rPr>
          <w:rFonts w:hint="eastAsia"/>
          <w:kern w:val="0"/>
          <w:szCs w:val="21"/>
        </w:rPr>
        <w:t>（5）了解杂交亲本的选择、选配原则和一、二年有性繁殖和多年生无性繁殖园艺植物的杂交育种特点、园艺植物远缘杂交育种的主要障碍；掌握有性杂交育种的技术。</w:t>
      </w:r>
    </w:p>
    <w:p>
      <w:pPr>
        <w:spacing w:line="360" w:lineRule="auto"/>
        <w:rPr>
          <w:color w:val="000000" w:themeColor="text1"/>
          <w:kern w:val="0"/>
          <w:szCs w:val="21"/>
          <w14:textFill>
            <w14:solidFill>
              <w14:schemeClr w14:val="tx1"/>
            </w14:solidFill>
          </w14:textFill>
        </w:rPr>
      </w:pPr>
      <w:r>
        <w:rPr>
          <w:rFonts w:hint="eastAsia"/>
          <w:kern w:val="0"/>
          <w:szCs w:val="21"/>
        </w:rPr>
        <w:t>（6）了解园艺植物选种的类别、特点，</w:t>
      </w:r>
      <w:r>
        <w:rPr>
          <w:rFonts w:hint="eastAsia"/>
          <w:color w:val="000000" w:themeColor="text1"/>
          <w:kern w:val="0"/>
          <w:szCs w:val="21"/>
          <w14:textFill>
            <w14:solidFill>
              <w14:schemeClr w14:val="tx1"/>
            </w14:solidFill>
          </w14:textFill>
        </w:rPr>
        <w:t>及其在园艺育种中的重要作用，掌握园艺植物实生选种和芽变选种的方法。</w:t>
      </w:r>
    </w:p>
    <w:p>
      <w:pPr>
        <w:spacing w:line="360" w:lineRule="auto"/>
        <w:rPr>
          <w:color w:val="000000" w:themeColor="text1"/>
          <w:szCs w:val="21"/>
          <w14:textFill>
            <w14:solidFill>
              <w14:schemeClr w14:val="tx1"/>
            </w14:solidFill>
          </w14:textFill>
        </w:rPr>
      </w:pPr>
      <w:r>
        <w:rPr>
          <w:rFonts w:hint="eastAsia" w:cs="宋体"/>
          <w:color w:val="000000" w:themeColor="text1"/>
          <w:kern w:val="0"/>
          <w:szCs w:val="21"/>
          <w14:textFill>
            <w14:solidFill>
              <w14:schemeClr w14:val="tx1"/>
            </w14:solidFill>
          </w14:textFill>
        </w:rPr>
        <w:t>（7）</w:t>
      </w:r>
      <w:r>
        <w:rPr>
          <w:rFonts w:hint="eastAsia"/>
          <w:color w:val="000000" w:themeColor="text1"/>
          <w:szCs w:val="21"/>
          <w14:textFill>
            <w14:solidFill>
              <w14:schemeClr w14:val="tx1"/>
            </w14:solidFill>
          </w14:textFill>
        </w:rPr>
        <w:t>了解园艺植物诱变育种的特点、诱变源的种类，及园艺植物诱变育种的发展动态，掌握辐射诱变育种的基本方法。</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（8）了解生物技术在园艺植物育种中的作用。</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（9）了解园艺植物的良种繁育的重要作用，以及园艺植物品种在繁育过程中存在的主要问题，掌握防止品种退化基本措施。</w:t>
      </w:r>
    </w:p>
    <w:p>
      <w:pPr>
        <w:widowControl/>
        <w:snapToGrid w:val="0"/>
        <w:spacing w:line="360" w:lineRule="auto"/>
        <w:jc w:val="left"/>
        <w:rPr>
          <w:rFonts w:hAnsi="宋体"/>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 xml:space="preserve">  2.</w:t>
      </w:r>
      <w:r>
        <w:rPr>
          <w:rFonts w:hAnsi="宋体"/>
          <w:color w:val="000000" w:themeColor="text1"/>
          <w:kern w:val="0"/>
          <w:szCs w:val="21"/>
          <w14:textFill>
            <w14:solidFill>
              <w14:schemeClr w14:val="tx1"/>
            </w14:solidFill>
          </w14:textFill>
        </w:rPr>
        <w:t>实验技能方面：</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（1）掌握园艺植物开花习性观察的基本方法。</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（2）掌握园艺植物有性杂交技术。</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（3）掌握园艺植物花粉生活力测定的方法。</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（4）掌握育种材料抗寒性鉴定的方法。</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（5）掌握自交不亲和雄性不育材料的鉴定方法。</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w:t>
      </w:r>
      <w:r>
        <w:rPr>
          <w:color w:val="000000" w:themeColor="text1"/>
          <w:kern w:val="0"/>
          <w:szCs w:val="21"/>
          <w14:textFill>
            <w14:solidFill>
              <w14:schemeClr w14:val="tx1"/>
            </w14:solidFill>
          </w14:textFill>
        </w:rPr>
        <w:t>6</w:t>
      </w:r>
      <w:r>
        <w:rPr>
          <w:rFonts w:hint="eastAsia"/>
          <w:color w:val="000000" w:themeColor="text1"/>
          <w:kern w:val="0"/>
          <w:szCs w:val="21"/>
          <w14:textFill>
            <w14:solidFill>
              <w14:schemeClr w14:val="tx1"/>
            </w14:solidFill>
          </w14:textFill>
        </w:rPr>
        <w:t>）了解种质保存的方法和种质资源圃构成。</w:t>
      </w:r>
    </w:p>
    <w:p>
      <w:pPr>
        <w:spacing w:line="360" w:lineRule="auto"/>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（7）学会制定某种园艺植物的引种计划。</w:t>
      </w:r>
    </w:p>
    <w:p>
      <w:pPr>
        <w:widowControl/>
        <w:snapToGrid w:val="0"/>
        <w:spacing w:line="360" w:lineRule="auto"/>
        <w:jc w:val="left"/>
        <w:rPr>
          <w:rFonts w:hAnsi="宋体"/>
          <w:color w:val="000000" w:themeColor="text1"/>
          <w:kern w:val="0"/>
          <w:szCs w:val="21"/>
          <w14:textFill>
            <w14:solidFill>
              <w14:schemeClr w14:val="tx1"/>
            </w14:solidFill>
          </w14:textFill>
        </w:rPr>
      </w:pPr>
    </w:p>
    <w:p>
      <w:pPr>
        <w:widowControl/>
        <w:snapToGrid w:val="0"/>
        <w:spacing w:line="360" w:lineRule="auto"/>
        <w:jc w:val="left"/>
        <w:rPr>
          <w:rFonts w:hAnsi="宋体"/>
          <w:b/>
          <w:bCs/>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三、</w:t>
      </w:r>
      <w:r>
        <w:rPr>
          <w:rFonts w:hint="eastAsia" w:hAnsi="宋体"/>
          <w:b/>
          <w:bCs/>
          <w:color w:val="000000" w:themeColor="text1"/>
          <w:kern w:val="0"/>
          <w:szCs w:val="21"/>
          <w14:textFill>
            <w14:solidFill>
              <w14:schemeClr w14:val="tx1"/>
            </w14:solidFill>
          </w14:textFill>
        </w:rPr>
        <w:t>课程的教学设计</w:t>
      </w:r>
    </w:p>
    <w:p>
      <w:pPr>
        <w:spacing w:line="400" w:lineRule="exact"/>
        <w:ind w:firstLine="420" w:firstLineChars="200"/>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1.教学设计说明</w:t>
      </w:r>
    </w:p>
    <w:p>
      <w:pPr>
        <w:spacing w:line="400" w:lineRule="exact"/>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教学内容既涵盖园艺植物育种所需的基本知识、基本理论和基本技能，又体现前沿性与时代性，及时将学术研究、科技发展前沿成果引入课程。</w:t>
      </w:r>
      <w:r>
        <w:rPr>
          <w:rFonts w:hint="eastAsia" w:hAnsi="宋体"/>
          <w:bCs/>
          <w:color w:val="000000" w:themeColor="text1"/>
          <w:kern w:val="0"/>
          <w14:textFill>
            <w14:solidFill>
              <w14:schemeClr w14:val="tx1"/>
            </w14:solidFill>
          </w14:textFill>
        </w:rPr>
        <w:t>以</w:t>
      </w:r>
      <w:r>
        <w:rPr>
          <w:rFonts w:hAnsi="宋体"/>
          <w:bCs/>
          <w:color w:val="000000" w:themeColor="text1"/>
          <w:kern w:val="0"/>
          <w14:textFill>
            <w14:solidFill>
              <w14:schemeClr w14:val="tx1"/>
            </w14:solidFill>
          </w14:textFill>
        </w:rPr>
        <w:t>课程</w:t>
      </w:r>
      <w:r>
        <w:rPr>
          <w:rFonts w:hint="eastAsia" w:hAnsi="宋体"/>
          <w:bCs/>
          <w:color w:val="000000" w:themeColor="text1"/>
          <w:kern w:val="0"/>
          <w14:textFill>
            <w14:solidFill>
              <w14:schemeClr w14:val="tx1"/>
            </w14:solidFill>
          </w14:textFill>
        </w:rPr>
        <w:t>团队组织教学</w:t>
      </w:r>
      <w:r>
        <w:rPr>
          <w:rFonts w:hAnsi="宋体"/>
          <w:bCs/>
          <w:color w:val="000000" w:themeColor="text1"/>
          <w:kern w:val="0"/>
          <w14:textFill>
            <w14:solidFill>
              <w14:schemeClr w14:val="tx1"/>
            </w14:solidFill>
          </w14:textFill>
        </w:rPr>
        <w:t>，</w:t>
      </w:r>
      <w:r>
        <w:rPr>
          <w:rFonts w:hint="eastAsia" w:hAnsi="宋体"/>
          <w:bCs/>
          <w:color w:val="000000" w:themeColor="text1"/>
          <w:kern w:val="0"/>
          <w14:textFill>
            <w14:solidFill>
              <w14:schemeClr w14:val="tx1"/>
            </w14:solidFill>
          </w14:textFill>
        </w:rPr>
        <w:t>根据教师研究特长分配教学任务</w:t>
      </w:r>
      <w:r>
        <w:rPr>
          <w:rFonts w:hAnsi="宋体"/>
          <w:bCs/>
          <w:color w:val="000000" w:themeColor="text1"/>
          <w:kern w:val="0"/>
          <w14:textFill>
            <w14:solidFill>
              <w14:schemeClr w14:val="tx1"/>
            </w14:solidFill>
          </w14:textFill>
        </w:rPr>
        <w:t>，</w:t>
      </w:r>
      <w:r>
        <w:rPr>
          <w:rFonts w:hint="eastAsia"/>
          <w:color w:val="000000" w:themeColor="text1"/>
          <w:kern w:val="0"/>
          <w:szCs w:val="21"/>
          <w14:textFill>
            <w14:solidFill>
              <w14:schemeClr w14:val="tx1"/>
            </w14:solidFill>
          </w14:textFill>
        </w:rPr>
        <w:t>教学方法以课堂讲授线下教学为主，同时深度融合现代信息技术，结合线上网络教学，丰富教学资源，积极引导学生进行探究式与个性化学习。教学过程充分体现启发性、科学性和时代性。将现代育种技术方法融入实践教学，拓宽知识结构，激发学生的学习动力。通过多元化评价和反馈体系，改进教学内容和教学方式，与时俱进。将课堂思政融入课堂，明白育种是握紧饭碗的重要性，激发学生投身园艺植物育种的积极性。</w:t>
      </w:r>
    </w:p>
    <w:p>
      <w:pPr>
        <w:numPr>
          <w:ilvl w:val="0"/>
          <w:numId w:val="15"/>
        </w:numPr>
        <w:spacing w:line="400" w:lineRule="exact"/>
        <w:ind w:firstLine="420" w:firstLineChars="200"/>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课程目标及对毕业要求的支撑</w:t>
      </w:r>
    </w:p>
    <w:p>
      <w:pPr>
        <w:numPr>
          <w:ilvl w:val="0"/>
          <w:numId w:val="0"/>
        </w:numPr>
        <w:spacing w:line="400" w:lineRule="exact"/>
        <w:rPr>
          <w:rFonts w:hint="eastAsia" w:hAnsi="宋体"/>
          <w:bCs/>
          <w:color w:val="000000" w:themeColor="text1"/>
          <w:kern w:val="0"/>
          <w:szCs w:val="21"/>
          <w14:textFill>
            <w14:solidFill>
              <w14:schemeClr w14:val="tx1"/>
            </w14:solidFill>
          </w14:textFill>
        </w:rPr>
      </w:pPr>
    </w:p>
    <w:p>
      <w:pPr>
        <w:numPr>
          <w:ilvl w:val="0"/>
          <w:numId w:val="0"/>
        </w:numPr>
        <w:spacing w:line="400" w:lineRule="exact"/>
        <w:rPr>
          <w:rFonts w:hint="eastAsia" w:hAnsi="宋体"/>
          <w:bCs/>
          <w:color w:val="000000" w:themeColor="text1"/>
          <w:kern w:val="0"/>
          <w:szCs w:val="21"/>
          <w14:textFill>
            <w14:solidFill>
              <w14:schemeClr w14:val="tx1"/>
            </w14:solidFill>
          </w14:textFill>
        </w:rPr>
      </w:pPr>
    </w:p>
    <w:tbl>
      <w:tblPr>
        <w:tblStyle w:val="2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Ansi="宋体"/>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目标1：通过本课程学习，使学生树立牢固的专业思想，懂农业、爱农村、爱农民，立志服务“三农”，践行可持续发展理念。</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p>
            <w:pPr>
              <w:spacing w:line="32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Ansi="宋体"/>
                <w:color w:val="000000" w:themeColor="text1"/>
                <w:sz w:val="18"/>
                <w:szCs w:val="18"/>
                <w:highlight w:val="yellow"/>
                <w14:textFill>
                  <w14:solidFill>
                    <w14:schemeClr w14:val="tx1"/>
                  </w14:solidFill>
                </w14:textFill>
              </w:rPr>
            </w:pPr>
            <w:r>
              <w:rPr>
                <w:rFonts w:hint="eastAsia"/>
                <w:color w:val="000000" w:themeColor="text1"/>
                <w:sz w:val="18"/>
                <w:szCs w:val="18"/>
                <w14:textFill>
                  <w14:solidFill>
                    <w14:schemeClr w14:val="tx1"/>
                  </w14:solidFill>
                </w14:textFill>
              </w:rPr>
              <w:t>目标2：通过课程学习，使学生</w:t>
            </w:r>
            <w:r>
              <w:rPr>
                <w:rFonts w:hint="eastAsia" w:hAnsi="宋体"/>
                <w:color w:val="000000" w:themeColor="text1"/>
                <w:sz w:val="18"/>
                <w:szCs w:val="18"/>
                <w14:textFill>
                  <w14:solidFill>
                    <w14:schemeClr w14:val="tx1"/>
                  </w14:solidFill>
                </w14:textFill>
              </w:rPr>
              <w:t>具备扎实的育种学基础理论、专业知识和实验技能。了解育种学相关领域最新动态和发展趋势。能够应用本学科基本理论和方法对本专业领域现象和问题进行判断、分析和研究，提出相应对策和建议。能够对育种相关领域文献信息进行收集、整理，具有分析问题，从事科学研究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p>
            <w:pPr>
              <w:spacing w:line="32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w:t>
            </w:r>
          </w:p>
          <w:p>
            <w:pPr>
              <w:spacing w:line="32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目标3：通过课程学习，使学生具备从事园艺植物新品种选育、良种繁育、分子育种及新品种推广能力；具备利用所学知识进行创新创业的能力。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目标4：通过课程学习，使学生具备较强的沟通表达和协调能力；通过合作完成实践任务，使学生具有较强的团队合作精神。培养学生自主学习能力和可持续发展能力。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p>
            <w:pPr>
              <w:spacing w:line="320" w:lineRule="exac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w:t>
            </w:r>
          </w:p>
        </w:tc>
      </w:tr>
    </w:tbl>
    <w:p>
      <w:pPr>
        <w:spacing w:line="400" w:lineRule="exact"/>
        <w:rPr>
          <w:rFonts w:hAnsi="宋体"/>
          <w:bCs/>
          <w:color w:val="000000" w:themeColor="text1"/>
          <w:kern w:val="0"/>
          <w:szCs w:val="21"/>
          <w14:textFill>
            <w14:solidFill>
              <w14:schemeClr w14:val="tx1"/>
            </w14:solidFill>
          </w14:textFill>
        </w:rPr>
      </w:pPr>
    </w:p>
    <w:p>
      <w:pPr>
        <w:widowControl/>
        <w:snapToGrid w:val="0"/>
        <w:spacing w:line="360" w:lineRule="auto"/>
        <w:jc w:val="left"/>
        <w:rPr>
          <w:rFonts w:hAnsi="宋体"/>
          <w:b/>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（52学时）</w:t>
      </w:r>
    </w:p>
    <w:p>
      <w:pPr>
        <w:widowControl/>
        <w:wordWrap w:val="0"/>
        <w:snapToGrid w:val="0"/>
        <w:spacing w:line="360" w:lineRule="auto"/>
        <w:jc w:val="center"/>
        <w:rPr>
          <w:kern w:val="0"/>
          <w:szCs w:val="21"/>
        </w:rPr>
      </w:pPr>
      <w:r>
        <w:rPr>
          <w:rFonts w:hint="eastAsia" w:hAnsi="宋体"/>
          <w:b/>
          <w:bCs/>
          <w:kern w:val="0"/>
          <w:szCs w:val="21"/>
        </w:rPr>
        <w:t xml:space="preserve">绪论                 </w:t>
      </w:r>
      <w:r>
        <w:rPr>
          <w:rFonts w:hAnsi="宋体"/>
          <w:b/>
          <w:bCs/>
          <w:kern w:val="0"/>
          <w:szCs w:val="21"/>
        </w:rPr>
        <w:t>学时</w:t>
      </w:r>
      <w:r>
        <w:rPr>
          <w:rFonts w:hint="eastAsia" w:hAnsi="宋体"/>
          <w:b/>
          <w:bCs/>
          <w:kern w:val="0"/>
          <w:szCs w:val="21"/>
        </w:rPr>
        <w:t>数：4学时</w:t>
      </w:r>
    </w:p>
    <w:p>
      <w:pPr>
        <w:spacing w:line="360" w:lineRule="auto"/>
        <w:rPr>
          <w:kern w:val="0"/>
          <w:szCs w:val="21"/>
        </w:rPr>
      </w:pPr>
      <w:r>
        <w:rPr>
          <w:rFonts w:hint="eastAsia"/>
          <w:b/>
          <w:kern w:val="0"/>
          <w:szCs w:val="21"/>
        </w:rPr>
        <w:t>教学目标：</w:t>
      </w:r>
      <w:r>
        <w:rPr>
          <w:rFonts w:hint="eastAsia"/>
          <w:kern w:val="0"/>
          <w:szCs w:val="21"/>
        </w:rPr>
        <w:t>通过本章的学习，使同学明确园艺植物育种学的研究内容和育种工作者的基本任务、发展历程和取得的成就，产生浓厚的学习兴趣。</w:t>
      </w:r>
    </w:p>
    <w:p>
      <w:pPr>
        <w:spacing w:line="360" w:lineRule="auto"/>
        <w:rPr>
          <w:kern w:val="0"/>
          <w:szCs w:val="21"/>
        </w:rPr>
      </w:pPr>
      <w:r>
        <w:rPr>
          <w:rFonts w:hint="eastAsia"/>
          <w:b/>
          <w:kern w:val="0"/>
          <w:szCs w:val="21"/>
        </w:rPr>
        <w:t>教学重点和难点：</w:t>
      </w:r>
      <w:r>
        <w:rPr>
          <w:rFonts w:hint="eastAsia"/>
          <w:kern w:val="0"/>
          <w:szCs w:val="21"/>
        </w:rPr>
        <w:t>品种、良种的概念；园艺植物繁殖习性和授粉习性及其对遗传变异的影响。</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w:t>
      </w:r>
      <w:r>
        <w:rPr>
          <w:kern w:val="0"/>
          <w:szCs w:val="21"/>
        </w:rPr>
        <w:t>园艺植物育种学的研究内容；园艺育种工作者的任务；学习该课程的重要性</w:t>
      </w:r>
      <w:r>
        <w:rPr>
          <w:rFonts w:hint="eastAsia"/>
          <w:kern w:val="0"/>
          <w:szCs w:val="21"/>
        </w:rPr>
        <w:t>。</w:t>
      </w:r>
    </w:p>
    <w:p>
      <w:pPr>
        <w:spacing w:line="360" w:lineRule="auto"/>
        <w:ind w:firstLine="420" w:firstLineChars="200"/>
        <w:rPr>
          <w:kern w:val="0"/>
          <w:szCs w:val="21"/>
        </w:rPr>
      </w:pPr>
      <w:r>
        <w:rPr>
          <w:rFonts w:hint="eastAsia"/>
          <w:kern w:val="0"/>
          <w:szCs w:val="21"/>
        </w:rPr>
        <w:t>理解：</w:t>
      </w:r>
      <w:r>
        <w:rPr>
          <w:kern w:val="0"/>
          <w:szCs w:val="21"/>
        </w:rPr>
        <w:t>育种学与其他学科的关系</w:t>
      </w:r>
      <w:r>
        <w:rPr>
          <w:rFonts w:hint="eastAsia"/>
          <w:kern w:val="0"/>
          <w:szCs w:val="21"/>
        </w:rPr>
        <w:t>。</w:t>
      </w:r>
    </w:p>
    <w:p>
      <w:pPr>
        <w:spacing w:line="360" w:lineRule="auto"/>
        <w:ind w:firstLine="420" w:firstLineChars="200"/>
        <w:rPr>
          <w:kern w:val="0"/>
          <w:szCs w:val="21"/>
        </w:rPr>
      </w:pPr>
      <w:r>
        <w:rPr>
          <w:rFonts w:hint="eastAsia"/>
          <w:kern w:val="0"/>
          <w:szCs w:val="21"/>
        </w:rPr>
        <w:t>掌握：</w:t>
      </w:r>
      <w:r>
        <w:rPr>
          <w:kern w:val="0"/>
          <w:szCs w:val="21"/>
        </w:rPr>
        <w:t>良种的概念；</w:t>
      </w:r>
      <w:r>
        <w:rPr>
          <w:rFonts w:hint="eastAsia"/>
          <w:kern w:val="0"/>
          <w:szCs w:val="21"/>
        </w:rPr>
        <w:t>园艺植物繁殖习性和授粉习性；</w:t>
      </w:r>
      <w:r>
        <w:rPr>
          <w:kern w:val="0"/>
          <w:szCs w:val="21"/>
        </w:rPr>
        <w:t>园艺植物育种的发展动态</w:t>
      </w:r>
      <w:r>
        <w:rPr>
          <w:rFonts w:hint="eastAsia"/>
          <w:kern w:val="0"/>
          <w:szCs w:val="21"/>
        </w:rPr>
        <w:t>。</w:t>
      </w:r>
    </w:p>
    <w:p>
      <w:pPr>
        <w:spacing w:line="360" w:lineRule="auto"/>
        <w:ind w:firstLine="420" w:firstLineChars="200"/>
        <w:rPr>
          <w:kern w:val="0"/>
          <w:szCs w:val="21"/>
        </w:rPr>
      </w:pPr>
      <w:r>
        <w:rPr>
          <w:rFonts w:hint="eastAsia"/>
          <w:kern w:val="0"/>
          <w:szCs w:val="21"/>
        </w:rPr>
        <w:t>熟练掌握：</w:t>
      </w:r>
      <w:r>
        <w:rPr>
          <w:kern w:val="0"/>
          <w:szCs w:val="21"/>
        </w:rPr>
        <w:t>品种的概念和特点</w:t>
      </w:r>
      <w:r>
        <w:rPr>
          <w:rFonts w:hint="eastAsia"/>
          <w:kern w:val="0"/>
          <w:szCs w:val="21"/>
        </w:rPr>
        <w:t>。</w:t>
      </w:r>
    </w:p>
    <w:p>
      <w:pPr>
        <w:spacing w:line="360" w:lineRule="auto"/>
        <w:rPr>
          <w:b/>
          <w:kern w:val="0"/>
          <w:szCs w:val="21"/>
        </w:rPr>
      </w:pPr>
      <w:r>
        <w:rPr>
          <w:rFonts w:hint="eastAsia" w:ascii="宋体" w:hAnsi="宋体"/>
          <w:b/>
          <w:bCs/>
        </w:rPr>
        <w:t>教学组织与实施：</w:t>
      </w:r>
      <w:r>
        <w:rPr>
          <w:rFonts w:hint="eastAsia" w:ascii="宋体" w:hAnsi="宋体"/>
        </w:rPr>
        <w:t>课堂讲授方式结合大量图片资料介绍</w:t>
      </w:r>
      <w:r>
        <w:rPr>
          <w:kern w:val="0"/>
          <w:szCs w:val="21"/>
        </w:rPr>
        <w:t>园艺植物育种的发展动态</w:t>
      </w:r>
      <w:r>
        <w:rPr>
          <w:rFonts w:hint="eastAsia"/>
          <w:kern w:val="0"/>
          <w:szCs w:val="21"/>
        </w:rPr>
        <w:t>和</w:t>
      </w:r>
      <w:r>
        <w:rPr>
          <w:kern w:val="0"/>
          <w:szCs w:val="21"/>
        </w:rPr>
        <w:t>园艺植物育种的主要途径</w:t>
      </w:r>
      <w:r>
        <w:rPr>
          <w:rFonts w:hint="eastAsia"/>
          <w:kern w:val="0"/>
          <w:szCs w:val="21"/>
        </w:rPr>
        <w:t>；引导学生思考园艺植物繁育方式和授粉习性对遗传变异有哪些影响，引导学生讨论掌握品种的概念及特点。通过介绍我国园艺育种的发展现状，激发学生学农爱农的情怀。</w:t>
      </w:r>
    </w:p>
    <w:p>
      <w:pPr>
        <w:widowControl/>
        <w:wordWrap w:val="0"/>
        <w:snapToGrid w:val="0"/>
        <w:spacing w:line="360" w:lineRule="auto"/>
        <w:jc w:val="right"/>
        <w:rPr>
          <w:rFonts w:ascii="宋体" w:hAnsi="宋体"/>
          <w:b/>
          <w:bCs/>
        </w:rPr>
      </w:pPr>
      <w:r>
        <w:rPr>
          <w:b/>
          <w:bCs/>
          <w:kern w:val="0"/>
          <w:szCs w:val="21"/>
        </w:rPr>
        <w:t>    </w:t>
      </w:r>
      <w:r>
        <w:rPr>
          <w:rFonts w:hAnsi="宋体"/>
          <w:b/>
          <w:bCs/>
          <w:kern w:val="0"/>
          <w:szCs w:val="21"/>
        </w:rPr>
        <w:t>第一章</w:t>
      </w:r>
      <w:r>
        <w:rPr>
          <w:b/>
          <w:bCs/>
          <w:kern w:val="0"/>
          <w:szCs w:val="21"/>
        </w:rPr>
        <w:t>     </w:t>
      </w:r>
      <w:r>
        <w:rPr>
          <w:rFonts w:hint="eastAsia" w:cs="宋体"/>
          <w:b/>
          <w:kern w:val="0"/>
          <w:szCs w:val="21"/>
        </w:rPr>
        <w:t>育种对象和目标</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数：2学时</w:t>
      </w:r>
    </w:p>
    <w:p>
      <w:pPr>
        <w:spacing w:line="360" w:lineRule="auto"/>
        <w:rPr>
          <w:b/>
          <w:kern w:val="0"/>
          <w:szCs w:val="21"/>
        </w:rPr>
      </w:pPr>
      <w:r>
        <w:rPr>
          <w:rFonts w:hint="eastAsia"/>
          <w:b/>
          <w:kern w:val="0"/>
          <w:szCs w:val="21"/>
        </w:rPr>
        <w:t>教学目的：</w:t>
      </w:r>
      <w:r>
        <w:rPr>
          <w:rFonts w:hint="eastAsia"/>
          <w:kern w:val="0"/>
          <w:szCs w:val="21"/>
        </w:rPr>
        <w:t>通过本章的学习，明确主要园艺植物育种目标制定的原则和方法，品种的类型及选育特点，以及园艺植物主要的育种目标。</w:t>
      </w:r>
    </w:p>
    <w:p>
      <w:pPr>
        <w:spacing w:line="360" w:lineRule="auto"/>
        <w:rPr>
          <w:b/>
          <w:kern w:val="0"/>
          <w:szCs w:val="21"/>
        </w:rPr>
      </w:pPr>
      <w:r>
        <w:rPr>
          <w:rFonts w:hint="eastAsia"/>
          <w:b/>
          <w:kern w:val="0"/>
          <w:szCs w:val="21"/>
        </w:rPr>
        <w:t>教学重点和难点：</w:t>
      </w:r>
      <w:r>
        <w:rPr>
          <w:rFonts w:hint="eastAsia"/>
          <w:kern w:val="0"/>
          <w:szCs w:val="21"/>
        </w:rPr>
        <w:t>园艺植物主要育种目标；园艺植物育种目标制定。</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了解：选择育种对象的主要依据。</w:t>
      </w:r>
    </w:p>
    <w:p>
      <w:pPr>
        <w:spacing w:line="360" w:lineRule="auto"/>
        <w:ind w:firstLine="420" w:firstLineChars="200"/>
        <w:rPr>
          <w:kern w:val="0"/>
          <w:szCs w:val="21"/>
        </w:rPr>
      </w:pPr>
      <w:r>
        <w:rPr>
          <w:rFonts w:hint="eastAsia"/>
          <w:kern w:val="0"/>
          <w:szCs w:val="21"/>
        </w:rPr>
        <w:t>理解：品种的类型及选育特点。</w:t>
      </w:r>
    </w:p>
    <w:p>
      <w:pPr>
        <w:spacing w:line="360" w:lineRule="auto"/>
        <w:ind w:firstLine="420" w:firstLineChars="200"/>
        <w:rPr>
          <w:kern w:val="0"/>
          <w:szCs w:val="21"/>
        </w:rPr>
      </w:pPr>
      <w:r>
        <w:rPr>
          <w:rFonts w:hint="eastAsia"/>
          <w:kern w:val="0"/>
          <w:szCs w:val="21"/>
        </w:rPr>
        <w:t>掌握：园艺植物育种目标制定的主要根据和原则。</w:t>
      </w:r>
    </w:p>
    <w:p>
      <w:pPr>
        <w:spacing w:line="360" w:lineRule="auto"/>
        <w:ind w:firstLine="420" w:firstLineChars="200"/>
        <w:rPr>
          <w:rFonts w:ascii="宋体" w:hAnsi="宋体"/>
          <w:b/>
          <w:bCs/>
        </w:rPr>
      </w:pPr>
      <w:r>
        <w:rPr>
          <w:rFonts w:hint="eastAsia"/>
          <w:kern w:val="0"/>
          <w:szCs w:val="21"/>
        </w:rPr>
        <w:t>熟练掌握：园艺植物主要育种目标；园艺植物育种目标制定。</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课堂讲授方式结合大量图片资料介绍</w:t>
      </w:r>
      <w:r>
        <w:rPr>
          <w:rFonts w:hint="eastAsia"/>
          <w:kern w:val="0"/>
          <w:szCs w:val="21"/>
        </w:rPr>
        <w:t>品种的类型及选育特点。学生根据课堂学习园艺植物育种主要育种目标及制定目标的主要根据和原则，选择一种园艺植物通过市场调查，制定育种目标，并进行分组讨论。</w:t>
      </w:r>
    </w:p>
    <w:p>
      <w:pPr>
        <w:widowControl/>
        <w:adjustRightInd w:val="0"/>
        <w:snapToGrid w:val="0"/>
        <w:spacing w:line="360" w:lineRule="auto"/>
        <w:jc w:val="right"/>
        <w:rPr>
          <w:rFonts w:cs="宋体"/>
          <w:b/>
          <w:bCs/>
          <w:kern w:val="0"/>
          <w:szCs w:val="21"/>
        </w:rPr>
      </w:pPr>
      <w:r>
        <w:rPr>
          <w:rFonts w:hint="eastAsia"/>
          <w:b/>
          <w:szCs w:val="21"/>
        </w:rPr>
        <w:t>第二章 园艺植物种质资源</w:t>
      </w:r>
      <w:r>
        <w:rPr>
          <w:rFonts w:hint="eastAsia" w:cs="宋体"/>
          <w:b/>
          <w:bCs/>
          <w:kern w:val="0"/>
          <w:szCs w:val="21"/>
        </w:rPr>
        <w:t xml:space="preserve">                             </w:t>
      </w:r>
      <w:r>
        <w:rPr>
          <w:rFonts w:hint="eastAsia" w:cs="宋体"/>
          <w:bCs/>
          <w:kern w:val="0"/>
          <w:szCs w:val="21"/>
        </w:rPr>
        <w:t xml:space="preserve">    </w:t>
      </w:r>
      <w:r>
        <w:rPr>
          <w:rFonts w:hint="eastAsia" w:cs="宋体"/>
          <w:b/>
          <w:bCs/>
          <w:kern w:val="0"/>
          <w:szCs w:val="21"/>
        </w:rPr>
        <w:t>6</w:t>
      </w:r>
      <w:r>
        <w:rPr>
          <w:rFonts w:hint="eastAsia" w:cs="宋体"/>
          <w:b/>
          <w:kern w:val="0"/>
          <w:szCs w:val="21"/>
        </w:rPr>
        <w:t>学时</w:t>
      </w:r>
    </w:p>
    <w:p>
      <w:pPr>
        <w:spacing w:line="360" w:lineRule="auto"/>
        <w:rPr>
          <w:b/>
          <w:kern w:val="0"/>
          <w:szCs w:val="21"/>
        </w:rPr>
      </w:pPr>
      <w:r>
        <w:rPr>
          <w:rFonts w:hint="eastAsia"/>
          <w:b/>
          <w:kern w:val="0"/>
          <w:szCs w:val="21"/>
        </w:rPr>
        <w:t>教学目的：</w:t>
      </w:r>
      <w:r>
        <w:rPr>
          <w:rFonts w:hint="eastAsia"/>
          <w:kern w:val="0"/>
          <w:szCs w:val="21"/>
        </w:rPr>
        <w:t>通过本章的学习，明确种植资源的研究内容和种质资源保存的方法。</w:t>
      </w:r>
    </w:p>
    <w:p>
      <w:pPr>
        <w:spacing w:line="360" w:lineRule="auto"/>
        <w:rPr>
          <w:b/>
          <w:kern w:val="0"/>
          <w:szCs w:val="21"/>
        </w:rPr>
      </w:pPr>
      <w:r>
        <w:rPr>
          <w:rFonts w:hint="eastAsia"/>
          <w:b/>
          <w:kern w:val="0"/>
          <w:szCs w:val="21"/>
        </w:rPr>
        <w:t>教学重点和难点：</w:t>
      </w:r>
      <w:r>
        <w:rPr>
          <w:rFonts w:hint="eastAsia"/>
          <w:kern w:val="0"/>
          <w:szCs w:val="21"/>
        </w:rPr>
        <w:t>园艺种质资源保存的方法。</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w:t>
      </w:r>
      <w:r>
        <w:rPr>
          <w:kern w:val="0"/>
          <w:szCs w:val="21"/>
        </w:rPr>
        <w:t>园艺植物种质资源在育种工作中的重要作用</w:t>
      </w:r>
      <w:r>
        <w:rPr>
          <w:rFonts w:hint="eastAsia"/>
          <w:kern w:val="0"/>
          <w:szCs w:val="21"/>
        </w:rPr>
        <w:t>；</w:t>
      </w:r>
      <w:r>
        <w:rPr>
          <w:kern w:val="0"/>
          <w:szCs w:val="21"/>
        </w:rPr>
        <w:t>我国主要园艺植物种质资源的特点</w:t>
      </w:r>
      <w:r>
        <w:rPr>
          <w:rFonts w:hint="eastAsia"/>
          <w:kern w:val="0"/>
          <w:szCs w:val="21"/>
        </w:rPr>
        <w:t>；</w:t>
      </w:r>
      <w:r>
        <w:rPr>
          <w:kern w:val="0"/>
          <w:szCs w:val="21"/>
        </w:rPr>
        <w:t>种质资源调查方案的确定</w:t>
      </w:r>
      <w:r>
        <w:rPr>
          <w:rFonts w:hint="eastAsia"/>
          <w:kern w:val="0"/>
          <w:szCs w:val="21"/>
        </w:rPr>
        <w:t>。</w:t>
      </w:r>
    </w:p>
    <w:p>
      <w:pPr>
        <w:spacing w:line="360" w:lineRule="auto"/>
        <w:ind w:firstLine="420" w:firstLineChars="200"/>
        <w:rPr>
          <w:kern w:val="0"/>
          <w:szCs w:val="21"/>
        </w:rPr>
      </w:pPr>
      <w:r>
        <w:rPr>
          <w:rFonts w:hint="eastAsia"/>
          <w:kern w:val="0"/>
          <w:szCs w:val="21"/>
        </w:rPr>
        <w:t>理解：</w:t>
      </w:r>
      <w:r>
        <w:rPr>
          <w:kern w:val="0"/>
          <w:szCs w:val="21"/>
        </w:rPr>
        <w:t>园艺植物种质资源的栽培学分类和综合分类；种质资源调查的方法</w:t>
      </w:r>
      <w:r>
        <w:rPr>
          <w:rFonts w:hint="eastAsia"/>
          <w:kern w:val="0"/>
          <w:szCs w:val="21"/>
        </w:rPr>
        <w:t>。</w:t>
      </w:r>
    </w:p>
    <w:p>
      <w:pPr>
        <w:spacing w:line="360" w:lineRule="auto"/>
        <w:ind w:firstLine="420" w:firstLineChars="200"/>
        <w:rPr>
          <w:kern w:val="0"/>
          <w:szCs w:val="21"/>
        </w:rPr>
      </w:pPr>
      <w:r>
        <w:rPr>
          <w:kern w:val="0"/>
          <w:szCs w:val="21"/>
        </w:rPr>
        <w:t>掌握</w:t>
      </w:r>
      <w:r>
        <w:rPr>
          <w:rFonts w:hint="eastAsia"/>
          <w:kern w:val="0"/>
          <w:szCs w:val="21"/>
        </w:rPr>
        <w:t>：</w:t>
      </w:r>
      <w:r>
        <w:rPr>
          <w:kern w:val="0"/>
          <w:szCs w:val="21"/>
        </w:rPr>
        <w:t>园艺植物品种的类别和特点</w:t>
      </w:r>
      <w:r>
        <w:rPr>
          <w:rFonts w:hint="eastAsia"/>
          <w:kern w:val="0"/>
          <w:szCs w:val="21"/>
        </w:rPr>
        <w:t>；</w:t>
      </w:r>
      <w:r>
        <w:rPr>
          <w:kern w:val="0"/>
          <w:szCs w:val="21"/>
        </w:rPr>
        <w:t>种质资源研究内容、评价方法利用途径</w:t>
      </w:r>
      <w:r>
        <w:rPr>
          <w:rFonts w:hint="eastAsia"/>
          <w:kern w:val="0"/>
          <w:szCs w:val="21"/>
        </w:rPr>
        <w:t>。</w:t>
      </w:r>
    </w:p>
    <w:p>
      <w:pPr>
        <w:spacing w:line="360" w:lineRule="auto"/>
        <w:ind w:firstLine="420" w:firstLineChars="200"/>
        <w:rPr>
          <w:kern w:val="0"/>
          <w:szCs w:val="21"/>
        </w:rPr>
      </w:pPr>
      <w:r>
        <w:rPr>
          <w:kern w:val="0"/>
          <w:szCs w:val="21"/>
        </w:rPr>
        <w:t>熟练掌握</w:t>
      </w:r>
      <w:r>
        <w:rPr>
          <w:rFonts w:hint="eastAsia"/>
          <w:kern w:val="0"/>
          <w:szCs w:val="21"/>
        </w:rPr>
        <w:t>：园艺植物</w:t>
      </w:r>
      <w:r>
        <w:rPr>
          <w:kern w:val="0"/>
          <w:szCs w:val="21"/>
        </w:rPr>
        <w:t>种质资源保存的方法</w:t>
      </w:r>
      <w:r>
        <w:rPr>
          <w:rFonts w:hint="eastAsia"/>
          <w:kern w:val="0"/>
          <w:szCs w:val="21"/>
        </w:rPr>
        <w:t>。</w:t>
      </w:r>
    </w:p>
    <w:p>
      <w:pPr>
        <w:spacing w:line="360" w:lineRule="auto"/>
        <w:rPr>
          <w:kern w:val="0"/>
          <w:szCs w:val="21"/>
        </w:rPr>
      </w:pPr>
      <w:r>
        <w:rPr>
          <w:rFonts w:hint="eastAsia" w:ascii="宋体" w:hAnsi="宋体"/>
          <w:b/>
          <w:bCs/>
        </w:rPr>
        <w:t>教学组织与实施：</w:t>
      </w:r>
      <w:r>
        <w:rPr>
          <w:rFonts w:hint="eastAsia" w:ascii="宋体" w:hAnsi="宋体"/>
        </w:rPr>
        <w:t>通过课堂授课结合大量图片资料学习园艺植物种质资源的类别和特点；结合视频等网络资源，使学生了解种质资源的重要性及种质资源的考察方法；通过课堂讲授结合参观学习了解种质资源的保存方法，种质资源的评价利用。通过了解我国在种质资源起源中的重要地位，使学生树立民族自信心和自豪感。</w:t>
      </w:r>
    </w:p>
    <w:p>
      <w:pPr>
        <w:widowControl/>
        <w:spacing w:line="360" w:lineRule="auto"/>
        <w:jc w:val="right"/>
        <w:outlineLvl w:val="3"/>
        <w:rPr>
          <w:rFonts w:cs="宋体"/>
          <w:b/>
          <w:bCs/>
          <w:kern w:val="0"/>
          <w:szCs w:val="21"/>
        </w:rPr>
      </w:pPr>
      <w:r>
        <w:rPr>
          <w:rFonts w:hint="eastAsia" w:cs="宋体"/>
          <w:b/>
          <w:bCs/>
          <w:kern w:val="0"/>
          <w:szCs w:val="21"/>
        </w:rPr>
        <w:t xml:space="preserve">第三章  </w:t>
      </w:r>
      <w:r>
        <w:rPr>
          <w:rFonts w:hint="eastAsia"/>
          <w:b/>
          <w:szCs w:val="21"/>
        </w:rPr>
        <w:t>引种</w:t>
      </w:r>
      <w:r>
        <w:rPr>
          <w:rFonts w:hint="eastAsia" w:cs="宋体"/>
          <w:b/>
          <w:bCs/>
          <w:kern w:val="0"/>
          <w:szCs w:val="21"/>
        </w:rPr>
        <w:t xml:space="preserve">                                    4</w:t>
      </w:r>
      <w:r>
        <w:rPr>
          <w:rFonts w:hint="eastAsia"/>
          <w:b/>
          <w:szCs w:val="21"/>
        </w:rPr>
        <w:t>学时</w:t>
      </w:r>
    </w:p>
    <w:p>
      <w:pPr>
        <w:spacing w:line="360" w:lineRule="auto"/>
        <w:rPr>
          <w:kern w:val="0"/>
          <w:szCs w:val="21"/>
        </w:rPr>
      </w:pPr>
      <w:r>
        <w:rPr>
          <w:rFonts w:hint="eastAsia"/>
          <w:b/>
          <w:kern w:val="0"/>
          <w:szCs w:val="21"/>
        </w:rPr>
        <w:t>教学目的：</w:t>
      </w:r>
      <w:r>
        <w:rPr>
          <w:rFonts w:hint="eastAsia"/>
          <w:kern w:val="0"/>
          <w:szCs w:val="21"/>
        </w:rPr>
        <w:t>通过本章的学习，了解引种驯化的原理和影响引种效果的因素，明确引种的类型、原则和方法。</w:t>
      </w:r>
    </w:p>
    <w:p>
      <w:pPr>
        <w:spacing w:line="360" w:lineRule="auto"/>
        <w:rPr>
          <w:kern w:val="0"/>
          <w:szCs w:val="21"/>
        </w:rPr>
      </w:pPr>
      <w:r>
        <w:rPr>
          <w:rFonts w:hint="eastAsia"/>
          <w:b/>
          <w:kern w:val="0"/>
          <w:szCs w:val="21"/>
        </w:rPr>
        <w:t>教学重点和难点：</w:t>
      </w:r>
      <w:r>
        <w:rPr>
          <w:rFonts w:hint="eastAsia"/>
          <w:kern w:val="0"/>
          <w:szCs w:val="21"/>
        </w:rPr>
        <w:t>引种的类型、原则和方法。</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了解：引种的意义。</w:t>
      </w:r>
    </w:p>
    <w:p>
      <w:pPr>
        <w:spacing w:line="360" w:lineRule="auto"/>
        <w:ind w:firstLine="420" w:firstLineChars="200"/>
        <w:rPr>
          <w:kern w:val="0"/>
          <w:szCs w:val="21"/>
        </w:rPr>
      </w:pPr>
      <w:r>
        <w:rPr>
          <w:rFonts w:hint="eastAsia"/>
          <w:kern w:val="0"/>
          <w:szCs w:val="21"/>
        </w:rPr>
        <w:t>理解：引种驯化的遗传学原理和生态学原理；影响引种效果的因素。</w:t>
      </w:r>
    </w:p>
    <w:p>
      <w:pPr>
        <w:spacing w:line="360" w:lineRule="auto"/>
        <w:ind w:firstLine="420" w:firstLineChars="200"/>
        <w:rPr>
          <w:kern w:val="0"/>
          <w:szCs w:val="21"/>
        </w:rPr>
      </w:pPr>
      <w:r>
        <w:rPr>
          <w:kern w:val="0"/>
          <w:szCs w:val="21"/>
        </w:rPr>
        <w:t>掌握</w:t>
      </w:r>
      <w:r>
        <w:rPr>
          <w:rFonts w:hint="eastAsia"/>
          <w:kern w:val="0"/>
          <w:szCs w:val="21"/>
        </w:rPr>
        <w:t>：简单</w:t>
      </w:r>
      <w:r>
        <w:rPr>
          <w:kern w:val="0"/>
          <w:szCs w:val="21"/>
        </w:rPr>
        <w:t>引种和</w:t>
      </w:r>
      <w:r>
        <w:rPr>
          <w:rFonts w:hint="eastAsia"/>
          <w:kern w:val="0"/>
          <w:szCs w:val="21"/>
        </w:rPr>
        <w:t>驯化</w:t>
      </w:r>
      <w:r>
        <w:rPr>
          <w:kern w:val="0"/>
          <w:szCs w:val="21"/>
        </w:rPr>
        <w:t>引种的异同；</w:t>
      </w:r>
      <w:r>
        <w:rPr>
          <w:rFonts w:hint="eastAsia"/>
          <w:kern w:val="0"/>
          <w:szCs w:val="21"/>
        </w:rPr>
        <w:t>引种驯化的方法。</w:t>
      </w:r>
    </w:p>
    <w:p>
      <w:pPr>
        <w:spacing w:line="360" w:lineRule="auto"/>
        <w:ind w:firstLine="420" w:firstLineChars="200"/>
        <w:rPr>
          <w:kern w:val="0"/>
          <w:szCs w:val="21"/>
        </w:rPr>
      </w:pPr>
      <w:r>
        <w:rPr>
          <w:kern w:val="0"/>
          <w:szCs w:val="21"/>
        </w:rPr>
        <w:t>熟练掌握</w:t>
      </w:r>
      <w:r>
        <w:rPr>
          <w:rFonts w:hint="eastAsia"/>
          <w:kern w:val="0"/>
          <w:szCs w:val="21"/>
        </w:rPr>
        <w:t>：</w:t>
      </w:r>
      <w:r>
        <w:rPr>
          <w:kern w:val="0"/>
          <w:szCs w:val="21"/>
        </w:rPr>
        <w:t>引种成功的标准；引种计划的制定。</w:t>
      </w:r>
    </w:p>
    <w:p>
      <w:pPr>
        <w:spacing w:line="360" w:lineRule="auto"/>
        <w:rPr>
          <w:kern w:val="0"/>
          <w:szCs w:val="21"/>
        </w:rPr>
      </w:pPr>
      <w:r>
        <w:rPr>
          <w:rFonts w:hint="eastAsia" w:ascii="宋体" w:hAnsi="宋体"/>
          <w:b/>
          <w:bCs/>
        </w:rPr>
        <w:t>教学组织与实施：</w:t>
      </w:r>
      <w:r>
        <w:rPr>
          <w:rFonts w:hint="eastAsia" w:ascii="宋体" w:hAnsi="宋体"/>
        </w:rPr>
        <w:t>通过课堂讲授使学生掌握简单引种和驯化引种的概念和异同，结合大量图片和实例，使学生了解引种的意义、引种的原则和方法以及引种成功的标准。学生通过查阅资料，制定一种园艺植物的引种计划，并进行课堂讨论。</w:t>
      </w:r>
    </w:p>
    <w:p>
      <w:pPr>
        <w:widowControl/>
        <w:spacing w:line="360" w:lineRule="auto"/>
        <w:jc w:val="right"/>
        <w:outlineLvl w:val="3"/>
        <w:rPr>
          <w:rFonts w:cs="宋体"/>
          <w:b/>
          <w:bCs/>
          <w:kern w:val="0"/>
          <w:szCs w:val="21"/>
        </w:rPr>
      </w:pPr>
      <w:r>
        <w:rPr>
          <w:rFonts w:cs="宋体"/>
          <w:b/>
          <w:bCs/>
          <w:kern w:val="0"/>
          <w:szCs w:val="21"/>
        </w:rPr>
        <w:t xml:space="preserve">第四章  </w:t>
      </w:r>
      <w:r>
        <w:rPr>
          <w:rFonts w:hint="eastAsia" w:cs="宋体"/>
          <w:b/>
          <w:bCs/>
          <w:kern w:val="0"/>
          <w:szCs w:val="21"/>
        </w:rPr>
        <w:t>选择育种                                 4学时</w:t>
      </w:r>
    </w:p>
    <w:p>
      <w:pPr>
        <w:spacing w:line="360" w:lineRule="auto"/>
        <w:rPr>
          <w:kern w:val="0"/>
          <w:szCs w:val="21"/>
        </w:rPr>
      </w:pPr>
      <w:r>
        <w:rPr>
          <w:rFonts w:hint="eastAsia"/>
          <w:b/>
          <w:kern w:val="0"/>
          <w:szCs w:val="21"/>
        </w:rPr>
        <w:t>教学目的：</w:t>
      </w:r>
      <w:r>
        <w:rPr>
          <w:rFonts w:hint="eastAsia"/>
          <w:kern w:val="0"/>
          <w:szCs w:val="21"/>
        </w:rPr>
        <w:t>通过本章的学习，明确</w:t>
      </w:r>
      <w:r>
        <w:rPr>
          <w:kern w:val="0"/>
          <w:szCs w:val="21"/>
        </w:rPr>
        <w:t>有性繁殖植物选择育种的方法</w:t>
      </w:r>
      <w:r>
        <w:rPr>
          <w:rFonts w:hint="eastAsia"/>
          <w:kern w:val="0"/>
          <w:szCs w:val="21"/>
        </w:rPr>
        <w:t>和</w:t>
      </w:r>
      <w:r>
        <w:rPr>
          <w:kern w:val="0"/>
          <w:szCs w:val="21"/>
        </w:rPr>
        <w:t>芽变选种的程序</w:t>
      </w:r>
      <w:r>
        <w:rPr>
          <w:rFonts w:hint="eastAsia"/>
          <w:kern w:val="0"/>
          <w:szCs w:val="21"/>
        </w:rPr>
        <w:t>。</w:t>
      </w:r>
    </w:p>
    <w:p>
      <w:pPr>
        <w:spacing w:line="360" w:lineRule="auto"/>
        <w:rPr>
          <w:kern w:val="0"/>
          <w:szCs w:val="21"/>
        </w:rPr>
      </w:pPr>
      <w:r>
        <w:rPr>
          <w:rFonts w:hint="eastAsia"/>
          <w:b/>
          <w:kern w:val="0"/>
          <w:szCs w:val="21"/>
        </w:rPr>
        <w:t>教学重点和难点：</w:t>
      </w:r>
      <w:r>
        <w:rPr>
          <w:kern w:val="0"/>
          <w:szCs w:val="21"/>
        </w:rPr>
        <w:t>有性繁殖植物选择育种的方法；提高有性繁殖植物选择效果的措施；无性繁殖植物的选择育种的类别</w:t>
      </w:r>
      <w:r>
        <w:rPr>
          <w:rFonts w:hint="eastAsia"/>
          <w:kern w:val="0"/>
          <w:szCs w:val="21"/>
        </w:rPr>
        <w:t>；</w:t>
      </w:r>
      <w:r>
        <w:rPr>
          <w:kern w:val="0"/>
          <w:szCs w:val="21"/>
        </w:rPr>
        <w:t>芽变选种的程序。</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w:t>
      </w:r>
      <w:r>
        <w:rPr>
          <w:kern w:val="0"/>
          <w:szCs w:val="21"/>
        </w:rPr>
        <w:t>自然选择和人工选择的概念和作用；选择育种的重要作用</w:t>
      </w:r>
      <w:r>
        <w:rPr>
          <w:rFonts w:hint="eastAsia"/>
          <w:kern w:val="0"/>
          <w:szCs w:val="21"/>
        </w:rPr>
        <w:t>。</w:t>
      </w:r>
    </w:p>
    <w:p>
      <w:pPr>
        <w:spacing w:line="360" w:lineRule="auto"/>
        <w:ind w:firstLine="420" w:firstLineChars="200"/>
        <w:rPr>
          <w:kern w:val="0"/>
          <w:szCs w:val="21"/>
        </w:rPr>
      </w:pPr>
      <w:r>
        <w:rPr>
          <w:rFonts w:hint="eastAsia"/>
          <w:kern w:val="0"/>
          <w:szCs w:val="21"/>
        </w:rPr>
        <w:t>理解：</w:t>
      </w:r>
      <w:r>
        <w:rPr>
          <w:kern w:val="0"/>
          <w:szCs w:val="21"/>
        </w:rPr>
        <w:t>选择的实质；不同授粉习性植物常采用的选择方法；芽变选种的关键</w:t>
      </w:r>
      <w:r>
        <w:rPr>
          <w:rFonts w:hint="eastAsia"/>
          <w:kern w:val="0"/>
          <w:szCs w:val="21"/>
        </w:rPr>
        <w:t>；</w:t>
      </w:r>
      <w:r>
        <w:rPr>
          <w:kern w:val="0"/>
          <w:szCs w:val="21"/>
        </w:rPr>
        <w:t>芽变的遗传学和细胞学基础</w:t>
      </w:r>
      <w:r>
        <w:rPr>
          <w:rFonts w:hint="eastAsia"/>
          <w:kern w:val="0"/>
          <w:szCs w:val="21"/>
        </w:rPr>
        <w:t>。</w:t>
      </w:r>
    </w:p>
    <w:p>
      <w:pPr>
        <w:spacing w:line="360" w:lineRule="auto"/>
        <w:ind w:firstLine="420" w:firstLineChars="200"/>
        <w:rPr>
          <w:kern w:val="0"/>
          <w:szCs w:val="21"/>
        </w:rPr>
      </w:pPr>
      <w:r>
        <w:rPr>
          <w:kern w:val="0"/>
          <w:szCs w:val="21"/>
        </w:rPr>
        <w:t>掌握</w:t>
      </w:r>
      <w:r>
        <w:rPr>
          <w:rFonts w:hint="eastAsia"/>
          <w:kern w:val="0"/>
          <w:szCs w:val="21"/>
        </w:rPr>
        <w:t>：</w:t>
      </w:r>
      <w:r>
        <w:rPr>
          <w:kern w:val="0"/>
          <w:szCs w:val="21"/>
        </w:rPr>
        <w:t>选择育种的概念；选择标准的制定原则；性状选择的方法；提高有性繁殖植物选择效果的措施；加速有性繁殖植物选种进程的措施；无性繁殖植物的选择育种的类别</w:t>
      </w:r>
      <w:r>
        <w:rPr>
          <w:rFonts w:hint="eastAsia"/>
          <w:kern w:val="0"/>
          <w:szCs w:val="21"/>
        </w:rPr>
        <w:t>。</w:t>
      </w:r>
    </w:p>
    <w:p>
      <w:pPr>
        <w:spacing w:line="360" w:lineRule="auto"/>
        <w:ind w:firstLine="420" w:firstLineChars="200"/>
        <w:rPr>
          <w:kern w:val="0"/>
          <w:szCs w:val="21"/>
        </w:rPr>
      </w:pPr>
      <w:r>
        <w:rPr>
          <w:kern w:val="0"/>
          <w:szCs w:val="21"/>
        </w:rPr>
        <w:t>熟练掌握</w:t>
      </w:r>
      <w:r>
        <w:rPr>
          <w:rFonts w:hint="eastAsia"/>
          <w:kern w:val="0"/>
          <w:szCs w:val="21"/>
        </w:rPr>
        <w:t>：</w:t>
      </w:r>
      <w:r>
        <w:rPr>
          <w:kern w:val="0"/>
          <w:szCs w:val="21"/>
        </w:rPr>
        <w:t>有性繁殖</w:t>
      </w:r>
      <w:r>
        <w:rPr>
          <w:rFonts w:hint="eastAsia"/>
          <w:kern w:val="0"/>
          <w:szCs w:val="21"/>
        </w:rPr>
        <w:t>园艺</w:t>
      </w:r>
      <w:r>
        <w:rPr>
          <w:kern w:val="0"/>
          <w:szCs w:val="21"/>
        </w:rPr>
        <w:t>植物选择育种的方法；芽变选种的程序</w:t>
      </w:r>
      <w:r>
        <w:rPr>
          <w:rFonts w:hint="eastAsia"/>
          <w:kern w:val="0"/>
          <w:szCs w:val="21"/>
        </w:rPr>
        <w:t>。</w:t>
      </w:r>
    </w:p>
    <w:p>
      <w:pPr>
        <w:spacing w:line="360" w:lineRule="auto"/>
        <w:rPr>
          <w:kern w:val="0"/>
          <w:szCs w:val="21"/>
        </w:rPr>
      </w:pPr>
      <w:r>
        <w:rPr>
          <w:rFonts w:hint="eastAsia" w:ascii="宋体" w:hAnsi="宋体"/>
          <w:b/>
          <w:bCs/>
        </w:rPr>
        <w:t>教学组织与实施：</w:t>
      </w:r>
      <w:r>
        <w:rPr>
          <w:rFonts w:hint="eastAsia" w:ascii="宋体" w:hAnsi="宋体"/>
        </w:rPr>
        <w:t>通过课堂讲授了解选择育种的概念、不同授粉习性园艺植物的选择方法，结合实例和大量图片讲授</w:t>
      </w:r>
      <w:r>
        <w:rPr>
          <w:kern w:val="0"/>
          <w:szCs w:val="21"/>
        </w:rPr>
        <w:t>芽变的遗传学和细胞学基础</w:t>
      </w:r>
      <w:r>
        <w:rPr>
          <w:rFonts w:hint="eastAsia"/>
          <w:kern w:val="0"/>
          <w:szCs w:val="21"/>
        </w:rPr>
        <w:t>、实生选种。教师通过启发式教学，引导学生思考</w:t>
      </w:r>
      <w:r>
        <w:rPr>
          <w:kern w:val="0"/>
          <w:szCs w:val="21"/>
        </w:rPr>
        <w:t>提高有性繁殖植物选择效果的措施</w:t>
      </w:r>
      <w:r>
        <w:rPr>
          <w:rFonts w:hint="eastAsia"/>
          <w:kern w:val="0"/>
          <w:szCs w:val="21"/>
        </w:rPr>
        <w:t>和</w:t>
      </w:r>
      <w:r>
        <w:rPr>
          <w:kern w:val="0"/>
          <w:szCs w:val="21"/>
        </w:rPr>
        <w:t>加速有性繁殖植物选种进程的措施</w:t>
      </w:r>
      <w:r>
        <w:rPr>
          <w:rFonts w:hint="eastAsia"/>
          <w:kern w:val="0"/>
          <w:szCs w:val="21"/>
        </w:rPr>
        <w:t>。</w:t>
      </w:r>
    </w:p>
    <w:p>
      <w:pPr>
        <w:widowControl/>
        <w:spacing w:line="360" w:lineRule="auto"/>
        <w:jc w:val="right"/>
        <w:rPr>
          <w:szCs w:val="21"/>
        </w:rPr>
      </w:pPr>
      <w:r>
        <w:rPr>
          <w:rFonts w:hint="eastAsia"/>
          <w:b/>
          <w:szCs w:val="21"/>
        </w:rPr>
        <w:t xml:space="preserve">第五章 常规杂交育种 </w:t>
      </w:r>
      <w:r>
        <w:rPr>
          <w:rFonts w:hint="eastAsia"/>
          <w:szCs w:val="21"/>
        </w:rPr>
        <w:t xml:space="preserve">                              </w:t>
      </w:r>
      <w:r>
        <w:rPr>
          <w:rFonts w:hint="eastAsia"/>
          <w:b/>
          <w:szCs w:val="21"/>
        </w:rPr>
        <w:t>6学时</w:t>
      </w:r>
    </w:p>
    <w:p>
      <w:pPr>
        <w:spacing w:line="360" w:lineRule="auto"/>
        <w:rPr>
          <w:kern w:val="0"/>
          <w:szCs w:val="21"/>
        </w:rPr>
      </w:pPr>
      <w:r>
        <w:rPr>
          <w:rFonts w:hint="eastAsia"/>
          <w:b/>
          <w:kern w:val="0"/>
          <w:szCs w:val="21"/>
        </w:rPr>
        <w:t>教学目的：</w:t>
      </w:r>
      <w:r>
        <w:rPr>
          <w:rFonts w:hint="eastAsia"/>
          <w:kern w:val="0"/>
          <w:szCs w:val="21"/>
        </w:rPr>
        <w:t>通过本章的学习，明确</w:t>
      </w:r>
      <w:r>
        <w:rPr>
          <w:kern w:val="0"/>
          <w:szCs w:val="21"/>
        </w:rPr>
        <w:t>有性</w:t>
      </w:r>
      <w:r>
        <w:rPr>
          <w:rFonts w:hint="eastAsia"/>
          <w:kern w:val="0"/>
          <w:szCs w:val="21"/>
        </w:rPr>
        <w:t>杂交育种中</w:t>
      </w:r>
      <w:r>
        <w:rPr>
          <w:kern w:val="0"/>
          <w:szCs w:val="21"/>
        </w:rPr>
        <w:t>杂交亲本的选择和选配原则</w:t>
      </w:r>
      <w:r>
        <w:rPr>
          <w:rFonts w:hint="eastAsia"/>
          <w:kern w:val="0"/>
          <w:szCs w:val="21"/>
        </w:rPr>
        <w:t>，</w:t>
      </w:r>
      <w:r>
        <w:rPr>
          <w:kern w:val="0"/>
          <w:szCs w:val="21"/>
        </w:rPr>
        <w:t>有性杂交技术</w:t>
      </w:r>
      <w:r>
        <w:rPr>
          <w:rFonts w:hint="eastAsia"/>
          <w:kern w:val="0"/>
          <w:szCs w:val="21"/>
        </w:rPr>
        <w:t>流程和</w:t>
      </w:r>
      <w:r>
        <w:rPr>
          <w:kern w:val="0"/>
          <w:szCs w:val="21"/>
        </w:rPr>
        <w:t>杂种</w:t>
      </w:r>
      <w:r>
        <w:rPr>
          <w:rFonts w:hint="eastAsia"/>
          <w:kern w:val="0"/>
          <w:szCs w:val="21"/>
        </w:rPr>
        <w:t>后代的选择方法，及加速育种进程的方法</w:t>
      </w:r>
      <w:r>
        <w:rPr>
          <w:kern w:val="0"/>
          <w:szCs w:val="21"/>
        </w:rPr>
        <w:t>。</w:t>
      </w:r>
    </w:p>
    <w:p>
      <w:pPr>
        <w:spacing w:line="360" w:lineRule="auto"/>
        <w:rPr>
          <w:kern w:val="0"/>
          <w:szCs w:val="21"/>
        </w:rPr>
      </w:pPr>
      <w:r>
        <w:rPr>
          <w:rFonts w:hint="eastAsia"/>
          <w:b/>
          <w:kern w:val="0"/>
          <w:szCs w:val="21"/>
        </w:rPr>
        <w:t>教学重点和难点：</w:t>
      </w:r>
      <w:r>
        <w:rPr>
          <w:rFonts w:hint="eastAsia"/>
          <w:kern w:val="0"/>
          <w:szCs w:val="21"/>
        </w:rPr>
        <w:t>掌握</w:t>
      </w:r>
      <w:r>
        <w:rPr>
          <w:kern w:val="0"/>
          <w:szCs w:val="21"/>
        </w:rPr>
        <w:t>杂交亲本的选择和选配原则</w:t>
      </w:r>
      <w:r>
        <w:rPr>
          <w:rFonts w:hint="eastAsia"/>
          <w:kern w:val="0"/>
          <w:szCs w:val="21"/>
        </w:rPr>
        <w:t>，</w:t>
      </w:r>
      <w:r>
        <w:rPr>
          <w:kern w:val="0"/>
          <w:szCs w:val="21"/>
        </w:rPr>
        <w:t>有性杂交技术</w:t>
      </w:r>
      <w:r>
        <w:rPr>
          <w:rFonts w:hint="eastAsia"/>
          <w:kern w:val="0"/>
          <w:szCs w:val="21"/>
        </w:rPr>
        <w:t>流程和</w:t>
      </w:r>
      <w:r>
        <w:rPr>
          <w:kern w:val="0"/>
          <w:szCs w:val="21"/>
        </w:rPr>
        <w:t>杂种</w:t>
      </w:r>
      <w:r>
        <w:rPr>
          <w:rFonts w:hint="eastAsia"/>
          <w:kern w:val="0"/>
          <w:szCs w:val="21"/>
        </w:rPr>
        <w:t>后代的选择方法；理解回交育种的遗传效应及应用，不同繁殖授粉习性植物的育种特点。</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了解：常规杂交育种的重要性。</w:t>
      </w:r>
    </w:p>
    <w:p>
      <w:pPr>
        <w:spacing w:line="360" w:lineRule="auto"/>
        <w:ind w:firstLine="420" w:firstLineChars="200"/>
        <w:rPr>
          <w:kern w:val="0"/>
          <w:szCs w:val="21"/>
        </w:rPr>
      </w:pPr>
      <w:r>
        <w:rPr>
          <w:rFonts w:hint="eastAsia"/>
          <w:kern w:val="0"/>
          <w:szCs w:val="21"/>
        </w:rPr>
        <w:t>理解：杂交育种遗传学的原理和效应；回交的遗传效应；不同繁殖授粉习性植物的育种特点。</w:t>
      </w:r>
    </w:p>
    <w:p>
      <w:pPr>
        <w:spacing w:line="360" w:lineRule="auto"/>
        <w:ind w:firstLine="420" w:firstLineChars="200"/>
        <w:rPr>
          <w:kern w:val="0"/>
          <w:szCs w:val="21"/>
        </w:rPr>
      </w:pPr>
      <w:r>
        <w:rPr>
          <w:rFonts w:hint="eastAsia"/>
          <w:kern w:val="0"/>
          <w:szCs w:val="21"/>
        </w:rPr>
        <w:t>掌握：杂交、常规杂交育种、自交、近缘杂交、远缘杂交、两亲杂交、多亲杂交、添加杂交、合成杂交、多父本杂交、单交、回交、</w:t>
      </w:r>
      <w:r>
        <w:rPr>
          <w:kern w:val="0"/>
          <w:szCs w:val="21"/>
        </w:rPr>
        <w:t>常规</w:t>
      </w:r>
      <w:r>
        <w:rPr>
          <w:rFonts w:hint="eastAsia"/>
          <w:kern w:val="0"/>
          <w:szCs w:val="21"/>
        </w:rPr>
        <w:t>杂交</w:t>
      </w:r>
      <w:r>
        <w:rPr>
          <w:kern w:val="0"/>
          <w:szCs w:val="21"/>
        </w:rPr>
        <w:t>育种、</w:t>
      </w:r>
      <w:r>
        <w:rPr>
          <w:rFonts w:hint="eastAsia"/>
          <w:kern w:val="0"/>
          <w:szCs w:val="21"/>
        </w:rPr>
        <w:t>轮回亲本、非轮回亲本、</w:t>
      </w:r>
      <w:r>
        <w:rPr>
          <w:kern w:val="0"/>
          <w:szCs w:val="21"/>
        </w:rPr>
        <w:t>一般配合力、特殊配合力、</w:t>
      </w:r>
      <w:r>
        <w:rPr>
          <w:rFonts w:hint="eastAsia"/>
          <w:kern w:val="0"/>
          <w:szCs w:val="21"/>
        </w:rPr>
        <w:t>系谱法、混合法、单子传代法的概念</w:t>
      </w:r>
      <w:r>
        <w:rPr>
          <w:kern w:val="0"/>
          <w:szCs w:val="21"/>
        </w:rPr>
        <w:t>；园艺植物的杂交方式；</w:t>
      </w:r>
      <w:r>
        <w:rPr>
          <w:rFonts w:hint="eastAsia"/>
          <w:kern w:val="0"/>
          <w:szCs w:val="21"/>
        </w:rPr>
        <w:t>回交育种的要点和应用。</w:t>
      </w:r>
    </w:p>
    <w:p>
      <w:pPr>
        <w:spacing w:line="360" w:lineRule="auto"/>
        <w:ind w:firstLine="420" w:firstLineChars="200"/>
        <w:rPr>
          <w:kern w:val="0"/>
          <w:szCs w:val="21"/>
        </w:rPr>
      </w:pPr>
      <w:r>
        <w:rPr>
          <w:kern w:val="0"/>
          <w:szCs w:val="21"/>
        </w:rPr>
        <w:t>熟练掌握</w:t>
      </w:r>
      <w:r>
        <w:rPr>
          <w:rFonts w:hint="eastAsia"/>
          <w:kern w:val="0"/>
          <w:szCs w:val="21"/>
        </w:rPr>
        <w:t>：</w:t>
      </w:r>
      <w:r>
        <w:rPr>
          <w:kern w:val="0"/>
          <w:szCs w:val="21"/>
        </w:rPr>
        <w:t>杂交亲本的选择和选配原则；有性杂交技术</w:t>
      </w:r>
      <w:r>
        <w:rPr>
          <w:rFonts w:hint="eastAsia"/>
          <w:kern w:val="0"/>
          <w:szCs w:val="21"/>
        </w:rPr>
        <w:t>流程</w:t>
      </w:r>
      <w:r>
        <w:rPr>
          <w:kern w:val="0"/>
          <w:szCs w:val="21"/>
        </w:rPr>
        <w:t>；杂种</w:t>
      </w:r>
      <w:r>
        <w:rPr>
          <w:rFonts w:hint="eastAsia"/>
          <w:kern w:val="0"/>
          <w:szCs w:val="21"/>
        </w:rPr>
        <w:t>后代的选择方法</w:t>
      </w:r>
      <w:r>
        <w:rPr>
          <w:kern w:val="0"/>
          <w:szCs w:val="21"/>
        </w:rPr>
        <w:t>；杂种</w:t>
      </w:r>
      <w:r>
        <w:rPr>
          <w:rFonts w:hint="eastAsia"/>
          <w:kern w:val="0"/>
          <w:szCs w:val="21"/>
        </w:rPr>
        <w:t>后代的选择方法的优缺点；加速育种进程的方法。</w:t>
      </w:r>
    </w:p>
    <w:p>
      <w:pPr>
        <w:spacing w:line="360" w:lineRule="auto"/>
        <w:rPr>
          <w:kern w:val="0"/>
          <w:szCs w:val="21"/>
        </w:rPr>
      </w:pPr>
      <w:r>
        <w:rPr>
          <w:rFonts w:hint="eastAsia" w:ascii="宋体" w:hAnsi="宋体"/>
          <w:b/>
          <w:bCs/>
        </w:rPr>
        <w:t>教学组织与实施：</w:t>
      </w:r>
      <w:r>
        <w:rPr>
          <w:rFonts w:hint="eastAsia" w:ascii="宋体" w:hAnsi="宋体"/>
        </w:rPr>
        <w:t>课堂讲授常规杂交育种的概念和意义，</w:t>
      </w:r>
      <w:r>
        <w:rPr>
          <w:kern w:val="0"/>
          <w:szCs w:val="21"/>
        </w:rPr>
        <w:t>杂交亲本的选择和选配原则</w:t>
      </w:r>
      <w:r>
        <w:rPr>
          <w:rFonts w:hint="eastAsia"/>
          <w:kern w:val="0"/>
          <w:szCs w:val="21"/>
        </w:rPr>
        <w:t>，大量图片结合实例介绍</w:t>
      </w:r>
      <w:r>
        <w:rPr>
          <w:kern w:val="0"/>
          <w:szCs w:val="21"/>
        </w:rPr>
        <w:t>杂种</w:t>
      </w:r>
      <w:r>
        <w:rPr>
          <w:rFonts w:hint="eastAsia"/>
          <w:kern w:val="0"/>
          <w:szCs w:val="21"/>
        </w:rPr>
        <w:t>后代的选择方法，对比讲解各种杂交方式和方法。通过课堂讲授和田间实验操作掌握有性杂交的方法和技术流程。</w:t>
      </w:r>
    </w:p>
    <w:p>
      <w:pPr>
        <w:spacing w:line="360" w:lineRule="auto"/>
        <w:jc w:val="center"/>
        <w:rPr>
          <w:b/>
          <w:szCs w:val="21"/>
        </w:rPr>
      </w:pPr>
    </w:p>
    <w:p>
      <w:pPr>
        <w:spacing w:line="360" w:lineRule="auto"/>
        <w:jc w:val="right"/>
        <w:rPr>
          <w:szCs w:val="21"/>
        </w:rPr>
      </w:pPr>
      <w:r>
        <w:rPr>
          <w:rFonts w:hint="eastAsia"/>
          <w:b/>
          <w:szCs w:val="21"/>
        </w:rPr>
        <w:t>第六章 优势杂交育种</w:t>
      </w:r>
      <w:r>
        <w:rPr>
          <w:rFonts w:hint="eastAsia"/>
          <w:szCs w:val="21"/>
        </w:rPr>
        <w:t xml:space="preserve">                               6</w:t>
      </w:r>
      <w:r>
        <w:rPr>
          <w:rFonts w:hint="eastAsia"/>
          <w:b/>
          <w:szCs w:val="21"/>
        </w:rPr>
        <w:t>学时</w:t>
      </w:r>
    </w:p>
    <w:p>
      <w:pPr>
        <w:spacing w:line="360" w:lineRule="auto"/>
        <w:rPr>
          <w:kern w:val="0"/>
          <w:szCs w:val="21"/>
        </w:rPr>
      </w:pPr>
      <w:r>
        <w:rPr>
          <w:rFonts w:hint="eastAsia"/>
          <w:b/>
          <w:kern w:val="0"/>
          <w:szCs w:val="21"/>
        </w:rPr>
        <w:t>教学目的：</w:t>
      </w:r>
      <w:r>
        <w:rPr>
          <w:rFonts w:hint="eastAsia"/>
          <w:kern w:val="0"/>
          <w:szCs w:val="21"/>
        </w:rPr>
        <w:t>通过本章的学习，明确杂交种子生产的方法，掌握自交不亲和系的选育和雄性不育系的选育方法。</w:t>
      </w:r>
    </w:p>
    <w:p>
      <w:pPr>
        <w:spacing w:line="360" w:lineRule="auto"/>
        <w:rPr>
          <w:kern w:val="0"/>
          <w:szCs w:val="21"/>
        </w:rPr>
      </w:pPr>
      <w:r>
        <w:rPr>
          <w:rFonts w:hint="eastAsia"/>
          <w:b/>
          <w:kern w:val="0"/>
          <w:szCs w:val="21"/>
        </w:rPr>
        <w:t>教学重点和难点：</w:t>
      </w:r>
      <w:r>
        <w:rPr>
          <w:rFonts w:hint="eastAsia"/>
          <w:kern w:val="0"/>
          <w:szCs w:val="21"/>
        </w:rPr>
        <w:t>重点是自交不亲和系的选育和雄性不育系的选育方法；难点是自交不亲和性的遗传机理和生理机制及雄性不育性的表现类型和遗传方式。</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了解：杂种优势的衡量方法</w:t>
      </w:r>
      <w:r>
        <w:rPr>
          <w:kern w:val="0"/>
          <w:szCs w:val="21"/>
        </w:rPr>
        <w:t>；</w:t>
      </w:r>
      <w:r>
        <w:rPr>
          <w:rFonts w:hint="eastAsia"/>
          <w:kern w:val="0"/>
          <w:szCs w:val="21"/>
        </w:rPr>
        <w:t>杂种优势的固定方法</w:t>
      </w:r>
      <w:r>
        <w:rPr>
          <w:kern w:val="0"/>
          <w:szCs w:val="21"/>
        </w:rPr>
        <w:t>；</w:t>
      </w:r>
      <w:r>
        <w:rPr>
          <w:rFonts w:hint="eastAsia"/>
          <w:kern w:val="0"/>
          <w:szCs w:val="21"/>
        </w:rPr>
        <w:t>配合力分析的意义</w:t>
      </w:r>
      <w:r>
        <w:rPr>
          <w:kern w:val="0"/>
          <w:szCs w:val="21"/>
        </w:rPr>
        <w:t>；</w:t>
      </w:r>
      <w:r>
        <w:rPr>
          <w:rFonts w:hint="eastAsia"/>
          <w:kern w:val="0"/>
          <w:szCs w:val="21"/>
        </w:rPr>
        <w:t>利用雄性不育系制种的意义；杂种优势的利用价值；自交系的评价；杂种优势的早期预测方法；</w:t>
      </w:r>
    </w:p>
    <w:p>
      <w:pPr>
        <w:spacing w:line="360" w:lineRule="auto"/>
        <w:ind w:firstLine="420" w:firstLineChars="200"/>
        <w:rPr>
          <w:kern w:val="0"/>
          <w:szCs w:val="21"/>
        </w:rPr>
      </w:pPr>
      <w:r>
        <w:rPr>
          <w:rFonts w:hint="eastAsia"/>
          <w:kern w:val="0"/>
          <w:szCs w:val="21"/>
        </w:rPr>
        <w:t>理解：杂种优势的遗传机制</w:t>
      </w:r>
      <w:r>
        <w:rPr>
          <w:kern w:val="0"/>
          <w:szCs w:val="21"/>
        </w:rPr>
        <w:t>；</w:t>
      </w:r>
      <w:r>
        <w:rPr>
          <w:rFonts w:hint="eastAsia"/>
          <w:kern w:val="0"/>
          <w:szCs w:val="21"/>
        </w:rPr>
        <w:t>自交不亲和性的遗传机理和生理机制；雄性不育性的表现类型和遗传方式；</w:t>
      </w:r>
    </w:p>
    <w:p>
      <w:pPr>
        <w:spacing w:line="360" w:lineRule="auto"/>
        <w:ind w:firstLine="420" w:firstLineChars="200"/>
        <w:rPr>
          <w:kern w:val="0"/>
          <w:szCs w:val="21"/>
        </w:rPr>
      </w:pPr>
      <w:r>
        <w:rPr>
          <w:rFonts w:hint="eastAsia"/>
          <w:kern w:val="0"/>
          <w:szCs w:val="21"/>
        </w:rPr>
        <w:t>掌握：优良自交系选择的方法；自交系配合力测定方法</w:t>
      </w:r>
      <w:r>
        <w:rPr>
          <w:kern w:val="0"/>
          <w:szCs w:val="21"/>
        </w:rPr>
        <w:t>；</w:t>
      </w:r>
      <w:r>
        <w:rPr>
          <w:rFonts w:hint="eastAsia"/>
          <w:kern w:val="0"/>
          <w:szCs w:val="21"/>
        </w:rPr>
        <w:t>杂种种子生产的主要工作和原则；优良自交不亲和系应具备的条件；自交不亲和系和雄性不育系的优缺点；利用雄性不育系生产一代杂种的优缺点</w:t>
      </w:r>
      <w:r>
        <w:rPr>
          <w:kern w:val="0"/>
          <w:szCs w:val="21"/>
        </w:rPr>
        <w:t>。</w:t>
      </w:r>
    </w:p>
    <w:p>
      <w:pPr>
        <w:spacing w:line="360" w:lineRule="auto"/>
        <w:ind w:firstLine="420" w:firstLineChars="200"/>
        <w:rPr>
          <w:kern w:val="0"/>
          <w:szCs w:val="21"/>
        </w:rPr>
      </w:pPr>
      <w:r>
        <w:rPr>
          <w:kern w:val="0"/>
          <w:szCs w:val="21"/>
        </w:rPr>
        <w:t>熟练掌握</w:t>
      </w:r>
      <w:r>
        <w:rPr>
          <w:rFonts w:hint="eastAsia"/>
          <w:kern w:val="0"/>
          <w:szCs w:val="21"/>
        </w:rPr>
        <w:t>：优势育种与常规杂交育种的异同</w:t>
      </w:r>
      <w:r>
        <w:rPr>
          <w:kern w:val="0"/>
          <w:szCs w:val="21"/>
        </w:rPr>
        <w:t>；</w:t>
      </w:r>
      <w:r>
        <w:rPr>
          <w:rFonts w:hint="eastAsia"/>
          <w:kern w:val="0"/>
          <w:szCs w:val="21"/>
        </w:rPr>
        <w:t>优势育种的程序</w:t>
      </w:r>
      <w:r>
        <w:rPr>
          <w:kern w:val="0"/>
          <w:szCs w:val="21"/>
        </w:rPr>
        <w:t>；杂种培育的基本原则；</w:t>
      </w:r>
      <w:r>
        <w:rPr>
          <w:rFonts w:hint="eastAsia"/>
          <w:kern w:val="0"/>
          <w:szCs w:val="21"/>
        </w:rPr>
        <w:t>杂种种子生产的主要方法；选育自交不亲和系的方法；雄性不育性的选育方法；利用雄性不育系生产一代杂种的方法</w:t>
      </w:r>
      <w:r>
        <w:rPr>
          <w:kern w:val="0"/>
          <w:szCs w:val="21"/>
        </w:rPr>
        <w:t>。</w:t>
      </w:r>
    </w:p>
    <w:p>
      <w:pPr>
        <w:spacing w:line="360" w:lineRule="auto"/>
        <w:rPr>
          <w:kern w:val="0"/>
          <w:szCs w:val="21"/>
        </w:rPr>
      </w:pPr>
      <w:r>
        <w:rPr>
          <w:rFonts w:hint="eastAsia" w:ascii="宋体" w:hAnsi="宋体"/>
          <w:b/>
          <w:bCs/>
        </w:rPr>
        <w:t>教学组织与实施：</w:t>
      </w:r>
      <w:r>
        <w:rPr>
          <w:rFonts w:hint="eastAsia" w:ascii="宋体" w:hAnsi="宋体"/>
        </w:rPr>
        <w:t>通过课堂讲授介绍杂种优势的遗传机制、自交系选育方法、配合力的测定和优势育种的程序，对比讲解</w:t>
      </w:r>
      <w:r>
        <w:rPr>
          <w:rFonts w:hint="eastAsia"/>
          <w:kern w:val="0"/>
          <w:szCs w:val="21"/>
        </w:rPr>
        <w:t>优势育种与常规杂交育种的异同。</w:t>
      </w:r>
      <w:r>
        <w:rPr>
          <w:rFonts w:hint="eastAsia" w:ascii="宋体" w:hAnsi="宋体"/>
        </w:rPr>
        <w:t>通过实例和大量图片讲授</w:t>
      </w:r>
      <w:r>
        <w:rPr>
          <w:rFonts w:hint="eastAsia"/>
          <w:kern w:val="0"/>
          <w:szCs w:val="21"/>
        </w:rPr>
        <w:t>杂种种子生产的方法。通过田间实验掌握</w:t>
      </w:r>
      <w:r>
        <w:rPr>
          <w:rFonts w:hint="eastAsia" w:ascii="宋体" w:hAnsi="宋体"/>
        </w:rPr>
        <w:t>自交不亲和系和雄性不育系的鉴定方法以及在育种中的应用。结合袁隆平、方智远院士的科研经历，使学生学习老一辈科学家的科研精神、家国情怀。</w:t>
      </w:r>
    </w:p>
    <w:p>
      <w:pPr>
        <w:widowControl/>
        <w:spacing w:line="360" w:lineRule="auto"/>
        <w:jc w:val="right"/>
        <w:outlineLvl w:val="3"/>
        <w:rPr>
          <w:szCs w:val="21"/>
        </w:rPr>
      </w:pPr>
      <w:r>
        <w:rPr>
          <w:rFonts w:hint="eastAsia" w:cs="宋体"/>
          <w:b/>
          <w:bCs/>
          <w:kern w:val="0"/>
          <w:szCs w:val="21"/>
        </w:rPr>
        <w:t xml:space="preserve">第七章 </w:t>
      </w:r>
      <w:r>
        <w:rPr>
          <w:rFonts w:hint="eastAsia"/>
          <w:b/>
          <w:szCs w:val="21"/>
        </w:rPr>
        <w:t>营养系杂交育种</w:t>
      </w:r>
      <w:r>
        <w:rPr>
          <w:rFonts w:hint="eastAsia"/>
          <w:szCs w:val="21"/>
        </w:rPr>
        <w:t xml:space="preserve">                             </w:t>
      </w:r>
      <w:r>
        <w:rPr>
          <w:rFonts w:hint="eastAsia"/>
          <w:b/>
          <w:szCs w:val="21"/>
        </w:rPr>
        <w:t>4学时</w:t>
      </w:r>
    </w:p>
    <w:p>
      <w:pPr>
        <w:spacing w:line="360" w:lineRule="auto"/>
        <w:rPr>
          <w:kern w:val="0"/>
          <w:szCs w:val="21"/>
        </w:rPr>
      </w:pPr>
      <w:r>
        <w:rPr>
          <w:rFonts w:hint="eastAsia"/>
          <w:b/>
          <w:kern w:val="0"/>
          <w:szCs w:val="21"/>
        </w:rPr>
        <w:t>教学目的：</w:t>
      </w:r>
      <w:r>
        <w:rPr>
          <w:rFonts w:hint="eastAsia"/>
          <w:kern w:val="0"/>
          <w:szCs w:val="21"/>
        </w:rPr>
        <w:t>通过本章的学习，掌握营养系杂交育种的程序、技术、和杂交品种的选择方法。</w:t>
      </w:r>
    </w:p>
    <w:p>
      <w:pPr>
        <w:spacing w:line="360" w:lineRule="auto"/>
        <w:rPr>
          <w:kern w:val="0"/>
          <w:szCs w:val="21"/>
        </w:rPr>
      </w:pPr>
      <w:r>
        <w:rPr>
          <w:rFonts w:hint="eastAsia"/>
          <w:b/>
          <w:kern w:val="0"/>
          <w:szCs w:val="21"/>
        </w:rPr>
        <w:t>教学重点和难点：</w:t>
      </w:r>
      <w:r>
        <w:rPr>
          <w:rFonts w:hint="eastAsia"/>
          <w:kern w:val="0"/>
          <w:szCs w:val="21"/>
        </w:rPr>
        <w:t>选育杂交品种的一般程序和技术</w:t>
      </w:r>
      <w:r>
        <w:rPr>
          <w:kern w:val="0"/>
          <w:szCs w:val="21"/>
        </w:rPr>
        <w:t>；</w:t>
      </w:r>
      <w:r>
        <w:rPr>
          <w:rFonts w:hint="eastAsia"/>
          <w:kern w:val="0"/>
          <w:szCs w:val="21"/>
        </w:rPr>
        <w:t>营养系杂交育种亲本选配特点。</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了解：营养系杂交育种的强亲效应、母本效应。</w:t>
      </w:r>
    </w:p>
    <w:p>
      <w:pPr>
        <w:spacing w:line="360" w:lineRule="auto"/>
        <w:ind w:firstLine="420" w:firstLineChars="200"/>
        <w:rPr>
          <w:kern w:val="0"/>
          <w:szCs w:val="21"/>
        </w:rPr>
      </w:pPr>
      <w:r>
        <w:rPr>
          <w:rFonts w:hint="eastAsia"/>
          <w:kern w:val="0"/>
          <w:szCs w:val="21"/>
        </w:rPr>
        <w:t>理解：遗传传递力指数的估测</w:t>
      </w:r>
      <w:r>
        <w:rPr>
          <w:kern w:val="0"/>
          <w:szCs w:val="21"/>
        </w:rPr>
        <w:t>；</w:t>
      </w:r>
      <w:r>
        <w:rPr>
          <w:rFonts w:hint="eastAsia"/>
          <w:kern w:val="0"/>
          <w:szCs w:val="21"/>
        </w:rPr>
        <w:t>选择反应的估算；童性与成年性状的相关性。</w:t>
      </w:r>
    </w:p>
    <w:p>
      <w:pPr>
        <w:spacing w:line="360" w:lineRule="auto"/>
        <w:ind w:firstLine="420" w:firstLineChars="200"/>
        <w:rPr>
          <w:kern w:val="0"/>
          <w:szCs w:val="21"/>
        </w:rPr>
      </w:pPr>
      <w:r>
        <w:rPr>
          <w:rFonts w:hint="eastAsia"/>
          <w:kern w:val="0"/>
          <w:szCs w:val="21"/>
        </w:rPr>
        <w:t>掌握：营养系杂种后代的选择原则；营养系杂交育种亲本选配特点；质量性状和数量性状的简单鉴别方法。</w:t>
      </w:r>
    </w:p>
    <w:p>
      <w:pPr>
        <w:spacing w:line="360" w:lineRule="auto"/>
        <w:ind w:firstLine="420" w:firstLineChars="200"/>
        <w:rPr>
          <w:b/>
          <w:kern w:val="0"/>
          <w:szCs w:val="21"/>
        </w:rPr>
      </w:pPr>
      <w:r>
        <w:rPr>
          <w:rFonts w:hint="eastAsia"/>
          <w:kern w:val="0"/>
          <w:szCs w:val="21"/>
        </w:rPr>
        <w:t>熟练掌握：营养系杂交育种的遗传学原理</w:t>
      </w:r>
      <w:r>
        <w:rPr>
          <w:kern w:val="0"/>
          <w:szCs w:val="21"/>
        </w:rPr>
        <w:t>；</w:t>
      </w:r>
      <w:r>
        <w:rPr>
          <w:rFonts w:hint="eastAsia"/>
          <w:kern w:val="0"/>
          <w:szCs w:val="21"/>
        </w:rPr>
        <w:t>营养系杂交育种的程序</w:t>
      </w:r>
      <w:r>
        <w:rPr>
          <w:kern w:val="0"/>
          <w:szCs w:val="21"/>
        </w:rPr>
        <w:t>；</w:t>
      </w:r>
      <w:r>
        <w:rPr>
          <w:rFonts w:hint="eastAsia"/>
          <w:kern w:val="0"/>
          <w:szCs w:val="21"/>
        </w:rPr>
        <w:t>营养系杂交育种技术</w:t>
      </w:r>
      <w:r>
        <w:rPr>
          <w:kern w:val="0"/>
          <w:szCs w:val="21"/>
        </w:rPr>
        <w:t>；</w:t>
      </w:r>
      <w:r>
        <w:rPr>
          <w:rFonts w:hint="eastAsia"/>
          <w:kern w:val="0"/>
          <w:szCs w:val="21"/>
        </w:rPr>
        <w:t>营养系杂种选择的特点</w:t>
      </w:r>
      <w:r>
        <w:rPr>
          <w:kern w:val="0"/>
          <w:szCs w:val="21"/>
        </w:rPr>
        <w:t>。</w:t>
      </w:r>
    </w:p>
    <w:p>
      <w:pPr>
        <w:spacing w:line="360" w:lineRule="auto"/>
        <w:rPr>
          <w:rFonts w:ascii="宋体" w:hAnsi="宋体"/>
        </w:rPr>
      </w:pPr>
      <w:r>
        <w:rPr>
          <w:rFonts w:hint="eastAsia" w:ascii="宋体" w:hAnsi="宋体"/>
          <w:b/>
          <w:bCs/>
        </w:rPr>
        <w:t>教学组织与实施：</w:t>
      </w:r>
      <w:r>
        <w:rPr>
          <w:rFonts w:hint="eastAsia" w:ascii="宋体" w:hAnsi="宋体"/>
        </w:rPr>
        <w:t>课堂讲授介绍营养系杂交育种的性状遗传特点、育种程序和童期的概念，童期概念中蕴含的“质量互变”理论，引导学生在学生阶段积累知识和本领；对比讲解常规杂交育种、优势育种和营养系杂交育种三种育种方法在程序、遗传效应、育成品种等方面的不同。</w:t>
      </w:r>
    </w:p>
    <w:p>
      <w:pPr>
        <w:widowControl/>
        <w:spacing w:line="360" w:lineRule="auto"/>
        <w:jc w:val="right"/>
        <w:outlineLvl w:val="3"/>
        <w:rPr>
          <w:rFonts w:cs="宋体"/>
          <w:b/>
          <w:bCs/>
          <w:kern w:val="0"/>
          <w:szCs w:val="21"/>
        </w:rPr>
      </w:pPr>
      <w:r>
        <w:rPr>
          <w:rFonts w:hint="eastAsia" w:cs="宋体"/>
          <w:b/>
          <w:bCs/>
          <w:kern w:val="0"/>
          <w:szCs w:val="21"/>
        </w:rPr>
        <w:t>第八章 远缘杂交及其在育种中的应用                 4学时</w:t>
      </w:r>
    </w:p>
    <w:p>
      <w:pPr>
        <w:spacing w:line="360" w:lineRule="auto"/>
        <w:rPr>
          <w:kern w:val="0"/>
          <w:szCs w:val="21"/>
        </w:rPr>
      </w:pPr>
      <w:r>
        <w:rPr>
          <w:rFonts w:hint="eastAsia"/>
          <w:b/>
          <w:kern w:val="0"/>
          <w:szCs w:val="21"/>
        </w:rPr>
        <w:t>教学目的：</w:t>
      </w:r>
      <w:r>
        <w:rPr>
          <w:rFonts w:hint="eastAsia"/>
          <w:kern w:val="0"/>
          <w:szCs w:val="21"/>
        </w:rPr>
        <w:t>通过本章的学习，掌握克服远缘杂交障碍、难育性、和难稔性的方法和途径。</w:t>
      </w:r>
    </w:p>
    <w:p>
      <w:pPr>
        <w:spacing w:line="360" w:lineRule="auto"/>
        <w:rPr>
          <w:kern w:val="0"/>
          <w:szCs w:val="21"/>
        </w:rPr>
      </w:pPr>
      <w:r>
        <w:rPr>
          <w:rFonts w:hint="eastAsia"/>
          <w:b/>
          <w:kern w:val="0"/>
          <w:szCs w:val="21"/>
        </w:rPr>
        <w:t>教学重点和难点：</w:t>
      </w:r>
      <w:r>
        <w:rPr>
          <w:rFonts w:hint="eastAsia"/>
          <w:kern w:val="0"/>
          <w:szCs w:val="21"/>
        </w:rPr>
        <w:t>远缘杂交的障碍与克服途径</w:t>
      </w:r>
      <w:r>
        <w:rPr>
          <w:kern w:val="0"/>
          <w:szCs w:val="21"/>
        </w:rPr>
        <w:t>；</w:t>
      </w:r>
      <w:r>
        <w:rPr>
          <w:rFonts w:hint="eastAsia"/>
          <w:kern w:val="0"/>
          <w:szCs w:val="21"/>
        </w:rPr>
        <w:t>克服远缘杂种难育性的方法</w:t>
      </w:r>
      <w:r>
        <w:rPr>
          <w:kern w:val="0"/>
          <w:szCs w:val="21"/>
        </w:rPr>
        <w:t>；</w:t>
      </w:r>
      <w:r>
        <w:rPr>
          <w:rFonts w:hint="eastAsia"/>
          <w:kern w:val="0"/>
          <w:szCs w:val="21"/>
        </w:rPr>
        <w:t>克服远缘杂种难稔性的途径。</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了解：远缘杂交难交配的表现</w:t>
      </w:r>
      <w:r>
        <w:rPr>
          <w:kern w:val="0"/>
          <w:szCs w:val="21"/>
        </w:rPr>
        <w:t>；</w:t>
      </w:r>
      <w:r>
        <w:rPr>
          <w:rFonts w:hint="eastAsia"/>
          <w:kern w:val="0"/>
          <w:szCs w:val="21"/>
        </w:rPr>
        <w:t>远缘杂种难育性的机制；远缘杂种分离的表现和类型。</w:t>
      </w:r>
    </w:p>
    <w:p>
      <w:pPr>
        <w:spacing w:line="360" w:lineRule="auto"/>
        <w:ind w:firstLine="420" w:firstLineChars="200"/>
        <w:rPr>
          <w:kern w:val="0"/>
          <w:szCs w:val="21"/>
        </w:rPr>
      </w:pPr>
      <w:r>
        <w:rPr>
          <w:rFonts w:hint="eastAsia"/>
          <w:kern w:val="0"/>
          <w:szCs w:val="21"/>
        </w:rPr>
        <w:t>理解：远缘杂种后代分离的控制；远缘杂种的选择。</w:t>
      </w:r>
    </w:p>
    <w:p>
      <w:pPr>
        <w:spacing w:line="360" w:lineRule="auto"/>
        <w:ind w:firstLine="420" w:firstLineChars="200"/>
        <w:rPr>
          <w:b/>
          <w:kern w:val="0"/>
          <w:szCs w:val="21"/>
        </w:rPr>
      </w:pPr>
      <w:r>
        <w:rPr>
          <w:rFonts w:hint="eastAsia"/>
          <w:kern w:val="0"/>
          <w:szCs w:val="21"/>
        </w:rPr>
        <w:t>掌握：远缘杂交的意义</w:t>
      </w:r>
      <w:r>
        <w:rPr>
          <w:kern w:val="0"/>
          <w:szCs w:val="21"/>
        </w:rPr>
        <w:t>；</w:t>
      </w:r>
      <w:r>
        <w:rPr>
          <w:rFonts w:hint="eastAsia"/>
          <w:kern w:val="0"/>
          <w:szCs w:val="21"/>
        </w:rPr>
        <w:t>远缘杂交的特点；远缘杂种难育性的主要表现；远缘杂种难稔性的主要表现；远缘杂交在园艺植物育种中的应用</w:t>
      </w:r>
      <w:r>
        <w:rPr>
          <w:rFonts w:hint="eastAsia"/>
          <w:b/>
          <w:kern w:val="0"/>
          <w:szCs w:val="21"/>
        </w:rPr>
        <w:t>。</w:t>
      </w:r>
    </w:p>
    <w:p>
      <w:pPr>
        <w:spacing w:line="360" w:lineRule="auto"/>
        <w:ind w:firstLine="420" w:firstLineChars="200"/>
        <w:rPr>
          <w:kern w:val="0"/>
          <w:szCs w:val="21"/>
        </w:rPr>
      </w:pPr>
      <w:r>
        <w:rPr>
          <w:rFonts w:hint="eastAsia"/>
          <w:kern w:val="0"/>
          <w:szCs w:val="21"/>
        </w:rPr>
        <w:t>熟练掌握：远缘杂交的障碍与克服途径</w:t>
      </w:r>
      <w:r>
        <w:rPr>
          <w:kern w:val="0"/>
          <w:szCs w:val="21"/>
        </w:rPr>
        <w:t>；</w:t>
      </w:r>
      <w:r>
        <w:rPr>
          <w:rFonts w:hint="eastAsia"/>
          <w:kern w:val="0"/>
          <w:szCs w:val="21"/>
        </w:rPr>
        <w:t>克服远缘杂种难育性的方法</w:t>
      </w:r>
      <w:r>
        <w:rPr>
          <w:kern w:val="0"/>
          <w:szCs w:val="21"/>
        </w:rPr>
        <w:t>；</w:t>
      </w:r>
      <w:r>
        <w:rPr>
          <w:rFonts w:hint="eastAsia"/>
          <w:kern w:val="0"/>
          <w:szCs w:val="21"/>
        </w:rPr>
        <w:t>克服远缘杂种难稔性的途径。</w:t>
      </w:r>
    </w:p>
    <w:p>
      <w:pPr>
        <w:spacing w:line="360" w:lineRule="auto"/>
        <w:rPr>
          <w:kern w:val="0"/>
          <w:szCs w:val="21"/>
        </w:rPr>
      </w:pPr>
      <w:r>
        <w:rPr>
          <w:rFonts w:hint="eastAsia" w:ascii="宋体" w:hAnsi="宋体"/>
          <w:b/>
          <w:bCs/>
        </w:rPr>
        <w:t>教学组织与实施：</w:t>
      </w:r>
      <w:r>
        <w:rPr>
          <w:rFonts w:hint="eastAsia" w:ascii="宋体" w:hAnsi="宋体"/>
        </w:rPr>
        <w:t>通过课堂讲授结合大量实例和图片介绍远缘杂交的意义、远缘杂交的概念、远缘杂交在园艺植物育种中的应用以及远缘杂交的障碍和克服办法。</w:t>
      </w:r>
    </w:p>
    <w:p>
      <w:pPr>
        <w:widowControl/>
        <w:spacing w:line="360" w:lineRule="auto"/>
        <w:jc w:val="right"/>
        <w:outlineLvl w:val="3"/>
        <w:rPr>
          <w:szCs w:val="21"/>
        </w:rPr>
      </w:pPr>
      <w:r>
        <w:rPr>
          <w:rFonts w:hint="eastAsia"/>
          <w:b/>
          <w:szCs w:val="21"/>
        </w:rPr>
        <w:t>第九章 倍性育种</w:t>
      </w:r>
      <w:r>
        <w:rPr>
          <w:rFonts w:hint="eastAsia"/>
          <w:szCs w:val="21"/>
        </w:rPr>
        <w:t xml:space="preserve">                                   </w:t>
      </w:r>
      <w:r>
        <w:rPr>
          <w:rFonts w:hint="eastAsia"/>
          <w:b/>
          <w:szCs w:val="21"/>
        </w:rPr>
        <w:t>2学时</w:t>
      </w:r>
    </w:p>
    <w:p>
      <w:pPr>
        <w:spacing w:line="360" w:lineRule="auto"/>
        <w:rPr>
          <w:kern w:val="0"/>
          <w:szCs w:val="21"/>
        </w:rPr>
      </w:pPr>
      <w:r>
        <w:rPr>
          <w:rFonts w:hint="eastAsia"/>
          <w:b/>
          <w:kern w:val="0"/>
          <w:szCs w:val="21"/>
        </w:rPr>
        <w:t>教学目的：</w:t>
      </w:r>
      <w:r>
        <w:rPr>
          <w:rFonts w:hint="eastAsia"/>
          <w:kern w:val="0"/>
          <w:szCs w:val="21"/>
        </w:rPr>
        <w:t>通过本章的学习，掌握人工诱导多倍体的途径和方法；获得单倍体的途径和方法。</w:t>
      </w:r>
    </w:p>
    <w:p>
      <w:pPr>
        <w:spacing w:line="360" w:lineRule="auto"/>
        <w:rPr>
          <w:kern w:val="0"/>
          <w:szCs w:val="21"/>
        </w:rPr>
      </w:pPr>
      <w:r>
        <w:rPr>
          <w:rFonts w:hint="eastAsia"/>
          <w:b/>
          <w:kern w:val="0"/>
          <w:szCs w:val="21"/>
        </w:rPr>
        <w:t>教学重点和难点：</w:t>
      </w:r>
      <w:r>
        <w:rPr>
          <w:rFonts w:hint="eastAsia"/>
          <w:kern w:val="0"/>
          <w:szCs w:val="21"/>
        </w:rPr>
        <w:t>人工诱导多倍体的途径和方法；多倍体的鉴定方法；获得单倍体的途径和方法。</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了解：多倍体的形成</w:t>
      </w:r>
      <w:r>
        <w:rPr>
          <w:kern w:val="0"/>
          <w:szCs w:val="21"/>
        </w:rPr>
        <w:t>；</w:t>
      </w:r>
      <w:r>
        <w:rPr>
          <w:rFonts w:hint="eastAsia"/>
          <w:kern w:val="0"/>
          <w:szCs w:val="21"/>
        </w:rPr>
        <w:t>多倍体与物种进化；多倍体的选择和利用。</w:t>
      </w:r>
    </w:p>
    <w:p>
      <w:pPr>
        <w:spacing w:line="360" w:lineRule="auto"/>
        <w:ind w:firstLine="420" w:firstLineChars="200"/>
        <w:rPr>
          <w:kern w:val="0"/>
          <w:szCs w:val="21"/>
        </w:rPr>
      </w:pPr>
      <w:r>
        <w:rPr>
          <w:rFonts w:hint="eastAsia"/>
          <w:kern w:val="0"/>
          <w:szCs w:val="21"/>
        </w:rPr>
        <w:t>理解：有性杂交培育多倍体的方法。</w:t>
      </w:r>
    </w:p>
    <w:p>
      <w:pPr>
        <w:spacing w:line="360" w:lineRule="auto"/>
        <w:ind w:firstLine="420" w:firstLineChars="200"/>
        <w:rPr>
          <w:kern w:val="0"/>
          <w:szCs w:val="21"/>
        </w:rPr>
      </w:pPr>
      <w:r>
        <w:rPr>
          <w:rFonts w:hint="eastAsia"/>
          <w:kern w:val="0"/>
          <w:szCs w:val="21"/>
        </w:rPr>
        <w:t>掌握：培育多倍体的意义</w:t>
      </w:r>
      <w:r>
        <w:rPr>
          <w:kern w:val="0"/>
          <w:szCs w:val="21"/>
        </w:rPr>
        <w:t>；</w:t>
      </w:r>
      <w:r>
        <w:rPr>
          <w:rFonts w:hint="eastAsia"/>
          <w:kern w:val="0"/>
          <w:szCs w:val="21"/>
        </w:rPr>
        <w:t>单倍体的优点和在育种上的应用价值。</w:t>
      </w:r>
    </w:p>
    <w:p>
      <w:pPr>
        <w:spacing w:line="360" w:lineRule="auto"/>
        <w:ind w:firstLine="420" w:firstLineChars="200"/>
        <w:rPr>
          <w:kern w:val="0"/>
          <w:szCs w:val="21"/>
        </w:rPr>
      </w:pPr>
      <w:r>
        <w:rPr>
          <w:rFonts w:hint="eastAsia"/>
          <w:kern w:val="0"/>
          <w:szCs w:val="21"/>
        </w:rPr>
        <w:t>熟练掌握：多倍体的特点</w:t>
      </w:r>
      <w:r>
        <w:rPr>
          <w:kern w:val="0"/>
          <w:szCs w:val="21"/>
        </w:rPr>
        <w:t>；</w:t>
      </w:r>
      <w:r>
        <w:rPr>
          <w:rFonts w:hint="eastAsia"/>
          <w:kern w:val="0"/>
          <w:szCs w:val="21"/>
        </w:rPr>
        <w:t>人工诱导多倍体的途径和方法；多倍体的鉴定方法；单倍体的特点；获得单倍体的途径和方法。</w:t>
      </w:r>
    </w:p>
    <w:p>
      <w:pPr>
        <w:spacing w:line="360" w:lineRule="auto"/>
        <w:rPr>
          <w:kern w:val="0"/>
          <w:szCs w:val="21"/>
        </w:rPr>
      </w:pPr>
      <w:r>
        <w:rPr>
          <w:rFonts w:hint="eastAsia" w:ascii="宋体" w:hAnsi="宋体"/>
          <w:b/>
          <w:bCs/>
        </w:rPr>
        <w:t>教学组织与实施：</w:t>
      </w:r>
      <w:r>
        <w:rPr>
          <w:rFonts w:hint="eastAsia" w:ascii="宋体" w:hAnsi="宋体"/>
        </w:rPr>
        <w:t>通过课堂讲授，介绍多倍体的概念和特点、多倍体育种的意义，通过实例介绍单倍体在育种中的应用价值。</w:t>
      </w:r>
    </w:p>
    <w:p>
      <w:pPr>
        <w:widowControl/>
        <w:spacing w:line="360" w:lineRule="auto"/>
        <w:jc w:val="center"/>
        <w:outlineLvl w:val="3"/>
        <w:rPr>
          <w:rFonts w:cs="宋体"/>
          <w:b/>
          <w:bCs/>
          <w:kern w:val="0"/>
          <w:szCs w:val="21"/>
        </w:rPr>
      </w:pPr>
    </w:p>
    <w:p>
      <w:pPr>
        <w:widowControl/>
        <w:spacing w:line="360" w:lineRule="auto"/>
        <w:jc w:val="right"/>
        <w:outlineLvl w:val="3"/>
        <w:rPr>
          <w:rFonts w:cs="宋体"/>
          <w:kern w:val="0"/>
          <w:szCs w:val="21"/>
        </w:rPr>
      </w:pPr>
      <w:r>
        <w:rPr>
          <w:rFonts w:hint="eastAsia" w:cs="宋体"/>
          <w:b/>
          <w:bCs/>
          <w:kern w:val="0"/>
          <w:szCs w:val="21"/>
        </w:rPr>
        <w:t>第十章  诱变育种                                  2学时</w:t>
      </w:r>
    </w:p>
    <w:p>
      <w:pPr>
        <w:spacing w:line="360" w:lineRule="auto"/>
        <w:rPr>
          <w:kern w:val="0"/>
          <w:szCs w:val="21"/>
        </w:rPr>
      </w:pPr>
      <w:r>
        <w:rPr>
          <w:rFonts w:hint="eastAsia"/>
          <w:b/>
          <w:kern w:val="0"/>
          <w:szCs w:val="21"/>
        </w:rPr>
        <w:t>教学目的：</w:t>
      </w:r>
      <w:r>
        <w:rPr>
          <w:rFonts w:hint="eastAsia"/>
          <w:kern w:val="0"/>
          <w:szCs w:val="21"/>
        </w:rPr>
        <w:t>通过本章的学习，掌握</w:t>
      </w:r>
      <w:r>
        <w:rPr>
          <w:kern w:val="0"/>
          <w:szCs w:val="21"/>
        </w:rPr>
        <w:t>辐射诱变育种</w:t>
      </w:r>
      <w:r>
        <w:rPr>
          <w:rFonts w:hint="eastAsia"/>
          <w:kern w:val="0"/>
          <w:szCs w:val="21"/>
        </w:rPr>
        <w:t>的途径和方法。</w:t>
      </w:r>
    </w:p>
    <w:p>
      <w:pPr>
        <w:spacing w:line="360" w:lineRule="auto"/>
        <w:rPr>
          <w:kern w:val="0"/>
          <w:szCs w:val="21"/>
        </w:rPr>
      </w:pPr>
      <w:r>
        <w:rPr>
          <w:rFonts w:hint="eastAsia"/>
          <w:b/>
          <w:kern w:val="0"/>
          <w:szCs w:val="21"/>
        </w:rPr>
        <w:t>教学重点和难点：</w:t>
      </w:r>
      <w:r>
        <w:rPr>
          <w:kern w:val="0"/>
          <w:szCs w:val="21"/>
        </w:rPr>
        <w:t>有性繁殖作物诱变育种的程序；无性繁殖作物诱变育种的程序。</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w:t>
      </w:r>
      <w:r>
        <w:rPr>
          <w:kern w:val="0"/>
          <w:szCs w:val="21"/>
        </w:rPr>
        <w:t>诱变育种的发展历史与现状</w:t>
      </w:r>
      <w:r>
        <w:rPr>
          <w:rFonts w:hint="eastAsia"/>
          <w:kern w:val="0"/>
          <w:szCs w:val="21"/>
        </w:rPr>
        <w:t>。</w:t>
      </w:r>
    </w:p>
    <w:p>
      <w:pPr>
        <w:spacing w:line="360" w:lineRule="auto"/>
        <w:ind w:firstLine="420" w:firstLineChars="200"/>
        <w:rPr>
          <w:kern w:val="0"/>
          <w:szCs w:val="21"/>
        </w:rPr>
      </w:pPr>
      <w:r>
        <w:rPr>
          <w:rFonts w:hint="eastAsia"/>
          <w:kern w:val="0"/>
          <w:szCs w:val="21"/>
        </w:rPr>
        <w:t>理解：</w:t>
      </w:r>
      <w:r>
        <w:rPr>
          <w:kern w:val="0"/>
          <w:szCs w:val="21"/>
        </w:rPr>
        <w:t>园艺植物诱变材料的</w:t>
      </w:r>
      <w:r>
        <w:rPr>
          <w:rFonts w:hint="eastAsia"/>
          <w:kern w:val="0"/>
          <w:szCs w:val="21"/>
        </w:rPr>
        <w:t>选择。</w:t>
      </w:r>
    </w:p>
    <w:p>
      <w:pPr>
        <w:spacing w:line="360" w:lineRule="auto"/>
        <w:ind w:firstLine="420" w:firstLineChars="200"/>
        <w:rPr>
          <w:kern w:val="0"/>
          <w:szCs w:val="21"/>
        </w:rPr>
      </w:pPr>
      <w:r>
        <w:rPr>
          <w:rFonts w:hint="eastAsia"/>
          <w:kern w:val="0"/>
          <w:szCs w:val="21"/>
        </w:rPr>
        <w:t>掌握：</w:t>
      </w:r>
      <w:r>
        <w:rPr>
          <w:kern w:val="0"/>
          <w:szCs w:val="21"/>
        </w:rPr>
        <w:t>诱变育种的概念和特点</w:t>
      </w:r>
      <w:r>
        <w:rPr>
          <w:rFonts w:hint="eastAsia"/>
          <w:kern w:val="0"/>
          <w:szCs w:val="21"/>
        </w:rPr>
        <w:t>；诱变的种类</w:t>
      </w:r>
      <w:r>
        <w:rPr>
          <w:kern w:val="0"/>
          <w:szCs w:val="21"/>
        </w:rPr>
        <w:t>；</w:t>
      </w:r>
      <w:r>
        <w:rPr>
          <w:rFonts w:hint="eastAsia"/>
          <w:kern w:val="0"/>
          <w:szCs w:val="21"/>
        </w:rPr>
        <w:t>物理诱变的辐射源；</w:t>
      </w:r>
      <w:r>
        <w:rPr>
          <w:kern w:val="0"/>
          <w:szCs w:val="21"/>
        </w:rPr>
        <w:t>化学诱变的特点</w:t>
      </w:r>
      <w:r>
        <w:rPr>
          <w:rFonts w:hint="eastAsia"/>
          <w:kern w:val="0"/>
          <w:szCs w:val="21"/>
        </w:rPr>
        <w:t>。</w:t>
      </w:r>
    </w:p>
    <w:p>
      <w:pPr>
        <w:spacing w:line="360" w:lineRule="auto"/>
        <w:ind w:firstLine="420" w:firstLineChars="200"/>
        <w:rPr>
          <w:kern w:val="0"/>
          <w:szCs w:val="21"/>
        </w:rPr>
      </w:pPr>
      <w:r>
        <w:rPr>
          <w:rFonts w:hint="eastAsia"/>
          <w:kern w:val="0"/>
          <w:szCs w:val="21"/>
        </w:rPr>
        <w:t>熟练掌握：</w:t>
      </w:r>
      <w:r>
        <w:rPr>
          <w:kern w:val="0"/>
          <w:szCs w:val="21"/>
        </w:rPr>
        <w:t>有性繁殖</w:t>
      </w:r>
      <w:r>
        <w:rPr>
          <w:rFonts w:hint="eastAsia"/>
          <w:kern w:val="0"/>
          <w:szCs w:val="21"/>
        </w:rPr>
        <w:t>植物</w:t>
      </w:r>
      <w:r>
        <w:rPr>
          <w:kern w:val="0"/>
          <w:szCs w:val="21"/>
        </w:rPr>
        <w:t>诱变育种的程序；无性繁殖</w:t>
      </w:r>
      <w:r>
        <w:rPr>
          <w:rFonts w:hint="eastAsia"/>
          <w:kern w:val="0"/>
          <w:szCs w:val="21"/>
        </w:rPr>
        <w:t>植物</w:t>
      </w:r>
      <w:r>
        <w:rPr>
          <w:kern w:val="0"/>
          <w:szCs w:val="21"/>
        </w:rPr>
        <w:t>诱变育种的程序。</w:t>
      </w:r>
    </w:p>
    <w:p>
      <w:pPr>
        <w:spacing w:line="360" w:lineRule="auto"/>
        <w:rPr>
          <w:kern w:val="0"/>
          <w:szCs w:val="21"/>
        </w:rPr>
      </w:pPr>
      <w:r>
        <w:rPr>
          <w:rFonts w:hint="eastAsia" w:ascii="宋体" w:hAnsi="宋体"/>
          <w:b/>
          <w:bCs/>
        </w:rPr>
        <w:t>教学组织与实施：</w:t>
      </w:r>
      <w:r>
        <w:rPr>
          <w:rFonts w:hint="eastAsia" w:ascii="宋体" w:hAnsi="宋体"/>
        </w:rPr>
        <w:t>通过课堂讲授结合实例介绍诱变的种类和特点，引导学生思考诱变育种在园艺植物育种中的应用。</w:t>
      </w:r>
    </w:p>
    <w:p>
      <w:pPr>
        <w:widowControl/>
        <w:spacing w:line="360" w:lineRule="auto"/>
        <w:jc w:val="right"/>
        <w:outlineLvl w:val="3"/>
        <w:rPr>
          <w:rFonts w:cs="宋体"/>
          <w:bCs/>
          <w:kern w:val="0"/>
          <w:szCs w:val="21"/>
        </w:rPr>
      </w:pPr>
      <w:r>
        <w:rPr>
          <w:rFonts w:hint="eastAsia" w:cs="宋体"/>
          <w:b/>
          <w:bCs/>
          <w:kern w:val="0"/>
          <w:szCs w:val="21"/>
        </w:rPr>
        <w:t>第十一章  生物技术在园艺植物育种中的应用          4学时</w:t>
      </w:r>
    </w:p>
    <w:p>
      <w:pPr>
        <w:spacing w:line="360" w:lineRule="auto"/>
        <w:rPr>
          <w:kern w:val="0"/>
          <w:szCs w:val="21"/>
        </w:rPr>
      </w:pPr>
      <w:r>
        <w:rPr>
          <w:rFonts w:hint="eastAsia"/>
          <w:b/>
          <w:kern w:val="0"/>
          <w:szCs w:val="21"/>
        </w:rPr>
        <w:t>教学目的：</w:t>
      </w:r>
      <w:r>
        <w:rPr>
          <w:rFonts w:hint="eastAsia"/>
          <w:kern w:val="0"/>
          <w:szCs w:val="21"/>
        </w:rPr>
        <w:t>通过本章的学习，掌握生物技术常用的方法。</w:t>
      </w:r>
    </w:p>
    <w:p>
      <w:pPr>
        <w:spacing w:line="360" w:lineRule="auto"/>
        <w:rPr>
          <w:kern w:val="0"/>
          <w:szCs w:val="21"/>
        </w:rPr>
      </w:pPr>
      <w:r>
        <w:rPr>
          <w:rFonts w:hint="eastAsia"/>
          <w:b/>
          <w:kern w:val="0"/>
          <w:szCs w:val="21"/>
        </w:rPr>
        <w:t>教学重点和难点：</w:t>
      </w:r>
      <w:r>
        <w:rPr>
          <w:rFonts w:hint="eastAsia"/>
          <w:kern w:val="0"/>
          <w:szCs w:val="21"/>
        </w:rPr>
        <w:t>细胞工程在园艺植物育种中的应用；植物基因工程在园艺植物育种中的应用；分子标记辅助选择在园艺植物育种中的应用。</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了解：生物技术发展历程。</w:t>
      </w:r>
    </w:p>
    <w:p>
      <w:pPr>
        <w:spacing w:line="360" w:lineRule="auto"/>
        <w:ind w:firstLine="420" w:firstLineChars="200"/>
        <w:rPr>
          <w:kern w:val="0"/>
          <w:szCs w:val="21"/>
        </w:rPr>
      </w:pPr>
      <w:r>
        <w:rPr>
          <w:rFonts w:hint="eastAsia"/>
          <w:kern w:val="0"/>
          <w:szCs w:val="21"/>
        </w:rPr>
        <w:t>理解：花药培养的基本程序；原生质体培养和体细胞杂交的程序。</w:t>
      </w:r>
    </w:p>
    <w:p>
      <w:pPr>
        <w:spacing w:line="360" w:lineRule="auto"/>
        <w:ind w:firstLine="420" w:firstLineChars="200"/>
        <w:rPr>
          <w:kern w:val="0"/>
          <w:szCs w:val="21"/>
        </w:rPr>
      </w:pPr>
      <w:r>
        <w:rPr>
          <w:rFonts w:hint="eastAsia"/>
          <w:kern w:val="0"/>
          <w:szCs w:val="21"/>
        </w:rPr>
        <w:t>掌握：组织和器官培养的类型；体细胞突变体的筛选；植物基因工程的基本步骤。</w:t>
      </w:r>
    </w:p>
    <w:p>
      <w:pPr>
        <w:spacing w:line="360" w:lineRule="auto"/>
        <w:ind w:firstLine="420" w:firstLineChars="200"/>
        <w:rPr>
          <w:kern w:val="0"/>
          <w:szCs w:val="21"/>
        </w:rPr>
      </w:pPr>
      <w:r>
        <w:rPr>
          <w:rFonts w:hint="eastAsia"/>
          <w:kern w:val="0"/>
          <w:szCs w:val="21"/>
        </w:rPr>
        <w:t>熟练掌握：细胞工程在园艺植物育种中的应用；植物基因工程在园艺植物育种中的应用；分子标记辅助选择在园艺植物育种中的应用。</w:t>
      </w:r>
    </w:p>
    <w:p>
      <w:pPr>
        <w:spacing w:line="360" w:lineRule="auto"/>
        <w:rPr>
          <w:kern w:val="0"/>
          <w:szCs w:val="21"/>
        </w:rPr>
      </w:pPr>
      <w:r>
        <w:rPr>
          <w:rFonts w:hint="eastAsia" w:ascii="宋体" w:hAnsi="宋体"/>
          <w:b/>
          <w:bCs/>
        </w:rPr>
        <w:t>教学组织与实施：</w:t>
      </w:r>
      <w:r>
        <w:rPr>
          <w:rFonts w:hint="eastAsia" w:ascii="宋体" w:hAnsi="宋体"/>
        </w:rPr>
        <w:t>通过课堂讲授结合大量图片资料介绍</w:t>
      </w:r>
      <w:r>
        <w:rPr>
          <w:rFonts w:hint="eastAsia"/>
          <w:kern w:val="0"/>
          <w:szCs w:val="21"/>
        </w:rPr>
        <w:t>细胞工程、基因工程和分子标记的方法及其在育种中的应用，学生可通过自学深入学习生物技术在园艺植物育种中的应用。通过育种前沿生物技术的了解，使学生开阔视野，培养创新创造性思维。</w:t>
      </w:r>
    </w:p>
    <w:p>
      <w:pPr>
        <w:widowControl/>
        <w:spacing w:line="360" w:lineRule="auto"/>
        <w:jc w:val="right"/>
        <w:outlineLvl w:val="3"/>
        <w:rPr>
          <w:rFonts w:cs="宋体"/>
          <w:b/>
          <w:bCs/>
          <w:kern w:val="0"/>
          <w:szCs w:val="21"/>
        </w:rPr>
      </w:pPr>
      <w:r>
        <w:rPr>
          <w:rFonts w:hint="eastAsia" w:cs="宋体"/>
          <w:b/>
          <w:bCs/>
          <w:kern w:val="0"/>
          <w:szCs w:val="21"/>
        </w:rPr>
        <w:t>第十二章  品种审定、保护与良种繁育                4学时</w:t>
      </w:r>
    </w:p>
    <w:p>
      <w:pPr>
        <w:spacing w:line="360" w:lineRule="auto"/>
        <w:rPr>
          <w:kern w:val="0"/>
          <w:szCs w:val="21"/>
        </w:rPr>
      </w:pPr>
      <w:r>
        <w:rPr>
          <w:rFonts w:hint="eastAsia"/>
          <w:b/>
          <w:kern w:val="0"/>
          <w:szCs w:val="21"/>
        </w:rPr>
        <w:t>教学目的：</w:t>
      </w:r>
      <w:r>
        <w:rPr>
          <w:rFonts w:hint="eastAsia"/>
          <w:kern w:val="0"/>
          <w:szCs w:val="21"/>
        </w:rPr>
        <w:t>通过本章的学习，掌握</w:t>
      </w:r>
      <w:r>
        <w:rPr>
          <w:kern w:val="0"/>
          <w:szCs w:val="21"/>
        </w:rPr>
        <w:t>品种审定的程序；无性繁殖</w:t>
      </w:r>
      <w:r>
        <w:rPr>
          <w:rFonts w:hint="eastAsia"/>
          <w:kern w:val="0"/>
          <w:szCs w:val="21"/>
        </w:rPr>
        <w:t>和</w:t>
      </w:r>
      <w:r>
        <w:rPr>
          <w:kern w:val="0"/>
          <w:szCs w:val="21"/>
        </w:rPr>
        <w:t>有性繁殖园艺植物良种繁育的措施。</w:t>
      </w:r>
    </w:p>
    <w:p>
      <w:pPr>
        <w:spacing w:line="360" w:lineRule="auto"/>
        <w:rPr>
          <w:kern w:val="0"/>
          <w:szCs w:val="21"/>
        </w:rPr>
      </w:pPr>
      <w:r>
        <w:rPr>
          <w:rFonts w:hint="eastAsia"/>
          <w:b/>
          <w:kern w:val="0"/>
          <w:szCs w:val="21"/>
        </w:rPr>
        <w:t>教学重点和难点：</w:t>
      </w:r>
      <w:r>
        <w:rPr>
          <w:kern w:val="0"/>
          <w:szCs w:val="21"/>
        </w:rPr>
        <w:t>品种审定的程序；无性繁殖园艺植物良种繁育的措施；有性繁殖园艺植物良种繁育的措施。</w:t>
      </w:r>
    </w:p>
    <w:p>
      <w:pPr>
        <w:spacing w:line="360" w:lineRule="auto"/>
        <w:rPr>
          <w:b/>
          <w:kern w:val="0"/>
          <w:szCs w:val="21"/>
        </w:rPr>
      </w:pPr>
      <w:r>
        <w:rPr>
          <w:rFonts w:hint="eastAsia"/>
          <w:b/>
          <w:kern w:val="0"/>
          <w:szCs w:val="21"/>
        </w:rPr>
        <w:t>主要教学内容及要求：</w:t>
      </w:r>
    </w:p>
    <w:p>
      <w:pPr>
        <w:spacing w:line="360" w:lineRule="auto"/>
        <w:ind w:firstLine="420" w:firstLineChars="200"/>
        <w:rPr>
          <w:kern w:val="0"/>
          <w:szCs w:val="21"/>
        </w:rPr>
      </w:pPr>
      <w:r>
        <w:rPr>
          <w:rFonts w:hint="eastAsia"/>
          <w:kern w:val="0"/>
          <w:szCs w:val="21"/>
        </w:rPr>
        <w:t>了解：</w:t>
      </w:r>
      <w:r>
        <w:rPr>
          <w:kern w:val="0"/>
          <w:szCs w:val="21"/>
        </w:rPr>
        <w:t>品种登录的概念和作用</w:t>
      </w:r>
      <w:r>
        <w:rPr>
          <w:rFonts w:hint="eastAsia"/>
          <w:kern w:val="0"/>
          <w:szCs w:val="21"/>
        </w:rPr>
        <w:t>。</w:t>
      </w:r>
    </w:p>
    <w:p>
      <w:pPr>
        <w:spacing w:line="360" w:lineRule="auto"/>
        <w:ind w:firstLine="420" w:firstLineChars="200"/>
        <w:rPr>
          <w:kern w:val="0"/>
          <w:szCs w:val="21"/>
        </w:rPr>
      </w:pPr>
      <w:r>
        <w:rPr>
          <w:rFonts w:hint="eastAsia"/>
          <w:kern w:val="0"/>
          <w:szCs w:val="21"/>
        </w:rPr>
        <w:t>理解：</w:t>
      </w:r>
      <w:r>
        <w:rPr>
          <w:kern w:val="0"/>
          <w:szCs w:val="21"/>
        </w:rPr>
        <w:t>申请保护的品种必须具备的条件</w:t>
      </w:r>
      <w:r>
        <w:rPr>
          <w:rFonts w:hint="eastAsia"/>
          <w:kern w:val="0"/>
          <w:szCs w:val="21"/>
        </w:rPr>
        <w:t>。</w:t>
      </w:r>
    </w:p>
    <w:p>
      <w:pPr>
        <w:spacing w:line="360" w:lineRule="auto"/>
        <w:ind w:firstLine="420" w:firstLineChars="200"/>
        <w:rPr>
          <w:kern w:val="0"/>
          <w:szCs w:val="21"/>
        </w:rPr>
      </w:pPr>
      <w:r>
        <w:rPr>
          <w:rFonts w:hint="eastAsia"/>
          <w:kern w:val="0"/>
          <w:szCs w:val="21"/>
        </w:rPr>
        <w:t>掌握：</w:t>
      </w:r>
      <w:r>
        <w:rPr>
          <w:kern w:val="0"/>
          <w:szCs w:val="21"/>
        </w:rPr>
        <w:t>良种繁育的概念和作用；申请保护的品种必须具备的条件；品种退化的概念和防止品种退化的措施；</w:t>
      </w:r>
    </w:p>
    <w:p>
      <w:pPr>
        <w:spacing w:line="360" w:lineRule="auto"/>
        <w:ind w:firstLine="420" w:firstLineChars="200"/>
        <w:rPr>
          <w:b/>
          <w:kern w:val="0"/>
          <w:szCs w:val="21"/>
        </w:rPr>
      </w:pPr>
      <w:r>
        <w:rPr>
          <w:rFonts w:hint="eastAsia"/>
          <w:kern w:val="0"/>
          <w:szCs w:val="21"/>
        </w:rPr>
        <w:t>熟练掌握：</w:t>
      </w:r>
      <w:r>
        <w:rPr>
          <w:kern w:val="0"/>
          <w:szCs w:val="21"/>
        </w:rPr>
        <w:t>园艺植物育种的一般程序</w:t>
      </w:r>
      <w:r>
        <w:rPr>
          <w:rFonts w:hint="eastAsia"/>
          <w:kern w:val="0"/>
          <w:szCs w:val="21"/>
        </w:rPr>
        <w:t>；</w:t>
      </w:r>
      <w:r>
        <w:rPr>
          <w:kern w:val="0"/>
          <w:szCs w:val="21"/>
        </w:rPr>
        <w:t>无性繁殖</w:t>
      </w:r>
      <w:r>
        <w:rPr>
          <w:rFonts w:hint="eastAsia"/>
          <w:kern w:val="0"/>
          <w:szCs w:val="21"/>
        </w:rPr>
        <w:t>和</w:t>
      </w:r>
      <w:r>
        <w:rPr>
          <w:kern w:val="0"/>
          <w:szCs w:val="21"/>
        </w:rPr>
        <w:t>有性繁殖园艺植物良种繁育的措施。</w:t>
      </w:r>
    </w:p>
    <w:p>
      <w:pPr>
        <w:spacing w:line="360" w:lineRule="auto"/>
        <w:rPr>
          <w:rFonts w:ascii="宋体" w:hAnsi="宋体"/>
        </w:rPr>
      </w:pPr>
      <w:r>
        <w:rPr>
          <w:rFonts w:hint="eastAsia" w:ascii="宋体" w:hAnsi="宋体"/>
          <w:b/>
          <w:bCs/>
        </w:rPr>
        <w:t>教学组织与实施：</w:t>
      </w:r>
      <w:r>
        <w:rPr>
          <w:rFonts w:hint="eastAsia" w:ascii="宋体" w:hAnsi="宋体"/>
        </w:rPr>
        <w:t>通过课堂讲授介绍品种审定的程序、品种登录的概念、良种繁育的概念和作用、品种退化的概念，通过引导学生思考</w:t>
      </w:r>
      <w:r>
        <w:rPr>
          <w:kern w:val="0"/>
          <w:szCs w:val="21"/>
        </w:rPr>
        <w:t>无性繁殖</w:t>
      </w:r>
      <w:r>
        <w:rPr>
          <w:rFonts w:hint="eastAsia"/>
          <w:kern w:val="0"/>
          <w:szCs w:val="21"/>
        </w:rPr>
        <w:t>和</w:t>
      </w:r>
      <w:r>
        <w:rPr>
          <w:kern w:val="0"/>
          <w:szCs w:val="21"/>
        </w:rPr>
        <w:t>有性繁殖园艺植物良种繁育的措施</w:t>
      </w:r>
      <w:r>
        <w:rPr>
          <w:rFonts w:hint="eastAsia"/>
          <w:kern w:val="0"/>
          <w:szCs w:val="21"/>
        </w:rPr>
        <w:t>，引导学生</w:t>
      </w:r>
      <w:r>
        <w:rPr>
          <w:rFonts w:hint="eastAsia" w:ascii="宋体" w:hAnsi="宋体"/>
        </w:rPr>
        <w:t>讨论防止品种退化的措施。引导学生理解品种保护就是尊重科研工作者的劳动。</w:t>
      </w:r>
    </w:p>
    <w:p>
      <w:pPr>
        <w:widowControl/>
        <w:snapToGrid w:val="0"/>
        <w:spacing w:line="360" w:lineRule="auto"/>
        <w:jc w:val="left"/>
        <w:rPr>
          <w:rFonts w:hAnsi="宋体"/>
          <w:bCs/>
          <w:kern w:val="0"/>
          <w:szCs w:val="21"/>
        </w:rPr>
      </w:pPr>
      <w:r>
        <w:rPr>
          <w:rFonts w:hint="eastAsia" w:hAnsi="宋体"/>
          <w:b/>
          <w:bCs/>
          <w:kern w:val="0"/>
          <w:szCs w:val="21"/>
        </w:rPr>
        <w:t>五</w:t>
      </w:r>
      <w:r>
        <w:rPr>
          <w:rFonts w:hAnsi="宋体"/>
          <w:b/>
          <w:bCs/>
          <w:kern w:val="0"/>
          <w:szCs w:val="21"/>
        </w:rPr>
        <w:t>、实验教学内容及学时分配</w:t>
      </w:r>
      <w:r>
        <w:rPr>
          <w:b/>
          <w:bCs/>
          <w:kern w:val="0"/>
          <w:szCs w:val="21"/>
        </w:rPr>
        <w:t> </w:t>
      </w:r>
      <w:r>
        <w:rPr>
          <w:rFonts w:hint="eastAsia" w:hAnsi="宋体"/>
          <w:b/>
          <w:bCs/>
          <w:kern w:val="0"/>
          <w:szCs w:val="21"/>
        </w:rPr>
        <w:t>（20</w:t>
      </w:r>
      <w:r>
        <w:rPr>
          <w:rFonts w:hAnsi="宋体"/>
          <w:b/>
          <w:bCs/>
          <w:kern w:val="0"/>
          <w:szCs w:val="21"/>
        </w:rPr>
        <w:t>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bCs/>
          <w:szCs w:val="21"/>
        </w:rPr>
      </w:pPr>
      <w:r>
        <w:rPr>
          <w:bCs/>
          <w:szCs w:val="21"/>
        </w:rPr>
        <w:t>该课程是《园艺植物育种学》课程的重要组成部分，共20学时，为《园艺植物育种学》教学过程提供理论联络实际的重要内容，是提高教学质量的重要环节。</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t>通过该课程的学习，应使学生学会综合运用遗传育种的理论知识，使学生掌握园艺育种的基本操作技术，培养学生利用理论教学的相关知识，采用适当的方法和技术对园艺植物进行有效的遗传改良。</w:t>
      </w:r>
    </w:p>
    <w:p>
      <w:pPr>
        <w:snapToGrid w:val="0"/>
        <w:spacing w:line="360" w:lineRule="auto"/>
        <w:ind w:firstLine="420" w:firstLineChars="200"/>
      </w:pPr>
      <w:r>
        <w:t>要求学生必须掌握种质资源的调查、收集和保存方法，掌握从育种目标的制定、杂交计划的实施过程中所应用到的基本方法和操作技能，掌握倍性育种等育种途径的操作方法，并能应用到生产实践中去。</w:t>
      </w:r>
    </w:p>
    <w:p>
      <w:pPr>
        <w:numPr>
          <w:ilvl w:val="0"/>
          <w:numId w:val="16"/>
        </w:numPr>
        <w:snapToGrid w:val="0"/>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实验安全操作规范</w:t>
      </w:r>
    </w:p>
    <w:p>
      <w:pPr>
        <w:snapToGrid w:val="0"/>
        <w:spacing w:line="360" w:lineRule="auto"/>
        <w:ind w:firstLine="420" w:firstLineChars="200"/>
      </w:pPr>
      <w:r>
        <w:rPr>
          <w:rFonts w:hint="eastAsia"/>
        </w:rPr>
        <w:t>实验课前加强安全教育，提高安全和自我保护意识。注意防火、防盗、防水、防事故，严格遵守仪器设备操作规程，分析测试前熟悉检测内容及操作步骤，作好必要的安全防护；有毒试剂废液或废弃物应按规定集中回收，禁止直接倒入下水道；掌握实验伤害救护常识，熟悉处理预案。田间实验和参观实验时注意交通安全，不随意采摘实验材料。</w:t>
      </w:r>
    </w:p>
    <w:p>
      <w:pPr>
        <w:snapToGrid w:val="0"/>
        <w:spacing w:before="156" w:beforeLines="50"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3580"/>
        <w:gridCol w:w="851"/>
        <w:gridCol w:w="969"/>
        <w:gridCol w:w="970"/>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shd w:val="clear" w:color="auto" w:fill="EEECE1"/>
            <w:vAlign w:val="center"/>
          </w:tcPr>
          <w:p>
            <w:pPr>
              <w:jc w:val="center"/>
              <w:rPr>
                <w:rFonts w:ascii="宋体" w:hAnsi="宋体" w:cs="宋体"/>
                <w:b/>
                <w:bCs/>
                <w:sz w:val="18"/>
                <w:szCs w:val="18"/>
              </w:rPr>
            </w:pPr>
            <w:r>
              <w:rPr>
                <w:rFonts w:hint="eastAsia" w:ascii="宋体" w:hAnsi="宋体" w:cs="宋体"/>
                <w:b/>
                <w:bCs/>
                <w:sz w:val="18"/>
                <w:szCs w:val="18"/>
              </w:rPr>
              <w:t>序号</w:t>
            </w:r>
          </w:p>
        </w:tc>
        <w:tc>
          <w:tcPr>
            <w:tcW w:w="3580" w:type="dxa"/>
            <w:shd w:val="clear" w:color="auto" w:fill="EEECE1"/>
            <w:vAlign w:val="center"/>
          </w:tcPr>
          <w:p>
            <w:pPr>
              <w:jc w:val="center"/>
              <w:rPr>
                <w:rFonts w:ascii="宋体" w:hAnsi="宋体" w:cs="宋体"/>
                <w:b/>
                <w:bCs/>
                <w:sz w:val="18"/>
                <w:szCs w:val="18"/>
              </w:rPr>
            </w:pPr>
            <w:r>
              <w:rPr>
                <w:rFonts w:hint="eastAsia" w:ascii="宋体" w:hAnsi="宋体" w:cs="宋体"/>
                <w:b/>
                <w:bCs/>
                <w:sz w:val="18"/>
                <w:szCs w:val="18"/>
              </w:rPr>
              <w:t>实验名称</w:t>
            </w:r>
          </w:p>
        </w:tc>
        <w:tc>
          <w:tcPr>
            <w:tcW w:w="851" w:type="dxa"/>
            <w:shd w:val="clear" w:color="auto" w:fill="EEECE1"/>
            <w:vAlign w:val="center"/>
          </w:tcPr>
          <w:p>
            <w:pPr>
              <w:jc w:val="center"/>
              <w:rPr>
                <w:rFonts w:ascii="宋体" w:hAnsi="宋体" w:cs="宋体"/>
                <w:b/>
                <w:bCs/>
                <w:sz w:val="18"/>
                <w:szCs w:val="18"/>
              </w:rPr>
            </w:pPr>
            <w:r>
              <w:rPr>
                <w:rFonts w:hint="eastAsia" w:ascii="宋体" w:hAnsi="宋体" w:cs="宋体"/>
                <w:b/>
                <w:bCs/>
                <w:sz w:val="18"/>
                <w:szCs w:val="18"/>
              </w:rPr>
              <w:t>学时</w:t>
            </w:r>
          </w:p>
        </w:tc>
        <w:tc>
          <w:tcPr>
            <w:tcW w:w="969" w:type="dxa"/>
            <w:shd w:val="clear" w:color="auto" w:fill="EEECE1"/>
            <w:vAlign w:val="center"/>
          </w:tcPr>
          <w:p>
            <w:pPr>
              <w:jc w:val="center"/>
              <w:rPr>
                <w:rFonts w:ascii="宋体" w:hAnsi="宋体" w:cs="宋体"/>
                <w:b/>
                <w:bCs/>
                <w:sz w:val="18"/>
                <w:szCs w:val="18"/>
              </w:rPr>
            </w:pPr>
            <w:r>
              <w:rPr>
                <w:rFonts w:hint="eastAsia" w:ascii="宋体" w:hAnsi="宋体" w:cs="宋体"/>
                <w:b/>
                <w:bCs/>
                <w:sz w:val="18"/>
                <w:szCs w:val="18"/>
              </w:rPr>
              <w:t>类型</w:t>
            </w:r>
          </w:p>
        </w:tc>
        <w:tc>
          <w:tcPr>
            <w:tcW w:w="970" w:type="dxa"/>
            <w:shd w:val="clear" w:color="auto" w:fill="EEECE1"/>
            <w:vAlign w:val="center"/>
          </w:tcPr>
          <w:p>
            <w:pPr>
              <w:jc w:val="center"/>
              <w:rPr>
                <w:rFonts w:ascii="宋体" w:hAnsi="宋体" w:cs="宋体"/>
                <w:b/>
                <w:bCs/>
                <w:sz w:val="18"/>
                <w:szCs w:val="18"/>
              </w:rPr>
            </w:pPr>
            <w:r>
              <w:rPr>
                <w:rFonts w:hint="eastAsia" w:ascii="宋体" w:hAnsi="宋体" w:cs="宋体"/>
                <w:b/>
                <w:bCs/>
                <w:sz w:val="18"/>
                <w:szCs w:val="18"/>
              </w:rPr>
              <w:t>实验要求</w:t>
            </w:r>
          </w:p>
        </w:tc>
        <w:tc>
          <w:tcPr>
            <w:tcW w:w="1023" w:type="dxa"/>
            <w:shd w:val="clear" w:color="auto" w:fill="EEECE1"/>
            <w:vAlign w:val="center"/>
          </w:tcPr>
          <w:p>
            <w:pPr>
              <w:jc w:val="cente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tcPr>
          <w:p>
            <w:pPr>
              <w:widowControl/>
              <w:spacing w:before="156" w:beforeLines="50" w:line="360" w:lineRule="auto"/>
              <w:jc w:val="left"/>
              <w:rPr>
                <w:bCs/>
                <w:kern w:val="0"/>
                <w:sz w:val="18"/>
                <w:szCs w:val="18"/>
              </w:rPr>
            </w:pPr>
            <w:r>
              <w:rPr>
                <w:sz w:val="18"/>
                <w:szCs w:val="18"/>
              </w:rPr>
              <w:t>1901100301</w:t>
            </w:r>
          </w:p>
        </w:tc>
        <w:tc>
          <w:tcPr>
            <w:tcW w:w="3580" w:type="dxa"/>
          </w:tcPr>
          <w:p>
            <w:pPr>
              <w:widowControl/>
              <w:spacing w:before="156" w:beforeLines="50" w:line="360" w:lineRule="auto"/>
              <w:jc w:val="left"/>
              <w:rPr>
                <w:sz w:val="18"/>
                <w:szCs w:val="18"/>
              </w:rPr>
            </w:pPr>
            <w:r>
              <w:rPr>
                <w:sz w:val="18"/>
                <w:szCs w:val="18"/>
              </w:rPr>
              <w:t>园艺植物开花习性调查</w:t>
            </w:r>
          </w:p>
        </w:tc>
        <w:tc>
          <w:tcPr>
            <w:tcW w:w="851" w:type="dxa"/>
          </w:tcPr>
          <w:p>
            <w:pPr>
              <w:widowControl/>
              <w:spacing w:before="156" w:beforeLines="50" w:line="360" w:lineRule="auto"/>
              <w:jc w:val="left"/>
              <w:rPr>
                <w:bCs/>
                <w:kern w:val="0"/>
                <w:sz w:val="18"/>
                <w:szCs w:val="18"/>
              </w:rPr>
            </w:pPr>
            <w:r>
              <w:rPr>
                <w:bCs/>
                <w:kern w:val="0"/>
                <w:sz w:val="18"/>
                <w:szCs w:val="18"/>
              </w:rPr>
              <w:t>4学时</w:t>
            </w:r>
          </w:p>
        </w:tc>
        <w:tc>
          <w:tcPr>
            <w:tcW w:w="969" w:type="dxa"/>
          </w:tcPr>
          <w:p>
            <w:pPr>
              <w:spacing w:before="156" w:beforeLines="50" w:line="360" w:lineRule="auto"/>
              <w:rPr>
                <w:sz w:val="18"/>
                <w:szCs w:val="18"/>
              </w:rPr>
            </w:pPr>
            <w:r>
              <w:rPr>
                <w:sz w:val="18"/>
                <w:szCs w:val="18"/>
              </w:rPr>
              <w:t>基础性</w:t>
            </w:r>
          </w:p>
        </w:tc>
        <w:tc>
          <w:tcPr>
            <w:tcW w:w="970" w:type="dxa"/>
          </w:tcPr>
          <w:p>
            <w:pPr>
              <w:widowControl/>
              <w:spacing w:before="156" w:beforeLines="50" w:line="360" w:lineRule="auto"/>
              <w:jc w:val="left"/>
              <w:rPr>
                <w:bCs/>
                <w:kern w:val="0"/>
                <w:sz w:val="18"/>
                <w:szCs w:val="18"/>
              </w:rPr>
            </w:pPr>
            <w:r>
              <w:rPr>
                <w:bCs/>
                <w:kern w:val="0"/>
                <w:sz w:val="18"/>
                <w:szCs w:val="18"/>
              </w:rPr>
              <w:t>必做</w:t>
            </w:r>
          </w:p>
        </w:tc>
        <w:tc>
          <w:tcPr>
            <w:tcW w:w="1023" w:type="dxa"/>
          </w:tcPr>
          <w:p>
            <w:pPr>
              <w:spacing w:before="156" w:beforeLines="50" w:line="360" w:lineRule="auto"/>
              <w:jc w:val="center"/>
              <w:rPr>
                <w:sz w:val="18"/>
                <w:szCs w:val="18"/>
              </w:rPr>
            </w:pPr>
            <w:r>
              <w:rPr>
                <w:bCs/>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tcPr>
          <w:p>
            <w:pPr>
              <w:widowControl/>
              <w:spacing w:before="156" w:beforeLines="50" w:line="360" w:lineRule="auto"/>
              <w:jc w:val="left"/>
              <w:rPr>
                <w:bCs/>
                <w:kern w:val="0"/>
                <w:sz w:val="18"/>
                <w:szCs w:val="18"/>
              </w:rPr>
            </w:pPr>
            <w:r>
              <w:rPr>
                <w:sz w:val="18"/>
                <w:szCs w:val="18"/>
              </w:rPr>
              <w:t>1901100302</w:t>
            </w:r>
          </w:p>
        </w:tc>
        <w:tc>
          <w:tcPr>
            <w:tcW w:w="3580" w:type="dxa"/>
          </w:tcPr>
          <w:p>
            <w:pPr>
              <w:widowControl/>
              <w:spacing w:before="156" w:beforeLines="50" w:line="360" w:lineRule="auto"/>
              <w:jc w:val="left"/>
              <w:rPr>
                <w:sz w:val="18"/>
                <w:szCs w:val="18"/>
              </w:rPr>
            </w:pPr>
            <w:r>
              <w:rPr>
                <w:sz w:val="18"/>
                <w:szCs w:val="18"/>
              </w:rPr>
              <w:t>花粉采集与花粉生活力测定</w:t>
            </w:r>
          </w:p>
        </w:tc>
        <w:tc>
          <w:tcPr>
            <w:tcW w:w="851" w:type="dxa"/>
          </w:tcPr>
          <w:p>
            <w:pPr>
              <w:widowControl/>
              <w:spacing w:before="156" w:beforeLines="50" w:line="360" w:lineRule="auto"/>
              <w:jc w:val="left"/>
              <w:rPr>
                <w:bCs/>
                <w:kern w:val="0"/>
                <w:sz w:val="18"/>
                <w:szCs w:val="18"/>
              </w:rPr>
            </w:pPr>
            <w:r>
              <w:rPr>
                <w:bCs/>
                <w:kern w:val="0"/>
                <w:sz w:val="18"/>
                <w:szCs w:val="18"/>
              </w:rPr>
              <w:t>4学时</w:t>
            </w:r>
          </w:p>
        </w:tc>
        <w:tc>
          <w:tcPr>
            <w:tcW w:w="969" w:type="dxa"/>
          </w:tcPr>
          <w:p>
            <w:pPr>
              <w:spacing w:before="156" w:beforeLines="50" w:line="360" w:lineRule="auto"/>
              <w:rPr>
                <w:sz w:val="18"/>
                <w:szCs w:val="18"/>
              </w:rPr>
            </w:pPr>
            <w:r>
              <w:rPr>
                <w:sz w:val="18"/>
                <w:szCs w:val="18"/>
              </w:rPr>
              <w:t>基础性</w:t>
            </w:r>
          </w:p>
        </w:tc>
        <w:tc>
          <w:tcPr>
            <w:tcW w:w="970" w:type="dxa"/>
          </w:tcPr>
          <w:p>
            <w:pPr>
              <w:widowControl/>
              <w:spacing w:before="156" w:beforeLines="50" w:line="360" w:lineRule="auto"/>
              <w:jc w:val="left"/>
              <w:rPr>
                <w:bCs/>
                <w:kern w:val="0"/>
                <w:sz w:val="18"/>
                <w:szCs w:val="18"/>
              </w:rPr>
            </w:pPr>
            <w:r>
              <w:rPr>
                <w:bCs/>
                <w:kern w:val="0"/>
                <w:sz w:val="18"/>
                <w:szCs w:val="18"/>
              </w:rPr>
              <w:t>必做</w:t>
            </w:r>
          </w:p>
        </w:tc>
        <w:tc>
          <w:tcPr>
            <w:tcW w:w="1023" w:type="dxa"/>
          </w:tcPr>
          <w:p>
            <w:pPr>
              <w:spacing w:before="156" w:beforeLines="50" w:line="360" w:lineRule="auto"/>
              <w:jc w:val="center"/>
              <w:rPr>
                <w:sz w:val="18"/>
                <w:szCs w:val="18"/>
              </w:rPr>
            </w:pPr>
            <w:r>
              <w:rPr>
                <w:bCs/>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tcPr>
          <w:p>
            <w:pPr>
              <w:widowControl/>
              <w:spacing w:before="156" w:beforeLines="50" w:line="360" w:lineRule="auto"/>
              <w:jc w:val="left"/>
              <w:rPr>
                <w:bCs/>
                <w:kern w:val="0"/>
                <w:sz w:val="18"/>
                <w:szCs w:val="18"/>
              </w:rPr>
            </w:pPr>
            <w:r>
              <w:rPr>
                <w:sz w:val="18"/>
                <w:szCs w:val="18"/>
              </w:rPr>
              <w:t>1901100303</w:t>
            </w:r>
          </w:p>
        </w:tc>
        <w:tc>
          <w:tcPr>
            <w:tcW w:w="3580" w:type="dxa"/>
          </w:tcPr>
          <w:p>
            <w:pPr>
              <w:widowControl/>
              <w:spacing w:before="156" w:beforeLines="50" w:line="360" w:lineRule="auto"/>
              <w:jc w:val="left"/>
              <w:rPr>
                <w:sz w:val="18"/>
                <w:szCs w:val="18"/>
              </w:rPr>
            </w:pPr>
            <w:r>
              <w:rPr>
                <w:sz w:val="18"/>
                <w:szCs w:val="18"/>
              </w:rPr>
              <w:t>育种目标的制定和有性杂交</w:t>
            </w:r>
          </w:p>
        </w:tc>
        <w:tc>
          <w:tcPr>
            <w:tcW w:w="851" w:type="dxa"/>
          </w:tcPr>
          <w:p>
            <w:pPr>
              <w:widowControl/>
              <w:spacing w:before="156" w:beforeLines="50" w:line="360" w:lineRule="auto"/>
              <w:jc w:val="left"/>
              <w:rPr>
                <w:bCs/>
                <w:kern w:val="0"/>
                <w:sz w:val="18"/>
                <w:szCs w:val="18"/>
              </w:rPr>
            </w:pPr>
            <w:r>
              <w:rPr>
                <w:bCs/>
                <w:kern w:val="0"/>
                <w:sz w:val="18"/>
                <w:szCs w:val="18"/>
              </w:rPr>
              <w:t>6学时</w:t>
            </w:r>
          </w:p>
        </w:tc>
        <w:tc>
          <w:tcPr>
            <w:tcW w:w="969" w:type="dxa"/>
          </w:tcPr>
          <w:p>
            <w:pPr>
              <w:spacing w:before="156" w:beforeLines="50" w:line="360" w:lineRule="auto"/>
              <w:rPr>
                <w:sz w:val="18"/>
                <w:szCs w:val="18"/>
              </w:rPr>
            </w:pPr>
            <w:r>
              <w:rPr>
                <w:sz w:val="18"/>
                <w:szCs w:val="18"/>
              </w:rPr>
              <w:t>综合性</w:t>
            </w:r>
          </w:p>
        </w:tc>
        <w:tc>
          <w:tcPr>
            <w:tcW w:w="970" w:type="dxa"/>
          </w:tcPr>
          <w:p>
            <w:pPr>
              <w:widowControl/>
              <w:spacing w:before="156" w:beforeLines="50" w:line="360" w:lineRule="auto"/>
              <w:jc w:val="left"/>
              <w:rPr>
                <w:bCs/>
                <w:kern w:val="0"/>
                <w:sz w:val="18"/>
                <w:szCs w:val="18"/>
              </w:rPr>
            </w:pPr>
            <w:r>
              <w:rPr>
                <w:bCs/>
                <w:kern w:val="0"/>
                <w:sz w:val="18"/>
                <w:szCs w:val="18"/>
              </w:rPr>
              <w:t>必做</w:t>
            </w:r>
          </w:p>
        </w:tc>
        <w:tc>
          <w:tcPr>
            <w:tcW w:w="1023" w:type="dxa"/>
          </w:tcPr>
          <w:p>
            <w:pPr>
              <w:spacing w:before="156" w:beforeLines="50" w:line="360" w:lineRule="auto"/>
              <w:jc w:val="center"/>
              <w:rPr>
                <w:sz w:val="18"/>
                <w:szCs w:val="18"/>
              </w:rPr>
            </w:pPr>
            <w:r>
              <w:rPr>
                <w:bCs/>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tcPr>
          <w:p>
            <w:pPr>
              <w:widowControl/>
              <w:spacing w:before="156" w:beforeLines="50" w:line="360" w:lineRule="auto"/>
              <w:jc w:val="left"/>
              <w:rPr>
                <w:bCs/>
                <w:kern w:val="0"/>
                <w:sz w:val="18"/>
                <w:szCs w:val="18"/>
              </w:rPr>
            </w:pPr>
            <w:r>
              <w:rPr>
                <w:sz w:val="18"/>
                <w:szCs w:val="18"/>
              </w:rPr>
              <w:t>1901100304</w:t>
            </w:r>
          </w:p>
        </w:tc>
        <w:tc>
          <w:tcPr>
            <w:tcW w:w="3580" w:type="dxa"/>
          </w:tcPr>
          <w:p>
            <w:pPr>
              <w:widowControl/>
              <w:spacing w:before="156" w:beforeLines="50" w:line="360" w:lineRule="auto"/>
              <w:jc w:val="left"/>
              <w:rPr>
                <w:sz w:val="18"/>
                <w:szCs w:val="18"/>
              </w:rPr>
            </w:pPr>
            <w:r>
              <w:rPr>
                <w:sz w:val="18"/>
                <w:szCs w:val="18"/>
              </w:rPr>
              <w:t>育种材料的抗寒性鉴定</w:t>
            </w:r>
          </w:p>
        </w:tc>
        <w:tc>
          <w:tcPr>
            <w:tcW w:w="851" w:type="dxa"/>
          </w:tcPr>
          <w:p>
            <w:pPr>
              <w:widowControl/>
              <w:spacing w:before="156" w:beforeLines="50" w:line="360" w:lineRule="auto"/>
              <w:jc w:val="left"/>
              <w:rPr>
                <w:bCs/>
                <w:kern w:val="0"/>
                <w:sz w:val="18"/>
                <w:szCs w:val="18"/>
              </w:rPr>
            </w:pPr>
            <w:r>
              <w:rPr>
                <w:bCs/>
                <w:kern w:val="0"/>
                <w:sz w:val="18"/>
                <w:szCs w:val="18"/>
              </w:rPr>
              <w:t>3学时</w:t>
            </w:r>
          </w:p>
        </w:tc>
        <w:tc>
          <w:tcPr>
            <w:tcW w:w="969" w:type="dxa"/>
          </w:tcPr>
          <w:p>
            <w:pPr>
              <w:spacing w:before="156" w:beforeLines="50" w:line="360" w:lineRule="auto"/>
              <w:rPr>
                <w:sz w:val="18"/>
                <w:szCs w:val="18"/>
              </w:rPr>
            </w:pPr>
            <w:r>
              <w:rPr>
                <w:sz w:val="18"/>
                <w:szCs w:val="18"/>
              </w:rPr>
              <w:t>基础性</w:t>
            </w:r>
          </w:p>
        </w:tc>
        <w:tc>
          <w:tcPr>
            <w:tcW w:w="970" w:type="dxa"/>
          </w:tcPr>
          <w:p>
            <w:pPr>
              <w:widowControl/>
              <w:spacing w:before="156" w:beforeLines="50" w:line="360" w:lineRule="auto"/>
              <w:jc w:val="left"/>
              <w:rPr>
                <w:bCs/>
                <w:kern w:val="0"/>
                <w:sz w:val="18"/>
                <w:szCs w:val="18"/>
              </w:rPr>
            </w:pPr>
            <w:r>
              <w:rPr>
                <w:bCs/>
                <w:kern w:val="0"/>
                <w:sz w:val="18"/>
                <w:szCs w:val="18"/>
              </w:rPr>
              <w:t>必做</w:t>
            </w:r>
          </w:p>
        </w:tc>
        <w:tc>
          <w:tcPr>
            <w:tcW w:w="1023" w:type="dxa"/>
          </w:tcPr>
          <w:p>
            <w:pPr>
              <w:spacing w:before="156" w:beforeLines="50" w:line="360" w:lineRule="auto"/>
              <w:jc w:val="center"/>
              <w:rPr>
                <w:sz w:val="18"/>
                <w:szCs w:val="18"/>
              </w:rPr>
            </w:pPr>
            <w:r>
              <w:rPr>
                <w:bCs/>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3" w:type="dxa"/>
          </w:tcPr>
          <w:p>
            <w:pPr>
              <w:widowControl/>
              <w:spacing w:before="156" w:beforeLines="50" w:line="360" w:lineRule="auto"/>
              <w:jc w:val="left"/>
              <w:rPr>
                <w:bCs/>
                <w:kern w:val="0"/>
                <w:sz w:val="18"/>
                <w:szCs w:val="18"/>
              </w:rPr>
            </w:pPr>
            <w:r>
              <w:rPr>
                <w:sz w:val="18"/>
                <w:szCs w:val="18"/>
              </w:rPr>
              <w:t>1901100305</w:t>
            </w:r>
          </w:p>
        </w:tc>
        <w:tc>
          <w:tcPr>
            <w:tcW w:w="3580" w:type="dxa"/>
          </w:tcPr>
          <w:p>
            <w:pPr>
              <w:widowControl/>
              <w:spacing w:before="156" w:beforeLines="50" w:line="360" w:lineRule="auto"/>
              <w:jc w:val="left"/>
              <w:rPr>
                <w:sz w:val="18"/>
                <w:szCs w:val="18"/>
              </w:rPr>
            </w:pPr>
            <w:r>
              <w:rPr>
                <w:sz w:val="18"/>
                <w:szCs w:val="18"/>
              </w:rPr>
              <w:t>雄性不育系和自交不亲和系的观察和鉴定</w:t>
            </w:r>
          </w:p>
        </w:tc>
        <w:tc>
          <w:tcPr>
            <w:tcW w:w="851" w:type="dxa"/>
          </w:tcPr>
          <w:p>
            <w:pPr>
              <w:widowControl/>
              <w:spacing w:before="156" w:beforeLines="50" w:line="360" w:lineRule="auto"/>
              <w:jc w:val="left"/>
              <w:rPr>
                <w:bCs/>
                <w:kern w:val="0"/>
                <w:sz w:val="18"/>
                <w:szCs w:val="18"/>
              </w:rPr>
            </w:pPr>
            <w:r>
              <w:rPr>
                <w:bCs/>
                <w:kern w:val="0"/>
                <w:sz w:val="18"/>
                <w:szCs w:val="18"/>
              </w:rPr>
              <w:t>3学时</w:t>
            </w:r>
          </w:p>
        </w:tc>
        <w:tc>
          <w:tcPr>
            <w:tcW w:w="969" w:type="dxa"/>
          </w:tcPr>
          <w:p>
            <w:pPr>
              <w:spacing w:before="156" w:beforeLines="50" w:line="360" w:lineRule="auto"/>
              <w:rPr>
                <w:sz w:val="18"/>
                <w:szCs w:val="18"/>
              </w:rPr>
            </w:pPr>
            <w:r>
              <w:rPr>
                <w:sz w:val="18"/>
                <w:szCs w:val="18"/>
              </w:rPr>
              <w:t>基础性</w:t>
            </w:r>
          </w:p>
        </w:tc>
        <w:tc>
          <w:tcPr>
            <w:tcW w:w="970" w:type="dxa"/>
          </w:tcPr>
          <w:p>
            <w:pPr>
              <w:widowControl/>
              <w:spacing w:before="156" w:beforeLines="50" w:line="360" w:lineRule="auto"/>
              <w:jc w:val="left"/>
              <w:rPr>
                <w:bCs/>
                <w:kern w:val="0"/>
                <w:sz w:val="18"/>
                <w:szCs w:val="18"/>
              </w:rPr>
            </w:pPr>
            <w:r>
              <w:rPr>
                <w:bCs/>
                <w:kern w:val="0"/>
                <w:sz w:val="18"/>
                <w:szCs w:val="18"/>
              </w:rPr>
              <w:t>必做</w:t>
            </w:r>
          </w:p>
        </w:tc>
        <w:tc>
          <w:tcPr>
            <w:tcW w:w="1023" w:type="dxa"/>
          </w:tcPr>
          <w:p>
            <w:pPr>
              <w:spacing w:before="156" w:beforeLines="50" w:line="360" w:lineRule="auto"/>
              <w:jc w:val="center"/>
              <w:rPr>
                <w:sz w:val="18"/>
                <w:szCs w:val="18"/>
              </w:rPr>
            </w:pPr>
            <w:r>
              <w:rPr>
                <w:bCs/>
                <w:kern w:val="0"/>
                <w:sz w:val="18"/>
                <w:szCs w:val="18"/>
              </w:rPr>
              <w:t>6</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pacing w:line="360" w:lineRule="auto"/>
        <w:ind w:firstLine="420" w:firstLineChars="200"/>
        <w:rPr>
          <w:kern w:val="0"/>
          <w:szCs w:val="21"/>
        </w:rPr>
      </w:pPr>
      <w:r>
        <w:rPr>
          <w:bCs/>
          <w:szCs w:val="21"/>
        </w:rPr>
        <w:t>本课程以基础性实验为主，室内实验和田间试验相结合，</w:t>
      </w:r>
      <w:r>
        <w:rPr>
          <w:kern w:val="0"/>
          <w:szCs w:val="21"/>
        </w:rPr>
        <w:t>要求学生课前预习，了解实验原理，学会理论联系实际、分析和解决遇到的实际问题。要求每个学生必需认真完成每个实验，并提交实验报告。</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【实验一】园艺植物开花习性调查</w:t>
      </w:r>
    </w:p>
    <w:p>
      <w:pPr>
        <w:snapToGrid w:val="0"/>
        <w:spacing w:line="360" w:lineRule="auto"/>
        <w:ind w:firstLine="422" w:firstLineChars="200"/>
      </w:pPr>
      <w:r>
        <w:rPr>
          <w:b/>
          <w:szCs w:val="21"/>
        </w:rPr>
        <w:t>1.实验学时：</w:t>
      </w:r>
      <w:r>
        <w:rPr>
          <w:bCs/>
        </w:rPr>
        <w:t>4学时</w:t>
      </w:r>
    </w:p>
    <w:p>
      <w:pPr>
        <w:snapToGrid w:val="0"/>
        <w:spacing w:line="360" w:lineRule="auto"/>
        <w:ind w:firstLine="422" w:firstLineChars="200"/>
        <w:rPr>
          <w:bCs/>
          <w:szCs w:val="21"/>
        </w:rPr>
      </w:pPr>
      <w:r>
        <w:rPr>
          <w:b/>
          <w:szCs w:val="21"/>
        </w:rPr>
        <w:t>2.实验目的：</w:t>
      </w:r>
      <w:r>
        <w:rPr>
          <w:bCs/>
          <w:szCs w:val="21"/>
        </w:rPr>
        <w:t>了解桃（或月季、大白菜等）开花习性的主要特点，作为制定杂交计划的主要依据。</w:t>
      </w:r>
    </w:p>
    <w:p>
      <w:pPr>
        <w:snapToGrid w:val="0"/>
        <w:spacing w:line="360" w:lineRule="auto"/>
        <w:ind w:firstLine="422" w:firstLineChars="200"/>
        <w:rPr>
          <w:bCs/>
          <w:szCs w:val="21"/>
        </w:rPr>
      </w:pPr>
      <w:r>
        <w:rPr>
          <w:b/>
          <w:szCs w:val="21"/>
        </w:rPr>
        <w:t>3.实验内容：</w:t>
      </w:r>
      <w:r>
        <w:t>观察其花蕾、花朵的不同形态和整个植株的开花进程；绘出写生图，表示出花蕾、花朵、花萼、花瓣、雌蕊、雄蕊的形状及着生状态；采集花药，并观察其散粉情况。</w:t>
      </w:r>
    </w:p>
    <w:p>
      <w:pPr>
        <w:snapToGrid w:val="0"/>
        <w:spacing w:line="360" w:lineRule="auto"/>
        <w:ind w:firstLine="422" w:firstLineChars="200"/>
        <w:rPr>
          <w:bCs/>
          <w:szCs w:val="21"/>
        </w:rPr>
      </w:pPr>
      <w:r>
        <w:rPr>
          <w:b/>
          <w:szCs w:val="21"/>
        </w:rPr>
        <w:t>4.实验要求：</w:t>
      </w:r>
      <w:r>
        <w:rPr>
          <w:bCs/>
          <w:szCs w:val="21"/>
        </w:rPr>
        <w:t>必做</w:t>
      </w:r>
    </w:p>
    <w:p>
      <w:pPr>
        <w:snapToGrid w:val="0"/>
        <w:spacing w:line="360" w:lineRule="auto"/>
        <w:ind w:firstLine="422" w:firstLineChars="200"/>
        <w:rPr>
          <w:bCs/>
          <w:szCs w:val="21"/>
        </w:rPr>
      </w:pPr>
      <w:r>
        <w:rPr>
          <w:b/>
          <w:szCs w:val="21"/>
        </w:rPr>
        <w:t>5.实验设备及器材：</w:t>
      </w:r>
      <w:r>
        <w:rPr>
          <w:bCs/>
          <w:szCs w:val="21"/>
        </w:rPr>
        <w:t>培养皿、游标卡尺</w:t>
      </w:r>
    </w:p>
    <w:p>
      <w:pPr>
        <w:pStyle w:val="20"/>
        <w:snapToGrid w:val="0"/>
        <w:spacing w:before="0" w:beforeAutospacing="0" w:after="0" w:afterAutospacing="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【实验二】花粉采集与花粉生活力测定</w:t>
      </w:r>
    </w:p>
    <w:p>
      <w:pPr>
        <w:snapToGrid w:val="0"/>
        <w:spacing w:line="360" w:lineRule="auto"/>
        <w:ind w:firstLine="422" w:firstLineChars="200"/>
      </w:pPr>
      <w:r>
        <w:rPr>
          <w:b/>
          <w:szCs w:val="21"/>
        </w:rPr>
        <w:t>1.实验学时：</w:t>
      </w:r>
      <w:r>
        <w:rPr>
          <w:bCs/>
        </w:rPr>
        <w:t>4学时</w:t>
      </w:r>
    </w:p>
    <w:p>
      <w:pPr>
        <w:snapToGrid w:val="0"/>
        <w:spacing w:line="360" w:lineRule="auto"/>
        <w:ind w:firstLine="422" w:firstLineChars="200"/>
        <w:rPr>
          <w:bCs/>
          <w:szCs w:val="21"/>
        </w:rPr>
      </w:pPr>
      <w:r>
        <w:rPr>
          <w:b/>
          <w:szCs w:val="21"/>
        </w:rPr>
        <w:t>2.实验目的：</w:t>
      </w:r>
      <w:r>
        <w:rPr>
          <w:bCs/>
          <w:szCs w:val="21"/>
        </w:rPr>
        <w:t>花粉采集与花粉生活力测定是杂交实验过程中的重要内容，通过该实验掌握花粉采集与花粉生活力测定的基本方法。</w:t>
      </w:r>
    </w:p>
    <w:p>
      <w:pPr>
        <w:snapToGrid w:val="0"/>
        <w:spacing w:line="360" w:lineRule="auto"/>
        <w:ind w:firstLine="422" w:firstLineChars="200"/>
        <w:rPr>
          <w:bCs/>
          <w:szCs w:val="21"/>
        </w:rPr>
      </w:pPr>
      <w:r>
        <w:rPr>
          <w:b/>
          <w:szCs w:val="21"/>
        </w:rPr>
        <w:t>3.实验内容：</w:t>
      </w:r>
      <w:r>
        <w:rPr>
          <w:szCs w:val="21"/>
        </w:rPr>
        <w:t>花粉的采集与散粉；</w:t>
      </w:r>
      <w:r>
        <w:t>形态观察法、沙尔达考夫染色体法、培养基发芽法测定花粉生活力。</w:t>
      </w:r>
    </w:p>
    <w:p>
      <w:pPr>
        <w:snapToGrid w:val="0"/>
        <w:spacing w:line="360" w:lineRule="auto"/>
        <w:ind w:firstLine="422" w:firstLineChars="200"/>
        <w:rPr>
          <w:b/>
          <w:szCs w:val="21"/>
        </w:rPr>
      </w:pPr>
      <w:r>
        <w:rPr>
          <w:b/>
          <w:szCs w:val="21"/>
        </w:rPr>
        <w:t>4.实验要求：</w:t>
      </w:r>
      <w:r>
        <w:rPr>
          <w:bCs/>
          <w:szCs w:val="21"/>
        </w:rPr>
        <w:t>必做</w:t>
      </w:r>
    </w:p>
    <w:p>
      <w:pPr>
        <w:pStyle w:val="20"/>
        <w:snapToGrid w:val="0"/>
        <w:spacing w:before="0" w:beforeAutospacing="0" w:after="0" w:afterAutospacing="0" w:line="360" w:lineRule="auto"/>
        <w:ind w:firstLine="422" w:firstLineChars="200"/>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5.实验设备及器材：</w:t>
      </w:r>
      <w:r>
        <w:rPr>
          <w:rFonts w:ascii="Times New Roman" w:hAnsi="Times New Roman" w:eastAsia="宋体" w:cs="Times New Roman"/>
          <w:kern w:val="2"/>
          <w:sz w:val="21"/>
          <w:szCs w:val="21"/>
        </w:rPr>
        <w:t>显微镜、镊子、培养皿、试剂瓶等。</w:t>
      </w:r>
    </w:p>
    <w:p>
      <w:pPr>
        <w:pStyle w:val="20"/>
        <w:snapToGrid w:val="0"/>
        <w:spacing w:before="0" w:beforeAutospacing="0" w:after="0" w:afterAutospacing="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【实验三】育种目标的制定和有性杂交</w:t>
      </w:r>
    </w:p>
    <w:p>
      <w:pPr>
        <w:snapToGrid w:val="0"/>
        <w:spacing w:line="360" w:lineRule="auto"/>
        <w:ind w:firstLine="422" w:firstLineChars="200"/>
      </w:pPr>
      <w:r>
        <w:rPr>
          <w:b/>
          <w:szCs w:val="21"/>
        </w:rPr>
        <w:t>1.实验学时：</w:t>
      </w:r>
      <w:r>
        <w:rPr>
          <w:bCs/>
        </w:rPr>
        <w:t>6学时</w:t>
      </w:r>
    </w:p>
    <w:p>
      <w:pPr>
        <w:spacing w:line="360" w:lineRule="auto"/>
        <w:ind w:firstLine="422" w:firstLineChars="200"/>
        <w:rPr>
          <w:sz w:val="24"/>
        </w:rPr>
      </w:pPr>
      <w:r>
        <w:rPr>
          <w:b/>
          <w:szCs w:val="21"/>
        </w:rPr>
        <w:t>2.实验目的：</w:t>
      </w:r>
      <w:r>
        <w:rPr>
          <w:szCs w:val="21"/>
        </w:rPr>
        <w:t>掌握园艺植物育种目标特点、育种主要的目标性状、目标制定原则，掌握杂交计划的制定和实施过程中的具体操作技术和方法。</w:t>
      </w:r>
    </w:p>
    <w:p>
      <w:pPr>
        <w:snapToGrid w:val="0"/>
        <w:spacing w:line="360" w:lineRule="auto"/>
        <w:ind w:firstLine="422" w:firstLineChars="200"/>
        <w:rPr>
          <w:bCs/>
          <w:szCs w:val="21"/>
        </w:rPr>
      </w:pPr>
      <w:r>
        <w:rPr>
          <w:b/>
          <w:szCs w:val="21"/>
        </w:rPr>
        <w:t>3.实验内容：</w:t>
      </w:r>
      <w:r>
        <w:rPr>
          <w:bCs/>
          <w:szCs w:val="21"/>
        </w:rPr>
        <w:t>制定某种园艺植物的育种目标；根据育种目标制定杂交计划；选取桃、黄瓜等园艺植物根据有性杂交技术程序进行操作；观察统计坐果率、种子数等。</w:t>
      </w:r>
    </w:p>
    <w:p>
      <w:pPr>
        <w:snapToGrid w:val="0"/>
        <w:spacing w:line="360" w:lineRule="auto"/>
        <w:ind w:firstLine="422" w:firstLineChars="200"/>
        <w:rPr>
          <w:bCs/>
          <w:szCs w:val="21"/>
        </w:rPr>
      </w:pPr>
      <w:r>
        <w:rPr>
          <w:b/>
          <w:szCs w:val="21"/>
        </w:rPr>
        <w:t>4.实验要求：</w:t>
      </w:r>
      <w:r>
        <w:rPr>
          <w:bCs/>
          <w:szCs w:val="21"/>
        </w:rPr>
        <w:t>必做</w:t>
      </w:r>
    </w:p>
    <w:p>
      <w:pPr>
        <w:pStyle w:val="20"/>
        <w:snapToGrid w:val="0"/>
        <w:spacing w:before="0" w:beforeAutospacing="0" w:after="0" w:afterAutospacing="0" w:line="360" w:lineRule="auto"/>
        <w:ind w:firstLine="413" w:firstLineChars="196"/>
        <w:rPr>
          <w:rFonts w:ascii="Times New Roman" w:hAnsi="Times New Roman" w:eastAsia="宋体" w:cs="Times New Roman"/>
          <w:b/>
          <w:bCs/>
          <w:sz w:val="21"/>
          <w:szCs w:val="21"/>
        </w:rPr>
      </w:pPr>
      <w:r>
        <w:rPr>
          <w:rFonts w:ascii="Times New Roman" w:hAnsi="Times New Roman" w:eastAsia="宋体" w:cs="Times New Roman"/>
          <w:b/>
          <w:sz w:val="21"/>
          <w:szCs w:val="21"/>
        </w:rPr>
        <w:t>5.实验设备及器材：</w:t>
      </w:r>
      <w:r>
        <w:rPr>
          <w:rFonts w:ascii="Times New Roman" w:hAnsi="Times New Roman" w:eastAsia="宋体" w:cs="Times New Roman"/>
          <w:sz w:val="21"/>
          <w:szCs w:val="21"/>
        </w:rPr>
        <w:t>镊子、纸袋、授粉器等。</w:t>
      </w:r>
    </w:p>
    <w:p>
      <w:pPr>
        <w:pStyle w:val="20"/>
        <w:snapToGrid w:val="0"/>
        <w:spacing w:before="0" w:beforeAutospacing="0" w:after="0" w:afterAutospacing="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【实验四】育种材料的抗寒性鉴定</w:t>
      </w:r>
    </w:p>
    <w:p>
      <w:pPr>
        <w:snapToGrid w:val="0"/>
        <w:spacing w:line="360" w:lineRule="auto"/>
        <w:ind w:firstLine="422" w:firstLineChars="200"/>
      </w:pPr>
      <w:r>
        <w:rPr>
          <w:b/>
          <w:szCs w:val="21"/>
        </w:rPr>
        <w:t>1.实验学时：3学时</w:t>
      </w:r>
    </w:p>
    <w:p>
      <w:pPr>
        <w:snapToGrid w:val="0"/>
        <w:spacing w:line="360" w:lineRule="auto"/>
        <w:ind w:firstLine="422" w:firstLineChars="200"/>
        <w:rPr>
          <w:b/>
          <w:szCs w:val="21"/>
        </w:rPr>
      </w:pPr>
      <w:r>
        <w:rPr>
          <w:b/>
          <w:szCs w:val="21"/>
        </w:rPr>
        <w:t>2.实验目的：</w:t>
      </w:r>
      <w:r>
        <w:rPr>
          <w:szCs w:val="21"/>
        </w:rPr>
        <w:t>了解抗寒育种中的主要生理指标，掌握电导率测定育种材料抗寒性的方法。</w:t>
      </w:r>
    </w:p>
    <w:p>
      <w:pPr>
        <w:snapToGrid w:val="0"/>
        <w:spacing w:line="360" w:lineRule="auto"/>
        <w:ind w:firstLine="422" w:firstLineChars="200"/>
        <w:rPr>
          <w:bCs/>
          <w:szCs w:val="21"/>
        </w:rPr>
      </w:pPr>
      <w:r>
        <w:rPr>
          <w:b/>
          <w:szCs w:val="21"/>
        </w:rPr>
        <w:t>3.实验内容：</w:t>
      </w:r>
      <w:r>
        <w:rPr>
          <w:szCs w:val="21"/>
        </w:rPr>
        <w:t>将育种材料使用不同程度的低温处理，比较电导率的变化。</w:t>
      </w:r>
    </w:p>
    <w:p>
      <w:pPr>
        <w:snapToGrid w:val="0"/>
        <w:spacing w:line="360" w:lineRule="auto"/>
        <w:ind w:firstLine="422" w:firstLineChars="200"/>
        <w:rPr>
          <w:bCs/>
          <w:szCs w:val="21"/>
        </w:rPr>
      </w:pPr>
      <w:r>
        <w:rPr>
          <w:b/>
          <w:szCs w:val="21"/>
        </w:rPr>
        <w:t>4.实验要求：</w:t>
      </w:r>
      <w:r>
        <w:rPr>
          <w:szCs w:val="21"/>
        </w:rPr>
        <w:t>必做</w:t>
      </w:r>
    </w:p>
    <w:p>
      <w:pPr>
        <w:pStyle w:val="20"/>
        <w:snapToGrid w:val="0"/>
        <w:spacing w:before="0" w:beforeAutospacing="0" w:after="0" w:afterAutospacing="0" w:line="360" w:lineRule="auto"/>
        <w:ind w:firstLine="413" w:firstLineChars="196"/>
        <w:rPr>
          <w:rFonts w:ascii="Times New Roman" w:hAnsi="Times New Roman" w:eastAsia="宋体" w:cs="Times New Roman"/>
          <w:bCs/>
          <w:sz w:val="21"/>
          <w:szCs w:val="21"/>
        </w:rPr>
      </w:pPr>
      <w:r>
        <w:rPr>
          <w:rFonts w:ascii="Times New Roman" w:hAnsi="Times New Roman" w:eastAsia="宋体" w:cs="Times New Roman"/>
          <w:b/>
          <w:sz w:val="21"/>
          <w:szCs w:val="21"/>
        </w:rPr>
        <w:t>5.实验设备及器材：</w:t>
      </w:r>
      <w:r>
        <w:rPr>
          <w:rFonts w:ascii="Times New Roman" w:hAnsi="Times New Roman" w:eastAsia="宋体" w:cs="Times New Roman"/>
          <w:sz w:val="21"/>
          <w:szCs w:val="21"/>
        </w:rPr>
        <w:t>电导率测定仪等。</w:t>
      </w:r>
    </w:p>
    <w:p>
      <w:pPr>
        <w:pStyle w:val="20"/>
        <w:snapToGrid w:val="0"/>
        <w:spacing w:before="0" w:beforeAutospacing="0" w:after="0" w:afterAutospacing="0" w:line="360" w:lineRule="auto"/>
        <w:rPr>
          <w:rFonts w:ascii="Times New Roman" w:hAnsi="Times New Roman" w:eastAsia="宋体" w:cs="Times New Roman"/>
          <w:b/>
          <w:sz w:val="21"/>
          <w:szCs w:val="21"/>
        </w:rPr>
      </w:pPr>
      <w:r>
        <w:rPr>
          <w:rFonts w:ascii="Times New Roman" w:hAnsi="Times New Roman" w:eastAsia="宋体" w:cs="Times New Roman"/>
          <w:b/>
          <w:sz w:val="21"/>
          <w:szCs w:val="21"/>
        </w:rPr>
        <w:t>【实验五】</w:t>
      </w:r>
      <w:r>
        <w:rPr>
          <w:rFonts w:hint="eastAsia" w:ascii="Times New Roman" w:hAnsi="Times New Roman" w:eastAsia="宋体" w:cs="Times New Roman"/>
          <w:b/>
          <w:sz w:val="21"/>
          <w:szCs w:val="21"/>
        </w:rPr>
        <w:t>雄性不育系和自交不亲和系的观察和鉴定</w:t>
      </w:r>
    </w:p>
    <w:p>
      <w:pPr>
        <w:snapToGrid w:val="0"/>
        <w:spacing w:line="360" w:lineRule="auto"/>
        <w:ind w:firstLine="422" w:firstLineChars="200"/>
      </w:pPr>
      <w:r>
        <w:rPr>
          <w:b/>
          <w:szCs w:val="21"/>
        </w:rPr>
        <w:t>1.实验学时：3学时</w:t>
      </w:r>
    </w:p>
    <w:p>
      <w:pPr>
        <w:snapToGrid w:val="0"/>
        <w:spacing w:line="360" w:lineRule="auto"/>
        <w:ind w:firstLine="422" w:firstLineChars="200"/>
        <w:rPr>
          <w:bCs/>
          <w:szCs w:val="21"/>
        </w:rPr>
      </w:pPr>
      <w:r>
        <w:rPr>
          <w:b/>
          <w:szCs w:val="21"/>
        </w:rPr>
        <w:t>2.实验目的：</w:t>
      </w:r>
      <w:r>
        <w:rPr>
          <w:szCs w:val="21"/>
        </w:rPr>
        <w:t>掌握</w:t>
      </w:r>
      <w:r>
        <w:rPr>
          <w:rFonts w:hint="eastAsia"/>
          <w:szCs w:val="21"/>
        </w:rPr>
        <w:t>雄性不育系和自交不亲和系鉴定</w:t>
      </w:r>
      <w:r>
        <w:rPr>
          <w:szCs w:val="21"/>
        </w:rPr>
        <w:t>的原理</w:t>
      </w:r>
      <w:r>
        <w:rPr>
          <w:rFonts w:hint="eastAsia"/>
          <w:szCs w:val="21"/>
        </w:rPr>
        <w:t>和</w:t>
      </w:r>
      <w:r>
        <w:rPr>
          <w:szCs w:val="21"/>
        </w:rPr>
        <w:t>方法。</w:t>
      </w:r>
    </w:p>
    <w:p>
      <w:pPr>
        <w:snapToGrid w:val="0"/>
        <w:spacing w:line="360" w:lineRule="auto"/>
        <w:ind w:firstLine="422" w:firstLineChars="200"/>
        <w:rPr>
          <w:bCs/>
          <w:szCs w:val="21"/>
        </w:rPr>
      </w:pPr>
      <w:r>
        <w:rPr>
          <w:b/>
          <w:szCs w:val="21"/>
        </w:rPr>
        <w:t>3.实验内容：</w:t>
      </w:r>
      <w:r>
        <w:rPr>
          <w:szCs w:val="21"/>
        </w:rPr>
        <w:t>采用</w:t>
      </w:r>
      <w:r>
        <w:rPr>
          <w:rFonts w:hint="eastAsia"/>
          <w:szCs w:val="21"/>
        </w:rPr>
        <w:t>形态观察、显微观察、授粉实验等方法鉴定雄性不育材料</w:t>
      </w:r>
      <w:r>
        <w:rPr>
          <w:szCs w:val="21"/>
        </w:rPr>
        <w:t>；通过</w:t>
      </w:r>
      <w:r>
        <w:rPr>
          <w:rFonts w:hint="eastAsia"/>
          <w:szCs w:val="21"/>
        </w:rPr>
        <w:t>授粉实验鉴定自交不亲和材料</w:t>
      </w:r>
      <w:r>
        <w:rPr>
          <w:szCs w:val="21"/>
        </w:rPr>
        <w:t>。</w:t>
      </w:r>
    </w:p>
    <w:p>
      <w:pPr>
        <w:snapToGrid w:val="0"/>
        <w:spacing w:line="360" w:lineRule="auto"/>
        <w:ind w:firstLine="422" w:firstLineChars="200"/>
        <w:rPr>
          <w:bCs/>
          <w:szCs w:val="21"/>
        </w:rPr>
      </w:pPr>
      <w:r>
        <w:rPr>
          <w:b/>
          <w:szCs w:val="21"/>
        </w:rPr>
        <w:t>4.实验要求：</w:t>
      </w:r>
      <w:r>
        <w:rPr>
          <w:szCs w:val="21"/>
        </w:rPr>
        <w:t>必做</w:t>
      </w:r>
    </w:p>
    <w:p>
      <w:pPr>
        <w:pStyle w:val="20"/>
        <w:snapToGrid w:val="0"/>
        <w:spacing w:before="0" w:beforeAutospacing="0" w:after="0" w:afterAutospacing="0" w:line="360" w:lineRule="auto"/>
        <w:ind w:firstLine="413" w:firstLineChars="196"/>
        <w:rPr>
          <w:rFonts w:ascii="宋体" w:hAnsi="宋体"/>
          <w:b/>
          <w:bCs/>
          <w:szCs w:val="21"/>
        </w:rPr>
      </w:pPr>
      <w:r>
        <w:rPr>
          <w:rFonts w:ascii="Times New Roman" w:hAnsi="Times New Roman" w:eastAsia="宋体" w:cs="Times New Roman"/>
          <w:b/>
          <w:sz w:val="21"/>
          <w:szCs w:val="21"/>
        </w:rPr>
        <w:t>5.实验设备及器材：</w:t>
      </w:r>
      <w:r>
        <w:rPr>
          <w:rFonts w:ascii="Times New Roman" w:hAnsi="Times New Roman" w:eastAsia="宋体" w:cs="Times New Roman"/>
          <w:sz w:val="21"/>
          <w:szCs w:val="21"/>
        </w:rPr>
        <w:t>显微镜等。</w:t>
      </w:r>
    </w:p>
    <w:p>
      <w:pPr>
        <w:snapToGrid w:val="0"/>
        <w:spacing w:line="360" w:lineRule="auto"/>
        <w:rPr>
          <w:rFonts w:ascii="宋体" w:hAnsi="宋体"/>
          <w:bCs/>
          <w:szCs w:val="21"/>
        </w:rPr>
      </w:pPr>
      <w:r>
        <w:rPr>
          <w:rFonts w:hint="eastAsia" w:ascii="宋体" w:hAnsi="宋体"/>
          <w:b/>
          <w:szCs w:val="21"/>
        </w:rPr>
        <w:t>(七)</w:t>
      </w:r>
      <w:r>
        <w:rPr>
          <w:rFonts w:hint="eastAsia" w:ascii="宋体" w:hAnsi="宋体"/>
          <w:b/>
          <w:bCs/>
          <w:szCs w:val="21"/>
        </w:rPr>
        <w:t>考核方式及成绩评定</w:t>
      </w:r>
    </w:p>
    <w:p>
      <w:pPr>
        <w:snapToGrid w:val="0"/>
        <w:spacing w:line="360" w:lineRule="auto"/>
        <w:ind w:firstLine="420" w:firstLineChars="200"/>
        <w:rPr>
          <w:bCs/>
          <w:szCs w:val="21"/>
        </w:rPr>
      </w:pPr>
      <w:r>
        <w:rPr>
          <w:bCs/>
          <w:szCs w:val="21"/>
        </w:rPr>
        <w:t>考核方式：实验报告；</w:t>
      </w:r>
    </w:p>
    <w:p>
      <w:pPr>
        <w:snapToGrid w:val="0"/>
        <w:spacing w:line="360" w:lineRule="auto"/>
        <w:ind w:firstLine="420" w:firstLineChars="200"/>
        <w:rPr>
          <w:kern w:val="0"/>
          <w:szCs w:val="21"/>
        </w:rPr>
      </w:pPr>
      <w:r>
        <w:rPr>
          <w:bCs/>
          <w:szCs w:val="21"/>
        </w:rPr>
        <w:t>成绩评定：</w:t>
      </w:r>
      <w:r>
        <w:rPr>
          <w:rFonts w:hint="eastAsia"/>
          <w:bCs/>
          <w:szCs w:val="21"/>
        </w:rPr>
        <w:t>根据实验数据收集、数据整理的情况和实验结论是否正确，进行打分</w:t>
      </w:r>
      <w:r>
        <w:rPr>
          <w:bCs/>
          <w:szCs w:val="21"/>
        </w:rPr>
        <w:t>。</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color w:val="000000" w:themeColor="text1"/>
          <w14:textFill>
            <w14:solidFill>
              <w14:schemeClr w14:val="tx1"/>
            </w14:solidFill>
          </w14:textFill>
        </w:rPr>
        <w:t>坚持“实现立德树人根本任务”的大思政综合教育理念，在课程教学过程中将家国情怀、文化素养、宪法法治意识、道德修养等思想政治元素融入专业教育，隐性和显性教育相融合，知识育才和精神育才相结合。</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一粒种子可以改变世界”，种子就是农业领域的“芯片”。2021年中央一号文件强调要“打好种业翻身仗”，指出：“农业现代化，种子是基础。”做大做强现代种业是保障国家粮食安全的基础。在绪论一章中就引导学生学好专业基础知识，胸怀大志，立志为实现我国从种业大国向种业强国迈进贡献自己的一份力量。在育种目标一章，通过与我们党的奋斗目标的对比，以及育种工作的长期性和育种目标建立的前瞻性，引导学生建立长远清晰的人生目标，把个人的人生目标与产业发展的需要统一起来。在优势育种一章引导学生学习育种领域的科学家精神，通过介绍“杂交水稻之父”袁隆平院士，学习老一辈科学家胸怀祖国、服务人民的爱国精神，勇攀高峰、敢为人先的创新精神，追求真理、严谨治学的求实精神，淡泊名利、潜心研究的奉献精神。同时挖掘身边的科学家典型，用身边的实例带给学生启迪和启发，以唤醒学生“心灵成长”，引导学生在学习专业知识的同时，实现认识世界与认识自我的辩证统一，让学生感悟追求理想的崇高信念以及超越功利的价值取向。育种技术的发展日新月异，已进入“4.0时代”，也就是“生物技术+人工智能+大数据信息技术”时代，传统的育种方法与现代育种方法结合将是未来的发展方向。在生物技术在育种中的应用一章学生通过阅读文献了解最新科研动态以及新技术新方法，并鼓励通过他们走进实验室以科学助理、社会实践等方式，提高学生的专业学习兴趣，并勉励他们努力学习、进一步深造，提高自己的本领。</w:t>
      </w:r>
    </w:p>
    <w:p>
      <w:pPr>
        <w:snapToGrid w:val="0"/>
        <w:spacing w:line="360" w:lineRule="auto"/>
        <w:ind w:firstLine="420" w:firstLineChars="200"/>
        <w:rPr>
          <w:rFonts w:hAnsi="宋体"/>
          <w:color w:val="0000FF"/>
          <w:szCs w:val="21"/>
        </w:rPr>
      </w:pPr>
      <w:r>
        <w:rPr>
          <w:rFonts w:hint="eastAsia" w:hAnsi="宋体"/>
          <w:color w:val="000000" w:themeColor="text1"/>
          <w:szCs w:val="21"/>
          <w14:textFill>
            <w14:solidFill>
              <w14:schemeClr w14:val="tx1"/>
            </w14:solidFill>
          </w14:textFill>
        </w:rPr>
        <w:t>园艺植物育种学是讲授育种方法与技术的学科，在育种理论及方法中蕴含着的辩证唯物主义思想，比如选择育种中的“矛盾论”和“质量互变规律”，诱变育种中的“外因内因理论”，育种过程的“曲折性与前进性”，品种保护中蕴含的“对立统一观”等，培养学生辩证的思维方式。另外在学习的过程中，利用讨论的方式提高学生发现问题和解决问题的能力、综合应用知识的能力。使学生在讨论的过程中形成科学辩证的思维方式，理性看待各种社会问题。</w:t>
      </w: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、使用教材</w:t>
      </w:r>
      <w:r>
        <w:rPr>
          <w:rFonts w:hint="eastAsia" w:ascii="宋体" w:hAnsi="宋体"/>
        </w:rPr>
        <w:t>（教材的选用应符合教育部和学校教材选用规定，教学资源丰富多样，体现思想性、科学性与时代性）</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hAnsi="宋体"/>
          <w:b/>
          <w:bCs/>
          <w:strike/>
          <w:kern w:val="0"/>
          <w:szCs w:val="21"/>
        </w:rPr>
      </w:pPr>
      <w:r>
        <w:rPr>
          <w:rFonts w:hint="eastAsia" w:ascii="宋体" w:hAnsi="宋体"/>
          <w:bCs/>
          <w:kern w:val="0"/>
          <w:szCs w:val="21"/>
        </w:rPr>
        <w:t>（1）理论课教材：</w:t>
      </w:r>
      <w:r>
        <w:rPr>
          <w:rFonts w:hint="eastAsia"/>
          <w:szCs w:val="21"/>
        </w:rPr>
        <w:t>园艺植物育种学总论（第二版），景士西编著，中国农业出版社出版，2007年</w:t>
      </w:r>
    </w:p>
    <w:p>
      <w:pPr>
        <w:widowControl/>
        <w:snapToGrid w:val="0"/>
        <w:spacing w:line="360" w:lineRule="auto"/>
        <w:ind w:firstLine="420" w:firstLineChars="200"/>
        <w:jc w:val="left"/>
        <w:rPr>
          <w:rFonts w:hAnsi="宋体"/>
          <w:b/>
          <w:bCs/>
          <w:strike/>
          <w:kern w:val="0"/>
          <w:szCs w:val="21"/>
        </w:rPr>
      </w:pPr>
      <w:r>
        <w:rPr>
          <w:rFonts w:hint="eastAsia" w:ascii="宋体" w:hAnsi="宋体"/>
        </w:rPr>
        <w:t>（2）实验课教材：园艺植物育种学实验指导（第三版），申书兴编著，</w:t>
      </w:r>
      <w:r>
        <w:rPr>
          <w:rFonts w:hint="eastAsia"/>
          <w:szCs w:val="21"/>
        </w:rPr>
        <w:t>中国农业出版社出版，2018年</w:t>
      </w:r>
    </w:p>
    <w:p>
      <w:pPr>
        <w:widowControl/>
        <w:snapToGrid w:val="0"/>
        <w:spacing w:line="360" w:lineRule="auto"/>
        <w:ind w:firstLine="420" w:firstLineChars="200"/>
        <w:jc w:val="left"/>
        <w:rPr>
          <w:rFonts w:ascii="宋体" w:hAnsi="宋体"/>
          <w:bCs/>
          <w:szCs w:val="21"/>
        </w:rPr>
      </w:pPr>
      <w:r>
        <w:rPr>
          <w:rFonts w:hint="eastAsia" w:ascii="宋体" w:hAnsi="宋体"/>
        </w:rPr>
        <w:t>（3）实习指导书：</w:t>
      </w:r>
      <w:r>
        <w:rPr>
          <w:rFonts w:ascii="Arial" w:hAnsi="Arial" w:cs="Arial"/>
          <w:szCs w:val="21"/>
        </w:rPr>
        <w:t>《园艺植物育种学实</w:t>
      </w:r>
      <w:r>
        <w:rPr>
          <w:rFonts w:hint="eastAsia" w:ascii="Arial" w:hAnsi="Arial" w:cs="Arial"/>
          <w:szCs w:val="21"/>
        </w:rPr>
        <w:t>习</w:t>
      </w:r>
      <w:r>
        <w:rPr>
          <w:rFonts w:ascii="Arial" w:hAnsi="Arial" w:cs="Arial"/>
          <w:szCs w:val="21"/>
        </w:rPr>
        <w:t>》</w:t>
      </w:r>
      <w:r>
        <w:rPr>
          <w:rFonts w:hint="eastAsia" w:ascii="Arial" w:hAnsi="Arial" w:cs="Arial"/>
          <w:szCs w:val="21"/>
        </w:rPr>
        <w:t>自编教材</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pacing w:line="360" w:lineRule="auto"/>
        <w:ind w:firstLine="420" w:firstLineChars="200"/>
        <w:rPr>
          <w:szCs w:val="21"/>
        </w:rPr>
      </w:pPr>
      <w:r>
        <w:rPr>
          <w:rFonts w:hint="eastAsia"/>
          <w:szCs w:val="21"/>
        </w:rPr>
        <w:t>（1）园艺植物育种学</w:t>
      </w:r>
      <w:r>
        <w:rPr>
          <w:rFonts w:hint="eastAsia"/>
          <w:b/>
          <w:bCs/>
          <w:szCs w:val="21"/>
        </w:rPr>
        <w:t>．</w:t>
      </w:r>
      <w:r>
        <w:rPr>
          <w:rFonts w:hint="eastAsia"/>
          <w:szCs w:val="21"/>
        </w:rPr>
        <w:t>曹家树主编</w:t>
      </w:r>
      <w:r>
        <w:rPr>
          <w:rFonts w:hint="eastAsia"/>
          <w:b/>
          <w:bCs/>
          <w:szCs w:val="21"/>
        </w:rPr>
        <w:t>．</w:t>
      </w:r>
      <w:r>
        <w:rPr>
          <w:szCs w:val="21"/>
        </w:rPr>
        <w:t>中国农业大学出版社</w:t>
      </w:r>
      <w:r>
        <w:rPr>
          <w:rFonts w:hint="eastAsia"/>
          <w:szCs w:val="21"/>
        </w:rPr>
        <w:t>，2007年</w:t>
      </w:r>
    </w:p>
    <w:p>
      <w:pPr>
        <w:spacing w:line="360" w:lineRule="auto"/>
        <w:ind w:firstLine="420" w:firstLineChars="200"/>
        <w:rPr>
          <w:szCs w:val="21"/>
        </w:rPr>
      </w:pPr>
      <w:r>
        <w:rPr>
          <w:rFonts w:hint="eastAsia"/>
          <w:szCs w:val="21"/>
        </w:rPr>
        <w:t>（2）园林植物遗传育种学</w:t>
      </w:r>
      <w:r>
        <w:rPr>
          <w:rFonts w:hint="eastAsia"/>
          <w:b/>
          <w:bCs/>
          <w:szCs w:val="21"/>
        </w:rPr>
        <w:t>．</w:t>
      </w:r>
      <w:r>
        <w:rPr>
          <w:rFonts w:hint="eastAsia"/>
          <w:szCs w:val="21"/>
        </w:rPr>
        <w:t>程金水主编</w:t>
      </w:r>
      <w:r>
        <w:rPr>
          <w:rFonts w:hint="eastAsia"/>
          <w:b/>
          <w:bCs/>
          <w:szCs w:val="21"/>
        </w:rPr>
        <w:t>．</w:t>
      </w:r>
      <w:r>
        <w:rPr>
          <w:rFonts w:hint="eastAsia"/>
          <w:szCs w:val="21"/>
        </w:rPr>
        <w:t>中国林业出版社出版，2000年</w:t>
      </w:r>
    </w:p>
    <w:p>
      <w:pPr>
        <w:spacing w:line="360" w:lineRule="auto"/>
        <w:ind w:firstLine="420" w:firstLineChars="200"/>
        <w:rPr>
          <w:szCs w:val="21"/>
        </w:rPr>
      </w:pPr>
      <w:r>
        <w:rPr>
          <w:rFonts w:hint="eastAsia"/>
          <w:szCs w:val="21"/>
        </w:rPr>
        <w:t>（3）果树育种学</w:t>
      </w:r>
      <w:r>
        <w:rPr>
          <w:rFonts w:hint="eastAsia"/>
          <w:b/>
          <w:bCs/>
          <w:szCs w:val="21"/>
        </w:rPr>
        <w:t>．</w:t>
      </w:r>
      <w:r>
        <w:rPr>
          <w:rFonts w:hint="eastAsia"/>
          <w:szCs w:val="21"/>
        </w:rPr>
        <w:t>沈德绪主编</w:t>
      </w:r>
      <w:r>
        <w:rPr>
          <w:rFonts w:hint="eastAsia"/>
          <w:b/>
          <w:bCs/>
          <w:szCs w:val="21"/>
        </w:rPr>
        <w:t>．</w:t>
      </w:r>
      <w:r>
        <w:rPr>
          <w:rFonts w:hint="eastAsia"/>
          <w:szCs w:val="21"/>
        </w:rPr>
        <w:t>中国农业出版社出版，2007年</w:t>
      </w:r>
    </w:p>
    <w:p>
      <w:pPr>
        <w:spacing w:line="360" w:lineRule="auto"/>
        <w:ind w:firstLine="420" w:firstLineChars="200"/>
        <w:rPr>
          <w:szCs w:val="21"/>
        </w:rPr>
      </w:pPr>
      <w:r>
        <w:rPr>
          <w:rFonts w:hint="eastAsia"/>
          <w:szCs w:val="21"/>
        </w:rPr>
        <w:t>（4）蔬菜育种学（各论）</w:t>
      </w:r>
      <w:r>
        <w:rPr>
          <w:rFonts w:hint="eastAsia"/>
          <w:b/>
          <w:bCs/>
          <w:szCs w:val="21"/>
        </w:rPr>
        <w:t>．</w:t>
      </w:r>
      <w:r>
        <w:rPr>
          <w:rFonts w:hint="eastAsia"/>
          <w:szCs w:val="21"/>
        </w:rPr>
        <w:t>王小佳主编</w:t>
      </w:r>
      <w:r>
        <w:rPr>
          <w:rFonts w:hint="eastAsia"/>
          <w:b/>
          <w:bCs/>
          <w:szCs w:val="21"/>
        </w:rPr>
        <w:t>．</w:t>
      </w:r>
      <w:r>
        <w:rPr>
          <w:rFonts w:hint="eastAsia"/>
          <w:szCs w:val="21"/>
        </w:rPr>
        <w:t>中国农业出版社出版，2000年</w:t>
      </w:r>
    </w:p>
    <w:p>
      <w:pPr>
        <w:widowControl/>
        <w:snapToGrid w:val="0"/>
        <w:spacing w:line="360" w:lineRule="auto"/>
        <w:ind w:firstLine="422" w:firstLineChars="200"/>
        <w:jc w:val="left"/>
        <w:rPr>
          <w:b/>
          <w:kern w:val="0"/>
          <w:szCs w:val="21"/>
        </w:rPr>
      </w:pPr>
      <w:r>
        <w:rPr>
          <w:rFonts w:hint="eastAsia"/>
          <w:b/>
          <w:kern w:val="0"/>
          <w:szCs w:val="21"/>
        </w:rPr>
        <w:t>3.推荐网站：</w:t>
      </w:r>
    </w:p>
    <w:p>
      <w:pPr>
        <w:snapToGrid w:val="0"/>
        <w:spacing w:line="360" w:lineRule="auto"/>
        <w:ind w:firstLine="420" w:firstLineChars="200"/>
        <w:rPr>
          <w:rFonts w:hAnsi="宋体"/>
          <w:szCs w:val="21"/>
        </w:rPr>
      </w:pPr>
      <w:r>
        <w:rPr>
          <w:rFonts w:hint="eastAsia" w:hAnsi="宋体"/>
          <w:szCs w:val="21"/>
        </w:rPr>
        <w:t>（1）河南农业大学园艺植物育种学校级精品课程网站</w:t>
      </w:r>
    </w:p>
    <w:p>
      <w:pPr>
        <w:snapToGrid w:val="0"/>
        <w:spacing w:line="360" w:lineRule="auto"/>
        <w:ind w:firstLine="525" w:firstLineChars="250"/>
        <w:rPr>
          <w:rFonts w:hAnsi="宋体"/>
          <w:szCs w:val="21"/>
        </w:rPr>
      </w:pPr>
      <w:r>
        <w:rPr>
          <w:rFonts w:hint="eastAsia" w:hAnsi="宋体"/>
          <w:szCs w:val="21"/>
        </w:rPr>
        <w:t>网址：http://yuanyi.henau.edu.cn/About.asp?SortName=精品课程</w:t>
      </w:r>
    </w:p>
    <w:p>
      <w:pPr>
        <w:snapToGrid w:val="0"/>
        <w:spacing w:line="360" w:lineRule="auto"/>
        <w:ind w:firstLine="420" w:firstLineChars="200"/>
        <w:rPr>
          <w:szCs w:val="21"/>
        </w:rPr>
      </w:pPr>
      <w:r>
        <w:rPr>
          <w:rFonts w:hint="eastAsia" w:hAnsi="宋体"/>
          <w:szCs w:val="21"/>
        </w:rPr>
        <w:t>（</w:t>
      </w:r>
      <w:r>
        <w:rPr>
          <w:rFonts w:hint="eastAsia"/>
          <w:szCs w:val="21"/>
        </w:rPr>
        <w:t>2</w:t>
      </w:r>
      <w:r>
        <w:rPr>
          <w:rFonts w:hint="eastAsia" w:hAnsi="宋体"/>
          <w:szCs w:val="21"/>
        </w:rPr>
        <w:t>）西南大学园艺植物育种学国家级精品课程网站</w:t>
      </w:r>
    </w:p>
    <w:p>
      <w:pPr>
        <w:snapToGrid w:val="0"/>
        <w:spacing w:line="360" w:lineRule="auto"/>
        <w:ind w:firstLine="525" w:firstLineChars="250"/>
        <w:rPr>
          <w:szCs w:val="21"/>
        </w:rPr>
      </w:pPr>
      <w:r>
        <w:rPr>
          <w:rFonts w:hint="eastAsia" w:hAnsi="宋体"/>
          <w:szCs w:val="21"/>
        </w:rPr>
        <w:t>网址：</w:t>
      </w:r>
      <w:r>
        <w:rPr>
          <w:rFonts w:hAnsi="宋体"/>
          <w:szCs w:val="21"/>
        </w:rPr>
        <w:t>http://course.jingpinke.com/details?uuid=e9eb950f-123a-1000-889c-144ee02f1e73</w:t>
      </w:r>
    </w:p>
    <w:p>
      <w:pPr>
        <w:snapToGrid w:val="0"/>
        <w:spacing w:line="360" w:lineRule="auto"/>
        <w:ind w:firstLine="420" w:firstLineChars="200"/>
        <w:rPr>
          <w:szCs w:val="21"/>
        </w:rPr>
      </w:pPr>
      <w:r>
        <w:rPr>
          <w:rFonts w:hint="eastAsia" w:hAnsi="宋体"/>
          <w:szCs w:val="21"/>
        </w:rPr>
        <w:t>（</w:t>
      </w:r>
      <w:r>
        <w:rPr>
          <w:rFonts w:hint="eastAsia"/>
          <w:szCs w:val="21"/>
        </w:rPr>
        <w:t>3</w:t>
      </w:r>
      <w:r>
        <w:rPr>
          <w:rFonts w:hint="eastAsia" w:hAnsi="宋体"/>
          <w:szCs w:val="21"/>
        </w:rPr>
        <w:t>）河北农业大学园艺植物育种学国家级精品课程网站</w:t>
      </w:r>
    </w:p>
    <w:p>
      <w:pPr>
        <w:widowControl/>
        <w:snapToGrid w:val="0"/>
        <w:spacing w:line="360" w:lineRule="auto"/>
        <w:ind w:firstLine="525" w:firstLineChars="250"/>
        <w:jc w:val="left"/>
        <w:rPr>
          <w:kern w:val="0"/>
        </w:rPr>
      </w:pPr>
      <w:r>
        <w:rPr>
          <w:rFonts w:hint="eastAsia" w:hAnsi="宋体"/>
          <w:szCs w:val="21"/>
        </w:rPr>
        <w:t>网址：</w:t>
      </w:r>
      <w:r>
        <w:rPr>
          <w:szCs w:val="21"/>
        </w:rPr>
        <w:t>http://taihang.hebau.edu.cn/jingpinke/wangluojiaoxue/jingpinkejian/yyyz/index.html</w:t>
      </w:r>
    </w:p>
    <w:p>
      <w:pPr>
        <w:widowControl/>
        <w:snapToGrid w:val="0"/>
        <w:spacing w:line="360" w:lineRule="auto"/>
        <w:jc w:val="left"/>
        <w:rPr>
          <w:rFonts w:hAnsi="宋体"/>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szCs w:val="21"/>
        </w:rPr>
      </w:pPr>
      <w:r>
        <w:rPr>
          <w:szCs w:val="21"/>
        </w:rPr>
        <w:t>园艺植物育种学教学团队教学设施完备，教学条件优良，目前本教团队拥有园艺植物生理生态、园艺植物种质资源与遗传育种园艺植物分子生物学等4个校内实验室，拥有河南农业大学三区教学实习基地和毛庄科教园区2个校内教学实习基地约300亩，同时有中国农业科学院郑州果树研究所、河南省农业科学院、郑州市蔬菜所、郑州市园林科研所等4个校外实习基地，不仅能满足学生教学、专业实践和教学实习需要，同时，也为教师、学生的科研任务提供良好的工作和学习空间，教学科研水平稳步提高。</w:t>
      </w:r>
    </w:p>
    <w:p>
      <w:pPr>
        <w:widowControl/>
        <w:snapToGrid w:val="0"/>
        <w:spacing w:line="360" w:lineRule="auto"/>
        <w:jc w:val="left"/>
        <w:rPr>
          <w:rFonts w:hAnsi="宋体"/>
          <w:b/>
          <w:bCs/>
          <w:kern w:val="0"/>
          <w:szCs w:val="21"/>
        </w:rPr>
      </w:pPr>
      <w:r>
        <w:rPr>
          <w:rFonts w:hint="eastAsia" w:hAnsi="宋体"/>
          <w:b/>
          <w:bCs/>
          <w:kern w:val="0"/>
          <w:szCs w:val="21"/>
        </w:rPr>
        <w:t>八、教学考核评价</w:t>
      </w:r>
    </w:p>
    <w:p>
      <w:pPr>
        <w:spacing w:line="360" w:lineRule="auto"/>
        <w:ind w:firstLine="422" w:firstLineChars="200"/>
        <w:rPr>
          <w:rFonts w:ascii="宋体" w:hAnsi="宋体"/>
          <w:color w:val="000000" w:themeColor="text1"/>
          <w14:textFill>
            <w14:solidFill>
              <w14:schemeClr w14:val="tx1"/>
            </w14:solidFill>
          </w14:textFill>
        </w:rPr>
      </w:pPr>
      <w:r>
        <w:rPr>
          <w:rFonts w:hint="eastAsia" w:hAnsi="宋体"/>
          <w:b/>
          <w:bCs/>
          <w:kern w:val="0"/>
          <w:szCs w:val="21"/>
        </w:rPr>
        <w:t>1.考试方法：</w:t>
      </w:r>
      <w:r>
        <w:rPr>
          <w:rFonts w:hint="eastAsia"/>
          <w:szCs w:val="21"/>
        </w:rPr>
        <w:t>闭卷考试；总成绩计算办法：理论考</w:t>
      </w:r>
      <w:r>
        <w:rPr>
          <w:rFonts w:hint="eastAsia"/>
          <w:color w:val="000000" w:themeColor="text1"/>
          <w:szCs w:val="21"/>
          <w14:textFill>
            <w14:solidFill>
              <w14:schemeClr w14:val="tx1"/>
            </w14:solidFill>
          </w14:textFill>
        </w:rPr>
        <w:t>核成绩占总成绩50%；过程</w:t>
      </w:r>
      <w:r>
        <w:rPr>
          <w:rFonts w:hint="eastAsia"/>
          <w:szCs w:val="21"/>
        </w:rPr>
        <w:t>性</w:t>
      </w:r>
      <w:r>
        <w:rPr>
          <w:rFonts w:hint="eastAsia"/>
          <w:color w:val="000000" w:themeColor="text1"/>
          <w:szCs w:val="21"/>
          <w14:textFill>
            <w14:solidFill>
              <w14:schemeClr w14:val="tx1"/>
            </w14:solidFill>
          </w14:textFill>
        </w:rPr>
        <w:t>评价占比50%，其中实验报告和分组汇报成绩各占20%；期中考试占30%，考勤、课后作业、课堂测验等平时成绩占20%。</w:t>
      </w:r>
    </w:p>
    <w:p>
      <w:pPr>
        <w:snapToGrid w:val="0"/>
        <w:spacing w:line="360" w:lineRule="auto"/>
        <w:ind w:firstLine="422" w:firstLineChars="200"/>
      </w:pPr>
      <w:r>
        <w:rPr>
          <w:rFonts w:hint="eastAsia" w:hAnsi="宋体"/>
          <w:b/>
          <w:bCs/>
          <w:color w:val="000000" w:themeColor="text1"/>
          <w:kern w:val="0"/>
          <w:szCs w:val="21"/>
          <w14:textFill>
            <w14:solidFill>
              <w14:schemeClr w14:val="tx1"/>
            </w14:solidFill>
          </w14:textFill>
        </w:rPr>
        <w:t>2.过程性</w:t>
      </w:r>
      <w:r>
        <w:rPr>
          <w:rFonts w:hint="eastAsia" w:hAnsi="宋体"/>
          <w:b/>
          <w:bCs/>
          <w:kern w:val="0"/>
          <w:szCs w:val="21"/>
        </w:rPr>
        <w:t>评价：</w:t>
      </w:r>
      <w:r>
        <w:rPr>
          <w:rFonts w:hint="eastAsia" w:hAnsi="宋体"/>
          <w:kern w:val="0"/>
          <w:szCs w:val="21"/>
        </w:rPr>
        <w:t>根据</w:t>
      </w:r>
      <w:r>
        <w:rPr>
          <w:rFonts w:hint="eastAsia" w:hAnsi="宋体"/>
          <w:szCs w:val="21"/>
        </w:rPr>
        <w:t>本门课程的教学目标</w:t>
      </w:r>
      <w:r>
        <w:rPr>
          <w:rFonts w:hint="eastAsia" w:ascii="宋体" w:hAnsi="宋体"/>
          <w:szCs w:val="21"/>
        </w:rPr>
        <w:t>，考核方式采用过程性考核与闭卷考试相结合的方式。过程性评价主要体现在考勤、课堂教学参与情况、课后作业、实验报告与分组讨论汇报等多种方式；课堂教学参与情况评价，是将</w:t>
      </w:r>
      <w:r>
        <w:rPr>
          <w:rFonts w:hint="eastAsia" w:hAnsi="宋体"/>
          <w:szCs w:val="21"/>
        </w:rPr>
        <w:t>学生参与问答、讨论、课堂测验等教学内容设定不同分数，计入平时成绩；</w:t>
      </w:r>
      <w:r>
        <w:rPr>
          <w:rFonts w:hint="eastAsia" w:ascii="宋体" w:hAnsi="宋体"/>
          <w:szCs w:val="21"/>
        </w:rPr>
        <w:t>分组汇报部分，从课件制作、内容丰富性、准确性、条理性、讲解表达等方面进行评价；实验实践环节，根据学生实验数据处理、实验报告的撰写情况进行评价。</w:t>
      </w:r>
    </w:p>
    <w:p>
      <w:pPr>
        <w:pStyle w:val="21"/>
        <w:rPr>
          <w:sz w:val="28"/>
          <w:szCs w:val="28"/>
        </w:rPr>
      </w:pPr>
      <w:bookmarkStart w:id="99" w:name="_Toc138076306"/>
      <w:bookmarkStart w:id="100" w:name="_Toc138076601"/>
      <w:bookmarkStart w:id="101" w:name="_Toc138070417"/>
      <w:bookmarkStart w:id="102" w:name="_Toc138076057"/>
      <w:bookmarkStart w:id="103" w:name="_Toc28982"/>
      <w:bookmarkStart w:id="104" w:name="_Toc138070687"/>
      <w:bookmarkStart w:id="105" w:name="_Toc138068787"/>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widowControl/>
        <w:jc w:val="left"/>
        <w:rPr>
          <w:rFonts w:asciiTheme="majorHAnsi" w:hAnsiTheme="majorHAnsi" w:eastAsiaTheme="majorEastAsia" w:cstheme="majorBidi"/>
          <w:b/>
          <w:bCs/>
          <w:sz w:val="28"/>
          <w:szCs w:val="28"/>
        </w:rPr>
      </w:pPr>
      <w:r>
        <w:rPr>
          <w:sz w:val="28"/>
          <w:szCs w:val="28"/>
        </w:rPr>
        <w:br w:type="page"/>
      </w:r>
    </w:p>
    <w:p>
      <w:pPr>
        <w:pStyle w:val="21"/>
        <w:rPr>
          <w:sz w:val="28"/>
          <w:szCs w:val="28"/>
        </w:rPr>
      </w:pPr>
      <w:r>
        <w:rPr>
          <w:rFonts w:hint="eastAsia"/>
          <w:sz w:val="28"/>
          <w:szCs w:val="28"/>
        </w:rPr>
        <w:t>蔬菜栽培学</w:t>
      </w:r>
      <w:bookmarkEnd w:id="99"/>
      <w:bookmarkEnd w:id="100"/>
      <w:bookmarkEnd w:id="101"/>
      <w:bookmarkEnd w:id="102"/>
      <w:bookmarkEnd w:id="103"/>
      <w:bookmarkEnd w:id="104"/>
      <w:bookmarkEnd w:id="105"/>
    </w:p>
    <w:p>
      <w:pPr>
        <w:snapToGrid w:val="0"/>
        <w:spacing w:line="360" w:lineRule="auto"/>
        <w:jc w:val="center"/>
        <w:rPr>
          <w:rFonts w:hAnsi="宋体"/>
          <w:sz w:val="28"/>
          <w:szCs w:val="28"/>
        </w:rPr>
      </w:pPr>
      <w:r>
        <w:rPr>
          <w:rFonts w:hint="eastAsia" w:hAnsi="宋体"/>
          <w:sz w:val="28"/>
          <w:szCs w:val="28"/>
        </w:rPr>
        <w:t>（</w:t>
      </w:r>
      <w:r>
        <w:rPr>
          <w:rFonts w:eastAsia="黑体"/>
          <w:bCs/>
          <w:kern w:val="36"/>
          <w:sz w:val="24"/>
        </w:rPr>
        <w:t>Vegetable Culture</w:t>
      </w:r>
      <w:r>
        <w:rPr>
          <w:rFonts w:hAnsi="宋体"/>
          <w:sz w:val="28"/>
          <w:szCs w:val="28"/>
        </w:rPr>
        <w:t>）</w:t>
      </w:r>
    </w:p>
    <w:p>
      <w:pPr>
        <w:snapToGrid w:val="0"/>
        <w:spacing w:line="360" w:lineRule="auto"/>
        <w:rPr>
          <w:b/>
          <w:szCs w:val="21"/>
        </w:rPr>
      </w:pPr>
    </w:p>
    <w:tbl>
      <w:tblPr>
        <w:tblStyle w:val="22"/>
        <w:tblW w:w="0" w:type="auto"/>
        <w:tblInd w:w="0" w:type="dxa"/>
        <w:tblLayout w:type="fixed"/>
        <w:tblCellMar>
          <w:top w:w="0" w:type="dxa"/>
          <w:left w:w="108" w:type="dxa"/>
          <w:bottom w:w="0" w:type="dxa"/>
          <w:right w:w="108" w:type="dxa"/>
        </w:tblCellMar>
      </w:tblPr>
      <w:tblGrid>
        <w:gridCol w:w="2583"/>
        <w:gridCol w:w="3423"/>
        <w:gridCol w:w="3033"/>
      </w:tblGrid>
      <w:tr>
        <w:tc>
          <w:tcPr>
            <w:tcW w:w="2583" w:type="dxa"/>
          </w:tcPr>
          <w:p>
            <w:pPr>
              <w:spacing w:line="300" w:lineRule="auto"/>
              <w:rPr>
                <w:rFonts w:ascii="宋体" w:hAnsi="宋体"/>
                <w:b/>
                <w:bCs/>
                <w:kern w:val="0"/>
                <w:sz w:val="20"/>
                <w:szCs w:val="21"/>
              </w:rPr>
            </w:pPr>
            <w:r>
              <w:rPr>
                <w:rFonts w:hint="eastAsia" w:ascii="宋体" w:hAnsi="宋体"/>
                <w:b/>
                <w:bCs/>
                <w:kern w:val="0"/>
                <w:szCs w:val="21"/>
              </w:rPr>
              <w:t>课程编号：</w:t>
            </w:r>
            <w:r>
              <w:rPr>
                <w:rFonts w:hint="eastAsia" w:ascii="宋体" w:hAnsi="宋体"/>
                <w:b/>
                <w:bCs/>
                <w:kern w:val="0"/>
                <w:sz w:val="20"/>
                <w:szCs w:val="21"/>
              </w:rPr>
              <w:t>19011113</w:t>
            </w:r>
            <w:r>
              <w:rPr>
                <w:rFonts w:ascii="宋体" w:hAnsi="宋体"/>
                <w:b/>
                <w:bCs/>
                <w:kern w:val="0"/>
                <w:sz w:val="20"/>
                <w:szCs w:val="21"/>
              </w:rPr>
              <w:t>h</w:t>
            </w:r>
          </w:p>
        </w:tc>
        <w:tc>
          <w:tcPr>
            <w:tcW w:w="3423" w:type="dxa"/>
          </w:tcPr>
          <w:p>
            <w:pPr>
              <w:spacing w:line="300" w:lineRule="auto"/>
              <w:rPr>
                <w:rFonts w:ascii="宋体" w:hAnsi="宋体"/>
                <w:b/>
                <w:bCs/>
                <w:kern w:val="0"/>
                <w:sz w:val="20"/>
                <w:szCs w:val="21"/>
              </w:rPr>
            </w:pPr>
            <w:r>
              <w:rPr>
                <w:rFonts w:hint="eastAsia" w:ascii="宋体" w:hAnsi="宋体"/>
                <w:b/>
                <w:bCs/>
                <w:kern w:val="0"/>
                <w:szCs w:val="21"/>
              </w:rPr>
              <w:t>课程总学时：</w:t>
            </w:r>
            <w:r>
              <w:rPr>
                <w:rFonts w:hint="eastAsia" w:ascii="宋体" w:hAnsi="宋体"/>
                <w:b/>
                <w:bCs/>
                <w:kern w:val="0"/>
                <w:sz w:val="20"/>
                <w:szCs w:val="21"/>
              </w:rPr>
              <w:t>72</w:t>
            </w:r>
          </w:p>
        </w:tc>
        <w:tc>
          <w:tcPr>
            <w:tcW w:w="3033" w:type="dxa"/>
          </w:tcPr>
          <w:p>
            <w:pPr>
              <w:spacing w:line="300" w:lineRule="auto"/>
              <w:rPr>
                <w:rFonts w:ascii="宋体" w:hAnsi="宋体"/>
                <w:b/>
                <w:bCs/>
                <w:kern w:val="0"/>
                <w:sz w:val="20"/>
                <w:szCs w:val="21"/>
              </w:rPr>
            </w:pPr>
            <w:r>
              <w:rPr>
                <w:rFonts w:hint="eastAsia" w:ascii="宋体" w:hAnsi="宋体"/>
                <w:b/>
                <w:bCs/>
                <w:kern w:val="0"/>
                <w:szCs w:val="21"/>
              </w:rPr>
              <w:t>实验学时：</w:t>
            </w:r>
            <w:r>
              <w:rPr>
                <w:rFonts w:ascii="宋体" w:hAnsi="宋体"/>
                <w:b/>
                <w:bCs/>
                <w:kern w:val="0"/>
                <w:sz w:val="20"/>
                <w:szCs w:val="21"/>
              </w:rPr>
              <w:t>2</w:t>
            </w:r>
            <w:r>
              <w:rPr>
                <w:rFonts w:hint="eastAsia" w:ascii="宋体" w:hAnsi="宋体"/>
                <w:b/>
                <w:bCs/>
                <w:kern w:val="0"/>
                <w:sz w:val="20"/>
                <w:szCs w:val="21"/>
              </w:rPr>
              <w:t>0学时</w:t>
            </w:r>
          </w:p>
        </w:tc>
      </w:tr>
      <w:tr>
        <w:tblPrEx>
          <w:tblCellMar>
            <w:top w:w="0" w:type="dxa"/>
            <w:left w:w="108" w:type="dxa"/>
            <w:bottom w:w="0" w:type="dxa"/>
            <w:right w:w="108" w:type="dxa"/>
          </w:tblCellMar>
        </w:tblPrEx>
        <w:tc>
          <w:tcPr>
            <w:tcW w:w="2583" w:type="dxa"/>
          </w:tcPr>
          <w:p>
            <w:pPr>
              <w:spacing w:line="300" w:lineRule="auto"/>
              <w:rPr>
                <w:rFonts w:ascii="宋体" w:hAnsi="宋体"/>
                <w:b/>
                <w:bCs/>
                <w:kern w:val="0"/>
                <w:sz w:val="20"/>
                <w:szCs w:val="21"/>
              </w:rPr>
            </w:pPr>
            <w:r>
              <w:rPr>
                <w:rFonts w:hint="eastAsia" w:ascii="宋体" w:hAnsi="宋体"/>
                <w:b/>
                <w:bCs/>
                <w:kern w:val="0"/>
                <w:szCs w:val="21"/>
              </w:rPr>
              <w:t>课程性质：</w:t>
            </w:r>
            <w:r>
              <w:rPr>
                <w:rFonts w:hint="eastAsia" w:ascii="宋体" w:hAnsi="宋体"/>
                <w:b/>
                <w:bCs/>
                <w:kern w:val="0"/>
                <w:sz w:val="20"/>
                <w:szCs w:val="21"/>
              </w:rPr>
              <w:t>必修</w:t>
            </w:r>
          </w:p>
          <w:p>
            <w:pPr>
              <w:spacing w:line="300" w:lineRule="auto"/>
              <w:rPr>
                <w:rFonts w:ascii="宋体" w:hAnsi="宋体"/>
                <w:b/>
                <w:bCs/>
                <w:kern w:val="0"/>
                <w:sz w:val="20"/>
                <w:szCs w:val="21"/>
              </w:rPr>
            </w:pPr>
            <w:r>
              <w:rPr>
                <w:rFonts w:hint="eastAsia" w:ascii="宋体" w:hAnsi="宋体"/>
                <w:b/>
                <w:bCs/>
                <w:kern w:val="0"/>
                <w:szCs w:val="21"/>
              </w:rPr>
              <w:t>课程负责人</w:t>
            </w:r>
            <w:r>
              <w:rPr>
                <w:rFonts w:ascii="宋体" w:hAnsi="宋体"/>
                <w:b/>
                <w:bCs/>
                <w:kern w:val="0"/>
                <w:szCs w:val="21"/>
              </w:rPr>
              <w:t>：</w:t>
            </w:r>
            <w:r>
              <w:rPr>
                <w:rFonts w:ascii="宋体" w:hAnsi="宋体"/>
                <w:b/>
                <w:bCs/>
                <w:kern w:val="0"/>
                <w:sz w:val="20"/>
                <w:szCs w:val="21"/>
              </w:rPr>
              <w:t>刘珂珂</w:t>
            </w:r>
          </w:p>
        </w:tc>
        <w:tc>
          <w:tcPr>
            <w:tcW w:w="3423" w:type="dxa"/>
          </w:tcPr>
          <w:p>
            <w:pPr>
              <w:spacing w:line="300" w:lineRule="auto"/>
              <w:rPr>
                <w:rFonts w:ascii="宋体" w:hAnsi="宋体"/>
                <w:b/>
                <w:kern w:val="0"/>
                <w:sz w:val="20"/>
                <w:szCs w:val="21"/>
              </w:rPr>
            </w:pPr>
            <w:r>
              <w:rPr>
                <w:rFonts w:hint="eastAsia" w:ascii="宋体" w:hAnsi="宋体"/>
                <w:b/>
                <w:bCs/>
                <w:kern w:val="0"/>
                <w:szCs w:val="21"/>
              </w:rPr>
              <w:t>课程属性:</w:t>
            </w:r>
            <w:r>
              <w:rPr>
                <w:rFonts w:hint="eastAsia" w:ascii="宋体" w:hAnsi="宋体"/>
                <w:b/>
                <w:kern w:val="0"/>
                <w:sz w:val="20"/>
                <w:szCs w:val="21"/>
              </w:rPr>
              <w:t>专业类</w:t>
            </w:r>
          </w:p>
          <w:p>
            <w:pPr>
              <w:spacing w:line="300" w:lineRule="auto"/>
              <w:ind w:left="949" w:hanging="949" w:hangingChars="450"/>
              <w:rPr>
                <w:rFonts w:ascii="宋体" w:hAnsi="宋体"/>
                <w:b/>
                <w:bCs/>
                <w:kern w:val="0"/>
                <w:sz w:val="20"/>
                <w:szCs w:val="21"/>
              </w:rPr>
            </w:pPr>
            <w:r>
              <w:rPr>
                <w:rFonts w:hint="eastAsia" w:ascii="宋体" w:hAnsi="宋体"/>
                <w:b/>
                <w:bCs/>
                <w:kern w:val="0"/>
                <w:szCs w:val="21"/>
              </w:rPr>
              <w:t>课程团队</w:t>
            </w:r>
            <w:r>
              <w:rPr>
                <w:rFonts w:ascii="宋体" w:hAnsi="宋体"/>
                <w:b/>
                <w:bCs/>
                <w:kern w:val="0"/>
                <w:szCs w:val="21"/>
              </w:rPr>
              <w:t>：</w:t>
            </w:r>
            <w:r>
              <w:rPr>
                <w:rFonts w:ascii="宋体" w:hAnsi="宋体"/>
                <w:b/>
                <w:kern w:val="0"/>
                <w:sz w:val="20"/>
                <w:szCs w:val="21"/>
              </w:rPr>
              <w:t>杨路明、朱磊、薛东齐、高艳娜</w:t>
            </w:r>
            <w:r>
              <w:rPr>
                <w:rFonts w:hint="eastAsia" w:ascii="宋体" w:hAnsi="宋体"/>
                <w:b/>
                <w:kern w:val="0"/>
                <w:sz w:val="20"/>
                <w:szCs w:val="21"/>
              </w:rPr>
              <w:t>、牛欢欢</w:t>
            </w:r>
          </w:p>
        </w:tc>
        <w:tc>
          <w:tcPr>
            <w:tcW w:w="3033" w:type="dxa"/>
          </w:tcPr>
          <w:p>
            <w:pPr>
              <w:spacing w:line="300" w:lineRule="auto"/>
              <w:rPr>
                <w:rFonts w:ascii="宋体" w:hAnsi="宋体"/>
                <w:b/>
                <w:bCs/>
                <w:kern w:val="0"/>
                <w:sz w:val="20"/>
                <w:szCs w:val="21"/>
              </w:rPr>
            </w:pPr>
            <w:r>
              <w:rPr>
                <w:rFonts w:hint="eastAsia" w:ascii="宋体" w:hAnsi="宋体"/>
                <w:b/>
                <w:bCs/>
                <w:kern w:val="0"/>
                <w:szCs w:val="21"/>
              </w:rPr>
              <w:t>开设学期：</w:t>
            </w:r>
            <w:r>
              <w:rPr>
                <w:rFonts w:hint="eastAsia" w:ascii="宋体" w:hAnsi="宋体"/>
                <w:b/>
                <w:bCs/>
                <w:kern w:val="0"/>
                <w:sz w:val="20"/>
                <w:szCs w:val="21"/>
              </w:rPr>
              <w:t>第4学期</w:t>
            </w:r>
          </w:p>
          <w:p>
            <w:pPr>
              <w:spacing w:line="300" w:lineRule="auto"/>
              <w:rPr>
                <w:rFonts w:ascii="宋体" w:hAnsi="宋体"/>
                <w:b/>
                <w:bCs/>
                <w:kern w:val="0"/>
                <w:sz w:val="20"/>
                <w:szCs w:val="21"/>
              </w:rPr>
            </w:pPr>
            <w:r>
              <w:rPr>
                <w:rFonts w:hint="eastAsia" w:ascii="宋体" w:hAnsi="宋体"/>
                <w:b/>
                <w:bCs/>
                <w:kern w:val="0"/>
                <w:szCs w:val="21"/>
              </w:rPr>
              <w:t>授课语言</w:t>
            </w:r>
            <w:r>
              <w:rPr>
                <w:rFonts w:ascii="宋体" w:hAnsi="宋体"/>
                <w:b/>
                <w:bCs/>
                <w:kern w:val="0"/>
                <w:szCs w:val="21"/>
              </w:rPr>
              <w:t>：</w:t>
            </w:r>
            <w:r>
              <w:rPr>
                <w:rFonts w:hint="eastAsia" w:ascii="宋体" w:hAnsi="宋体"/>
                <w:b/>
                <w:bCs/>
                <w:kern w:val="0"/>
                <w:sz w:val="20"/>
                <w:szCs w:val="21"/>
              </w:rPr>
              <w:t>中文</w:t>
            </w:r>
          </w:p>
          <w:p>
            <w:pPr>
              <w:spacing w:line="300" w:lineRule="auto"/>
              <w:jc w:val="left"/>
              <w:rPr>
                <w:rFonts w:ascii="宋体" w:hAnsi="宋体"/>
                <w:b/>
                <w:bCs/>
                <w:kern w:val="0"/>
                <w:sz w:val="20"/>
                <w:szCs w:val="21"/>
              </w:rPr>
            </w:pPr>
          </w:p>
        </w:tc>
      </w:tr>
      <w:tr>
        <w:tblPrEx>
          <w:tblCellMar>
            <w:top w:w="0" w:type="dxa"/>
            <w:left w:w="108" w:type="dxa"/>
            <w:bottom w:w="0" w:type="dxa"/>
            <w:right w:w="108" w:type="dxa"/>
          </w:tblCellMar>
        </w:tblPrEx>
        <w:tc>
          <w:tcPr>
            <w:tcW w:w="9039" w:type="dxa"/>
            <w:gridSpan w:val="3"/>
          </w:tcPr>
          <w:p>
            <w:pPr>
              <w:spacing w:line="300" w:lineRule="auto"/>
              <w:rPr>
                <w:rFonts w:ascii="宋体" w:hAnsi="宋体"/>
                <w:b/>
                <w:bCs/>
                <w:kern w:val="0"/>
                <w:sz w:val="20"/>
                <w:szCs w:val="21"/>
              </w:rPr>
            </w:pPr>
            <w:r>
              <w:rPr>
                <w:rFonts w:hint="eastAsia" w:ascii="宋体" w:hAnsi="宋体"/>
                <w:b/>
                <w:bCs/>
                <w:kern w:val="0"/>
                <w:szCs w:val="21"/>
              </w:rPr>
              <w:t>适用专业：</w:t>
            </w:r>
            <w:r>
              <w:rPr>
                <w:rFonts w:hint="eastAsia" w:ascii="宋体" w:hAnsi="宋体"/>
                <w:b/>
                <w:bCs/>
                <w:color w:val="000000"/>
                <w:kern w:val="0"/>
                <w:sz w:val="20"/>
                <w:szCs w:val="21"/>
              </w:rPr>
              <w:t>园艺</w:t>
            </w:r>
          </w:p>
        </w:tc>
      </w:tr>
      <w:tr>
        <w:tblPrEx>
          <w:tblCellMar>
            <w:top w:w="0" w:type="dxa"/>
            <w:left w:w="108" w:type="dxa"/>
            <w:bottom w:w="0" w:type="dxa"/>
            <w:right w:w="108" w:type="dxa"/>
          </w:tblCellMar>
        </w:tblPrEx>
        <w:tc>
          <w:tcPr>
            <w:tcW w:w="9039" w:type="dxa"/>
            <w:gridSpan w:val="3"/>
          </w:tcPr>
          <w:p>
            <w:pPr>
              <w:spacing w:line="300" w:lineRule="auto"/>
              <w:rPr>
                <w:rFonts w:ascii="宋体" w:hAnsi="宋体"/>
                <w:b/>
                <w:bCs/>
                <w:kern w:val="0"/>
                <w:sz w:val="20"/>
                <w:szCs w:val="21"/>
              </w:rPr>
            </w:pPr>
            <w:r>
              <w:rPr>
                <w:rFonts w:hint="eastAsia" w:ascii="宋体" w:hAnsi="宋体"/>
                <w:b/>
                <w:bCs/>
                <w:kern w:val="0"/>
                <w:szCs w:val="21"/>
              </w:rPr>
              <w:t>对先修的要求：</w:t>
            </w:r>
            <w:r>
              <w:rPr>
                <w:rFonts w:hint="eastAsia" w:ascii="宋体" w:hAnsi="宋体"/>
                <w:b/>
                <w:bCs/>
                <w:kern w:val="0"/>
                <w:sz w:val="20"/>
                <w:szCs w:val="21"/>
              </w:rPr>
              <w:t>要求学生掌握植物生理学、气象学、土壤肥料学、作物病虫害防治学的基础知识，拥有简单查阅资料和总结应用的能力。</w:t>
            </w:r>
          </w:p>
          <w:p>
            <w:pPr>
              <w:spacing w:line="300" w:lineRule="auto"/>
              <w:rPr>
                <w:rFonts w:ascii="宋体" w:hAnsi="宋体"/>
                <w:b/>
                <w:bCs/>
                <w:kern w:val="0"/>
                <w:sz w:val="20"/>
                <w:szCs w:val="21"/>
              </w:rPr>
            </w:pPr>
            <w:r>
              <w:rPr>
                <w:rFonts w:hint="eastAsia" w:ascii="宋体" w:hAnsi="宋体"/>
                <w:b/>
                <w:bCs/>
                <w:kern w:val="0"/>
                <w:szCs w:val="21"/>
              </w:rPr>
              <w:t>对后续的支撑：</w:t>
            </w:r>
            <w:r>
              <w:rPr>
                <w:rFonts w:hint="eastAsia" w:ascii="宋体" w:hAnsi="宋体"/>
                <w:b/>
                <w:bCs/>
                <w:szCs w:val="21"/>
              </w:rPr>
              <w:t>要求学生掌握</w:t>
            </w:r>
            <w:r>
              <w:rPr>
                <w:rFonts w:hint="eastAsia" w:ascii="宋体" w:hAnsi="宋体"/>
                <w:b/>
                <w:bCs/>
                <w:kern w:val="0"/>
                <w:sz w:val="20"/>
                <w:szCs w:val="21"/>
              </w:rPr>
              <w:t>蔬菜栽培的基本理论和操作技能，培养学生用科学的方法分析和解决蔬菜生产中存在的问题的能力，为</w:t>
            </w:r>
            <w:r>
              <w:rPr>
                <w:rFonts w:hint="eastAsia" w:ascii="宋体" w:hAnsi="宋体"/>
                <w:b/>
                <w:bCs/>
                <w:szCs w:val="21"/>
              </w:rPr>
              <w:t>设施园艺学的学习奠定基础。</w:t>
            </w:r>
          </w:p>
        </w:tc>
      </w:tr>
      <w:tr>
        <w:tblPrEx>
          <w:tblCellMar>
            <w:top w:w="0" w:type="dxa"/>
            <w:left w:w="108" w:type="dxa"/>
            <w:bottom w:w="0" w:type="dxa"/>
            <w:right w:w="108" w:type="dxa"/>
          </w:tblCellMar>
        </w:tblPrEx>
        <w:tc>
          <w:tcPr>
            <w:tcW w:w="2583" w:type="dxa"/>
          </w:tcPr>
          <w:p>
            <w:pPr>
              <w:spacing w:line="300" w:lineRule="auto"/>
              <w:rPr>
                <w:rFonts w:ascii="宋体" w:hAnsi="宋体"/>
                <w:b/>
                <w:bCs/>
                <w:kern w:val="0"/>
                <w:sz w:val="20"/>
                <w:szCs w:val="21"/>
              </w:rPr>
            </w:pPr>
            <w:r>
              <w:rPr>
                <w:rFonts w:hint="eastAsia" w:ascii="宋体" w:hAnsi="宋体"/>
                <w:b/>
                <w:bCs/>
                <w:kern w:val="0"/>
                <w:szCs w:val="21"/>
              </w:rPr>
              <w:t>主撰人：</w:t>
            </w:r>
            <w:r>
              <w:rPr>
                <w:rFonts w:ascii="宋体" w:hAnsi="宋体"/>
                <w:b/>
                <w:bCs/>
                <w:kern w:val="0"/>
                <w:sz w:val="20"/>
                <w:szCs w:val="21"/>
              </w:rPr>
              <w:t>蔬菜栽培学课题组</w:t>
            </w:r>
          </w:p>
        </w:tc>
        <w:tc>
          <w:tcPr>
            <w:tcW w:w="3423" w:type="dxa"/>
          </w:tcPr>
          <w:p>
            <w:pPr>
              <w:spacing w:line="300" w:lineRule="auto"/>
              <w:rPr>
                <w:rFonts w:ascii="宋体" w:hAnsi="宋体"/>
                <w:b/>
                <w:bCs/>
                <w:kern w:val="0"/>
                <w:sz w:val="20"/>
                <w:szCs w:val="21"/>
              </w:rPr>
            </w:pPr>
            <w:r>
              <w:rPr>
                <w:rFonts w:hint="eastAsia" w:ascii="宋体" w:hAnsi="宋体"/>
                <w:b/>
                <w:bCs/>
                <w:kern w:val="0"/>
                <w:szCs w:val="21"/>
              </w:rPr>
              <w:t>审核人：刘珂珂</w:t>
            </w:r>
          </w:p>
        </w:tc>
        <w:tc>
          <w:tcPr>
            <w:tcW w:w="3033" w:type="dxa"/>
          </w:tcPr>
          <w:p>
            <w:pPr>
              <w:spacing w:line="300" w:lineRule="auto"/>
              <w:rPr>
                <w:rFonts w:ascii="宋体" w:hAnsi="宋体"/>
                <w:b/>
                <w:bCs/>
                <w:kern w:val="0"/>
                <w:sz w:val="20"/>
                <w:szCs w:val="21"/>
              </w:rPr>
            </w:pPr>
            <w:r>
              <w:rPr>
                <w:rFonts w:hint="eastAsia" w:ascii="宋体" w:hAnsi="宋体"/>
                <w:b/>
                <w:bCs/>
                <w:kern w:val="0"/>
                <w:szCs w:val="21"/>
              </w:rPr>
              <w:t>大纲制定（修订）日期：</w:t>
            </w:r>
            <w:r>
              <w:rPr>
                <w:rFonts w:hint="eastAsia" w:ascii="宋体" w:hAnsi="宋体"/>
                <w:b/>
                <w:bCs/>
                <w:kern w:val="0"/>
                <w:sz w:val="20"/>
                <w:szCs w:val="21"/>
              </w:rPr>
              <w:t>2023.05</w:t>
            </w:r>
          </w:p>
        </w:tc>
      </w:tr>
    </w:tbl>
    <w:p>
      <w:pPr>
        <w:widowControl/>
        <w:snapToGrid w:val="0"/>
        <w:spacing w:line="360" w:lineRule="auto"/>
        <w:jc w:val="left"/>
        <w:rPr>
          <w:rFonts w:hAnsi="宋体"/>
          <w:b/>
          <w:bCs/>
          <w:kern w:val="0"/>
          <w:szCs w:val="21"/>
        </w:rPr>
      </w:pPr>
    </w:p>
    <w:p>
      <w:pPr>
        <w:widowControl/>
        <w:adjustRightInd w:val="0"/>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w:t>
      </w:r>
      <w:r>
        <w:rPr>
          <w:rFonts w:hAnsi="宋体"/>
          <w:b/>
          <w:bCs/>
          <w:kern w:val="0"/>
          <w:szCs w:val="21"/>
        </w:rPr>
        <w:t>性质、</w:t>
      </w:r>
      <w:r>
        <w:rPr>
          <w:rFonts w:hint="eastAsia" w:hAnsi="宋体"/>
          <w:b/>
          <w:bCs/>
          <w:kern w:val="0"/>
          <w:szCs w:val="21"/>
        </w:rPr>
        <w:t>目标</w:t>
      </w:r>
      <w:r>
        <w:rPr>
          <w:rFonts w:hAnsi="宋体"/>
          <w:b/>
          <w:bCs/>
          <w:kern w:val="0"/>
          <w:szCs w:val="21"/>
        </w:rPr>
        <w:t>和任务</w:t>
      </w:r>
      <w:r>
        <w:rPr>
          <w:rFonts w:hint="eastAsia" w:ascii="宋体" w:hAnsi="宋体" w:cs="宋体"/>
          <w:b/>
          <w:bCs/>
          <w:kern w:val="0"/>
          <w:szCs w:val="21"/>
        </w:rPr>
        <w:t></w:t>
      </w:r>
    </w:p>
    <w:p>
      <w:pPr>
        <w:widowControl/>
        <w:snapToGrid w:val="0"/>
        <w:spacing w:line="360" w:lineRule="auto"/>
        <w:ind w:firstLine="420"/>
        <w:jc w:val="left"/>
        <w:rPr>
          <w:rFonts w:ascii="Calibri" w:hAnsi="Calibri"/>
          <w:kern w:val="0"/>
          <w:szCs w:val="21"/>
        </w:rPr>
      </w:pPr>
      <w:r>
        <w:rPr>
          <w:rFonts w:hint="eastAsia"/>
          <w:kern w:val="0"/>
          <w:szCs w:val="21"/>
        </w:rPr>
        <w:t>本课程是园艺专业的核心课程之一，是园艺专业必修的专业课，是研究蔬菜植物生长发育规律、栽培技术及其与环境条件关系等内容的学科，具有较强的理论性、实践性和应用性。本课程主要有三个教学理念：以学生为主体，与学生组成学习共同体，关注激发学生的学习动力；以实践为中心，使学生扎实掌握蔬菜栽培相关的实践技能；以科研为载体，学生参与科研，教学与科研工作密切结合。本门课程的主要任务是使学生了解蔬菜产业发展的最新动态和前沿问题，使学生掌握蔬菜栽培的基本理论，掌握主要蔬菜作物的生物学特性、品种选用、生产方式、栽培茬次及其主要栽培技术等，培养学生学会利用现代生物科学理论和先进的管理技术，协调蔬菜作物生长发育与环境条件的关系，培养学生用科学的方法分析和解决蔬菜生产中存在的问题；使学生掌握蔬菜育苗、菜田建设、茬口安排、水肥管理及植株调整、草害防治等基本操作技能</w:t>
      </w:r>
      <w:r>
        <w:rPr>
          <w:rFonts w:hint="eastAsia" w:ascii="Calibri" w:hAnsi="Calibri"/>
          <w:kern w:val="0"/>
          <w:szCs w:val="21"/>
        </w:rPr>
        <w:t>，</w:t>
      </w:r>
      <w:r>
        <w:rPr>
          <w:rFonts w:hint="eastAsia"/>
          <w:kern w:val="0"/>
          <w:szCs w:val="21"/>
        </w:rPr>
        <w:t>使学生初步具备现代蔬菜基地规划设计以及组织管理的能力；使学生具备能够从事蔬菜科学研究、蔬菜生产技术指导及与蔬菜产业相关工作的知识和能力。</w:t>
      </w:r>
    </w:p>
    <w:p>
      <w:pPr>
        <w:widowControl/>
        <w:snapToGrid w:val="0"/>
        <w:spacing w:line="360" w:lineRule="auto"/>
        <w:ind w:firstLine="420"/>
        <w:jc w:val="left"/>
        <w:rPr>
          <w:kern w:val="0"/>
          <w:szCs w:val="21"/>
        </w:rPr>
      </w:pPr>
      <w:r>
        <w:rPr>
          <w:rFonts w:hint="eastAsia"/>
          <w:kern w:val="0"/>
          <w:szCs w:val="21"/>
        </w:rPr>
        <w:t>本课程把引导学生弘农爱农，砥砺强国之志贯穿教学始终，既要学会理论知识，也能把论文写在大地，成为“厚基础、强应用、宽口径”的复合应用型人才。</w:t>
      </w:r>
    </w:p>
    <w:p>
      <w:pPr>
        <w:widowControl/>
        <w:adjustRightInd w:val="0"/>
        <w:snapToGrid w:val="0"/>
        <w:spacing w:line="360" w:lineRule="auto"/>
        <w:jc w:val="left"/>
        <w:rPr>
          <w:rFonts w:hAnsi="宋体"/>
          <w:b/>
          <w:bCs/>
          <w:kern w:val="0"/>
          <w:szCs w:val="21"/>
        </w:rPr>
      </w:pPr>
      <w:r>
        <w:rPr>
          <w:rFonts w:hAnsi="宋体"/>
          <w:b/>
          <w:bCs/>
          <w:kern w:val="0"/>
          <w:szCs w:val="21"/>
        </w:rPr>
        <w:t>二、课程教学的基本要求</w:t>
      </w:r>
    </w:p>
    <w:p>
      <w:pPr>
        <w:widowControl/>
        <w:snapToGrid w:val="0"/>
        <w:spacing w:line="360" w:lineRule="auto"/>
        <w:jc w:val="left"/>
        <w:rPr>
          <w:rFonts w:ascii="宋体" w:hAnsi="宋体"/>
          <w:kern w:val="0"/>
          <w:szCs w:val="21"/>
        </w:rPr>
      </w:pPr>
      <w:r>
        <w:rPr>
          <w:kern w:val="0"/>
          <w:szCs w:val="21"/>
        </w:rPr>
        <w:t xml:space="preserve">    </w:t>
      </w:r>
      <w:r>
        <w:rPr>
          <w:rFonts w:hint="eastAsia"/>
          <w:kern w:val="0"/>
          <w:szCs w:val="21"/>
        </w:rPr>
        <w:t xml:space="preserve"> </w:t>
      </w:r>
      <w:r>
        <w:rPr>
          <w:rFonts w:hint="eastAsia" w:ascii="宋体" w:hAnsi="宋体"/>
          <w:kern w:val="0"/>
          <w:szCs w:val="21"/>
        </w:rPr>
        <w:t xml:space="preserve"> </w:t>
      </w:r>
      <w:r>
        <w:rPr>
          <w:rFonts w:ascii="宋体" w:hAnsi="宋体"/>
          <w:kern w:val="0"/>
          <w:szCs w:val="21"/>
        </w:rPr>
        <w:t>1</w:t>
      </w:r>
      <w:r>
        <w:rPr>
          <w:rFonts w:hint="eastAsia" w:ascii="宋体" w:hAnsi="宋体"/>
          <w:kern w:val="0"/>
          <w:szCs w:val="21"/>
        </w:rPr>
        <w:t>.</w:t>
      </w:r>
      <w:r>
        <w:rPr>
          <w:rFonts w:ascii="宋体" w:hAnsi="宋体"/>
          <w:kern w:val="0"/>
          <w:szCs w:val="21"/>
        </w:rPr>
        <w:t>理论知识方面：</w:t>
      </w:r>
      <w:r>
        <w:rPr>
          <w:rFonts w:hint="eastAsia" w:ascii="宋体" w:hAnsi="宋体" w:cs="宋体"/>
          <w:bCs/>
          <w:kern w:val="0"/>
          <w:szCs w:val="21"/>
        </w:rPr>
        <w:t>系统掌握蔬菜植物生长发育规律及其对环境条件的要求，</w:t>
      </w:r>
      <w:r>
        <w:rPr>
          <w:rFonts w:hint="eastAsia" w:ascii="宋体" w:hAnsi="宋体" w:cs="宋体"/>
          <w:kern w:val="0"/>
          <w:szCs w:val="21"/>
        </w:rPr>
        <w:t>掌握各种蔬菜生物学特性及其对栽培技术的要求，学会根据蔬菜生物学特性理论制定蔬菜种植制度、蔬菜栽培管理措施的方法。</w:t>
      </w:r>
      <w:r>
        <w:rPr>
          <w:rFonts w:ascii="宋体" w:hAnsi="宋体"/>
          <w:kern w:val="0"/>
          <w:szCs w:val="21"/>
        </w:rPr>
        <w:t>   </w:t>
      </w:r>
    </w:p>
    <w:p>
      <w:pPr>
        <w:widowControl/>
        <w:snapToGrid w:val="0"/>
        <w:spacing w:line="360" w:lineRule="auto"/>
        <w:ind w:firstLine="420"/>
        <w:jc w:val="left"/>
        <w:rPr>
          <w:rFonts w:ascii="宋体" w:hAnsi="宋体" w:cs="宋体"/>
          <w:bCs/>
          <w:kern w:val="0"/>
          <w:szCs w:val="21"/>
        </w:rPr>
      </w:pPr>
      <w:r>
        <w:rPr>
          <w:kern w:val="0"/>
          <w:szCs w:val="21"/>
        </w:rPr>
        <w:t>2</w:t>
      </w:r>
      <w:r>
        <w:rPr>
          <w:rFonts w:hint="eastAsia" w:hAnsi="宋体"/>
          <w:kern w:val="0"/>
          <w:szCs w:val="21"/>
        </w:rPr>
        <w:t>.</w:t>
      </w:r>
      <w:r>
        <w:rPr>
          <w:rFonts w:hAnsi="宋体"/>
          <w:kern w:val="0"/>
          <w:szCs w:val="21"/>
        </w:rPr>
        <w:t>实验技能方面：</w:t>
      </w:r>
      <w:r>
        <w:rPr>
          <w:rFonts w:hint="eastAsia" w:hAnsi="宋体"/>
          <w:kern w:val="0"/>
          <w:szCs w:val="21"/>
        </w:rPr>
        <w:t>掌握</w:t>
      </w:r>
      <w:r>
        <w:rPr>
          <w:rFonts w:hint="eastAsia" w:ascii="宋体" w:hAnsi="宋体" w:cs="宋体"/>
          <w:bCs/>
          <w:kern w:val="0"/>
          <w:szCs w:val="21"/>
        </w:rPr>
        <w:t>蔬菜育苗、菜田建设、茬口安排、水肥管理及植株调整、草害防治等基本操作技能。</w:t>
      </w:r>
    </w:p>
    <w:p>
      <w:pPr>
        <w:widowControl/>
        <w:adjustRightInd w:val="0"/>
        <w:snapToGrid w:val="0"/>
        <w:spacing w:line="360" w:lineRule="auto"/>
        <w:jc w:val="left"/>
        <w:rPr>
          <w:rFonts w:hAnsi="宋体"/>
          <w:b/>
          <w:bCs/>
          <w:kern w:val="0"/>
          <w:szCs w:val="21"/>
        </w:rPr>
      </w:pPr>
      <w:r>
        <w:rPr>
          <w:rFonts w:hint="eastAsia" w:hAnsi="宋体"/>
          <w:b/>
          <w:bCs/>
          <w:kern w:val="0"/>
          <w:szCs w:val="21"/>
        </w:rPr>
        <w:t>三</w:t>
      </w:r>
      <w:r>
        <w:rPr>
          <w:rFonts w:hAnsi="宋体"/>
          <w:b/>
          <w:bCs/>
          <w:kern w:val="0"/>
          <w:szCs w:val="21"/>
        </w:rPr>
        <w:t>、课程</w:t>
      </w:r>
      <w:r>
        <w:rPr>
          <w:rFonts w:hint="eastAsia" w:hAnsi="宋体"/>
          <w:b/>
          <w:bCs/>
          <w:kern w:val="0"/>
          <w:szCs w:val="21"/>
        </w:rPr>
        <w:t>的</w:t>
      </w:r>
      <w:r>
        <w:rPr>
          <w:rFonts w:hAnsi="宋体"/>
          <w:b/>
          <w:bCs/>
          <w:kern w:val="0"/>
          <w:szCs w:val="21"/>
        </w:rPr>
        <w:t>教学</w:t>
      </w:r>
      <w:r>
        <w:rPr>
          <w:rFonts w:hint="eastAsia" w:hAnsi="宋体"/>
          <w:b/>
          <w:bCs/>
          <w:kern w:val="0"/>
          <w:szCs w:val="21"/>
        </w:rPr>
        <w:t>设计</w:t>
      </w:r>
    </w:p>
    <w:p>
      <w:pPr>
        <w:widowControl/>
        <w:snapToGrid w:val="0"/>
        <w:spacing w:line="360" w:lineRule="auto"/>
        <w:ind w:firstLine="420"/>
        <w:jc w:val="left"/>
        <w:rPr>
          <w:rFonts w:hint="default" w:ascii="宋体" w:hAnsi="宋体" w:eastAsia="宋体"/>
          <w:kern w:val="0"/>
          <w:szCs w:val="21"/>
          <w:lang w:val="en-US" w:eastAsia="zh-CN"/>
        </w:rPr>
      </w:pPr>
      <w:r>
        <w:rPr>
          <w:rFonts w:hint="eastAsia" w:ascii="宋体" w:hAnsi="宋体"/>
          <w:kern w:val="0"/>
          <w:szCs w:val="21"/>
          <w:lang w:val="en-US" w:eastAsia="zh-CN"/>
        </w:rPr>
        <w:t>1.教学设计说明</w:t>
      </w:r>
    </w:p>
    <w:p>
      <w:pPr>
        <w:widowControl/>
        <w:snapToGrid w:val="0"/>
        <w:spacing w:line="360" w:lineRule="auto"/>
        <w:ind w:firstLine="420"/>
        <w:jc w:val="left"/>
        <w:rPr>
          <w:rFonts w:ascii="宋体" w:hAnsi="宋体" w:cs="宋体"/>
          <w:bCs/>
          <w:kern w:val="0"/>
          <w:szCs w:val="21"/>
        </w:rPr>
      </w:pPr>
      <w:r>
        <w:rPr>
          <w:rFonts w:hint="eastAsia" w:ascii="宋体" w:hAnsi="宋体"/>
          <w:kern w:val="0"/>
          <w:szCs w:val="21"/>
        </w:rPr>
        <w:t>为了使学生系统掌握蔬菜栽培学的理论知识和实践操作技能并将知识应用于实际生产，协调目前课程内容多、学时有限的矛盾，蔬菜栽培学课程组采用线上线下混合式教学的模式。 线上内容视频讲解、课件、拓展性课件、文献资料、讨论和作业为主。</w:t>
      </w:r>
      <w:r>
        <w:rPr>
          <w:rFonts w:hint="eastAsia" w:ascii="宋体" w:hAnsi="宋体" w:cs="宋体"/>
          <w:bCs/>
          <w:kern w:val="0"/>
          <w:szCs w:val="21"/>
        </w:rPr>
        <w:t>线下教学方法有教师课堂讲授、小组讨论、翻转课堂、教师田间讲授、学生实验、实习等。</w:t>
      </w:r>
    </w:p>
    <w:p>
      <w:pPr>
        <w:spacing w:line="360" w:lineRule="auto"/>
        <w:ind w:firstLine="420" w:firstLineChars="200"/>
        <w:rPr>
          <w:rFonts w:ascii="宋体" w:hAnsi="宋体" w:cs="宋体"/>
          <w:bCs/>
          <w:kern w:val="0"/>
          <w:szCs w:val="21"/>
        </w:rPr>
      </w:pPr>
      <w:r>
        <w:rPr>
          <w:rFonts w:hint="eastAsia" w:ascii="宋体" w:hAnsi="宋体"/>
          <w:kern w:val="0"/>
          <w:szCs w:val="21"/>
        </w:rPr>
        <w:t>《蔬菜栽培学总论》部分以基本理论、基本概念的视频为主，教师一方面通过A</w:t>
      </w:r>
      <w:r>
        <w:rPr>
          <w:rFonts w:ascii="宋体" w:hAnsi="宋体"/>
          <w:kern w:val="0"/>
          <w:szCs w:val="21"/>
        </w:rPr>
        <w:t>PP</w:t>
      </w:r>
      <w:r>
        <w:rPr>
          <w:rFonts w:hint="eastAsia" w:ascii="宋体" w:hAnsi="宋体"/>
          <w:kern w:val="0"/>
          <w:szCs w:val="21"/>
        </w:rPr>
        <w:t>发布视频、PPT等教学资料，把理论讲透讲明，引导学生自己安排学习，把知识内化；另一方面，在讨论区安排本节课相关的产业上的问题作为讨论题目，让学生将知识外化，启发学生思维，培养学生发现问题、查阅资料、解决问题的能力。</w:t>
      </w:r>
      <w:r>
        <w:rPr>
          <w:rFonts w:hint="eastAsia" w:ascii="宋体" w:hAnsi="宋体" w:cs="宋体"/>
          <w:bCs/>
          <w:kern w:val="0"/>
          <w:szCs w:val="21"/>
        </w:rPr>
        <w:t>线下教学有教师课堂讲授、小组讨论、翻转课堂、教师田间讲授、学生实验、实习等。线下教学时，在学生学会基础概念和理论的基础上，设置各种情景，让学生采用小组讨论的方法进行分析，制作表达，加强基础理论的理解并在蔬菜生产上进行初步的应用。教学时注意和老师们的科研相结合，传递最近的技术和科研成果。</w:t>
      </w:r>
    </w:p>
    <w:p>
      <w:pPr>
        <w:spacing w:line="360" w:lineRule="auto"/>
        <w:ind w:firstLine="420" w:firstLineChars="200"/>
        <w:rPr>
          <w:rFonts w:ascii="宋体" w:hAnsi="宋体" w:cs="宋体"/>
          <w:bCs/>
          <w:kern w:val="0"/>
          <w:szCs w:val="21"/>
        </w:rPr>
      </w:pPr>
      <w:r>
        <w:rPr>
          <w:rFonts w:hint="eastAsia" w:ascii="宋体" w:hAnsi="宋体" w:cs="宋体"/>
          <w:bCs/>
          <w:kern w:val="0"/>
          <w:szCs w:val="21"/>
        </w:rPr>
        <w:t>对《蔬菜栽培学各论》，教师按照课程基本知识、基本概念、基本理论、基本应用操作等内容科学分类，采用“学生自学”、“学生讲授”、“教师课堂讲授”、“教师田间讲授”，即“教学四途径”进行讲授即：</w:t>
      </w:r>
    </w:p>
    <w:p>
      <w:pPr>
        <w:spacing w:line="360" w:lineRule="auto"/>
        <w:ind w:firstLine="420" w:firstLineChars="200"/>
        <w:rPr>
          <w:rFonts w:ascii="宋体" w:hAnsi="宋体" w:cs="宋体"/>
          <w:bCs/>
          <w:kern w:val="0"/>
          <w:szCs w:val="21"/>
        </w:rPr>
      </w:pPr>
      <w:r>
        <w:rPr>
          <w:rFonts w:hint="eastAsia" w:ascii="宋体" w:hAnsi="宋体" w:cs="宋体"/>
          <w:bCs/>
          <w:kern w:val="0"/>
          <w:szCs w:val="21"/>
        </w:rPr>
        <w:t>学生自学：利用互联网+和已经制作完成的微课视频，自学有关蔬菜的起源、营养价值、生物学特征特性。</w:t>
      </w:r>
    </w:p>
    <w:p>
      <w:pPr>
        <w:spacing w:line="360" w:lineRule="auto"/>
        <w:ind w:firstLine="420" w:firstLineChars="200"/>
        <w:rPr>
          <w:rFonts w:ascii="宋体" w:hAnsi="宋体" w:cs="宋体"/>
          <w:bCs/>
          <w:kern w:val="0"/>
          <w:szCs w:val="21"/>
        </w:rPr>
      </w:pPr>
      <w:r>
        <w:rPr>
          <w:rFonts w:hint="eastAsia" w:ascii="宋体" w:hAnsi="宋体" w:cs="宋体"/>
          <w:bCs/>
          <w:kern w:val="0"/>
          <w:szCs w:val="21"/>
        </w:rPr>
        <w:t>学生讲授：植物学特征、对环境条件要求、类型、品种</w:t>
      </w:r>
    </w:p>
    <w:p>
      <w:pPr>
        <w:spacing w:line="360" w:lineRule="auto"/>
        <w:ind w:firstLine="420" w:firstLineChars="200"/>
        <w:rPr>
          <w:rFonts w:ascii="宋体" w:hAnsi="宋体" w:cs="宋体"/>
          <w:bCs/>
          <w:kern w:val="0"/>
          <w:szCs w:val="21"/>
        </w:rPr>
      </w:pPr>
      <w:r>
        <w:rPr>
          <w:rFonts w:hint="eastAsia" w:ascii="宋体" w:hAnsi="宋体" w:cs="宋体"/>
          <w:bCs/>
          <w:kern w:val="0"/>
          <w:szCs w:val="21"/>
        </w:rPr>
        <w:t>教师课堂讲授：生长发育周期、栽培季节与茬、栽培技术要点。栽培季节与茬、栽培技术要点以案例教学方式进行。</w:t>
      </w:r>
    </w:p>
    <w:p>
      <w:pPr>
        <w:spacing w:line="360" w:lineRule="auto"/>
        <w:ind w:firstLine="420" w:firstLineChars="200"/>
        <w:rPr>
          <w:rFonts w:ascii="宋体" w:hAnsi="宋体" w:cs="宋体"/>
          <w:bCs/>
          <w:kern w:val="0"/>
          <w:szCs w:val="21"/>
        </w:rPr>
      </w:pPr>
      <w:r>
        <w:rPr>
          <w:rFonts w:hint="eastAsia" w:ascii="宋体" w:hAnsi="宋体" w:cs="宋体"/>
          <w:bCs/>
          <w:kern w:val="0"/>
          <w:szCs w:val="21"/>
        </w:rPr>
        <w:t>教师田间讲授：植物学特征、类型、品种，栽培技术要点示范操作。</w:t>
      </w:r>
    </w:p>
    <w:p>
      <w:pPr>
        <w:spacing w:line="360" w:lineRule="auto"/>
        <w:ind w:firstLine="420" w:firstLineChars="200"/>
        <w:rPr>
          <w:rFonts w:ascii="宋体" w:hAnsi="宋体" w:cs="宋体"/>
          <w:bCs/>
          <w:kern w:val="0"/>
          <w:szCs w:val="21"/>
        </w:rPr>
      </w:pPr>
      <w:r>
        <w:rPr>
          <w:rFonts w:hint="eastAsia" w:ascii="宋体" w:hAnsi="宋体" w:cs="宋体"/>
          <w:bCs/>
          <w:kern w:val="0"/>
          <w:szCs w:val="21"/>
        </w:rPr>
        <w:t>《蔬菜栽培学实验》主要解决《蔬菜栽培学》涉及的基本理论验证、基本理论应用、基本操作实践和创新性实验。使学生熟练掌握蔬菜育苗技术、定植技术，植株调整技术、保花保果技术、化学调控技术、田间草害防治技术，肥水定量管理技术、土壤管理技术，进行“八种”实践操作技能的培养；配合《蔬菜栽培学各论》田间讲授，完成大白菜、萝卜、黄瓜、番茄、茄子、辣椒、菜豆、豇豆八种蔬菜从种子到产品全过程种植实践的训练。</w:t>
      </w:r>
    </w:p>
    <w:p>
      <w:pPr>
        <w:spacing w:line="360" w:lineRule="auto"/>
        <w:ind w:firstLine="420" w:firstLineChars="200"/>
        <w:rPr>
          <w:rFonts w:ascii="宋体" w:hAnsi="宋体" w:cs="宋体"/>
          <w:bCs/>
          <w:kern w:val="0"/>
          <w:szCs w:val="21"/>
        </w:rPr>
      </w:pPr>
      <w:r>
        <w:rPr>
          <w:rFonts w:hint="eastAsia" w:ascii="宋体" w:hAnsi="宋体" w:cs="宋体"/>
          <w:bCs/>
          <w:kern w:val="0"/>
          <w:szCs w:val="21"/>
        </w:rPr>
        <w:t>通过“四调查、一参加、一报告”实现《蔬菜栽培学》教学实习之“五目标”，即：在教学实习周，调查科院所、调查蔬菜生产示范园、调查农资市场、调查蔬菜农产品交易市场，参观线上蔬菜博览会、使学生了解现代园艺的科学研究、科学技术的应用、生产资料的供应、蔬菜产品的销售、蔬菜产业的延伸，建立全面的蔬菜产业科研和生产理念，并完成“一报告”，即《百亩蔬菜种植园规划及高效种植可行性报告》的编写，通过“一报告”使学生模拟运行园艺产业园，培养规划园艺园，经营园艺园的能力。</w:t>
      </w:r>
    </w:p>
    <w:p>
      <w:pPr>
        <w:spacing w:line="360" w:lineRule="auto"/>
        <w:ind w:firstLine="420" w:firstLineChars="200"/>
        <w:rPr>
          <w:rFonts w:ascii="宋体" w:hAnsi="宋体" w:cs="宋体"/>
          <w:bCs/>
          <w:kern w:val="0"/>
          <w:szCs w:val="21"/>
        </w:rPr>
      </w:pPr>
      <w:r>
        <w:rPr>
          <w:rFonts w:hint="eastAsia" w:ascii="宋体" w:hAnsi="宋体" w:cs="宋体"/>
          <w:bCs/>
          <w:kern w:val="0"/>
          <w:szCs w:val="21"/>
        </w:rPr>
        <w:t>设置合理的教学评价办法，综合考评。</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864"/>
        <w:gridCol w:w="6981"/>
        <w:gridCol w:w="1052"/>
      </w:tblGrid>
      <w:tr>
        <w:tblPrEx>
          <w:tblCellMar>
            <w:top w:w="0" w:type="dxa"/>
            <w:left w:w="108" w:type="dxa"/>
            <w:bottom w:w="0" w:type="dxa"/>
            <w:right w:w="108" w:type="dxa"/>
          </w:tblCellMar>
        </w:tblPrEx>
        <w:trPr>
          <w:trHeight w:val="403" w:hRule="atLeast"/>
          <w:jc w:val="center"/>
        </w:trPr>
        <w:tc>
          <w:tcPr>
            <w:tcW w:w="864"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序号</w:t>
            </w:r>
          </w:p>
        </w:tc>
        <w:tc>
          <w:tcPr>
            <w:tcW w:w="698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1</w:t>
            </w:r>
          </w:p>
        </w:tc>
        <w:tc>
          <w:tcPr>
            <w:tcW w:w="6981"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ascii="宋体" w:hAnsi="宋体" w:cs="宋体"/>
                <w:color w:val="353535"/>
                <w:sz w:val="18"/>
                <w:szCs w:val="18"/>
              </w:rPr>
            </w:pPr>
            <w:r>
              <w:rPr>
                <w:rFonts w:hint="eastAsia" w:ascii="宋体" w:hAnsi="宋体" w:cs="宋体"/>
                <w:color w:val="353535"/>
                <w:sz w:val="18"/>
                <w:szCs w:val="18"/>
              </w:rPr>
              <w:t>使学生了解蔬菜产业发展的最新动态和前沿问题。</w:t>
            </w:r>
          </w:p>
        </w:tc>
        <w:tc>
          <w:tcPr>
            <w:tcW w:w="105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s="宋体"/>
                <w:color w:val="353535"/>
                <w:sz w:val="18"/>
                <w:szCs w:val="18"/>
              </w:rPr>
            </w:pPr>
            <w:r>
              <w:rPr>
                <w:rFonts w:ascii="宋体" w:hAnsi="宋体" w:cs="宋体"/>
                <w:color w:val="353535"/>
                <w:sz w:val="18"/>
                <w:szCs w:val="18"/>
              </w:rPr>
              <w:t>9</w:t>
            </w:r>
          </w:p>
        </w:tc>
      </w:tr>
      <w:tr>
        <w:tblPrEx>
          <w:tblCellMar>
            <w:top w:w="0" w:type="dxa"/>
            <w:left w:w="108" w:type="dxa"/>
            <w:bottom w:w="0" w:type="dxa"/>
            <w:right w:w="108" w:type="dxa"/>
          </w:tblCellMar>
        </w:tblPrEx>
        <w:trPr>
          <w:trHeight w:val="96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2</w:t>
            </w:r>
          </w:p>
        </w:tc>
        <w:tc>
          <w:tcPr>
            <w:tcW w:w="6981"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ascii="宋体" w:hAnsi="宋体" w:cs="宋体"/>
                <w:color w:val="353535"/>
                <w:sz w:val="18"/>
                <w:szCs w:val="18"/>
              </w:rPr>
            </w:pPr>
            <w:r>
              <w:rPr>
                <w:rFonts w:hint="eastAsia" w:ascii="宋体" w:hAnsi="宋体" w:cs="宋体"/>
                <w:color w:val="353535"/>
                <w:sz w:val="18"/>
                <w:szCs w:val="18"/>
              </w:rPr>
              <w:t>使学生掌握蔬菜栽培的基本理论，培养学生用科学的方法分析和解决蔬菜生产中存在的问题。</w:t>
            </w:r>
          </w:p>
        </w:tc>
        <w:tc>
          <w:tcPr>
            <w:tcW w:w="105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cs="宋体"/>
                <w:color w:val="353535"/>
                <w:sz w:val="18"/>
                <w:szCs w:val="18"/>
              </w:rPr>
            </w:pPr>
            <w:r>
              <w:rPr>
                <w:rFonts w:hint="eastAsia" w:ascii="宋体" w:hAnsi="宋体" w:cs="宋体"/>
                <w:color w:val="353535"/>
                <w:sz w:val="18"/>
                <w:szCs w:val="18"/>
              </w:rPr>
              <w:t>4</w:t>
            </w:r>
          </w:p>
          <w:p>
            <w:pPr>
              <w:widowControl/>
              <w:snapToGrid w:val="0"/>
              <w:spacing w:line="360" w:lineRule="auto"/>
              <w:jc w:val="center"/>
              <w:rPr>
                <w:rFonts w:ascii="宋体" w:hAnsi="宋体" w:cs="宋体"/>
                <w:color w:val="353535"/>
                <w:sz w:val="18"/>
                <w:szCs w:val="18"/>
              </w:rPr>
            </w:pPr>
            <w:r>
              <w:rPr>
                <w:rFonts w:hint="eastAsia" w:ascii="宋体" w:hAnsi="宋体" w:cs="宋体"/>
                <w:color w:val="353535"/>
                <w:sz w:val="18"/>
                <w:szCs w:val="18"/>
              </w:rPr>
              <w:t>5</w:t>
            </w:r>
          </w:p>
        </w:tc>
      </w:tr>
      <w:tr>
        <w:tblPrEx>
          <w:tblCellMar>
            <w:top w:w="0" w:type="dxa"/>
            <w:left w:w="108" w:type="dxa"/>
            <w:bottom w:w="0" w:type="dxa"/>
            <w:right w:w="108" w:type="dxa"/>
          </w:tblCellMar>
        </w:tblPrEx>
        <w:trPr>
          <w:trHeight w:val="96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3</w:t>
            </w:r>
          </w:p>
        </w:tc>
        <w:tc>
          <w:tcPr>
            <w:tcW w:w="6981"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ascii="宋体" w:hAnsi="宋体" w:cs="宋体"/>
                <w:color w:val="353535"/>
                <w:sz w:val="18"/>
                <w:szCs w:val="18"/>
              </w:rPr>
            </w:pPr>
            <w:r>
              <w:rPr>
                <w:rFonts w:hint="eastAsia" w:ascii="宋体" w:hAnsi="宋体" w:cs="宋体"/>
                <w:color w:val="353535"/>
                <w:sz w:val="18"/>
                <w:szCs w:val="18"/>
              </w:rPr>
              <w:t>使学生掌握蔬菜育苗、菜田建设、茬口安排、水肥管理及植株调整、草害防治等基本操作技能。使学生具备能够从事蔬菜科学研究、蔬菜生产技术指导及与蔬菜产业相关工作的知识和能力。</w:t>
            </w:r>
          </w:p>
        </w:tc>
        <w:tc>
          <w:tcPr>
            <w:tcW w:w="105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cs="宋体"/>
                <w:color w:val="353535"/>
                <w:sz w:val="18"/>
                <w:szCs w:val="18"/>
              </w:rPr>
            </w:pPr>
            <w:r>
              <w:rPr>
                <w:rFonts w:hint="eastAsia" w:ascii="宋体" w:hAnsi="宋体" w:cs="宋体"/>
                <w:color w:val="353535"/>
                <w:sz w:val="18"/>
                <w:szCs w:val="18"/>
              </w:rPr>
              <w:t>5</w:t>
            </w:r>
          </w:p>
          <w:p>
            <w:pPr>
              <w:widowControl/>
              <w:snapToGrid w:val="0"/>
              <w:spacing w:line="360" w:lineRule="auto"/>
              <w:jc w:val="center"/>
              <w:rPr>
                <w:rFonts w:ascii="宋体" w:hAnsi="宋体" w:cs="宋体"/>
                <w:color w:val="353535"/>
                <w:sz w:val="18"/>
                <w:szCs w:val="18"/>
              </w:rPr>
            </w:pPr>
            <w:r>
              <w:rPr>
                <w:rFonts w:hint="eastAsia" w:ascii="宋体" w:hAnsi="宋体" w:cs="宋体"/>
                <w:color w:val="353535"/>
                <w:sz w:val="18"/>
                <w:szCs w:val="18"/>
              </w:rPr>
              <w:t>6</w:t>
            </w:r>
          </w:p>
        </w:tc>
      </w:tr>
      <w:tr>
        <w:tblPrEx>
          <w:tblCellMar>
            <w:top w:w="0" w:type="dxa"/>
            <w:left w:w="108" w:type="dxa"/>
            <w:bottom w:w="0" w:type="dxa"/>
            <w:right w:w="108" w:type="dxa"/>
          </w:tblCellMar>
        </w:tblPrEx>
        <w:trPr>
          <w:trHeight w:val="96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4</w:t>
            </w:r>
          </w:p>
        </w:tc>
        <w:tc>
          <w:tcPr>
            <w:tcW w:w="6981"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ascii="宋体" w:hAnsi="宋体" w:cs="宋体"/>
                <w:color w:val="353535"/>
                <w:sz w:val="18"/>
                <w:szCs w:val="18"/>
              </w:rPr>
            </w:pPr>
            <w:r>
              <w:rPr>
                <w:rFonts w:hint="eastAsia" w:ascii="宋体" w:hAnsi="宋体" w:cs="宋体"/>
                <w:color w:val="353535"/>
                <w:sz w:val="18"/>
                <w:szCs w:val="18"/>
              </w:rPr>
              <w:t>引导学生弘农爱农，砥砺强国之志。</w:t>
            </w:r>
          </w:p>
        </w:tc>
        <w:tc>
          <w:tcPr>
            <w:tcW w:w="105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s="宋体"/>
                <w:color w:val="353535"/>
                <w:sz w:val="18"/>
                <w:szCs w:val="18"/>
              </w:rPr>
            </w:pPr>
            <w:r>
              <w:rPr>
                <w:rFonts w:ascii="宋体" w:hAnsi="宋体" w:cs="宋体"/>
                <w:color w:val="353535"/>
                <w:sz w:val="18"/>
                <w:szCs w:val="18"/>
              </w:rPr>
              <w:t>2</w:t>
            </w:r>
          </w:p>
        </w:tc>
      </w:tr>
    </w:tbl>
    <w:p>
      <w:pPr>
        <w:spacing w:line="360" w:lineRule="auto"/>
        <w:ind w:firstLine="420" w:firstLineChars="200"/>
        <w:rPr>
          <w:rFonts w:ascii="宋体" w:hAnsi="宋体" w:cs="宋体"/>
          <w:bCs/>
          <w:kern w:val="0"/>
          <w:szCs w:val="21"/>
        </w:rPr>
      </w:pPr>
    </w:p>
    <w:p>
      <w:pPr>
        <w:widowControl/>
        <w:snapToGrid w:val="0"/>
        <w:spacing w:line="360" w:lineRule="auto"/>
        <w:jc w:val="left"/>
        <w:rPr>
          <w:rFonts w:ascii="宋体" w:hAnsi="宋体" w:cs="宋体"/>
          <w:b/>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ascii="宋体" w:hAnsi="宋体" w:cs="宋体"/>
          <w:color w:val="353535"/>
          <w:kern w:val="0"/>
          <w:szCs w:val="21"/>
        </w:rPr>
        <w:t>52</w:t>
      </w:r>
      <w:r>
        <w:rPr>
          <w:rFonts w:hint="eastAsia" w:hAnsi="宋体"/>
          <w:b/>
          <w:bCs/>
          <w:kern w:val="0"/>
          <w:szCs w:val="21"/>
        </w:rPr>
        <w:t>学时）</w:t>
      </w:r>
      <w:r>
        <w:rPr>
          <w:rFonts w:hint="eastAsia" w:ascii="宋体" w:hAnsi="宋体" w:cs="宋体"/>
          <w:b/>
          <w:bCs/>
          <w:kern w:val="0"/>
          <w:szCs w:val="21"/>
        </w:rPr>
        <w:t></w:t>
      </w:r>
    </w:p>
    <w:p>
      <w:pPr>
        <w:widowControl/>
        <w:spacing w:line="360" w:lineRule="auto"/>
        <w:jc w:val="right"/>
        <w:rPr>
          <w:rFonts w:hAnsi="宋体"/>
          <w:b/>
          <w:bCs/>
          <w:kern w:val="0"/>
          <w:szCs w:val="21"/>
        </w:rPr>
      </w:pPr>
      <w:r>
        <w:rPr>
          <w:rFonts w:hint="eastAsia" w:hAnsi="宋体"/>
          <w:b/>
          <w:bCs/>
          <w:kern w:val="0"/>
          <w:szCs w:val="21"/>
        </w:rPr>
        <w:t xml:space="preserve">绪论    </w:t>
      </w:r>
      <w:r>
        <w:rPr>
          <w:rFonts w:hint="eastAsia" w:ascii="宋体" w:hAnsi="宋体" w:cs="宋体"/>
          <w:b/>
          <w:bCs/>
          <w:color w:val="353535"/>
          <w:kern w:val="0"/>
          <w:szCs w:val="21"/>
        </w:rPr>
        <w:t xml:space="preserve">                           </w:t>
      </w:r>
      <w:r>
        <w:rPr>
          <w:rFonts w:hAnsi="宋体"/>
          <w:b/>
          <w:bCs/>
          <w:kern w:val="0"/>
          <w:szCs w:val="21"/>
        </w:rPr>
        <w:t>学时</w:t>
      </w:r>
      <w:r>
        <w:rPr>
          <w:rFonts w:hint="eastAsia" w:hAnsi="宋体"/>
          <w:b/>
          <w:bCs/>
          <w:kern w:val="0"/>
          <w:szCs w:val="21"/>
        </w:rPr>
        <w:t>数：</w:t>
      </w:r>
      <w:r>
        <w:rPr>
          <w:b/>
          <w:bCs/>
          <w:kern w:val="0"/>
          <w:szCs w:val="21"/>
        </w:rPr>
        <w:t>2</w:t>
      </w:r>
    </w:p>
    <w:p>
      <w:pPr>
        <w:widowControl/>
        <w:spacing w:line="360" w:lineRule="auto"/>
        <w:jc w:val="left"/>
        <w:rPr>
          <w:rFonts w:ascii="宋体" w:hAnsi="宋体" w:cs="宋体"/>
          <w:bCs/>
          <w:color w:val="353535"/>
          <w:kern w:val="0"/>
          <w:szCs w:val="21"/>
        </w:rPr>
      </w:pPr>
      <w:r>
        <w:rPr>
          <w:rFonts w:hint="eastAsia" w:ascii="宋体" w:hAnsi="宋体"/>
          <w:b/>
          <w:bCs/>
          <w:szCs w:val="21"/>
        </w:rPr>
        <w:t>教学目标：</w:t>
      </w:r>
      <w:r>
        <w:rPr>
          <w:rFonts w:hint="eastAsia" w:ascii="宋体" w:hAnsi="宋体" w:cs="宋体"/>
          <w:bCs/>
          <w:color w:val="353535"/>
          <w:kern w:val="0"/>
          <w:szCs w:val="21"/>
        </w:rPr>
        <w:t>了解蔬菜的作用和在国民经济中的地位，树立做好蔬菜的信心和责任心。</w:t>
      </w:r>
    </w:p>
    <w:p>
      <w:pPr>
        <w:widowControl/>
        <w:spacing w:line="360" w:lineRule="auto"/>
        <w:jc w:val="left"/>
        <w:rPr>
          <w:rFonts w:ascii="宋体" w:hAnsi="宋体" w:cs="宋体"/>
          <w:b/>
          <w:bCs/>
          <w:color w:val="353535"/>
          <w:kern w:val="0"/>
          <w:szCs w:val="21"/>
        </w:rPr>
      </w:pPr>
      <w:r>
        <w:rPr>
          <w:rFonts w:hint="eastAsia" w:ascii="宋体" w:hAnsi="宋体"/>
          <w:b/>
          <w:bCs/>
          <w:szCs w:val="21"/>
        </w:rPr>
        <w:t>教学重点和难点</w:t>
      </w:r>
      <w:r>
        <w:rPr>
          <w:rFonts w:hint="eastAsia" w:ascii="宋体" w:hAnsi="宋体" w:cs="宋体"/>
          <w:b/>
          <w:bCs/>
          <w:color w:val="353535"/>
          <w:kern w:val="0"/>
          <w:szCs w:val="21"/>
        </w:rPr>
        <w:t>：</w:t>
      </w:r>
      <w:r>
        <w:rPr>
          <w:rFonts w:ascii="宋体" w:hAnsi="宋体" w:cs="宋体"/>
          <w:b/>
          <w:bCs/>
          <w:color w:val="353535"/>
          <w:kern w:val="0"/>
          <w:szCs w:val="21"/>
        </w:rPr>
        <w:t xml:space="preserve"> </w:t>
      </w:r>
      <w:r>
        <w:rPr>
          <w:rFonts w:hint="eastAsia" w:ascii="宋体" w:hAnsi="宋体" w:cs="宋体"/>
          <w:bCs/>
          <w:color w:val="353535"/>
          <w:kern w:val="0"/>
          <w:szCs w:val="21"/>
        </w:rPr>
        <w:t>本章难点是我国蔬菜产业的发展现状及趋势。</w:t>
      </w:r>
    </w:p>
    <w:p>
      <w:pPr>
        <w:widowControl/>
        <w:spacing w:line="360" w:lineRule="auto"/>
        <w:jc w:val="left"/>
        <w:rPr>
          <w:rFonts w:ascii="宋体" w:hAnsi="宋体"/>
          <w:b/>
          <w:bCs/>
        </w:rPr>
      </w:pPr>
      <w:r>
        <w:rPr>
          <w:rFonts w:hint="eastAsia" w:ascii="宋体" w:hAnsi="宋体"/>
          <w:b/>
          <w:bCs/>
        </w:rPr>
        <w:t>主要教学内容及要求：</w:t>
      </w:r>
    </w:p>
    <w:p>
      <w:pPr>
        <w:widowControl/>
        <w:spacing w:line="360" w:lineRule="auto"/>
        <w:ind w:firstLine="422"/>
        <w:jc w:val="left"/>
        <w:rPr>
          <w:rFonts w:ascii="宋体" w:hAnsi="宋体" w:cs="宋体"/>
          <w:bCs/>
          <w:color w:val="353535"/>
          <w:kern w:val="0"/>
          <w:szCs w:val="21"/>
        </w:rPr>
      </w:pPr>
      <w:r>
        <w:rPr>
          <w:rFonts w:hint="eastAsia" w:ascii="宋体" w:hAnsi="宋体" w:cs="宋体"/>
          <w:bCs/>
          <w:color w:val="353535"/>
          <w:kern w:val="0"/>
          <w:szCs w:val="21"/>
        </w:rPr>
        <w:t>了解：蔬菜的概念，蔬菜在国民经济中的地位。蔬菜对人体健康的作用，我国蔬菜生产经营方式及特点，我国蔬菜科研、生产取得的成绩及存在的问题，我国蔬菜产业的发展现状及趋势。</w:t>
      </w:r>
    </w:p>
    <w:p>
      <w:pPr>
        <w:widowControl/>
        <w:adjustRightInd w:val="0"/>
        <w:snapToGrid w:val="0"/>
        <w:spacing w:line="360" w:lineRule="auto"/>
        <w:jc w:val="left"/>
        <w:rPr>
          <w:rFonts w:ascii="宋体" w:hAnsi="宋体"/>
          <w:b/>
          <w:bCs/>
        </w:rPr>
      </w:pPr>
      <w:r>
        <w:rPr>
          <w:rFonts w:hint="eastAsia" w:ascii="宋体" w:hAnsi="宋体"/>
          <w:b/>
          <w:bCs/>
        </w:rPr>
        <w:t>教学组织与实施：</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bCs/>
          <w:color w:val="353535"/>
          <w:kern w:val="0"/>
          <w:szCs w:val="21"/>
        </w:rPr>
        <w:t>采用“学生参与讲绪论”。充分调动学生的积极主动性。教师提前通过线上课程安排学生查阅蔬菜对人体营养、对国民经济发展、对农民致富、对国际贸易重要性的案例，查阅蔬菜科学研究成果应用取得的成就。线下安排学生自己讲本课程的重要，使学生自己认识到蔬菜产业的重要；教师要讲好蔬菜产业存在的问题，培养学生的责任感，讲好蔬菜产业发展方向与前景，培养学生对课程的希望。线上以当年蔬菜的主要问题设置讨论题目，引导学生查阅资料，教师根据学生回复，引导话题，吸引学生对蔬菜产业的关注，并培养学生查阅资料、总结和表达的能力。</w:t>
      </w:r>
    </w:p>
    <w:p>
      <w:pPr>
        <w:widowControl/>
        <w:wordWrap w:val="0"/>
        <w:spacing w:line="360" w:lineRule="auto"/>
        <w:ind w:firstLine="1343" w:firstLineChars="637"/>
        <w:jc w:val="right"/>
        <w:outlineLvl w:val="3"/>
        <w:rPr>
          <w:rFonts w:cs="宋体"/>
          <w:bCs/>
          <w:kern w:val="0"/>
          <w:szCs w:val="21"/>
        </w:rPr>
      </w:pPr>
      <w:r>
        <w:rPr>
          <w:rFonts w:ascii="宋体" w:hAnsi="宋体"/>
          <w:b/>
          <w:bCs/>
          <w:szCs w:val="21"/>
        </w:rPr>
        <w:t>第一章  蔬菜栽培的生物学基础</w:t>
      </w:r>
      <w:r>
        <w:rPr>
          <w:rFonts w:hint="eastAsia" w:ascii="黑体" w:hAnsi="宋体" w:eastAsia="黑体" w:cs="宋体"/>
          <w:b/>
          <w:bCs/>
          <w:kern w:val="0"/>
          <w:szCs w:val="21"/>
        </w:rPr>
        <w:t xml:space="preserve">                     </w:t>
      </w:r>
      <w:r>
        <w:rPr>
          <w:rFonts w:hAnsi="宋体"/>
          <w:b/>
          <w:bCs/>
          <w:kern w:val="0"/>
          <w:szCs w:val="21"/>
        </w:rPr>
        <w:t>学时</w:t>
      </w:r>
      <w:r>
        <w:rPr>
          <w:rFonts w:hint="eastAsia" w:hAnsi="宋体"/>
          <w:b/>
          <w:bCs/>
          <w:kern w:val="0"/>
          <w:szCs w:val="21"/>
        </w:rPr>
        <w:t>数：</w:t>
      </w:r>
      <w:r>
        <w:rPr>
          <w:rFonts w:hint="eastAsia"/>
          <w:b/>
          <w:bCs/>
          <w:kern w:val="0"/>
          <w:szCs w:val="21"/>
        </w:rPr>
        <w:t>12</w:t>
      </w:r>
    </w:p>
    <w:p>
      <w:pPr>
        <w:widowControl/>
        <w:adjustRightInd w:val="0"/>
        <w:snapToGrid w:val="0"/>
        <w:spacing w:line="360" w:lineRule="auto"/>
        <w:rPr>
          <w:rFonts w:cs="宋体"/>
          <w:b/>
          <w:bCs/>
          <w:kern w:val="0"/>
          <w:szCs w:val="21"/>
        </w:rPr>
      </w:pPr>
      <w:r>
        <w:rPr>
          <w:rFonts w:hint="eastAsia" w:cs="宋体"/>
          <w:b/>
          <w:bCs/>
          <w:kern w:val="0"/>
          <w:szCs w:val="21"/>
        </w:rPr>
        <w:t>第一节</w:t>
      </w:r>
      <w:r>
        <w:rPr>
          <w:b/>
          <w:bCs/>
          <w:kern w:val="0"/>
          <w:szCs w:val="21"/>
        </w:rPr>
        <w:t xml:space="preserve">  </w:t>
      </w:r>
      <w:r>
        <w:rPr>
          <w:rFonts w:hint="eastAsia" w:cs="宋体"/>
          <w:b/>
          <w:bCs/>
          <w:kern w:val="0"/>
          <w:szCs w:val="21"/>
        </w:rPr>
        <w:t xml:space="preserve">蔬菜的分类    </w:t>
      </w:r>
      <w:r>
        <w:rPr>
          <w:rFonts w:hint="eastAsia" w:cs="宋体"/>
          <w:bCs/>
          <w:color w:val="000000"/>
          <w:kern w:val="0"/>
          <w:szCs w:val="21"/>
        </w:rPr>
        <w:t>3</w:t>
      </w:r>
      <w:r>
        <w:rPr>
          <w:rFonts w:hAnsi="宋体"/>
          <w:b/>
          <w:bCs/>
          <w:kern w:val="0"/>
          <w:szCs w:val="21"/>
        </w:rPr>
        <w:t>学时</w:t>
      </w:r>
    </w:p>
    <w:p>
      <w:pPr>
        <w:widowControl/>
        <w:spacing w:line="360" w:lineRule="auto"/>
        <w:jc w:val="left"/>
        <w:rPr>
          <w:rFonts w:ascii="宋体" w:hAnsi="宋体" w:cs="宋体"/>
          <w:b/>
          <w:bCs/>
          <w:color w:val="353535"/>
          <w:kern w:val="0"/>
          <w:szCs w:val="21"/>
        </w:rPr>
      </w:pPr>
      <w:r>
        <w:rPr>
          <w:rFonts w:hint="eastAsia" w:cs="宋体"/>
          <w:b/>
          <w:bCs/>
          <w:kern w:val="0"/>
          <w:szCs w:val="21"/>
        </w:rPr>
        <w:t>教学目标：</w:t>
      </w:r>
      <w:r>
        <w:rPr>
          <w:rFonts w:hint="eastAsia" w:ascii="宋体" w:hAnsi="宋体" w:cs="宋体"/>
          <w:color w:val="353535"/>
          <w:kern w:val="0"/>
          <w:szCs w:val="21"/>
        </w:rPr>
        <w:t>了解不同蔬菜生物学特性、蔬菜的分类方法。</w:t>
      </w:r>
    </w:p>
    <w:p>
      <w:pPr>
        <w:widowControl/>
        <w:spacing w:line="360" w:lineRule="auto"/>
        <w:jc w:val="left"/>
        <w:rPr>
          <w:rFonts w:ascii="宋体" w:hAnsi="宋体" w:cs="宋体"/>
          <w:b/>
          <w:bCs/>
          <w:color w:val="353535"/>
          <w:kern w:val="0"/>
          <w:szCs w:val="21"/>
        </w:rPr>
      </w:pPr>
      <w:r>
        <w:rPr>
          <w:rFonts w:hint="eastAsia" w:ascii="宋体" w:hAnsi="宋体"/>
          <w:b/>
          <w:bCs/>
          <w:szCs w:val="21"/>
        </w:rPr>
        <w:t>教学重点和难点</w:t>
      </w:r>
      <w:r>
        <w:rPr>
          <w:rFonts w:hint="eastAsia" w:ascii="宋体" w:hAnsi="宋体" w:cs="宋体"/>
          <w:b/>
          <w:bCs/>
          <w:color w:val="353535"/>
          <w:kern w:val="0"/>
          <w:szCs w:val="21"/>
        </w:rPr>
        <w:t>：</w:t>
      </w:r>
      <w:r>
        <w:rPr>
          <w:rFonts w:hint="eastAsia" w:ascii="宋体" w:hAnsi="宋体" w:cs="宋体"/>
          <w:color w:val="353535"/>
          <w:kern w:val="0"/>
          <w:szCs w:val="21"/>
        </w:rPr>
        <w:t>本章重点内容为蔬菜的种类、分类。</w:t>
      </w:r>
    </w:p>
    <w:p>
      <w:pPr>
        <w:widowControl/>
        <w:spacing w:line="360" w:lineRule="auto"/>
        <w:jc w:val="left"/>
        <w:rPr>
          <w:rFonts w:ascii="宋体" w:hAnsi="宋体" w:cs="宋体"/>
          <w:b/>
          <w:bCs/>
          <w:color w:val="353535"/>
          <w:kern w:val="0"/>
          <w:szCs w:val="21"/>
        </w:rPr>
      </w:pPr>
      <w:r>
        <w:rPr>
          <w:rFonts w:hint="eastAsia" w:ascii="宋体" w:hAnsi="宋体"/>
          <w:b/>
          <w:bCs/>
        </w:rPr>
        <w:t>主要教学内容及要求：</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了解：蔬菜植物学分类法、食用器官分类法和农业生物学分类法3种分类方法，</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理解：蔬菜3种分类方法的优缺点，</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掌握：农业生物学分类方法，</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熟练掌握：农业生物学分类法各类蔬菜包括的蔬菜种类、所属的科，食用部分，生物学特性，繁殖方法。</w:t>
      </w:r>
    </w:p>
    <w:p>
      <w:pPr>
        <w:widowControl/>
        <w:adjustRightInd w:val="0"/>
        <w:snapToGrid w:val="0"/>
        <w:spacing w:line="360" w:lineRule="auto"/>
        <w:jc w:val="left"/>
        <w:rPr>
          <w:rFonts w:ascii="宋体" w:hAnsi="宋体"/>
          <w:b/>
          <w:bCs/>
        </w:rPr>
      </w:pPr>
      <w:r>
        <w:rPr>
          <w:rFonts w:hint="eastAsia" w:ascii="宋体" w:hAnsi="宋体"/>
          <w:b/>
          <w:bCs/>
        </w:rPr>
        <w:t>教学组织与实施：</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线上通过大量的蔬菜不同部位的图片和做成的蔬菜成品来让学生认识不同的蔬菜。线下通过对易错误的地方提问抢答让学生加深印象，通过带领学生到实验基地、农场和蔬菜批发市场实践并完成报告对知识进行巩固。</w:t>
      </w:r>
    </w:p>
    <w:p>
      <w:pPr>
        <w:widowControl/>
        <w:spacing w:line="360" w:lineRule="auto"/>
        <w:rPr>
          <w:rFonts w:cs="宋体"/>
          <w:b/>
          <w:bCs/>
          <w:kern w:val="0"/>
          <w:szCs w:val="21"/>
        </w:rPr>
      </w:pPr>
      <w:r>
        <w:rPr>
          <w:rFonts w:hint="eastAsia" w:cs="宋体"/>
          <w:b/>
          <w:bCs/>
          <w:kern w:val="0"/>
          <w:szCs w:val="21"/>
        </w:rPr>
        <w:t>第二节</w:t>
      </w:r>
      <w:r>
        <w:rPr>
          <w:b/>
          <w:bCs/>
          <w:kern w:val="0"/>
          <w:szCs w:val="21"/>
        </w:rPr>
        <w:t xml:space="preserve">  </w:t>
      </w:r>
      <w:r>
        <w:rPr>
          <w:rFonts w:hint="eastAsia" w:cs="宋体"/>
          <w:b/>
          <w:bCs/>
          <w:kern w:val="0"/>
          <w:szCs w:val="21"/>
        </w:rPr>
        <w:t xml:space="preserve">蔬菜的起源与演化      </w:t>
      </w:r>
      <w:r>
        <w:rPr>
          <w:rFonts w:cs="宋体"/>
          <w:bCs/>
          <w:color w:val="000000"/>
          <w:kern w:val="0"/>
          <w:szCs w:val="21"/>
        </w:rPr>
        <w:t xml:space="preserve">  </w:t>
      </w:r>
      <w:r>
        <w:rPr>
          <w:rFonts w:hint="eastAsia" w:cs="宋体"/>
          <w:bCs/>
          <w:color w:val="000000"/>
          <w:kern w:val="0"/>
          <w:szCs w:val="21"/>
        </w:rPr>
        <w:t>2</w:t>
      </w:r>
      <w:r>
        <w:rPr>
          <w:rFonts w:hint="eastAsia" w:hAnsi="宋体"/>
          <w:b/>
          <w:bCs/>
          <w:kern w:val="0"/>
          <w:szCs w:val="21"/>
        </w:rPr>
        <w:t>学时</w:t>
      </w:r>
    </w:p>
    <w:p>
      <w:pPr>
        <w:widowControl/>
        <w:spacing w:line="360" w:lineRule="auto"/>
        <w:jc w:val="left"/>
        <w:rPr>
          <w:rFonts w:ascii="宋体" w:hAnsi="宋体" w:cs="宋体"/>
          <w:bCs/>
          <w:color w:val="353535"/>
          <w:kern w:val="0"/>
          <w:szCs w:val="21"/>
        </w:rPr>
      </w:pPr>
      <w:r>
        <w:rPr>
          <w:rFonts w:hint="eastAsia" w:ascii="宋体" w:hAnsi="宋体"/>
          <w:b/>
          <w:bCs/>
          <w:szCs w:val="21"/>
        </w:rPr>
        <w:t>教学目标：</w:t>
      </w:r>
      <w:r>
        <w:rPr>
          <w:rFonts w:hint="eastAsia" w:ascii="宋体" w:hAnsi="宋体" w:cs="宋体"/>
          <w:color w:val="353535"/>
          <w:kern w:val="0"/>
          <w:szCs w:val="21"/>
        </w:rPr>
        <w:t>了解植物起源中心学说的发展；</w:t>
      </w:r>
      <w:r>
        <w:rPr>
          <w:rFonts w:hint="eastAsia" w:ascii="宋体" w:hAnsi="宋体" w:cs="宋体"/>
          <w:bCs/>
          <w:color w:val="353535"/>
          <w:kern w:val="0"/>
          <w:szCs w:val="21"/>
        </w:rPr>
        <w:t>了解蔬菜的起源地学说，理解蔬菜的起源地对蔬菜生物学特性的影响，掌握蔬菜的起源地对蔬菜栽培的要求。了解蔬菜演化的方向。</w:t>
      </w:r>
    </w:p>
    <w:p>
      <w:pPr>
        <w:spacing w:line="360" w:lineRule="auto"/>
        <w:rPr>
          <w:rFonts w:ascii="宋体" w:hAnsi="宋体" w:cs="宋体"/>
          <w:color w:val="353535"/>
          <w:kern w:val="0"/>
          <w:szCs w:val="21"/>
        </w:rPr>
      </w:pPr>
      <w:r>
        <w:rPr>
          <w:rFonts w:hint="eastAsia" w:ascii="宋体" w:hAnsi="宋体"/>
          <w:b/>
          <w:bCs/>
          <w:szCs w:val="21"/>
        </w:rPr>
        <w:t>教学重点和难点：</w:t>
      </w:r>
      <w:r>
        <w:rPr>
          <w:rFonts w:hint="eastAsia" w:ascii="宋体" w:hAnsi="宋体" w:cs="宋体"/>
          <w:color w:val="353535"/>
          <w:kern w:val="0"/>
          <w:szCs w:val="21"/>
        </w:rPr>
        <w:t>本节重点内容为瓦维洛夫</w:t>
      </w:r>
      <w:r>
        <w:rPr>
          <w:rFonts w:hint="eastAsia" w:ascii="宋体" w:hAnsi="宋体" w:cs="宋体"/>
          <w:bCs/>
          <w:color w:val="353535"/>
          <w:kern w:val="0"/>
          <w:szCs w:val="21"/>
        </w:rPr>
        <w:t>世界植物的起源中心，重要蔬菜的起源地。</w:t>
      </w:r>
      <w:r>
        <w:rPr>
          <w:rFonts w:hint="eastAsia" w:ascii="宋体" w:hAnsi="宋体" w:cs="宋体"/>
          <w:color w:val="353535"/>
          <w:kern w:val="0"/>
          <w:szCs w:val="21"/>
        </w:rPr>
        <w:t>难点为蔬菜个体发育与原产地环境条件的关系。</w:t>
      </w:r>
    </w:p>
    <w:p>
      <w:pPr>
        <w:spacing w:line="360" w:lineRule="auto"/>
        <w:rPr>
          <w:rFonts w:ascii="宋体" w:hAnsi="宋体" w:cs="宋体"/>
          <w:color w:val="353535"/>
          <w:kern w:val="0"/>
          <w:szCs w:val="21"/>
        </w:rPr>
      </w:pPr>
      <w:r>
        <w:rPr>
          <w:rFonts w:hint="eastAsia" w:ascii="宋体" w:hAnsi="宋体"/>
          <w:b/>
          <w:bCs/>
          <w:szCs w:val="21"/>
        </w:rPr>
        <w:t>主要教学内容及要求：</w:t>
      </w:r>
    </w:p>
    <w:p>
      <w:pPr>
        <w:widowControl/>
        <w:spacing w:line="360" w:lineRule="auto"/>
        <w:ind w:firstLine="422"/>
        <w:jc w:val="left"/>
        <w:rPr>
          <w:rFonts w:ascii="宋体" w:hAnsi="宋体" w:cs="宋体"/>
          <w:color w:val="353535"/>
          <w:kern w:val="0"/>
          <w:szCs w:val="21"/>
        </w:rPr>
      </w:pPr>
      <w:r>
        <w:rPr>
          <w:rFonts w:hint="eastAsia" w:ascii="宋体" w:hAnsi="宋体" w:cs="宋体"/>
          <w:color w:val="353535"/>
          <w:kern w:val="0"/>
          <w:szCs w:val="21"/>
        </w:rPr>
        <w:t>了解：世界蔬菜起源中心、我国蔬菜分布区域。</w:t>
      </w:r>
    </w:p>
    <w:p>
      <w:pPr>
        <w:widowControl/>
        <w:spacing w:line="360" w:lineRule="auto"/>
        <w:ind w:firstLine="422"/>
        <w:jc w:val="left"/>
        <w:rPr>
          <w:rFonts w:ascii="宋体" w:hAnsi="宋体" w:cs="宋体"/>
          <w:color w:val="353535"/>
          <w:kern w:val="0"/>
          <w:szCs w:val="21"/>
        </w:rPr>
      </w:pPr>
      <w:r>
        <w:rPr>
          <w:rFonts w:hint="eastAsia" w:ascii="宋体" w:hAnsi="宋体" w:cs="宋体"/>
          <w:color w:val="353535"/>
          <w:kern w:val="0"/>
          <w:szCs w:val="21"/>
        </w:rPr>
        <w:t>理解：蔬菜起源地遗传上的保守性和变异性。</w:t>
      </w:r>
    </w:p>
    <w:p>
      <w:pPr>
        <w:widowControl/>
        <w:spacing w:line="360" w:lineRule="auto"/>
        <w:ind w:firstLine="422"/>
        <w:jc w:val="left"/>
        <w:rPr>
          <w:rFonts w:ascii="宋体" w:hAnsi="宋体" w:cs="宋体"/>
          <w:color w:val="353535"/>
          <w:kern w:val="0"/>
          <w:szCs w:val="21"/>
        </w:rPr>
      </w:pPr>
      <w:r>
        <w:rPr>
          <w:rFonts w:hint="eastAsia" w:ascii="宋体" w:hAnsi="宋体" w:cs="宋体"/>
          <w:color w:val="353535"/>
          <w:kern w:val="0"/>
          <w:szCs w:val="21"/>
        </w:rPr>
        <w:t>掌握：依据起源环境推断蔬菜种植季节及主要环境调控目标。</w:t>
      </w:r>
    </w:p>
    <w:p>
      <w:pPr>
        <w:widowControl/>
        <w:adjustRightInd w:val="0"/>
        <w:snapToGrid w:val="0"/>
        <w:spacing w:line="360" w:lineRule="auto"/>
        <w:jc w:val="left"/>
        <w:rPr>
          <w:rFonts w:ascii="宋体" w:hAnsi="宋体"/>
          <w:b/>
          <w:bCs/>
        </w:rPr>
      </w:pPr>
      <w:r>
        <w:rPr>
          <w:rFonts w:hint="eastAsia" w:ascii="宋体" w:hAnsi="宋体"/>
          <w:b/>
          <w:bCs/>
        </w:rPr>
        <w:t>教学组织与实施：</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线上视频讲解蔬菜的起源中心理论，补充植物起源中心学说的发展，培养学生用发展的眼光看问题。通过作业检查学习效果，通过学情分析和网络调查，及时了解学生的学习情况；线下以这些理论的实际应用为主，由老师提出生产上的实际情况，学生进行分析，老师补充，并引导学生思考在什么时候可以应用。通过实验中观察不同蔬菜的生育期并提交报告强化知识。通过强调中国中心起源的蔬菜来对学生进行爱国主义教育。</w:t>
      </w:r>
    </w:p>
    <w:p>
      <w:pPr>
        <w:widowControl/>
        <w:spacing w:line="360" w:lineRule="auto"/>
        <w:rPr>
          <w:rFonts w:cs="宋体"/>
          <w:b/>
          <w:bCs/>
          <w:kern w:val="0"/>
          <w:szCs w:val="21"/>
        </w:rPr>
      </w:pPr>
      <w:r>
        <w:rPr>
          <w:rFonts w:hint="eastAsia" w:cs="宋体"/>
          <w:b/>
          <w:bCs/>
          <w:kern w:val="0"/>
          <w:szCs w:val="21"/>
        </w:rPr>
        <w:t>第三节</w:t>
      </w:r>
      <w:r>
        <w:rPr>
          <w:b/>
          <w:bCs/>
          <w:kern w:val="0"/>
          <w:szCs w:val="21"/>
        </w:rPr>
        <w:t xml:space="preserve">  </w:t>
      </w:r>
      <w:r>
        <w:rPr>
          <w:rFonts w:hint="eastAsia" w:cs="宋体"/>
          <w:b/>
          <w:bCs/>
          <w:kern w:val="0"/>
          <w:szCs w:val="21"/>
        </w:rPr>
        <w:t xml:space="preserve">蔬菜的生长发育和生长相关      </w:t>
      </w:r>
      <w:r>
        <w:rPr>
          <w:rFonts w:cs="宋体"/>
          <w:bCs/>
          <w:color w:val="000000"/>
          <w:kern w:val="0"/>
          <w:szCs w:val="21"/>
        </w:rPr>
        <w:t xml:space="preserve">  </w:t>
      </w:r>
      <w:r>
        <w:rPr>
          <w:rFonts w:hint="eastAsia" w:cs="宋体"/>
          <w:bCs/>
          <w:color w:val="000000"/>
          <w:kern w:val="0"/>
          <w:szCs w:val="21"/>
        </w:rPr>
        <w:t>2</w:t>
      </w:r>
      <w:r>
        <w:rPr>
          <w:rFonts w:hint="eastAsia" w:hAnsi="宋体"/>
          <w:b/>
          <w:bCs/>
          <w:kern w:val="0"/>
          <w:szCs w:val="21"/>
        </w:rPr>
        <w:t>学时</w:t>
      </w:r>
    </w:p>
    <w:p>
      <w:pPr>
        <w:widowControl/>
        <w:spacing w:line="360" w:lineRule="auto"/>
        <w:jc w:val="left"/>
        <w:rPr>
          <w:rFonts w:ascii="宋体" w:hAnsi="宋体" w:cs="宋体"/>
          <w:bCs/>
          <w:color w:val="353535"/>
          <w:kern w:val="0"/>
          <w:szCs w:val="21"/>
        </w:rPr>
      </w:pPr>
      <w:r>
        <w:rPr>
          <w:rFonts w:hint="eastAsia" w:ascii="宋体" w:hAnsi="宋体"/>
          <w:b/>
          <w:bCs/>
          <w:szCs w:val="21"/>
        </w:rPr>
        <w:t>教学目标：</w:t>
      </w:r>
      <w:r>
        <w:rPr>
          <w:rFonts w:hint="eastAsia" w:ascii="宋体" w:hAnsi="宋体" w:cs="宋体"/>
          <w:color w:val="353535"/>
          <w:kern w:val="0"/>
          <w:szCs w:val="21"/>
        </w:rPr>
        <w:t>了解蔬菜植物生长发育与环境的相互关系。运用生长发育和生长相关的理论解释生产中常见的问题。根据生长发育的需求制定合理的栽培措施。</w:t>
      </w:r>
    </w:p>
    <w:p>
      <w:pPr>
        <w:spacing w:line="360" w:lineRule="auto"/>
        <w:rPr>
          <w:rFonts w:ascii="宋体" w:hAnsi="宋体" w:cs="宋体"/>
          <w:color w:val="353535"/>
          <w:kern w:val="0"/>
          <w:szCs w:val="21"/>
        </w:rPr>
      </w:pPr>
      <w:r>
        <w:rPr>
          <w:rFonts w:hint="eastAsia" w:ascii="宋体" w:hAnsi="宋体"/>
          <w:b/>
          <w:bCs/>
          <w:szCs w:val="21"/>
        </w:rPr>
        <w:t>教学重点和难点：</w:t>
      </w:r>
      <w:r>
        <w:rPr>
          <w:rFonts w:hint="eastAsia" w:ascii="宋体" w:hAnsi="宋体" w:cs="宋体"/>
          <w:color w:val="353535"/>
          <w:kern w:val="0"/>
          <w:szCs w:val="21"/>
        </w:rPr>
        <w:t>本节重点内容为蔬菜的系统发育与个体发育，一、二年生蔬菜的个体发育过程，蔬菜的生长相关。难点为生长相关和春化理论的应用。</w:t>
      </w:r>
    </w:p>
    <w:p>
      <w:pPr>
        <w:spacing w:line="360" w:lineRule="auto"/>
        <w:rPr>
          <w:rFonts w:ascii="宋体" w:hAnsi="宋体" w:cs="宋体"/>
          <w:color w:val="353535"/>
          <w:kern w:val="0"/>
          <w:szCs w:val="21"/>
        </w:rPr>
      </w:pPr>
      <w:r>
        <w:rPr>
          <w:rFonts w:hint="eastAsia" w:ascii="宋体" w:hAnsi="宋体"/>
          <w:b/>
          <w:bCs/>
          <w:szCs w:val="21"/>
        </w:rPr>
        <w:t>主要教学内容及要求：</w:t>
      </w:r>
    </w:p>
    <w:p>
      <w:pPr>
        <w:widowControl/>
        <w:spacing w:line="360" w:lineRule="auto"/>
        <w:ind w:firstLine="422"/>
        <w:jc w:val="left"/>
        <w:rPr>
          <w:rFonts w:ascii="宋体" w:hAnsi="宋体" w:cs="宋体"/>
          <w:color w:val="353535"/>
          <w:kern w:val="0"/>
          <w:szCs w:val="21"/>
        </w:rPr>
      </w:pPr>
      <w:r>
        <w:rPr>
          <w:rFonts w:hint="eastAsia" w:ascii="宋体" w:hAnsi="宋体" w:cs="宋体"/>
          <w:color w:val="353535"/>
          <w:kern w:val="0"/>
          <w:szCs w:val="21"/>
        </w:rPr>
        <w:t>了解：生长、发育与分化的基本概念。蔬菜生长发育过程，了解一年生、二年生和多年生蔬菜的生长发育过程。生长的相关性与产品器官形成的关系。</w:t>
      </w:r>
    </w:p>
    <w:p>
      <w:pPr>
        <w:widowControl/>
        <w:spacing w:line="360" w:lineRule="auto"/>
        <w:ind w:firstLine="422"/>
        <w:jc w:val="left"/>
        <w:rPr>
          <w:rFonts w:ascii="宋体" w:hAnsi="宋体" w:cs="宋体"/>
          <w:color w:val="353535"/>
          <w:kern w:val="0"/>
          <w:szCs w:val="21"/>
        </w:rPr>
      </w:pPr>
      <w:r>
        <w:rPr>
          <w:rFonts w:hint="eastAsia" w:ascii="宋体" w:hAnsi="宋体" w:cs="宋体"/>
          <w:color w:val="353535"/>
          <w:kern w:val="0"/>
          <w:szCs w:val="21"/>
        </w:rPr>
        <w:t>理解：蔬菜系统发育与个体发育的关系。蔬菜植物生长发育理论。</w:t>
      </w:r>
    </w:p>
    <w:p>
      <w:pPr>
        <w:widowControl/>
        <w:spacing w:line="360" w:lineRule="auto"/>
        <w:ind w:firstLine="422"/>
        <w:jc w:val="left"/>
        <w:rPr>
          <w:rFonts w:ascii="宋体" w:hAnsi="宋体" w:cs="宋体"/>
          <w:color w:val="353535"/>
          <w:kern w:val="0"/>
          <w:szCs w:val="21"/>
        </w:rPr>
      </w:pPr>
      <w:r>
        <w:rPr>
          <w:rFonts w:hint="eastAsia" w:ascii="宋体" w:hAnsi="宋体" w:cs="宋体"/>
          <w:color w:val="353535"/>
          <w:kern w:val="0"/>
          <w:szCs w:val="21"/>
        </w:rPr>
        <w:t>掌握：依据起源环境推断蔬菜种植季节及主要环境调控目标。生长发育理论解释营养生长、生殖生长的现象。</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熟练掌握：应用生长发育理论调控蔬菜生长发育的方法；根据生长相关性理论和栽培目的制定栽培措施的原则。</w:t>
      </w:r>
    </w:p>
    <w:p>
      <w:pPr>
        <w:widowControl/>
        <w:adjustRightInd w:val="0"/>
        <w:snapToGrid w:val="0"/>
        <w:spacing w:line="360" w:lineRule="auto"/>
        <w:jc w:val="left"/>
        <w:rPr>
          <w:rFonts w:ascii="宋体" w:hAnsi="宋体"/>
          <w:b/>
          <w:bCs/>
        </w:rPr>
      </w:pPr>
      <w:r>
        <w:rPr>
          <w:rFonts w:hint="eastAsia" w:ascii="宋体" w:hAnsi="宋体"/>
          <w:b/>
          <w:bCs/>
        </w:rPr>
        <w:t>教学组织与实施：</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线上视频讲解蔬菜生长发育的理论和蔬菜的生长相关性理论，作业检查学习效果；线下以这些理论的实际应用为主，由老师提出生产上的实际情况，学生进行分析，老师补充，并引导学生思考在什么时候可以应用。通过实验中观察不同蔬菜的生育期并提交报告强化知识。</w:t>
      </w:r>
    </w:p>
    <w:p>
      <w:pPr>
        <w:widowControl/>
        <w:adjustRightInd w:val="0"/>
        <w:snapToGrid w:val="0"/>
        <w:spacing w:line="360" w:lineRule="auto"/>
        <w:rPr>
          <w:rFonts w:ascii="宋体" w:hAnsi="宋体" w:cs="宋体"/>
          <w:b/>
          <w:bCs/>
          <w:kern w:val="0"/>
          <w:szCs w:val="21"/>
        </w:rPr>
      </w:pPr>
      <w:r>
        <w:rPr>
          <w:rFonts w:hint="eastAsia" w:cs="宋体"/>
          <w:b/>
          <w:bCs/>
          <w:kern w:val="0"/>
          <w:szCs w:val="21"/>
        </w:rPr>
        <w:t xml:space="preserve">第四节 </w:t>
      </w:r>
      <w:r>
        <w:rPr>
          <w:b/>
          <w:bCs/>
          <w:kern w:val="0"/>
          <w:szCs w:val="21"/>
        </w:rPr>
        <w:t xml:space="preserve"> </w:t>
      </w:r>
      <w:r>
        <w:rPr>
          <w:rFonts w:hint="eastAsia" w:cs="宋体"/>
          <w:b/>
          <w:bCs/>
          <w:kern w:val="0"/>
          <w:szCs w:val="21"/>
        </w:rPr>
        <w:t xml:space="preserve">蔬菜生长发育对环境条件的要求   </w:t>
      </w:r>
      <w:r>
        <w:rPr>
          <w:rFonts w:cs="宋体"/>
          <w:b/>
          <w:bCs/>
          <w:kern w:val="0"/>
          <w:szCs w:val="21"/>
        </w:rPr>
        <w:t xml:space="preserve"> </w:t>
      </w:r>
      <w:r>
        <w:rPr>
          <w:rFonts w:hint="eastAsia" w:cs="宋体"/>
          <w:bCs/>
          <w:color w:val="000000"/>
          <w:kern w:val="0"/>
          <w:szCs w:val="21"/>
        </w:rPr>
        <w:t>4</w:t>
      </w:r>
      <w:r>
        <w:rPr>
          <w:rFonts w:hint="eastAsia" w:hAnsi="宋体"/>
          <w:b/>
          <w:bCs/>
          <w:kern w:val="0"/>
          <w:szCs w:val="21"/>
        </w:rPr>
        <w:t>学时</w:t>
      </w:r>
    </w:p>
    <w:p>
      <w:pPr>
        <w:widowControl/>
        <w:spacing w:line="360" w:lineRule="auto"/>
        <w:jc w:val="left"/>
        <w:rPr>
          <w:rFonts w:ascii="宋体" w:hAnsi="宋体" w:cs="宋体"/>
          <w:color w:val="353535"/>
          <w:kern w:val="0"/>
          <w:szCs w:val="21"/>
        </w:rPr>
      </w:pPr>
      <w:r>
        <w:rPr>
          <w:rFonts w:hint="eastAsia" w:ascii="宋体" w:hAnsi="宋体"/>
          <w:b/>
          <w:bCs/>
          <w:szCs w:val="21"/>
        </w:rPr>
        <w:t>教学目标：</w:t>
      </w:r>
      <w:r>
        <w:rPr>
          <w:rFonts w:hint="eastAsia" w:ascii="宋体" w:hAnsi="宋体" w:cs="宋体"/>
          <w:bCs/>
          <w:color w:val="353535"/>
          <w:kern w:val="0"/>
          <w:szCs w:val="21"/>
        </w:rPr>
        <w:t>了</w:t>
      </w:r>
      <w:r>
        <w:rPr>
          <w:rFonts w:hint="eastAsia" w:ascii="宋体" w:hAnsi="宋体" w:cs="宋体"/>
          <w:color w:val="353535"/>
          <w:kern w:val="0"/>
          <w:szCs w:val="21"/>
        </w:rPr>
        <w:t>解蔬菜植物生长发育与环境的相互关系。</w:t>
      </w:r>
    </w:p>
    <w:p>
      <w:pPr>
        <w:widowControl/>
        <w:spacing w:line="360" w:lineRule="auto"/>
        <w:jc w:val="left"/>
        <w:rPr>
          <w:rFonts w:ascii="宋体" w:hAnsi="宋体" w:cs="宋体"/>
          <w:b/>
          <w:bCs/>
          <w:color w:val="353535"/>
          <w:kern w:val="0"/>
          <w:szCs w:val="21"/>
        </w:rPr>
      </w:pPr>
      <w:r>
        <w:rPr>
          <w:rFonts w:hint="eastAsia" w:ascii="宋体" w:hAnsi="宋体"/>
          <w:b/>
          <w:bCs/>
          <w:szCs w:val="21"/>
        </w:rPr>
        <w:t>教学重点和难点：</w:t>
      </w:r>
      <w:r>
        <w:rPr>
          <w:rFonts w:hint="eastAsia" w:ascii="宋体" w:hAnsi="宋体" w:cs="宋体"/>
          <w:color w:val="353535"/>
          <w:kern w:val="0"/>
          <w:szCs w:val="21"/>
        </w:rPr>
        <w:t>本节重点内容为光照与温度、水分对蔬菜植物生长发育的影响，难点为</w:t>
      </w:r>
      <w:r>
        <w:rPr>
          <w:rFonts w:hint="eastAsia" w:cs="宋体"/>
          <w:bCs/>
          <w:kern w:val="0"/>
          <w:szCs w:val="21"/>
        </w:rPr>
        <w:t>蔬菜生长发育对环境条件的要求与栽培措施的关系。</w:t>
      </w:r>
    </w:p>
    <w:p>
      <w:pPr>
        <w:widowControl/>
        <w:spacing w:line="360" w:lineRule="auto"/>
        <w:jc w:val="left"/>
        <w:rPr>
          <w:rFonts w:ascii="宋体" w:hAnsi="宋体" w:cs="宋体"/>
          <w:color w:val="353535"/>
          <w:kern w:val="0"/>
          <w:szCs w:val="21"/>
        </w:rPr>
      </w:pPr>
      <w:r>
        <w:rPr>
          <w:rFonts w:hint="eastAsia" w:ascii="宋体" w:hAnsi="宋体"/>
          <w:b/>
          <w:bCs/>
          <w:szCs w:val="21"/>
        </w:rPr>
        <w:t>主要教学内容及要求：</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了解：蔬菜对温度、光照、水分、气体以及土壤微生物的要求。“控温不控水，控水不控温”的原理及适用条件。气体条件对蔬菜植物生长发育的影响，有毒气体形成及对蔬菜植物危害的特点及判断方法。</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理解：环境条件对蔬菜生长发育的影响。</w:t>
      </w:r>
    </w:p>
    <w:p>
      <w:pPr>
        <w:widowControl/>
        <w:adjustRightInd w:val="0"/>
        <w:snapToGrid w:val="0"/>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掌握：不同作物、不同生育阶段、不同天气状况、不同土壤水分状况下蔬菜作物对温度条件的要求。二氧化碳施肥的方法、防止蔬菜“氨害”的方法。</w:t>
      </w:r>
    </w:p>
    <w:p>
      <w:pPr>
        <w:widowControl/>
        <w:spacing w:line="360" w:lineRule="auto"/>
        <w:jc w:val="left"/>
        <w:rPr>
          <w:rFonts w:ascii="宋体" w:hAnsi="宋体"/>
          <w:b/>
          <w:bCs/>
        </w:rPr>
      </w:pPr>
      <w:r>
        <w:rPr>
          <w:rFonts w:hint="eastAsia" w:ascii="宋体" w:hAnsi="宋体"/>
          <w:b/>
          <w:bCs/>
        </w:rPr>
        <w:t>教学组织与实施：</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线上学生自学蔬菜对温、光、水、肥的需求，按照生理生态需求对蔬菜作物进行分类。学习逆境下蔬菜的表现。线下对老师给出的植物，根据其根茎叶的形态特征推断其对环境条件的要求，并对其进行生态学分类，与老师交流互动。对给出的逆境照片推断其可能原因。利用实习培育各种逆境下苗子，描述其症状。以实验小组为单位进行逆境诊断，锻炼将知识应用实际的能力。培养学生综合考虑各个环境因素，并根据作物和生产需求调整栽培措施的能力。培养学生自主学习、查阅资料、团队合作和交流的能力。通过立足当地蔬菜产业的例子培养学生“爱农”的意识和“富农”的责任感。</w:t>
      </w:r>
    </w:p>
    <w:p>
      <w:pPr>
        <w:widowControl/>
        <w:spacing w:line="360" w:lineRule="auto"/>
        <w:rPr>
          <w:rFonts w:ascii="宋体" w:hAnsi="宋体" w:cs="宋体"/>
          <w:b/>
          <w:color w:val="353535"/>
          <w:kern w:val="0"/>
          <w:szCs w:val="21"/>
        </w:rPr>
      </w:pPr>
      <w:r>
        <w:rPr>
          <w:rFonts w:hint="eastAsia" w:cs="宋体"/>
          <w:b/>
          <w:bCs/>
          <w:kern w:val="0"/>
          <w:szCs w:val="21"/>
        </w:rPr>
        <w:t>第五节</w:t>
      </w:r>
      <w:r>
        <w:rPr>
          <w:b/>
          <w:bCs/>
          <w:kern w:val="0"/>
          <w:szCs w:val="21"/>
        </w:rPr>
        <w:t xml:space="preserve">  </w:t>
      </w:r>
      <w:r>
        <w:rPr>
          <w:rFonts w:hint="eastAsia" w:cs="宋体"/>
          <w:b/>
          <w:bCs/>
          <w:kern w:val="0"/>
          <w:szCs w:val="21"/>
        </w:rPr>
        <w:t xml:space="preserve">蔬菜的产量形成与品质改善 </w:t>
      </w:r>
      <w:r>
        <w:rPr>
          <w:rFonts w:cs="宋体"/>
          <w:b/>
          <w:bCs/>
          <w:kern w:val="0"/>
          <w:szCs w:val="21"/>
        </w:rPr>
        <w:t xml:space="preserve"> </w:t>
      </w:r>
      <w:r>
        <w:rPr>
          <w:rFonts w:hint="eastAsia" w:cs="宋体"/>
          <w:b/>
          <w:bCs/>
          <w:kern w:val="0"/>
          <w:szCs w:val="21"/>
        </w:rPr>
        <w:t xml:space="preserve"> </w:t>
      </w:r>
      <w:r>
        <w:rPr>
          <w:rFonts w:cs="宋体"/>
          <w:b/>
          <w:bCs/>
          <w:kern w:val="0"/>
          <w:szCs w:val="21"/>
        </w:rPr>
        <w:t xml:space="preserve"> </w:t>
      </w:r>
      <w:r>
        <w:rPr>
          <w:rFonts w:hint="eastAsia" w:cs="宋体"/>
          <w:bCs/>
          <w:color w:val="000000"/>
          <w:kern w:val="0"/>
          <w:szCs w:val="21"/>
        </w:rPr>
        <w:t>1</w:t>
      </w:r>
      <w:r>
        <w:rPr>
          <w:rFonts w:hint="eastAsia" w:hAnsi="宋体"/>
          <w:b/>
          <w:bCs/>
          <w:kern w:val="0"/>
          <w:szCs w:val="21"/>
        </w:rPr>
        <w:t>学时</w:t>
      </w:r>
    </w:p>
    <w:p>
      <w:pPr>
        <w:widowControl/>
        <w:spacing w:line="360" w:lineRule="auto"/>
        <w:jc w:val="left"/>
        <w:rPr>
          <w:rFonts w:ascii="宋体" w:hAnsi="宋体" w:cs="宋体"/>
          <w:color w:val="353535"/>
          <w:kern w:val="0"/>
          <w:szCs w:val="21"/>
        </w:rPr>
      </w:pPr>
      <w:r>
        <w:rPr>
          <w:rFonts w:hint="eastAsia" w:ascii="宋体" w:hAnsi="宋体"/>
          <w:b/>
          <w:bCs/>
          <w:szCs w:val="21"/>
        </w:rPr>
        <w:t>教学目标：</w:t>
      </w:r>
      <w:r>
        <w:rPr>
          <w:rFonts w:hint="eastAsia" w:ascii="宋体" w:hAnsi="宋体" w:cs="宋体"/>
          <w:color w:val="353535"/>
          <w:kern w:val="0"/>
          <w:szCs w:val="21"/>
        </w:rPr>
        <w:t>了解蔬菜产量形成、提高品质的基本原理及途径。</w:t>
      </w:r>
    </w:p>
    <w:p>
      <w:pPr>
        <w:widowControl/>
        <w:spacing w:line="360" w:lineRule="auto"/>
        <w:jc w:val="left"/>
        <w:rPr>
          <w:rFonts w:ascii="宋体" w:hAnsi="宋体" w:cs="宋体"/>
          <w:b/>
          <w:bCs/>
          <w:color w:val="353535"/>
          <w:kern w:val="0"/>
          <w:szCs w:val="21"/>
        </w:rPr>
      </w:pPr>
      <w:r>
        <w:rPr>
          <w:rFonts w:hint="eastAsia" w:ascii="宋体" w:hAnsi="宋体"/>
          <w:b/>
          <w:bCs/>
          <w:szCs w:val="21"/>
        </w:rPr>
        <w:t>教学重点和难点：</w:t>
      </w:r>
      <w:r>
        <w:rPr>
          <w:rFonts w:hint="eastAsia" w:ascii="宋体" w:hAnsi="宋体" w:cs="宋体"/>
          <w:color w:val="353535"/>
          <w:kern w:val="0"/>
          <w:szCs w:val="21"/>
        </w:rPr>
        <w:t>本节重点内容为影响蔬菜产量与品质的因素，难点为提高蔬菜品质的途径。</w:t>
      </w:r>
    </w:p>
    <w:p>
      <w:pPr>
        <w:widowControl/>
        <w:spacing w:line="360" w:lineRule="auto"/>
        <w:jc w:val="left"/>
        <w:rPr>
          <w:rFonts w:ascii="宋体" w:hAnsi="宋体" w:cs="宋体"/>
          <w:color w:val="353535"/>
          <w:kern w:val="0"/>
          <w:szCs w:val="21"/>
        </w:rPr>
      </w:pPr>
      <w:r>
        <w:rPr>
          <w:rFonts w:hint="eastAsia" w:ascii="宋体" w:hAnsi="宋体"/>
          <w:b/>
          <w:bCs/>
          <w:szCs w:val="21"/>
        </w:rPr>
        <w:t>主要教学内容及要求：</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了解：叶面积指数及净同化率对产量形成的重要性、不同种类蔬菜产量形成特点。物质运转的源、库关系及对产量的贡献率。提高蔬菜质量安全生产的重要性。我国蔬菜产品质量安全认证的主要类型。蔬菜的内在品质和外在品质内涵。</w:t>
      </w:r>
    </w:p>
    <w:p>
      <w:pPr>
        <w:widowControl/>
        <w:spacing w:line="360" w:lineRule="auto"/>
        <w:ind w:firstLine="420" w:firstLineChars="200"/>
        <w:jc w:val="left"/>
        <w:rPr>
          <w:rFonts w:hAnsi="宋体"/>
          <w:b/>
          <w:bCs/>
          <w:kern w:val="0"/>
          <w:szCs w:val="21"/>
        </w:rPr>
      </w:pPr>
      <w:r>
        <w:rPr>
          <w:rFonts w:hint="eastAsia" w:ascii="宋体" w:hAnsi="宋体" w:cs="宋体"/>
          <w:color w:val="353535"/>
          <w:kern w:val="0"/>
          <w:szCs w:val="21"/>
        </w:rPr>
        <w:t>理解：光合性能的含义、光能利用率与产量形成的关系，熟练掌握提高蔬菜光能利用率的途径和方法。影响品质的因素，包括蔬菜种类、品种特性、土壤状况、栽培技术、环境条件、采收贮藏条件及技术等。</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掌握：提高蔬菜品质的技术途径。</w:t>
      </w:r>
    </w:p>
    <w:p>
      <w:pPr>
        <w:widowControl/>
        <w:spacing w:line="360" w:lineRule="auto"/>
        <w:jc w:val="left"/>
        <w:rPr>
          <w:rFonts w:ascii="宋体" w:hAnsi="宋体"/>
          <w:b/>
          <w:bCs/>
        </w:rPr>
      </w:pPr>
      <w:r>
        <w:rPr>
          <w:rFonts w:hint="eastAsia" w:ascii="宋体" w:hAnsi="宋体"/>
          <w:b/>
          <w:bCs/>
        </w:rPr>
        <w:t>教学组织与实施：</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线上学生自学叶面积指数的概念，影响光合效率的因素，影响蔬菜品质的因素和我国蔬菜产品质量安全认证的主要类型。以作业和线上讨论对其起学习效果进行检验。线下以班级为单位进行“翻转课堂”，分析科研论文等方法，由学生讲解提高光合效率的办法和提高蔬菜品质和安全性的措施。培养学生团队协作和讲述表达的能力。培养学生终身学习的理念。</w:t>
      </w:r>
    </w:p>
    <w:p>
      <w:pPr>
        <w:widowControl/>
        <w:spacing w:line="360" w:lineRule="auto"/>
        <w:ind w:firstLine="1033" w:firstLineChars="490"/>
        <w:jc w:val="right"/>
        <w:rPr>
          <w:rFonts w:ascii="宋体" w:hAnsi="宋体" w:cs="宋体"/>
          <w:b/>
          <w:bCs/>
          <w:color w:val="353535"/>
          <w:kern w:val="0"/>
          <w:szCs w:val="21"/>
        </w:rPr>
      </w:pPr>
      <w:r>
        <w:rPr>
          <w:rFonts w:hint="eastAsia" w:ascii="宋体" w:hAnsi="宋体" w:cs="宋体"/>
          <w:b/>
          <w:bCs/>
          <w:color w:val="353535"/>
          <w:kern w:val="0"/>
          <w:szCs w:val="21"/>
        </w:rPr>
        <w:t xml:space="preserve">              第二章  蔬菜栽培技术基础                      </w:t>
      </w:r>
      <w:r>
        <w:rPr>
          <w:rFonts w:hAnsi="宋体"/>
          <w:b/>
          <w:bCs/>
          <w:kern w:val="0"/>
          <w:szCs w:val="21"/>
        </w:rPr>
        <w:t>学时</w:t>
      </w:r>
      <w:r>
        <w:rPr>
          <w:rFonts w:hint="eastAsia" w:hAnsi="宋体"/>
          <w:b/>
          <w:bCs/>
          <w:kern w:val="0"/>
          <w:szCs w:val="21"/>
        </w:rPr>
        <w:t>数：</w:t>
      </w:r>
      <w:r>
        <w:rPr>
          <w:rFonts w:hint="eastAsia"/>
          <w:b/>
          <w:bCs/>
          <w:kern w:val="0"/>
          <w:szCs w:val="21"/>
        </w:rPr>
        <w:t>10</w:t>
      </w:r>
    </w:p>
    <w:p>
      <w:pPr>
        <w:widowControl/>
        <w:adjustRightInd w:val="0"/>
        <w:snapToGrid w:val="0"/>
        <w:spacing w:line="360" w:lineRule="auto"/>
        <w:jc w:val="left"/>
        <w:rPr>
          <w:rFonts w:ascii="宋体" w:hAnsi="宋体" w:cs="宋体"/>
          <w:b/>
          <w:bCs/>
          <w:kern w:val="0"/>
          <w:szCs w:val="21"/>
        </w:rPr>
      </w:pPr>
      <w:r>
        <w:rPr>
          <w:rFonts w:hint="eastAsia" w:ascii="宋体" w:hAnsi="宋体"/>
          <w:b/>
          <w:bCs/>
          <w:szCs w:val="21"/>
        </w:rPr>
        <w:t>第一节  种子与播种育苗</w:t>
      </w:r>
      <w:r>
        <w:rPr>
          <w:rFonts w:ascii="宋体" w:hAnsi="宋体"/>
          <w:b/>
          <w:bCs/>
          <w:szCs w:val="21"/>
        </w:rPr>
        <w:t xml:space="preserve"> </w:t>
      </w:r>
      <w:r>
        <w:rPr>
          <w:rFonts w:cs="宋体"/>
          <w:b/>
          <w:bCs/>
          <w:kern w:val="0"/>
          <w:szCs w:val="21"/>
        </w:rPr>
        <w:t xml:space="preserve">   </w:t>
      </w:r>
      <w:r>
        <w:rPr>
          <w:rFonts w:hint="eastAsia" w:cs="宋体"/>
          <w:bCs/>
          <w:color w:val="000000"/>
          <w:kern w:val="0"/>
          <w:szCs w:val="21"/>
        </w:rPr>
        <w:t>4</w:t>
      </w:r>
      <w:r>
        <w:rPr>
          <w:rFonts w:hint="eastAsia" w:hAnsi="宋体"/>
          <w:b/>
          <w:bCs/>
          <w:kern w:val="0"/>
          <w:szCs w:val="21"/>
        </w:rPr>
        <w:t>学时</w:t>
      </w:r>
    </w:p>
    <w:p>
      <w:pPr>
        <w:widowControl/>
        <w:spacing w:line="360" w:lineRule="auto"/>
        <w:jc w:val="left"/>
        <w:rPr>
          <w:rFonts w:ascii="宋体" w:hAnsi="宋体" w:cs="宋体"/>
          <w:color w:val="353535"/>
          <w:kern w:val="0"/>
          <w:szCs w:val="21"/>
        </w:rPr>
      </w:pPr>
      <w:r>
        <w:rPr>
          <w:rFonts w:hint="eastAsia" w:ascii="宋体" w:hAnsi="宋体"/>
          <w:b/>
          <w:bCs/>
          <w:szCs w:val="21"/>
        </w:rPr>
        <w:t>教学目标：</w:t>
      </w:r>
      <w:r>
        <w:rPr>
          <w:rFonts w:hint="eastAsia" w:ascii="宋体" w:hAnsi="宋体" w:cs="宋体"/>
          <w:color w:val="353535"/>
          <w:kern w:val="0"/>
          <w:szCs w:val="21"/>
        </w:rPr>
        <w:t>掌握蔬菜种子播种及育苗的理论与技术。</w:t>
      </w:r>
    </w:p>
    <w:p>
      <w:pPr>
        <w:widowControl/>
        <w:spacing w:line="360" w:lineRule="auto"/>
        <w:jc w:val="left"/>
        <w:rPr>
          <w:rFonts w:ascii="宋体" w:hAnsi="宋体" w:cs="宋体"/>
          <w:b/>
          <w:bCs/>
          <w:color w:val="353535"/>
          <w:kern w:val="0"/>
          <w:szCs w:val="21"/>
        </w:rPr>
      </w:pPr>
      <w:r>
        <w:rPr>
          <w:rFonts w:hint="eastAsia" w:ascii="宋体" w:hAnsi="宋体"/>
          <w:b/>
          <w:bCs/>
          <w:szCs w:val="21"/>
        </w:rPr>
        <w:t>教学重点和难点</w:t>
      </w:r>
      <w:r>
        <w:rPr>
          <w:rFonts w:hint="eastAsia" w:ascii="宋体" w:hAnsi="宋体" w:cs="宋体"/>
          <w:b/>
          <w:bCs/>
          <w:color w:val="353535"/>
          <w:kern w:val="0"/>
          <w:szCs w:val="21"/>
        </w:rPr>
        <w:t>：</w:t>
      </w:r>
      <w:r>
        <w:rPr>
          <w:rFonts w:hint="eastAsia" w:ascii="宋体" w:hAnsi="宋体" w:cs="宋体"/>
          <w:color w:val="353535"/>
          <w:kern w:val="0"/>
          <w:szCs w:val="21"/>
        </w:rPr>
        <w:t>本节重点内容为蔬菜种子质量鉴定方法、播前种子处理、蔬菜播种技术、蔬菜育苗意义、设施育苗、嫁接育苗、蔬菜苗期管理。难点为播种期的确定、播种技术、蔬菜嫁接育苗、苗期综合管理技术。</w:t>
      </w:r>
    </w:p>
    <w:p>
      <w:pPr>
        <w:widowControl/>
        <w:spacing w:line="360" w:lineRule="auto"/>
        <w:jc w:val="left"/>
        <w:rPr>
          <w:rFonts w:ascii="宋体" w:hAnsi="宋体" w:cs="宋体"/>
          <w:color w:val="353535"/>
          <w:kern w:val="0"/>
          <w:szCs w:val="21"/>
        </w:rPr>
      </w:pPr>
      <w:r>
        <w:rPr>
          <w:rFonts w:hint="eastAsia" w:ascii="宋体" w:hAnsi="宋体"/>
          <w:b/>
          <w:bCs/>
          <w:szCs w:val="21"/>
        </w:rPr>
        <w:t>主要教学内容及要求：</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了解：蔬菜种子的类别与形态结构。</w:t>
      </w:r>
      <w:r>
        <w:rPr>
          <w:rFonts w:hint="eastAsia"/>
          <w:kern w:val="0"/>
        </w:rPr>
        <w:t>温床、冷床、大棚和温室等育苗设施的结构性能。苗期温度管理原则，嫁接育苗的概念、原理、技术方法、对砧木和接穗选择的要求，影响嫁接成活率的因子。工厂化育苗的概念、特点和意义，工厂化育苗技术流程。</w:t>
      </w:r>
    </w:p>
    <w:p>
      <w:pPr>
        <w:spacing w:line="360" w:lineRule="auto"/>
        <w:ind w:firstLine="420" w:firstLineChars="200"/>
        <w:rPr>
          <w:kern w:val="0"/>
        </w:rPr>
      </w:pPr>
      <w:r>
        <w:rPr>
          <w:rFonts w:hint="eastAsia" w:ascii="宋体" w:hAnsi="宋体" w:cs="宋体"/>
          <w:color w:val="353535"/>
          <w:kern w:val="0"/>
          <w:szCs w:val="21"/>
        </w:rPr>
        <w:t>掌握：蔬菜种子质量鉴定方法及指标。</w:t>
      </w:r>
      <w:r>
        <w:rPr>
          <w:rFonts w:hint="eastAsia"/>
          <w:kern w:val="0"/>
        </w:rPr>
        <w:t>培养土的配制方法。遮阳防雨棚的建造方法、冷凉蔬菜夏季催芽技术。</w:t>
      </w:r>
    </w:p>
    <w:p>
      <w:pPr>
        <w:spacing w:line="360" w:lineRule="auto"/>
        <w:rPr>
          <w:kern w:val="0"/>
        </w:rPr>
      </w:pPr>
      <w:r>
        <w:rPr>
          <w:rFonts w:hint="eastAsia" w:ascii="宋体" w:hAnsi="宋体" w:cs="宋体"/>
          <w:color w:val="353535"/>
          <w:kern w:val="0"/>
          <w:szCs w:val="21"/>
        </w:rPr>
        <w:t xml:space="preserve">   </w:t>
      </w:r>
      <w:r>
        <w:rPr>
          <w:rFonts w:ascii="宋体" w:hAnsi="宋体" w:cs="宋体"/>
          <w:color w:val="353535"/>
          <w:kern w:val="0"/>
          <w:szCs w:val="21"/>
        </w:rPr>
        <w:t xml:space="preserve"> </w:t>
      </w:r>
      <w:r>
        <w:rPr>
          <w:rFonts w:hint="eastAsia" w:ascii="宋体" w:hAnsi="宋体" w:cs="宋体"/>
          <w:color w:val="353535"/>
          <w:kern w:val="0"/>
          <w:szCs w:val="21"/>
        </w:rPr>
        <w:t>熟练掌握：蔬菜播种量的确定方法、蔬菜种子播前处理的技术和方法。</w:t>
      </w:r>
      <w:r>
        <w:rPr>
          <w:rFonts w:hint="eastAsia"/>
          <w:kern w:val="0"/>
        </w:rPr>
        <w:t>冬季早春果菜类培育壮苗的技术原理和措施。瓜类嫁接育苗技术。育苗基质的配比方法，基质含量的水控制、装盘、压穴、播种，覆盖的基本操作。</w:t>
      </w:r>
    </w:p>
    <w:p>
      <w:pPr>
        <w:spacing w:line="360" w:lineRule="auto"/>
        <w:rPr>
          <w:rFonts w:ascii="宋体" w:hAnsi="宋体"/>
          <w:b/>
          <w:bCs/>
        </w:rPr>
      </w:pPr>
      <w:r>
        <w:rPr>
          <w:rFonts w:hint="eastAsia" w:ascii="宋体" w:hAnsi="宋体"/>
          <w:b/>
          <w:bCs/>
        </w:rPr>
        <w:t>教学组织与实施：</w:t>
      </w:r>
    </w:p>
    <w:p>
      <w:pPr>
        <w:spacing w:line="360" w:lineRule="auto"/>
        <w:ind w:firstLine="420" w:firstLineChars="200"/>
        <w:rPr>
          <w:rFonts w:ascii="宋体" w:hAnsi="宋体" w:cs="宋体"/>
          <w:color w:val="353535"/>
          <w:kern w:val="0"/>
          <w:szCs w:val="21"/>
        </w:rPr>
      </w:pPr>
      <w:r>
        <w:rPr>
          <w:rFonts w:hint="eastAsia" w:ascii="宋体" w:hAnsi="宋体" w:cs="宋体"/>
          <w:color w:val="353535"/>
          <w:kern w:val="0"/>
          <w:szCs w:val="21"/>
        </w:rPr>
        <w:t>以“种子的发芽率都是小于100%”的讨论激发学生的学习兴趣，以教师自己录制的“是真的吗？番茄薯”小视频引发学生对嫁接栽培的好奇。带着疑问和探索线上自主学习蔬菜种子质量鉴定方法、播前种子处理、蔬菜播种技术、蔬菜育苗意义、设施育苗、嫁接育苗、蔬菜苗期管理。线下教师课堂讲解在播种和育苗过程中容易出现的问题。通过“蔬菜种子观察”、“种子播前处理”、“穴盘育苗”、“嫁接育苗”等试验把知识应用于实践。培养学生主动学习和实践能力，使学生掌握播前处理、播种和育苗的技能。感兴趣的学生可以和教师的科研结合，进行进一步的试验研究。培养学生发现问题</w:t>
      </w:r>
      <w:r>
        <w:rPr>
          <w:rFonts w:ascii="宋体" w:hAnsi="宋体" w:cs="宋体"/>
          <w:color w:val="353535"/>
          <w:kern w:val="0"/>
          <w:szCs w:val="21"/>
        </w:rPr>
        <w:t>-研究问题-解决问题的能力。</w:t>
      </w:r>
    </w:p>
    <w:p>
      <w:pPr>
        <w:widowControl/>
        <w:numPr>
          <w:ilvl w:val="0"/>
          <w:numId w:val="17"/>
        </w:numPr>
        <w:adjustRightInd w:val="0"/>
        <w:snapToGrid w:val="0"/>
        <w:spacing w:line="360" w:lineRule="auto"/>
        <w:rPr>
          <w:rFonts w:hAnsi="宋体"/>
          <w:b/>
          <w:bCs/>
          <w:kern w:val="0"/>
          <w:szCs w:val="21"/>
        </w:rPr>
      </w:pPr>
      <w:r>
        <w:rPr>
          <w:rFonts w:hint="eastAsia"/>
          <w:b/>
          <w:kern w:val="0"/>
        </w:rPr>
        <w:t xml:space="preserve"> 蔬菜种植园的建设</w:t>
      </w:r>
      <w:r>
        <w:rPr>
          <w:rFonts w:hint="eastAsia" w:cs="宋体"/>
          <w:b/>
          <w:bCs/>
          <w:kern w:val="0"/>
          <w:szCs w:val="21"/>
        </w:rPr>
        <w:t>及</w:t>
      </w:r>
      <w:r>
        <w:rPr>
          <w:rFonts w:hint="eastAsia" w:ascii="宋体" w:hAnsi="宋体"/>
          <w:b/>
          <w:bCs/>
          <w:szCs w:val="21"/>
        </w:rPr>
        <w:t>种植园田间农事操作</w:t>
      </w:r>
      <w:r>
        <w:rPr>
          <w:rFonts w:ascii="宋体" w:hAnsi="宋体"/>
          <w:b/>
          <w:bCs/>
          <w:szCs w:val="21"/>
        </w:rPr>
        <w:t xml:space="preserve"> </w:t>
      </w:r>
      <w:r>
        <w:rPr>
          <w:rFonts w:cs="宋体"/>
          <w:b/>
          <w:bCs/>
          <w:kern w:val="0"/>
          <w:szCs w:val="21"/>
        </w:rPr>
        <w:t xml:space="preserve">   </w:t>
      </w:r>
      <w:r>
        <w:rPr>
          <w:rFonts w:hint="eastAsia" w:cs="宋体"/>
          <w:b/>
          <w:bCs/>
          <w:kern w:val="0"/>
          <w:szCs w:val="21"/>
        </w:rPr>
        <w:t>2</w:t>
      </w:r>
      <w:r>
        <w:rPr>
          <w:rFonts w:hint="eastAsia" w:hAnsi="宋体"/>
          <w:b/>
          <w:bCs/>
          <w:kern w:val="0"/>
          <w:szCs w:val="21"/>
        </w:rPr>
        <w:t>学时</w:t>
      </w:r>
    </w:p>
    <w:p>
      <w:pPr>
        <w:widowControl/>
        <w:adjustRightInd w:val="0"/>
        <w:snapToGrid w:val="0"/>
        <w:spacing w:line="360" w:lineRule="auto"/>
        <w:jc w:val="left"/>
        <w:rPr>
          <w:rFonts w:ascii="宋体" w:hAnsi="宋体"/>
          <w:b/>
          <w:bCs/>
          <w:szCs w:val="21"/>
        </w:rPr>
      </w:pPr>
      <w:r>
        <w:rPr>
          <w:rFonts w:hint="eastAsia" w:ascii="宋体" w:hAnsi="宋体"/>
          <w:b/>
          <w:bCs/>
          <w:szCs w:val="21"/>
        </w:rPr>
        <w:t>教学目标</w:t>
      </w:r>
      <w:r>
        <w:rPr>
          <w:rFonts w:hint="eastAsia" w:ascii="宋体" w:hAnsi="宋体" w:cs="宋体"/>
          <w:b/>
          <w:bCs/>
          <w:color w:val="353535"/>
          <w:kern w:val="0"/>
          <w:szCs w:val="21"/>
        </w:rPr>
        <w:t>：</w:t>
      </w:r>
      <w:r>
        <w:rPr>
          <w:rFonts w:hint="eastAsia" w:ascii="宋体" w:hAnsi="宋体" w:cs="宋体"/>
          <w:color w:val="353535"/>
          <w:kern w:val="0"/>
          <w:szCs w:val="21"/>
        </w:rPr>
        <w:t>了解蔬菜种植园的建园要求。了解蔬菜田土壤耕作方法，掌握作畦、做垄的技术。了解蔬菜生产的田间农事操作，了解中耕、除草与培土的操作技术。</w:t>
      </w:r>
    </w:p>
    <w:p>
      <w:pPr>
        <w:widowControl/>
        <w:adjustRightInd w:val="0"/>
        <w:snapToGrid w:val="0"/>
        <w:spacing w:line="360" w:lineRule="auto"/>
        <w:jc w:val="left"/>
        <w:rPr>
          <w:rFonts w:ascii="宋体" w:hAnsi="宋体"/>
          <w:b/>
          <w:bCs/>
          <w:szCs w:val="21"/>
        </w:rPr>
      </w:pPr>
      <w:r>
        <w:rPr>
          <w:rFonts w:hint="eastAsia" w:ascii="宋体" w:hAnsi="宋体"/>
          <w:b/>
          <w:bCs/>
          <w:szCs w:val="21"/>
        </w:rPr>
        <w:t>教学重点和难点：</w:t>
      </w:r>
      <w:r>
        <w:rPr>
          <w:rFonts w:hint="eastAsia" w:ascii="宋体" w:hAnsi="宋体" w:cs="宋体"/>
          <w:color w:val="353535"/>
          <w:kern w:val="0"/>
          <w:szCs w:val="21"/>
        </w:rPr>
        <w:t>本节重点内容为蔬菜种植园的选择原则，</w:t>
      </w:r>
      <w:r>
        <w:rPr>
          <w:rFonts w:hint="eastAsia" w:ascii="宋体" w:hAnsi="宋体"/>
          <w:bCs/>
          <w:szCs w:val="21"/>
        </w:rPr>
        <w:t>蔬菜种类和种植季节对土壤耕作和作</w:t>
      </w:r>
      <w:r>
        <w:rPr>
          <w:rFonts w:hint="eastAsia" w:ascii="宋体" w:hAnsi="宋体" w:cs="宋体"/>
          <w:color w:val="353535"/>
          <w:kern w:val="0"/>
          <w:szCs w:val="21"/>
        </w:rPr>
        <w:t>畦的要求，</w:t>
      </w:r>
      <w:r>
        <w:rPr>
          <w:rFonts w:hint="eastAsia" w:ascii="宋体" w:hAnsi="宋体"/>
          <w:bCs/>
          <w:szCs w:val="21"/>
        </w:rPr>
        <w:t>定植时期、定植方法和定植密度的综合选择。难点为</w:t>
      </w:r>
      <w:r>
        <w:rPr>
          <w:rFonts w:hint="eastAsia" w:ascii="宋体" w:hAnsi="宋体" w:cs="宋体"/>
          <w:color w:val="353535"/>
          <w:kern w:val="0"/>
          <w:szCs w:val="21"/>
        </w:rPr>
        <w:t>菜田草害综合防治技术。</w:t>
      </w:r>
    </w:p>
    <w:p>
      <w:pPr>
        <w:widowControl/>
        <w:spacing w:line="360" w:lineRule="auto"/>
        <w:jc w:val="left"/>
        <w:rPr>
          <w:rFonts w:ascii="宋体" w:hAnsi="宋体" w:cs="宋体"/>
          <w:color w:val="353535"/>
          <w:kern w:val="0"/>
          <w:szCs w:val="21"/>
        </w:rPr>
      </w:pPr>
      <w:r>
        <w:rPr>
          <w:rFonts w:hint="eastAsia" w:ascii="宋体" w:hAnsi="宋体"/>
          <w:b/>
          <w:bCs/>
          <w:szCs w:val="21"/>
        </w:rPr>
        <w:t>主要教学内容及要求：</w:t>
      </w:r>
    </w:p>
    <w:p>
      <w:pPr>
        <w:spacing w:line="360" w:lineRule="auto"/>
        <w:ind w:firstLine="420" w:firstLineChars="200"/>
        <w:rPr>
          <w:kern w:val="0"/>
        </w:rPr>
      </w:pPr>
      <w:r>
        <w:rPr>
          <w:rFonts w:hint="eastAsia"/>
          <w:kern w:val="0"/>
        </w:rPr>
        <w:t>了解：蔬菜种植园建设调查内容、选择的原则、商品蔬菜种植园的特点。种植园包括的要素、种植园功能分区、防护林规划、排灌系统、供电系统、生产及生活设施的要求。蔬菜种植园土壤耕作的基本任务，包括耕翻、耙地、耢地、镇压、起垄、作畦、中耕。土壤耕作的意义。</w:t>
      </w:r>
      <w:r>
        <w:rPr>
          <w:rFonts w:hint="eastAsia"/>
          <w:kern w:val="0"/>
          <w:szCs w:val="21"/>
        </w:rPr>
        <w:t>定植时期确定的依据。中耕、培土的时期和作用。菜田主要杂草类型，主要除草剂种类的特性，不同类型除草剂的使用方法。</w:t>
      </w:r>
    </w:p>
    <w:p>
      <w:pPr>
        <w:widowControl/>
        <w:spacing w:line="360" w:lineRule="auto"/>
        <w:ind w:firstLine="420" w:firstLineChars="200"/>
        <w:jc w:val="left"/>
        <w:rPr>
          <w:kern w:val="0"/>
        </w:rPr>
      </w:pPr>
      <w:r>
        <w:rPr>
          <w:rFonts w:hint="eastAsia"/>
          <w:kern w:val="0"/>
        </w:rPr>
        <w:t>理解：清耕法、免耕法和生草法的优缺点及适用对象。</w:t>
      </w:r>
      <w:r>
        <w:rPr>
          <w:rFonts w:hint="eastAsia"/>
          <w:kern w:val="0"/>
          <w:szCs w:val="21"/>
        </w:rPr>
        <w:t>底肥的使用方法和使用量。</w:t>
      </w:r>
      <w:r>
        <w:rPr>
          <w:rFonts w:hint="eastAsia"/>
          <w:kern w:val="0"/>
        </w:rPr>
        <w:t>土壤改良的意义。</w:t>
      </w:r>
      <w:r>
        <w:rPr>
          <w:rFonts w:hint="eastAsia"/>
          <w:kern w:val="0"/>
          <w:szCs w:val="21"/>
        </w:rPr>
        <w:t>根据蔬菜的种类、气温的高低、土壤质地及设施种类，结合栽培茬口确定蔬菜定植密度和深度的原则。</w:t>
      </w:r>
    </w:p>
    <w:p>
      <w:pPr>
        <w:widowControl/>
        <w:spacing w:line="360" w:lineRule="auto"/>
        <w:ind w:firstLine="420" w:firstLineChars="200"/>
        <w:jc w:val="left"/>
        <w:rPr>
          <w:kern w:val="0"/>
        </w:rPr>
      </w:pPr>
      <w:r>
        <w:rPr>
          <w:rFonts w:hint="eastAsia"/>
          <w:kern w:val="0"/>
        </w:rPr>
        <w:t>掌握：菜田耕作时间与方法。</w:t>
      </w:r>
      <w:r>
        <w:rPr>
          <w:rFonts w:hint="eastAsia"/>
          <w:kern w:val="0"/>
          <w:szCs w:val="21"/>
        </w:rPr>
        <w:t>做畦、做垄的方法。掌握中耕、培土的方法。蔬菜生长期田间化学除草的技术。</w:t>
      </w:r>
    </w:p>
    <w:p>
      <w:pPr>
        <w:widowControl/>
        <w:adjustRightInd w:val="0"/>
        <w:snapToGrid w:val="0"/>
        <w:spacing w:line="360" w:lineRule="auto"/>
        <w:jc w:val="left"/>
        <w:rPr>
          <w:kern w:val="0"/>
          <w:szCs w:val="21"/>
        </w:rPr>
      </w:pPr>
      <w:r>
        <w:rPr>
          <w:rFonts w:hint="eastAsia"/>
          <w:kern w:val="0"/>
          <w:szCs w:val="21"/>
        </w:rPr>
        <w:t xml:space="preserve">  </w:t>
      </w:r>
      <w:r>
        <w:rPr>
          <w:kern w:val="0"/>
          <w:szCs w:val="21"/>
        </w:rPr>
        <w:t xml:space="preserve"> </w:t>
      </w:r>
      <w:r>
        <w:rPr>
          <w:rFonts w:hint="eastAsia"/>
          <w:kern w:val="0"/>
          <w:szCs w:val="21"/>
        </w:rPr>
        <w:t xml:space="preserve"> </w:t>
      </w:r>
      <w:r>
        <w:rPr>
          <w:rFonts w:hint="eastAsia"/>
          <w:kern w:val="0"/>
        </w:rPr>
        <w:t>熟练掌握：地面覆盖方法</w:t>
      </w:r>
      <w:r>
        <w:rPr>
          <w:rFonts w:hint="eastAsia"/>
          <w:kern w:val="0"/>
          <w:szCs w:val="21"/>
        </w:rPr>
        <w:t>明水定植、暗水定植、先覆地膜后定植、先定植后覆盖地膜的定植方法。双子叶及百合科蔬菜播后芽前封闭除草技术。</w:t>
      </w:r>
    </w:p>
    <w:p>
      <w:pPr>
        <w:widowControl/>
        <w:spacing w:line="360" w:lineRule="auto"/>
        <w:rPr>
          <w:rFonts w:ascii="宋体" w:hAnsi="宋体"/>
          <w:b/>
          <w:bCs/>
        </w:rPr>
      </w:pPr>
      <w:r>
        <w:rPr>
          <w:rFonts w:hint="eastAsia" w:ascii="宋体" w:hAnsi="宋体"/>
          <w:b/>
          <w:bCs/>
        </w:rPr>
        <w:t>教学组织与实施：</w:t>
      </w:r>
    </w:p>
    <w:p>
      <w:pPr>
        <w:widowControl/>
        <w:spacing w:line="360" w:lineRule="auto"/>
        <w:ind w:firstLine="420" w:firstLineChars="200"/>
        <w:rPr>
          <w:rFonts w:ascii="Calibri" w:hAnsi="Calibri"/>
          <w:kern w:val="0"/>
          <w:szCs w:val="21"/>
        </w:rPr>
      </w:pPr>
      <w:r>
        <w:rPr>
          <w:rFonts w:hint="eastAsia"/>
          <w:kern w:val="0"/>
        </w:rPr>
        <w:t>线上或者线下通过小组讨论的方式学习种植园建设调查内容、选择的原则、商品蔬菜种植园的特点。线上通过视频学习蔬菜种植园土壤耕作的基本任务、</w:t>
      </w:r>
      <w:r>
        <w:rPr>
          <w:rFonts w:hint="eastAsia"/>
          <w:kern w:val="0"/>
          <w:szCs w:val="21"/>
        </w:rPr>
        <w:t>定植时期确定的依据、菜田主要杂草类型，主要除草剂种类的特性，不同类型除草剂的使用方法。</w:t>
      </w:r>
      <w:r>
        <w:rPr>
          <w:rFonts w:hint="eastAsia" w:ascii="宋体" w:hAnsi="宋体"/>
          <w:bCs/>
        </w:rPr>
        <w:t>课后及时发布作业检验学习效果，并及时反馈。</w:t>
      </w:r>
      <w:r>
        <w:rPr>
          <w:rFonts w:hint="eastAsia"/>
          <w:kern w:val="0"/>
          <w:szCs w:val="21"/>
        </w:rPr>
        <w:t>线上通过各种机械化操作视频使学生对前沿问题有所了解。教师在实验基地讲解各种田间农事操作，并通过提问和实验操作来掌握学生的学习情况。</w:t>
      </w:r>
      <w:r>
        <w:rPr>
          <w:rFonts w:hint="eastAsia" w:ascii="Calibri" w:hAnsi="Calibri"/>
          <w:kern w:val="0"/>
          <w:szCs w:val="21"/>
        </w:rPr>
        <w:t>培养学生主动学习和实践能力，使学生能根据土壤质地、蔬菜种类、栽培茬次等选择合适的田间操作并掌握田间操作的技能。通过实验培养学生热爱劳动的情感，真切感受“粒粒皆辛苦”。</w:t>
      </w:r>
    </w:p>
    <w:p>
      <w:pPr>
        <w:widowControl/>
        <w:spacing w:line="360" w:lineRule="auto"/>
        <w:jc w:val="left"/>
        <w:rPr>
          <w:rFonts w:ascii="宋体" w:hAnsi="宋体"/>
          <w:b/>
          <w:bCs/>
          <w:szCs w:val="21"/>
        </w:rPr>
      </w:pPr>
      <w:r>
        <w:rPr>
          <w:rFonts w:hint="eastAsia" w:ascii="宋体" w:hAnsi="宋体"/>
          <w:b/>
          <w:bCs/>
          <w:szCs w:val="21"/>
        </w:rPr>
        <w:t xml:space="preserve">第三节  蔬菜施肥及灌溉技术  </w:t>
      </w:r>
      <w:r>
        <w:rPr>
          <w:rFonts w:ascii="宋体" w:hAnsi="宋体"/>
          <w:b/>
          <w:bCs/>
          <w:szCs w:val="21"/>
        </w:rPr>
        <w:t xml:space="preserve">  </w:t>
      </w:r>
      <w:r>
        <w:rPr>
          <w:rFonts w:hint="eastAsia" w:ascii="宋体" w:hAnsi="宋体"/>
          <w:b/>
          <w:bCs/>
          <w:szCs w:val="21"/>
        </w:rPr>
        <w:t>2学时</w:t>
      </w:r>
    </w:p>
    <w:p>
      <w:pPr>
        <w:widowControl/>
        <w:adjustRightInd w:val="0"/>
        <w:snapToGrid w:val="0"/>
        <w:spacing w:line="360" w:lineRule="auto"/>
        <w:jc w:val="left"/>
        <w:rPr>
          <w:rFonts w:ascii="宋体" w:hAnsi="宋体"/>
          <w:b/>
          <w:bCs/>
          <w:szCs w:val="21"/>
        </w:rPr>
      </w:pPr>
      <w:r>
        <w:rPr>
          <w:rFonts w:hint="eastAsia" w:ascii="宋体" w:hAnsi="宋体"/>
          <w:b/>
          <w:bCs/>
          <w:szCs w:val="21"/>
        </w:rPr>
        <w:t>教学目标：</w:t>
      </w:r>
      <w:r>
        <w:rPr>
          <w:rFonts w:hint="eastAsia" w:ascii="宋体" w:hAnsi="宋体" w:cs="宋体"/>
          <w:color w:val="353535"/>
          <w:kern w:val="0"/>
          <w:szCs w:val="21"/>
        </w:rPr>
        <w:t>了解菜田灌溉与排水、菜田施肥的操作技术，了解水肥一体化技术。</w:t>
      </w:r>
    </w:p>
    <w:p>
      <w:pPr>
        <w:widowControl/>
        <w:adjustRightInd w:val="0"/>
        <w:snapToGrid w:val="0"/>
        <w:spacing w:line="360" w:lineRule="auto"/>
        <w:jc w:val="left"/>
        <w:rPr>
          <w:rFonts w:ascii="宋体" w:hAnsi="宋体"/>
          <w:b/>
          <w:bCs/>
          <w:szCs w:val="21"/>
        </w:rPr>
      </w:pPr>
      <w:r>
        <w:rPr>
          <w:rFonts w:hint="eastAsia" w:ascii="宋体" w:hAnsi="宋体"/>
          <w:b/>
          <w:bCs/>
          <w:szCs w:val="21"/>
        </w:rPr>
        <w:t>教学重点和难点：</w:t>
      </w:r>
      <w:r>
        <w:rPr>
          <w:rFonts w:hint="eastAsia" w:ascii="宋体" w:hAnsi="宋体"/>
          <w:bCs/>
          <w:szCs w:val="21"/>
        </w:rPr>
        <w:t>难点为</w:t>
      </w:r>
      <w:r>
        <w:rPr>
          <w:rFonts w:hint="eastAsia" w:ascii="宋体" w:hAnsi="宋体" w:cs="宋体"/>
          <w:color w:val="353535"/>
          <w:kern w:val="0"/>
          <w:szCs w:val="21"/>
        </w:rPr>
        <w:t>菜田灌水时期和灌水量的确定。</w:t>
      </w:r>
    </w:p>
    <w:p>
      <w:pPr>
        <w:widowControl/>
        <w:spacing w:line="360" w:lineRule="auto"/>
        <w:jc w:val="left"/>
        <w:rPr>
          <w:rFonts w:ascii="宋体" w:hAnsi="宋体" w:cs="宋体"/>
          <w:color w:val="353535"/>
          <w:kern w:val="0"/>
          <w:szCs w:val="21"/>
        </w:rPr>
      </w:pPr>
      <w:r>
        <w:rPr>
          <w:rFonts w:hint="eastAsia" w:ascii="宋体" w:hAnsi="宋体"/>
          <w:b/>
          <w:bCs/>
          <w:szCs w:val="21"/>
        </w:rPr>
        <w:t>主要教学内容及要求：</w:t>
      </w:r>
    </w:p>
    <w:p>
      <w:pPr>
        <w:widowControl/>
        <w:spacing w:line="360" w:lineRule="auto"/>
        <w:ind w:firstLine="432"/>
        <w:jc w:val="left"/>
        <w:rPr>
          <w:rFonts w:ascii="宋体" w:hAnsi="宋体" w:cs="宋体"/>
          <w:color w:val="353535"/>
          <w:kern w:val="0"/>
          <w:szCs w:val="21"/>
        </w:rPr>
      </w:pPr>
      <w:r>
        <w:rPr>
          <w:rFonts w:hint="eastAsia" w:ascii="宋体" w:hAnsi="宋体" w:cs="宋体"/>
          <w:color w:val="353535"/>
          <w:kern w:val="0"/>
          <w:szCs w:val="21"/>
        </w:rPr>
        <w:t>了解：不同蔬菜的营养特点，现代灌溉技术确定灌水量的依据。追肥的不同方法。节水灌溉的设施类型及应用方法。</w:t>
      </w:r>
    </w:p>
    <w:p>
      <w:pPr>
        <w:widowControl/>
        <w:spacing w:line="360" w:lineRule="auto"/>
        <w:ind w:firstLine="432"/>
        <w:jc w:val="left"/>
        <w:rPr>
          <w:rFonts w:ascii="宋体" w:hAnsi="宋体" w:cs="宋体"/>
          <w:color w:val="353535"/>
          <w:kern w:val="0"/>
          <w:szCs w:val="21"/>
        </w:rPr>
      </w:pPr>
      <w:r>
        <w:rPr>
          <w:rFonts w:hint="eastAsia" w:ascii="宋体" w:hAnsi="宋体" w:cs="宋体"/>
          <w:color w:val="353535"/>
          <w:kern w:val="0"/>
          <w:szCs w:val="21"/>
        </w:rPr>
        <w:t>掌握：不同蔬菜、不同土壤质地类型施肥时期，施肥种类确定的依据。</w:t>
      </w:r>
    </w:p>
    <w:p>
      <w:pPr>
        <w:widowControl/>
        <w:spacing w:line="360" w:lineRule="auto"/>
        <w:rPr>
          <w:rFonts w:ascii="宋体" w:hAnsi="宋体"/>
          <w:b/>
          <w:bCs/>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cs="宋体"/>
          <w:color w:val="353535"/>
          <w:kern w:val="0"/>
          <w:szCs w:val="21"/>
        </w:rPr>
        <w:t>线上学生通过视频菜田灌溉与排水、菜田肥料的类型及施肥的操作技术，了解水肥一体化技术。线下学生课堂讲解施肥的原则，并根据教师提供的情景分析水肥需求和具体实施。</w:t>
      </w:r>
      <w:r>
        <w:rPr>
          <w:rFonts w:hint="eastAsia" w:ascii="宋体" w:hAnsi="宋体"/>
          <w:bCs/>
        </w:rPr>
        <w:t>课后及时发布作业检验学习效果，并及时反馈。</w:t>
      </w:r>
    </w:p>
    <w:p>
      <w:pPr>
        <w:widowControl/>
        <w:spacing w:line="360" w:lineRule="auto"/>
        <w:ind w:firstLine="420" w:firstLineChars="200"/>
        <w:jc w:val="left"/>
        <w:rPr>
          <w:rFonts w:ascii="宋体" w:hAnsi="宋体"/>
          <w:bCs/>
        </w:rPr>
      </w:pPr>
      <w:r>
        <w:rPr>
          <w:rFonts w:hint="eastAsia" w:ascii="宋体" w:hAnsi="宋体" w:cs="宋体"/>
          <w:color w:val="353535"/>
          <w:kern w:val="0"/>
          <w:szCs w:val="21"/>
        </w:rPr>
        <w:t>实验进行水肥一体化设备调试安装并对实验基地栽培的蔬菜进行管理。培养学生主动学习和实践能力，使学生掌握水肥管理的技能。通过大水大肥造成问题的照片展示，培养学生“减肥增效”“生态文明”的意识。</w:t>
      </w:r>
    </w:p>
    <w:p>
      <w:pPr>
        <w:widowControl/>
        <w:spacing w:line="360" w:lineRule="auto"/>
        <w:jc w:val="left"/>
        <w:rPr>
          <w:rFonts w:ascii="宋体" w:hAnsi="宋体" w:cs="宋体"/>
          <w:b/>
          <w:bCs/>
          <w:color w:val="353535"/>
          <w:kern w:val="0"/>
          <w:szCs w:val="21"/>
        </w:rPr>
      </w:pPr>
      <w:r>
        <w:rPr>
          <w:rFonts w:hint="eastAsia" w:ascii="宋体" w:hAnsi="宋体"/>
          <w:b/>
          <w:bCs/>
          <w:szCs w:val="21"/>
        </w:rPr>
        <w:t xml:space="preserve">第四节  植株调整与生长调节剂的应用 </w:t>
      </w:r>
      <w:r>
        <w:rPr>
          <w:rFonts w:ascii="宋体" w:hAnsi="宋体"/>
          <w:b/>
          <w:bCs/>
          <w:szCs w:val="21"/>
        </w:rPr>
        <w:t xml:space="preserve">   </w:t>
      </w:r>
      <w:r>
        <w:rPr>
          <w:rFonts w:hint="eastAsia" w:ascii="宋体" w:hAnsi="宋体" w:cs="宋体"/>
          <w:b/>
          <w:bCs/>
          <w:color w:val="353535"/>
          <w:kern w:val="0"/>
          <w:szCs w:val="21"/>
        </w:rPr>
        <w:t>2</w:t>
      </w:r>
      <w:r>
        <w:rPr>
          <w:rFonts w:hint="eastAsia" w:hAnsi="宋体"/>
          <w:b/>
          <w:bCs/>
          <w:kern w:val="0"/>
          <w:szCs w:val="21"/>
        </w:rPr>
        <w:t>学时</w:t>
      </w:r>
      <w:r>
        <w:rPr>
          <w:rFonts w:cs="宋体"/>
          <w:b/>
          <w:bCs/>
          <w:kern w:val="0"/>
          <w:szCs w:val="21"/>
        </w:rPr>
        <w:t xml:space="preserve"> </w:t>
      </w:r>
    </w:p>
    <w:p>
      <w:pPr>
        <w:widowControl/>
        <w:adjustRightInd w:val="0"/>
        <w:snapToGrid w:val="0"/>
        <w:spacing w:line="360" w:lineRule="auto"/>
        <w:jc w:val="left"/>
        <w:rPr>
          <w:rFonts w:ascii="宋体" w:hAnsi="宋体"/>
          <w:b/>
          <w:bCs/>
          <w:szCs w:val="21"/>
        </w:rPr>
      </w:pPr>
      <w:r>
        <w:rPr>
          <w:rFonts w:hint="eastAsia" w:ascii="宋体" w:hAnsi="宋体"/>
          <w:b/>
          <w:bCs/>
          <w:szCs w:val="21"/>
        </w:rPr>
        <w:t>教学目标：</w:t>
      </w:r>
      <w:r>
        <w:rPr>
          <w:rFonts w:hint="eastAsia" w:ascii="宋体" w:hAnsi="宋体" w:cs="宋体"/>
          <w:color w:val="353535"/>
          <w:kern w:val="0"/>
          <w:szCs w:val="21"/>
        </w:rPr>
        <w:t>掌握植株调整及生长调节剂的应用技术。</w:t>
      </w:r>
    </w:p>
    <w:p>
      <w:pPr>
        <w:widowControl/>
        <w:adjustRightInd w:val="0"/>
        <w:snapToGrid w:val="0"/>
        <w:spacing w:line="360" w:lineRule="auto"/>
        <w:jc w:val="left"/>
        <w:rPr>
          <w:rFonts w:ascii="宋体" w:hAnsi="宋体"/>
          <w:b/>
          <w:bCs/>
          <w:szCs w:val="21"/>
        </w:rPr>
      </w:pPr>
      <w:r>
        <w:rPr>
          <w:rFonts w:hint="eastAsia" w:ascii="宋体" w:hAnsi="宋体"/>
          <w:b/>
          <w:bCs/>
          <w:szCs w:val="21"/>
        </w:rPr>
        <w:t>教学重点和难点：</w:t>
      </w:r>
      <w:r>
        <w:rPr>
          <w:rFonts w:hint="eastAsia" w:ascii="宋体" w:hAnsi="宋体"/>
          <w:bCs/>
          <w:szCs w:val="21"/>
        </w:rPr>
        <w:t>本节的重点为根据作物的种类、种植时期和栽培目的灵活选择植株调整的方式。</w:t>
      </w:r>
    </w:p>
    <w:p>
      <w:pPr>
        <w:widowControl/>
        <w:spacing w:line="360" w:lineRule="auto"/>
        <w:jc w:val="left"/>
        <w:rPr>
          <w:rFonts w:ascii="宋体" w:hAnsi="宋体" w:cs="宋体"/>
          <w:color w:val="353535"/>
          <w:kern w:val="0"/>
          <w:szCs w:val="21"/>
        </w:rPr>
      </w:pPr>
      <w:r>
        <w:rPr>
          <w:rFonts w:hint="eastAsia" w:ascii="宋体" w:hAnsi="宋体"/>
          <w:b/>
          <w:bCs/>
          <w:szCs w:val="21"/>
        </w:rPr>
        <w:t>主要教学内容及要求：</w:t>
      </w:r>
    </w:p>
    <w:p>
      <w:pPr>
        <w:widowControl/>
        <w:spacing w:line="360" w:lineRule="auto"/>
        <w:ind w:firstLine="432"/>
        <w:jc w:val="left"/>
        <w:rPr>
          <w:rFonts w:ascii="宋体" w:hAnsi="宋体" w:cs="宋体"/>
          <w:color w:val="353535"/>
          <w:kern w:val="0"/>
          <w:szCs w:val="21"/>
        </w:rPr>
      </w:pPr>
      <w:r>
        <w:rPr>
          <w:rFonts w:hint="eastAsia" w:ascii="宋体" w:hAnsi="宋体" w:cs="宋体"/>
          <w:color w:val="353535"/>
          <w:kern w:val="0"/>
          <w:szCs w:val="21"/>
        </w:rPr>
        <w:t>了解：蔬菜植株调整的概念、意义及方法。熟练掌握茄果类、瓜类整枝、打叉、摘心、摘老叶、压蔓等技术。</w:t>
      </w:r>
    </w:p>
    <w:p>
      <w:pPr>
        <w:widowControl/>
        <w:spacing w:line="360" w:lineRule="auto"/>
        <w:ind w:firstLine="432"/>
        <w:jc w:val="left"/>
        <w:rPr>
          <w:rFonts w:ascii="宋体" w:hAnsi="宋体" w:cs="宋体"/>
          <w:color w:val="353535"/>
          <w:kern w:val="0"/>
          <w:szCs w:val="21"/>
        </w:rPr>
      </w:pPr>
      <w:r>
        <w:rPr>
          <w:rFonts w:hint="eastAsia" w:ascii="宋体" w:hAnsi="宋体" w:cs="宋体"/>
          <w:color w:val="353535"/>
          <w:kern w:val="0"/>
          <w:szCs w:val="21"/>
        </w:rPr>
        <w:t>了解：生长调节剂在蔬菜上用于调控性别分化、保花保果、调控营养生长、促进产品器官形成、提高抗逆性等的作用与效果，掌握利用生长调节剂调控瓜类植物性别分化的技术，熟练掌握利用生长调节剂保花保果技术。</w:t>
      </w:r>
    </w:p>
    <w:p>
      <w:pPr>
        <w:widowControl/>
        <w:spacing w:line="360" w:lineRule="auto"/>
        <w:rPr>
          <w:rFonts w:ascii="宋体" w:hAnsi="宋体"/>
          <w:b/>
          <w:bCs/>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cs="宋体"/>
          <w:color w:val="353535"/>
          <w:kern w:val="0"/>
          <w:szCs w:val="21"/>
        </w:rPr>
        <w:t>线上学习蔬菜植株调整的概念、意义、方法以及生长调节剂类型和在蔬菜生产上的作用。讨论网上的热点问题加深对生长调节剂的认识。课后及时发布作业检验学习效果，并及时反馈</w:t>
      </w:r>
      <w:r>
        <w:rPr>
          <w:rFonts w:hint="eastAsia" w:ascii="宋体" w:hAnsi="宋体"/>
          <w:bCs/>
        </w:rPr>
        <w:t>。</w:t>
      </w:r>
      <w:r>
        <w:rPr>
          <w:rFonts w:hint="eastAsia" w:ascii="宋体" w:hAnsi="宋体" w:cs="宋体"/>
          <w:color w:val="353535"/>
          <w:kern w:val="0"/>
          <w:szCs w:val="21"/>
        </w:rPr>
        <w:t>通过实验掌握瓜类和茄果类的植株调整和保花保果技术。和教师的试验结合，加深对复合生长调节剂的认识和应用技术的研究。培养学生研究探讨的精神和实际应用的能力。</w:t>
      </w:r>
    </w:p>
    <w:p>
      <w:pPr>
        <w:widowControl/>
        <w:spacing w:line="360" w:lineRule="auto"/>
        <w:jc w:val="right"/>
        <w:rPr>
          <w:rFonts w:cs="宋体"/>
          <w:bCs/>
          <w:kern w:val="0"/>
          <w:szCs w:val="21"/>
        </w:rPr>
      </w:pPr>
      <w:r>
        <w:rPr>
          <w:rFonts w:hint="eastAsia" w:ascii="宋体" w:hAnsi="宋体" w:cs="宋体"/>
          <w:b/>
          <w:bCs/>
          <w:color w:val="353535"/>
          <w:kern w:val="0"/>
          <w:szCs w:val="21"/>
        </w:rPr>
        <w:t xml:space="preserve">                  第三章  </w:t>
      </w:r>
      <w:r>
        <w:rPr>
          <w:rFonts w:hint="eastAsia" w:ascii="宋体" w:hAnsi="宋体"/>
          <w:b/>
          <w:szCs w:val="21"/>
        </w:rPr>
        <w:t>蔬菜的栽培制度与周年生产</w:t>
      </w:r>
      <w:r>
        <w:rPr>
          <w:rFonts w:hint="eastAsia" w:ascii="宋体" w:hAnsi="宋体" w:cs="宋体"/>
          <w:b/>
          <w:bCs/>
          <w:color w:val="353535"/>
          <w:kern w:val="0"/>
          <w:szCs w:val="21"/>
        </w:rPr>
        <w:t xml:space="preserve">                   </w:t>
      </w:r>
      <w:r>
        <w:rPr>
          <w:rFonts w:hAnsi="宋体"/>
          <w:b/>
          <w:bCs/>
          <w:kern w:val="0"/>
          <w:szCs w:val="21"/>
        </w:rPr>
        <w:t>学时</w:t>
      </w:r>
      <w:r>
        <w:rPr>
          <w:rFonts w:hint="eastAsia" w:hAnsi="宋体"/>
          <w:b/>
          <w:bCs/>
          <w:kern w:val="0"/>
          <w:szCs w:val="21"/>
        </w:rPr>
        <w:t>数：</w:t>
      </w:r>
      <w:r>
        <w:rPr>
          <w:rFonts w:eastAsia="黑体"/>
          <w:bCs/>
          <w:kern w:val="0"/>
          <w:szCs w:val="21"/>
        </w:rPr>
        <w:t>1</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使学生了解蔬菜生产的季节性与人们需要的经常性是蔬菜生产及供销中的一大矛盾，着眼于计划生产、科学种田等途径，缩小淡旺季差距，实现蔬菜周年均衡供应。</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教学重点和难点：</w:t>
      </w:r>
      <w:r>
        <w:rPr>
          <w:rFonts w:hint="eastAsia" w:ascii="宋体" w:hAnsi="宋体" w:cs="宋体"/>
          <w:color w:val="353535"/>
          <w:kern w:val="0"/>
          <w:szCs w:val="21"/>
        </w:rPr>
        <w:t>本章重点内容为蔬菜的种植制度、蔬菜淡旺季形成原因及解决途径、蔬菜的茬口安排等。难点内容为蔬菜的种植制度、合理安排茬口等方面的内容。</w:t>
      </w:r>
    </w:p>
    <w:p>
      <w:pPr>
        <w:widowControl/>
        <w:spacing w:line="360" w:lineRule="auto"/>
        <w:rPr>
          <w:rFonts w:ascii="宋体" w:hAnsi="宋体" w:cs="宋体"/>
          <w:b/>
          <w:bCs/>
          <w:color w:val="353535"/>
          <w:kern w:val="0"/>
          <w:szCs w:val="21"/>
        </w:rPr>
      </w:pPr>
      <w:r>
        <w:rPr>
          <w:rFonts w:hint="eastAsia" w:ascii="宋体" w:hAnsi="宋体"/>
          <w:b/>
          <w:bCs/>
          <w:szCs w:val="21"/>
        </w:rPr>
        <w:t>主要教学内容及要求：</w:t>
      </w:r>
    </w:p>
    <w:p>
      <w:pPr>
        <w:spacing w:line="360" w:lineRule="auto"/>
        <w:ind w:firstLine="420" w:firstLineChars="200"/>
        <w:rPr>
          <w:kern w:val="0"/>
          <w:szCs w:val="21"/>
        </w:rPr>
      </w:pPr>
      <w:r>
        <w:rPr>
          <w:rFonts w:hint="eastAsia"/>
          <w:kern w:val="0"/>
          <w:szCs w:val="21"/>
        </w:rPr>
        <w:t>了解：蔬菜生产的季节性及供应的淡旺季，了解形成淡旺季的原因；栽培制度、轮作、间作、套作、连作、复种的概念；蔬菜与其他作物间套作、复种的技术和原理</w:t>
      </w:r>
    </w:p>
    <w:p>
      <w:pPr>
        <w:spacing w:line="360" w:lineRule="auto"/>
        <w:ind w:firstLine="420" w:firstLineChars="200"/>
        <w:rPr>
          <w:kern w:val="0"/>
          <w:szCs w:val="21"/>
        </w:rPr>
      </w:pPr>
      <w:r>
        <w:rPr>
          <w:rFonts w:hint="eastAsia"/>
          <w:kern w:val="0"/>
          <w:szCs w:val="21"/>
        </w:rPr>
        <w:t>掌握：实现蔬菜周年供应的基本途径。</w:t>
      </w:r>
    </w:p>
    <w:p>
      <w:pPr>
        <w:widowControl/>
        <w:spacing w:line="360" w:lineRule="auto"/>
        <w:rPr>
          <w:rFonts w:ascii="宋体" w:hAnsi="宋体" w:cs="宋体"/>
          <w:bCs/>
          <w:color w:val="353535"/>
          <w:kern w:val="0"/>
          <w:szCs w:val="21"/>
        </w:rPr>
      </w:pPr>
      <w:r>
        <w:rPr>
          <w:rFonts w:hint="eastAsia" w:ascii="宋体" w:hAnsi="宋体"/>
          <w:b/>
          <w:bCs/>
        </w:rPr>
        <w:t>教学组织与实施：</w:t>
      </w:r>
      <w:r>
        <w:rPr>
          <w:rFonts w:hint="eastAsia" w:ascii="宋体" w:hAnsi="宋体" w:cs="宋体"/>
          <w:bCs/>
          <w:color w:val="353535"/>
          <w:kern w:val="0"/>
          <w:szCs w:val="21"/>
        </w:rPr>
        <w:t xml:space="preserve"> </w:t>
      </w:r>
    </w:p>
    <w:p>
      <w:pPr>
        <w:widowControl/>
        <w:spacing w:line="360" w:lineRule="auto"/>
        <w:ind w:firstLine="420" w:firstLineChars="200"/>
        <w:rPr>
          <w:rFonts w:ascii="宋体" w:hAnsi="宋体" w:cs="宋体"/>
          <w:color w:val="353535"/>
          <w:kern w:val="0"/>
          <w:szCs w:val="21"/>
        </w:rPr>
      </w:pPr>
      <w:r>
        <w:rPr>
          <w:rFonts w:hint="eastAsia" w:ascii="宋体" w:hAnsi="宋体" w:cs="宋体"/>
          <w:color w:val="353535"/>
          <w:kern w:val="0"/>
          <w:szCs w:val="21"/>
        </w:rPr>
        <w:t>线上学习蔬菜的种植制度、蔬菜淡旺季形成原因及解决途径、蔬菜轮作、间作等基本知识。线下教师课堂讲解茬口安排的具体操作，是学生对种植计划设计有个初步概念。课后及时发布作业检验学习效果，并及时反馈。</w:t>
      </w:r>
    </w:p>
    <w:p>
      <w:pPr>
        <w:spacing w:line="360" w:lineRule="auto"/>
        <w:ind w:firstLine="420" w:firstLineChars="200"/>
        <w:rPr>
          <w:rFonts w:ascii="宋体" w:hAnsi="宋体" w:cs="宋体"/>
          <w:bCs/>
          <w:color w:val="353535"/>
          <w:kern w:val="0"/>
          <w:szCs w:val="21"/>
        </w:rPr>
      </w:pPr>
      <w:r>
        <w:rPr>
          <w:rFonts w:hint="eastAsia" w:ascii="宋体" w:hAnsi="宋体" w:cs="宋体"/>
          <w:color w:val="353535"/>
          <w:kern w:val="0"/>
          <w:szCs w:val="21"/>
        </w:rPr>
        <w:t>在各论中会针对具体蔬菜进行茬次和周年供应模式讲解，应用于单个蔬菜。通过实习中以小组进行“百亩蔬菜种植园种植计划”设计与展示，对知识进行综合的运用。逐步深入的培养学生将知识外化应用的能力。</w:t>
      </w:r>
    </w:p>
    <w:p>
      <w:pPr>
        <w:widowControl/>
        <w:spacing w:line="360" w:lineRule="auto"/>
        <w:jc w:val="right"/>
        <w:rPr>
          <w:rFonts w:ascii="宋体" w:hAnsi="宋体" w:cs="宋体"/>
          <w:b/>
          <w:bCs/>
          <w:color w:val="353535"/>
          <w:kern w:val="0"/>
          <w:szCs w:val="21"/>
        </w:rPr>
      </w:pPr>
      <w:r>
        <w:rPr>
          <w:rFonts w:hint="eastAsia" w:ascii="宋体" w:hAnsi="宋体" w:cs="宋体"/>
          <w:b/>
          <w:bCs/>
          <w:color w:val="353535"/>
          <w:kern w:val="0"/>
          <w:szCs w:val="21"/>
        </w:rPr>
        <w:t xml:space="preserve">                         第四章  茄果类                           学时数：</w:t>
      </w:r>
      <w:r>
        <w:rPr>
          <w:rFonts w:hint="eastAsia"/>
          <w:b/>
          <w:bCs/>
          <w:color w:val="353535"/>
          <w:kern w:val="0"/>
          <w:szCs w:val="21"/>
        </w:rPr>
        <w:t>6</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掌握茄果类蔬菜的共同特性、品种资源、生物学特性和栽培技术。</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本章教学重点和难点：</w:t>
      </w:r>
      <w:r>
        <w:rPr>
          <w:rFonts w:hint="eastAsia" w:ascii="宋体" w:hAnsi="宋体" w:cs="宋体"/>
          <w:color w:val="353535"/>
          <w:kern w:val="0"/>
          <w:szCs w:val="21"/>
        </w:rPr>
        <w:t>本章的重点在于茄果类蔬菜的品种资源、生物学特性、栽培技术。难点为茄果类蔬菜的植株调整、花芽分化调控和防止落花落果。</w:t>
      </w:r>
    </w:p>
    <w:p>
      <w:pPr>
        <w:widowControl/>
        <w:spacing w:line="360" w:lineRule="auto"/>
        <w:rPr>
          <w:rFonts w:ascii="宋体" w:hAnsi="宋体" w:cs="宋体"/>
          <w:b/>
          <w:bCs/>
          <w:color w:val="353535"/>
          <w:kern w:val="0"/>
          <w:szCs w:val="21"/>
        </w:rPr>
      </w:pPr>
      <w:r>
        <w:rPr>
          <w:rFonts w:hint="eastAsia" w:ascii="宋体" w:hAnsi="宋体"/>
          <w:b/>
          <w:bCs/>
          <w:szCs w:val="21"/>
        </w:rPr>
        <w:t>主要教学内容及要求：</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了解：茄果类蔬菜的种类、共性特点，番茄、茄子、辣（甜）椒的类型及品种，番茄、茄子、辣（甜）椒不同生育阶段的生长特点。茄果类蔬菜周年生产的茬次安排。茄果类花芽分化的特点与条件。茄果类蔬菜的分枝习性与茄果类蔬菜开花结果习性</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理解：不同生育阶段水分、营养和温度的管理原则。茄果类培育壮苗的技术原理。</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掌握：河南主栽茬次的育苗期、定植期和收获期；春季露地栽培、夏季麦茬栽培和日光温室秋冬茬栽培的技术要点。</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熟练掌握：茄果类蔬菜植株调整的技术与保花保果技术。</w:t>
      </w:r>
    </w:p>
    <w:p>
      <w:pPr>
        <w:widowControl/>
        <w:spacing w:line="360" w:lineRule="auto"/>
        <w:rPr>
          <w:rFonts w:ascii="宋体" w:hAnsi="宋体"/>
          <w:b/>
          <w:bCs/>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bCs/>
        </w:rPr>
        <w:t>番茄、茄子和辣椒进行课上讲解，其他茄果类蔬菜自学。</w:t>
      </w:r>
    </w:p>
    <w:p>
      <w:pPr>
        <w:widowControl/>
        <w:spacing w:line="360" w:lineRule="auto"/>
        <w:ind w:firstLine="420" w:firstLineChars="200"/>
        <w:rPr>
          <w:rFonts w:ascii="宋体" w:hAnsi="宋体"/>
          <w:bCs/>
        </w:rPr>
      </w:pPr>
      <w:r>
        <w:rPr>
          <w:rFonts w:hint="eastAsia" w:ascii="宋体" w:hAnsi="宋体"/>
          <w:bCs/>
        </w:rPr>
        <w:t>要求学生线下仔细观察实验课培育的番茄、茄子和辣椒的幼苗或果实，记录其形态特征。通过线上学习教学视频，掌握茄果类蔬菜常见的蔬菜种类及共同特性，各个蔬菜的生物学特性、生育期和对环境条件的要求。线下教师课堂讲授蔬菜栽培的茬次安排，对一个主要茬次进行详细讲解。安排小组讨论，按照教师设定的场景对不同茬次的主要技术进行讲解，教师补充。课后及时发布作业检验学习效果，并及时反馈。结合学习情况对重点难点部分进行答疑。锻炼学生将总论知识理论知识应用于具体蔬菜的能力。通过分析家乡蔬菜种植的优势和改进方法增强学生服务三农的责任心。</w:t>
      </w:r>
    </w:p>
    <w:p>
      <w:pPr>
        <w:widowControl/>
        <w:spacing w:line="360" w:lineRule="auto"/>
        <w:ind w:firstLine="2572" w:firstLineChars="1220"/>
        <w:jc w:val="right"/>
        <w:rPr>
          <w:rFonts w:ascii="宋体" w:hAnsi="宋体" w:cs="宋体"/>
          <w:b/>
          <w:bCs/>
          <w:color w:val="353535"/>
          <w:kern w:val="0"/>
          <w:szCs w:val="21"/>
        </w:rPr>
      </w:pPr>
      <w:r>
        <w:rPr>
          <w:rFonts w:hint="eastAsia" w:ascii="宋体" w:hAnsi="宋体" w:cs="宋体"/>
          <w:b/>
          <w:bCs/>
          <w:color w:val="353535"/>
          <w:kern w:val="0"/>
          <w:szCs w:val="21"/>
        </w:rPr>
        <w:t>第五章  瓜类                            学时数：</w:t>
      </w:r>
      <w:r>
        <w:rPr>
          <w:rFonts w:hint="eastAsia"/>
          <w:b/>
          <w:bCs/>
          <w:color w:val="353535"/>
          <w:kern w:val="0"/>
          <w:szCs w:val="21"/>
        </w:rPr>
        <w:t>6</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掌握瓜类蔬菜的分类、共同特性、品种资源、生物学特性和栽培技术。</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教学重点和难点：</w:t>
      </w:r>
      <w:r>
        <w:rPr>
          <w:rFonts w:hint="eastAsia" w:ascii="宋体" w:hAnsi="宋体" w:cs="宋体"/>
          <w:color w:val="353535"/>
          <w:kern w:val="0"/>
          <w:szCs w:val="21"/>
        </w:rPr>
        <w:t>重点在于黄瓜、西葫芦、西瓜、甜瓜的品种资源、生物学特性及栽培技术。难点为黄瓜的性型分化及可塑性。</w:t>
      </w:r>
    </w:p>
    <w:p>
      <w:pPr>
        <w:widowControl/>
        <w:spacing w:line="360" w:lineRule="auto"/>
        <w:rPr>
          <w:rFonts w:ascii="宋体" w:hAnsi="宋体"/>
        </w:rPr>
      </w:pPr>
      <w:r>
        <w:rPr>
          <w:rFonts w:hint="eastAsia" w:ascii="宋体" w:hAnsi="宋体"/>
          <w:b/>
          <w:bCs/>
          <w:szCs w:val="21"/>
        </w:rPr>
        <w:t>主要教学内容及要求：</w:t>
      </w:r>
      <w:r>
        <w:rPr>
          <w:rFonts w:hint="eastAsia" w:ascii="宋体" w:hAnsi="宋体"/>
        </w:rPr>
        <w:t xml:space="preserve"> </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了解：瓜类蔬菜的种类，瓜类蔬菜的共性特点，黄瓜、西葫芦、西瓜的类型及品种，黄瓜、西瓜不同生育阶段的生长特点。瓜类蔬菜周年生产的茬次安排。黄瓜花芽分化的特点与条件。</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理解：不同生育阶段水分、营养和温度的管理原则；瓜类性别调控的原理；瓜类蔬菜的分枝习性与开花结果习性。</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掌握：黄瓜、西瓜春季露地栽培、大棚春季栽培和黄瓜日光温室越冬栽培的技术要点。</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熟练掌握：河南主栽茬次育苗期、定植期和收获期；瓜类植株调整的技术；瓜类蔬菜保花保果技术。</w:t>
      </w:r>
    </w:p>
    <w:p>
      <w:pPr>
        <w:widowControl/>
        <w:spacing w:line="360" w:lineRule="auto"/>
        <w:rPr>
          <w:rFonts w:ascii="宋体" w:hAnsi="宋体"/>
          <w:b/>
          <w:bCs/>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bCs/>
        </w:rPr>
        <w:t>西瓜、甜瓜和黄瓜进行课上讲解，其他瓜类蔬菜自学。</w:t>
      </w:r>
    </w:p>
    <w:p>
      <w:pPr>
        <w:widowControl/>
        <w:spacing w:line="360" w:lineRule="auto"/>
        <w:ind w:firstLine="420" w:firstLineChars="200"/>
        <w:rPr>
          <w:rFonts w:ascii="宋体" w:hAnsi="宋体"/>
          <w:bCs/>
        </w:rPr>
      </w:pPr>
      <w:r>
        <w:rPr>
          <w:rFonts w:hint="eastAsia" w:ascii="宋体" w:hAnsi="宋体"/>
          <w:bCs/>
        </w:rPr>
        <w:t>要求学生线下仔细观察实验课培育的黄瓜、西瓜的形态学特征并记录。通过线上学习教学视频，掌握瓜类蔬菜常见的蔬菜种类及共同特性，各个蔬菜的生物学特性、生育期和对环境条件的要求。线下教师课堂讲授蔬菜栽培的茬次安排，对一个主要茬次进行详细讲解。补充相关起源、演化、分类和栽培技术的论文。安排小组讨论，按照教师设定的场景对不同茬次的主要技术进行讲解，教师补充。课后及时发布作业检验学习效果，并及时反馈。结合学习情况对重点难点部分进行答疑。锻炼学生将总论知识应用于具体蔬菜的能力。</w:t>
      </w:r>
    </w:p>
    <w:p>
      <w:pPr>
        <w:widowControl/>
        <w:spacing w:line="360" w:lineRule="auto"/>
        <w:ind w:firstLine="2526" w:firstLineChars="1198"/>
        <w:jc w:val="right"/>
        <w:rPr>
          <w:rFonts w:ascii="宋体" w:hAnsi="宋体" w:cs="宋体"/>
          <w:b/>
          <w:bCs/>
          <w:color w:val="353535"/>
          <w:kern w:val="0"/>
          <w:szCs w:val="21"/>
        </w:rPr>
      </w:pPr>
      <w:r>
        <w:rPr>
          <w:rFonts w:hint="eastAsia" w:ascii="宋体" w:hAnsi="宋体" w:cs="宋体"/>
          <w:b/>
          <w:bCs/>
          <w:color w:val="353535"/>
          <w:kern w:val="0"/>
          <w:szCs w:val="21"/>
        </w:rPr>
        <w:t>第六章  白菜类                          学时数：</w:t>
      </w:r>
      <w:r>
        <w:rPr>
          <w:b/>
          <w:bCs/>
          <w:color w:val="353535"/>
          <w:kern w:val="0"/>
          <w:szCs w:val="21"/>
        </w:rPr>
        <w:t>2</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掌握白菜类蔬菜的共同特性，大白菜的品种资源、生物学特征及栽培技术，了解其栽培历史及进化过程，掌握结球甘蓝绿体春化的条件。</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重点难点：</w:t>
      </w:r>
      <w:r>
        <w:rPr>
          <w:rFonts w:hint="eastAsia" w:ascii="宋体" w:hAnsi="宋体" w:cs="宋体"/>
          <w:color w:val="353535"/>
          <w:kern w:val="0"/>
          <w:szCs w:val="21"/>
        </w:rPr>
        <w:t>重点在于白菜类蔬菜的生物学特性和栽培技术，难点部分在于白菜类蔬菜春化作用特点及未熟抽薹。</w:t>
      </w:r>
    </w:p>
    <w:p>
      <w:pPr>
        <w:widowControl/>
        <w:spacing w:line="360" w:lineRule="auto"/>
        <w:rPr>
          <w:rFonts w:ascii="宋体" w:hAnsi="宋体"/>
        </w:rPr>
      </w:pPr>
      <w:r>
        <w:rPr>
          <w:rFonts w:hint="eastAsia" w:ascii="宋体" w:hAnsi="宋体"/>
          <w:b/>
          <w:bCs/>
          <w:szCs w:val="21"/>
        </w:rPr>
        <w:t>主要教学内容及要求：</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了解：白菜类蔬菜的种类和共性特点，大</w:t>
      </w:r>
      <w:r>
        <w:rPr>
          <w:rFonts w:hint="eastAsia" w:ascii="宋体" w:hAnsi="宋体" w:cs="宋体"/>
          <w:kern w:val="0"/>
          <w:szCs w:val="21"/>
        </w:rPr>
        <w:t>白菜起源、进化、类型与品种、植物学特征、生物学特性。</w:t>
      </w:r>
      <w:r>
        <w:rPr>
          <w:rFonts w:hint="eastAsia" w:ascii="宋体" w:hAnsi="宋体" w:cs="宋体"/>
          <w:color w:val="353535"/>
          <w:kern w:val="0"/>
          <w:szCs w:val="21"/>
        </w:rPr>
        <w:t>结球甘蓝的类型及品种。大白菜、结球甘蓝不同生育阶段的生长特点。白菜类蔬菜周年生产的茬次安排。大白菜、结球甘蓝花芽分化的特点与条件。</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理解：不同生育阶段水分、营养和温度的管理原则；控制春季大白菜、春季结球甘蓝“未熟抽薹”的原理。</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掌握：防止白菜类蔬菜“未熟抽薹”的技术；掌握秋季大白菜、夏季大白菜、春季结球甘蓝栽培的技术要点。</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熟练掌握：河南主栽茬次的播种期（育苗期）、定植期和收获期。</w:t>
      </w:r>
    </w:p>
    <w:p>
      <w:pPr>
        <w:widowControl/>
        <w:spacing w:line="360" w:lineRule="auto"/>
        <w:rPr>
          <w:rFonts w:ascii="宋体" w:hAnsi="宋体"/>
          <w:b/>
          <w:bCs/>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bCs/>
        </w:rPr>
        <w:t>大白菜进行课上讲解，其他白菜类蔬菜自学。</w:t>
      </w:r>
    </w:p>
    <w:p>
      <w:pPr>
        <w:widowControl/>
        <w:spacing w:line="360" w:lineRule="auto"/>
        <w:ind w:firstLine="420" w:firstLineChars="200"/>
        <w:rPr>
          <w:rFonts w:ascii="宋体" w:hAnsi="宋体"/>
          <w:bCs/>
        </w:rPr>
      </w:pPr>
      <w:r>
        <w:rPr>
          <w:rFonts w:hint="eastAsia" w:ascii="宋体" w:hAnsi="宋体"/>
          <w:bCs/>
        </w:rPr>
        <w:t>通过线上学习教学视频，掌握白菜类蔬菜常见的蔬菜种类及共同特性，各个蔬菜的生物学特性、生育期和对环境条件的要求。线下教师课堂讲授蔬菜栽培的茬次安排，对一个主要茬次进行详细讲解。安排小组讨论，按照教师设定的场景对不同茬次的主要技术进行讲解，教师补充。课后及时发布作业检验学习效果，并及时反馈。结合学习情况对重点难点部分进行答疑。锻炼学生将总论知识应用于具体蔬菜的能力。</w:t>
      </w:r>
    </w:p>
    <w:p>
      <w:pPr>
        <w:widowControl/>
        <w:spacing w:line="360" w:lineRule="auto"/>
        <w:jc w:val="right"/>
        <w:rPr>
          <w:rFonts w:ascii="宋体" w:hAnsi="宋体" w:cs="宋体"/>
          <w:b/>
          <w:bCs/>
          <w:color w:val="353535"/>
          <w:kern w:val="0"/>
          <w:szCs w:val="21"/>
        </w:rPr>
      </w:pPr>
      <w:r>
        <w:rPr>
          <w:rFonts w:hint="eastAsia" w:ascii="宋体" w:hAnsi="宋体" w:cs="宋体"/>
          <w:b/>
          <w:bCs/>
          <w:color w:val="353535"/>
          <w:kern w:val="0"/>
          <w:szCs w:val="21"/>
        </w:rPr>
        <w:t xml:space="preserve">                      第七章  根菜类                          学时数：</w:t>
      </w:r>
      <w:r>
        <w:rPr>
          <w:rFonts w:hint="eastAsia"/>
          <w:b/>
          <w:bCs/>
          <w:color w:val="353535"/>
          <w:kern w:val="0"/>
          <w:szCs w:val="21"/>
        </w:rPr>
        <w:t>3</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掌握根菜类蔬菜产品器官的形态特征、根菜类蔬菜的共同特性、品种资源、生物学特性和栽培技术。</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教学重点和难点：</w:t>
      </w:r>
      <w:r>
        <w:rPr>
          <w:rFonts w:hint="eastAsia" w:ascii="宋体" w:hAnsi="宋体" w:cs="宋体"/>
          <w:color w:val="353535"/>
          <w:kern w:val="0"/>
          <w:szCs w:val="21"/>
        </w:rPr>
        <w:t>重点在于根菜类蔬菜的品种资源、生物学特性及肉质根形成的生理障碍和防止措施。难点为胡萝卜种子发芽率低下的原因及其解决措施。</w:t>
      </w:r>
    </w:p>
    <w:p>
      <w:pPr>
        <w:widowControl/>
        <w:spacing w:line="360" w:lineRule="auto"/>
        <w:rPr>
          <w:rFonts w:ascii="宋体" w:hAnsi="宋体"/>
        </w:rPr>
      </w:pPr>
      <w:r>
        <w:rPr>
          <w:rFonts w:hint="eastAsia" w:ascii="宋体" w:hAnsi="宋体"/>
          <w:b/>
          <w:bCs/>
          <w:szCs w:val="21"/>
        </w:rPr>
        <w:t>主要教学内容及要求：</w:t>
      </w:r>
      <w:r>
        <w:rPr>
          <w:rFonts w:hint="eastAsia" w:ascii="宋体" w:hAnsi="宋体"/>
        </w:rPr>
        <w:t xml:space="preserve"> </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了解：根菜类蔬菜的种类和共性特点，萝卜、胡萝卜的类型与品种，植物学特征、生物学特性；萝卜、胡萝卜和根甜菜肉质根形态及解剖结构的差异；萝卜、胡萝卜不同生育阶段的生长特点。萝卜、胡萝卜周年生产的茬次安排。萝卜花芽分化的特点与条件。</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理解：不同生育阶段水分、营养和温度的管理原则；控制萝卜“未熟抽薹”的原理。</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掌握：秋茬萝卜栽培的技术要点，掌握春茬、秋茬胡萝卜栽培的技术要点。</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熟练掌握：河南主栽茬次的播种期；防止萝卜“未熟抽薹”的技术。</w:t>
      </w:r>
    </w:p>
    <w:p>
      <w:pPr>
        <w:widowControl/>
        <w:spacing w:line="360" w:lineRule="auto"/>
        <w:rPr>
          <w:rFonts w:ascii="宋体" w:hAnsi="宋体" w:cs="宋体"/>
          <w:color w:val="353535"/>
          <w:kern w:val="0"/>
          <w:szCs w:val="21"/>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bCs/>
        </w:rPr>
        <w:t>萝卜、胡萝卜进行课上讲解，其他根菜类蔬菜自学。</w:t>
      </w:r>
    </w:p>
    <w:p>
      <w:pPr>
        <w:widowControl/>
        <w:spacing w:line="360" w:lineRule="auto"/>
        <w:ind w:firstLine="420" w:firstLineChars="200"/>
        <w:rPr>
          <w:rFonts w:ascii="宋体" w:hAnsi="宋体"/>
          <w:bCs/>
        </w:rPr>
      </w:pPr>
      <w:r>
        <w:rPr>
          <w:rFonts w:hint="eastAsia" w:ascii="宋体" w:hAnsi="宋体"/>
          <w:bCs/>
        </w:rPr>
        <w:t>通过线上实验要求学生观察萝卜、胡萝卜的植株或产品器官，仔细观察其形态特征。</w:t>
      </w:r>
    </w:p>
    <w:p>
      <w:pPr>
        <w:widowControl/>
        <w:spacing w:line="360" w:lineRule="auto"/>
        <w:ind w:firstLine="420" w:firstLineChars="200"/>
        <w:rPr>
          <w:rFonts w:ascii="宋体" w:hAnsi="宋体"/>
          <w:bCs/>
        </w:rPr>
      </w:pPr>
      <w:r>
        <w:rPr>
          <w:rFonts w:hint="eastAsia" w:ascii="宋体" w:hAnsi="宋体"/>
          <w:bCs/>
        </w:rPr>
        <w:t>通过线上学习教学视频，掌握根菜类蔬菜常见的蔬菜种类及共同特性，各个蔬菜的生物学特性、生育期和对环境条件的要求。线下教师课堂讲授蔬菜栽培的茬次安排，对一个主要茬次进行详细讲解。安排小组讨论，按照教师设定的场景对不同茬次的主要技术进行讲解，教师补充。课后及时发布作业检验学习效果，并及时反馈。结合学习情况对重点难点部分进行答疑。锻炼学生将总论知识应用于具体蔬菜的能力。</w:t>
      </w:r>
    </w:p>
    <w:p>
      <w:pPr>
        <w:widowControl/>
        <w:spacing w:line="360" w:lineRule="auto"/>
        <w:jc w:val="right"/>
        <w:rPr>
          <w:rFonts w:ascii="宋体" w:hAnsi="宋体" w:cs="宋体"/>
          <w:b/>
          <w:bCs/>
          <w:color w:val="353535"/>
          <w:kern w:val="0"/>
          <w:szCs w:val="21"/>
        </w:rPr>
      </w:pPr>
      <w:r>
        <w:rPr>
          <w:rFonts w:hint="eastAsia" w:ascii="宋体" w:hAnsi="宋体" w:cs="宋体"/>
          <w:b/>
          <w:bCs/>
          <w:color w:val="353535"/>
          <w:kern w:val="0"/>
          <w:szCs w:val="21"/>
        </w:rPr>
        <w:t xml:space="preserve">               第八章  葱蒜类                        学时数：</w:t>
      </w:r>
      <w:r>
        <w:rPr>
          <w:rFonts w:hint="eastAsia"/>
          <w:b/>
          <w:bCs/>
          <w:color w:val="353535"/>
          <w:kern w:val="0"/>
          <w:szCs w:val="21"/>
        </w:rPr>
        <w:t>4</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掌握葱蒜蔬菜的种类、共同特性及韭菜、大蒜品种资源、生物学特性和栽培技术。</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教学重点和难点：</w:t>
      </w:r>
      <w:r>
        <w:rPr>
          <w:rFonts w:hint="eastAsia" w:ascii="宋体" w:hAnsi="宋体" w:cs="宋体"/>
          <w:color w:val="353535"/>
          <w:kern w:val="0"/>
          <w:szCs w:val="21"/>
        </w:rPr>
        <w:t>本章的重点在于韭菜、大葱、大蒜的品种资源、生物学特性及栽培技术。难点为韭菜的生长动态，如分蘖和跳根、大蒜二次生长、大葱和洋葱的未熟抽薹等。</w:t>
      </w:r>
    </w:p>
    <w:p>
      <w:pPr>
        <w:widowControl/>
        <w:spacing w:line="360" w:lineRule="auto"/>
        <w:rPr>
          <w:rFonts w:ascii="宋体" w:hAnsi="宋体"/>
        </w:rPr>
      </w:pPr>
      <w:r>
        <w:rPr>
          <w:rFonts w:hint="eastAsia" w:ascii="宋体" w:hAnsi="宋体"/>
          <w:b/>
          <w:bCs/>
          <w:szCs w:val="21"/>
        </w:rPr>
        <w:t>主要教学内容及要求：</w:t>
      </w:r>
    </w:p>
    <w:p>
      <w:pPr>
        <w:widowControl/>
        <w:spacing w:line="360" w:lineRule="auto"/>
        <w:ind w:firstLine="411" w:firstLineChars="196"/>
        <w:rPr>
          <w:rFonts w:ascii="宋体" w:hAnsi="宋体" w:cs="宋体"/>
          <w:color w:val="353535"/>
          <w:kern w:val="0"/>
          <w:szCs w:val="21"/>
        </w:rPr>
      </w:pPr>
      <w:r>
        <w:rPr>
          <w:rFonts w:hint="eastAsia" w:ascii="宋体" w:hAnsi="宋体" w:cs="宋体"/>
          <w:color w:val="353535"/>
          <w:kern w:val="0"/>
          <w:szCs w:val="21"/>
        </w:rPr>
        <w:t>了解：葱蒜蔬菜的种类和共性特点，韭菜、大葱、大蒜和洋葱</w:t>
      </w:r>
      <w:r>
        <w:rPr>
          <w:rFonts w:hint="eastAsia" w:ascii="宋体" w:hAnsi="宋体" w:cs="宋体"/>
          <w:kern w:val="0"/>
          <w:szCs w:val="21"/>
        </w:rPr>
        <w:t>的类型与品种，植物学特征、生物学特性。</w:t>
      </w:r>
      <w:r>
        <w:rPr>
          <w:rFonts w:hint="eastAsia" w:ascii="宋体" w:hAnsi="宋体" w:cs="宋体"/>
          <w:color w:val="353535"/>
          <w:kern w:val="0"/>
          <w:szCs w:val="21"/>
        </w:rPr>
        <w:t>韭菜的分蘖与跳根。大葱的栽培季节与茬次，大葱绿体春化的特点。大蒜的二次生长，大蒜抽薹与分瓣的关系，大蒜品种退化的原因及提纯复壮的措施。洋葱绿体春化的特点，播期、栽培密度、秧苗大小与抽薹及产量的关系。</w:t>
      </w:r>
    </w:p>
    <w:p>
      <w:pPr>
        <w:widowControl/>
        <w:spacing w:line="360" w:lineRule="auto"/>
        <w:ind w:firstLine="420" w:firstLineChars="200"/>
        <w:rPr>
          <w:rFonts w:ascii="宋体" w:hAnsi="宋体" w:cs="宋体"/>
          <w:color w:val="353535"/>
          <w:kern w:val="0"/>
          <w:szCs w:val="21"/>
        </w:rPr>
      </w:pPr>
      <w:r>
        <w:rPr>
          <w:rFonts w:hint="eastAsia" w:ascii="宋体" w:hAnsi="宋体" w:cs="宋体"/>
          <w:color w:val="353535"/>
          <w:kern w:val="0"/>
          <w:szCs w:val="21"/>
        </w:rPr>
        <w:t>理解：韭菜栽培中调节养根与收获的原理。播期、季节和气候与大葱抽薹的关系，</w:t>
      </w:r>
    </w:p>
    <w:p>
      <w:pPr>
        <w:widowControl/>
        <w:spacing w:line="360" w:lineRule="auto"/>
        <w:ind w:firstLine="420" w:firstLineChars="200"/>
        <w:rPr>
          <w:rFonts w:ascii="宋体" w:hAnsi="宋体" w:cs="宋体"/>
          <w:color w:val="353535"/>
          <w:kern w:val="0"/>
          <w:szCs w:val="21"/>
        </w:rPr>
      </w:pPr>
      <w:r>
        <w:rPr>
          <w:rFonts w:hint="eastAsia" w:ascii="宋体" w:hAnsi="宋体" w:cs="宋体"/>
          <w:color w:val="353535"/>
          <w:kern w:val="0"/>
          <w:szCs w:val="21"/>
        </w:rPr>
        <w:t>掌握:日光温室韭菜促成栽培的技术要点。冬贮大葱栽培技术要点。大蒜栽培的技术要点。洋葱栽培技术要点。</w:t>
      </w:r>
    </w:p>
    <w:p>
      <w:pPr>
        <w:widowControl/>
        <w:spacing w:line="360" w:lineRule="auto"/>
        <w:ind w:firstLine="420" w:firstLineChars="200"/>
        <w:rPr>
          <w:rFonts w:ascii="宋体" w:hAnsi="宋体" w:cs="宋体"/>
          <w:color w:val="353535"/>
          <w:kern w:val="0"/>
          <w:szCs w:val="21"/>
        </w:rPr>
      </w:pPr>
      <w:r>
        <w:rPr>
          <w:rFonts w:hint="eastAsia" w:ascii="宋体" w:hAnsi="宋体" w:cs="宋体"/>
          <w:color w:val="353535"/>
          <w:kern w:val="0"/>
          <w:szCs w:val="21"/>
        </w:rPr>
        <w:t>熟练掌握:冬贮大葱的适宜播期。</w:t>
      </w:r>
    </w:p>
    <w:p>
      <w:pPr>
        <w:widowControl/>
        <w:spacing w:line="360" w:lineRule="auto"/>
        <w:rPr>
          <w:rFonts w:ascii="宋体" w:hAnsi="宋体" w:cs="宋体"/>
          <w:color w:val="353535"/>
          <w:kern w:val="0"/>
          <w:szCs w:val="21"/>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bCs/>
        </w:rPr>
        <w:t>大蒜、韭菜进行课上讲解，其他葱蒜类蔬菜自学。</w:t>
      </w:r>
    </w:p>
    <w:p>
      <w:pPr>
        <w:widowControl/>
        <w:spacing w:line="360" w:lineRule="auto"/>
        <w:ind w:firstLine="420" w:firstLineChars="200"/>
        <w:rPr>
          <w:rFonts w:ascii="宋体" w:hAnsi="宋体"/>
          <w:bCs/>
        </w:rPr>
      </w:pPr>
      <w:r>
        <w:rPr>
          <w:rFonts w:hint="eastAsia" w:ascii="宋体" w:hAnsi="宋体"/>
          <w:bCs/>
        </w:rPr>
        <w:t>要求学生线下准备大蒜、韭菜、大葱、洋葱的植株或产品器官，仔细观察其形态特征。结合实验课观察葱蒜类蔬菜的种子，并能够区分。通过线上学习教学视频，掌握葱蒜类蔬菜常见的蔬菜种类及共同特性，各个蔬菜的生物学特性、生育期和对环境条件的要求。线下教师课堂讲授蔬菜栽培的茬次安排，对一个主要茬次进行详细讲解。安排小组讨论，按照教师设定的场景对不同茬次的主要技术进行讲解，教师补充。课后及时发布作业检验学习效果，并及时反馈。结合学习情况对重点难点部分进行答疑。锻炼学生将总论知识应用于具体蔬菜的能力。</w:t>
      </w:r>
    </w:p>
    <w:p>
      <w:pPr>
        <w:widowControl/>
        <w:spacing w:line="360" w:lineRule="auto"/>
        <w:ind w:firstLine="2774" w:firstLineChars="1316"/>
        <w:jc w:val="right"/>
        <w:outlineLvl w:val="3"/>
        <w:rPr>
          <w:rFonts w:ascii="宋体" w:hAnsi="宋体" w:cs="宋体"/>
          <w:b/>
          <w:bCs/>
          <w:color w:val="353535"/>
          <w:kern w:val="0"/>
          <w:szCs w:val="21"/>
        </w:rPr>
      </w:pPr>
      <w:r>
        <w:rPr>
          <w:rFonts w:hint="eastAsia" w:ascii="黑体" w:hAnsi="宋体" w:eastAsia="黑体" w:cs="宋体"/>
          <w:b/>
          <w:bCs/>
          <w:kern w:val="0"/>
          <w:szCs w:val="21"/>
        </w:rPr>
        <w:t xml:space="preserve">  </w:t>
      </w:r>
      <w:r>
        <w:rPr>
          <w:rFonts w:hint="eastAsia" w:ascii="宋体" w:hAnsi="宋体" w:cs="宋体"/>
          <w:b/>
          <w:bCs/>
          <w:color w:val="353535"/>
          <w:kern w:val="0"/>
          <w:szCs w:val="21"/>
        </w:rPr>
        <w:t xml:space="preserve">第九章  豆类                         </w:t>
      </w:r>
      <w:r>
        <w:rPr>
          <w:rFonts w:ascii="宋体" w:hAnsi="宋体" w:cs="宋体"/>
          <w:b/>
          <w:bCs/>
          <w:color w:val="353535"/>
          <w:kern w:val="0"/>
          <w:szCs w:val="21"/>
        </w:rPr>
        <w:t xml:space="preserve">  </w:t>
      </w:r>
      <w:r>
        <w:rPr>
          <w:rFonts w:hint="eastAsia" w:ascii="宋体" w:hAnsi="宋体" w:cs="宋体"/>
          <w:b/>
          <w:bCs/>
          <w:color w:val="353535"/>
          <w:kern w:val="0"/>
          <w:szCs w:val="21"/>
        </w:rPr>
        <w:t xml:space="preserve">  学时数：</w:t>
      </w:r>
      <w:r>
        <w:rPr>
          <w:rFonts w:hint="eastAsia"/>
          <w:b/>
          <w:bCs/>
          <w:color w:val="353535"/>
          <w:kern w:val="0"/>
          <w:szCs w:val="21"/>
        </w:rPr>
        <w:t>2</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掌握豆类蔬菜的种类、豆类蔬菜的共同特征、品种资源、生物学特性和栽培技术。</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教学重点和难点：</w:t>
      </w:r>
      <w:r>
        <w:rPr>
          <w:rFonts w:hint="eastAsia" w:ascii="宋体" w:hAnsi="宋体" w:cs="宋体"/>
          <w:color w:val="353535"/>
          <w:kern w:val="0"/>
          <w:szCs w:val="21"/>
        </w:rPr>
        <w:t>本章的重点在于豆菜类蔬菜耐热性差异与栽培茬次的区别。难点为菜豆落花落果原因及其解决措施。</w:t>
      </w:r>
    </w:p>
    <w:p>
      <w:pPr>
        <w:widowControl/>
        <w:spacing w:line="360" w:lineRule="auto"/>
        <w:rPr>
          <w:rFonts w:ascii="宋体" w:hAnsi="宋体"/>
        </w:rPr>
      </w:pPr>
      <w:r>
        <w:rPr>
          <w:rFonts w:hint="eastAsia" w:ascii="宋体" w:hAnsi="宋体"/>
          <w:b/>
          <w:bCs/>
          <w:szCs w:val="21"/>
        </w:rPr>
        <w:t>主要教学内容及要求：</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了解：豆类蔬菜种类及共同特性，豇豆、菜豆起源与栽培历史。豆类蔬菜蔓的缠绕特性，菜豆落花落荚的原因。秋季菜豆栽培的技术要点。</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理解：豇豆、菜豆耐热性的差异，掌握豇豆夏季开播种的技术；豆类蔬菜“干花湿荚”的水分管理原则，</w:t>
      </w:r>
    </w:p>
    <w:p>
      <w:pPr>
        <w:widowControl/>
        <w:spacing w:line="360" w:lineRule="auto"/>
        <w:ind w:firstLine="420" w:firstLineChars="200"/>
        <w:jc w:val="left"/>
        <w:rPr>
          <w:rFonts w:ascii="宋体" w:hAnsi="宋体" w:cs="宋体"/>
          <w:color w:val="353535"/>
          <w:kern w:val="0"/>
          <w:szCs w:val="21"/>
        </w:rPr>
      </w:pPr>
      <w:r>
        <w:rPr>
          <w:rFonts w:hint="eastAsia" w:ascii="宋体" w:hAnsi="宋体" w:cs="宋体"/>
          <w:color w:val="353535"/>
          <w:kern w:val="0"/>
          <w:szCs w:val="21"/>
        </w:rPr>
        <w:t>掌握：豆类蔬菜藤蔓上架的要点；掌握保花保荚的措施；春季豇豆、菜豆的栽培技术。</w:t>
      </w:r>
    </w:p>
    <w:p>
      <w:pPr>
        <w:widowControl/>
        <w:spacing w:line="360" w:lineRule="auto"/>
        <w:rPr>
          <w:rFonts w:ascii="宋体" w:hAnsi="宋体" w:cs="宋体"/>
          <w:color w:val="353535"/>
          <w:kern w:val="0"/>
          <w:szCs w:val="21"/>
        </w:rPr>
      </w:pPr>
      <w:r>
        <w:rPr>
          <w:rFonts w:hint="eastAsia" w:ascii="宋体" w:hAnsi="宋体"/>
          <w:b/>
          <w:bCs/>
        </w:rPr>
        <w:t>教学组织与实施：</w:t>
      </w:r>
    </w:p>
    <w:p>
      <w:pPr>
        <w:widowControl/>
        <w:spacing w:line="360" w:lineRule="auto"/>
        <w:ind w:firstLine="420" w:firstLineChars="200"/>
        <w:rPr>
          <w:rFonts w:ascii="宋体" w:hAnsi="宋体"/>
          <w:b/>
          <w:bCs/>
        </w:rPr>
      </w:pPr>
      <w:r>
        <w:rPr>
          <w:rFonts w:hint="eastAsia" w:ascii="宋体" w:hAnsi="宋体"/>
          <w:bCs/>
        </w:rPr>
        <w:t>翻转课堂。学生自己查阅资料将主要内容做成PPT、音频，将资料共享到群里，师生讨论、评分。线下课堂学生讲解，老师、同学提问。锻炼学生将总论知识应用于具体蔬菜的能力。锻炼学生查阅资料、自主学习、总结和表达的能力。</w:t>
      </w:r>
    </w:p>
    <w:p>
      <w:pPr>
        <w:widowControl/>
        <w:spacing w:line="360" w:lineRule="auto"/>
        <w:ind w:firstLine="2774" w:firstLineChars="1316"/>
        <w:jc w:val="right"/>
        <w:outlineLvl w:val="3"/>
        <w:rPr>
          <w:rFonts w:ascii="宋体" w:hAnsi="宋体" w:cs="宋体"/>
          <w:b/>
          <w:bCs/>
          <w:color w:val="353535"/>
          <w:kern w:val="0"/>
          <w:szCs w:val="21"/>
        </w:rPr>
      </w:pPr>
      <w:r>
        <w:rPr>
          <w:rFonts w:hint="eastAsia" w:ascii="黑体" w:hAnsi="宋体" w:eastAsia="黑体" w:cs="宋体"/>
          <w:b/>
          <w:bCs/>
          <w:kern w:val="0"/>
          <w:szCs w:val="21"/>
        </w:rPr>
        <w:t xml:space="preserve">  </w:t>
      </w:r>
      <w:r>
        <w:rPr>
          <w:rFonts w:hint="eastAsia" w:ascii="宋体" w:hAnsi="宋体" w:cs="宋体"/>
          <w:b/>
          <w:bCs/>
          <w:color w:val="353535"/>
          <w:kern w:val="0"/>
          <w:szCs w:val="21"/>
        </w:rPr>
        <w:t xml:space="preserve">第十章  薯芋类                         </w:t>
      </w:r>
      <w:r>
        <w:rPr>
          <w:rFonts w:ascii="宋体" w:hAnsi="宋体" w:cs="宋体"/>
          <w:b/>
          <w:bCs/>
          <w:color w:val="353535"/>
          <w:kern w:val="0"/>
          <w:szCs w:val="21"/>
        </w:rPr>
        <w:t xml:space="preserve"> </w:t>
      </w:r>
      <w:r>
        <w:rPr>
          <w:rFonts w:hint="eastAsia" w:ascii="宋体" w:hAnsi="宋体" w:cs="宋体"/>
          <w:b/>
          <w:bCs/>
          <w:color w:val="353535"/>
          <w:kern w:val="0"/>
          <w:szCs w:val="21"/>
        </w:rPr>
        <w:t>学时数：</w:t>
      </w:r>
      <w:r>
        <w:rPr>
          <w:b/>
          <w:bCs/>
          <w:color w:val="353535"/>
          <w:kern w:val="0"/>
          <w:szCs w:val="21"/>
        </w:rPr>
        <w:t>2</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掌握马铃薯产品器官的形态特征、品种资源、生物学特性和栽培技术。</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重点与难点：</w:t>
      </w:r>
      <w:r>
        <w:rPr>
          <w:rFonts w:hint="eastAsia" w:ascii="宋体" w:hAnsi="宋体" w:cs="宋体"/>
          <w:color w:val="353535"/>
          <w:kern w:val="0"/>
          <w:szCs w:val="21"/>
        </w:rPr>
        <w:t>本章的重点在于马铃薯生长周期的划分与栽培的关系。难点为马铃薯休眠打破及防治退化的措施。</w:t>
      </w:r>
    </w:p>
    <w:p>
      <w:pPr>
        <w:widowControl/>
        <w:spacing w:line="360" w:lineRule="auto"/>
        <w:rPr>
          <w:rFonts w:ascii="宋体" w:hAnsi="宋体"/>
        </w:rPr>
      </w:pPr>
      <w:r>
        <w:rPr>
          <w:rFonts w:hint="eastAsia" w:ascii="宋体" w:hAnsi="宋体"/>
          <w:b/>
          <w:bCs/>
          <w:szCs w:val="21"/>
        </w:rPr>
        <w:t>主要教学内容及要求：</w:t>
      </w:r>
    </w:p>
    <w:p>
      <w:pPr>
        <w:widowControl/>
        <w:spacing w:line="360" w:lineRule="auto"/>
        <w:ind w:firstLine="315" w:firstLineChars="150"/>
        <w:jc w:val="left"/>
        <w:rPr>
          <w:rFonts w:ascii="宋体" w:hAnsi="宋体" w:cs="宋体"/>
          <w:color w:val="353535"/>
          <w:kern w:val="0"/>
          <w:szCs w:val="21"/>
        </w:rPr>
      </w:pPr>
      <w:r>
        <w:rPr>
          <w:rFonts w:hint="eastAsia" w:ascii="宋体" w:hAnsi="宋体" w:cs="宋体"/>
          <w:color w:val="353535"/>
          <w:kern w:val="0"/>
          <w:szCs w:val="21"/>
        </w:rPr>
        <w:t>了解：薯芋蔬菜种类及共同特性，马铃薯、山药起源与栽培历史。马铃薯类型与品种，植物学特征、生物学特性，栽培季节与茬次，马铃薯的休眠特性，马铃薯退化的原因。山药类型与品种，植物学特征、生物学特性，山药栽培的技术要点。</w:t>
      </w:r>
    </w:p>
    <w:p>
      <w:pPr>
        <w:widowControl/>
        <w:spacing w:line="360" w:lineRule="auto"/>
        <w:ind w:firstLine="315" w:firstLineChars="150"/>
        <w:jc w:val="left"/>
        <w:rPr>
          <w:rFonts w:ascii="宋体" w:hAnsi="宋体" w:cs="宋体"/>
          <w:color w:val="353535"/>
          <w:kern w:val="0"/>
          <w:szCs w:val="21"/>
        </w:rPr>
      </w:pPr>
      <w:r>
        <w:rPr>
          <w:rFonts w:hint="eastAsia" w:ascii="宋体" w:hAnsi="宋体" w:cs="宋体"/>
          <w:color w:val="353535"/>
          <w:kern w:val="0"/>
          <w:szCs w:val="21"/>
        </w:rPr>
        <w:t>理解：马铃薯“三段五期”的生长特点及对栽培技术的要求。</w:t>
      </w:r>
    </w:p>
    <w:p>
      <w:pPr>
        <w:widowControl/>
        <w:spacing w:line="360" w:lineRule="auto"/>
        <w:ind w:firstLine="315" w:firstLineChars="150"/>
        <w:jc w:val="left"/>
        <w:rPr>
          <w:rFonts w:ascii="宋体" w:hAnsi="宋体" w:cs="宋体"/>
          <w:color w:val="353535"/>
          <w:kern w:val="0"/>
          <w:szCs w:val="21"/>
        </w:rPr>
      </w:pPr>
      <w:r>
        <w:rPr>
          <w:rFonts w:hint="eastAsia" w:ascii="宋体" w:hAnsi="宋体" w:cs="宋体"/>
          <w:color w:val="353535"/>
          <w:kern w:val="0"/>
          <w:szCs w:val="21"/>
        </w:rPr>
        <w:t>掌握：打破马铃薯休眠的技术；克服马铃薯退化的措施；双季作区春茬马铃薯栽培技术，双季作区秋茬马铃薯栽培技术要点。</w:t>
      </w:r>
    </w:p>
    <w:p>
      <w:pPr>
        <w:widowControl/>
        <w:spacing w:line="360" w:lineRule="auto"/>
        <w:rPr>
          <w:rFonts w:ascii="宋体" w:hAnsi="宋体" w:cs="宋体"/>
          <w:color w:val="353535"/>
          <w:kern w:val="0"/>
          <w:szCs w:val="21"/>
        </w:rPr>
      </w:pPr>
      <w:r>
        <w:rPr>
          <w:rFonts w:hint="eastAsia" w:ascii="宋体" w:hAnsi="宋体"/>
          <w:b/>
          <w:bCs/>
        </w:rPr>
        <w:t>教学组织与实施：</w:t>
      </w:r>
    </w:p>
    <w:p>
      <w:pPr>
        <w:widowControl/>
        <w:spacing w:line="360" w:lineRule="auto"/>
        <w:ind w:firstLine="420" w:firstLineChars="200"/>
        <w:rPr>
          <w:rFonts w:ascii="宋体" w:hAnsi="宋体"/>
          <w:bCs/>
        </w:rPr>
      </w:pPr>
      <w:r>
        <w:rPr>
          <w:rFonts w:hint="eastAsia" w:ascii="宋体" w:hAnsi="宋体"/>
          <w:bCs/>
        </w:rPr>
        <w:t>马铃薯、山药进行课上讲解，其他薯芋类蔬菜自学。</w:t>
      </w:r>
    </w:p>
    <w:p>
      <w:pPr>
        <w:widowControl/>
        <w:spacing w:line="360" w:lineRule="auto"/>
        <w:ind w:firstLine="420" w:firstLineChars="200"/>
        <w:rPr>
          <w:rFonts w:ascii="宋体" w:hAnsi="宋体"/>
          <w:bCs/>
        </w:rPr>
      </w:pPr>
      <w:r>
        <w:rPr>
          <w:rFonts w:hint="eastAsia" w:ascii="宋体" w:hAnsi="宋体"/>
          <w:bCs/>
        </w:rPr>
        <w:t>要求学生线下准备马铃薯、山药的植株或产品器官，仔细观察其形态特征。通过线上学习教学视频，掌握薯芋类蔬菜常见的蔬菜种类及共同特性，掌握马铃薯的栽培技术及原理。通过网络视频等学习资源了解薯芋类蔬菜从种子到产品器官的整个生产过程是如何实现的。</w:t>
      </w:r>
    </w:p>
    <w:p>
      <w:pPr>
        <w:widowControl/>
        <w:spacing w:line="360" w:lineRule="auto"/>
        <w:rPr>
          <w:rFonts w:ascii="宋体" w:hAnsi="宋体"/>
          <w:bCs/>
        </w:rPr>
      </w:pPr>
      <w:r>
        <w:rPr>
          <w:rFonts w:hint="eastAsia" w:ascii="宋体" w:hAnsi="宋体"/>
          <w:bCs/>
        </w:rPr>
        <w:t>课后及时发布作业检验学习效果，并及时反馈。结合学习情况对重点难点部分进行答疑。锻炼学生将总论知识应用于具体蔬菜的能力。</w:t>
      </w:r>
    </w:p>
    <w:p>
      <w:pPr>
        <w:widowControl/>
        <w:spacing w:line="360" w:lineRule="auto"/>
        <w:ind w:firstLine="102" w:firstLineChars="49"/>
        <w:jc w:val="right"/>
        <w:outlineLvl w:val="3"/>
        <w:rPr>
          <w:rFonts w:cs="宋体"/>
          <w:bCs/>
          <w:kern w:val="0"/>
          <w:szCs w:val="21"/>
        </w:rPr>
      </w:pPr>
      <w:r>
        <w:rPr>
          <w:rFonts w:hint="eastAsia" w:ascii="宋体" w:hAnsi="宋体" w:cs="宋体"/>
          <w:color w:val="353535"/>
          <w:kern w:val="0"/>
          <w:szCs w:val="21"/>
        </w:rPr>
        <w:t xml:space="preserve">                       </w:t>
      </w:r>
      <w:r>
        <w:rPr>
          <w:rFonts w:hint="eastAsia" w:ascii="宋体" w:hAnsi="宋体" w:cs="宋体"/>
          <w:b/>
          <w:bCs/>
          <w:color w:val="353535"/>
          <w:kern w:val="0"/>
          <w:szCs w:val="21"/>
        </w:rPr>
        <w:t xml:space="preserve">第十一章  绿叶菜类                         </w:t>
      </w:r>
      <w:r>
        <w:rPr>
          <w:rFonts w:ascii="宋体" w:hAnsi="宋体" w:cs="宋体"/>
          <w:b/>
          <w:bCs/>
          <w:color w:val="353535"/>
          <w:kern w:val="0"/>
          <w:szCs w:val="21"/>
        </w:rPr>
        <w:t xml:space="preserve"> </w:t>
      </w:r>
      <w:r>
        <w:rPr>
          <w:rFonts w:hint="eastAsia" w:ascii="宋体" w:hAnsi="宋体" w:cs="宋体"/>
          <w:b/>
          <w:bCs/>
          <w:color w:val="353535"/>
          <w:kern w:val="0"/>
          <w:szCs w:val="21"/>
        </w:rPr>
        <w:t xml:space="preserve"> 学时数：</w:t>
      </w:r>
      <w:r>
        <w:rPr>
          <w:b/>
          <w:bCs/>
          <w:color w:val="353535"/>
          <w:kern w:val="0"/>
          <w:szCs w:val="21"/>
        </w:rPr>
        <w:t>2</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教学目标：</w:t>
      </w:r>
      <w:r>
        <w:rPr>
          <w:rFonts w:hint="eastAsia" w:ascii="宋体" w:hAnsi="宋体" w:cs="宋体"/>
          <w:color w:val="353535"/>
          <w:kern w:val="0"/>
          <w:szCs w:val="21"/>
        </w:rPr>
        <w:t>掌握绿叶菜类蔬菜的类型和种类、品种资源、生物学特性和栽培技术。</w:t>
      </w:r>
    </w:p>
    <w:p>
      <w:pPr>
        <w:widowControl/>
        <w:spacing w:line="360" w:lineRule="auto"/>
        <w:jc w:val="left"/>
        <w:rPr>
          <w:rFonts w:ascii="宋体" w:hAnsi="宋体" w:cs="宋体"/>
          <w:color w:val="353535"/>
          <w:kern w:val="0"/>
          <w:szCs w:val="21"/>
        </w:rPr>
      </w:pPr>
      <w:r>
        <w:rPr>
          <w:rFonts w:hint="eastAsia" w:ascii="宋体" w:hAnsi="宋体" w:cs="宋体"/>
          <w:b/>
          <w:bCs/>
          <w:color w:val="353535"/>
          <w:kern w:val="0"/>
          <w:szCs w:val="21"/>
        </w:rPr>
        <w:t>重点与难点：</w:t>
      </w:r>
      <w:r>
        <w:rPr>
          <w:rFonts w:hint="eastAsia" w:ascii="宋体" w:hAnsi="宋体" w:cs="宋体"/>
          <w:color w:val="353535"/>
          <w:kern w:val="0"/>
          <w:szCs w:val="21"/>
        </w:rPr>
        <w:t>本章的重点在于芹菜育苗。难点为喜欢冷凉环境的叶菜类夏季播种的催芽技术。</w:t>
      </w:r>
    </w:p>
    <w:p>
      <w:pPr>
        <w:widowControl/>
        <w:spacing w:line="360" w:lineRule="auto"/>
        <w:rPr>
          <w:rFonts w:ascii="宋体" w:hAnsi="宋体"/>
          <w:b/>
          <w:bCs/>
          <w:szCs w:val="21"/>
        </w:rPr>
      </w:pPr>
      <w:r>
        <w:rPr>
          <w:rFonts w:hint="eastAsia" w:ascii="宋体" w:hAnsi="宋体"/>
          <w:b/>
          <w:bCs/>
          <w:szCs w:val="21"/>
        </w:rPr>
        <w:t>主要教学内容及要求：</w:t>
      </w:r>
      <w:r>
        <w:rPr>
          <w:rFonts w:ascii="宋体" w:hAnsi="宋体"/>
          <w:b/>
          <w:bCs/>
          <w:szCs w:val="21"/>
        </w:rPr>
        <w:t xml:space="preserve"> </w:t>
      </w:r>
    </w:p>
    <w:p>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了解：绿叶菜类蔬菜的种类及共同特点，芹菜类型与品种，植物学特征、生物学特性，</w:t>
      </w:r>
    </w:p>
    <w:p>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芹菜的栽培季节与茬次，芹菜春化特点。苣的类型与品种，植物学特征、生物学特性，莴苣栽培季节与茬次，主要茬次栽培技术要点。</w:t>
      </w:r>
    </w:p>
    <w:p>
      <w:pPr>
        <w:widowControl/>
        <w:spacing w:line="360" w:lineRule="auto"/>
        <w:ind w:firstLine="420" w:firstLineChars="200"/>
        <w:jc w:val="left"/>
        <w:rPr>
          <w:rFonts w:ascii="宋体" w:hAnsi="宋体" w:cs="宋体"/>
          <w:kern w:val="0"/>
          <w:szCs w:val="21"/>
        </w:rPr>
      </w:pPr>
      <w:r>
        <w:rPr>
          <w:rFonts w:hint="eastAsia" w:ascii="宋体" w:hAnsi="宋体" w:cs="宋体"/>
          <w:kern w:val="0"/>
          <w:szCs w:val="21"/>
        </w:rPr>
        <w:t>掌握：夏秋芹菜季育苗技术要点；秋季保护地芹菜栽培技术要点。莴苣夏秋季育苗技术要点。</w:t>
      </w:r>
    </w:p>
    <w:p>
      <w:pPr>
        <w:widowControl/>
        <w:spacing w:line="360" w:lineRule="auto"/>
        <w:rPr>
          <w:rFonts w:ascii="宋体" w:hAnsi="宋体" w:cs="宋体"/>
          <w:color w:val="353535"/>
          <w:kern w:val="0"/>
          <w:szCs w:val="21"/>
        </w:rPr>
      </w:pPr>
      <w:r>
        <w:rPr>
          <w:rFonts w:hint="eastAsia" w:ascii="宋体" w:hAnsi="宋体"/>
          <w:b/>
          <w:bCs/>
        </w:rPr>
        <w:t>教学组织与实施：</w:t>
      </w:r>
    </w:p>
    <w:p>
      <w:pPr>
        <w:widowControl/>
        <w:spacing w:line="360" w:lineRule="auto"/>
        <w:ind w:firstLine="420" w:firstLineChars="200"/>
        <w:rPr>
          <w:rFonts w:ascii="宋体" w:hAnsi="宋体"/>
          <w:b/>
          <w:bCs/>
        </w:rPr>
      </w:pPr>
      <w:r>
        <w:rPr>
          <w:rFonts w:hint="eastAsia" w:ascii="宋体" w:hAnsi="宋体"/>
          <w:bCs/>
        </w:rPr>
        <w:t>翻转课堂。学生自己查阅资料将主要内容做成PPT、音频，将资料共享到群里，师生讨论、评分。线下课堂学生讲解，老师、同学提问。锻炼学生将总论知识应用于具体蔬菜的能力。</w:t>
      </w:r>
    </w:p>
    <w:p>
      <w:pPr>
        <w:widowControl/>
        <w:spacing w:line="360" w:lineRule="auto"/>
        <w:ind w:firstLine="2673" w:firstLineChars="1268"/>
        <w:jc w:val="left"/>
        <w:outlineLvl w:val="3"/>
        <w:rPr>
          <w:rFonts w:ascii="宋体" w:hAnsi="宋体" w:cs="宋体"/>
          <w:b/>
          <w:bCs/>
          <w:color w:val="353535"/>
          <w:kern w:val="0"/>
          <w:szCs w:val="21"/>
        </w:rPr>
      </w:pPr>
      <w:r>
        <w:rPr>
          <w:rFonts w:hint="eastAsia" w:ascii="宋体" w:hAnsi="宋体" w:cs="宋体"/>
          <w:b/>
          <w:bCs/>
          <w:color w:val="353535"/>
          <w:kern w:val="0"/>
          <w:szCs w:val="21"/>
        </w:rPr>
        <w:t>第十二章</w:t>
      </w:r>
      <w:r>
        <w:rPr>
          <w:rFonts w:ascii="宋体" w:hAnsi="宋体" w:cs="宋体"/>
          <w:b/>
          <w:bCs/>
          <w:color w:val="353535"/>
          <w:kern w:val="0"/>
          <w:szCs w:val="21"/>
        </w:rPr>
        <w:t xml:space="preserve">  </w:t>
      </w:r>
      <w:r>
        <w:rPr>
          <w:rFonts w:hint="eastAsia" w:ascii="宋体" w:hAnsi="宋体" w:cs="宋体"/>
          <w:b/>
          <w:bCs/>
          <w:color w:val="353535"/>
          <w:kern w:val="0"/>
          <w:szCs w:val="21"/>
        </w:rPr>
        <w:t>水生蔬菜（自学）</w:t>
      </w:r>
    </w:p>
    <w:p>
      <w:pPr>
        <w:widowControl/>
        <w:spacing w:line="360" w:lineRule="auto"/>
        <w:ind w:firstLine="2673" w:firstLineChars="1268"/>
        <w:jc w:val="left"/>
        <w:outlineLvl w:val="3"/>
        <w:rPr>
          <w:rFonts w:ascii="宋体" w:hAnsi="宋体" w:cs="宋体"/>
          <w:b/>
          <w:bCs/>
          <w:color w:val="353535"/>
          <w:kern w:val="0"/>
          <w:szCs w:val="21"/>
        </w:rPr>
      </w:pPr>
      <w:r>
        <w:rPr>
          <w:rFonts w:hint="eastAsia" w:ascii="宋体" w:hAnsi="宋体" w:cs="宋体"/>
          <w:b/>
          <w:bCs/>
          <w:color w:val="353535"/>
          <w:kern w:val="0"/>
          <w:szCs w:val="21"/>
        </w:rPr>
        <w:t>第十三章</w:t>
      </w:r>
      <w:r>
        <w:rPr>
          <w:rFonts w:ascii="宋体" w:hAnsi="宋体" w:cs="宋体"/>
          <w:b/>
          <w:bCs/>
          <w:color w:val="353535"/>
          <w:kern w:val="0"/>
          <w:szCs w:val="21"/>
        </w:rPr>
        <w:t xml:space="preserve">  </w:t>
      </w:r>
      <w:r>
        <w:rPr>
          <w:rFonts w:hint="eastAsia" w:ascii="宋体" w:hAnsi="宋体" w:cs="宋体"/>
          <w:b/>
          <w:bCs/>
          <w:color w:val="353535"/>
          <w:kern w:val="0"/>
          <w:szCs w:val="21"/>
        </w:rPr>
        <w:t>多年生蔬菜（自学）</w:t>
      </w:r>
    </w:p>
    <w:p>
      <w:pPr>
        <w:keepNext w:val="0"/>
        <w:keepLines w:val="0"/>
        <w:pageBreakBefore w:val="0"/>
        <w:widowControl/>
        <w:kinsoku/>
        <w:wordWrap/>
        <w:overflowPunct/>
        <w:topLinePunct w:val="0"/>
        <w:autoSpaceDE/>
        <w:autoSpaceDN/>
        <w:bidi w:val="0"/>
        <w:adjustRightInd/>
        <w:spacing w:line="360" w:lineRule="auto"/>
        <w:textAlignment w:val="auto"/>
        <w:outlineLvl w:val="3"/>
        <w:rPr>
          <w:rFonts w:hAnsi="宋体"/>
          <w:b/>
          <w:bCs/>
          <w:kern w:val="0"/>
          <w:szCs w:val="21"/>
        </w:rPr>
      </w:pPr>
      <w:r>
        <w:rPr>
          <w:rFonts w:hint="eastAsia" w:hAnsi="宋体"/>
          <w:b/>
          <w:bCs/>
          <w:kern w:val="0"/>
          <w:szCs w:val="21"/>
        </w:rPr>
        <w:t>五</w:t>
      </w:r>
      <w:r>
        <w:rPr>
          <w:rFonts w:hAnsi="宋体"/>
          <w:b/>
          <w:bCs/>
          <w:kern w:val="0"/>
          <w:szCs w:val="21"/>
        </w:rPr>
        <w:t>、实验教学内容及学时分配</w:t>
      </w:r>
      <w:r>
        <w:rPr>
          <w:rFonts w:hint="eastAsia" w:hAnsi="宋体"/>
          <w:b/>
          <w:bCs/>
          <w:kern w:val="0"/>
          <w:szCs w:val="21"/>
        </w:rPr>
        <w:t>（24</w:t>
      </w:r>
      <w:r>
        <w:rPr>
          <w:rFonts w:hAnsi="宋体"/>
          <w:b/>
          <w:bCs/>
          <w:kern w:val="0"/>
          <w:szCs w:val="21"/>
        </w:rPr>
        <w:t>学时</w:t>
      </w:r>
      <w:r>
        <w:rPr>
          <w:rFonts w:hint="eastAsia" w:hAnsi="宋体"/>
          <w:b/>
          <w:bCs/>
          <w:kern w:val="0"/>
          <w:szCs w:val="21"/>
        </w:rPr>
        <w:t>）</w:t>
      </w:r>
    </w:p>
    <w:p>
      <w:pPr>
        <w:keepNext w:val="0"/>
        <w:keepLines w:val="0"/>
        <w:pageBreakBefore w:val="0"/>
        <w:kinsoku/>
        <w:wordWrap/>
        <w:overflowPunct/>
        <w:topLinePunct w:val="0"/>
        <w:autoSpaceDE/>
        <w:autoSpaceDN/>
        <w:bidi w:val="0"/>
        <w:adjustRightInd/>
        <w:snapToGrid w:val="0"/>
        <w:spacing w:line="360" w:lineRule="auto"/>
        <w:textAlignment w:val="auto"/>
        <w:rPr>
          <w:rFonts w:ascii="宋体" w:hAnsi="宋体"/>
          <w:b/>
          <w:bCs/>
          <w:szCs w:val="21"/>
        </w:rPr>
      </w:pPr>
      <w:r>
        <w:rPr>
          <w:rFonts w:hint="eastAsia" w:ascii="宋体" w:hAnsi="宋体"/>
          <w:b/>
          <w:bCs/>
          <w:szCs w:val="21"/>
        </w:rPr>
        <w:t>（一）实验课程</w:t>
      </w:r>
      <w:r>
        <w:rPr>
          <w:rFonts w:ascii="宋体" w:hAnsi="宋体"/>
          <w:b/>
          <w:bCs/>
          <w:szCs w:val="21"/>
        </w:rPr>
        <w:t>简介</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szCs w:val="21"/>
        </w:rPr>
      </w:pPr>
      <w:r>
        <w:rPr>
          <w:rFonts w:hAnsi="宋体"/>
          <w:szCs w:val="21"/>
        </w:rPr>
        <w:t>蔬菜栽培学实验是蔬菜栽培学实践教学的重要组成部分，该课程针对</w:t>
      </w:r>
      <w:r>
        <w:rPr>
          <w:rFonts w:hint="eastAsia" w:hAnsi="宋体"/>
          <w:szCs w:val="21"/>
        </w:rPr>
        <w:t>《</w:t>
      </w:r>
      <w:r>
        <w:rPr>
          <w:rFonts w:hAnsi="宋体"/>
          <w:szCs w:val="21"/>
        </w:rPr>
        <w:t>蔬菜栽培学</w:t>
      </w:r>
      <w:r>
        <w:rPr>
          <w:rFonts w:hint="eastAsia" w:hAnsi="宋体"/>
          <w:szCs w:val="21"/>
        </w:rPr>
        <w:t>》</w:t>
      </w:r>
      <w:r>
        <w:rPr>
          <w:rFonts w:hAnsi="宋体"/>
          <w:szCs w:val="21"/>
        </w:rPr>
        <w:t>课程的主要内容，设立了</w:t>
      </w:r>
      <w:r>
        <w:rPr>
          <w:rFonts w:hint="eastAsia"/>
          <w:szCs w:val="21"/>
        </w:rPr>
        <w:t>15</w:t>
      </w:r>
      <w:r>
        <w:rPr>
          <w:rFonts w:hAnsi="宋体"/>
          <w:szCs w:val="21"/>
        </w:rPr>
        <w:t>个实验项目，从蔬菜种子和</w:t>
      </w:r>
      <w:r>
        <w:rPr>
          <w:rFonts w:hint="eastAsia" w:hAnsi="宋体"/>
          <w:szCs w:val="21"/>
        </w:rPr>
        <w:t>种类的</w:t>
      </w:r>
      <w:r>
        <w:rPr>
          <w:rFonts w:hAnsi="宋体"/>
          <w:szCs w:val="21"/>
        </w:rPr>
        <w:t>识别、育苗技术、花芽分化观察、花芽性别调控、整地、定植、节水灌溉、植株调整到保花保果等方面设计试验，</w:t>
      </w:r>
      <w:r>
        <w:rPr>
          <w:rFonts w:hint="eastAsia" w:hAnsi="宋体"/>
          <w:szCs w:val="21"/>
        </w:rPr>
        <w:t>覆盖</w:t>
      </w:r>
      <w:r>
        <w:rPr>
          <w:rFonts w:hAnsi="宋体"/>
          <w:szCs w:val="21"/>
        </w:rPr>
        <w:t>了蔬菜生产过程中的关键环节</w:t>
      </w:r>
      <w:r>
        <w:rPr>
          <w:rFonts w:hint="eastAsia" w:hAnsi="宋体"/>
          <w:szCs w:val="21"/>
        </w:rPr>
        <w:t>和</w:t>
      </w:r>
      <w:r>
        <w:rPr>
          <w:rFonts w:hAnsi="宋体"/>
          <w:szCs w:val="21"/>
        </w:rPr>
        <w:t>核心实践技术</w:t>
      </w:r>
      <w:r>
        <w:rPr>
          <w:rFonts w:hint="eastAsia" w:hAnsi="宋体"/>
          <w:szCs w:val="21"/>
        </w:rPr>
        <w:t>；</w:t>
      </w:r>
      <w:r>
        <w:rPr>
          <w:rFonts w:hAnsi="宋体"/>
          <w:szCs w:val="21"/>
        </w:rPr>
        <w:t>既有基础性感性认知实验、又有对基本理论的验证性实验，还有综合性和设计性试验，把有关蔬菜栽培学基础理论验证与田间基本操作紧密结合起来，使实验课程具有明显的系统性、科学性、和实用性的特点，对培养学生理论于实践相结合、提高实际动手能力起到重要作用。</w:t>
      </w:r>
    </w:p>
    <w:p>
      <w:pPr>
        <w:keepNext w:val="0"/>
        <w:keepLines w:val="0"/>
        <w:pageBreakBefore w:val="0"/>
        <w:kinsoku/>
        <w:wordWrap/>
        <w:overflowPunct/>
        <w:topLinePunct w:val="0"/>
        <w:autoSpaceDE/>
        <w:autoSpaceDN/>
        <w:bidi w:val="0"/>
        <w:adjustRightInd/>
        <w:snapToGrid w:val="0"/>
        <w:spacing w:line="360" w:lineRule="auto"/>
        <w:textAlignment w:val="auto"/>
        <w:rPr>
          <w:rFonts w:ascii="宋体" w:hAnsi="宋体"/>
          <w:b/>
          <w:bCs/>
          <w:szCs w:val="21"/>
        </w:rPr>
      </w:pPr>
      <w:r>
        <w:rPr>
          <w:rFonts w:hint="eastAsia" w:ascii="宋体" w:hAnsi="宋体"/>
          <w:b/>
          <w:bCs/>
          <w:szCs w:val="21"/>
        </w:rPr>
        <w:t>（二）实验教学目的和基本</w:t>
      </w:r>
      <w:r>
        <w:rPr>
          <w:rFonts w:ascii="宋体" w:hAnsi="宋体"/>
          <w:b/>
          <w:bCs/>
          <w:szCs w:val="21"/>
        </w:rPr>
        <w:t>要求</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int="eastAsia" w:hAnsi="宋体"/>
          <w:szCs w:val="21"/>
        </w:rPr>
        <w:t>蔬菜栽培学实验是蔬菜栽培学理论教学的重要补充。应按因地制宜和因时制宜的原则，选取几种当地的主要蔬菜作为栽培对象来展开教学活动。让学生体验从选择栽培品种、制订栽培方案、组织实施栽培、评价栽培成果等全部过程。本课程要求学生掌握蔬菜栽培的基础理论知识，能熟练地将理论教学中的相关知识与实际操作相结合，掌握各个实验的操作技能，培养学生的创新能力和从事相关科学研究的能力，以及学生独立思考和分析、解决实际问题的能力。通过蔬菜栽培学实验课程的学习，要求学生达到以下教学目的：</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int="eastAsia" w:hAnsi="宋体"/>
          <w:szCs w:val="21"/>
        </w:rPr>
        <w:t>（1）识别主要种类蔬菜及种子；</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int="eastAsia" w:hAnsi="宋体"/>
          <w:szCs w:val="21"/>
        </w:rPr>
        <w:t>（2）掌握蔬菜种子播种前的品质鉴定技术及种子处理措施；</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int="eastAsia" w:hAnsi="宋体"/>
          <w:szCs w:val="21"/>
        </w:rPr>
        <w:t>（3）</w:t>
      </w:r>
      <w:r>
        <w:rPr>
          <w:rFonts w:hAnsi="宋体"/>
          <w:szCs w:val="21"/>
        </w:rPr>
        <w:t>通过基础性实验培养学生对蔬菜作物种类的识别与描述能力、掌握蔬菜作物生物学性状的观察与记载方法</w:t>
      </w:r>
      <w:r>
        <w:rPr>
          <w:rFonts w:hint="eastAsia" w:hAnsi="宋体"/>
          <w:szCs w:val="21"/>
        </w:rPr>
        <w:t>；</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int="eastAsia" w:hAnsi="宋体"/>
          <w:szCs w:val="21"/>
        </w:rPr>
        <w:t>（4）灵活</w:t>
      </w:r>
      <w:r>
        <w:rPr>
          <w:rFonts w:hAnsi="宋体"/>
          <w:szCs w:val="21"/>
        </w:rPr>
        <w:t>掌握蔬菜作物的育苗技术，整地、做畦定植、植株调整、保花保果</w:t>
      </w:r>
      <w:r>
        <w:rPr>
          <w:rFonts w:hint="eastAsia" w:hAnsi="宋体"/>
          <w:szCs w:val="21"/>
        </w:rPr>
        <w:t>等</w:t>
      </w:r>
      <w:r>
        <w:rPr>
          <w:rFonts w:hAnsi="宋体"/>
          <w:szCs w:val="21"/>
        </w:rPr>
        <w:t>基本操技能</w:t>
      </w:r>
      <w:r>
        <w:rPr>
          <w:rFonts w:hint="eastAsia" w:hAnsi="宋体"/>
          <w:szCs w:val="21"/>
        </w:rPr>
        <w:t>；</w:t>
      </w:r>
      <w:r>
        <w:rPr>
          <w:rFonts w:hAnsi="宋体"/>
          <w:szCs w:val="21"/>
        </w:rPr>
        <w:t>熟悉实验室一般仪器设备的调试和使用，常见药剂（品）的配制，试验材料的采集和处理等基本实验和科学研究方法；</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int="eastAsia" w:hAnsi="宋体"/>
          <w:szCs w:val="21"/>
        </w:rPr>
        <w:t>（5）</w:t>
      </w:r>
      <w:r>
        <w:rPr>
          <w:rFonts w:hAnsi="宋体"/>
          <w:szCs w:val="21"/>
        </w:rPr>
        <w:t>通过综合性实验培养学生在专业实践中综合运用基础课、专业基础课知识的能力；</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int="eastAsia" w:hAnsi="宋体"/>
          <w:szCs w:val="21"/>
        </w:rPr>
        <w:t>（6）</w:t>
      </w:r>
      <w:r>
        <w:rPr>
          <w:rFonts w:hAnsi="宋体"/>
          <w:szCs w:val="21"/>
        </w:rPr>
        <w:t>通过设计性试验培养学生自主探求知识的能力、独立分析问题</w:t>
      </w:r>
      <w:r>
        <w:rPr>
          <w:rFonts w:hint="eastAsia" w:hAnsi="宋体"/>
          <w:szCs w:val="21"/>
        </w:rPr>
        <w:t>、</w:t>
      </w:r>
      <w:r>
        <w:rPr>
          <w:rFonts w:hAnsi="宋体"/>
          <w:szCs w:val="21"/>
        </w:rPr>
        <w:t>解决问题的能力和知识创新能力。</w:t>
      </w:r>
    </w:p>
    <w:p>
      <w:pPr>
        <w:keepNext w:val="0"/>
        <w:keepLines w:val="0"/>
        <w:pageBreakBefore w:val="0"/>
        <w:kinsoku/>
        <w:wordWrap/>
        <w:overflowPunct/>
        <w:topLinePunct w:val="0"/>
        <w:autoSpaceDE/>
        <w:autoSpaceDN/>
        <w:bidi w:val="0"/>
        <w:adjustRightInd/>
        <w:snapToGrid w:val="0"/>
        <w:spacing w:line="360" w:lineRule="auto"/>
        <w:textAlignment w:val="auto"/>
        <w:rPr>
          <w:rFonts w:ascii="宋体" w:hAnsi="宋体"/>
          <w:b/>
          <w:bCs/>
          <w:szCs w:val="21"/>
        </w:rPr>
      </w:pPr>
      <w:r>
        <w:rPr>
          <w:rFonts w:hint="eastAsia" w:ascii="宋体" w:hAnsi="宋体"/>
          <w:b/>
          <w:bCs/>
          <w:szCs w:val="21"/>
        </w:rPr>
        <w:t>（三）实验安全操作规范</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ascii="Calibri" w:hAnsi="宋体"/>
          <w:szCs w:val="21"/>
        </w:rPr>
      </w:pPr>
      <w:r>
        <w:rPr>
          <w:rFonts w:hAnsi="宋体"/>
          <w:szCs w:val="21"/>
        </w:rPr>
        <w:t>1.</w:t>
      </w:r>
      <w:r>
        <w:rPr>
          <w:rFonts w:hint="eastAsia" w:hAnsi="宋体"/>
          <w:szCs w:val="21"/>
        </w:rPr>
        <w:t>本课程实验主要在实验室和实验基地开展。</w:t>
      </w:r>
      <w:r>
        <w:rPr>
          <w:rFonts w:hint="eastAsia" w:ascii="Calibri" w:hAnsi="宋体"/>
          <w:szCs w:val="21"/>
        </w:rPr>
        <w:t>上课前，学生必须由实验教师带领，才能进入实验室。学生实验期间，实验教师不得离开实验室。在第一次进入实验地是，由教师强调安全管理措施。由于需要日常管理，由每班学生干部那钥匙出入实验基地。</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ascii="Calibri" w:hAnsi="宋体"/>
          <w:szCs w:val="21"/>
        </w:rPr>
        <w:t>2.</w:t>
      </w:r>
      <w:r>
        <w:rPr>
          <w:rFonts w:hint="eastAsia" w:ascii="Calibri" w:hAnsi="宋体"/>
          <w:szCs w:val="21"/>
        </w:rPr>
        <w:t>实验室不允许带食品和饮料。指导教师在上课开始时要告知学生严格遵照试验安全规程操作，并细化到每一个操作步骤，在实验指导过程中要时刻关注学生的操作过程，一旦发现违规操作要及时制止，若违规严重要严肃批评。实验结束后，指导教师应指导学生，正确关闭实验设备，并将设备摆放整齐；要求学生清理实验设置附近的垃圾方可离开实验室。</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Ansi="宋体"/>
          <w:szCs w:val="21"/>
        </w:rPr>
        <w:t>3.</w:t>
      </w:r>
      <w:r>
        <w:rPr>
          <w:rFonts w:hint="eastAsia" w:hAnsi="宋体"/>
          <w:szCs w:val="21"/>
        </w:rPr>
        <w:t>教师是教学过程的组织者，在教学中要组织各种课内外教学活动，重视实地操作和对当地蔬菜基地进行调查研究，引导学生主动学习、亲身实践。</w:t>
      </w:r>
    </w:p>
    <w:p>
      <w:pPr>
        <w:keepNext w:val="0"/>
        <w:keepLines w:val="0"/>
        <w:pageBreakBefore w:val="0"/>
        <w:kinsoku/>
        <w:wordWrap/>
        <w:overflowPunct/>
        <w:topLinePunct w:val="0"/>
        <w:autoSpaceDE/>
        <w:autoSpaceDN/>
        <w:bidi w:val="0"/>
        <w:adjustRightInd/>
        <w:snapToGrid w:val="0"/>
        <w:spacing w:line="360" w:lineRule="auto"/>
        <w:ind w:firstLine="457" w:firstLineChars="218"/>
        <w:textAlignment w:val="auto"/>
        <w:rPr>
          <w:rFonts w:hAnsi="宋体"/>
          <w:szCs w:val="21"/>
        </w:rPr>
      </w:pPr>
      <w:r>
        <w:rPr>
          <w:rFonts w:hAnsi="宋体"/>
          <w:szCs w:val="21"/>
        </w:rPr>
        <w:t>4.</w:t>
      </w:r>
      <w:r>
        <w:rPr>
          <w:rFonts w:hint="eastAsia" w:hAnsi="宋体"/>
          <w:szCs w:val="21"/>
        </w:rPr>
        <w:t>教师在教学中要重视蔬菜栽培的科学实验，及时介绍和引进蔬菜栽培的新品种、新技术。</w:t>
      </w:r>
    </w:p>
    <w:p>
      <w:pPr>
        <w:keepNext w:val="0"/>
        <w:keepLines w:val="0"/>
        <w:pageBreakBefore w:val="0"/>
        <w:kinsoku/>
        <w:wordWrap/>
        <w:overflowPunct/>
        <w:topLinePunct w:val="0"/>
        <w:autoSpaceDE/>
        <w:autoSpaceDN/>
        <w:bidi w:val="0"/>
        <w:adjustRightInd/>
        <w:snapToGrid w:val="0"/>
        <w:spacing w:beforeAutospacing="0" w:afterAutospacing="0" w:line="360" w:lineRule="auto"/>
        <w:ind w:firstLine="457" w:firstLineChars="218"/>
        <w:textAlignment w:val="auto"/>
        <w:rPr>
          <w:rFonts w:hAnsi="宋体"/>
          <w:szCs w:val="21"/>
        </w:rPr>
      </w:pPr>
      <w:r>
        <w:rPr>
          <w:rFonts w:hAnsi="宋体"/>
          <w:szCs w:val="21"/>
        </w:rPr>
        <w:t>5.</w:t>
      </w:r>
      <w:r>
        <w:rPr>
          <w:rFonts w:hint="eastAsia" w:hAnsi="宋体"/>
          <w:szCs w:val="21"/>
        </w:rPr>
        <w:t>为了保证教学活动的安全，要强调安全使用农具；在使用农药时，教师一定要检查学生操作着装，现场监护操作活动。</w:t>
      </w:r>
    </w:p>
    <w:p>
      <w:pPr>
        <w:pStyle w:val="20"/>
        <w:keepNext w:val="0"/>
        <w:keepLines w:val="0"/>
        <w:pageBreakBefore w:val="0"/>
        <w:kinsoku/>
        <w:wordWrap/>
        <w:overflowPunct/>
        <w:topLinePunct w:val="0"/>
        <w:autoSpaceDE/>
        <w:autoSpaceDN/>
        <w:bidi w:val="0"/>
        <w:adjustRightInd/>
        <w:spacing w:before="0" w:beforeAutospacing="0" w:after="0" w:afterAutospacing="0" w:line="360" w:lineRule="auto"/>
        <w:ind w:firstLine="420"/>
        <w:textAlignment w:val="auto"/>
        <w:rPr>
          <w:rFonts w:ascii="Calibri" w:hAnsi="宋体" w:eastAsia="宋体" w:cs="Times New Roman"/>
          <w:sz w:val="21"/>
          <w:szCs w:val="21"/>
        </w:rPr>
      </w:pPr>
      <w:r>
        <w:rPr>
          <w:rFonts w:ascii="Calibri" w:hAnsi="宋体" w:cs="Times New Roman"/>
          <w:sz w:val="21"/>
          <w:szCs w:val="21"/>
        </w:rPr>
        <w:t>6.</w:t>
      </w:r>
      <w:r>
        <w:rPr>
          <w:rFonts w:hint="eastAsia" w:ascii="Calibri" w:hAnsi="宋体" w:cs="Times New Roman"/>
          <w:sz w:val="21"/>
          <w:szCs w:val="21"/>
        </w:rPr>
        <w:t>实验室内和实验基地接线板和地插是为实验设备提供电力保障的，学生不允许擅自作为它用。如实验过程中，实验设备、连接线、接线板或地插等设备出线打火、漏电、异味等现象因立刻远离相关设备，迅速实验向教师汇报。指导教师因立即切断电源，根据异常程度决定是否需要疏散学生。</w:t>
      </w:r>
    </w:p>
    <w:p>
      <w:pPr>
        <w:snapToGrid w:val="0"/>
        <w:spacing w:before="156" w:beforeLines="50" w:line="300" w:lineRule="auto"/>
        <w:rPr>
          <w:rFonts w:ascii="宋体" w:hAnsi="宋体"/>
          <w:b/>
          <w:bCs/>
          <w:szCs w:val="21"/>
        </w:rPr>
      </w:pPr>
      <w:r>
        <w:rPr>
          <w:rFonts w:hint="eastAsia" w:ascii="宋体" w:hAnsi="宋体"/>
          <w:b/>
          <w:bCs/>
          <w:szCs w:val="21"/>
        </w:rPr>
        <w:t>（四）实验项目名称与学时</w:t>
      </w:r>
      <w:r>
        <w:rPr>
          <w:rFonts w:ascii="宋体" w:hAnsi="宋体"/>
          <w:b/>
          <w:bCs/>
          <w:szCs w:val="21"/>
        </w:rPr>
        <w:t>分配</w:t>
      </w:r>
    </w:p>
    <w:tbl>
      <w:tblPr>
        <w:tblStyle w:val="22"/>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312"/>
        <w:gridCol w:w="780"/>
        <w:gridCol w:w="1070"/>
        <w:gridCol w:w="1090"/>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spacing w:line="312" w:lineRule="auto"/>
              <w:jc w:val="center"/>
              <w:rPr>
                <w:b/>
                <w:sz w:val="18"/>
                <w:szCs w:val="18"/>
              </w:rPr>
            </w:pPr>
            <w:r>
              <w:rPr>
                <w:rFonts w:hAnsi="宋体"/>
                <w:b/>
                <w:sz w:val="18"/>
                <w:szCs w:val="18"/>
              </w:rPr>
              <w:t>序号</w:t>
            </w:r>
          </w:p>
        </w:tc>
        <w:tc>
          <w:tcPr>
            <w:tcW w:w="3312" w:type="dxa"/>
            <w:vAlign w:val="center"/>
          </w:tcPr>
          <w:p>
            <w:pPr>
              <w:spacing w:line="312" w:lineRule="auto"/>
              <w:jc w:val="center"/>
              <w:rPr>
                <w:b/>
                <w:sz w:val="18"/>
                <w:szCs w:val="18"/>
              </w:rPr>
            </w:pPr>
            <w:r>
              <w:rPr>
                <w:rFonts w:hAnsi="宋体"/>
                <w:b/>
                <w:sz w:val="18"/>
                <w:szCs w:val="18"/>
              </w:rPr>
              <w:t>实验名称</w:t>
            </w:r>
          </w:p>
        </w:tc>
        <w:tc>
          <w:tcPr>
            <w:tcW w:w="780" w:type="dxa"/>
            <w:vAlign w:val="center"/>
          </w:tcPr>
          <w:p>
            <w:pPr>
              <w:spacing w:line="312" w:lineRule="auto"/>
              <w:jc w:val="center"/>
              <w:rPr>
                <w:b/>
                <w:sz w:val="18"/>
                <w:szCs w:val="18"/>
              </w:rPr>
            </w:pPr>
            <w:r>
              <w:rPr>
                <w:rFonts w:hAnsi="宋体"/>
                <w:b/>
                <w:sz w:val="18"/>
                <w:szCs w:val="18"/>
              </w:rPr>
              <w:t>学时</w:t>
            </w:r>
          </w:p>
        </w:tc>
        <w:tc>
          <w:tcPr>
            <w:tcW w:w="1070" w:type="dxa"/>
            <w:vAlign w:val="center"/>
          </w:tcPr>
          <w:p>
            <w:pPr>
              <w:spacing w:line="312" w:lineRule="auto"/>
              <w:jc w:val="center"/>
              <w:rPr>
                <w:b/>
                <w:sz w:val="18"/>
                <w:szCs w:val="18"/>
              </w:rPr>
            </w:pPr>
            <w:r>
              <w:rPr>
                <w:rFonts w:hAnsi="宋体"/>
                <w:b/>
                <w:sz w:val="18"/>
                <w:szCs w:val="18"/>
              </w:rPr>
              <w:t>类型</w:t>
            </w:r>
          </w:p>
        </w:tc>
        <w:tc>
          <w:tcPr>
            <w:tcW w:w="1090" w:type="dxa"/>
            <w:vAlign w:val="center"/>
          </w:tcPr>
          <w:p>
            <w:pPr>
              <w:spacing w:line="312" w:lineRule="auto"/>
              <w:jc w:val="center"/>
              <w:rPr>
                <w:b/>
                <w:sz w:val="18"/>
                <w:szCs w:val="18"/>
              </w:rPr>
            </w:pPr>
            <w:r>
              <w:rPr>
                <w:rFonts w:hAnsi="宋体"/>
                <w:b/>
                <w:sz w:val="18"/>
                <w:szCs w:val="18"/>
              </w:rPr>
              <w:t>实验要求</w:t>
            </w:r>
          </w:p>
        </w:tc>
        <w:tc>
          <w:tcPr>
            <w:tcW w:w="1119" w:type="dxa"/>
          </w:tcPr>
          <w:p>
            <w:pPr>
              <w:spacing w:line="312" w:lineRule="auto"/>
              <w:jc w:val="center"/>
              <w:rPr>
                <w:b/>
                <w:sz w:val="18"/>
                <w:szCs w:val="18"/>
              </w:rPr>
            </w:pPr>
            <w:r>
              <w:rPr>
                <w:rFonts w:hAnsi="宋体"/>
                <w:b/>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418" w:type="dxa"/>
          </w:tcPr>
          <w:p>
            <w:pPr>
              <w:jc w:val="center"/>
              <w:rPr>
                <w:sz w:val="18"/>
                <w:szCs w:val="18"/>
              </w:rPr>
            </w:pPr>
            <w:r>
              <w:rPr>
                <w:sz w:val="18"/>
                <w:szCs w:val="18"/>
              </w:rPr>
              <w:t>1901100401</w:t>
            </w:r>
          </w:p>
        </w:tc>
        <w:tc>
          <w:tcPr>
            <w:tcW w:w="3312" w:type="dxa"/>
            <w:vAlign w:val="center"/>
          </w:tcPr>
          <w:p>
            <w:pPr>
              <w:widowControl/>
              <w:snapToGrid w:val="0"/>
              <w:spacing w:line="312" w:lineRule="auto"/>
              <w:jc w:val="center"/>
              <w:rPr>
                <w:bCs/>
                <w:kern w:val="0"/>
                <w:sz w:val="18"/>
                <w:szCs w:val="18"/>
              </w:rPr>
            </w:pPr>
            <w:r>
              <w:rPr>
                <w:rFonts w:hAnsi="宋体"/>
                <w:sz w:val="18"/>
                <w:szCs w:val="18"/>
              </w:rPr>
              <w:t>蔬菜种子与种类识别</w:t>
            </w:r>
          </w:p>
        </w:tc>
        <w:tc>
          <w:tcPr>
            <w:tcW w:w="780" w:type="dxa"/>
            <w:vAlign w:val="center"/>
          </w:tcPr>
          <w:p>
            <w:pPr>
              <w:widowControl/>
              <w:snapToGrid w:val="0"/>
              <w:spacing w:line="312" w:lineRule="auto"/>
              <w:jc w:val="center"/>
              <w:rPr>
                <w:bCs/>
                <w:kern w:val="0"/>
                <w:sz w:val="18"/>
                <w:szCs w:val="18"/>
              </w:rPr>
            </w:pPr>
            <w:r>
              <w:rPr>
                <w:bCs/>
                <w:kern w:val="0"/>
                <w:sz w:val="18"/>
                <w:szCs w:val="18"/>
              </w:rPr>
              <w:t>4</w:t>
            </w:r>
          </w:p>
        </w:tc>
        <w:tc>
          <w:tcPr>
            <w:tcW w:w="1070" w:type="dxa"/>
            <w:vAlign w:val="center"/>
          </w:tcPr>
          <w:p>
            <w:pPr>
              <w:widowControl/>
              <w:snapToGrid w:val="0"/>
              <w:spacing w:line="312" w:lineRule="auto"/>
              <w:jc w:val="center"/>
              <w:rPr>
                <w:bCs/>
                <w:kern w:val="0"/>
                <w:sz w:val="18"/>
                <w:szCs w:val="18"/>
              </w:rPr>
            </w:pPr>
            <w:r>
              <w:rPr>
                <w:rFonts w:hAnsi="宋体"/>
                <w:sz w:val="18"/>
                <w:szCs w:val="18"/>
              </w:rPr>
              <w:t>验证性</w:t>
            </w:r>
          </w:p>
        </w:tc>
        <w:tc>
          <w:tcPr>
            <w:tcW w:w="1090" w:type="dxa"/>
          </w:tcPr>
          <w:p>
            <w:pPr>
              <w:jc w:val="center"/>
              <w:rPr>
                <w:sz w:val="18"/>
                <w:szCs w:val="18"/>
              </w:rPr>
            </w:pPr>
            <w:r>
              <w:rPr>
                <w:rFonts w:hAnsi="宋体"/>
                <w:sz w:val="18"/>
                <w:szCs w:val="18"/>
              </w:rPr>
              <w:t>必做</w:t>
            </w:r>
          </w:p>
        </w:tc>
        <w:tc>
          <w:tcPr>
            <w:tcW w:w="1119" w:type="dxa"/>
          </w:tcPr>
          <w:p>
            <w:pPr>
              <w:widowControl/>
              <w:snapToGrid w:val="0"/>
              <w:spacing w:line="312" w:lineRule="auto"/>
              <w:jc w:val="center"/>
              <w:rPr>
                <w:bCs/>
                <w:kern w:val="0"/>
                <w:sz w:val="18"/>
                <w:szCs w:val="18"/>
              </w:rPr>
            </w:pPr>
            <w:r>
              <w:rPr>
                <w:bCs/>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1901100402</w:t>
            </w:r>
          </w:p>
        </w:tc>
        <w:tc>
          <w:tcPr>
            <w:tcW w:w="3312" w:type="dxa"/>
            <w:vAlign w:val="center"/>
          </w:tcPr>
          <w:p>
            <w:pPr>
              <w:widowControl/>
              <w:snapToGrid w:val="0"/>
              <w:spacing w:line="312" w:lineRule="auto"/>
              <w:jc w:val="center"/>
              <w:rPr>
                <w:bCs/>
                <w:kern w:val="0"/>
                <w:sz w:val="18"/>
                <w:szCs w:val="18"/>
              </w:rPr>
            </w:pPr>
            <w:r>
              <w:rPr>
                <w:rFonts w:hAnsi="宋体"/>
                <w:sz w:val="18"/>
                <w:szCs w:val="18"/>
              </w:rPr>
              <w:t>蔬菜播种与种子质量测定</w:t>
            </w:r>
          </w:p>
        </w:tc>
        <w:tc>
          <w:tcPr>
            <w:tcW w:w="780" w:type="dxa"/>
            <w:vAlign w:val="center"/>
          </w:tcPr>
          <w:p>
            <w:pPr>
              <w:widowControl/>
              <w:snapToGrid w:val="0"/>
              <w:spacing w:line="312" w:lineRule="auto"/>
              <w:jc w:val="center"/>
              <w:rPr>
                <w:bCs/>
                <w:kern w:val="0"/>
                <w:sz w:val="18"/>
                <w:szCs w:val="18"/>
              </w:rPr>
            </w:pPr>
            <w:r>
              <w:rPr>
                <w:bCs/>
                <w:kern w:val="0"/>
                <w:sz w:val="18"/>
                <w:szCs w:val="18"/>
              </w:rPr>
              <w:t>2</w:t>
            </w:r>
          </w:p>
        </w:tc>
        <w:tc>
          <w:tcPr>
            <w:tcW w:w="1070" w:type="dxa"/>
            <w:vAlign w:val="center"/>
          </w:tcPr>
          <w:p>
            <w:pPr>
              <w:widowControl/>
              <w:snapToGrid w:val="0"/>
              <w:spacing w:line="312" w:lineRule="auto"/>
              <w:jc w:val="center"/>
              <w:rPr>
                <w:bCs/>
                <w:kern w:val="0"/>
                <w:sz w:val="18"/>
                <w:szCs w:val="18"/>
              </w:rPr>
            </w:pPr>
            <w:r>
              <w:rPr>
                <w:rFonts w:hAnsi="宋体"/>
                <w:sz w:val="18"/>
                <w:szCs w:val="18"/>
              </w:rPr>
              <w:t>基础性</w:t>
            </w:r>
          </w:p>
        </w:tc>
        <w:tc>
          <w:tcPr>
            <w:tcW w:w="1090" w:type="dxa"/>
          </w:tcPr>
          <w:p>
            <w:pPr>
              <w:jc w:val="center"/>
              <w:rPr>
                <w:sz w:val="18"/>
                <w:szCs w:val="18"/>
              </w:rPr>
            </w:pPr>
            <w:r>
              <w:rPr>
                <w:rFonts w:hAnsi="宋体"/>
                <w:sz w:val="18"/>
                <w:szCs w:val="18"/>
              </w:rPr>
              <w:t>必做</w:t>
            </w:r>
          </w:p>
        </w:tc>
        <w:tc>
          <w:tcPr>
            <w:tcW w:w="1119" w:type="dxa"/>
          </w:tcPr>
          <w:p>
            <w:pPr>
              <w:widowControl/>
              <w:snapToGrid w:val="0"/>
              <w:spacing w:line="312" w:lineRule="auto"/>
              <w:jc w:val="center"/>
              <w:rPr>
                <w:bCs/>
                <w:kern w:val="0"/>
                <w:sz w:val="18"/>
                <w:szCs w:val="18"/>
              </w:rPr>
            </w:pPr>
            <w:r>
              <w:rPr>
                <w:bCs/>
                <w:kern w:val="0"/>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1901100403</w:t>
            </w:r>
          </w:p>
        </w:tc>
        <w:tc>
          <w:tcPr>
            <w:tcW w:w="3312" w:type="dxa"/>
            <w:vAlign w:val="center"/>
          </w:tcPr>
          <w:p>
            <w:pPr>
              <w:widowControl/>
              <w:snapToGrid w:val="0"/>
              <w:spacing w:line="312" w:lineRule="auto"/>
              <w:jc w:val="center"/>
              <w:rPr>
                <w:rFonts w:hAnsi="宋体"/>
                <w:sz w:val="18"/>
                <w:szCs w:val="18"/>
              </w:rPr>
            </w:pPr>
            <w:r>
              <w:rPr>
                <w:rFonts w:hAnsi="宋体"/>
                <w:sz w:val="18"/>
                <w:szCs w:val="18"/>
              </w:rPr>
              <w:t>蔬菜嫁接育苗与管理</w:t>
            </w:r>
          </w:p>
        </w:tc>
        <w:tc>
          <w:tcPr>
            <w:tcW w:w="780" w:type="dxa"/>
            <w:vAlign w:val="center"/>
          </w:tcPr>
          <w:p>
            <w:pPr>
              <w:widowControl/>
              <w:snapToGrid w:val="0"/>
              <w:spacing w:line="312" w:lineRule="auto"/>
              <w:jc w:val="center"/>
              <w:rPr>
                <w:bCs/>
                <w:kern w:val="0"/>
                <w:sz w:val="18"/>
                <w:szCs w:val="18"/>
              </w:rPr>
            </w:pPr>
            <w:r>
              <w:rPr>
                <w:bCs/>
                <w:kern w:val="0"/>
                <w:sz w:val="18"/>
                <w:szCs w:val="18"/>
              </w:rPr>
              <w:t>4</w:t>
            </w:r>
          </w:p>
        </w:tc>
        <w:tc>
          <w:tcPr>
            <w:tcW w:w="1070" w:type="dxa"/>
            <w:vAlign w:val="center"/>
          </w:tcPr>
          <w:p>
            <w:pPr>
              <w:widowControl/>
              <w:snapToGrid w:val="0"/>
              <w:spacing w:line="312" w:lineRule="auto"/>
              <w:jc w:val="center"/>
              <w:rPr>
                <w:bCs/>
                <w:kern w:val="0"/>
                <w:sz w:val="18"/>
                <w:szCs w:val="18"/>
              </w:rPr>
            </w:pPr>
            <w:r>
              <w:rPr>
                <w:rFonts w:hAnsi="宋体"/>
                <w:sz w:val="18"/>
                <w:szCs w:val="18"/>
              </w:rPr>
              <w:t>综合性</w:t>
            </w:r>
          </w:p>
        </w:tc>
        <w:tc>
          <w:tcPr>
            <w:tcW w:w="1090" w:type="dxa"/>
          </w:tcPr>
          <w:p>
            <w:pPr>
              <w:jc w:val="center"/>
              <w:rPr>
                <w:sz w:val="18"/>
                <w:szCs w:val="18"/>
              </w:rPr>
            </w:pPr>
            <w:r>
              <w:rPr>
                <w:rFonts w:hAnsi="宋体"/>
                <w:sz w:val="18"/>
                <w:szCs w:val="18"/>
              </w:rPr>
              <w:t>必做</w:t>
            </w:r>
          </w:p>
        </w:tc>
        <w:tc>
          <w:tcPr>
            <w:tcW w:w="1119" w:type="dxa"/>
          </w:tcPr>
          <w:p>
            <w:pPr>
              <w:widowControl/>
              <w:snapToGrid w:val="0"/>
              <w:spacing w:line="312" w:lineRule="auto"/>
              <w:jc w:val="center"/>
              <w:rPr>
                <w:bCs/>
                <w:kern w:val="0"/>
                <w:sz w:val="18"/>
                <w:szCs w:val="18"/>
              </w:rPr>
            </w:pPr>
            <w:r>
              <w:rPr>
                <w:bCs/>
                <w:kern w:val="0"/>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1901100404</w:t>
            </w:r>
          </w:p>
        </w:tc>
        <w:tc>
          <w:tcPr>
            <w:tcW w:w="3312" w:type="dxa"/>
            <w:vAlign w:val="center"/>
          </w:tcPr>
          <w:p>
            <w:pPr>
              <w:widowControl/>
              <w:snapToGrid w:val="0"/>
              <w:spacing w:line="312" w:lineRule="auto"/>
              <w:jc w:val="center"/>
              <w:rPr>
                <w:rFonts w:hAnsi="宋体"/>
                <w:sz w:val="18"/>
                <w:szCs w:val="18"/>
              </w:rPr>
            </w:pPr>
            <w:r>
              <w:rPr>
                <w:rFonts w:hAnsi="宋体"/>
                <w:sz w:val="18"/>
                <w:szCs w:val="18"/>
              </w:rPr>
              <w:t>茄果类蔬菜花芽分化观察</w:t>
            </w:r>
          </w:p>
        </w:tc>
        <w:tc>
          <w:tcPr>
            <w:tcW w:w="780" w:type="dxa"/>
            <w:vAlign w:val="center"/>
          </w:tcPr>
          <w:p>
            <w:pPr>
              <w:widowControl/>
              <w:snapToGrid w:val="0"/>
              <w:spacing w:line="312" w:lineRule="auto"/>
              <w:jc w:val="center"/>
              <w:rPr>
                <w:bCs/>
                <w:kern w:val="0"/>
                <w:sz w:val="18"/>
                <w:szCs w:val="18"/>
              </w:rPr>
            </w:pPr>
            <w:r>
              <w:rPr>
                <w:bCs/>
                <w:kern w:val="0"/>
                <w:sz w:val="18"/>
                <w:szCs w:val="18"/>
              </w:rPr>
              <w:t>3</w:t>
            </w:r>
          </w:p>
        </w:tc>
        <w:tc>
          <w:tcPr>
            <w:tcW w:w="1070" w:type="dxa"/>
            <w:vAlign w:val="center"/>
          </w:tcPr>
          <w:p>
            <w:pPr>
              <w:widowControl/>
              <w:snapToGrid w:val="0"/>
              <w:spacing w:line="312" w:lineRule="auto"/>
              <w:jc w:val="center"/>
              <w:rPr>
                <w:bCs/>
                <w:kern w:val="0"/>
                <w:sz w:val="18"/>
                <w:szCs w:val="18"/>
              </w:rPr>
            </w:pPr>
            <w:r>
              <w:rPr>
                <w:rFonts w:hAnsi="宋体"/>
                <w:sz w:val="18"/>
                <w:szCs w:val="18"/>
              </w:rPr>
              <w:t>基础性</w:t>
            </w:r>
          </w:p>
        </w:tc>
        <w:tc>
          <w:tcPr>
            <w:tcW w:w="1090" w:type="dxa"/>
          </w:tcPr>
          <w:p>
            <w:pPr>
              <w:jc w:val="center"/>
              <w:rPr>
                <w:sz w:val="18"/>
                <w:szCs w:val="18"/>
              </w:rPr>
            </w:pPr>
            <w:r>
              <w:rPr>
                <w:rFonts w:hint="eastAsia" w:hAnsi="宋体"/>
                <w:sz w:val="18"/>
                <w:szCs w:val="18"/>
                <w:lang w:val="en-US" w:eastAsia="zh-CN"/>
              </w:rPr>
              <w:t>选</w:t>
            </w:r>
            <w:r>
              <w:rPr>
                <w:rFonts w:hAnsi="宋体"/>
                <w:sz w:val="18"/>
                <w:szCs w:val="18"/>
              </w:rPr>
              <w:t>做</w:t>
            </w:r>
          </w:p>
        </w:tc>
        <w:tc>
          <w:tcPr>
            <w:tcW w:w="1119" w:type="dxa"/>
          </w:tcPr>
          <w:p>
            <w:pPr>
              <w:widowControl/>
              <w:snapToGrid w:val="0"/>
              <w:spacing w:line="312" w:lineRule="auto"/>
              <w:jc w:val="center"/>
              <w:rPr>
                <w:bCs/>
                <w:kern w:val="0"/>
                <w:sz w:val="18"/>
                <w:szCs w:val="18"/>
              </w:rPr>
            </w:pPr>
            <w:r>
              <w:rPr>
                <w:bCs/>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1901100405</w:t>
            </w:r>
          </w:p>
        </w:tc>
        <w:tc>
          <w:tcPr>
            <w:tcW w:w="3312" w:type="dxa"/>
            <w:vAlign w:val="center"/>
          </w:tcPr>
          <w:p>
            <w:pPr>
              <w:widowControl/>
              <w:snapToGrid w:val="0"/>
              <w:spacing w:line="312" w:lineRule="auto"/>
              <w:jc w:val="center"/>
              <w:rPr>
                <w:rFonts w:hAnsi="宋体"/>
                <w:sz w:val="18"/>
                <w:szCs w:val="18"/>
              </w:rPr>
            </w:pPr>
            <w:r>
              <w:rPr>
                <w:rFonts w:hAnsi="宋体"/>
                <w:sz w:val="18"/>
                <w:szCs w:val="18"/>
              </w:rPr>
              <w:t>整地、做畦、播种和定植技术</w:t>
            </w:r>
          </w:p>
        </w:tc>
        <w:tc>
          <w:tcPr>
            <w:tcW w:w="780" w:type="dxa"/>
            <w:vAlign w:val="center"/>
          </w:tcPr>
          <w:p>
            <w:pPr>
              <w:widowControl/>
              <w:snapToGrid w:val="0"/>
              <w:spacing w:line="312" w:lineRule="auto"/>
              <w:jc w:val="center"/>
              <w:rPr>
                <w:rFonts w:hint="eastAsia" w:eastAsia="宋体"/>
                <w:bCs/>
                <w:kern w:val="0"/>
                <w:sz w:val="18"/>
                <w:szCs w:val="18"/>
                <w:lang w:eastAsia="zh-CN"/>
              </w:rPr>
            </w:pPr>
            <w:r>
              <w:rPr>
                <w:rFonts w:hint="eastAsia"/>
                <w:bCs/>
                <w:kern w:val="0"/>
                <w:sz w:val="18"/>
                <w:szCs w:val="18"/>
                <w:lang w:val="en-US" w:eastAsia="zh-CN"/>
              </w:rPr>
              <w:t>3</w:t>
            </w:r>
          </w:p>
        </w:tc>
        <w:tc>
          <w:tcPr>
            <w:tcW w:w="1070" w:type="dxa"/>
            <w:vAlign w:val="center"/>
          </w:tcPr>
          <w:p>
            <w:pPr>
              <w:widowControl/>
              <w:snapToGrid w:val="0"/>
              <w:spacing w:line="312" w:lineRule="auto"/>
              <w:jc w:val="center"/>
              <w:rPr>
                <w:bCs/>
                <w:kern w:val="0"/>
                <w:sz w:val="18"/>
                <w:szCs w:val="18"/>
              </w:rPr>
            </w:pPr>
            <w:r>
              <w:rPr>
                <w:rFonts w:hAnsi="宋体"/>
                <w:sz w:val="18"/>
                <w:szCs w:val="18"/>
              </w:rPr>
              <w:t>基础性</w:t>
            </w:r>
          </w:p>
        </w:tc>
        <w:tc>
          <w:tcPr>
            <w:tcW w:w="1090" w:type="dxa"/>
          </w:tcPr>
          <w:p>
            <w:pPr>
              <w:jc w:val="center"/>
              <w:rPr>
                <w:sz w:val="18"/>
                <w:szCs w:val="18"/>
              </w:rPr>
            </w:pPr>
            <w:r>
              <w:rPr>
                <w:rFonts w:hAnsi="宋体"/>
                <w:sz w:val="18"/>
                <w:szCs w:val="18"/>
              </w:rPr>
              <w:t>必做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1901100406</w:t>
            </w:r>
          </w:p>
        </w:tc>
        <w:tc>
          <w:tcPr>
            <w:tcW w:w="3312" w:type="dxa"/>
            <w:vAlign w:val="center"/>
          </w:tcPr>
          <w:p>
            <w:pPr>
              <w:widowControl/>
              <w:snapToGrid w:val="0"/>
              <w:spacing w:line="312" w:lineRule="auto"/>
              <w:jc w:val="center"/>
              <w:rPr>
                <w:rFonts w:hAnsi="宋体"/>
                <w:sz w:val="18"/>
                <w:szCs w:val="18"/>
              </w:rPr>
            </w:pPr>
            <w:r>
              <w:rPr>
                <w:rFonts w:hAnsi="宋体"/>
                <w:sz w:val="18"/>
                <w:szCs w:val="18"/>
              </w:rPr>
              <w:t>蔬菜分枝及开花结果习性观察</w:t>
            </w:r>
          </w:p>
        </w:tc>
        <w:tc>
          <w:tcPr>
            <w:tcW w:w="780" w:type="dxa"/>
            <w:vAlign w:val="center"/>
          </w:tcPr>
          <w:p>
            <w:pPr>
              <w:widowControl/>
              <w:snapToGrid w:val="0"/>
              <w:spacing w:line="312" w:lineRule="auto"/>
              <w:jc w:val="center"/>
              <w:rPr>
                <w:bCs/>
                <w:kern w:val="0"/>
                <w:sz w:val="18"/>
                <w:szCs w:val="18"/>
              </w:rPr>
            </w:pPr>
            <w:r>
              <w:rPr>
                <w:bCs/>
                <w:kern w:val="0"/>
                <w:sz w:val="18"/>
                <w:szCs w:val="18"/>
              </w:rPr>
              <w:t>3</w:t>
            </w:r>
          </w:p>
        </w:tc>
        <w:tc>
          <w:tcPr>
            <w:tcW w:w="1070" w:type="dxa"/>
            <w:vAlign w:val="center"/>
          </w:tcPr>
          <w:p>
            <w:pPr>
              <w:widowControl/>
              <w:snapToGrid w:val="0"/>
              <w:spacing w:line="312" w:lineRule="auto"/>
              <w:jc w:val="center"/>
              <w:rPr>
                <w:bCs/>
                <w:kern w:val="0"/>
                <w:sz w:val="18"/>
                <w:szCs w:val="18"/>
              </w:rPr>
            </w:pPr>
            <w:r>
              <w:rPr>
                <w:rFonts w:hAnsi="宋体"/>
                <w:sz w:val="18"/>
                <w:szCs w:val="18"/>
              </w:rPr>
              <w:t>基础性</w:t>
            </w:r>
          </w:p>
        </w:tc>
        <w:tc>
          <w:tcPr>
            <w:tcW w:w="1090" w:type="dxa"/>
            <w:vAlign w:val="center"/>
          </w:tcPr>
          <w:p>
            <w:pPr>
              <w:widowControl/>
              <w:snapToGrid w:val="0"/>
              <w:spacing w:line="312" w:lineRule="auto"/>
              <w:jc w:val="center"/>
              <w:rPr>
                <w:bCs/>
                <w:kern w:val="0"/>
                <w:sz w:val="18"/>
                <w:szCs w:val="18"/>
              </w:rPr>
            </w:pPr>
            <w:r>
              <w:rPr>
                <w:rFonts w:hint="eastAsia" w:hAnsi="宋体"/>
                <w:sz w:val="18"/>
                <w:szCs w:val="18"/>
              </w:rPr>
              <w:t>必</w:t>
            </w:r>
            <w:r>
              <w:rPr>
                <w:rFonts w:hAnsi="宋体"/>
                <w:sz w:val="18"/>
                <w:szCs w:val="18"/>
              </w:rPr>
              <w:t>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1901100407</w:t>
            </w:r>
          </w:p>
        </w:tc>
        <w:tc>
          <w:tcPr>
            <w:tcW w:w="3312" w:type="dxa"/>
            <w:vAlign w:val="center"/>
          </w:tcPr>
          <w:p>
            <w:pPr>
              <w:widowControl/>
              <w:snapToGrid w:val="0"/>
              <w:spacing w:line="312" w:lineRule="auto"/>
              <w:jc w:val="center"/>
              <w:rPr>
                <w:rFonts w:hAnsi="宋体"/>
                <w:sz w:val="18"/>
                <w:szCs w:val="18"/>
              </w:rPr>
            </w:pPr>
            <w:r>
              <w:rPr>
                <w:rFonts w:hAnsi="宋体"/>
                <w:sz w:val="18"/>
                <w:szCs w:val="18"/>
              </w:rPr>
              <w:t>蔬菜植株调整</w:t>
            </w:r>
          </w:p>
        </w:tc>
        <w:tc>
          <w:tcPr>
            <w:tcW w:w="780" w:type="dxa"/>
            <w:vAlign w:val="center"/>
          </w:tcPr>
          <w:p>
            <w:pPr>
              <w:widowControl/>
              <w:snapToGrid w:val="0"/>
              <w:spacing w:line="312" w:lineRule="auto"/>
              <w:jc w:val="center"/>
              <w:rPr>
                <w:bCs/>
                <w:kern w:val="0"/>
                <w:sz w:val="18"/>
                <w:szCs w:val="18"/>
              </w:rPr>
            </w:pPr>
            <w:r>
              <w:rPr>
                <w:bCs/>
                <w:kern w:val="0"/>
                <w:sz w:val="18"/>
                <w:szCs w:val="18"/>
              </w:rPr>
              <w:t>2</w:t>
            </w:r>
          </w:p>
        </w:tc>
        <w:tc>
          <w:tcPr>
            <w:tcW w:w="1070" w:type="dxa"/>
            <w:vAlign w:val="center"/>
          </w:tcPr>
          <w:p>
            <w:pPr>
              <w:widowControl/>
              <w:snapToGrid w:val="0"/>
              <w:spacing w:line="312" w:lineRule="auto"/>
              <w:jc w:val="center"/>
              <w:rPr>
                <w:bCs/>
                <w:kern w:val="0"/>
                <w:sz w:val="18"/>
                <w:szCs w:val="18"/>
              </w:rPr>
            </w:pPr>
            <w:r>
              <w:rPr>
                <w:rFonts w:hAnsi="宋体"/>
                <w:sz w:val="18"/>
                <w:szCs w:val="18"/>
              </w:rPr>
              <w:t>设计性</w:t>
            </w:r>
          </w:p>
        </w:tc>
        <w:tc>
          <w:tcPr>
            <w:tcW w:w="1090" w:type="dxa"/>
          </w:tcPr>
          <w:p>
            <w:pPr>
              <w:jc w:val="center"/>
              <w:rPr>
                <w:sz w:val="18"/>
                <w:szCs w:val="18"/>
              </w:rPr>
            </w:pPr>
            <w:r>
              <w:rPr>
                <w:rFonts w:hAnsi="宋体"/>
                <w:sz w:val="18"/>
                <w:szCs w:val="18"/>
              </w:rPr>
              <w:t>必做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1901100408</w:t>
            </w:r>
          </w:p>
        </w:tc>
        <w:tc>
          <w:tcPr>
            <w:tcW w:w="3312" w:type="dxa"/>
            <w:vAlign w:val="center"/>
          </w:tcPr>
          <w:p>
            <w:pPr>
              <w:widowControl/>
              <w:snapToGrid w:val="0"/>
              <w:spacing w:line="312" w:lineRule="auto"/>
              <w:jc w:val="center"/>
              <w:rPr>
                <w:rFonts w:hAnsi="宋体"/>
                <w:sz w:val="18"/>
                <w:szCs w:val="18"/>
              </w:rPr>
            </w:pPr>
            <w:r>
              <w:rPr>
                <w:rFonts w:hAnsi="宋体"/>
                <w:sz w:val="18"/>
                <w:szCs w:val="18"/>
              </w:rPr>
              <w:t>植物生长调节剂在蔬菜上的应用</w:t>
            </w:r>
          </w:p>
        </w:tc>
        <w:tc>
          <w:tcPr>
            <w:tcW w:w="780" w:type="dxa"/>
            <w:vAlign w:val="center"/>
          </w:tcPr>
          <w:p>
            <w:pPr>
              <w:widowControl/>
              <w:snapToGrid w:val="0"/>
              <w:spacing w:line="312" w:lineRule="auto"/>
              <w:jc w:val="center"/>
              <w:rPr>
                <w:bCs/>
                <w:kern w:val="0"/>
                <w:sz w:val="18"/>
                <w:szCs w:val="18"/>
              </w:rPr>
            </w:pPr>
            <w:r>
              <w:rPr>
                <w:bCs/>
                <w:kern w:val="0"/>
                <w:sz w:val="18"/>
                <w:szCs w:val="18"/>
              </w:rPr>
              <w:t>2</w:t>
            </w:r>
          </w:p>
        </w:tc>
        <w:tc>
          <w:tcPr>
            <w:tcW w:w="1070" w:type="dxa"/>
            <w:vAlign w:val="center"/>
          </w:tcPr>
          <w:p>
            <w:pPr>
              <w:widowControl/>
              <w:snapToGrid w:val="0"/>
              <w:spacing w:line="312" w:lineRule="auto"/>
              <w:jc w:val="center"/>
              <w:rPr>
                <w:bCs/>
                <w:kern w:val="0"/>
                <w:sz w:val="18"/>
                <w:szCs w:val="18"/>
              </w:rPr>
            </w:pPr>
            <w:r>
              <w:rPr>
                <w:rFonts w:hAnsi="宋体"/>
                <w:sz w:val="18"/>
                <w:szCs w:val="18"/>
              </w:rPr>
              <w:t>设计性</w:t>
            </w:r>
          </w:p>
        </w:tc>
        <w:tc>
          <w:tcPr>
            <w:tcW w:w="1090" w:type="dxa"/>
          </w:tcPr>
          <w:p>
            <w:pPr>
              <w:jc w:val="center"/>
              <w:rPr>
                <w:sz w:val="18"/>
                <w:szCs w:val="18"/>
              </w:rPr>
            </w:pPr>
            <w:r>
              <w:rPr>
                <w:rFonts w:hAnsi="宋体"/>
                <w:sz w:val="18"/>
                <w:szCs w:val="18"/>
              </w:rPr>
              <w:t>必做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1901100409</w:t>
            </w:r>
          </w:p>
        </w:tc>
        <w:tc>
          <w:tcPr>
            <w:tcW w:w="3312" w:type="dxa"/>
            <w:vAlign w:val="center"/>
          </w:tcPr>
          <w:p>
            <w:pPr>
              <w:widowControl/>
              <w:snapToGrid w:val="0"/>
              <w:spacing w:line="312" w:lineRule="auto"/>
              <w:jc w:val="center"/>
              <w:rPr>
                <w:rFonts w:hAnsi="宋体"/>
                <w:sz w:val="18"/>
                <w:szCs w:val="18"/>
              </w:rPr>
            </w:pPr>
            <w:r>
              <w:rPr>
                <w:rFonts w:hAnsi="宋体"/>
                <w:sz w:val="18"/>
                <w:szCs w:val="18"/>
              </w:rPr>
              <w:t>蔬菜生理生态常见仪器性能了解与使用</w:t>
            </w:r>
          </w:p>
        </w:tc>
        <w:tc>
          <w:tcPr>
            <w:tcW w:w="780" w:type="dxa"/>
            <w:vAlign w:val="center"/>
          </w:tcPr>
          <w:p>
            <w:pPr>
              <w:widowControl/>
              <w:snapToGrid w:val="0"/>
              <w:spacing w:line="312" w:lineRule="auto"/>
              <w:jc w:val="center"/>
              <w:rPr>
                <w:bCs/>
                <w:kern w:val="0"/>
                <w:sz w:val="18"/>
                <w:szCs w:val="18"/>
              </w:rPr>
            </w:pPr>
            <w:r>
              <w:rPr>
                <w:bCs/>
                <w:kern w:val="0"/>
                <w:sz w:val="18"/>
                <w:szCs w:val="18"/>
              </w:rPr>
              <w:t>3</w:t>
            </w:r>
          </w:p>
        </w:tc>
        <w:tc>
          <w:tcPr>
            <w:tcW w:w="1070" w:type="dxa"/>
            <w:vAlign w:val="center"/>
          </w:tcPr>
          <w:p>
            <w:pPr>
              <w:widowControl/>
              <w:snapToGrid w:val="0"/>
              <w:spacing w:line="312" w:lineRule="auto"/>
              <w:jc w:val="center"/>
              <w:rPr>
                <w:bCs/>
                <w:kern w:val="0"/>
                <w:sz w:val="18"/>
                <w:szCs w:val="18"/>
              </w:rPr>
            </w:pPr>
            <w:r>
              <w:rPr>
                <w:rFonts w:hAnsi="宋体"/>
                <w:sz w:val="18"/>
                <w:szCs w:val="18"/>
              </w:rPr>
              <w:t>综合性</w:t>
            </w:r>
          </w:p>
        </w:tc>
        <w:tc>
          <w:tcPr>
            <w:tcW w:w="1090" w:type="dxa"/>
          </w:tcPr>
          <w:p>
            <w:pPr>
              <w:jc w:val="center"/>
              <w:rPr>
                <w:sz w:val="18"/>
                <w:szCs w:val="18"/>
              </w:rPr>
            </w:pPr>
            <w:r>
              <w:rPr>
                <w:rFonts w:hAnsi="宋体"/>
                <w:sz w:val="18"/>
                <w:szCs w:val="18"/>
              </w:rPr>
              <w:t>选做</w:t>
            </w:r>
          </w:p>
        </w:tc>
        <w:tc>
          <w:tcPr>
            <w:tcW w:w="1119" w:type="dxa"/>
          </w:tcPr>
          <w:p>
            <w:pPr>
              <w:widowControl/>
              <w:snapToGrid w:val="0"/>
              <w:spacing w:line="312" w:lineRule="auto"/>
              <w:jc w:val="center"/>
              <w:rPr>
                <w:bCs/>
                <w:kern w:val="0"/>
                <w:sz w:val="18"/>
                <w:szCs w:val="18"/>
              </w:rPr>
            </w:pPr>
            <w:r>
              <w:rPr>
                <w:bCs/>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19011004010</w:t>
            </w:r>
          </w:p>
        </w:tc>
        <w:tc>
          <w:tcPr>
            <w:tcW w:w="3312" w:type="dxa"/>
            <w:vAlign w:val="center"/>
          </w:tcPr>
          <w:p>
            <w:pPr>
              <w:widowControl/>
              <w:snapToGrid w:val="0"/>
              <w:spacing w:line="312" w:lineRule="auto"/>
              <w:jc w:val="center"/>
              <w:rPr>
                <w:bCs/>
                <w:kern w:val="0"/>
                <w:sz w:val="18"/>
                <w:szCs w:val="18"/>
              </w:rPr>
            </w:pPr>
            <w:r>
              <w:rPr>
                <w:rFonts w:hAnsi="宋体"/>
                <w:sz w:val="18"/>
                <w:szCs w:val="18"/>
              </w:rPr>
              <w:t>土壤水水分特征曲线的测定及水肥一体化设备安装与调试</w:t>
            </w:r>
          </w:p>
        </w:tc>
        <w:tc>
          <w:tcPr>
            <w:tcW w:w="780" w:type="dxa"/>
            <w:vAlign w:val="center"/>
          </w:tcPr>
          <w:p>
            <w:pPr>
              <w:widowControl/>
              <w:snapToGrid w:val="0"/>
              <w:spacing w:line="312" w:lineRule="auto"/>
              <w:jc w:val="center"/>
              <w:rPr>
                <w:bCs/>
                <w:kern w:val="0"/>
                <w:sz w:val="18"/>
                <w:szCs w:val="18"/>
              </w:rPr>
            </w:pPr>
            <w:r>
              <w:rPr>
                <w:bCs/>
                <w:kern w:val="0"/>
                <w:sz w:val="18"/>
                <w:szCs w:val="18"/>
              </w:rPr>
              <w:t>3</w:t>
            </w:r>
          </w:p>
        </w:tc>
        <w:tc>
          <w:tcPr>
            <w:tcW w:w="1070" w:type="dxa"/>
            <w:vAlign w:val="center"/>
          </w:tcPr>
          <w:p>
            <w:pPr>
              <w:widowControl/>
              <w:snapToGrid w:val="0"/>
              <w:spacing w:line="312" w:lineRule="auto"/>
              <w:jc w:val="center"/>
              <w:rPr>
                <w:bCs/>
                <w:kern w:val="0"/>
                <w:sz w:val="18"/>
                <w:szCs w:val="18"/>
              </w:rPr>
            </w:pPr>
            <w:r>
              <w:rPr>
                <w:rFonts w:hAnsi="宋体"/>
                <w:sz w:val="18"/>
                <w:szCs w:val="18"/>
              </w:rPr>
              <w:t>设计性</w:t>
            </w:r>
          </w:p>
        </w:tc>
        <w:tc>
          <w:tcPr>
            <w:tcW w:w="1090" w:type="dxa"/>
          </w:tcPr>
          <w:p>
            <w:pPr>
              <w:jc w:val="center"/>
              <w:rPr>
                <w:sz w:val="18"/>
                <w:szCs w:val="18"/>
              </w:rPr>
            </w:pPr>
            <w:r>
              <w:rPr>
                <w:rFonts w:hAnsi="宋体"/>
                <w:sz w:val="18"/>
                <w:szCs w:val="18"/>
              </w:rPr>
              <w:t>选做</w:t>
            </w:r>
          </w:p>
        </w:tc>
        <w:tc>
          <w:tcPr>
            <w:tcW w:w="1119" w:type="dxa"/>
          </w:tcPr>
          <w:p>
            <w:pPr>
              <w:widowControl/>
              <w:snapToGrid w:val="0"/>
              <w:spacing w:line="312" w:lineRule="auto"/>
              <w:jc w:val="center"/>
              <w:rPr>
                <w:bCs/>
                <w:kern w:val="0"/>
                <w:sz w:val="18"/>
                <w:szCs w:val="18"/>
              </w:rPr>
            </w:pPr>
            <w:r>
              <w:rPr>
                <w:bCs/>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1901100401</w:t>
            </w:r>
            <w:r>
              <w:rPr>
                <w:rFonts w:hint="eastAsia"/>
                <w:sz w:val="18"/>
                <w:szCs w:val="18"/>
              </w:rPr>
              <w:t>1</w:t>
            </w:r>
          </w:p>
        </w:tc>
        <w:tc>
          <w:tcPr>
            <w:tcW w:w="3312" w:type="dxa"/>
            <w:vAlign w:val="center"/>
          </w:tcPr>
          <w:p>
            <w:pPr>
              <w:widowControl/>
              <w:snapToGrid w:val="0"/>
              <w:spacing w:line="312" w:lineRule="auto"/>
              <w:jc w:val="center"/>
              <w:rPr>
                <w:rFonts w:hAnsi="宋体"/>
                <w:sz w:val="18"/>
                <w:szCs w:val="18"/>
              </w:rPr>
            </w:pPr>
            <w:r>
              <w:rPr>
                <w:rFonts w:hint="eastAsia" w:hAnsi="宋体"/>
                <w:sz w:val="18"/>
                <w:szCs w:val="18"/>
              </w:rPr>
              <w:t>芽菜生产技术（黄豆或黑豆苗）</w:t>
            </w:r>
          </w:p>
        </w:tc>
        <w:tc>
          <w:tcPr>
            <w:tcW w:w="780" w:type="dxa"/>
          </w:tcPr>
          <w:p>
            <w:pPr>
              <w:jc w:val="center"/>
            </w:pPr>
            <w:r>
              <w:rPr>
                <w:bCs/>
                <w:kern w:val="0"/>
                <w:sz w:val="18"/>
                <w:szCs w:val="18"/>
              </w:rPr>
              <w:t>2</w:t>
            </w:r>
          </w:p>
        </w:tc>
        <w:tc>
          <w:tcPr>
            <w:tcW w:w="1070" w:type="dxa"/>
          </w:tcPr>
          <w:p>
            <w:pPr>
              <w:jc w:val="center"/>
            </w:pPr>
            <w:r>
              <w:rPr>
                <w:rFonts w:hAnsi="宋体"/>
                <w:sz w:val="18"/>
                <w:szCs w:val="18"/>
              </w:rPr>
              <w:t>综合性</w:t>
            </w:r>
          </w:p>
        </w:tc>
        <w:tc>
          <w:tcPr>
            <w:tcW w:w="1090" w:type="dxa"/>
          </w:tcPr>
          <w:p>
            <w:pPr>
              <w:jc w:val="center"/>
            </w:pPr>
            <w:r>
              <w:rPr>
                <w:rFonts w:hAnsi="宋体"/>
                <w:sz w:val="18"/>
                <w:szCs w:val="18"/>
              </w:rPr>
              <w:t>选做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1901100401</w:t>
            </w:r>
            <w:r>
              <w:rPr>
                <w:rFonts w:hint="eastAsia"/>
                <w:sz w:val="18"/>
                <w:szCs w:val="18"/>
              </w:rPr>
              <w:t>2</w:t>
            </w:r>
          </w:p>
        </w:tc>
        <w:tc>
          <w:tcPr>
            <w:tcW w:w="3312" w:type="dxa"/>
            <w:vAlign w:val="center"/>
          </w:tcPr>
          <w:p>
            <w:pPr>
              <w:widowControl/>
              <w:snapToGrid w:val="0"/>
              <w:spacing w:line="312" w:lineRule="auto"/>
              <w:jc w:val="center"/>
              <w:rPr>
                <w:rFonts w:hAnsi="宋体"/>
                <w:sz w:val="18"/>
                <w:szCs w:val="18"/>
              </w:rPr>
            </w:pPr>
            <w:r>
              <w:rPr>
                <w:rFonts w:hint="eastAsia" w:hAnsi="宋体"/>
                <w:sz w:val="18"/>
                <w:szCs w:val="18"/>
              </w:rPr>
              <w:t>稀特蔬菜的品尝</w:t>
            </w:r>
          </w:p>
        </w:tc>
        <w:tc>
          <w:tcPr>
            <w:tcW w:w="780" w:type="dxa"/>
          </w:tcPr>
          <w:p>
            <w:pPr>
              <w:jc w:val="center"/>
            </w:pPr>
            <w:r>
              <w:rPr>
                <w:bCs/>
                <w:kern w:val="0"/>
                <w:sz w:val="18"/>
                <w:szCs w:val="18"/>
              </w:rPr>
              <w:t>2</w:t>
            </w:r>
          </w:p>
        </w:tc>
        <w:tc>
          <w:tcPr>
            <w:tcW w:w="1070" w:type="dxa"/>
          </w:tcPr>
          <w:p>
            <w:pPr>
              <w:jc w:val="center"/>
            </w:pPr>
            <w:r>
              <w:rPr>
                <w:rFonts w:hAnsi="宋体"/>
                <w:sz w:val="18"/>
                <w:szCs w:val="18"/>
              </w:rPr>
              <w:t>综合性</w:t>
            </w:r>
          </w:p>
        </w:tc>
        <w:tc>
          <w:tcPr>
            <w:tcW w:w="1090" w:type="dxa"/>
          </w:tcPr>
          <w:p>
            <w:pPr>
              <w:jc w:val="center"/>
            </w:pPr>
            <w:r>
              <w:rPr>
                <w:rFonts w:hAnsi="宋体"/>
                <w:sz w:val="18"/>
                <w:szCs w:val="18"/>
              </w:rPr>
              <w:t>选做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1901100401</w:t>
            </w:r>
            <w:r>
              <w:rPr>
                <w:rFonts w:hint="eastAsia"/>
                <w:sz w:val="18"/>
                <w:szCs w:val="18"/>
              </w:rPr>
              <w:t>3</w:t>
            </w:r>
          </w:p>
        </w:tc>
        <w:tc>
          <w:tcPr>
            <w:tcW w:w="3312" w:type="dxa"/>
            <w:vAlign w:val="center"/>
          </w:tcPr>
          <w:p>
            <w:pPr>
              <w:widowControl/>
              <w:snapToGrid w:val="0"/>
              <w:spacing w:line="312" w:lineRule="auto"/>
              <w:jc w:val="center"/>
              <w:rPr>
                <w:rFonts w:hAnsi="宋体"/>
                <w:sz w:val="18"/>
                <w:szCs w:val="18"/>
              </w:rPr>
            </w:pPr>
            <w:r>
              <w:rPr>
                <w:rFonts w:hint="eastAsia" w:hAnsi="宋体"/>
                <w:sz w:val="18"/>
                <w:szCs w:val="18"/>
              </w:rPr>
              <w:t>葱蒜类蔬菜的形态特征和产品器官构成</w:t>
            </w:r>
          </w:p>
        </w:tc>
        <w:tc>
          <w:tcPr>
            <w:tcW w:w="780" w:type="dxa"/>
          </w:tcPr>
          <w:p>
            <w:pPr>
              <w:jc w:val="center"/>
            </w:pPr>
            <w:r>
              <w:rPr>
                <w:bCs/>
                <w:kern w:val="0"/>
                <w:sz w:val="18"/>
                <w:szCs w:val="18"/>
              </w:rPr>
              <w:t>2</w:t>
            </w:r>
          </w:p>
        </w:tc>
        <w:tc>
          <w:tcPr>
            <w:tcW w:w="1070" w:type="dxa"/>
          </w:tcPr>
          <w:p>
            <w:pPr>
              <w:jc w:val="center"/>
            </w:pPr>
            <w:r>
              <w:rPr>
                <w:rFonts w:hAnsi="宋体"/>
                <w:sz w:val="18"/>
                <w:szCs w:val="18"/>
              </w:rPr>
              <w:t>综合性</w:t>
            </w:r>
          </w:p>
        </w:tc>
        <w:tc>
          <w:tcPr>
            <w:tcW w:w="1090" w:type="dxa"/>
          </w:tcPr>
          <w:p>
            <w:pPr>
              <w:jc w:val="center"/>
            </w:pPr>
            <w:r>
              <w:rPr>
                <w:rFonts w:hAnsi="宋体"/>
                <w:sz w:val="18"/>
                <w:szCs w:val="18"/>
              </w:rPr>
              <w:t>选做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1901100401</w:t>
            </w:r>
            <w:r>
              <w:rPr>
                <w:rFonts w:hint="eastAsia"/>
                <w:sz w:val="18"/>
                <w:szCs w:val="18"/>
              </w:rPr>
              <w:t>4</w:t>
            </w:r>
          </w:p>
        </w:tc>
        <w:tc>
          <w:tcPr>
            <w:tcW w:w="3312" w:type="dxa"/>
            <w:vAlign w:val="center"/>
          </w:tcPr>
          <w:p>
            <w:pPr>
              <w:widowControl/>
              <w:snapToGrid w:val="0"/>
              <w:spacing w:line="312" w:lineRule="auto"/>
              <w:jc w:val="center"/>
              <w:rPr>
                <w:rFonts w:hAnsi="宋体"/>
                <w:sz w:val="18"/>
                <w:szCs w:val="18"/>
              </w:rPr>
            </w:pPr>
            <w:r>
              <w:rPr>
                <w:rFonts w:hint="eastAsia" w:hAnsi="宋体"/>
                <w:sz w:val="18"/>
                <w:szCs w:val="18"/>
              </w:rPr>
              <w:t>薯芋类蔬菜产品器官形态观察</w:t>
            </w:r>
          </w:p>
        </w:tc>
        <w:tc>
          <w:tcPr>
            <w:tcW w:w="780" w:type="dxa"/>
          </w:tcPr>
          <w:p>
            <w:pPr>
              <w:jc w:val="center"/>
            </w:pPr>
            <w:r>
              <w:rPr>
                <w:bCs/>
                <w:kern w:val="0"/>
                <w:sz w:val="18"/>
                <w:szCs w:val="18"/>
              </w:rPr>
              <w:t>2</w:t>
            </w:r>
          </w:p>
        </w:tc>
        <w:tc>
          <w:tcPr>
            <w:tcW w:w="1070" w:type="dxa"/>
          </w:tcPr>
          <w:p>
            <w:pPr>
              <w:jc w:val="center"/>
            </w:pPr>
            <w:r>
              <w:rPr>
                <w:rFonts w:hAnsi="宋体"/>
                <w:sz w:val="18"/>
                <w:szCs w:val="18"/>
              </w:rPr>
              <w:t>综合性</w:t>
            </w:r>
          </w:p>
        </w:tc>
        <w:tc>
          <w:tcPr>
            <w:tcW w:w="1090" w:type="dxa"/>
          </w:tcPr>
          <w:p>
            <w:pPr>
              <w:jc w:val="center"/>
            </w:pPr>
            <w:r>
              <w:rPr>
                <w:rFonts w:hAnsi="宋体"/>
                <w:sz w:val="18"/>
                <w:szCs w:val="18"/>
              </w:rPr>
              <w:t>选做</w:t>
            </w:r>
          </w:p>
        </w:tc>
        <w:tc>
          <w:tcPr>
            <w:tcW w:w="1119" w:type="dxa"/>
          </w:tcPr>
          <w:p>
            <w:pPr>
              <w:widowControl/>
              <w:snapToGrid w:val="0"/>
              <w:spacing w:line="312" w:lineRule="auto"/>
              <w:jc w:val="center"/>
              <w:rPr>
                <w:bCs/>
                <w:kern w:val="0"/>
                <w:sz w:val="18"/>
                <w:szCs w:val="18"/>
              </w:rPr>
            </w:pPr>
            <w:r>
              <w:rPr>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jc w:val="center"/>
              <w:rPr>
                <w:sz w:val="18"/>
                <w:szCs w:val="18"/>
              </w:rPr>
            </w:pPr>
            <w:r>
              <w:rPr>
                <w:sz w:val="18"/>
                <w:szCs w:val="18"/>
              </w:rPr>
              <w:t>1901100401</w:t>
            </w:r>
            <w:r>
              <w:rPr>
                <w:rFonts w:hint="eastAsia"/>
                <w:sz w:val="18"/>
                <w:szCs w:val="18"/>
              </w:rPr>
              <w:t>5</w:t>
            </w:r>
          </w:p>
        </w:tc>
        <w:tc>
          <w:tcPr>
            <w:tcW w:w="3312" w:type="dxa"/>
            <w:vAlign w:val="center"/>
          </w:tcPr>
          <w:p>
            <w:pPr>
              <w:widowControl/>
              <w:snapToGrid w:val="0"/>
              <w:spacing w:line="312" w:lineRule="auto"/>
              <w:jc w:val="center"/>
              <w:rPr>
                <w:rFonts w:hAnsi="宋体"/>
                <w:sz w:val="18"/>
                <w:szCs w:val="18"/>
              </w:rPr>
            </w:pPr>
            <w:r>
              <w:rPr>
                <w:rFonts w:hint="eastAsia" w:hAnsi="宋体"/>
                <w:sz w:val="18"/>
                <w:szCs w:val="18"/>
              </w:rPr>
              <w:t>水生蔬菜的形态结构及繁殖技术</w:t>
            </w:r>
          </w:p>
        </w:tc>
        <w:tc>
          <w:tcPr>
            <w:tcW w:w="780" w:type="dxa"/>
          </w:tcPr>
          <w:p>
            <w:pPr>
              <w:jc w:val="center"/>
            </w:pPr>
            <w:r>
              <w:rPr>
                <w:bCs/>
                <w:kern w:val="0"/>
                <w:sz w:val="18"/>
                <w:szCs w:val="18"/>
              </w:rPr>
              <w:t>2</w:t>
            </w:r>
          </w:p>
        </w:tc>
        <w:tc>
          <w:tcPr>
            <w:tcW w:w="1070" w:type="dxa"/>
          </w:tcPr>
          <w:p>
            <w:pPr>
              <w:jc w:val="center"/>
            </w:pPr>
            <w:r>
              <w:rPr>
                <w:rFonts w:hAnsi="宋体"/>
                <w:sz w:val="18"/>
                <w:szCs w:val="18"/>
              </w:rPr>
              <w:t>综合性</w:t>
            </w:r>
          </w:p>
        </w:tc>
        <w:tc>
          <w:tcPr>
            <w:tcW w:w="1090" w:type="dxa"/>
          </w:tcPr>
          <w:p>
            <w:pPr>
              <w:jc w:val="center"/>
            </w:pPr>
            <w:r>
              <w:rPr>
                <w:rFonts w:hAnsi="宋体"/>
                <w:sz w:val="18"/>
                <w:szCs w:val="18"/>
              </w:rPr>
              <w:t>选做</w:t>
            </w:r>
          </w:p>
        </w:tc>
        <w:tc>
          <w:tcPr>
            <w:tcW w:w="1119" w:type="dxa"/>
          </w:tcPr>
          <w:p>
            <w:pPr>
              <w:widowControl/>
              <w:snapToGrid w:val="0"/>
              <w:spacing w:line="312" w:lineRule="auto"/>
              <w:jc w:val="center"/>
              <w:rPr>
                <w:bCs/>
                <w:kern w:val="0"/>
                <w:sz w:val="18"/>
                <w:szCs w:val="18"/>
              </w:rPr>
            </w:pPr>
            <w:r>
              <w:rPr>
                <w:sz w:val="18"/>
                <w:szCs w:val="18"/>
              </w:rPr>
              <w:t>5-6</w:t>
            </w:r>
          </w:p>
        </w:tc>
      </w:tr>
    </w:tbl>
    <w:p>
      <w:pPr>
        <w:keepNext w:val="0"/>
        <w:keepLines w:val="0"/>
        <w:pageBreakBefore w:val="0"/>
        <w:kinsoku/>
        <w:wordWrap/>
        <w:overflowPunct/>
        <w:topLinePunct w:val="0"/>
        <w:autoSpaceDE/>
        <w:autoSpaceDN/>
        <w:bidi w:val="0"/>
        <w:adjustRightInd w:val="0"/>
        <w:snapToGrid w:val="0"/>
        <w:spacing w:line="360" w:lineRule="auto"/>
        <w:textAlignment w:val="auto"/>
        <w:rPr>
          <w:b/>
          <w:sz w:val="24"/>
        </w:rPr>
      </w:pPr>
      <w:r>
        <w:rPr>
          <w:rFonts w:hint="eastAsia" w:ascii="宋体" w:hAnsi="宋体"/>
          <w:b/>
          <w:bCs/>
          <w:szCs w:val="21"/>
        </w:rPr>
        <w:t>（五）实验方式及基本</w:t>
      </w:r>
      <w:r>
        <w:rPr>
          <w:rFonts w:ascii="宋体" w:hAnsi="宋体"/>
          <w:b/>
          <w:bCs/>
          <w:szCs w:val="21"/>
        </w:rPr>
        <w:t>要求</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szCs w:val="21"/>
        </w:rPr>
      </w:pPr>
      <w:r>
        <w:rPr>
          <w:rFonts w:hAnsi="宋体"/>
          <w:szCs w:val="21"/>
        </w:rPr>
        <w:t>学生在校内教学实习基地参加从蔬菜种子到蔬菜产品全部过程的实际操作，《蔬菜种类识别》通过视频教学和蔬菜市场参观调查完成。《茄果类蔬菜花芽分化观察》室内实验材料由学生自己培育、自己采集后在室内完成观察。《植物生长调节剂在蔬菜上的应用》实验，室内完成相关试剂配制，田间完成相关处理实验，实验材料由学生培育。《蔬菜生理生态常见仪器性能了解与使用》中小型仪器在园艺作物栽培实验室完成，大型仪器在园艺学院有仪器专门管理人员讲解并演示。《土壤水水分特征曲线的测定及水肥一体化设备安装与调试》实验中所需土样取自学生各小组种植地土壤，测定在园艺作物栽培实验室完成。其他田间试验均有实验小组独立完成。</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b/>
          <w:bCs/>
          <w:szCs w:val="21"/>
        </w:rPr>
      </w:pPr>
      <w:r>
        <w:rPr>
          <w:rFonts w:hint="eastAsia" w:ascii="宋体" w:hAnsi="宋体"/>
          <w:b/>
          <w:bCs/>
          <w:szCs w:val="21"/>
        </w:rPr>
        <w:t>（六）实验内容安排</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【实验一】蔬菜种子与种类识别</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rFonts w:hint="eastAsia"/>
          <w:bCs/>
        </w:rPr>
        <w:t>2</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2.</w:t>
      </w:r>
      <w:r>
        <w:rPr>
          <w:rFonts w:hAnsi="宋体"/>
          <w:b/>
          <w:szCs w:val="21"/>
        </w:rPr>
        <w:t>实验目的：</w:t>
      </w:r>
      <w:r>
        <w:rPr>
          <w:rFonts w:hAnsi="宋体"/>
          <w:bCs/>
          <w:kern w:val="0"/>
          <w:szCs w:val="21"/>
        </w:rPr>
        <w:t>认识常见蔬菜种子和植物种类，掌握其主要特征。</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bCs/>
          <w:kern w:val="0"/>
          <w:szCs w:val="21"/>
        </w:rPr>
        <w:t>了解蔬菜种子千粒重、种子大小的测定方法</w:t>
      </w:r>
      <w:r>
        <w:rPr>
          <w:rFonts w:hint="eastAsia" w:hAnsi="宋体"/>
          <w:bCs/>
          <w:kern w:val="0"/>
          <w:szCs w:val="21"/>
        </w:rPr>
        <w:t>，</w:t>
      </w:r>
      <w:r>
        <w:rPr>
          <w:rFonts w:hAnsi="宋体"/>
          <w:bCs/>
          <w:kern w:val="0"/>
          <w:szCs w:val="21"/>
        </w:rPr>
        <w:t>识别</w:t>
      </w:r>
      <w:r>
        <w:rPr>
          <w:bCs/>
          <w:kern w:val="0"/>
          <w:szCs w:val="21"/>
        </w:rPr>
        <w:t>60-80</w:t>
      </w:r>
      <w:r>
        <w:rPr>
          <w:rFonts w:hAnsi="宋体"/>
          <w:bCs/>
          <w:kern w:val="0"/>
          <w:szCs w:val="21"/>
        </w:rPr>
        <w:t>种蔬菜种子。同时</w:t>
      </w:r>
      <w:r>
        <w:rPr>
          <w:rFonts w:hAnsi="宋体"/>
          <w:szCs w:val="21"/>
        </w:rPr>
        <w:t>识别</w:t>
      </w:r>
      <w:r>
        <w:rPr>
          <w:szCs w:val="21"/>
        </w:rPr>
        <w:t>60-80</w:t>
      </w:r>
      <w:r>
        <w:rPr>
          <w:rFonts w:hAnsi="宋体"/>
          <w:szCs w:val="21"/>
        </w:rPr>
        <w:t>种蔬菜，各种蔬菜在植物学分类法、食用器官分类法、农业生物学分类法中的地位，原产地、主要生物学特性、繁殖材料、播种期。</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种子识别在实验室进行。采</w:t>
      </w:r>
      <w:r>
        <w:rPr>
          <w:rFonts w:hAnsi="宋体"/>
          <w:bCs/>
          <w:szCs w:val="21"/>
        </w:rPr>
        <w:t>用蔬菜市场、超市调查，试验地田间调查和视频材料观看等方法完成本实验，要求学生提交实验报告，</w:t>
      </w:r>
      <w:r>
        <w:rPr>
          <w:rFonts w:hAnsi="宋体"/>
          <w:bCs/>
          <w:kern w:val="0"/>
          <w:szCs w:val="21"/>
        </w:rPr>
        <w:t>列表描述主要蔬菜种类、分类、使用器官、繁殖方法、播种（定植）季节，产量。</w:t>
      </w:r>
    </w:p>
    <w:p>
      <w:pPr>
        <w:keepNext w:val="0"/>
        <w:keepLines w:val="0"/>
        <w:pageBreakBefore w:val="0"/>
        <w:kinsoku/>
        <w:wordWrap/>
        <w:overflowPunct/>
        <w:topLinePunct w:val="0"/>
        <w:autoSpaceDE/>
        <w:autoSpaceDN/>
        <w:bidi w:val="0"/>
        <w:adjustRightInd w:val="0"/>
        <w:snapToGrid w:val="0"/>
        <w:spacing w:line="360" w:lineRule="auto"/>
        <w:ind w:firstLine="413" w:firstLineChars="196"/>
        <w:jc w:val="left"/>
        <w:textAlignment w:val="auto"/>
        <w:rPr>
          <w:bCs/>
          <w:szCs w:val="21"/>
        </w:rPr>
      </w:pPr>
      <w:r>
        <w:rPr>
          <w:b/>
          <w:szCs w:val="21"/>
        </w:rPr>
        <w:t>5.</w:t>
      </w:r>
      <w:r>
        <w:rPr>
          <w:rFonts w:hAnsi="宋体"/>
          <w:b/>
          <w:szCs w:val="21"/>
        </w:rPr>
        <w:t>实验设备及器材：</w:t>
      </w:r>
      <w:r>
        <w:rPr>
          <w:rFonts w:hAnsi="宋体"/>
          <w:bCs/>
          <w:kern w:val="0"/>
          <w:szCs w:val="21"/>
        </w:rPr>
        <w:t>蔬菜种子</w:t>
      </w:r>
      <w:r>
        <w:rPr>
          <w:bCs/>
          <w:kern w:val="0"/>
          <w:szCs w:val="21"/>
        </w:rPr>
        <w:t>(</w:t>
      </w:r>
      <w:r>
        <w:rPr>
          <w:rFonts w:hAnsi="宋体"/>
          <w:bCs/>
          <w:kern w:val="0"/>
          <w:szCs w:val="21"/>
        </w:rPr>
        <w:t>白菜类、根菜类、茄果类、豆类、葱蒜类、瓜类、多年生蔬菜等种子</w:t>
      </w:r>
      <w:r>
        <w:rPr>
          <w:bCs/>
          <w:kern w:val="0"/>
          <w:szCs w:val="21"/>
        </w:rPr>
        <w:t>80-100</w:t>
      </w:r>
      <w:r>
        <w:rPr>
          <w:rFonts w:hAnsi="宋体"/>
          <w:bCs/>
          <w:kern w:val="0"/>
          <w:szCs w:val="21"/>
        </w:rPr>
        <w:t>种</w:t>
      </w:r>
      <w:r>
        <w:rPr>
          <w:bCs/>
          <w:kern w:val="0"/>
          <w:szCs w:val="21"/>
        </w:rPr>
        <w:t>)</w:t>
      </w:r>
      <w:r>
        <w:rPr>
          <w:rFonts w:hAnsi="宋体"/>
          <w:bCs/>
          <w:kern w:val="0"/>
          <w:szCs w:val="21"/>
        </w:rPr>
        <w:t>、</w:t>
      </w:r>
      <w:r>
        <w:rPr>
          <w:rFonts w:hAnsi="宋体"/>
          <w:bCs/>
          <w:szCs w:val="21"/>
        </w:rPr>
        <w:t>投影仪</w:t>
      </w:r>
      <w:r>
        <w:rPr>
          <w:rFonts w:hint="eastAsia" w:hAnsi="宋体"/>
          <w:bCs/>
          <w:szCs w:val="21"/>
        </w:rPr>
        <w:t>、</w:t>
      </w:r>
      <w:r>
        <w:rPr>
          <w:rFonts w:hAnsi="宋体"/>
          <w:bCs/>
          <w:szCs w:val="21"/>
        </w:rPr>
        <w:t>镊子</w:t>
      </w:r>
      <w:r>
        <w:rPr>
          <w:rFonts w:hint="eastAsia" w:hAnsi="宋体"/>
          <w:bCs/>
          <w:szCs w:val="21"/>
        </w:rPr>
        <w:t>、</w:t>
      </w:r>
      <w:r>
        <w:rPr>
          <w:rFonts w:hAnsi="宋体"/>
          <w:bCs/>
          <w:szCs w:val="21"/>
        </w:rPr>
        <w:t>放大镜</w:t>
      </w:r>
      <w:r>
        <w:rPr>
          <w:rFonts w:hint="eastAsia" w:hAnsi="宋体"/>
          <w:bCs/>
          <w:szCs w:val="21"/>
        </w:rPr>
        <w:t>、</w:t>
      </w:r>
      <w:r>
        <w:rPr>
          <w:rFonts w:hAnsi="宋体"/>
          <w:bCs/>
          <w:szCs w:val="21"/>
        </w:rPr>
        <w:t>电子天平等。</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【实验二】蔬菜播种与种子质量测定</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2</w:t>
      </w:r>
      <w:r>
        <w:rPr>
          <w:rFonts w:hAnsi="宋体"/>
          <w:bCs/>
        </w:rPr>
        <w:t>学时</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left"/>
        <w:textAlignment w:val="auto"/>
        <w:outlineLvl w:val="1"/>
        <w:rPr>
          <w:bCs/>
          <w:kern w:val="0"/>
          <w:szCs w:val="21"/>
        </w:rPr>
      </w:pPr>
      <w:bookmarkStart w:id="106" w:name="_Toc138076307"/>
      <w:bookmarkStart w:id="107" w:name="_Toc138076602"/>
      <w:bookmarkStart w:id="108" w:name="_Toc138066347"/>
      <w:bookmarkStart w:id="109" w:name="_Toc138070418"/>
      <w:bookmarkStart w:id="110" w:name="_Toc138064511"/>
      <w:bookmarkStart w:id="111" w:name="_Toc138076058"/>
      <w:bookmarkStart w:id="112" w:name="_Toc138068788"/>
      <w:bookmarkStart w:id="113" w:name="_Toc138070688"/>
      <w:bookmarkStart w:id="114" w:name="_Toc14663"/>
      <w:r>
        <w:rPr>
          <w:b/>
          <w:szCs w:val="21"/>
        </w:rPr>
        <w:t>2.</w:t>
      </w:r>
      <w:r>
        <w:rPr>
          <w:rFonts w:hAnsi="宋体"/>
          <w:b/>
          <w:szCs w:val="21"/>
        </w:rPr>
        <w:t>实验目的：</w:t>
      </w:r>
      <w:r>
        <w:rPr>
          <w:rFonts w:hAnsi="宋体"/>
          <w:bCs/>
          <w:kern w:val="0"/>
          <w:szCs w:val="21"/>
        </w:rPr>
        <w:t>了解蔬菜种子千粒重、发芽率、发芽势、种子大小的测定方法、掌握温汤浸种、热水烫种、浸种、催芽的方法，掌握蔬菜催芽过程中水分、氧气、温度的调节方法，了解常用的催芽设备及使用方法，了解蔬菜发芽率、发芽势和发芽指数的测定及计算方法，掌握穴盘育苗方法，参观育苗工厂自动播种线。</w:t>
      </w:r>
      <w:bookmarkEnd w:id="106"/>
      <w:bookmarkEnd w:id="107"/>
      <w:bookmarkEnd w:id="108"/>
      <w:bookmarkEnd w:id="109"/>
      <w:bookmarkEnd w:id="110"/>
      <w:bookmarkEnd w:id="111"/>
      <w:bookmarkEnd w:id="112"/>
      <w:bookmarkEnd w:id="113"/>
      <w:bookmarkEnd w:id="114"/>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szCs w:val="21"/>
        </w:rPr>
        <w:t>识别主要蔬菜的种子结构，进行种子播前的晒种、种子杀菌、浸种、催芽等各项处理；练习播种量、育苗床面积、分苗床面的计算；进行培养土配制、无土育苗基质配制、穴盘育苗操作。</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以小组为单位，每</w:t>
      </w:r>
      <w:r>
        <w:rPr>
          <w:szCs w:val="21"/>
        </w:rPr>
        <w:t>5-6</w:t>
      </w:r>
      <w:r>
        <w:rPr>
          <w:rFonts w:hAnsi="宋体"/>
          <w:szCs w:val="21"/>
        </w:rPr>
        <w:t>人</w:t>
      </w:r>
      <w:r>
        <w:rPr>
          <w:szCs w:val="21"/>
        </w:rPr>
        <w:t>1</w:t>
      </w:r>
      <w:r>
        <w:rPr>
          <w:rFonts w:hAnsi="宋体"/>
          <w:szCs w:val="21"/>
        </w:rPr>
        <w:t>组</w:t>
      </w:r>
      <w:r>
        <w:rPr>
          <w:rFonts w:hAnsi="宋体"/>
          <w:bCs/>
          <w:szCs w:val="21"/>
        </w:rPr>
        <w:t>，小组成员间协作完成茄果类、瓜类种子播前处理的各项内容，单独进行平畦撒播和穴盘育苗，出苗后，由各小组单独管理。平畦撒播达到分苗标准后，作为本小组分苗实验材料；穴盘苗达到定植标准后，作为本小组定植实验材料。完成实验指导书要求的报告内容。</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left"/>
        <w:textAlignment w:val="auto"/>
        <w:outlineLvl w:val="1"/>
        <w:rPr>
          <w:bCs/>
          <w:kern w:val="0"/>
          <w:szCs w:val="21"/>
        </w:rPr>
      </w:pPr>
      <w:bookmarkStart w:id="115" w:name="_Toc138076308"/>
      <w:bookmarkStart w:id="116" w:name="_Toc30387"/>
      <w:bookmarkStart w:id="117" w:name="_Toc138070419"/>
      <w:bookmarkStart w:id="118" w:name="_Toc138064512"/>
      <w:bookmarkStart w:id="119" w:name="_Toc138070689"/>
      <w:bookmarkStart w:id="120" w:name="_Toc138066348"/>
      <w:bookmarkStart w:id="121" w:name="_Toc138076603"/>
      <w:bookmarkStart w:id="122" w:name="_Toc138068789"/>
      <w:bookmarkStart w:id="123" w:name="_Toc138076059"/>
      <w:r>
        <w:rPr>
          <w:b/>
          <w:szCs w:val="21"/>
        </w:rPr>
        <w:t>5.</w:t>
      </w:r>
      <w:r>
        <w:rPr>
          <w:rFonts w:hAnsi="宋体"/>
          <w:b/>
          <w:szCs w:val="21"/>
        </w:rPr>
        <w:t>实验设备及器材：</w:t>
      </w:r>
      <w:r>
        <w:rPr>
          <w:rFonts w:hAnsi="宋体"/>
          <w:bCs/>
          <w:kern w:val="0"/>
          <w:szCs w:val="21"/>
        </w:rPr>
        <w:t>蔬菜种子</w:t>
      </w:r>
      <w:r>
        <w:rPr>
          <w:bCs/>
          <w:kern w:val="0"/>
          <w:szCs w:val="21"/>
        </w:rPr>
        <w:t>(</w:t>
      </w:r>
      <w:r>
        <w:rPr>
          <w:rFonts w:hAnsi="宋体"/>
          <w:bCs/>
          <w:kern w:val="0"/>
          <w:szCs w:val="21"/>
        </w:rPr>
        <w:t>白菜、萝卜、番茄、茄子、辣椒、黄瓜、西葫芦、菜豆、豇豆</w:t>
      </w:r>
      <w:r>
        <w:rPr>
          <w:bCs/>
          <w:kern w:val="0"/>
          <w:szCs w:val="21"/>
        </w:rPr>
        <w:t>)</w:t>
      </w:r>
      <w:r>
        <w:rPr>
          <w:rFonts w:hAnsi="宋体"/>
          <w:bCs/>
          <w:kern w:val="0"/>
          <w:szCs w:val="21"/>
        </w:rPr>
        <w:t>、园土、草炭、蛭石、育苗钵、育苗盘、小竹竿、农膜、地膜，工厂化育苗机械精量播种生产线。</w:t>
      </w:r>
      <w:bookmarkEnd w:id="115"/>
      <w:bookmarkEnd w:id="116"/>
      <w:bookmarkEnd w:id="117"/>
      <w:bookmarkEnd w:id="118"/>
      <w:bookmarkEnd w:id="119"/>
      <w:bookmarkEnd w:id="120"/>
      <w:bookmarkEnd w:id="121"/>
      <w:bookmarkEnd w:id="122"/>
      <w:bookmarkEnd w:id="123"/>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【实验三】蔬菜嫁接育苗与管理</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4</w:t>
      </w:r>
      <w:r>
        <w:rPr>
          <w:rFonts w:hAnsi="宋体"/>
          <w:bCs/>
        </w:rPr>
        <w:t>学时</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left"/>
        <w:textAlignment w:val="auto"/>
        <w:outlineLvl w:val="1"/>
        <w:rPr>
          <w:bCs/>
          <w:kern w:val="0"/>
          <w:szCs w:val="21"/>
        </w:rPr>
      </w:pPr>
      <w:bookmarkStart w:id="124" w:name="_Toc138068790"/>
      <w:bookmarkStart w:id="125" w:name="_Toc138070690"/>
      <w:bookmarkStart w:id="126" w:name="_Toc138076604"/>
      <w:bookmarkStart w:id="127" w:name="_Toc138064513"/>
      <w:bookmarkStart w:id="128" w:name="_Toc138076060"/>
      <w:bookmarkStart w:id="129" w:name="_Toc138070420"/>
      <w:bookmarkStart w:id="130" w:name="_Toc138076309"/>
      <w:bookmarkStart w:id="131" w:name="_Toc138066349"/>
      <w:bookmarkStart w:id="132" w:name="_Toc16068"/>
      <w:r>
        <w:rPr>
          <w:b/>
          <w:szCs w:val="21"/>
        </w:rPr>
        <w:t>2.</w:t>
      </w:r>
      <w:r>
        <w:rPr>
          <w:rFonts w:hAnsi="宋体"/>
          <w:b/>
          <w:szCs w:val="21"/>
        </w:rPr>
        <w:t>实验目的：</w:t>
      </w:r>
      <w:r>
        <w:rPr>
          <w:rFonts w:hAnsi="宋体"/>
          <w:bCs/>
          <w:kern w:val="0"/>
          <w:szCs w:val="21"/>
        </w:rPr>
        <w:t>了解嫁接目的，掌握黄瓜单子叶靠接法、双子叶靠接法、插接法、番茄套管嫁接法的嫁接方法。了解嫁接后促进成活的条件、断根的作用。</w:t>
      </w:r>
      <w:bookmarkEnd w:id="124"/>
      <w:bookmarkEnd w:id="125"/>
      <w:bookmarkEnd w:id="126"/>
      <w:bookmarkEnd w:id="127"/>
      <w:bookmarkEnd w:id="128"/>
      <w:bookmarkEnd w:id="129"/>
      <w:bookmarkEnd w:id="130"/>
      <w:bookmarkEnd w:id="131"/>
      <w:bookmarkEnd w:id="132"/>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bCs/>
          <w:szCs w:val="21"/>
        </w:rPr>
        <w:t>黄瓜、番茄接穗和砧木的浸种、催芽、播种；黄瓜、番茄接穗、嫁接砧木的培养；黄瓜单子叶靠接、黄瓜插接，番茄套管接法；黄瓜、番茄嫁接后</w:t>
      </w:r>
      <w:r>
        <w:rPr>
          <w:rFonts w:hAnsi="宋体"/>
          <w:szCs w:val="21"/>
        </w:rPr>
        <w:t>温度、湿度、光照</w:t>
      </w:r>
      <w:r>
        <w:rPr>
          <w:rFonts w:hAnsi="宋体"/>
          <w:bCs/>
          <w:szCs w:val="21"/>
        </w:rPr>
        <w:t>的管理；黄瓜断根，嫁接成活率调查。成活嫁接苗定植及管理。</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以小组为单位，每</w:t>
      </w:r>
      <w:r>
        <w:rPr>
          <w:szCs w:val="21"/>
        </w:rPr>
        <w:t>5-6</w:t>
      </w:r>
      <w:r>
        <w:rPr>
          <w:rFonts w:hAnsi="宋体"/>
          <w:szCs w:val="21"/>
        </w:rPr>
        <w:t>人</w:t>
      </w:r>
      <w:r>
        <w:rPr>
          <w:szCs w:val="21"/>
        </w:rPr>
        <w:t>1</w:t>
      </w:r>
      <w:r>
        <w:rPr>
          <w:rFonts w:hAnsi="宋体"/>
          <w:szCs w:val="21"/>
        </w:rPr>
        <w:t>组</w:t>
      </w:r>
      <w:r>
        <w:rPr>
          <w:rFonts w:hAnsi="宋体"/>
          <w:bCs/>
          <w:szCs w:val="21"/>
        </w:rPr>
        <w:t>，每小组独立培养嫁接所需的接穗和砧木，嫁接后每小组的嫁接苗单独管理，每小组每种作物嫁接不少于</w:t>
      </w:r>
      <w:r>
        <w:rPr>
          <w:bCs/>
          <w:szCs w:val="21"/>
        </w:rPr>
        <w:t>100</w:t>
      </w:r>
      <w:r>
        <w:rPr>
          <w:rFonts w:hAnsi="宋体"/>
          <w:bCs/>
          <w:szCs w:val="21"/>
        </w:rPr>
        <w:t>株。各小组嫁接成活苗作为本小组下一步的定植材料。以嫁接成活率作为考评依据。</w:t>
      </w:r>
    </w:p>
    <w:p>
      <w:pPr>
        <w:keepNext w:val="0"/>
        <w:keepLines w:val="0"/>
        <w:pageBreakBefore w:val="0"/>
        <w:kinsoku/>
        <w:wordWrap/>
        <w:overflowPunct/>
        <w:topLinePunct w:val="0"/>
        <w:autoSpaceDE/>
        <w:autoSpaceDN/>
        <w:bidi w:val="0"/>
        <w:adjustRightInd w:val="0"/>
        <w:snapToGrid w:val="0"/>
        <w:spacing w:line="360" w:lineRule="auto"/>
        <w:ind w:firstLine="413" w:firstLineChars="196"/>
        <w:jc w:val="left"/>
        <w:textAlignment w:val="auto"/>
        <w:rPr>
          <w:bCs/>
          <w:szCs w:val="21"/>
        </w:rPr>
      </w:pPr>
      <w:r>
        <w:rPr>
          <w:b/>
          <w:szCs w:val="21"/>
        </w:rPr>
        <w:t>5.</w:t>
      </w:r>
      <w:r>
        <w:rPr>
          <w:rFonts w:hAnsi="宋体"/>
          <w:b/>
          <w:szCs w:val="21"/>
        </w:rPr>
        <w:t>实验设备及器材：</w:t>
      </w:r>
      <w:r>
        <w:rPr>
          <w:rFonts w:hAnsi="宋体"/>
          <w:bCs/>
          <w:kern w:val="0"/>
          <w:szCs w:val="21"/>
        </w:rPr>
        <w:t>黄瓜种子、黑籽南瓜种子、番茄种子，番茄砧木种子，刀片、嫁接夹、嫁接套管、育苗盘、河沙、营养钵、农膜、遮阳网、竹竿。</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【实验四】茄果类蔬菜花芽分化观察</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3</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2.</w:t>
      </w:r>
      <w:r>
        <w:rPr>
          <w:rFonts w:hAnsi="宋体"/>
          <w:b/>
          <w:szCs w:val="21"/>
        </w:rPr>
        <w:t>实验目的：</w:t>
      </w:r>
      <w:r>
        <w:rPr>
          <w:rFonts w:hAnsi="宋体"/>
          <w:szCs w:val="21"/>
        </w:rPr>
        <w:t>掌握解剖镜的使用方法，通过解剖观察认识茄果类的叶芽和花芽，了解花芽分化过程中几个主要时期的形态特征，初步掌握茄果类花芽分化观察的操作方法，建立茄果类蔬菜苗期花芽分化的实践感知。</w:t>
      </w:r>
    </w:p>
    <w:p>
      <w:pPr>
        <w:keepNext w:val="0"/>
        <w:keepLines w:val="0"/>
        <w:pageBreakBefore w:val="0"/>
        <w:kinsoku/>
        <w:wordWrap/>
        <w:overflowPunct/>
        <w:topLinePunct w:val="0"/>
        <w:autoSpaceDE/>
        <w:autoSpaceDN/>
        <w:bidi w:val="0"/>
        <w:adjustRightInd w:val="0"/>
        <w:snapToGrid w:val="0"/>
        <w:spacing w:line="360" w:lineRule="auto"/>
        <w:ind w:firstLine="420"/>
        <w:textAlignment w:val="auto"/>
        <w:rPr>
          <w:szCs w:val="21"/>
        </w:rPr>
      </w:pPr>
      <w:r>
        <w:rPr>
          <w:b/>
          <w:szCs w:val="21"/>
        </w:rPr>
        <w:t>3.</w:t>
      </w:r>
      <w:r>
        <w:rPr>
          <w:rFonts w:hAnsi="宋体"/>
          <w:b/>
          <w:szCs w:val="21"/>
        </w:rPr>
        <w:t>实验内容：</w:t>
      </w:r>
      <w:r>
        <w:rPr>
          <w:szCs w:val="21"/>
        </w:rPr>
        <w:t xml:space="preserve"> </w:t>
      </w:r>
      <w:r>
        <w:rPr>
          <w:rFonts w:hAnsi="宋体"/>
          <w:szCs w:val="21"/>
        </w:rPr>
        <w:t>分期进行番茄、茄子、辣椒的浸种、催芽、播种，取大小不同的茄果类幼苗，</w:t>
      </w:r>
      <w:r>
        <w:rPr>
          <w:szCs w:val="21"/>
        </w:rPr>
        <w:t xml:space="preserve"> </w:t>
      </w:r>
      <w:r>
        <w:rPr>
          <w:rFonts w:hAnsi="宋体"/>
          <w:szCs w:val="21"/>
        </w:rPr>
        <w:t>在解剖镜下观察顶芽分化情况，区分叶芽与花叶的区别，了解不同茄果类蔬菜开始分化花芽的时间。</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4.</w:t>
      </w:r>
      <w:r>
        <w:rPr>
          <w:rFonts w:hAnsi="宋体"/>
          <w:b/>
          <w:szCs w:val="21"/>
        </w:rPr>
        <w:t>实验要求：</w:t>
      </w:r>
      <w:r>
        <w:rPr>
          <w:rFonts w:hAnsi="宋体"/>
          <w:szCs w:val="21"/>
        </w:rPr>
        <w:t>以番茄、辣椒为实验材料，以班级为单位分期浸种、催芽，培育不同大小的实验材料苗。花芽分化观察以小组为单位，每</w:t>
      </w:r>
      <w:r>
        <w:rPr>
          <w:szCs w:val="21"/>
        </w:rPr>
        <w:t>2</w:t>
      </w:r>
      <w:r>
        <w:rPr>
          <w:rFonts w:hAnsi="宋体"/>
          <w:szCs w:val="21"/>
        </w:rPr>
        <w:t>人</w:t>
      </w:r>
      <w:r>
        <w:rPr>
          <w:szCs w:val="21"/>
        </w:rPr>
        <w:t>1</w:t>
      </w:r>
      <w:r>
        <w:rPr>
          <w:rFonts w:hAnsi="宋体"/>
          <w:szCs w:val="21"/>
        </w:rPr>
        <w:t>组，每小组每种蔬菜大、中、小蔬菜苗观察数不少于</w:t>
      </w:r>
      <w:r>
        <w:rPr>
          <w:szCs w:val="21"/>
        </w:rPr>
        <w:t>10</w:t>
      </w:r>
      <w:r>
        <w:rPr>
          <w:rFonts w:hAnsi="宋体"/>
          <w:szCs w:val="21"/>
        </w:rPr>
        <w:t>株。绘图说明不同蔬菜种类不同分化阶段的顶芽形态，说明花芽分化进程与幼苗外部形态大小的关系。</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5.</w:t>
      </w:r>
      <w:r>
        <w:rPr>
          <w:rFonts w:hAnsi="宋体"/>
          <w:b/>
          <w:szCs w:val="21"/>
        </w:rPr>
        <w:t>实验设备及器材：</w:t>
      </w:r>
      <w:r>
        <w:rPr>
          <w:rFonts w:hAnsi="宋体"/>
          <w:szCs w:val="21"/>
        </w:rPr>
        <w:t>不同苗龄的番茄苗（</w:t>
      </w:r>
      <w:r>
        <w:rPr>
          <w:szCs w:val="21"/>
        </w:rPr>
        <w:t>2</w:t>
      </w:r>
      <w:r>
        <w:rPr>
          <w:rFonts w:hAnsi="宋体"/>
          <w:szCs w:val="21"/>
        </w:rPr>
        <w:t>～</w:t>
      </w:r>
      <w:r>
        <w:rPr>
          <w:szCs w:val="21"/>
        </w:rPr>
        <w:t>5</w:t>
      </w:r>
      <w:r>
        <w:rPr>
          <w:rFonts w:hAnsi="宋体"/>
          <w:szCs w:val="21"/>
        </w:rPr>
        <w:t>叶），茄子苗（</w:t>
      </w:r>
      <w:r>
        <w:rPr>
          <w:szCs w:val="21"/>
        </w:rPr>
        <w:t>2</w:t>
      </w:r>
      <w:r>
        <w:rPr>
          <w:rFonts w:hAnsi="宋体"/>
          <w:szCs w:val="21"/>
        </w:rPr>
        <w:t>～</w:t>
      </w:r>
      <w:r>
        <w:rPr>
          <w:szCs w:val="21"/>
        </w:rPr>
        <w:t>5</w:t>
      </w:r>
      <w:r>
        <w:rPr>
          <w:rFonts w:hAnsi="宋体"/>
          <w:szCs w:val="21"/>
        </w:rPr>
        <w:t>叶）、辣椒苗（</w:t>
      </w:r>
      <w:r>
        <w:rPr>
          <w:szCs w:val="21"/>
        </w:rPr>
        <w:t>2</w:t>
      </w:r>
      <w:r>
        <w:rPr>
          <w:rFonts w:hAnsi="宋体"/>
          <w:szCs w:val="21"/>
        </w:rPr>
        <w:t>～</w:t>
      </w:r>
      <w:r>
        <w:rPr>
          <w:szCs w:val="21"/>
        </w:rPr>
        <w:t>5</w:t>
      </w:r>
      <w:r>
        <w:rPr>
          <w:rFonts w:hAnsi="宋体"/>
          <w:szCs w:val="21"/>
        </w:rPr>
        <w:t>叶），双目解剖镜，解剖针，解剖针刀、镊子，游标卡尺、红墨水。</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【实验五】整地、做畦、播种和定植技术</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rFonts w:hint="eastAsia"/>
          <w:bCs/>
          <w:lang w:val="en-US" w:eastAsia="zh-CN"/>
        </w:rPr>
        <w:t>3</w:t>
      </w:r>
      <w:r>
        <w:rPr>
          <w:rFonts w:hAnsi="宋体"/>
          <w:bCs/>
        </w:rPr>
        <w:t>学时</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left"/>
        <w:textAlignment w:val="auto"/>
        <w:outlineLvl w:val="1"/>
        <w:rPr>
          <w:bCs/>
          <w:kern w:val="0"/>
          <w:szCs w:val="21"/>
        </w:rPr>
      </w:pPr>
      <w:bookmarkStart w:id="133" w:name="_Toc138076605"/>
      <w:bookmarkStart w:id="134" w:name="_Toc138066350"/>
      <w:bookmarkStart w:id="135" w:name="_Toc138070691"/>
      <w:bookmarkStart w:id="136" w:name="_Toc138076061"/>
      <w:bookmarkStart w:id="137" w:name="_Toc138076310"/>
      <w:bookmarkStart w:id="138" w:name="_Toc25093"/>
      <w:bookmarkStart w:id="139" w:name="_Toc138070421"/>
      <w:bookmarkStart w:id="140" w:name="_Toc138064514"/>
      <w:bookmarkStart w:id="141" w:name="_Toc138068791"/>
      <w:r>
        <w:rPr>
          <w:b/>
          <w:szCs w:val="21"/>
        </w:rPr>
        <w:t>2.</w:t>
      </w:r>
      <w:r>
        <w:rPr>
          <w:rFonts w:hAnsi="宋体"/>
          <w:b/>
          <w:szCs w:val="21"/>
        </w:rPr>
        <w:t>实验目的：</w:t>
      </w:r>
      <w:r>
        <w:rPr>
          <w:rFonts w:hAnsi="宋体"/>
          <w:bCs/>
          <w:kern w:val="0"/>
          <w:szCs w:val="21"/>
        </w:rPr>
        <w:t>掌握蔬菜播前、定植前土壤施肥、耕作的方法，掌握做</w:t>
      </w:r>
      <w:r>
        <w:rPr>
          <w:rFonts w:hAnsi="宋体"/>
          <w:bCs/>
          <w:szCs w:val="21"/>
        </w:rPr>
        <w:t>畦、做垄的</w:t>
      </w:r>
      <w:r>
        <w:rPr>
          <w:rFonts w:hAnsi="宋体"/>
          <w:bCs/>
          <w:kern w:val="0"/>
          <w:szCs w:val="21"/>
        </w:rPr>
        <w:t>方法，掌握定植的方法、定植操作过程的要点，掌握地膜覆盖的操作方法，练习定植工具的使用。</w:t>
      </w:r>
      <w:bookmarkEnd w:id="133"/>
      <w:bookmarkEnd w:id="134"/>
      <w:bookmarkEnd w:id="135"/>
      <w:bookmarkEnd w:id="136"/>
      <w:bookmarkEnd w:id="137"/>
      <w:bookmarkEnd w:id="138"/>
      <w:bookmarkEnd w:id="139"/>
      <w:bookmarkEnd w:id="140"/>
      <w:bookmarkEnd w:id="141"/>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bCs/>
          <w:szCs w:val="21"/>
        </w:rPr>
        <w:t>田园清洁，底肥种类、使用量、使用比例、使用方法，土壤翻耕的作用、季节、方法，做畦、做垄的方法，播种的方法及注意事项，地膜覆盖的</w:t>
      </w:r>
      <w:r>
        <w:rPr>
          <w:bCs/>
          <w:szCs w:val="21"/>
        </w:rPr>
        <w:t>2</w:t>
      </w:r>
      <w:r>
        <w:rPr>
          <w:rFonts w:hAnsi="宋体"/>
          <w:bCs/>
          <w:szCs w:val="21"/>
        </w:rPr>
        <w:t>种定植方法，主要农具的使用方法。</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以小组为单位，每</w:t>
      </w:r>
      <w:r>
        <w:rPr>
          <w:szCs w:val="21"/>
        </w:rPr>
        <w:t>5-6</w:t>
      </w:r>
      <w:r>
        <w:rPr>
          <w:rFonts w:hAnsi="宋体"/>
          <w:szCs w:val="21"/>
        </w:rPr>
        <w:t>人</w:t>
      </w:r>
      <w:r>
        <w:rPr>
          <w:szCs w:val="21"/>
        </w:rPr>
        <w:t>1</w:t>
      </w:r>
      <w:r>
        <w:rPr>
          <w:rFonts w:hAnsi="宋体"/>
          <w:szCs w:val="21"/>
        </w:rPr>
        <w:t>组</w:t>
      </w:r>
      <w:r>
        <w:rPr>
          <w:rFonts w:hAnsi="宋体"/>
          <w:bCs/>
          <w:szCs w:val="21"/>
        </w:rPr>
        <w:t>，独立完成施肥、翻地、做畦、做垄和定植覆膜。底肥采用普施与垄施相结合；畦、垄长度</w:t>
      </w:r>
      <w:r>
        <w:rPr>
          <w:bCs/>
          <w:szCs w:val="21"/>
        </w:rPr>
        <w:t>12-20m</w:t>
      </w:r>
      <w:r>
        <w:rPr>
          <w:rFonts w:hAnsi="宋体"/>
          <w:bCs/>
          <w:szCs w:val="21"/>
        </w:rPr>
        <w:t>，畦、垄平整；土壤细碎，上虚下实；浇坐窝水定植，浇透定植水；地膜紧贴垄面，封严引苗孔。</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jc w:val="left"/>
        <w:textAlignment w:val="auto"/>
        <w:outlineLvl w:val="1"/>
        <w:rPr>
          <w:bCs/>
          <w:kern w:val="0"/>
          <w:szCs w:val="21"/>
        </w:rPr>
      </w:pPr>
      <w:bookmarkStart w:id="142" w:name="_Toc138066351"/>
      <w:bookmarkStart w:id="143" w:name="_Toc138068792"/>
      <w:bookmarkStart w:id="144" w:name="_Toc138076062"/>
      <w:bookmarkStart w:id="145" w:name="_Toc138070422"/>
      <w:bookmarkStart w:id="146" w:name="_Toc138076606"/>
      <w:bookmarkStart w:id="147" w:name="_Toc138076311"/>
      <w:bookmarkStart w:id="148" w:name="_Toc138064515"/>
      <w:bookmarkStart w:id="149" w:name="_Toc138070692"/>
      <w:bookmarkStart w:id="150" w:name="_Toc20632"/>
      <w:r>
        <w:rPr>
          <w:b/>
          <w:szCs w:val="21"/>
        </w:rPr>
        <w:t>5.</w:t>
      </w:r>
      <w:r>
        <w:rPr>
          <w:rFonts w:hAnsi="宋体"/>
          <w:b/>
          <w:szCs w:val="21"/>
        </w:rPr>
        <w:t>实验设备及器材：</w:t>
      </w:r>
      <w:r>
        <w:rPr>
          <w:rFonts w:hAnsi="宋体"/>
          <w:bCs/>
          <w:kern w:val="0"/>
          <w:szCs w:val="21"/>
        </w:rPr>
        <w:t>包括锹，耙、锄、铲子、地膜、有机肥、化肥、地膜、黄瓜苗、番茄苗、豇豆种、菜豆种。</w:t>
      </w:r>
      <w:bookmarkEnd w:id="142"/>
      <w:bookmarkEnd w:id="143"/>
      <w:bookmarkEnd w:id="144"/>
      <w:bookmarkEnd w:id="145"/>
      <w:bookmarkEnd w:id="146"/>
      <w:bookmarkEnd w:id="147"/>
      <w:bookmarkEnd w:id="148"/>
      <w:bookmarkEnd w:id="149"/>
      <w:bookmarkEnd w:id="150"/>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【实验六】蔬菜分枝及开花结果习性观察</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3</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2.</w:t>
      </w:r>
      <w:r>
        <w:rPr>
          <w:rFonts w:hAnsi="宋体"/>
          <w:b/>
          <w:szCs w:val="21"/>
        </w:rPr>
        <w:t>实验目的：</w:t>
      </w:r>
      <w:r>
        <w:rPr>
          <w:rFonts w:hAnsi="宋体"/>
          <w:szCs w:val="21"/>
        </w:rPr>
        <w:t>通过观察，了解茄果类蔬菜的分枝类型；观察花的着生位置，了解番茄、茄子、辣椒等开花结果的特点。了解瓜类的结果习性及分枝状况，观察不同类型的豆类蔬菜的茎蔓生长习性及其花器官构造，了解其开花结果习性。</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bCs/>
          <w:szCs w:val="21"/>
        </w:rPr>
        <w:t>番茄分枝习性调查，包括自封顶番茄和非自封顶番茄；茄子分枝习性调查；辣椒分枝习性调查，包括无限生长型辣椒、自封定型辣椒；黄瓜、西瓜，甜瓜、豇豆、菜豆、胡萝卜分枝习性调查，不同蔬菜花器官结构调查，传粉方式调查。</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bCs/>
          <w:szCs w:val="21"/>
        </w:rPr>
        <w:t>绘图说明不同蔬菜作物的分枝习性、花器结构，说明分枝习性与开花坐果及整枝的关系，分析花器结构与授粉、坐果的关系。</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5.</w:t>
      </w:r>
      <w:r>
        <w:rPr>
          <w:rFonts w:hAnsi="宋体"/>
          <w:b/>
          <w:szCs w:val="21"/>
        </w:rPr>
        <w:t>实验设备及器材：</w:t>
      </w:r>
      <w:r>
        <w:rPr>
          <w:rFonts w:hAnsi="宋体"/>
          <w:szCs w:val="21"/>
        </w:rPr>
        <w:t>处于结果期的茄果类、瓜类蔬菜植株，卷尺、游标卡尺、放大镜、解剖刀等</w:t>
      </w:r>
      <w:r>
        <w:rPr>
          <w:rFonts w:hint="eastAsia" w:hAnsi="宋体"/>
          <w:szCs w:val="21"/>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【实验七】蔬菜植株调整</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2</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2.</w:t>
      </w:r>
      <w:r>
        <w:rPr>
          <w:rFonts w:hAnsi="宋体"/>
          <w:b/>
          <w:szCs w:val="21"/>
        </w:rPr>
        <w:t>实验目的：</w:t>
      </w:r>
      <w:r>
        <w:rPr>
          <w:rFonts w:hAnsi="宋体"/>
          <w:szCs w:val="21"/>
        </w:rPr>
        <w:t>了解蔬菜植物植株调整的原理，掌握几种主要蔬菜的植株调整的方法。</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szCs w:val="21"/>
        </w:rPr>
        <w:t>进行茄果类、瓜类插架、绑蔓、吊绳、缠蔓、整枝、打杈、摘心、压蔓、摘叶等操作。</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以小组为单位，每</w:t>
      </w:r>
      <w:r>
        <w:rPr>
          <w:szCs w:val="21"/>
        </w:rPr>
        <w:t>5</w:t>
      </w:r>
      <w:r>
        <w:rPr>
          <w:rFonts w:hAnsi="宋体"/>
          <w:szCs w:val="21"/>
        </w:rPr>
        <w:t>人</w:t>
      </w:r>
      <w:r>
        <w:rPr>
          <w:szCs w:val="21"/>
        </w:rPr>
        <w:t>1</w:t>
      </w:r>
      <w:r>
        <w:rPr>
          <w:rFonts w:hAnsi="宋体"/>
          <w:szCs w:val="21"/>
        </w:rPr>
        <w:t>组，完成番茄单干整枝、双杆整枝，茄子自然整枝，双干整枝，主干分层整枝；甜瓜摘心，西瓜压蔓，西瓜、甜瓜授粉，番茄疏花、打老叶等。绘图说明整枝方式，说明不同整枝方式的适应条件。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5.</w:t>
      </w:r>
      <w:r>
        <w:rPr>
          <w:rFonts w:hAnsi="宋体"/>
          <w:b/>
          <w:szCs w:val="21"/>
        </w:rPr>
        <w:t>实验设备及器材：</w:t>
      </w:r>
      <w:r>
        <w:rPr>
          <w:rFonts w:hAnsi="宋体"/>
          <w:szCs w:val="21"/>
        </w:rPr>
        <w:t>番茄（定植后已经开花的植株），辣椒、茄子（对椒、对茄已形成的植株），甜瓜（开始分枝以后）、西瓜（蔓长</w:t>
      </w:r>
      <w:r>
        <w:rPr>
          <w:szCs w:val="21"/>
        </w:rPr>
        <w:t>0.5m</w:t>
      </w:r>
      <w:r>
        <w:rPr>
          <w:rFonts w:hAnsi="宋体"/>
          <w:szCs w:val="21"/>
        </w:rPr>
        <w:t>以上）。细绳、竹竿、铁丝、钳子。</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【实验八】植物生长调节剂在蔬菜上的应用</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2</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2.</w:t>
      </w:r>
      <w:r>
        <w:rPr>
          <w:rFonts w:hAnsi="宋体"/>
          <w:b/>
          <w:szCs w:val="21"/>
        </w:rPr>
        <w:t>实验目的：</w:t>
      </w:r>
      <w:r>
        <w:rPr>
          <w:rFonts w:hAnsi="宋体"/>
          <w:szCs w:val="21"/>
        </w:rPr>
        <w:t>验证防落素保花保果、乙烯利调节瓜类蔬菜花芽分化的效果，掌握防落素、乙烯利的使用浓度、溶液的配制方法及在蔬菜上的应用时期和注意事项。</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bCs/>
          <w:szCs w:val="21"/>
        </w:rPr>
        <w:t xml:space="preserve"> </w:t>
      </w:r>
      <w:r>
        <w:rPr>
          <w:szCs w:val="21"/>
        </w:rPr>
        <w:t>1000</w:t>
      </w:r>
      <w:r>
        <w:rPr>
          <w:rFonts w:hint="eastAsia"/>
          <w:szCs w:val="21"/>
        </w:rPr>
        <w:t xml:space="preserve"> </w:t>
      </w:r>
      <w:r>
        <w:rPr>
          <w:szCs w:val="21"/>
        </w:rPr>
        <w:t>mg/kg</w:t>
      </w:r>
      <w:r>
        <w:rPr>
          <w:rFonts w:hAnsi="宋体"/>
          <w:szCs w:val="21"/>
        </w:rPr>
        <w:t>对氯苯氧乙酸原液配置，</w:t>
      </w:r>
      <w:r>
        <w:rPr>
          <w:szCs w:val="21"/>
        </w:rPr>
        <w:t>1000 mg/kg</w:t>
      </w:r>
      <w:r>
        <w:rPr>
          <w:rFonts w:hAnsi="宋体"/>
          <w:szCs w:val="21"/>
        </w:rPr>
        <w:t>赤霉素原液配置，</w:t>
      </w:r>
      <w:r>
        <w:rPr>
          <w:rFonts w:hint="eastAsia" w:hAnsi="宋体"/>
          <w:szCs w:val="21"/>
        </w:rPr>
        <w:t>50-</w:t>
      </w:r>
      <w:r>
        <w:rPr>
          <w:szCs w:val="21"/>
        </w:rPr>
        <w:t>150μl/l</w:t>
      </w:r>
      <w:r>
        <w:rPr>
          <w:rFonts w:hAnsi="宋体"/>
          <w:szCs w:val="21"/>
        </w:rPr>
        <w:t>乙烯利溶液配制，采用</w:t>
      </w:r>
      <w:r>
        <w:rPr>
          <w:szCs w:val="21"/>
        </w:rPr>
        <w:t>30</w:t>
      </w:r>
      <w:r>
        <w:rPr>
          <w:rFonts w:hAnsi="宋体"/>
          <w:szCs w:val="21"/>
        </w:rPr>
        <w:t>～</w:t>
      </w:r>
      <w:r>
        <w:rPr>
          <w:szCs w:val="21"/>
        </w:rPr>
        <w:t>50mg/kg</w:t>
      </w:r>
      <w:r>
        <w:rPr>
          <w:rFonts w:hAnsi="宋体"/>
          <w:szCs w:val="21"/>
        </w:rPr>
        <w:t>番茄灵溶液通过蘸花、喷雾、涂花，比较保花保果效果。</w:t>
      </w:r>
      <w:r>
        <w:rPr>
          <w:szCs w:val="21"/>
        </w:rPr>
        <w:t>50mg/kg</w:t>
      </w:r>
      <w:r>
        <w:rPr>
          <w:rFonts w:hAnsi="宋体"/>
          <w:szCs w:val="21"/>
        </w:rPr>
        <w:t>番茄灵</w:t>
      </w:r>
      <w:r>
        <w:rPr>
          <w:szCs w:val="21"/>
        </w:rPr>
        <w:t>+30mg/kg</w:t>
      </w:r>
      <w:r>
        <w:rPr>
          <w:rFonts w:hAnsi="宋体"/>
          <w:szCs w:val="21"/>
        </w:rPr>
        <w:t>赤霉素溶液，对番茄进行保花保果处理，比较其结果。用</w:t>
      </w:r>
      <w:r>
        <w:rPr>
          <w:rFonts w:hint="eastAsia" w:hAnsi="宋体"/>
          <w:szCs w:val="21"/>
        </w:rPr>
        <w:t>50-</w:t>
      </w:r>
      <w:r>
        <w:rPr>
          <w:szCs w:val="21"/>
        </w:rPr>
        <w:t>150μl/l</w:t>
      </w:r>
      <w:r>
        <w:rPr>
          <w:rFonts w:hAnsi="宋体"/>
          <w:szCs w:val="21"/>
        </w:rPr>
        <w:t>的乙烯利，在黄瓜幼苗</w:t>
      </w:r>
      <w:r>
        <w:rPr>
          <w:szCs w:val="21"/>
        </w:rPr>
        <w:t>2</w:t>
      </w:r>
      <w:r>
        <w:rPr>
          <w:rFonts w:hAnsi="宋体"/>
          <w:szCs w:val="21"/>
        </w:rPr>
        <w:t>片真叶时，进行全株喷射，对照以清水喷雾，比较促进雌花分化的效果。</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以小组为单位，每</w:t>
      </w:r>
      <w:r>
        <w:rPr>
          <w:szCs w:val="21"/>
        </w:rPr>
        <w:t>5</w:t>
      </w:r>
      <w:r>
        <w:rPr>
          <w:rFonts w:hAnsi="宋体"/>
          <w:szCs w:val="21"/>
        </w:rPr>
        <w:t>人</w:t>
      </w:r>
      <w:r>
        <w:rPr>
          <w:szCs w:val="21"/>
        </w:rPr>
        <w:t>1</w:t>
      </w:r>
      <w:r>
        <w:rPr>
          <w:rFonts w:hAnsi="宋体"/>
          <w:szCs w:val="21"/>
        </w:rPr>
        <w:t>组，以本组栽培番茄为试材进行保花保果实验，每种处理不少于</w:t>
      </w:r>
      <w:r>
        <w:rPr>
          <w:szCs w:val="21"/>
        </w:rPr>
        <w:t>15</w:t>
      </w:r>
      <w:r>
        <w:rPr>
          <w:rFonts w:hAnsi="宋体"/>
          <w:szCs w:val="21"/>
        </w:rPr>
        <w:t>朵，调查座果率和果实发育速度。调查乙烯利处理后雌花与雄花发生的节位。</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5.</w:t>
      </w:r>
      <w:r>
        <w:rPr>
          <w:rFonts w:hAnsi="宋体"/>
          <w:b/>
          <w:szCs w:val="21"/>
        </w:rPr>
        <w:t>实验设备及器材：</w:t>
      </w:r>
      <w:r>
        <w:rPr>
          <w:rFonts w:hAnsi="宋体"/>
          <w:szCs w:val="21"/>
        </w:rPr>
        <w:t>对氯苯氧乙酸（防落素），乙烯利。容量瓶</w:t>
      </w:r>
      <w:r>
        <w:rPr>
          <w:szCs w:val="21"/>
        </w:rPr>
        <w:t>1000ml</w:t>
      </w:r>
      <w:r>
        <w:rPr>
          <w:rFonts w:hAnsi="宋体"/>
          <w:szCs w:val="21"/>
        </w:rPr>
        <w:t>，量筒</w:t>
      </w:r>
      <w:r>
        <w:rPr>
          <w:szCs w:val="21"/>
        </w:rPr>
        <w:t>(100m1</w:t>
      </w:r>
      <w:r>
        <w:rPr>
          <w:rFonts w:hAnsi="宋体"/>
          <w:szCs w:val="21"/>
        </w:rPr>
        <w:t>，</w:t>
      </w:r>
      <w:r>
        <w:rPr>
          <w:szCs w:val="21"/>
        </w:rPr>
        <w:t>10m1)</w:t>
      </w:r>
      <w:r>
        <w:rPr>
          <w:rFonts w:hAnsi="宋体"/>
          <w:szCs w:val="21"/>
        </w:rPr>
        <w:t>各一个</w:t>
      </w:r>
      <w:r>
        <w:rPr>
          <w:szCs w:val="21"/>
        </w:rPr>
        <w:t>)</w:t>
      </w:r>
      <w:r>
        <w:rPr>
          <w:rFonts w:hAnsi="宋体"/>
          <w:szCs w:val="21"/>
        </w:rPr>
        <w:t>，烧杯</w:t>
      </w:r>
      <w:r>
        <w:rPr>
          <w:szCs w:val="21"/>
        </w:rPr>
        <w:t>(250mI)</w:t>
      </w:r>
      <w:r>
        <w:rPr>
          <w:rFonts w:hAnsi="宋体"/>
          <w:szCs w:val="21"/>
        </w:rPr>
        <w:t>，试剂瓶</w:t>
      </w:r>
      <w:r>
        <w:rPr>
          <w:szCs w:val="21"/>
        </w:rPr>
        <w:t>(1000ml)</w:t>
      </w:r>
      <w:r>
        <w:rPr>
          <w:rFonts w:hAnsi="宋体"/>
          <w:szCs w:val="21"/>
        </w:rPr>
        <w:t>，移液管（</w:t>
      </w:r>
      <w:r>
        <w:rPr>
          <w:szCs w:val="21"/>
        </w:rPr>
        <w:t>10ml</w:t>
      </w:r>
      <w:r>
        <w:rPr>
          <w:rFonts w:hAnsi="宋体"/>
          <w:szCs w:val="21"/>
        </w:rPr>
        <w:t>），滴管，洗耳球，喷雾器，红广告色、毛笔、番茄开花植株，黄瓜一叶一心的幼苗。</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【实验九】蔬菜生理生态常见仪器性能了解与使用</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3</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szCs w:val="21"/>
        </w:rPr>
      </w:pPr>
      <w:r>
        <w:rPr>
          <w:b/>
          <w:szCs w:val="21"/>
        </w:rPr>
        <w:t>2.</w:t>
      </w:r>
      <w:r>
        <w:rPr>
          <w:rFonts w:hAnsi="宋体"/>
          <w:b/>
          <w:szCs w:val="21"/>
        </w:rPr>
        <w:t>实验目的：</w:t>
      </w:r>
      <w:r>
        <w:rPr>
          <w:rFonts w:hAnsi="宋体"/>
          <w:szCs w:val="21"/>
        </w:rPr>
        <w:t>掌握蔬菜生理生态常见小型仪器的使用，了解大型仪器的使用范围和基本操作。</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szCs w:val="21"/>
        </w:rPr>
        <w:t>认识并操作有游标卡尺、农田气象系统、照度计、温湿度计、土壤温度计、手持叶面积仪、手持叶绿素仪。演示光合仪、叶绿素荧光仪、火焰原子吸收仪的使用。</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实验以班级为单位进行，调查以小组为单位，实验报告单独完成。</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5.</w:t>
      </w:r>
      <w:r>
        <w:rPr>
          <w:rFonts w:hAnsi="宋体"/>
          <w:b/>
          <w:szCs w:val="21"/>
        </w:rPr>
        <w:t>实验设备及器材：</w:t>
      </w:r>
      <w:r>
        <w:rPr>
          <w:rFonts w:hAnsi="宋体"/>
          <w:szCs w:val="21"/>
        </w:rPr>
        <w:t>游标卡尺、农田气象系统、照度计、温湿度计、土壤温度计、手持叶面积仪、手持叶绿素仪、光合仪、叶绿素荧光仪、火焰原子吸收仪</w:t>
      </w:r>
      <w:r>
        <w:rPr>
          <w:rFonts w:hint="eastAsia" w:hAnsi="宋体"/>
          <w:szCs w:val="21"/>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【实验十】土壤水水分特征曲线的测定及水肥一体化设备安装与调试</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bCs/>
        </w:rPr>
        <w:t>3</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2.</w:t>
      </w:r>
      <w:r>
        <w:rPr>
          <w:rFonts w:hAnsi="宋体"/>
          <w:b/>
          <w:szCs w:val="21"/>
        </w:rPr>
        <w:t>实验目的：</w:t>
      </w:r>
      <w:r>
        <w:rPr>
          <w:rFonts w:hAnsi="宋体"/>
          <w:bCs/>
          <w:szCs w:val="21"/>
        </w:rPr>
        <w:t>掌握土壤水分张力计的使用方法，掌握土壤水水分特征曲线的测定方法。掌握水肥一体化设备的基本组成。</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Ansi="宋体"/>
          <w:bCs/>
          <w:szCs w:val="21"/>
        </w:rPr>
        <w:t>采用脱湿法测定土壤水分特征曲线，内容包括：试验土样初始含水量测定、土样的装填、张力计安装、饱和土壤含水量的产生，观测读数、称量、含水率计算，土壤水分特征曲线绘制，土壤水分特征曲线拟合等。认识水肥一体化常用的各种设备，选择合适的安装覆盖</w:t>
      </w:r>
      <w:r>
        <w:rPr>
          <w:bCs/>
          <w:szCs w:val="21"/>
        </w:rPr>
        <w:t>2-3m</w:t>
      </w:r>
      <w:r>
        <w:rPr>
          <w:bCs/>
          <w:szCs w:val="21"/>
          <w:vertAlign w:val="superscript"/>
        </w:rPr>
        <w:t>2</w:t>
      </w:r>
      <w:r>
        <w:rPr>
          <w:rFonts w:hAnsi="宋体"/>
          <w:bCs/>
          <w:szCs w:val="21"/>
        </w:rPr>
        <w:t>的设备。</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bCs/>
          <w:szCs w:val="21"/>
        </w:rPr>
        <w:t>以小组为单位进行试验，设</w:t>
      </w:r>
      <w:r>
        <w:rPr>
          <w:bCs/>
          <w:szCs w:val="21"/>
        </w:rPr>
        <w:t>3</w:t>
      </w:r>
      <w:r>
        <w:rPr>
          <w:rFonts w:hAnsi="宋体"/>
          <w:bCs/>
          <w:szCs w:val="21"/>
        </w:rPr>
        <w:t>次重复，绘制土壤水分特征曲线并进行拟合，掌握土壤水分特征曲线在定量灌溉中的应用方法。以班级为单位完成水肥一体化设备的安装。</w:t>
      </w:r>
    </w:p>
    <w:p>
      <w:pPr>
        <w:keepNext w:val="0"/>
        <w:keepLines w:val="0"/>
        <w:pageBreakBefore w:val="0"/>
        <w:tabs>
          <w:tab w:val="left" w:pos="426"/>
        </w:tabs>
        <w:kinsoku/>
        <w:wordWrap/>
        <w:overflowPunct/>
        <w:topLinePunct w:val="0"/>
        <w:autoSpaceDE/>
        <w:autoSpaceDN/>
        <w:bidi w:val="0"/>
        <w:adjustRightInd w:val="0"/>
        <w:snapToGrid w:val="0"/>
        <w:spacing w:line="360" w:lineRule="auto"/>
        <w:ind w:firstLine="422" w:firstLineChars="200"/>
        <w:textAlignment w:val="auto"/>
        <w:rPr>
          <w:rFonts w:hAnsi="宋体"/>
          <w:szCs w:val="21"/>
        </w:rPr>
      </w:pPr>
      <w:r>
        <w:rPr>
          <w:b/>
          <w:szCs w:val="21"/>
        </w:rPr>
        <w:t>5.</w:t>
      </w:r>
      <w:r>
        <w:rPr>
          <w:rFonts w:hAnsi="宋体"/>
          <w:b/>
          <w:szCs w:val="21"/>
        </w:rPr>
        <w:t>实验设备及器材：</w:t>
      </w:r>
      <w:r>
        <w:rPr>
          <w:rFonts w:hAnsi="宋体"/>
          <w:szCs w:val="21"/>
        </w:rPr>
        <w:t>土样包括容重</w:t>
      </w:r>
      <w:r>
        <w:rPr>
          <w:szCs w:val="21"/>
        </w:rPr>
        <w:t>1.3g/cm</w:t>
      </w:r>
      <w:r>
        <w:rPr>
          <w:szCs w:val="21"/>
          <w:vertAlign w:val="superscript"/>
        </w:rPr>
        <w:t>3</w:t>
      </w:r>
      <w:r>
        <w:rPr>
          <w:rFonts w:hAnsi="宋体"/>
          <w:szCs w:val="21"/>
        </w:rPr>
        <w:t>的粘土、容重</w:t>
      </w:r>
      <w:r>
        <w:rPr>
          <w:szCs w:val="21"/>
        </w:rPr>
        <w:t>1.4g/cm</w:t>
      </w:r>
      <w:r>
        <w:rPr>
          <w:szCs w:val="21"/>
          <w:vertAlign w:val="superscript"/>
        </w:rPr>
        <w:t>3</w:t>
      </w:r>
      <w:r>
        <w:rPr>
          <w:rFonts w:hAnsi="宋体"/>
          <w:szCs w:val="21"/>
        </w:rPr>
        <w:t>砂壤土，直径</w:t>
      </w:r>
      <w:r>
        <w:rPr>
          <w:szCs w:val="21"/>
        </w:rPr>
        <w:t xml:space="preserve">20cm </w:t>
      </w:r>
      <w:r>
        <w:rPr>
          <w:rFonts w:hAnsi="宋体"/>
          <w:szCs w:val="21"/>
        </w:rPr>
        <w:t>花盆</w:t>
      </w:r>
      <w:r>
        <w:rPr>
          <w:szCs w:val="21"/>
        </w:rPr>
        <w:t>9</w:t>
      </w:r>
      <w:r>
        <w:rPr>
          <w:rFonts w:hAnsi="宋体"/>
          <w:szCs w:val="21"/>
        </w:rPr>
        <w:t>个，土壤水分张力计</w:t>
      </w:r>
      <w:r>
        <w:rPr>
          <w:szCs w:val="21"/>
        </w:rPr>
        <w:t>9</w:t>
      </w:r>
      <w:r>
        <w:rPr>
          <w:rFonts w:hAnsi="宋体"/>
          <w:szCs w:val="21"/>
        </w:rPr>
        <w:t>个，电子天平，电子台秤。水肥一体化设备。</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w:t>
      </w:r>
      <w:r>
        <w:rPr>
          <w:rFonts w:hint="eastAsia" w:ascii="Arial Unicode MS" w:hAnsi="Arial Unicode MS" w:eastAsia="Arial Unicode MS" w:cs="Arial Unicode MS"/>
          <w:b/>
          <w:szCs w:val="21"/>
        </w:rPr>
        <w:t>十一</w:t>
      </w:r>
      <w:r>
        <w:rPr>
          <w:rFonts w:ascii="Arial Unicode MS" w:hAnsi="Arial Unicode MS" w:eastAsia="Arial Unicode MS" w:cs="Arial Unicode MS"/>
          <w:b/>
          <w:szCs w:val="21"/>
        </w:rPr>
        <w:t>】</w:t>
      </w:r>
      <w:r>
        <w:rPr>
          <w:rFonts w:hint="eastAsia" w:ascii="Arial Unicode MS" w:hAnsi="Arial Unicode MS" w:eastAsia="Arial Unicode MS" w:cs="Arial Unicode MS"/>
          <w:b/>
          <w:szCs w:val="21"/>
        </w:rPr>
        <w:t>芽菜生产技术（黄豆或黑豆苗）</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rFonts w:hint="eastAsia"/>
          <w:bCs/>
        </w:rPr>
        <w:t>2</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2.</w:t>
      </w:r>
      <w:r>
        <w:rPr>
          <w:rFonts w:hAnsi="宋体"/>
          <w:b/>
          <w:szCs w:val="21"/>
        </w:rPr>
        <w:t>实验目的：</w:t>
      </w:r>
      <w:r>
        <w:rPr>
          <w:rFonts w:hint="eastAsia" w:hAnsi="宋体"/>
          <w:szCs w:val="21"/>
        </w:rPr>
        <w:t>了解芽苗菜生产现状</w:t>
      </w:r>
      <w:r>
        <w:rPr>
          <w:rFonts w:hint="eastAsia"/>
          <w:color w:val="333333"/>
          <w:szCs w:val="21"/>
        </w:rPr>
        <w:t>，</w:t>
      </w:r>
      <w:r>
        <w:rPr>
          <w:color w:val="333333"/>
          <w:szCs w:val="21"/>
        </w:rPr>
        <w:t>掌握</w:t>
      </w:r>
      <w:r>
        <w:rPr>
          <w:rFonts w:hint="eastAsia"/>
          <w:color w:val="333333"/>
          <w:szCs w:val="21"/>
        </w:rPr>
        <w:t>黄豆或</w:t>
      </w:r>
      <w:r>
        <w:rPr>
          <w:color w:val="333333"/>
          <w:szCs w:val="21"/>
        </w:rPr>
        <w:t>黑豆苗生产操作过程</w:t>
      </w:r>
      <w:r>
        <w:rPr>
          <w:rFonts w:hAnsi="宋体"/>
          <w:bCs/>
          <w:szCs w:val="21"/>
        </w:rPr>
        <w:t>。</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int="eastAsia" w:hAnsi="宋体"/>
          <w:szCs w:val="21"/>
        </w:rPr>
        <w:t>黄豆或黑豆品种选择，种子精选和淘洗，种子的播种和催芽，芽苗菜生产栽培室管理（水、温度、光照的调节），芽苗菜的采收。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bCs/>
          <w:szCs w:val="21"/>
        </w:rPr>
        <w:t>以小组为单位进行试验，设</w:t>
      </w:r>
      <w:r>
        <w:rPr>
          <w:rFonts w:hint="eastAsia"/>
          <w:bCs/>
          <w:szCs w:val="21"/>
        </w:rPr>
        <w:t>2</w:t>
      </w:r>
      <w:r>
        <w:rPr>
          <w:rFonts w:hAnsi="宋体"/>
          <w:bCs/>
          <w:szCs w:val="21"/>
        </w:rPr>
        <w:t>次重复，</w:t>
      </w:r>
      <w:r>
        <w:rPr>
          <w:rFonts w:hint="eastAsia" w:hAnsi="宋体"/>
          <w:bCs/>
          <w:szCs w:val="21"/>
        </w:rPr>
        <w:t>熟练掌握种子精选的操作步骤和栽培室管理的温、光、水等要素的合理调整要求</w:t>
      </w:r>
      <w:r>
        <w:rPr>
          <w:rFonts w:hAnsi="宋体"/>
          <w:bCs/>
          <w:szCs w:val="21"/>
        </w:rPr>
        <w:t>。</w:t>
      </w:r>
    </w:p>
    <w:p>
      <w:pPr>
        <w:keepNext w:val="0"/>
        <w:keepLines w:val="0"/>
        <w:pageBreakBefore w:val="0"/>
        <w:kinsoku/>
        <w:wordWrap/>
        <w:overflowPunct/>
        <w:topLinePunct w:val="0"/>
        <w:autoSpaceDE/>
        <w:autoSpaceDN/>
        <w:bidi w:val="0"/>
        <w:spacing w:line="360" w:lineRule="auto"/>
        <w:ind w:firstLine="422" w:firstLineChars="200"/>
        <w:textAlignment w:val="auto"/>
        <w:rPr>
          <w:color w:val="333333"/>
          <w:szCs w:val="21"/>
        </w:rPr>
      </w:pPr>
      <w:r>
        <w:rPr>
          <w:b/>
          <w:szCs w:val="21"/>
        </w:rPr>
        <w:t>5.</w:t>
      </w:r>
      <w:r>
        <w:rPr>
          <w:rFonts w:hAnsi="宋体"/>
          <w:b/>
          <w:szCs w:val="21"/>
        </w:rPr>
        <w:t>实验设备及器材：</w:t>
      </w:r>
      <w:r>
        <w:rPr>
          <w:rFonts w:hint="eastAsia"/>
          <w:color w:val="333333"/>
          <w:szCs w:val="21"/>
        </w:rPr>
        <w:t>黄豆或</w:t>
      </w:r>
      <w:r>
        <w:rPr>
          <w:color w:val="333333"/>
          <w:szCs w:val="21"/>
        </w:rPr>
        <w:t>黑豆</w:t>
      </w:r>
      <w:r>
        <w:rPr>
          <w:rFonts w:hint="eastAsia"/>
          <w:color w:val="333333"/>
          <w:szCs w:val="21"/>
        </w:rPr>
        <w:t>种子、</w:t>
      </w:r>
      <w:r>
        <w:rPr>
          <w:color w:val="333333"/>
          <w:szCs w:val="21"/>
        </w:rPr>
        <w:t>喷壶、苗盘、</w:t>
      </w:r>
      <w:r>
        <w:rPr>
          <w:rFonts w:hint="eastAsia"/>
          <w:color w:val="333333"/>
          <w:szCs w:val="21"/>
        </w:rPr>
        <w:t>洒水壶、</w:t>
      </w:r>
      <w:r>
        <w:rPr>
          <w:color w:val="333333"/>
          <w:szCs w:val="21"/>
        </w:rPr>
        <w:t>温度计等</w:t>
      </w:r>
      <w:r>
        <w:rPr>
          <w:rFonts w:hint="eastAsia"/>
          <w:color w:val="333333"/>
          <w:szCs w:val="21"/>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w:t>
      </w:r>
      <w:r>
        <w:rPr>
          <w:rFonts w:hint="eastAsia" w:ascii="Arial Unicode MS" w:hAnsi="Arial Unicode MS" w:eastAsia="Arial Unicode MS" w:cs="Arial Unicode MS"/>
          <w:b/>
          <w:szCs w:val="21"/>
        </w:rPr>
        <w:t>十二</w:t>
      </w:r>
      <w:r>
        <w:rPr>
          <w:rFonts w:ascii="Arial Unicode MS" w:hAnsi="Arial Unicode MS" w:eastAsia="Arial Unicode MS" w:cs="Arial Unicode MS"/>
          <w:b/>
          <w:szCs w:val="21"/>
        </w:rPr>
        <w:t>】</w:t>
      </w:r>
      <w:r>
        <w:rPr>
          <w:rFonts w:hint="eastAsia" w:ascii="Arial Unicode MS" w:hAnsi="Arial Unicode MS" w:eastAsia="Arial Unicode MS" w:cs="Arial Unicode MS"/>
          <w:b/>
          <w:szCs w:val="21"/>
        </w:rPr>
        <w:t>稀特蔬菜的品尝</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rFonts w:hint="eastAsia"/>
          <w:bCs/>
        </w:rPr>
        <w:t>2</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2.</w:t>
      </w:r>
      <w:r>
        <w:rPr>
          <w:rFonts w:hAnsi="宋体"/>
          <w:b/>
          <w:szCs w:val="21"/>
        </w:rPr>
        <w:t>实验目的：</w:t>
      </w:r>
      <w:r>
        <w:rPr>
          <w:rFonts w:hint="eastAsia"/>
        </w:rPr>
        <w:t>了解稀特蔬菜产品的特点、营养含量、保健功能和</w:t>
      </w:r>
      <w:r>
        <w:rPr>
          <w:rFonts w:hint="eastAsia" w:hAnsi="宋体"/>
        </w:rPr>
        <w:t>烹饪方法</w:t>
      </w:r>
      <w:r>
        <w:rPr>
          <w:rFonts w:hAnsi="宋体"/>
          <w:bCs/>
          <w:szCs w:val="21"/>
        </w:rPr>
        <w:t>。</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3.</w:t>
      </w:r>
      <w:r>
        <w:rPr>
          <w:rFonts w:hAnsi="宋体"/>
          <w:b/>
          <w:szCs w:val="21"/>
        </w:rPr>
        <w:t>实验内容：</w:t>
      </w:r>
      <w:r>
        <w:rPr>
          <w:rFonts w:hint="eastAsia" w:ascii="宋体" w:hAnsi="宋体"/>
          <w:color w:val="000000"/>
        </w:rPr>
        <w:t>针对</w:t>
      </w:r>
      <w:r>
        <w:rPr>
          <w:rFonts w:hint="eastAsia" w:ascii="宋体" w:hAnsi="宋体"/>
        </w:rPr>
        <w:t>芽菜、落葵、苋菜、</w:t>
      </w:r>
      <w:r>
        <w:rPr>
          <w:rFonts w:hint="eastAsia" w:ascii="宋体" w:hAnsi="宋体"/>
          <w:color w:val="000000"/>
        </w:rPr>
        <w:t>蕨菜</w:t>
      </w:r>
      <w:r>
        <w:rPr>
          <w:rFonts w:hint="eastAsia" w:ascii="宋体" w:hAnsi="宋体"/>
          <w:b/>
          <w:bCs/>
          <w:color w:val="000000"/>
        </w:rPr>
        <w:t>、</w:t>
      </w:r>
      <w:r>
        <w:rPr>
          <w:rFonts w:hint="eastAsia" w:ascii="宋体" w:hAnsi="宋体"/>
          <w:color w:val="000000"/>
        </w:rPr>
        <w:t>芦笋等希特蔬菜，</w:t>
      </w:r>
      <w:r>
        <w:rPr>
          <w:rFonts w:hint="eastAsia" w:ascii="宋体" w:hAnsi="宋体"/>
        </w:rPr>
        <w:t>参照美食攻略，制作</w:t>
      </w:r>
      <w:r>
        <w:rPr>
          <w:rFonts w:hint="eastAsia" w:ascii="宋体" w:hAnsi="宋体"/>
          <w:color w:val="000000"/>
        </w:rPr>
        <w:t>凉拌菜；解释所制作凉拌菜的营养价值，并记录所制作菜肴的特点和风味。</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Ansi="宋体"/>
          <w:bCs/>
          <w:szCs w:val="21"/>
        </w:rPr>
      </w:pPr>
      <w:r>
        <w:rPr>
          <w:b/>
          <w:szCs w:val="21"/>
        </w:rPr>
        <w:t>4.</w:t>
      </w:r>
      <w:r>
        <w:rPr>
          <w:rFonts w:hAnsi="宋体"/>
          <w:b/>
          <w:szCs w:val="21"/>
        </w:rPr>
        <w:t>实验要求：</w:t>
      </w:r>
      <w:r>
        <w:rPr>
          <w:rFonts w:hAnsi="宋体"/>
          <w:szCs w:val="21"/>
        </w:rPr>
        <w:t>以小组为单位，每</w:t>
      </w:r>
      <w:r>
        <w:rPr>
          <w:szCs w:val="21"/>
        </w:rPr>
        <w:t>5-6</w:t>
      </w:r>
      <w:r>
        <w:rPr>
          <w:rFonts w:hAnsi="宋体"/>
          <w:szCs w:val="21"/>
        </w:rPr>
        <w:t>人</w:t>
      </w:r>
      <w:r>
        <w:rPr>
          <w:szCs w:val="21"/>
        </w:rPr>
        <w:t>1</w:t>
      </w:r>
      <w:r>
        <w:rPr>
          <w:rFonts w:hAnsi="宋体"/>
          <w:szCs w:val="21"/>
        </w:rPr>
        <w:t>组</w:t>
      </w:r>
      <w:r>
        <w:rPr>
          <w:rFonts w:hAnsi="宋体"/>
          <w:bCs/>
          <w:szCs w:val="21"/>
        </w:rPr>
        <w:t>，</w:t>
      </w:r>
      <w:r>
        <w:rPr>
          <w:rFonts w:hint="eastAsia" w:hAnsi="宋体"/>
          <w:bCs/>
          <w:szCs w:val="21"/>
        </w:rPr>
        <w:t>每组制作</w:t>
      </w:r>
      <w:r>
        <w:rPr>
          <w:rFonts w:hint="eastAsia" w:ascii="宋体" w:hAnsi="宋体"/>
          <w:color w:val="000000"/>
        </w:rPr>
        <w:t>完成2样凉拌菜；为其他组别解释其特点和营养价值。</w:t>
      </w:r>
    </w:p>
    <w:p>
      <w:pPr>
        <w:keepNext w:val="0"/>
        <w:keepLines w:val="0"/>
        <w:pageBreakBefore w:val="0"/>
        <w:kinsoku/>
        <w:wordWrap/>
        <w:overflowPunct/>
        <w:topLinePunct w:val="0"/>
        <w:autoSpaceDE/>
        <w:autoSpaceDN/>
        <w:bidi w:val="0"/>
        <w:spacing w:line="360" w:lineRule="auto"/>
        <w:ind w:firstLine="420"/>
        <w:textAlignment w:val="auto"/>
        <w:rPr>
          <w:color w:val="333333"/>
          <w:szCs w:val="21"/>
        </w:rPr>
      </w:pPr>
      <w:r>
        <w:rPr>
          <w:b/>
          <w:szCs w:val="21"/>
        </w:rPr>
        <w:t>5.</w:t>
      </w:r>
      <w:r>
        <w:rPr>
          <w:rFonts w:hAnsi="宋体"/>
          <w:b/>
          <w:szCs w:val="21"/>
        </w:rPr>
        <w:t>实验设备及器材：</w:t>
      </w:r>
    </w:p>
    <w:p>
      <w:pPr>
        <w:keepNext w:val="0"/>
        <w:keepLines w:val="0"/>
        <w:pageBreakBefore w:val="0"/>
        <w:kinsoku/>
        <w:wordWrap/>
        <w:overflowPunct/>
        <w:topLinePunct w:val="0"/>
        <w:autoSpaceDE/>
        <w:autoSpaceDN/>
        <w:bidi w:val="0"/>
        <w:spacing w:line="360" w:lineRule="auto"/>
        <w:ind w:left="420" w:leftChars="200"/>
        <w:textAlignment w:val="auto"/>
        <w:rPr>
          <w:rFonts w:ascii="宋体" w:hAnsi="宋体"/>
        </w:rPr>
      </w:pPr>
      <w:r>
        <w:rPr>
          <w:rFonts w:hint="eastAsia" w:ascii="宋体" w:hAnsi="宋体"/>
          <w:color w:val="000000"/>
        </w:rPr>
        <w:t>蔬菜：</w:t>
      </w:r>
      <w:r>
        <w:rPr>
          <w:rFonts w:hint="eastAsia" w:ascii="宋体" w:hAnsi="宋体"/>
        </w:rPr>
        <w:t>芽菜、落葵、苋菜、荠菜、茼蒿、</w:t>
      </w:r>
      <w:r>
        <w:rPr>
          <w:rFonts w:hint="eastAsia" w:ascii="宋体" w:hAnsi="宋体"/>
          <w:color w:val="000000"/>
        </w:rPr>
        <w:t>蕨菜</w:t>
      </w:r>
      <w:r>
        <w:rPr>
          <w:rFonts w:hint="eastAsia" w:ascii="宋体" w:hAnsi="宋体"/>
          <w:b/>
          <w:bCs/>
          <w:color w:val="000000"/>
        </w:rPr>
        <w:t>、</w:t>
      </w:r>
      <w:r>
        <w:rPr>
          <w:rFonts w:hint="eastAsia" w:ascii="宋体" w:hAnsi="宋体"/>
          <w:color w:val="000000"/>
        </w:rPr>
        <w:t>芦笋、生菜、</w:t>
      </w:r>
      <w:r>
        <w:rPr>
          <w:rFonts w:hint="eastAsia" w:ascii="宋体" w:hAnsi="宋体"/>
        </w:rPr>
        <w:t>仙人掌等；</w:t>
      </w:r>
    </w:p>
    <w:p>
      <w:pPr>
        <w:keepNext w:val="0"/>
        <w:keepLines w:val="0"/>
        <w:pageBreakBefore w:val="0"/>
        <w:kinsoku/>
        <w:wordWrap/>
        <w:overflowPunct/>
        <w:topLinePunct w:val="0"/>
        <w:autoSpaceDE/>
        <w:autoSpaceDN/>
        <w:bidi w:val="0"/>
        <w:spacing w:line="360" w:lineRule="auto"/>
        <w:ind w:left="1050" w:leftChars="200" w:hanging="630" w:hangingChars="300"/>
        <w:textAlignment w:val="auto"/>
        <w:rPr>
          <w:rFonts w:ascii="宋体" w:hAnsi="宋体"/>
        </w:rPr>
      </w:pPr>
      <w:r>
        <w:rPr>
          <w:rFonts w:hint="eastAsia" w:ascii="宋体" w:hAnsi="宋体"/>
        </w:rPr>
        <w:t>配菜：豆腐、胡萝卜、粉丝、金针菇、香菇、冬笋、榨菜、</w:t>
      </w:r>
      <w:r>
        <w:rPr>
          <w:rFonts w:hint="eastAsia" w:ascii="宋体" w:hAnsi="宋体"/>
          <w:color w:val="000000"/>
        </w:rPr>
        <w:t>炸花生米、</w:t>
      </w:r>
      <w:r>
        <w:rPr>
          <w:rFonts w:hint="eastAsia" w:ascii="宋体" w:hAnsi="宋体"/>
        </w:rPr>
        <w:t>腐竹、魔芋细粉；</w:t>
      </w:r>
    </w:p>
    <w:p>
      <w:pPr>
        <w:keepNext w:val="0"/>
        <w:keepLines w:val="0"/>
        <w:pageBreakBefore w:val="0"/>
        <w:kinsoku/>
        <w:wordWrap/>
        <w:overflowPunct/>
        <w:topLinePunct w:val="0"/>
        <w:autoSpaceDE/>
        <w:autoSpaceDN/>
        <w:bidi w:val="0"/>
        <w:spacing w:line="360" w:lineRule="auto"/>
        <w:ind w:left="1050" w:leftChars="200" w:hanging="630" w:hangingChars="300"/>
        <w:textAlignment w:val="auto"/>
        <w:rPr>
          <w:rFonts w:ascii="宋体" w:hAnsi="宋体"/>
        </w:rPr>
      </w:pPr>
      <w:r>
        <w:rPr>
          <w:rFonts w:hint="eastAsia" w:ascii="宋体" w:hAnsi="宋体"/>
        </w:rPr>
        <w:t>调料：精盐、味精、白糖、香油、大蒜、酱油、白醋、花椒油、辣椒油、料酒、花椒粉、芝麻酱、色拉油、芝麻屑等；</w:t>
      </w:r>
    </w:p>
    <w:p>
      <w:pPr>
        <w:keepNext w:val="0"/>
        <w:keepLines w:val="0"/>
        <w:pageBreakBefore w:val="0"/>
        <w:kinsoku/>
        <w:wordWrap/>
        <w:overflowPunct/>
        <w:topLinePunct w:val="0"/>
        <w:autoSpaceDE/>
        <w:autoSpaceDN/>
        <w:bidi w:val="0"/>
        <w:spacing w:line="360" w:lineRule="auto"/>
        <w:ind w:left="1050" w:leftChars="200" w:hanging="630" w:hangingChars="300"/>
        <w:textAlignment w:val="auto"/>
        <w:rPr>
          <w:rFonts w:ascii="宋体" w:hAnsi="宋体"/>
          <w:color w:val="000000"/>
        </w:rPr>
      </w:pPr>
      <w:r>
        <w:rPr>
          <w:rFonts w:hint="eastAsia" w:ascii="宋体" w:hAnsi="宋体"/>
        </w:rPr>
        <w:t>用具：菜板、菜刀、盘子、汤匙、小碗、多功能锅、塑料盆、筷子、笊篱或漏勺。</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w:t>
      </w:r>
      <w:r>
        <w:rPr>
          <w:rFonts w:hint="eastAsia" w:ascii="Arial Unicode MS" w:hAnsi="Arial Unicode MS" w:eastAsia="Arial Unicode MS" w:cs="Arial Unicode MS"/>
          <w:b/>
          <w:szCs w:val="21"/>
        </w:rPr>
        <w:t>十三</w:t>
      </w:r>
      <w:r>
        <w:rPr>
          <w:rFonts w:ascii="Arial Unicode MS" w:hAnsi="Arial Unicode MS" w:eastAsia="Arial Unicode MS" w:cs="Arial Unicode MS"/>
          <w:b/>
          <w:szCs w:val="21"/>
        </w:rPr>
        <w:t>】</w:t>
      </w:r>
      <w:r>
        <w:rPr>
          <w:rFonts w:hint="eastAsia" w:ascii="Arial Unicode MS" w:hAnsi="Arial Unicode MS" w:eastAsia="Arial Unicode MS" w:cs="Arial Unicode MS"/>
          <w:b/>
          <w:szCs w:val="21"/>
        </w:rPr>
        <w:t>葱蒜类蔬菜的形态特征和产品器官构成</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rFonts w:hint="eastAsia"/>
          <w:bCs/>
        </w:rPr>
        <w:t>2</w:t>
      </w:r>
      <w:r>
        <w:rPr>
          <w:rFonts w:hAnsi="宋体"/>
          <w:bCs/>
        </w:rPr>
        <w:t>学时</w:t>
      </w:r>
    </w:p>
    <w:p>
      <w:pPr>
        <w:keepNext w:val="0"/>
        <w:keepLines w:val="0"/>
        <w:pageBreakBefore w:val="0"/>
        <w:kinsoku/>
        <w:wordWrap/>
        <w:overflowPunct/>
        <w:topLinePunct w:val="0"/>
        <w:autoSpaceDE/>
        <w:autoSpaceDN/>
        <w:bidi w:val="0"/>
        <w:spacing w:line="360" w:lineRule="auto"/>
        <w:ind w:firstLine="422" w:firstLineChars="200"/>
        <w:textAlignment w:val="auto"/>
      </w:pPr>
      <w:r>
        <w:rPr>
          <w:b/>
          <w:szCs w:val="21"/>
        </w:rPr>
        <w:t>2.</w:t>
      </w:r>
      <w:r>
        <w:rPr>
          <w:rFonts w:hAnsi="宋体"/>
          <w:b/>
          <w:szCs w:val="21"/>
        </w:rPr>
        <w:t>实验目的：</w:t>
      </w:r>
      <w:r>
        <w:rPr>
          <w:rFonts w:hint="eastAsia"/>
        </w:rPr>
        <w:t>了解葱蒜类蔬菜的形态特征，并比较其异同点；2．掌握葱蒜类蔬菜产品器官的构成。</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Ansi="宋体"/>
          <w:b/>
          <w:szCs w:val="21"/>
        </w:rPr>
      </w:pPr>
      <w:r>
        <w:rPr>
          <w:b/>
          <w:szCs w:val="21"/>
        </w:rPr>
        <w:t>3.</w:t>
      </w:r>
      <w:r>
        <w:rPr>
          <w:rFonts w:hAnsi="宋体"/>
          <w:b/>
          <w:szCs w:val="21"/>
        </w:rPr>
        <w:t>实验内容：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pPr>
      <w:r>
        <w:rPr>
          <w:rFonts w:hint="eastAsia"/>
        </w:rPr>
        <w:t>（1）取韭菜完整植株观察根系着生部位、换根情况，分析跳根原因；观察叶片形状、叶鞘形状、叶片在茎盘上的着生位置，分析假茎形成的原因；观察短缩茎形状、根状茎形状，分析分蘖与跳根的关系。</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pPr>
      <w:r>
        <w:rPr>
          <w:rFonts w:hint="eastAsia"/>
        </w:rPr>
        <w:t>（2）取洋葱植株观察根系着生部位；观察叶形、叶色、叶面状况；取鳞茎分别纵切与横切观察：膜质鳞片、开放性肉质鳞片、闭合性肉质鳞片、幼芽、茎盘、须根的位置。</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pPr>
      <w:r>
        <w:rPr>
          <w:rFonts w:hint="eastAsia"/>
        </w:rPr>
        <w:t>（3）取大葱植株观察根系及叶部形态特征，比较幼叶与成叶的异同；将假茎纵剖和横剖，观察假茎的组成，叶鞘的抱合方式。</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b/>
          <w:szCs w:val="21"/>
        </w:rPr>
      </w:pPr>
      <w:r>
        <w:rPr>
          <w:rFonts w:hint="eastAsia"/>
        </w:rPr>
        <w:t>（4）取大蒜植株观察大蒜根系、叶身、叶鞘的形态；观察鳞茎纵剖面和横断面的叶鞘、鳞芽（主芽、副芽）蒜薹、肉质鳞片、芽孔、茎盘等。</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bCs/>
          <w:szCs w:val="21"/>
        </w:rPr>
      </w:pPr>
      <w:r>
        <w:rPr>
          <w:b/>
          <w:szCs w:val="21"/>
        </w:rPr>
        <w:t>4.</w:t>
      </w:r>
      <w:r>
        <w:rPr>
          <w:rFonts w:hAnsi="宋体"/>
          <w:b/>
          <w:szCs w:val="21"/>
        </w:rPr>
        <w:t>实验要求：</w:t>
      </w:r>
      <w:r>
        <w:rPr>
          <w:rFonts w:hAnsi="宋体"/>
          <w:szCs w:val="21"/>
        </w:rPr>
        <w:t>以小组为单位，每</w:t>
      </w:r>
      <w:r>
        <w:rPr>
          <w:szCs w:val="21"/>
        </w:rPr>
        <w:t>5-6</w:t>
      </w:r>
      <w:r>
        <w:rPr>
          <w:rFonts w:hAnsi="宋体"/>
          <w:szCs w:val="21"/>
        </w:rPr>
        <w:t>人</w:t>
      </w:r>
      <w:r>
        <w:rPr>
          <w:szCs w:val="21"/>
        </w:rPr>
        <w:t>1</w:t>
      </w:r>
      <w:r>
        <w:rPr>
          <w:rFonts w:hAnsi="宋体"/>
          <w:szCs w:val="21"/>
        </w:rPr>
        <w:t>组</w:t>
      </w:r>
      <w:r>
        <w:rPr>
          <w:rFonts w:hAnsi="宋体"/>
          <w:bCs/>
          <w:szCs w:val="21"/>
        </w:rPr>
        <w:t>，</w:t>
      </w:r>
      <w:r>
        <w:rPr>
          <w:rFonts w:hint="eastAsia" w:hAnsi="宋体"/>
          <w:bCs/>
          <w:szCs w:val="21"/>
        </w:rPr>
        <w:t>熟练掌握</w:t>
      </w:r>
      <w:r>
        <w:rPr>
          <w:rFonts w:hint="eastAsia"/>
        </w:rPr>
        <w:t>葱蒜类蔬菜的形态特征、产品器官的构成及他们彼此间的异同点</w:t>
      </w:r>
      <w:r>
        <w:rPr>
          <w:rFonts w:hAnsi="宋体"/>
          <w:bCs/>
          <w:szCs w:val="21"/>
        </w:rPr>
        <w:t>。</w:t>
      </w:r>
    </w:p>
    <w:p>
      <w:pPr>
        <w:keepNext w:val="0"/>
        <w:keepLines w:val="0"/>
        <w:pageBreakBefore w:val="0"/>
        <w:kinsoku/>
        <w:wordWrap/>
        <w:overflowPunct/>
        <w:topLinePunct w:val="0"/>
        <w:autoSpaceDE/>
        <w:autoSpaceDN/>
        <w:bidi w:val="0"/>
        <w:spacing w:line="360" w:lineRule="auto"/>
        <w:ind w:firstLine="422" w:firstLineChars="200"/>
        <w:textAlignment w:val="auto"/>
      </w:pPr>
      <w:r>
        <w:rPr>
          <w:b/>
          <w:szCs w:val="21"/>
        </w:rPr>
        <w:t>5.</w:t>
      </w:r>
      <w:r>
        <w:rPr>
          <w:rFonts w:hAnsi="宋体"/>
          <w:b/>
          <w:szCs w:val="21"/>
        </w:rPr>
        <w:t>实验设备及器材：</w:t>
      </w:r>
      <w:r>
        <w:rPr>
          <w:rFonts w:hint="eastAsia"/>
        </w:rPr>
        <w:t>洋葱的成株，大葱的植株，大蒜的植株，放大镜、镊子、刀片。</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w:t>
      </w:r>
      <w:r>
        <w:rPr>
          <w:rFonts w:hint="eastAsia" w:ascii="Arial Unicode MS" w:hAnsi="Arial Unicode MS" w:eastAsia="Arial Unicode MS" w:cs="Arial Unicode MS"/>
          <w:b/>
          <w:szCs w:val="21"/>
        </w:rPr>
        <w:t>十四</w:t>
      </w:r>
      <w:r>
        <w:rPr>
          <w:rFonts w:ascii="Arial Unicode MS" w:hAnsi="Arial Unicode MS" w:eastAsia="Arial Unicode MS" w:cs="Arial Unicode MS"/>
          <w:b/>
          <w:szCs w:val="21"/>
        </w:rPr>
        <w:t>】</w:t>
      </w:r>
      <w:r>
        <w:rPr>
          <w:rFonts w:hint="eastAsia" w:ascii="Arial Unicode MS" w:hAnsi="Arial Unicode MS" w:eastAsia="Arial Unicode MS" w:cs="Arial Unicode MS"/>
          <w:b/>
          <w:szCs w:val="21"/>
        </w:rPr>
        <w:t>薯芋类蔬菜产品器官形态观察</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rFonts w:hint="eastAsia"/>
          <w:bCs/>
        </w:rPr>
        <w:t>2</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Ansi="宋体"/>
          <w:bCs/>
          <w:szCs w:val="21"/>
        </w:rPr>
      </w:pPr>
      <w:r>
        <w:rPr>
          <w:b/>
          <w:szCs w:val="21"/>
        </w:rPr>
        <w:t>2.</w:t>
      </w:r>
      <w:r>
        <w:rPr>
          <w:rFonts w:hAnsi="宋体"/>
          <w:b/>
          <w:szCs w:val="21"/>
        </w:rPr>
        <w:t>实验目的：</w:t>
      </w:r>
      <w:r>
        <w:rPr>
          <w:rFonts w:hint="eastAsia"/>
        </w:rPr>
        <w:t>了解薯芋类蔬菜产品器官的形态特征及繁殖方法</w:t>
      </w:r>
      <w:r>
        <w:rPr>
          <w:rFonts w:hAnsi="宋体"/>
          <w:bCs/>
          <w:szCs w:val="21"/>
        </w:rPr>
        <w:t>。</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3.</w:t>
      </w:r>
      <w:r>
        <w:rPr>
          <w:rFonts w:hAnsi="宋体"/>
          <w:b/>
          <w:szCs w:val="21"/>
        </w:rPr>
        <w:t>实验内容：</w:t>
      </w:r>
      <w:r>
        <w:rPr>
          <w:rFonts w:hint="eastAsia"/>
        </w:rPr>
        <w:t>详细观察各种产品器官的外部形态特征，了解各部位的名称；切开马铃薯，观察其解剖结构，并了解各部分在植物学上分别属于哪一部位；从生姜的根状茎形态，了解其形成过程；了解各种薯芋类蔬菜采用产品器官进行营养繁殖的具体方法。</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Ansi="宋体"/>
          <w:bCs/>
          <w:szCs w:val="21"/>
        </w:rPr>
      </w:pPr>
      <w:r>
        <w:rPr>
          <w:b/>
          <w:szCs w:val="21"/>
        </w:rPr>
        <w:t>4.</w:t>
      </w:r>
      <w:r>
        <w:rPr>
          <w:rFonts w:hAnsi="宋体"/>
          <w:b/>
          <w:szCs w:val="21"/>
        </w:rPr>
        <w:t>实验要求：</w:t>
      </w:r>
      <w:r>
        <w:rPr>
          <w:rFonts w:hAnsi="宋体"/>
          <w:szCs w:val="21"/>
        </w:rPr>
        <w:t>以小组为单位，每</w:t>
      </w:r>
      <w:r>
        <w:rPr>
          <w:szCs w:val="21"/>
        </w:rPr>
        <w:t>5-6</w:t>
      </w:r>
      <w:r>
        <w:rPr>
          <w:rFonts w:hAnsi="宋体"/>
          <w:szCs w:val="21"/>
        </w:rPr>
        <w:t>人</w:t>
      </w:r>
      <w:r>
        <w:rPr>
          <w:szCs w:val="21"/>
        </w:rPr>
        <w:t>1</w:t>
      </w:r>
      <w:r>
        <w:rPr>
          <w:rFonts w:hAnsi="宋体"/>
          <w:szCs w:val="21"/>
        </w:rPr>
        <w:t>组</w:t>
      </w:r>
      <w:r>
        <w:rPr>
          <w:rFonts w:hAnsi="宋体"/>
          <w:bCs/>
          <w:szCs w:val="21"/>
        </w:rPr>
        <w:t>，</w:t>
      </w:r>
      <w:r>
        <w:rPr>
          <w:rFonts w:hint="eastAsia" w:hAnsi="宋体"/>
          <w:bCs/>
          <w:szCs w:val="21"/>
        </w:rPr>
        <w:t>每组选择一种</w:t>
      </w:r>
      <w:r>
        <w:rPr>
          <w:rFonts w:hint="eastAsia"/>
        </w:rPr>
        <w:t>薯芋类蔬菜的马铃薯作为观察对象，绘制马铃薯块茎整个地下部的示意图（并标注：顶芽、芽眼、芽眉、皮孔、脐部），绘制姜根状茎全图（并标注：种姜、母姜、子姜、孙姜、鳞片）。</w:t>
      </w:r>
    </w:p>
    <w:p>
      <w:pPr>
        <w:keepNext w:val="0"/>
        <w:keepLines w:val="0"/>
        <w:pageBreakBefore w:val="0"/>
        <w:kinsoku/>
        <w:wordWrap/>
        <w:overflowPunct/>
        <w:topLinePunct w:val="0"/>
        <w:autoSpaceDE/>
        <w:autoSpaceDN/>
        <w:bidi w:val="0"/>
        <w:spacing w:line="360" w:lineRule="auto"/>
        <w:ind w:firstLine="420"/>
        <w:textAlignment w:val="auto"/>
        <w:rPr>
          <w:color w:val="333333"/>
          <w:szCs w:val="21"/>
        </w:rPr>
      </w:pPr>
      <w:r>
        <w:rPr>
          <w:b/>
          <w:szCs w:val="21"/>
        </w:rPr>
        <w:t>5.</w:t>
      </w:r>
      <w:r>
        <w:rPr>
          <w:rFonts w:hAnsi="宋体"/>
          <w:b/>
          <w:szCs w:val="21"/>
        </w:rPr>
        <w:t>实验设备及器材：</w:t>
      </w:r>
    </w:p>
    <w:p>
      <w:pPr>
        <w:keepNext w:val="0"/>
        <w:keepLines w:val="0"/>
        <w:pageBreakBefore w:val="0"/>
        <w:kinsoku/>
        <w:wordWrap/>
        <w:overflowPunct/>
        <w:topLinePunct w:val="0"/>
        <w:autoSpaceDE/>
        <w:autoSpaceDN/>
        <w:bidi w:val="0"/>
        <w:spacing w:line="360" w:lineRule="auto"/>
        <w:ind w:firstLine="480"/>
        <w:textAlignment w:val="auto"/>
        <w:rPr>
          <w:color w:val="333333"/>
          <w:szCs w:val="21"/>
        </w:rPr>
      </w:pPr>
      <w:r>
        <w:rPr>
          <w:rFonts w:hint="eastAsia"/>
        </w:rPr>
        <w:t>马铃薯、山药、生姜等的成熟产品器官及挂图；放大镜、小刀、刀片等。</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Arial Unicode MS" w:hAnsi="Arial Unicode MS" w:eastAsia="Arial Unicode MS" w:cs="Arial Unicode MS"/>
          <w:b/>
          <w:szCs w:val="21"/>
        </w:rPr>
      </w:pPr>
      <w:r>
        <w:rPr>
          <w:rFonts w:ascii="Arial Unicode MS" w:hAnsi="Arial Unicode MS" w:eastAsia="Arial Unicode MS" w:cs="Arial Unicode MS"/>
          <w:b/>
          <w:szCs w:val="21"/>
        </w:rPr>
        <w:t>【实验</w:t>
      </w:r>
      <w:r>
        <w:rPr>
          <w:rFonts w:hint="eastAsia" w:ascii="Arial Unicode MS" w:hAnsi="Arial Unicode MS" w:eastAsia="Arial Unicode MS" w:cs="Arial Unicode MS"/>
          <w:b/>
          <w:szCs w:val="21"/>
        </w:rPr>
        <w:t>十五</w:t>
      </w:r>
      <w:r>
        <w:rPr>
          <w:rFonts w:ascii="Arial Unicode MS" w:hAnsi="Arial Unicode MS" w:eastAsia="Arial Unicode MS" w:cs="Arial Unicode MS"/>
          <w:b/>
          <w:szCs w:val="21"/>
        </w:rPr>
        <w:t>】</w:t>
      </w:r>
      <w:r>
        <w:rPr>
          <w:rFonts w:hint="eastAsia" w:ascii="Arial Unicode MS" w:hAnsi="Arial Unicode MS" w:eastAsia="Arial Unicode MS" w:cs="Arial Unicode MS"/>
          <w:b/>
          <w:szCs w:val="21"/>
        </w:rPr>
        <w:t>水生蔬菜的形态结构及繁殖技术</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1.</w:t>
      </w:r>
      <w:r>
        <w:rPr>
          <w:rFonts w:hAnsi="宋体"/>
          <w:b/>
          <w:szCs w:val="21"/>
        </w:rPr>
        <w:t>实验学时：</w:t>
      </w:r>
      <w:r>
        <w:rPr>
          <w:rFonts w:hint="eastAsia"/>
          <w:bCs/>
        </w:rPr>
        <w:t>2</w:t>
      </w:r>
      <w:r>
        <w:rPr>
          <w:rFonts w:hAnsi="宋体"/>
          <w:bCs/>
        </w:rPr>
        <w:t>学时</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Ansi="宋体"/>
          <w:bCs/>
          <w:szCs w:val="21"/>
        </w:rPr>
      </w:pPr>
      <w:r>
        <w:rPr>
          <w:b/>
          <w:szCs w:val="21"/>
        </w:rPr>
        <w:t>2.</w:t>
      </w:r>
      <w:r>
        <w:rPr>
          <w:rFonts w:hAnsi="宋体"/>
          <w:b/>
          <w:szCs w:val="21"/>
        </w:rPr>
        <w:t>实验目的：</w:t>
      </w:r>
      <w:r>
        <w:rPr>
          <w:rFonts w:hint="eastAsia"/>
        </w:rPr>
        <w:t>认识几种主要水生蔬菜食用器官的形态结构，并了解它们的繁殖方法</w:t>
      </w:r>
      <w:r>
        <w:rPr>
          <w:rFonts w:hAnsi="宋体"/>
          <w:bCs/>
          <w:szCs w:val="21"/>
        </w:rPr>
        <w:t>。</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3.</w:t>
      </w:r>
      <w:r>
        <w:rPr>
          <w:rFonts w:hAnsi="宋体"/>
          <w:b/>
          <w:szCs w:val="21"/>
        </w:rPr>
        <w:t>实验内容：</w:t>
      </w:r>
      <w:r>
        <w:rPr>
          <w:rFonts w:hint="eastAsia"/>
        </w:rPr>
        <w:t>将藕横切及纵切，观察藕身与藕节的气孔及顶芽内幼芽、幼叶的形态，并绘图注明各部位名称。了解荸荠和慈菇的球茎和幼苗，并记载这两种水生蔬菜的球茎和幼苗有何异同。</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pPr>
      <w:r>
        <w:rPr>
          <w:b/>
          <w:szCs w:val="21"/>
        </w:rPr>
        <w:t>4.</w:t>
      </w:r>
      <w:r>
        <w:rPr>
          <w:rFonts w:hAnsi="宋体"/>
          <w:b/>
          <w:szCs w:val="21"/>
        </w:rPr>
        <w:t>实验要求：</w:t>
      </w:r>
      <w:r>
        <w:rPr>
          <w:rFonts w:hAnsi="宋体"/>
          <w:szCs w:val="21"/>
        </w:rPr>
        <w:t>以小组为单位，每</w:t>
      </w:r>
      <w:r>
        <w:rPr>
          <w:szCs w:val="21"/>
        </w:rPr>
        <w:t>5-6</w:t>
      </w:r>
      <w:r>
        <w:rPr>
          <w:rFonts w:hAnsi="宋体"/>
          <w:szCs w:val="21"/>
        </w:rPr>
        <w:t>人</w:t>
      </w:r>
      <w:r>
        <w:rPr>
          <w:szCs w:val="21"/>
        </w:rPr>
        <w:t>1</w:t>
      </w:r>
      <w:r>
        <w:rPr>
          <w:rFonts w:hAnsi="宋体"/>
          <w:szCs w:val="21"/>
        </w:rPr>
        <w:t>组</w:t>
      </w:r>
      <w:r>
        <w:rPr>
          <w:rFonts w:hAnsi="宋体"/>
          <w:bCs/>
          <w:szCs w:val="21"/>
        </w:rPr>
        <w:t>，</w:t>
      </w:r>
      <w:r>
        <w:rPr>
          <w:rFonts w:hint="eastAsia" w:hAnsi="宋体"/>
          <w:bCs/>
          <w:szCs w:val="21"/>
        </w:rPr>
        <w:t>每组选择一种</w:t>
      </w:r>
      <w:r>
        <w:rPr>
          <w:rFonts w:hint="eastAsia"/>
        </w:rPr>
        <w:t>水生蔬菜作为观察对象，绘制藕横切及纵切示意图，并注明各部位名称；对比荸荠和慈菇的球茎和幼苗有何异同。</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Ansi="宋体"/>
          <w:b/>
          <w:szCs w:val="21"/>
        </w:rPr>
      </w:pPr>
      <w:r>
        <w:rPr>
          <w:b/>
          <w:szCs w:val="21"/>
        </w:rPr>
        <w:t>5.</w:t>
      </w:r>
      <w:r>
        <w:rPr>
          <w:rFonts w:hAnsi="宋体"/>
          <w:b/>
          <w:szCs w:val="21"/>
        </w:rPr>
        <w:t>实验设备及器材：</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color w:val="333333"/>
          <w:szCs w:val="21"/>
        </w:rPr>
      </w:pPr>
      <w:r>
        <w:rPr>
          <w:rFonts w:hint="eastAsia"/>
        </w:rPr>
        <w:t>莲藕的根茎，茭白的植株，荸荠、慈菇的球茎及幼苗，菱的果实，几种水生蔬菜的挂图；小刀、镊子等。</w:t>
      </w:r>
    </w:p>
    <w:p>
      <w:pPr>
        <w:keepNext w:val="0"/>
        <w:keepLines w:val="0"/>
        <w:pageBreakBefore w:val="0"/>
        <w:widowControl/>
        <w:kinsoku/>
        <w:wordWrap/>
        <w:overflowPunct/>
        <w:topLinePunct w:val="0"/>
        <w:autoSpaceDE/>
        <w:autoSpaceDN/>
        <w:bidi w:val="0"/>
        <w:snapToGrid w:val="0"/>
        <w:spacing w:line="360" w:lineRule="auto"/>
        <w:jc w:val="left"/>
        <w:textAlignment w:val="auto"/>
        <w:rPr>
          <w:kern w:val="0"/>
          <w:szCs w:val="21"/>
        </w:rPr>
      </w:pPr>
      <w:r>
        <w:rPr>
          <w:rFonts w:hint="eastAsia" w:hAnsi="宋体"/>
          <w:b/>
          <w:bCs/>
          <w:kern w:val="0"/>
          <w:szCs w:val="21"/>
        </w:rPr>
        <w:t>六</w:t>
      </w:r>
      <w:r>
        <w:rPr>
          <w:rFonts w:hAnsi="宋体"/>
          <w:b/>
          <w:bCs/>
          <w:kern w:val="0"/>
          <w:szCs w:val="21"/>
        </w:rPr>
        <w:t>、使用教材</w:t>
      </w:r>
      <w:r>
        <w:rPr>
          <w:rFonts w:hint="eastAsia" w:ascii="宋体" w:hAnsi="宋体"/>
        </w:rPr>
        <w:t>（教材的选用应符合教育部和学校教材选用规定，教学资源丰富多样，体现思想性、科学性与时代性）</w:t>
      </w:r>
      <w:r>
        <w:rPr>
          <w:rFonts w:hint="eastAsia" w:ascii="宋体" w:hAnsi="宋体" w:cs="宋体"/>
          <w:b/>
          <w:bCs/>
          <w:kern w:val="0"/>
          <w:szCs w:val="21"/>
        </w:rPr>
        <w:t></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ascii="宋体" w:hAnsi="宋体"/>
          <w:bCs/>
          <w:kern w:val="0"/>
          <w:szCs w:val="21"/>
        </w:rPr>
      </w:pPr>
      <w:r>
        <w:rPr>
          <w:rFonts w:hint="eastAsia" w:ascii="宋体" w:hAnsi="宋体"/>
          <w:bCs/>
          <w:kern w:val="0"/>
          <w:szCs w:val="21"/>
        </w:rPr>
        <w:t>（1）理论课教材：</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szCs w:val="21"/>
        </w:rPr>
      </w:pPr>
      <w:r>
        <w:rPr>
          <w:rFonts w:hint="eastAsia" w:ascii="宋体" w:hAnsi="宋体"/>
          <w:szCs w:val="21"/>
        </w:rPr>
        <w:t>蔬菜栽培学总论，程智慧 编著，科学出版社，20</w:t>
      </w:r>
      <w:r>
        <w:rPr>
          <w:rFonts w:ascii="宋体" w:hAnsi="宋体"/>
          <w:szCs w:val="21"/>
        </w:rPr>
        <w:t>19</w:t>
      </w:r>
      <w:r>
        <w:rPr>
          <w:rFonts w:hint="eastAsia" w:ascii="宋体" w:hAnsi="宋体"/>
          <w:szCs w:val="21"/>
        </w:rPr>
        <w:t>年1月</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szCs w:val="21"/>
        </w:rPr>
      </w:pPr>
      <w:r>
        <w:rPr>
          <w:rFonts w:hint="eastAsia" w:ascii="宋体" w:hAnsi="宋体"/>
          <w:szCs w:val="21"/>
        </w:rPr>
        <w:t>蔬菜栽培学各论，程智慧 编著，科学出版社，2017年1月</w:t>
      </w:r>
      <w:r>
        <w:rPr>
          <w:rFonts w:hint="eastAsia" w:ascii="宋体" w:hAnsi="宋体"/>
          <w:bCs/>
          <w:kern w:val="0"/>
          <w:szCs w:val="21"/>
        </w:rPr>
        <w:t xml:space="preserve"> </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Ansi="宋体"/>
          <w:bCs/>
          <w:color w:val="0000FF"/>
          <w:kern w:val="0"/>
          <w:szCs w:val="21"/>
        </w:rPr>
      </w:pPr>
      <w:r>
        <w:rPr>
          <w:rFonts w:hint="eastAsia" w:ascii="宋体" w:hAnsi="宋体"/>
        </w:rPr>
        <w:t>（2）实验课教材：蔬菜栽培学</w:t>
      </w:r>
      <w:r>
        <w:rPr>
          <w:rFonts w:ascii="宋体" w:hAnsi="宋体"/>
        </w:rPr>
        <w:t>实验指导，蒋欣梅</w:t>
      </w:r>
      <w:r>
        <w:rPr>
          <w:rFonts w:hint="eastAsia" w:ascii="宋体" w:hAnsi="宋体"/>
        </w:rPr>
        <w:t xml:space="preserve"> 编著</w:t>
      </w:r>
      <w:r>
        <w:rPr>
          <w:rFonts w:ascii="宋体" w:hAnsi="宋体"/>
        </w:rPr>
        <w:t>，</w:t>
      </w:r>
      <w:r>
        <w:rPr>
          <w:rFonts w:hint="eastAsia" w:ascii="宋体" w:hAnsi="宋体"/>
        </w:rPr>
        <w:t>化学工业出版社，2012年</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Ansi="宋体"/>
          <w:bCs/>
          <w:color w:val="0000FF"/>
          <w:kern w:val="0"/>
          <w:szCs w:val="21"/>
        </w:rPr>
      </w:pPr>
      <w:r>
        <w:rPr>
          <w:rFonts w:hint="eastAsia" w:ascii="宋体" w:hAnsi="宋体"/>
        </w:rPr>
        <w:t>（3）实习指导书：蔬菜栽培学实习指导，河南农业大学蔬菜栽培学课程组 编著，2019年</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Ansi="宋体"/>
          <w:bCs/>
          <w:kern w:val="0"/>
          <w:szCs w:val="21"/>
        </w:rPr>
      </w:pPr>
      <w:r>
        <w:rPr>
          <w:rFonts w:hint="eastAsia" w:hAnsi="宋体"/>
          <w:bCs/>
          <w:kern w:val="0"/>
          <w:szCs w:val="21"/>
        </w:rPr>
        <w:t>（1）中国蔬菜栽培学（第二版）.中国农业科学院蔬菜花卉所.中国农业出版社，2010年</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Ansi="宋体"/>
          <w:bCs/>
          <w:kern w:val="0"/>
          <w:szCs w:val="21"/>
        </w:rPr>
      </w:pPr>
      <w:r>
        <w:rPr>
          <w:rFonts w:hint="eastAsia" w:hAnsi="宋体"/>
          <w:bCs/>
          <w:kern w:val="0"/>
          <w:szCs w:val="21"/>
        </w:rPr>
        <w:t>（2）蔬菜栽培学各论（北方本）．卢育华．中国农业出版社，2000</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Ansi="宋体"/>
          <w:bCs/>
          <w:kern w:val="0"/>
          <w:szCs w:val="21"/>
        </w:rPr>
      </w:pPr>
      <w:r>
        <w:rPr>
          <w:rFonts w:hint="eastAsia" w:hAnsi="宋体"/>
          <w:bCs/>
          <w:kern w:val="0"/>
          <w:szCs w:val="21"/>
        </w:rPr>
        <w:t>（3）蔬菜栽培学．张振贤．中国农业出版社，2003</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Ansi="宋体"/>
          <w:bCs/>
          <w:kern w:val="0"/>
          <w:szCs w:val="21"/>
        </w:rPr>
      </w:pPr>
      <w:r>
        <w:rPr>
          <w:rFonts w:hint="eastAsia" w:hAnsi="宋体"/>
          <w:bCs/>
          <w:kern w:val="0"/>
          <w:szCs w:val="21"/>
        </w:rPr>
        <w:t>（4）蔬菜栽培学各论（南方本）（第三版）．吕家龙．中国农业出版社，2015</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Ansi="宋体"/>
          <w:bCs/>
          <w:kern w:val="0"/>
          <w:szCs w:val="21"/>
        </w:rPr>
      </w:pPr>
      <w:r>
        <w:rPr>
          <w:rFonts w:hint="eastAsia" w:hAnsi="宋体"/>
          <w:bCs/>
          <w:kern w:val="0"/>
          <w:szCs w:val="21"/>
        </w:rPr>
        <w:t>（5）蔬菜栽培生理学．蒋先明．中国农业出版社，1996</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Ansi="宋体"/>
          <w:bCs/>
          <w:kern w:val="0"/>
          <w:szCs w:val="21"/>
        </w:rPr>
      </w:pPr>
      <w:r>
        <w:rPr>
          <w:rFonts w:hint="eastAsia" w:hAnsi="宋体"/>
          <w:bCs/>
          <w:kern w:val="0"/>
          <w:szCs w:val="21"/>
        </w:rPr>
        <w:t>（6）蔬菜生理．张振贤．中国农业科技出版社，1993</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b/>
          <w:kern w:val="0"/>
          <w:szCs w:val="21"/>
        </w:rPr>
      </w:pPr>
      <w:r>
        <w:rPr>
          <w:rFonts w:hint="eastAsia"/>
          <w:b/>
          <w:kern w:val="0"/>
          <w:szCs w:val="21"/>
        </w:rPr>
        <w:t>3.推荐网站：</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）中国蔬菜网，http://www.vegnet.com.cn/</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）国家精品课程资源网，http://www.jingpinke.com/about/us</w:t>
      </w:r>
    </w:p>
    <w:p>
      <w:pPr>
        <w:keepNext w:val="0"/>
        <w:keepLines w:val="0"/>
        <w:pageBreakBefore w:val="0"/>
        <w:kinsoku/>
        <w:wordWrap/>
        <w:overflowPunct/>
        <w:topLinePunct w:val="0"/>
        <w:autoSpaceDE/>
        <w:autoSpaceDN/>
        <w:bidi w:val="0"/>
        <w:snapToGrid w:val="0"/>
        <w:spacing w:line="360" w:lineRule="auto"/>
        <w:ind w:firstLine="420" w:firstLineChars="200"/>
        <w:jc w:val="left"/>
        <w:textAlignment w:val="auto"/>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）佛罗里达大学农业食品科学学院网，http://edis.ifas.ufl.edu/topics/agricu</w:t>
      </w:r>
      <w:r>
        <w:rPr>
          <w:rFonts w:ascii="宋体" w:hAnsi="宋体"/>
          <w:szCs w:val="21"/>
        </w:rPr>
        <w:t xml:space="preserve">- </w:t>
      </w:r>
      <w:r>
        <w:rPr>
          <w:rFonts w:hint="eastAsia" w:ascii="宋体" w:hAnsi="宋体"/>
          <w:szCs w:val="21"/>
        </w:rPr>
        <w:t>lture/index.html</w:t>
      </w:r>
      <w:r>
        <w:rPr>
          <w:color w:val="0000FF"/>
          <w:kern w:val="0"/>
        </w:rPr>
        <w:t xml:space="preserve">  </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hAnsi="宋体"/>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cs="宋体"/>
          <w:color w:val="353535"/>
          <w:kern w:val="0"/>
          <w:szCs w:val="21"/>
        </w:rPr>
      </w:pPr>
      <w:r>
        <w:rPr>
          <w:rFonts w:hint="eastAsia" w:ascii="宋体" w:hAnsi="宋体" w:cs="宋体"/>
          <w:color w:val="353535"/>
          <w:kern w:val="0"/>
          <w:szCs w:val="21"/>
        </w:rPr>
        <w:t>1. 需要师资情况：每个课头至少需要1名教师，目前师资基本合适，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cs="宋体"/>
          <w:color w:val="353535"/>
          <w:kern w:val="0"/>
          <w:szCs w:val="21"/>
        </w:rPr>
      </w:pPr>
      <w:r>
        <w:rPr>
          <w:rFonts w:hint="eastAsia" w:ascii="宋体" w:hAnsi="宋体" w:cs="宋体"/>
          <w:color w:val="353535"/>
          <w:kern w:val="0"/>
          <w:szCs w:val="21"/>
        </w:rPr>
        <w:t>2. 场地：实验用地、</w:t>
      </w:r>
      <w:r>
        <w:rPr>
          <w:rFonts w:ascii="宋体" w:hAnsi="宋体" w:cs="宋体"/>
          <w:color w:val="353535"/>
          <w:kern w:val="0"/>
          <w:szCs w:val="21"/>
        </w:rPr>
        <w:t>温室</w:t>
      </w:r>
      <w:r>
        <w:rPr>
          <w:rFonts w:hint="eastAsia" w:ascii="宋体" w:hAnsi="宋体" w:cs="宋体"/>
          <w:color w:val="353535"/>
          <w:kern w:val="0"/>
          <w:szCs w:val="21"/>
        </w:rPr>
        <w:t>、植物生理</w:t>
      </w:r>
      <w:r>
        <w:rPr>
          <w:rFonts w:ascii="宋体" w:hAnsi="宋体" w:cs="宋体"/>
          <w:color w:val="353535"/>
          <w:kern w:val="0"/>
          <w:szCs w:val="21"/>
        </w:rPr>
        <w:t>实验室</w:t>
      </w:r>
      <w:r>
        <w:rPr>
          <w:rFonts w:hint="eastAsia" w:ascii="宋体" w:hAnsi="宋体" w:cs="宋体"/>
          <w:color w:val="353535"/>
          <w:kern w:val="0"/>
          <w:szCs w:val="21"/>
        </w:rPr>
        <w:t>。</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cs="宋体"/>
          <w:color w:val="353535"/>
          <w:kern w:val="0"/>
          <w:szCs w:val="21"/>
        </w:rPr>
      </w:pPr>
      <w:r>
        <w:rPr>
          <w:rFonts w:hint="eastAsia" w:ascii="宋体" w:hAnsi="宋体" w:cs="宋体"/>
          <w:color w:val="353535"/>
          <w:kern w:val="0"/>
          <w:szCs w:val="21"/>
        </w:rPr>
        <w:t>3. 实验条件：显微镜</w:t>
      </w:r>
      <w:r>
        <w:rPr>
          <w:rFonts w:ascii="宋体" w:hAnsi="宋体" w:cs="宋体"/>
          <w:color w:val="353535"/>
          <w:kern w:val="0"/>
          <w:szCs w:val="21"/>
        </w:rPr>
        <w:t>、恒温箱、温</w:t>
      </w:r>
      <w:r>
        <w:rPr>
          <w:rFonts w:hint="eastAsia" w:ascii="宋体" w:hAnsi="宋体" w:cs="宋体"/>
          <w:color w:val="353535"/>
          <w:kern w:val="0"/>
          <w:szCs w:val="21"/>
        </w:rPr>
        <w:t>湿</w:t>
      </w:r>
      <w:r>
        <w:rPr>
          <w:rFonts w:ascii="宋体" w:hAnsi="宋体" w:cs="宋体"/>
          <w:color w:val="353535"/>
          <w:kern w:val="0"/>
          <w:szCs w:val="21"/>
        </w:rPr>
        <w:t>计</w:t>
      </w:r>
      <w:r>
        <w:rPr>
          <w:rFonts w:hint="eastAsia" w:ascii="宋体" w:hAnsi="宋体" w:cs="宋体"/>
          <w:color w:val="353535"/>
          <w:kern w:val="0"/>
          <w:szCs w:val="21"/>
        </w:rPr>
        <w:t>、</w:t>
      </w:r>
      <w:r>
        <w:rPr>
          <w:rFonts w:ascii="宋体" w:hAnsi="宋体" w:cs="宋体"/>
          <w:color w:val="353535"/>
          <w:kern w:val="0"/>
          <w:szCs w:val="21"/>
        </w:rPr>
        <w:t>穴盘</w:t>
      </w:r>
      <w:r>
        <w:rPr>
          <w:rFonts w:hint="eastAsia" w:ascii="宋体" w:hAnsi="宋体" w:cs="宋体"/>
          <w:color w:val="353535"/>
          <w:kern w:val="0"/>
          <w:szCs w:val="21"/>
        </w:rPr>
        <w:t>、嫁接</w:t>
      </w:r>
      <w:r>
        <w:rPr>
          <w:rFonts w:ascii="宋体" w:hAnsi="宋体" w:cs="宋体"/>
          <w:color w:val="353535"/>
          <w:kern w:val="0"/>
          <w:szCs w:val="21"/>
        </w:rPr>
        <w:t>工具</w:t>
      </w:r>
      <w:r>
        <w:rPr>
          <w:rFonts w:hint="eastAsia" w:ascii="宋体" w:hAnsi="宋体" w:cs="宋体"/>
          <w:color w:val="353535"/>
          <w:kern w:val="0"/>
          <w:szCs w:val="21"/>
        </w:rPr>
        <w:t>、</w:t>
      </w:r>
      <w:r>
        <w:rPr>
          <w:rFonts w:ascii="宋体" w:hAnsi="宋体" w:cs="宋体"/>
          <w:color w:val="353535"/>
          <w:kern w:val="0"/>
          <w:szCs w:val="21"/>
        </w:rPr>
        <w:t>竹竿</w:t>
      </w:r>
      <w:r>
        <w:rPr>
          <w:rFonts w:hint="eastAsia" w:ascii="宋体" w:hAnsi="宋体" w:cs="宋体"/>
          <w:color w:val="353535"/>
          <w:kern w:val="0"/>
          <w:szCs w:val="21"/>
        </w:rPr>
        <w:t>、</w:t>
      </w:r>
      <w:r>
        <w:rPr>
          <w:rFonts w:ascii="宋体" w:hAnsi="宋体" w:cs="宋体"/>
          <w:color w:val="353535"/>
          <w:kern w:val="0"/>
          <w:szCs w:val="21"/>
        </w:rPr>
        <w:t>尼龙绳</w:t>
      </w:r>
      <w:r>
        <w:rPr>
          <w:rFonts w:hint="eastAsia" w:ascii="宋体" w:hAnsi="宋体" w:cs="宋体"/>
          <w:color w:val="353535"/>
          <w:kern w:val="0"/>
          <w:szCs w:val="21"/>
        </w:rPr>
        <w:t>等</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hAnsi="宋体"/>
          <w:b/>
          <w:bCs/>
          <w:kern w:val="0"/>
          <w:szCs w:val="21"/>
        </w:rPr>
      </w:pPr>
      <w:r>
        <w:rPr>
          <w:rFonts w:hint="eastAsia" w:hAnsi="宋体"/>
          <w:b/>
          <w:bCs/>
          <w:kern w:val="0"/>
          <w:szCs w:val="21"/>
        </w:rPr>
        <w:t>八、教学考核评价</w:t>
      </w:r>
      <w:r>
        <w:rPr>
          <w:rFonts w:hint="eastAsia" w:ascii="宋体" w:hAnsi="宋体" w:cs="宋体"/>
          <w:color w:val="353535"/>
          <w:kern w:val="0"/>
          <w:szCs w:val="21"/>
        </w:rPr>
        <w:t xml:space="preserve">     </w:t>
      </w:r>
    </w:p>
    <w:p>
      <w:pPr>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ascii="宋体" w:hAnsi="宋体"/>
          <w:szCs w:val="21"/>
        </w:rPr>
      </w:pPr>
      <w:r>
        <w:rPr>
          <w:rFonts w:hint="eastAsia" w:hAnsi="宋体"/>
          <w:b/>
          <w:bCs/>
          <w:kern w:val="0"/>
          <w:szCs w:val="21"/>
          <w:lang w:val="en-US" w:eastAsia="zh-CN"/>
        </w:rPr>
        <w:t>1</w:t>
      </w:r>
      <w:r>
        <w:rPr>
          <w:rFonts w:hint="eastAsia" w:hAnsi="宋体"/>
          <w:b/>
          <w:bCs/>
          <w:kern w:val="0"/>
          <w:szCs w:val="21"/>
        </w:rPr>
        <w:t>.过程性评价：</w:t>
      </w:r>
      <w:r>
        <w:rPr>
          <w:rFonts w:ascii="宋体" w:hAnsi="宋体"/>
          <w:szCs w:val="21"/>
        </w:rPr>
        <w:t xml:space="preserve"> </w:t>
      </w:r>
    </w:p>
    <w:p>
      <w:pPr>
        <w:keepNext w:val="0"/>
        <w:keepLines w:val="0"/>
        <w:pageBreakBefore w:val="0"/>
        <w:widowControl/>
        <w:kinsoku/>
        <w:wordWrap/>
        <w:overflowPunct/>
        <w:topLinePunct w:val="0"/>
        <w:autoSpaceDE/>
        <w:autoSpaceDN/>
        <w:bidi w:val="0"/>
        <w:spacing w:line="360" w:lineRule="auto"/>
        <w:ind w:firstLine="420" w:firstLineChars="200"/>
        <w:jc w:val="left"/>
        <w:textAlignment w:val="auto"/>
        <w:rPr>
          <w:rFonts w:ascii="宋体" w:hAnsi="宋体" w:cs="宋体"/>
          <w:color w:val="353535"/>
          <w:kern w:val="0"/>
          <w:szCs w:val="21"/>
        </w:rPr>
      </w:pPr>
      <w:r>
        <w:rPr>
          <w:rFonts w:hint="eastAsia" w:ascii="宋体" w:hAnsi="宋体" w:cs="宋体"/>
          <w:color w:val="353535"/>
          <w:kern w:val="0"/>
          <w:szCs w:val="21"/>
        </w:rPr>
        <w:t>本门课程的</w:t>
      </w:r>
      <w:r>
        <w:rPr>
          <w:rFonts w:hint="eastAsia" w:ascii="宋体" w:hAnsi="宋体" w:cs="宋体"/>
          <w:color w:val="353535"/>
          <w:kern w:val="0"/>
          <w:szCs w:val="21"/>
          <w:lang w:val="en-US" w:eastAsia="zh-CN"/>
        </w:rPr>
        <w:t>过程性</w:t>
      </w:r>
      <w:r>
        <w:rPr>
          <w:rFonts w:hint="eastAsia" w:ascii="宋体" w:hAnsi="宋体" w:cs="宋体"/>
          <w:color w:val="353535"/>
          <w:kern w:val="0"/>
          <w:szCs w:val="21"/>
        </w:rPr>
        <w:t>考核分为平时、期中</w:t>
      </w:r>
      <w:r>
        <w:rPr>
          <w:rFonts w:hint="eastAsia" w:ascii="宋体" w:hAnsi="宋体" w:cs="宋体"/>
          <w:color w:val="353535"/>
          <w:kern w:val="0"/>
          <w:szCs w:val="21"/>
          <w:lang w:val="en-US" w:eastAsia="zh-CN"/>
        </w:rPr>
        <w:t>和</w:t>
      </w:r>
      <w:r>
        <w:rPr>
          <w:rFonts w:hint="eastAsia" w:ascii="宋体" w:hAnsi="宋体" w:cs="宋体"/>
          <w:color w:val="353535"/>
          <w:kern w:val="0"/>
          <w:szCs w:val="21"/>
        </w:rPr>
        <w:t>实验考核、实习考核四个环节。平时成绩包括线上学习情况、课堂提问、小组讨论表现、作业、考勤</w:t>
      </w:r>
      <w:r>
        <w:rPr>
          <w:rFonts w:hint="eastAsia" w:ascii="宋体" w:hAnsi="宋体" w:cs="宋体"/>
          <w:color w:val="353535"/>
          <w:kern w:val="0"/>
          <w:szCs w:val="21"/>
          <w:lang w:eastAsia="zh-CN"/>
        </w:rPr>
        <w:t>、</w:t>
      </w:r>
      <w:r>
        <w:rPr>
          <w:rFonts w:hint="eastAsia" w:ascii="宋体" w:hAnsi="宋体" w:cs="宋体"/>
          <w:color w:val="353535"/>
          <w:kern w:val="0"/>
          <w:szCs w:val="21"/>
          <w:lang w:val="en-US" w:eastAsia="zh-CN"/>
        </w:rPr>
        <w:t>思政考评</w:t>
      </w:r>
      <w:r>
        <w:rPr>
          <w:rFonts w:hint="eastAsia" w:ascii="宋体" w:hAnsi="宋体" w:cs="宋体"/>
          <w:color w:val="353535"/>
          <w:kern w:val="0"/>
          <w:szCs w:val="21"/>
          <w:lang w:eastAsia="zh-CN"/>
        </w:rPr>
        <w:t>，</w:t>
      </w:r>
      <w:r>
        <w:rPr>
          <w:rFonts w:hint="eastAsia" w:ascii="宋体" w:hAnsi="宋体" w:cs="宋体"/>
          <w:color w:val="353535"/>
          <w:kern w:val="0"/>
          <w:szCs w:val="21"/>
          <w:lang w:val="en-US" w:eastAsia="zh-CN"/>
        </w:rPr>
        <w:t>占总成绩的20-30%</w:t>
      </w:r>
      <w:r>
        <w:rPr>
          <w:rFonts w:hint="eastAsia" w:ascii="宋体" w:hAnsi="宋体" w:cs="宋体"/>
          <w:color w:val="353535"/>
          <w:kern w:val="0"/>
          <w:szCs w:val="21"/>
        </w:rPr>
        <w:t>；期中考试采取线上答题和实践答题等灵活的考核方式</w:t>
      </w:r>
      <w:r>
        <w:rPr>
          <w:rFonts w:hint="eastAsia" w:ascii="宋体" w:hAnsi="宋体" w:cs="宋体"/>
          <w:color w:val="353535"/>
          <w:kern w:val="0"/>
          <w:szCs w:val="21"/>
          <w:lang w:eastAsia="zh-CN"/>
        </w:rPr>
        <w:t>，</w:t>
      </w:r>
      <w:r>
        <w:rPr>
          <w:rFonts w:hint="eastAsia" w:ascii="宋体" w:hAnsi="宋体" w:cs="宋体"/>
          <w:color w:val="353535"/>
          <w:kern w:val="0"/>
          <w:szCs w:val="21"/>
          <w:lang w:val="en-US" w:eastAsia="zh-CN"/>
        </w:rPr>
        <w:t>占总成绩的20-30%</w:t>
      </w:r>
      <w:r>
        <w:rPr>
          <w:rFonts w:hint="eastAsia" w:ascii="宋体" w:hAnsi="宋体" w:cs="宋体"/>
          <w:color w:val="353535"/>
          <w:kern w:val="0"/>
          <w:szCs w:val="21"/>
        </w:rPr>
        <w:t>；期末考试为闭卷；实验考核包括考勤、实验操作和实验报告；实习考核包括考勤、实习报告、“百亩产业园”设计讲评等。</w:t>
      </w:r>
    </w:p>
    <w:p>
      <w:pPr>
        <w:keepNext w:val="0"/>
        <w:keepLines w:val="0"/>
        <w:pageBreakBefore w:val="0"/>
        <w:widowControl/>
        <w:numPr>
          <w:ilvl w:val="0"/>
          <w:numId w:val="0"/>
        </w:numPr>
        <w:kinsoku/>
        <w:wordWrap/>
        <w:overflowPunct/>
        <w:topLinePunct w:val="0"/>
        <w:autoSpaceDE/>
        <w:autoSpaceDN/>
        <w:bidi w:val="0"/>
        <w:snapToGrid w:val="0"/>
        <w:spacing w:line="360" w:lineRule="auto"/>
        <w:ind w:left="421" w:firstLine="0"/>
        <w:jc w:val="left"/>
        <w:textAlignment w:val="auto"/>
        <w:rPr>
          <w:rFonts w:ascii="宋体" w:hAnsi="宋体"/>
        </w:rPr>
      </w:pPr>
      <w:r>
        <w:rPr>
          <w:rFonts w:hint="eastAsia" w:hAnsi="宋体"/>
          <w:b/>
          <w:bCs/>
          <w:color w:val="auto"/>
          <w:kern w:val="0"/>
          <w:szCs w:val="21"/>
          <w:lang w:val="en-US" w:eastAsia="zh-CN"/>
        </w:rPr>
        <w:t>2.终结性评价：</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color w:val="353535"/>
          <w:kern w:val="0"/>
          <w:szCs w:val="21"/>
          <w:lang w:val="en-US" w:eastAsia="zh-CN"/>
        </w:rPr>
      </w:pPr>
      <w:r>
        <w:rPr>
          <w:rFonts w:hint="eastAsia" w:ascii="宋体" w:hAnsi="宋体" w:cs="宋体"/>
          <w:color w:val="353535"/>
          <w:kern w:val="0"/>
          <w:szCs w:val="21"/>
          <w:lang w:val="en-US" w:eastAsia="zh-CN"/>
        </w:rPr>
        <w:t>终结性考核采用</w:t>
      </w:r>
      <w:r>
        <w:rPr>
          <w:rFonts w:hint="eastAsia" w:ascii="宋体" w:hAnsi="宋体" w:cs="宋体"/>
          <w:color w:val="353535"/>
          <w:kern w:val="0"/>
          <w:szCs w:val="21"/>
        </w:rPr>
        <w:t>闭卷考试</w:t>
      </w:r>
      <w:r>
        <w:rPr>
          <w:rFonts w:hint="eastAsia" w:ascii="宋体" w:hAnsi="宋体" w:cs="宋体"/>
          <w:color w:val="353535"/>
          <w:kern w:val="0"/>
          <w:szCs w:val="21"/>
          <w:lang w:val="en-US" w:eastAsia="zh-CN"/>
        </w:rPr>
        <w:t>的方法</w:t>
      </w:r>
      <w:r>
        <w:rPr>
          <w:rFonts w:hint="eastAsia" w:ascii="宋体" w:hAnsi="宋体" w:cs="宋体"/>
          <w:color w:val="353535"/>
          <w:kern w:val="0"/>
          <w:szCs w:val="21"/>
        </w:rPr>
        <w:t>。</w:t>
      </w:r>
      <w:r>
        <w:rPr>
          <w:rFonts w:hint="eastAsia" w:ascii="宋体" w:hAnsi="宋体" w:cs="宋体"/>
          <w:color w:val="353535"/>
          <w:kern w:val="0"/>
          <w:szCs w:val="21"/>
          <w:lang w:val="en-US" w:eastAsia="zh-CN"/>
        </w:rPr>
        <w:t>分A、B卷，由课程组共同命题。</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hint="default" w:ascii="宋体" w:hAnsi="宋体" w:cs="宋体"/>
          <w:color w:val="353535"/>
          <w:kern w:val="0"/>
          <w:szCs w:val="21"/>
          <w:lang w:val="en-US" w:eastAsia="zh-CN"/>
        </w:rPr>
      </w:pPr>
      <w:r>
        <w:rPr>
          <w:rFonts w:hint="eastAsia" w:hAnsi="宋体"/>
          <w:b/>
          <w:bCs/>
          <w:color w:val="auto"/>
          <w:kern w:val="0"/>
          <w:szCs w:val="21"/>
          <w:lang w:val="en-US" w:eastAsia="zh-CN"/>
        </w:rPr>
        <w:t>3.课程综合评价</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ascii="宋体" w:hAnsi="宋体" w:cs="宋体"/>
          <w:color w:val="353535"/>
          <w:kern w:val="0"/>
          <w:szCs w:val="21"/>
        </w:rPr>
      </w:pPr>
      <w:r>
        <w:rPr>
          <w:rFonts w:hint="eastAsia" w:ascii="宋体" w:hAnsi="宋体" w:cs="宋体"/>
          <w:color w:val="353535"/>
          <w:kern w:val="0"/>
          <w:szCs w:val="21"/>
        </w:rPr>
        <w:t>总成绩计算办法：平时考核成绩占10%-15%，实验成绩占10%-15%，期中考试成绩占20%-30%，期末考试成绩占50%。</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eastAsia" w:hAnsi="宋体"/>
          <w:b/>
          <w:bCs/>
          <w:kern w:val="0"/>
          <w:szCs w:val="21"/>
        </w:rPr>
      </w:pPr>
      <w:r>
        <w:rPr>
          <w:rFonts w:hint="eastAsia" w:ascii="宋体" w:hAnsi="宋体" w:cs="宋体"/>
          <w:color w:val="353535"/>
          <w:kern w:val="0"/>
          <w:szCs w:val="21"/>
        </w:rPr>
        <w:t>实习成绩单列。</w:t>
      </w:r>
    </w:p>
    <w:p>
      <w:pPr>
        <w:keepNext w:val="0"/>
        <w:keepLines w:val="0"/>
        <w:pageBreakBefore w:val="0"/>
        <w:numPr>
          <w:ilvl w:val="0"/>
          <w:numId w:val="0"/>
        </w:numPr>
        <w:kinsoku/>
        <w:wordWrap/>
        <w:overflowPunct/>
        <w:topLinePunct w:val="0"/>
        <w:autoSpaceDE/>
        <w:autoSpaceDN/>
        <w:bidi w:val="0"/>
        <w:snapToGrid w:val="0"/>
        <w:spacing w:line="360" w:lineRule="auto"/>
        <w:ind w:firstLine="420"/>
        <w:textAlignment w:val="auto"/>
        <w:rPr>
          <w:rFonts w:hint="eastAsia"/>
          <w:color w:val="auto"/>
          <w:szCs w:val="21"/>
        </w:rPr>
      </w:pPr>
      <w:r>
        <w:rPr>
          <w:rFonts w:hint="eastAsia"/>
          <w:color w:val="auto"/>
          <w:szCs w:val="21"/>
          <w:lang w:val="en-US" w:eastAsia="zh-CN"/>
        </w:rPr>
        <w:t>实习成绩</w:t>
      </w:r>
      <w:r>
        <w:rPr>
          <w:rFonts w:hint="eastAsia"/>
          <w:color w:val="auto"/>
          <w:szCs w:val="21"/>
        </w:rPr>
        <w:t>采用考勤</w:t>
      </w:r>
      <w:r>
        <w:rPr>
          <w:rFonts w:hint="eastAsia"/>
          <w:color w:val="auto"/>
          <w:szCs w:val="21"/>
          <w:lang w:eastAsia="zh-CN"/>
        </w:rPr>
        <w:t>、</w:t>
      </w:r>
      <w:r>
        <w:rPr>
          <w:rFonts w:hint="eastAsia"/>
          <w:color w:val="auto"/>
          <w:szCs w:val="21"/>
        </w:rPr>
        <w:t>实习报告和实习讲评的方式进行考评。</w:t>
      </w:r>
    </w:p>
    <w:p>
      <w:pPr>
        <w:keepNext w:val="0"/>
        <w:keepLines w:val="0"/>
        <w:pageBreakBefore w:val="0"/>
        <w:numPr>
          <w:ilvl w:val="0"/>
          <w:numId w:val="0"/>
        </w:numPr>
        <w:kinsoku/>
        <w:wordWrap/>
        <w:overflowPunct/>
        <w:topLinePunct w:val="0"/>
        <w:autoSpaceDE/>
        <w:autoSpaceDN/>
        <w:bidi w:val="0"/>
        <w:snapToGrid w:val="0"/>
        <w:spacing w:line="360" w:lineRule="auto"/>
        <w:ind w:firstLine="420"/>
        <w:textAlignment w:val="auto"/>
        <w:rPr>
          <w:rFonts w:hint="default" w:ascii="宋体" w:hAnsi="宋体"/>
          <w:bCs/>
          <w:color w:val="auto"/>
          <w:szCs w:val="21"/>
          <w:lang w:val="en-US" w:eastAsia="zh-CN"/>
        </w:rPr>
      </w:pPr>
      <w:r>
        <w:rPr>
          <w:rFonts w:hint="eastAsia"/>
          <w:color w:val="auto"/>
          <w:szCs w:val="21"/>
          <w:lang w:val="en-US" w:eastAsia="zh-CN"/>
        </w:rPr>
        <w:t>考勤和小组思政考评占5%，实习报告占50%，实习讲评占45%。</w:t>
      </w:r>
    </w:p>
    <w:p>
      <w:pPr>
        <w:widowControl/>
        <w:spacing w:line="360" w:lineRule="auto"/>
        <w:outlineLvl w:val="3"/>
        <w:rPr>
          <w:rFonts w:ascii="宋体" w:hAnsi="宋体" w:cs="宋体"/>
          <w:b/>
          <w:bCs/>
          <w:color w:val="353535"/>
          <w:kern w:val="0"/>
          <w:szCs w:val="21"/>
        </w:rPr>
      </w:pPr>
    </w:p>
    <w:p>
      <w:pPr>
        <w:pStyle w:val="21"/>
        <w:rPr>
          <w:sz w:val="28"/>
          <w:szCs w:val="28"/>
        </w:rPr>
      </w:pPr>
      <w:bookmarkStart w:id="151" w:name="_Toc138076607"/>
      <w:bookmarkStart w:id="152" w:name="_Toc138070693"/>
      <w:bookmarkStart w:id="153" w:name="_Toc138068793"/>
      <w:bookmarkStart w:id="154" w:name="_Toc138076312"/>
      <w:bookmarkStart w:id="155" w:name="_Toc138076063"/>
      <w:bookmarkStart w:id="156" w:name="_Toc138070423"/>
    </w:p>
    <w:p>
      <w:pPr>
        <w:pStyle w:val="21"/>
        <w:rPr>
          <w:sz w:val="28"/>
          <w:szCs w:val="28"/>
        </w:rPr>
      </w:pPr>
    </w:p>
    <w:p>
      <w:pPr>
        <w:rPr>
          <w:sz w:val="28"/>
          <w:szCs w:val="28"/>
        </w:rPr>
      </w:pPr>
    </w:p>
    <w:p>
      <w:pPr>
        <w:rPr>
          <w:sz w:val="28"/>
          <w:szCs w:val="28"/>
        </w:rPr>
      </w:pPr>
    </w:p>
    <w:p>
      <w:pPr>
        <w:rPr>
          <w:sz w:val="28"/>
          <w:szCs w:val="28"/>
        </w:rPr>
      </w:pPr>
    </w:p>
    <w:p>
      <w:pPr>
        <w:rPr>
          <w:sz w:val="28"/>
          <w:szCs w:val="28"/>
        </w:rPr>
      </w:pPr>
      <w:r>
        <w:rPr>
          <w:sz w:val="28"/>
          <w:szCs w:val="28"/>
        </w:rPr>
        <w:br w:type="page"/>
      </w:r>
    </w:p>
    <w:p>
      <w:pPr>
        <w:pStyle w:val="21"/>
        <w:bidi w:val="0"/>
        <w:rPr>
          <w:szCs w:val="28"/>
        </w:rPr>
      </w:pPr>
      <w:bookmarkStart w:id="157" w:name="_Toc23497"/>
      <w:r>
        <w:rPr>
          <w:rFonts w:hint="eastAsia"/>
          <w:sz w:val="28"/>
          <w:szCs w:val="28"/>
        </w:rPr>
        <w:t>果树栽培学</w:t>
      </w:r>
      <w:bookmarkEnd w:id="151"/>
      <w:bookmarkEnd w:id="152"/>
      <w:bookmarkEnd w:id="153"/>
      <w:bookmarkEnd w:id="154"/>
      <w:bookmarkEnd w:id="155"/>
      <w:bookmarkEnd w:id="156"/>
      <w:bookmarkEnd w:id="157"/>
    </w:p>
    <w:p>
      <w:pPr>
        <w:snapToGrid w:val="0"/>
        <w:spacing w:line="360" w:lineRule="auto"/>
        <w:jc w:val="center"/>
        <w:rPr>
          <w:rFonts w:hint="eastAsia" w:eastAsia="宋体"/>
          <w:sz w:val="24"/>
          <w:lang w:val="en-US" w:eastAsia="zh-CN"/>
        </w:rPr>
      </w:pPr>
      <w:r>
        <w:rPr>
          <w:rFonts w:hint="eastAsia"/>
          <w:sz w:val="24"/>
          <w:lang w:val="en-US" w:eastAsia="zh-CN"/>
        </w:rPr>
        <w:t>(</w:t>
      </w:r>
      <w:r>
        <w:rPr>
          <w:sz w:val="24"/>
        </w:rPr>
        <w:t>Pomology</w:t>
      </w:r>
      <w:r>
        <w:rPr>
          <w:rFonts w:hint="eastAsia"/>
          <w:sz w:val="24"/>
          <w:lang w:val="en-US" w:eastAsia="zh-CN"/>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110"/>
        <w:gridCol w:w="2923"/>
        <w:gridCol w:w="3083"/>
      </w:tblGrid>
      <w:tr>
        <w:tblPrEx>
          <w:tblCellMar>
            <w:top w:w="0" w:type="dxa"/>
            <w:left w:w="108" w:type="dxa"/>
            <w:bottom w:w="0" w:type="dxa"/>
            <w:right w:w="108" w:type="dxa"/>
          </w:tblCellMar>
        </w:tblPrEx>
        <w:tc>
          <w:tcPr>
            <w:tcW w:w="1706" w:type="pct"/>
          </w:tcPr>
          <w:p>
            <w:pPr>
              <w:spacing w:line="300" w:lineRule="auto"/>
              <w:rPr>
                <w:rFonts w:ascii="宋体" w:hAnsi="宋体"/>
                <w:b/>
                <w:bCs/>
                <w:szCs w:val="21"/>
              </w:rPr>
            </w:pPr>
            <w:r>
              <w:rPr>
                <w:rFonts w:hint="eastAsia" w:ascii="宋体" w:hAnsi="宋体"/>
                <w:b/>
                <w:bCs/>
                <w:szCs w:val="21"/>
              </w:rPr>
              <w:t>课程编号：</w:t>
            </w:r>
            <w:r>
              <w:rPr>
                <w:rFonts w:ascii="宋体" w:hAnsi="宋体"/>
                <w:b/>
                <w:bCs/>
                <w:szCs w:val="21"/>
              </w:rPr>
              <w:t>1901100</w:t>
            </w:r>
            <w:r>
              <w:rPr>
                <w:rFonts w:hint="eastAsia" w:ascii="宋体" w:hAnsi="宋体"/>
                <w:b/>
                <w:bCs/>
                <w:szCs w:val="21"/>
              </w:rPr>
              <w:t>4</w:t>
            </w:r>
            <w:r>
              <w:rPr>
                <w:rFonts w:ascii="宋体" w:hAnsi="宋体"/>
                <w:b/>
                <w:bCs/>
                <w:szCs w:val="21"/>
              </w:rPr>
              <w:t>h</w:t>
            </w:r>
          </w:p>
        </w:tc>
        <w:tc>
          <w:tcPr>
            <w:tcW w:w="1603" w:type="pct"/>
          </w:tcPr>
          <w:p>
            <w:pPr>
              <w:spacing w:line="300" w:lineRule="auto"/>
              <w:rPr>
                <w:rFonts w:ascii="宋体" w:hAnsi="宋体"/>
                <w:b/>
                <w:bCs/>
                <w:szCs w:val="21"/>
              </w:rPr>
            </w:pPr>
            <w:r>
              <w:rPr>
                <w:rFonts w:hint="eastAsia" w:ascii="宋体" w:hAnsi="宋体"/>
                <w:b/>
                <w:bCs/>
                <w:szCs w:val="21"/>
              </w:rPr>
              <w:t>课程总学时：72</w:t>
            </w:r>
          </w:p>
        </w:tc>
        <w:tc>
          <w:tcPr>
            <w:tcW w:w="1689" w:type="pct"/>
          </w:tcPr>
          <w:p>
            <w:pPr>
              <w:spacing w:line="300" w:lineRule="auto"/>
              <w:rPr>
                <w:rFonts w:ascii="宋体" w:hAnsi="宋体"/>
                <w:b/>
                <w:bCs/>
                <w:szCs w:val="21"/>
              </w:rPr>
            </w:pPr>
            <w:r>
              <w:rPr>
                <w:rFonts w:hint="eastAsia" w:ascii="宋体" w:hAnsi="宋体"/>
                <w:b/>
                <w:bCs/>
                <w:szCs w:val="21"/>
              </w:rPr>
              <w:t>实验学时： 20 学时</w:t>
            </w:r>
          </w:p>
        </w:tc>
      </w:tr>
      <w:tr>
        <w:tblPrEx>
          <w:tblCellMar>
            <w:top w:w="0" w:type="dxa"/>
            <w:left w:w="108" w:type="dxa"/>
            <w:bottom w:w="0" w:type="dxa"/>
            <w:right w:w="108" w:type="dxa"/>
          </w:tblCellMar>
        </w:tblPrEx>
        <w:tc>
          <w:tcPr>
            <w:tcW w:w="1706" w:type="pct"/>
          </w:tcPr>
          <w:p>
            <w:pPr>
              <w:spacing w:line="300" w:lineRule="auto"/>
              <w:rPr>
                <w:rFonts w:ascii="宋体" w:hAnsi="宋体"/>
                <w:b/>
                <w:bCs/>
                <w:szCs w:val="21"/>
              </w:rPr>
            </w:pPr>
            <w:r>
              <w:rPr>
                <w:rFonts w:hint="eastAsia" w:ascii="宋体" w:hAnsi="宋体"/>
                <w:b/>
                <w:bCs/>
                <w:szCs w:val="21"/>
              </w:rPr>
              <w:t>课程性质：必修</w:t>
            </w:r>
          </w:p>
        </w:tc>
        <w:tc>
          <w:tcPr>
            <w:tcW w:w="1603" w:type="pct"/>
          </w:tcPr>
          <w:p>
            <w:pPr>
              <w:spacing w:line="300" w:lineRule="auto"/>
              <w:rPr>
                <w:rFonts w:ascii="宋体" w:hAnsi="宋体"/>
                <w:b/>
                <w:bCs/>
                <w:szCs w:val="21"/>
              </w:rPr>
            </w:pPr>
            <w:r>
              <w:rPr>
                <w:rFonts w:hint="eastAsia" w:ascii="宋体" w:hAnsi="宋体"/>
                <w:b/>
                <w:szCs w:val="21"/>
              </w:rPr>
              <w:t>课程属性:</w:t>
            </w:r>
            <w:r>
              <w:rPr>
                <w:rFonts w:hint="eastAsia" w:ascii="宋体" w:hAnsi="宋体"/>
                <w:b/>
                <w:bCs/>
                <w:szCs w:val="21"/>
              </w:rPr>
              <w:t xml:space="preserve"> 专业类</w:t>
            </w:r>
          </w:p>
        </w:tc>
        <w:tc>
          <w:tcPr>
            <w:tcW w:w="1689" w:type="pct"/>
          </w:tcPr>
          <w:p>
            <w:pPr>
              <w:spacing w:line="300" w:lineRule="auto"/>
              <w:rPr>
                <w:rFonts w:ascii="宋体" w:hAnsi="宋体"/>
                <w:b/>
                <w:bCs/>
                <w:szCs w:val="21"/>
              </w:rPr>
            </w:pPr>
            <w:r>
              <w:rPr>
                <w:rFonts w:hint="eastAsia" w:ascii="宋体" w:hAnsi="宋体"/>
                <w:b/>
                <w:bCs/>
                <w:szCs w:val="21"/>
              </w:rPr>
              <w:t>开设学期：第</w:t>
            </w:r>
            <w:r>
              <w:rPr>
                <w:rFonts w:ascii="宋体" w:hAnsi="宋体"/>
                <w:b/>
                <w:bCs/>
                <w:szCs w:val="21"/>
              </w:rPr>
              <w:t>4</w:t>
            </w:r>
            <w:r>
              <w:rPr>
                <w:rFonts w:hint="eastAsia" w:ascii="宋体" w:hAnsi="宋体"/>
                <w:b/>
                <w:bCs/>
                <w:szCs w:val="21"/>
              </w:rPr>
              <w:t>学期</w:t>
            </w:r>
          </w:p>
        </w:tc>
      </w:tr>
      <w:tr>
        <w:tblPrEx>
          <w:tblCellMar>
            <w:top w:w="0" w:type="dxa"/>
            <w:left w:w="108" w:type="dxa"/>
            <w:bottom w:w="0" w:type="dxa"/>
            <w:right w:w="108" w:type="dxa"/>
          </w:tblCellMar>
        </w:tblPrEx>
        <w:tc>
          <w:tcPr>
            <w:tcW w:w="1706" w:type="pct"/>
          </w:tcPr>
          <w:p>
            <w:pPr>
              <w:spacing w:line="300" w:lineRule="auto"/>
              <w:rPr>
                <w:rFonts w:ascii="宋体" w:hAnsi="宋体"/>
                <w:b/>
                <w:bCs/>
                <w:szCs w:val="21"/>
              </w:rPr>
            </w:pPr>
            <w:r>
              <w:rPr>
                <w:rFonts w:hint="eastAsia" w:ascii="宋体" w:hAnsi="宋体"/>
                <w:b/>
                <w:bCs/>
                <w:szCs w:val="21"/>
              </w:rPr>
              <w:t>课程负责人：冯建灿</w:t>
            </w:r>
          </w:p>
        </w:tc>
        <w:tc>
          <w:tcPr>
            <w:tcW w:w="1603" w:type="pct"/>
          </w:tcPr>
          <w:p>
            <w:pPr>
              <w:spacing w:line="300" w:lineRule="auto"/>
              <w:rPr>
                <w:rFonts w:ascii="宋体" w:hAnsi="宋体"/>
                <w:b/>
                <w:bCs/>
                <w:szCs w:val="21"/>
              </w:rPr>
            </w:pPr>
            <w:r>
              <w:rPr>
                <w:rFonts w:hint="eastAsia" w:ascii="宋体" w:hAnsi="宋体"/>
                <w:b/>
                <w:bCs/>
                <w:szCs w:val="21"/>
              </w:rPr>
              <w:t>课程团队：郑先波</w:t>
            </w:r>
            <w:r>
              <w:rPr>
                <w:rFonts w:hint="eastAsia" w:ascii="宋体" w:hAnsi="宋体"/>
                <w:b/>
                <w:bCs/>
                <w:szCs w:val="21"/>
                <w:lang w:eastAsia="zh-CN"/>
              </w:rPr>
              <w:t>、</w:t>
            </w:r>
            <w:r>
              <w:rPr>
                <w:rFonts w:hint="eastAsia" w:ascii="宋体" w:hAnsi="宋体"/>
                <w:b/>
                <w:bCs/>
                <w:szCs w:val="21"/>
              </w:rPr>
              <w:t>白团辉</w:t>
            </w:r>
            <w:r>
              <w:rPr>
                <w:rFonts w:hint="eastAsia" w:ascii="宋体" w:hAnsi="宋体"/>
                <w:b/>
                <w:bCs/>
                <w:szCs w:val="21"/>
                <w:lang w:eastAsia="zh-CN"/>
              </w:rPr>
              <w:t>、</w:t>
            </w:r>
            <w:r>
              <w:rPr>
                <w:rFonts w:hint="eastAsia" w:ascii="宋体" w:hAnsi="宋体"/>
                <w:b/>
                <w:bCs/>
                <w:szCs w:val="21"/>
              </w:rPr>
              <w:t>史江莉</w:t>
            </w:r>
            <w:r>
              <w:rPr>
                <w:rFonts w:hint="eastAsia" w:ascii="宋体" w:hAnsi="宋体"/>
                <w:b/>
                <w:bCs/>
                <w:szCs w:val="21"/>
                <w:lang w:eastAsia="zh-CN"/>
              </w:rPr>
              <w:t>、</w:t>
            </w:r>
            <w:r>
              <w:rPr>
                <w:rFonts w:hint="eastAsia" w:ascii="宋体" w:hAnsi="宋体"/>
                <w:b/>
                <w:bCs/>
                <w:szCs w:val="21"/>
              </w:rPr>
              <w:t>简在海</w:t>
            </w:r>
            <w:r>
              <w:rPr>
                <w:rFonts w:hint="eastAsia" w:ascii="宋体" w:hAnsi="宋体"/>
                <w:b/>
                <w:bCs/>
                <w:szCs w:val="21"/>
                <w:lang w:eastAsia="zh-CN"/>
              </w:rPr>
              <w:t>、</w:t>
            </w:r>
            <w:r>
              <w:rPr>
                <w:rFonts w:hint="eastAsia" w:ascii="宋体" w:hAnsi="宋体"/>
                <w:b/>
                <w:bCs/>
                <w:szCs w:val="21"/>
              </w:rPr>
              <w:t>焦健</w:t>
            </w:r>
            <w:r>
              <w:rPr>
                <w:rFonts w:hint="eastAsia" w:ascii="宋体" w:hAnsi="宋体"/>
                <w:b/>
                <w:bCs/>
                <w:szCs w:val="21"/>
                <w:lang w:eastAsia="zh-CN"/>
              </w:rPr>
              <w:t>、</w:t>
            </w:r>
            <w:r>
              <w:rPr>
                <w:rFonts w:hint="eastAsia" w:ascii="宋体" w:hAnsi="宋体"/>
                <w:b/>
                <w:bCs/>
                <w:szCs w:val="21"/>
              </w:rPr>
              <w:t>王磊</w:t>
            </w:r>
            <w:r>
              <w:rPr>
                <w:rFonts w:hint="eastAsia" w:ascii="宋体" w:hAnsi="宋体"/>
                <w:b/>
                <w:bCs/>
                <w:szCs w:val="21"/>
                <w:lang w:eastAsia="zh-CN"/>
              </w:rPr>
              <w:t>、</w:t>
            </w:r>
            <w:r>
              <w:rPr>
                <w:rFonts w:hint="eastAsia" w:ascii="宋体" w:hAnsi="宋体"/>
                <w:b/>
                <w:bCs/>
                <w:szCs w:val="21"/>
              </w:rPr>
              <w:t>王苗苗</w:t>
            </w:r>
            <w:r>
              <w:rPr>
                <w:rFonts w:hint="eastAsia" w:ascii="宋体" w:hAnsi="宋体"/>
                <w:b/>
                <w:bCs/>
                <w:szCs w:val="21"/>
                <w:lang w:eastAsia="zh-CN"/>
              </w:rPr>
              <w:t>、</w:t>
            </w:r>
            <w:r>
              <w:rPr>
                <w:rFonts w:hint="eastAsia" w:ascii="宋体" w:hAnsi="宋体"/>
                <w:b/>
                <w:bCs/>
                <w:szCs w:val="21"/>
              </w:rPr>
              <w:t>张坤玺</w:t>
            </w:r>
            <w:r>
              <w:rPr>
                <w:rFonts w:hint="eastAsia" w:ascii="宋体" w:hAnsi="宋体"/>
                <w:b/>
                <w:bCs/>
                <w:szCs w:val="21"/>
                <w:lang w:eastAsia="zh-CN"/>
              </w:rPr>
              <w:t>、</w:t>
            </w:r>
            <w:r>
              <w:rPr>
                <w:rFonts w:hint="eastAsia" w:ascii="宋体" w:hAnsi="宋体"/>
                <w:b/>
                <w:bCs/>
                <w:szCs w:val="21"/>
              </w:rPr>
              <w:t>郝鹏博</w:t>
            </w:r>
          </w:p>
        </w:tc>
        <w:tc>
          <w:tcPr>
            <w:tcW w:w="1689" w:type="pct"/>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Cs/>
                <w:color w:val="0000FF"/>
                <w:szCs w:val="21"/>
              </w:rPr>
            </w:pPr>
            <w:r>
              <w:rPr>
                <w:rFonts w:hint="eastAsia" w:ascii="宋体" w:hAnsi="宋体"/>
                <w:b/>
                <w:bCs/>
                <w:szCs w:val="21"/>
              </w:rPr>
              <w:t>适用专业：园艺</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对先修的要求：植物学、基础生物化学、植物生理学、土壤与植物营养等</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对后续的支撑：园艺产品营销学、园艺产品采后处理学</w:t>
            </w:r>
          </w:p>
        </w:tc>
      </w:tr>
      <w:tr>
        <w:tblPrEx>
          <w:tblCellMar>
            <w:top w:w="0" w:type="dxa"/>
            <w:left w:w="108" w:type="dxa"/>
            <w:bottom w:w="0" w:type="dxa"/>
            <w:right w:w="108" w:type="dxa"/>
          </w:tblCellMar>
        </w:tblPrEx>
        <w:tc>
          <w:tcPr>
            <w:tcW w:w="1706" w:type="pct"/>
          </w:tcPr>
          <w:p>
            <w:pPr>
              <w:spacing w:line="300" w:lineRule="auto"/>
              <w:rPr>
                <w:rFonts w:ascii="宋体" w:hAnsi="宋体"/>
                <w:b/>
                <w:bCs/>
                <w:szCs w:val="21"/>
              </w:rPr>
            </w:pPr>
            <w:r>
              <w:rPr>
                <w:rFonts w:hint="eastAsia" w:ascii="宋体" w:hAnsi="宋体"/>
                <w:b/>
                <w:bCs/>
                <w:szCs w:val="21"/>
              </w:rPr>
              <w:t>主撰人：</w:t>
            </w:r>
            <w:r>
              <w:rPr>
                <w:rFonts w:hint="eastAsia" w:asciiTheme="minorEastAsia" w:hAnsiTheme="minorEastAsia" w:eastAsiaTheme="minorEastAsia"/>
                <w:b/>
                <w:bCs/>
                <w:szCs w:val="21"/>
              </w:rPr>
              <w:t>白团辉、史江莉、张坤玺</w:t>
            </w:r>
          </w:p>
        </w:tc>
        <w:tc>
          <w:tcPr>
            <w:tcW w:w="1603" w:type="pct"/>
          </w:tcPr>
          <w:p>
            <w:pPr>
              <w:spacing w:line="300" w:lineRule="auto"/>
              <w:rPr>
                <w:rFonts w:ascii="宋体" w:hAnsi="宋体"/>
                <w:b/>
                <w:bCs/>
                <w:szCs w:val="21"/>
              </w:rPr>
            </w:pPr>
            <w:r>
              <w:rPr>
                <w:rFonts w:hint="eastAsia" w:ascii="宋体" w:hAnsi="宋体"/>
                <w:b/>
                <w:bCs/>
                <w:szCs w:val="21"/>
              </w:rPr>
              <w:t>审核人：冯建灿、郑先波</w:t>
            </w:r>
          </w:p>
        </w:tc>
        <w:tc>
          <w:tcPr>
            <w:tcW w:w="1689" w:type="pct"/>
          </w:tcPr>
          <w:p>
            <w:pPr>
              <w:spacing w:line="300" w:lineRule="auto"/>
              <w:rPr>
                <w:rFonts w:ascii="宋体" w:hAnsi="宋体"/>
                <w:b/>
                <w:bCs/>
                <w:szCs w:val="21"/>
              </w:rPr>
            </w:pPr>
            <w:r>
              <w:rPr>
                <w:rFonts w:hint="eastAsia" w:ascii="宋体" w:hAnsi="宋体"/>
                <w:b/>
                <w:bCs/>
                <w:szCs w:val="21"/>
              </w:rPr>
              <w:t>大纲制定（修订）日期：2023</w:t>
            </w:r>
            <w:r>
              <w:rPr>
                <w:rFonts w:hint="eastAsia" w:ascii="宋体" w:hAnsi="宋体"/>
                <w:b/>
                <w:bCs/>
                <w:szCs w:val="21"/>
                <w:lang w:val="en-US" w:eastAsia="zh-CN"/>
              </w:rPr>
              <w:t>.</w:t>
            </w:r>
            <w:r>
              <w:rPr>
                <w:rFonts w:hint="eastAsia" w:ascii="宋体" w:hAnsi="宋体"/>
                <w:b/>
                <w:bCs/>
                <w:szCs w:val="21"/>
              </w:rPr>
              <w:t>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rPr>
          <w:rFonts w:ascii="宋体" w:hAnsi="宋体"/>
          <w:bCs/>
          <w:szCs w:val="21"/>
        </w:rPr>
      </w:pPr>
      <w:r>
        <w:rPr>
          <w:rFonts w:hint="eastAsia"/>
          <w:kern w:val="0"/>
          <w:szCs w:val="21"/>
        </w:rPr>
        <w:t>《果树栽培学》是一门以现代生物学理论为基础的综合性应用技术科学，具有很强的理论性、实践性和应用性。该课程是园艺和园艺（葡萄栽培与利用）专业核心课程之一，在专业知识构建和生产实践能力的培养中占有相当重要的地位。《果树栽培学》主要讲授果树栽培的基本理论、基本知识和基本技能，实行“大班授课小班实践”的教学模式，采用启发式教学，探究式教学、引导式教学、示范性教学等教学方法。通过该课程的学习使学生掌握果树生物学的基本概念、基本理论及器官发育知识，明确果树的种类、生态环境和生长发育规律，系统掌握育苗、建园、土肥水及花果管理、整形修剪的基本知识和技能；使学生具备阐述、指导和推广果树栽培种植技术和从事其相应科学研究的能力；并能够用所学知识和技术解决生产上存在的问题。</w:t>
      </w:r>
    </w:p>
    <w:p>
      <w:pPr>
        <w:widowControl/>
        <w:snapToGrid w:val="0"/>
        <w:spacing w:line="360" w:lineRule="auto"/>
        <w:jc w:val="left"/>
        <w:rPr>
          <w:kern w:val="0"/>
          <w:szCs w:val="21"/>
        </w:rPr>
      </w:pPr>
      <w:r>
        <w:rPr>
          <w:rFonts w:hAnsi="宋体"/>
          <w:b/>
          <w:bCs/>
          <w:kern w:val="0"/>
          <w:szCs w:val="21"/>
        </w:rPr>
        <w:t>二、课程教学的基本要求</w:t>
      </w:r>
    </w:p>
    <w:p>
      <w:pPr>
        <w:spacing w:line="360" w:lineRule="auto"/>
        <w:ind w:firstLine="420" w:firstLineChars="200"/>
        <w:rPr>
          <w:kern w:val="0"/>
          <w:szCs w:val="21"/>
        </w:rPr>
      </w:pPr>
      <w:r>
        <w:rPr>
          <w:rFonts w:hint="eastAsia"/>
          <w:kern w:val="0"/>
          <w:szCs w:val="21"/>
        </w:rPr>
        <w:t>1.</w:t>
      </w:r>
      <w:r>
        <w:rPr>
          <w:kern w:val="0"/>
          <w:szCs w:val="21"/>
        </w:rPr>
        <w:t>理论知识方面：</w:t>
      </w:r>
      <w:r>
        <w:rPr>
          <w:rFonts w:hint="eastAsia"/>
          <w:kern w:val="0"/>
          <w:szCs w:val="21"/>
        </w:rPr>
        <w:t>了解目前我国果树栽培的发展简史与概况，果树的种类、分类和分布概况； 掌握多年生果树的器官形成和结构、功能，一生中和一年中的生长变化规律，花芽分化，营养物质合成和利用等生长发育规律；掌握果树育苗、建园，树体和花果管理，土肥水管理，集约栽培，高品质化栽培等基本理论和原则。</w:t>
      </w:r>
    </w:p>
    <w:p>
      <w:pPr>
        <w:spacing w:line="360" w:lineRule="auto"/>
        <w:ind w:firstLine="420" w:firstLineChars="200"/>
        <w:rPr>
          <w:kern w:val="0"/>
          <w:szCs w:val="21"/>
        </w:rPr>
      </w:pPr>
      <w:r>
        <w:rPr>
          <w:rFonts w:hint="eastAsia"/>
          <w:kern w:val="0"/>
          <w:szCs w:val="21"/>
        </w:rPr>
        <w:t>2.</w:t>
      </w:r>
      <w:r>
        <w:rPr>
          <w:kern w:val="0"/>
          <w:szCs w:val="21"/>
        </w:rPr>
        <w:t>实验技能方面：</w:t>
      </w:r>
      <w:r>
        <w:rPr>
          <w:rFonts w:hint="eastAsia"/>
          <w:kern w:val="0"/>
          <w:szCs w:val="21"/>
        </w:rPr>
        <w:t>掌握果树的育苗、建园、土肥水管理、整形修剪、花果管理、矮化密植在果树栽培中应用等主要常规和新技术的正确指导、应用与操作；掌握果树的形态结构、生长结果习性、物候期、果实产量与品质等的调查和观测方法。</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kern w:val="0"/>
          <w:szCs w:val="21"/>
        </w:rPr>
      </w:pPr>
      <w:r>
        <w:rPr>
          <w:rFonts w:hint="eastAsia"/>
          <w:kern w:val="0"/>
          <w:szCs w:val="21"/>
        </w:rPr>
        <w:t>1.教学设计说明</w:t>
      </w:r>
    </w:p>
    <w:p>
      <w:pPr>
        <w:spacing w:line="360" w:lineRule="auto"/>
        <w:ind w:firstLine="420" w:firstLineChars="200"/>
        <w:rPr>
          <w:kern w:val="0"/>
          <w:szCs w:val="21"/>
        </w:rPr>
      </w:pPr>
      <w:r>
        <w:rPr>
          <w:rFonts w:hint="eastAsia"/>
          <w:kern w:val="0"/>
          <w:szCs w:val="21"/>
        </w:rPr>
        <w:t>在保证实现培养目标的前提下，突破以知识传授为中心的教学模式，实行“大班授课小班实践”的教学模式，借助现代多媒体教学工具，通过学习通、钉钉等教学软件实现线上线下结合式教学，充分发挥启发式教学，探究式教学、引导式教学、示范性教学等教学方法的优势。实践教学方面，积极创造条件，组织学生积极开展社会调查，社会实践，参与科学研究，进行创新性实验和实践，提升学生的创新精神和实践能力。根据不同教学目标，采用不同的考核方式进行教学评价，促进学生学习能力的全面发展。理论课采用闭卷考试与网上测试相结合的方式；实验课采用学生自行设计方案和实践技能考核的方式。</w:t>
      </w:r>
    </w:p>
    <w:p>
      <w:pPr>
        <w:spacing w:line="360" w:lineRule="auto"/>
        <w:ind w:firstLine="420" w:firstLineChars="200"/>
        <w:rPr>
          <w:kern w:val="0"/>
          <w:szCs w:val="21"/>
        </w:rPr>
      </w:pPr>
      <w:r>
        <w:rPr>
          <w:rFonts w:hint="eastAsia"/>
          <w:kern w:val="0"/>
          <w:szCs w:val="21"/>
        </w:rPr>
        <w:t>理论课（</w:t>
      </w:r>
      <w:r>
        <w:rPr>
          <w:rFonts w:hint="eastAsia"/>
          <w:kern w:val="0"/>
          <w:szCs w:val="21"/>
          <w:lang w:val="en-US" w:eastAsia="zh-CN"/>
        </w:rPr>
        <w:t>52</w:t>
      </w:r>
      <w:r>
        <w:rPr>
          <w:rFonts w:hint="eastAsia"/>
          <w:kern w:val="0"/>
          <w:szCs w:val="21"/>
        </w:rPr>
        <w:t>学时）：果树种类、生命周期、器官生长发育等基本知识；育苗—建园—整形修剪—花果管理等一系列果树栽培学实践技能；土肥水管理、植物生长调节剂的应用和灾害预防等综合管理技术与应用。</w:t>
      </w:r>
    </w:p>
    <w:p>
      <w:pPr>
        <w:spacing w:line="360" w:lineRule="auto"/>
        <w:ind w:firstLine="420" w:firstLineChars="200"/>
        <w:rPr>
          <w:kern w:val="0"/>
          <w:szCs w:val="21"/>
        </w:rPr>
      </w:pPr>
      <w:r>
        <w:rPr>
          <w:rFonts w:hint="eastAsia"/>
          <w:kern w:val="0"/>
          <w:szCs w:val="21"/>
        </w:rPr>
        <w:t>实验课（</w:t>
      </w:r>
      <w:r>
        <w:rPr>
          <w:rFonts w:hint="eastAsia"/>
          <w:kern w:val="0"/>
          <w:szCs w:val="21"/>
          <w:lang w:val="en-US" w:eastAsia="zh-CN"/>
        </w:rPr>
        <w:t>20</w:t>
      </w:r>
      <w:r>
        <w:rPr>
          <w:rFonts w:hint="eastAsia"/>
          <w:kern w:val="0"/>
          <w:szCs w:val="21"/>
        </w:rPr>
        <w:t>学时）：树种识别、果实构造观察、果树物候期观察、嫁接与扦插、花果管理（疏花、疏果、套袋等）、病虫害绿色防控、果园施肥方法、果园规划等。</w:t>
      </w:r>
    </w:p>
    <w:p>
      <w:pPr>
        <w:spacing w:line="360" w:lineRule="auto"/>
        <w:ind w:firstLine="420" w:firstLineChars="200"/>
        <w:rPr>
          <w:kern w:val="0"/>
          <w:szCs w:val="21"/>
        </w:rPr>
      </w:pPr>
      <w:r>
        <w:rPr>
          <w:rFonts w:hint="eastAsia"/>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hAnsi="宋体"/>
                <w:bCs/>
                <w:sz w:val="18"/>
                <w:szCs w:val="18"/>
              </w:rPr>
            </w:pPr>
            <w:r>
              <w:rPr>
                <w:rFonts w:hint="eastAsia" w:hAnsi="宋体"/>
                <w:bCs/>
                <w:sz w:val="18"/>
                <w:szCs w:val="18"/>
              </w:rPr>
              <w:t>目标1：通过课程学习和实地参观，助力学生树立热爱果树行业之情，使学生能够了解果树产业在促进乡村振兴、巩固脱贫攻坚成果的作用，了解农业、农村和农民的发展需要，领悟“爱农知农为农”精神，树立脱贫攻坚、乡村振兴、生态文明和美丽中国建设的责任感和使命感。</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2</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hAnsi="宋体"/>
                <w:bCs/>
                <w:sz w:val="18"/>
                <w:szCs w:val="18"/>
              </w:rPr>
            </w:pPr>
            <w:r>
              <w:rPr>
                <w:rFonts w:hint="eastAsia" w:hAnsi="宋体"/>
                <w:bCs/>
                <w:sz w:val="18"/>
                <w:szCs w:val="18"/>
              </w:rPr>
              <w:t>目标</w:t>
            </w:r>
            <w:r>
              <w:rPr>
                <w:rFonts w:hAnsi="宋体"/>
                <w:bCs/>
                <w:sz w:val="18"/>
                <w:szCs w:val="18"/>
              </w:rPr>
              <w:t>2</w:t>
            </w:r>
            <w:r>
              <w:rPr>
                <w:rFonts w:hint="eastAsia" w:hAnsi="宋体"/>
                <w:bCs/>
                <w:sz w:val="18"/>
                <w:szCs w:val="18"/>
              </w:rPr>
              <w:t>：通过课程理论学习，使学生能够了解果树生产和产业发展现状、先进技术的应用情况，掌握果树专业知识和现代化果树生产管理技术；</w:t>
            </w:r>
          </w:p>
          <w:p>
            <w:pPr>
              <w:spacing w:line="320" w:lineRule="exact"/>
              <w:ind w:firstLine="360" w:firstLineChars="200"/>
              <w:rPr>
                <w:rFonts w:hAnsi="宋体"/>
                <w:bCs/>
                <w:sz w:val="18"/>
                <w:szCs w:val="18"/>
              </w:rPr>
            </w:pPr>
            <w:r>
              <w:rPr>
                <w:rFonts w:hint="eastAsia" w:hAnsi="宋体"/>
                <w:bCs/>
                <w:sz w:val="18"/>
                <w:szCs w:val="18"/>
              </w:rPr>
              <w:t>通过理论知识学习和实践操练，培养学生善于发现问题、独立解决问题的能力，使学生能够灵活运用所学的理论知识分析解决果树生产中存在问题。</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5</w:t>
            </w:r>
          </w:p>
          <w:p>
            <w:pPr>
              <w:spacing w:line="320" w:lineRule="exact"/>
              <w:jc w:val="center"/>
              <w:rPr>
                <w:rFonts w:hint="eastAsia" w:eastAsiaTheme="minorEastAsia"/>
                <w:sz w:val="18"/>
                <w:szCs w:val="18"/>
              </w:rPr>
            </w:pPr>
            <w:r>
              <w:rPr>
                <w:rFonts w:hint="eastAsia" w:eastAsiaTheme="minorEastAsia"/>
                <w:sz w:val="18"/>
                <w:szCs w:val="18"/>
              </w:rPr>
              <w:t>7</w:t>
            </w:r>
          </w:p>
          <w:p>
            <w:pPr>
              <w:spacing w:line="320" w:lineRule="exact"/>
              <w:jc w:val="center"/>
              <w:rPr>
                <w:rFonts w:eastAsiaTheme="minorEastAsia"/>
                <w:sz w:val="18"/>
                <w:szCs w:val="18"/>
              </w:rPr>
            </w:pPr>
            <w:r>
              <w:rPr>
                <w:rFonts w:hint="eastAsia" w:eastAsiaTheme="minorEastAsia"/>
                <w:sz w:val="18"/>
                <w:szCs w:val="18"/>
              </w:rPr>
              <w:t>9</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hAnsi="宋体"/>
                <w:bCs/>
                <w:sz w:val="18"/>
                <w:szCs w:val="18"/>
              </w:rPr>
            </w:pPr>
            <w:r>
              <w:rPr>
                <w:rFonts w:hint="eastAsia" w:hAnsi="宋体"/>
                <w:bCs/>
                <w:sz w:val="18"/>
                <w:szCs w:val="18"/>
              </w:rPr>
              <w:t>目标3：培养具有坚实果树栽培学专业知识和丰富果树实践技能的综合性果树生产技术人才。</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rPr>
            </w:pPr>
            <w:r>
              <w:rPr>
                <w:rFonts w:hint="eastAsia" w:eastAsiaTheme="minorEastAsia"/>
                <w:sz w:val="18"/>
                <w:szCs w:val="18"/>
              </w:rPr>
              <w:t>4</w:t>
            </w:r>
          </w:p>
          <w:p>
            <w:pPr>
              <w:spacing w:line="320" w:lineRule="exact"/>
              <w:jc w:val="center"/>
              <w:rPr>
                <w:rFonts w:eastAsiaTheme="minorEastAsia"/>
                <w:sz w:val="18"/>
                <w:szCs w:val="18"/>
              </w:rPr>
            </w:pPr>
            <w:r>
              <w:rPr>
                <w:rFonts w:hint="eastAsia" w:eastAsiaTheme="minorEastAsia"/>
                <w:sz w:val="18"/>
                <w:szCs w:val="18"/>
              </w:rPr>
              <w:t>6</w:t>
            </w:r>
          </w:p>
        </w:tc>
      </w:tr>
    </w:tbl>
    <w:p>
      <w:pPr>
        <w:spacing w:line="360" w:lineRule="auto"/>
        <w:ind w:firstLine="420" w:firstLineChars="200"/>
        <w:rPr>
          <w:rFonts w:hAnsi="宋体"/>
          <w:bCs/>
          <w:color w:val="0000FF"/>
          <w:kern w:val="0"/>
          <w:szCs w:val="21"/>
        </w:rPr>
      </w:pPr>
    </w:p>
    <w:p>
      <w:pPr>
        <w:keepNext w:val="0"/>
        <w:keepLines w:val="0"/>
        <w:pageBreakBefore w:val="0"/>
        <w:widowControl/>
        <w:kinsoku/>
        <w:wordWrap/>
        <w:overflowPunct/>
        <w:topLinePunct w:val="0"/>
        <w:autoSpaceDE/>
        <w:autoSpaceDN/>
        <w:bidi w:val="0"/>
        <w:snapToGrid w:val="0"/>
        <w:spacing w:line="360" w:lineRule="auto"/>
        <w:jc w:val="left"/>
        <w:textAlignment w:val="auto"/>
        <w:rPr>
          <w:rFonts w:asciiTheme="minorEastAsia" w:hAnsiTheme="minorEastAsia" w:eastAsiaTheme="minorEastAsia"/>
          <w:bCs/>
          <w:color w:val="0000FF"/>
          <w:kern w:val="0"/>
          <w:szCs w:val="21"/>
        </w:rPr>
      </w:pPr>
      <w:r>
        <w:rPr>
          <w:rFonts w:hint="eastAsia" w:asciiTheme="minorEastAsia" w:hAnsiTheme="minorEastAsia" w:eastAsiaTheme="minorEastAsia"/>
          <w:b/>
          <w:bCs/>
          <w:kern w:val="0"/>
          <w:szCs w:val="21"/>
        </w:rPr>
        <w:t>四</w:t>
      </w:r>
      <w:r>
        <w:rPr>
          <w:rFonts w:asciiTheme="minorEastAsia" w:hAnsiTheme="minorEastAsia" w:eastAsiaTheme="minorEastAsia"/>
          <w:b/>
          <w:bCs/>
          <w:kern w:val="0"/>
          <w:szCs w:val="21"/>
        </w:rPr>
        <w:t>、理论教学内容及学时分配</w:t>
      </w:r>
      <w:r>
        <w:rPr>
          <w:rFonts w:hint="eastAsia" w:asciiTheme="minorEastAsia" w:hAnsiTheme="minorEastAsia" w:eastAsiaTheme="minorEastAsia"/>
          <w:b/>
          <w:bCs/>
          <w:kern w:val="0"/>
          <w:szCs w:val="21"/>
        </w:rPr>
        <w:t>（</w:t>
      </w:r>
      <w:r>
        <w:rPr>
          <w:rFonts w:asciiTheme="minorEastAsia" w:hAnsiTheme="minorEastAsia" w:eastAsiaTheme="minorEastAsia"/>
          <w:b/>
          <w:bCs/>
          <w:kern w:val="0"/>
          <w:szCs w:val="21"/>
        </w:rPr>
        <w:t>52</w:t>
      </w:r>
      <w:r>
        <w:rPr>
          <w:rFonts w:hint="eastAsia" w:asciiTheme="minorEastAsia" w:hAnsiTheme="minorEastAsia" w:eastAsiaTheme="minorEastAsia"/>
          <w:b/>
          <w:bCs/>
          <w:kern w:val="0"/>
          <w:szCs w:val="21"/>
        </w:rPr>
        <w:t>学时）</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asciiTheme="minorEastAsia" w:hAnsiTheme="minorEastAsia" w:eastAsiaTheme="minorEastAsia"/>
                <w:b/>
                <w:bCs/>
                <w:kern w:val="0"/>
                <w:szCs w:val="21"/>
              </w:rPr>
            </w:pPr>
          </w:p>
        </w:tc>
        <w:tc>
          <w:tcPr>
            <w:tcW w:w="2965" w:type="dxa"/>
            <w:tcBorders>
              <w:top w:val="nil"/>
              <w:left w:val="nil"/>
              <w:bottom w:val="nil"/>
              <w:right w:val="nil"/>
            </w:tcBorders>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绪论</w:t>
            </w:r>
          </w:p>
        </w:tc>
        <w:tc>
          <w:tcPr>
            <w:tcW w:w="2966" w:type="dxa"/>
            <w:tcBorders>
              <w:top w:val="nil"/>
              <w:left w:val="nil"/>
              <w:bottom w:val="nil"/>
              <w:right w:val="nil"/>
            </w:tcBorders>
            <w:vAlign w:val="center"/>
          </w:tcPr>
          <w:p>
            <w:pPr>
              <w:keepNext w:val="0"/>
              <w:keepLines w:val="0"/>
              <w:pageBreakBefore w:val="0"/>
              <w:widowControl/>
              <w:kinsoku/>
              <w:wordWrap/>
              <w:overflowPunct/>
              <w:topLinePunct w:val="0"/>
              <w:autoSpaceDE/>
              <w:autoSpaceDN/>
              <w:bidi w:val="0"/>
              <w:snapToGrid w:val="0"/>
              <w:spacing w:line="360" w:lineRule="auto"/>
              <w:jc w:val="right"/>
              <w:textAlignment w:val="auto"/>
              <w:rPr>
                <w:rFonts w:asciiTheme="minorEastAsia" w:hAnsiTheme="minorEastAsia" w:eastAsiaTheme="minorEastAsia"/>
                <w:b/>
                <w:bCs/>
                <w:kern w:val="0"/>
                <w:szCs w:val="21"/>
              </w:rPr>
            </w:pPr>
            <w:r>
              <w:rPr>
                <w:rFonts w:asciiTheme="minorEastAsia" w:hAnsiTheme="minorEastAsia" w:eastAsiaTheme="minorEastAsia"/>
                <w:b/>
                <w:bCs/>
                <w:kern w:val="0"/>
                <w:szCs w:val="21"/>
              </w:rPr>
              <w:t>学时</w:t>
            </w:r>
            <w:r>
              <w:rPr>
                <w:rFonts w:hint="eastAsia" w:asciiTheme="minorEastAsia" w:hAnsiTheme="minorEastAsia" w:eastAsiaTheme="minorEastAsia"/>
                <w:b/>
                <w:bCs/>
                <w:kern w:val="0"/>
                <w:szCs w:val="21"/>
              </w:rPr>
              <w:t>数：</w:t>
            </w:r>
            <w:r>
              <w:rPr>
                <w:rFonts w:asciiTheme="minorEastAsia" w:hAnsiTheme="minorEastAsia" w:eastAsiaTheme="minorEastAsia"/>
                <w:b/>
                <w:bCs/>
                <w:kern w:val="0"/>
                <w:szCs w:val="21"/>
              </w:rPr>
              <w:t>2</w:t>
            </w:r>
          </w:p>
        </w:tc>
      </w:tr>
    </w:tbl>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了解本课程的特点、目的和要求以及学习方法。</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了解本课程的研究内容及主要任务。</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果树生产的特点、重要意义、发展趋势及我国果树生产现状和存在问题。</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教学内容：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1.</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果树栽培学的内涵和果树生产特点；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2.</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果品生产在国民经济发展中的作用；</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我国果树栽培历史及对世界果树事业的贡献；果品生产发展趋势。</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教学要求：</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了解：我国果树发展趋势和存在问题，我国果树生产现状。</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掌握：果树、果树栽培的概念和果树栽培学特点。</w:t>
      </w:r>
      <w:r>
        <w:rPr>
          <w:rFonts w:asciiTheme="minorEastAsia" w:hAnsiTheme="minorEastAsia" w:eastAsiaTheme="minorEastAsia"/>
          <w:kern w:val="0"/>
          <w:szCs w:val="21"/>
        </w:rPr>
        <w:t xml:space="preserve"> </w:t>
      </w:r>
    </w:p>
    <w:p>
      <w:pPr>
        <w:pStyle w:val="48"/>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以P</w:t>
      </w:r>
      <w:r>
        <w:rPr>
          <w:rFonts w:asciiTheme="minorEastAsia" w:hAnsiTheme="minorEastAsia" w:eastAsiaTheme="minorEastAsia"/>
          <w:kern w:val="0"/>
          <w:szCs w:val="21"/>
        </w:rPr>
        <w:t>PT</w:t>
      </w:r>
      <w:r>
        <w:rPr>
          <w:rFonts w:hint="eastAsia" w:asciiTheme="minorEastAsia" w:hAnsiTheme="minorEastAsia" w:eastAsiaTheme="minorEastAsia"/>
          <w:kern w:val="0"/>
          <w:szCs w:val="21"/>
        </w:rPr>
        <w:t>和线上教学为主，通过讲授、课堂提问、线上测试、多媒体课下交流等多种教学形式完成教学任务。</w:t>
      </w:r>
    </w:p>
    <w:p>
      <w:pPr>
        <w:keepNext w:val="0"/>
        <w:keepLines w:val="0"/>
        <w:pageBreakBefore w:val="0"/>
        <w:widowControl/>
        <w:kinsoku/>
        <w:wordWrap/>
        <w:overflowPunct/>
        <w:topLinePunct w:val="0"/>
        <w:autoSpaceDE/>
        <w:autoSpaceDN/>
        <w:bidi w:val="0"/>
        <w:adjustRightInd w:val="0"/>
        <w:snapToGrid w:val="0"/>
        <w:spacing w:line="360" w:lineRule="auto"/>
        <w:jc w:val="right"/>
        <w:textAlignment w:val="auto"/>
        <w:rPr>
          <w:rFonts w:asciiTheme="minorEastAsia" w:hAnsiTheme="minorEastAsia" w:eastAsiaTheme="minorEastAsia"/>
          <w:kern w:val="0"/>
          <w:szCs w:val="21"/>
        </w:rPr>
      </w:pPr>
      <w:r>
        <w:rPr>
          <w:rFonts w:asciiTheme="minorEastAsia" w:hAnsiTheme="minorEastAsia" w:eastAsiaTheme="minorEastAsia"/>
          <w:b/>
          <w:bCs/>
          <w:kern w:val="0"/>
          <w:szCs w:val="21"/>
        </w:rPr>
        <w:t>   </w:t>
      </w:r>
      <w:r>
        <w:rPr>
          <w:rFonts w:hint="eastAsia" w:asciiTheme="minorEastAsia" w:hAnsiTheme="minorEastAsia" w:eastAsiaTheme="minorEastAsia"/>
          <w:b/>
          <w:bCs/>
          <w:kern w:val="0"/>
          <w:szCs w:val="21"/>
        </w:rPr>
        <w:t>第一章</w:t>
      </w:r>
      <w:r>
        <w:rPr>
          <w:rFonts w:asciiTheme="minorEastAsia" w:hAnsiTheme="minorEastAsia" w:eastAsiaTheme="minorEastAsia"/>
          <w:b/>
          <w:bCs/>
          <w:kern w:val="0"/>
          <w:szCs w:val="21"/>
        </w:rPr>
        <w:t>     </w:t>
      </w:r>
      <w:r>
        <w:rPr>
          <w:rFonts w:hint="eastAsia" w:asciiTheme="minorEastAsia" w:hAnsiTheme="minorEastAsia" w:eastAsiaTheme="minorEastAsia"/>
          <w:b/>
          <w:bCs/>
          <w:kern w:val="0"/>
          <w:szCs w:val="21"/>
        </w:rPr>
        <w:t>我国果树种类及地理分布</w:t>
      </w:r>
      <w:r>
        <w:rPr>
          <w:rFonts w:asciiTheme="minorEastAsia" w:hAnsiTheme="minorEastAsia" w:eastAsiaTheme="minorEastAsia"/>
          <w:b/>
          <w:bCs/>
          <w:kern w:val="0"/>
          <w:szCs w:val="21"/>
        </w:rPr>
        <w:t>   </w:t>
      </w:r>
      <w:r>
        <w:rPr>
          <w:rFonts w:asciiTheme="minorEastAsia" w:hAnsiTheme="minorEastAsia" w:eastAsiaTheme="minorEastAsia"/>
          <w:b/>
          <w:bCs/>
        </w:rPr>
        <w:t xml:space="preserve">  </w:t>
      </w:r>
      <w:r>
        <w:rPr>
          <w:rFonts w:asciiTheme="minorEastAsia" w:hAnsiTheme="minorEastAsia" w:eastAsiaTheme="minorEastAsia"/>
          <w:b/>
          <w:bCs/>
          <w:kern w:val="0"/>
          <w:szCs w:val="21"/>
        </w:rPr>
        <w:t xml:space="preserve">  </w:t>
      </w:r>
      <w:r>
        <w:rPr>
          <w:rFonts w:hint="eastAsia" w:asciiTheme="minorEastAsia" w:hAnsiTheme="minorEastAsia" w:eastAsiaTheme="minorEastAsia"/>
          <w:b/>
          <w:bCs/>
          <w:kern w:val="0"/>
          <w:szCs w:val="21"/>
        </w:rPr>
        <w:t xml:space="preserve"> </w:t>
      </w:r>
      <w:r>
        <w:rPr>
          <w:rFonts w:asciiTheme="minorEastAsia" w:hAnsiTheme="minorEastAsia" w:eastAsiaTheme="minorEastAsia"/>
          <w:b/>
          <w:bCs/>
          <w:kern w:val="0"/>
          <w:szCs w:val="21"/>
        </w:rPr>
        <w:t xml:space="preserve">          </w:t>
      </w:r>
      <w:r>
        <w:rPr>
          <w:rFonts w:hint="eastAsia" w:asciiTheme="minorEastAsia" w:hAnsiTheme="minorEastAsia" w:eastAsiaTheme="minorEastAsia"/>
          <w:b/>
          <w:bCs/>
          <w:kern w:val="0"/>
          <w:szCs w:val="21"/>
        </w:rPr>
        <w:t>学时数：2</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了解果树资源的种类、分类方法及主要果树带和特点。掌握主要果树种类的分类法及其生物学、生态学和栽培学上的共性与特点。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教学重点：主要果树种类及砧木的拉丁学名；果树分类。</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教学难点：主要果树带的气候特点及果树分布。</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rPr>
      </w:pPr>
      <w:r>
        <w:rPr>
          <w:rFonts w:hint="eastAsia" w:asciiTheme="minorEastAsia" w:hAnsiTheme="minorEastAsia" w:eastAsiaTheme="minorEastAsia"/>
        </w:rPr>
        <w:t>教学内容：</w:t>
      </w:r>
    </w:p>
    <w:p>
      <w:pPr>
        <w:keepNext w:val="0"/>
        <w:keepLines w:val="0"/>
        <w:pageBreakBefore w:val="0"/>
        <w:tabs>
          <w:tab w:val="left" w:pos="420"/>
        </w:tabs>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果树种类资源</w:t>
      </w:r>
      <w:r>
        <w:rPr>
          <w:rFonts w:asciiTheme="minorEastAsia" w:hAnsiTheme="minorEastAsia" w:eastAsiaTheme="minorEastAsia"/>
          <w:b/>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．我国果树种类与分布</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．果树的分类</w:t>
      </w:r>
      <w:r>
        <w:rPr>
          <w:rFonts w:asciiTheme="minorEastAsia" w:hAnsiTheme="minorEastAsia" w:eastAsiaTheme="minorEastAsia"/>
          <w:kern w:val="0"/>
          <w:szCs w:val="21"/>
        </w:rPr>
        <w:t xml:space="preserve"> </w:t>
      </w:r>
    </w:p>
    <w:p>
      <w:pPr>
        <w:keepNext w:val="0"/>
        <w:keepLines w:val="0"/>
        <w:pageBreakBefore w:val="0"/>
        <w:tabs>
          <w:tab w:val="left" w:pos="420"/>
        </w:tabs>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我国果树带划分</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．热带常绿果树带</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．亚热带常绿果树带</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3</w:t>
      </w:r>
      <w:r>
        <w:rPr>
          <w:rFonts w:hint="eastAsia" w:asciiTheme="minorEastAsia" w:hAnsiTheme="minorEastAsia" w:eastAsiaTheme="minorEastAsia"/>
          <w:kern w:val="0"/>
          <w:szCs w:val="21"/>
        </w:rPr>
        <w:t>．云贵高原常绿落叶果树混交带</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4</w:t>
      </w:r>
      <w:r>
        <w:rPr>
          <w:rFonts w:hint="eastAsia" w:asciiTheme="minorEastAsia" w:hAnsiTheme="minorEastAsia" w:eastAsiaTheme="minorEastAsia"/>
          <w:kern w:val="0"/>
          <w:szCs w:val="21"/>
        </w:rPr>
        <w:t>．温带落叶果树带</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5</w:t>
      </w:r>
      <w:r>
        <w:rPr>
          <w:rFonts w:hint="eastAsia" w:asciiTheme="minorEastAsia" w:hAnsiTheme="minorEastAsia" w:eastAsiaTheme="minorEastAsia"/>
          <w:kern w:val="0"/>
          <w:szCs w:val="21"/>
        </w:rPr>
        <w:t>．旱温落叶果树带</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6</w:t>
      </w:r>
      <w:r>
        <w:rPr>
          <w:rFonts w:hint="eastAsia" w:asciiTheme="minorEastAsia" w:hAnsiTheme="minorEastAsia" w:eastAsiaTheme="minorEastAsia"/>
          <w:kern w:val="0"/>
          <w:szCs w:val="21"/>
        </w:rPr>
        <w:t>．干寒落叶果树带</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7</w:t>
      </w:r>
      <w:r>
        <w:rPr>
          <w:rFonts w:hint="eastAsia" w:asciiTheme="minorEastAsia" w:hAnsiTheme="minorEastAsia" w:eastAsiaTheme="minorEastAsia"/>
          <w:kern w:val="0"/>
          <w:szCs w:val="21"/>
        </w:rPr>
        <w:t>．耐寒落叶果树带</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8</w:t>
      </w:r>
      <w:r>
        <w:rPr>
          <w:rFonts w:hint="eastAsia" w:asciiTheme="minorEastAsia" w:hAnsiTheme="minorEastAsia" w:eastAsiaTheme="minorEastAsia"/>
          <w:kern w:val="0"/>
          <w:szCs w:val="21"/>
        </w:rPr>
        <w:t>．青藏高寒落叶果树带</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教学要求：</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了解：我国果树种类、分布和利用，果树种的植物学分类方法。</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理解：果树带的划分和果树带的概念。</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掌握：果树分类方法，果树带的特点。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bookmarkStart w:id="158" w:name="_Hlk38803549"/>
      <w:r>
        <w:rPr>
          <w:rFonts w:hint="eastAsia" w:asciiTheme="minorEastAsia" w:hAnsiTheme="minorEastAsia" w:eastAsiaTheme="minorEastAsia"/>
          <w:b/>
          <w:bCs/>
        </w:rPr>
        <w:t>教学组织与实施：</w:t>
      </w:r>
      <w:bookmarkEnd w:id="158"/>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采用多媒体教室和果园授课相结合的方式教学，通过多媒体展示各种果树器官的照片，吸引同学的注意力，激发同学学习的兴趣，然后提出问题，让同学们带着问题听课。通过果园果树树种识别和实验室试验，掌握果树分类的依据和果树的形态结构、生长结果习性、果实品质等的调查和观测方法。</w:t>
      </w:r>
    </w:p>
    <w:p>
      <w:pPr>
        <w:keepNext w:val="0"/>
        <w:keepLines w:val="0"/>
        <w:pageBreakBefore w:val="0"/>
        <w:kinsoku/>
        <w:wordWrap/>
        <w:overflowPunct/>
        <w:topLinePunct w:val="0"/>
        <w:autoSpaceDE/>
        <w:autoSpaceDN/>
        <w:bidi w:val="0"/>
        <w:spacing w:line="360" w:lineRule="auto"/>
        <w:ind w:firstLine="422" w:firstLineChars="200"/>
        <w:jc w:val="right"/>
        <w:textAlignment w:val="auto"/>
        <w:rPr>
          <w:rFonts w:asciiTheme="minorEastAsia" w:hAnsiTheme="minorEastAsia" w:eastAsiaTheme="minorEastAsia"/>
          <w:b/>
          <w:szCs w:val="21"/>
        </w:rPr>
      </w:pPr>
      <w:r>
        <w:rPr>
          <w:rFonts w:hint="eastAsia" w:asciiTheme="minorEastAsia" w:hAnsiTheme="minorEastAsia" w:eastAsiaTheme="minorEastAsia"/>
          <w:b/>
          <w:szCs w:val="21"/>
        </w:rPr>
        <w:t xml:space="preserve">    第二章</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果树的生命周期和年生长周期</w:t>
      </w:r>
      <w:r>
        <w:rPr>
          <w:rFonts w:asciiTheme="minorEastAsia" w:hAnsiTheme="minorEastAsia" w:eastAsiaTheme="minorEastAsia"/>
          <w:b/>
          <w:szCs w:val="21"/>
        </w:rPr>
        <w:t xml:space="preserve">               </w:t>
      </w:r>
      <w:r>
        <w:rPr>
          <w:rFonts w:hint="eastAsia" w:asciiTheme="minorEastAsia" w:hAnsiTheme="minorEastAsia" w:eastAsiaTheme="minorEastAsia"/>
          <w:b/>
          <w:szCs w:val="21"/>
        </w:rPr>
        <w:t>学时数：2</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．掌握果树在一生中生长发育规律</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．掌握果树在一年中的生长发育规律</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教学重点和难点：</w:t>
      </w:r>
      <w:r>
        <w:rPr>
          <w:rFonts w:asciiTheme="minorEastAsia" w:hAnsiTheme="minorEastAsia" w:eastAsiaTheme="minorEastAsia"/>
          <w:b/>
          <w:szCs w:val="21"/>
        </w:rPr>
        <w:t xml:space="preserve"> </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教学重点：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营养繁殖树的生命周期及年生长周期概念</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教学难点：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落叶果树生长发育过程的调控措施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果树的生命周期</w:t>
      </w:r>
      <w:r>
        <w:rPr>
          <w:rFonts w:asciiTheme="minorEastAsia" w:hAnsiTheme="minorEastAsia" w:eastAsiaTheme="minorEastAsia"/>
          <w:b/>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．果树生命周期的意义</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．实生树的生命周期</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3</w:t>
      </w:r>
      <w:r>
        <w:rPr>
          <w:rFonts w:hint="eastAsia" w:asciiTheme="minorEastAsia" w:hAnsiTheme="minorEastAsia" w:eastAsiaTheme="minorEastAsia"/>
          <w:kern w:val="0"/>
          <w:szCs w:val="21"/>
        </w:rPr>
        <w:t>．营养繁殖树的生命周期及其调控</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果树的年生长周期</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．果树的年生长周期的概念</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．落叶果树的年生长周期及其调控</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教学要求：</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了解：果树生命周期和年生长周期的意义。</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理解：生命周期和年生长周期的概念和特点，果树物候期概念和特性，实生树生命周期的划分。</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掌握：果树实生树生命周期的特点，果树物候期的特性。</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熟练掌握：调控果树年生长周期的技术，常见果树物候期的发育特点和规律。</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采用多媒体教室和果园授课相结合的方式教学，通过多媒体展示各种果树物候期的照片，让学生了解果生命周期和年生长周期意义。让学生积极参与果园观察物候期，通过果园果树物候期的观察，掌握果树物候期观察的方法。</w:t>
      </w:r>
    </w:p>
    <w:p>
      <w:pPr>
        <w:keepNext w:val="0"/>
        <w:keepLines w:val="0"/>
        <w:pageBreakBefore w:val="0"/>
        <w:kinsoku/>
        <w:wordWrap/>
        <w:overflowPunct/>
        <w:topLinePunct w:val="0"/>
        <w:autoSpaceDE/>
        <w:autoSpaceDN/>
        <w:bidi w:val="0"/>
        <w:spacing w:line="360" w:lineRule="auto"/>
        <w:ind w:firstLine="422" w:firstLineChars="200"/>
        <w:jc w:val="right"/>
        <w:textAlignment w:val="auto"/>
        <w:rPr>
          <w:rFonts w:asciiTheme="minorEastAsia" w:hAnsiTheme="minorEastAsia" w:eastAsiaTheme="minorEastAsia"/>
          <w:b/>
          <w:szCs w:val="21"/>
        </w:rPr>
      </w:pPr>
      <w:r>
        <w:rPr>
          <w:rFonts w:hint="eastAsia" w:asciiTheme="minorEastAsia" w:hAnsiTheme="minorEastAsia" w:eastAsiaTheme="minorEastAsia"/>
          <w:b/>
          <w:szCs w:val="21"/>
        </w:rPr>
        <w:t>第三章</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果树器官的生长发育</w:t>
      </w:r>
      <w:r>
        <w:rPr>
          <w:rFonts w:asciiTheme="minorEastAsia" w:hAnsiTheme="minorEastAsia" w:eastAsiaTheme="minorEastAsia"/>
          <w:b/>
          <w:szCs w:val="21"/>
        </w:rPr>
        <w:t xml:space="preserve">                           </w:t>
      </w:r>
      <w:r>
        <w:rPr>
          <w:rFonts w:hint="eastAsia" w:asciiTheme="minorEastAsia" w:hAnsiTheme="minorEastAsia" w:eastAsiaTheme="minorEastAsia"/>
          <w:b/>
          <w:bCs/>
          <w:kern w:val="0"/>
          <w:szCs w:val="21"/>
        </w:rPr>
        <w:t>学时数：6</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1．掌握多年生果树的一般特性；果树根、枝、芽、叶、花、果各器官的形态结构、器官发育、功能特性，周期性变化、营养物质运转、分配等生长发育规律。</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．掌握果树生长发育与环境条件和农业技术相互作用及其辨证关系。</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教学重点和难点：</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教学重点：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基本概念</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果树正常生长时的根、茎、叶、花、果之间的促进和制约关系；</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影响根系、枝叶、花芽分化、开花结果、果实发育的内外因素；</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4.</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果实品质构成及其影响因素；果树休眠的意义及其调控；</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5.</w:t>
      </w:r>
      <w:r>
        <w:rPr>
          <w:rFonts w:asciiTheme="minorEastAsia" w:hAnsiTheme="minorEastAsia" w:eastAsiaTheme="minorEastAsia"/>
          <w:kern w:val="0"/>
          <w:szCs w:val="21"/>
        </w:rPr>
        <w:t xml:space="preserve"> </w:t>
      </w:r>
      <w:r>
        <w:rPr>
          <w:rFonts w:hint="eastAsia" w:asciiTheme="minorEastAsia" w:hAnsiTheme="minorEastAsia" w:eastAsiaTheme="minorEastAsia"/>
          <w:kern w:val="0"/>
          <w:szCs w:val="21"/>
        </w:rPr>
        <w:t>不同时期生理落果的机制和成因等。</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教学难点：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hint="eastAsia" w:asciiTheme="minorEastAsia" w:hAnsiTheme="minorEastAsia" w:eastAsiaTheme="minorEastAsia"/>
          <w:kern w:val="0"/>
          <w:szCs w:val="21"/>
        </w:rPr>
        <w:t>促进果树花芽分化的栽培措施；增进果实品质的栽培技术；提高果树的坐果率、克服大小年的栽培措施等。</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根</w:t>
      </w:r>
      <w:r>
        <w:rPr>
          <w:rFonts w:asciiTheme="minorEastAsia" w:hAnsiTheme="minorEastAsia" w:eastAsiaTheme="minorEastAsia"/>
          <w:b/>
          <w:szCs w:val="21"/>
        </w:rPr>
        <w:t xml:space="preserve"> </w:t>
      </w:r>
      <w:r>
        <w:rPr>
          <w:rFonts w:hint="eastAsia" w:asciiTheme="minorEastAsia" w:hAnsiTheme="minorEastAsia" w:eastAsiaTheme="minorEastAsia"/>
          <w:b/>
          <w:szCs w:val="21"/>
        </w:rPr>
        <w:t>系</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．根系的类型与结构</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．果树根系的分布</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3</w:t>
      </w:r>
      <w:r>
        <w:rPr>
          <w:rFonts w:hint="eastAsia" w:asciiTheme="minorEastAsia" w:hAnsiTheme="minorEastAsia" w:eastAsiaTheme="minorEastAsia"/>
          <w:kern w:val="0"/>
          <w:szCs w:val="21"/>
        </w:rPr>
        <w:t>．影响根系生长的因子</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4</w:t>
      </w:r>
      <w:r>
        <w:rPr>
          <w:rFonts w:hint="eastAsia" w:asciiTheme="minorEastAsia" w:hAnsiTheme="minorEastAsia" w:eastAsiaTheme="minorEastAsia"/>
          <w:kern w:val="0"/>
          <w:szCs w:val="21"/>
        </w:rPr>
        <w:t>．根系在生命周期和年周期中的变化</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5</w:t>
      </w:r>
      <w:r>
        <w:rPr>
          <w:rFonts w:hint="eastAsia" w:asciiTheme="minorEastAsia" w:hAnsiTheme="minorEastAsia" w:eastAsiaTheme="minorEastAsia"/>
          <w:kern w:val="0"/>
          <w:szCs w:val="21"/>
        </w:rPr>
        <w:t>．果树的共生作用与菌根</w:t>
      </w:r>
      <w:r>
        <w:rPr>
          <w:rFonts w:asciiTheme="minorEastAsia" w:hAnsiTheme="minorEastAsia" w:eastAsiaTheme="minorEastAsia"/>
          <w:kern w:val="0"/>
          <w:szCs w:val="21"/>
        </w:rPr>
        <w:t xml:space="preserve"> </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 xml:space="preserve">第二节 </w:t>
      </w:r>
      <w:r>
        <w:rPr>
          <w:rFonts w:asciiTheme="minorEastAsia" w:hAnsiTheme="minorEastAsia" w:eastAsiaTheme="minorEastAsia"/>
          <w:b/>
          <w:szCs w:val="21"/>
        </w:rPr>
        <w:t xml:space="preserve"> </w:t>
      </w:r>
      <w:r>
        <w:rPr>
          <w:rFonts w:hint="eastAsia" w:asciiTheme="minorEastAsia" w:hAnsiTheme="minorEastAsia" w:eastAsiaTheme="minorEastAsia"/>
          <w:b/>
          <w:szCs w:val="21"/>
        </w:rPr>
        <w:t>芽、枝、叶的生长与发育</w:t>
      </w:r>
      <w:r>
        <w:rPr>
          <w:rFonts w:asciiTheme="minorEastAsia" w:hAnsiTheme="minorEastAsia" w:eastAsiaTheme="minorEastAsia"/>
          <w:b/>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asciiTheme="minorEastAsia" w:hAnsiTheme="minorEastAsia" w:eastAsiaTheme="minorEastAsia"/>
          <w:kern w:val="0"/>
          <w:szCs w:val="21"/>
        </w:rPr>
        <w:t>．果树芽的生长与发育</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asciiTheme="minorEastAsia" w:hAnsiTheme="minorEastAsia" w:eastAsiaTheme="minorEastAsia"/>
          <w:kern w:val="0"/>
          <w:szCs w:val="21"/>
        </w:rPr>
        <w:t>．果树枝的生长与发育</w:t>
      </w:r>
      <w:r>
        <w:rPr>
          <w:rFonts w:asciiTheme="minorEastAsia" w:hAnsiTheme="minorEastAsia" w:eastAsiaTheme="minorEastAsia"/>
          <w:kern w:val="0"/>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kern w:val="0"/>
          <w:szCs w:val="21"/>
        </w:rPr>
      </w:pPr>
      <w:r>
        <w:rPr>
          <w:rFonts w:asciiTheme="minorEastAsia" w:hAnsiTheme="minorEastAsia" w:eastAsiaTheme="minorEastAsia"/>
          <w:kern w:val="0"/>
          <w:szCs w:val="21"/>
        </w:rPr>
        <w:t>3</w:t>
      </w:r>
      <w:r>
        <w:rPr>
          <w:rFonts w:hint="eastAsia" w:asciiTheme="minorEastAsia" w:hAnsiTheme="minorEastAsia" w:eastAsiaTheme="minorEastAsia"/>
          <w:kern w:val="0"/>
          <w:szCs w:val="21"/>
        </w:rPr>
        <w:t>．叶的生长与发育</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花芽分化及其调控</w:t>
      </w:r>
      <w:r>
        <w:rPr>
          <w:rFonts w:asciiTheme="minorEastAsia" w:hAnsiTheme="minorEastAsia" w:eastAsiaTheme="minorEastAsia"/>
          <w:b/>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．果树花芽分化的意义</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．花芽分化过程</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．花芽分化机理及主要学说</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．影响花芽分化的环境因素</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．花芽分化的调控途径</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6</w:t>
      </w:r>
      <w:r>
        <w:rPr>
          <w:rFonts w:hint="eastAsia" w:asciiTheme="minorEastAsia" w:hAnsiTheme="minorEastAsia" w:eastAsiaTheme="minorEastAsia"/>
          <w:szCs w:val="21"/>
        </w:rPr>
        <w:t>．果树花芽分化的农业技术调控原理</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第四节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开花、坐果与果实发育</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．花器构造与开花</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．授粉与受精</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．坐果与落花落果</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．果实生长发育</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．果实的品质形成</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教学要求：</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理解：果树根、芽、枝、叶、花、果实等各器官的概念和特性。</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掌握：果树各器官间生长发育的相互关系。</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熟练掌握：果树根、枝、叶、花、果实等各器官的生长发育规律和影响其生长的因素。</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根据果树模型明确果树各个部分生长的特性，初步了解相关功能和生长规律，引入新课；通过串联记忆、比较法等对相关知识进行梳理，并介绍部分果树的相关知识加以强化，利用课堂提问、线上测试、多媒体课下交流等多种教学形式完成教学任务，提高学生的学习兴趣。</w:t>
      </w:r>
    </w:p>
    <w:tbl>
      <w:tblPr>
        <w:tblStyle w:val="23"/>
        <w:tblW w:w="0" w:type="auto"/>
        <w:tblInd w:w="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228"/>
        <w:gridCol w:w="4055"/>
        <w:gridCol w:w="2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7" w:hRule="atLeast"/>
        </w:trPr>
        <w:tc>
          <w:tcPr>
            <w:tcW w:w="2228"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asciiTheme="minorEastAsia" w:hAnsiTheme="minorEastAsia" w:eastAsiaTheme="minorEastAsia"/>
                <w:b/>
                <w:bCs/>
                <w:kern w:val="0"/>
                <w:szCs w:val="21"/>
              </w:rPr>
            </w:pPr>
          </w:p>
        </w:tc>
        <w:tc>
          <w:tcPr>
            <w:tcW w:w="4055"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asciiTheme="minorEastAsia" w:hAnsiTheme="minorEastAsia" w:eastAsiaTheme="minorEastAsia"/>
                <w:b/>
                <w:bCs/>
                <w:kern w:val="0"/>
                <w:szCs w:val="21"/>
              </w:rPr>
            </w:pPr>
            <w:r>
              <w:rPr>
                <w:rFonts w:hint="eastAsia" w:asciiTheme="minorEastAsia" w:hAnsiTheme="minorEastAsia" w:eastAsiaTheme="minorEastAsia"/>
                <w:b/>
                <w:szCs w:val="21"/>
              </w:rPr>
              <w:t>第四章</w:t>
            </w:r>
            <w:r>
              <w:rPr>
                <w:rFonts w:asciiTheme="minorEastAsia" w:hAnsiTheme="minorEastAsia" w:eastAsiaTheme="minorEastAsia"/>
                <w:b/>
                <w:szCs w:val="21"/>
              </w:rPr>
              <w:t xml:space="preserve">  生态环境对果树生长发育的影响</w:t>
            </w:r>
          </w:p>
        </w:tc>
        <w:tc>
          <w:tcPr>
            <w:tcW w:w="2482" w:type="dxa"/>
            <w:vAlign w:val="center"/>
          </w:tcPr>
          <w:p>
            <w:pPr>
              <w:keepNext w:val="0"/>
              <w:keepLines w:val="0"/>
              <w:pageBreakBefore w:val="0"/>
              <w:widowControl/>
              <w:kinsoku/>
              <w:wordWrap/>
              <w:overflowPunct/>
              <w:topLinePunct w:val="0"/>
              <w:autoSpaceDE/>
              <w:autoSpaceDN/>
              <w:bidi w:val="0"/>
              <w:snapToGrid w:val="0"/>
              <w:spacing w:line="360" w:lineRule="auto"/>
              <w:jc w:val="right"/>
              <w:textAlignment w:val="auto"/>
              <w:rPr>
                <w:rFonts w:asciiTheme="minorEastAsia" w:hAnsiTheme="minorEastAsia" w:eastAsiaTheme="minorEastAsia"/>
                <w:b/>
                <w:bCs/>
                <w:kern w:val="0"/>
                <w:szCs w:val="21"/>
              </w:rPr>
            </w:pPr>
            <w:r>
              <w:rPr>
                <w:rFonts w:asciiTheme="minorEastAsia" w:hAnsiTheme="minorEastAsia" w:eastAsiaTheme="minorEastAsia"/>
                <w:b/>
                <w:bCs/>
                <w:kern w:val="0"/>
                <w:szCs w:val="21"/>
              </w:rPr>
              <w:t>学时</w:t>
            </w:r>
            <w:r>
              <w:rPr>
                <w:rFonts w:hint="eastAsia" w:asciiTheme="minorEastAsia" w:hAnsiTheme="minorEastAsia" w:eastAsiaTheme="minorEastAsia"/>
                <w:b/>
                <w:bCs/>
                <w:kern w:val="0"/>
                <w:szCs w:val="21"/>
              </w:rPr>
              <w:t>数：</w:t>
            </w:r>
            <w:r>
              <w:rPr>
                <w:rFonts w:asciiTheme="minorEastAsia" w:hAnsiTheme="minorEastAsia" w:eastAsiaTheme="minorEastAsia"/>
                <w:b/>
                <w:bCs/>
                <w:kern w:val="0"/>
                <w:szCs w:val="21"/>
              </w:rPr>
              <w:t>2</w:t>
            </w:r>
          </w:p>
        </w:tc>
      </w:tr>
    </w:tbl>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了解温度、光照、水分、土壤、海拔、坡度等生态因子对果树生长发育的影响。</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掌握积温的概念，了解温度与果树分布、光照、水分协迫、土壤理化性状与果树生长结果的关系。</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教学重点：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积温的概念</w:t>
      </w:r>
      <w:r>
        <w:rPr>
          <w:rFonts w:hint="eastAsia" w:asciiTheme="minorEastAsia" w:hAnsiTheme="minorEastAsia" w:eastAsiaTheme="minorEastAsia"/>
          <w:szCs w:val="21"/>
        </w:rPr>
        <w:t>，</w:t>
      </w:r>
      <w:r>
        <w:rPr>
          <w:rFonts w:asciiTheme="minorEastAsia" w:hAnsiTheme="minorEastAsia" w:eastAsiaTheme="minorEastAsia"/>
          <w:szCs w:val="21"/>
        </w:rPr>
        <w:t>温度与果树分布、光照、土壤理化性状与果树生长结果的关系。</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教学难点：</w:t>
      </w:r>
    </w:p>
    <w:p>
      <w:pPr>
        <w:keepNext w:val="0"/>
        <w:keepLines w:val="0"/>
        <w:pageBreakBefore w:val="0"/>
        <w:kinsoku/>
        <w:wordWrap/>
        <w:overflowPunct/>
        <w:topLinePunct w:val="0"/>
        <w:autoSpaceDE/>
        <w:autoSpaceDN/>
        <w:bidi w:val="0"/>
        <w:spacing w:line="360" w:lineRule="auto"/>
        <w:ind w:firstLine="420" w:firstLineChars="200"/>
        <w:textAlignment w:val="auto"/>
        <w:rPr>
          <w:rFonts w:cs="宋体" w:asciiTheme="minorEastAsia" w:hAnsiTheme="minorEastAsia" w:eastAsiaTheme="minorEastAsia"/>
          <w:sz w:val="24"/>
        </w:rPr>
      </w:pPr>
      <w:r>
        <w:rPr>
          <w:rFonts w:hint="eastAsia" w:asciiTheme="minorEastAsia" w:hAnsiTheme="minorEastAsia" w:eastAsiaTheme="minorEastAsia"/>
          <w:szCs w:val="21"/>
        </w:rPr>
        <w:t>温度、光照对果树的作用</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气候条件</w:t>
      </w:r>
      <w:r>
        <w:rPr>
          <w:rFonts w:asciiTheme="minorEastAsia" w:hAnsiTheme="minorEastAsia" w:eastAsiaTheme="minorEastAsia"/>
          <w:b/>
          <w:szCs w:val="21"/>
        </w:rPr>
        <w:t xml:space="preserve"> </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 xml:space="preserve">．温度     </w:t>
      </w:r>
      <w:r>
        <w:rPr>
          <w:rFonts w:asciiTheme="minorEastAsia" w:hAnsiTheme="minorEastAsia" w:eastAsiaTheme="minorEastAsia"/>
          <w:szCs w:val="21"/>
        </w:rPr>
        <w:t>2</w:t>
      </w:r>
      <w:r>
        <w:rPr>
          <w:rFonts w:hint="eastAsia" w:asciiTheme="minorEastAsia" w:hAnsiTheme="minorEastAsia" w:eastAsiaTheme="minorEastAsia"/>
          <w:szCs w:val="21"/>
        </w:rPr>
        <w:t xml:space="preserve">．光照      </w:t>
      </w:r>
      <w:r>
        <w:rPr>
          <w:rFonts w:asciiTheme="minorEastAsia" w:hAnsiTheme="minorEastAsia" w:eastAsiaTheme="minorEastAsia"/>
          <w:szCs w:val="21"/>
        </w:rPr>
        <w:t>3</w:t>
      </w:r>
      <w:r>
        <w:rPr>
          <w:rFonts w:hint="eastAsia" w:asciiTheme="minorEastAsia" w:hAnsiTheme="minorEastAsia" w:eastAsiaTheme="minorEastAsia"/>
          <w:szCs w:val="21"/>
        </w:rPr>
        <w:t>．降水与空气湿度</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土壤条件</w:t>
      </w:r>
      <w:r>
        <w:rPr>
          <w:rFonts w:asciiTheme="minorEastAsia" w:hAnsiTheme="minorEastAsia" w:eastAsiaTheme="minorEastAsia"/>
          <w:b/>
          <w:szCs w:val="21"/>
        </w:rPr>
        <w:t xml:space="preserve"> </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．土层厚度</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．土壤质地和结构</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．土壤的理化性质</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地势</w:t>
      </w:r>
      <w:r>
        <w:rPr>
          <w:rFonts w:asciiTheme="minorEastAsia" w:hAnsiTheme="minorEastAsia" w:eastAsiaTheme="minorEastAsia"/>
          <w:b/>
          <w:szCs w:val="21"/>
        </w:rPr>
        <w:t xml:space="preserve"> </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 xml:space="preserve">．海拔高度      </w:t>
      </w:r>
      <w:r>
        <w:rPr>
          <w:rFonts w:asciiTheme="minorEastAsia" w:hAnsiTheme="minorEastAsia" w:eastAsiaTheme="minorEastAsia"/>
          <w:szCs w:val="21"/>
        </w:rPr>
        <w:t>2</w:t>
      </w:r>
      <w:r>
        <w:rPr>
          <w:rFonts w:hint="eastAsia" w:asciiTheme="minorEastAsia" w:hAnsiTheme="minorEastAsia" w:eastAsiaTheme="minorEastAsia"/>
          <w:szCs w:val="21"/>
        </w:rPr>
        <w:t xml:space="preserve">．坡度       </w:t>
      </w:r>
      <w:r>
        <w:rPr>
          <w:rFonts w:asciiTheme="minorEastAsia" w:hAnsiTheme="minorEastAsia" w:eastAsiaTheme="minorEastAsia"/>
          <w:szCs w:val="21"/>
        </w:rPr>
        <w:t>3</w:t>
      </w:r>
      <w:r>
        <w:rPr>
          <w:rFonts w:hint="eastAsia" w:asciiTheme="minorEastAsia" w:hAnsiTheme="minorEastAsia" w:eastAsiaTheme="minorEastAsia"/>
          <w:szCs w:val="21"/>
        </w:rPr>
        <w:t xml:space="preserve">．坡向      </w:t>
      </w:r>
      <w:r>
        <w:rPr>
          <w:rFonts w:asciiTheme="minorEastAsia" w:hAnsiTheme="minorEastAsia" w:eastAsiaTheme="minorEastAsia"/>
          <w:szCs w:val="21"/>
        </w:rPr>
        <w:t>4</w:t>
      </w:r>
      <w:r>
        <w:rPr>
          <w:rFonts w:hint="eastAsia" w:asciiTheme="minorEastAsia" w:hAnsiTheme="minorEastAsia" w:eastAsiaTheme="minorEastAsia"/>
          <w:szCs w:val="21"/>
        </w:rPr>
        <w:t>．坡形</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教学要求：</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szCs w:val="21"/>
        </w:rPr>
        <w:t>了解：生态环境因子（温度、光照、水分、土壤、地势等）有关内容。</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szCs w:val="21"/>
        </w:rPr>
        <w:t>掌握：温度、光照、水分、土壤等对果树生长发育所起的主导作用。</w:t>
      </w:r>
    </w:p>
    <w:p>
      <w:pPr>
        <w:keepNext w:val="0"/>
        <w:keepLines w:val="0"/>
        <w:pageBreakBefore w:val="0"/>
        <w:kinsoku/>
        <w:wordWrap/>
        <w:overflowPunct/>
        <w:topLinePunct w:val="0"/>
        <w:autoSpaceDE/>
        <w:autoSpaceDN/>
        <w:bidi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spacing w:line="360" w:lineRule="auto"/>
        <w:jc w:val="left"/>
        <w:textAlignment w:val="auto"/>
        <w:rPr>
          <w:rFonts w:asciiTheme="minorEastAsia" w:hAnsiTheme="minorEastAsia" w:eastAsiaTheme="minorEastAsia"/>
          <w:szCs w:val="21"/>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和线上教学为主，通过讲授、课堂提问、线上测试、多媒体课下交流等多种教学形式完成教学任务。</w:t>
      </w:r>
    </w:p>
    <w:p>
      <w:pPr>
        <w:keepNext w:val="0"/>
        <w:keepLines w:val="0"/>
        <w:pageBreakBefore w:val="0"/>
        <w:kinsoku/>
        <w:wordWrap/>
        <w:overflowPunct/>
        <w:topLinePunct w:val="0"/>
        <w:autoSpaceDE/>
        <w:autoSpaceDN/>
        <w:bidi w:val="0"/>
        <w:spacing w:line="360" w:lineRule="auto"/>
        <w:ind w:right="844" w:firstLine="1265" w:firstLineChars="600"/>
        <w:jc w:val="right"/>
        <w:textAlignment w:val="auto"/>
        <w:rPr>
          <w:rFonts w:asciiTheme="minorEastAsia" w:hAnsiTheme="minorEastAsia" w:eastAsiaTheme="minorEastAsia"/>
          <w:b/>
          <w:szCs w:val="21"/>
        </w:rPr>
      </w:pPr>
      <w:r>
        <w:rPr>
          <w:rFonts w:hint="eastAsia" w:asciiTheme="minorEastAsia" w:hAnsiTheme="minorEastAsia" w:eastAsiaTheme="minorEastAsia"/>
          <w:b/>
          <w:szCs w:val="21"/>
        </w:rPr>
        <w:t>第五章</w:t>
      </w:r>
      <w:r>
        <w:rPr>
          <w:rFonts w:asciiTheme="minorEastAsia" w:hAnsiTheme="minorEastAsia" w:eastAsiaTheme="minorEastAsia"/>
          <w:b/>
          <w:szCs w:val="21"/>
        </w:rPr>
        <w:t xml:space="preserve"> 果树育苗                       </w:t>
      </w:r>
      <w:r>
        <w:rPr>
          <w:rFonts w:hint="eastAsia" w:asciiTheme="minorEastAsia" w:hAnsiTheme="minorEastAsia" w:eastAsiaTheme="minorEastAsia"/>
          <w:b/>
          <w:bCs/>
          <w:kern w:val="0"/>
          <w:szCs w:val="21"/>
        </w:rPr>
        <w:t>学时数：6</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szCs w:val="21"/>
        </w:rPr>
      </w:pPr>
      <w:r>
        <w:rPr>
          <w:rFonts w:hint="eastAsia" w:asciiTheme="minorEastAsia" w:hAnsiTheme="minorEastAsia" w:eastAsiaTheme="minorEastAsia"/>
          <w:b/>
          <w:szCs w:val="21"/>
        </w:rPr>
        <w:t>教学目标：</w:t>
      </w:r>
    </w:p>
    <w:p>
      <w:pPr>
        <w:pStyle w:val="49"/>
        <w:keepNext w:val="0"/>
        <w:keepLines w:val="0"/>
        <w:pageBreakBefore w:val="0"/>
        <w:numPr>
          <w:ilvl w:val="0"/>
          <w:numId w:val="18"/>
        </w:numPr>
        <w:kinsoku/>
        <w:wordWrap/>
        <w:overflowPunct/>
        <w:topLinePunct w:val="0"/>
        <w:autoSpaceDE/>
        <w:autoSpaceDN/>
        <w:bidi w:val="0"/>
        <w:spacing w:line="360" w:lineRule="auto"/>
        <w:ind w:firstLineChars="0"/>
        <w:jc w:val="left"/>
        <w:textAlignment w:val="auto"/>
        <w:rPr>
          <w:rFonts w:asciiTheme="minorEastAsia" w:hAnsiTheme="minorEastAsia" w:eastAsiaTheme="minorEastAsia"/>
          <w:szCs w:val="21"/>
        </w:rPr>
      </w:pPr>
      <w:r>
        <w:rPr>
          <w:rFonts w:asciiTheme="minorEastAsia" w:hAnsiTheme="minorEastAsia" w:eastAsiaTheme="minorEastAsia"/>
          <w:szCs w:val="21"/>
        </w:rPr>
        <w:t>了解现代果树育苗和果园建立的新技术，新进展与趋势。</w:t>
      </w:r>
    </w:p>
    <w:p>
      <w:pPr>
        <w:pStyle w:val="49"/>
        <w:keepNext w:val="0"/>
        <w:keepLines w:val="0"/>
        <w:pageBreakBefore w:val="0"/>
        <w:numPr>
          <w:ilvl w:val="0"/>
          <w:numId w:val="18"/>
        </w:numPr>
        <w:kinsoku/>
        <w:wordWrap/>
        <w:overflowPunct/>
        <w:topLinePunct w:val="0"/>
        <w:autoSpaceDE/>
        <w:autoSpaceDN/>
        <w:bidi w:val="0"/>
        <w:spacing w:line="360" w:lineRule="auto"/>
        <w:ind w:firstLineChars="0"/>
        <w:jc w:val="left"/>
        <w:textAlignment w:val="auto"/>
        <w:rPr>
          <w:rFonts w:asciiTheme="minorEastAsia" w:hAnsiTheme="minorEastAsia" w:eastAsiaTheme="minorEastAsia"/>
          <w:szCs w:val="21"/>
        </w:rPr>
      </w:pPr>
      <w:r>
        <w:rPr>
          <w:rFonts w:asciiTheme="minorEastAsia" w:hAnsiTheme="minorEastAsia" w:eastAsiaTheme="minorEastAsia"/>
          <w:szCs w:val="21"/>
        </w:rPr>
        <w:t>掌握砧木、接穗等基本概念和常用砧木的主要特性，实生苗、嫁接苗、自根苗和</w:t>
      </w:r>
      <w:r>
        <w:rPr>
          <w:rFonts w:hint="eastAsia" w:asciiTheme="minorEastAsia" w:hAnsiTheme="minorEastAsia" w:eastAsiaTheme="minorEastAsia"/>
          <w:szCs w:val="21"/>
        </w:rPr>
        <w:t>无病毒苗</w:t>
      </w:r>
      <w:r>
        <w:rPr>
          <w:rFonts w:asciiTheme="minorEastAsia" w:hAnsiTheme="minorEastAsia" w:eastAsiaTheme="minorEastAsia"/>
          <w:szCs w:val="21"/>
        </w:rPr>
        <w:t>的繁殖原理和基本方法。</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教学重点：</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实生苗、嫁接苗、自根苗和</w:t>
      </w:r>
      <w:r>
        <w:rPr>
          <w:rFonts w:hint="eastAsia" w:asciiTheme="minorEastAsia" w:hAnsiTheme="minorEastAsia" w:eastAsiaTheme="minorEastAsia"/>
          <w:szCs w:val="21"/>
        </w:rPr>
        <w:t>无病毒苗</w:t>
      </w:r>
      <w:r>
        <w:rPr>
          <w:rFonts w:asciiTheme="minorEastAsia" w:hAnsiTheme="minorEastAsia" w:eastAsiaTheme="minorEastAsia"/>
          <w:szCs w:val="21"/>
        </w:rPr>
        <w:t>的繁殖原理和基本方法。</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教学难点：</w:t>
      </w:r>
    </w:p>
    <w:p>
      <w:pPr>
        <w:keepNext w:val="0"/>
        <w:keepLines w:val="0"/>
        <w:pageBreakBefore w:val="0"/>
        <w:tabs>
          <w:tab w:val="left" w:pos="420"/>
        </w:tabs>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szCs w:val="21"/>
        </w:rPr>
        <w:t>各种果树扦插、压条、分株、嫁接的繁殖方法及应用。</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苗圃地选择和区划</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．育苗的意义和任务</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．苗圃地的选择</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．苗圃地的区划</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．育苗方式</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．苗圃地档案制度</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砧木的选择和培育</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．砧木的选择和利用</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．砧木的适应性和在嫁接繁殖中的作用</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．砧木区域化</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实生苗的繁殖和培育</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．实生苗的特点和利用</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．实生苗的繁殖原理和方法</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第四节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嫁接苗的繁殖和培育</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．嫁接苗的特点和利用</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．嫁接繁殖原理</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．砧木与接穗间的相互关系</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hint="eastAsia" w:asciiTheme="minorEastAsia" w:hAnsiTheme="minorEastAsia" w:eastAsiaTheme="minorEastAsia"/>
          <w:szCs w:val="21"/>
        </w:rPr>
        <w:t>4．主要嫁接方法和苗木培育</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第五节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自根苗的繁殖和培育</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．自根苗的特点和利用</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．自根繁殖生根原理</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．主要繁殖方法</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第六节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果树苗木出圃</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．出圃前的准备</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．起苗</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．苗木分级</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．苗木检疫</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．苗木包装、运输与贮藏</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教学要求：</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了解：苗圃地的选择和区划，常见的育苗方式。</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理解：实生苗、自根苗、嫁接苗的基本概念，主要繁殖方法的原理和注意事项。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掌握：实生苗的特点和繁殖方法，嫁接苗的特点和主要嫁接方法，自根苗的繁殖和培育技术。</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熟练掌握：果树自根苗和嫁接苗的主要繁殖方法，扦插、压条、分株、嫁接等。</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Theme="minorEastAsia" w:hAnsiTheme="minorEastAsia" w:eastAsiaTheme="minorEastAsia"/>
        </w:rPr>
        <w:t>以P</w:t>
      </w:r>
      <w:r>
        <w:rPr>
          <w:rFonts w:asciiTheme="minorEastAsia" w:hAnsiTheme="minorEastAsia" w:eastAsiaTheme="minorEastAsia"/>
        </w:rPr>
        <w:t>PT</w:t>
      </w:r>
      <w:r>
        <w:rPr>
          <w:rFonts w:hint="eastAsia" w:asciiTheme="minorEastAsia" w:hAnsiTheme="minorEastAsia" w:eastAsiaTheme="minorEastAsia"/>
        </w:rPr>
        <w:t>和</w:t>
      </w:r>
      <w:r>
        <w:rPr>
          <w:rFonts w:hint="eastAsia" w:asciiTheme="minorEastAsia" w:hAnsiTheme="minorEastAsia" w:eastAsiaTheme="minorEastAsia"/>
          <w:bCs/>
        </w:rPr>
        <w:t>线上教学为主，</w:t>
      </w:r>
      <w:r>
        <w:rPr>
          <w:rFonts w:hint="eastAsia" w:asciiTheme="minorEastAsia" w:hAnsiTheme="minorEastAsia" w:eastAsiaTheme="minorEastAsia"/>
        </w:rPr>
        <w:t>通过布置课后作业，要求学生采用苹果种子进行育苗实验，并以此掌握种子实生育苗的过程、技术和注意事项；课堂演示、现场教学的形式，教授芽接法、枝接法等常规操作，并让学生在课堂中亲自动手进行操作，并以此掌握嫁接育苗的技术流程与规范。</w:t>
      </w:r>
    </w:p>
    <w:p>
      <w:pPr>
        <w:keepNext w:val="0"/>
        <w:keepLines w:val="0"/>
        <w:pageBreakBefore w:val="0"/>
        <w:kinsoku/>
        <w:wordWrap/>
        <w:overflowPunct/>
        <w:topLinePunct w:val="0"/>
        <w:autoSpaceDE/>
        <w:autoSpaceDN/>
        <w:bidi w:val="0"/>
        <w:spacing w:line="360" w:lineRule="auto"/>
        <w:ind w:right="844"/>
        <w:jc w:val="right"/>
        <w:textAlignment w:val="auto"/>
        <w:rPr>
          <w:rFonts w:asciiTheme="minorEastAsia" w:hAnsiTheme="minorEastAsia" w:eastAsiaTheme="minorEastAsia"/>
          <w:szCs w:val="21"/>
        </w:rPr>
      </w:pPr>
      <w:r>
        <w:rPr>
          <w:rFonts w:hint="eastAsia" w:asciiTheme="minorEastAsia" w:hAnsiTheme="minorEastAsia" w:eastAsiaTheme="minorEastAsia"/>
          <w:b/>
          <w:szCs w:val="21"/>
        </w:rPr>
        <w:t>第六章</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果园建立</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                </w:t>
      </w:r>
      <w:r>
        <w:rPr>
          <w:rFonts w:hint="eastAsia" w:asciiTheme="minorEastAsia" w:hAnsiTheme="minorEastAsia" w:eastAsiaTheme="minorEastAsia"/>
          <w:b/>
          <w:bCs/>
          <w:kern w:val="0"/>
          <w:szCs w:val="21"/>
        </w:rPr>
        <w:t>学时数：4</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w:t>
      </w:r>
      <w:r>
        <w:rPr>
          <w:rFonts w:asciiTheme="minorEastAsia" w:hAnsiTheme="minorEastAsia" w:eastAsiaTheme="minorEastAsia"/>
          <w:szCs w:val="21"/>
        </w:rPr>
        <w:t xml:space="preserve"> 了解园地选择的依据，园地规划与设计的原理</w:t>
      </w:r>
      <w:r>
        <w:rPr>
          <w:rFonts w:hint="eastAsia" w:asciiTheme="minorEastAsia" w:hAnsiTheme="minorEastAsia" w:eastAsiaTheme="minorEastAsia"/>
          <w:szCs w:val="21"/>
        </w:rPr>
        <w:t>。</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 xml:space="preserve"> 掌握园地</w:t>
      </w:r>
      <w:r>
        <w:rPr>
          <w:rFonts w:hint="eastAsia" w:asciiTheme="minorEastAsia" w:hAnsiTheme="minorEastAsia" w:eastAsiaTheme="minorEastAsia"/>
          <w:szCs w:val="21"/>
        </w:rPr>
        <w:t>选择</w:t>
      </w:r>
      <w:r>
        <w:rPr>
          <w:rFonts w:asciiTheme="minorEastAsia" w:hAnsiTheme="minorEastAsia" w:eastAsiaTheme="minorEastAsia"/>
          <w:szCs w:val="21"/>
        </w:rPr>
        <w:t>、防护林和排灌系统</w:t>
      </w:r>
      <w:r>
        <w:rPr>
          <w:rFonts w:hint="eastAsia" w:asciiTheme="minorEastAsia" w:hAnsiTheme="minorEastAsia" w:eastAsiaTheme="minorEastAsia"/>
          <w:szCs w:val="21"/>
        </w:rPr>
        <w:t>的</w:t>
      </w:r>
      <w:r>
        <w:rPr>
          <w:rFonts w:asciiTheme="minorEastAsia" w:hAnsiTheme="minorEastAsia" w:eastAsiaTheme="minorEastAsia"/>
          <w:szCs w:val="21"/>
        </w:rPr>
        <w:t>规划，树种品种选配方法及果树栽植时期、栽植方式和栽植密度。</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w:t>
      </w:r>
      <w:r>
        <w:rPr>
          <w:rFonts w:asciiTheme="minorEastAsia" w:hAnsiTheme="minorEastAsia" w:eastAsiaTheme="minorEastAsia"/>
          <w:szCs w:val="21"/>
        </w:rPr>
        <w:t xml:space="preserve"> </w:t>
      </w:r>
      <w:r>
        <w:rPr>
          <w:rFonts w:hint="eastAsia" w:asciiTheme="minorEastAsia" w:hAnsiTheme="minorEastAsia" w:eastAsiaTheme="minorEastAsia"/>
          <w:szCs w:val="21"/>
        </w:rPr>
        <w:t>掌握</w:t>
      </w:r>
      <w:r>
        <w:rPr>
          <w:rFonts w:asciiTheme="minorEastAsia" w:hAnsiTheme="minorEastAsia" w:eastAsiaTheme="minorEastAsia"/>
          <w:szCs w:val="21"/>
        </w:rPr>
        <w:t>树种、品种的选配及确定栽植密度的依据。</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
          <w:szCs w:val="21"/>
        </w:rPr>
      </w:pPr>
      <w:r>
        <w:rPr>
          <w:rFonts w:hint="eastAsia" w:asciiTheme="minorEastAsia" w:hAnsiTheme="minorEastAsia" w:eastAsiaTheme="minorEastAsia"/>
          <w:b/>
          <w:szCs w:val="21"/>
        </w:rPr>
        <w:t>教学重点和难点：</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树种、品种的选配及确定栽植密度的依据</w:t>
      </w:r>
      <w:r>
        <w:rPr>
          <w:rFonts w:hint="eastAsia" w:asciiTheme="minorEastAsia" w:hAnsiTheme="minorEastAsia" w:eastAsiaTheme="minorEastAsia"/>
          <w:szCs w:val="21"/>
        </w:rPr>
        <w:t>；果园土地规划；树种、品种选择和授粉树配置；栽植技术。</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园地的选择</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 xml:space="preserve">．平地      </w:t>
      </w:r>
      <w:r>
        <w:rPr>
          <w:rFonts w:asciiTheme="minorEastAsia" w:hAnsiTheme="minorEastAsia" w:eastAsiaTheme="minorEastAsia"/>
          <w:szCs w:val="21"/>
        </w:rPr>
        <w:t>2</w:t>
      </w:r>
      <w:r>
        <w:rPr>
          <w:rFonts w:hint="eastAsia" w:asciiTheme="minorEastAsia" w:hAnsiTheme="minorEastAsia" w:eastAsiaTheme="minorEastAsia"/>
          <w:szCs w:val="21"/>
        </w:rPr>
        <w:t xml:space="preserve">．山地    </w:t>
      </w:r>
      <w:r>
        <w:rPr>
          <w:rFonts w:asciiTheme="minorEastAsia" w:hAnsiTheme="minorEastAsia" w:eastAsiaTheme="minorEastAsia"/>
          <w:szCs w:val="21"/>
        </w:rPr>
        <w:t>3</w:t>
      </w:r>
      <w:r>
        <w:rPr>
          <w:rFonts w:hint="eastAsia" w:asciiTheme="minorEastAsia" w:hAnsiTheme="minorEastAsia" w:eastAsiaTheme="minorEastAsia"/>
          <w:szCs w:val="21"/>
        </w:rPr>
        <w:t xml:space="preserve">．丘陵地    </w:t>
      </w:r>
      <w:r>
        <w:rPr>
          <w:rFonts w:asciiTheme="minorEastAsia" w:hAnsiTheme="minorEastAsia" w:eastAsiaTheme="minorEastAsia"/>
          <w:szCs w:val="21"/>
        </w:rPr>
        <w:t>4</w:t>
      </w:r>
      <w:r>
        <w:rPr>
          <w:rFonts w:hint="eastAsia" w:asciiTheme="minorEastAsia" w:hAnsiTheme="minorEastAsia" w:eastAsiaTheme="minorEastAsia"/>
          <w:szCs w:val="21"/>
        </w:rPr>
        <w:t>．海涂</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园地规划与设计</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．园地基本情况调查</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．果园的土地规划</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．树种、品种选择和授粉树配置</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．果园防护林设计</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．水土保持的规划设计</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6</w:t>
      </w:r>
      <w:r>
        <w:rPr>
          <w:rFonts w:hint="eastAsia" w:asciiTheme="minorEastAsia" w:hAnsiTheme="minorEastAsia" w:eastAsiaTheme="minorEastAsia"/>
          <w:szCs w:val="21"/>
        </w:rPr>
        <w:t>．果园排灌系统的规划设计</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果树栽植及栽后管理</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．栽植前的准备</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．栽植时期</w:t>
      </w:r>
    </w:p>
    <w:p>
      <w:pPr>
        <w:keepNext w:val="0"/>
        <w:keepLines w:val="0"/>
        <w:pageBreakBefore w:val="0"/>
        <w:kinsoku/>
        <w:wordWrap/>
        <w:overflowPunct/>
        <w:topLinePunct w:val="0"/>
        <w:autoSpaceDE/>
        <w:autoSpaceDN/>
        <w:bidi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．栽植密度</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．栽植方式</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szCs w:val="21"/>
        </w:rPr>
      </w:pPr>
      <w:r>
        <w:rPr>
          <w:rFonts w:asciiTheme="minorEastAsia" w:hAnsiTheme="minorEastAsia" w:eastAsiaTheme="minorEastAsia"/>
          <w:szCs w:val="21"/>
        </w:rPr>
        <w:t>5</w:t>
      </w:r>
      <w:r>
        <w:rPr>
          <w:rFonts w:hint="eastAsia" w:asciiTheme="minorEastAsia" w:hAnsiTheme="minorEastAsia" w:eastAsiaTheme="minorEastAsia"/>
          <w:szCs w:val="21"/>
        </w:rPr>
        <w:t>．栽植技术及栽后管理</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教学要求：</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了解：园地的选择和园地的基本情况</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理解：防护林的作用、效益和防护林树种的选择。</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掌握：果园土地规划内容，果树树种、品种选择和授粉树配置的栽培技术。</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熟练掌握：果园规划设计的内容、方法、步骤，及栽植技术。</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和线上教学为主，通过讲授、课堂提问、线上测试、多媒体课下交流等多种教学形式完成教学任务。</w:t>
      </w:r>
    </w:p>
    <w:p>
      <w:pPr>
        <w:keepNext w:val="0"/>
        <w:keepLines w:val="0"/>
        <w:pageBreakBefore w:val="0"/>
        <w:kinsoku/>
        <w:wordWrap/>
        <w:overflowPunct/>
        <w:topLinePunct w:val="0"/>
        <w:autoSpaceDE/>
        <w:autoSpaceDN/>
        <w:bidi w:val="0"/>
        <w:spacing w:line="360" w:lineRule="auto"/>
        <w:jc w:val="right"/>
        <w:textAlignment w:val="auto"/>
        <w:rPr>
          <w:rFonts w:asciiTheme="minorEastAsia" w:hAnsiTheme="minorEastAsia" w:eastAsiaTheme="minorEastAsia"/>
          <w:b/>
          <w:szCs w:val="21"/>
        </w:rPr>
      </w:pPr>
      <w:r>
        <w:rPr>
          <w:rFonts w:hint="eastAsia" w:asciiTheme="minorEastAsia" w:hAnsiTheme="minorEastAsia" w:eastAsiaTheme="minorEastAsia"/>
          <w:b/>
          <w:szCs w:val="21"/>
        </w:rPr>
        <w:t>第七章</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果园土、肥、水管理</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     </w:t>
      </w:r>
      <w:r>
        <w:rPr>
          <w:rFonts w:hint="eastAsia" w:asciiTheme="minorEastAsia" w:hAnsiTheme="minorEastAsia" w:eastAsiaTheme="minorEastAsia"/>
          <w:b/>
          <w:bCs/>
          <w:kern w:val="0"/>
          <w:szCs w:val="21"/>
        </w:rPr>
        <w:t>学时数：4</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．掌握果园土、肥、水管理的意义与作用；管理制度与要求；常用技术措施。</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．了解现代果树栽培土、肥、水管理的新技术和发展趋势。</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教学重点和难点：</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教学重点：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．果园土壤的管理制度</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．施肥时期的依据，施肥时期、种类及作用；施肥量的依据与途径，施肥量的计算；施肥的方法：土壤施肥，根外追肥。</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教学难点：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施肥量确定</w:t>
      </w:r>
      <w:r>
        <w:rPr>
          <w:rFonts w:hint="eastAsia" w:asciiTheme="minorEastAsia" w:hAnsiTheme="minorEastAsia" w:eastAsiaTheme="minorEastAsia"/>
          <w:szCs w:val="21"/>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果园土壤改良与土壤管理</w:t>
      </w:r>
      <w:r>
        <w:rPr>
          <w:rFonts w:asciiTheme="minorEastAsia" w:hAnsiTheme="minorEastAsia" w:eastAsiaTheme="minorEastAsia"/>
          <w:b/>
          <w:szCs w:val="21"/>
        </w:rPr>
        <w:t xml:space="preserve"> </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．果园土壤改良</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．果园土壤管理制度</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．果园土壤一般管理</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果树营养与果园施肥</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．果树的营养特点与施肥</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．诊断施肥与平衡施肥</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．施肥技术</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．果园绿肥</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果园灌水和排水</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．果树需水特性</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．果园灌水技术</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教学要求：</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了解：果园土壤改良的方法，果园土壤管理制度种类，果树需水特性和灌水技术。</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理解：平衡果园土肥水管理的基本依据、目的、措施，</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掌握：果园土壤改良的作用，幼龄果园的管理方法，果树营养特点。</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熟练掌握：果园土肥水管理技术。</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asciiTheme="minorEastAsia" w:hAnsiTheme="minorEastAsia" w:eastAsiaTheme="minorEastAsia"/>
        </w:rPr>
        <w:t xml:space="preserve"> </w:t>
      </w:r>
      <w:r>
        <w:rPr>
          <w:rFonts w:hint="eastAsia" w:asciiTheme="minorEastAsia" w:hAnsiTheme="minorEastAsia" w:eastAsiaTheme="minorEastAsia"/>
        </w:rPr>
        <w:t>明确本章教学目的和重点难点。根据本章设计内容复习根系的功能、类型及生长特性，引出果园土肥水管理主要是对根系进行管理。将课堂知识和基地实践相结合，通过参观标准化果园，了解相应的果园管理方法，并对不同的管理方法进行比较；同时完善课程内容体系，更新教学内容，及时将最前沿的学科知识融入教学全过程。</w:t>
      </w:r>
    </w:p>
    <w:p>
      <w:pPr>
        <w:keepNext w:val="0"/>
        <w:keepLines w:val="0"/>
        <w:pageBreakBefore w:val="0"/>
        <w:kinsoku/>
        <w:wordWrap/>
        <w:overflowPunct/>
        <w:topLinePunct w:val="0"/>
        <w:autoSpaceDE/>
        <w:autoSpaceDN/>
        <w:bidi w:val="0"/>
        <w:spacing w:line="360" w:lineRule="auto"/>
        <w:jc w:val="right"/>
        <w:textAlignment w:val="auto"/>
        <w:rPr>
          <w:rFonts w:asciiTheme="minorEastAsia" w:hAnsiTheme="minorEastAsia" w:eastAsiaTheme="minorEastAsia"/>
          <w:b/>
          <w:szCs w:val="21"/>
        </w:rPr>
      </w:pPr>
      <w:r>
        <w:rPr>
          <w:rFonts w:hint="eastAsia" w:asciiTheme="minorEastAsia" w:hAnsiTheme="minorEastAsia" w:eastAsiaTheme="minorEastAsia"/>
          <w:b/>
          <w:szCs w:val="21"/>
        </w:rPr>
        <w:t>第八章果树整形修剪</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                  </w:t>
      </w:r>
      <w:r>
        <w:rPr>
          <w:rFonts w:hint="eastAsia" w:asciiTheme="minorEastAsia" w:hAnsiTheme="minorEastAsia" w:eastAsiaTheme="minorEastAsia"/>
          <w:b/>
          <w:bCs/>
          <w:kern w:val="0"/>
          <w:szCs w:val="21"/>
        </w:rPr>
        <w:t>学时数：6</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．了解现代果树整形修剪技术及发展趋势。</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．掌握果树整形和修剪的意义、原理、原则、主要方法和作用效应。</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教学重点和难点：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szCs w:val="21"/>
        </w:rPr>
        <w:t>教学重点：</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树体结构分析及整形修剪的方法和作用</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教学难点：</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bCs/>
          <w:szCs w:val="21"/>
        </w:rPr>
        <w:t>整</w:t>
      </w:r>
      <w:r>
        <w:rPr>
          <w:rFonts w:asciiTheme="minorEastAsia" w:hAnsiTheme="minorEastAsia" w:eastAsiaTheme="minorEastAsia"/>
          <w:szCs w:val="21"/>
        </w:rPr>
        <w:t>形修剪技术的综合运用</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果树整形</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．果园群体和个体的结构</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．现代果树的主要树形</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果树修剪</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．果树修剪的生物学基础</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．修剪方法与作用</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．修剪时期</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4</w:t>
      </w:r>
      <w:r>
        <w:rPr>
          <w:rFonts w:hint="eastAsia" w:asciiTheme="minorEastAsia" w:hAnsiTheme="minorEastAsia" w:eastAsiaTheme="minorEastAsia"/>
          <w:szCs w:val="21"/>
        </w:rPr>
        <w:t>．现代果树修剪的趋势</w:t>
      </w:r>
      <w:r>
        <w:rPr>
          <w:rFonts w:asciiTheme="minorEastAsia" w:hAnsiTheme="minorEastAsia" w:eastAsiaTheme="minorEastAsia"/>
          <w:szCs w:val="21"/>
        </w:rPr>
        <w:t xml:space="preserve"> </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整形修剪的调节作用</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．调节果树与环境的关系</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．调节树体各部分的均衡关系</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．调节生理活动</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教学要求：</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了解：果树修剪的生物学基础，果树群体结构和个体结构。</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理解：整形修剪的概念。</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掌握：果树修剪方法及作用。</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熟练掌握：果树修剪方法的综合运用。</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和线上教学为主，通过讲授、课堂提问、线上测试、多媒体课下交流等多种教学形式完成教学任务。</w:t>
      </w:r>
    </w:p>
    <w:p>
      <w:pPr>
        <w:keepNext w:val="0"/>
        <w:keepLines w:val="0"/>
        <w:pageBreakBefore w:val="0"/>
        <w:kinsoku/>
        <w:wordWrap/>
        <w:overflowPunct/>
        <w:topLinePunct w:val="0"/>
        <w:autoSpaceDE/>
        <w:autoSpaceDN/>
        <w:bidi w:val="0"/>
        <w:spacing w:line="360" w:lineRule="auto"/>
        <w:jc w:val="right"/>
        <w:textAlignment w:val="auto"/>
        <w:rPr>
          <w:rFonts w:asciiTheme="minorEastAsia" w:hAnsiTheme="minorEastAsia" w:eastAsiaTheme="minorEastAsia"/>
          <w:b/>
          <w:szCs w:val="21"/>
        </w:rPr>
      </w:pP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            </w:t>
      </w:r>
      <w:r>
        <w:rPr>
          <w:rFonts w:hint="eastAsia" w:asciiTheme="minorEastAsia" w:hAnsiTheme="minorEastAsia" w:eastAsiaTheme="minorEastAsia"/>
          <w:b/>
          <w:szCs w:val="21"/>
        </w:rPr>
        <w:t>第九章</w:t>
      </w:r>
      <w:r>
        <w:rPr>
          <w:rFonts w:asciiTheme="minorEastAsia" w:hAnsiTheme="minorEastAsia" w:eastAsiaTheme="minorEastAsia"/>
          <w:b/>
          <w:szCs w:val="21"/>
        </w:rPr>
        <w:t xml:space="preserve">  </w:t>
      </w:r>
      <w:r>
        <w:rPr>
          <w:rFonts w:hint="eastAsia" w:asciiTheme="minorEastAsia" w:hAnsiTheme="minorEastAsia" w:eastAsiaTheme="minorEastAsia"/>
          <w:b/>
          <w:szCs w:val="21"/>
        </w:rPr>
        <w:t>花果管理</w:t>
      </w:r>
      <w:r>
        <w:rPr>
          <w:rFonts w:asciiTheme="minorEastAsia" w:hAnsiTheme="minorEastAsia" w:eastAsiaTheme="minorEastAsia"/>
          <w:b/>
          <w:szCs w:val="21"/>
        </w:rPr>
        <w:t xml:space="preserve">         </w:t>
      </w:r>
      <w:r>
        <w:rPr>
          <w:rFonts w:hint="eastAsia" w:asciiTheme="minorEastAsia" w:hAnsiTheme="minorEastAsia" w:eastAsiaTheme="minorEastAsia"/>
          <w:b/>
          <w:szCs w:val="21"/>
        </w:rPr>
        <w:t xml:space="preserve">    </w:t>
      </w:r>
      <w:r>
        <w:rPr>
          <w:rFonts w:asciiTheme="minorEastAsia" w:hAnsiTheme="minorEastAsia" w:eastAsiaTheme="minorEastAsia"/>
          <w:b/>
          <w:szCs w:val="21"/>
        </w:rPr>
        <w:t xml:space="preserve">            </w:t>
      </w:r>
      <w:r>
        <w:rPr>
          <w:rFonts w:hint="eastAsia" w:asciiTheme="minorEastAsia" w:hAnsiTheme="minorEastAsia" w:eastAsiaTheme="minorEastAsia"/>
          <w:b/>
          <w:szCs w:val="21"/>
        </w:rPr>
        <w:t>学时数：3</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w:t>
      </w:r>
      <w:r>
        <w:rPr>
          <w:rFonts w:asciiTheme="minorEastAsia" w:hAnsiTheme="minorEastAsia" w:eastAsiaTheme="minorEastAsia"/>
          <w:szCs w:val="21"/>
        </w:rPr>
        <w:t>了解果树花果管理的基本知识。</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掌握提高</w:t>
      </w:r>
      <w:r>
        <w:rPr>
          <w:rFonts w:hint="eastAsia" w:asciiTheme="minorEastAsia" w:hAnsiTheme="minorEastAsia" w:eastAsiaTheme="minorEastAsia"/>
          <w:szCs w:val="21"/>
        </w:rPr>
        <w:t>坐</w:t>
      </w:r>
      <w:r>
        <w:rPr>
          <w:rFonts w:asciiTheme="minorEastAsia" w:hAnsiTheme="minorEastAsia" w:eastAsiaTheme="minorEastAsia"/>
          <w:szCs w:val="21"/>
        </w:rPr>
        <w:t>果率，改善果实色泽的技术途径。</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3.  掌握</w:t>
      </w:r>
      <w:r>
        <w:rPr>
          <w:rFonts w:asciiTheme="minorEastAsia" w:hAnsiTheme="minorEastAsia" w:eastAsiaTheme="minorEastAsia"/>
          <w:szCs w:val="21"/>
        </w:rPr>
        <w:t>果实负载量确定，人工疏花疏果的方法</w:t>
      </w:r>
      <w:r>
        <w:rPr>
          <w:rFonts w:hint="eastAsia" w:asciiTheme="minorEastAsia" w:hAnsiTheme="minorEastAsia" w:eastAsiaTheme="minorEastAsia"/>
          <w:szCs w:val="21"/>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教学重点和难点：</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教学重点：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果实负载量含义，提高座果率、疏花疏果和提高果实品质的基本原理和方法措施。</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教学难点：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果实负载量、提高果实品质。</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花果数量的调节</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．果实负载量的确定</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．提高座果率</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．疏花疏果</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果实管理</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．增大果实，端正果形</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．改善果实色泽</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3</w:t>
      </w:r>
      <w:r>
        <w:rPr>
          <w:rFonts w:hint="eastAsia" w:asciiTheme="minorEastAsia" w:hAnsiTheme="minorEastAsia" w:eastAsiaTheme="minorEastAsia"/>
          <w:szCs w:val="21"/>
        </w:rPr>
        <w:t>．改善果面光洁度</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w:t>
      </w:r>
      <w:r>
        <w:rPr>
          <w:rFonts w:asciiTheme="minorEastAsia" w:hAnsiTheme="minorEastAsia" w:eastAsiaTheme="minorEastAsia"/>
          <w:b/>
          <w:szCs w:val="21"/>
        </w:rPr>
        <w:t xml:space="preserve"> </w:t>
      </w:r>
      <w:r>
        <w:rPr>
          <w:rFonts w:hint="eastAsia" w:asciiTheme="minorEastAsia" w:hAnsiTheme="minorEastAsia" w:eastAsiaTheme="minorEastAsia"/>
          <w:b/>
          <w:szCs w:val="21"/>
        </w:rPr>
        <w:t>果实采收及采后处理</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．确定采收期的依据</w:t>
      </w:r>
    </w:p>
    <w:p>
      <w:pPr>
        <w:keepNext w:val="0"/>
        <w:keepLines w:val="0"/>
        <w:pageBreakBefore w:val="0"/>
        <w:kinsoku/>
        <w:wordWrap/>
        <w:overflowPunct/>
        <w:topLinePunct w:val="0"/>
        <w:autoSpaceDE/>
        <w:autoSpaceDN/>
        <w:bidi w:val="0"/>
        <w:spacing w:line="360" w:lineRule="auto"/>
        <w:ind w:left="718" w:leftChars="342"/>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．果实采收方法</w:t>
      </w:r>
    </w:p>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教学要求：</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了解：果实成熟时期确定，果实采后处理的方法。</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理解：果实负载量含义，提高座果率的原理。</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熟练掌握：提高座果率的原理和方法，疏花疏果的作用和方法，提高果实品质的基本技术。</w:t>
      </w:r>
      <w:r>
        <w:rPr>
          <w:rFonts w:asciiTheme="minorEastAsia" w:hAnsiTheme="minorEastAsia" w:eastAsiaTheme="minorEastAsia"/>
          <w:szCs w:val="21"/>
        </w:rPr>
        <w:t xml:space="preserve"> </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szCs w:val="21"/>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多媒体展示果树花的发育特点，对比不同花的发育特点，，吸引学生的注意力，激发学习的兴趣，然后提出问题，让学生带着问题听课，并提出可行性方案。利用课堂提问、线上测试、多媒体课下交流等多种教学形式完成教学任务。</w:t>
      </w:r>
    </w:p>
    <w:p>
      <w:pPr>
        <w:keepNext w:val="0"/>
        <w:keepLines w:val="0"/>
        <w:pageBreakBefore w:val="0"/>
        <w:kinsoku/>
        <w:wordWrap/>
        <w:overflowPunct/>
        <w:topLinePunct w:val="0"/>
        <w:autoSpaceDE/>
        <w:autoSpaceDN/>
        <w:bidi w:val="0"/>
        <w:adjustRightInd w:val="0"/>
        <w:snapToGrid w:val="0"/>
        <w:spacing w:line="360" w:lineRule="auto"/>
        <w:jc w:val="right"/>
        <w:textAlignment w:val="auto"/>
        <w:rPr>
          <w:rFonts w:asciiTheme="minorEastAsia" w:hAnsiTheme="minorEastAsia" w:eastAsiaTheme="minorEastAsia"/>
          <w:b/>
          <w:szCs w:val="21"/>
          <w:shd w:val="clear" w:color="auto" w:fill="FFFFFF"/>
        </w:rPr>
      </w:pPr>
      <w:r>
        <w:rPr>
          <w:rFonts w:hint="eastAsia" w:asciiTheme="minorEastAsia" w:hAnsiTheme="minorEastAsia" w:eastAsiaTheme="minorEastAsia"/>
          <w:b/>
          <w:szCs w:val="21"/>
        </w:rPr>
        <w:t xml:space="preserve">                      </w:t>
      </w:r>
      <w:r>
        <w:rPr>
          <w:rFonts w:asciiTheme="minorEastAsia" w:hAnsiTheme="minorEastAsia" w:eastAsiaTheme="minorEastAsia"/>
          <w:b/>
          <w:szCs w:val="21"/>
          <w:shd w:val="clear" w:color="auto" w:fill="FFFFFF"/>
        </w:rPr>
        <w:t>第十章　植物生长调节剂在果树栽培中的应用</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rPr>
        <w:t>学时数：</w:t>
      </w:r>
      <w:r>
        <w:rPr>
          <w:rFonts w:asciiTheme="minorEastAsia" w:hAnsiTheme="minorEastAsia" w:eastAsiaTheme="minorEastAsia"/>
          <w:b/>
          <w:szCs w:val="21"/>
          <w:shd w:val="clear" w:color="auto" w:fill="FFFFFF"/>
        </w:rPr>
        <w:t>2</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w:t>
      </w:r>
      <w:r>
        <w:rPr>
          <w:rFonts w:asciiTheme="minorEastAsia" w:hAnsiTheme="minorEastAsia" w:eastAsiaTheme="minorEastAsia"/>
          <w:szCs w:val="21"/>
        </w:rPr>
        <w:t>了解生长调节剂种类。</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szCs w:val="21"/>
        </w:rPr>
        <w:t>掌握提植物生长调节剂对果树生长发育的调节作用</w:t>
      </w:r>
      <w:r>
        <w:rPr>
          <w:rFonts w:hint="eastAsia" w:asciiTheme="minorEastAsia" w:hAnsiTheme="minorEastAsia" w:eastAsiaTheme="minorEastAsia"/>
          <w:szCs w:val="21"/>
        </w:rPr>
        <w:t>及</w:t>
      </w:r>
      <w:r>
        <w:rPr>
          <w:rFonts w:asciiTheme="minorEastAsia" w:hAnsiTheme="minorEastAsia" w:eastAsiaTheme="minorEastAsia"/>
          <w:szCs w:val="21"/>
        </w:rPr>
        <w:t>应用技术</w:t>
      </w:r>
      <w:r>
        <w:rPr>
          <w:rFonts w:hint="eastAsia" w:asciiTheme="minorEastAsia" w:hAnsiTheme="minorEastAsia" w:eastAsiaTheme="minorEastAsia"/>
          <w:szCs w:val="21"/>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shd w:val="clear" w:color="auto" w:fill="FFFFFF"/>
        </w:rPr>
      </w:pPr>
      <w:r>
        <w:rPr>
          <w:rFonts w:asciiTheme="minorEastAsia" w:hAnsiTheme="minorEastAsia" w:eastAsiaTheme="minorEastAsia"/>
          <w:szCs w:val="21"/>
        </w:rPr>
        <w:t>生长调节剂种类</w:t>
      </w:r>
      <w:r>
        <w:rPr>
          <w:rFonts w:hint="eastAsia" w:asciiTheme="minorEastAsia" w:hAnsiTheme="minorEastAsia" w:eastAsiaTheme="minorEastAsia"/>
          <w:szCs w:val="21"/>
        </w:rPr>
        <w:t>及其作用；</w:t>
      </w:r>
      <w:r>
        <w:rPr>
          <w:rFonts w:asciiTheme="minorEastAsia" w:hAnsiTheme="minorEastAsia" w:eastAsiaTheme="minorEastAsia"/>
          <w:szCs w:val="21"/>
        </w:rPr>
        <w:t>植物生长调节剂对果树生长发育的调节作用</w:t>
      </w:r>
      <w:r>
        <w:rPr>
          <w:rFonts w:hint="eastAsia" w:asciiTheme="minorEastAsia" w:hAnsiTheme="minorEastAsia" w:eastAsiaTheme="minorEastAsia"/>
          <w:szCs w:val="21"/>
        </w:rPr>
        <w:t>和使用方法；</w:t>
      </w:r>
      <w:r>
        <w:rPr>
          <w:rFonts w:asciiTheme="minorEastAsia" w:hAnsiTheme="minorEastAsia" w:eastAsiaTheme="minorEastAsia"/>
          <w:szCs w:val="21"/>
          <w:shd w:val="clear" w:color="auto" w:fill="FFFFFF"/>
        </w:rPr>
        <w:t>植物生长调节剂的效应与其他农业措施的关系</w:t>
      </w:r>
      <w:r>
        <w:rPr>
          <w:rFonts w:hint="eastAsia" w:asciiTheme="minorEastAsia" w:hAnsiTheme="minorEastAsia" w:eastAsiaTheme="minorEastAsia"/>
          <w:szCs w:val="21"/>
          <w:shd w:val="clear" w:color="auto" w:fill="FFFFFF"/>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tabs>
          <w:tab w:val="left" w:pos="420"/>
        </w:tabs>
        <w:kinsoku/>
        <w:wordWrap/>
        <w:overflowPunct/>
        <w:topLinePunct w:val="0"/>
        <w:autoSpaceDE/>
        <w:autoSpaceDN/>
        <w:bidi w:val="0"/>
        <w:spacing w:line="360" w:lineRule="auto"/>
        <w:ind w:left="420" w:hanging="420"/>
        <w:textAlignment w:val="auto"/>
        <w:rPr>
          <w:rFonts w:asciiTheme="minorEastAsia" w:hAnsiTheme="minorEastAsia" w:eastAsiaTheme="minorEastAsia"/>
          <w:bCs/>
          <w:szCs w:val="21"/>
        </w:rPr>
      </w:pPr>
      <w:r>
        <w:rPr>
          <w:rFonts w:hint="eastAsia" w:asciiTheme="minorEastAsia" w:hAnsiTheme="minorEastAsia" w:eastAsiaTheme="minorEastAsia"/>
          <w:bCs/>
          <w:szCs w:val="21"/>
        </w:rPr>
        <w:t>教学内容：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szCs w:val="21"/>
          <w:shd w:val="clear" w:color="auto" w:fill="FFFFFF"/>
        </w:rPr>
      </w:pPr>
      <w:r>
        <w:rPr>
          <w:rFonts w:asciiTheme="minorEastAsia" w:hAnsiTheme="minorEastAsia" w:eastAsiaTheme="minorEastAsia"/>
          <w:b/>
          <w:szCs w:val="21"/>
          <w:shd w:val="clear" w:color="auto" w:fill="FFFFFF"/>
        </w:rPr>
        <w:t>　第一节　生长调节剂种类</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1. 生长素类</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2. 赤霉素类</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3. 细胞分裂素类</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w:t>
      </w:r>
      <w:r>
        <w:rPr>
          <w:rFonts w:hint="eastAsia" w:asciiTheme="minorEastAsia" w:hAnsiTheme="minorEastAsia" w:eastAsiaTheme="minorEastAsia"/>
          <w:szCs w:val="21"/>
          <w:shd w:val="clear" w:color="auto" w:fill="FFFFFF"/>
        </w:rPr>
        <w:t>4</w:t>
      </w:r>
      <w:r>
        <w:rPr>
          <w:rFonts w:asciiTheme="minorEastAsia" w:hAnsiTheme="minorEastAsia" w:eastAsiaTheme="minorEastAsia"/>
          <w:szCs w:val="21"/>
          <w:shd w:val="clear" w:color="auto" w:fill="FFFFFF"/>
        </w:rPr>
        <w:t>. 乙烯发生剂</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w:t>
      </w:r>
      <w:r>
        <w:rPr>
          <w:rFonts w:hint="eastAsia" w:asciiTheme="minorEastAsia" w:hAnsiTheme="minorEastAsia" w:eastAsiaTheme="minorEastAsia"/>
          <w:szCs w:val="21"/>
          <w:shd w:val="clear" w:color="auto" w:fill="FFFFFF"/>
        </w:rPr>
        <w:t>5</w:t>
      </w:r>
      <w:r>
        <w:rPr>
          <w:rFonts w:asciiTheme="minorEastAsia" w:hAnsiTheme="minorEastAsia" w:eastAsiaTheme="minorEastAsia"/>
          <w:szCs w:val="21"/>
          <w:shd w:val="clear" w:color="auto" w:fill="FFFFFF"/>
        </w:rPr>
        <w:t>. 油菜素甾醇类</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w:t>
      </w:r>
      <w:r>
        <w:rPr>
          <w:rFonts w:hint="eastAsia" w:asciiTheme="minorEastAsia" w:hAnsiTheme="minorEastAsia" w:eastAsiaTheme="minorEastAsia"/>
          <w:szCs w:val="21"/>
          <w:shd w:val="clear" w:color="auto" w:fill="FFFFFF"/>
        </w:rPr>
        <w:t>6</w:t>
      </w:r>
      <w:r>
        <w:rPr>
          <w:rFonts w:asciiTheme="minorEastAsia" w:hAnsiTheme="minorEastAsia" w:eastAsiaTheme="minorEastAsia"/>
          <w:szCs w:val="21"/>
          <w:shd w:val="clear" w:color="auto" w:fill="FFFFFF"/>
        </w:rPr>
        <w:t>. 生长延缓剂和生长抑制剂</w:t>
      </w:r>
      <w:r>
        <w:rPr>
          <w:rFonts w:asciiTheme="minorEastAsia" w:hAnsiTheme="minorEastAsia" w:eastAsiaTheme="minorEastAsia"/>
          <w:szCs w:val="21"/>
        </w:rPr>
        <w:br w:type="textWrapping"/>
      </w:r>
      <w:r>
        <w:rPr>
          <w:rFonts w:asciiTheme="minorEastAsia" w:hAnsiTheme="minorEastAsia" w:eastAsiaTheme="minorEastAsia"/>
          <w:b/>
          <w:szCs w:val="21"/>
          <w:shd w:val="clear" w:color="auto" w:fill="FFFFFF"/>
        </w:rPr>
        <w:t>　第二节　植物生长调节剂对果树生长发育的调节作用</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1. 调节营养生长</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2. 调节花芽分化</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3. 调节果实的生长发育</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w:t>
      </w:r>
      <w:r>
        <w:rPr>
          <w:rFonts w:hint="eastAsia" w:asciiTheme="minorEastAsia" w:hAnsiTheme="minorEastAsia" w:eastAsiaTheme="minorEastAsia"/>
          <w:szCs w:val="21"/>
          <w:shd w:val="clear" w:color="auto" w:fill="FFFFFF"/>
        </w:rPr>
        <w:t>4</w:t>
      </w:r>
      <w:r>
        <w:rPr>
          <w:rFonts w:asciiTheme="minorEastAsia" w:hAnsiTheme="minorEastAsia" w:eastAsiaTheme="minorEastAsia"/>
          <w:szCs w:val="21"/>
          <w:shd w:val="clear" w:color="auto" w:fill="FFFFFF"/>
        </w:rPr>
        <w:t>. 其他作用</w:t>
      </w:r>
      <w:r>
        <w:rPr>
          <w:rFonts w:asciiTheme="minorEastAsia" w:hAnsiTheme="minorEastAsia" w:eastAsiaTheme="minorEastAsia"/>
          <w:szCs w:val="21"/>
        </w:rPr>
        <w:br w:type="textWrapping"/>
      </w:r>
      <w:r>
        <w:rPr>
          <w:rFonts w:asciiTheme="minorEastAsia" w:hAnsiTheme="minorEastAsia" w:eastAsiaTheme="minorEastAsia"/>
          <w:b/>
          <w:szCs w:val="21"/>
          <w:shd w:val="clear" w:color="auto" w:fill="FFFFFF"/>
        </w:rPr>
        <w:t>　第三节　植物生长调节剂的应用技术及其应用前景</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1. 植物生长调节剂的效应与其他农业措施的关系</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2. 应用技术</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3. 应用前景及发展趋势</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教学要求：</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了解：植物生长调节剂的种类和调节作用。</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理解：植物生长调节剂的调节作用原理。</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掌握：植物生长调节剂的使用方法和作用。</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szCs w:val="21"/>
          <w:shd w:val="clear" w:color="auto" w:fill="FFFFFF"/>
        </w:rPr>
      </w:pPr>
      <w:r>
        <w:rPr>
          <w:rFonts w:hint="eastAsia" w:asciiTheme="minorEastAsia" w:hAnsiTheme="minorEastAsia" w:eastAsiaTheme="minorEastAsia"/>
          <w:szCs w:val="21"/>
          <w:shd w:val="clear" w:color="auto" w:fill="FFFFFF"/>
        </w:rPr>
        <w:t>熟练掌握：常见植物生长调节的作用和使用方法，尤其是在生根、花果管理等方面的运用。</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 xml:space="preserve"> </w:t>
      </w:r>
      <w:r>
        <w:rPr>
          <w:rFonts w:asciiTheme="minorEastAsia" w:hAnsiTheme="minorEastAsia" w:eastAsiaTheme="minorEastAsia"/>
          <w:b/>
          <w:bCs/>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多媒体展示生长调节剂的种类，引导学生回答其可能发挥的作用，通过对比法加深记忆，并结合生产实践中的具体应用，总结植物生长调节剂的作用和使用方法。利用课堂提问、线上测试、多媒体课下交流等多种教学形式完成教学任务。</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szCs w:val="21"/>
        </w:rPr>
      </w:pPr>
      <w:r>
        <w:rPr>
          <w:rFonts w:hint="eastAsia" w:asciiTheme="minorEastAsia" w:hAnsiTheme="minorEastAsia" w:eastAsiaTheme="minorEastAsia"/>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第十一章　果园的灾害及预防</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rPr>
        <w:t xml:space="preserve">     </w:t>
      </w:r>
      <w:r>
        <w:rPr>
          <w:rFonts w:hint="eastAsia" w:asciiTheme="minorEastAsia" w:hAnsiTheme="minorEastAsia" w:eastAsiaTheme="minorEastAsia"/>
          <w:b/>
          <w:szCs w:val="21"/>
        </w:rPr>
        <w:t>学时数：</w:t>
      </w:r>
      <w:r>
        <w:rPr>
          <w:rFonts w:asciiTheme="minorEastAsia" w:hAnsiTheme="minorEastAsia" w:eastAsiaTheme="minorEastAsia"/>
          <w:b/>
          <w:szCs w:val="21"/>
        </w:rPr>
        <w:t>1</w:t>
      </w:r>
      <w:r>
        <w:rPr>
          <w:rFonts w:hint="eastAsia" w:asciiTheme="minorEastAsia" w:hAnsiTheme="minorEastAsia" w:eastAsiaTheme="minorEastAsia"/>
          <w:b/>
          <w:szCs w:val="21"/>
        </w:rPr>
        <w:t>学目标：</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了解果园各种自然灾害，掌握其预防措施。</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bookmarkStart w:id="159" w:name="_Hlk38803652"/>
      <w:r>
        <w:rPr>
          <w:rFonts w:hint="eastAsia" w:asciiTheme="minorEastAsia" w:hAnsiTheme="minorEastAsia" w:eastAsiaTheme="minorEastAsia"/>
          <w:b/>
          <w:bCs/>
        </w:rPr>
        <w:t>教学重点和难点：</w:t>
      </w:r>
      <w:bookmarkEnd w:id="159"/>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果树的冻害与抽条，预防自然灾害的措施。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Cs/>
          <w:szCs w:val="21"/>
          <w:shd w:val="clear" w:color="auto" w:fill="FFFFFF"/>
        </w:rPr>
      </w:pPr>
      <w:r>
        <w:rPr>
          <w:rFonts w:hint="eastAsia" w:asciiTheme="minorEastAsia" w:hAnsiTheme="minorEastAsia" w:eastAsiaTheme="minorEastAsia"/>
          <w:bCs/>
          <w:szCs w:val="21"/>
          <w:shd w:val="clear" w:color="auto" w:fill="FFFFFF"/>
        </w:rPr>
        <w:t>教学内容：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szCs w:val="21"/>
          <w:shd w:val="clear" w:color="auto" w:fill="FFFFFF"/>
        </w:rPr>
      </w:pPr>
      <w:r>
        <w:rPr>
          <w:rFonts w:asciiTheme="minorEastAsia" w:hAnsiTheme="minorEastAsia" w:eastAsiaTheme="minorEastAsia"/>
          <w:b/>
          <w:szCs w:val="21"/>
          <w:shd w:val="clear" w:color="auto" w:fill="FFFFFF"/>
        </w:rPr>
        <w:t>第一节　冻害、霜冻害和冷害</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1. 冻害</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szCs w:val="21"/>
          <w:shd w:val="clear" w:color="auto" w:fill="FFFFFF"/>
        </w:rPr>
      </w:pPr>
      <w:r>
        <w:rPr>
          <w:rFonts w:asciiTheme="minorEastAsia" w:hAnsiTheme="minorEastAsia" w:eastAsiaTheme="minorEastAsia"/>
          <w:szCs w:val="21"/>
          <w:shd w:val="clear" w:color="auto" w:fill="FFFFFF"/>
        </w:rPr>
        <w:t>2. 霜冻害</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szCs w:val="21"/>
          <w:shd w:val="clear" w:color="auto" w:fill="FFFFFF"/>
        </w:rPr>
      </w:pPr>
      <w:r>
        <w:rPr>
          <w:rFonts w:asciiTheme="minorEastAsia" w:hAnsiTheme="minorEastAsia" w:eastAsiaTheme="minorEastAsia"/>
          <w:szCs w:val="21"/>
          <w:shd w:val="clear" w:color="auto" w:fill="FFFFFF"/>
        </w:rPr>
        <w:t>3. 冷害</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szCs w:val="21"/>
          <w:shd w:val="clear" w:color="auto" w:fill="FFFFFF"/>
        </w:rPr>
      </w:pPr>
      <w:r>
        <w:rPr>
          <w:rFonts w:asciiTheme="minorEastAsia" w:hAnsiTheme="minorEastAsia" w:eastAsiaTheme="minorEastAsia"/>
          <w:b/>
          <w:szCs w:val="21"/>
          <w:shd w:val="clear" w:color="auto" w:fill="FFFFFF"/>
        </w:rPr>
        <w:t>第二节　旱害和冻旱</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1. 旱害</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szCs w:val="21"/>
          <w:shd w:val="clear" w:color="auto" w:fill="FFFFFF"/>
        </w:rPr>
      </w:pPr>
      <w:r>
        <w:rPr>
          <w:rFonts w:asciiTheme="minorEastAsia" w:hAnsiTheme="minorEastAsia" w:eastAsiaTheme="minorEastAsia"/>
          <w:szCs w:val="21"/>
          <w:shd w:val="clear" w:color="auto" w:fill="FFFFFF"/>
        </w:rPr>
        <w:t>　　2. 冻旱(抽条)</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szCs w:val="21"/>
          <w:shd w:val="clear" w:color="auto" w:fill="FFFFFF"/>
        </w:rPr>
      </w:pPr>
      <w:r>
        <w:rPr>
          <w:rFonts w:asciiTheme="minorEastAsia" w:hAnsiTheme="minorEastAsia" w:eastAsiaTheme="minorEastAsia"/>
          <w:b/>
          <w:szCs w:val="21"/>
          <w:shd w:val="clear" w:color="auto" w:fill="FFFFFF"/>
        </w:rPr>
        <w:t>第三节　风害和雹害</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1. 风害</w:t>
      </w:r>
      <w:r>
        <w:rPr>
          <w:rFonts w:asciiTheme="minorEastAsia" w:hAnsiTheme="minorEastAsia" w:eastAsiaTheme="minorEastAsia"/>
          <w:szCs w:val="21"/>
        </w:rPr>
        <w:br w:type="textWrapping"/>
      </w:r>
      <w:r>
        <w:rPr>
          <w:rFonts w:asciiTheme="minorEastAsia" w:hAnsiTheme="minorEastAsia" w:eastAsiaTheme="minorEastAsia"/>
          <w:szCs w:val="21"/>
          <w:shd w:val="clear" w:color="auto" w:fill="FFFFFF"/>
        </w:rPr>
        <w:t>　　2. 雹害</w:t>
      </w:r>
      <w:r>
        <w:rPr>
          <w:rFonts w:asciiTheme="minorEastAsia" w:hAnsiTheme="minorEastAsia" w:eastAsiaTheme="minorEastAsia"/>
          <w:szCs w:val="21"/>
        </w:rPr>
        <w:br w:type="textWrapping"/>
      </w:r>
      <w:r>
        <w:rPr>
          <w:rFonts w:asciiTheme="minorEastAsia" w:hAnsiTheme="minorEastAsia" w:eastAsiaTheme="minorEastAsia"/>
          <w:b/>
          <w:szCs w:val="21"/>
          <w:shd w:val="clear" w:color="auto" w:fill="FFFFFF"/>
        </w:rPr>
        <w:t>第四节　高温伤害</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教学要求：</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Theme="minorEastAsia" w:hAnsiTheme="minorEastAsia" w:eastAsiaTheme="minorEastAsia"/>
        </w:rPr>
        <w:t>了解：果树灾害类型。</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Theme="minorEastAsia" w:hAnsiTheme="minorEastAsia" w:eastAsiaTheme="minorEastAsia"/>
        </w:rPr>
        <w:t>理解：常见灾害类型发生的原因。</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 xml:space="preserve"> </w:t>
      </w:r>
      <w:r>
        <w:rPr>
          <w:rFonts w:asciiTheme="minorEastAsia" w:hAnsiTheme="minorEastAsia" w:eastAsiaTheme="minorEastAsia"/>
        </w:rPr>
        <w:t xml:space="preserve">  </w:t>
      </w:r>
      <w:r>
        <w:rPr>
          <w:rFonts w:hint="eastAsia" w:asciiTheme="minorEastAsia" w:hAnsiTheme="minorEastAsia" w:eastAsiaTheme="minorEastAsia"/>
        </w:rPr>
        <w:t>熟练掌握：常见灾害类型的发生规律和预防措施。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bCs/>
        </w:rPr>
      </w:pP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多媒体展示果园灾害的图片，引导学生说明灾害发生的原因，并提出可行性的解决方案。例举近几年发生的较大规模的果园灾害，让学生明确果园灾害发生的不确定性，以及需要采取的预防措施。利用课堂提问、线上测试、多媒体课下交流等多种教学形式完成教学任务。</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szCs w:val="21"/>
        </w:rPr>
      </w:pPr>
      <w:r>
        <w:rPr>
          <w:rFonts w:hint="eastAsia" w:asciiTheme="minorEastAsia" w:hAnsiTheme="minorEastAsia" w:eastAsiaTheme="minorEastAsia"/>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第十</w:t>
      </w:r>
      <w:r>
        <w:rPr>
          <w:rFonts w:hint="eastAsia" w:asciiTheme="minorEastAsia" w:hAnsiTheme="minorEastAsia" w:eastAsiaTheme="minorEastAsia"/>
          <w:b/>
          <w:szCs w:val="21"/>
          <w:shd w:val="clear" w:color="auto" w:fill="FFFFFF"/>
        </w:rPr>
        <w:t>二</w:t>
      </w:r>
      <w:r>
        <w:rPr>
          <w:rFonts w:asciiTheme="minorEastAsia" w:hAnsiTheme="minorEastAsia" w:eastAsiaTheme="minorEastAsia"/>
          <w:b/>
          <w:szCs w:val="21"/>
          <w:shd w:val="clear" w:color="auto" w:fill="FFFFFF"/>
        </w:rPr>
        <w:t>章　</w:t>
      </w:r>
      <w:r>
        <w:rPr>
          <w:rFonts w:hint="eastAsia" w:asciiTheme="minorEastAsia" w:hAnsiTheme="minorEastAsia" w:eastAsiaTheme="minorEastAsia"/>
          <w:b/>
          <w:szCs w:val="21"/>
          <w:shd w:val="clear" w:color="auto" w:fill="FFFFFF"/>
        </w:rPr>
        <w:t xml:space="preserve">苹果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asciiTheme="minorEastAsia" w:hAnsiTheme="minorEastAsia" w:eastAsiaTheme="minorEastAsia"/>
          <w:b/>
          <w:szCs w:val="21"/>
        </w:rPr>
        <w:t xml:space="preserve">  </w:t>
      </w:r>
      <w:r>
        <w:rPr>
          <w:rFonts w:hint="eastAsia" w:asciiTheme="minorEastAsia" w:hAnsiTheme="minorEastAsia" w:eastAsiaTheme="minorEastAsia"/>
          <w:b/>
          <w:szCs w:val="21"/>
        </w:rPr>
        <w:t>学时数：</w:t>
      </w:r>
      <w:r>
        <w:rPr>
          <w:rFonts w:asciiTheme="minorEastAsia" w:hAnsiTheme="minorEastAsia" w:eastAsiaTheme="minorEastAsia"/>
          <w:b/>
          <w:szCs w:val="21"/>
        </w:rPr>
        <w:t>4</w:t>
      </w: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了解苹果生产现状，掌握优质高效栽培技术。</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苹果生物学特性，苹果优质丰产栽培技术。</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教学内容：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第一节　苹果生产现状及对策</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1. 生产现状及发展前景</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2. 解决途径</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第二节　主要种类及优良品种</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1. 主要种类</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2. 优良品种</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第三节　生物学特性</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1. 生长习性</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2. 结果习性</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3. 对环境条件的要求</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第四节　早期丰产栽培技术</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1. 早期丰产技术途径</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2. 早期丰产技术措施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第五节　优质丰产栽培技术</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1. 优质丰产的群体结构及树相指标</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rPr>
      </w:pPr>
      <w:r>
        <w:rPr>
          <w:rFonts w:hint="eastAsia" w:asciiTheme="minorEastAsia" w:hAnsiTheme="minorEastAsia" w:eastAsiaTheme="minorEastAsia"/>
        </w:rPr>
        <w:t>2. 优质丰产技术措施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教学要求：</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了解：苹果产业现状。</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理解：苹果主要树形与产业发展、果实品质的必然联系。</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熟练掌握：苹果优质丰产栽培技术措施。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bCs/>
        </w:rPr>
      </w:pPr>
      <w:r>
        <w:rPr>
          <w:rFonts w:hint="eastAsia" w:asciiTheme="minorEastAsia" w:hAnsiTheme="minorEastAsia" w:eastAsiaTheme="minorEastAsia"/>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多媒体展示苹果主产区的产业现状、树形特点、栽培措施等，引导学生总结优势与劣势，并提出可行性的解决方案。利用课堂提问、线上测试、多媒体课下交流等多种教学形式完成教学任务。</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szCs w:val="21"/>
          <w:shd w:val="clear" w:color="auto" w:fill="FFFFFF"/>
        </w:rPr>
      </w:pPr>
      <w:r>
        <w:rPr>
          <w:rFonts w:hint="eastAsia" w:asciiTheme="minorEastAsia" w:hAnsiTheme="minorEastAsia" w:eastAsiaTheme="minorEastAsia"/>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第十</w:t>
      </w:r>
      <w:r>
        <w:rPr>
          <w:rFonts w:hint="eastAsia" w:asciiTheme="minorEastAsia" w:hAnsiTheme="minorEastAsia" w:eastAsiaTheme="minorEastAsia"/>
          <w:b/>
          <w:szCs w:val="21"/>
          <w:shd w:val="clear" w:color="auto" w:fill="FFFFFF"/>
        </w:rPr>
        <w:t>三</w:t>
      </w:r>
      <w:r>
        <w:rPr>
          <w:rFonts w:asciiTheme="minorEastAsia" w:hAnsiTheme="minorEastAsia" w:eastAsiaTheme="minorEastAsia"/>
          <w:b/>
          <w:szCs w:val="21"/>
          <w:shd w:val="clear" w:color="auto" w:fill="FFFFFF"/>
        </w:rPr>
        <w:t>章　</w:t>
      </w:r>
      <w:r>
        <w:rPr>
          <w:rFonts w:hint="eastAsia" w:asciiTheme="minorEastAsia" w:hAnsiTheme="minorEastAsia" w:eastAsiaTheme="minorEastAsia"/>
          <w:b/>
          <w:szCs w:val="21"/>
          <w:shd w:val="clear" w:color="auto" w:fill="FFFFFF"/>
        </w:rPr>
        <w:t xml:space="preserve">桃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rPr>
        <w:t>学时数：</w:t>
      </w:r>
      <w:r>
        <w:rPr>
          <w:rFonts w:asciiTheme="minorEastAsia" w:hAnsiTheme="minorEastAsia" w:eastAsiaTheme="minorEastAsia"/>
          <w:b/>
          <w:szCs w:val="21"/>
        </w:rPr>
        <w:t>4</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了解桃生产现状，掌握优质高效栽培技术。</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桃生物学特性，桃优质丰产栽培技术。</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  概说</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经济意义</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栽培历史与现状</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  主要种类和品种</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主要种类</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优良品种</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  生物学特性</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根、枝、叶</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花及花芽分化</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3. 果实发育</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第四节  育苗特点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繁殖主要方法</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扦插、压条</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第五节  建园特点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园地选择</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果园规划</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第六节  栽培技术要点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花果管理</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整形修剪</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3. 土、肥、水管理要点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教学要求：</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了解：桃产业现状，桃果实的分类。</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理解：桃主要树形与产业发展、果实品质的必然联系。</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熟练掌握：桃优质丰产栽培技术措施。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bCs/>
        </w:rPr>
      </w:pPr>
      <w:r>
        <w:rPr>
          <w:rFonts w:hint="eastAsia" w:asciiTheme="minorEastAsia" w:hAnsiTheme="minorEastAsia" w:eastAsiaTheme="minorEastAsia"/>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多媒体展示桃主产区的产业现状、果实特点、树形特点、栽培措施等，引导学生总结优势与劣势，并提出可行性的解决方案。利用课堂提问、线上测试、多媒体课下交流等多种教学形式完成教学任务。</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szCs w:val="21"/>
          <w:shd w:val="clear" w:color="auto" w:fill="FFFFFF"/>
        </w:rPr>
      </w:pPr>
      <w:r>
        <w:rPr>
          <w:rFonts w:hint="eastAsia" w:asciiTheme="minorEastAsia" w:hAnsiTheme="minorEastAsia" w:eastAsiaTheme="minorEastAsia"/>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第十</w:t>
      </w:r>
      <w:r>
        <w:rPr>
          <w:rFonts w:hint="eastAsia" w:asciiTheme="minorEastAsia" w:hAnsiTheme="minorEastAsia" w:eastAsiaTheme="minorEastAsia"/>
          <w:b/>
          <w:szCs w:val="21"/>
          <w:shd w:val="clear" w:color="auto" w:fill="FFFFFF"/>
        </w:rPr>
        <w:t>四</w:t>
      </w:r>
      <w:r>
        <w:rPr>
          <w:rFonts w:asciiTheme="minorEastAsia" w:hAnsiTheme="minorEastAsia" w:eastAsiaTheme="minorEastAsia"/>
          <w:b/>
          <w:szCs w:val="21"/>
          <w:shd w:val="clear" w:color="auto" w:fill="FFFFFF"/>
        </w:rPr>
        <w:t>章　</w:t>
      </w:r>
      <w:r>
        <w:rPr>
          <w:rFonts w:hint="eastAsia" w:asciiTheme="minorEastAsia" w:hAnsiTheme="minorEastAsia" w:eastAsiaTheme="minorEastAsia"/>
          <w:b/>
          <w:szCs w:val="21"/>
          <w:shd w:val="clear" w:color="auto" w:fill="FFFFFF"/>
        </w:rPr>
        <w:t xml:space="preserve">葡萄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shd w:val="clear" w:color="auto" w:fill="FFFFFF"/>
        </w:rPr>
        <w:t xml:space="preserve">      </w:t>
      </w:r>
      <w:r>
        <w:rPr>
          <w:rFonts w:asciiTheme="minorEastAsia" w:hAnsiTheme="minorEastAsia" w:eastAsiaTheme="minorEastAsia"/>
          <w:b/>
          <w:szCs w:val="21"/>
          <w:shd w:val="clear" w:color="auto" w:fill="FFFFFF"/>
        </w:rPr>
        <w:t xml:space="preserve">  </w:t>
      </w:r>
      <w:r>
        <w:rPr>
          <w:rFonts w:hint="eastAsia" w:asciiTheme="minorEastAsia" w:hAnsiTheme="minorEastAsia" w:eastAsiaTheme="minorEastAsia"/>
          <w:b/>
          <w:szCs w:val="21"/>
        </w:rPr>
        <w:t>学时数：</w:t>
      </w:r>
      <w:r>
        <w:rPr>
          <w:rFonts w:asciiTheme="minorEastAsia" w:hAnsiTheme="minorEastAsia" w:eastAsiaTheme="minorEastAsia"/>
          <w:b/>
          <w:szCs w:val="21"/>
        </w:rPr>
        <w:t>4</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教学目标：</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了解葡萄生产现状，掌握优质高效栽培技术。</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bCs/>
        </w:rPr>
        <w:t>教学重点和难点：</w:t>
      </w:r>
    </w:p>
    <w:p>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葡萄生物学特性，葡萄优质丰产栽培技术。</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主要教学内容及要求：</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教学内容：</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第一节  概说</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经济意义</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栽培历史与现状</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第二节  主要种类和品种</w:t>
      </w:r>
    </w:p>
    <w:p>
      <w:pPr>
        <w:keepNext w:val="0"/>
        <w:keepLines w:val="0"/>
        <w:pageBreakBefore w:val="0"/>
        <w:tabs>
          <w:tab w:val="left" w:pos="420"/>
        </w:tabs>
        <w:kinsoku/>
        <w:wordWrap/>
        <w:overflowPunct/>
        <w:topLinePunct w:val="0"/>
        <w:autoSpaceDE/>
        <w:autoSpaceDN/>
        <w:bidi w:val="0"/>
        <w:spacing w:line="360" w:lineRule="auto"/>
        <w:ind w:firstLine="420" w:firstLineChars="200"/>
        <w:textAlignment w:val="auto"/>
        <w:rPr>
          <w:rFonts w:asciiTheme="minorEastAsia" w:hAnsiTheme="minorEastAsia" w:eastAsiaTheme="minorEastAsia"/>
          <w:b/>
          <w:szCs w:val="21"/>
        </w:rPr>
      </w:pPr>
      <w:r>
        <w:rPr>
          <w:rFonts w:hint="eastAsia" w:asciiTheme="minorEastAsia" w:hAnsiTheme="minorEastAsia" w:eastAsiaTheme="minorEastAsia"/>
          <w:szCs w:val="21"/>
        </w:rPr>
        <w:t>1. 主要种类</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优良品种</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第三节  生物学特性</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枝、叶</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3. 花及花芽分化</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 xml:space="preserve">. </w:t>
      </w:r>
      <w:r>
        <w:rPr>
          <w:rFonts w:hint="eastAsia" w:asciiTheme="minorEastAsia" w:hAnsiTheme="minorEastAsia" w:eastAsiaTheme="minorEastAsia"/>
          <w:szCs w:val="21"/>
        </w:rPr>
        <w:t>果实发育</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第四节  育苗特点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繁殖主要方法</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扦插、压条</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第五节  建园特点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园地选择</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果园规划</w:t>
      </w:r>
    </w:p>
    <w:p>
      <w:pPr>
        <w:keepNext w:val="0"/>
        <w:keepLines w:val="0"/>
        <w:pageBreakBefore w:val="0"/>
        <w:tabs>
          <w:tab w:val="left" w:pos="420"/>
        </w:tabs>
        <w:kinsoku/>
        <w:wordWrap/>
        <w:overflowPunct/>
        <w:topLinePunct w:val="0"/>
        <w:autoSpaceDE/>
        <w:autoSpaceDN/>
        <w:bidi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第六节  栽培技术要点</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1. 提高扦插成活率</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2. 主要架式及整形修剪</w:t>
      </w:r>
    </w:p>
    <w:p>
      <w:pPr>
        <w:keepNext w:val="0"/>
        <w:keepLines w:val="0"/>
        <w:pageBreakBefore w:val="0"/>
        <w:kinsoku/>
        <w:wordWrap/>
        <w:overflowPunct/>
        <w:topLinePunct w:val="0"/>
        <w:autoSpaceDE/>
        <w:autoSpaceDN/>
        <w:bidi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3. 土、肥、水管理要点</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rPr>
      </w:pPr>
      <w:r>
        <w:rPr>
          <w:rFonts w:hint="eastAsia" w:asciiTheme="minorEastAsia" w:hAnsiTheme="minorEastAsia" w:eastAsiaTheme="minorEastAsia"/>
        </w:rPr>
        <w:t>教学要求：</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了解：葡萄产业现状。</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理解：葡萄架式、树形与产业发展、果实品质的必然联系。</w:t>
      </w:r>
    </w:p>
    <w:p>
      <w:pPr>
        <w:keepNext w:val="0"/>
        <w:keepLines w:val="0"/>
        <w:pageBreakBefore w:val="0"/>
        <w:kinsoku/>
        <w:wordWrap/>
        <w:overflowPunct/>
        <w:topLinePunct w:val="0"/>
        <w:autoSpaceDE/>
        <w:autoSpaceDN/>
        <w:bidi w:val="0"/>
        <w:adjustRightInd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熟练掌握：葡萄优质丰产栽培技术措施。</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Theme="minorEastAsia" w:hAnsiTheme="minorEastAsia" w:eastAsiaTheme="minorEastAsia"/>
          <w:b/>
          <w:bCs/>
        </w:rPr>
      </w:pPr>
      <w:r>
        <w:rPr>
          <w:rFonts w:hint="eastAsia" w:asciiTheme="minorEastAsia" w:hAnsiTheme="minorEastAsia" w:eastAsiaTheme="minorEastAsia"/>
          <w:b/>
          <w:bCs/>
        </w:rPr>
        <w:t>教学组织与实施：</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bCs/>
        </w:rPr>
      </w:pPr>
      <w:r>
        <w:rPr>
          <w:rFonts w:hint="eastAsia" w:asciiTheme="minorEastAsia" w:hAnsiTheme="minorEastAsia" w:eastAsiaTheme="minorEastAsia"/>
        </w:rPr>
        <w:t xml:space="preserve"> </w:t>
      </w:r>
      <w:r>
        <w:rPr>
          <w:rFonts w:hint="eastAsia" w:asciiTheme="minorEastAsia" w:hAnsiTheme="minorEastAsia" w:eastAsiaTheme="minorEastAsia"/>
          <w:bCs/>
        </w:rPr>
        <w:t>以P</w:t>
      </w:r>
      <w:r>
        <w:rPr>
          <w:rFonts w:asciiTheme="minorEastAsia" w:hAnsiTheme="minorEastAsia" w:eastAsiaTheme="minorEastAsia"/>
          <w:bCs/>
        </w:rPr>
        <w:t>PT</w:t>
      </w:r>
      <w:r>
        <w:rPr>
          <w:rFonts w:hint="eastAsia" w:asciiTheme="minorEastAsia" w:hAnsiTheme="minorEastAsia" w:eastAsiaTheme="minorEastAsia"/>
          <w:bCs/>
        </w:rPr>
        <w:t>和线上教学为主，通过多媒体展示葡萄主产区的产业现状、果实特点、树形特点、栽培措施等，引导学生总结优势与劣势，并提出可行性的解决方案。利用课堂提问、线上测试、多媒体课下交流等多种教学形式完成教学任务。</w:t>
      </w:r>
    </w:p>
    <w:p>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asciiTheme="minorEastAsia" w:hAnsiTheme="minorEastAsia" w:eastAsiaTheme="minorEastAsia"/>
          <w:bCs/>
        </w:rPr>
      </w:pPr>
    </w:p>
    <w:p>
      <w:pPr>
        <w:keepNext w:val="0"/>
        <w:keepLines w:val="0"/>
        <w:pageBreakBefore w:val="0"/>
        <w:widowControl/>
        <w:kinsoku/>
        <w:wordWrap/>
        <w:overflowPunct/>
        <w:topLinePunct w:val="0"/>
        <w:autoSpaceDE/>
        <w:autoSpaceDN/>
        <w:bidi w:val="0"/>
        <w:snapToGrid w:val="0"/>
        <w:spacing w:line="360" w:lineRule="auto"/>
        <w:jc w:val="left"/>
        <w:textAlignment w:val="auto"/>
        <w:rPr>
          <w:rFonts w:asciiTheme="minorEastAsia" w:hAnsiTheme="minorEastAsia" w:eastAsiaTheme="minorEastAsia"/>
          <w:bCs/>
          <w:kern w:val="0"/>
          <w:szCs w:val="21"/>
        </w:rPr>
      </w:pPr>
      <w:r>
        <w:rPr>
          <w:rFonts w:hint="eastAsia" w:asciiTheme="minorEastAsia" w:hAnsiTheme="minorEastAsia" w:eastAsiaTheme="minorEastAsia"/>
          <w:b/>
          <w:bCs/>
          <w:kern w:val="0"/>
          <w:szCs w:val="21"/>
        </w:rPr>
        <w:t>五</w:t>
      </w:r>
      <w:r>
        <w:rPr>
          <w:rFonts w:asciiTheme="minorEastAsia" w:hAnsiTheme="minorEastAsia" w:eastAsiaTheme="minorEastAsia"/>
          <w:b/>
          <w:bCs/>
          <w:kern w:val="0"/>
          <w:szCs w:val="21"/>
        </w:rPr>
        <w:t>、实验教学内容及学时分配</w:t>
      </w:r>
      <w:r>
        <w:rPr>
          <w:rFonts w:hint="eastAsia" w:asciiTheme="minorEastAsia" w:hAnsiTheme="minorEastAsia" w:eastAsiaTheme="minorEastAsia"/>
          <w:b/>
          <w:bCs/>
          <w:kern w:val="0"/>
          <w:szCs w:val="21"/>
        </w:rPr>
        <w:t>（</w:t>
      </w:r>
      <w:r>
        <w:rPr>
          <w:rFonts w:asciiTheme="minorEastAsia" w:hAnsiTheme="minorEastAsia" w:eastAsiaTheme="minorEastAsia"/>
          <w:b/>
          <w:bCs/>
          <w:kern w:val="0"/>
          <w:szCs w:val="21"/>
        </w:rPr>
        <w:t>20学时</w:t>
      </w:r>
      <w:r>
        <w:rPr>
          <w:rFonts w:hint="eastAsia" w:asciiTheme="minorEastAsia" w:hAnsiTheme="minorEastAsia" w:eastAsiaTheme="minorEastAsia"/>
          <w:b/>
          <w:bCs/>
          <w:kern w:val="0"/>
          <w:szCs w:val="21"/>
        </w:rPr>
        <w:t>）</w:t>
      </w:r>
    </w:p>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
          <w:bCs/>
          <w:szCs w:val="21"/>
        </w:rPr>
      </w:pPr>
      <w:r>
        <w:rPr>
          <w:rFonts w:hint="eastAsia" w:asciiTheme="minorEastAsia" w:hAnsiTheme="minorEastAsia" w:eastAsiaTheme="minorEastAsia"/>
          <w:b/>
          <w:szCs w:val="21"/>
        </w:rPr>
        <w:t>（一）</w:t>
      </w:r>
      <w:r>
        <w:rPr>
          <w:rFonts w:hint="eastAsia" w:asciiTheme="minorEastAsia" w:hAnsiTheme="minorEastAsia" w:eastAsiaTheme="minorEastAsia"/>
          <w:b/>
          <w:bCs/>
          <w:szCs w:val="21"/>
        </w:rPr>
        <w:t>实验课程简介</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果树栽培学》实验是与果树栽培学课程相配套的专业必修课程。通过实验教学，使学生掌握果树生长发育的基础理论和栽培的基本技能，其目的是培养学生从事果树栽培技术研究的能力，培养学生能够从事果园管理和果树生产的能力，培养学生综合运用所学知识的能力，培养学生具有在实际生产中分析、解决问题的能力。</w:t>
      </w:r>
    </w:p>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
          <w:bCs/>
          <w:szCs w:val="21"/>
        </w:rPr>
      </w:pPr>
      <w:r>
        <w:rPr>
          <w:rFonts w:hint="eastAsia" w:asciiTheme="minorEastAsia" w:hAnsiTheme="minorEastAsia" w:eastAsiaTheme="minorEastAsia"/>
          <w:b/>
          <w:bCs/>
          <w:szCs w:val="21"/>
        </w:rPr>
        <w:t>（二）实验教学目的和基本要求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hint="eastAsia" w:asciiTheme="minorEastAsia" w:hAnsiTheme="minorEastAsia" w:eastAsiaTheme="minorEastAsia"/>
        </w:rPr>
        <w:t>通过本实验课程的学习和实际操作，使学生掌握果树栽培、管理的基础理论，基本技术知识和操作技能，掌握有关调查研究、观察分析、测试分析，科学试验方法和生产实践的基本技能，重点培养学生的动手能力及分析解决实际生产问题的能力，使学生的创新能力得到提高。在实验教学过程中，要求学生始终严谨，规范的进行操作，耐心，细致的进行观察，独立思考，综合分析实验结果，充分理解后认真地完成实验报告。</w:t>
      </w:r>
    </w:p>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
        </w:rPr>
      </w:pPr>
      <w:r>
        <w:rPr>
          <w:rFonts w:hint="eastAsia" w:asciiTheme="minorEastAsia" w:hAnsiTheme="minorEastAsia" w:eastAsiaTheme="minorEastAsia"/>
          <w:b/>
        </w:rPr>
        <w:t>（三）实验安全操作规范</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 xml:space="preserve"> 进入实验室和园区基地的学生必须接受安全教育，自觉服从管理，严格遵守实验室和园区的各项规章制度和规定。严格遵守仪器设备的操作规程，对违规者指导教师有权停止其实验。</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 xml:space="preserve"> </w:t>
      </w:r>
      <w:r>
        <w:rPr>
          <w:rFonts w:hint="eastAsia" w:asciiTheme="minorEastAsia" w:hAnsiTheme="minorEastAsia" w:eastAsiaTheme="minorEastAsia"/>
        </w:rPr>
        <w:t>实验前要认真阅读教材、实验参考书和有关参考资料，按照任课教师的要求做好实验前各项准备工作。</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 xml:space="preserve"> </w:t>
      </w:r>
      <w:r>
        <w:rPr>
          <w:rFonts w:hint="eastAsia" w:asciiTheme="minorEastAsia" w:hAnsiTheme="minorEastAsia" w:eastAsiaTheme="minorEastAsia"/>
        </w:rPr>
        <w:t>进入实验室和园区基地后，要服从指导教师和园区基地负责人的指导，遵守安全规则，认真听取教师讲解，仔细观摩教师的操作示范过程，实验前和动手操作前要熟悉实验设备器材、仪器的使用方法、操作步骤及注意事项。按指导教师要求进行规范性操作，如实记录实验数据。</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w:t>
      </w:r>
      <w:r>
        <w:rPr>
          <w:rFonts w:asciiTheme="minorEastAsia" w:hAnsiTheme="minorEastAsia" w:eastAsiaTheme="minorEastAsia"/>
        </w:rPr>
        <w:t xml:space="preserve"> </w:t>
      </w:r>
      <w:r>
        <w:rPr>
          <w:rFonts w:hint="eastAsia" w:asciiTheme="minorEastAsia" w:hAnsiTheme="minorEastAsia" w:eastAsiaTheme="minorEastAsia"/>
        </w:rPr>
        <w:t>不允许学生随意动用实验用品、园区试验材料。</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asciiTheme="minorEastAsia" w:hAnsiTheme="minorEastAsia" w:eastAsiaTheme="minorEastAsia"/>
        </w:rPr>
        <w:t>5</w:t>
      </w:r>
      <w:r>
        <w:rPr>
          <w:rFonts w:hint="eastAsia" w:asciiTheme="minorEastAsia" w:hAnsiTheme="minorEastAsia" w:eastAsiaTheme="minorEastAsia"/>
        </w:rPr>
        <w:t>.</w:t>
      </w:r>
      <w:r>
        <w:rPr>
          <w:rFonts w:asciiTheme="minorEastAsia" w:hAnsiTheme="minorEastAsia" w:eastAsiaTheme="minorEastAsia"/>
        </w:rPr>
        <w:t xml:space="preserve"> </w:t>
      </w:r>
      <w:r>
        <w:rPr>
          <w:rFonts w:hint="eastAsia" w:asciiTheme="minorEastAsia" w:hAnsiTheme="minorEastAsia" w:eastAsiaTheme="minorEastAsia"/>
        </w:rPr>
        <w:t>实验期间不准将与实验无关的人员带入实验室，不得做与实验无关的事，一旦发现将作违规处理。</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asciiTheme="minorEastAsia" w:hAnsiTheme="minorEastAsia" w:eastAsiaTheme="minorEastAsia"/>
        </w:rPr>
        <w:t>6</w:t>
      </w:r>
      <w:r>
        <w:rPr>
          <w:rFonts w:hint="eastAsia" w:asciiTheme="minorEastAsia" w:hAnsiTheme="minorEastAsia" w:eastAsiaTheme="minorEastAsia"/>
        </w:rPr>
        <w:t>.</w:t>
      </w:r>
      <w:r>
        <w:rPr>
          <w:rFonts w:asciiTheme="minorEastAsia" w:hAnsiTheme="minorEastAsia" w:eastAsiaTheme="minorEastAsia"/>
        </w:rPr>
        <w:t xml:space="preserve"> </w:t>
      </w:r>
      <w:r>
        <w:rPr>
          <w:rFonts w:hint="eastAsia" w:asciiTheme="minorEastAsia" w:hAnsiTheme="minorEastAsia" w:eastAsiaTheme="minorEastAsia"/>
        </w:rPr>
        <w:t>实验完毕，按规定要求将仪器、设备等放归原处，打扫桌面及地面卫生，经指导教师检查同意后，方可离开实验室。</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w:t>
      </w:r>
      <w:r>
        <w:rPr>
          <w:rFonts w:asciiTheme="minorEastAsia" w:hAnsiTheme="minorEastAsia" w:eastAsiaTheme="minorEastAsia"/>
        </w:rPr>
        <w:t xml:space="preserve"> </w:t>
      </w:r>
      <w:r>
        <w:rPr>
          <w:rFonts w:hint="eastAsia" w:asciiTheme="minorEastAsia" w:hAnsiTheme="minorEastAsia" w:eastAsiaTheme="minorEastAsia"/>
        </w:rPr>
        <w:t>严禁不经许可将实验室的任何物品带出实验室，违者一经发现必严惩。</w:t>
      </w:r>
    </w:p>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
          <w:bCs/>
          <w:szCs w:val="21"/>
        </w:rPr>
      </w:pPr>
      <w:r>
        <w:rPr>
          <w:rFonts w:hint="eastAsia" w:asciiTheme="minorEastAsia" w:hAnsiTheme="minorEastAsia" w:eastAsiaTheme="minorEastAsia"/>
          <w:b/>
          <w:bCs/>
          <w:szCs w:val="21"/>
        </w:rPr>
        <w:t>（四）实验项目名称与学时分配</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3081"/>
        <w:gridCol w:w="910"/>
        <w:gridCol w:w="1115"/>
        <w:gridCol w:w="1476"/>
        <w:gridCol w:w="1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shd w:val="clear" w:color="auto" w:fill="EEECE1" w:themeFill="background2"/>
            <w:vAlign w:val="center"/>
          </w:tcPr>
          <w:p>
            <w:pPr>
              <w:keepNext w:val="0"/>
              <w:keepLines w:val="0"/>
              <w:pageBreakBefore w:val="0"/>
              <w:kinsoku/>
              <w:wordWrap/>
              <w:overflowPunct/>
              <w:topLinePunct w:val="0"/>
              <w:autoSpaceDE/>
              <w:autoSpaceDN/>
              <w:bidi w:val="0"/>
              <w:spacing w:line="360" w:lineRule="auto"/>
              <w:jc w:val="center"/>
              <w:textAlignment w:val="auto"/>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序号</w:t>
            </w:r>
          </w:p>
        </w:tc>
        <w:tc>
          <w:tcPr>
            <w:tcW w:w="3081" w:type="dxa"/>
            <w:shd w:val="clear" w:color="auto" w:fill="EEECE1" w:themeFill="background2"/>
            <w:vAlign w:val="center"/>
          </w:tcPr>
          <w:p>
            <w:pPr>
              <w:keepNext w:val="0"/>
              <w:keepLines w:val="0"/>
              <w:pageBreakBefore w:val="0"/>
              <w:kinsoku/>
              <w:wordWrap/>
              <w:overflowPunct/>
              <w:topLinePunct w:val="0"/>
              <w:autoSpaceDE/>
              <w:autoSpaceDN/>
              <w:bidi w:val="0"/>
              <w:spacing w:line="360" w:lineRule="auto"/>
              <w:jc w:val="center"/>
              <w:textAlignment w:val="auto"/>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实验名称</w:t>
            </w:r>
          </w:p>
        </w:tc>
        <w:tc>
          <w:tcPr>
            <w:tcW w:w="910" w:type="dxa"/>
            <w:shd w:val="clear" w:color="auto" w:fill="EEECE1" w:themeFill="background2"/>
            <w:vAlign w:val="center"/>
          </w:tcPr>
          <w:p>
            <w:pPr>
              <w:keepNext w:val="0"/>
              <w:keepLines w:val="0"/>
              <w:pageBreakBefore w:val="0"/>
              <w:kinsoku/>
              <w:wordWrap/>
              <w:overflowPunct/>
              <w:topLinePunct w:val="0"/>
              <w:autoSpaceDE/>
              <w:autoSpaceDN/>
              <w:bidi w:val="0"/>
              <w:spacing w:line="360" w:lineRule="auto"/>
              <w:jc w:val="center"/>
              <w:textAlignment w:val="auto"/>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学时</w:t>
            </w:r>
          </w:p>
        </w:tc>
        <w:tc>
          <w:tcPr>
            <w:tcW w:w="1115" w:type="dxa"/>
            <w:shd w:val="clear" w:color="auto" w:fill="EEECE1" w:themeFill="background2"/>
            <w:vAlign w:val="center"/>
          </w:tcPr>
          <w:p>
            <w:pPr>
              <w:keepNext w:val="0"/>
              <w:keepLines w:val="0"/>
              <w:pageBreakBefore w:val="0"/>
              <w:kinsoku/>
              <w:wordWrap/>
              <w:overflowPunct/>
              <w:topLinePunct w:val="0"/>
              <w:autoSpaceDE/>
              <w:autoSpaceDN/>
              <w:bidi w:val="0"/>
              <w:spacing w:line="360" w:lineRule="auto"/>
              <w:jc w:val="center"/>
              <w:textAlignment w:val="auto"/>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类型</w:t>
            </w:r>
          </w:p>
        </w:tc>
        <w:tc>
          <w:tcPr>
            <w:tcW w:w="1476" w:type="dxa"/>
            <w:shd w:val="clear" w:color="auto" w:fill="EEECE1" w:themeFill="background2"/>
            <w:vAlign w:val="center"/>
          </w:tcPr>
          <w:p>
            <w:pPr>
              <w:keepNext w:val="0"/>
              <w:keepLines w:val="0"/>
              <w:pageBreakBefore w:val="0"/>
              <w:kinsoku/>
              <w:wordWrap/>
              <w:overflowPunct/>
              <w:topLinePunct w:val="0"/>
              <w:autoSpaceDE/>
              <w:autoSpaceDN/>
              <w:bidi w:val="0"/>
              <w:spacing w:line="360" w:lineRule="auto"/>
              <w:jc w:val="center"/>
              <w:textAlignment w:val="auto"/>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实验要求</w:t>
            </w:r>
          </w:p>
        </w:tc>
        <w:tc>
          <w:tcPr>
            <w:tcW w:w="1328" w:type="dxa"/>
            <w:shd w:val="clear" w:color="auto" w:fill="EEECE1" w:themeFill="background2"/>
            <w:vAlign w:val="center"/>
          </w:tcPr>
          <w:p>
            <w:pPr>
              <w:keepNext w:val="0"/>
              <w:keepLines w:val="0"/>
              <w:pageBreakBefore w:val="0"/>
              <w:kinsoku/>
              <w:wordWrap/>
              <w:overflowPunct/>
              <w:topLinePunct w:val="0"/>
              <w:autoSpaceDE/>
              <w:autoSpaceDN/>
              <w:bidi w:val="0"/>
              <w:spacing w:line="360" w:lineRule="auto"/>
              <w:jc w:val="center"/>
              <w:textAlignment w:val="auto"/>
              <w:rPr>
                <w:rFonts w:cs="宋体" w:asciiTheme="minorEastAsia" w:hAnsiTheme="minorEastAsia" w:eastAsiaTheme="minorEastAsia"/>
                <w:b/>
                <w:bCs/>
                <w:sz w:val="18"/>
                <w:szCs w:val="18"/>
              </w:rPr>
            </w:pPr>
            <w:r>
              <w:rPr>
                <w:rFonts w:hint="eastAsia" w:cs="宋体" w:asciiTheme="minorEastAsia" w:hAnsiTheme="minorEastAsia" w:eastAsiaTheme="minorEastAsia"/>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19011</w:t>
            </w:r>
            <w:r>
              <w:rPr>
                <w:rFonts w:asciiTheme="minorEastAsia" w:hAnsiTheme="minorEastAsia" w:eastAsiaTheme="minorEastAsia"/>
                <w:sz w:val="18"/>
                <w:szCs w:val="18"/>
              </w:rPr>
              <w:t>114</w:t>
            </w:r>
            <w:r>
              <w:rPr>
                <w:rFonts w:hint="eastAsia" w:asciiTheme="minorEastAsia" w:hAnsiTheme="minorEastAsia" w:eastAsiaTheme="minorEastAsia"/>
                <w:sz w:val="18"/>
                <w:szCs w:val="18"/>
              </w:rPr>
              <w:t>h01</w:t>
            </w:r>
          </w:p>
        </w:tc>
        <w:tc>
          <w:tcPr>
            <w:tcW w:w="3081"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北方主要果树树种的识别</w:t>
            </w:r>
          </w:p>
        </w:tc>
        <w:tc>
          <w:tcPr>
            <w:tcW w:w="910"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验证性</w:t>
            </w:r>
          </w:p>
        </w:tc>
        <w:tc>
          <w:tcPr>
            <w:tcW w:w="147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必做</w:t>
            </w:r>
          </w:p>
        </w:tc>
        <w:tc>
          <w:tcPr>
            <w:tcW w:w="1328" w:type="dxa"/>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asciiTheme="minorEastAsia" w:hAnsiTheme="minorEastAsia" w:eastAsia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Align w:val="center"/>
          </w:tcPr>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19011</w:t>
            </w:r>
            <w:r>
              <w:rPr>
                <w:rFonts w:asciiTheme="minorEastAsia" w:hAnsiTheme="minorEastAsia" w:eastAsiaTheme="minorEastAsia"/>
                <w:sz w:val="18"/>
                <w:szCs w:val="18"/>
              </w:rPr>
              <w:t>114</w:t>
            </w:r>
            <w:r>
              <w:rPr>
                <w:rFonts w:hint="eastAsia" w:asciiTheme="minorEastAsia" w:hAnsiTheme="minorEastAsia" w:eastAsiaTheme="minorEastAsia"/>
                <w:sz w:val="18"/>
                <w:szCs w:val="18"/>
              </w:rPr>
              <w:t>h</w:t>
            </w:r>
            <w:r>
              <w:rPr>
                <w:rFonts w:asciiTheme="minorEastAsia" w:hAnsiTheme="minorEastAsia" w:eastAsiaTheme="minorEastAsia"/>
                <w:sz w:val="18"/>
                <w:szCs w:val="18"/>
              </w:rPr>
              <w:t>0</w:t>
            </w:r>
            <w:r>
              <w:rPr>
                <w:rFonts w:hint="eastAsia" w:asciiTheme="minorEastAsia" w:hAnsiTheme="minorEastAsia" w:eastAsiaTheme="minorEastAsia"/>
                <w:sz w:val="18"/>
                <w:szCs w:val="18"/>
              </w:rPr>
              <w:t>2</w:t>
            </w:r>
          </w:p>
        </w:tc>
        <w:tc>
          <w:tcPr>
            <w:tcW w:w="3081"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color w:val="0000FF"/>
                <w:sz w:val="18"/>
                <w:szCs w:val="18"/>
              </w:rPr>
            </w:pPr>
            <w:r>
              <w:rPr>
                <w:rFonts w:hint="eastAsia" w:asciiTheme="minorEastAsia" w:hAnsiTheme="minorEastAsia" w:eastAsiaTheme="minorEastAsia"/>
                <w:sz w:val="18"/>
                <w:szCs w:val="18"/>
              </w:rPr>
              <w:t>果实分类与果实构造观察</w:t>
            </w:r>
          </w:p>
        </w:tc>
        <w:tc>
          <w:tcPr>
            <w:tcW w:w="910"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asciiTheme="minorEastAsia" w:hAnsiTheme="minorEastAsia" w:eastAsiaTheme="minorEastAsia"/>
                <w:sz w:val="18"/>
                <w:szCs w:val="18"/>
              </w:rPr>
              <w:t>2</w:t>
            </w: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验证性</w:t>
            </w:r>
          </w:p>
        </w:tc>
        <w:tc>
          <w:tcPr>
            <w:tcW w:w="147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必做</w:t>
            </w:r>
          </w:p>
        </w:tc>
        <w:tc>
          <w:tcPr>
            <w:tcW w:w="1328" w:type="dxa"/>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Align w:val="center"/>
          </w:tcPr>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19011</w:t>
            </w:r>
            <w:r>
              <w:rPr>
                <w:rFonts w:asciiTheme="minorEastAsia" w:hAnsiTheme="minorEastAsia" w:eastAsiaTheme="minorEastAsia"/>
                <w:sz w:val="18"/>
                <w:szCs w:val="18"/>
              </w:rPr>
              <w:t>114</w:t>
            </w:r>
            <w:r>
              <w:rPr>
                <w:rFonts w:hint="eastAsia" w:asciiTheme="minorEastAsia" w:hAnsiTheme="minorEastAsia" w:eastAsiaTheme="minorEastAsia"/>
                <w:sz w:val="18"/>
                <w:szCs w:val="18"/>
              </w:rPr>
              <w:t>h</w:t>
            </w:r>
            <w:r>
              <w:rPr>
                <w:rFonts w:asciiTheme="minorEastAsia" w:hAnsiTheme="minorEastAsia" w:eastAsiaTheme="minorEastAsia"/>
                <w:sz w:val="18"/>
                <w:szCs w:val="18"/>
              </w:rPr>
              <w:t>03</w:t>
            </w:r>
          </w:p>
        </w:tc>
        <w:tc>
          <w:tcPr>
            <w:tcW w:w="3081"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果树物候期的观察</w:t>
            </w:r>
          </w:p>
        </w:tc>
        <w:tc>
          <w:tcPr>
            <w:tcW w:w="910"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asciiTheme="minorEastAsia" w:hAnsiTheme="minorEastAsia" w:eastAsiaTheme="minorEastAsia"/>
                <w:sz w:val="18"/>
                <w:szCs w:val="18"/>
              </w:rPr>
              <w:t>6</w:t>
            </w: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综合性</w:t>
            </w:r>
          </w:p>
        </w:tc>
        <w:tc>
          <w:tcPr>
            <w:tcW w:w="147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必做</w:t>
            </w:r>
          </w:p>
        </w:tc>
        <w:tc>
          <w:tcPr>
            <w:tcW w:w="1328" w:type="dxa"/>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Align w:val="center"/>
          </w:tcPr>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19011</w:t>
            </w:r>
            <w:r>
              <w:rPr>
                <w:rFonts w:asciiTheme="minorEastAsia" w:hAnsiTheme="minorEastAsia" w:eastAsiaTheme="minorEastAsia"/>
                <w:sz w:val="18"/>
                <w:szCs w:val="18"/>
              </w:rPr>
              <w:t>114</w:t>
            </w:r>
            <w:r>
              <w:rPr>
                <w:rFonts w:hint="eastAsia" w:asciiTheme="minorEastAsia" w:hAnsiTheme="minorEastAsia" w:eastAsiaTheme="minorEastAsia"/>
                <w:sz w:val="18"/>
                <w:szCs w:val="18"/>
              </w:rPr>
              <w:t>h</w:t>
            </w:r>
            <w:r>
              <w:rPr>
                <w:rFonts w:asciiTheme="minorEastAsia" w:hAnsiTheme="minorEastAsia" w:eastAsiaTheme="minorEastAsia"/>
                <w:sz w:val="18"/>
                <w:szCs w:val="18"/>
              </w:rPr>
              <w:t>04</w:t>
            </w:r>
          </w:p>
        </w:tc>
        <w:tc>
          <w:tcPr>
            <w:tcW w:w="3081"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果树嫁接和扦插实验</w:t>
            </w:r>
          </w:p>
        </w:tc>
        <w:tc>
          <w:tcPr>
            <w:tcW w:w="910"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asciiTheme="minorEastAsia" w:hAnsiTheme="minorEastAsia" w:eastAsiaTheme="minorEastAsia"/>
                <w:sz w:val="18"/>
                <w:szCs w:val="18"/>
              </w:rPr>
              <w:t>2</w:t>
            </w: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综合性</w:t>
            </w:r>
          </w:p>
        </w:tc>
        <w:tc>
          <w:tcPr>
            <w:tcW w:w="147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必做</w:t>
            </w:r>
          </w:p>
        </w:tc>
        <w:tc>
          <w:tcPr>
            <w:tcW w:w="1328" w:type="dxa"/>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Align w:val="center"/>
          </w:tcPr>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19011</w:t>
            </w:r>
            <w:r>
              <w:rPr>
                <w:rFonts w:asciiTheme="minorEastAsia" w:hAnsiTheme="minorEastAsia" w:eastAsiaTheme="minorEastAsia"/>
                <w:sz w:val="18"/>
                <w:szCs w:val="18"/>
              </w:rPr>
              <w:t>114</w:t>
            </w:r>
            <w:r>
              <w:rPr>
                <w:rFonts w:hint="eastAsia" w:asciiTheme="minorEastAsia" w:hAnsiTheme="minorEastAsia" w:eastAsiaTheme="minorEastAsia"/>
                <w:sz w:val="18"/>
                <w:szCs w:val="18"/>
              </w:rPr>
              <w:t>h</w:t>
            </w:r>
            <w:r>
              <w:rPr>
                <w:rFonts w:asciiTheme="minorEastAsia" w:hAnsiTheme="minorEastAsia" w:eastAsiaTheme="minorEastAsia"/>
                <w:sz w:val="18"/>
                <w:szCs w:val="18"/>
              </w:rPr>
              <w:t>05</w:t>
            </w:r>
          </w:p>
        </w:tc>
        <w:tc>
          <w:tcPr>
            <w:tcW w:w="3081"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果树花果管理</w:t>
            </w:r>
          </w:p>
        </w:tc>
        <w:tc>
          <w:tcPr>
            <w:tcW w:w="910"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4</w:t>
            </w: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综合性</w:t>
            </w:r>
          </w:p>
        </w:tc>
        <w:tc>
          <w:tcPr>
            <w:tcW w:w="147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必做</w:t>
            </w:r>
          </w:p>
        </w:tc>
        <w:tc>
          <w:tcPr>
            <w:tcW w:w="1328" w:type="dxa"/>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vAlign w:val="center"/>
          </w:tcPr>
          <w:p>
            <w:pPr>
              <w:keepNext w:val="0"/>
              <w:keepLines w:val="0"/>
              <w:pageBreakBefore w:val="0"/>
              <w:kinsoku/>
              <w:wordWrap/>
              <w:overflowPunct/>
              <w:topLinePunct w:val="0"/>
              <w:autoSpaceDE/>
              <w:autoSpaceDN/>
              <w:bidi w:val="0"/>
              <w:spacing w:line="360" w:lineRule="auto"/>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19011</w:t>
            </w:r>
            <w:r>
              <w:rPr>
                <w:rFonts w:asciiTheme="minorEastAsia" w:hAnsiTheme="minorEastAsia" w:eastAsiaTheme="minorEastAsia"/>
                <w:sz w:val="18"/>
                <w:szCs w:val="18"/>
              </w:rPr>
              <w:t>114</w:t>
            </w:r>
            <w:r>
              <w:rPr>
                <w:rFonts w:hint="eastAsia" w:asciiTheme="minorEastAsia" w:hAnsiTheme="minorEastAsia" w:eastAsiaTheme="minorEastAsia"/>
                <w:sz w:val="18"/>
                <w:szCs w:val="18"/>
              </w:rPr>
              <w:t>h</w:t>
            </w:r>
            <w:r>
              <w:rPr>
                <w:rFonts w:asciiTheme="minorEastAsia" w:hAnsiTheme="minorEastAsia" w:eastAsiaTheme="minorEastAsia"/>
                <w:sz w:val="18"/>
                <w:szCs w:val="18"/>
              </w:rPr>
              <w:t>06</w:t>
            </w:r>
          </w:p>
        </w:tc>
        <w:tc>
          <w:tcPr>
            <w:tcW w:w="3081"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现代标准化果园参观与学习</w:t>
            </w:r>
          </w:p>
        </w:tc>
        <w:tc>
          <w:tcPr>
            <w:tcW w:w="910"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asciiTheme="minorEastAsia" w:hAnsiTheme="minorEastAsia" w:eastAsiaTheme="minorEastAsia"/>
                <w:sz w:val="18"/>
                <w:szCs w:val="18"/>
              </w:rPr>
              <w:t>4</w:t>
            </w:r>
          </w:p>
        </w:tc>
        <w:tc>
          <w:tcPr>
            <w:tcW w:w="1115"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综合性</w:t>
            </w:r>
          </w:p>
        </w:tc>
        <w:tc>
          <w:tcPr>
            <w:tcW w:w="1476" w:type="dxa"/>
            <w:vAlign w:val="center"/>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hint="eastAsia" w:asciiTheme="minorEastAsia" w:hAnsiTheme="minorEastAsia" w:eastAsiaTheme="minorEastAsia"/>
                <w:sz w:val="18"/>
                <w:szCs w:val="18"/>
              </w:rPr>
              <w:t>必做</w:t>
            </w:r>
          </w:p>
        </w:tc>
        <w:tc>
          <w:tcPr>
            <w:tcW w:w="1328" w:type="dxa"/>
          </w:tcPr>
          <w:p>
            <w:pPr>
              <w:keepNext w:val="0"/>
              <w:keepLines w:val="0"/>
              <w:pageBreakBefore w:val="0"/>
              <w:kinsoku/>
              <w:wordWrap/>
              <w:overflowPunct/>
              <w:topLinePunct w:val="0"/>
              <w:autoSpaceDE/>
              <w:autoSpaceDN/>
              <w:bidi w:val="0"/>
              <w:spacing w:line="360" w:lineRule="auto"/>
              <w:jc w:val="center"/>
              <w:textAlignment w:val="auto"/>
              <w:rPr>
                <w:rFonts w:asciiTheme="minorEastAsia" w:hAnsiTheme="minorEastAsia" w:eastAsiaTheme="minorEastAsia"/>
                <w:sz w:val="18"/>
                <w:szCs w:val="18"/>
              </w:rPr>
            </w:pPr>
            <w:r>
              <w:rPr>
                <w:rFonts w:asciiTheme="minorEastAsia" w:hAnsiTheme="minorEastAsia" w:eastAsiaTheme="minorEastAsia"/>
                <w:sz w:val="18"/>
                <w:szCs w:val="18"/>
              </w:rPr>
              <w:t>5</w:t>
            </w:r>
          </w:p>
        </w:tc>
      </w:tr>
    </w:tbl>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
          <w:bCs/>
          <w:szCs w:val="21"/>
        </w:rPr>
      </w:pPr>
      <w:r>
        <w:rPr>
          <w:rFonts w:hint="eastAsia" w:asciiTheme="minorEastAsia" w:hAnsiTheme="minorEastAsia" w:eastAsiaTheme="minorEastAsia"/>
          <w:b/>
          <w:bCs/>
          <w:szCs w:val="21"/>
        </w:rPr>
        <w:t>（五）实验方式及基本要求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1. 通过实验室和田间教学，使学生牢固掌握果树栽培学研究方法与技术，初步掌握有关调查研究、观察分析、测试分析，科学试验方法和果树生产实践的基本技能</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2. 针对实验课内容，在教师指导下由学生自己动手完成，并撰写实验报告。</w:t>
      </w:r>
    </w:p>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bCs/>
          <w:szCs w:val="21"/>
        </w:rPr>
        <w:t>（六）</w:t>
      </w:r>
      <w:r>
        <w:rPr>
          <w:rFonts w:hint="eastAsia" w:asciiTheme="minorEastAsia" w:hAnsiTheme="minorEastAsia" w:eastAsiaTheme="minorEastAsia"/>
          <w:b/>
          <w:szCs w:val="21"/>
        </w:rPr>
        <w:t>实验内容安排</w:t>
      </w:r>
    </w:p>
    <w:p>
      <w:pPr>
        <w:pStyle w:val="20"/>
        <w:keepNext w:val="0"/>
        <w:keepLines w:val="0"/>
        <w:pageBreakBefore w:val="0"/>
        <w:kinsoku/>
        <w:wordWrap/>
        <w:overflowPunct/>
        <w:topLinePunct w:val="0"/>
        <w:autoSpaceDE/>
        <w:autoSpaceDN/>
        <w:bidi w:val="0"/>
        <w:snapToGrid w:val="0"/>
        <w:spacing w:before="0" w:beforeAutospacing="0" w:after="0" w:afterAutospacing="0" w:line="360" w:lineRule="auto"/>
        <w:textAlignment w:val="auto"/>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实验一</w:t>
      </w:r>
      <w:r>
        <w:rPr>
          <w:rFonts w:hint="eastAsia" w:asciiTheme="minorEastAsia" w:hAnsiTheme="minorEastAsia" w:eastAsiaTheme="minorEastAsia"/>
          <w:b/>
          <w:sz w:val="21"/>
          <w:szCs w:val="21"/>
        </w:rPr>
        <w:t>】北方主要果树树种的识别</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rPr>
      </w:pPr>
      <w:r>
        <w:rPr>
          <w:rFonts w:hint="eastAsia" w:asciiTheme="minorEastAsia" w:hAnsiTheme="minorEastAsia" w:eastAsiaTheme="minorEastAsia"/>
          <w:b/>
          <w:szCs w:val="21"/>
        </w:rPr>
        <w:t>1.实验学时：</w:t>
      </w:r>
      <w:r>
        <w:rPr>
          <w:rFonts w:hint="eastAsia" w:asciiTheme="minorEastAsia" w:hAnsiTheme="minorEastAsia" w:eastAsiaTheme="minorEastAsia"/>
          <w:bCs/>
        </w:rPr>
        <w:t>2</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2.实验目的：</w:t>
      </w:r>
      <w:r>
        <w:rPr>
          <w:rFonts w:hint="eastAsia" w:asciiTheme="minorEastAsia" w:hAnsiTheme="minorEastAsia" w:eastAsiaTheme="minorEastAsia"/>
          <w:bCs/>
          <w:szCs w:val="21"/>
        </w:rPr>
        <w:t>观察主要果树地上部植物学特征和生物学特性，根据叶片、花、枝条等基本特点能够识别常见果树，为初学果树栽培打好基础。要求通过观察、调查，能区别主要果树的品种，并能初步掌握它的主要特征特性。</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3.实验内容：</w:t>
      </w:r>
      <w:r>
        <w:rPr>
          <w:rFonts w:hint="eastAsia" w:asciiTheme="minorEastAsia" w:hAnsiTheme="minorEastAsia" w:eastAsiaTheme="minorEastAsia"/>
          <w:kern w:val="0"/>
          <w:szCs w:val="21"/>
        </w:rPr>
        <w:t>观察主要果树地上部植物学特征和生物学特性</w:t>
      </w:r>
      <w:r>
        <w:rPr>
          <w:rFonts w:hint="eastAsia" w:asciiTheme="minorEastAsia" w:hAnsiTheme="minorEastAsia" w:eastAsiaTheme="minorEastAsia"/>
          <w:bCs/>
          <w:szCs w:val="21"/>
        </w:rPr>
        <w:t>。</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kern w:val="0"/>
          <w:szCs w:val="21"/>
        </w:rPr>
      </w:pPr>
      <w:r>
        <w:rPr>
          <w:rFonts w:hint="eastAsia" w:asciiTheme="minorEastAsia" w:hAnsiTheme="minorEastAsia" w:eastAsiaTheme="minorEastAsia"/>
          <w:b/>
          <w:szCs w:val="21"/>
        </w:rPr>
        <w:t>4.实验要求：</w:t>
      </w:r>
      <w:r>
        <w:rPr>
          <w:rFonts w:hint="eastAsia" w:asciiTheme="minorEastAsia" w:hAnsiTheme="minorEastAsia" w:eastAsiaTheme="minorEastAsia"/>
          <w:kern w:val="0"/>
          <w:szCs w:val="21"/>
        </w:rPr>
        <w:t>通过观察、调查，能区别主要果树树种和品种，并能初步掌握它的主要特征特性。</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
          <w:szCs w:val="21"/>
        </w:rPr>
      </w:pPr>
      <w:r>
        <w:rPr>
          <w:rFonts w:hint="eastAsia" w:asciiTheme="minorEastAsia" w:hAnsiTheme="minorEastAsia" w:eastAsiaTheme="minorEastAsia"/>
          <w:b/>
          <w:szCs w:val="21"/>
        </w:rPr>
        <w:t>5.实验设备及器材：</w:t>
      </w:r>
      <w:r>
        <w:rPr>
          <w:rFonts w:hint="eastAsia" w:asciiTheme="minorEastAsia" w:hAnsiTheme="minorEastAsia" w:eastAsiaTheme="minorEastAsia"/>
          <w:bCs/>
          <w:szCs w:val="21"/>
        </w:rPr>
        <w:t>苹果、梨、葡萄、桃、杏、李、扁桃、枣、核桃、草莓、山楂、石榴和无花果等主要果树。调查表，铅笔，切果刀。</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cs="Arial Unicode MS" w:asciiTheme="minorEastAsia" w:hAnsiTheme="minorEastAsia" w:eastAsiaTheme="minorEastAsia"/>
          <w:b/>
          <w:kern w:val="0"/>
          <w:szCs w:val="21"/>
        </w:rPr>
      </w:pPr>
      <w:r>
        <w:rPr>
          <w:rFonts w:hint="eastAsia" w:cs="Arial Unicode MS" w:asciiTheme="minorEastAsia" w:hAnsiTheme="minorEastAsia" w:eastAsiaTheme="minorEastAsia"/>
          <w:b/>
          <w:kern w:val="0"/>
          <w:szCs w:val="21"/>
        </w:rPr>
        <w:t>【</w:t>
      </w:r>
      <w:r>
        <w:rPr>
          <w:rFonts w:cs="Arial Unicode MS" w:asciiTheme="minorEastAsia" w:hAnsiTheme="minorEastAsia" w:eastAsiaTheme="minorEastAsia"/>
          <w:b/>
          <w:kern w:val="0"/>
          <w:szCs w:val="21"/>
        </w:rPr>
        <w:t>实验</w:t>
      </w:r>
      <w:r>
        <w:rPr>
          <w:rFonts w:hint="eastAsia" w:cs="Arial Unicode MS" w:asciiTheme="minorEastAsia" w:hAnsiTheme="minorEastAsia" w:eastAsiaTheme="minorEastAsia"/>
          <w:b/>
          <w:kern w:val="0"/>
          <w:szCs w:val="21"/>
        </w:rPr>
        <w:t>二】果实分类与</w:t>
      </w:r>
      <w:r>
        <w:rPr>
          <w:rFonts w:hint="eastAsia" w:cs="微软雅黑" w:asciiTheme="minorEastAsia" w:hAnsiTheme="minorEastAsia" w:eastAsiaTheme="minorEastAsia"/>
          <w:b/>
          <w:kern w:val="0"/>
          <w:szCs w:val="21"/>
        </w:rPr>
        <w:t>果实</w:t>
      </w:r>
      <w:r>
        <w:rPr>
          <w:rFonts w:hint="eastAsia" w:cs="Arial Unicode MS" w:asciiTheme="minorEastAsia" w:hAnsiTheme="minorEastAsia" w:eastAsiaTheme="minorEastAsia"/>
          <w:b/>
          <w:kern w:val="0"/>
          <w:szCs w:val="21"/>
        </w:rPr>
        <w:t>构造观察</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rPr>
      </w:pPr>
      <w:r>
        <w:rPr>
          <w:rFonts w:hint="eastAsia" w:asciiTheme="minorEastAsia" w:hAnsiTheme="minorEastAsia" w:eastAsiaTheme="minorEastAsia"/>
          <w:b/>
          <w:szCs w:val="21"/>
        </w:rPr>
        <w:t>1.实验学时：</w:t>
      </w:r>
      <w:r>
        <w:rPr>
          <w:rFonts w:asciiTheme="minorEastAsia" w:hAnsiTheme="minorEastAsia" w:eastAsiaTheme="minorEastAsia"/>
          <w:bCs/>
        </w:rPr>
        <w:t>2</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2.实验目的：</w:t>
      </w:r>
      <w:r>
        <w:rPr>
          <w:rFonts w:hint="eastAsia" w:asciiTheme="minorEastAsia" w:hAnsiTheme="minorEastAsia" w:eastAsiaTheme="minorEastAsia"/>
          <w:bCs/>
          <w:szCs w:val="21"/>
        </w:rPr>
        <w:t>了解各类果实的解剖构造及可食部分与花器各部发育的关系。掌握各类果树果实构造的共同特点，为学习果树分类打基础。</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3.实验内容：</w:t>
      </w:r>
      <w:r>
        <w:rPr>
          <w:rFonts w:hint="eastAsia" w:asciiTheme="minorEastAsia" w:hAnsiTheme="minorEastAsia" w:eastAsiaTheme="minorEastAsia"/>
          <w:bCs/>
          <w:szCs w:val="21"/>
        </w:rPr>
        <w:t>将各类果实，用水果刀切成纵剖面和横剖面，观察果实内各部的构造。</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4.实验要求：</w:t>
      </w:r>
      <w:r>
        <w:rPr>
          <w:rFonts w:hint="eastAsia" w:asciiTheme="minorEastAsia" w:hAnsiTheme="minorEastAsia" w:eastAsiaTheme="minorEastAsia"/>
          <w:bCs/>
          <w:szCs w:val="21"/>
        </w:rPr>
        <w:t>通过本实验要求掌握各类果实的主要构造和分类依据。</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5.实验设备及器材：</w:t>
      </w:r>
      <w:r>
        <w:rPr>
          <w:rFonts w:hint="eastAsia" w:asciiTheme="minorEastAsia" w:hAnsiTheme="minorEastAsia" w:eastAsiaTheme="minorEastAsia"/>
          <w:bCs/>
          <w:szCs w:val="21"/>
        </w:rPr>
        <w:t>显微镜、放大镜。水果刀、刀片、绘图纸、铅笔橡皮。</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cs="Arial Unicode MS" w:asciiTheme="minorEastAsia" w:hAnsiTheme="minorEastAsia" w:eastAsiaTheme="minorEastAsia"/>
          <w:b/>
          <w:kern w:val="0"/>
          <w:szCs w:val="21"/>
        </w:rPr>
      </w:pPr>
      <w:r>
        <w:rPr>
          <w:rFonts w:hint="eastAsia" w:cs="Arial Unicode MS" w:asciiTheme="minorEastAsia" w:hAnsiTheme="minorEastAsia" w:eastAsiaTheme="minorEastAsia"/>
          <w:b/>
          <w:kern w:val="0"/>
          <w:szCs w:val="21"/>
        </w:rPr>
        <w:t>【</w:t>
      </w:r>
      <w:r>
        <w:rPr>
          <w:rFonts w:cs="Arial Unicode MS" w:asciiTheme="minorEastAsia" w:hAnsiTheme="minorEastAsia" w:eastAsiaTheme="minorEastAsia"/>
          <w:b/>
          <w:kern w:val="0"/>
          <w:szCs w:val="21"/>
        </w:rPr>
        <w:t>实验</w:t>
      </w:r>
      <w:r>
        <w:rPr>
          <w:rFonts w:hint="eastAsia" w:cs="Arial Unicode MS" w:asciiTheme="minorEastAsia" w:hAnsiTheme="minorEastAsia" w:eastAsiaTheme="minorEastAsia"/>
          <w:b/>
          <w:kern w:val="0"/>
          <w:szCs w:val="21"/>
        </w:rPr>
        <w:t>三】果树物候期的观察</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rPr>
      </w:pPr>
      <w:r>
        <w:rPr>
          <w:rFonts w:hint="eastAsia" w:asciiTheme="minorEastAsia" w:hAnsiTheme="minorEastAsia" w:eastAsiaTheme="minorEastAsia"/>
          <w:b/>
          <w:szCs w:val="21"/>
        </w:rPr>
        <w:t>1.实验学时：</w:t>
      </w:r>
      <w:r>
        <w:rPr>
          <w:rFonts w:asciiTheme="minorEastAsia" w:hAnsiTheme="minorEastAsia" w:eastAsiaTheme="minorEastAsia"/>
          <w:bCs/>
        </w:rPr>
        <w:t>6</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2.实验目的：</w:t>
      </w:r>
      <w:r>
        <w:rPr>
          <w:rFonts w:hint="eastAsia" w:asciiTheme="minorEastAsia" w:hAnsiTheme="minorEastAsia" w:eastAsiaTheme="minorEastAsia"/>
          <w:bCs/>
          <w:szCs w:val="21"/>
        </w:rPr>
        <w:t>物候期观察是了解果树生长结果规律的重要方法，也是制定果园周年管理技术措施的主要依据之一。通过实验熟悉物候期观察的项目和方法，并掌握当地几种主要果树的年周期发育规律。</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3.实验内容：</w:t>
      </w:r>
      <w:r>
        <w:rPr>
          <w:rFonts w:hint="eastAsia" w:asciiTheme="minorEastAsia" w:hAnsiTheme="minorEastAsia" w:eastAsiaTheme="minorEastAsia"/>
          <w:bCs/>
          <w:szCs w:val="21"/>
        </w:rPr>
        <w:t>物候期观察是周年进行的工作。本实验应在萌芽前作好准备工作，如选株，表格，制定记载要求等。随着物候期演变，按照物候期观察项目和标准，进行观察记载。</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
          <w:szCs w:val="21"/>
        </w:rPr>
      </w:pPr>
      <w:r>
        <w:rPr>
          <w:rFonts w:hint="eastAsia" w:asciiTheme="minorEastAsia" w:hAnsiTheme="minorEastAsia" w:eastAsiaTheme="minorEastAsia"/>
          <w:b/>
          <w:szCs w:val="21"/>
        </w:rPr>
        <w:t>4.实验要求：</w:t>
      </w:r>
      <w:r>
        <w:rPr>
          <w:rFonts w:hint="eastAsia" w:asciiTheme="minorEastAsia" w:hAnsiTheme="minorEastAsia" w:eastAsiaTheme="minorEastAsia"/>
          <w:szCs w:val="21"/>
        </w:rPr>
        <w:t>通过实验要求掌握物候期观察的项目和方法，并掌握当地几种主要果树的年周期发育规律。</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5.实验设备及器材：</w:t>
      </w:r>
      <w:r>
        <w:rPr>
          <w:rFonts w:hint="eastAsia" w:asciiTheme="minorEastAsia" w:hAnsiTheme="minorEastAsia" w:eastAsiaTheme="minorEastAsia"/>
          <w:bCs/>
          <w:szCs w:val="21"/>
        </w:rPr>
        <w:t>选择当地有代表性的树种品种作为供试株，进行观察。如苹果、梨、桃、葡萄等。用具：</w:t>
      </w:r>
      <w:r>
        <w:rPr>
          <w:rFonts w:asciiTheme="minorEastAsia" w:hAnsiTheme="minorEastAsia" w:eastAsiaTheme="minorEastAsia"/>
          <w:bCs/>
          <w:szCs w:val="21"/>
        </w:rPr>
        <w:t xml:space="preserve"> 钢卷尺，卡尺，扩大镜等</w:t>
      </w:r>
      <w:r>
        <w:rPr>
          <w:rFonts w:hint="eastAsia" w:asciiTheme="minorEastAsia" w:hAnsiTheme="minorEastAsia" w:eastAsiaTheme="minorEastAsia"/>
          <w:bCs/>
          <w:szCs w:val="21"/>
        </w:rPr>
        <w:t>。</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cs="Arial Unicode MS" w:asciiTheme="minorEastAsia" w:hAnsiTheme="minorEastAsia" w:eastAsiaTheme="minorEastAsia"/>
          <w:b/>
          <w:kern w:val="0"/>
          <w:szCs w:val="21"/>
        </w:rPr>
      </w:pPr>
      <w:r>
        <w:rPr>
          <w:rFonts w:hint="eastAsia" w:cs="Arial Unicode MS" w:asciiTheme="minorEastAsia" w:hAnsiTheme="minorEastAsia" w:eastAsiaTheme="minorEastAsia"/>
          <w:b/>
          <w:kern w:val="0"/>
          <w:szCs w:val="21"/>
        </w:rPr>
        <w:t>【</w:t>
      </w:r>
      <w:r>
        <w:rPr>
          <w:rFonts w:cs="Arial Unicode MS" w:asciiTheme="minorEastAsia" w:hAnsiTheme="minorEastAsia" w:eastAsiaTheme="minorEastAsia"/>
          <w:b/>
          <w:kern w:val="0"/>
          <w:szCs w:val="21"/>
        </w:rPr>
        <w:t>实验</w:t>
      </w:r>
      <w:r>
        <w:rPr>
          <w:rFonts w:hint="eastAsia" w:cs="Arial Unicode MS" w:asciiTheme="minorEastAsia" w:hAnsiTheme="minorEastAsia" w:eastAsiaTheme="minorEastAsia"/>
          <w:b/>
          <w:kern w:val="0"/>
          <w:szCs w:val="21"/>
        </w:rPr>
        <w:t>四】果树嫁接</w:t>
      </w:r>
      <w:r>
        <w:rPr>
          <w:rFonts w:hint="eastAsia" w:cs="微软雅黑" w:asciiTheme="minorEastAsia" w:hAnsiTheme="minorEastAsia" w:eastAsiaTheme="minorEastAsia"/>
          <w:b/>
          <w:kern w:val="0"/>
          <w:szCs w:val="21"/>
        </w:rPr>
        <w:t>和扦插</w:t>
      </w:r>
      <w:r>
        <w:rPr>
          <w:rFonts w:hint="eastAsia" w:cs="Arial Unicode MS" w:asciiTheme="minorEastAsia" w:hAnsiTheme="minorEastAsia" w:eastAsiaTheme="minorEastAsia"/>
          <w:b/>
          <w:kern w:val="0"/>
          <w:szCs w:val="21"/>
        </w:rPr>
        <w:t>实验</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rPr>
      </w:pPr>
      <w:r>
        <w:rPr>
          <w:rFonts w:hint="eastAsia" w:asciiTheme="minorEastAsia" w:hAnsiTheme="minorEastAsia" w:eastAsiaTheme="minorEastAsia"/>
          <w:b/>
          <w:szCs w:val="21"/>
        </w:rPr>
        <w:t>1.实验学时：</w:t>
      </w:r>
      <w:r>
        <w:rPr>
          <w:rFonts w:asciiTheme="minorEastAsia" w:hAnsiTheme="minorEastAsia" w:eastAsiaTheme="minorEastAsia"/>
          <w:bCs/>
        </w:rPr>
        <w:t>2</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2.实验目的：</w:t>
      </w:r>
      <w:r>
        <w:rPr>
          <w:rFonts w:hint="eastAsia" w:asciiTheme="minorEastAsia" w:hAnsiTheme="minorEastAsia" w:eastAsiaTheme="minorEastAsia"/>
          <w:szCs w:val="21"/>
        </w:rPr>
        <w:t>了解</w:t>
      </w:r>
      <w:r>
        <w:rPr>
          <w:rFonts w:asciiTheme="minorEastAsia" w:hAnsiTheme="minorEastAsia" w:eastAsiaTheme="minorEastAsia"/>
          <w:szCs w:val="21"/>
        </w:rPr>
        <w:t>果树嫁接成活</w:t>
      </w:r>
      <w:r>
        <w:rPr>
          <w:rFonts w:hint="eastAsia" w:asciiTheme="minorEastAsia" w:hAnsiTheme="minorEastAsia" w:eastAsiaTheme="minorEastAsia"/>
          <w:szCs w:val="21"/>
        </w:rPr>
        <w:t>和扦插育苗</w:t>
      </w:r>
      <w:r>
        <w:rPr>
          <w:rFonts w:asciiTheme="minorEastAsia" w:hAnsiTheme="minorEastAsia" w:eastAsiaTheme="minorEastAsia"/>
          <w:szCs w:val="21"/>
        </w:rPr>
        <w:t>的原理，</w:t>
      </w:r>
      <w:r>
        <w:rPr>
          <w:rFonts w:hint="eastAsia" w:asciiTheme="minorEastAsia" w:hAnsiTheme="minorEastAsia" w:eastAsiaTheme="minorEastAsia"/>
          <w:bCs/>
          <w:szCs w:val="21"/>
        </w:rPr>
        <w:t>掌握果树嫁接和扦插方法，了解果树嫁接及扦插的发育规律，掌握嫁接与扦插的基本操作技能。</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3.实验内容：</w:t>
      </w:r>
      <w:r>
        <w:rPr>
          <w:rFonts w:hint="eastAsia" w:asciiTheme="minorEastAsia" w:hAnsiTheme="minorEastAsia" w:eastAsiaTheme="minorEastAsia"/>
          <w:bCs/>
          <w:szCs w:val="21"/>
        </w:rPr>
        <w:t>对果树进行枝接或者芽接并做嫁接反应调查；扦插前的准备工作，扦插及扦插后的管理与成活率调查。</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
          <w:szCs w:val="21"/>
        </w:rPr>
      </w:pPr>
      <w:r>
        <w:rPr>
          <w:rFonts w:hint="eastAsia" w:asciiTheme="minorEastAsia" w:hAnsiTheme="minorEastAsia" w:eastAsiaTheme="minorEastAsia"/>
          <w:b/>
          <w:szCs w:val="21"/>
        </w:rPr>
        <w:t>4.实验要求：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（1）在规定的时间内完成，不能早退和迟到。</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（2）必须实验前进行复习和预习实验内容。</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（3）掌握果树嫁接和扦插的基本方法及综合运用。</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szCs w:val="21"/>
        </w:rPr>
      </w:pPr>
      <w:r>
        <w:rPr>
          <w:rFonts w:hint="eastAsia" w:asciiTheme="minorEastAsia" w:hAnsiTheme="minorEastAsia" w:eastAsiaTheme="minorEastAsia"/>
          <w:bCs/>
          <w:szCs w:val="21"/>
        </w:rPr>
        <w:t>（4）完成实验报告一份。</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5.实验设备及器材：</w:t>
      </w:r>
      <w:r>
        <w:rPr>
          <w:rFonts w:hint="eastAsia" w:asciiTheme="minorEastAsia" w:hAnsiTheme="minorEastAsia" w:eastAsiaTheme="minorEastAsia"/>
          <w:bCs/>
          <w:szCs w:val="21"/>
        </w:rPr>
        <w:t>选择当地有代表性的树种品种如</w:t>
      </w:r>
      <w:r>
        <w:rPr>
          <w:rFonts w:asciiTheme="minorEastAsia" w:hAnsiTheme="minorEastAsia" w:eastAsiaTheme="minorEastAsia"/>
          <w:bCs/>
          <w:szCs w:val="21"/>
        </w:rPr>
        <w:t>桃树、苹果树、梨树</w:t>
      </w:r>
      <w:r>
        <w:rPr>
          <w:rFonts w:hint="eastAsia" w:asciiTheme="minorEastAsia" w:hAnsiTheme="minorEastAsia" w:eastAsiaTheme="minorEastAsia"/>
          <w:bCs/>
          <w:szCs w:val="21"/>
        </w:rPr>
        <w:t>、葡萄树、石榴树</w:t>
      </w:r>
      <w:r>
        <w:rPr>
          <w:rFonts w:asciiTheme="minorEastAsia" w:hAnsiTheme="minorEastAsia" w:eastAsiaTheme="minorEastAsia"/>
          <w:bCs/>
          <w:szCs w:val="21"/>
        </w:rPr>
        <w:t>等</w:t>
      </w:r>
      <w:r>
        <w:rPr>
          <w:rFonts w:hint="eastAsia" w:asciiTheme="minorEastAsia" w:hAnsiTheme="minorEastAsia" w:eastAsiaTheme="minorEastAsia"/>
          <w:bCs/>
          <w:szCs w:val="21"/>
        </w:rPr>
        <w:t>作为供试株，</w:t>
      </w:r>
      <w:r>
        <w:rPr>
          <w:rFonts w:asciiTheme="minorEastAsia" w:hAnsiTheme="minorEastAsia" w:eastAsiaTheme="minorEastAsia"/>
          <w:bCs/>
          <w:szCs w:val="21"/>
        </w:rPr>
        <w:t>嫁接刀、枝剪、塑料膜</w:t>
      </w:r>
      <w:r>
        <w:rPr>
          <w:rFonts w:hint="eastAsia" w:asciiTheme="minorEastAsia" w:hAnsiTheme="minorEastAsia" w:eastAsiaTheme="minorEastAsia"/>
          <w:bCs/>
          <w:szCs w:val="21"/>
        </w:rPr>
        <w:t>、地膜等。</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cs="Arial Unicode MS" w:asciiTheme="minorEastAsia" w:hAnsiTheme="minorEastAsia" w:eastAsiaTheme="minorEastAsia"/>
          <w:b/>
          <w:kern w:val="0"/>
          <w:szCs w:val="21"/>
        </w:rPr>
      </w:pPr>
      <w:r>
        <w:rPr>
          <w:rFonts w:hint="eastAsia" w:cs="宋体" w:asciiTheme="minorEastAsia" w:hAnsiTheme="minorEastAsia" w:eastAsiaTheme="minorEastAsia"/>
          <w:b/>
          <w:kern w:val="0"/>
          <w:szCs w:val="21"/>
        </w:rPr>
        <w:t>【实验五】</w:t>
      </w:r>
      <w:r>
        <w:rPr>
          <w:rFonts w:hint="eastAsia" w:cs="微软雅黑" w:asciiTheme="minorEastAsia" w:hAnsiTheme="minorEastAsia" w:eastAsiaTheme="minorEastAsia"/>
          <w:b/>
          <w:kern w:val="0"/>
          <w:szCs w:val="21"/>
        </w:rPr>
        <w:t>果树花果管理</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rPr>
      </w:pPr>
      <w:r>
        <w:rPr>
          <w:rFonts w:hint="eastAsia" w:asciiTheme="minorEastAsia" w:hAnsiTheme="minorEastAsia" w:eastAsiaTheme="minorEastAsia"/>
          <w:b/>
          <w:szCs w:val="21"/>
        </w:rPr>
        <w:t>1.实验学时：</w:t>
      </w:r>
      <w:r>
        <w:rPr>
          <w:rFonts w:asciiTheme="minorEastAsia" w:hAnsiTheme="minorEastAsia" w:eastAsiaTheme="minorEastAsia"/>
          <w:bCs/>
        </w:rPr>
        <w:t>4</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2.实验目的：</w:t>
      </w:r>
      <w:r>
        <w:rPr>
          <w:rFonts w:hint="eastAsia" w:asciiTheme="minorEastAsia" w:hAnsiTheme="minorEastAsia" w:eastAsiaTheme="minorEastAsia"/>
          <w:szCs w:val="21"/>
        </w:rPr>
        <w:t>掌握果树的疏花、疏果、套袋的原则和方法</w:t>
      </w:r>
      <w:r>
        <w:rPr>
          <w:rFonts w:hint="eastAsia" w:asciiTheme="minorEastAsia" w:hAnsiTheme="minorEastAsia" w:eastAsiaTheme="minorEastAsia"/>
          <w:bCs/>
          <w:szCs w:val="21"/>
        </w:rPr>
        <w:t>。</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3.实验内容：</w:t>
      </w:r>
      <w:r>
        <w:rPr>
          <w:rFonts w:hint="eastAsia" w:asciiTheme="minorEastAsia" w:hAnsiTheme="minorEastAsia" w:eastAsiaTheme="minorEastAsia"/>
          <w:bCs/>
          <w:szCs w:val="21"/>
        </w:rPr>
        <w:t>果树（苹果、桃、葡萄等）的疏花、疏果和套袋。</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4.实验要求：</w:t>
      </w:r>
      <w:r>
        <w:rPr>
          <w:rFonts w:hint="eastAsia" w:asciiTheme="minorEastAsia" w:hAnsiTheme="minorEastAsia" w:eastAsiaTheme="minorEastAsia"/>
          <w:bCs/>
          <w:szCs w:val="21"/>
        </w:rPr>
        <w:t>通过实际操作，学习疏花、疏果和套袋的方法，并掌握不同树种采取的不同方法及其技术要点。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5.实验设备及器材：</w:t>
      </w:r>
      <w:r>
        <w:rPr>
          <w:rFonts w:hint="eastAsia" w:asciiTheme="minorEastAsia" w:hAnsiTheme="minorEastAsia" w:eastAsiaTheme="minorEastAsia"/>
          <w:bCs/>
          <w:szCs w:val="21"/>
        </w:rPr>
        <w:t>果袋、绑扎物、疏果药剂、剪刀、喷雾器等。</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cs="Arial Unicode MS" w:asciiTheme="minorEastAsia" w:hAnsiTheme="minorEastAsia" w:eastAsiaTheme="minorEastAsia"/>
          <w:b/>
          <w:kern w:val="0"/>
          <w:szCs w:val="21"/>
        </w:rPr>
      </w:pPr>
      <w:r>
        <w:rPr>
          <w:rFonts w:hint="eastAsia" w:cs="Arial Unicode MS" w:asciiTheme="minorEastAsia" w:hAnsiTheme="minorEastAsia" w:eastAsiaTheme="minorEastAsia"/>
          <w:b/>
          <w:kern w:val="0"/>
          <w:szCs w:val="21"/>
        </w:rPr>
        <w:t>【</w:t>
      </w:r>
      <w:r>
        <w:rPr>
          <w:rFonts w:cs="Arial Unicode MS" w:asciiTheme="minorEastAsia" w:hAnsiTheme="minorEastAsia" w:eastAsiaTheme="minorEastAsia"/>
          <w:b/>
          <w:kern w:val="0"/>
          <w:szCs w:val="21"/>
        </w:rPr>
        <w:t>实验</w:t>
      </w:r>
      <w:r>
        <w:rPr>
          <w:rFonts w:hint="eastAsia" w:cs="微软雅黑" w:asciiTheme="minorEastAsia" w:hAnsiTheme="minorEastAsia" w:eastAsiaTheme="minorEastAsia"/>
          <w:b/>
          <w:kern w:val="0"/>
          <w:szCs w:val="21"/>
        </w:rPr>
        <w:t>六</w:t>
      </w:r>
      <w:r>
        <w:rPr>
          <w:rFonts w:hint="eastAsia" w:cs="Arial Unicode MS" w:asciiTheme="minorEastAsia" w:hAnsiTheme="minorEastAsia" w:eastAsiaTheme="minorEastAsia"/>
          <w:b/>
          <w:kern w:val="0"/>
          <w:szCs w:val="21"/>
        </w:rPr>
        <w:t>】</w:t>
      </w:r>
      <w:r>
        <w:rPr>
          <w:rFonts w:hint="eastAsia" w:cs="微软雅黑" w:asciiTheme="minorEastAsia" w:hAnsiTheme="minorEastAsia" w:eastAsiaTheme="minorEastAsia"/>
          <w:b/>
          <w:kern w:val="0"/>
          <w:szCs w:val="21"/>
        </w:rPr>
        <w:t>现代标准化果园参观与学习</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rPr>
      </w:pPr>
      <w:r>
        <w:rPr>
          <w:rFonts w:hint="eastAsia" w:asciiTheme="minorEastAsia" w:hAnsiTheme="minorEastAsia" w:eastAsiaTheme="minorEastAsia"/>
          <w:b/>
          <w:szCs w:val="21"/>
        </w:rPr>
        <w:t>1.实验学时：</w:t>
      </w:r>
      <w:r>
        <w:rPr>
          <w:rFonts w:asciiTheme="minorEastAsia" w:hAnsiTheme="minorEastAsia" w:eastAsiaTheme="minorEastAsia"/>
          <w:bCs/>
        </w:rPr>
        <w:t>4</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2.实验目的：</w:t>
      </w:r>
      <w:r>
        <w:rPr>
          <w:rFonts w:hint="eastAsia" w:asciiTheme="minorEastAsia" w:hAnsiTheme="minorEastAsia" w:eastAsiaTheme="minorEastAsia"/>
          <w:bCs/>
          <w:szCs w:val="21"/>
        </w:rPr>
        <w:t>了解现代化果园的最新的建园特点和综合管理技术，</w:t>
      </w:r>
      <w:r>
        <w:rPr>
          <w:rFonts w:hint="eastAsia" w:asciiTheme="minorEastAsia" w:hAnsiTheme="minorEastAsia" w:eastAsiaTheme="minorEastAsia"/>
          <w:szCs w:val="21"/>
        </w:rPr>
        <w:t>能够结合生产实际分析其优劣</w:t>
      </w:r>
      <w:r>
        <w:rPr>
          <w:rFonts w:hint="eastAsia" w:asciiTheme="minorEastAsia" w:hAnsiTheme="minorEastAsia" w:eastAsiaTheme="minorEastAsia"/>
          <w:bCs/>
          <w:szCs w:val="21"/>
        </w:rPr>
        <w:t>。</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3.实验内容：</w:t>
      </w:r>
      <w:r>
        <w:rPr>
          <w:rFonts w:hint="eastAsia" w:asciiTheme="minorEastAsia" w:hAnsiTheme="minorEastAsia" w:eastAsiaTheme="minorEastAsia"/>
          <w:bCs/>
          <w:szCs w:val="21"/>
        </w:rPr>
        <w:t>通过访问，掌握部分历史资料。现场观察，以取得第一手资料和数据。要重点调查具有代表性的植株、特殊性植株和新产品、新技术的普及和推广。</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4.实验要求：</w:t>
      </w:r>
      <w:r>
        <w:rPr>
          <w:rFonts w:hint="eastAsia" w:asciiTheme="minorEastAsia" w:hAnsiTheme="minorEastAsia" w:eastAsiaTheme="minorEastAsia"/>
          <w:bCs/>
          <w:szCs w:val="21"/>
        </w:rPr>
        <w:t>根据调查材料和数据，对现有果园加以研究和分析，以便为果园管理和建园提出意见。</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heme="minorEastAsia" w:hAnsiTheme="minorEastAsia" w:eastAsiaTheme="minorEastAsia"/>
          <w:bCs/>
          <w:szCs w:val="21"/>
        </w:rPr>
      </w:pPr>
      <w:r>
        <w:rPr>
          <w:rFonts w:hint="eastAsia" w:asciiTheme="minorEastAsia" w:hAnsiTheme="minorEastAsia" w:eastAsiaTheme="minorEastAsia"/>
          <w:b/>
          <w:szCs w:val="21"/>
        </w:rPr>
        <w:t>5.实验设备及器材：</w:t>
      </w:r>
      <w:r>
        <w:rPr>
          <w:rFonts w:hint="eastAsia" w:asciiTheme="minorEastAsia" w:hAnsiTheme="minorEastAsia" w:eastAsiaTheme="minorEastAsia"/>
          <w:bCs/>
          <w:szCs w:val="21"/>
        </w:rPr>
        <w:t>记载纸，皮尺，卡尺，计数器。</w:t>
      </w:r>
    </w:p>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Cs/>
          <w:color w:val="0000FF"/>
          <w:szCs w:val="21"/>
        </w:rPr>
      </w:pPr>
      <w:r>
        <w:rPr>
          <w:rFonts w:hint="eastAsia" w:asciiTheme="minorEastAsia" w:hAnsiTheme="minorEastAsia" w:eastAsiaTheme="minorEastAsia"/>
          <w:b/>
          <w:szCs w:val="21"/>
        </w:rPr>
        <w:t>(七)</w:t>
      </w:r>
      <w:r>
        <w:rPr>
          <w:rFonts w:hint="eastAsia" w:asciiTheme="minorEastAsia" w:hAnsiTheme="minorEastAsia" w:eastAsiaTheme="minorEastAsia"/>
          <w:b/>
          <w:bCs/>
          <w:szCs w:val="21"/>
        </w:rPr>
        <w:t>考核方式及成绩评定</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rPr>
      </w:pPr>
      <w:r>
        <w:rPr>
          <w:rFonts w:hint="eastAsia" w:asciiTheme="minorEastAsia" w:hAnsiTheme="minorEastAsia" w:eastAsiaTheme="minorEastAsia"/>
          <w:bCs/>
        </w:rPr>
        <w:t>考核内容包括平时作业（实验过程）的认真程度；实验记录、实验报告、实验课程总结记录书写情况；仪器设备操作使用情况；遵守实验室工作规章制度情况等。成绩考核采用百分制或优秀、良好、中等、及格、不及格五级记分制，记入平时成绩。</w:t>
      </w:r>
    </w:p>
    <w:p>
      <w:pPr>
        <w:keepNext w:val="0"/>
        <w:keepLines w:val="0"/>
        <w:pageBreakBefore w:val="0"/>
        <w:kinsoku/>
        <w:wordWrap/>
        <w:overflowPunct/>
        <w:topLinePunct w:val="0"/>
        <w:autoSpaceDE/>
        <w:autoSpaceDN/>
        <w:bidi w:val="0"/>
        <w:snapToGrid w:val="0"/>
        <w:spacing w:line="360" w:lineRule="auto"/>
        <w:textAlignment w:val="auto"/>
        <w:rPr>
          <w:rFonts w:asciiTheme="minorEastAsia" w:hAnsiTheme="minorEastAsia" w:eastAsiaTheme="minorEastAsia"/>
          <w:b/>
          <w:szCs w:val="21"/>
        </w:rPr>
      </w:pPr>
      <w:r>
        <w:rPr>
          <w:rFonts w:hint="eastAsia" w:asciiTheme="minorEastAsia" w:hAnsiTheme="minorEastAsia" w:eastAsiaTheme="minorEastAsia"/>
          <w:b/>
          <w:szCs w:val="21"/>
        </w:rPr>
        <w:t>六</w:t>
      </w:r>
      <w:r>
        <w:rPr>
          <w:rFonts w:asciiTheme="minorEastAsia" w:hAnsiTheme="minorEastAsia" w:eastAsiaTheme="minorEastAsia"/>
          <w:b/>
          <w:szCs w:val="21"/>
        </w:rPr>
        <w:t>、</w:t>
      </w:r>
      <w:r>
        <w:rPr>
          <w:rFonts w:hint="eastAsia" w:asciiTheme="minorEastAsia" w:hAnsiTheme="minorEastAsia" w:eastAsiaTheme="minorEastAsia"/>
          <w:b/>
          <w:szCs w:val="21"/>
        </w:rPr>
        <w:t>课程思政</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在教学过程中，以学生为主体、教师为主导，深度挖掘《果树栽培学》相关的思政教育资源，形成较为完善的课程思政教育体系，提炼出大国三农、敬畏自然、责任担当、工匠精神四大思政主题，落实到具体的教学内容和环节。</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讲述果树资源时，着重强调中国果树栽培历史悠久、果树种质资源丰富，树立学生资源自信，厚植爱国主义情怀，增强学生民族自豪感和自信心，树立文化自信；通过讲述生态环境对果树生长发育的影响，引申到学生应树立珍爱自然、敬畏自然、保护环境的意识和责任。</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在教学实践中，采用“线上－线下”、“课前－课中－课后”、“课堂－实验室－田间”三条线组织教学，激发学生的主动性、积极性和创造性，引导学生更加了解果树产业在促进乡村振兴、巩固脱贫攻坚成果的作用，增强专业自豪感，树立“大国三农”情怀，培养学生的大国工匠精神。</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asciiTheme="minorEastAsia" w:hAnsiTheme="minorEastAsia" w:eastAsiaTheme="minorEastAsia"/>
          <w:color w:val="0000FF"/>
        </w:rPr>
      </w:pPr>
      <w:r>
        <w:rPr>
          <w:rFonts w:hint="eastAsia" w:asciiTheme="minorEastAsia" w:hAnsiTheme="minorEastAsia" w:eastAsiaTheme="minorEastAsia"/>
          <w:b/>
          <w:bCs/>
          <w:kern w:val="0"/>
          <w:szCs w:val="21"/>
        </w:rPr>
        <w:t>七</w:t>
      </w:r>
      <w:r>
        <w:rPr>
          <w:rFonts w:asciiTheme="minorEastAsia" w:hAnsiTheme="minorEastAsia" w:eastAsiaTheme="minorEastAsia"/>
          <w:b/>
          <w:bCs/>
          <w:kern w:val="0"/>
          <w:szCs w:val="21"/>
        </w:rPr>
        <w:t>、教材</w:t>
      </w:r>
      <w:r>
        <w:rPr>
          <w:rFonts w:hint="eastAsia" w:asciiTheme="minorEastAsia" w:hAnsiTheme="minorEastAsia" w:eastAsiaTheme="minorEastAsia"/>
          <w:b/>
          <w:bCs/>
          <w:kern w:val="0"/>
          <w:szCs w:val="21"/>
        </w:rPr>
        <w:t>及教学参考书</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Theme="minorEastAsia" w:hAnsiTheme="minorEastAsia" w:eastAsiaTheme="minorEastAsia"/>
          <w:b/>
          <w:bCs/>
          <w:kern w:val="0"/>
          <w:szCs w:val="21"/>
        </w:rPr>
      </w:pPr>
      <w:r>
        <w:rPr>
          <w:rFonts w:asciiTheme="minorEastAsia" w:hAnsiTheme="minorEastAsia" w:eastAsiaTheme="minorEastAsia"/>
          <w:b/>
          <w:bCs/>
          <w:kern w:val="0"/>
          <w:szCs w:val="21"/>
        </w:rPr>
        <w:t>1</w:t>
      </w:r>
      <w:r>
        <w:rPr>
          <w:rFonts w:hint="eastAsia" w:asciiTheme="minorEastAsia" w:hAnsiTheme="minorEastAsia" w:eastAsiaTheme="minorEastAsia"/>
          <w:b/>
          <w:bCs/>
          <w:kern w:val="0"/>
          <w:szCs w:val="21"/>
        </w:rPr>
        <w:t>.</w:t>
      </w:r>
      <w:r>
        <w:rPr>
          <w:rFonts w:asciiTheme="minorEastAsia" w:hAnsiTheme="minorEastAsia" w:eastAsiaTheme="minorEastAsia"/>
          <w:b/>
          <w:bCs/>
          <w:kern w:val="0"/>
          <w:szCs w:val="21"/>
        </w:rPr>
        <w:t xml:space="preserve"> </w:t>
      </w:r>
      <w:r>
        <w:rPr>
          <w:rFonts w:hint="eastAsia" w:asciiTheme="minorEastAsia" w:hAnsiTheme="minorEastAsia" w:eastAsiaTheme="minorEastAsia"/>
          <w:b/>
          <w:bCs/>
          <w:kern w:val="0"/>
          <w:szCs w:val="21"/>
        </w:rPr>
        <w:t>选用教材：</w:t>
      </w:r>
    </w:p>
    <w:p>
      <w:pPr>
        <w:keepNext w:val="0"/>
        <w:keepLines w:val="0"/>
        <w:pageBreakBefore w:val="0"/>
        <w:kinsoku/>
        <w:wordWrap/>
        <w:overflowPunct/>
        <w:topLinePunct w:val="0"/>
        <w:autoSpaceDE/>
        <w:autoSpaceDN/>
        <w:bidi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1</w:t>
      </w:r>
      <w:r>
        <w:rPr>
          <w:rFonts w:hint="eastAsia" w:asciiTheme="minorEastAsia" w:hAnsiTheme="minorEastAsia" w:eastAsiaTheme="minorEastAsia"/>
          <w:bCs/>
          <w:kern w:val="0"/>
          <w:szCs w:val="21"/>
        </w:rPr>
        <w:t>）理论课教材：</w:t>
      </w:r>
      <w:r>
        <w:rPr>
          <w:rFonts w:asciiTheme="minorEastAsia" w:hAnsiTheme="minorEastAsia" w:eastAsiaTheme="minorEastAsia"/>
          <w:kern w:val="0"/>
          <w:szCs w:val="21"/>
        </w:rPr>
        <w:t>果树栽培学总论(第四版)</w:t>
      </w:r>
      <w:r>
        <w:rPr>
          <w:rFonts w:hint="eastAsia" w:asciiTheme="minorEastAsia" w:hAnsiTheme="minorEastAsia" w:eastAsiaTheme="minorEastAsia"/>
          <w:kern w:val="0"/>
          <w:szCs w:val="21"/>
        </w:rPr>
        <w:t>，</w:t>
      </w:r>
      <w:r>
        <w:rPr>
          <w:rFonts w:hint="eastAsia" w:asciiTheme="minorEastAsia" w:hAnsiTheme="minorEastAsia" w:eastAsiaTheme="minorEastAsia"/>
          <w:bCs/>
          <w:kern w:val="0"/>
          <w:szCs w:val="21"/>
        </w:rPr>
        <w:t>张玉星，中国农业出版社，2011</w:t>
      </w:r>
    </w:p>
    <w:p>
      <w:pPr>
        <w:keepNext w:val="0"/>
        <w:keepLines w:val="0"/>
        <w:pageBreakBefore w:val="0"/>
        <w:kinsoku/>
        <w:wordWrap/>
        <w:overflowPunct/>
        <w:topLinePunct w:val="0"/>
        <w:autoSpaceDE/>
        <w:autoSpaceDN/>
        <w:bidi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2</w:t>
      </w:r>
      <w:r>
        <w:rPr>
          <w:rFonts w:hint="eastAsia" w:asciiTheme="minorEastAsia" w:hAnsiTheme="minorEastAsia" w:eastAsiaTheme="minorEastAsia"/>
          <w:bCs/>
          <w:kern w:val="0"/>
          <w:szCs w:val="21"/>
        </w:rPr>
        <w:t>）实验课教材：园艺植物栽培学实验指导，范双喜，张玉星，中国农业出版社，2011</w:t>
      </w:r>
    </w:p>
    <w:p>
      <w:pPr>
        <w:keepNext w:val="0"/>
        <w:keepLines w:val="0"/>
        <w:pageBreakBefore w:val="0"/>
        <w:kinsoku/>
        <w:wordWrap/>
        <w:overflowPunct/>
        <w:topLinePunct w:val="0"/>
        <w:autoSpaceDE/>
        <w:autoSpaceDN/>
        <w:bidi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3</w:t>
      </w:r>
      <w:r>
        <w:rPr>
          <w:rFonts w:hint="eastAsia" w:asciiTheme="minorEastAsia" w:hAnsiTheme="minorEastAsia" w:eastAsiaTheme="minorEastAsia"/>
          <w:bCs/>
          <w:kern w:val="0"/>
          <w:szCs w:val="21"/>
        </w:rPr>
        <w:t>）实习指导书：自编</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Theme="minorEastAsia" w:hAnsiTheme="minorEastAsia" w:eastAsiaTheme="minorEastAsia"/>
          <w:kern w:val="0"/>
          <w:szCs w:val="21"/>
        </w:rPr>
      </w:pPr>
      <w:r>
        <w:rPr>
          <w:rFonts w:asciiTheme="minorEastAsia" w:hAnsiTheme="minorEastAsia" w:eastAsiaTheme="minorEastAsia"/>
          <w:b/>
          <w:bCs/>
          <w:kern w:val="0"/>
          <w:szCs w:val="21"/>
        </w:rPr>
        <w:t>2</w:t>
      </w:r>
      <w:r>
        <w:rPr>
          <w:rFonts w:hint="eastAsia" w:asciiTheme="minorEastAsia" w:hAnsiTheme="minorEastAsia" w:eastAsiaTheme="minorEastAsia"/>
          <w:b/>
          <w:bCs/>
          <w:kern w:val="0"/>
          <w:szCs w:val="21"/>
        </w:rPr>
        <w:t>.</w:t>
      </w:r>
      <w:r>
        <w:rPr>
          <w:rFonts w:asciiTheme="minorEastAsia" w:hAnsiTheme="minorEastAsia" w:eastAsiaTheme="minorEastAsia"/>
          <w:b/>
          <w:bCs/>
          <w:kern w:val="0"/>
          <w:szCs w:val="21"/>
        </w:rPr>
        <w:t xml:space="preserve"> </w:t>
      </w:r>
      <w:r>
        <w:rPr>
          <w:rFonts w:hint="eastAsia" w:asciiTheme="minorEastAsia" w:hAnsiTheme="minorEastAsia" w:eastAsiaTheme="minorEastAsia"/>
          <w:b/>
          <w:bCs/>
          <w:kern w:val="0"/>
          <w:szCs w:val="21"/>
        </w:rPr>
        <w:t>参考书：</w:t>
      </w:r>
    </w:p>
    <w:p>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（1）</w:t>
      </w:r>
      <w:r>
        <w:rPr>
          <w:rFonts w:asciiTheme="minorEastAsia" w:hAnsiTheme="minorEastAsia" w:eastAsiaTheme="minorEastAsia"/>
          <w:bCs/>
          <w:kern w:val="0"/>
          <w:szCs w:val="21"/>
        </w:rPr>
        <w:t xml:space="preserve">果树栽培学各论 </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第三版</w:t>
      </w:r>
      <w:r>
        <w:rPr>
          <w:rFonts w:hint="eastAsia" w:asciiTheme="minorEastAsia" w:hAnsiTheme="minorEastAsia" w:eastAsiaTheme="minorEastAsia"/>
          <w:bCs/>
          <w:kern w:val="0"/>
          <w:szCs w:val="21"/>
        </w:rPr>
        <w:t>），张玉星，中国农业出版社，2012</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jc w:val="left"/>
        <w:textAlignment w:val="auto"/>
        <w:rPr>
          <w:rFonts w:asciiTheme="minorEastAsia" w:hAnsiTheme="minorEastAsia" w:eastAsiaTheme="minorEastAsia"/>
          <w:kern w:val="0"/>
          <w:szCs w:val="21"/>
        </w:rPr>
      </w:pP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2</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园艺植物栽培学</w:t>
      </w:r>
      <w:r>
        <w:rPr>
          <w:rFonts w:hint="eastAsia" w:asciiTheme="minorEastAsia" w:hAnsiTheme="minorEastAsia" w:eastAsiaTheme="minorEastAsia"/>
          <w:bCs/>
          <w:kern w:val="0"/>
          <w:szCs w:val="21"/>
        </w:rPr>
        <w:t xml:space="preserve"> ，</w:t>
      </w:r>
      <w:r>
        <w:rPr>
          <w:rFonts w:asciiTheme="minorEastAsia" w:hAnsiTheme="minorEastAsia" w:eastAsiaTheme="minorEastAsia"/>
          <w:bCs/>
          <w:kern w:val="0"/>
          <w:szCs w:val="21"/>
        </w:rPr>
        <w:t>李光晨、范双喜</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中国农业大学出版社，200</w:t>
      </w:r>
      <w:r>
        <w:rPr>
          <w:rFonts w:hint="eastAsia" w:asciiTheme="minorEastAsia" w:hAnsiTheme="minorEastAsia" w:eastAsiaTheme="minorEastAsia"/>
          <w:bCs/>
          <w:kern w:val="0"/>
          <w:szCs w:val="21"/>
        </w:rPr>
        <w:t>7</w:t>
      </w:r>
    </w:p>
    <w:p>
      <w:pPr>
        <w:pStyle w:val="2"/>
        <w:keepNext w:val="0"/>
        <w:keepLines w:val="0"/>
        <w:pageBreakBefore w:val="0"/>
        <w:shd w:val="clear" w:color="auto" w:fill="FFFFFF"/>
        <w:kinsoku/>
        <w:wordWrap/>
        <w:overflowPunct/>
        <w:topLinePunct w:val="0"/>
        <w:autoSpaceDE/>
        <w:autoSpaceDN/>
        <w:bidi w:val="0"/>
        <w:adjustRightInd w:val="0"/>
        <w:snapToGrid w:val="0"/>
        <w:spacing w:beforeAutospacing="0" w:after="0" w:afterAutospacing="0" w:line="360" w:lineRule="auto"/>
        <w:ind w:firstLine="210" w:firstLineChars="100"/>
        <w:textAlignment w:val="auto"/>
        <w:rPr>
          <w:rFonts w:cs="Times New Roman" w:asciiTheme="minorEastAsia" w:hAnsiTheme="minorEastAsia" w:eastAsiaTheme="minorEastAsia"/>
          <w:b w:val="0"/>
          <w:kern w:val="0"/>
          <w:sz w:val="21"/>
          <w:szCs w:val="21"/>
        </w:rPr>
      </w:pPr>
      <w:r>
        <w:rPr>
          <w:rFonts w:hint="eastAsia" w:cs="Times New Roman" w:asciiTheme="minorEastAsia" w:hAnsiTheme="minorEastAsia" w:eastAsiaTheme="minorEastAsia"/>
          <w:b w:val="0"/>
          <w:kern w:val="0"/>
          <w:sz w:val="21"/>
          <w:szCs w:val="21"/>
        </w:rPr>
        <w:t>（3）</w:t>
      </w:r>
      <w:r>
        <w:rPr>
          <w:rFonts w:cs="Times New Roman" w:asciiTheme="minorEastAsia" w:hAnsiTheme="minorEastAsia" w:eastAsiaTheme="minorEastAsia"/>
          <w:b w:val="0"/>
          <w:kern w:val="0"/>
          <w:sz w:val="21"/>
          <w:szCs w:val="21"/>
        </w:rPr>
        <w:t>现代果树生物学</w:t>
      </w:r>
      <w:r>
        <w:rPr>
          <w:rFonts w:hint="eastAsia" w:cs="Times New Roman" w:asciiTheme="minorEastAsia" w:hAnsiTheme="minorEastAsia" w:eastAsiaTheme="minorEastAsia"/>
          <w:b w:val="0"/>
          <w:kern w:val="0"/>
          <w:sz w:val="21"/>
          <w:szCs w:val="21"/>
        </w:rPr>
        <w:t>，</w:t>
      </w:r>
      <w:r>
        <w:fldChar w:fldCharType="begin"/>
      </w:r>
      <w:r>
        <w:instrText xml:space="preserve"> HYPERLINK "http://search.dangdang.com/?key2=%C0%EE%CC%EC%D6%D2&amp;medium=01&amp;category_path=01.00.00.00.00.00" \t "_blank" </w:instrText>
      </w:r>
      <w:r>
        <w:fldChar w:fldCharType="separate"/>
      </w:r>
      <w:r>
        <w:rPr>
          <w:rFonts w:cs="Times New Roman" w:asciiTheme="minorEastAsia" w:hAnsiTheme="minorEastAsia" w:eastAsiaTheme="minorEastAsia"/>
          <w:b w:val="0"/>
          <w:kern w:val="0"/>
          <w:sz w:val="21"/>
          <w:szCs w:val="21"/>
        </w:rPr>
        <w:t>李天忠</w:t>
      </w:r>
      <w:r>
        <w:rPr>
          <w:rFonts w:cs="Times New Roman" w:asciiTheme="minorEastAsia" w:hAnsiTheme="minorEastAsia" w:eastAsiaTheme="minorEastAsia"/>
          <w:b w:val="0"/>
          <w:kern w:val="0"/>
          <w:sz w:val="21"/>
          <w:szCs w:val="21"/>
        </w:rPr>
        <w:fldChar w:fldCharType="end"/>
      </w:r>
      <w:r>
        <w:rPr>
          <w:rFonts w:cs="Times New Roman" w:asciiTheme="minorEastAsia" w:hAnsiTheme="minorEastAsia" w:eastAsiaTheme="minorEastAsia"/>
          <w:b w:val="0"/>
          <w:kern w:val="0"/>
          <w:sz w:val="21"/>
          <w:szCs w:val="21"/>
        </w:rPr>
        <w:t>，</w:t>
      </w:r>
      <w:r>
        <w:fldChar w:fldCharType="begin"/>
      </w:r>
      <w:r>
        <w:instrText xml:space="preserve"> HYPERLINK "http://search.dangdang.com/?key2=%D5%C5%D6%BE%BA%EA&amp;medium=01&amp;category_path=01.00.00.00.00.00" \t "_blank" </w:instrText>
      </w:r>
      <w:r>
        <w:fldChar w:fldCharType="separate"/>
      </w:r>
      <w:r>
        <w:rPr>
          <w:rFonts w:cs="Times New Roman" w:asciiTheme="minorEastAsia" w:hAnsiTheme="minorEastAsia" w:eastAsiaTheme="minorEastAsia"/>
          <w:b w:val="0"/>
          <w:kern w:val="0"/>
          <w:sz w:val="21"/>
          <w:szCs w:val="21"/>
        </w:rPr>
        <w:t>张志宏</w:t>
      </w:r>
      <w:r>
        <w:rPr>
          <w:rFonts w:cs="Times New Roman" w:asciiTheme="minorEastAsia" w:hAnsiTheme="minorEastAsia" w:eastAsiaTheme="minorEastAsia"/>
          <w:b w:val="0"/>
          <w:kern w:val="0"/>
          <w:sz w:val="21"/>
          <w:szCs w:val="21"/>
        </w:rPr>
        <w:fldChar w:fldCharType="end"/>
      </w:r>
      <w:r>
        <w:rPr>
          <w:rFonts w:hint="eastAsia" w:cs="Times New Roman" w:asciiTheme="minorEastAsia" w:hAnsiTheme="minorEastAsia" w:eastAsiaTheme="minorEastAsia"/>
          <w:b w:val="0"/>
          <w:kern w:val="0"/>
          <w:sz w:val="21"/>
          <w:szCs w:val="21"/>
        </w:rPr>
        <w:t>，</w:t>
      </w:r>
      <w:r>
        <w:fldChar w:fldCharType="begin"/>
      </w:r>
      <w:r>
        <w:instrText xml:space="preserve"> HYPERLINK "http://search.dangdang.com/?key3=%BF%C6%D1%A7%B3%F6%B0%E6%C9%E7&amp;medium=01&amp;category_path=01.00.00.00.00.00" \t "_blank" </w:instrText>
      </w:r>
      <w:r>
        <w:fldChar w:fldCharType="separate"/>
      </w:r>
      <w:r>
        <w:rPr>
          <w:rFonts w:cs="Times New Roman" w:asciiTheme="minorEastAsia" w:hAnsiTheme="minorEastAsia" w:eastAsiaTheme="minorEastAsia"/>
          <w:b w:val="0"/>
          <w:kern w:val="0"/>
          <w:sz w:val="21"/>
          <w:szCs w:val="21"/>
        </w:rPr>
        <w:t>科学出版社</w:t>
      </w:r>
      <w:r>
        <w:rPr>
          <w:rFonts w:cs="Times New Roman" w:asciiTheme="minorEastAsia" w:hAnsiTheme="minorEastAsia" w:eastAsiaTheme="minorEastAsia"/>
          <w:b w:val="0"/>
          <w:kern w:val="0"/>
          <w:sz w:val="21"/>
          <w:szCs w:val="21"/>
        </w:rPr>
        <w:fldChar w:fldCharType="end"/>
      </w:r>
      <w:r>
        <w:rPr>
          <w:rFonts w:cs="Times New Roman" w:asciiTheme="minorEastAsia" w:hAnsiTheme="minorEastAsia" w:eastAsiaTheme="minorEastAsia"/>
          <w:b w:val="0"/>
          <w:kern w:val="0"/>
          <w:sz w:val="21"/>
          <w:szCs w:val="21"/>
        </w:rPr>
        <w:t>出版</w:t>
      </w:r>
      <w:r>
        <w:rPr>
          <w:rFonts w:hint="eastAsia" w:cs="Times New Roman" w:asciiTheme="minorEastAsia" w:hAnsiTheme="minorEastAsia" w:eastAsiaTheme="minorEastAsia"/>
          <w:b w:val="0"/>
          <w:kern w:val="0"/>
          <w:sz w:val="21"/>
          <w:szCs w:val="21"/>
        </w:rPr>
        <w:t>，2008</w:t>
      </w:r>
    </w:p>
    <w:p>
      <w:pPr>
        <w:keepNext w:val="0"/>
        <w:keepLines w:val="0"/>
        <w:pageBreakBefore w:val="0"/>
        <w:kinsoku/>
        <w:wordWrap/>
        <w:overflowPunct/>
        <w:topLinePunct w:val="0"/>
        <w:autoSpaceDE/>
        <w:autoSpaceDN/>
        <w:bidi w:val="0"/>
        <w:adjustRightInd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（4）</w:t>
      </w:r>
      <w:r>
        <w:rPr>
          <w:rFonts w:asciiTheme="minorEastAsia" w:hAnsiTheme="minorEastAsia" w:eastAsiaTheme="minorEastAsia"/>
          <w:bCs/>
          <w:kern w:val="0"/>
          <w:szCs w:val="21"/>
        </w:rPr>
        <w:t>果树栽培学</w:t>
      </w:r>
      <w:r>
        <w:rPr>
          <w:rFonts w:hint="eastAsia" w:asciiTheme="minorEastAsia" w:hAnsiTheme="minorEastAsia" w:eastAsiaTheme="minorEastAsia"/>
          <w:bCs/>
          <w:kern w:val="0"/>
          <w:szCs w:val="21"/>
        </w:rPr>
        <w:t>，</w:t>
      </w:r>
      <w:r>
        <w:fldChar w:fldCharType="begin"/>
      </w:r>
      <w:r>
        <w:instrText xml:space="preserve"> HYPERLINK "http://search.dangdang.com/?key2=%D6%A3%D6%C7%C1%FA&amp;medium=01&amp;category_path=01.00.00.00.00.00" \t "_blank" </w:instrText>
      </w:r>
      <w:r>
        <w:fldChar w:fldCharType="separate"/>
      </w:r>
      <w:r>
        <w:rPr>
          <w:rFonts w:asciiTheme="minorEastAsia" w:hAnsiTheme="minorEastAsia" w:eastAsiaTheme="minorEastAsia"/>
          <w:bCs/>
          <w:kern w:val="0"/>
          <w:szCs w:val="21"/>
        </w:rPr>
        <w:t>郑智龙</w:t>
      </w:r>
      <w:r>
        <w:rPr>
          <w:rFonts w:asciiTheme="minorEastAsia" w:hAnsiTheme="minorEastAsia" w:eastAsiaTheme="minorEastAsia"/>
          <w:bCs/>
          <w:kern w:val="0"/>
          <w:szCs w:val="21"/>
        </w:rPr>
        <w:fldChar w:fldCharType="end"/>
      </w:r>
      <w:r>
        <w:rPr>
          <w:rFonts w:hint="eastAsia" w:asciiTheme="minorEastAsia" w:hAnsiTheme="minorEastAsia" w:eastAsiaTheme="minorEastAsia"/>
          <w:bCs/>
          <w:kern w:val="0"/>
          <w:szCs w:val="21"/>
        </w:rPr>
        <w:t>，</w:t>
      </w:r>
      <w:r>
        <w:fldChar w:fldCharType="begin"/>
      </w:r>
      <w:r>
        <w:instrText xml:space="preserve"> HYPERLINK "http://search.dangdang.com/?key3=%D6%D0%B9%FA%C5%A9%D2%B5%BF%C6%D1%A7%BC%BC%CA%F5%B3%F6%B0%E6%C9%E7&amp;medium=01&amp;category_path=01.00.00.00.00.00" \t "_blank" </w:instrText>
      </w:r>
      <w:r>
        <w:fldChar w:fldCharType="separate"/>
      </w:r>
      <w:r>
        <w:rPr>
          <w:rFonts w:asciiTheme="minorEastAsia" w:hAnsiTheme="minorEastAsia" w:eastAsiaTheme="minorEastAsia"/>
          <w:bCs/>
          <w:kern w:val="0"/>
          <w:szCs w:val="21"/>
        </w:rPr>
        <w:t>中国农业科学技术出版社</w:t>
      </w:r>
      <w:r>
        <w:rPr>
          <w:rFonts w:asciiTheme="minorEastAsia" w:hAnsiTheme="minorEastAsia" w:eastAsiaTheme="minorEastAsia"/>
          <w:bCs/>
          <w:kern w:val="0"/>
          <w:szCs w:val="21"/>
        </w:rPr>
        <w:fldChar w:fldCharType="end"/>
      </w:r>
      <w:r>
        <w:rPr>
          <w:rFonts w:asciiTheme="minorEastAsia" w:hAnsiTheme="minorEastAsia" w:eastAsiaTheme="minorEastAsia"/>
          <w:bCs/>
          <w:kern w:val="0"/>
          <w:szCs w:val="21"/>
        </w:rPr>
        <w:t>出版</w:t>
      </w:r>
      <w:r>
        <w:rPr>
          <w:rFonts w:hint="eastAsia" w:asciiTheme="minorEastAsia" w:hAnsiTheme="minorEastAsia" w:eastAsiaTheme="minorEastAsia"/>
          <w:bCs/>
          <w:kern w:val="0"/>
          <w:szCs w:val="21"/>
        </w:rPr>
        <w:t>，</w:t>
      </w:r>
      <w:r>
        <w:rPr>
          <w:rFonts w:asciiTheme="minorEastAsia" w:hAnsiTheme="minorEastAsia" w:eastAsiaTheme="minorEastAsia"/>
          <w:bCs/>
          <w:kern w:val="0"/>
          <w:szCs w:val="21"/>
        </w:rPr>
        <w:t>2011</w:t>
      </w:r>
    </w:p>
    <w:p>
      <w:pPr>
        <w:pStyle w:val="2"/>
        <w:keepNext w:val="0"/>
        <w:keepLines w:val="0"/>
        <w:pageBreakBefore w:val="0"/>
        <w:shd w:val="clear" w:color="auto" w:fill="FFFFFF"/>
        <w:kinsoku/>
        <w:wordWrap/>
        <w:overflowPunct/>
        <w:topLinePunct w:val="0"/>
        <w:autoSpaceDE/>
        <w:autoSpaceDN/>
        <w:bidi w:val="0"/>
        <w:adjustRightInd w:val="0"/>
        <w:snapToGrid w:val="0"/>
        <w:spacing w:beforeAutospacing="0" w:after="0" w:afterAutospacing="0" w:line="360" w:lineRule="auto"/>
        <w:ind w:firstLine="210" w:firstLineChars="100"/>
        <w:textAlignment w:val="auto"/>
        <w:rPr>
          <w:rFonts w:cs="Times New Roman" w:asciiTheme="minorEastAsia" w:hAnsiTheme="minorEastAsia" w:eastAsiaTheme="minorEastAsia"/>
          <w:b w:val="0"/>
          <w:kern w:val="0"/>
          <w:sz w:val="21"/>
          <w:szCs w:val="21"/>
        </w:rPr>
      </w:pPr>
      <w:r>
        <w:rPr>
          <w:rFonts w:hint="eastAsia" w:cs="Times New Roman" w:asciiTheme="minorEastAsia" w:hAnsiTheme="minorEastAsia" w:eastAsiaTheme="minorEastAsia"/>
          <w:b w:val="0"/>
          <w:kern w:val="0"/>
          <w:sz w:val="21"/>
          <w:szCs w:val="21"/>
        </w:rPr>
        <w:t>（</w:t>
      </w:r>
      <w:r>
        <w:rPr>
          <w:rFonts w:cs="Times New Roman" w:asciiTheme="minorEastAsia" w:hAnsiTheme="minorEastAsia" w:eastAsiaTheme="minorEastAsia"/>
          <w:b w:val="0"/>
          <w:kern w:val="0"/>
          <w:sz w:val="21"/>
          <w:szCs w:val="21"/>
        </w:rPr>
        <w:t>5</w:t>
      </w:r>
      <w:r>
        <w:rPr>
          <w:rFonts w:hint="eastAsia" w:cs="Times New Roman" w:asciiTheme="minorEastAsia" w:hAnsiTheme="minorEastAsia" w:eastAsiaTheme="minorEastAsia"/>
          <w:b w:val="0"/>
          <w:kern w:val="0"/>
          <w:sz w:val="21"/>
          <w:szCs w:val="21"/>
        </w:rPr>
        <w:t>）</w:t>
      </w:r>
      <w:r>
        <w:rPr>
          <w:rFonts w:cs="Times New Roman" w:asciiTheme="minorEastAsia" w:hAnsiTheme="minorEastAsia" w:eastAsiaTheme="minorEastAsia"/>
          <w:b w:val="0"/>
          <w:kern w:val="0"/>
          <w:sz w:val="21"/>
          <w:szCs w:val="21"/>
        </w:rPr>
        <w:t>苹果栽培学</w:t>
      </w:r>
      <w:r>
        <w:rPr>
          <w:rFonts w:hint="eastAsia" w:cs="Times New Roman" w:asciiTheme="minorEastAsia" w:hAnsiTheme="minorEastAsia" w:eastAsiaTheme="minorEastAsia"/>
          <w:b w:val="0"/>
          <w:kern w:val="0"/>
          <w:sz w:val="21"/>
          <w:szCs w:val="21"/>
        </w:rPr>
        <w:t>，</w:t>
      </w:r>
      <w:r>
        <w:fldChar w:fldCharType="begin"/>
      </w:r>
      <w:r>
        <w:instrText xml:space="preserve"> HYPERLINK "http://search.dangdang.com/?key2=%CD%F5%D3%EE%C1%D8&amp;medium=01&amp;category_path=01.00.00.00.00.00" \t "_blank" </w:instrText>
      </w:r>
      <w:r>
        <w:fldChar w:fldCharType="separate"/>
      </w:r>
      <w:r>
        <w:rPr>
          <w:rFonts w:cs="Times New Roman" w:asciiTheme="minorEastAsia" w:hAnsiTheme="minorEastAsia" w:eastAsiaTheme="minorEastAsia"/>
          <w:b w:val="0"/>
          <w:kern w:val="0"/>
          <w:sz w:val="21"/>
          <w:szCs w:val="21"/>
        </w:rPr>
        <w:t>王宇霖</w:t>
      </w:r>
      <w:r>
        <w:rPr>
          <w:rFonts w:cs="Times New Roman" w:asciiTheme="minorEastAsia" w:hAnsiTheme="minorEastAsia" w:eastAsiaTheme="minorEastAsia"/>
          <w:b w:val="0"/>
          <w:kern w:val="0"/>
          <w:sz w:val="21"/>
          <w:szCs w:val="21"/>
        </w:rPr>
        <w:fldChar w:fldCharType="end"/>
      </w:r>
      <w:r>
        <w:rPr>
          <w:rFonts w:hint="eastAsia" w:cs="Times New Roman" w:asciiTheme="minorEastAsia" w:hAnsiTheme="minorEastAsia" w:eastAsiaTheme="minorEastAsia"/>
          <w:b w:val="0"/>
          <w:kern w:val="0"/>
          <w:sz w:val="21"/>
          <w:szCs w:val="21"/>
        </w:rPr>
        <w:t>，</w:t>
      </w:r>
      <w:r>
        <w:fldChar w:fldCharType="begin"/>
      </w:r>
      <w:r>
        <w:instrText xml:space="preserve"> HYPERLINK "http://search.dangdang.com/?key3=%BF%C6%D1%A7%B3%F6%B0%E6%C9%E7&amp;medium=01&amp;category_path=01.00.00.00.00.00" \t "_blank" </w:instrText>
      </w:r>
      <w:r>
        <w:fldChar w:fldCharType="separate"/>
      </w:r>
      <w:r>
        <w:rPr>
          <w:rFonts w:cs="Times New Roman" w:asciiTheme="minorEastAsia" w:hAnsiTheme="minorEastAsia" w:eastAsiaTheme="minorEastAsia"/>
          <w:b w:val="0"/>
          <w:kern w:val="0"/>
          <w:sz w:val="21"/>
          <w:szCs w:val="21"/>
        </w:rPr>
        <w:t>科学出版社</w:t>
      </w:r>
      <w:r>
        <w:rPr>
          <w:rFonts w:cs="Times New Roman" w:asciiTheme="minorEastAsia" w:hAnsiTheme="minorEastAsia" w:eastAsiaTheme="minorEastAsia"/>
          <w:b w:val="0"/>
          <w:kern w:val="0"/>
          <w:sz w:val="21"/>
          <w:szCs w:val="21"/>
        </w:rPr>
        <w:fldChar w:fldCharType="end"/>
      </w:r>
      <w:r>
        <w:rPr>
          <w:rFonts w:cs="Times New Roman" w:asciiTheme="minorEastAsia" w:hAnsiTheme="minorEastAsia" w:eastAsiaTheme="minorEastAsia"/>
          <w:b w:val="0"/>
          <w:kern w:val="0"/>
          <w:sz w:val="21"/>
          <w:szCs w:val="21"/>
        </w:rPr>
        <w:t>出版时间</w:t>
      </w:r>
      <w:r>
        <w:rPr>
          <w:rFonts w:hint="eastAsia" w:cs="Times New Roman" w:asciiTheme="minorEastAsia" w:hAnsiTheme="minorEastAsia" w:eastAsiaTheme="minorEastAsia"/>
          <w:b w:val="0"/>
          <w:kern w:val="0"/>
          <w:sz w:val="21"/>
          <w:szCs w:val="21"/>
        </w:rPr>
        <w:t>，</w:t>
      </w:r>
      <w:r>
        <w:rPr>
          <w:rFonts w:cs="Times New Roman" w:asciiTheme="minorEastAsia" w:hAnsiTheme="minorEastAsia" w:eastAsiaTheme="minorEastAsia"/>
          <w:b w:val="0"/>
          <w:kern w:val="0"/>
          <w:sz w:val="21"/>
          <w:szCs w:val="21"/>
        </w:rPr>
        <w:t>2011</w:t>
      </w:r>
    </w:p>
    <w:p>
      <w:pPr>
        <w:pStyle w:val="2"/>
        <w:keepNext w:val="0"/>
        <w:keepLines w:val="0"/>
        <w:pageBreakBefore w:val="0"/>
        <w:shd w:val="clear" w:color="auto" w:fill="FFFFFF"/>
        <w:kinsoku/>
        <w:wordWrap/>
        <w:overflowPunct/>
        <w:topLinePunct w:val="0"/>
        <w:autoSpaceDE/>
        <w:autoSpaceDN/>
        <w:bidi w:val="0"/>
        <w:adjustRightInd w:val="0"/>
        <w:snapToGrid w:val="0"/>
        <w:spacing w:beforeAutospacing="0" w:after="0" w:afterAutospacing="0" w:line="360" w:lineRule="auto"/>
        <w:ind w:firstLine="210" w:firstLineChars="100"/>
        <w:textAlignment w:val="auto"/>
        <w:rPr>
          <w:rFonts w:cs="Times New Roman" w:asciiTheme="minorEastAsia" w:hAnsiTheme="minorEastAsia" w:eastAsiaTheme="minorEastAsia"/>
          <w:b w:val="0"/>
          <w:kern w:val="0"/>
          <w:sz w:val="21"/>
          <w:szCs w:val="21"/>
        </w:rPr>
      </w:pPr>
      <w:r>
        <w:rPr>
          <w:rFonts w:hint="eastAsia" w:cs="Times New Roman" w:asciiTheme="minorEastAsia" w:hAnsiTheme="minorEastAsia" w:eastAsiaTheme="minorEastAsia"/>
          <w:b w:val="0"/>
          <w:kern w:val="0"/>
          <w:sz w:val="21"/>
          <w:szCs w:val="21"/>
        </w:rPr>
        <w:t>（</w:t>
      </w:r>
      <w:r>
        <w:rPr>
          <w:rFonts w:cs="Times New Roman" w:asciiTheme="minorEastAsia" w:hAnsiTheme="minorEastAsia" w:eastAsiaTheme="minorEastAsia"/>
          <w:b w:val="0"/>
          <w:kern w:val="0"/>
          <w:sz w:val="21"/>
          <w:szCs w:val="21"/>
        </w:rPr>
        <w:t>6</w:t>
      </w:r>
      <w:r>
        <w:rPr>
          <w:rFonts w:hint="eastAsia" w:cs="Times New Roman" w:asciiTheme="minorEastAsia" w:hAnsiTheme="minorEastAsia" w:eastAsiaTheme="minorEastAsia"/>
          <w:b w:val="0"/>
          <w:kern w:val="0"/>
          <w:sz w:val="21"/>
          <w:szCs w:val="21"/>
        </w:rPr>
        <w:t>）</w:t>
      </w:r>
      <w:r>
        <w:rPr>
          <w:rFonts w:cs="Times New Roman" w:asciiTheme="minorEastAsia" w:hAnsiTheme="minorEastAsia" w:eastAsiaTheme="minorEastAsia"/>
          <w:b w:val="0"/>
          <w:kern w:val="0"/>
          <w:sz w:val="21"/>
          <w:szCs w:val="21"/>
        </w:rPr>
        <w:t>园艺概论</w:t>
      </w:r>
      <w:r>
        <w:rPr>
          <w:rFonts w:hint="eastAsia" w:cs="Times New Roman" w:asciiTheme="minorEastAsia" w:hAnsiTheme="minorEastAsia" w:eastAsiaTheme="minorEastAsia"/>
          <w:b w:val="0"/>
          <w:kern w:val="0"/>
          <w:sz w:val="21"/>
          <w:szCs w:val="21"/>
        </w:rPr>
        <w:t>，</w:t>
      </w:r>
      <w:r>
        <w:fldChar w:fldCharType="begin"/>
      </w:r>
      <w:r>
        <w:instrText xml:space="preserve"> HYPERLINK "http://search.dangdang.com/?key2=%B3%CC%D6%C7%BB%DB&amp;medium=01&amp;category_path=01.00.00.00.00.00" \t "_blank" </w:instrText>
      </w:r>
      <w:r>
        <w:fldChar w:fldCharType="separate"/>
      </w:r>
      <w:r>
        <w:rPr>
          <w:rFonts w:cs="Times New Roman" w:asciiTheme="minorEastAsia" w:hAnsiTheme="minorEastAsia" w:eastAsiaTheme="minorEastAsia"/>
          <w:b w:val="0"/>
          <w:kern w:val="0"/>
          <w:sz w:val="21"/>
          <w:szCs w:val="21"/>
        </w:rPr>
        <w:t>程智慧</w:t>
      </w:r>
      <w:r>
        <w:rPr>
          <w:rFonts w:cs="Times New Roman" w:asciiTheme="minorEastAsia" w:hAnsiTheme="minorEastAsia" w:eastAsiaTheme="minorEastAsia"/>
          <w:b w:val="0"/>
          <w:kern w:val="0"/>
          <w:sz w:val="21"/>
          <w:szCs w:val="21"/>
        </w:rPr>
        <w:fldChar w:fldCharType="end"/>
      </w:r>
      <w:r>
        <w:rPr>
          <w:rFonts w:hint="eastAsia" w:cs="Times New Roman" w:asciiTheme="minorEastAsia" w:hAnsiTheme="minorEastAsia" w:eastAsiaTheme="minorEastAsia"/>
          <w:b w:val="0"/>
          <w:kern w:val="0"/>
          <w:sz w:val="21"/>
          <w:szCs w:val="21"/>
        </w:rPr>
        <w:t>，</w:t>
      </w:r>
      <w:r>
        <w:rPr>
          <w:rFonts w:cs="Times New Roman" w:asciiTheme="minorEastAsia" w:hAnsiTheme="minorEastAsia" w:eastAsiaTheme="minorEastAsia"/>
          <w:b w:val="0"/>
          <w:kern w:val="0"/>
          <w:sz w:val="21"/>
          <w:szCs w:val="21"/>
        </w:rPr>
        <w:t>科学出版社</w:t>
      </w:r>
      <w:r>
        <w:rPr>
          <w:rFonts w:hint="eastAsia" w:cs="Times New Roman" w:asciiTheme="minorEastAsia" w:hAnsiTheme="minorEastAsia" w:eastAsiaTheme="minorEastAsia"/>
          <w:b w:val="0"/>
          <w:kern w:val="0"/>
          <w:sz w:val="21"/>
          <w:szCs w:val="21"/>
        </w:rPr>
        <w:t>，</w:t>
      </w:r>
      <w:r>
        <w:rPr>
          <w:rFonts w:cs="Times New Roman" w:asciiTheme="minorEastAsia" w:hAnsiTheme="minorEastAsia" w:eastAsiaTheme="minorEastAsia"/>
          <w:b w:val="0"/>
          <w:kern w:val="0"/>
          <w:sz w:val="21"/>
          <w:szCs w:val="21"/>
        </w:rPr>
        <w:t>2016</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Theme="minorEastAsia" w:hAnsiTheme="minorEastAsia" w:eastAsiaTheme="minorEastAsia"/>
          <w:b/>
          <w:kern w:val="0"/>
          <w:szCs w:val="21"/>
        </w:rPr>
      </w:pPr>
      <w:r>
        <w:rPr>
          <w:rFonts w:asciiTheme="minorEastAsia" w:hAnsiTheme="minorEastAsia" w:eastAsiaTheme="minorEastAsia"/>
          <w:b/>
          <w:kern w:val="0"/>
          <w:szCs w:val="21"/>
        </w:rPr>
        <w:t>3</w:t>
      </w:r>
      <w:r>
        <w:rPr>
          <w:rFonts w:hint="eastAsia" w:asciiTheme="minorEastAsia" w:hAnsiTheme="minorEastAsia" w:eastAsiaTheme="minorEastAsia"/>
          <w:b/>
          <w:kern w:val="0"/>
          <w:szCs w:val="21"/>
        </w:rPr>
        <w:t>.</w:t>
      </w:r>
      <w:r>
        <w:rPr>
          <w:rFonts w:asciiTheme="minorEastAsia" w:hAnsiTheme="minorEastAsia" w:eastAsiaTheme="minorEastAsia"/>
          <w:b/>
          <w:kern w:val="0"/>
          <w:szCs w:val="21"/>
        </w:rPr>
        <w:t xml:space="preserve"> </w:t>
      </w:r>
      <w:r>
        <w:rPr>
          <w:rFonts w:hint="eastAsia" w:asciiTheme="minorEastAsia" w:hAnsiTheme="minorEastAsia" w:eastAsiaTheme="minorEastAsia"/>
          <w:b/>
          <w:kern w:val="0"/>
          <w:szCs w:val="21"/>
        </w:rPr>
        <w:t>推荐网站：</w:t>
      </w:r>
    </w:p>
    <w:p>
      <w:pPr>
        <w:keepNext w:val="0"/>
        <w:keepLines w:val="0"/>
        <w:pageBreakBefore w:val="0"/>
        <w:kinsoku/>
        <w:wordWrap/>
        <w:overflowPunct/>
        <w:topLinePunct w:val="0"/>
        <w:autoSpaceDE/>
        <w:autoSpaceDN/>
        <w:bidi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 xml:space="preserve">（1）中国果树网 </w:t>
      </w:r>
      <w:r>
        <w:fldChar w:fldCharType="begin"/>
      </w:r>
      <w:r>
        <w:instrText xml:space="preserve"> HYPERLINK "http://www.zgbfgsw.com/" </w:instrText>
      </w:r>
      <w:r>
        <w:fldChar w:fldCharType="separate"/>
      </w:r>
      <w:r>
        <w:rPr>
          <w:rFonts w:asciiTheme="minorEastAsia" w:hAnsiTheme="minorEastAsia" w:eastAsiaTheme="minorEastAsia"/>
          <w:bCs/>
          <w:kern w:val="0"/>
          <w:szCs w:val="21"/>
        </w:rPr>
        <w:t>http://www.zgbfgsw.com/</w:t>
      </w:r>
      <w:r>
        <w:rPr>
          <w:rFonts w:asciiTheme="minorEastAsia" w:hAnsiTheme="minorEastAsia" w:eastAsiaTheme="minorEastAsia"/>
          <w:bCs/>
          <w:kern w:val="0"/>
          <w:szCs w:val="21"/>
        </w:rPr>
        <w:fldChar w:fldCharType="end"/>
      </w:r>
    </w:p>
    <w:p>
      <w:pPr>
        <w:keepNext w:val="0"/>
        <w:keepLines w:val="0"/>
        <w:pageBreakBefore w:val="0"/>
        <w:kinsoku/>
        <w:wordWrap/>
        <w:overflowPunct/>
        <w:topLinePunct w:val="0"/>
        <w:autoSpaceDE/>
        <w:autoSpaceDN/>
        <w:bidi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（2）</w:t>
      </w:r>
      <w:r>
        <w:fldChar w:fldCharType="begin"/>
      </w:r>
      <w:r>
        <w:instrText xml:space="preserve"> HYPERLINK "file:///C:\\Users\\42149\\Desktop\\果树栽培学大纲%202019年修订\\中国果品苗木网" </w:instrText>
      </w:r>
      <w:r>
        <w:fldChar w:fldCharType="separate"/>
      </w:r>
      <w:r>
        <w:rPr>
          <w:rStyle w:val="27"/>
          <w:rFonts w:asciiTheme="minorEastAsia" w:hAnsiTheme="minorEastAsia" w:eastAsiaTheme="minorEastAsia"/>
          <w:bCs/>
          <w:color w:val="auto"/>
          <w:kern w:val="0"/>
          <w:szCs w:val="21"/>
          <w:u w:val="none"/>
        </w:rPr>
        <w:t>中国果品苗木网</w:t>
      </w:r>
      <w:r>
        <w:rPr>
          <w:rStyle w:val="27"/>
          <w:rFonts w:asciiTheme="minorEastAsia" w:hAnsiTheme="minorEastAsia" w:eastAsiaTheme="minorEastAsia"/>
          <w:bCs/>
          <w:color w:val="auto"/>
          <w:kern w:val="0"/>
          <w:szCs w:val="21"/>
          <w:u w:val="none"/>
        </w:rPr>
        <w:fldChar w:fldCharType="end"/>
      </w:r>
      <w:r>
        <w:rPr>
          <w:rFonts w:asciiTheme="minorEastAsia" w:hAnsiTheme="minorEastAsia" w:eastAsiaTheme="minorEastAsia"/>
          <w:bCs/>
          <w:kern w:val="0"/>
          <w:szCs w:val="21"/>
        </w:rPr>
        <w:t xml:space="preserve">- </w:t>
      </w:r>
      <w:r>
        <w:fldChar w:fldCharType="begin"/>
      </w:r>
      <w:r>
        <w:instrText xml:space="preserve"> HYPERLINK "http://www.chinagpmm.net/index.asp" </w:instrText>
      </w:r>
      <w:r>
        <w:fldChar w:fldCharType="separate"/>
      </w:r>
      <w:r>
        <w:rPr>
          <w:rFonts w:asciiTheme="minorEastAsia" w:hAnsiTheme="minorEastAsia" w:eastAsiaTheme="minorEastAsia"/>
          <w:bCs/>
          <w:kern w:val="0"/>
          <w:szCs w:val="21"/>
        </w:rPr>
        <w:t>http://www.chinagpmm.net/index.asp</w:t>
      </w:r>
      <w:r>
        <w:rPr>
          <w:rFonts w:asciiTheme="minorEastAsia" w:hAnsiTheme="minorEastAsia" w:eastAsiaTheme="minorEastAsia"/>
          <w:bCs/>
          <w:kern w:val="0"/>
          <w:szCs w:val="21"/>
        </w:rPr>
        <w:fldChar w:fldCharType="end"/>
      </w:r>
    </w:p>
    <w:p>
      <w:pPr>
        <w:keepNext w:val="0"/>
        <w:keepLines w:val="0"/>
        <w:pageBreakBefore w:val="0"/>
        <w:kinsoku/>
        <w:wordWrap/>
        <w:overflowPunct/>
        <w:topLinePunct w:val="0"/>
        <w:autoSpaceDE/>
        <w:autoSpaceDN/>
        <w:bidi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（3）</w:t>
      </w:r>
      <w:r>
        <w:fldChar w:fldCharType="begin"/>
      </w:r>
      <w:r>
        <w:instrText xml:space="preserve"> HYPERLINK "file:///C:\\Users\\42149\\Desktop\\果树栽培学大纲%202019年修订\\中国果业协会网" </w:instrText>
      </w:r>
      <w:r>
        <w:fldChar w:fldCharType="separate"/>
      </w:r>
      <w:r>
        <w:rPr>
          <w:rStyle w:val="27"/>
          <w:rFonts w:asciiTheme="minorEastAsia" w:hAnsiTheme="minorEastAsia" w:eastAsiaTheme="minorEastAsia"/>
          <w:bCs/>
          <w:color w:val="auto"/>
          <w:kern w:val="0"/>
          <w:szCs w:val="21"/>
          <w:u w:val="none"/>
        </w:rPr>
        <w:t>中国果业协会网</w:t>
      </w:r>
      <w:r>
        <w:rPr>
          <w:rStyle w:val="27"/>
          <w:rFonts w:asciiTheme="minorEastAsia" w:hAnsiTheme="minorEastAsia" w:eastAsiaTheme="minorEastAsia"/>
          <w:bCs/>
          <w:color w:val="auto"/>
          <w:kern w:val="0"/>
          <w:szCs w:val="21"/>
          <w:u w:val="none"/>
        </w:rPr>
        <w:fldChar w:fldCharType="end"/>
      </w:r>
      <w:r>
        <w:rPr>
          <w:rFonts w:asciiTheme="minorEastAsia" w:hAnsiTheme="minorEastAsia" w:eastAsiaTheme="minorEastAsia"/>
          <w:bCs/>
          <w:kern w:val="0"/>
          <w:szCs w:val="21"/>
        </w:rPr>
        <w:t>- http://www.guoye114.cn</w:t>
      </w:r>
    </w:p>
    <w:p>
      <w:pPr>
        <w:keepNext w:val="0"/>
        <w:keepLines w:val="0"/>
        <w:pageBreakBefore w:val="0"/>
        <w:kinsoku/>
        <w:wordWrap/>
        <w:overflowPunct/>
        <w:topLinePunct w:val="0"/>
        <w:autoSpaceDE/>
        <w:autoSpaceDN/>
        <w:bidi w:val="0"/>
        <w:snapToGrid w:val="0"/>
        <w:spacing w:line="360" w:lineRule="auto"/>
        <w:ind w:firstLine="210" w:firstLineChars="1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（4）中国苹果科技网</w:t>
      </w:r>
      <w:r>
        <w:fldChar w:fldCharType="begin"/>
      </w:r>
      <w:r>
        <w:instrText xml:space="preserve"> HYPERLINK "http://kjtg.nwsuaf.edu.cn/apple/clu.php?clu_id=3" </w:instrText>
      </w:r>
      <w:r>
        <w:fldChar w:fldCharType="separate"/>
      </w:r>
      <w:r>
        <w:rPr>
          <w:rFonts w:asciiTheme="minorEastAsia" w:hAnsiTheme="minorEastAsia" w:eastAsiaTheme="minorEastAsia"/>
          <w:bCs/>
          <w:kern w:val="0"/>
          <w:szCs w:val="21"/>
        </w:rPr>
        <w:t>http://kjtg.nwsuaf.edu.cn/apple/clu.php?clu_id=3</w:t>
      </w:r>
      <w:r>
        <w:rPr>
          <w:rFonts w:asciiTheme="minorEastAsia" w:hAnsiTheme="minorEastAsia" w:eastAsiaTheme="minorEastAsia"/>
          <w:bCs/>
          <w:kern w:val="0"/>
          <w:szCs w:val="21"/>
        </w:rPr>
        <w:fldChar w:fldCharType="end"/>
      </w:r>
    </w:p>
    <w:p>
      <w:pPr>
        <w:keepNext w:val="0"/>
        <w:keepLines w:val="0"/>
        <w:pageBreakBefore w:val="0"/>
        <w:widowControl/>
        <w:kinsoku/>
        <w:wordWrap/>
        <w:overflowPunct/>
        <w:topLinePunct w:val="0"/>
        <w:autoSpaceDE/>
        <w:autoSpaceDN/>
        <w:bidi w:val="0"/>
        <w:snapToGrid w:val="0"/>
        <w:spacing w:line="360" w:lineRule="auto"/>
        <w:jc w:val="left"/>
        <w:textAlignment w:val="auto"/>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八</w:t>
      </w:r>
      <w:r>
        <w:rPr>
          <w:rFonts w:asciiTheme="minorEastAsia" w:hAnsiTheme="minorEastAsia" w:eastAsiaTheme="minorEastAsia"/>
          <w:b/>
          <w:bCs/>
          <w:kern w:val="0"/>
          <w:szCs w:val="21"/>
        </w:rPr>
        <w:t>、</w:t>
      </w:r>
      <w:r>
        <w:rPr>
          <w:rFonts w:hint="eastAsia" w:asciiTheme="minorEastAsia" w:hAnsiTheme="minorEastAsia" w:eastAsiaTheme="minorEastAsia"/>
          <w:b/>
          <w:bCs/>
          <w:kern w:val="0"/>
          <w:szCs w:val="21"/>
        </w:rPr>
        <w:t>教学条件</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szCs w:val="21"/>
        </w:rPr>
      </w:pPr>
      <w:r>
        <w:rPr>
          <w:rFonts w:hint="eastAsia" w:asciiTheme="minorEastAsia" w:hAnsiTheme="minorEastAsia" w:eastAsiaTheme="minorEastAsia"/>
          <w:szCs w:val="21"/>
        </w:rPr>
        <w:t>教学设施完备，教学条件优良，教师结构合理。果树生理生态、果树种质资源与遗传育种和果树分子生物学等3个校内实验室，三区教学实习基地和毛庄科教园区2个校内教学实习基地约80亩。三门峡二仙坡果业发展有限公司、禹州万福新农业发展股份有限公司和中国科学院郑州果树所研究等8个校外实习基地，能满足学生教学、专业实践和教学实习需要。</w:t>
      </w:r>
    </w:p>
    <w:p>
      <w:pPr>
        <w:keepNext w:val="0"/>
        <w:keepLines w:val="0"/>
        <w:pageBreakBefore w:val="0"/>
        <w:widowControl/>
        <w:kinsoku/>
        <w:wordWrap/>
        <w:overflowPunct/>
        <w:topLinePunct w:val="0"/>
        <w:autoSpaceDE/>
        <w:autoSpaceDN/>
        <w:bidi w:val="0"/>
        <w:snapToGrid w:val="0"/>
        <w:spacing w:line="360" w:lineRule="auto"/>
        <w:jc w:val="left"/>
        <w:textAlignment w:val="auto"/>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九、教学考核评价</w:t>
      </w:r>
    </w:p>
    <w:p>
      <w:pPr>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1.</w:t>
      </w:r>
      <w:r>
        <w:rPr>
          <w:rFonts w:asciiTheme="minorEastAsia" w:hAnsiTheme="minorEastAsia" w:eastAsiaTheme="minorEastAsia"/>
          <w:b/>
          <w:bCs/>
          <w:kern w:val="0"/>
          <w:szCs w:val="21"/>
        </w:rPr>
        <w:t xml:space="preserve"> </w:t>
      </w:r>
      <w:r>
        <w:rPr>
          <w:rFonts w:hint="eastAsia" w:asciiTheme="minorEastAsia" w:hAnsiTheme="minorEastAsia" w:eastAsiaTheme="minorEastAsia"/>
          <w:b/>
          <w:bCs/>
          <w:kern w:val="0"/>
          <w:szCs w:val="21"/>
        </w:rPr>
        <w:t>过程性评价：</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Theme="minorEastAsia" w:hAnsiTheme="minorEastAsia" w:eastAsiaTheme="minorEastAsia"/>
          <w:bCs/>
          <w:kern w:val="0"/>
          <w:szCs w:val="21"/>
        </w:rPr>
      </w:pPr>
      <w:r>
        <w:rPr>
          <w:rFonts w:hint="eastAsia" w:asciiTheme="minorEastAsia" w:hAnsiTheme="minorEastAsia" w:eastAsiaTheme="minorEastAsia"/>
          <w:bCs/>
          <w:kern w:val="0"/>
          <w:szCs w:val="21"/>
        </w:rPr>
        <w:t>课后作业、实验报告、小班讨论、小班演讲、在线考试等组成。教师考核与学生小组互评考核相结合的方法进行过程性评价。</w:t>
      </w:r>
    </w:p>
    <w:p>
      <w:pPr>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2.</w:t>
      </w:r>
      <w:r>
        <w:rPr>
          <w:rFonts w:asciiTheme="minorEastAsia" w:hAnsiTheme="minorEastAsia" w:eastAsiaTheme="minorEastAsia"/>
          <w:b/>
          <w:bCs/>
          <w:kern w:val="0"/>
          <w:szCs w:val="21"/>
        </w:rPr>
        <w:t xml:space="preserve"> </w:t>
      </w:r>
      <w:r>
        <w:rPr>
          <w:rFonts w:hint="eastAsia" w:asciiTheme="minorEastAsia" w:hAnsiTheme="minorEastAsia" w:eastAsiaTheme="minorEastAsia"/>
          <w:b/>
          <w:bCs/>
          <w:kern w:val="0"/>
          <w:szCs w:val="21"/>
        </w:rPr>
        <w:t>终结性评价：</w:t>
      </w:r>
    </w:p>
    <w:p>
      <w:pPr>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根据每章节的教学目标和考核内容，进行闭卷、笔试考核，总成绩100分。</w:t>
      </w:r>
    </w:p>
    <w:p>
      <w:pPr>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asciiTheme="minorEastAsia" w:hAnsiTheme="minorEastAsia" w:eastAsiaTheme="minorEastAsia"/>
          <w:bCs/>
          <w:kern w:val="0"/>
          <w:szCs w:val="21"/>
        </w:rPr>
      </w:pPr>
      <w:r>
        <w:rPr>
          <w:rFonts w:hint="eastAsia" w:asciiTheme="minorEastAsia" w:hAnsiTheme="minorEastAsia" w:eastAsiaTheme="minorEastAsia"/>
          <w:b/>
          <w:bCs/>
          <w:kern w:val="0"/>
          <w:szCs w:val="21"/>
        </w:rPr>
        <w:t>3.</w:t>
      </w:r>
      <w:r>
        <w:rPr>
          <w:rFonts w:asciiTheme="minorEastAsia" w:hAnsiTheme="minorEastAsia" w:eastAsiaTheme="minorEastAsia"/>
          <w:b/>
          <w:bCs/>
          <w:kern w:val="0"/>
          <w:szCs w:val="21"/>
        </w:rPr>
        <w:t xml:space="preserve"> </w:t>
      </w:r>
      <w:r>
        <w:rPr>
          <w:rFonts w:hint="eastAsia" w:asciiTheme="minorEastAsia" w:hAnsiTheme="minorEastAsia" w:eastAsiaTheme="minorEastAsia"/>
          <w:b/>
          <w:bCs/>
          <w:kern w:val="0"/>
          <w:szCs w:val="21"/>
        </w:rPr>
        <w:t>课程综合评价：</w:t>
      </w:r>
      <w:r>
        <w:rPr>
          <w:rFonts w:asciiTheme="minorEastAsia" w:hAnsiTheme="minorEastAsia" w:eastAsiaTheme="minorEastAsia"/>
          <w:bCs/>
          <w:kern w:val="0"/>
          <w:szCs w:val="21"/>
        </w:rPr>
        <w:t xml:space="preserve"> </w:t>
      </w:r>
    </w:p>
    <w:p>
      <w:pPr>
        <w:keepNext w:val="0"/>
        <w:keepLines w:val="0"/>
        <w:pageBreakBefore w:val="0"/>
        <w:widowControl/>
        <w:kinsoku/>
        <w:wordWrap/>
        <w:overflowPunct/>
        <w:topLinePunct w:val="0"/>
        <w:autoSpaceDE/>
        <w:autoSpaceDN/>
        <w:bidi w:val="0"/>
        <w:snapToGrid w:val="0"/>
        <w:spacing w:line="360" w:lineRule="auto"/>
        <w:ind w:firstLine="420"/>
        <w:jc w:val="left"/>
        <w:textAlignment w:val="auto"/>
        <w:rPr>
          <w:rFonts w:asciiTheme="minorEastAsia" w:hAnsiTheme="minorEastAsia" w:eastAsiaTheme="minorEastAsia"/>
        </w:rPr>
      </w:pPr>
      <w:r>
        <w:rPr>
          <w:rFonts w:hint="eastAsia" w:asciiTheme="minorEastAsia" w:hAnsiTheme="minorEastAsia" w:eastAsiaTheme="minorEastAsia"/>
        </w:rPr>
        <w:t>最终成绩满分100分，由理论考试成绩、实验教学成绩以及平时成绩三个部分组成：其中理论考试成绩占比50%；实验教学成绩占比20%；平时成绩占比30%。</w:t>
      </w:r>
    </w:p>
    <w:p>
      <w:pPr>
        <w:snapToGrid w:val="0"/>
        <w:spacing w:line="360" w:lineRule="auto"/>
        <w:ind w:firstLine="211" w:firstLineChars="100"/>
        <w:rPr>
          <w:rFonts w:ascii="宋体" w:hAnsi="宋体"/>
          <w:b/>
          <w:szCs w:val="21"/>
        </w:rPr>
      </w:pPr>
    </w:p>
    <w:p>
      <w:pPr>
        <w:pStyle w:val="21"/>
        <w:rPr>
          <w:sz w:val="28"/>
          <w:szCs w:val="28"/>
        </w:rPr>
      </w:pPr>
      <w:bookmarkStart w:id="160" w:name="_Toc138070427"/>
      <w:bookmarkStart w:id="161" w:name="_Toc138076316"/>
      <w:bookmarkStart w:id="162" w:name="_Toc138070697"/>
      <w:bookmarkStart w:id="163" w:name="_Toc138068797"/>
      <w:bookmarkStart w:id="164" w:name="_Toc138076611"/>
      <w:bookmarkStart w:id="165" w:name="_Toc138076067"/>
    </w:p>
    <w:p>
      <w:pPr>
        <w:pStyle w:val="21"/>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pStyle w:val="21"/>
        <w:rPr>
          <w:sz w:val="28"/>
          <w:szCs w:val="28"/>
        </w:rPr>
      </w:pPr>
    </w:p>
    <w:p>
      <w:pPr>
        <w:rPr>
          <w:rFonts w:hint="eastAsia"/>
          <w:sz w:val="28"/>
          <w:szCs w:val="28"/>
        </w:rPr>
      </w:pPr>
      <w:bookmarkStart w:id="166" w:name="_Toc10572"/>
      <w:r>
        <w:rPr>
          <w:rFonts w:hint="eastAsia"/>
          <w:sz w:val="28"/>
          <w:szCs w:val="28"/>
        </w:rPr>
        <w:br w:type="page"/>
      </w:r>
    </w:p>
    <w:p>
      <w:pPr>
        <w:pStyle w:val="21"/>
        <w:rPr>
          <w:sz w:val="28"/>
          <w:szCs w:val="28"/>
        </w:rPr>
      </w:pPr>
      <w:r>
        <w:rPr>
          <w:rFonts w:hint="eastAsia"/>
          <w:sz w:val="28"/>
          <w:szCs w:val="28"/>
        </w:rPr>
        <w:t>试验设计与统计分析</w:t>
      </w:r>
      <w:bookmarkEnd w:id="160"/>
      <w:bookmarkEnd w:id="161"/>
      <w:bookmarkEnd w:id="162"/>
      <w:bookmarkEnd w:id="163"/>
      <w:bookmarkEnd w:id="164"/>
      <w:bookmarkEnd w:id="165"/>
      <w:bookmarkEnd w:id="166"/>
    </w:p>
    <w:p>
      <w:pPr>
        <w:snapToGrid w:val="0"/>
        <w:spacing w:line="360" w:lineRule="auto"/>
        <w:jc w:val="center"/>
        <w:rPr>
          <w:color w:val="0000FF"/>
          <w:sz w:val="24"/>
        </w:rPr>
      </w:pPr>
      <w:r>
        <w:rPr>
          <w:rFonts w:hint="eastAsia"/>
          <w:sz w:val="24"/>
        </w:rPr>
        <w:t>（Experimental Design and Statistical Analysis）</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课程编号：</w:t>
            </w:r>
            <w:r>
              <w:rPr>
                <w:rFonts w:ascii="宋体" w:hAnsi="宋体"/>
                <w:b/>
                <w:bCs/>
                <w:szCs w:val="21"/>
              </w:rPr>
              <w:t>19011007h</w:t>
            </w:r>
          </w:p>
        </w:tc>
        <w:tc>
          <w:tcPr>
            <w:tcW w:w="1453" w:type="pct"/>
          </w:tcPr>
          <w:p>
            <w:pPr>
              <w:spacing w:line="300" w:lineRule="auto"/>
              <w:rPr>
                <w:rFonts w:ascii="宋体" w:hAnsi="宋体"/>
                <w:b/>
                <w:bCs/>
                <w:szCs w:val="21"/>
              </w:rPr>
            </w:pPr>
            <w:r>
              <w:rPr>
                <w:rFonts w:hint="eastAsia" w:ascii="宋体" w:hAnsi="宋体"/>
                <w:b/>
                <w:bCs/>
                <w:szCs w:val="21"/>
              </w:rPr>
              <w:t>课程总学时：6</w:t>
            </w:r>
            <w:r>
              <w:rPr>
                <w:rFonts w:ascii="宋体" w:hAnsi="宋体"/>
                <w:b/>
                <w:bCs/>
                <w:szCs w:val="21"/>
              </w:rPr>
              <w:t>4</w:t>
            </w:r>
          </w:p>
        </w:tc>
        <w:tc>
          <w:tcPr>
            <w:tcW w:w="1881" w:type="pct"/>
          </w:tcPr>
          <w:p>
            <w:pPr>
              <w:spacing w:line="300" w:lineRule="auto"/>
              <w:rPr>
                <w:rFonts w:ascii="宋体" w:hAnsi="宋体"/>
                <w:b/>
                <w:bCs/>
                <w:szCs w:val="21"/>
              </w:rPr>
            </w:pPr>
            <w:r>
              <w:rPr>
                <w:rFonts w:hint="eastAsia" w:ascii="宋体" w:hAnsi="宋体"/>
                <w:b/>
                <w:bCs/>
                <w:szCs w:val="21"/>
              </w:rPr>
              <w:t>实验学时：</w:t>
            </w:r>
            <w:r>
              <w:rPr>
                <w:rFonts w:ascii="宋体" w:hAnsi="宋体"/>
                <w:b/>
                <w:bCs/>
                <w:szCs w:val="21"/>
              </w:rPr>
              <w:t>24</w:t>
            </w:r>
            <w:r>
              <w:rPr>
                <w:rFonts w:hint="eastAsia" w:ascii="宋体" w:hAnsi="宋体"/>
                <w:b/>
                <w:bCs/>
                <w:szCs w:val="21"/>
              </w:rPr>
              <w:t>学时</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课程性质：必修</w:t>
            </w:r>
          </w:p>
        </w:tc>
        <w:tc>
          <w:tcPr>
            <w:tcW w:w="1453" w:type="pct"/>
          </w:tcPr>
          <w:p>
            <w:pPr>
              <w:spacing w:line="300" w:lineRule="auto"/>
              <w:rPr>
                <w:rFonts w:ascii="宋体" w:hAnsi="宋体"/>
                <w:b/>
                <w:bCs/>
                <w:szCs w:val="21"/>
              </w:rPr>
            </w:pPr>
            <w:r>
              <w:rPr>
                <w:rFonts w:hint="eastAsia" w:ascii="宋体" w:hAnsi="宋体"/>
                <w:b/>
                <w:szCs w:val="21"/>
              </w:rPr>
              <w:t>课程属性:专业类/基础类</w:t>
            </w:r>
          </w:p>
        </w:tc>
        <w:tc>
          <w:tcPr>
            <w:tcW w:w="1881" w:type="pct"/>
          </w:tcPr>
          <w:p>
            <w:pPr>
              <w:spacing w:line="300" w:lineRule="auto"/>
              <w:rPr>
                <w:rFonts w:ascii="宋体" w:hAnsi="宋体"/>
                <w:b/>
                <w:bCs/>
                <w:szCs w:val="21"/>
              </w:rPr>
            </w:pPr>
            <w:r>
              <w:rPr>
                <w:rFonts w:hint="eastAsia" w:ascii="宋体" w:hAnsi="宋体"/>
                <w:b/>
                <w:bCs/>
                <w:szCs w:val="21"/>
              </w:rPr>
              <w:t>开设学期：第</w:t>
            </w:r>
            <w:r>
              <w:rPr>
                <w:rFonts w:ascii="宋体" w:hAnsi="宋体"/>
                <w:b/>
                <w:bCs/>
                <w:szCs w:val="21"/>
              </w:rPr>
              <w:t>5</w:t>
            </w:r>
            <w:r>
              <w:rPr>
                <w:rFonts w:hint="eastAsia" w:ascii="宋体" w:hAnsi="宋体"/>
                <w:b/>
                <w:bCs/>
                <w:szCs w:val="21"/>
              </w:rPr>
              <w:t>学期</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课程负责人：宋尚伟</w:t>
            </w:r>
          </w:p>
        </w:tc>
        <w:tc>
          <w:tcPr>
            <w:tcW w:w="1453" w:type="pct"/>
          </w:tcPr>
          <w:p>
            <w:pPr>
              <w:spacing w:line="300" w:lineRule="auto"/>
              <w:rPr>
                <w:rFonts w:ascii="宋体" w:hAnsi="宋体"/>
                <w:b/>
                <w:bCs/>
                <w:szCs w:val="21"/>
              </w:rPr>
            </w:pPr>
            <w:r>
              <w:rPr>
                <w:rFonts w:hint="eastAsia" w:ascii="宋体" w:hAnsi="宋体"/>
                <w:b/>
                <w:bCs/>
                <w:szCs w:val="21"/>
              </w:rPr>
              <w:t>课程团队：朱华玉、万然、李志谦、张郎郎、薛东齐、侯楠、崔丹丹</w:t>
            </w:r>
          </w:p>
        </w:tc>
        <w:tc>
          <w:tcPr>
            <w:tcW w:w="1881" w:type="pct"/>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Cs/>
                <w:color w:val="0000FF"/>
                <w:szCs w:val="21"/>
              </w:rPr>
            </w:pPr>
            <w:r>
              <w:rPr>
                <w:rFonts w:hint="eastAsia" w:ascii="宋体" w:hAnsi="宋体"/>
                <w:b/>
                <w:bCs/>
                <w:szCs w:val="21"/>
              </w:rPr>
              <w:t>适用专业：园艺；茶学</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对先修的要求：概率论与数理统计</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对后续的支撑：为学生学习相关课程、参与科学研究、进行毕业实习提供必须的理论和方法</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主撰人：张郎郎 等</w:t>
            </w:r>
          </w:p>
        </w:tc>
        <w:tc>
          <w:tcPr>
            <w:tcW w:w="1453" w:type="pct"/>
          </w:tcPr>
          <w:p>
            <w:pPr>
              <w:spacing w:line="300" w:lineRule="auto"/>
              <w:rPr>
                <w:rFonts w:ascii="宋体" w:hAnsi="宋体"/>
                <w:b/>
                <w:bCs/>
                <w:szCs w:val="21"/>
              </w:rPr>
            </w:pPr>
            <w:r>
              <w:rPr>
                <w:rFonts w:hint="eastAsia" w:ascii="宋体" w:hAnsi="宋体"/>
                <w:b/>
                <w:bCs/>
                <w:szCs w:val="21"/>
              </w:rPr>
              <w:t>审核人：宋尚伟</w:t>
            </w:r>
          </w:p>
        </w:tc>
        <w:tc>
          <w:tcPr>
            <w:tcW w:w="1881"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p>
    <w:p>
      <w:pPr>
        <w:adjustRightInd w:val="0"/>
        <w:snapToGrid w:val="0"/>
        <w:spacing w:line="360" w:lineRule="auto"/>
        <w:ind w:firstLine="420" w:firstLineChars="200"/>
        <w:rPr>
          <w:rFonts w:cs="宋体"/>
          <w:bCs/>
          <w:kern w:val="0"/>
          <w:sz w:val="24"/>
        </w:rPr>
      </w:pPr>
      <w:r>
        <w:rPr>
          <w:rFonts w:hint="eastAsia"/>
        </w:rPr>
        <w:t>《试验设计与统计分析》是园艺专业本科生必修的核心课程，属于专业类课程；同时是茶学专业本科生的必修课，属于基础类课程。课程教学的理念是坚持立德树人，突出学生的中心地位，充分利用线上线下资源，创新教学模式，丰富教学手段，激发学生自主学习的内生动力，培养学生创新思维的意识和能力。课程内容主要包括试验研究计划的拟定、试验设计的基本理论和常用的试验设计方法、取样技术、描述统计和统计推断，是数理统计学在园艺科学领域的应用，是进行科学研究的基础性工具。其设置目的在于培养和提高学生进行独立科学研究的能力。本课程的任务是通过理论讲授结合实验、实践等教学环节，使学生了解科学研究方法的一般知识，掌握根据园艺作物特点进行试验设计和取样调查研究的理论和方法，学会对常见试验结果进行科学的数据整理与分析，能够使用常见的计算工具和统计软件进行统计分析，并推断出正确结论，进而具备从事园艺及茶学科学研究的能力。</w:t>
      </w:r>
    </w:p>
    <w:p>
      <w:pPr>
        <w:widowControl/>
        <w:snapToGrid w:val="0"/>
        <w:spacing w:line="360" w:lineRule="auto"/>
        <w:jc w:val="left"/>
        <w:rPr>
          <w:kern w:val="0"/>
          <w:szCs w:val="21"/>
        </w:rPr>
      </w:pPr>
      <w:r>
        <w:rPr>
          <w:rFonts w:hAnsi="宋体"/>
          <w:b/>
          <w:bCs/>
          <w:kern w:val="0"/>
          <w:szCs w:val="21"/>
        </w:rPr>
        <w:t>二、课程教学的基本要求</w:t>
      </w:r>
    </w:p>
    <w:p>
      <w:pPr>
        <w:spacing w:line="360" w:lineRule="auto"/>
        <w:ind w:firstLine="420" w:firstLineChars="200"/>
        <w:rPr>
          <w:kern w:val="0"/>
          <w:szCs w:val="21"/>
        </w:rPr>
      </w:pPr>
      <w:r>
        <w:rPr>
          <w:rFonts w:hint="eastAsia"/>
          <w:kern w:val="0"/>
          <w:szCs w:val="21"/>
        </w:rPr>
        <w:t>1.</w:t>
      </w:r>
      <w:r>
        <w:rPr>
          <w:rFonts w:hAnsi="宋体"/>
          <w:kern w:val="0"/>
          <w:szCs w:val="21"/>
        </w:rPr>
        <w:t>理论知识方面：</w:t>
      </w:r>
      <w:r>
        <w:rPr>
          <w:rFonts w:hint="eastAsia"/>
        </w:rPr>
        <w:t>了解科学研究的基本过程和方法，初步掌握试验研究计划书的一般格式；理解园艺作物在研究上的特点，理解制订试验方案、进行试验设计时涉及的常用概念，掌握常用的取样方法及其适用条件；理解生物统计常用术语，理解资料特征数的概念与特点；了解正态分布的特点和常用统计数的分布，理解统计假设检验的原理、步骤，掌握单个和两个样本平均数的统计假设检验方法；理解方差分析的基本原理与基本步骤，了解数据转换与缺区估计的应用条件；理解卡平方的概念及其应用方法；理解回归与相关的概念，掌握其分析的一般程序。</w:t>
      </w:r>
    </w:p>
    <w:p>
      <w:pPr>
        <w:widowControl/>
        <w:snapToGrid w:val="0"/>
        <w:spacing w:line="360" w:lineRule="auto"/>
        <w:ind w:firstLine="420" w:firstLineChars="200"/>
        <w:jc w:val="left"/>
        <w:rPr>
          <w:rFonts w:hAnsi="宋体"/>
          <w:bCs/>
          <w:color w:val="0000FF"/>
          <w:kern w:val="0"/>
          <w:szCs w:val="21"/>
        </w:rPr>
      </w:pPr>
      <w:r>
        <w:rPr>
          <w:rFonts w:hint="eastAsia"/>
          <w:kern w:val="0"/>
          <w:szCs w:val="21"/>
        </w:rPr>
        <w:t>2.</w:t>
      </w:r>
      <w:r>
        <w:rPr>
          <w:rFonts w:hAnsi="宋体"/>
          <w:kern w:val="0"/>
          <w:szCs w:val="21"/>
        </w:rPr>
        <w:t>实验技能方面：</w:t>
      </w:r>
      <w:r>
        <w:rPr>
          <w:rFonts w:hint="eastAsia"/>
        </w:rPr>
        <w:t>初步掌握试验研究计划书的拟定方法，掌握根据园艺作物特点制订试验方案、进行试验设计和取样的常用方法；掌握次数分布表、次数发布图的制作方法和资料特征数的计算方法；掌握正态曲线下一定区间概率计算的方法；掌握统计假设检验的步骤与方法，对单个、两个样本平均数资料能够正确选择和应用u检验、F检验和t检验方法进行统计分析；熟练掌握方差分析的基本步骤和LSD、SSR、q检验等多重比较分析的常用方法，以及用字母标记法表示均数间的差异显著性；了解数据转换与缺区估计的方法；掌握对常见试验结果进行方差分析的过程和方法；掌握方差同质性检验、适合性检验和独立性检验的方法；掌握直线回归与相关分析的一般程序和方法，如直线回归方程的计算及回归关系的统计假设检验，回归图的制作，相关系数的计算和假设检验；掌握和统计分析有关的图表格式与制作方法；能够应用Excel和</w:t>
      </w:r>
      <w:r>
        <w:t>SPSS</w:t>
      </w:r>
      <w:r>
        <w:rPr>
          <w:rFonts w:hint="eastAsia"/>
        </w:rPr>
        <w:t>等常用统计软件对常见试验结果进行统计分析。</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spacing w:line="360" w:lineRule="auto"/>
        <w:ind w:firstLine="420"/>
      </w:pPr>
      <w:r>
        <w:rPr>
          <w:rFonts w:hint="eastAsia"/>
        </w:rPr>
        <w:t>课程教学设计的基本原则是立足经济社会发展现状与趋势，坚持立德树人，</w:t>
      </w:r>
      <w:r>
        <w:rPr>
          <w:rFonts w:ascii="宋体" w:hAnsi="宋体" w:cs="宋体"/>
          <w:kern w:val="0"/>
          <w:szCs w:val="21"/>
          <w:lang w:bidi="ar"/>
        </w:rPr>
        <w:t>适应创新型、复合型、应用型等多类型人才培养</w:t>
      </w:r>
      <w:r>
        <w:rPr>
          <w:rFonts w:hint="eastAsia" w:ascii="宋体" w:hAnsi="宋体" w:cs="宋体"/>
          <w:kern w:val="0"/>
          <w:szCs w:val="21"/>
          <w:lang w:bidi="ar"/>
        </w:rPr>
        <w:t>目标的</w:t>
      </w:r>
      <w:r>
        <w:rPr>
          <w:rFonts w:ascii="宋体" w:hAnsi="宋体" w:cs="宋体"/>
          <w:kern w:val="0"/>
          <w:szCs w:val="21"/>
          <w:lang w:bidi="ar"/>
        </w:rPr>
        <w:t>需要</w:t>
      </w:r>
      <w:r>
        <w:rPr>
          <w:rFonts w:hint="eastAsia" w:ascii="宋体" w:hAnsi="宋体" w:cs="宋体"/>
          <w:kern w:val="0"/>
          <w:sz w:val="24"/>
          <w:lang w:bidi="ar"/>
        </w:rPr>
        <w:t>。</w:t>
      </w:r>
      <w:r>
        <w:rPr>
          <w:rFonts w:hint="eastAsia"/>
        </w:rPr>
        <w:t>在教学内容组织、教学设计与教学实施的过程中突出学生的中心地位，根据课程特点和教学规律创新教学模式，充分利用线上线下资源，丰富教学手段与方法，激发学生的学习兴趣和内生动力，注重培养学生创新思维的意识和能力。根据教学目标合理安排和分配理论学时与实验学时，通过加强练习使学生加深对理论的理解，进而提高对设计与分析方法的应用能力。筛选并创建优质在线教学资源，充实学生多元学习需求，充分利用校内外教学平台开展线上线下混合式教学，提高教学效率和教学效果。建立全面合理的课程考核评价体系，强化过程性评价，设置多元化的评价指标，合理分配课程成绩的构成比例。</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25"/>
        <w:gridCol w:w="1073"/>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7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2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14:textFill>
                  <w14:solidFill>
                    <w14:schemeClr w14:val="tx1"/>
                  </w14:solidFill>
                </w14:textFill>
              </w:rPr>
            </w:pPr>
            <w:r>
              <w:rPr>
                <w:rFonts w:hint="eastAsia" w:hAnsiTheme="minorEastAsia" w:eastAsiaTheme="minorEastAsia"/>
                <w:color w:val="000000" w:themeColor="text1"/>
                <w:sz w:val="18"/>
                <w:szCs w:val="18"/>
                <w14:textFill>
                  <w14:solidFill>
                    <w14:schemeClr w14:val="tx1"/>
                  </w14:solidFill>
                </w14:textFill>
              </w:rPr>
              <w:t>目标1：使学生具备分析研究现状、确定科学选题和拟定试验计划等从事科学研究的一般能力。</w:t>
            </w:r>
          </w:p>
        </w:tc>
        <w:tc>
          <w:tcPr>
            <w:tcW w:w="107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int="eastAsia" w:eastAsiaTheme="minorEastAsia"/>
                <w:sz w:val="18"/>
                <w:szCs w:val="18"/>
              </w:rPr>
              <w:t>2</w:t>
            </w:r>
          </w:p>
          <w:p>
            <w:pPr>
              <w:spacing w:line="320" w:lineRule="exact"/>
              <w:ind w:firstLine="360"/>
              <w:rPr>
                <w:rFonts w:eastAsiaTheme="minorEastAsia"/>
                <w:sz w:val="18"/>
                <w:szCs w:val="18"/>
                <w:highlight w:val="yellow"/>
              </w:rPr>
            </w:pPr>
            <w:r>
              <w:rPr>
                <w:rFonts w:eastAsiaTheme="minorEastAsia"/>
                <w:sz w:val="18"/>
                <w:szCs w:val="18"/>
              </w:rPr>
              <w:t>7</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2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14:textFill>
                  <w14:solidFill>
                    <w14:schemeClr w14:val="tx1"/>
                  </w14:solidFill>
                </w14:textFill>
              </w:rPr>
            </w:pPr>
            <w:r>
              <w:rPr>
                <w:rFonts w:hAnsiTheme="minorEastAsia" w:eastAsiaTheme="minorEastAsia"/>
                <w:color w:val="000000" w:themeColor="text1"/>
                <w:sz w:val="18"/>
                <w:szCs w:val="18"/>
                <w14:textFill>
                  <w14:solidFill>
                    <w14:schemeClr w14:val="tx1"/>
                  </w14:solidFill>
                </w14:textFill>
              </w:rPr>
              <w:t>目标</w:t>
            </w:r>
            <w:r>
              <w:rPr>
                <w:rFonts w:eastAsiaTheme="minorEastAsia"/>
                <w:color w:val="000000" w:themeColor="text1"/>
                <w:sz w:val="18"/>
                <w:szCs w:val="18"/>
                <w14:textFill>
                  <w14:solidFill>
                    <w14:schemeClr w14:val="tx1"/>
                  </w14:solidFill>
                </w14:textFill>
              </w:rPr>
              <w:t>2</w:t>
            </w:r>
            <w:r>
              <w:rPr>
                <w:rFonts w:hAnsiTheme="minorEastAsia" w:eastAsiaTheme="minorEastAsia"/>
                <w:color w:val="000000" w:themeColor="text1"/>
                <w:sz w:val="18"/>
                <w:szCs w:val="18"/>
                <w14:textFill>
                  <w14:solidFill>
                    <w14:schemeClr w14:val="tx1"/>
                  </w14:solidFill>
                </w14:textFill>
              </w:rPr>
              <w:t>：</w:t>
            </w:r>
            <w:r>
              <w:rPr>
                <w:rFonts w:hint="eastAsia" w:hAnsiTheme="minorEastAsia" w:eastAsiaTheme="minorEastAsia"/>
                <w:color w:val="000000" w:themeColor="text1"/>
                <w:sz w:val="18"/>
                <w:szCs w:val="18"/>
                <w14:textFill>
                  <w14:solidFill>
                    <w14:schemeClr w14:val="tx1"/>
                  </w14:solidFill>
                </w14:textFill>
              </w:rPr>
              <w:t>使学生具备结合园艺作物特点和生产实际，进行试验设计、试验实施和取样调查，开展科学研究的能力。</w:t>
            </w:r>
          </w:p>
        </w:tc>
        <w:tc>
          <w:tcPr>
            <w:tcW w:w="107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int="eastAsia" w:eastAsiaTheme="minorEastAsia"/>
                <w:sz w:val="18"/>
                <w:szCs w:val="18"/>
              </w:rPr>
              <w:t>5</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2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14:textFill>
                  <w14:solidFill>
                    <w14:schemeClr w14:val="tx1"/>
                  </w14:solidFill>
                </w14:textFill>
              </w:rPr>
            </w:pPr>
            <w:r>
              <w:rPr>
                <w:rFonts w:hAnsiTheme="minorEastAsia" w:eastAsiaTheme="minorEastAsia"/>
                <w:color w:val="000000" w:themeColor="text1"/>
                <w:sz w:val="18"/>
                <w:szCs w:val="18"/>
                <w14:textFill>
                  <w14:solidFill>
                    <w14:schemeClr w14:val="tx1"/>
                  </w14:solidFill>
                </w14:textFill>
              </w:rPr>
              <w:t>目标</w:t>
            </w:r>
            <w:r>
              <w:rPr>
                <w:rFonts w:eastAsiaTheme="minorEastAsia"/>
                <w:color w:val="000000" w:themeColor="text1"/>
                <w:sz w:val="18"/>
                <w:szCs w:val="18"/>
                <w14:textFill>
                  <w14:solidFill>
                    <w14:schemeClr w14:val="tx1"/>
                  </w14:solidFill>
                </w14:textFill>
              </w:rPr>
              <w:t>3</w:t>
            </w:r>
            <w:r>
              <w:rPr>
                <w:rFonts w:hAnsiTheme="minorEastAsia" w:eastAsiaTheme="minorEastAsia"/>
                <w:color w:val="000000" w:themeColor="text1"/>
                <w:sz w:val="18"/>
                <w:szCs w:val="18"/>
                <w14:textFill>
                  <w14:solidFill>
                    <w14:schemeClr w14:val="tx1"/>
                  </w14:solidFill>
                </w14:textFill>
              </w:rPr>
              <w:t>：</w:t>
            </w:r>
            <w:r>
              <w:rPr>
                <w:rFonts w:hint="eastAsia" w:hAnsiTheme="minorEastAsia" w:eastAsiaTheme="minorEastAsia"/>
                <w:color w:val="000000" w:themeColor="text1"/>
                <w:sz w:val="18"/>
                <w:szCs w:val="18"/>
                <w14:textFill>
                  <w14:solidFill>
                    <w14:schemeClr w14:val="tx1"/>
                  </w14:solidFill>
                </w14:textFill>
              </w:rPr>
              <w:t>使学生具备使用常见计算工具、统计与作图软件进行科学整理和统计分析试验结果资料的能力。</w:t>
            </w:r>
          </w:p>
          <w:p>
            <w:pPr>
              <w:spacing w:line="320" w:lineRule="exact"/>
              <w:ind w:firstLine="360"/>
              <w:jc w:val="left"/>
              <w:rPr>
                <w:rFonts w:eastAsiaTheme="minorEastAsia"/>
                <w:color w:val="000000" w:themeColor="text1"/>
                <w:sz w:val="18"/>
                <w:szCs w:val="18"/>
                <w14:textFill>
                  <w14:solidFill>
                    <w14:schemeClr w14:val="tx1"/>
                  </w14:solidFill>
                </w14:textFill>
              </w:rPr>
            </w:pPr>
          </w:p>
        </w:tc>
        <w:tc>
          <w:tcPr>
            <w:tcW w:w="107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int="eastAsia" w:eastAsiaTheme="minorEastAsia"/>
                <w:sz w:val="18"/>
                <w:szCs w:val="18"/>
              </w:rPr>
              <w:t>4</w:t>
            </w:r>
          </w:p>
          <w:p>
            <w:pPr>
              <w:spacing w:line="320" w:lineRule="exact"/>
              <w:ind w:firstLine="360"/>
              <w:rPr>
                <w:rFonts w:eastAsiaTheme="minorEastAsia"/>
                <w:sz w:val="18"/>
                <w:szCs w:val="18"/>
              </w:rPr>
            </w:pPr>
            <w:r>
              <w:rPr>
                <w:rFonts w:hint="eastAsia" w:eastAsiaTheme="minorEastAsia"/>
                <w:sz w:val="18"/>
                <w:szCs w:val="18"/>
              </w:rPr>
              <w:t>5</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4</w:t>
            </w:r>
          </w:p>
        </w:tc>
        <w:tc>
          <w:tcPr>
            <w:tcW w:w="682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目标4：</w:t>
            </w:r>
            <w:r>
              <w:rPr>
                <w:rFonts w:hint="eastAsia" w:hAnsiTheme="minorEastAsia" w:eastAsiaTheme="minorEastAsia"/>
                <w:color w:val="000000" w:themeColor="text1"/>
                <w:sz w:val="18"/>
                <w:szCs w:val="18"/>
                <w14:textFill>
                  <w14:solidFill>
                    <w14:schemeClr w14:val="tx1"/>
                  </w14:solidFill>
                </w14:textFill>
              </w:rPr>
              <w:t>通过课程学习，</w:t>
            </w:r>
            <w:r>
              <w:rPr>
                <w:rFonts w:hint="eastAsia" w:eastAsiaTheme="minorEastAsia"/>
                <w:color w:val="000000" w:themeColor="text1"/>
                <w:sz w:val="18"/>
                <w:szCs w:val="18"/>
                <w14:textFill>
                  <w14:solidFill>
                    <w14:schemeClr w14:val="tx1"/>
                  </w14:solidFill>
                </w14:textFill>
              </w:rPr>
              <w:t>使学生具备较高的科学素养以及独立进行相关专业领域科学研究的基本能力。</w:t>
            </w:r>
          </w:p>
        </w:tc>
        <w:tc>
          <w:tcPr>
            <w:tcW w:w="107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int="eastAsia" w:eastAsiaTheme="minorEastAsia"/>
                <w:sz w:val="18"/>
                <w:szCs w:val="18"/>
              </w:rPr>
              <w:t>2</w:t>
            </w:r>
          </w:p>
          <w:p>
            <w:pPr>
              <w:spacing w:line="320" w:lineRule="exact"/>
              <w:ind w:firstLine="360"/>
              <w:jc w:val="left"/>
              <w:rPr>
                <w:rFonts w:eastAsiaTheme="minorEastAsia"/>
                <w:sz w:val="18"/>
                <w:szCs w:val="18"/>
              </w:rPr>
            </w:pPr>
            <w:r>
              <w:rPr>
                <w:rFonts w:hint="eastAsia" w:eastAsiaTheme="minorEastAsia"/>
                <w:sz w:val="18"/>
                <w:szCs w:val="18"/>
              </w:rPr>
              <w:t>6</w:t>
            </w:r>
          </w:p>
        </w:tc>
      </w:tr>
    </w:tbl>
    <w:p>
      <w:pPr>
        <w:spacing w:line="360" w:lineRule="auto"/>
        <w:ind w:firstLine="420" w:firstLineChars="200"/>
        <w:rPr>
          <w:rFonts w:hAnsi="宋体"/>
          <w:bCs/>
          <w:color w:val="0000FF"/>
          <w:kern w:val="0"/>
          <w:szCs w:val="21"/>
        </w:rPr>
      </w:pPr>
    </w:p>
    <w:p>
      <w:pPr>
        <w:widowControl/>
        <w:snapToGrid w:val="0"/>
        <w:spacing w:line="360" w:lineRule="auto"/>
        <w:jc w:val="left"/>
        <w:rPr>
          <w:rFonts w:hAnsi="宋体"/>
          <w:bCs/>
          <w:color w:val="0000FF"/>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hAnsi="宋体"/>
          <w:b/>
          <w:bCs/>
          <w:kern w:val="0"/>
          <w:szCs w:val="21"/>
        </w:rPr>
        <w:t>40</w:t>
      </w:r>
      <w:r>
        <w:rPr>
          <w:rFonts w:hint="eastAsia" w:hAnsi="宋体"/>
          <w:b/>
          <w:bCs/>
          <w:kern w:val="0"/>
          <w:szCs w:val="21"/>
        </w:rPr>
        <w:t>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adjustRightInd w:val="0"/>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adjustRightInd w:val="0"/>
              <w:snapToGrid w:val="0"/>
              <w:spacing w:line="360" w:lineRule="auto"/>
              <w:ind w:firstLine="422"/>
              <w:jc w:val="center"/>
              <w:rPr>
                <w:rFonts w:hAnsi="宋体"/>
                <w:b/>
                <w:bCs/>
                <w:szCs w:val="21"/>
              </w:rPr>
            </w:pPr>
            <w:r>
              <w:rPr>
                <w:rFonts w:hint="eastAsia" w:hAnsi="宋体"/>
                <w:b/>
                <w:bCs/>
                <w:szCs w:val="21"/>
              </w:rPr>
              <w:t>绪论</w:t>
            </w:r>
          </w:p>
        </w:tc>
        <w:tc>
          <w:tcPr>
            <w:tcW w:w="2966" w:type="dxa"/>
            <w:tcBorders>
              <w:top w:val="nil"/>
              <w:left w:val="nil"/>
              <w:bottom w:val="nil"/>
              <w:right w:val="nil"/>
            </w:tcBorders>
            <w:vAlign w:val="center"/>
          </w:tcPr>
          <w:p>
            <w:pPr>
              <w:widowControl/>
              <w:adjustRightInd w:val="0"/>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adjustRightInd w:val="0"/>
        <w:snapToGrid w:val="0"/>
        <w:spacing w:line="360" w:lineRule="auto"/>
      </w:pPr>
      <w:r>
        <w:rPr>
          <w:rFonts w:hint="eastAsia" w:ascii="宋体" w:hAnsi="宋体"/>
          <w:b/>
          <w:bCs/>
        </w:rPr>
        <w:t>教学目标：</w:t>
      </w:r>
      <w:r>
        <w:t>通过本章学习了解</w:t>
      </w:r>
      <w:r>
        <w:rPr>
          <w:rFonts w:hint="eastAsia"/>
        </w:rPr>
        <w:t>研究方法</w:t>
      </w:r>
      <w:r>
        <w:t>在农业科学研究中的地位和作用，</w:t>
      </w:r>
      <w:r>
        <w:rPr>
          <w:rFonts w:hint="eastAsia"/>
        </w:rPr>
        <w:t>了解科学研究的基本过程和方法，</w:t>
      </w:r>
      <w:r>
        <w:t>生物统计学的</w:t>
      </w:r>
      <w:r>
        <w:rPr>
          <w:rFonts w:hint="eastAsia"/>
        </w:rPr>
        <w:t>概念、作用和发展概况</w:t>
      </w:r>
      <w:r>
        <w:t>，</w:t>
      </w:r>
      <w:r>
        <w:rPr>
          <w:rFonts w:hint="eastAsia"/>
        </w:rPr>
        <w:t>科学研究的基本过程与方法等</w:t>
      </w:r>
      <w:r>
        <w:t>。</w:t>
      </w:r>
      <w:r>
        <w:rPr>
          <w:rFonts w:hint="eastAsia"/>
        </w:rPr>
        <w:t>介绍本课程的教学安排及学习特点。</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教学重点是生物统计的概念和作用，科学研究的一般程序。</w:t>
      </w:r>
    </w:p>
    <w:p>
      <w:pPr>
        <w:adjustRightInd w:val="0"/>
        <w:snapToGrid w:val="0"/>
        <w:spacing w:line="360" w:lineRule="auto"/>
      </w:pPr>
      <w:r>
        <w:rPr>
          <w:rFonts w:hint="eastAsia" w:ascii="宋体" w:hAnsi="宋体"/>
          <w:b/>
          <w:bCs/>
        </w:rPr>
        <w:t>主要教学内容及要求：</w:t>
      </w:r>
      <w:r>
        <w:rPr>
          <w:rFonts w:hint="eastAsia"/>
        </w:rPr>
        <w:t>了解课程的性质、地位和要求，了解科学研究的基本过程和方法，了解生物统计的概念、作用和发展概况，以及课程安排和学习方法等。</w:t>
      </w:r>
    </w:p>
    <w:p>
      <w:pPr>
        <w:adjustRightInd w:val="0"/>
        <w:snapToGrid w:val="0"/>
        <w:spacing w:line="360" w:lineRule="auto"/>
        <w:rPr>
          <w:b/>
        </w:rPr>
      </w:pPr>
      <w:r>
        <w:rPr>
          <w:rFonts w:hint="eastAsia" w:ascii="宋体" w:hAnsi="宋体"/>
          <w:b/>
          <w:bCs/>
        </w:rPr>
        <w:t>教学组织与实施：</w:t>
      </w:r>
      <w:r>
        <w:rPr>
          <w:rFonts w:hint="eastAsia"/>
        </w:rPr>
        <w:t>主要采取课堂讲授方式进行，通过研究实例讲解课程的作用。还要向学生介绍</w:t>
      </w:r>
      <w:r>
        <w:rPr>
          <w:rFonts w:hint="eastAsia" w:ascii="宋体" w:hAnsi="宋体"/>
          <w:bCs/>
        </w:rPr>
        <w:t>课程学习的特点，拟采用的教学模式，考试考核方法等。</w:t>
      </w:r>
    </w:p>
    <w:tbl>
      <w:tblPr>
        <w:tblStyle w:val="22"/>
        <w:tblW w:w="0" w:type="auto"/>
        <w:tblInd w:w="4" w:type="dxa"/>
        <w:tblLayout w:type="autofit"/>
        <w:tblCellMar>
          <w:top w:w="0" w:type="dxa"/>
          <w:left w:w="0" w:type="dxa"/>
          <w:bottom w:w="0" w:type="dxa"/>
          <w:right w:w="0" w:type="dxa"/>
        </w:tblCellMar>
      </w:tblPr>
      <w:tblGrid>
        <w:gridCol w:w="2123"/>
        <w:gridCol w:w="4148"/>
        <w:gridCol w:w="2625"/>
      </w:tblGrid>
      <w:tr>
        <w:tblPrEx>
          <w:tblCellMar>
            <w:top w:w="0" w:type="dxa"/>
            <w:left w:w="0" w:type="dxa"/>
            <w:bottom w:w="0" w:type="dxa"/>
            <w:right w:w="0" w:type="dxa"/>
          </w:tblCellMar>
        </w:tblPrEx>
        <w:trPr>
          <w:trHeight w:val="270" w:hRule="atLeast"/>
        </w:trPr>
        <w:tc>
          <w:tcPr>
            <w:tcW w:w="2123" w:type="dxa"/>
            <w:tcBorders>
              <w:top w:val="nil"/>
              <w:left w:val="nil"/>
              <w:bottom w:val="nil"/>
              <w:right w:val="nil"/>
            </w:tcBorders>
            <w:vAlign w:val="center"/>
          </w:tcPr>
          <w:p>
            <w:pPr>
              <w:widowControl/>
              <w:adjustRightInd w:val="0"/>
              <w:snapToGrid w:val="0"/>
              <w:spacing w:line="360" w:lineRule="auto"/>
              <w:ind w:firstLine="422"/>
              <w:jc w:val="center"/>
              <w:rPr>
                <w:rFonts w:hAnsi="宋体"/>
                <w:b/>
                <w:bCs/>
                <w:szCs w:val="21"/>
              </w:rPr>
            </w:pPr>
          </w:p>
        </w:tc>
        <w:tc>
          <w:tcPr>
            <w:tcW w:w="4148" w:type="dxa"/>
            <w:tcBorders>
              <w:top w:val="nil"/>
              <w:left w:val="nil"/>
              <w:bottom w:val="nil"/>
              <w:right w:val="nil"/>
            </w:tcBorders>
            <w:vAlign w:val="center"/>
          </w:tcPr>
          <w:p>
            <w:pPr>
              <w:widowControl/>
              <w:adjustRightInd w:val="0"/>
              <w:snapToGrid w:val="0"/>
              <w:spacing w:line="360" w:lineRule="auto"/>
              <w:ind w:firstLine="422"/>
              <w:jc w:val="center"/>
              <w:rPr>
                <w:rFonts w:hAnsi="宋体"/>
                <w:b/>
                <w:bCs/>
                <w:szCs w:val="21"/>
              </w:rPr>
            </w:pPr>
            <w:r>
              <w:rPr>
                <w:rFonts w:hAnsi="宋体"/>
                <w:b/>
                <w:bCs/>
                <w:szCs w:val="21"/>
              </w:rPr>
              <w:t>第一章</w:t>
            </w:r>
            <w:r>
              <w:rPr>
                <w:rFonts w:hint="eastAsia"/>
                <w:b/>
                <w:bCs/>
                <w:szCs w:val="21"/>
              </w:rPr>
              <w:t xml:space="preserve">  研究课题选择与试验计划拟定</w:t>
            </w:r>
          </w:p>
        </w:tc>
        <w:tc>
          <w:tcPr>
            <w:tcW w:w="2625" w:type="dxa"/>
            <w:tcBorders>
              <w:top w:val="nil"/>
              <w:left w:val="nil"/>
              <w:bottom w:val="nil"/>
              <w:right w:val="nil"/>
            </w:tcBorders>
            <w:vAlign w:val="center"/>
          </w:tcPr>
          <w:p>
            <w:pPr>
              <w:widowControl/>
              <w:adjustRightInd w:val="0"/>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数：3</w:t>
            </w:r>
          </w:p>
        </w:tc>
      </w:tr>
    </w:tbl>
    <w:p>
      <w:pPr>
        <w:adjustRightInd w:val="0"/>
        <w:snapToGrid w:val="0"/>
        <w:spacing w:line="360" w:lineRule="auto"/>
        <w:rPr>
          <w:b/>
          <w:bCs/>
          <w:szCs w:val="21"/>
        </w:rPr>
      </w:pPr>
      <w:r>
        <w:rPr>
          <w:rFonts w:hint="eastAsia"/>
          <w:b/>
          <w:bCs/>
          <w:szCs w:val="21"/>
        </w:rPr>
        <w:t xml:space="preserve">第一节 试验研究课题的选定（0.5学时） </w:t>
      </w:r>
      <w:r>
        <w:rPr>
          <w:rFonts w:hint="eastAsia"/>
          <w:szCs w:val="21"/>
        </w:rPr>
        <w:t xml:space="preserve">                   </w:t>
      </w:r>
      <w:r>
        <w:rPr>
          <w:rFonts w:hint="eastAsia"/>
          <w:b/>
          <w:bCs/>
          <w:szCs w:val="21"/>
        </w:rPr>
        <w:t xml:space="preserve">            </w:t>
      </w:r>
    </w:p>
    <w:p>
      <w:pPr>
        <w:adjustRightInd w:val="0"/>
        <w:snapToGrid w:val="0"/>
        <w:spacing w:line="360" w:lineRule="auto"/>
      </w:pPr>
      <w:r>
        <w:rPr>
          <w:rFonts w:hint="eastAsia" w:ascii="宋体" w:hAnsi="宋体"/>
          <w:b/>
          <w:bCs/>
        </w:rPr>
        <w:t>教学目标：</w:t>
      </w:r>
      <w:r>
        <w:rPr>
          <w:rFonts w:hint="eastAsia"/>
        </w:rPr>
        <w:t>通过学习了解选定研究课题的原则，理解选定研究课题的依据和途径。</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教学重点和难点是选定研究课题的依据和途径。</w:t>
      </w:r>
    </w:p>
    <w:p>
      <w:pPr>
        <w:adjustRightInd w:val="0"/>
        <w:snapToGrid w:val="0"/>
        <w:spacing w:line="360" w:lineRule="auto"/>
      </w:pPr>
      <w:r>
        <w:rPr>
          <w:rFonts w:hint="eastAsia" w:ascii="宋体" w:hAnsi="宋体"/>
          <w:b/>
          <w:bCs/>
        </w:rPr>
        <w:t>主要教学内容及要求：</w:t>
      </w:r>
      <w:r>
        <w:rPr>
          <w:rFonts w:hint="eastAsia" w:ascii="宋体" w:hAnsi="宋体"/>
          <w:bCs/>
        </w:rPr>
        <w:t>了</w:t>
      </w:r>
      <w:r>
        <w:rPr>
          <w:rFonts w:hint="eastAsia"/>
        </w:rPr>
        <w:t>解选定研究课题的依据和途径，</w:t>
      </w:r>
      <w:r>
        <w:rPr>
          <w:rFonts w:hint="eastAsia" w:ascii="宋体" w:hAnsi="宋体"/>
          <w:bCs/>
        </w:rPr>
        <w:t>通过讨论园艺产业“卡脖子”问题，学会提出科学问题</w:t>
      </w:r>
      <w:r>
        <w:rPr>
          <w:rFonts w:hint="eastAsia"/>
        </w:rPr>
        <w:t>。</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教学模式为课堂讲授、研究实例展示与学生课堂讨论相结合。课堂教学后，通过线上讨论的方式进一步了解</w:t>
      </w:r>
      <w:r>
        <w:rPr>
          <w:rFonts w:hint="eastAsia" w:ascii="宋体" w:hAnsi="宋体"/>
          <w:bCs/>
        </w:rPr>
        <w:t>园艺产业“卡脖子”问题。</w:t>
      </w:r>
    </w:p>
    <w:p>
      <w:pPr>
        <w:adjustRightInd w:val="0"/>
        <w:snapToGrid w:val="0"/>
        <w:spacing w:line="360" w:lineRule="auto"/>
        <w:rPr>
          <w:b/>
          <w:bCs/>
          <w:szCs w:val="21"/>
        </w:rPr>
      </w:pPr>
      <w:r>
        <w:rPr>
          <w:rFonts w:hint="eastAsia"/>
          <w:b/>
          <w:bCs/>
          <w:szCs w:val="21"/>
        </w:rPr>
        <w:t xml:space="preserve">第二节 资料的收集和分析（1.0学时）                                 </w:t>
      </w:r>
    </w:p>
    <w:p>
      <w:pPr>
        <w:adjustRightInd w:val="0"/>
        <w:snapToGrid w:val="0"/>
        <w:spacing w:line="360" w:lineRule="auto"/>
      </w:pPr>
      <w:r>
        <w:rPr>
          <w:rFonts w:hint="eastAsia" w:ascii="宋体" w:hAnsi="宋体"/>
          <w:b/>
          <w:bCs/>
        </w:rPr>
        <w:t>教学目标：</w:t>
      </w:r>
      <w:r>
        <w:rPr>
          <w:rFonts w:hint="eastAsia"/>
        </w:rPr>
        <w:t>掌握资料的收集和分析方法。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w:t>
      </w:r>
      <w:r>
        <w:rPr>
          <w:rFonts w:hint="eastAsia"/>
          <w:szCs w:val="21"/>
        </w:rPr>
        <w:t>资料的收集和分析方法</w:t>
      </w:r>
      <w:r>
        <w:rPr>
          <w:rFonts w:hint="eastAsia"/>
        </w:rPr>
        <w:t>，</w:t>
      </w:r>
      <w:r>
        <w:rPr>
          <w:rFonts w:hint="eastAsia" w:ascii="宋体" w:hAnsi="宋体"/>
          <w:bCs/>
        </w:rPr>
        <w:t>难点是</w:t>
      </w:r>
      <w:r>
        <w:rPr>
          <w:rFonts w:hint="eastAsia"/>
          <w:szCs w:val="21"/>
        </w:rPr>
        <w:t>资料的综合分析与判断</w:t>
      </w:r>
      <w:r>
        <w:rPr>
          <w:rFonts w:hint="eastAsia"/>
        </w:rPr>
        <w:t>。</w:t>
      </w:r>
    </w:p>
    <w:p>
      <w:pPr>
        <w:adjustRightInd w:val="0"/>
        <w:snapToGrid w:val="0"/>
        <w:spacing w:line="360" w:lineRule="auto"/>
      </w:pPr>
      <w:r>
        <w:rPr>
          <w:rFonts w:hint="eastAsia" w:ascii="宋体" w:hAnsi="宋体"/>
          <w:b/>
          <w:bCs/>
        </w:rPr>
        <w:t>主要教学内容及要求：</w:t>
      </w:r>
      <w:r>
        <w:rPr>
          <w:rFonts w:hint="eastAsia"/>
        </w:rPr>
        <w:t>掌握</w:t>
      </w:r>
      <w:r>
        <w:rPr>
          <w:rFonts w:hint="eastAsia"/>
          <w:szCs w:val="21"/>
        </w:rPr>
        <w:t>资料收集和分析常用的途径与方法，</w:t>
      </w:r>
      <w:r>
        <w:rPr>
          <w:rFonts w:hint="eastAsia"/>
        </w:rPr>
        <w:t>了解常见研究资料的来源，学会常见网络资源数据库的检索。</w:t>
      </w:r>
    </w:p>
    <w:p>
      <w:pPr>
        <w:adjustRightInd w:val="0"/>
        <w:snapToGrid w:val="0"/>
        <w:spacing w:line="360" w:lineRule="auto"/>
        <w:rPr>
          <w:b/>
          <w:bCs/>
          <w:szCs w:val="21"/>
        </w:rPr>
      </w:pPr>
      <w:r>
        <w:rPr>
          <w:rFonts w:hint="eastAsia" w:ascii="宋体" w:hAnsi="宋体"/>
          <w:b/>
          <w:bCs/>
        </w:rPr>
        <w:t>教学组织与实施：</w:t>
      </w:r>
      <w:r>
        <w:rPr>
          <w:rFonts w:hint="eastAsia" w:ascii="宋体" w:hAnsi="宋体"/>
        </w:rPr>
        <w:t>采取线上线下相结合的教学模式。在课堂教学后，通过线上扩展内容即</w:t>
      </w:r>
      <w:r>
        <w:rPr>
          <w:rFonts w:hint="eastAsia"/>
        </w:rPr>
        <w:t>常见网络资源数据库的检索，让学生了解并掌握资料的收集方法。</w:t>
      </w:r>
    </w:p>
    <w:p>
      <w:pPr>
        <w:adjustRightInd w:val="0"/>
        <w:snapToGrid w:val="0"/>
        <w:spacing w:line="360" w:lineRule="auto"/>
        <w:rPr>
          <w:b/>
          <w:bCs/>
          <w:szCs w:val="21"/>
        </w:rPr>
      </w:pPr>
      <w:r>
        <w:rPr>
          <w:rFonts w:hint="eastAsia"/>
          <w:b/>
          <w:bCs/>
          <w:szCs w:val="21"/>
        </w:rPr>
        <w:t xml:space="preserve">第三节 试验研究计划书的拟定（1.5学时）                              </w:t>
      </w:r>
    </w:p>
    <w:p>
      <w:pPr>
        <w:adjustRightInd w:val="0"/>
        <w:snapToGrid w:val="0"/>
        <w:spacing w:line="360" w:lineRule="auto"/>
      </w:pPr>
      <w:r>
        <w:rPr>
          <w:rFonts w:hint="eastAsia" w:ascii="宋体" w:hAnsi="宋体"/>
          <w:b/>
          <w:bCs/>
        </w:rPr>
        <w:t>教学目标：</w:t>
      </w:r>
      <w:r>
        <w:rPr>
          <w:rFonts w:hint="eastAsia"/>
        </w:rPr>
        <w:t>初步掌握试验研究计划书的一般格式和拟定方法。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教学重点是试验研究计划书的一般格式和拟定方法。</w:t>
      </w:r>
      <w:r>
        <w:rPr>
          <w:rFonts w:hint="eastAsia" w:ascii="宋体" w:hAnsi="宋体"/>
          <w:bCs/>
        </w:rPr>
        <w:t>难点是</w:t>
      </w:r>
      <w:r>
        <w:rPr>
          <w:rFonts w:hint="eastAsia"/>
          <w:szCs w:val="21"/>
        </w:rPr>
        <w:t>试验研究计划书的拟定</w:t>
      </w:r>
      <w:r>
        <w:rPr>
          <w:rFonts w:hint="eastAsia"/>
        </w:rPr>
        <w:t>。</w:t>
      </w:r>
    </w:p>
    <w:p>
      <w:pPr>
        <w:adjustRightInd w:val="0"/>
        <w:snapToGrid w:val="0"/>
        <w:spacing w:line="360" w:lineRule="auto"/>
      </w:pPr>
      <w:r>
        <w:rPr>
          <w:rFonts w:hint="eastAsia" w:ascii="宋体" w:hAnsi="宋体"/>
          <w:b/>
          <w:bCs/>
        </w:rPr>
        <w:t>主要教学内容及要求：</w:t>
      </w:r>
      <w:r>
        <w:rPr>
          <w:rFonts w:hint="eastAsia"/>
        </w:rPr>
        <w:t>了解试验计划书的作用</w:t>
      </w:r>
      <w:r>
        <w:rPr>
          <w:rFonts w:hint="eastAsia"/>
          <w:szCs w:val="21"/>
        </w:rPr>
        <w:t>，</w:t>
      </w:r>
      <w:r>
        <w:rPr>
          <w:rFonts w:hint="eastAsia"/>
        </w:rPr>
        <w:t>掌握试验研究计划书的一般格式，初步掌握试验研究计划书的拟定方法。</w:t>
      </w:r>
    </w:p>
    <w:p>
      <w:pPr>
        <w:widowControl/>
        <w:adjustRightInd w:val="0"/>
        <w:snapToGrid w:val="0"/>
        <w:spacing w:line="360" w:lineRule="auto"/>
        <w:rPr>
          <w:kern w:val="0"/>
          <w:szCs w:val="21"/>
        </w:rPr>
      </w:pPr>
      <w:r>
        <w:rPr>
          <w:rFonts w:hint="eastAsia" w:ascii="宋体" w:hAnsi="宋体"/>
          <w:b/>
          <w:bCs/>
        </w:rPr>
        <w:t>教学组织与实施：</w:t>
      </w:r>
      <w:r>
        <w:rPr>
          <w:rFonts w:hint="eastAsia" w:ascii="宋体" w:hAnsi="宋体"/>
          <w:bCs/>
        </w:rPr>
        <w:t>本节内容实践性强，在</w:t>
      </w:r>
      <w:r>
        <w:rPr>
          <w:rFonts w:hint="eastAsia" w:ascii="宋体" w:hAnsi="宋体"/>
        </w:rPr>
        <w:t>课堂讲授中需结合本科生毕业填报系统，研究生开题报告和项目申报书等让学生了解研究计划书的一般格式。同时，通过撰写试验计划书的实验练习，让学生进一步掌握</w:t>
      </w:r>
      <w:r>
        <w:rPr>
          <w:rFonts w:hint="eastAsia"/>
        </w:rPr>
        <w:t>试验研究计划书的拟定</w:t>
      </w:r>
      <w:r>
        <w:rPr>
          <w:rFonts w:hint="eastAsia" w:ascii="宋体" w:hAnsi="宋体"/>
        </w:rPr>
        <w:t>。</w:t>
      </w:r>
    </w:p>
    <w:p>
      <w:pPr>
        <w:adjustRightInd w:val="0"/>
        <w:snapToGrid w:val="0"/>
        <w:spacing w:line="360" w:lineRule="auto"/>
        <w:jc w:val="right"/>
        <w:rPr>
          <w:b/>
          <w:bCs/>
        </w:rPr>
      </w:pPr>
      <w:r>
        <w:rPr>
          <w:rFonts w:hint="eastAsia"/>
          <w:b/>
          <w:bCs/>
        </w:rPr>
        <w:t xml:space="preserve"> 第二章  试验设计与实施                       </w:t>
      </w:r>
      <w:r>
        <w:rPr>
          <w:rFonts w:hint="eastAsia"/>
          <w:bCs/>
        </w:rPr>
        <w:t xml:space="preserve"> </w:t>
      </w:r>
      <w:r>
        <w:rPr>
          <w:rFonts w:hint="eastAsia"/>
          <w:b/>
          <w:bCs/>
        </w:rPr>
        <w:t>学时数：9</w:t>
      </w:r>
    </w:p>
    <w:p>
      <w:pPr>
        <w:numPr>
          <w:ilvl w:val="0"/>
          <w:numId w:val="19"/>
        </w:numPr>
        <w:adjustRightInd w:val="0"/>
        <w:snapToGrid w:val="0"/>
        <w:spacing w:line="360" w:lineRule="auto"/>
        <w:rPr>
          <w:b/>
          <w:bCs/>
          <w:szCs w:val="21"/>
        </w:rPr>
      </w:pPr>
      <w:r>
        <w:rPr>
          <w:rFonts w:hint="eastAsia"/>
          <w:b/>
          <w:bCs/>
          <w:szCs w:val="21"/>
        </w:rPr>
        <w:t xml:space="preserve">园艺作物试验的特点、方法、要求（1.0 学时）                   </w:t>
      </w:r>
    </w:p>
    <w:p>
      <w:pPr>
        <w:adjustRightInd w:val="0"/>
        <w:snapToGrid w:val="0"/>
        <w:spacing w:line="360" w:lineRule="auto"/>
      </w:pPr>
      <w:r>
        <w:rPr>
          <w:rFonts w:hint="eastAsia" w:ascii="宋体" w:hAnsi="宋体"/>
          <w:b/>
          <w:bCs/>
        </w:rPr>
        <w:t>教学目标：</w:t>
      </w:r>
      <w:r>
        <w:rPr>
          <w:rFonts w:hint="eastAsia"/>
        </w:rPr>
        <w:t>了解园艺植物的特点和园艺植物科学试验研究方法，掌握田间试验的基本要求。</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教学重点是田间试验的基本要求。</w:t>
      </w:r>
    </w:p>
    <w:p>
      <w:pPr>
        <w:adjustRightInd w:val="0"/>
        <w:snapToGrid w:val="0"/>
        <w:spacing w:line="360" w:lineRule="auto"/>
      </w:pPr>
      <w:r>
        <w:rPr>
          <w:rFonts w:hint="eastAsia"/>
          <w:b/>
          <w:bCs/>
        </w:rPr>
        <w:t>主要教学内容及要求：</w:t>
      </w:r>
      <w:r>
        <w:rPr>
          <w:rFonts w:hint="eastAsia"/>
        </w:rPr>
        <w:t>了解园艺作物试验的特点、方法、要求，试验方案及种类。</w:t>
      </w:r>
    </w:p>
    <w:p>
      <w:pPr>
        <w:adjustRightInd w:val="0"/>
        <w:snapToGrid w:val="0"/>
        <w:spacing w:line="360" w:lineRule="auto"/>
        <w:rPr>
          <w:b/>
          <w:bCs/>
          <w:szCs w:val="21"/>
        </w:rPr>
      </w:pPr>
      <w:r>
        <w:rPr>
          <w:rFonts w:hint="eastAsia"/>
          <w:b/>
          <w:bCs/>
        </w:rPr>
        <w:t>教学组织与实施：</w:t>
      </w:r>
      <w:r>
        <w:rPr>
          <w:rFonts w:hint="eastAsia"/>
        </w:rPr>
        <w:t>采取课堂讲授、课堂实践和讨论相结合的方式进行。</w:t>
      </w:r>
    </w:p>
    <w:p>
      <w:pPr>
        <w:numPr>
          <w:ilvl w:val="0"/>
          <w:numId w:val="19"/>
        </w:numPr>
        <w:adjustRightInd w:val="0"/>
        <w:snapToGrid w:val="0"/>
        <w:spacing w:line="360" w:lineRule="auto"/>
        <w:rPr>
          <w:b/>
          <w:bCs/>
          <w:szCs w:val="21"/>
        </w:rPr>
      </w:pPr>
      <w:r>
        <w:rPr>
          <w:rFonts w:hint="eastAsia"/>
          <w:b/>
          <w:bCs/>
          <w:szCs w:val="21"/>
        </w:rPr>
        <w:t xml:space="preserve">试验方案和种类（1.0学时）                                    </w:t>
      </w:r>
    </w:p>
    <w:p>
      <w:pPr>
        <w:adjustRightInd w:val="0"/>
        <w:snapToGrid w:val="0"/>
        <w:spacing w:line="360" w:lineRule="auto"/>
      </w:pPr>
      <w:r>
        <w:rPr>
          <w:rFonts w:hint="eastAsia" w:ascii="宋体" w:hAnsi="宋体"/>
          <w:b/>
          <w:bCs/>
        </w:rPr>
        <w:t>教学目标：</w:t>
      </w:r>
      <w:r>
        <w:rPr>
          <w:rFonts w:hint="eastAsia"/>
        </w:rPr>
        <w:t>理解试验设计中常见指标的概念，掌握制定田间试验计划的要求，为试验设计奠定基础。</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教学重点是制定田间试验计划的要求，难点是理解试验计划中常见概念。</w:t>
      </w:r>
    </w:p>
    <w:p>
      <w:pPr>
        <w:adjustRightInd w:val="0"/>
        <w:snapToGrid w:val="0"/>
        <w:spacing w:line="360" w:lineRule="auto"/>
      </w:pPr>
      <w:r>
        <w:rPr>
          <w:rFonts w:hint="eastAsia"/>
          <w:b/>
          <w:bCs/>
        </w:rPr>
        <w:t>主要教学内容及要求：</w:t>
      </w:r>
      <w:r>
        <w:rPr>
          <w:rFonts w:hint="eastAsia"/>
        </w:rPr>
        <w:t>理解试验指标、因素、处理、水平、效应、互作、小区等概念，了解田间试验的种类，掌握制定田间试验计划的要求。</w:t>
      </w:r>
    </w:p>
    <w:p>
      <w:pPr>
        <w:adjustRightInd w:val="0"/>
        <w:snapToGrid w:val="0"/>
        <w:spacing w:line="360" w:lineRule="auto"/>
        <w:rPr>
          <w:b/>
          <w:bCs/>
          <w:szCs w:val="21"/>
        </w:rPr>
      </w:pPr>
      <w:r>
        <w:rPr>
          <w:rFonts w:hint="eastAsia"/>
          <w:b/>
          <w:bCs/>
        </w:rPr>
        <w:t>教学组织与实施：</w:t>
      </w:r>
      <w:r>
        <w:rPr>
          <w:rFonts w:hint="eastAsia"/>
        </w:rPr>
        <w:t>采取课堂讲授、案例分析和讨论相结合的方式进行。</w:t>
      </w:r>
    </w:p>
    <w:p>
      <w:pPr>
        <w:numPr>
          <w:ilvl w:val="0"/>
          <w:numId w:val="19"/>
        </w:numPr>
        <w:adjustRightInd w:val="0"/>
        <w:snapToGrid w:val="0"/>
        <w:spacing w:line="360" w:lineRule="auto"/>
        <w:rPr>
          <w:b/>
          <w:bCs/>
          <w:szCs w:val="21"/>
        </w:rPr>
      </w:pPr>
      <w:r>
        <w:rPr>
          <w:rFonts w:hint="eastAsia"/>
          <w:b/>
          <w:bCs/>
          <w:szCs w:val="21"/>
        </w:rPr>
        <w:t xml:space="preserve">试验误差及其控制（2.0学时）                                  </w:t>
      </w:r>
    </w:p>
    <w:p>
      <w:pPr>
        <w:adjustRightInd w:val="0"/>
        <w:snapToGrid w:val="0"/>
        <w:spacing w:line="360" w:lineRule="auto"/>
      </w:pPr>
      <w:r>
        <w:rPr>
          <w:rFonts w:hint="eastAsia" w:ascii="宋体" w:hAnsi="宋体"/>
          <w:b/>
          <w:bCs/>
        </w:rPr>
        <w:t>教学目标：</w:t>
      </w:r>
      <w:r>
        <w:rPr>
          <w:rFonts w:hint="eastAsia"/>
        </w:rPr>
        <w:t>理解和掌握试验误差的来源及其控制途径。</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教学重点是试验误差的来源及种类，难点根据误差来源不同，采取相应措施及设计方法来控制。</w:t>
      </w:r>
    </w:p>
    <w:p>
      <w:pPr>
        <w:adjustRightInd w:val="0"/>
        <w:snapToGrid w:val="0"/>
        <w:spacing w:line="360" w:lineRule="auto"/>
      </w:pPr>
      <w:r>
        <w:rPr>
          <w:rFonts w:hint="eastAsia"/>
          <w:b/>
          <w:bCs/>
        </w:rPr>
        <w:t>主要教学内容及要求：</w:t>
      </w:r>
      <w:r>
        <w:rPr>
          <w:rFonts w:hint="eastAsia"/>
        </w:rPr>
        <w:t>理解试验误差的的概念与来源，了解试验误差的种类，掌握试验误差的控制途径与方法。</w:t>
      </w:r>
    </w:p>
    <w:p>
      <w:pPr>
        <w:adjustRightInd w:val="0"/>
        <w:snapToGrid w:val="0"/>
        <w:spacing w:line="360" w:lineRule="auto"/>
        <w:rPr>
          <w:b/>
          <w:bCs/>
          <w:szCs w:val="21"/>
        </w:rPr>
      </w:pPr>
      <w:r>
        <w:rPr>
          <w:rFonts w:hint="eastAsia"/>
          <w:b/>
          <w:bCs/>
        </w:rPr>
        <w:t>教学组织与实施：</w:t>
      </w:r>
      <w:r>
        <w:rPr>
          <w:rFonts w:hint="eastAsia"/>
        </w:rPr>
        <w:t>采取课堂讲授、案例分析和讨论相结合的方式进行。</w:t>
      </w:r>
    </w:p>
    <w:p>
      <w:pPr>
        <w:numPr>
          <w:ilvl w:val="0"/>
          <w:numId w:val="19"/>
        </w:numPr>
        <w:adjustRightInd w:val="0"/>
        <w:snapToGrid w:val="0"/>
        <w:spacing w:line="360" w:lineRule="auto"/>
        <w:rPr>
          <w:b/>
          <w:bCs/>
          <w:szCs w:val="21"/>
        </w:rPr>
      </w:pPr>
      <w:r>
        <w:rPr>
          <w:rFonts w:hint="eastAsia"/>
          <w:b/>
          <w:bCs/>
          <w:szCs w:val="21"/>
        </w:rPr>
        <w:t xml:space="preserve">试验设计的原则和常用方法（4.0学时）                          </w:t>
      </w:r>
    </w:p>
    <w:p>
      <w:pPr>
        <w:adjustRightInd w:val="0"/>
        <w:snapToGrid w:val="0"/>
        <w:spacing w:line="360" w:lineRule="auto"/>
      </w:pPr>
      <w:r>
        <w:rPr>
          <w:rFonts w:hint="eastAsia" w:ascii="宋体" w:hAnsi="宋体"/>
          <w:b/>
          <w:bCs/>
        </w:rPr>
        <w:t>教学目标：</w:t>
      </w:r>
      <w:r>
        <w:rPr>
          <w:rFonts w:hint="eastAsia"/>
        </w:rPr>
        <w:t>理解和掌握试验设计的原则和进行试验设计的方法。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ascii="宋体" w:hAnsi="宋体"/>
        </w:rPr>
        <w:t>教学重点是</w:t>
      </w:r>
      <w:r>
        <w:rPr>
          <w:rFonts w:hint="eastAsia"/>
        </w:rPr>
        <w:t>试验设计的基本原则和常用方法，取样技术等。难点是小区技术，对局部控制方法的理解与灵活应用，裂区设计方法等。</w:t>
      </w:r>
    </w:p>
    <w:p>
      <w:pPr>
        <w:adjustRightInd w:val="0"/>
        <w:snapToGrid w:val="0"/>
        <w:spacing w:line="360" w:lineRule="auto"/>
      </w:pPr>
      <w:r>
        <w:rPr>
          <w:rFonts w:hint="eastAsia"/>
          <w:b/>
          <w:bCs/>
        </w:rPr>
        <w:t>主要教学内容及要求：</w:t>
      </w:r>
      <w:r>
        <w:rPr>
          <w:rFonts w:hint="eastAsia"/>
        </w:rPr>
        <w:t>理解试验设计的原则及其作用，掌握试验小区、重复与区组的概念及其设置方法；熟练掌握完全随机、随机区组、拉丁方、裂区和条区设计等常用试验设计方法的特点及其应用。</w:t>
      </w:r>
    </w:p>
    <w:p>
      <w:pPr>
        <w:adjustRightInd w:val="0"/>
        <w:snapToGrid w:val="0"/>
        <w:spacing w:line="360" w:lineRule="auto"/>
        <w:rPr>
          <w:b/>
          <w:bCs/>
          <w:szCs w:val="21"/>
        </w:rPr>
      </w:pPr>
      <w:r>
        <w:rPr>
          <w:rFonts w:hint="eastAsia"/>
          <w:b/>
          <w:bCs/>
        </w:rPr>
        <w:t>教学组织与实施：</w:t>
      </w:r>
      <w:r>
        <w:rPr>
          <w:rFonts w:hint="eastAsia"/>
        </w:rPr>
        <w:t>采取课堂讲授、试验练习和讨论相结合的方式进行。让对</w:t>
      </w:r>
      <w:r>
        <w:rPr>
          <w:rFonts w:hint="eastAsia" w:ascii="宋体" w:hAnsi="宋体"/>
        </w:rPr>
        <w:t>指定的试验条件用相应的设计方法</w:t>
      </w:r>
      <w:r>
        <w:rPr>
          <w:rFonts w:hint="eastAsia"/>
        </w:rPr>
        <w:t>进行试验设计，老师引导学生展示设计，对发现的问题进行讨论与点评。</w:t>
      </w:r>
    </w:p>
    <w:p>
      <w:pPr>
        <w:adjustRightInd w:val="0"/>
        <w:snapToGrid w:val="0"/>
        <w:spacing w:line="360" w:lineRule="auto"/>
        <w:rPr>
          <w:b/>
          <w:bCs/>
          <w:szCs w:val="21"/>
        </w:rPr>
      </w:pPr>
      <w:r>
        <w:rPr>
          <w:rFonts w:hint="eastAsia"/>
          <w:b/>
          <w:bCs/>
          <w:szCs w:val="21"/>
        </w:rPr>
        <w:t xml:space="preserve">第五节 田间试验的实施与取样技术（1.0学时）                          </w:t>
      </w:r>
    </w:p>
    <w:p>
      <w:pPr>
        <w:adjustRightInd w:val="0"/>
        <w:snapToGrid w:val="0"/>
        <w:spacing w:line="360" w:lineRule="auto"/>
      </w:pPr>
      <w:r>
        <w:rPr>
          <w:rFonts w:hint="eastAsia" w:ascii="宋体" w:hAnsi="宋体"/>
          <w:b/>
          <w:bCs/>
        </w:rPr>
        <w:t>教学目标：</w:t>
      </w:r>
      <w:r>
        <w:rPr>
          <w:rFonts w:hint="eastAsia" w:ascii="宋体" w:hAnsi="宋体"/>
        </w:rPr>
        <w:t>理解和掌握根据园艺植物的特点实施田间试验的方法步骤、取样技术。</w:t>
      </w:r>
    </w:p>
    <w:p>
      <w:pPr>
        <w:adjustRightInd w:val="0"/>
        <w:snapToGrid w:val="0"/>
        <w:spacing w:line="360" w:lineRule="auto"/>
      </w:pPr>
      <w:r>
        <w:rPr>
          <w:rFonts w:hint="eastAsia" w:ascii="宋体" w:hAnsi="宋体"/>
          <w:b/>
          <w:bCs/>
        </w:rPr>
        <w:t>教学重点和难点：</w:t>
      </w:r>
      <w:r>
        <w:rPr>
          <w:rFonts w:hint="eastAsia"/>
        </w:rPr>
        <w:t>教学重点是取样的要点和方法。</w:t>
      </w:r>
    </w:p>
    <w:p>
      <w:pPr>
        <w:adjustRightInd w:val="0"/>
        <w:snapToGrid w:val="0"/>
        <w:spacing w:line="360" w:lineRule="auto"/>
      </w:pPr>
      <w:r>
        <w:rPr>
          <w:rFonts w:hint="eastAsia" w:ascii="宋体" w:hAnsi="宋体"/>
          <w:b/>
          <w:bCs/>
        </w:rPr>
        <w:t>主要教学内容及要求：</w:t>
      </w:r>
      <w:r>
        <w:rPr>
          <w:rFonts w:hint="eastAsia"/>
        </w:rPr>
        <w:t xml:space="preserve">了解田间试验实施的过程，掌握根据不同园艺植物特点进行取样的方法。 </w:t>
      </w:r>
    </w:p>
    <w:p>
      <w:pPr>
        <w:widowControl/>
        <w:adjustRightInd w:val="0"/>
        <w:snapToGrid w:val="0"/>
        <w:spacing w:line="360" w:lineRule="auto"/>
        <w:rPr>
          <w:b/>
          <w:bCs/>
        </w:rPr>
      </w:pPr>
      <w:r>
        <w:rPr>
          <w:rFonts w:hint="eastAsia" w:ascii="宋体" w:hAnsi="宋体"/>
          <w:b/>
          <w:bCs/>
        </w:rPr>
        <w:t>教学组织与实施：</w:t>
      </w:r>
      <w:r>
        <w:rPr>
          <w:rFonts w:hint="eastAsia" w:ascii="宋体" w:hAnsi="宋体"/>
        </w:rPr>
        <w:t>结合本章前期讲解的园艺植物的特点，通过实例介绍不同园艺植物田间试验实施的过程及注意事项，取样的方法及应用。</w:t>
      </w:r>
    </w:p>
    <w:p>
      <w:pPr>
        <w:adjustRightInd w:val="0"/>
        <w:snapToGrid w:val="0"/>
        <w:spacing w:line="360" w:lineRule="auto"/>
        <w:jc w:val="right"/>
        <w:rPr>
          <w:b/>
          <w:bCs/>
        </w:rPr>
      </w:pPr>
      <w:r>
        <w:rPr>
          <w:rFonts w:hint="eastAsia"/>
          <w:b/>
          <w:bCs/>
        </w:rPr>
        <w:t xml:space="preserve">                                   第三章  描述统计                       </w:t>
      </w:r>
      <w:r>
        <w:rPr>
          <w:rFonts w:hint="eastAsia"/>
          <w:bCs/>
        </w:rPr>
        <w:t xml:space="preserve"> </w:t>
      </w:r>
      <w:r>
        <w:rPr>
          <w:rFonts w:hint="eastAsia"/>
          <w:b/>
          <w:bCs/>
        </w:rPr>
        <w:t>学时数：</w:t>
      </w:r>
      <w:r>
        <w:rPr>
          <w:b/>
          <w:bCs/>
        </w:rPr>
        <w:t>3</w:t>
      </w:r>
    </w:p>
    <w:p>
      <w:pPr>
        <w:adjustRightInd w:val="0"/>
        <w:snapToGrid w:val="0"/>
        <w:spacing w:line="360" w:lineRule="auto"/>
        <w:rPr>
          <w:b/>
          <w:bCs/>
          <w:szCs w:val="21"/>
        </w:rPr>
      </w:pPr>
      <w:r>
        <w:rPr>
          <w:rFonts w:hint="eastAsia"/>
          <w:b/>
          <w:bCs/>
          <w:szCs w:val="21"/>
        </w:rPr>
        <w:t>第一节 生物统计常用术语（</w:t>
      </w:r>
      <w:r>
        <w:rPr>
          <w:b/>
          <w:bCs/>
          <w:szCs w:val="21"/>
        </w:rPr>
        <w:t>0</w:t>
      </w:r>
      <w:r>
        <w:rPr>
          <w:rFonts w:hint="eastAsia"/>
          <w:b/>
          <w:bCs/>
          <w:szCs w:val="21"/>
        </w:rPr>
        <w:t xml:space="preserve">.5学时） </w:t>
      </w:r>
      <w:r>
        <w:rPr>
          <w:b/>
          <w:bCs/>
          <w:szCs w:val="21"/>
        </w:rPr>
        <w:t xml:space="preserve">                                  </w:t>
      </w:r>
    </w:p>
    <w:p>
      <w:pPr>
        <w:adjustRightInd w:val="0"/>
        <w:snapToGrid w:val="0"/>
        <w:spacing w:line="360" w:lineRule="auto"/>
      </w:pPr>
      <w:r>
        <w:rPr>
          <w:rFonts w:hint="eastAsia" w:ascii="宋体" w:hAnsi="宋体"/>
          <w:b/>
          <w:bCs/>
        </w:rPr>
        <w:t>教学目标：</w:t>
      </w:r>
      <w:r>
        <w:rPr>
          <w:rFonts w:hint="eastAsia"/>
        </w:rPr>
        <w:t>掌握生物统计常用的术语。</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教学重点是生物统计常用术语，难点是试验结果资料的性质。</w:t>
      </w:r>
    </w:p>
    <w:p>
      <w:pPr>
        <w:adjustRightInd w:val="0"/>
        <w:snapToGrid w:val="0"/>
        <w:spacing w:line="360" w:lineRule="auto"/>
      </w:pPr>
      <w:r>
        <w:rPr>
          <w:rFonts w:hint="eastAsia" w:ascii="宋体" w:hAnsi="宋体"/>
          <w:b/>
          <w:bCs/>
        </w:rPr>
        <w:t>主要教学内容及要求：</w:t>
      </w:r>
      <w:r>
        <w:rPr>
          <w:rFonts w:hint="eastAsia"/>
        </w:rPr>
        <w:t>掌握总体与样本、参数与统计数、变数与变量等常用生物统计学术语，理解不同性质的试验结果资料。</w:t>
      </w:r>
    </w:p>
    <w:p>
      <w:pPr>
        <w:adjustRightInd w:val="0"/>
        <w:snapToGrid w:val="0"/>
        <w:spacing w:line="360" w:lineRule="auto"/>
        <w:rPr>
          <w:b/>
          <w:bCs/>
          <w:szCs w:val="21"/>
        </w:rPr>
      </w:pPr>
      <w:r>
        <w:rPr>
          <w:rFonts w:hint="eastAsia" w:ascii="宋体" w:hAnsi="宋体"/>
          <w:b/>
          <w:bCs/>
        </w:rPr>
        <w:t>教学组织与实施：</w:t>
      </w:r>
      <w:r>
        <w:rPr>
          <w:rFonts w:hint="eastAsia" w:ascii="宋体" w:hAnsi="宋体"/>
        </w:rPr>
        <w:t>本节新术语较多，采用课堂讲授、实例示范和线上讨论的方式，使学生建立试验设计与生物统计之间的联系，加深对生物统计术语的理解。</w:t>
      </w:r>
    </w:p>
    <w:p>
      <w:pPr>
        <w:adjustRightInd w:val="0"/>
        <w:snapToGrid w:val="0"/>
        <w:spacing w:line="360" w:lineRule="auto"/>
        <w:rPr>
          <w:b/>
          <w:bCs/>
          <w:szCs w:val="21"/>
        </w:rPr>
      </w:pPr>
      <w:r>
        <w:rPr>
          <w:rFonts w:hint="eastAsia"/>
          <w:b/>
          <w:bCs/>
          <w:szCs w:val="21"/>
        </w:rPr>
        <w:t>第二节 次数分布（1</w:t>
      </w:r>
      <w:r>
        <w:rPr>
          <w:b/>
          <w:bCs/>
          <w:szCs w:val="21"/>
        </w:rPr>
        <w:t>.5</w:t>
      </w:r>
      <w:r>
        <w:rPr>
          <w:rFonts w:hint="eastAsia"/>
          <w:b/>
          <w:bCs/>
          <w:szCs w:val="21"/>
        </w:rPr>
        <w:t>学时）</w:t>
      </w:r>
      <w:r>
        <w:rPr>
          <w:b/>
          <w:bCs/>
          <w:szCs w:val="21"/>
        </w:rPr>
        <w:t xml:space="preserve">                                          </w:t>
      </w:r>
    </w:p>
    <w:p>
      <w:pPr>
        <w:adjustRightInd w:val="0"/>
        <w:snapToGrid w:val="0"/>
        <w:spacing w:line="360" w:lineRule="auto"/>
      </w:pPr>
      <w:r>
        <w:rPr>
          <w:rFonts w:hint="eastAsia" w:ascii="宋体" w:hAnsi="宋体"/>
          <w:b/>
          <w:bCs/>
        </w:rPr>
        <w:t>教学目标：</w:t>
      </w:r>
      <w:r>
        <w:rPr>
          <w:rFonts w:hint="eastAsia"/>
        </w:rPr>
        <w:t>学会次数分布等常见表、图的制作。</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教学重点是连续性变数次数分布表和次数分布图的制作，难点是科技论文中常见图表的制作。</w:t>
      </w:r>
    </w:p>
    <w:p>
      <w:pPr>
        <w:adjustRightInd w:val="0"/>
        <w:snapToGrid w:val="0"/>
        <w:spacing w:line="360" w:lineRule="auto"/>
      </w:pPr>
      <w:r>
        <w:rPr>
          <w:rFonts w:hint="eastAsia" w:ascii="宋体" w:hAnsi="宋体"/>
          <w:b/>
          <w:bCs/>
        </w:rPr>
        <w:t>主要教学内容及要求：</w:t>
      </w:r>
      <w:r>
        <w:rPr>
          <w:rFonts w:hint="eastAsia" w:ascii="宋体" w:hAnsi="宋体"/>
        </w:rPr>
        <w:t>了解不同性质试验结果资料的整理方法，了解常见图表的一般格式，熟练</w:t>
      </w:r>
      <w:r>
        <w:rPr>
          <w:rFonts w:hint="eastAsia"/>
        </w:rPr>
        <w:t>掌握次数分布表和次数分布图的制作方法及关键步骤，掌握科技论文中常见图表的制作。</w:t>
      </w:r>
    </w:p>
    <w:p>
      <w:pPr>
        <w:adjustRightInd w:val="0"/>
        <w:snapToGrid w:val="0"/>
        <w:spacing w:line="360" w:lineRule="auto"/>
        <w:rPr>
          <w:b/>
          <w:bCs/>
          <w:szCs w:val="21"/>
        </w:rPr>
      </w:pPr>
      <w:r>
        <w:rPr>
          <w:rFonts w:hint="eastAsia" w:ascii="宋体" w:hAnsi="宋体"/>
          <w:b/>
          <w:bCs/>
        </w:rPr>
        <w:t>教学组织与实施：</w:t>
      </w:r>
      <w:r>
        <w:rPr>
          <w:rFonts w:hint="eastAsia" w:ascii="宋体" w:hAnsi="宋体"/>
        </w:rPr>
        <w:t>本节知识点较易掌握，通过课堂讲授、实例分析让学生理解次数分布表和分布图以及其他常见图表的制作步骤和方法，通过课后练习和上机实践让学生学会制作次数分布表和分布图。</w:t>
      </w:r>
    </w:p>
    <w:p>
      <w:pPr>
        <w:adjustRightInd w:val="0"/>
        <w:snapToGrid w:val="0"/>
        <w:spacing w:line="360" w:lineRule="auto"/>
        <w:rPr>
          <w:b/>
          <w:bCs/>
          <w:szCs w:val="21"/>
        </w:rPr>
      </w:pPr>
      <w:r>
        <w:rPr>
          <w:rFonts w:hint="eastAsia"/>
          <w:b/>
          <w:bCs/>
          <w:szCs w:val="21"/>
        </w:rPr>
        <w:t>第三节 资料的特征数（1学时）</w:t>
      </w:r>
      <w:r>
        <w:rPr>
          <w:b/>
          <w:bCs/>
          <w:szCs w:val="21"/>
        </w:rPr>
        <w:t xml:space="preserve">                                      </w:t>
      </w:r>
    </w:p>
    <w:p>
      <w:pPr>
        <w:adjustRightInd w:val="0"/>
        <w:snapToGrid w:val="0"/>
        <w:spacing w:line="360" w:lineRule="auto"/>
        <w:rPr>
          <w:rFonts w:ascii="宋体" w:hAnsi="宋体"/>
        </w:rPr>
      </w:pPr>
      <w:r>
        <w:rPr>
          <w:rFonts w:hint="eastAsia" w:ascii="宋体" w:hAnsi="宋体"/>
          <w:b/>
          <w:bCs/>
        </w:rPr>
        <w:t>教学目标：</w:t>
      </w:r>
      <w:r>
        <w:rPr>
          <w:rFonts w:hint="eastAsia" w:ascii="宋体" w:hAnsi="宋体"/>
        </w:rPr>
        <w:t>学会资料特征数计算方法。</w:t>
      </w:r>
    </w:p>
    <w:p>
      <w:pPr>
        <w:adjustRightInd w:val="0"/>
        <w:snapToGrid w:val="0"/>
        <w:spacing w:line="360" w:lineRule="auto"/>
        <w:rPr>
          <w:rFonts w:ascii="宋体" w:hAnsi="宋体"/>
        </w:rPr>
      </w:pPr>
      <w:r>
        <w:rPr>
          <w:rFonts w:hint="eastAsia" w:ascii="宋体" w:hAnsi="宋体"/>
          <w:b/>
          <w:bCs/>
        </w:rPr>
        <w:t>教学重点和难点：</w:t>
      </w:r>
      <w:r>
        <w:rPr>
          <w:rFonts w:hint="eastAsia" w:ascii="宋体" w:hAnsi="宋体"/>
        </w:rPr>
        <w:t>教学重点是资料特征数的计算。</w:t>
      </w:r>
    </w:p>
    <w:p>
      <w:pPr>
        <w:adjustRightInd w:val="0"/>
        <w:snapToGrid w:val="0"/>
        <w:spacing w:line="360" w:lineRule="auto"/>
        <w:rPr>
          <w:rFonts w:ascii="宋体" w:hAnsi="宋体"/>
        </w:rPr>
      </w:pPr>
      <w:r>
        <w:rPr>
          <w:rFonts w:hint="eastAsia" w:ascii="宋体" w:hAnsi="宋体"/>
          <w:b/>
          <w:bCs/>
        </w:rPr>
        <w:t>主要教学内容及要求：</w:t>
      </w:r>
      <w:r>
        <w:rPr>
          <w:rFonts w:hint="eastAsia" w:ascii="宋体" w:hAnsi="宋体"/>
        </w:rPr>
        <w:t>了解资料平均数和变异数种类，掌握常用特征数的种类、特点及计算方法等。</w:t>
      </w:r>
    </w:p>
    <w:p>
      <w:pPr>
        <w:adjustRightInd w:val="0"/>
        <w:snapToGrid w:val="0"/>
        <w:spacing w:line="360" w:lineRule="auto"/>
        <w:rPr>
          <w:rFonts w:ascii="宋体" w:hAnsi="宋体"/>
        </w:rPr>
      </w:pPr>
      <w:r>
        <w:rPr>
          <w:rFonts w:hint="eastAsia" w:ascii="宋体" w:hAnsi="宋体"/>
          <w:b/>
          <w:bCs/>
        </w:rPr>
        <w:t>教学组织与实施：</w:t>
      </w:r>
      <w:r>
        <w:rPr>
          <w:rFonts w:hint="eastAsia" w:ascii="宋体" w:hAnsi="宋体"/>
        </w:rPr>
        <w:t>本节计算公式较多，总体和样本特征数计算公式不同，易混淆。通过课堂讲授让学生理解不同平均数和变异数间的关系，通过课堂练习和上机实践让学生理解试验结果资料特征，学会对资料特征数的计算。</w:t>
      </w:r>
    </w:p>
    <w:p>
      <w:pPr>
        <w:tabs>
          <w:tab w:val="left" w:pos="5940"/>
        </w:tabs>
        <w:adjustRightInd w:val="0"/>
        <w:snapToGrid w:val="0"/>
        <w:spacing w:line="360" w:lineRule="auto"/>
        <w:jc w:val="right"/>
        <w:rPr>
          <w:bCs/>
        </w:rPr>
      </w:pPr>
      <w:r>
        <w:rPr>
          <w:rFonts w:hint="eastAsia"/>
          <w:b/>
          <w:bCs/>
        </w:rPr>
        <w:t xml:space="preserve">第四章  统计推断       </w:t>
      </w:r>
      <w:r>
        <w:rPr>
          <w:b/>
          <w:bCs/>
        </w:rPr>
        <w:t xml:space="preserve">         </w:t>
      </w:r>
      <w:r>
        <w:rPr>
          <w:rFonts w:hint="eastAsia"/>
          <w:b/>
          <w:bCs/>
        </w:rPr>
        <w:t xml:space="preserve">       学时数：</w:t>
      </w:r>
      <w:r>
        <w:rPr>
          <w:b/>
          <w:bCs/>
        </w:rPr>
        <w:t>6</w:t>
      </w:r>
    </w:p>
    <w:p>
      <w:pPr>
        <w:adjustRightInd w:val="0"/>
        <w:snapToGrid w:val="0"/>
        <w:spacing w:line="360" w:lineRule="auto"/>
        <w:rPr>
          <w:b/>
          <w:bCs/>
          <w:szCs w:val="21"/>
        </w:rPr>
      </w:pPr>
      <w:r>
        <w:rPr>
          <w:rFonts w:hint="eastAsia"/>
          <w:b/>
          <w:bCs/>
          <w:szCs w:val="21"/>
        </w:rPr>
        <w:t>第一节 概率和理论分布（</w:t>
      </w:r>
      <w:r>
        <w:rPr>
          <w:b/>
          <w:bCs/>
          <w:szCs w:val="21"/>
        </w:rPr>
        <w:t>1.0</w:t>
      </w:r>
      <w:r>
        <w:rPr>
          <w:rFonts w:hint="eastAsia"/>
          <w:b/>
          <w:bCs/>
          <w:szCs w:val="21"/>
        </w:rPr>
        <w:t xml:space="preserve">学时） </w:t>
      </w:r>
      <w:r>
        <w:rPr>
          <w:b/>
          <w:bCs/>
          <w:szCs w:val="21"/>
        </w:rPr>
        <w:t xml:space="preserve">     </w:t>
      </w:r>
      <w:r>
        <w:rPr>
          <w:rFonts w:hint="eastAsia"/>
          <w:b/>
          <w:bCs/>
          <w:szCs w:val="21"/>
        </w:rPr>
        <w:t xml:space="preserve">                   </w:t>
      </w:r>
      <w:r>
        <w:rPr>
          <w:b/>
          <w:bCs/>
          <w:szCs w:val="21"/>
        </w:rPr>
        <w:t xml:space="preserve">           </w:t>
      </w:r>
    </w:p>
    <w:p>
      <w:pPr>
        <w:adjustRightInd w:val="0"/>
        <w:snapToGrid w:val="0"/>
        <w:spacing w:line="360" w:lineRule="auto"/>
        <w:rPr>
          <w:rFonts w:ascii="宋体" w:hAnsi="宋体"/>
        </w:rPr>
      </w:pPr>
      <w:r>
        <w:rPr>
          <w:rFonts w:hint="eastAsia" w:ascii="宋体" w:hAnsi="宋体"/>
          <w:b/>
          <w:bCs/>
        </w:rPr>
        <w:t>教学目标：</w:t>
      </w:r>
      <w:r>
        <w:rPr>
          <w:rFonts w:hint="eastAsia" w:ascii="宋体" w:hAnsi="宋体"/>
        </w:rPr>
        <w:t>了解概率的概念和基本运算，二项分布和正态分布的特点；正态曲线下一定区间的概率计算。</w:t>
      </w:r>
    </w:p>
    <w:p>
      <w:pPr>
        <w:adjustRightInd w:val="0"/>
        <w:snapToGrid w:val="0"/>
        <w:spacing w:line="360" w:lineRule="auto"/>
        <w:rPr>
          <w:rFonts w:ascii="宋体" w:hAnsi="宋体"/>
        </w:rPr>
      </w:pPr>
      <w:r>
        <w:rPr>
          <w:rFonts w:hint="eastAsia" w:ascii="宋体" w:hAnsi="宋体"/>
          <w:b/>
          <w:bCs/>
        </w:rPr>
        <w:t>教学重点和难点：</w:t>
      </w:r>
      <w:r>
        <w:rPr>
          <w:rFonts w:hint="eastAsia" w:ascii="宋体" w:hAnsi="宋体"/>
        </w:rPr>
        <w:t>教学重点是二项分布和正态分布的特点，难点是正态曲线下一定区间概率的计算方法。</w:t>
      </w:r>
    </w:p>
    <w:p>
      <w:pPr>
        <w:adjustRightInd w:val="0"/>
        <w:snapToGrid w:val="0"/>
        <w:spacing w:line="360" w:lineRule="auto"/>
        <w:rPr>
          <w:rFonts w:ascii="宋体" w:hAnsi="宋体"/>
        </w:rPr>
      </w:pPr>
      <w:r>
        <w:rPr>
          <w:rFonts w:hint="eastAsia" w:ascii="宋体" w:hAnsi="宋体"/>
          <w:b/>
          <w:bCs/>
        </w:rPr>
        <w:t>主要教学内容及要求：</w:t>
      </w:r>
      <w:r>
        <w:rPr>
          <w:rFonts w:hint="eastAsia" w:ascii="宋体" w:hAnsi="宋体"/>
        </w:rPr>
        <w:t>了解概率的概念和基本运算；了解二项分布和正态分布的特点，掌握正态曲线下一定区间概率的计算方法。</w:t>
      </w:r>
    </w:p>
    <w:p>
      <w:pPr>
        <w:adjustRightInd w:val="0"/>
        <w:snapToGrid w:val="0"/>
        <w:spacing w:line="360" w:lineRule="auto"/>
        <w:rPr>
          <w:b/>
          <w:bCs/>
          <w:szCs w:val="21"/>
        </w:rPr>
      </w:pPr>
      <w:r>
        <w:rPr>
          <w:rFonts w:hint="eastAsia" w:ascii="宋体" w:hAnsi="宋体"/>
          <w:b/>
          <w:bCs/>
        </w:rPr>
        <w:t>教学组织与实施：</w:t>
      </w:r>
      <w:r>
        <w:rPr>
          <w:rFonts w:hint="eastAsia" w:ascii="宋体" w:hAnsi="宋体"/>
        </w:rPr>
        <w:t>本节内容理论性较强，小概率原理是进行统计假设检验的基础原理，通过线上课前学习与讨论，使学生回顾以往数理统计基础知识并通过种子发芽试验了解概率的应用；以种子发芽试验为例，通过课堂讲授和实例分析，使学生了解二项分布和正态分布的特点；进一步通过课堂实例演示、解析和课后练习，使学生熟练掌握计算正态分布曲线下区间概率的计算。</w:t>
      </w:r>
    </w:p>
    <w:p>
      <w:pPr>
        <w:adjustRightInd w:val="0"/>
        <w:snapToGrid w:val="0"/>
        <w:spacing w:line="360" w:lineRule="auto"/>
        <w:rPr>
          <w:b/>
          <w:bCs/>
          <w:szCs w:val="21"/>
        </w:rPr>
      </w:pPr>
      <w:r>
        <w:rPr>
          <w:rFonts w:hint="eastAsia"/>
          <w:b/>
          <w:bCs/>
          <w:szCs w:val="21"/>
        </w:rPr>
        <w:t>第二节 常用统计数的分布（</w:t>
      </w:r>
      <w:r>
        <w:rPr>
          <w:b/>
          <w:bCs/>
          <w:szCs w:val="21"/>
        </w:rPr>
        <w:t>1</w:t>
      </w:r>
      <w:r>
        <w:rPr>
          <w:rFonts w:hint="eastAsia"/>
          <w:b/>
          <w:bCs/>
          <w:szCs w:val="21"/>
        </w:rPr>
        <w:t>.</w:t>
      </w:r>
      <w:r>
        <w:rPr>
          <w:b/>
          <w:bCs/>
          <w:szCs w:val="21"/>
        </w:rPr>
        <w:t>5</w:t>
      </w:r>
      <w:r>
        <w:rPr>
          <w:rFonts w:hint="eastAsia"/>
          <w:b/>
          <w:bCs/>
          <w:szCs w:val="21"/>
        </w:rPr>
        <w:t xml:space="preserve">学时）           </w:t>
      </w:r>
      <w:r>
        <w:rPr>
          <w:b/>
          <w:bCs/>
          <w:szCs w:val="21"/>
        </w:rPr>
        <w:t xml:space="preserve">                      </w:t>
      </w:r>
      <w:r>
        <w:rPr>
          <w:rFonts w:hint="eastAsia"/>
          <w:b/>
          <w:bCs/>
          <w:szCs w:val="21"/>
        </w:rPr>
        <w:t xml:space="preserve"> </w:t>
      </w:r>
    </w:p>
    <w:p>
      <w:pPr>
        <w:adjustRightInd w:val="0"/>
        <w:snapToGrid w:val="0"/>
        <w:spacing w:line="360" w:lineRule="auto"/>
        <w:rPr>
          <w:rFonts w:ascii="宋体" w:hAnsi="宋体"/>
        </w:rPr>
      </w:pPr>
      <w:r>
        <w:rPr>
          <w:rFonts w:hint="eastAsia" w:ascii="宋体" w:hAnsi="宋体"/>
          <w:b/>
          <w:bCs/>
        </w:rPr>
        <w:t>教学目标：</w:t>
      </w:r>
      <w:r>
        <w:rPr>
          <w:rFonts w:hint="eastAsia" w:ascii="宋体" w:hAnsi="宋体"/>
        </w:rPr>
        <w:t>掌握常用统计数的分布。</w:t>
      </w:r>
    </w:p>
    <w:p>
      <w:pPr>
        <w:adjustRightInd w:val="0"/>
        <w:snapToGrid w:val="0"/>
        <w:spacing w:line="360" w:lineRule="auto"/>
        <w:rPr>
          <w:rFonts w:ascii="宋体" w:hAnsi="宋体"/>
        </w:rPr>
      </w:pPr>
      <w:r>
        <w:rPr>
          <w:rFonts w:hint="eastAsia" w:ascii="宋体" w:hAnsi="宋体"/>
          <w:b/>
          <w:bCs/>
        </w:rPr>
        <w:t>教学重点和难点：</w:t>
      </w:r>
      <w:r>
        <w:rPr>
          <w:rFonts w:hint="eastAsia" w:ascii="宋体" w:hAnsi="宋体"/>
        </w:rPr>
        <w:t>教学重点是常用统计数的分布；难点是抽样分布与原总体分布的关系。</w:t>
      </w:r>
    </w:p>
    <w:p>
      <w:pPr>
        <w:adjustRightInd w:val="0"/>
        <w:snapToGrid w:val="0"/>
        <w:spacing w:line="360" w:lineRule="auto"/>
        <w:rPr>
          <w:rFonts w:ascii="宋体" w:hAnsi="宋体"/>
        </w:rPr>
      </w:pPr>
      <w:r>
        <w:rPr>
          <w:rFonts w:hint="eastAsia" w:ascii="宋体" w:hAnsi="宋体"/>
          <w:b/>
          <w:bCs/>
        </w:rPr>
        <w:t>主要教学内容及要求：</w:t>
      </w:r>
      <w:r>
        <w:rPr>
          <w:rFonts w:hint="eastAsia" w:ascii="宋体" w:hAnsi="宋体"/>
        </w:rPr>
        <w:t>了解样本平均数、平均数差数、t与卡平方等常用统计数的分布；掌握应用中心极限定理理解原总体与样本统计数分布关系。</w:t>
      </w:r>
    </w:p>
    <w:p>
      <w:pPr>
        <w:adjustRightInd w:val="0"/>
        <w:snapToGrid w:val="0"/>
        <w:spacing w:line="360" w:lineRule="auto"/>
        <w:rPr>
          <w:b/>
          <w:bCs/>
          <w:szCs w:val="21"/>
        </w:rPr>
      </w:pPr>
      <w:r>
        <w:rPr>
          <w:rFonts w:hint="eastAsia" w:ascii="宋体" w:hAnsi="宋体"/>
          <w:b/>
          <w:bCs/>
        </w:rPr>
        <w:t>教学组织与实施：</w:t>
      </w:r>
      <w:r>
        <w:rPr>
          <w:rFonts w:hint="eastAsia" w:ascii="宋体" w:hAnsi="宋体"/>
        </w:rPr>
        <w:t>本节知识内容理论性强，是进行统计假设检验的理论基础，在课堂理论教学的基础上，让学生通过比较分析掌握不同常见统计数分布的特点，通过实例数据，计算统计数分布相关参数，加深对常用统计数分布的理解。</w:t>
      </w:r>
    </w:p>
    <w:p>
      <w:pPr>
        <w:adjustRightInd w:val="0"/>
        <w:snapToGrid w:val="0"/>
        <w:spacing w:line="360" w:lineRule="auto"/>
        <w:jc w:val="left"/>
        <w:rPr>
          <w:b/>
          <w:bCs/>
        </w:rPr>
      </w:pPr>
      <w:r>
        <w:rPr>
          <w:rFonts w:hint="eastAsia"/>
          <w:b/>
          <w:bCs/>
          <w:szCs w:val="21"/>
        </w:rPr>
        <w:t>第三节 统计假设检验（</w:t>
      </w:r>
      <w:r>
        <w:rPr>
          <w:b/>
          <w:bCs/>
          <w:szCs w:val="21"/>
        </w:rPr>
        <w:t>3.0</w:t>
      </w:r>
      <w:r>
        <w:rPr>
          <w:rFonts w:hint="eastAsia"/>
          <w:b/>
          <w:bCs/>
          <w:szCs w:val="21"/>
        </w:rPr>
        <w:t xml:space="preserve">学时） </w:t>
      </w:r>
      <w:r>
        <w:rPr>
          <w:b/>
          <w:bCs/>
          <w:szCs w:val="21"/>
        </w:rPr>
        <w:t xml:space="preserve">                                    </w:t>
      </w:r>
    </w:p>
    <w:p>
      <w:pPr>
        <w:adjustRightInd w:val="0"/>
        <w:snapToGrid w:val="0"/>
        <w:spacing w:line="360" w:lineRule="auto"/>
        <w:rPr>
          <w:rFonts w:ascii="宋体" w:hAnsi="宋体"/>
        </w:rPr>
      </w:pPr>
      <w:r>
        <w:rPr>
          <w:rFonts w:hint="eastAsia" w:ascii="宋体" w:hAnsi="宋体"/>
          <w:b/>
          <w:bCs/>
        </w:rPr>
        <w:t>教学目标：</w:t>
      </w:r>
      <w:r>
        <w:rPr>
          <w:rFonts w:hint="eastAsia"/>
        </w:rPr>
        <w:t>理解和掌握统计假设检验的原理、步骤和方法</w:t>
      </w:r>
      <w:r>
        <w:rPr>
          <w:rFonts w:hint="eastAsia" w:ascii="宋体" w:hAnsi="宋体"/>
        </w:rPr>
        <w:t>。</w:t>
      </w:r>
    </w:p>
    <w:p>
      <w:pPr>
        <w:adjustRightInd w:val="0"/>
        <w:snapToGrid w:val="0"/>
        <w:spacing w:line="360" w:lineRule="auto"/>
        <w:rPr>
          <w:rFonts w:ascii="宋体" w:hAnsi="宋体"/>
        </w:rPr>
      </w:pPr>
      <w:r>
        <w:rPr>
          <w:rFonts w:hint="eastAsia" w:ascii="宋体" w:hAnsi="宋体"/>
          <w:b/>
          <w:bCs/>
        </w:rPr>
        <w:t>教学重点和难点：</w:t>
      </w:r>
      <w:r>
        <w:rPr>
          <w:rFonts w:hint="eastAsia" w:ascii="宋体" w:hAnsi="宋体"/>
        </w:rPr>
        <w:t>教学重点是统计假设检验的一般程序和方法，单个和两个样本平均数统计假设检验的方法。难点是统计假设检验的原理、一尾检验与两尾检验、假设检验的两类错误。</w:t>
      </w:r>
    </w:p>
    <w:p>
      <w:pPr>
        <w:adjustRightInd w:val="0"/>
        <w:snapToGrid w:val="0"/>
        <w:spacing w:line="360" w:lineRule="auto"/>
        <w:rPr>
          <w:rFonts w:ascii="宋体" w:hAnsi="宋体"/>
        </w:rPr>
      </w:pPr>
      <w:r>
        <w:rPr>
          <w:rFonts w:hint="eastAsia" w:ascii="宋体" w:hAnsi="宋体"/>
          <w:b/>
          <w:bCs/>
        </w:rPr>
        <w:t>主要教学内容及要求：</w:t>
      </w:r>
      <w:r>
        <w:rPr>
          <w:rFonts w:hint="eastAsia" w:ascii="宋体" w:hAnsi="宋体"/>
        </w:rPr>
        <w:t>要求通过学习理解，熟练掌握统计假设检验的原理、步骤和方法，熟练掌握对单个和两个样本平均数的统计假设检验。</w:t>
      </w:r>
    </w:p>
    <w:p>
      <w:pPr>
        <w:adjustRightInd w:val="0"/>
        <w:snapToGrid w:val="0"/>
        <w:spacing w:line="360" w:lineRule="auto"/>
        <w:rPr>
          <w:b/>
          <w:bCs/>
          <w:szCs w:val="21"/>
        </w:rPr>
      </w:pPr>
      <w:r>
        <w:rPr>
          <w:rFonts w:hint="eastAsia" w:ascii="宋体" w:hAnsi="宋体"/>
          <w:b/>
          <w:bCs/>
        </w:rPr>
        <w:t>教学组织与实施：</w:t>
      </w:r>
      <w:r>
        <w:rPr>
          <w:rFonts w:hint="eastAsia" w:ascii="宋体" w:hAnsi="宋体"/>
        </w:rPr>
        <w:t>本节内容逻辑性强、理论性强，是理论分布与统计数分布在生物统计中实际应用；通过课前线上预习和讨论分析，可由‘女士品茶’试验等经典例子引入假设检验的概念，使学生更好的理解统计假设检验基本思想和原理；通过实际案例提问，借助翻转课堂等形式，引导学生积极思考，进一步理解其一般程序和方法，掌握对具体试验结果资料进行假设检验的方法；最后通过线上讨论、课后练习和上机实践进一步巩固所学内容，学生能够使用统计假设检验进行合理的统计推断，正确分析试验处理效应。</w:t>
      </w:r>
    </w:p>
    <w:p>
      <w:pPr>
        <w:adjustRightInd w:val="0"/>
        <w:snapToGrid w:val="0"/>
        <w:spacing w:line="360" w:lineRule="auto"/>
        <w:jc w:val="left"/>
        <w:rPr>
          <w:b/>
          <w:bCs/>
          <w:szCs w:val="21"/>
        </w:rPr>
      </w:pPr>
      <w:r>
        <w:rPr>
          <w:rFonts w:hint="eastAsia"/>
          <w:b/>
          <w:bCs/>
          <w:szCs w:val="21"/>
        </w:rPr>
        <w:t>第四节 参数的区间</w:t>
      </w:r>
      <w:r>
        <w:rPr>
          <w:b/>
          <w:bCs/>
          <w:szCs w:val="21"/>
        </w:rPr>
        <w:t>估计</w:t>
      </w:r>
      <w:r>
        <w:rPr>
          <w:rFonts w:hint="eastAsia"/>
          <w:b/>
          <w:bCs/>
          <w:szCs w:val="21"/>
        </w:rPr>
        <w:t>（</w:t>
      </w:r>
      <w:r>
        <w:rPr>
          <w:b/>
          <w:bCs/>
          <w:szCs w:val="21"/>
        </w:rPr>
        <w:t>0.5学时</w:t>
      </w:r>
      <w:r>
        <w:rPr>
          <w:rFonts w:hint="eastAsia"/>
          <w:b/>
          <w:bCs/>
          <w:szCs w:val="21"/>
        </w:rPr>
        <w:t xml:space="preserve">） </w:t>
      </w:r>
      <w:r>
        <w:rPr>
          <w:b/>
          <w:bCs/>
          <w:szCs w:val="21"/>
        </w:rPr>
        <w:t xml:space="preserve">                                </w:t>
      </w:r>
    </w:p>
    <w:p>
      <w:pPr>
        <w:adjustRightInd w:val="0"/>
        <w:snapToGrid w:val="0"/>
        <w:spacing w:line="360" w:lineRule="auto"/>
        <w:rPr>
          <w:rFonts w:ascii="宋体" w:hAnsi="宋体"/>
        </w:rPr>
      </w:pPr>
      <w:r>
        <w:rPr>
          <w:rFonts w:hint="eastAsia" w:ascii="宋体" w:hAnsi="宋体"/>
          <w:b/>
          <w:bCs/>
        </w:rPr>
        <w:t>教学目标：</w:t>
      </w:r>
      <w:r>
        <w:rPr>
          <w:rFonts w:hint="eastAsia" w:ascii="宋体" w:hAnsi="宋体"/>
        </w:rPr>
        <w:t>了解总体参数的区间估计。</w:t>
      </w:r>
    </w:p>
    <w:p>
      <w:pPr>
        <w:adjustRightInd w:val="0"/>
        <w:snapToGrid w:val="0"/>
        <w:spacing w:line="360" w:lineRule="auto"/>
        <w:rPr>
          <w:rFonts w:ascii="宋体" w:hAnsi="宋体"/>
        </w:rPr>
      </w:pPr>
      <w:r>
        <w:rPr>
          <w:rFonts w:hint="eastAsia" w:ascii="宋体" w:hAnsi="宋体"/>
          <w:b/>
          <w:bCs/>
        </w:rPr>
        <w:t>教学重点：</w:t>
      </w:r>
      <w:r>
        <w:rPr>
          <w:rFonts w:hint="eastAsia" w:ascii="宋体" w:hAnsi="宋体"/>
        </w:rPr>
        <w:t>总体参数的区间估计。</w:t>
      </w:r>
    </w:p>
    <w:p>
      <w:pPr>
        <w:adjustRightInd w:val="0"/>
        <w:snapToGrid w:val="0"/>
        <w:spacing w:line="360" w:lineRule="auto"/>
        <w:rPr>
          <w:rFonts w:ascii="宋体" w:hAnsi="宋体"/>
        </w:rPr>
      </w:pPr>
      <w:r>
        <w:rPr>
          <w:rFonts w:hint="eastAsia" w:ascii="宋体" w:hAnsi="宋体"/>
          <w:b/>
          <w:bCs/>
        </w:rPr>
        <w:t>主要教学内容及要求：</w:t>
      </w:r>
      <w:r>
        <w:rPr>
          <w:rFonts w:hint="eastAsia" w:ascii="宋体" w:hAnsi="宋体"/>
        </w:rPr>
        <w:t>了解参数的区间估计。</w:t>
      </w:r>
    </w:p>
    <w:p>
      <w:pPr>
        <w:adjustRightInd w:val="0"/>
        <w:snapToGrid w:val="0"/>
        <w:spacing w:line="360" w:lineRule="auto"/>
        <w:rPr>
          <w:b/>
          <w:bCs/>
        </w:rPr>
      </w:pPr>
      <w:r>
        <w:rPr>
          <w:rFonts w:hint="eastAsia" w:ascii="宋体" w:hAnsi="宋体"/>
          <w:b/>
          <w:bCs/>
        </w:rPr>
        <w:t>教学组织与实施：</w:t>
      </w:r>
      <w:r>
        <w:rPr>
          <w:rFonts w:hint="eastAsia" w:ascii="宋体" w:hAnsi="宋体"/>
        </w:rPr>
        <w:t>通过本章学习和积累，学生对参数区间估计的概念和计算的理解相对容易一些，通过课堂讲授使学生了解区间估计及其相关术语，了解置信度下置信区间的计算和统计分析，通过课后练习和上机实践进一步巩固相关内容。</w:t>
      </w:r>
    </w:p>
    <w:p>
      <w:pPr>
        <w:tabs>
          <w:tab w:val="left" w:pos="5940"/>
        </w:tabs>
        <w:adjustRightInd w:val="0"/>
        <w:snapToGrid w:val="0"/>
        <w:spacing w:line="360" w:lineRule="auto"/>
        <w:jc w:val="right"/>
        <w:rPr>
          <w:bCs/>
        </w:rPr>
      </w:pPr>
      <w:r>
        <w:rPr>
          <w:rFonts w:hint="eastAsia"/>
          <w:b/>
          <w:bCs/>
        </w:rPr>
        <w:t xml:space="preserve">第五章  方差分析       </w:t>
      </w:r>
      <w:r>
        <w:rPr>
          <w:b/>
          <w:bCs/>
        </w:rPr>
        <w:t xml:space="preserve">         </w:t>
      </w:r>
      <w:r>
        <w:rPr>
          <w:rFonts w:hint="eastAsia"/>
          <w:b/>
          <w:bCs/>
        </w:rPr>
        <w:t xml:space="preserve">       学时数：</w:t>
      </w:r>
      <w:r>
        <w:rPr>
          <w:b/>
          <w:bCs/>
        </w:rPr>
        <w:t>6</w:t>
      </w:r>
    </w:p>
    <w:p>
      <w:pPr>
        <w:adjustRightInd w:val="0"/>
        <w:snapToGrid w:val="0"/>
        <w:spacing w:line="360" w:lineRule="auto"/>
        <w:rPr>
          <w:b/>
          <w:bCs/>
          <w:szCs w:val="21"/>
        </w:rPr>
      </w:pPr>
      <w:r>
        <w:rPr>
          <w:rFonts w:hint="eastAsia"/>
          <w:b/>
          <w:bCs/>
          <w:szCs w:val="21"/>
        </w:rPr>
        <w:t>第一节 方差分析的基本原理（3.5学时）</w:t>
      </w:r>
    </w:p>
    <w:p>
      <w:pPr>
        <w:adjustRightInd w:val="0"/>
        <w:snapToGrid w:val="0"/>
        <w:spacing w:line="360" w:lineRule="auto"/>
      </w:pPr>
      <w:r>
        <w:rPr>
          <w:rFonts w:hint="eastAsia" w:ascii="宋体" w:hAnsi="宋体"/>
          <w:b/>
          <w:bCs/>
        </w:rPr>
        <w:t>教学目标：</w:t>
      </w:r>
      <w:r>
        <w:rPr>
          <w:rFonts w:hint="eastAsia"/>
        </w:rPr>
        <w:t>理解方差分析的基本原理，初步掌握方差分析的基本步骤，能够正确进行F检验和多重分析，学会均数间差异显著性的表示方法。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教学重点是方差分析的基本原理与过程。难点是用LSR进行多重比较的方法。</w:t>
      </w:r>
    </w:p>
    <w:p>
      <w:pPr>
        <w:adjustRightInd w:val="0"/>
        <w:snapToGrid w:val="0"/>
        <w:spacing w:line="360" w:lineRule="auto"/>
      </w:pPr>
      <w:r>
        <w:rPr>
          <w:rFonts w:hint="eastAsia" w:ascii="宋体" w:hAnsi="宋体"/>
          <w:b/>
          <w:bCs/>
        </w:rPr>
        <w:t>主要教学内容及要求：</w:t>
      </w:r>
      <w:r>
        <w:rPr>
          <w:rFonts w:hint="eastAsia"/>
        </w:rPr>
        <w:t>理解方差分析的基本原理，初步掌握方差分析的基本步骤包括平方和与自由度的分解，F检验和LSD、SSR、q检验等多重比较分析的常用方法；掌握用星号法和字母标记法表示均数间的差异显著性。</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本节理论性强，方法复杂，一些知识比较难懂，课堂教学要适当放慢速度，分析过程要结合实例，可以板书推导为主、辅以PPT方式分步骤详细讲解。</w:t>
      </w:r>
    </w:p>
    <w:p>
      <w:pPr>
        <w:adjustRightInd w:val="0"/>
        <w:snapToGrid w:val="0"/>
        <w:spacing w:line="360" w:lineRule="auto"/>
        <w:rPr>
          <w:b/>
          <w:bCs/>
          <w:szCs w:val="21"/>
        </w:rPr>
      </w:pPr>
      <w:r>
        <w:rPr>
          <w:rFonts w:hint="eastAsia"/>
          <w:b/>
          <w:bCs/>
          <w:szCs w:val="21"/>
        </w:rPr>
        <w:t xml:space="preserve">第二节 单向分组资料的方差分析（1学时）                            </w:t>
      </w:r>
    </w:p>
    <w:p>
      <w:pPr>
        <w:adjustRightInd w:val="0"/>
        <w:snapToGrid w:val="0"/>
        <w:spacing w:line="360" w:lineRule="auto"/>
      </w:pPr>
      <w:r>
        <w:rPr>
          <w:rFonts w:hint="eastAsia" w:ascii="宋体" w:hAnsi="宋体"/>
          <w:b/>
          <w:bCs/>
        </w:rPr>
        <w:t>教学目标：</w:t>
      </w:r>
      <w:r>
        <w:rPr>
          <w:rFonts w:hint="eastAsia"/>
        </w:rPr>
        <w:t>进一步熟悉方差分析的基本原理和过程，掌握对单向分组资料进行方差分析的方法和步骤，熟练掌握均数间差异显著性的表示方法。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教学重点是不同类型单向分组资料方差分析的方法。难点是系统分组资料的方差分析，尤其在进行F检验时对误差均方的理解等。</w:t>
      </w:r>
    </w:p>
    <w:p>
      <w:pPr>
        <w:adjustRightInd w:val="0"/>
        <w:snapToGrid w:val="0"/>
        <w:spacing w:line="360" w:lineRule="auto"/>
      </w:pPr>
      <w:r>
        <w:rPr>
          <w:rFonts w:hint="eastAsia" w:ascii="宋体" w:hAnsi="宋体"/>
          <w:b/>
          <w:bCs/>
        </w:rPr>
        <w:t>主要教学内容及要求：</w:t>
      </w:r>
      <w:r>
        <w:rPr>
          <w:rFonts w:hint="eastAsia"/>
        </w:rPr>
        <w:t>掌握对不同类型单向分组资料和系统分组资料进行方差分析的过程与方法；熟练掌握用星号法、字母法表示均数间的差异显著性。</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部分知识点比较难懂，或实操过程中容易出错。在</w:t>
      </w:r>
      <w:r>
        <w:rPr>
          <w:rFonts w:hint="eastAsia"/>
        </w:rPr>
        <w:t>理论学习后安排实验，</w:t>
      </w:r>
      <w:r>
        <w:rPr>
          <w:rFonts w:hint="eastAsia" w:ascii="宋体" w:hAnsi="宋体"/>
        </w:rPr>
        <w:t>让学生反复练习，直至完全掌握。部分内容可采用翻转课堂方式，鼓励同学讲授，引导同学发现和指出问题，通过课堂讨论提高学习积极性，加深对方法的理解。</w:t>
      </w:r>
    </w:p>
    <w:p>
      <w:pPr>
        <w:adjustRightInd w:val="0"/>
        <w:snapToGrid w:val="0"/>
        <w:spacing w:line="360" w:lineRule="auto"/>
        <w:rPr>
          <w:b/>
          <w:bCs/>
          <w:szCs w:val="21"/>
        </w:rPr>
      </w:pPr>
      <w:r>
        <w:rPr>
          <w:rFonts w:hint="eastAsia"/>
          <w:b/>
          <w:bCs/>
          <w:szCs w:val="21"/>
        </w:rPr>
        <w:t>第三节 两向分组资料的方差分析（1学时）</w:t>
      </w:r>
    </w:p>
    <w:p>
      <w:pPr>
        <w:adjustRightInd w:val="0"/>
        <w:snapToGrid w:val="0"/>
        <w:spacing w:line="360" w:lineRule="auto"/>
      </w:pPr>
      <w:r>
        <w:rPr>
          <w:rFonts w:hint="eastAsia" w:ascii="宋体" w:hAnsi="宋体"/>
          <w:b/>
          <w:bCs/>
        </w:rPr>
        <w:t>教学目标：</w:t>
      </w:r>
      <w:r>
        <w:rPr>
          <w:rFonts w:hint="eastAsia"/>
        </w:rPr>
        <w:t>掌握对两向分组资料进行方差分析的方法步骤，能够正确解读和应用分析结果。</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教学重点是两向分组资料的来源、两向分组资料变异原因的分解以及F检验的方法步骤。难点是对组内有重复观察值的两向分组资料进行方差分析的方法，以及对分析结果的正确理解和应用。</w:t>
      </w:r>
    </w:p>
    <w:p>
      <w:pPr>
        <w:adjustRightInd w:val="0"/>
        <w:snapToGrid w:val="0"/>
        <w:spacing w:line="360" w:lineRule="auto"/>
      </w:pPr>
      <w:r>
        <w:rPr>
          <w:rFonts w:hint="eastAsia" w:ascii="宋体" w:hAnsi="宋体"/>
          <w:b/>
          <w:bCs/>
        </w:rPr>
        <w:t>主要教学内容及要求：</w:t>
      </w:r>
      <w:r>
        <w:rPr>
          <w:rFonts w:hint="eastAsia" w:ascii="宋体" w:hAnsi="宋体"/>
        </w:rPr>
        <w:t>理解</w:t>
      </w:r>
      <w:r>
        <w:rPr>
          <w:rFonts w:hint="eastAsia"/>
        </w:rPr>
        <w:t>两向分组资料与部分试验设计方法的关联；学会对组内无重复观察值的两向分组资料与组内有重复观察值的两向分组资料进行变异原因的分解；理解各变因平方和与自由度之间的关系；掌握F检验和SSR检验方法；熟练掌握用字母标记法表示差异显著性；能够正确理解和应用分析结果。</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本节分析过程复杂，公式繁多，一些知识易于混淆，教学速度要适当放慢。由部分试验设计方法引导出两向分组数据资料；结合实例对关键知识点进行比对教学和演示；鼓励同学发现分析过程和计算公式应用的规律，通过学习提高学生的观察能力，从而加深对方法的理解。</w:t>
      </w:r>
      <w:r>
        <w:rPr>
          <w:rFonts w:hint="eastAsia"/>
          <w:b/>
          <w:bCs/>
          <w:szCs w:val="21"/>
        </w:rPr>
        <w:t xml:space="preserve">                           </w:t>
      </w:r>
    </w:p>
    <w:p>
      <w:pPr>
        <w:adjustRightInd w:val="0"/>
        <w:snapToGrid w:val="0"/>
        <w:spacing w:line="360" w:lineRule="auto"/>
        <w:rPr>
          <w:b/>
          <w:bCs/>
          <w:szCs w:val="21"/>
        </w:rPr>
      </w:pPr>
      <w:r>
        <w:rPr>
          <w:rFonts w:hint="eastAsia"/>
          <w:b/>
          <w:bCs/>
          <w:szCs w:val="21"/>
        </w:rPr>
        <w:t xml:space="preserve">第四节 方差分析的线性模型、基本假定和数据转换（0.5学时）                      </w:t>
      </w:r>
    </w:p>
    <w:p>
      <w:pPr>
        <w:adjustRightInd w:val="0"/>
        <w:snapToGrid w:val="0"/>
        <w:spacing w:line="360" w:lineRule="auto"/>
      </w:pPr>
      <w:r>
        <w:rPr>
          <w:rFonts w:hint="eastAsia" w:ascii="宋体" w:hAnsi="宋体"/>
          <w:b/>
          <w:bCs/>
        </w:rPr>
        <w:t>教学目标：了</w:t>
      </w:r>
      <w:r>
        <w:rPr>
          <w:rFonts w:hint="eastAsia"/>
        </w:rPr>
        <w:t>解固定模型和随机模型的基本区别；了解方差分析对数据的基本要求，在试验数据不符合要求时能够进行相应的数据转换。</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教学重点是固定模型和随机模型在试验设计思想上的区别，方差分析对数据的三个基本要求，以及常见的数据转换方法。难点是对随机模型的理解等。</w:t>
      </w:r>
    </w:p>
    <w:p>
      <w:pPr>
        <w:adjustRightInd w:val="0"/>
        <w:snapToGrid w:val="0"/>
        <w:spacing w:line="360" w:lineRule="auto"/>
      </w:pPr>
      <w:r>
        <w:rPr>
          <w:rFonts w:hint="eastAsia" w:ascii="宋体" w:hAnsi="宋体"/>
          <w:b/>
          <w:bCs/>
        </w:rPr>
        <w:t>主要教学内容及要求：</w:t>
      </w:r>
      <w:r>
        <w:rPr>
          <w:rFonts w:hint="eastAsia"/>
        </w:rPr>
        <w:t>了解固定模型与随机模型的区别，能够在研究和分析时选择相应的方法；了解方差分析对可加性、随机性和同质性的要求；学会平方根转换、对数转换和反正弦转换的方法。</w:t>
      </w:r>
    </w:p>
    <w:p>
      <w:pPr>
        <w:widowControl/>
        <w:adjustRightInd w:val="0"/>
        <w:snapToGrid w:val="0"/>
        <w:spacing w:line="360" w:lineRule="auto"/>
        <w:rPr>
          <w:rFonts w:ascii="宋体" w:hAnsi="宋体"/>
        </w:rPr>
      </w:pPr>
      <w:r>
        <w:rPr>
          <w:rFonts w:hint="eastAsia" w:ascii="宋体" w:hAnsi="宋体"/>
          <w:b/>
          <w:bCs/>
        </w:rPr>
        <w:t>教学组织与实施：</w:t>
      </w:r>
      <w:r>
        <w:rPr>
          <w:rFonts w:hint="eastAsia" w:ascii="宋体" w:hAnsi="宋体"/>
        </w:rPr>
        <w:t>本章理论性强，晦涩难懂。课堂教学要从实际应用出发，讲解清楚在学习和研究工作中如何正确地选择，通过实例帮助学生理解理论问题。</w:t>
      </w:r>
    </w:p>
    <w:p>
      <w:pPr>
        <w:tabs>
          <w:tab w:val="left" w:pos="5940"/>
        </w:tabs>
        <w:adjustRightInd w:val="0"/>
        <w:snapToGrid w:val="0"/>
        <w:spacing w:line="360" w:lineRule="auto"/>
        <w:jc w:val="right"/>
        <w:rPr>
          <w:bCs/>
        </w:rPr>
      </w:pPr>
      <w:r>
        <w:rPr>
          <w:rFonts w:hint="eastAsia"/>
          <w:b/>
          <w:bCs/>
        </w:rPr>
        <w:t>第六章  单因素试验的统计分析              学时数：</w:t>
      </w:r>
      <w:r>
        <w:rPr>
          <w:b/>
          <w:bCs/>
        </w:rPr>
        <w:t>2</w:t>
      </w:r>
    </w:p>
    <w:p>
      <w:pPr>
        <w:adjustRightInd w:val="0"/>
        <w:snapToGrid w:val="0"/>
        <w:spacing w:line="360" w:lineRule="auto"/>
        <w:rPr>
          <w:b/>
          <w:bCs/>
          <w:szCs w:val="21"/>
        </w:rPr>
      </w:pPr>
      <w:r>
        <w:rPr>
          <w:rFonts w:hint="eastAsia"/>
          <w:b/>
          <w:bCs/>
          <w:szCs w:val="21"/>
        </w:rPr>
        <w:t xml:space="preserve">第一节 顺序排列设计试验结果的比较分析（0.5学时）                    </w:t>
      </w:r>
    </w:p>
    <w:p>
      <w:pPr>
        <w:adjustRightInd w:val="0"/>
        <w:snapToGrid w:val="0"/>
        <w:spacing w:line="360" w:lineRule="auto"/>
      </w:pPr>
      <w:r>
        <w:rPr>
          <w:rFonts w:hint="eastAsia" w:ascii="宋体" w:hAnsi="宋体"/>
          <w:b/>
          <w:bCs/>
        </w:rPr>
        <w:t>教学目标：</w:t>
      </w:r>
      <w:r>
        <w:rPr>
          <w:rFonts w:hint="eastAsia"/>
        </w:rPr>
        <w:t>掌握对顺序排列试验结果进行比较分析的方法。</w:t>
      </w:r>
    </w:p>
    <w:p>
      <w:pPr>
        <w:adjustRightInd w:val="0"/>
        <w:snapToGrid w:val="0"/>
        <w:spacing w:line="360" w:lineRule="auto"/>
      </w:pPr>
      <w:r>
        <w:rPr>
          <w:rFonts w:hint="eastAsia" w:ascii="宋体" w:hAnsi="宋体"/>
          <w:b/>
          <w:bCs/>
        </w:rPr>
        <w:t>教学重点和难点：</w:t>
      </w:r>
      <w:r>
        <w:rPr>
          <w:rFonts w:hint="eastAsia"/>
        </w:rPr>
        <w:t>教学重点是对对比法与间比法试验结果进行比较分析的方法。</w:t>
      </w:r>
    </w:p>
    <w:p>
      <w:pPr>
        <w:adjustRightInd w:val="0"/>
        <w:snapToGrid w:val="0"/>
        <w:spacing w:line="360" w:lineRule="auto"/>
      </w:pPr>
      <w:r>
        <w:rPr>
          <w:rFonts w:hint="eastAsia" w:ascii="宋体" w:hAnsi="宋体"/>
          <w:b/>
          <w:bCs/>
        </w:rPr>
        <w:t>主要教学内容及要求：</w:t>
      </w:r>
      <w:r>
        <w:rPr>
          <w:rFonts w:hint="eastAsia"/>
        </w:rPr>
        <w:t xml:space="preserve">掌握对顺序排列试验设计，包括对比法、间比法设计试验结果进行数据整理和比较分析的方法。 </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本节内容比较简单，主要通过实例了解对比法与间比法的设计特点，</w:t>
      </w:r>
      <w:r>
        <w:rPr>
          <w:rFonts w:hint="eastAsia"/>
        </w:rPr>
        <w:t>和对试验结果比较分析的方法。</w:t>
      </w:r>
    </w:p>
    <w:p>
      <w:pPr>
        <w:adjustRightInd w:val="0"/>
        <w:snapToGrid w:val="0"/>
        <w:spacing w:line="360" w:lineRule="auto"/>
        <w:rPr>
          <w:b/>
          <w:bCs/>
          <w:szCs w:val="21"/>
        </w:rPr>
      </w:pPr>
      <w:r>
        <w:rPr>
          <w:rFonts w:hint="eastAsia"/>
          <w:b/>
          <w:bCs/>
          <w:szCs w:val="21"/>
        </w:rPr>
        <w:t>第二节 完全随机试验和随机区组试验的统计分析（</w:t>
      </w:r>
      <w:r>
        <w:rPr>
          <w:b/>
          <w:bCs/>
          <w:szCs w:val="21"/>
        </w:rPr>
        <w:t>1</w:t>
      </w:r>
      <w:r>
        <w:rPr>
          <w:rFonts w:hint="eastAsia"/>
          <w:b/>
          <w:bCs/>
          <w:szCs w:val="21"/>
        </w:rPr>
        <w:t xml:space="preserve">.0学时）             </w:t>
      </w:r>
    </w:p>
    <w:p>
      <w:pPr>
        <w:adjustRightInd w:val="0"/>
        <w:snapToGrid w:val="0"/>
        <w:spacing w:line="360" w:lineRule="auto"/>
      </w:pPr>
      <w:r>
        <w:rPr>
          <w:rFonts w:hint="eastAsia" w:ascii="宋体" w:hAnsi="宋体"/>
          <w:b/>
          <w:bCs/>
        </w:rPr>
        <w:t>教学目标：</w:t>
      </w:r>
      <w:r>
        <w:rPr>
          <w:rFonts w:hint="eastAsia"/>
        </w:rPr>
        <w:t>掌握对单因素试验结果的统计分析方法。</w:t>
      </w:r>
    </w:p>
    <w:p>
      <w:pPr>
        <w:adjustRightInd w:val="0"/>
        <w:snapToGrid w:val="0"/>
        <w:spacing w:line="360" w:lineRule="auto"/>
      </w:pPr>
      <w:r>
        <w:rPr>
          <w:rFonts w:hint="eastAsia" w:ascii="宋体" w:hAnsi="宋体"/>
          <w:b/>
          <w:bCs/>
        </w:rPr>
        <w:t>教学重点和难点：</w:t>
      </w:r>
      <w:r>
        <w:rPr>
          <w:rFonts w:hint="eastAsia"/>
        </w:rPr>
        <w:t>教学重点是采用完全随机和随机区组设计方法得到的单因素试验结果的统计分析方法。</w:t>
      </w:r>
    </w:p>
    <w:p>
      <w:pPr>
        <w:adjustRightInd w:val="0"/>
        <w:snapToGrid w:val="0"/>
        <w:spacing w:line="360" w:lineRule="auto"/>
      </w:pPr>
      <w:r>
        <w:rPr>
          <w:rFonts w:hint="eastAsia" w:ascii="宋体" w:hAnsi="宋体"/>
          <w:b/>
          <w:bCs/>
        </w:rPr>
        <w:t>主要教学内容及要求：</w:t>
      </w:r>
      <w:r>
        <w:rPr>
          <w:rFonts w:hint="eastAsia"/>
        </w:rPr>
        <w:t xml:space="preserve">了解完全随机设计和随机区组设计方法得到的单因素试验结果构成的数据类型；结合前面课程内容，熟练掌握对两类资料进行统计分析的方法；了解对单因素随机区组试验结果进行缺区估计的方法。 </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内容应用性强，在理论教学的基础上，让学生通过实例比较不同试验设计方法产生数据的特点，通过数据分析实验，加深对试验设计方法的理解，学会正确分析单因素数据资料的方法。</w:t>
      </w:r>
    </w:p>
    <w:p>
      <w:pPr>
        <w:adjustRightInd w:val="0"/>
        <w:snapToGrid w:val="0"/>
        <w:spacing w:line="360" w:lineRule="auto"/>
        <w:jc w:val="left"/>
        <w:rPr>
          <w:b/>
          <w:bCs/>
        </w:rPr>
      </w:pPr>
      <w:r>
        <w:rPr>
          <w:rFonts w:hint="eastAsia"/>
          <w:b/>
          <w:bCs/>
          <w:szCs w:val="21"/>
        </w:rPr>
        <w:t xml:space="preserve">第三节 拉丁方试验的统计分析（0.5学时）                             </w:t>
      </w:r>
    </w:p>
    <w:p>
      <w:pPr>
        <w:adjustRightInd w:val="0"/>
        <w:snapToGrid w:val="0"/>
        <w:spacing w:line="360" w:lineRule="auto"/>
      </w:pPr>
      <w:r>
        <w:rPr>
          <w:rFonts w:hint="eastAsia" w:ascii="宋体" w:hAnsi="宋体"/>
          <w:b/>
          <w:bCs/>
        </w:rPr>
        <w:t>教学目标：</w:t>
      </w:r>
      <w:r>
        <w:rPr>
          <w:rFonts w:hint="eastAsia"/>
        </w:rPr>
        <w:t>掌握对拉丁方试验结果的统计分析方法。</w:t>
      </w:r>
    </w:p>
    <w:p>
      <w:pPr>
        <w:adjustRightInd w:val="0"/>
        <w:snapToGrid w:val="0"/>
        <w:spacing w:line="360" w:lineRule="auto"/>
      </w:pPr>
      <w:r>
        <w:rPr>
          <w:rFonts w:hint="eastAsia" w:ascii="宋体" w:hAnsi="宋体"/>
          <w:b/>
          <w:bCs/>
        </w:rPr>
        <w:t>教学重点和难点：</w:t>
      </w:r>
      <w:r>
        <w:rPr>
          <w:rFonts w:hint="eastAsia"/>
        </w:rPr>
        <w:t>教学重点是拉丁方试验结果的统计分析方法。</w:t>
      </w:r>
    </w:p>
    <w:p>
      <w:pPr>
        <w:adjustRightInd w:val="0"/>
        <w:snapToGrid w:val="0"/>
        <w:spacing w:line="360" w:lineRule="auto"/>
      </w:pPr>
      <w:r>
        <w:rPr>
          <w:rFonts w:hint="eastAsia" w:ascii="宋体" w:hAnsi="宋体"/>
          <w:b/>
          <w:bCs/>
        </w:rPr>
        <w:t>主要教学内容及要求：</w:t>
      </w:r>
      <w:r>
        <w:rPr>
          <w:rFonts w:hint="eastAsia"/>
        </w:rPr>
        <w:t xml:space="preserve">了解拉丁方设计方法和所得数据的特点，掌握对拉丁方设计试验结果进行方差分析的方法；了解对拉丁方试验结果进行缺区估计的方法。 </w:t>
      </w:r>
    </w:p>
    <w:p>
      <w:pPr>
        <w:widowControl/>
        <w:adjustRightInd w:val="0"/>
        <w:snapToGrid w:val="0"/>
        <w:spacing w:line="360" w:lineRule="auto"/>
        <w:rPr>
          <w:rFonts w:ascii="宋体" w:hAnsi="宋体"/>
        </w:rPr>
      </w:pPr>
      <w:r>
        <w:rPr>
          <w:rFonts w:hint="eastAsia" w:ascii="宋体" w:hAnsi="宋体"/>
          <w:b/>
          <w:bCs/>
        </w:rPr>
        <w:t>教学组织与实施：</w:t>
      </w:r>
      <w:r>
        <w:rPr>
          <w:rFonts w:hint="eastAsia" w:ascii="宋体" w:hAnsi="宋体"/>
        </w:rPr>
        <w:t>通过实例介绍对拉丁方设计试验结果进行方差分析的方法步骤，安排学生通过数据分析实践学会统计分析方法。</w:t>
      </w:r>
    </w:p>
    <w:p>
      <w:pPr>
        <w:tabs>
          <w:tab w:val="left" w:pos="5940"/>
        </w:tabs>
        <w:adjustRightInd w:val="0"/>
        <w:snapToGrid w:val="0"/>
        <w:spacing w:line="360" w:lineRule="auto"/>
        <w:jc w:val="right"/>
        <w:rPr>
          <w:bCs/>
        </w:rPr>
      </w:pPr>
      <w:r>
        <w:rPr>
          <w:rFonts w:hint="eastAsia"/>
          <w:b/>
          <w:bCs/>
        </w:rPr>
        <w:t>第七章  多因素试验的统计分析              学时数：3</w:t>
      </w:r>
    </w:p>
    <w:p>
      <w:pPr>
        <w:adjustRightInd w:val="0"/>
        <w:snapToGrid w:val="0"/>
        <w:spacing w:line="360" w:lineRule="auto"/>
        <w:rPr>
          <w:b/>
          <w:bCs/>
          <w:szCs w:val="21"/>
        </w:rPr>
      </w:pPr>
      <w:r>
        <w:rPr>
          <w:rFonts w:hint="eastAsia"/>
          <w:b/>
          <w:bCs/>
          <w:szCs w:val="21"/>
        </w:rPr>
        <w:t xml:space="preserve">第一节 多因素完全随机试验和随机区组试验的统计分析（1.5学时）            </w:t>
      </w:r>
    </w:p>
    <w:p>
      <w:pPr>
        <w:adjustRightInd w:val="0"/>
        <w:snapToGrid w:val="0"/>
        <w:spacing w:line="360" w:lineRule="auto"/>
      </w:pPr>
      <w:r>
        <w:rPr>
          <w:rFonts w:hint="eastAsia" w:ascii="宋体" w:hAnsi="宋体"/>
          <w:b/>
          <w:bCs/>
        </w:rPr>
        <w:t>教学目标：</w:t>
      </w:r>
      <w:r>
        <w:rPr>
          <w:rFonts w:hint="eastAsia"/>
        </w:rPr>
        <w:t>掌握对多因素完全随机试验和随机区组试验结果的统计分析方法。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教学重点是二因素随机区组和三因素完全随机试验结果的统计分析方法。难点是在方差分析过程中，尤其是平方和与自由度分解时对计算公式的自如应用。</w:t>
      </w:r>
    </w:p>
    <w:p>
      <w:pPr>
        <w:adjustRightInd w:val="0"/>
        <w:snapToGrid w:val="0"/>
        <w:spacing w:line="360" w:lineRule="auto"/>
      </w:pPr>
      <w:r>
        <w:rPr>
          <w:rFonts w:hint="eastAsia" w:ascii="宋体" w:hAnsi="宋体"/>
          <w:b/>
          <w:bCs/>
        </w:rPr>
        <w:t>主要教学内容及要求：</w:t>
      </w:r>
      <w:r>
        <w:rPr>
          <w:rFonts w:hint="eastAsia"/>
        </w:rPr>
        <w:t xml:space="preserve">掌握二因素随机区组和三因素完全随机试验结果的统计分析方法；对二因素随机区组试验结果进行平方和与自由度分解时，能够结合Excel中的“可重复二因素分析”模块简化计算过程；了解对二因素随机区组试验结果进行缺区估计的方法；对比较复杂的试验结果能够参考同类例题进行分析。 </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本节内容应用性强，相对于单因素随机区组和二因素完全随机试验设计结果的统计分析更为复杂。在理论教学的过程中，需要通过实例比较不同类型的试验结果在分析过程、推断结论时的异同；让学生通过多次数据分析实践，加深对理论知识的理解。</w:t>
      </w:r>
    </w:p>
    <w:p>
      <w:pPr>
        <w:adjustRightInd w:val="0"/>
        <w:snapToGrid w:val="0"/>
        <w:spacing w:line="360" w:lineRule="auto"/>
      </w:pPr>
      <w:r>
        <w:rPr>
          <w:rFonts w:hint="eastAsia"/>
          <w:b/>
          <w:bCs/>
          <w:szCs w:val="21"/>
        </w:rPr>
        <w:t>第二节 裂区类试验的统计分析（</w:t>
      </w:r>
      <w:r>
        <w:rPr>
          <w:b/>
          <w:bCs/>
          <w:szCs w:val="21"/>
        </w:rPr>
        <w:t>1</w:t>
      </w:r>
      <w:r>
        <w:rPr>
          <w:rFonts w:hint="eastAsia"/>
          <w:b/>
          <w:bCs/>
          <w:szCs w:val="21"/>
        </w:rPr>
        <w:t>.</w:t>
      </w:r>
      <w:r>
        <w:rPr>
          <w:b/>
          <w:bCs/>
          <w:szCs w:val="21"/>
        </w:rPr>
        <w:t>5</w:t>
      </w:r>
      <w:r>
        <w:rPr>
          <w:rFonts w:hint="eastAsia"/>
          <w:b/>
          <w:bCs/>
          <w:szCs w:val="21"/>
        </w:rPr>
        <w:t xml:space="preserve">学时）                    </w:t>
      </w:r>
      <w:r>
        <w:rPr>
          <w:b/>
          <w:bCs/>
          <w:szCs w:val="21"/>
        </w:rPr>
        <w:t xml:space="preserve">              </w:t>
      </w:r>
    </w:p>
    <w:p>
      <w:pPr>
        <w:adjustRightInd w:val="0"/>
        <w:snapToGrid w:val="0"/>
        <w:spacing w:line="360" w:lineRule="auto"/>
      </w:pPr>
      <w:r>
        <w:rPr>
          <w:rFonts w:hint="eastAsia" w:ascii="宋体" w:hAnsi="宋体"/>
          <w:b/>
          <w:bCs/>
        </w:rPr>
        <w:t>教学目标：</w:t>
      </w:r>
      <w:r>
        <w:rPr>
          <w:rFonts w:hint="eastAsia"/>
        </w:rPr>
        <w:t>掌握对裂区设计试验结果的统计分析方法。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教学重点是对裂区试验设计结果进行统计分析的方法步骤，以及对分析结果的正确解读。难点是整个分析过程中复杂的计算，尤其在应用实践中要根据主副处理的排列方法分解平方和与自由度。</w:t>
      </w:r>
    </w:p>
    <w:p>
      <w:pPr>
        <w:adjustRightInd w:val="0"/>
        <w:snapToGrid w:val="0"/>
        <w:spacing w:line="360" w:lineRule="auto"/>
      </w:pPr>
      <w:r>
        <w:rPr>
          <w:rFonts w:hint="eastAsia" w:ascii="宋体" w:hAnsi="宋体"/>
          <w:b/>
          <w:bCs/>
        </w:rPr>
        <w:t>主要教学内容及要求：</w:t>
      </w:r>
      <w:r>
        <w:rPr>
          <w:rFonts w:hint="eastAsia" w:ascii="宋体" w:hAnsi="宋体"/>
        </w:rPr>
        <w:t>初步</w:t>
      </w:r>
      <w:r>
        <w:rPr>
          <w:rFonts w:hint="eastAsia"/>
        </w:rPr>
        <w:t xml:space="preserve">掌握裂区设计试验结果的统计分析方法；了解缺区估计的方法，对比较复杂的试验结果能够参考同类例题进行分析。 </w:t>
      </w:r>
    </w:p>
    <w:p>
      <w:pPr>
        <w:widowControl/>
        <w:adjustRightInd w:val="0"/>
        <w:snapToGrid w:val="0"/>
        <w:spacing w:line="360" w:lineRule="auto"/>
      </w:pPr>
      <w:r>
        <w:rPr>
          <w:rFonts w:hint="eastAsia" w:ascii="宋体" w:hAnsi="宋体"/>
          <w:b/>
          <w:bCs/>
        </w:rPr>
        <w:t>教学组织与实施：</w:t>
      </w:r>
      <w:r>
        <w:rPr>
          <w:rFonts w:hint="eastAsia" w:ascii="宋体" w:hAnsi="宋体"/>
        </w:rPr>
        <w:t>本节内容应用性强，理解和操作的难度大。因此，在理论教学的基础上以统计软件分析实例的方式为主，让学生通过软件学习和分析实践，学会正确分析裂区设计试验结果的方法。</w:t>
      </w:r>
    </w:p>
    <w:p>
      <w:pPr>
        <w:adjustRightInd w:val="0"/>
        <w:snapToGrid w:val="0"/>
        <w:spacing w:line="360" w:lineRule="auto"/>
        <w:jc w:val="right"/>
        <w:rPr>
          <w:bCs/>
        </w:rPr>
      </w:pPr>
      <w:r>
        <w:rPr>
          <w:rFonts w:hint="eastAsia"/>
          <w:b/>
          <w:bCs/>
        </w:rPr>
        <w:t>第八章  卡平方检验                        学时数：3.0</w:t>
      </w:r>
    </w:p>
    <w:p>
      <w:pPr>
        <w:adjustRightInd w:val="0"/>
        <w:snapToGrid w:val="0"/>
        <w:spacing w:line="360" w:lineRule="auto"/>
        <w:rPr>
          <w:b/>
          <w:bCs/>
          <w:szCs w:val="21"/>
        </w:rPr>
      </w:pPr>
      <w:r>
        <w:rPr>
          <w:rFonts w:hint="eastAsia"/>
          <w:b/>
          <w:bCs/>
          <w:szCs w:val="21"/>
        </w:rPr>
        <w:t xml:space="preserve">第一节 卡平方的概念和分布（0.5学时）                                 </w:t>
      </w:r>
    </w:p>
    <w:p>
      <w:pPr>
        <w:adjustRightInd w:val="0"/>
        <w:snapToGrid w:val="0"/>
        <w:spacing w:line="360" w:lineRule="auto"/>
      </w:pPr>
      <w:r>
        <w:rPr>
          <w:rFonts w:hint="eastAsia" w:ascii="宋体" w:hAnsi="宋体"/>
          <w:b/>
          <w:bCs/>
        </w:rPr>
        <w:t>教学目标：</w:t>
      </w:r>
      <w:r>
        <w:rPr>
          <w:rFonts w:hint="eastAsia" w:ascii="宋体" w:hAnsi="宋体"/>
          <w:bCs/>
        </w:rPr>
        <w:t>了解</w:t>
      </w:r>
      <w:r>
        <w:rPr>
          <w:rFonts w:hint="eastAsia"/>
        </w:rPr>
        <w:t>卡平方的概念及其分布。</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教学重点和难点是卡平方概念的理解。</w:t>
      </w:r>
    </w:p>
    <w:p>
      <w:pPr>
        <w:adjustRightInd w:val="0"/>
        <w:snapToGrid w:val="0"/>
        <w:spacing w:line="360" w:lineRule="auto"/>
      </w:pPr>
      <w:r>
        <w:rPr>
          <w:rFonts w:hint="eastAsia" w:ascii="宋体" w:hAnsi="宋体"/>
          <w:b/>
          <w:bCs/>
        </w:rPr>
        <w:t>主要教学内容及要求：</w:t>
      </w:r>
      <w:r>
        <w:rPr>
          <w:rFonts w:hint="eastAsia"/>
        </w:rPr>
        <w:t xml:space="preserve">了解卡平方的概念，理解卡平方分布，掌握卡平方检验及其应用。 </w:t>
      </w:r>
    </w:p>
    <w:p>
      <w:pPr>
        <w:widowControl/>
        <w:adjustRightInd w:val="0"/>
        <w:snapToGrid w:val="0"/>
        <w:spacing w:line="360" w:lineRule="auto"/>
        <w:rPr>
          <w:rFonts w:ascii="宋体" w:hAnsi="宋体"/>
        </w:rPr>
      </w:pPr>
      <w:r>
        <w:rPr>
          <w:rFonts w:hint="eastAsia" w:ascii="宋体" w:hAnsi="宋体"/>
          <w:b/>
          <w:bCs/>
        </w:rPr>
        <w:t>教学组织与实施：</w:t>
      </w:r>
      <w:r>
        <w:rPr>
          <w:rFonts w:hint="eastAsia" w:ascii="宋体" w:hAnsi="宋体"/>
        </w:rPr>
        <w:t>本节知识点相对易于理解，通过理论讲授让学生理解卡平方的概念及卡平方分布。</w:t>
      </w:r>
    </w:p>
    <w:p>
      <w:pPr>
        <w:adjustRightInd w:val="0"/>
        <w:snapToGrid w:val="0"/>
        <w:spacing w:line="360" w:lineRule="auto"/>
        <w:rPr>
          <w:b/>
          <w:bCs/>
          <w:sz w:val="18"/>
          <w:szCs w:val="18"/>
        </w:rPr>
      </w:pPr>
      <w:r>
        <w:rPr>
          <w:rFonts w:hint="eastAsia"/>
          <w:b/>
          <w:bCs/>
          <w:szCs w:val="21"/>
        </w:rPr>
        <w:t xml:space="preserve">第二节 方差的同质性检验（0.5学时）                                  </w:t>
      </w:r>
    </w:p>
    <w:p>
      <w:pPr>
        <w:adjustRightInd w:val="0"/>
        <w:snapToGrid w:val="0"/>
        <w:spacing w:line="360" w:lineRule="auto"/>
      </w:pPr>
      <w:r>
        <w:rPr>
          <w:rFonts w:hint="eastAsia" w:ascii="宋体" w:hAnsi="宋体"/>
          <w:b/>
          <w:bCs/>
        </w:rPr>
        <w:t>教学目标：</w:t>
      </w:r>
      <w:r>
        <w:rPr>
          <w:rFonts w:hint="eastAsia"/>
        </w:rPr>
        <w:t>掌握同质性检验的方法。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教学重点是同质性检验的方法。难点是对同质性检验的理解。</w:t>
      </w:r>
    </w:p>
    <w:p>
      <w:pPr>
        <w:adjustRightInd w:val="0"/>
        <w:snapToGrid w:val="0"/>
        <w:spacing w:line="360" w:lineRule="auto"/>
      </w:pPr>
      <w:r>
        <w:rPr>
          <w:rFonts w:hint="eastAsia" w:ascii="宋体" w:hAnsi="宋体"/>
          <w:b/>
          <w:bCs/>
        </w:rPr>
        <w:t>主要教学内容及要求：</w:t>
      </w:r>
      <w:r>
        <w:rPr>
          <w:rFonts w:hint="eastAsia"/>
        </w:rPr>
        <w:t>掌握两个方差和多个方差同质性检验的方法和步骤。</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本节知识点相对简单，计算公式较为复杂，可不记忆，重点在于同质性检验结果的推断。</w:t>
      </w:r>
    </w:p>
    <w:p>
      <w:pPr>
        <w:adjustRightInd w:val="0"/>
        <w:snapToGrid w:val="0"/>
        <w:spacing w:line="360" w:lineRule="auto"/>
        <w:jc w:val="left"/>
        <w:rPr>
          <w:b/>
          <w:bCs/>
          <w:szCs w:val="21"/>
        </w:rPr>
      </w:pPr>
      <w:r>
        <w:rPr>
          <w:rFonts w:hint="eastAsia"/>
          <w:b/>
          <w:bCs/>
          <w:szCs w:val="21"/>
        </w:rPr>
        <w:t xml:space="preserve">第三节 适合性检验（1.0学时）                                         </w:t>
      </w:r>
    </w:p>
    <w:p>
      <w:pPr>
        <w:adjustRightInd w:val="0"/>
        <w:snapToGrid w:val="0"/>
        <w:spacing w:line="360" w:lineRule="auto"/>
      </w:pPr>
      <w:r>
        <w:rPr>
          <w:rFonts w:hint="eastAsia" w:ascii="宋体" w:hAnsi="宋体"/>
          <w:b/>
          <w:bCs/>
        </w:rPr>
        <w:t>教学目标：</w:t>
      </w:r>
      <w:r>
        <w:rPr>
          <w:rFonts w:hint="eastAsia"/>
        </w:rPr>
        <w:t>掌握适合性检验的方法。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教学重点是适合性检验的方法。难点是对适合性检验的理解。</w:t>
      </w:r>
    </w:p>
    <w:p>
      <w:pPr>
        <w:adjustRightInd w:val="0"/>
        <w:snapToGrid w:val="0"/>
        <w:spacing w:line="360" w:lineRule="auto"/>
      </w:pPr>
      <w:r>
        <w:rPr>
          <w:rFonts w:hint="eastAsia" w:ascii="宋体" w:hAnsi="宋体"/>
          <w:b/>
          <w:bCs/>
        </w:rPr>
        <w:t>主要教学内容及要求：</w:t>
      </w:r>
      <w:r>
        <w:rPr>
          <w:rFonts w:hint="eastAsia"/>
        </w:rPr>
        <w:t>了解适合性检验的作用，掌握理论次数的计算方法，掌握连续性矫正的方法；掌握两组资料和多组资料的适合性检验方法。</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本节知识点相对易于理解，在理论讲授的基础上安排实验练习，对不同的次数资料分别进行适合性检验。</w:t>
      </w:r>
    </w:p>
    <w:p>
      <w:pPr>
        <w:widowControl/>
        <w:adjustRightInd w:val="0"/>
        <w:snapToGrid w:val="0"/>
        <w:spacing w:line="360" w:lineRule="auto"/>
        <w:rPr>
          <w:b/>
          <w:bCs/>
          <w:szCs w:val="21"/>
        </w:rPr>
      </w:pPr>
      <w:r>
        <w:rPr>
          <w:rFonts w:hint="eastAsia"/>
          <w:b/>
          <w:bCs/>
          <w:szCs w:val="21"/>
        </w:rPr>
        <w:t xml:space="preserve">第四节 独立性检验（1.0学时）                                         </w:t>
      </w:r>
    </w:p>
    <w:p>
      <w:pPr>
        <w:adjustRightInd w:val="0"/>
        <w:snapToGrid w:val="0"/>
        <w:spacing w:line="360" w:lineRule="auto"/>
      </w:pPr>
      <w:r>
        <w:rPr>
          <w:rFonts w:hint="eastAsia" w:ascii="宋体" w:hAnsi="宋体"/>
          <w:b/>
          <w:bCs/>
        </w:rPr>
        <w:t>教学目标：</w:t>
      </w:r>
      <w:r>
        <w:rPr>
          <w:rFonts w:hint="eastAsia"/>
        </w:rPr>
        <w:t>掌握独立性检验的方法。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教学重点是独立性检验的方法。难点是对独立性检验的理解。</w:t>
      </w:r>
    </w:p>
    <w:p>
      <w:pPr>
        <w:adjustRightInd w:val="0"/>
        <w:snapToGrid w:val="0"/>
        <w:spacing w:line="360" w:lineRule="auto"/>
      </w:pPr>
      <w:r>
        <w:rPr>
          <w:rFonts w:hint="eastAsia" w:ascii="宋体" w:hAnsi="宋体"/>
          <w:b/>
          <w:bCs/>
        </w:rPr>
        <w:t>主要教学内容及要求：</w:t>
      </w:r>
      <w:r>
        <w:rPr>
          <w:rFonts w:hint="eastAsia"/>
        </w:rPr>
        <w:t>了解独立性检验的作用，掌握理论次数的计算方法，掌握两变数资料和多变数资料的独立性检验的方法。</w:t>
      </w:r>
    </w:p>
    <w:p>
      <w:pPr>
        <w:adjustRightInd w:val="0"/>
        <w:snapToGrid w:val="0"/>
        <w:spacing w:line="360" w:lineRule="auto"/>
        <w:jc w:val="left"/>
        <w:rPr>
          <w:b/>
          <w:bCs/>
        </w:rPr>
      </w:pPr>
      <w:r>
        <w:rPr>
          <w:rFonts w:hint="eastAsia" w:ascii="宋体" w:hAnsi="宋体"/>
          <w:b/>
          <w:bCs/>
        </w:rPr>
        <w:t>教学组织与实施：</w:t>
      </w:r>
      <w:r>
        <w:rPr>
          <w:rFonts w:hint="eastAsia" w:ascii="宋体" w:hAnsi="宋体"/>
        </w:rPr>
        <w:t>本节知识点相对易于理解，在理论讲授的基础上安排实验练习，对不同的次数资料分别进行独立性检验。</w:t>
      </w:r>
    </w:p>
    <w:p>
      <w:pPr>
        <w:adjustRightInd w:val="0"/>
        <w:snapToGrid w:val="0"/>
        <w:spacing w:line="360" w:lineRule="auto"/>
        <w:ind w:left="2100"/>
        <w:jc w:val="right"/>
        <w:rPr>
          <w:bCs/>
        </w:rPr>
      </w:pPr>
      <w:r>
        <w:rPr>
          <w:rFonts w:hint="eastAsia"/>
          <w:b/>
          <w:bCs/>
        </w:rPr>
        <w:t xml:space="preserve">第九章  直线回归与相关                      </w:t>
      </w:r>
      <w:r>
        <w:rPr>
          <w:rFonts w:hint="eastAsia"/>
          <w:bCs/>
        </w:rPr>
        <w:t xml:space="preserve"> </w:t>
      </w:r>
      <w:r>
        <w:rPr>
          <w:rFonts w:hint="eastAsia"/>
          <w:b/>
          <w:bCs/>
        </w:rPr>
        <w:t>学时数：3.0</w:t>
      </w:r>
    </w:p>
    <w:p>
      <w:pPr>
        <w:adjustRightInd w:val="0"/>
        <w:snapToGrid w:val="0"/>
        <w:spacing w:line="360" w:lineRule="auto"/>
        <w:rPr>
          <w:b/>
          <w:bCs/>
          <w:szCs w:val="21"/>
        </w:rPr>
      </w:pPr>
      <w:r>
        <w:rPr>
          <w:rFonts w:hint="eastAsia"/>
          <w:b/>
          <w:bCs/>
          <w:szCs w:val="21"/>
        </w:rPr>
        <w:t xml:space="preserve">第一节 回归与相关的概念（0.5 学时）                                  </w:t>
      </w:r>
    </w:p>
    <w:p>
      <w:pPr>
        <w:adjustRightInd w:val="0"/>
        <w:snapToGrid w:val="0"/>
        <w:spacing w:line="360" w:lineRule="auto"/>
      </w:pPr>
      <w:r>
        <w:rPr>
          <w:rFonts w:hint="eastAsia" w:ascii="宋体" w:hAnsi="宋体"/>
          <w:b/>
          <w:bCs/>
        </w:rPr>
        <w:t>教学目标：</w:t>
      </w:r>
      <w:r>
        <w:rPr>
          <w:rFonts w:hint="eastAsia"/>
        </w:rPr>
        <w:t>要求通过学习理解回归分析与相关分析的概念，掌握直线回归与相关分析的一般程序。</w:t>
      </w:r>
    </w:p>
    <w:p>
      <w:pPr>
        <w:adjustRightInd w:val="0"/>
        <w:snapToGrid w:val="0"/>
        <w:spacing w:line="360" w:lineRule="auto"/>
      </w:pPr>
      <w:r>
        <w:rPr>
          <w:rFonts w:hint="eastAsia" w:ascii="宋体" w:hAnsi="宋体"/>
          <w:b/>
          <w:bCs/>
        </w:rPr>
        <w:t>教学重点和难点：</w:t>
      </w:r>
      <w:r>
        <w:rPr>
          <w:rFonts w:hint="eastAsia"/>
        </w:rPr>
        <w:t>教学重点是回归与相关的概念和任务，以及回归与相关分析的一般程序。</w:t>
      </w:r>
    </w:p>
    <w:p>
      <w:pPr>
        <w:adjustRightInd w:val="0"/>
        <w:snapToGrid w:val="0"/>
        <w:spacing w:line="360" w:lineRule="auto"/>
      </w:pPr>
      <w:r>
        <w:rPr>
          <w:rFonts w:hint="eastAsia" w:ascii="宋体" w:hAnsi="宋体"/>
          <w:b/>
          <w:bCs/>
        </w:rPr>
        <w:t>主要教学内容及要求：</w:t>
      </w:r>
      <w:r>
        <w:rPr>
          <w:rFonts w:hint="eastAsia" w:ascii="宋体" w:hAnsi="宋体"/>
        </w:rPr>
        <w:t>了解函数关系和统计关系；</w:t>
      </w:r>
      <w:r>
        <w:rPr>
          <w:rFonts w:hint="eastAsia" w:ascii="宋体" w:hAnsi="宋体"/>
          <w:bCs/>
        </w:rPr>
        <w:t>理解</w:t>
      </w:r>
      <w:r>
        <w:rPr>
          <w:rFonts w:hint="eastAsia"/>
        </w:rPr>
        <w:t>回归与相关的概念，领会回归分析与相关分析的任务；掌握散点图的制作方法；领会直线回归与相关分析的一般程序。</w:t>
      </w:r>
    </w:p>
    <w:p>
      <w:pPr>
        <w:widowControl/>
        <w:adjustRightInd w:val="0"/>
        <w:snapToGrid w:val="0"/>
        <w:spacing w:line="360" w:lineRule="auto"/>
      </w:pPr>
      <w:r>
        <w:rPr>
          <w:rFonts w:hint="eastAsia" w:ascii="宋体" w:hAnsi="宋体"/>
          <w:b/>
          <w:bCs/>
        </w:rPr>
        <w:t>教学组织与实施：</w:t>
      </w:r>
      <w:r>
        <w:rPr>
          <w:rFonts w:hint="eastAsia" w:ascii="宋体" w:hAnsi="宋体"/>
        </w:rPr>
        <w:t>举例帮助学生理解回归与相关的概念，以及回归和相关分析的类型。通过以往研究的反面实例强化学生对严格遵循</w:t>
      </w:r>
      <w:r>
        <w:rPr>
          <w:rFonts w:hint="eastAsia"/>
        </w:rPr>
        <w:t>分析程序的认识</w:t>
      </w:r>
      <w:r>
        <w:rPr>
          <w:rFonts w:hint="eastAsia" w:ascii="宋体" w:hAnsi="宋体"/>
        </w:rPr>
        <w:t>。</w:t>
      </w:r>
    </w:p>
    <w:p>
      <w:pPr>
        <w:adjustRightInd w:val="0"/>
        <w:snapToGrid w:val="0"/>
        <w:spacing w:line="360" w:lineRule="auto"/>
        <w:rPr>
          <w:b/>
          <w:bCs/>
          <w:szCs w:val="21"/>
        </w:rPr>
      </w:pPr>
      <w:r>
        <w:rPr>
          <w:rFonts w:hint="eastAsia"/>
          <w:b/>
          <w:bCs/>
          <w:szCs w:val="21"/>
        </w:rPr>
        <w:t xml:space="preserve">第二节 直线回归（1.5学时）                                          </w:t>
      </w:r>
    </w:p>
    <w:p>
      <w:pPr>
        <w:adjustRightInd w:val="0"/>
        <w:snapToGrid w:val="0"/>
        <w:spacing w:line="360" w:lineRule="auto"/>
      </w:pPr>
      <w:r>
        <w:rPr>
          <w:rFonts w:hint="eastAsia" w:ascii="宋体" w:hAnsi="宋体"/>
          <w:b/>
          <w:bCs/>
        </w:rPr>
        <w:t>教学目标：</w:t>
      </w:r>
      <w:r>
        <w:rPr>
          <w:rFonts w:hint="eastAsia" w:ascii="宋体" w:hAnsi="宋体"/>
        </w:rPr>
        <w:t>通过学习</w:t>
      </w:r>
      <w:r>
        <w:rPr>
          <w:rFonts w:hint="eastAsia"/>
        </w:rPr>
        <w:t>掌握直线回归分析的步骤和方法。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教学重点是直线回归方程的计算、假设检验和回归图的制作。难点是对回归关系进行F检验和对回归系数进行t检验的方法。</w:t>
      </w:r>
    </w:p>
    <w:p>
      <w:pPr>
        <w:adjustRightInd w:val="0"/>
        <w:snapToGrid w:val="0"/>
        <w:spacing w:line="360" w:lineRule="auto"/>
      </w:pPr>
      <w:r>
        <w:rPr>
          <w:rFonts w:hint="eastAsia" w:ascii="宋体" w:hAnsi="宋体"/>
          <w:b/>
          <w:bCs/>
        </w:rPr>
        <w:t>主要教学内容及要求：</w:t>
      </w:r>
      <w:r>
        <w:rPr>
          <w:rFonts w:hint="eastAsia" w:ascii="宋体" w:hAnsi="宋体"/>
          <w:bCs/>
        </w:rPr>
        <w:t>理解</w:t>
      </w:r>
      <w:r>
        <w:rPr>
          <w:rFonts w:hint="eastAsia"/>
        </w:rPr>
        <w:t xml:space="preserve">回归分析的概念，掌握直线回归分析的一般程序和方法；掌握直线回归方程的计算及对回归关系检验的方法；掌握直线回归图的制作方法；能够利用回归方程或回归图进行预测计算。   </w:t>
      </w:r>
    </w:p>
    <w:p>
      <w:pPr>
        <w:widowControl/>
        <w:adjustRightInd w:val="0"/>
        <w:snapToGrid w:val="0"/>
        <w:spacing w:line="360" w:lineRule="auto"/>
        <w:rPr>
          <w:b/>
          <w:bCs/>
          <w:szCs w:val="21"/>
        </w:rPr>
      </w:pPr>
      <w:r>
        <w:rPr>
          <w:rFonts w:hint="eastAsia" w:ascii="宋体" w:hAnsi="宋体"/>
          <w:b/>
          <w:bCs/>
        </w:rPr>
        <w:t>教学组织与实施：</w:t>
      </w:r>
      <w:r>
        <w:rPr>
          <w:rFonts w:hint="eastAsia" w:ascii="宋体" w:hAnsi="宋体"/>
        </w:rPr>
        <w:t>本节一些知识点较难理解，部分计算比较繁琐。教学中从实际应用角度出发，在理论讲解的基础上进行实验练习，力求学生掌握回归</w:t>
      </w:r>
      <w:r>
        <w:rPr>
          <w:rFonts w:hint="eastAsia"/>
        </w:rPr>
        <w:t>分析的一般程序和方法，</w:t>
      </w:r>
      <w:r>
        <w:rPr>
          <w:rFonts w:hint="eastAsia" w:ascii="宋体" w:hAnsi="宋体"/>
        </w:rPr>
        <w:t>及</w:t>
      </w:r>
      <w:r>
        <w:rPr>
          <w:rFonts w:hint="eastAsia"/>
        </w:rPr>
        <w:t>应用时需注意的问题</w:t>
      </w:r>
      <w:r>
        <w:rPr>
          <w:rFonts w:hint="eastAsia" w:ascii="宋体" w:hAnsi="宋体"/>
        </w:rPr>
        <w:t>。</w:t>
      </w:r>
    </w:p>
    <w:p>
      <w:pPr>
        <w:adjustRightInd w:val="0"/>
        <w:snapToGrid w:val="0"/>
        <w:spacing w:line="360" w:lineRule="auto"/>
        <w:rPr>
          <w:b/>
          <w:bCs/>
          <w:szCs w:val="21"/>
        </w:rPr>
      </w:pPr>
      <w:r>
        <w:rPr>
          <w:rFonts w:hint="eastAsia"/>
          <w:b/>
          <w:bCs/>
          <w:szCs w:val="21"/>
        </w:rPr>
        <w:t xml:space="preserve">第三节 直线相关（1.0学时）                                         </w:t>
      </w:r>
    </w:p>
    <w:p>
      <w:pPr>
        <w:adjustRightInd w:val="0"/>
        <w:snapToGrid w:val="0"/>
        <w:spacing w:line="360" w:lineRule="auto"/>
      </w:pPr>
      <w:r>
        <w:rPr>
          <w:rFonts w:hint="eastAsia" w:ascii="宋体" w:hAnsi="宋体"/>
          <w:b/>
          <w:bCs/>
        </w:rPr>
        <w:t>教学目标：</w:t>
      </w:r>
      <w:r>
        <w:rPr>
          <w:rFonts w:hint="eastAsia"/>
        </w:rPr>
        <w:t>学会相关系数的计算，掌握对相关关系进行假设检验的方法。</w:t>
      </w:r>
    </w:p>
    <w:p>
      <w:pPr>
        <w:adjustRightInd w:val="0"/>
        <w:snapToGrid w:val="0"/>
        <w:spacing w:line="360" w:lineRule="auto"/>
        <w:rPr>
          <w:rFonts w:ascii="宋体" w:hAnsi="宋体"/>
          <w:b/>
          <w:bCs/>
        </w:rPr>
      </w:pPr>
      <w:r>
        <w:rPr>
          <w:rFonts w:hint="eastAsia" w:ascii="宋体" w:hAnsi="宋体"/>
          <w:b/>
          <w:bCs/>
        </w:rPr>
        <w:t>教学重点和难点：</w:t>
      </w:r>
      <w:r>
        <w:rPr>
          <w:rFonts w:hint="eastAsia"/>
        </w:rPr>
        <w:t>教学重点是相关系数与决定系数的计算和对相关关系进行假设检验的方法。难点是对直线回归分析与相关分析之间关系的理解。</w:t>
      </w:r>
    </w:p>
    <w:p>
      <w:pPr>
        <w:adjustRightInd w:val="0"/>
        <w:snapToGrid w:val="0"/>
        <w:spacing w:line="360" w:lineRule="auto"/>
      </w:pPr>
      <w:r>
        <w:rPr>
          <w:rFonts w:hint="eastAsia" w:ascii="宋体" w:hAnsi="宋体"/>
          <w:b/>
          <w:bCs/>
        </w:rPr>
        <w:t>主要教学内容及要求：</w:t>
      </w:r>
      <w:r>
        <w:rPr>
          <w:rFonts w:hint="eastAsia"/>
        </w:rPr>
        <w:t xml:space="preserve">掌握相关系数计算和假设检验的方法；了解直线回归分析与相关分析的关系。   </w:t>
      </w:r>
    </w:p>
    <w:p>
      <w:pPr>
        <w:widowControl/>
        <w:adjustRightInd w:val="0"/>
        <w:snapToGrid w:val="0"/>
        <w:spacing w:line="360" w:lineRule="auto"/>
        <w:rPr>
          <w:rFonts w:hAnsi="宋体"/>
          <w:color w:val="0000FF"/>
          <w:kern w:val="0"/>
          <w:szCs w:val="21"/>
        </w:rPr>
      </w:pPr>
      <w:r>
        <w:rPr>
          <w:rFonts w:hint="eastAsia" w:ascii="宋体" w:hAnsi="宋体"/>
          <w:b/>
          <w:bCs/>
        </w:rPr>
        <w:t>教学组织与实施：</w:t>
      </w:r>
      <w:r>
        <w:rPr>
          <w:rFonts w:hint="eastAsia" w:ascii="宋体" w:hAnsi="宋体"/>
        </w:rPr>
        <w:t>主要通过实例进行理论讲解，在此基础上安排实验；通过案例教学使学生掌握</w:t>
      </w:r>
      <w:r>
        <w:rPr>
          <w:rFonts w:hint="eastAsia"/>
        </w:rPr>
        <w:t>分析应用时需注意的问题</w:t>
      </w:r>
      <w:r>
        <w:rPr>
          <w:rFonts w:hint="eastAsia" w:ascii="宋体" w:hAnsi="宋体"/>
        </w:rPr>
        <w:t>。</w:t>
      </w:r>
    </w:p>
    <w:p>
      <w:pPr>
        <w:widowControl/>
        <w:adjustRightInd w:val="0"/>
        <w:snapToGrid w:val="0"/>
        <w:spacing w:line="360" w:lineRule="auto"/>
        <w:jc w:val="left"/>
        <w:rPr>
          <w:rFonts w:hAnsi="宋体"/>
          <w:bCs/>
          <w:kern w:val="0"/>
          <w:szCs w:val="21"/>
        </w:rPr>
      </w:pPr>
      <w:r>
        <w:rPr>
          <w:rFonts w:hint="eastAsia" w:hAnsi="宋体"/>
          <w:b/>
          <w:bCs/>
          <w:kern w:val="0"/>
          <w:szCs w:val="21"/>
        </w:rPr>
        <w:t>五</w:t>
      </w:r>
      <w:r>
        <w:rPr>
          <w:rFonts w:hAnsi="宋体"/>
          <w:b/>
          <w:bCs/>
          <w:kern w:val="0"/>
          <w:szCs w:val="21"/>
        </w:rPr>
        <w:t>、实验教学内容及学时分配</w:t>
      </w:r>
      <w:r>
        <w:rPr>
          <w:rFonts w:hint="eastAsia" w:hAnsi="宋体"/>
          <w:b/>
          <w:bCs/>
          <w:kern w:val="0"/>
          <w:szCs w:val="21"/>
        </w:rPr>
        <w:t>（</w:t>
      </w:r>
      <w:r>
        <w:rPr>
          <w:rFonts w:hAnsi="宋体"/>
          <w:b/>
          <w:bCs/>
          <w:kern w:val="0"/>
          <w:szCs w:val="21"/>
        </w:rPr>
        <w:t>24学时</w:t>
      </w:r>
      <w:r>
        <w:rPr>
          <w:rFonts w:hint="eastAsia" w:hAnsi="宋体"/>
          <w:b/>
          <w:bCs/>
          <w:kern w:val="0"/>
          <w:szCs w:val="21"/>
        </w:rPr>
        <w:t>）</w:t>
      </w:r>
    </w:p>
    <w:p>
      <w:pPr>
        <w:adjustRightInd w:val="0"/>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adjustRightInd w:val="0"/>
        <w:snapToGrid w:val="0"/>
        <w:spacing w:line="360" w:lineRule="auto"/>
        <w:ind w:firstLine="420"/>
      </w:pPr>
      <w:r>
        <w:rPr>
          <w:rFonts w:hint="eastAsia"/>
        </w:rPr>
        <w:t>实验教学是《试验设计与统计分析》课程的重要组成部分，要求学生通过实验能够掌握根据园艺作物和常见试验环境进行试验设计和调查研究的方法，学会对常见试验结果进行科学的数据整理，能够使用常见的计算工具和统计软件进行统计分析，并推断出正确结论。</w:t>
      </w:r>
    </w:p>
    <w:p>
      <w:pPr>
        <w:adjustRightInd w:val="0"/>
        <w:snapToGrid w:val="0"/>
        <w:spacing w:line="360" w:lineRule="auto"/>
        <w:rPr>
          <w:rFonts w:ascii="宋体" w:hAnsi="宋体"/>
          <w:b/>
          <w:bCs/>
          <w:szCs w:val="21"/>
        </w:rPr>
      </w:pPr>
      <w:r>
        <w:rPr>
          <w:rFonts w:hint="eastAsia" w:ascii="宋体" w:hAnsi="宋体"/>
          <w:b/>
          <w:bCs/>
          <w:szCs w:val="21"/>
        </w:rPr>
        <w:t>（二）实验教学目的和基本要求</w:t>
      </w:r>
    </w:p>
    <w:p>
      <w:pPr>
        <w:adjustRightInd w:val="0"/>
        <w:snapToGrid w:val="0"/>
        <w:spacing w:line="360" w:lineRule="auto"/>
        <w:rPr>
          <w:rFonts w:ascii="宋体" w:hAnsi="宋体"/>
          <w:bCs/>
          <w:szCs w:val="21"/>
        </w:rPr>
      </w:pPr>
      <w:r>
        <w:rPr>
          <w:rFonts w:hint="eastAsia"/>
          <w:b/>
        </w:rPr>
        <w:t>实验教学目的：</w:t>
      </w:r>
      <w:r>
        <w:rPr>
          <w:rFonts w:hint="eastAsia"/>
        </w:rPr>
        <w:t>通过实验教学，使学生加深对理论知识的理解，掌握常见的试验设计与统计分析方法，学会常用统计分析软件的使用与结果分析，学会如何将所学知识应用于</w:t>
      </w:r>
      <w:r>
        <w:rPr>
          <w:rFonts w:hint="eastAsia" w:ascii="宋体" w:hAnsi="宋体"/>
          <w:bCs/>
          <w:szCs w:val="21"/>
        </w:rPr>
        <w:t>科学研究工作。</w:t>
      </w:r>
    </w:p>
    <w:p>
      <w:pPr>
        <w:adjustRightInd w:val="0"/>
        <w:snapToGrid w:val="0"/>
        <w:spacing w:line="360" w:lineRule="auto"/>
      </w:pPr>
      <w:r>
        <w:rPr>
          <w:rFonts w:hint="eastAsia" w:ascii="宋体" w:hAnsi="宋体"/>
          <w:b/>
          <w:bCs/>
          <w:szCs w:val="21"/>
        </w:rPr>
        <w:t>基本要求：</w:t>
      </w:r>
      <w:r>
        <w:rPr>
          <w:rFonts w:hint="eastAsia" w:ascii="宋体" w:hAnsi="宋体"/>
          <w:bCs/>
          <w:szCs w:val="21"/>
        </w:rPr>
        <w:t>通过团队分工协作或个人独立操作，</w:t>
      </w:r>
      <w:r>
        <w:rPr>
          <w:rFonts w:hint="eastAsia"/>
        </w:rPr>
        <w:t>结合实验提供的具体实例进行试验设计，对提供的试验结果进行数据整理与分析，做出正确的推断，并撰写步骤完整、条理清晰、表达规范、整洁美观的实验报告。</w:t>
      </w:r>
    </w:p>
    <w:p>
      <w:pPr>
        <w:adjustRightInd w:val="0"/>
        <w:snapToGrid w:val="0"/>
        <w:spacing w:line="360" w:lineRule="auto"/>
        <w:rPr>
          <w:b/>
        </w:rPr>
      </w:pPr>
      <w:r>
        <w:rPr>
          <w:rFonts w:hint="eastAsia"/>
          <w:b/>
        </w:rPr>
        <w:t>（三）实验安全操作规范</w:t>
      </w:r>
    </w:p>
    <w:p>
      <w:pPr>
        <w:adjustRightInd w:val="0"/>
        <w:snapToGrid w:val="0"/>
        <w:spacing w:line="360" w:lineRule="auto"/>
        <w:ind w:firstLine="420" w:firstLineChars="200"/>
      </w:pPr>
      <w:r>
        <w:rPr>
          <w:rFonts w:hint="eastAsia"/>
        </w:rPr>
        <w:t>本课程部分实验在机房操作，要求学生遵守计算机机房安全操作规范。</w:t>
      </w:r>
    </w:p>
    <w:p>
      <w:pPr>
        <w:adjustRightInd w:val="0"/>
        <w:snapToGrid w:val="0"/>
        <w:spacing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3340"/>
        <w:gridCol w:w="725"/>
        <w:gridCol w:w="1365"/>
        <w:gridCol w:w="1112"/>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3340"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725"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学时</w:t>
            </w:r>
          </w:p>
        </w:tc>
        <w:tc>
          <w:tcPr>
            <w:tcW w:w="1365"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类型</w:t>
            </w:r>
          </w:p>
        </w:tc>
        <w:tc>
          <w:tcPr>
            <w:tcW w:w="1112"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实验要求</w:t>
            </w:r>
          </w:p>
        </w:tc>
        <w:tc>
          <w:tcPr>
            <w:tcW w:w="1291"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01</w:t>
            </w:r>
          </w:p>
        </w:tc>
        <w:tc>
          <w:tcPr>
            <w:tcW w:w="3340" w:type="dxa"/>
            <w:tcBorders>
              <w:tl2br w:val="nil"/>
              <w:tr2bl w:val="nil"/>
            </w:tcBorders>
            <w:vAlign w:val="center"/>
          </w:tcPr>
          <w:p>
            <w:pPr>
              <w:ind w:firstLine="360"/>
              <w:jc w:val="center"/>
              <w:rPr>
                <w:sz w:val="18"/>
                <w:szCs w:val="18"/>
              </w:rPr>
            </w:pPr>
            <w:r>
              <w:rPr>
                <w:rFonts w:hint="eastAsia"/>
                <w:sz w:val="18"/>
                <w:szCs w:val="18"/>
              </w:rPr>
              <w:t>研究课题选择与试验计划的拟定</w:t>
            </w:r>
          </w:p>
        </w:tc>
        <w:tc>
          <w:tcPr>
            <w:tcW w:w="725" w:type="dxa"/>
            <w:tcBorders>
              <w:tl2br w:val="nil"/>
              <w:tr2bl w:val="nil"/>
            </w:tcBorders>
            <w:vAlign w:val="center"/>
          </w:tcPr>
          <w:p>
            <w:pPr>
              <w:ind w:firstLine="360"/>
              <w:jc w:val="center"/>
              <w:rPr>
                <w:sz w:val="18"/>
                <w:szCs w:val="18"/>
              </w:rPr>
            </w:pPr>
            <w:r>
              <w:rPr>
                <w:rFonts w:hint="eastAsia"/>
                <w:sz w:val="18"/>
                <w:szCs w:val="18"/>
              </w:rPr>
              <w:t>4</w:t>
            </w:r>
          </w:p>
        </w:tc>
        <w:tc>
          <w:tcPr>
            <w:tcW w:w="1365" w:type="dxa"/>
            <w:tcBorders>
              <w:tl2br w:val="nil"/>
              <w:tr2bl w:val="nil"/>
            </w:tcBorders>
            <w:vAlign w:val="center"/>
          </w:tcPr>
          <w:p>
            <w:pPr>
              <w:rPr>
                <w:sz w:val="18"/>
                <w:szCs w:val="18"/>
              </w:rPr>
            </w:pPr>
            <w:r>
              <w:rPr>
                <w:rFonts w:hint="eastAsia"/>
                <w:sz w:val="18"/>
                <w:szCs w:val="18"/>
              </w:rPr>
              <w:t>综合性</w:t>
            </w:r>
          </w:p>
        </w:tc>
        <w:tc>
          <w:tcPr>
            <w:tcW w:w="1112" w:type="dxa"/>
            <w:tcBorders>
              <w:tl2br w:val="nil"/>
              <w:tr2bl w:val="nil"/>
            </w:tcBorders>
            <w:vAlign w:val="center"/>
          </w:tcPr>
          <w:p>
            <w:pPr>
              <w:ind w:firstLine="360"/>
              <w:jc w:val="center"/>
              <w:rPr>
                <w:sz w:val="18"/>
                <w:szCs w:val="18"/>
              </w:rPr>
            </w:pPr>
            <w:r>
              <w:rPr>
                <w:rFonts w:hint="eastAsia"/>
                <w:sz w:val="18"/>
                <w:szCs w:val="18"/>
              </w:rPr>
              <w:t>必做</w:t>
            </w:r>
          </w:p>
        </w:tc>
        <w:tc>
          <w:tcPr>
            <w:tcW w:w="1291" w:type="dxa"/>
            <w:tcBorders>
              <w:tl2br w:val="nil"/>
              <w:tr2bl w:val="nil"/>
            </w:tcBorders>
          </w:tcPr>
          <w:p>
            <w:pPr>
              <w:spacing w:line="480" w:lineRule="auto"/>
              <w:ind w:firstLine="360"/>
              <w:jc w:val="center"/>
              <w:rPr>
                <w:sz w:val="18"/>
                <w:szCs w:val="18"/>
              </w:rPr>
            </w:pPr>
            <w:r>
              <w:rPr>
                <w:sz w:val="18"/>
                <w:szCs w:val="1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02</w:t>
            </w:r>
          </w:p>
        </w:tc>
        <w:tc>
          <w:tcPr>
            <w:tcW w:w="3340" w:type="dxa"/>
            <w:tcBorders>
              <w:tl2br w:val="nil"/>
              <w:tr2bl w:val="nil"/>
            </w:tcBorders>
            <w:vAlign w:val="center"/>
          </w:tcPr>
          <w:p>
            <w:pPr>
              <w:ind w:firstLine="360"/>
              <w:jc w:val="center"/>
              <w:rPr>
                <w:sz w:val="18"/>
                <w:szCs w:val="18"/>
              </w:rPr>
            </w:pPr>
            <w:r>
              <w:rPr>
                <w:rFonts w:hint="eastAsia"/>
                <w:sz w:val="18"/>
                <w:szCs w:val="18"/>
              </w:rPr>
              <w:t>研究资料的收集与数据库的应用</w:t>
            </w:r>
          </w:p>
        </w:tc>
        <w:tc>
          <w:tcPr>
            <w:tcW w:w="725" w:type="dxa"/>
            <w:tcBorders>
              <w:tl2br w:val="nil"/>
              <w:tr2bl w:val="nil"/>
            </w:tcBorders>
            <w:vAlign w:val="center"/>
          </w:tcPr>
          <w:p>
            <w:pPr>
              <w:ind w:firstLine="360"/>
              <w:jc w:val="center"/>
              <w:rPr>
                <w:sz w:val="18"/>
                <w:szCs w:val="18"/>
              </w:rPr>
            </w:pPr>
            <w:r>
              <w:rPr>
                <w:rFonts w:hint="eastAsia"/>
                <w:sz w:val="18"/>
                <w:szCs w:val="18"/>
              </w:rPr>
              <w:t>2</w:t>
            </w:r>
          </w:p>
        </w:tc>
        <w:tc>
          <w:tcPr>
            <w:tcW w:w="1365" w:type="dxa"/>
            <w:tcBorders>
              <w:tl2br w:val="nil"/>
              <w:tr2bl w:val="nil"/>
            </w:tcBorders>
            <w:vAlign w:val="center"/>
          </w:tcPr>
          <w:p>
            <w:pPr>
              <w:rPr>
                <w:sz w:val="18"/>
                <w:szCs w:val="18"/>
              </w:rPr>
            </w:pPr>
            <w:r>
              <w:rPr>
                <w:rFonts w:hint="eastAsia"/>
                <w:sz w:val="18"/>
                <w:szCs w:val="18"/>
              </w:rPr>
              <w:t>应用性</w:t>
            </w:r>
          </w:p>
        </w:tc>
        <w:tc>
          <w:tcPr>
            <w:tcW w:w="1112" w:type="dxa"/>
            <w:tcBorders>
              <w:tl2br w:val="nil"/>
              <w:tr2bl w:val="nil"/>
            </w:tcBorders>
            <w:vAlign w:val="center"/>
          </w:tcPr>
          <w:p>
            <w:pPr>
              <w:ind w:firstLine="360"/>
              <w:jc w:val="center"/>
              <w:rPr>
                <w:sz w:val="18"/>
                <w:szCs w:val="18"/>
              </w:rPr>
            </w:pPr>
            <w:r>
              <w:rPr>
                <w:rFonts w:hint="eastAsia"/>
                <w:sz w:val="18"/>
                <w:szCs w:val="18"/>
              </w:rPr>
              <w:t>选做</w:t>
            </w:r>
          </w:p>
        </w:tc>
        <w:tc>
          <w:tcPr>
            <w:tcW w:w="1291" w:type="dxa"/>
            <w:tcBorders>
              <w:tl2br w:val="nil"/>
              <w:tr2bl w:val="nil"/>
            </w:tcBorders>
          </w:tcPr>
          <w:p>
            <w:pPr>
              <w:spacing w:line="480" w:lineRule="auto"/>
              <w:jc w:val="both"/>
              <w:rPr>
                <w:rFonts w:hint="default" w:eastAsia="宋体"/>
                <w:sz w:val="18"/>
                <w:szCs w:val="18"/>
                <w:lang w:val="en-US" w:eastAsia="zh-CN"/>
              </w:rPr>
            </w:pPr>
            <w:r>
              <w:rPr>
                <w:rFonts w:hint="eastAsia"/>
                <w:sz w:val="18"/>
                <w:szCs w:val="18"/>
                <w:lang w:val="en-US" w:eastAsia="zh-CN"/>
              </w:rPr>
              <w:t>独立完成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03</w:t>
            </w:r>
          </w:p>
        </w:tc>
        <w:tc>
          <w:tcPr>
            <w:tcW w:w="3340" w:type="dxa"/>
            <w:tcBorders>
              <w:tl2br w:val="nil"/>
              <w:tr2bl w:val="nil"/>
            </w:tcBorders>
            <w:vAlign w:val="center"/>
          </w:tcPr>
          <w:p>
            <w:pPr>
              <w:ind w:firstLine="360"/>
              <w:jc w:val="center"/>
              <w:rPr>
                <w:sz w:val="18"/>
                <w:szCs w:val="18"/>
              </w:rPr>
            </w:pPr>
            <w:r>
              <w:rPr>
                <w:rFonts w:hint="eastAsia"/>
                <w:sz w:val="18"/>
                <w:szCs w:val="18"/>
              </w:rPr>
              <w:t>试验设计</w:t>
            </w:r>
          </w:p>
        </w:tc>
        <w:tc>
          <w:tcPr>
            <w:tcW w:w="725" w:type="dxa"/>
            <w:tcBorders>
              <w:tl2br w:val="nil"/>
              <w:tr2bl w:val="nil"/>
            </w:tcBorders>
            <w:vAlign w:val="center"/>
          </w:tcPr>
          <w:p>
            <w:pPr>
              <w:ind w:firstLine="360"/>
              <w:jc w:val="center"/>
              <w:rPr>
                <w:sz w:val="18"/>
                <w:szCs w:val="18"/>
              </w:rPr>
            </w:pPr>
            <w:r>
              <w:rPr>
                <w:rFonts w:hint="eastAsia"/>
                <w:sz w:val="18"/>
                <w:szCs w:val="18"/>
              </w:rPr>
              <w:t>2</w:t>
            </w:r>
          </w:p>
        </w:tc>
        <w:tc>
          <w:tcPr>
            <w:tcW w:w="1365" w:type="dxa"/>
            <w:tcBorders>
              <w:tl2br w:val="nil"/>
              <w:tr2bl w:val="nil"/>
            </w:tcBorders>
            <w:vAlign w:val="center"/>
          </w:tcPr>
          <w:p>
            <w:pPr>
              <w:rPr>
                <w:sz w:val="18"/>
                <w:szCs w:val="18"/>
              </w:rPr>
            </w:pPr>
            <w:r>
              <w:rPr>
                <w:rFonts w:hint="eastAsia"/>
                <w:sz w:val="18"/>
                <w:szCs w:val="18"/>
              </w:rPr>
              <w:t>设计性</w:t>
            </w:r>
          </w:p>
        </w:tc>
        <w:tc>
          <w:tcPr>
            <w:tcW w:w="1112" w:type="dxa"/>
            <w:tcBorders>
              <w:tl2br w:val="nil"/>
              <w:tr2bl w:val="nil"/>
            </w:tcBorders>
            <w:vAlign w:val="center"/>
          </w:tcPr>
          <w:p>
            <w:pPr>
              <w:ind w:firstLine="360"/>
              <w:jc w:val="center"/>
              <w:rPr>
                <w:sz w:val="18"/>
                <w:szCs w:val="18"/>
              </w:rPr>
            </w:pPr>
            <w:r>
              <w:rPr>
                <w:rFonts w:hint="eastAsia"/>
                <w:sz w:val="18"/>
                <w:szCs w:val="18"/>
              </w:rPr>
              <w:t>必做</w:t>
            </w:r>
          </w:p>
        </w:tc>
        <w:tc>
          <w:tcPr>
            <w:tcW w:w="1291" w:type="dxa"/>
            <w:tcBorders>
              <w:tl2br w:val="nil"/>
              <w:tr2bl w:val="nil"/>
            </w:tcBorders>
          </w:tcPr>
          <w:p>
            <w:pPr>
              <w:spacing w:line="480" w:lineRule="auto"/>
              <w:jc w:val="both"/>
              <w:rPr>
                <w:sz w:val="18"/>
                <w:szCs w:val="18"/>
              </w:rPr>
            </w:pPr>
            <w:r>
              <w:rPr>
                <w:rFonts w:hint="eastAsia"/>
                <w:sz w:val="18"/>
                <w:szCs w:val="18"/>
                <w:lang w:val="en-US" w:eastAsia="zh-CN"/>
              </w:rPr>
              <w:t>独立完成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04</w:t>
            </w:r>
          </w:p>
        </w:tc>
        <w:tc>
          <w:tcPr>
            <w:tcW w:w="3340" w:type="dxa"/>
            <w:tcBorders>
              <w:tl2br w:val="nil"/>
              <w:tr2bl w:val="nil"/>
            </w:tcBorders>
            <w:vAlign w:val="center"/>
          </w:tcPr>
          <w:p>
            <w:pPr>
              <w:ind w:firstLine="360"/>
              <w:jc w:val="center"/>
              <w:rPr>
                <w:sz w:val="18"/>
                <w:szCs w:val="18"/>
              </w:rPr>
            </w:pPr>
            <w:r>
              <w:rPr>
                <w:rFonts w:hint="eastAsia" w:hAnsi="宋体"/>
                <w:sz w:val="18"/>
                <w:szCs w:val="18"/>
              </w:rPr>
              <w:t>描述统计与图表制作</w:t>
            </w:r>
          </w:p>
        </w:tc>
        <w:tc>
          <w:tcPr>
            <w:tcW w:w="725" w:type="dxa"/>
            <w:tcBorders>
              <w:tl2br w:val="nil"/>
              <w:tr2bl w:val="nil"/>
            </w:tcBorders>
            <w:vAlign w:val="center"/>
          </w:tcPr>
          <w:p>
            <w:pPr>
              <w:ind w:firstLine="360"/>
              <w:jc w:val="center"/>
              <w:rPr>
                <w:sz w:val="18"/>
                <w:szCs w:val="18"/>
              </w:rPr>
            </w:pPr>
            <w:r>
              <w:rPr>
                <w:rFonts w:hint="eastAsia"/>
                <w:sz w:val="18"/>
                <w:szCs w:val="18"/>
              </w:rPr>
              <w:t>4</w:t>
            </w:r>
          </w:p>
        </w:tc>
        <w:tc>
          <w:tcPr>
            <w:tcW w:w="1365" w:type="dxa"/>
            <w:tcBorders>
              <w:tl2br w:val="nil"/>
              <w:tr2bl w:val="nil"/>
            </w:tcBorders>
            <w:vAlign w:val="center"/>
          </w:tcPr>
          <w:p>
            <w:pPr>
              <w:rPr>
                <w:sz w:val="18"/>
                <w:szCs w:val="18"/>
              </w:rPr>
            </w:pPr>
            <w:r>
              <w:rPr>
                <w:rFonts w:hint="eastAsia"/>
                <w:sz w:val="18"/>
                <w:szCs w:val="18"/>
              </w:rPr>
              <w:t>应用性</w:t>
            </w:r>
          </w:p>
        </w:tc>
        <w:tc>
          <w:tcPr>
            <w:tcW w:w="1112" w:type="dxa"/>
            <w:tcBorders>
              <w:tl2br w:val="nil"/>
              <w:tr2bl w:val="nil"/>
            </w:tcBorders>
            <w:vAlign w:val="center"/>
          </w:tcPr>
          <w:p>
            <w:pPr>
              <w:ind w:firstLine="360"/>
              <w:jc w:val="center"/>
              <w:rPr>
                <w:sz w:val="18"/>
                <w:szCs w:val="18"/>
              </w:rPr>
            </w:pPr>
            <w:r>
              <w:rPr>
                <w:rFonts w:hint="eastAsia"/>
                <w:sz w:val="18"/>
                <w:szCs w:val="18"/>
              </w:rPr>
              <w:t>必做</w:t>
            </w:r>
          </w:p>
        </w:tc>
        <w:tc>
          <w:tcPr>
            <w:tcW w:w="1291" w:type="dxa"/>
            <w:tcBorders>
              <w:tl2br w:val="nil"/>
              <w:tr2bl w:val="nil"/>
            </w:tcBorders>
          </w:tcPr>
          <w:p>
            <w:pPr>
              <w:jc w:val="both"/>
              <w:rPr>
                <w:sz w:val="18"/>
                <w:szCs w:val="18"/>
              </w:rPr>
            </w:pPr>
            <w:r>
              <w:rPr>
                <w:rFonts w:hint="eastAsia"/>
                <w:sz w:val="18"/>
                <w:szCs w:val="18"/>
                <w:lang w:val="en-US" w:eastAsia="zh-CN"/>
              </w:rPr>
              <w:t>独立完成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05</w:t>
            </w:r>
          </w:p>
        </w:tc>
        <w:tc>
          <w:tcPr>
            <w:tcW w:w="3340" w:type="dxa"/>
            <w:tcBorders>
              <w:tl2br w:val="nil"/>
              <w:tr2bl w:val="nil"/>
            </w:tcBorders>
            <w:vAlign w:val="center"/>
          </w:tcPr>
          <w:p>
            <w:pPr>
              <w:ind w:firstLine="360"/>
              <w:jc w:val="center"/>
              <w:rPr>
                <w:sz w:val="18"/>
                <w:szCs w:val="18"/>
              </w:rPr>
            </w:pPr>
            <w:r>
              <w:rPr>
                <w:rFonts w:hint="eastAsia" w:hAnsi="宋体"/>
                <w:sz w:val="18"/>
                <w:szCs w:val="18"/>
              </w:rPr>
              <w:t>统计假设检验</w:t>
            </w:r>
          </w:p>
        </w:tc>
        <w:tc>
          <w:tcPr>
            <w:tcW w:w="725" w:type="dxa"/>
            <w:tcBorders>
              <w:tl2br w:val="nil"/>
              <w:tr2bl w:val="nil"/>
            </w:tcBorders>
            <w:vAlign w:val="center"/>
          </w:tcPr>
          <w:p>
            <w:pPr>
              <w:ind w:firstLine="360"/>
              <w:jc w:val="center"/>
              <w:rPr>
                <w:sz w:val="18"/>
                <w:szCs w:val="18"/>
              </w:rPr>
            </w:pPr>
            <w:r>
              <w:rPr>
                <w:rFonts w:hint="eastAsia"/>
                <w:sz w:val="18"/>
                <w:szCs w:val="18"/>
              </w:rPr>
              <w:t>4</w:t>
            </w:r>
          </w:p>
        </w:tc>
        <w:tc>
          <w:tcPr>
            <w:tcW w:w="1365" w:type="dxa"/>
            <w:tcBorders>
              <w:tl2br w:val="nil"/>
              <w:tr2bl w:val="nil"/>
            </w:tcBorders>
            <w:vAlign w:val="center"/>
          </w:tcPr>
          <w:p>
            <w:pPr>
              <w:rPr>
                <w:sz w:val="18"/>
                <w:szCs w:val="18"/>
              </w:rPr>
            </w:pPr>
            <w:r>
              <w:rPr>
                <w:rFonts w:hint="eastAsia"/>
                <w:sz w:val="18"/>
                <w:szCs w:val="18"/>
              </w:rPr>
              <w:t>验证性</w:t>
            </w:r>
          </w:p>
        </w:tc>
        <w:tc>
          <w:tcPr>
            <w:tcW w:w="1112" w:type="dxa"/>
            <w:tcBorders>
              <w:tl2br w:val="nil"/>
              <w:tr2bl w:val="nil"/>
            </w:tcBorders>
            <w:vAlign w:val="center"/>
          </w:tcPr>
          <w:p>
            <w:pPr>
              <w:ind w:firstLine="360"/>
              <w:jc w:val="center"/>
              <w:rPr>
                <w:sz w:val="18"/>
                <w:szCs w:val="18"/>
              </w:rPr>
            </w:pPr>
            <w:r>
              <w:rPr>
                <w:rFonts w:hint="eastAsia"/>
                <w:sz w:val="18"/>
                <w:szCs w:val="18"/>
              </w:rPr>
              <w:t>必做</w:t>
            </w:r>
          </w:p>
        </w:tc>
        <w:tc>
          <w:tcPr>
            <w:tcW w:w="1291" w:type="dxa"/>
            <w:tcBorders>
              <w:tl2br w:val="nil"/>
              <w:tr2bl w:val="nil"/>
            </w:tcBorders>
          </w:tcPr>
          <w:p>
            <w:pPr>
              <w:spacing w:line="480" w:lineRule="auto"/>
              <w:jc w:val="both"/>
              <w:rPr>
                <w:sz w:val="18"/>
                <w:szCs w:val="18"/>
              </w:rPr>
            </w:pPr>
            <w:r>
              <w:rPr>
                <w:rFonts w:hint="eastAsia"/>
                <w:sz w:val="18"/>
                <w:szCs w:val="18"/>
                <w:lang w:val="en-US" w:eastAsia="zh-CN"/>
              </w:rPr>
              <w:t>独立完成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06</w:t>
            </w:r>
          </w:p>
        </w:tc>
        <w:tc>
          <w:tcPr>
            <w:tcW w:w="3340" w:type="dxa"/>
            <w:tcBorders>
              <w:tl2br w:val="nil"/>
              <w:tr2bl w:val="nil"/>
            </w:tcBorders>
            <w:vAlign w:val="center"/>
          </w:tcPr>
          <w:p>
            <w:pPr>
              <w:ind w:firstLine="360"/>
              <w:jc w:val="center"/>
              <w:rPr>
                <w:sz w:val="18"/>
                <w:szCs w:val="18"/>
              </w:rPr>
            </w:pPr>
            <w:r>
              <w:rPr>
                <w:rFonts w:hint="eastAsia"/>
                <w:sz w:val="18"/>
                <w:szCs w:val="18"/>
              </w:rPr>
              <w:t>常见试验设计结果资料的方差分析</w:t>
            </w:r>
          </w:p>
        </w:tc>
        <w:tc>
          <w:tcPr>
            <w:tcW w:w="725" w:type="dxa"/>
            <w:tcBorders>
              <w:tl2br w:val="nil"/>
              <w:tr2bl w:val="nil"/>
            </w:tcBorders>
            <w:vAlign w:val="center"/>
          </w:tcPr>
          <w:p>
            <w:pPr>
              <w:ind w:firstLine="360"/>
              <w:jc w:val="center"/>
              <w:rPr>
                <w:sz w:val="18"/>
                <w:szCs w:val="18"/>
              </w:rPr>
            </w:pPr>
            <w:r>
              <w:rPr>
                <w:rFonts w:hint="eastAsia"/>
                <w:sz w:val="18"/>
                <w:szCs w:val="18"/>
              </w:rPr>
              <w:t>6</w:t>
            </w:r>
          </w:p>
        </w:tc>
        <w:tc>
          <w:tcPr>
            <w:tcW w:w="1365" w:type="dxa"/>
            <w:tcBorders>
              <w:tl2br w:val="nil"/>
              <w:tr2bl w:val="nil"/>
            </w:tcBorders>
            <w:vAlign w:val="center"/>
          </w:tcPr>
          <w:p>
            <w:pPr>
              <w:rPr>
                <w:sz w:val="18"/>
                <w:szCs w:val="18"/>
              </w:rPr>
            </w:pPr>
            <w:r>
              <w:rPr>
                <w:rFonts w:hint="eastAsia"/>
                <w:sz w:val="18"/>
                <w:szCs w:val="18"/>
              </w:rPr>
              <w:t>应用性</w:t>
            </w:r>
          </w:p>
        </w:tc>
        <w:tc>
          <w:tcPr>
            <w:tcW w:w="1112" w:type="dxa"/>
            <w:tcBorders>
              <w:tl2br w:val="nil"/>
              <w:tr2bl w:val="nil"/>
            </w:tcBorders>
            <w:vAlign w:val="center"/>
          </w:tcPr>
          <w:p>
            <w:pPr>
              <w:ind w:firstLine="360"/>
              <w:jc w:val="center"/>
              <w:rPr>
                <w:sz w:val="18"/>
                <w:szCs w:val="18"/>
              </w:rPr>
            </w:pPr>
            <w:r>
              <w:rPr>
                <w:rFonts w:hint="eastAsia"/>
                <w:sz w:val="18"/>
                <w:szCs w:val="18"/>
              </w:rPr>
              <w:t>必做</w:t>
            </w:r>
          </w:p>
        </w:tc>
        <w:tc>
          <w:tcPr>
            <w:tcW w:w="1291" w:type="dxa"/>
            <w:tcBorders>
              <w:tl2br w:val="nil"/>
              <w:tr2bl w:val="nil"/>
            </w:tcBorders>
          </w:tcPr>
          <w:p>
            <w:pPr>
              <w:spacing w:line="480" w:lineRule="auto"/>
              <w:jc w:val="both"/>
              <w:rPr>
                <w:sz w:val="18"/>
                <w:szCs w:val="18"/>
              </w:rPr>
            </w:pPr>
            <w:r>
              <w:rPr>
                <w:rFonts w:hint="eastAsia"/>
                <w:sz w:val="18"/>
                <w:szCs w:val="18"/>
                <w:lang w:val="en-US" w:eastAsia="zh-CN"/>
              </w:rPr>
              <w:t>独立完成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07</w:t>
            </w:r>
          </w:p>
        </w:tc>
        <w:tc>
          <w:tcPr>
            <w:tcW w:w="3340" w:type="dxa"/>
            <w:tcBorders>
              <w:tl2br w:val="nil"/>
              <w:tr2bl w:val="nil"/>
            </w:tcBorders>
            <w:vAlign w:val="center"/>
          </w:tcPr>
          <w:p>
            <w:pPr>
              <w:ind w:firstLine="360"/>
              <w:jc w:val="center"/>
              <w:rPr>
                <w:sz w:val="18"/>
                <w:szCs w:val="18"/>
              </w:rPr>
            </w:pPr>
            <w:r>
              <w:rPr>
                <w:rFonts w:hint="eastAsia"/>
                <w:sz w:val="18"/>
                <w:szCs w:val="18"/>
              </w:rPr>
              <w:t>园艺产品感官评定试验设计与统计分析</w:t>
            </w:r>
          </w:p>
        </w:tc>
        <w:tc>
          <w:tcPr>
            <w:tcW w:w="725" w:type="dxa"/>
            <w:tcBorders>
              <w:tl2br w:val="nil"/>
              <w:tr2bl w:val="nil"/>
            </w:tcBorders>
            <w:vAlign w:val="center"/>
          </w:tcPr>
          <w:p>
            <w:pPr>
              <w:ind w:firstLine="360"/>
              <w:jc w:val="center"/>
              <w:rPr>
                <w:sz w:val="18"/>
                <w:szCs w:val="18"/>
              </w:rPr>
            </w:pPr>
            <w:r>
              <w:rPr>
                <w:rFonts w:hint="eastAsia"/>
                <w:sz w:val="18"/>
                <w:szCs w:val="18"/>
              </w:rPr>
              <w:t>2</w:t>
            </w:r>
          </w:p>
        </w:tc>
        <w:tc>
          <w:tcPr>
            <w:tcW w:w="1365" w:type="dxa"/>
            <w:tcBorders>
              <w:tl2br w:val="nil"/>
              <w:tr2bl w:val="nil"/>
            </w:tcBorders>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综合性</w:t>
            </w:r>
          </w:p>
        </w:tc>
        <w:tc>
          <w:tcPr>
            <w:tcW w:w="1112" w:type="dxa"/>
            <w:tcBorders>
              <w:tl2br w:val="nil"/>
              <w:tr2bl w:val="nil"/>
            </w:tcBorders>
            <w:vAlign w:val="center"/>
          </w:tcPr>
          <w:p>
            <w:pPr>
              <w:ind w:firstLine="360"/>
              <w:jc w:val="center"/>
              <w:rPr>
                <w:sz w:val="18"/>
                <w:szCs w:val="18"/>
              </w:rPr>
            </w:pPr>
            <w:r>
              <w:rPr>
                <w:rFonts w:hint="eastAsia"/>
                <w:sz w:val="18"/>
                <w:szCs w:val="18"/>
              </w:rPr>
              <w:t>选做</w:t>
            </w:r>
          </w:p>
        </w:tc>
        <w:tc>
          <w:tcPr>
            <w:tcW w:w="1291" w:type="dxa"/>
            <w:tcBorders>
              <w:tl2br w:val="nil"/>
              <w:tr2bl w:val="nil"/>
            </w:tcBorders>
          </w:tcPr>
          <w:p>
            <w:pPr>
              <w:spacing w:line="480" w:lineRule="auto"/>
              <w:ind w:firstLine="360"/>
              <w:jc w:val="center"/>
              <w:rPr>
                <w:sz w:val="18"/>
                <w:szCs w:val="18"/>
              </w:rPr>
            </w:pPr>
            <w:r>
              <w:rPr>
                <w:rFonts w:hint="eastAsia"/>
                <w:sz w:val="18"/>
                <w:szCs w:val="1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08</w:t>
            </w:r>
          </w:p>
        </w:tc>
        <w:tc>
          <w:tcPr>
            <w:tcW w:w="3340" w:type="dxa"/>
            <w:tcBorders>
              <w:tl2br w:val="nil"/>
              <w:tr2bl w:val="nil"/>
            </w:tcBorders>
            <w:vAlign w:val="center"/>
          </w:tcPr>
          <w:p>
            <w:pPr>
              <w:ind w:firstLine="360"/>
              <w:jc w:val="center"/>
              <w:rPr>
                <w:sz w:val="18"/>
                <w:szCs w:val="18"/>
              </w:rPr>
            </w:pPr>
            <w:r>
              <w:rPr>
                <w:rFonts w:hint="eastAsia"/>
                <w:sz w:val="18"/>
                <w:szCs w:val="18"/>
              </w:rPr>
              <w:t>卡平方检验</w:t>
            </w:r>
          </w:p>
        </w:tc>
        <w:tc>
          <w:tcPr>
            <w:tcW w:w="725" w:type="dxa"/>
            <w:tcBorders>
              <w:tl2br w:val="nil"/>
              <w:tr2bl w:val="nil"/>
            </w:tcBorders>
            <w:vAlign w:val="center"/>
          </w:tcPr>
          <w:p>
            <w:pPr>
              <w:ind w:firstLine="360"/>
              <w:jc w:val="center"/>
              <w:rPr>
                <w:sz w:val="18"/>
                <w:szCs w:val="18"/>
              </w:rPr>
            </w:pPr>
            <w:r>
              <w:rPr>
                <w:rFonts w:hint="eastAsia"/>
                <w:sz w:val="18"/>
                <w:szCs w:val="18"/>
              </w:rPr>
              <w:t>2</w:t>
            </w:r>
          </w:p>
        </w:tc>
        <w:tc>
          <w:tcPr>
            <w:tcW w:w="1365" w:type="dxa"/>
            <w:tcBorders>
              <w:tl2br w:val="nil"/>
              <w:tr2bl w:val="nil"/>
            </w:tcBorders>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应用性</w:t>
            </w:r>
          </w:p>
        </w:tc>
        <w:tc>
          <w:tcPr>
            <w:tcW w:w="1112" w:type="dxa"/>
            <w:tcBorders>
              <w:tl2br w:val="nil"/>
              <w:tr2bl w:val="nil"/>
            </w:tcBorders>
            <w:vAlign w:val="center"/>
          </w:tcPr>
          <w:p>
            <w:pPr>
              <w:ind w:firstLine="360"/>
              <w:jc w:val="center"/>
              <w:rPr>
                <w:sz w:val="18"/>
                <w:szCs w:val="18"/>
              </w:rPr>
            </w:pPr>
            <w:r>
              <w:rPr>
                <w:rFonts w:hint="eastAsia"/>
                <w:sz w:val="18"/>
                <w:szCs w:val="18"/>
              </w:rPr>
              <w:t>选做</w:t>
            </w:r>
          </w:p>
        </w:tc>
        <w:tc>
          <w:tcPr>
            <w:tcW w:w="1291" w:type="dxa"/>
            <w:tcBorders>
              <w:tl2br w:val="nil"/>
              <w:tr2bl w:val="nil"/>
            </w:tcBorders>
          </w:tcPr>
          <w:p>
            <w:pPr>
              <w:spacing w:line="480" w:lineRule="auto"/>
              <w:jc w:val="both"/>
              <w:rPr>
                <w:sz w:val="18"/>
                <w:szCs w:val="18"/>
              </w:rPr>
            </w:pPr>
            <w:r>
              <w:rPr>
                <w:rFonts w:hint="eastAsia"/>
                <w:sz w:val="18"/>
                <w:szCs w:val="18"/>
                <w:lang w:val="en-US" w:eastAsia="zh-CN"/>
              </w:rPr>
              <w:t>独立完成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09</w:t>
            </w:r>
          </w:p>
        </w:tc>
        <w:tc>
          <w:tcPr>
            <w:tcW w:w="3340" w:type="dxa"/>
            <w:tcBorders>
              <w:tl2br w:val="nil"/>
              <w:tr2bl w:val="nil"/>
            </w:tcBorders>
            <w:vAlign w:val="center"/>
          </w:tcPr>
          <w:p>
            <w:pPr>
              <w:ind w:firstLine="360"/>
              <w:jc w:val="center"/>
              <w:rPr>
                <w:sz w:val="18"/>
                <w:szCs w:val="18"/>
              </w:rPr>
            </w:pPr>
            <w:r>
              <w:rPr>
                <w:rFonts w:hint="eastAsia"/>
                <w:sz w:val="18"/>
                <w:szCs w:val="18"/>
              </w:rPr>
              <w:t>回归与相关</w:t>
            </w:r>
          </w:p>
        </w:tc>
        <w:tc>
          <w:tcPr>
            <w:tcW w:w="725" w:type="dxa"/>
            <w:tcBorders>
              <w:tl2br w:val="nil"/>
              <w:tr2bl w:val="nil"/>
            </w:tcBorders>
            <w:vAlign w:val="center"/>
          </w:tcPr>
          <w:p>
            <w:pPr>
              <w:ind w:firstLine="360"/>
              <w:jc w:val="center"/>
              <w:rPr>
                <w:sz w:val="18"/>
                <w:szCs w:val="18"/>
              </w:rPr>
            </w:pPr>
            <w:r>
              <w:rPr>
                <w:rFonts w:hint="eastAsia"/>
                <w:sz w:val="18"/>
                <w:szCs w:val="18"/>
              </w:rPr>
              <w:t>2</w:t>
            </w:r>
          </w:p>
        </w:tc>
        <w:tc>
          <w:tcPr>
            <w:tcW w:w="1365" w:type="dxa"/>
            <w:tcBorders>
              <w:tl2br w:val="nil"/>
              <w:tr2bl w:val="nil"/>
            </w:tcBorders>
            <w:vAlign w:val="center"/>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综合性</w:t>
            </w:r>
          </w:p>
        </w:tc>
        <w:tc>
          <w:tcPr>
            <w:tcW w:w="1112" w:type="dxa"/>
            <w:tcBorders>
              <w:tl2br w:val="nil"/>
              <w:tr2bl w:val="nil"/>
            </w:tcBorders>
            <w:vAlign w:val="center"/>
          </w:tcPr>
          <w:p>
            <w:pPr>
              <w:ind w:firstLine="360"/>
              <w:jc w:val="center"/>
              <w:rPr>
                <w:sz w:val="18"/>
                <w:szCs w:val="18"/>
              </w:rPr>
            </w:pPr>
            <w:r>
              <w:rPr>
                <w:rFonts w:hint="eastAsia"/>
                <w:sz w:val="18"/>
                <w:szCs w:val="18"/>
              </w:rPr>
              <w:t>选做</w:t>
            </w:r>
          </w:p>
        </w:tc>
        <w:tc>
          <w:tcPr>
            <w:tcW w:w="1291" w:type="dxa"/>
            <w:tcBorders>
              <w:tl2br w:val="nil"/>
              <w:tr2bl w:val="nil"/>
            </w:tcBorders>
          </w:tcPr>
          <w:p>
            <w:pPr>
              <w:spacing w:line="480" w:lineRule="auto"/>
              <w:jc w:val="both"/>
              <w:rPr>
                <w:sz w:val="18"/>
                <w:szCs w:val="18"/>
              </w:rPr>
            </w:pPr>
            <w:r>
              <w:rPr>
                <w:rFonts w:hint="eastAsia"/>
                <w:sz w:val="18"/>
                <w:szCs w:val="18"/>
                <w:lang w:val="en-US" w:eastAsia="zh-CN"/>
              </w:rPr>
              <w:t>独立完成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3" w:type="dxa"/>
            <w:tcBorders>
              <w:tl2br w:val="nil"/>
              <w:tr2bl w:val="nil"/>
            </w:tcBorders>
            <w:vAlign w:val="center"/>
          </w:tcPr>
          <w:p>
            <w:pPr>
              <w:rPr>
                <w:sz w:val="18"/>
                <w:szCs w:val="18"/>
              </w:rPr>
            </w:pPr>
            <w:r>
              <w:rPr>
                <w:sz w:val="18"/>
                <w:szCs w:val="18"/>
              </w:rPr>
              <w:t>19011007h</w:t>
            </w:r>
            <w:r>
              <w:rPr>
                <w:rFonts w:hint="eastAsia"/>
                <w:sz w:val="18"/>
                <w:szCs w:val="18"/>
              </w:rPr>
              <w:t>10</w:t>
            </w:r>
          </w:p>
        </w:tc>
        <w:tc>
          <w:tcPr>
            <w:tcW w:w="3340" w:type="dxa"/>
            <w:tcBorders>
              <w:tl2br w:val="nil"/>
              <w:tr2bl w:val="nil"/>
            </w:tcBorders>
            <w:vAlign w:val="center"/>
          </w:tcPr>
          <w:p>
            <w:pPr>
              <w:ind w:firstLine="360"/>
              <w:jc w:val="center"/>
              <w:rPr>
                <w:sz w:val="18"/>
                <w:szCs w:val="18"/>
              </w:rPr>
            </w:pPr>
            <w:r>
              <w:rPr>
                <w:rFonts w:hint="eastAsia"/>
                <w:sz w:val="18"/>
                <w:szCs w:val="18"/>
              </w:rPr>
              <w:t>其他统计分析软件的应用</w:t>
            </w:r>
          </w:p>
        </w:tc>
        <w:tc>
          <w:tcPr>
            <w:tcW w:w="725" w:type="dxa"/>
            <w:tcBorders>
              <w:tl2br w:val="nil"/>
              <w:tr2bl w:val="nil"/>
            </w:tcBorders>
            <w:vAlign w:val="center"/>
          </w:tcPr>
          <w:p>
            <w:pPr>
              <w:ind w:firstLine="360"/>
              <w:jc w:val="center"/>
              <w:rPr>
                <w:sz w:val="18"/>
                <w:szCs w:val="18"/>
              </w:rPr>
            </w:pPr>
            <w:r>
              <w:rPr>
                <w:rFonts w:hint="eastAsia"/>
                <w:sz w:val="18"/>
                <w:szCs w:val="18"/>
              </w:rPr>
              <w:t>2</w:t>
            </w:r>
          </w:p>
        </w:tc>
        <w:tc>
          <w:tcPr>
            <w:tcW w:w="1365" w:type="dxa"/>
            <w:tcBorders>
              <w:tl2br w:val="nil"/>
              <w:tr2bl w:val="nil"/>
            </w:tcBorders>
            <w:vAlign w:val="center"/>
          </w:tcPr>
          <w:p>
            <w:pPr>
              <w:rPr>
                <w:sz w:val="18"/>
                <w:szCs w:val="18"/>
              </w:rPr>
            </w:pPr>
            <w:r>
              <w:rPr>
                <w:rFonts w:hint="eastAsia"/>
                <w:sz w:val="18"/>
                <w:szCs w:val="18"/>
              </w:rPr>
              <w:t>应用性</w:t>
            </w:r>
          </w:p>
        </w:tc>
        <w:tc>
          <w:tcPr>
            <w:tcW w:w="1112" w:type="dxa"/>
            <w:tcBorders>
              <w:tl2br w:val="nil"/>
              <w:tr2bl w:val="nil"/>
            </w:tcBorders>
            <w:vAlign w:val="center"/>
          </w:tcPr>
          <w:p>
            <w:pPr>
              <w:ind w:firstLine="360"/>
              <w:jc w:val="center"/>
              <w:rPr>
                <w:sz w:val="18"/>
                <w:szCs w:val="18"/>
              </w:rPr>
            </w:pPr>
            <w:r>
              <w:rPr>
                <w:rFonts w:hint="eastAsia"/>
                <w:sz w:val="18"/>
                <w:szCs w:val="18"/>
              </w:rPr>
              <w:t>选做</w:t>
            </w:r>
          </w:p>
        </w:tc>
        <w:tc>
          <w:tcPr>
            <w:tcW w:w="1291" w:type="dxa"/>
            <w:tcBorders>
              <w:tl2br w:val="nil"/>
              <w:tr2bl w:val="nil"/>
            </w:tcBorders>
          </w:tcPr>
          <w:p>
            <w:pPr>
              <w:spacing w:line="480" w:lineRule="auto"/>
              <w:jc w:val="both"/>
              <w:rPr>
                <w:sz w:val="18"/>
                <w:szCs w:val="18"/>
              </w:rPr>
            </w:pPr>
            <w:r>
              <w:rPr>
                <w:rFonts w:hint="eastAsia"/>
                <w:sz w:val="18"/>
                <w:szCs w:val="18"/>
                <w:lang w:val="en-US" w:eastAsia="zh-CN"/>
              </w:rPr>
              <w:t>独立完成</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bCs/>
          <w:szCs w:val="21"/>
        </w:rPr>
      </w:pPr>
      <w:r>
        <w:rPr>
          <w:rFonts w:hint="eastAsia"/>
          <w:szCs w:val="21"/>
        </w:rPr>
        <w:t>本课程实验</w:t>
      </w:r>
      <w:r>
        <w:rPr>
          <w:szCs w:val="21"/>
        </w:rPr>
        <w:t>在多媒体教室或计算机机房</w:t>
      </w:r>
      <w:r>
        <w:rPr>
          <w:rFonts w:hint="eastAsia"/>
          <w:szCs w:val="21"/>
        </w:rPr>
        <w:t>实施并完成</w:t>
      </w:r>
      <w:r>
        <w:rPr>
          <w:szCs w:val="21"/>
        </w:rPr>
        <w:t>，</w:t>
      </w:r>
      <w:r>
        <w:rPr>
          <w:rFonts w:hint="eastAsia"/>
          <w:szCs w:val="21"/>
        </w:rPr>
        <w:t>利用统计</w:t>
      </w:r>
      <w:r>
        <w:rPr>
          <w:szCs w:val="21"/>
        </w:rPr>
        <w:t>计算器</w:t>
      </w:r>
      <w:r>
        <w:rPr>
          <w:rFonts w:hint="eastAsia"/>
          <w:szCs w:val="21"/>
        </w:rPr>
        <w:t>、</w:t>
      </w:r>
      <w:r>
        <w:rPr>
          <w:szCs w:val="21"/>
        </w:rPr>
        <w:t>计算</w:t>
      </w:r>
      <w:r>
        <w:rPr>
          <w:rFonts w:hint="eastAsia"/>
          <w:szCs w:val="21"/>
        </w:rPr>
        <w:t xml:space="preserve"> </w:t>
      </w:r>
      <w:r>
        <w:rPr>
          <w:szCs w:val="21"/>
        </w:rPr>
        <w:t>机</w:t>
      </w:r>
      <w:r>
        <w:rPr>
          <w:rFonts w:hint="eastAsia"/>
          <w:szCs w:val="21"/>
        </w:rPr>
        <w:t>等设备，应用统计相关等软件，</w:t>
      </w:r>
      <w:r>
        <w:rPr>
          <w:rFonts w:hint="eastAsia" w:ascii="宋体" w:hAnsi="宋体"/>
          <w:bCs/>
          <w:szCs w:val="21"/>
        </w:rPr>
        <w:t>独立或协作完成相关试验项目；</w:t>
      </w:r>
      <w:r>
        <w:rPr>
          <w:rFonts w:hint="eastAsia"/>
        </w:rPr>
        <w:t>科学合理进行数据整理与分析，获得正确的结果，并撰写步骤完整、条理清晰、表达规范、整洁美观的实验报告。</w:t>
      </w:r>
      <w:r>
        <w:rPr>
          <w:rFonts w:hint="eastAsia" w:ascii="宋体" w:hAnsi="宋体"/>
          <w:bCs/>
          <w:szCs w:val="21"/>
        </w:rPr>
        <w:t>线上实践、翻转课堂、课堂讨论、报告答辩等需要老师引导、点评。</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ind w:firstLine="422"/>
        <w:rPr>
          <w:rFonts w:ascii="宋体" w:hAnsi="宋体" w:eastAsia="宋体" w:cs="宋体"/>
          <w:b/>
          <w:sz w:val="21"/>
          <w:szCs w:val="21"/>
        </w:rPr>
      </w:pPr>
      <w:r>
        <w:rPr>
          <w:rFonts w:hint="eastAsia"/>
          <w:b/>
          <w:sz w:val="21"/>
          <w:szCs w:val="21"/>
        </w:rPr>
        <w:t>【</w:t>
      </w:r>
      <w:r>
        <w:rPr>
          <w:rFonts w:ascii="Times New Roman" w:hAnsi="Times New Roman" w:eastAsia="宋体" w:cs="Times New Roman"/>
          <w:b/>
          <w:sz w:val="21"/>
          <w:szCs w:val="21"/>
        </w:rPr>
        <w:t>实验</w:t>
      </w:r>
      <w:r>
        <w:rPr>
          <w:rFonts w:hint="eastAsia" w:ascii="Times New Roman" w:hAnsi="Times New Roman" w:eastAsia="宋体" w:cs="Times New Roman"/>
          <w:b/>
          <w:sz w:val="21"/>
          <w:szCs w:val="21"/>
        </w:rPr>
        <w:t>一</w:t>
      </w:r>
      <w:r>
        <w:rPr>
          <w:rFonts w:hint="eastAsia"/>
          <w:b/>
          <w:sz w:val="21"/>
          <w:szCs w:val="21"/>
        </w:rPr>
        <w:t>】</w:t>
      </w:r>
      <w:r>
        <w:rPr>
          <w:rFonts w:hint="eastAsia" w:ascii="宋体" w:hAnsi="宋体" w:eastAsia="宋体" w:cs="宋体"/>
          <w:b/>
          <w:sz w:val="21"/>
          <w:szCs w:val="21"/>
        </w:rPr>
        <w:t>研究课题选择与试验计划的拟定</w:t>
      </w:r>
    </w:p>
    <w:p>
      <w:pPr>
        <w:snapToGrid w:val="0"/>
        <w:spacing w:line="360" w:lineRule="auto"/>
        <w:ind w:firstLine="422" w:firstLineChars="200"/>
        <w:rPr>
          <w:bCs/>
        </w:rPr>
      </w:pPr>
      <w:r>
        <w:rPr>
          <w:b/>
          <w:szCs w:val="21"/>
        </w:rPr>
        <w:t>1.实验学时：</w:t>
      </w:r>
      <w:r>
        <w:rPr>
          <w:bCs/>
        </w:rPr>
        <w:t>4</w:t>
      </w:r>
    </w:p>
    <w:p>
      <w:pPr>
        <w:snapToGrid w:val="0"/>
        <w:spacing w:line="360" w:lineRule="auto"/>
        <w:ind w:firstLine="422" w:firstLineChars="200"/>
      </w:pPr>
      <w:r>
        <w:rPr>
          <w:b/>
          <w:szCs w:val="21"/>
        </w:rPr>
        <w:t>2.实验目的：</w:t>
      </w:r>
      <w:r>
        <w:t>掌握试验计划书的选题、资料收集及</w:t>
      </w:r>
      <w:r>
        <w:rPr>
          <w:rFonts w:hint="eastAsia"/>
        </w:rPr>
        <w:t>撰</w:t>
      </w:r>
      <w:r>
        <w:t>写。</w:t>
      </w:r>
    </w:p>
    <w:p>
      <w:pPr>
        <w:snapToGrid w:val="0"/>
        <w:spacing w:line="360" w:lineRule="auto"/>
        <w:ind w:firstLine="422" w:firstLineChars="200"/>
      </w:pPr>
      <w:r>
        <w:rPr>
          <w:b/>
          <w:szCs w:val="21"/>
        </w:rPr>
        <w:t>3.实验内容：</w:t>
      </w:r>
      <w:r>
        <w:rPr>
          <w:rFonts w:hint="eastAsia"/>
          <w:bCs/>
          <w:szCs w:val="21"/>
        </w:rPr>
        <w:t>完成选题、资料收集和试验计划书撰写，通过小组讨论评比和翻转课堂</w:t>
      </w:r>
      <w:r>
        <w:rPr>
          <w:bCs/>
          <w:szCs w:val="21"/>
        </w:rPr>
        <w:t>对</w:t>
      </w:r>
      <w:r>
        <w:rPr>
          <w:szCs w:val="21"/>
        </w:rPr>
        <w:t>其拟定的试验计划进行演示</w:t>
      </w:r>
      <w:r>
        <w:rPr>
          <w:rFonts w:hint="eastAsia"/>
          <w:szCs w:val="21"/>
        </w:rPr>
        <w:t>和答辩，</w:t>
      </w:r>
      <w:r>
        <w:rPr>
          <w:szCs w:val="21"/>
        </w:rPr>
        <w:t>指导教师进行点评</w:t>
      </w:r>
      <w:r>
        <w:t>。</w:t>
      </w:r>
    </w:p>
    <w:p>
      <w:pPr>
        <w:snapToGrid w:val="0"/>
        <w:spacing w:line="360" w:lineRule="auto"/>
        <w:ind w:firstLine="422" w:firstLineChars="200"/>
        <w:rPr>
          <w:bCs/>
          <w:szCs w:val="21"/>
        </w:rPr>
      </w:pPr>
      <w:r>
        <w:rPr>
          <w:b/>
          <w:szCs w:val="21"/>
        </w:rPr>
        <w:t>4.实验要求：</w:t>
      </w:r>
      <w:r>
        <w:rPr>
          <w:rFonts w:hAnsi="宋体"/>
          <w:szCs w:val="21"/>
        </w:rPr>
        <w:t>计划书</w:t>
      </w:r>
      <w:r>
        <w:rPr>
          <w:rFonts w:hint="eastAsia" w:hAnsi="宋体"/>
          <w:szCs w:val="21"/>
        </w:rPr>
        <w:t>选题有实际意义，方案合理，设计正确，</w:t>
      </w:r>
      <w:r>
        <w:rPr>
          <w:rFonts w:hAnsi="宋体"/>
          <w:szCs w:val="21"/>
        </w:rPr>
        <w:t>格式规范，PPT制作简洁</w:t>
      </w:r>
      <w:r>
        <w:rPr>
          <w:rFonts w:hint="eastAsia" w:hAnsi="宋体"/>
          <w:szCs w:val="21"/>
        </w:rPr>
        <w:t>美观</w:t>
      </w:r>
      <w:r>
        <w:rPr>
          <w:rFonts w:hAnsi="宋体"/>
          <w:szCs w:val="21"/>
        </w:rPr>
        <w:t>，</w:t>
      </w:r>
      <w:r>
        <w:rPr>
          <w:rFonts w:hint="eastAsia" w:hAnsi="宋体"/>
          <w:szCs w:val="21"/>
        </w:rPr>
        <w:t>表达准确，</w:t>
      </w:r>
      <w:r>
        <w:rPr>
          <w:rFonts w:hAnsi="宋体"/>
          <w:szCs w:val="21"/>
        </w:rPr>
        <w:t>讲解清晰</w:t>
      </w:r>
      <w:r>
        <w:rPr>
          <w:rFonts w:hint="eastAsia" w:hAnsi="宋体"/>
          <w:szCs w:val="21"/>
        </w:rPr>
        <w:t>，组员协作完成答辩</w:t>
      </w:r>
      <w:r>
        <w:rPr>
          <w:rFonts w:hAnsi="宋体"/>
          <w:szCs w:val="21"/>
        </w:rPr>
        <w:t>。</w:t>
      </w:r>
    </w:p>
    <w:p>
      <w:pPr>
        <w:snapToGrid w:val="0"/>
        <w:spacing w:line="360" w:lineRule="auto"/>
        <w:ind w:firstLine="422" w:firstLineChars="200"/>
        <w:rPr>
          <w:bCs/>
          <w:szCs w:val="21"/>
        </w:rPr>
      </w:pPr>
      <w:r>
        <w:rPr>
          <w:b/>
          <w:szCs w:val="21"/>
        </w:rPr>
        <w:t>5.实验设备及器材：</w:t>
      </w:r>
      <w:r>
        <w:rPr>
          <w:bCs/>
          <w:szCs w:val="21"/>
        </w:rPr>
        <w:t>多媒体</w:t>
      </w:r>
      <w:r>
        <w:rPr>
          <w:rFonts w:hint="eastAsia"/>
          <w:bCs/>
          <w:szCs w:val="21"/>
        </w:rPr>
        <w:t>、计算机等</w:t>
      </w:r>
      <w:r>
        <w:rPr>
          <w:bCs/>
          <w:szCs w:val="21"/>
        </w:rPr>
        <w:t>。</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w:t>
      </w:r>
      <w:r>
        <w:rPr>
          <w:rFonts w:hint="eastAsia" w:ascii="Times New Roman" w:hAnsi="Times New Roman" w:eastAsia="宋体" w:cs="Times New Roman"/>
          <w:b/>
          <w:sz w:val="21"/>
          <w:szCs w:val="21"/>
        </w:rPr>
        <w:t>二</w:t>
      </w:r>
      <w:r>
        <w:rPr>
          <w:rFonts w:ascii="Times New Roman" w:hAnsi="Times New Roman" w:eastAsia="宋体" w:cs="Times New Roman"/>
          <w:b/>
          <w:sz w:val="21"/>
          <w:szCs w:val="21"/>
        </w:rPr>
        <w:t>】</w:t>
      </w:r>
      <w:r>
        <w:rPr>
          <w:rFonts w:hint="eastAsia" w:ascii="Times New Roman" w:hAnsi="Times New Roman" w:eastAsia="宋体" w:cs="Times New Roman"/>
          <w:b/>
          <w:sz w:val="21"/>
          <w:szCs w:val="21"/>
        </w:rPr>
        <w:t>研究资料的收集与数据库的应用</w:t>
      </w:r>
    </w:p>
    <w:p>
      <w:pPr>
        <w:snapToGrid w:val="0"/>
        <w:spacing w:line="360" w:lineRule="auto"/>
        <w:ind w:firstLine="422" w:firstLineChars="200"/>
        <w:rPr>
          <w:bCs/>
        </w:rPr>
      </w:pPr>
      <w:r>
        <w:rPr>
          <w:b/>
          <w:szCs w:val="21"/>
        </w:rPr>
        <w:t>1.实验学时：</w:t>
      </w:r>
      <w:r>
        <w:rPr>
          <w:bCs/>
        </w:rPr>
        <w:t>2</w:t>
      </w:r>
    </w:p>
    <w:p>
      <w:pPr>
        <w:snapToGrid w:val="0"/>
        <w:spacing w:line="360" w:lineRule="auto"/>
        <w:ind w:firstLine="422" w:firstLineChars="200"/>
      </w:pPr>
      <w:r>
        <w:rPr>
          <w:b/>
          <w:szCs w:val="21"/>
        </w:rPr>
        <w:t>2.实验目的：</w:t>
      </w:r>
      <w:r>
        <w:rPr>
          <w:rFonts w:hint="eastAsia"/>
        </w:rPr>
        <w:t>熟悉常用数据库，</w:t>
      </w:r>
      <w:r>
        <w:t>掌握</w:t>
      </w:r>
      <w:r>
        <w:rPr>
          <w:rFonts w:hint="eastAsia"/>
        </w:rPr>
        <w:t>文献资料的检索方法</w:t>
      </w:r>
      <w:r>
        <w:t>。</w:t>
      </w:r>
    </w:p>
    <w:p>
      <w:pPr>
        <w:snapToGrid w:val="0"/>
        <w:spacing w:line="360" w:lineRule="auto"/>
        <w:ind w:firstLine="422" w:firstLineChars="200"/>
      </w:pPr>
      <w:r>
        <w:rPr>
          <w:b/>
          <w:szCs w:val="21"/>
        </w:rPr>
        <w:t>3.实验内容：</w:t>
      </w:r>
      <w:r>
        <w:rPr>
          <w:rFonts w:hint="eastAsia"/>
          <w:szCs w:val="21"/>
        </w:rPr>
        <w:t>通过线上自学的方式了解常用数据库及文献资料的检索方法，完成文献资料的查找。</w:t>
      </w:r>
    </w:p>
    <w:p>
      <w:pPr>
        <w:snapToGrid w:val="0"/>
        <w:spacing w:line="360" w:lineRule="auto"/>
        <w:ind w:firstLine="422" w:firstLineChars="200"/>
        <w:rPr>
          <w:bCs/>
          <w:szCs w:val="21"/>
        </w:rPr>
      </w:pPr>
      <w:r>
        <w:rPr>
          <w:b/>
          <w:szCs w:val="21"/>
        </w:rPr>
        <w:t>4.实验要求：</w:t>
      </w:r>
      <w:r>
        <w:rPr>
          <w:rFonts w:hint="eastAsia" w:hAnsi="宋体"/>
          <w:szCs w:val="21"/>
        </w:rPr>
        <w:t>通过不同数据库进行文献资料的检索，分析及筛选</w:t>
      </w:r>
      <w:r>
        <w:rPr>
          <w:rFonts w:hAnsi="宋体"/>
          <w:szCs w:val="21"/>
        </w:rPr>
        <w:t>。</w:t>
      </w:r>
    </w:p>
    <w:p>
      <w:pPr>
        <w:snapToGrid w:val="0"/>
        <w:spacing w:line="360" w:lineRule="auto"/>
        <w:ind w:firstLine="422" w:firstLineChars="200"/>
        <w:rPr>
          <w:bCs/>
          <w:szCs w:val="21"/>
        </w:rPr>
      </w:pPr>
      <w:r>
        <w:rPr>
          <w:b/>
          <w:szCs w:val="21"/>
        </w:rPr>
        <w:t>5.实验设备及器材：</w:t>
      </w:r>
      <w:r>
        <w:rPr>
          <w:bCs/>
          <w:szCs w:val="21"/>
        </w:rPr>
        <w:t>多媒体</w:t>
      </w:r>
      <w:r>
        <w:rPr>
          <w:rFonts w:hint="eastAsia"/>
          <w:bCs/>
          <w:szCs w:val="21"/>
        </w:rPr>
        <w:t>、计算机等</w:t>
      </w:r>
      <w:r>
        <w:rPr>
          <w:bCs/>
          <w:szCs w:val="21"/>
        </w:rPr>
        <w:t>。</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w:t>
      </w:r>
      <w:r>
        <w:rPr>
          <w:rFonts w:hint="eastAsia" w:ascii="Times New Roman" w:hAnsi="Times New Roman" w:eastAsia="宋体" w:cs="Times New Roman"/>
          <w:b/>
          <w:sz w:val="21"/>
          <w:szCs w:val="21"/>
        </w:rPr>
        <w:t>三</w:t>
      </w:r>
      <w:r>
        <w:rPr>
          <w:rFonts w:ascii="Times New Roman" w:hAnsi="Times New Roman" w:eastAsia="宋体" w:cs="Times New Roman"/>
          <w:b/>
          <w:sz w:val="21"/>
          <w:szCs w:val="21"/>
        </w:rPr>
        <w:t>】试验设计</w:t>
      </w:r>
    </w:p>
    <w:p>
      <w:pPr>
        <w:snapToGrid w:val="0"/>
        <w:spacing w:line="360" w:lineRule="auto"/>
        <w:ind w:firstLine="422" w:firstLineChars="200"/>
        <w:rPr>
          <w:bCs/>
        </w:rPr>
      </w:pPr>
      <w:r>
        <w:rPr>
          <w:b/>
          <w:szCs w:val="21"/>
        </w:rPr>
        <w:t>1.实验学时：</w:t>
      </w:r>
      <w:r>
        <w:rPr>
          <w:bCs/>
        </w:rPr>
        <w:t>2</w:t>
      </w:r>
    </w:p>
    <w:p>
      <w:pPr>
        <w:snapToGrid w:val="0"/>
        <w:spacing w:line="360" w:lineRule="auto"/>
        <w:ind w:firstLine="422" w:firstLineChars="200"/>
      </w:pPr>
      <w:r>
        <w:rPr>
          <w:b/>
          <w:szCs w:val="21"/>
        </w:rPr>
        <w:t>2.实验目的：</w:t>
      </w:r>
      <w:r>
        <w:t>学习和掌握常用试验设计方法在园艺作物</w:t>
      </w:r>
      <w:r>
        <w:rPr>
          <w:rFonts w:hint="eastAsia"/>
        </w:rPr>
        <w:t>研究</w:t>
      </w:r>
      <w:r>
        <w:t>中的应用。</w:t>
      </w:r>
    </w:p>
    <w:p>
      <w:pPr>
        <w:snapToGrid w:val="0"/>
        <w:spacing w:line="360" w:lineRule="auto"/>
        <w:ind w:firstLine="422" w:firstLineChars="200"/>
        <w:rPr>
          <w:bCs/>
          <w:szCs w:val="21"/>
        </w:rPr>
      </w:pPr>
      <w:r>
        <w:rPr>
          <w:b/>
          <w:szCs w:val="21"/>
        </w:rPr>
        <w:t>3.实验内容：</w:t>
      </w:r>
      <w:r>
        <w:rPr>
          <w:bCs/>
          <w:szCs w:val="21"/>
        </w:rPr>
        <w:t>利用</w:t>
      </w:r>
      <w:r>
        <w:rPr>
          <w:rFonts w:hAnsi="宋体"/>
          <w:bCs/>
          <w:szCs w:val="21"/>
        </w:rPr>
        <w:t>对比法、完全随机、随机区组、拉丁方、裂区试验设计</w:t>
      </w:r>
      <w:r>
        <w:rPr>
          <w:rFonts w:hint="eastAsia" w:hAnsi="宋体"/>
          <w:bCs/>
          <w:szCs w:val="21"/>
        </w:rPr>
        <w:t>等</w:t>
      </w:r>
      <w:r>
        <w:rPr>
          <w:bCs/>
          <w:szCs w:val="21"/>
        </w:rPr>
        <w:t>常用试验设计方</w:t>
      </w:r>
      <w:r>
        <w:rPr>
          <w:rFonts w:hint="eastAsia"/>
          <w:bCs/>
          <w:szCs w:val="21"/>
        </w:rPr>
        <w:t>法进行</w:t>
      </w:r>
      <w:r>
        <w:rPr>
          <w:bCs/>
          <w:szCs w:val="21"/>
        </w:rPr>
        <w:t>设计</w:t>
      </w:r>
      <w:r>
        <w:rPr>
          <w:rFonts w:hint="eastAsia"/>
          <w:bCs/>
          <w:szCs w:val="21"/>
        </w:rPr>
        <w:t>，讨论实验报告中存在的问题</w:t>
      </w:r>
      <w:r>
        <w:rPr>
          <w:bCs/>
          <w:szCs w:val="21"/>
        </w:rPr>
        <w:t>。</w:t>
      </w:r>
    </w:p>
    <w:p>
      <w:pPr>
        <w:snapToGrid w:val="0"/>
        <w:spacing w:line="360" w:lineRule="auto"/>
        <w:ind w:firstLine="422" w:firstLineChars="200"/>
        <w:rPr>
          <w:rFonts w:hAnsi="宋体"/>
          <w:bCs/>
          <w:szCs w:val="21"/>
        </w:rPr>
      </w:pPr>
      <w:r>
        <w:rPr>
          <w:b/>
          <w:szCs w:val="21"/>
        </w:rPr>
        <w:t>4.实验要求：</w:t>
      </w:r>
      <w:r>
        <w:rPr>
          <w:rFonts w:hAnsi="宋体"/>
          <w:bCs/>
          <w:szCs w:val="21"/>
        </w:rPr>
        <w:t>根据实验内容提供的条件绘制试验小区排列图，独立完成实验报告</w:t>
      </w:r>
      <w:r>
        <w:rPr>
          <w:rFonts w:hint="eastAsia" w:hAnsi="宋体"/>
          <w:bCs/>
          <w:szCs w:val="21"/>
        </w:rPr>
        <w:t>，积极思考，主动参与</w:t>
      </w:r>
      <w:r>
        <w:rPr>
          <w:rFonts w:hAnsi="宋体"/>
          <w:bCs/>
          <w:szCs w:val="21"/>
        </w:rPr>
        <w:t>。</w:t>
      </w:r>
    </w:p>
    <w:p>
      <w:pPr>
        <w:snapToGrid w:val="0"/>
        <w:spacing w:line="360" w:lineRule="auto"/>
        <w:ind w:firstLine="422" w:firstLineChars="200"/>
        <w:rPr>
          <w:rFonts w:ascii="宋体" w:hAnsi="宋体"/>
          <w:bCs/>
          <w:szCs w:val="21"/>
        </w:rPr>
      </w:pPr>
      <w:r>
        <w:rPr>
          <w:b/>
          <w:szCs w:val="21"/>
        </w:rPr>
        <w:t>5.实验设备及器材：</w:t>
      </w:r>
      <w:r>
        <w:rPr>
          <w:rFonts w:hint="eastAsia"/>
          <w:bCs/>
          <w:szCs w:val="21"/>
        </w:rPr>
        <w:t>多媒体、</w:t>
      </w:r>
      <w:r>
        <w:rPr>
          <w:bCs/>
          <w:szCs w:val="21"/>
        </w:rPr>
        <w:t>试验报告纸、直尺</w:t>
      </w:r>
      <w:r>
        <w:rPr>
          <w:rFonts w:hint="eastAsia"/>
          <w:bCs/>
          <w:szCs w:val="21"/>
        </w:rPr>
        <w:t>等</w:t>
      </w:r>
      <w:r>
        <w:rPr>
          <w:bCs/>
          <w:szCs w:val="21"/>
        </w:rPr>
        <w:t>。</w:t>
      </w:r>
    </w:p>
    <w:p>
      <w:pPr>
        <w:pStyle w:val="20"/>
        <w:snapToGrid w:val="0"/>
        <w:spacing w:before="0" w:beforeAutospacing="0" w:after="0" w:afterAutospacing="0" w:line="360" w:lineRule="auto"/>
        <w:ind w:firstLine="422"/>
        <w:rPr>
          <w:rFonts w:ascii="宋体" w:hAnsi="宋体" w:eastAsia="宋体" w:cs="宋体"/>
          <w:b/>
          <w:sz w:val="21"/>
          <w:szCs w:val="21"/>
        </w:rPr>
      </w:pPr>
      <w:r>
        <w:rPr>
          <w:rFonts w:hint="eastAsia"/>
          <w:b/>
          <w:sz w:val="21"/>
          <w:szCs w:val="21"/>
        </w:rPr>
        <w:t>【</w:t>
      </w:r>
      <w:r>
        <w:rPr>
          <w:rFonts w:ascii="Times New Roman" w:hAnsi="Times New Roman" w:eastAsia="宋体" w:cs="Times New Roman"/>
          <w:b/>
          <w:sz w:val="21"/>
          <w:szCs w:val="21"/>
        </w:rPr>
        <w:t>实验</w:t>
      </w:r>
      <w:r>
        <w:rPr>
          <w:rFonts w:hint="eastAsia" w:ascii="Times New Roman" w:hAnsi="Times New Roman" w:eastAsia="宋体" w:cs="Times New Roman"/>
          <w:b/>
          <w:sz w:val="21"/>
          <w:szCs w:val="21"/>
        </w:rPr>
        <w:t>四</w:t>
      </w:r>
      <w:r>
        <w:rPr>
          <w:rFonts w:hint="eastAsia"/>
          <w:b/>
          <w:sz w:val="21"/>
          <w:szCs w:val="21"/>
        </w:rPr>
        <w:t>】</w:t>
      </w:r>
      <w:r>
        <w:rPr>
          <w:rFonts w:hint="eastAsia" w:ascii="宋体" w:hAnsi="宋体" w:eastAsia="宋体" w:cs="宋体"/>
          <w:b/>
          <w:sz w:val="21"/>
          <w:szCs w:val="21"/>
        </w:rPr>
        <w:t>描述统计与图表制作</w:t>
      </w:r>
    </w:p>
    <w:p>
      <w:pPr>
        <w:snapToGrid w:val="0"/>
        <w:spacing w:line="360" w:lineRule="auto"/>
        <w:ind w:firstLine="422" w:firstLineChars="200"/>
        <w:rPr>
          <w:bCs/>
        </w:rPr>
      </w:pPr>
      <w:r>
        <w:rPr>
          <w:b/>
          <w:szCs w:val="21"/>
        </w:rPr>
        <w:t>1.实验学时：</w:t>
      </w:r>
      <w:r>
        <w:rPr>
          <w:bCs/>
        </w:rPr>
        <w:t>4</w:t>
      </w:r>
    </w:p>
    <w:p>
      <w:pPr>
        <w:snapToGrid w:val="0"/>
        <w:spacing w:line="360" w:lineRule="auto"/>
        <w:ind w:firstLine="422" w:firstLineChars="200"/>
      </w:pPr>
      <w:r>
        <w:rPr>
          <w:b/>
          <w:szCs w:val="21"/>
        </w:rPr>
        <w:t>2.实验目的：</w:t>
      </w:r>
      <w:r>
        <w:rPr>
          <w:rFonts w:hAnsi="宋体"/>
          <w:bCs/>
          <w:szCs w:val="21"/>
        </w:rPr>
        <w:t>了解和掌握试验数据的基本整理方法、</w:t>
      </w:r>
      <w:r>
        <w:rPr>
          <w:rFonts w:hAnsi="宋体"/>
          <w:szCs w:val="21"/>
        </w:rPr>
        <w:t>资料平均数和变异数的计算</w:t>
      </w:r>
      <w:r>
        <w:rPr>
          <w:rFonts w:hint="eastAsia" w:hAnsi="宋体"/>
          <w:szCs w:val="21"/>
        </w:rPr>
        <w:t>、其他统计函数的计算、以及图表的一般格式和制作方法</w:t>
      </w:r>
      <w:r>
        <w:rPr>
          <w:rFonts w:hAnsi="宋体"/>
          <w:bCs/>
          <w:szCs w:val="21"/>
        </w:rPr>
        <w:t>。</w:t>
      </w:r>
    </w:p>
    <w:p>
      <w:pPr>
        <w:snapToGrid w:val="0"/>
        <w:spacing w:line="360" w:lineRule="auto"/>
        <w:ind w:firstLine="422" w:firstLineChars="200"/>
      </w:pPr>
      <w:r>
        <w:rPr>
          <w:b/>
          <w:szCs w:val="21"/>
        </w:rPr>
        <w:t>3.实验内容：</w:t>
      </w:r>
      <w:r>
        <w:t>将连续性变数资料整理成次数分布表和次数分布图的方法；</w:t>
      </w:r>
      <w:r>
        <w:rPr>
          <w:rFonts w:hint="eastAsia"/>
        </w:rPr>
        <w:t>使用统计</w:t>
      </w:r>
      <w:r>
        <w:t>计算器</w:t>
      </w:r>
      <w:r>
        <w:rPr>
          <w:rFonts w:hint="eastAsia"/>
        </w:rPr>
        <w:t>及Excel软件进行</w:t>
      </w:r>
      <w:r>
        <w:t>平均数和标准差</w:t>
      </w:r>
      <w:r>
        <w:rPr>
          <w:rFonts w:hint="eastAsia"/>
        </w:rPr>
        <w:t>及其他统计函数</w:t>
      </w:r>
      <w:r>
        <w:t>的计算</w:t>
      </w:r>
      <w:r>
        <w:rPr>
          <w:rFonts w:hint="eastAsia"/>
        </w:rPr>
        <w:t>；掌握图表的一般格式，通过作图软件完成一般图表制作。</w:t>
      </w:r>
    </w:p>
    <w:p>
      <w:pPr>
        <w:snapToGrid w:val="0"/>
        <w:spacing w:line="360" w:lineRule="auto"/>
        <w:ind w:firstLine="422" w:firstLineChars="200"/>
        <w:rPr>
          <w:bCs/>
          <w:szCs w:val="21"/>
        </w:rPr>
      </w:pPr>
      <w:r>
        <w:rPr>
          <w:b/>
          <w:szCs w:val="21"/>
        </w:rPr>
        <w:t>4.实验要求：</w:t>
      </w:r>
      <w:r>
        <w:rPr>
          <w:rFonts w:hint="eastAsia"/>
          <w:bCs/>
          <w:szCs w:val="21"/>
        </w:rPr>
        <w:t>掌握试验结果资料整理和图表制作的一般方法，</w:t>
      </w:r>
      <w:r>
        <w:rPr>
          <w:bCs/>
          <w:szCs w:val="21"/>
        </w:rPr>
        <w:t>实验步骤清晰，计算</w:t>
      </w:r>
      <w:r>
        <w:rPr>
          <w:rFonts w:hint="eastAsia"/>
          <w:bCs/>
          <w:szCs w:val="21"/>
        </w:rPr>
        <w:t>正</w:t>
      </w:r>
      <w:r>
        <w:rPr>
          <w:bCs/>
          <w:szCs w:val="21"/>
        </w:rPr>
        <w:t>确，书写工整，</w:t>
      </w:r>
      <w:r>
        <w:rPr>
          <w:rFonts w:hint="eastAsia"/>
          <w:bCs/>
          <w:szCs w:val="21"/>
        </w:rPr>
        <w:t>图表</w:t>
      </w:r>
      <w:r>
        <w:rPr>
          <w:bCs/>
          <w:szCs w:val="21"/>
        </w:rPr>
        <w:t>规范。</w:t>
      </w:r>
    </w:p>
    <w:p>
      <w:pPr>
        <w:snapToGrid w:val="0"/>
        <w:spacing w:line="360" w:lineRule="auto"/>
        <w:ind w:firstLine="422" w:firstLineChars="200"/>
        <w:rPr>
          <w:b/>
          <w:szCs w:val="21"/>
          <w:highlight w:val="yellow"/>
        </w:rPr>
      </w:pPr>
      <w:r>
        <w:rPr>
          <w:b/>
          <w:szCs w:val="21"/>
        </w:rPr>
        <w:t>5.实验设备及器材：</w:t>
      </w:r>
      <w:r>
        <w:rPr>
          <w:rFonts w:hint="eastAsia"/>
          <w:bCs/>
          <w:szCs w:val="21"/>
        </w:rPr>
        <w:t>计算机、统计</w:t>
      </w:r>
      <w:r>
        <w:rPr>
          <w:bCs/>
          <w:szCs w:val="21"/>
        </w:rPr>
        <w:t>计算器</w:t>
      </w:r>
      <w:r>
        <w:rPr>
          <w:rFonts w:hint="eastAsia"/>
          <w:bCs/>
          <w:szCs w:val="21"/>
        </w:rPr>
        <w:t>、</w:t>
      </w:r>
      <w:r>
        <w:rPr>
          <w:bCs/>
          <w:szCs w:val="21"/>
        </w:rPr>
        <w:t>试验报告纸、直尺。</w:t>
      </w:r>
    </w:p>
    <w:p>
      <w:pPr>
        <w:pStyle w:val="20"/>
        <w:snapToGrid w:val="0"/>
        <w:spacing w:before="0" w:beforeAutospacing="0" w:after="0" w:afterAutospacing="0" w:line="360" w:lineRule="auto"/>
        <w:ind w:firstLine="422"/>
        <w:rPr>
          <w:rFonts w:ascii="宋体" w:hAnsi="宋体" w:eastAsia="宋体" w:cs="宋体"/>
          <w:b/>
          <w:sz w:val="21"/>
          <w:szCs w:val="21"/>
        </w:rPr>
      </w:pPr>
      <w:r>
        <w:rPr>
          <w:rFonts w:hint="eastAsia"/>
          <w:b/>
          <w:sz w:val="21"/>
          <w:szCs w:val="21"/>
        </w:rPr>
        <w:t>【</w:t>
      </w:r>
      <w:r>
        <w:rPr>
          <w:rFonts w:ascii="Times New Roman" w:hAnsi="Times New Roman" w:eastAsia="宋体" w:cs="Times New Roman"/>
          <w:b/>
          <w:sz w:val="21"/>
          <w:szCs w:val="21"/>
        </w:rPr>
        <w:t>实验</w:t>
      </w:r>
      <w:r>
        <w:rPr>
          <w:rFonts w:hint="eastAsia" w:ascii="Times New Roman" w:hAnsi="Times New Roman" w:eastAsia="宋体" w:cs="Times New Roman"/>
          <w:b/>
          <w:sz w:val="21"/>
          <w:szCs w:val="21"/>
        </w:rPr>
        <w:t>五</w:t>
      </w:r>
      <w:r>
        <w:rPr>
          <w:rFonts w:hint="eastAsia"/>
          <w:b/>
          <w:sz w:val="21"/>
          <w:szCs w:val="21"/>
        </w:rPr>
        <w:t>】</w:t>
      </w:r>
      <w:r>
        <w:rPr>
          <w:rFonts w:ascii="Times New Roman" w:hAnsi="Times New Roman" w:eastAsia="宋体" w:cs="Times New Roman"/>
          <w:b/>
          <w:sz w:val="21"/>
          <w:szCs w:val="21"/>
        </w:rPr>
        <w:t>统计假设检验</w:t>
      </w:r>
    </w:p>
    <w:p>
      <w:pPr>
        <w:snapToGrid w:val="0"/>
        <w:spacing w:line="360" w:lineRule="auto"/>
        <w:ind w:firstLine="422" w:firstLineChars="200"/>
        <w:rPr>
          <w:bCs/>
        </w:rPr>
      </w:pPr>
      <w:r>
        <w:rPr>
          <w:b/>
          <w:szCs w:val="21"/>
        </w:rPr>
        <w:t>1.实验学时：</w:t>
      </w:r>
      <w:r>
        <w:rPr>
          <w:bCs/>
        </w:rPr>
        <w:t>4</w:t>
      </w:r>
    </w:p>
    <w:p>
      <w:pPr>
        <w:snapToGrid w:val="0"/>
        <w:spacing w:line="360" w:lineRule="auto"/>
        <w:ind w:firstLine="422" w:firstLineChars="200"/>
      </w:pPr>
      <w:r>
        <w:rPr>
          <w:b/>
          <w:szCs w:val="21"/>
        </w:rPr>
        <w:t>2.实验目的：</w:t>
      </w:r>
      <w:r>
        <w:t>掌握统计假设检验的步骤和方法</w:t>
      </w:r>
      <w:r>
        <w:rPr>
          <w:rFonts w:hint="eastAsia"/>
        </w:rPr>
        <w:t>；能够正确选择应用u检验或t检验、一尾检验或两尾检验</w:t>
      </w:r>
      <w:r>
        <w:t>对单个样本和两个样本平均数进行</w:t>
      </w:r>
      <w:r>
        <w:rPr>
          <w:rFonts w:hint="eastAsia"/>
        </w:rPr>
        <w:t>分析</w:t>
      </w:r>
      <w:r>
        <w:t>。</w:t>
      </w:r>
    </w:p>
    <w:p>
      <w:pPr>
        <w:snapToGrid w:val="0"/>
        <w:spacing w:line="360" w:lineRule="auto"/>
        <w:ind w:firstLine="422" w:firstLineChars="200"/>
        <w:rPr>
          <w:bCs/>
          <w:szCs w:val="21"/>
        </w:rPr>
      </w:pPr>
      <w:r>
        <w:rPr>
          <w:b/>
          <w:szCs w:val="21"/>
        </w:rPr>
        <w:t>3.实验内容：</w:t>
      </w:r>
      <w:r>
        <w:t>对</w:t>
      </w:r>
      <w:r>
        <w:rPr>
          <w:rFonts w:hint="eastAsia"/>
        </w:rPr>
        <w:t>不同情形下</w:t>
      </w:r>
      <w:r>
        <w:t>单个样本和两个样本平均数进行统计假设检验</w:t>
      </w:r>
      <w:r>
        <w:rPr>
          <w:rFonts w:hint="eastAsia"/>
        </w:rPr>
        <w:t>，利用Excel等统计软件进行分析，得出合理推断</w:t>
      </w:r>
      <w:r>
        <w:rPr>
          <w:bCs/>
          <w:szCs w:val="21"/>
        </w:rPr>
        <w:t>。</w:t>
      </w:r>
    </w:p>
    <w:p>
      <w:pPr>
        <w:snapToGrid w:val="0"/>
        <w:spacing w:line="360" w:lineRule="auto"/>
        <w:ind w:firstLine="422" w:firstLineChars="200"/>
        <w:rPr>
          <w:bCs/>
          <w:szCs w:val="21"/>
        </w:rPr>
      </w:pPr>
      <w:r>
        <w:rPr>
          <w:b/>
          <w:szCs w:val="21"/>
        </w:rPr>
        <w:t>4.实验要求：</w:t>
      </w:r>
      <w:r>
        <w:rPr>
          <w:rFonts w:hAnsi="宋体"/>
          <w:bCs/>
          <w:szCs w:val="21"/>
        </w:rPr>
        <w:t>理解和掌握</w:t>
      </w:r>
      <w:r>
        <w:rPr>
          <w:rFonts w:hint="eastAsia" w:hAnsi="宋体"/>
          <w:bCs/>
          <w:szCs w:val="21"/>
        </w:rPr>
        <w:t>不同情况下对单个和</w:t>
      </w:r>
      <w:r>
        <w:rPr>
          <w:rFonts w:hAnsi="宋体"/>
          <w:bCs/>
          <w:szCs w:val="21"/>
        </w:rPr>
        <w:t>两个样本平均数间差异</w:t>
      </w:r>
      <w:r>
        <w:rPr>
          <w:rFonts w:hint="eastAsia" w:hAnsi="宋体"/>
          <w:bCs/>
          <w:szCs w:val="21"/>
        </w:rPr>
        <w:t>进行</w:t>
      </w:r>
      <w:r>
        <w:rPr>
          <w:rFonts w:hAnsi="宋体"/>
          <w:bCs/>
          <w:szCs w:val="21"/>
        </w:rPr>
        <w:t>检验</w:t>
      </w:r>
      <w:r>
        <w:rPr>
          <w:rFonts w:hint="eastAsia" w:hAnsi="宋体"/>
          <w:bCs/>
          <w:szCs w:val="21"/>
        </w:rPr>
        <w:t>的</w:t>
      </w:r>
      <w:r>
        <w:rPr>
          <w:rFonts w:hAnsi="宋体"/>
          <w:bCs/>
          <w:szCs w:val="21"/>
        </w:rPr>
        <w:t>方法</w:t>
      </w:r>
      <w:r>
        <w:rPr>
          <w:rFonts w:hint="eastAsia" w:hAnsi="宋体"/>
          <w:bCs/>
          <w:szCs w:val="21"/>
        </w:rPr>
        <w:t>，</w:t>
      </w:r>
      <w:r>
        <w:rPr>
          <w:rFonts w:hAnsi="宋体"/>
          <w:bCs/>
          <w:szCs w:val="21"/>
        </w:rPr>
        <w:t>独立完成实验报告</w:t>
      </w:r>
      <w:r>
        <w:rPr>
          <w:rFonts w:hint="eastAsia" w:hAnsi="宋体"/>
          <w:bCs/>
          <w:szCs w:val="21"/>
        </w:rPr>
        <w:t>，</w:t>
      </w:r>
      <w:r>
        <w:rPr>
          <w:bCs/>
          <w:szCs w:val="21"/>
        </w:rPr>
        <w:t>实验步骤清晰，计算</w:t>
      </w:r>
      <w:r>
        <w:rPr>
          <w:rFonts w:hint="eastAsia"/>
          <w:bCs/>
          <w:szCs w:val="21"/>
        </w:rPr>
        <w:t>正</w:t>
      </w:r>
      <w:r>
        <w:rPr>
          <w:bCs/>
          <w:szCs w:val="21"/>
        </w:rPr>
        <w:t>确，</w:t>
      </w:r>
      <w:r>
        <w:rPr>
          <w:rFonts w:hint="eastAsia"/>
          <w:bCs/>
          <w:szCs w:val="21"/>
        </w:rPr>
        <w:t>推断合理，</w:t>
      </w:r>
      <w:r>
        <w:rPr>
          <w:bCs/>
          <w:szCs w:val="21"/>
        </w:rPr>
        <w:t>书写工整。</w:t>
      </w:r>
    </w:p>
    <w:p>
      <w:pPr>
        <w:snapToGrid w:val="0"/>
        <w:spacing w:line="360" w:lineRule="auto"/>
        <w:ind w:firstLine="422" w:firstLineChars="200"/>
        <w:rPr>
          <w:b/>
          <w:szCs w:val="21"/>
        </w:rPr>
      </w:pPr>
      <w:r>
        <w:rPr>
          <w:b/>
          <w:szCs w:val="21"/>
        </w:rPr>
        <w:t>5.实验设备及器材：</w:t>
      </w:r>
      <w:r>
        <w:rPr>
          <w:rFonts w:hAnsi="宋体"/>
          <w:bCs/>
          <w:szCs w:val="21"/>
        </w:rPr>
        <w:t>计算机</w:t>
      </w:r>
      <w:r>
        <w:rPr>
          <w:rFonts w:hint="eastAsia" w:hAnsi="宋体"/>
          <w:bCs/>
          <w:szCs w:val="21"/>
        </w:rPr>
        <w:t>、</w:t>
      </w:r>
      <w:r>
        <w:rPr>
          <w:rFonts w:hint="eastAsia"/>
          <w:bCs/>
          <w:szCs w:val="21"/>
        </w:rPr>
        <w:t>统计</w:t>
      </w:r>
      <w:r>
        <w:rPr>
          <w:bCs/>
          <w:szCs w:val="21"/>
        </w:rPr>
        <w:t>计算器</w:t>
      </w:r>
      <w:r>
        <w:rPr>
          <w:rFonts w:hint="eastAsia"/>
          <w:bCs/>
          <w:szCs w:val="21"/>
        </w:rPr>
        <w:t>、</w:t>
      </w:r>
      <w:r>
        <w:rPr>
          <w:bCs/>
          <w:szCs w:val="21"/>
        </w:rPr>
        <w:t>试验报告纸</w:t>
      </w:r>
      <w:r>
        <w:rPr>
          <w:rFonts w:hint="eastAsia"/>
          <w:bCs/>
          <w:szCs w:val="21"/>
        </w:rPr>
        <w:t>等</w:t>
      </w:r>
      <w:r>
        <w:rPr>
          <w:bCs/>
          <w:szCs w:val="21"/>
        </w:rPr>
        <w:t>。</w:t>
      </w:r>
    </w:p>
    <w:p>
      <w:pPr>
        <w:pStyle w:val="20"/>
        <w:snapToGrid w:val="0"/>
        <w:spacing w:before="0" w:beforeAutospacing="0" w:after="0" w:afterAutospacing="0" w:line="360" w:lineRule="auto"/>
        <w:ind w:firstLine="422"/>
        <w:rPr>
          <w:rFonts w:ascii="宋体" w:hAnsi="宋体" w:eastAsia="宋体" w:cs="Times New Roman"/>
          <w:b/>
          <w:kern w:val="2"/>
          <w:sz w:val="21"/>
          <w:szCs w:val="21"/>
        </w:rPr>
      </w:pPr>
      <w:r>
        <w:rPr>
          <w:rFonts w:hint="eastAsia" w:ascii="宋体" w:hAnsi="宋体" w:eastAsia="宋体" w:cs="Times New Roman"/>
          <w:b/>
          <w:kern w:val="2"/>
          <w:sz w:val="21"/>
          <w:szCs w:val="21"/>
        </w:rPr>
        <w:t>【实验六】常见试验设计结果资料的方差分析</w:t>
      </w:r>
    </w:p>
    <w:p>
      <w:pPr>
        <w:snapToGrid w:val="0"/>
        <w:spacing w:line="360" w:lineRule="auto"/>
        <w:ind w:firstLine="422" w:firstLineChars="200"/>
      </w:pPr>
      <w:r>
        <w:rPr>
          <w:rFonts w:hint="eastAsia"/>
          <w:b/>
          <w:szCs w:val="21"/>
        </w:rPr>
        <w:t>1.实验学时：</w:t>
      </w:r>
      <w:r>
        <w:rPr>
          <w:rFonts w:hint="eastAsia" w:ascii="宋体" w:hAnsi="宋体"/>
          <w:bCs/>
        </w:rPr>
        <w:t>6</w:t>
      </w:r>
    </w:p>
    <w:p>
      <w:pPr>
        <w:snapToGrid w:val="0"/>
        <w:spacing w:line="360" w:lineRule="auto"/>
        <w:ind w:firstLine="422" w:firstLineChars="200"/>
        <w:rPr>
          <w:rFonts w:ascii="宋体" w:hAnsi="宋体"/>
          <w:bCs/>
          <w:szCs w:val="21"/>
        </w:rPr>
      </w:pPr>
      <w:r>
        <w:rPr>
          <w:rFonts w:hint="eastAsia"/>
          <w:b/>
          <w:szCs w:val="21"/>
        </w:rPr>
        <w:t>2.实验目的：</w:t>
      </w:r>
      <w:r>
        <w:t>熟悉和掌握方差分析的步骤和方法</w:t>
      </w:r>
      <w:r>
        <w:rPr>
          <w:rFonts w:hint="eastAsia"/>
        </w:rPr>
        <w:t>；了解不同试验设计试验结果的特点和统计分析方法；熟练掌握利用统计分析软件进行方差分析。</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b/>
          <w:szCs w:val="21"/>
        </w:rPr>
        <w:t>3.实验内容：</w:t>
      </w:r>
      <w:r>
        <w:t>对</w:t>
      </w:r>
      <w:r>
        <w:rPr>
          <w:szCs w:val="21"/>
        </w:rPr>
        <w:t>组内观察值数目相等的单向</w:t>
      </w:r>
      <w:r>
        <w:rPr>
          <w:rFonts w:hint="eastAsia"/>
          <w:szCs w:val="21"/>
        </w:rPr>
        <w:t>、双向</w:t>
      </w:r>
      <w:r>
        <w:rPr>
          <w:szCs w:val="21"/>
        </w:rPr>
        <w:t>分组资料进行方差分析</w:t>
      </w:r>
      <w:r>
        <w:rPr>
          <w:rFonts w:hint="eastAsia"/>
          <w:bCs/>
          <w:szCs w:val="21"/>
        </w:rPr>
        <w:t>，</w:t>
      </w:r>
      <w:r>
        <w:t>多重比较分别采用LSD法和SSR法，平均数差异显著性用标记字母法表示</w:t>
      </w:r>
      <w:r>
        <w:rPr>
          <w:rFonts w:hint="eastAsia"/>
        </w:rPr>
        <w:t>；</w:t>
      </w:r>
      <w:r>
        <w:t>利用</w:t>
      </w:r>
      <w:r>
        <w:rPr>
          <w:rFonts w:hint="eastAsia"/>
        </w:rPr>
        <w:t>Excel和</w:t>
      </w:r>
      <w:r>
        <w:t>SPSS软件对</w:t>
      </w:r>
      <w:r>
        <w:rPr>
          <w:rFonts w:hint="eastAsia"/>
        </w:rPr>
        <w:t>常见试验设计</w:t>
      </w:r>
      <w:r>
        <w:rPr>
          <w:color w:val="000000" w:themeColor="text1"/>
          <w14:textFill>
            <w14:solidFill>
              <w14:schemeClr w14:val="tx1"/>
            </w14:solidFill>
          </w14:textFill>
        </w:rPr>
        <w:t>结果</w:t>
      </w:r>
      <w:r>
        <w:rPr>
          <w:rFonts w:hint="eastAsia"/>
          <w:color w:val="000000" w:themeColor="text1"/>
          <w14:textFill>
            <w14:solidFill>
              <w14:schemeClr w14:val="tx1"/>
            </w14:solidFill>
          </w14:textFill>
        </w:rPr>
        <w:t>资料</w:t>
      </w:r>
      <w:r>
        <w:rPr>
          <w:color w:val="000000" w:themeColor="text1"/>
          <w14:textFill>
            <w14:solidFill>
              <w14:schemeClr w14:val="tx1"/>
            </w14:solidFill>
          </w14:textFill>
        </w:rPr>
        <w:t>进行分析</w:t>
      </w:r>
      <w:r>
        <w:rPr>
          <w:rFonts w:hint="eastAsia"/>
          <w:color w:val="000000" w:themeColor="text1"/>
          <w14:textFill>
            <w14:solidFill>
              <w14:schemeClr w14:val="tx1"/>
            </w14:solidFill>
          </w14:textFill>
        </w:rPr>
        <w:t>和推断</w:t>
      </w:r>
      <w:r>
        <w:rPr>
          <w:color w:val="000000" w:themeColor="text1"/>
          <w14:textFill>
            <w14:solidFill>
              <w14:schemeClr w14:val="tx1"/>
            </w14:solidFill>
          </w14:textFill>
        </w:rPr>
        <w:t>。</w:t>
      </w:r>
    </w:p>
    <w:p>
      <w:pPr>
        <w:snapToGrid w:val="0"/>
        <w:spacing w:line="360" w:lineRule="auto"/>
        <w:ind w:firstLine="422" w:firstLineChars="200"/>
        <w:rPr>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4.实验要求：</w:t>
      </w:r>
      <w:r>
        <w:rPr>
          <w:rFonts w:hAnsi="宋体"/>
          <w:bCs/>
          <w:color w:val="000000" w:themeColor="text1"/>
          <w:szCs w:val="21"/>
          <w14:textFill>
            <w14:solidFill>
              <w14:schemeClr w14:val="tx1"/>
            </w14:solidFill>
          </w14:textFill>
        </w:rPr>
        <w:t>理解和掌握</w:t>
      </w:r>
      <w:r>
        <w:rPr>
          <w:rFonts w:hAnsi="宋体"/>
          <w:color w:val="000000" w:themeColor="text1"/>
          <w:szCs w:val="21"/>
          <w14:textFill>
            <w14:solidFill>
              <w14:schemeClr w14:val="tx1"/>
            </w14:solidFill>
          </w14:textFill>
        </w:rPr>
        <w:t>方差分析的原理和基本步骤，</w:t>
      </w:r>
      <w:r>
        <w:rPr>
          <w:rFonts w:hint="eastAsia" w:hAnsi="宋体"/>
          <w:color w:val="000000" w:themeColor="text1"/>
          <w:szCs w:val="21"/>
          <w14:textFill>
            <w14:solidFill>
              <w14:schemeClr w14:val="tx1"/>
            </w14:solidFill>
          </w14:textFill>
        </w:rPr>
        <w:t>掌握使用统计软件对</w:t>
      </w:r>
      <w:r>
        <w:rPr>
          <w:rFonts w:hint="eastAsia" w:hAnsi="宋体"/>
          <w:bCs/>
          <w:color w:val="000000" w:themeColor="text1"/>
          <w:szCs w:val="21"/>
          <w14:textFill>
            <w14:solidFill>
              <w14:schemeClr w14:val="tx1"/>
            </w14:solidFill>
          </w14:textFill>
        </w:rPr>
        <w:t>不同试验设计结果资料的方差分析方法，</w:t>
      </w:r>
      <w:r>
        <w:rPr>
          <w:bCs/>
          <w:color w:val="000000" w:themeColor="text1"/>
          <w:szCs w:val="21"/>
          <w14:textFill>
            <w14:solidFill>
              <w14:schemeClr w14:val="tx1"/>
            </w14:solidFill>
          </w14:textFill>
        </w:rPr>
        <w:t>实验</w:t>
      </w:r>
      <w:r>
        <w:rPr>
          <w:rFonts w:hint="eastAsia"/>
          <w:bCs/>
          <w:color w:val="000000" w:themeColor="text1"/>
          <w:szCs w:val="21"/>
          <w14:textFill>
            <w14:solidFill>
              <w14:schemeClr w14:val="tx1"/>
            </w14:solidFill>
          </w14:textFill>
        </w:rPr>
        <w:t>报告</w:t>
      </w:r>
      <w:r>
        <w:rPr>
          <w:bCs/>
          <w:color w:val="000000" w:themeColor="text1"/>
          <w:szCs w:val="21"/>
          <w14:textFill>
            <w14:solidFill>
              <w14:schemeClr w14:val="tx1"/>
            </w14:solidFill>
          </w14:textFill>
        </w:rPr>
        <w:t>步骤清晰，计算</w:t>
      </w:r>
      <w:r>
        <w:rPr>
          <w:rFonts w:hint="eastAsia"/>
          <w:bCs/>
          <w:color w:val="000000" w:themeColor="text1"/>
          <w:szCs w:val="21"/>
          <w14:textFill>
            <w14:solidFill>
              <w14:schemeClr w14:val="tx1"/>
            </w14:solidFill>
          </w14:textFill>
        </w:rPr>
        <w:t>正</w:t>
      </w:r>
      <w:r>
        <w:rPr>
          <w:bCs/>
          <w:color w:val="000000" w:themeColor="text1"/>
          <w:szCs w:val="21"/>
          <w14:textFill>
            <w14:solidFill>
              <w14:schemeClr w14:val="tx1"/>
            </w14:solidFill>
          </w14:textFill>
        </w:rPr>
        <w:t>确，书写工整</w:t>
      </w:r>
      <w:r>
        <w:rPr>
          <w:rFonts w:hint="eastAsia"/>
          <w:bCs/>
          <w:color w:val="000000" w:themeColor="text1"/>
          <w:szCs w:val="21"/>
          <w14:textFill>
            <w14:solidFill>
              <w14:schemeClr w14:val="tx1"/>
            </w14:solidFill>
          </w14:textFill>
        </w:rPr>
        <w:t>；利用统计分析软件</w:t>
      </w:r>
      <w:r>
        <w:rPr>
          <w:bCs/>
          <w:color w:val="000000" w:themeColor="text1"/>
          <w:szCs w:val="21"/>
          <w14:textFill>
            <w14:solidFill>
              <w14:schemeClr w14:val="tx1"/>
            </w14:solidFill>
          </w14:textFill>
        </w:rPr>
        <w:t>按要求导出分析结果，并做</w:t>
      </w:r>
      <w:r>
        <w:rPr>
          <w:rFonts w:hint="eastAsia"/>
          <w:bCs/>
          <w:color w:val="000000" w:themeColor="text1"/>
          <w:szCs w:val="21"/>
          <w14:textFill>
            <w14:solidFill>
              <w14:schemeClr w14:val="tx1"/>
            </w14:solidFill>
          </w14:textFill>
        </w:rPr>
        <w:t>解读</w:t>
      </w:r>
      <w:r>
        <w:rPr>
          <w:bCs/>
          <w:color w:val="000000" w:themeColor="text1"/>
          <w:szCs w:val="21"/>
          <w14:textFill>
            <w14:solidFill>
              <w14:schemeClr w14:val="tx1"/>
            </w14:solidFill>
          </w14:textFill>
        </w:rPr>
        <w:t>说明</w:t>
      </w:r>
      <w:r>
        <w:rPr>
          <w:rFonts w:hint="eastAsia"/>
          <w:bCs/>
          <w:color w:val="000000" w:themeColor="text1"/>
          <w:szCs w:val="21"/>
          <w14:textFill>
            <w14:solidFill>
              <w14:schemeClr w14:val="tx1"/>
            </w14:solidFill>
          </w14:textFill>
        </w:rPr>
        <w:t>，得出合理推断</w:t>
      </w:r>
      <w:r>
        <w:rPr>
          <w:bCs/>
          <w:color w:val="000000" w:themeColor="text1"/>
          <w:szCs w:val="21"/>
          <w14:textFill>
            <w14:solidFill>
              <w14:schemeClr w14:val="tx1"/>
            </w14:solidFill>
          </w14:textFill>
        </w:rPr>
        <w:t>。</w:t>
      </w:r>
    </w:p>
    <w:p>
      <w:pPr>
        <w:snapToGrid w:val="0"/>
        <w:spacing w:line="360" w:lineRule="auto"/>
        <w:ind w:firstLine="422" w:firstLineChars="200"/>
        <w:rPr>
          <w:rFonts w:ascii="宋体" w:hAnsi="宋体"/>
          <w:bCs/>
          <w:szCs w:val="21"/>
        </w:rPr>
      </w:pPr>
      <w:r>
        <w:rPr>
          <w:rFonts w:hint="eastAsia"/>
          <w:b/>
          <w:szCs w:val="21"/>
        </w:rPr>
        <w:t>5.实验设备及器材：</w:t>
      </w:r>
      <w:r>
        <w:rPr>
          <w:bCs/>
          <w:szCs w:val="21"/>
        </w:rPr>
        <w:t>试验报告纸、直尺、</w:t>
      </w:r>
      <w:r>
        <w:rPr>
          <w:rFonts w:hint="eastAsia"/>
          <w:bCs/>
          <w:szCs w:val="21"/>
        </w:rPr>
        <w:t>统计</w:t>
      </w:r>
      <w:r>
        <w:rPr>
          <w:bCs/>
          <w:szCs w:val="21"/>
        </w:rPr>
        <w:t>计算器</w:t>
      </w:r>
      <w:r>
        <w:rPr>
          <w:rFonts w:hint="eastAsia"/>
          <w:bCs/>
          <w:szCs w:val="21"/>
        </w:rPr>
        <w:t>、</w:t>
      </w:r>
      <w:r>
        <w:rPr>
          <w:rFonts w:hAnsi="宋体"/>
          <w:bCs/>
          <w:szCs w:val="21"/>
        </w:rPr>
        <w:t>计算机</w:t>
      </w:r>
      <w:r>
        <w:rPr>
          <w:rFonts w:hint="eastAsia" w:ascii="宋体" w:hAnsi="宋体"/>
          <w:bCs/>
          <w:szCs w:val="21"/>
        </w:rPr>
        <w:t>。</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hint="eastAsia" w:ascii="宋体" w:hAnsi="宋体" w:eastAsia="宋体" w:cs="宋体"/>
          <w:b/>
          <w:color w:val="000000" w:themeColor="text1"/>
          <w:sz w:val="21"/>
          <w:szCs w:val="21"/>
          <w14:textFill>
            <w14:solidFill>
              <w14:schemeClr w14:val="tx1"/>
            </w14:solidFill>
          </w14:textFill>
        </w:rPr>
        <w:t>【实验</w:t>
      </w:r>
      <w:r>
        <w:rPr>
          <w:rFonts w:hint="eastAsia" w:asciiTheme="minorEastAsia" w:hAnsiTheme="minorEastAsia" w:eastAsiaTheme="minorEastAsia"/>
          <w:b/>
          <w:color w:val="000000" w:themeColor="text1"/>
          <w:sz w:val="21"/>
          <w:szCs w:val="21"/>
          <w14:textFill>
            <w14:solidFill>
              <w14:schemeClr w14:val="tx1"/>
            </w14:solidFill>
          </w14:textFill>
        </w:rPr>
        <w:t>七</w:t>
      </w:r>
      <w:r>
        <w:rPr>
          <w:rFonts w:hint="eastAsia" w:ascii="宋体" w:hAnsi="宋体" w:eastAsia="宋体" w:cs="宋体"/>
          <w:b/>
          <w:color w:val="000000" w:themeColor="text1"/>
          <w:sz w:val="21"/>
          <w:szCs w:val="21"/>
          <w14:textFill>
            <w14:solidFill>
              <w14:schemeClr w14:val="tx1"/>
            </w14:solidFill>
          </w14:textFill>
        </w:rPr>
        <w:t>】园艺</w:t>
      </w:r>
      <w:r>
        <w:rPr>
          <w:rFonts w:hint="eastAsia" w:ascii="宋体" w:hAnsi="宋体" w:eastAsia="宋体" w:cs="宋体"/>
          <w:b/>
          <w:sz w:val="21"/>
          <w:szCs w:val="21"/>
        </w:rPr>
        <w:t>产品感官评定试验设计与统计分析</w:t>
      </w:r>
    </w:p>
    <w:p>
      <w:pPr>
        <w:snapToGrid w:val="0"/>
        <w:spacing w:line="360" w:lineRule="auto"/>
        <w:ind w:firstLine="422" w:firstLineChars="200"/>
        <w:rPr>
          <w:bCs/>
        </w:rPr>
      </w:pPr>
      <w:r>
        <w:rPr>
          <w:b/>
          <w:szCs w:val="21"/>
        </w:rPr>
        <w:t>1.实验学时：</w:t>
      </w:r>
      <w:r>
        <w:rPr>
          <w:bCs/>
        </w:rPr>
        <w:t>2</w:t>
      </w:r>
    </w:p>
    <w:p>
      <w:pPr>
        <w:snapToGrid w:val="0"/>
        <w:spacing w:line="360" w:lineRule="auto"/>
        <w:ind w:firstLine="422" w:firstLineChars="200"/>
      </w:pPr>
      <w:r>
        <w:rPr>
          <w:b/>
          <w:szCs w:val="21"/>
        </w:rPr>
        <w:t>2.实验目的</w:t>
      </w:r>
      <w:r>
        <w:rPr>
          <w:rFonts w:hint="eastAsia"/>
          <w:b/>
          <w:szCs w:val="21"/>
        </w:rPr>
        <w:t>：</w:t>
      </w:r>
      <w:r>
        <w:rPr>
          <w:rFonts w:hint="eastAsia"/>
          <w:szCs w:val="21"/>
        </w:rPr>
        <w:t>了解</w:t>
      </w:r>
      <w:r>
        <w:rPr>
          <w:rFonts w:hint="eastAsia"/>
        </w:rPr>
        <w:t>园艺产品感官评定试验设计的一般方法，学会对评定结果进行合理的统计分析</w:t>
      </w:r>
      <w:r>
        <w:t>。</w:t>
      </w:r>
    </w:p>
    <w:p>
      <w:pPr>
        <w:snapToGrid w:val="0"/>
        <w:spacing w:line="360" w:lineRule="auto"/>
        <w:ind w:firstLine="422" w:firstLineChars="200"/>
      </w:pPr>
      <w:r>
        <w:rPr>
          <w:b/>
          <w:szCs w:val="21"/>
        </w:rPr>
        <w:t>3.实验内容：</w:t>
      </w:r>
      <w:r>
        <w:rPr>
          <w:rFonts w:hint="eastAsia"/>
          <w:szCs w:val="21"/>
        </w:rPr>
        <w:t>针对不同园艺产品感官品质评定选择适宜的试验设计方法，对评定结果进行统计分析，得出合理推断。</w:t>
      </w:r>
    </w:p>
    <w:p>
      <w:pPr>
        <w:snapToGrid w:val="0"/>
        <w:spacing w:line="360" w:lineRule="auto"/>
        <w:ind w:firstLine="422" w:firstLineChars="200"/>
        <w:rPr>
          <w:bCs/>
          <w:szCs w:val="21"/>
        </w:rPr>
      </w:pPr>
      <w:r>
        <w:rPr>
          <w:b/>
          <w:szCs w:val="21"/>
        </w:rPr>
        <w:t>4.实验要求：</w:t>
      </w:r>
      <w:r>
        <w:rPr>
          <w:rFonts w:hint="eastAsia"/>
          <w:szCs w:val="21"/>
        </w:rPr>
        <w:t>初步掌握园艺产品感官评定试验设计方法及统计分析方法</w:t>
      </w:r>
      <w:r>
        <w:rPr>
          <w:bCs/>
          <w:szCs w:val="21"/>
        </w:rPr>
        <w:t>。</w:t>
      </w:r>
    </w:p>
    <w:p>
      <w:pPr>
        <w:snapToGrid w:val="0"/>
        <w:spacing w:line="360" w:lineRule="auto"/>
        <w:ind w:firstLine="422" w:firstLineChars="200"/>
        <w:rPr>
          <w:bCs/>
          <w:szCs w:val="21"/>
        </w:rPr>
      </w:pPr>
      <w:r>
        <w:rPr>
          <w:b/>
          <w:szCs w:val="21"/>
        </w:rPr>
        <w:t>5.实验设备及器材：</w:t>
      </w:r>
      <w:r>
        <w:rPr>
          <w:rFonts w:hAnsi="宋体"/>
          <w:bCs/>
          <w:szCs w:val="21"/>
        </w:rPr>
        <w:t>计算机</w:t>
      </w:r>
      <w:r>
        <w:rPr>
          <w:bCs/>
          <w:szCs w:val="21"/>
        </w:rPr>
        <w:t>。</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w:t>
      </w:r>
      <w:r>
        <w:rPr>
          <w:rFonts w:hint="eastAsia" w:ascii="Times New Roman" w:hAnsi="Times New Roman" w:eastAsia="宋体" w:cs="Times New Roman"/>
          <w:b/>
          <w:sz w:val="21"/>
          <w:szCs w:val="21"/>
        </w:rPr>
        <w:t>八</w:t>
      </w:r>
      <w:r>
        <w:rPr>
          <w:rFonts w:ascii="Times New Roman" w:hAnsi="Times New Roman" w:eastAsia="宋体" w:cs="Times New Roman"/>
          <w:b/>
          <w:sz w:val="21"/>
          <w:szCs w:val="21"/>
        </w:rPr>
        <w:t>】卡平方检验</w:t>
      </w:r>
    </w:p>
    <w:p>
      <w:pPr>
        <w:snapToGrid w:val="0"/>
        <w:spacing w:line="360" w:lineRule="auto"/>
        <w:ind w:firstLine="422" w:firstLineChars="200"/>
        <w:rPr>
          <w:bCs/>
          <w:color w:val="000000" w:themeColor="text1"/>
          <w14:textFill>
            <w14:solidFill>
              <w14:schemeClr w14:val="tx1"/>
            </w14:solidFill>
          </w14:textFill>
        </w:rPr>
      </w:pPr>
      <w:r>
        <w:rPr>
          <w:b/>
          <w:color w:val="000000" w:themeColor="text1"/>
          <w:szCs w:val="21"/>
          <w14:textFill>
            <w14:solidFill>
              <w14:schemeClr w14:val="tx1"/>
            </w14:solidFill>
          </w14:textFill>
        </w:rPr>
        <w:t>1.实验学时：</w:t>
      </w:r>
      <w:r>
        <w:rPr>
          <w:bCs/>
          <w:color w:val="000000" w:themeColor="text1"/>
          <w14:textFill>
            <w14:solidFill>
              <w14:schemeClr w14:val="tx1"/>
            </w14:solidFill>
          </w14:textFill>
        </w:rPr>
        <w:t>2</w:t>
      </w:r>
    </w:p>
    <w:p>
      <w:pPr>
        <w:snapToGrid w:val="0"/>
        <w:spacing w:line="360" w:lineRule="auto"/>
        <w:ind w:firstLine="422" w:firstLineChars="200"/>
        <w:rPr>
          <w:color w:val="000000" w:themeColor="text1"/>
          <w14:textFill>
            <w14:solidFill>
              <w14:schemeClr w14:val="tx1"/>
            </w14:solidFill>
          </w14:textFill>
        </w:rPr>
      </w:pPr>
      <w:r>
        <w:rPr>
          <w:b/>
          <w:color w:val="000000" w:themeColor="text1"/>
          <w:szCs w:val="21"/>
          <w14:textFill>
            <w14:solidFill>
              <w14:schemeClr w14:val="tx1"/>
            </w14:solidFill>
          </w14:textFill>
        </w:rPr>
        <w:t>2.实验目的：</w:t>
      </w:r>
      <w:r>
        <w:rPr>
          <w:color w:val="000000" w:themeColor="text1"/>
          <w14:textFill>
            <w14:solidFill>
              <w14:schemeClr w14:val="tx1"/>
            </w14:solidFill>
          </w14:textFill>
        </w:rPr>
        <w:t>掌握</w:t>
      </w:r>
      <w:r>
        <w:rPr>
          <w:rFonts w:hint="eastAsia"/>
          <w:color w:val="000000" w:themeColor="text1"/>
          <w14:textFill>
            <w14:solidFill>
              <w14:schemeClr w14:val="tx1"/>
            </w14:solidFill>
          </w14:textFill>
        </w:rPr>
        <w:t>卡</w:t>
      </w:r>
      <w:r>
        <w:rPr>
          <w:color w:val="000000" w:themeColor="text1"/>
          <w14:textFill>
            <w14:solidFill>
              <w14:schemeClr w14:val="tx1"/>
            </w14:solidFill>
          </w14:textFill>
        </w:rPr>
        <w:t>平方检验的步骤，及其用于适合性检验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独立性检验</w:t>
      </w:r>
      <w:r>
        <w:rPr>
          <w:rFonts w:hint="eastAsia"/>
          <w:color w:val="000000" w:themeColor="text1"/>
          <w14:textFill>
            <w14:solidFill>
              <w14:schemeClr w14:val="tx1"/>
            </w14:solidFill>
          </w14:textFill>
        </w:rPr>
        <w:t>和方差同质性检验</w:t>
      </w:r>
      <w:r>
        <w:rPr>
          <w:color w:val="000000" w:themeColor="text1"/>
          <w14:textFill>
            <w14:solidFill>
              <w14:schemeClr w14:val="tx1"/>
            </w14:solidFill>
          </w14:textFill>
        </w:rPr>
        <w:t>的方法。</w:t>
      </w:r>
    </w:p>
    <w:p>
      <w:pPr>
        <w:snapToGrid w:val="0"/>
        <w:spacing w:line="360" w:lineRule="auto"/>
        <w:ind w:firstLine="422" w:firstLineChars="200"/>
        <w:rPr>
          <w:color w:val="000000" w:themeColor="text1"/>
          <w14:textFill>
            <w14:solidFill>
              <w14:schemeClr w14:val="tx1"/>
            </w14:solidFill>
          </w14:textFill>
        </w:rPr>
      </w:pPr>
      <w:r>
        <w:rPr>
          <w:b/>
          <w:color w:val="000000" w:themeColor="text1"/>
          <w:szCs w:val="21"/>
          <w14:textFill>
            <w14:solidFill>
              <w14:schemeClr w14:val="tx1"/>
            </w14:solidFill>
          </w14:textFill>
        </w:rPr>
        <w:t>3.实验内容：</w:t>
      </w:r>
      <w:r>
        <w:rPr>
          <w:rFonts w:hint="eastAsia"/>
          <w:bCs/>
          <w:color w:val="000000" w:themeColor="text1"/>
          <w:szCs w:val="21"/>
          <w14:textFill>
            <w14:solidFill>
              <w14:schemeClr w14:val="tx1"/>
            </w14:solidFill>
          </w14:textFill>
        </w:rPr>
        <w:t>对通过</w:t>
      </w:r>
      <w:r>
        <w:rPr>
          <w:bCs/>
          <w:color w:val="000000" w:themeColor="text1"/>
          <w14:textFill>
            <w14:solidFill>
              <w14:schemeClr w14:val="tx1"/>
            </w14:solidFill>
          </w14:textFill>
        </w:rPr>
        <w:t>卡平方检验</w:t>
      </w:r>
      <w:r>
        <w:rPr>
          <w:rFonts w:hint="eastAsia"/>
          <w:bCs/>
          <w:color w:val="000000" w:themeColor="text1"/>
          <w:szCs w:val="21"/>
          <w14:textFill>
            <w14:solidFill>
              <w14:schemeClr w14:val="tx1"/>
            </w14:solidFill>
          </w14:textFill>
        </w:rPr>
        <w:t>不同情形下的数据资料</w:t>
      </w:r>
      <w:r>
        <w:rPr>
          <w:rFonts w:hint="eastAsia"/>
          <w:bCs/>
          <w:color w:val="000000" w:themeColor="text1"/>
          <w14:textFill>
            <w14:solidFill>
              <w14:schemeClr w14:val="tx1"/>
            </w14:solidFill>
          </w14:textFill>
        </w:rPr>
        <w:t>进行适合性、独立性和同质性分析</w:t>
      </w:r>
      <w:r>
        <w:rPr>
          <w:bCs/>
          <w:color w:val="000000" w:themeColor="text1"/>
          <w14:textFill>
            <w14:solidFill>
              <w14:schemeClr w14:val="tx1"/>
            </w14:solidFill>
          </w14:textFill>
        </w:rPr>
        <w:t>。</w:t>
      </w:r>
    </w:p>
    <w:p>
      <w:pPr>
        <w:snapToGrid w:val="0"/>
        <w:spacing w:line="360" w:lineRule="auto"/>
        <w:ind w:firstLine="422" w:firstLineChars="200"/>
        <w:rPr>
          <w:bCs/>
          <w:color w:val="000000" w:themeColor="text1"/>
          <w:szCs w:val="21"/>
          <w14:textFill>
            <w14:solidFill>
              <w14:schemeClr w14:val="tx1"/>
            </w14:solidFill>
          </w14:textFill>
        </w:rPr>
      </w:pPr>
      <w:r>
        <w:rPr>
          <w:b/>
          <w:color w:val="000000" w:themeColor="text1"/>
          <w:szCs w:val="21"/>
          <w14:textFill>
            <w14:solidFill>
              <w14:schemeClr w14:val="tx1"/>
            </w14:solidFill>
          </w14:textFill>
        </w:rPr>
        <w:t>4.实验要求：</w:t>
      </w:r>
      <w:r>
        <w:rPr>
          <w:rFonts w:hint="eastAsia"/>
          <w:bCs/>
          <w:color w:val="000000" w:themeColor="text1"/>
          <w:szCs w:val="21"/>
          <w14:textFill>
            <w14:solidFill>
              <w14:schemeClr w14:val="tx1"/>
            </w14:solidFill>
          </w14:textFill>
        </w:rPr>
        <w:t>掌握卡平方检验的步骤和应用，</w:t>
      </w:r>
      <w:r>
        <w:rPr>
          <w:bCs/>
          <w:color w:val="000000" w:themeColor="text1"/>
          <w:szCs w:val="21"/>
          <w14:textFill>
            <w14:solidFill>
              <w14:schemeClr w14:val="tx1"/>
            </w14:solidFill>
          </w14:textFill>
        </w:rPr>
        <w:t>实验步骤清晰，计算</w:t>
      </w:r>
      <w:r>
        <w:rPr>
          <w:rFonts w:hint="eastAsia"/>
          <w:bCs/>
          <w:color w:val="000000" w:themeColor="text1"/>
          <w:szCs w:val="21"/>
          <w14:textFill>
            <w14:solidFill>
              <w14:schemeClr w14:val="tx1"/>
            </w14:solidFill>
          </w14:textFill>
        </w:rPr>
        <w:t>正</w:t>
      </w:r>
      <w:r>
        <w:rPr>
          <w:bCs/>
          <w:color w:val="000000" w:themeColor="text1"/>
          <w:szCs w:val="21"/>
          <w14:textFill>
            <w14:solidFill>
              <w14:schemeClr w14:val="tx1"/>
            </w14:solidFill>
          </w14:textFill>
        </w:rPr>
        <w:t>确，</w:t>
      </w:r>
      <w:r>
        <w:rPr>
          <w:rFonts w:hint="eastAsia"/>
          <w:bCs/>
          <w:color w:val="000000" w:themeColor="text1"/>
          <w:szCs w:val="21"/>
          <w14:textFill>
            <w14:solidFill>
              <w14:schemeClr w14:val="tx1"/>
            </w14:solidFill>
          </w14:textFill>
        </w:rPr>
        <w:t>推断合理，</w:t>
      </w:r>
      <w:r>
        <w:rPr>
          <w:bCs/>
          <w:color w:val="000000" w:themeColor="text1"/>
          <w:szCs w:val="21"/>
          <w14:textFill>
            <w14:solidFill>
              <w14:schemeClr w14:val="tx1"/>
            </w14:solidFill>
          </w14:textFill>
        </w:rPr>
        <w:t>书写工整。</w:t>
      </w:r>
    </w:p>
    <w:p>
      <w:pPr>
        <w:snapToGrid w:val="0"/>
        <w:spacing w:line="360" w:lineRule="auto"/>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5.实验设备及器材：</w:t>
      </w:r>
      <w:r>
        <w:rPr>
          <w:bCs/>
          <w:color w:val="000000" w:themeColor="text1"/>
          <w:szCs w:val="21"/>
          <w14:textFill>
            <w14:solidFill>
              <w14:schemeClr w14:val="tx1"/>
            </w14:solidFill>
          </w14:textFill>
        </w:rPr>
        <w:t>试验报告纸、直尺、</w:t>
      </w:r>
      <w:r>
        <w:rPr>
          <w:rFonts w:hint="eastAsia"/>
          <w:bCs/>
          <w:color w:val="000000" w:themeColor="text1"/>
          <w:szCs w:val="21"/>
          <w14:textFill>
            <w14:solidFill>
              <w14:schemeClr w14:val="tx1"/>
            </w14:solidFill>
          </w14:textFill>
        </w:rPr>
        <w:t>统计</w:t>
      </w:r>
      <w:r>
        <w:rPr>
          <w:bCs/>
          <w:color w:val="000000" w:themeColor="text1"/>
          <w:szCs w:val="21"/>
          <w14:textFill>
            <w14:solidFill>
              <w14:schemeClr w14:val="tx1"/>
            </w14:solidFill>
          </w14:textFill>
        </w:rPr>
        <w:t>计算器</w:t>
      </w:r>
      <w:r>
        <w:rPr>
          <w:rFonts w:hAnsi="宋体"/>
          <w:bCs/>
          <w:color w:val="000000" w:themeColor="text1"/>
          <w:szCs w:val="21"/>
          <w14:textFill>
            <w14:solidFill>
              <w14:schemeClr w14:val="tx1"/>
            </w14:solidFill>
          </w14:textFill>
        </w:rPr>
        <w:t>或计算机</w:t>
      </w:r>
      <w:r>
        <w:rPr>
          <w:bCs/>
          <w:color w:val="000000" w:themeColor="text1"/>
          <w:szCs w:val="21"/>
          <w14:textFill>
            <w14:solidFill>
              <w14:schemeClr w14:val="tx1"/>
            </w14:solidFill>
          </w14:textFill>
        </w:rPr>
        <w:t>。</w:t>
      </w:r>
    </w:p>
    <w:p>
      <w:pPr>
        <w:pStyle w:val="20"/>
        <w:snapToGrid w:val="0"/>
        <w:spacing w:before="0" w:beforeAutospacing="0" w:after="0" w:afterAutospacing="0" w:line="360" w:lineRule="auto"/>
        <w:ind w:firstLine="422"/>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【实验</w:t>
      </w:r>
      <w:r>
        <w:rPr>
          <w:rFonts w:hint="eastAsia" w:ascii="Times New Roman" w:hAnsi="Times New Roman" w:eastAsia="宋体" w:cs="Times New Roman"/>
          <w:b/>
          <w:color w:val="000000" w:themeColor="text1"/>
          <w:sz w:val="21"/>
          <w:szCs w:val="21"/>
          <w14:textFill>
            <w14:solidFill>
              <w14:schemeClr w14:val="tx1"/>
            </w14:solidFill>
          </w14:textFill>
        </w:rPr>
        <w:t>九</w:t>
      </w:r>
      <w:r>
        <w:rPr>
          <w:rFonts w:ascii="Times New Roman" w:hAnsi="Times New Roman" w:eastAsia="宋体" w:cs="Times New Roman"/>
          <w:b/>
          <w:color w:val="000000" w:themeColor="text1"/>
          <w:sz w:val="21"/>
          <w:szCs w:val="21"/>
          <w14:textFill>
            <w14:solidFill>
              <w14:schemeClr w14:val="tx1"/>
            </w14:solidFill>
          </w14:textFill>
        </w:rPr>
        <w:t xml:space="preserve">】回归与相关分析   </w:t>
      </w:r>
    </w:p>
    <w:p>
      <w:pPr>
        <w:snapToGrid w:val="0"/>
        <w:spacing w:line="360" w:lineRule="auto"/>
        <w:ind w:firstLine="422" w:firstLineChars="200"/>
        <w:rPr>
          <w:bCs/>
          <w:color w:val="000000" w:themeColor="text1"/>
          <w14:textFill>
            <w14:solidFill>
              <w14:schemeClr w14:val="tx1"/>
            </w14:solidFill>
          </w14:textFill>
        </w:rPr>
      </w:pPr>
      <w:bookmarkStart w:id="167" w:name="_Hlk136958894"/>
      <w:r>
        <w:rPr>
          <w:b/>
          <w:color w:val="000000" w:themeColor="text1"/>
          <w:szCs w:val="21"/>
          <w14:textFill>
            <w14:solidFill>
              <w14:schemeClr w14:val="tx1"/>
            </w14:solidFill>
          </w14:textFill>
        </w:rPr>
        <w:t>1.实验学时：</w:t>
      </w:r>
      <w:r>
        <w:rPr>
          <w:bCs/>
          <w:color w:val="000000" w:themeColor="text1"/>
          <w14:textFill>
            <w14:solidFill>
              <w14:schemeClr w14:val="tx1"/>
            </w14:solidFill>
          </w14:textFill>
        </w:rPr>
        <w:t>2</w:t>
      </w:r>
    </w:p>
    <w:p>
      <w:pPr>
        <w:snapToGrid w:val="0"/>
        <w:spacing w:line="360" w:lineRule="auto"/>
        <w:ind w:firstLine="422" w:firstLineChars="200"/>
        <w:rPr>
          <w:color w:val="000000" w:themeColor="text1"/>
          <w14:textFill>
            <w14:solidFill>
              <w14:schemeClr w14:val="tx1"/>
            </w14:solidFill>
          </w14:textFill>
        </w:rPr>
      </w:pPr>
      <w:r>
        <w:rPr>
          <w:b/>
          <w:color w:val="000000" w:themeColor="text1"/>
          <w:szCs w:val="21"/>
          <w14:textFill>
            <w14:solidFill>
              <w14:schemeClr w14:val="tx1"/>
            </w14:solidFill>
          </w14:textFill>
        </w:rPr>
        <w:t>2.实验目的：</w:t>
      </w:r>
      <w:r>
        <w:rPr>
          <w:color w:val="000000" w:themeColor="text1"/>
          <w14:textFill>
            <w14:solidFill>
              <w14:schemeClr w14:val="tx1"/>
            </w14:solidFill>
          </w14:textFill>
        </w:rPr>
        <w:t>掌握对两个变数进行直线相关与回归分析的程序和方法</w:t>
      </w:r>
      <w:r>
        <w:rPr>
          <w:rFonts w:hint="eastAsia"/>
          <w:color w:val="000000" w:themeColor="text1"/>
          <w14:textFill>
            <w14:solidFill>
              <w14:schemeClr w14:val="tx1"/>
            </w14:solidFill>
          </w14:textFill>
        </w:rPr>
        <w:t>；学会利用Ex</w:t>
      </w:r>
      <w:r>
        <w:rPr>
          <w:color w:val="000000" w:themeColor="text1"/>
          <w14:textFill>
            <w14:solidFill>
              <w14:schemeClr w14:val="tx1"/>
            </w14:solidFill>
          </w14:textFill>
        </w:rPr>
        <w:t>cel</w:t>
      </w:r>
      <w:r>
        <w:rPr>
          <w:rFonts w:hint="eastAsia"/>
          <w:color w:val="000000" w:themeColor="text1"/>
          <w14:textFill>
            <w14:solidFill>
              <w14:schemeClr w14:val="tx1"/>
            </w14:solidFill>
          </w14:textFill>
        </w:rPr>
        <w:t>和S</w:t>
      </w:r>
      <w:r>
        <w:rPr>
          <w:color w:val="000000" w:themeColor="text1"/>
          <w14:textFill>
            <w14:solidFill>
              <w14:schemeClr w14:val="tx1"/>
            </w14:solidFill>
          </w14:textFill>
        </w:rPr>
        <w:t>PSS</w:t>
      </w:r>
      <w:r>
        <w:rPr>
          <w:rFonts w:hint="eastAsia"/>
          <w:color w:val="000000" w:themeColor="text1"/>
          <w14:textFill>
            <w14:solidFill>
              <w14:schemeClr w14:val="tx1"/>
            </w14:solidFill>
          </w14:textFill>
        </w:rPr>
        <w:t>统计软件进行相关与回归分析</w:t>
      </w:r>
      <w:r>
        <w:rPr>
          <w:color w:val="000000" w:themeColor="text1"/>
          <w14:textFill>
            <w14:solidFill>
              <w14:schemeClr w14:val="tx1"/>
            </w14:solidFill>
          </w14:textFill>
        </w:rPr>
        <w:t>。</w:t>
      </w:r>
    </w:p>
    <w:p>
      <w:pPr>
        <w:snapToGrid w:val="0"/>
        <w:spacing w:line="360" w:lineRule="auto"/>
        <w:ind w:firstLine="422" w:firstLineChars="200"/>
        <w:rPr>
          <w:color w:val="000000" w:themeColor="text1"/>
          <w14:textFill>
            <w14:solidFill>
              <w14:schemeClr w14:val="tx1"/>
            </w14:solidFill>
          </w14:textFill>
        </w:rPr>
      </w:pPr>
      <w:r>
        <w:rPr>
          <w:b/>
          <w:color w:val="000000" w:themeColor="text1"/>
          <w:szCs w:val="21"/>
          <w14:textFill>
            <w14:solidFill>
              <w14:schemeClr w14:val="tx1"/>
            </w14:solidFill>
          </w14:textFill>
        </w:rPr>
        <w:t>3.实验内容：</w:t>
      </w:r>
      <w:r>
        <w:rPr>
          <w:color w:val="000000" w:themeColor="text1"/>
          <w14:textFill>
            <w14:solidFill>
              <w14:schemeClr w14:val="tx1"/>
            </w14:solidFill>
          </w14:textFill>
        </w:rPr>
        <w:t>对两个变数进行直线相关与回归分析。</w:t>
      </w:r>
    </w:p>
    <w:p>
      <w:pPr>
        <w:snapToGrid w:val="0"/>
        <w:spacing w:line="360" w:lineRule="auto"/>
        <w:ind w:firstLine="422" w:firstLineChars="200"/>
        <w:rPr>
          <w:bCs/>
          <w:szCs w:val="21"/>
        </w:rPr>
      </w:pPr>
      <w:r>
        <w:rPr>
          <w:b/>
          <w:color w:val="000000" w:themeColor="text1"/>
          <w:szCs w:val="21"/>
          <w14:textFill>
            <w14:solidFill>
              <w14:schemeClr w14:val="tx1"/>
            </w14:solidFill>
          </w14:textFill>
        </w:rPr>
        <w:t>4.实验要求：</w:t>
      </w:r>
      <w:r>
        <w:rPr>
          <w:rFonts w:hAnsi="宋体"/>
          <w:bCs/>
          <w:color w:val="000000" w:themeColor="text1"/>
          <w:szCs w:val="21"/>
          <w14:textFill>
            <w14:solidFill>
              <w14:schemeClr w14:val="tx1"/>
            </w14:solidFill>
          </w14:textFill>
        </w:rPr>
        <w:t>理解和掌握</w:t>
      </w:r>
      <w:r>
        <w:rPr>
          <w:rFonts w:hAnsi="宋体"/>
          <w:color w:val="000000" w:themeColor="text1"/>
          <w14:textFill>
            <w14:solidFill>
              <w14:schemeClr w14:val="tx1"/>
            </w14:solidFill>
          </w14:textFill>
        </w:rPr>
        <w:t>直线相关和回归的步骤，</w:t>
      </w:r>
      <w:r>
        <w:rPr>
          <w:rFonts w:hAnsi="宋体"/>
          <w:color w:val="000000" w:themeColor="text1"/>
          <w:szCs w:val="21"/>
          <w14:textFill>
            <w14:solidFill>
              <w14:schemeClr w14:val="tx1"/>
            </w14:solidFill>
          </w14:textFill>
        </w:rPr>
        <w:t>正确理解与准确表述</w:t>
      </w:r>
      <w:r>
        <w:rPr>
          <w:rFonts w:hint="eastAsia" w:hAnsi="宋体"/>
          <w:color w:val="000000" w:themeColor="text1"/>
          <w:szCs w:val="21"/>
          <w14:textFill>
            <w14:solidFill>
              <w14:schemeClr w14:val="tx1"/>
            </w14:solidFill>
          </w14:textFill>
        </w:rPr>
        <w:t>统计</w:t>
      </w:r>
      <w:r>
        <w:rPr>
          <w:rFonts w:hAnsi="宋体"/>
          <w:color w:val="000000" w:themeColor="text1"/>
          <w:szCs w:val="21"/>
          <w14:textFill>
            <w14:solidFill>
              <w14:schemeClr w14:val="tx1"/>
            </w14:solidFill>
          </w14:textFill>
        </w:rPr>
        <w:t>分析</w:t>
      </w:r>
      <w:r>
        <w:rPr>
          <w:rFonts w:hint="eastAsia" w:hAnsi="宋体"/>
          <w:color w:val="000000" w:themeColor="text1"/>
          <w:szCs w:val="21"/>
          <w14:textFill>
            <w14:solidFill>
              <w14:schemeClr w14:val="tx1"/>
            </w14:solidFill>
          </w14:textFill>
        </w:rPr>
        <w:t>结果，</w:t>
      </w:r>
      <w:r>
        <w:rPr>
          <w:rFonts w:hAnsi="宋体"/>
          <w:color w:val="000000" w:themeColor="text1"/>
          <w:szCs w:val="21"/>
          <w14:textFill>
            <w14:solidFill>
              <w14:schemeClr w14:val="tx1"/>
            </w14:solidFill>
          </w14:textFill>
        </w:rPr>
        <w:t>得到</w:t>
      </w:r>
      <w:r>
        <w:rPr>
          <w:rFonts w:hint="eastAsia" w:hAnsi="宋体"/>
          <w:color w:val="000000" w:themeColor="text1"/>
          <w:szCs w:val="21"/>
          <w14:textFill>
            <w14:solidFill>
              <w14:schemeClr w14:val="tx1"/>
            </w14:solidFill>
          </w14:textFill>
        </w:rPr>
        <w:t>合理</w:t>
      </w:r>
      <w:r>
        <w:rPr>
          <w:rFonts w:hAnsi="宋体"/>
          <w:color w:val="000000" w:themeColor="text1"/>
          <w:szCs w:val="21"/>
          <w14:textFill>
            <w14:solidFill>
              <w14:schemeClr w14:val="tx1"/>
            </w14:solidFill>
          </w14:textFill>
        </w:rPr>
        <w:t>的结论</w:t>
      </w:r>
      <w:r>
        <w:rPr>
          <w:rFonts w:hint="eastAsia" w:hAnsi="宋体"/>
          <w:bCs/>
          <w:color w:val="000000" w:themeColor="text1"/>
          <w:szCs w:val="21"/>
          <w14:textFill>
            <w14:solidFill>
              <w14:schemeClr w14:val="tx1"/>
            </w14:solidFill>
          </w14:textFill>
        </w:rPr>
        <w:t>；</w:t>
      </w:r>
      <w:r>
        <w:rPr>
          <w:rFonts w:hAnsi="宋体"/>
          <w:bCs/>
          <w:color w:val="000000" w:themeColor="text1"/>
          <w:szCs w:val="21"/>
          <w14:textFill>
            <w14:solidFill>
              <w14:schemeClr w14:val="tx1"/>
            </w14:solidFill>
          </w14:textFill>
        </w:rPr>
        <w:t>独立完成实验报告</w:t>
      </w:r>
      <w:r>
        <w:rPr>
          <w:rFonts w:hint="eastAsia" w:hAnsi="宋体"/>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实</w:t>
      </w:r>
      <w:r>
        <w:rPr>
          <w:bCs/>
          <w:szCs w:val="21"/>
        </w:rPr>
        <w:t>验步骤清晰，计算</w:t>
      </w:r>
      <w:r>
        <w:rPr>
          <w:rFonts w:hint="eastAsia"/>
          <w:bCs/>
          <w:szCs w:val="21"/>
        </w:rPr>
        <w:t>正</w:t>
      </w:r>
      <w:r>
        <w:rPr>
          <w:bCs/>
          <w:szCs w:val="21"/>
        </w:rPr>
        <w:t>确，书写工整。</w:t>
      </w:r>
    </w:p>
    <w:p>
      <w:pPr>
        <w:snapToGrid w:val="0"/>
        <w:spacing w:line="360" w:lineRule="auto"/>
        <w:ind w:firstLine="422" w:firstLineChars="200"/>
        <w:rPr>
          <w:bCs/>
          <w:szCs w:val="21"/>
        </w:rPr>
      </w:pPr>
      <w:r>
        <w:rPr>
          <w:b/>
          <w:szCs w:val="21"/>
        </w:rPr>
        <w:t>5.实验设备及器材：</w:t>
      </w:r>
      <w:r>
        <w:rPr>
          <w:bCs/>
          <w:szCs w:val="21"/>
        </w:rPr>
        <w:t>试验报告纸、直尺、</w:t>
      </w:r>
      <w:r>
        <w:rPr>
          <w:rFonts w:hint="eastAsia"/>
          <w:bCs/>
          <w:szCs w:val="21"/>
        </w:rPr>
        <w:t>统计</w:t>
      </w:r>
      <w:r>
        <w:rPr>
          <w:bCs/>
          <w:szCs w:val="21"/>
        </w:rPr>
        <w:t>计算器</w:t>
      </w:r>
      <w:r>
        <w:rPr>
          <w:rFonts w:hAnsi="宋体"/>
          <w:bCs/>
          <w:szCs w:val="21"/>
        </w:rPr>
        <w:t>或计算机</w:t>
      </w:r>
      <w:r>
        <w:rPr>
          <w:bCs/>
          <w:szCs w:val="21"/>
        </w:rPr>
        <w:t>。</w:t>
      </w:r>
      <w:bookmarkEnd w:id="167"/>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w:t>
      </w:r>
      <w:r>
        <w:rPr>
          <w:rFonts w:hint="eastAsia" w:ascii="Times New Roman" w:hAnsi="Times New Roman" w:eastAsia="宋体" w:cs="Times New Roman"/>
          <w:b/>
          <w:sz w:val="21"/>
          <w:szCs w:val="21"/>
        </w:rPr>
        <w:t>十</w:t>
      </w:r>
      <w:r>
        <w:rPr>
          <w:rFonts w:ascii="Times New Roman" w:hAnsi="Times New Roman" w:eastAsia="宋体" w:cs="Times New Roman"/>
          <w:b/>
          <w:sz w:val="21"/>
          <w:szCs w:val="21"/>
        </w:rPr>
        <w:t>】</w:t>
      </w:r>
      <w:r>
        <w:rPr>
          <w:rFonts w:hint="eastAsia" w:ascii="Times New Roman" w:hAnsi="Times New Roman" w:eastAsia="宋体" w:cs="Times New Roman"/>
          <w:b/>
          <w:sz w:val="21"/>
          <w:szCs w:val="21"/>
        </w:rPr>
        <w:t>其他统计分析软件的应用</w:t>
      </w:r>
      <w:r>
        <w:rPr>
          <w:rFonts w:ascii="Times New Roman" w:hAnsi="Times New Roman" w:eastAsia="宋体" w:cs="Times New Roman"/>
          <w:b/>
          <w:sz w:val="21"/>
          <w:szCs w:val="21"/>
        </w:rPr>
        <w:t xml:space="preserve">   </w:t>
      </w:r>
    </w:p>
    <w:p>
      <w:pPr>
        <w:snapToGrid w:val="0"/>
        <w:spacing w:line="360" w:lineRule="auto"/>
        <w:ind w:firstLine="422" w:firstLineChars="200"/>
        <w:rPr>
          <w:bCs/>
        </w:rPr>
      </w:pPr>
      <w:r>
        <w:rPr>
          <w:b/>
          <w:szCs w:val="21"/>
        </w:rPr>
        <w:t>1.实验学时：</w:t>
      </w:r>
      <w:r>
        <w:rPr>
          <w:bCs/>
        </w:rPr>
        <w:t>2</w:t>
      </w:r>
    </w:p>
    <w:p>
      <w:pPr>
        <w:snapToGrid w:val="0"/>
        <w:spacing w:line="360" w:lineRule="auto"/>
        <w:ind w:firstLine="422" w:firstLineChars="200"/>
      </w:pPr>
      <w:r>
        <w:rPr>
          <w:b/>
          <w:szCs w:val="21"/>
        </w:rPr>
        <w:t>2.实验目的</w:t>
      </w:r>
      <w:r>
        <w:rPr>
          <w:rFonts w:hint="eastAsia"/>
          <w:b/>
          <w:szCs w:val="21"/>
        </w:rPr>
        <w:t>：</w:t>
      </w:r>
      <w:r>
        <w:rPr>
          <w:rFonts w:hint="eastAsia"/>
          <w:szCs w:val="21"/>
        </w:rPr>
        <w:t>了解</w:t>
      </w:r>
      <w:r>
        <w:rPr>
          <w:rFonts w:hint="eastAsia"/>
        </w:rPr>
        <w:t>其他统计分析软件如R语言等，并学会利用这些统计分析软件进行统计分析</w:t>
      </w:r>
      <w:r>
        <w:t>。</w:t>
      </w:r>
    </w:p>
    <w:p>
      <w:pPr>
        <w:snapToGrid w:val="0"/>
        <w:spacing w:line="360" w:lineRule="auto"/>
        <w:ind w:firstLine="422" w:firstLineChars="200"/>
      </w:pPr>
      <w:r>
        <w:rPr>
          <w:b/>
          <w:szCs w:val="21"/>
        </w:rPr>
        <w:t>3.实验内容：</w:t>
      </w:r>
      <w:r>
        <w:rPr>
          <w:rFonts w:hint="eastAsia"/>
          <w:szCs w:val="21"/>
        </w:rPr>
        <w:t>其他统计分析软件的学习</w:t>
      </w:r>
      <w:r>
        <w:t>。</w:t>
      </w:r>
    </w:p>
    <w:p>
      <w:pPr>
        <w:snapToGrid w:val="0"/>
        <w:spacing w:line="360" w:lineRule="auto"/>
        <w:ind w:firstLine="422" w:firstLineChars="200"/>
        <w:rPr>
          <w:bCs/>
          <w:szCs w:val="21"/>
        </w:rPr>
      </w:pPr>
      <w:r>
        <w:rPr>
          <w:b/>
          <w:szCs w:val="21"/>
        </w:rPr>
        <w:t>4.实验要求：</w:t>
      </w:r>
      <w:r>
        <w:rPr>
          <w:rFonts w:hint="eastAsia"/>
          <w:szCs w:val="21"/>
        </w:rPr>
        <w:t>了解其他统计分析软件，初步掌握如何利用这些统计分析软件进行数据的整理与分析</w:t>
      </w:r>
      <w:r>
        <w:rPr>
          <w:bCs/>
          <w:szCs w:val="21"/>
        </w:rPr>
        <w:t>。</w:t>
      </w:r>
    </w:p>
    <w:p>
      <w:pPr>
        <w:snapToGrid w:val="0"/>
        <w:spacing w:line="360" w:lineRule="auto"/>
        <w:ind w:firstLine="422" w:firstLineChars="200"/>
        <w:rPr>
          <w:bCs/>
          <w:szCs w:val="21"/>
        </w:rPr>
      </w:pPr>
      <w:r>
        <w:rPr>
          <w:b/>
          <w:szCs w:val="21"/>
        </w:rPr>
        <w:t>5.实验设备及器材：</w:t>
      </w:r>
      <w:r>
        <w:rPr>
          <w:rFonts w:hAnsi="宋体"/>
          <w:bCs/>
          <w:szCs w:val="21"/>
        </w:rPr>
        <w:t>计算机</w:t>
      </w:r>
      <w:r>
        <w:rPr>
          <w:bCs/>
          <w:szCs w:val="21"/>
        </w:rPr>
        <w:t>。</w:t>
      </w:r>
    </w:p>
    <w:p>
      <w:pPr>
        <w:snapToGrid w:val="0"/>
        <w:spacing w:line="360" w:lineRule="auto"/>
        <w:rPr>
          <w:rFonts w:ascii="宋体" w:hAnsi="宋体"/>
          <w:bCs/>
          <w:color w:val="0000FF"/>
          <w:szCs w:val="21"/>
        </w:rPr>
      </w:pPr>
      <w:r>
        <w:rPr>
          <w:rFonts w:hint="eastAsia" w:ascii="宋体" w:hAnsi="宋体"/>
          <w:b/>
          <w:szCs w:val="21"/>
        </w:rPr>
        <w:t>(七)</w:t>
      </w:r>
      <w:r>
        <w:rPr>
          <w:rFonts w:hint="eastAsia" w:ascii="宋体" w:hAnsi="宋体"/>
          <w:b/>
          <w:bCs/>
          <w:szCs w:val="21"/>
        </w:rPr>
        <w:t>考核方式及成绩评定</w:t>
      </w:r>
    </w:p>
    <w:p>
      <w:pPr>
        <w:snapToGrid w:val="0"/>
        <w:spacing w:line="360" w:lineRule="auto"/>
        <w:ind w:firstLine="420" w:firstLineChars="200"/>
        <w:rPr>
          <w:rFonts w:ascii="宋体" w:hAnsi="宋体"/>
          <w:bCs/>
        </w:rPr>
      </w:pPr>
      <w:r>
        <w:rPr>
          <w:rFonts w:hint="eastAsia" w:ascii="宋体" w:hAnsi="宋体"/>
          <w:bCs/>
        </w:rPr>
        <w:t>通过上机练习并提交实验报告的方式进行考核及成绩评定。</w:t>
      </w:r>
    </w:p>
    <w:p>
      <w:pPr>
        <w:adjustRightInd w:val="0"/>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widowControl/>
        <w:adjustRightInd w:val="0"/>
        <w:snapToGrid w:val="0"/>
        <w:spacing w:line="360" w:lineRule="auto"/>
        <w:ind w:firstLine="420" w:firstLineChars="200"/>
        <w:jc w:val="left"/>
        <w:rPr>
          <w:rFonts w:ascii="仿宋_GB2312" w:hAnsi="仿宋_GB2312" w:cs="仿宋_GB2312"/>
          <w:szCs w:val="32"/>
        </w:rPr>
      </w:pPr>
      <w:r>
        <w:rPr>
          <w:rFonts w:hint="eastAsia" w:ascii="宋体" w:hAnsi="宋体"/>
          <w:bCs/>
        </w:rPr>
        <w:t>坚持立德树人，积极提炼课程中蕴含的思政要素并将其融入教学过程。在提高学生学习能力、研究能力和专业适应能力的同时，培养学生的专业责任感和使命感，厚植三农情怀，引导其</w:t>
      </w:r>
      <w:r>
        <w:rPr>
          <w:rFonts w:hint="eastAsia" w:ascii="仿宋_GB2312" w:hAnsi="仿宋_GB2312" w:cs="仿宋_GB2312"/>
          <w:szCs w:val="32"/>
        </w:rPr>
        <w:t>懂农业，爱农村，爱农民，立志服务三农，</w:t>
      </w:r>
      <w:r>
        <w:rPr>
          <w:rFonts w:hint="eastAsia" w:ascii="宋体" w:hAnsi="宋体" w:cs="宋体"/>
          <w:color w:val="000000"/>
          <w:kern w:val="0"/>
          <w:szCs w:val="21"/>
          <w:lang w:bidi="ar"/>
        </w:rPr>
        <w:t>践行可持续发展理念</w:t>
      </w:r>
      <w:r>
        <w:rPr>
          <w:rFonts w:hint="eastAsia" w:ascii="仿宋_GB2312" w:hAnsi="仿宋_GB2312" w:cs="仿宋_GB2312"/>
          <w:szCs w:val="32"/>
        </w:rPr>
        <w:t>。例如课程第一章“研究课题选则和研究计划拟定”中，在介绍选题途径时，引用习近平总书记发出的号召，“广大科技工作者要把论文写在祖国的大地上，把科技成果应用在实现现代化的伟大事业中”。同时结合先进模范任务与学院科研团队的研究课题，引导学生关注园艺产业发展，启发学生了解和发现生产中存在的主要问题，树立把论文写在祖国大地上的意识和信念，激发学生的专业兴趣。以白春礼院士提出的“把美国卡脖子的清单变成我们科研任务清单”，引导学生以本领域科学技术发展中存在的主要问题为研究课题，增强学生对专业的认识，培养其更加牢固的专业思想。在该章结束时设置思考题目：结合自己的专业，谈谈你认为园艺产业中的“卡脖子”问题有哪些？这种方式可以让学生学习变得主动和开放，进而深入地了解专业和产业问题，不仅能有的放矢的选择感兴趣的研究课题，更能因此产生自主学习的动力，树立服务“</w:t>
      </w:r>
      <w:r>
        <w:rPr>
          <w:rFonts w:hint="eastAsia" w:ascii="宋体" w:hAnsi="宋体" w:cs="宋体"/>
          <w:color w:val="000000"/>
          <w:kern w:val="0"/>
          <w:szCs w:val="21"/>
          <w:lang w:bidi="ar"/>
        </w:rPr>
        <w:t>三农</w:t>
      </w:r>
      <w:r>
        <w:rPr>
          <w:rFonts w:hint="eastAsia" w:ascii="仿宋_GB2312" w:hAnsi="仿宋_GB2312" w:cs="仿宋_GB2312"/>
          <w:szCs w:val="32"/>
        </w:rPr>
        <w:t>”的理想信念。</w:t>
      </w:r>
    </w:p>
    <w:p>
      <w:pPr>
        <w:widowControl/>
        <w:adjustRightInd w:val="0"/>
        <w:snapToGrid w:val="0"/>
        <w:spacing w:line="360" w:lineRule="auto"/>
        <w:ind w:firstLine="420" w:firstLineChars="200"/>
        <w:rPr>
          <w:rFonts w:ascii="宋体" w:hAnsi="宋体"/>
          <w:bCs/>
        </w:rPr>
      </w:pPr>
      <w:r>
        <w:rPr>
          <w:rFonts w:hint="eastAsia" w:ascii="宋体" w:hAnsi="宋体"/>
          <w:bCs/>
        </w:rPr>
        <w:t>同时，在课程教学中通过严密的统计分析学习，有意识地培养学生实事求是的科学态度、和严谨求实的科学素养。在介绍田间试验的基本要求时，通过国内外学术界多个典型的反面案例说明试验可重演性的重要性，也引导学生明白在科学研究中，要踏实做事，求真务实，不急功近利，不迷失自己，守住做人和做事的道德底线，有正确的三观才能行稳致远。</w:t>
      </w:r>
    </w:p>
    <w:p>
      <w:pPr>
        <w:widowControl/>
        <w:adjustRightInd w:val="0"/>
        <w:snapToGrid w:val="0"/>
        <w:spacing w:line="360" w:lineRule="auto"/>
        <w:jc w:val="left"/>
        <w:rPr>
          <w:rFonts w:ascii="宋体" w:hAnsi="宋体"/>
          <w:color w:val="0000FF"/>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r>
        <w:rPr>
          <w:rFonts w:hint="eastAsia" w:ascii="宋体" w:hAnsi="宋体" w:cs="宋体"/>
          <w:b/>
          <w:bCs/>
          <w:color w:val="0000FF"/>
          <w:kern w:val="0"/>
          <w:szCs w:val="21"/>
        </w:rPr>
        <w:t></w:t>
      </w:r>
    </w:p>
    <w:p>
      <w:pPr>
        <w:widowControl/>
        <w:adjustRightInd w:val="0"/>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adjustRightInd w:val="0"/>
        <w:snapToGrid w:val="0"/>
        <w:spacing w:line="360" w:lineRule="auto"/>
        <w:ind w:firstLine="420" w:firstLineChars="200"/>
        <w:rPr>
          <w:szCs w:val="21"/>
        </w:rPr>
      </w:pPr>
      <w:r>
        <w:rPr>
          <w:rFonts w:hint="eastAsia"/>
          <w:szCs w:val="21"/>
        </w:rPr>
        <w:t>（1）理论课教材：试验统计方法（第五版），盖钧镒等编著，中国农业出版社，</w:t>
      </w:r>
      <w:r>
        <w:rPr>
          <w:szCs w:val="21"/>
        </w:rPr>
        <w:t>2020</w:t>
      </w:r>
      <w:r>
        <w:rPr>
          <w:rFonts w:hint="eastAsia"/>
          <w:szCs w:val="21"/>
        </w:rPr>
        <w:t>年</w:t>
      </w:r>
    </w:p>
    <w:p>
      <w:pPr>
        <w:adjustRightInd w:val="0"/>
        <w:snapToGrid w:val="0"/>
        <w:spacing w:line="360" w:lineRule="auto"/>
        <w:ind w:firstLine="420" w:firstLineChars="200"/>
        <w:rPr>
          <w:szCs w:val="21"/>
        </w:rPr>
      </w:pPr>
      <w:r>
        <w:rPr>
          <w:rFonts w:hint="eastAsia"/>
          <w:szCs w:val="21"/>
        </w:rPr>
        <w:t>（2）实验课教材：</w:t>
      </w:r>
      <w:r>
        <w:rPr>
          <w:rStyle w:val="28"/>
          <w:rFonts w:hint="eastAsia"/>
        </w:rPr>
        <w:t>试验设计与统计分析实验指导书，试验设计与统计分析课程组自编</w:t>
      </w:r>
    </w:p>
    <w:p>
      <w:pPr>
        <w:widowControl/>
        <w:adjustRightInd w:val="0"/>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adjustRightInd w:val="0"/>
        <w:snapToGrid w:val="0"/>
        <w:spacing w:line="360" w:lineRule="auto"/>
        <w:ind w:firstLine="420"/>
        <w:rPr>
          <w:szCs w:val="21"/>
        </w:rPr>
      </w:pPr>
      <w:r>
        <w:rPr>
          <w:rFonts w:hint="eastAsia"/>
          <w:szCs w:val="21"/>
        </w:rPr>
        <w:t>（1）生物统计附试验设计（第六版），明道绪 刘永建主编，中国农业出版社，2019年</w:t>
      </w:r>
    </w:p>
    <w:p>
      <w:pPr>
        <w:adjustRightInd w:val="0"/>
        <w:snapToGrid w:val="0"/>
        <w:spacing w:line="360" w:lineRule="auto"/>
        <w:ind w:firstLine="420"/>
        <w:rPr>
          <w:szCs w:val="21"/>
        </w:rPr>
      </w:pPr>
      <w:r>
        <w:rPr>
          <w:rFonts w:hint="eastAsia"/>
          <w:szCs w:val="21"/>
        </w:rPr>
        <w:t>（2）园艺植物研究法（第二版），廖明安等编著，中国农业出版社，2015年</w:t>
      </w:r>
    </w:p>
    <w:p>
      <w:pPr>
        <w:adjustRightInd w:val="0"/>
        <w:snapToGrid w:val="0"/>
        <w:spacing w:line="360" w:lineRule="auto"/>
        <w:ind w:firstLine="420"/>
        <w:rPr>
          <w:szCs w:val="21"/>
        </w:rPr>
      </w:pPr>
      <w:r>
        <w:rPr>
          <w:rFonts w:hint="eastAsia"/>
          <w:szCs w:val="21"/>
        </w:rPr>
        <w:t>（3）田间试验与统计方法（第二版），宁海龙等编著，科学出版社，2020年</w:t>
      </w:r>
    </w:p>
    <w:p>
      <w:pPr>
        <w:adjustRightInd w:val="0"/>
        <w:snapToGrid w:val="0"/>
        <w:spacing w:line="360" w:lineRule="auto"/>
        <w:ind w:firstLine="420"/>
        <w:rPr>
          <w:szCs w:val="21"/>
        </w:rPr>
      </w:pPr>
      <w:r>
        <w:rPr>
          <w:rFonts w:hint="eastAsia"/>
          <w:szCs w:val="21"/>
        </w:rPr>
        <w:t>（4）生物统计学（第二版），</w:t>
      </w:r>
      <w:r>
        <w:fldChar w:fldCharType="begin"/>
      </w:r>
      <w:r>
        <w:instrText xml:space="preserve"> HYPERLINK "https://book.jd.com/writer/%E5%BD%AD%E6%98%8E%E6%98%A5_1.html" \t "https://item.jd.com/_blank" </w:instrText>
      </w:r>
      <w:r>
        <w:fldChar w:fldCharType="separate"/>
      </w:r>
      <w:r>
        <w:rPr>
          <w:rFonts w:hint="eastAsia"/>
          <w:szCs w:val="21"/>
        </w:rPr>
        <w:t>彭明春</w:t>
      </w:r>
      <w:r>
        <w:rPr>
          <w:rFonts w:hint="eastAsia"/>
          <w:szCs w:val="21"/>
        </w:rPr>
        <w:fldChar w:fldCharType="end"/>
      </w:r>
      <w:r>
        <w:rPr>
          <w:rFonts w:hint="eastAsia"/>
          <w:szCs w:val="21"/>
        </w:rPr>
        <w:t>，</w:t>
      </w:r>
      <w:r>
        <w:fldChar w:fldCharType="begin"/>
      </w:r>
      <w:r>
        <w:instrText xml:space="preserve"> HYPERLINK "https://book.jd.com/writer/%E9%99%88%E5%85%B6%E6%96%B0_1.html" \t "https://item.jd.com/_blank" </w:instrText>
      </w:r>
      <w:r>
        <w:fldChar w:fldCharType="separate"/>
      </w:r>
      <w:r>
        <w:rPr>
          <w:rFonts w:hint="eastAsia"/>
          <w:szCs w:val="21"/>
        </w:rPr>
        <w:t>陈其新</w:t>
      </w:r>
      <w:r>
        <w:rPr>
          <w:rFonts w:hint="eastAsia"/>
          <w:szCs w:val="21"/>
        </w:rPr>
        <w:fldChar w:fldCharType="end"/>
      </w:r>
      <w:r>
        <w:rPr>
          <w:szCs w:val="21"/>
        </w:rPr>
        <w:t> </w:t>
      </w:r>
      <w:r>
        <w:rPr>
          <w:rFonts w:hint="eastAsia"/>
          <w:szCs w:val="21"/>
        </w:rPr>
        <w:t>著，华中科技大学出版社，2022年</w:t>
      </w:r>
    </w:p>
    <w:p>
      <w:pPr>
        <w:adjustRightInd w:val="0"/>
        <w:snapToGrid w:val="0"/>
        <w:spacing w:line="360" w:lineRule="auto"/>
        <w:ind w:firstLine="420"/>
        <w:rPr>
          <w:szCs w:val="21"/>
        </w:rPr>
      </w:pPr>
      <w:r>
        <w:rPr>
          <w:rFonts w:hint="eastAsia"/>
          <w:szCs w:val="21"/>
        </w:rPr>
        <w:t>（5）</w:t>
      </w:r>
      <w:r>
        <w:rPr>
          <w:rFonts w:ascii="pingfangSC" w:hAnsi="pingfangSC" w:eastAsia="pingfangSC" w:cs="pingfangSC"/>
          <w:szCs w:val="21"/>
          <w:shd w:val="clear" w:color="auto" w:fill="FFFFFF"/>
        </w:rPr>
        <w:t>高级生物统计学</w:t>
      </w:r>
      <w:r>
        <w:rPr>
          <w:rFonts w:hint="eastAsia"/>
          <w:szCs w:val="21"/>
        </w:rPr>
        <w:t>，</w:t>
      </w:r>
      <w:r>
        <w:fldChar w:fldCharType="begin"/>
      </w:r>
      <w:r>
        <w:instrText xml:space="preserve"> HYPERLINK "https://book.jd.com/writer/%E5%88%98%E6%B0%B8%E5%BB%BA_1.html" \t "https://item.jd.com/_blank" </w:instrText>
      </w:r>
      <w:r>
        <w:fldChar w:fldCharType="separate"/>
      </w:r>
      <w:r>
        <w:rPr>
          <w:rFonts w:hint="eastAsia" w:ascii="pingfangSC" w:hAnsi="pingfangSC" w:eastAsia="pingfangSC" w:cs="pingfangSC"/>
          <w:szCs w:val="21"/>
        </w:rPr>
        <w:t>刘永建</w:t>
      </w:r>
      <w:r>
        <w:rPr>
          <w:rFonts w:hint="eastAsia" w:ascii="pingfangSC" w:hAnsi="pingfangSC" w:eastAsia="pingfangSC" w:cs="pingfangSC"/>
          <w:szCs w:val="21"/>
        </w:rPr>
        <w:fldChar w:fldCharType="end"/>
      </w:r>
      <w:r>
        <w:rPr>
          <w:rFonts w:ascii="pingfangSC" w:hAnsi="pingfangSC" w:eastAsia="pingfangSC" w:cs="pingfangSC"/>
          <w:szCs w:val="21"/>
          <w:shd w:val="clear" w:color="auto" w:fill="FFFFFF"/>
        </w:rPr>
        <w:t> </w:t>
      </w:r>
      <w:r>
        <w:rPr>
          <w:rFonts w:hint="eastAsia"/>
          <w:szCs w:val="21"/>
        </w:rPr>
        <w:t>著，科学出版社，2022年</w:t>
      </w:r>
    </w:p>
    <w:p>
      <w:pPr>
        <w:widowControl/>
        <w:adjustRightInd w:val="0"/>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 xml:space="preserve">： </w:t>
      </w:r>
    </w:p>
    <w:p>
      <w:pPr>
        <w:widowControl/>
        <w:adjustRightInd w:val="0"/>
        <w:snapToGrid w:val="0"/>
        <w:spacing w:line="360" w:lineRule="auto"/>
        <w:ind w:firstLine="420" w:firstLineChars="200"/>
        <w:jc w:val="left"/>
        <w:rPr>
          <w:szCs w:val="21"/>
        </w:rPr>
      </w:pPr>
      <w:r>
        <w:rPr>
          <w:rFonts w:hint="eastAsia" w:ascii="宋体" w:hAnsi="宋体"/>
          <w:szCs w:val="21"/>
        </w:rPr>
        <w:t>（</w:t>
      </w:r>
      <w:r>
        <w:rPr>
          <w:szCs w:val="21"/>
        </w:rPr>
        <w:t>1）</w:t>
      </w:r>
      <w:r>
        <w:rPr>
          <w:kern w:val="0"/>
        </w:rPr>
        <w:t>超星学习通平台，</w:t>
      </w:r>
      <w:r>
        <w:rPr>
          <w:szCs w:val="21"/>
        </w:rPr>
        <w:t>http://henau.fanya.chaoxing.com/portal</w:t>
      </w:r>
    </w:p>
    <w:p>
      <w:pPr>
        <w:widowControl/>
        <w:adjustRightInd w:val="0"/>
        <w:snapToGrid w:val="0"/>
        <w:spacing w:line="360" w:lineRule="auto"/>
        <w:ind w:firstLine="420"/>
        <w:jc w:val="left"/>
        <w:rPr>
          <w:b/>
          <w:bCs/>
          <w:kern w:val="0"/>
          <w:szCs w:val="21"/>
        </w:rPr>
      </w:pPr>
      <w:r>
        <w:rPr>
          <w:szCs w:val="21"/>
        </w:rPr>
        <w:t>（2）中国大学MOOC网，https://www.icourse163.org/</w:t>
      </w:r>
    </w:p>
    <w:p>
      <w:pPr>
        <w:widowControl/>
        <w:adjustRightInd w:val="0"/>
        <w:snapToGrid w:val="0"/>
        <w:spacing w:line="360" w:lineRule="auto"/>
        <w:ind w:firstLine="420"/>
        <w:jc w:val="left"/>
        <w:rPr>
          <w:b/>
          <w:bCs/>
          <w:kern w:val="0"/>
          <w:szCs w:val="21"/>
        </w:rPr>
      </w:pPr>
      <w:r>
        <w:rPr>
          <w:kern w:val="0"/>
        </w:rPr>
        <w:t>（3）</w:t>
      </w:r>
      <w:r>
        <w:rPr>
          <w:szCs w:val="21"/>
        </w:rPr>
        <w:t>中国统计网，http://www.itongji.cn/cms/article/index</w:t>
      </w:r>
    </w:p>
    <w:p>
      <w:pPr>
        <w:widowControl/>
        <w:adjustRightInd w:val="0"/>
        <w:snapToGrid w:val="0"/>
        <w:spacing w:line="360" w:lineRule="auto"/>
        <w:ind w:firstLine="420" w:firstLineChars="200"/>
        <w:jc w:val="left"/>
        <w:rPr>
          <w:rFonts w:ascii="宋体" w:hAnsi="宋体"/>
          <w:szCs w:val="21"/>
        </w:rPr>
      </w:pPr>
      <w:r>
        <w:rPr>
          <w:rFonts w:hint="eastAsia" w:ascii="宋体" w:hAnsi="宋体"/>
          <w:szCs w:val="21"/>
        </w:rPr>
        <w:t>（4）部分统计软件网站</w:t>
      </w:r>
    </w:p>
    <w:p>
      <w:pPr>
        <w:widowControl/>
        <w:adjustRightInd w:val="0"/>
        <w:snapToGrid w:val="0"/>
        <w:spacing w:line="360" w:lineRule="auto"/>
        <w:ind w:firstLine="840" w:firstLineChars="400"/>
        <w:jc w:val="left"/>
        <w:rPr>
          <w:szCs w:val="21"/>
        </w:rPr>
      </w:pPr>
      <w:r>
        <w:rPr>
          <w:szCs w:val="21"/>
        </w:rPr>
        <w:t>Excel：https://www.microsoft.com/zh-cn/microsoft-365</w:t>
      </w:r>
    </w:p>
    <w:p>
      <w:pPr>
        <w:widowControl/>
        <w:adjustRightInd w:val="0"/>
        <w:snapToGrid w:val="0"/>
        <w:spacing w:line="360" w:lineRule="auto"/>
        <w:ind w:firstLine="840" w:firstLineChars="400"/>
        <w:jc w:val="left"/>
        <w:rPr>
          <w:szCs w:val="21"/>
        </w:rPr>
      </w:pPr>
      <w:r>
        <w:rPr>
          <w:szCs w:val="21"/>
        </w:rPr>
        <w:t>SPSS：https://www.ibm.com/products/spss-statistics</w:t>
      </w:r>
    </w:p>
    <w:p>
      <w:pPr>
        <w:widowControl/>
        <w:adjustRightInd w:val="0"/>
        <w:snapToGrid w:val="0"/>
        <w:spacing w:line="360" w:lineRule="auto"/>
        <w:ind w:firstLine="840" w:firstLineChars="400"/>
        <w:jc w:val="left"/>
        <w:rPr>
          <w:szCs w:val="21"/>
        </w:rPr>
      </w:pPr>
      <w:r>
        <w:rPr>
          <w:szCs w:val="21"/>
        </w:rPr>
        <w:t>Origin：https://www.originlab.com/</w:t>
      </w:r>
    </w:p>
    <w:p>
      <w:pPr>
        <w:widowControl/>
        <w:adjustRightInd w:val="0"/>
        <w:snapToGrid w:val="0"/>
        <w:spacing w:line="360" w:lineRule="auto"/>
        <w:ind w:firstLine="420" w:firstLineChars="200"/>
        <w:jc w:val="left"/>
        <w:rPr>
          <w:szCs w:val="21"/>
        </w:rPr>
      </w:pPr>
      <w:r>
        <w:rPr>
          <w:szCs w:val="21"/>
        </w:rPr>
        <w:t xml:space="preserve">    GraphPad Prism：https://www.graphpad-prism.cn/</w:t>
      </w:r>
    </w:p>
    <w:p>
      <w:pPr>
        <w:widowControl/>
        <w:adjustRightInd w:val="0"/>
        <w:snapToGrid w:val="0"/>
        <w:spacing w:line="360" w:lineRule="auto"/>
        <w:ind w:firstLine="840" w:firstLineChars="400"/>
        <w:jc w:val="left"/>
        <w:rPr>
          <w:szCs w:val="21"/>
        </w:rPr>
      </w:pPr>
      <w:r>
        <w:rPr>
          <w:szCs w:val="21"/>
        </w:rPr>
        <w:t>R：https://www.r-project.org/</w:t>
      </w:r>
    </w:p>
    <w:p>
      <w:pPr>
        <w:widowControl/>
        <w:adjustRightInd w:val="0"/>
        <w:snapToGrid w:val="0"/>
        <w:spacing w:line="360" w:lineRule="auto"/>
        <w:ind w:firstLine="840" w:firstLineChars="400"/>
        <w:jc w:val="left"/>
        <w:rPr>
          <w:szCs w:val="21"/>
        </w:rPr>
      </w:pPr>
      <w:r>
        <w:rPr>
          <w:szCs w:val="21"/>
        </w:rPr>
        <w:t>Python：https://www.python.org/</w:t>
      </w:r>
    </w:p>
    <w:p>
      <w:pPr>
        <w:widowControl/>
        <w:adjustRightInd w:val="0"/>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adjustRightInd w:val="0"/>
        <w:snapToGrid w:val="0"/>
        <w:spacing w:line="360" w:lineRule="auto"/>
        <w:ind w:firstLine="420" w:firstLineChars="200"/>
        <w:rPr>
          <w:rFonts w:cs="宋体"/>
          <w:bCs/>
          <w:kern w:val="0"/>
          <w:szCs w:val="21"/>
        </w:rPr>
      </w:pPr>
      <w:r>
        <w:rPr>
          <w:rFonts w:hint="eastAsia" w:cs="宋体"/>
          <w:bCs/>
          <w:kern w:val="0"/>
          <w:szCs w:val="21"/>
        </w:rPr>
        <w:t>1. 需要师资情况：每个课头需要教师2~3人，试验设计与统计分析课题组现有教师</w:t>
      </w:r>
      <w:r>
        <w:rPr>
          <w:rFonts w:cs="宋体"/>
          <w:bCs/>
          <w:kern w:val="0"/>
          <w:szCs w:val="21"/>
        </w:rPr>
        <w:t>8</w:t>
      </w:r>
      <w:r>
        <w:rPr>
          <w:rFonts w:hint="eastAsia" w:cs="宋体"/>
          <w:bCs/>
          <w:kern w:val="0"/>
          <w:szCs w:val="21"/>
        </w:rPr>
        <w:t>人，承担3个专业的《试验设计与统计分析》课程的授课任务。</w:t>
      </w:r>
    </w:p>
    <w:p>
      <w:pPr>
        <w:adjustRightInd w:val="0"/>
        <w:snapToGrid w:val="0"/>
        <w:spacing w:line="360" w:lineRule="auto"/>
        <w:ind w:firstLine="420" w:firstLineChars="200"/>
        <w:rPr>
          <w:rFonts w:cs="宋体"/>
          <w:bCs/>
          <w:kern w:val="0"/>
          <w:szCs w:val="21"/>
        </w:rPr>
      </w:pPr>
      <w:r>
        <w:rPr>
          <w:rFonts w:hint="eastAsia" w:cs="宋体"/>
          <w:bCs/>
          <w:kern w:val="0"/>
          <w:szCs w:val="21"/>
        </w:rPr>
        <w:t>2. 场地：多媒体教室和计算机室。</w:t>
      </w:r>
    </w:p>
    <w:p>
      <w:pPr>
        <w:adjustRightInd w:val="0"/>
        <w:snapToGrid w:val="0"/>
        <w:spacing w:line="360" w:lineRule="auto"/>
        <w:ind w:firstLine="420" w:firstLineChars="200"/>
        <w:rPr>
          <w:rFonts w:hAnsi="宋体"/>
          <w:b/>
          <w:bCs/>
          <w:kern w:val="0"/>
          <w:szCs w:val="21"/>
        </w:rPr>
      </w:pPr>
      <w:r>
        <w:rPr>
          <w:rFonts w:hint="eastAsia" w:cs="宋体"/>
          <w:bCs/>
          <w:kern w:val="0"/>
          <w:szCs w:val="21"/>
        </w:rPr>
        <w:t>3. 实验条件：统计计算器、计算机及Excel、DPS、SPSS等相关统计软件。</w:t>
      </w:r>
    </w:p>
    <w:p>
      <w:pPr>
        <w:widowControl/>
        <w:adjustRightInd w:val="0"/>
        <w:snapToGrid w:val="0"/>
        <w:spacing w:line="360" w:lineRule="auto"/>
        <w:jc w:val="left"/>
        <w:rPr>
          <w:rFonts w:hAnsi="宋体"/>
          <w:b/>
          <w:bCs/>
          <w:kern w:val="0"/>
          <w:szCs w:val="21"/>
        </w:rPr>
      </w:pPr>
      <w:r>
        <w:rPr>
          <w:rFonts w:hint="eastAsia" w:hAnsi="宋体"/>
          <w:b/>
          <w:bCs/>
          <w:kern w:val="0"/>
          <w:szCs w:val="21"/>
        </w:rPr>
        <w:t>九、教学考核评价</w:t>
      </w:r>
    </w:p>
    <w:p>
      <w:pPr>
        <w:adjustRightInd w:val="0"/>
        <w:snapToGrid w:val="0"/>
        <w:spacing w:line="360" w:lineRule="auto"/>
        <w:ind w:firstLine="422" w:firstLineChars="200"/>
        <w:rPr>
          <w:rFonts w:cs="宋体"/>
          <w:bCs/>
          <w:kern w:val="0"/>
          <w:szCs w:val="21"/>
        </w:rPr>
      </w:pPr>
      <w:r>
        <w:rPr>
          <w:rFonts w:hint="eastAsia" w:hAnsi="宋体"/>
          <w:b/>
          <w:bCs/>
          <w:kern w:val="0"/>
          <w:szCs w:val="21"/>
        </w:rPr>
        <w:t>1.过程性评价：</w:t>
      </w:r>
      <w:r>
        <w:rPr>
          <w:rFonts w:hint="eastAsia" w:cs="宋体"/>
          <w:bCs/>
          <w:kern w:val="0"/>
          <w:szCs w:val="21"/>
        </w:rPr>
        <w:t>过程性评价包括课前预习情况、学生出勤情况、课堂表现情况（如翻转课堂及讨论的参与度、提出与回答问题的积极性和质量等）、线上学习讨论与线上线下测验情况、实验报告（包括线上与线下实践、上机操作等）完成情况及成绩等，采用多元化综合考核评价方法；占比4</w:t>
      </w:r>
      <w:r>
        <w:rPr>
          <w:rFonts w:cs="宋体"/>
          <w:bCs/>
          <w:kern w:val="0"/>
          <w:szCs w:val="21"/>
        </w:rPr>
        <w:t>0%-60%</w:t>
      </w:r>
      <w:r>
        <w:rPr>
          <w:rFonts w:hint="eastAsia" w:cs="宋体"/>
          <w:bCs/>
          <w:kern w:val="0"/>
          <w:szCs w:val="21"/>
        </w:rPr>
        <w:t>。</w:t>
      </w:r>
    </w:p>
    <w:p>
      <w:pPr>
        <w:widowControl/>
        <w:adjustRightInd w:val="0"/>
        <w:snapToGrid w:val="0"/>
        <w:spacing w:line="360" w:lineRule="auto"/>
        <w:ind w:firstLine="420"/>
        <w:jc w:val="left"/>
        <w:rPr>
          <w:rFonts w:hAnsi="宋体"/>
          <w:b/>
          <w:bCs/>
          <w:color w:val="0000FF"/>
          <w:kern w:val="0"/>
          <w:szCs w:val="21"/>
        </w:rPr>
      </w:pPr>
      <w:r>
        <w:rPr>
          <w:rFonts w:hint="eastAsia" w:hAnsi="宋体"/>
          <w:b/>
          <w:bCs/>
          <w:kern w:val="0"/>
          <w:szCs w:val="21"/>
        </w:rPr>
        <w:t>2.终结性评价：</w:t>
      </w:r>
      <w:r>
        <w:rPr>
          <w:rFonts w:hint="eastAsia" w:hAnsi="宋体"/>
          <w:kern w:val="0"/>
          <w:szCs w:val="21"/>
        </w:rPr>
        <w:t>笔试（</w:t>
      </w:r>
      <w:r>
        <w:rPr>
          <w:rFonts w:hint="eastAsia" w:hAnsi="宋体"/>
          <w:bCs/>
          <w:kern w:val="0"/>
          <w:szCs w:val="21"/>
        </w:rPr>
        <w:t>闭卷或有限开卷考试</w:t>
      </w:r>
      <w:r>
        <w:rPr>
          <w:rFonts w:hint="eastAsia" w:hAnsi="宋体"/>
          <w:kern w:val="0"/>
          <w:szCs w:val="21"/>
        </w:rPr>
        <w:t>），或其它</w:t>
      </w:r>
      <w:r>
        <w:rPr>
          <w:rFonts w:hint="eastAsia" w:hAnsi="宋体"/>
          <w:bCs/>
          <w:kern w:val="0"/>
          <w:szCs w:val="21"/>
        </w:rPr>
        <w:t>；占比40</w:t>
      </w:r>
      <w:r>
        <w:rPr>
          <w:rFonts w:hAnsi="宋体"/>
          <w:bCs/>
          <w:kern w:val="0"/>
          <w:szCs w:val="21"/>
        </w:rPr>
        <w:t>%-60%</w:t>
      </w:r>
      <w:r>
        <w:rPr>
          <w:rFonts w:hint="eastAsia" w:hAnsi="宋体"/>
          <w:bCs/>
          <w:kern w:val="0"/>
          <w:szCs w:val="21"/>
        </w:rPr>
        <w:t>。</w:t>
      </w:r>
    </w:p>
    <w:p>
      <w:pPr>
        <w:widowControl/>
        <w:adjustRightInd w:val="0"/>
        <w:snapToGrid w:val="0"/>
        <w:spacing w:line="360" w:lineRule="auto"/>
        <w:ind w:firstLine="420"/>
        <w:jc w:val="left"/>
        <w:rPr>
          <w:rFonts w:ascii="宋体" w:hAnsi="宋体"/>
        </w:rPr>
      </w:pPr>
      <w:r>
        <w:rPr>
          <w:rFonts w:hint="eastAsia" w:hAnsi="宋体"/>
          <w:b/>
          <w:bCs/>
          <w:kern w:val="0"/>
          <w:szCs w:val="21"/>
        </w:rPr>
        <w:t>3.课程综合评价：</w:t>
      </w:r>
      <w:r>
        <w:rPr>
          <w:rFonts w:hint="eastAsia" w:cs="宋体"/>
          <w:bCs/>
          <w:kern w:val="0"/>
          <w:szCs w:val="21"/>
        </w:rPr>
        <w:t>过程性评价×（4</w:t>
      </w:r>
      <w:r>
        <w:rPr>
          <w:rFonts w:cs="宋体"/>
          <w:bCs/>
          <w:kern w:val="0"/>
          <w:szCs w:val="21"/>
        </w:rPr>
        <w:t>0%-60%</w:t>
      </w:r>
      <w:r>
        <w:rPr>
          <w:rFonts w:hint="eastAsia" w:cs="宋体"/>
          <w:bCs/>
          <w:kern w:val="0"/>
          <w:szCs w:val="21"/>
        </w:rPr>
        <w:t>）+</w:t>
      </w:r>
      <w:r>
        <w:rPr>
          <w:rFonts w:cs="宋体"/>
          <w:bCs/>
          <w:kern w:val="0"/>
          <w:szCs w:val="21"/>
        </w:rPr>
        <w:t xml:space="preserve"> </w:t>
      </w:r>
      <w:r>
        <w:rPr>
          <w:rFonts w:hint="eastAsia" w:cs="宋体"/>
          <w:bCs/>
          <w:kern w:val="0"/>
          <w:szCs w:val="21"/>
        </w:rPr>
        <w:t>终结性评价×（</w:t>
      </w:r>
      <w:r>
        <w:rPr>
          <w:rFonts w:hint="eastAsia" w:hAnsi="宋体"/>
          <w:bCs/>
          <w:kern w:val="0"/>
          <w:szCs w:val="21"/>
        </w:rPr>
        <w:t>40</w:t>
      </w:r>
      <w:r>
        <w:rPr>
          <w:rFonts w:hAnsi="宋体"/>
          <w:bCs/>
          <w:kern w:val="0"/>
          <w:szCs w:val="21"/>
        </w:rPr>
        <w:t>%-60%</w:t>
      </w:r>
      <w:r>
        <w:rPr>
          <w:rFonts w:hint="eastAsia" w:hAnsi="宋体"/>
          <w:bCs/>
          <w:kern w:val="0"/>
          <w:szCs w:val="21"/>
        </w:rPr>
        <w:t>）。</w:t>
      </w:r>
    </w:p>
    <w:p>
      <w:pPr>
        <w:pStyle w:val="21"/>
        <w:rPr>
          <w:bCs w:val="0"/>
          <w:szCs w:val="28"/>
        </w:rPr>
      </w:pPr>
      <w:bookmarkStart w:id="168" w:name="_Toc9790"/>
      <w:bookmarkStart w:id="169" w:name="_Toc138076612"/>
      <w:bookmarkStart w:id="170" w:name="_Toc138070428"/>
      <w:bookmarkStart w:id="171" w:name="_Toc138076317"/>
      <w:bookmarkStart w:id="172" w:name="_Toc138076068"/>
      <w:bookmarkStart w:id="173" w:name="_Toc138070698"/>
      <w:bookmarkStart w:id="174" w:name="_Toc138068798"/>
      <w:bookmarkStart w:id="175" w:name="_Toc19459"/>
    </w:p>
    <w:p>
      <w:pPr>
        <w:pStyle w:val="21"/>
        <w:rPr>
          <w:bCs w:val="0"/>
          <w:szCs w:val="28"/>
        </w:rPr>
      </w:pPr>
    </w:p>
    <w:p>
      <w:pPr>
        <w:pStyle w:val="21"/>
        <w:rPr>
          <w:bCs w:val="0"/>
          <w:szCs w:val="28"/>
        </w:rPr>
      </w:pPr>
    </w:p>
    <w:p>
      <w:pPr>
        <w:pStyle w:val="21"/>
        <w:rPr>
          <w:bCs w:val="0"/>
          <w:szCs w:val="28"/>
        </w:rPr>
      </w:pPr>
    </w:p>
    <w:p>
      <w:pPr>
        <w:pStyle w:val="21"/>
        <w:rPr>
          <w:bCs w:val="0"/>
          <w:szCs w:val="28"/>
        </w:rPr>
      </w:pPr>
    </w:p>
    <w:p>
      <w:pPr>
        <w:pStyle w:val="21"/>
        <w:rPr>
          <w:bCs w:val="0"/>
          <w:szCs w:val="28"/>
        </w:rPr>
      </w:pPr>
    </w:p>
    <w:p>
      <w:pPr>
        <w:pStyle w:val="21"/>
        <w:rPr>
          <w:bCs w:val="0"/>
          <w:szCs w:val="28"/>
        </w:rPr>
      </w:pPr>
    </w:p>
    <w:p>
      <w:pPr>
        <w:pStyle w:val="21"/>
        <w:rPr>
          <w:bCs w:val="0"/>
          <w:szCs w:val="28"/>
        </w:rPr>
      </w:pPr>
    </w:p>
    <w:p>
      <w:pPr>
        <w:widowControl/>
        <w:jc w:val="left"/>
        <w:rPr>
          <w:rFonts w:asciiTheme="majorHAnsi" w:hAnsiTheme="majorHAnsi" w:eastAsiaTheme="majorEastAsia" w:cstheme="majorBidi"/>
          <w:b/>
          <w:sz w:val="32"/>
          <w:szCs w:val="28"/>
        </w:rPr>
      </w:pPr>
      <w:r>
        <w:rPr>
          <w:bCs/>
          <w:szCs w:val="28"/>
        </w:rPr>
        <w:br w:type="page"/>
      </w:r>
    </w:p>
    <w:p>
      <w:pPr>
        <w:pStyle w:val="21"/>
        <w:rPr>
          <w:sz w:val="28"/>
          <w:szCs w:val="28"/>
        </w:rPr>
      </w:pPr>
      <w:r>
        <w:rPr>
          <w:rFonts w:hint="eastAsia"/>
          <w:bCs w:val="0"/>
          <w:sz w:val="28"/>
          <w:szCs w:val="28"/>
        </w:rPr>
        <w:t>设施园艺学</w:t>
      </w:r>
      <w:bookmarkEnd w:id="168"/>
      <w:bookmarkEnd w:id="169"/>
      <w:bookmarkEnd w:id="170"/>
      <w:bookmarkEnd w:id="171"/>
      <w:bookmarkEnd w:id="172"/>
      <w:bookmarkEnd w:id="173"/>
      <w:bookmarkEnd w:id="174"/>
      <w:bookmarkEnd w:id="175"/>
    </w:p>
    <w:p>
      <w:pPr>
        <w:shd w:val="solid" w:color="FFFFFF" w:fill="auto"/>
        <w:autoSpaceDN w:val="0"/>
        <w:spacing w:line="360" w:lineRule="auto"/>
        <w:ind w:right="369"/>
        <w:jc w:val="center"/>
        <w:rPr>
          <w:bCs/>
          <w:iCs/>
          <w:sz w:val="24"/>
          <w:shd w:val="clear" w:color="auto" w:fill="FFFFFF"/>
        </w:rPr>
      </w:pPr>
      <w:r>
        <w:rPr>
          <w:bCs/>
          <w:iCs/>
          <w:sz w:val="24"/>
        </w:rPr>
        <w:t>（</w:t>
      </w:r>
      <w:r>
        <w:rPr>
          <w:sz w:val="24"/>
          <w:shd w:val="clear" w:color="auto" w:fill="FFFFFF"/>
        </w:rPr>
        <w:t>Science of Protected Horticulture</w:t>
      </w:r>
      <w:r>
        <w:rPr>
          <w:bCs/>
          <w:iCs/>
          <w:sz w:val="24"/>
          <w:shd w:val="clear" w:color="auto" w:fill="FFFFFF"/>
        </w:rPr>
        <w:t>)</w:t>
      </w:r>
    </w:p>
    <w:p>
      <w:pPr>
        <w:shd w:val="solid" w:color="FFFFFF" w:fill="auto"/>
        <w:autoSpaceDN w:val="0"/>
        <w:spacing w:line="360" w:lineRule="auto"/>
        <w:ind w:right="369"/>
        <w:jc w:val="center"/>
        <w:rPr>
          <w:bCs/>
          <w:iCs/>
          <w:sz w:val="24"/>
          <w:shd w:val="clear" w:color="auto" w:fill="FFFFFF"/>
        </w:rPr>
      </w:pPr>
    </w:p>
    <w:p>
      <w:pPr>
        <w:snapToGrid w:val="0"/>
        <w:spacing w:line="360" w:lineRule="auto"/>
        <w:jc w:val="center"/>
        <w:rPr>
          <w:b/>
          <w:szCs w:val="21"/>
        </w:rPr>
      </w:pPr>
      <w:r>
        <w:rPr>
          <w:b/>
          <w:szCs w:val="21"/>
        </w:rPr>
        <w:t>课程基本信息</w:t>
      </w:r>
    </w:p>
    <w:tbl>
      <w:tblPr>
        <w:tblStyle w:val="22"/>
        <w:tblW w:w="5114" w:type="pct"/>
        <w:tblInd w:w="0" w:type="dxa"/>
        <w:tblLayout w:type="autofit"/>
        <w:tblCellMar>
          <w:top w:w="0" w:type="dxa"/>
          <w:left w:w="108" w:type="dxa"/>
          <w:bottom w:w="0" w:type="dxa"/>
          <w:right w:w="108" w:type="dxa"/>
        </w:tblCellMar>
      </w:tblPr>
      <w:tblGrid>
        <w:gridCol w:w="3107"/>
        <w:gridCol w:w="2924"/>
        <w:gridCol w:w="3293"/>
      </w:tblGrid>
      <w:tr>
        <w:tblPrEx>
          <w:tblCellMar>
            <w:top w:w="0" w:type="dxa"/>
            <w:left w:w="108" w:type="dxa"/>
            <w:bottom w:w="0" w:type="dxa"/>
            <w:right w:w="108" w:type="dxa"/>
          </w:tblCellMar>
        </w:tblPrEx>
        <w:trPr>
          <w:trHeight w:val="424" w:hRule="atLeast"/>
        </w:trPr>
        <w:tc>
          <w:tcPr>
            <w:tcW w:w="1666" w:type="pct"/>
          </w:tcPr>
          <w:p>
            <w:pPr>
              <w:spacing w:line="300" w:lineRule="auto"/>
              <w:rPr>
                <w:b/>
                <w:bCs/>
                <w:szCs w:val="21"/>
              </w:rPr>
            </w:pPr>
            <w:r>
              <w:rPr>
                <w:b/>
                <w:bCs/>
                <w:szCs w:val="21"/>
              </w:rPr>
              <w:t>课程编号：</w:t>
            </w:r>
            <w:r>
              <w:rPr>
                <w:b/>
                <w:szCs w:val="21"/>
                <w:shd w:val="clear" w:color="auto" w:fill="FFFFFF"/>
              </w:rPr>
              <w:t>19011008h</w:t>
            </w:r>
          </w:p>
        </w:tc>
        <w:tc>
          <w:tcPr>
            <w:tcW w:w="1568" w:type="pct"/>
          </w:tcPr>
          <w:p>
            <w:pPr>
              <w:spacing w:line="300" w:lineRule="auto"/>
              <w:rPr>
                <w:b/>
                <w:bCs/>
                <w:szCs w:val="21"/>
              </w:rPr>
            </w:pPr>
            <w:r>
              <w:rPr>
                <w:b/>
                <w:bCs/>
                <w:szCs w:val="21"/>
              </w:rPr>
              <w:t>课程总学时：56</w:t>
            </w:r>
          </w:p>
        </w:tc>
        <w:tc>
          <w:tcPr>
            <w:tcW w:w="1766" w:type="pct"/>
          </w:tcPr>
          <w:p>
            <w:pPr>
              <w:spacing w:line="300" w:lineRule="auto"/>
              <w:rPr>
                <w:b/>
                <w:bCs/>
                <w:szCs w:val="21"/>
              </w:rPr>
            </w:pPr>
            <w:r>
              <w:rPr>
                <w:b/>
                <w:bCs/>
                <w:szCs w:val="21"/>
              </w:rPr>
              <w:t>实验学时：  16学时</w:t>
            </w:r>
          </w:p>
        </w:tc>
      </w:tr>
      <w:tr>
        <w:tblPrEx>
          <w:tblCellMar>
            <w:top w:w="0" w:type="dxa"/>
            <w:left w:w="108" w:type="dxa"/>
            <w:bottom w:w="0" w:type="dxa"/>
            <w:right w:w="108" w:type="dxa"/>
          </w:tblCellMar>
        </w:tblPrEx>
        <w:trPr>
          <w:trHeight w:val="412" w:hRule="atLeast"/>
        </w:trPr>
        <w:tc>
          <w:tcPr>
            <w:tcW w:w="1666" w:type="pct"/>
          </w:tcPr>
          <w:p>
            <w:pPr>
              <w:spacing w:line="300" w:lineRule="auto"/>
              <w:rPr>
                <w:b/>
                <w:bCs/>
                <w:szCs w:val="21"/>
              </w:rPr>
            </w:pPr>
            <w:r>
              <w:rPr>
                <w:b/>
                <w:bCs/>
                <w:szCs w:val="21"/>
              </w:rPr>
              <w:t>课程性质：必修</w:t>
            </w:r>
          </w:p>
        </w:tc>
        <w:tc>
          <w:tcPr>
            <w:tcW w:w="1568" w:type="pct"/>
          </w:tcPr>
          <w:p>
            <w:pPr>
              <w:spacing w:line="300" w:lineRule="auto"/>
              <w:rPr>
                <w:b/>
                <w:bCs/>
                <w:szCs w:val="21"/>
              </w:rPr>
            </w:pPr>
            <w:r>
              <w:rPr>
                <w:b/>
                <w:szCs w:val="21"/>
              </w:rPr>
              <w:t>课程属性:</w:t>
            </w:r>
            <w:r>
              <w:rPr>
                <w:b/>
                <w:bCs/>
                <w:szCs w:val="21"/>
              </w:rPr>
              <w:t>专业类</w:t>
            </w:r>
          </w:p>
        </w:tc>
        <w:tc>
          <w:tcPr>
            <w:tcW w:w="1766" w:type="pct"/>
          </w:tcPr>
          <w:p>
            <w:pPr>
              <w:spacing w:line="300" w:lineRule="auto"/>
              <w:rPr>
                <w:b/>
                <w:bCs/>
                <w:szCs w:val="21"/>
              </w:rPr>
            </w:pPr>
            <w:r>
              <w:rPr>
                <w:b/>
                <w:bCs/>
                <w:szCs w:val="21"/>
              </w:rPr>
              <w:t>开设学期：第5学期</w:t>
            </w:r>
          </w:p>
        </w:tc>
      </w:tr>
      <w:tr>
        <w:tblPrEx>
          <w:tblCellMar>
            <w:top w:w="0" w:type="dxa"/>
            <w:left w:w="108" w:type="dxa"/>
            <w:bottom w:w="0" w:type="dxa"/>
            <w:right w:w="108" w:type="dxa"/>
          </w:tblCellMar>
        </w:tblPrEx>
        <w:trPr>
          <w:trHeight w:val="847" w:hRule="atLeast"/>
        </w:trPr>
        <w:tc>
          <w:tcPr>
            <w:tcW w:w="1666" w:type="pct"/>
          </w:tcPr>
          <w:p>
            <w:pPr>
              <w:spacing w:line="300" w:lineRule="auto"/>
              <w:rPr>
                <w:b/>
                <w:bCs/>
                <w:szCs w:val="21"/>
              </w:rPr>
            </w:pPr>
            <w:r>
              <w:rPr>
                <w:b/>
                <w:bCs/>
                <w:szCs w:val="21"/>
              </w:rPr>
              <w:t>课程负责人：肖怀娟</w:t>
            </w:r>
          </w:p>
        </w:tc>
        <w:tc>
          <w:tcPr>
            <w:tcW w:w="1568" w:type="pct"/>
          </w:tcPr>
          <w:p>
            <w:pPr>
              <w:spacing w:line="300" w:lineRule="auto"/>
              <w:rPr>
                <w:b/>
                <w:bCs/>
                <w:szCs w:val="21"/>
              </w:rPr>
            </w:pPr>
            <w:r>
              <w:rPr>
                <w:b/>
                <w:bCs/>
                <w:szCs w:val="21"/>
              </w:rPr>
              <w:t>课程团队：朴凤植、杜南山、张涛、李猛</w:t>
            </w:r>
          </w:p>
        </w:tc>
        <w:tc>
          <w:tcPr>
            <w:tcW w:w="1766" w:type="pct"/>
          </w:tcPr>
          <w:p>
            <w:pPr>
              <w:spacing w:line="300" w:lineRule="auto"/>
              <w:rPr>
                <w:b/>
                <w:bCs/>
                <w:szCs w:val="21"/>
              </w:rPr>
            </w:pPr>
            <w:r>
              <w:rPr>
                <w:b/>
                <w:bCs/>
                <w:szCs w:val="21"/>
              </w:rPr>
              <w:t>授课语言：中文</w:t>
            </w:r>
          </w:p>
        </w:tc>
      </w:tr>
      <w:tr>
        <w:tblPrEx>
          <w:tblCellMar>
            <w:top w:w="0" w:type="dxa"/>
            <w:left w:w="108" w:type="dxa"/>
            <w:bottom w:w="0" w:type="dxa"/>
            <w:right w:w="108" w:type="dxa"/>
          </w:tblCellMar>
        </w:tblPrEx>
        <w:trPr>
          <w:trHeight w:val="424" w:hRule="atLeast"/>
        </w:trPr>
        <w:tc>
          <w:tcPr>
            <w:tcW w:w="5000" w:type="pct"/>
            <w:gridSpan w:val="3"/>
          </w:tcPr>
          <w:p>
            <w:pPr>
              <w:spacing w:line="300" w:lineRule="auto"/>
              <w:ind w:right="-170" w:rightChars="-81"/>
              <w:rPr>
                <w:rFonts w:ascii="宋体" w:hAnsi="宋体"/>
                <w:bCs/>
                <w:szCs w:val="21"/>
              </w:rPr>
            </w:pPr>
            <w:r>
              <w:rPr>
                <w:rFonts w:hint="eastAsia" w:ascii="宋体" w:hAnsi="宋体"/>
                <w:b/>
                <w:bCs/>
                <w:szCs w:val="21"/>
              </w:rPr>
              <w:t>适用专业：园艺；核心</w:t>
            </w:r>
          </w:p>
        </w:tc>
      </w:tr>
      <w:tr>
        <w:tblPrEx>
          <w:tblCellMar>
            <w:top w:w="0" w:type="dxa"/>
            <w:left w:w="108" w:type="dxa"/>
            <w:bottom w:w="0" w:type="dxa"/>
            <w:right w:w="108" w:type="dxa"/>
          </w:tblCellMar>
        </w:tblPrEx>
        <w:trPr>
          <w:trHeight w:val="412" w:hRule="atLeast"/>
        </w:trPr>
        <w:tc>
          <w:tcPr>
            <w:tcW w:w="5000" w:type="pct"/>
            <w:gridSpan w:val="3"/>
          </w:tcPr>
          <w:p>
            <w:pPr>
              <w:spacing w:line="300" w:lineRule="auto"/>
              <w:rPr>
                <w:rFonts w:ascii="宋体" w:hAnsi="宋体"/>
                <w:b/>
                <w:bCs/>
                <w:szCs w:val="21"/>
              </w:rPr>
            </w:pPr>
            <w:r>
              <w:rPr>
                <w:rFonts w:hint="eastAsia" w:ascii="宋体" w:hAnsi="宋体"/>
                <w:b/>
                <w:bCs/>
                <w:szCs w:val="21"/>
              </w:rPr>
              <w:t>对先修的要求：植物学、植物生理学</w:t>
            </w:r>
          </w:p>
        </w:tc>
      </w:tr>
      <w:tr>
        <w:tblPrEx>
          <w:tblCellMar>
            <w:top w:w="0" w:type="dxa"/>
            <w:left w:w="108" w:type="dxa"/>
            <w:bottom w:w="0" w:type="dxa"/>
            <w:right w:w="108" w:type="dxa"/>
          </w:tblCellMar>
        </w:tblPrEx>
        <w:trPr>
          <w:trHeight w:val="847" w:hRule="atLeast"/>
        </w:trPr>
        <w:tc>
          <w:tcPr>
            <w:tcW w:w="5000" w:type="pct"/>
            <w:gridSpan w:val="3"/>
          </w:tcPr>
          <w:p>
            <w:pPr>
              <w:spacing w:line="300" w:lineRule="auto"/>
              <w:rPr>
                <w:rFonts w:ascii="宋体" w:hAnsi="宋体"/>
                <w:b/>
                <w:bCs/>
                <w:szCs w:val="21"/>
              </w:rPr>
            </w:pPr>
            <w:r>
              <w:rPr>
                <w:rFonts w:hint="eastAsia" w:ascii="宋体" w:hAnsi="宋体"/>
                <w:b/>
                <w:bCs/>
                <w:szCs w:val="21"/>
              </w:rPr>
              <w:t>对后续的支撑：</w:t>
            </w:r>
            <w:r>
              <w:rPr>
                <w:rFonts w:hint="eastAsia"/>
                <w:b/>
                <w:bCs w:val="0"/>
                <w:szCs w:val="21"/>
              </w:rPr>
              <w:t>对后续的《工厂化育苗原理与技术》、</w:t>
            </w:r>
            <w:r>
              <w:rPr>
                <w:b/>
                <w:bCs w:val="0"/>
                <w:szCs w:val="21"/>
              </w:rPr>
              <w:t>《</w:t>
            </w:r>
            <w:r>
              <w:rPr>
                <w:rFonts w:hint="eastAsia"/>
                <w:b/>
                <w:bCs w:val="0"/>
                <w:szCs w:val="21"/>
              </w:rPr>
              <w:t>无土栽培</w:t>
            </w:r>
            <w:r>
              <w:rPr>
                <w:b/>
                <w:bCs w:val="0"/>
                <w:szCs w:val="21"/>
              </w:rPr>
              <w:t>学》</w:t>
            </w:r>
            <w:r>
              <w:rPr>
                <w:rFonts w:hint="eastAsia"/>
                <w:b/>
                <w:bCs w:val="0"/>
                <w:szCs w:val="21"/>
              </w:rPr>
              <w:t>、《设施装备与智能化》课程</w:t>
            </w:r>
            <w:r>
              <w:rPr>
                <w:b/>
                <w:bCs w:val="0"/>
                <w:szCs w:val="21"/>
              </w:rPr>
              <w:t>中</w:t>
            </w:r>
            <w:r>
              <w:rPr>
                <w:rFonts w:hint="eastAsia"/>
                <w:b/>
                <w:bCs w:val="0"/>
                <w:szCs w:val="21"/>
              </w:rPr>
              <w:t>的</w:t>
            </w:r>
            <w:r>
              <w:rPr>
                <w:b/>
                <w:bCs w:val="0"/>
                <w:szCs w:val="21"/>
              </w:rPr>
              <w:t>育苗</w:t>
            </w:r>
            <w:r>
              <w:rPr>
                <w:rFonts w:hint="eastAsia"/>
                <w:b/>
                <w:bCs w:val="0"/>
                <w:szCs w:val="21"/>
              </w:rPr>
              <w:t>设施、</w:t>
            </w:r>
            <w:r>
              <w:rPr>
                <w:b/>
                <w:bCs w:val="0"/>
                <w:szCs w:val="21"/>
              </w:rPr>
              <w:t>栽培设施</w:t>
            </w:r>
            <w:r>
              <w:rPr>
                <w:rFonts w:hint="eastAsia"/>
                <w:b/>
                <w:bCs w:val="0"/>
                <w:szCs w:val="21"/>
              </w:rPr>
              <w:t>类型</w:t>
            </w:r>
            <w:r>
              <w:rPr>
                <w:b/>
                <w:bCs w:val="0"/>
                <w:szCs w:val="21"/>
              </w:rPr>
              <w:t>及</w:t>
            </w:r>
            <w:r>
              <w:rPr>
                <w:rFonts w:hint="eastAsia"/>
                <w:b/>
                <w:bCs w:val="0"/>
                <w:szCs w:val="21"/>
              </w:rPr>
              <w:t>管理技术</w:t>
            </w:r>
            <w:r>
              <w:rPr>
                <w:b/>
                <w:bCs w:val="0"/>
                <w:szCs w:val="21"/>
              </w:rPr>
              <w:t>要点</w:t>
            </w:r>
            <w:r>
              <w:rPr>
                <w:rFonts w:hint="eastAsia"/>
                <w:b/>
                <w:bCs w:val="0"/>
                <w:szCs w:val="21"/>
              </w:rPr>
              <w:t>提供理论和</w:t>
            </w:r>
            <w:r>
              <w:rPr>
                <w:b/>
                <w:bCs w:val="0"/>
                <w:szCs w:val="21"/>
              </w:rPr>
              <w:t>技术</w:t>
            </w:r>
            <w:r>
              <w:rPr>
                <w:rFonts w:hint="eastAsia"/>
                <w:b/>
                <w:bCs w:val="0"/>
                <w:szCs w:val="21"/>
              </w:rPr>
              <w:t>支撑。</w:t>
            </w:r>
          </w:p>
        </w:tc>
      </w:tr>
    </w:tbl>
    <w:p>
      <w:pPr>
        <w:rPr>
          <w:vanish/>
        </w:rPr>
      </w:pPr>
    </w:p>
    <w:tbl>
      <w:tblPr>
        <w:tblStyle w:val="22"/>
        <w:tblW w:w="5100" w:type="pct"/>
        <w:tblInd w:w="0" w:type="dxa"/>
        <w:tblLayout w:type="autofit"/>
        <w:tblCellMar>
          <w:top w:w="0" w:type="dxa"/>
          <w:left w:w="108" w:type="dxa"/>
          <w:bottom w:w="0" w:type="dxa"/>
          <w:right w:w="108" w:type="dxa"/>
        </w:tblCellMar>
      </w:tblPr>
      <w:tblGrid>
        <w:gridCol w:w="3249"/>
        <w:gridCol w:w="2834"/>
        <w:gridCol w:w="3215"/>
      </w:tblGrid>
      <w:tr>
        <w:tc>
          <w:tcPr>
            <w:tcW w:w="1747" w:type="pct"/>
          </w:tcPr>
          <w:p>
            <w:pPr>
              <w:spacing w:line="300" w:lineRule="auto"/>
              <w:rPr>
                <w:rFonts w:ascii="宋体" w:hAnsi="宋体"/>
                <w:b/>
                <w:bCs/>
                <w:szCs w:val="21"/>
              </w:rPr>
            </w:pPr>
            <w:r>
              <w:rPr>
                <w:rFonts w:hint="eastAsia" w:ascii="宋体" w:hAnsi="宋体"/>
                <w:b/>
                <w:bCs/>
                <w:szCs w:val="21"/>
              </w:rPr>
              <w:t>主撰人：李猛</w:t>
            </w:r>
          </w:p>
        </w:tc>
        <w:tc>
          <w:tcPr>
            <w:tcW w:w="1524" w:type="pct"/>
          </w:tcPr>
          <w:p>
            <w:pPr>
              <w:spacing w:line="300" w:lineRule="auto"/>
              <w:rPr>
                <w:rFonts w:ascii="宋体" w:hAnsi="宋体"/>
                <w:b/>
                <w:bCs/>
                <w:szCs w:val="21"/>
              </w:rPr>
            </w:pPr>
            <w:r>
              <w:rPr>
                <w:rFonts w:hint="eastAsia" w:ascii="宋体" w:hAnsi="宋体"/>
                <w:b/>
                <w:bCs/>
                <w:szCs w:val="21"/>
              </w:rPr>
              <w:t>审核人：肖怀娟</w:t>
            </w:r>
          </w:p>
        </w:tc>
        <w:tc>
          <w:tcPr>
            <w:tcW w:w="1729"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b/>
          <w:bCs/>
          <w:kern w:val="0"/>
          <w:szCs w:val="21"/>
        </w:rPr>
      </w:pPr>
    </w:p>
    <w:p>
      <w:pPr>
        <w:widowControl/>
        <w:snapToGrid w:val="0"/>
        <w:spacing w:line="360" w:lineRule="auto"/>
        <w:jc w:val="left"/>
        <w:rPr>
          <w:kern w:val="0"/>
          <w:szCs w:val="21"/>
        </w:rPr>
      </w:pPr>
      <w:r>
        <w:rPr>
          <w:b/>
          <w:bCs/>
          <w:kern w:val="0"/>
          <w:szCs w:val="21"/>
        </w:rPr>
        <w:t>一、</w:t>
      </w:r>
      <w:r>
        <w:rPr>
          <w:rFonts w:hint="eastAsia"/>
          <w:b/>
          <w:bCs/>
          <w:kern w:val="0"/>
          <w:szCs w:val="21"/>
        </w:rPr>
        <w:t>课程的教学理念、性质、目标和任务</w:t>
      </w:r>
    </w:p>
    <w:p>
      <w:pPr>
        <w:spacing w:line="360" w:lineRule="auto"/>
        <w:ind w:firstLine="420" w:firstLineChars="200"/>
      </w:pPr>
      <w:r>
        <w:t>《设施园艺学》是园艺作物设施生产的一门基础理论与应用技术相结合的科学。</w:t>
      </w:r>
      <w:r>
        <w:rPr>
          <w:rFonts w:hint="eastAsia"/>
        </w:rPr>
        <w:t>是</w:t>
      </w:r>
      <w:r>
        <w:t>一门集</w:t>
      </w:r>
      <w:r>
        <w:rPr>
          <w:rFonts w:hint="eastAsia"/>
        </w:rPr>
        <w:t>现代</w:t>
      </w:r>
      <w:r>
        <w:t>园艺科学、环境工程科学、信息技术科学和现代农业经济科学等为一体的多学科交叉的综合学科领域。是高等农业院校园艺专业的</w:t>
      </w:r>
      <w:r>
        <w:rPr>
          <w:rFonts w:hint="eastAsia"/>
        </w:rPr>
        <w:t>核心</w:t>
      </w:r>
      <w:r>
        <w:t>课程，通过课堂教学和实验，使学生能了解风障、阳畦、地膜覆盖、遮阳网、防虫网、无纺布覆盖、大、中、小棚、连栋大栅和温室等园艺作物栽培的主要设施类型、结构及性能；掌握塑料大棚建造过程及其技术要点，掌握日光温室的保温和采光设计及建造技术要点，掌握防虫网、遮阳网的使用技术，了解现代温室的各个系统、设施栽培的环境调控技术和栽培技术等，为学生将从事园艺作物设施栽培生产实践打下基础。</w:t>
      </w:r>
    </w:p>
    <w:p>
      <w:pPr>
        <w:spacing w:line="400" w:lineRule="exact"/>
        <w:rPr>
          <w:kern w:val="0"/>
          <w:szCs w:val="21"/>
        </w:rPr>
      </w:pPr>
      <w:r>
        <w:rPr>
          <w:b/>
          <w:bCs/>
          <w:kern w:val="0"/>
          <w:szCs w:val="21"/>
        </w:rPr>
        <w:t>二、课程教学的基本要求</w:t>
      </w:r>
    </w:p>
    <w:p>
      <w:pPr>
        <w:spacing w:line="400" w:lineRule="exact"/>
        <w:ind w:firstLine="420" w:firstLineChars="200"/>
        <w:rPr>
          <w:kern w:val="0"/>
          <w:szCs w:val="21"/>
        </w:rPr>
      </w:pPr>
      <w:r>
        <w:rPr>
          <w:kern w:val="0"/>
          <w:szCs w:val="21"/>
        </w:rPr>
        <w:t>1</w:t>
      </w:r>
      <w:r>
        <w:rPr>
          <w:rFonts w:hint="eastAsia"/>
          <w:kern w:val="0"/>
          <w:szCs w:val="21"/>
        </w:rPr>
        <w:t>.</w:t>
      </w:r>
      <w:r>
        <w:rPr>
          <w:kern w:val="0"/>
          <w:szCs w:val="21"/>
        </w:rPr>
        <w:t xml:space="preserve"> 理论知识方面：</w:t>
      </w:r>
    </w:p>
    <w:p>
      <w:pPr>
        <w:spacing w:line="400" w:lineRule="exact"/>
        <w:ind w:firstLine="420" w:firstLineChars="200"/>
      </w:pPr>
      <w:r>
        <w:t>（1）了解设施园艺及设施园艺学的基本概念和特点，了解设施园艺产业在农业及农业现代化中的地位及作用，了解国内外设施园艺发展概况和趋势。</w:t>
      </w:r>
    </w:p>
    <w:p>
      <w:pPr>
        <w:spacing w:line="360" w:lineRule="auto"/>
        <w:ind w:firstLine="420" w:firstLineChars="200"/>
      </w:pPr>
      <w:r>
        <w:t>（2）学习设施园艺的生理生态基础理论，掌握主要园艺栽培设施的结构与性能，掌握覆盖材料的种类与性能；能够灵活运用设施园艺的基本理论，能够因地制宜选用合适的设施类型和覆盖材料。</w:t>
      </w:r>
    </w:p>
    <w:p>
      <w:pPr>
        <w:spacing w:line="360" w:lineRule="auto"/>
        <w:ind w:firstLine="420" w:firstLineChars="200"/>
      </w:pPr>
      <w:r>
        <w:t>（3）了解设施环境特性，掌握设施环境调控技术；了解设施作物生育特性，掌握设施育苗技术和主要园艺作物设施栽培技术。</w:t>
      </w:r>
    </w:p>
    <w:p>
      <w:pPr>
        <w:spacing w:line="360" w:lineRule="auto"/>
        <w:ind w:firstLine="420" w:firstLineChars="200"/>
      </w:pPr>
      <w:r>
        <w:t>（4）了解设施园艺新技术，掌握设施园艺发展的新成果、新动态和新理念。</w:t>
      </w:r>
    </w:p>
    <w:p>
      <w:pPr>
        <w:spacing w:line="360" w:lineRule="auto"/>
        <w:ind w:firstLine="420" w:firstLineChars="200"/>
      </w:pPr>
      <w:r>
        <w:t> 2. 实验技能方面：</w:t>
      </w:r>
    </w:p>
    <w:p>
      <w:pPr>
        <w:spacing w:line="360" w:lineRule="auto"/>
        <w:ind w:firstLine="420" w:firstLineChars="200"/>
      </w:pPr>
      <w:r>
        <w:t>通过园艺设施类型的参观调查，使学生对设施园艺的类型、结构、性能和应用有一个全面、具体、直观的了解；通过设施内温湿度和光照条件的日变化观测，使学生掌握主要设施类型的环境变化规律，为进一步进行环境调控和结构设计打下基础；通过设施园艺作物田间管理技术的实际操作，使学生掌握设施栽培的关键技术。</w:t>
      </w:r>
    </w:p>
    <w:p>
      <w:pPr>
        <w:widowControl/>
        <w:snapToGrid w:val="0"/>
        <w:spacing w:line="360" w:lineRule="auto"/>
        <w:jc w:val="left"/>
        <w:rPr>
          <w:rFonts w:hAnsi="宋体"/>
          <w:b/>
          <w:bCs/>
          <w:kern w:val="0"/>
          <w:szCs w:val="21"/>
        </w:rPr>
      </w:pPr>
      <w:r>
        <w:rPr>
          <w:rFonts w:ascii="宋体" w:hAnsi="宋体"/>
          <w:b/>
          <w:bCs/>
          <w:kern w:val="0"/>
          <w:szCs w:val="21"/>
        </w:rPr>
        <w:t>三、</w:t>
      </w:r>
      <w:r>
        <w:rPr>
          <w:rFonts w:hint="eastAsia" w:ascii="宋体" w:hAnsi="宋体"/>
          <w:b/>
          <w:bCs/>
          <w:kern w:val="0"/>
          <w:szCs w:val="21"/>
        </w:rPr>
        <w:t>课程的教学设计</w:t>
      </w:r>
    </w:p>
    <w:p>
      <w:pPr>
        <w:spacing w:line="360" w:lineRule="auto"/>
        <w:ind w:firstLine="420" w:firstLineChars="200"/>
        <w:rPr>
          <w:rFonts w:hint="default" w:eastAsia="宋体"/>
          <w:lang w:val="en-US" w:eastAsia="zh-CN"/>
        </w:rPr>
      </w:pPr>
      <w:r>
        <w:rPr>
          <w:rFonts w:hint="eastAsia"/>
          <w:lang w:val="en-US" w:eastAsia="zh-CN"/>
        </w:rPr>
        <w:t>1.教学设计说明</w:t>
      </w:r>
    </w:p>
    <w:p>
      <w:pPr>
        <w:spacing w:line="360" w:lineRule="auto"/>
        <w:ind w:firstLine="420" w:firstLineChars="200"/>
      </w:pPr>
      <w:r>
        <w:rPr>
          <w:rFonts w:hint="eastAsia"/>
        </w:rPr>
        <w:t>课程组按照课程实验教学大纲要求，建立完善的课堂教学体系、实验教学体系以及课程教学实习体系。采用“教学实验、参观学习和生产实习一体化”的实践教学模式，使学生系统掌握课程理论知识，培养学生系统分析问题的能力；通过到校内外基地进行生产实习，学生将理论运用到园艺产业生产实践中，培养学生发现问题，解决问题的能力。在保证实现培养目标的前提下，突破以知识传授为中心的教学模式，探索以能力培养为主线的教学模式，采用精讲多实践、教学基地现场教学、实践中教学的理念和方法，形成大班集中讲授，小班分组实验实习的课程讲授体系，注重提高学生专业学习兴趣，全面培养学生独立获取知识的能力、观察问题、发现问题、思考问题、解决问题的能力。科学制定实践教学方案，规范设置实践教学环节，高质量开展课内实践教学和校外实习实训，实验实训课程开课率及学生覆盖率高；创新创业教育改革成效显著。</w:t>
      </w:r>
    </w:p>
    <w:p>
      <w:pPr>
        <w:spacing w:line="360" w:lineRule="auto"/>
        <w:ind w:firstLine="420" w:firstLineChars="200"/>
        <w:rPr>
          <w:rFonts w:hAnsi="宋体"/>
          <w:bCs/>
          <w:kern w:val="0"/>
          <w:szCs w:val="21"/>
        </w:rPr>
      </w:pPr>
      <w:r>
        <w:rPr>
          <w:rFonts w:hint="eastAsia" w:hAnsi="宋体"/>
          <w:bCs/>
          <w:kern w:val="0"/>
          <w:szCs w:val="21"/>
        </w:rPr>
        <w:t>2.课程目标及对毕业要求的支撑</w:t>
      </w:r>
    </w:p>
    <w:tbl>
      <w:tblPr>
        <w:tblStyle w:val="2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7E6E6"/>
            <w:vAlign w:val="center"/>
          </w:tcPr>
          <w:p>
            <w:pPr>
              <w:spacing w:line="320" w:lineRule="exact"/>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7E6E6"/>
            <w:vAlign w:val="center"/>
          </w:tcPr>
          <w:p>
            <w:pPr>
              <w:spacing w:line="320" w:lineRule="exact"/>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7E6E6"/>
            <w:vAlign w:val="center"/>
          </w:tcPr>
          <w:p>
            <w:pPr>
              <w:spacing w:line="320" w:lineRule="exact"/>
              <w:jc w:val="center"/>
              <w:rPr>
                <w:rFonts w:ascii="宋体" w:hAnsi="宋体" w:cs="宋体"/>
                <w:b/>
                <w:bCs/>
                <w:sz w:val="18"/>
                <w:szCs w:val="18"/>
              </w:rPr>
            </w:pPr>
            <w:r>
              <w:rPr>
                <w:rFonts w:hint="eastAsia" w:ascii="宋体" w:hAnsi="宋体" w:cs="宋体"/>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sz w:val="18"/>
                <w:szCs w:val="18"/>
              </w:rPr>
              <w:t>目标1：通过课程的学习，使学生具备解决园艺生产科研领域实际问题的素质和能力。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highlight w:val="yellow"/>
              </w:rPr>
            </w:pPr>
            <w:r>
              <w:rPr>
                <w:sz w:val="18"/>
                <w:szCs w:val="18"/>
              </w:rPr>
              <w:t>目标2：通过课程学习，使学生具备设施园区规划工程项目方案制定等基本设计能力。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sz w:val="18"/>
                <w:szCs w:val="18"/>
              </w:rPr>
              <w:t>目标3：通过课程实习，使学生了解设施园艺产业发展的规模、先进技术的应用情况</w:t>
            </w:r>
            <w:r>
              <w:rPr>
                <w:rFonts w:hint="eastAsia"/>
                <w:sz w:val="18"/>
                <w:szCs w:val="18"/>
              </w:rPr>
              <w:t>，具备利用所学知识进行创新创业的能力。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6</w:t>
            </w:r>
          </w:p>
          <w:p>
            <w:pPr>
              <w:spacing w:line="320" w:lineRule="exact"/>
              <w:jc w:val="center"/>
              <w:rPr>
                <w:rFonts w:eastAsia="等线"/>
                <w:sz w:val="18"/>
                <w:szCs w:val="18"/>
              </w:rPr>
            </w:pPr>
            <w:r>
              <w:rPr>
                <w:rFonts w:hint="eastAsia" w:eastAsia="等线"/>
                <w:sz w:val="18"/>
                <w:szCs w:val="18"/>
              </w:rPr>
              <w:t>7</w:t>
            </w:r>
          </w:p>
        </w:tc>
      </w:tr>
    </w:tbl>
    <w:p>
      <w:pPr>
        <w:spacing w:line="360" w:lineRule="auto"/>
      </w:pPr>
    </w:p>
    <w:p>
      <w:pPr>
        <w:spacing w:line="360" w:lineRule="auto"/>
      </w:pPr>
      <w:r>
        <w:rPr>
          <w:rFonts w:hint="eastAsia"/>
          <w:b/>
          <w:bCs/>
        </w:rPr>
        <w:t>四</w:t>
      </w:r>
      <w:r>
        <w:rPr>
          <w:b/>
          <w:bCs/>
        </w:rPr>
        <w:t>、理论教学内容及学时分配（40学时）</w:t>
      </w:r>
      <w:r>
        <w:t></w:t>
      </w:r>
    </w:p>
    <w:p>
      <w:pPr>
        <w:spacing w:before="156" w:beforeLines="50" w:after="156" w:afterLines="50" w:line="360" w:lineRule="auto"/>
        <w:ind w:firstLine="3162" w:firstLineChars="1500"/>
        <w:jc w:val="right"/>
        <w:rPr>
          <w:b/>
          <w:bCs/>
        </w:rPr>
      </w:pPr>
      <w:r>
        <w:rPr>
          <w:b/>
          <w:bCs/>
        </w:rPr>
        <w:t>第一章</w:t>
      </w:r>
      <w:r>
        <w:rPr>
          <w:rFonts w:hint="eastAsia"/>
          <w:b/>
          <w:bCs/>
        </w:rPr>
        <w:t xml:space="preserve">  </w:t>
      </w:r>
      <w:r>
        <w:rPr>
          <w:b/>
          <w:bCs/>
        </w:rPr>
        <w:t>绪  论</w:t>
      </w:r>
      <w:r>
        <w:rPr>
          <w:rFonts w:hint="eastAsia"/>
          <w:b/>
          <w:bCs/>
        </w:rPr>
        <w:t xml:space="preserve"> </w:t>
      </w:r>
      <w:r>
        <w:rPr>
          <w:b/>
          <w:bCs/>
        </w:rPr>
        <w:t xml:space="preserve">                          学时数</w:t>
      </w:r>
      <w:r>
        <w:rPr>
          <w:rFonts w:hint="eastAsia"/>
          <w:b/>
          <w:bCs/>
        </w:rPr>
        <w:t>：2</w:t>
      </w:r>
    </w:p>
    <w:p>
      <w:pPr>
        <w:spacing w:line="360" w:lineRule="auto"/>
      </w:pPr>
      <w:r>
        <w:rPr>
          <w:b/>
          <w:bCs/>
        </w:rPr>
        <w:t>教学</w:t>
      </w:r>
      <w:r>
        <w:rPr>
          <w:rFonts w:hint="eastAsia"/>
          <w:b/>
          <w:bCs/>
        </w:rPr>
        <w:t>目标</w:t>
      </w:r>
      <w:r>
        <w:t>：了解设施园艺学包含的内容与发展过程</w:t>
      </w:r>
      <w:r>
        <w:rPr>
          <w:rFonts w:hint="eastAsia"/>
        </w:rPr>
        <w:t>。</w:t>
      </w:r>
    </w:p>
    <w:p>
      <w:pPr>
        <w:spacing w:line="360" w:lineRule="auto"/>
        <w:rPr>
          <w:b/>
          <w:bCs/>
        </w:rPr>
      </w:pPr>
      <w:r>
        <w:rPr>
          <w:rFonts w:hint="eastAsia"/>
          <w:b/>
          <w:bCs/>
        </w:rPr>
        <w:t>教学重点和难点</w:t>
      </w:r>
      <w:r>
        <w:rPr>
          <w:rFonts w:hint="eastAsia"/>
        </w:rPr>
        <w:t>：</w:t>
      </w:r>
      <w:r>
        <w:t>设施园艺的概念和发展趋势</w:t>
      </w:r>
      <w:r>
        <w:rPr>
          <w:rFonts w:hint="eastAsia"/>
        </w:rPr>
        <w:t>。</w:t>
      </w:r>
    </w:p>
    <w:p>
      <w:pPr>
        <w:spacing w:line="360" w:lineRule="auto"/>
      </w:pPr>
      <w:r>
        <w:rPr>
          <w:rFonts w:hint="eastAsia"/>
          <w:b/>
          <w:bCs/>
        </w:rPr>
        <w:t>主要教学内容及要求</w:t>
      </w:r>
      <w:r>
        <w:rPr>
          <w:rFonts w:hint="eastAsia"/>
        </w:rPr>
        <w:t>：了解</w:t>
      </w:r>
      <w:r>
        <w:t>设施园艺及其在农业中的地位，设施园艺的历史、现状与将来，中国设施园艺的发展前景</w:t>
      </w:r>
      <w:r>
        <w:rPr>
          <w:rFonts w:hint="eastAsia"/>
        </w:rPr>
        <w:t>；掌握</w:t>
      </w:r>
      <w:r>
        <w:t>设施园艺的经营特点</w:t>
      </w:r>
      <w:r>
        <w:rPr>
          <w:rFonts w:hint="eastAsia"/>
        </w:rPr>
        <w:t>；熟练</w:t>
      </w:r>
      <w:r>
        <w:t>掌握设施园艺学的概念等。</w:t>
      </w:r>
    </w:p>
    <w:p>
      <w:pPr>
        <w:spacing w:line="360" w:lineRule="auto"/>
      </w:pPr>
      <w:r>
        <w:t>第一节  设施园艺及其在农业中的地位</w:t>
      </w:r>
    </w:p>
    <w:p>
      <w:pPr>
        <w:spacing w:line="360" w:lineRule="auto"/>
        <w:ind w:firstLine="420" w:firstLineChars="200"/>
      </w:pPr>
      <w:r>
        <w:t>一、设施园艺业概况</w:t>
      </w:r>
    </w:p>
    <w:p>
      <w:pPr>
        <w:spacing w:line="360" w:lineRule="auto"/>
        <w:ind w:firstLine="420" w:firstLineChars="200"/>
      </w:pPr>
      <w:r>
        <w:t>二、设施园艺业在农业中的地位</w:t>
      </w:r>
    </w:p>
    <w:p>
      <w:pPr>
        <w:spacing w:line="360" w:lineRule="auto"/>
      </w:pPr>
      <w:r>
        <w:t>第二节  国内外设施园艺的发展简史</w:t>
      </w:r>
    </w:p>
    <w:p>
      <w:pPr>
        <w:spacing w:line="360" w:lineRule="auto"/>
        <w:ind w:firstLine="420" w:firstLineChars="200"/>
      </w:pPr>
      <w:r>
        <w:t>一、中国设施园艺的发展简史与现状</w:t>
      </w:r>
    </w:p>
    <w:p>
      <w:pPr>
        <w:spacing w:line="360" w:lineRule="auto"/>
        <w:ind w:firstLine="420" w:firstLineChars="200"/>
      </w:pPr>
      <w:r>
        <w:t>二、国外设施园艺的发展简史与现状</w:t>
      </w:r>
    </w:p>
    <w:p>
      <w:pPr>
        <w:spacing w:line="360" w:lineRule="auto"/>
        <w:ind w:firstLine="420" w:firstLineChars="200"/>
      </w:pPr>
      <w:r>
        <w:t>三、中国设施园艺的发展前景</w:t>
      </w:r>
    </w:p>
    <w:p>
      <w:pPr>
        <w:rPr>
          <w:szCs w:val="21"/>
        </w:rPr>
      </w:pPr>
      <w:r>
        <w:rPr>
          <w:rFonts w:hint="eastAsia" w:ascii="宋体" w:hAnsi="宋体"/>
          <w:b/>
          <w:bCs/>
          <w:szCs w:val="21"/>
        </w:rPr>
        <w:t>教学组织与实施：</w:t>
      </w:r>
    </w:p>
    <w:p>
      <w:pPr>
        <w:spacing w:line="360" w:lineRule="auto"/>
        <w:ind w:firstLine="420" w:firstLineChars="200"/>
      </w:pPr>
      <w:r>
        <w:rPr>
          <w:rFonts w:hint="eastAsia"/>
        </w:rPr>
        <w:t>以案例分析、</w:t>
      </w:r>
      <w:r>
        <w:t>数据图例分析</w:t>
      </w:r>
      <w:r>
        <w:rPr>
          <w:rFonts w:hint="eastAsia"/>
        </w:rPr>
        <w:t>法为主；采用图文并茂并</w:t>
      </w:r>
      <w:r>
        <w:t>结合教学视频</w:t>
      </w:r>
      <w:r>
        <w:rPr>
          <w:rFonts w:hint="eastAsia"/>
        </w:rPr>
        <w:t>的方式展示设施园艺</w:t>
      </w:r>
      <w:r>
        <w:t>的发展历史及研究进展</w:t>
      </w:r>
      <w:r>
        <w:rPr>
          <w:rFonts w:hint="eastAsia"/>
        </w:rPr>
        <w:t>；综合考虑学生前期</w:t>
      </w:r>
      <w:r>
        <w:t>的</w:t>
      </w:r>
      <w:r>
        <w:rPr>
          <w:rFonts w:hint="eastAsia"/>
        </w:rPr>
        <w:t>学习基础</w:t>
      </w:r>
      <w:r>
        <w:t>，</w:t>
      </w:r>
      <w:r>
        <w:rPr>
          <w:rFonts w:hint="eastAsia"/>
        </w:rPr>
        <w:t>分析设施</w:t>
      </w:r>
      <w:r>
        <w:t>园艺的发展前景和经营特点</w:t>
      </w:r>
      <w:r>
        <w:rPr>
          <w:rFonts w:hint="eastAsia"/>
        </w:rPr>
        <w:t>；同时注重通过学生亲眼观察、亲身的体会，后期课程</w:t>
      </w:r>
      <w:r>
        <w:t>实习过程中</w:t>
      </w:r>
      <w:r>
        <w:rPr>
          <w:rFonts w:hint="eastAsia"/>
        </w:rPr>
        <w:t>安排学生进行基地调研。</w:t>
      </w:r>
    </w:p>
    <w:p>
      <w:pPr>
        <w:spacing w:before="156" w:beforeLines="50" w:after="156" w:afterLines="50" w:line="360" w:lineRule="auto"/>
        <w:ind w:firstLine="3162" w:firstLineChars="1500"/>
        <w:jc w:val="right"/>
        <w:rPr>
          <w:b/>
          <w:bCs/>
        </w:rPr>
      </w:pPr>
      <w:r>
        <w:rPr>
          <w:b/>
          <w:bCs/>
        </w:rPr>
        <w:t>第二章  设施的类型、结构和性能</w:t>
      </w:r>
      <w:r>
        <w:rPr>
          <w:rFonts w:hint="eastAsia"/>
          <w:b/>
          <w:bCs/>
        </w:rPr>
        <w:t xml:space="preserve">          </w:t>
      </w:r>
      <w:r>
        <w:rPr>
          <w:b/>
          <w:bCs/>
        </w:rPr>
        <w:t>学时数</w:t>
      </w:r>
      <w:r>
        <w:rPr>
          <w:rFonts w:hint="eastAsia"/>
          <w:b/>
          <w:bCs/>
        </w:rPr>
        <w:t>：</w:t>
      </w:r>
      <w:r>
        <w:rPr>
          <w:b/>
          <w:bCs/>
        </w:rPr>
        <w:t>12</w:t>
      </w:r>
    </w:p>
    <w:p>
      <w:pPr>
        <w:spacing w:line="360" w:lineRule="auto"/>
      </w:pPr>
      <w:r>
        <w:rPr>
          <w:b/>
          <w:bCs/>
        </w:rPr>
        <w:t>教学</w:t>
      </w:r>
      <w:r>
        <w:rPr>
          <w:rFonts w:hint="eastAsia"/>
          <w:b/>
          <w:bCs/>
        </w:rPr>
        <w:t>目标</w:t>
      </w:r>
      <w:r>
        <w:t>：本课程的重点章节，掌握各种保护设施的结构，性能和应用范围。</w:t>
      </w:r>
    </w:p>
    <w:p>
      <w:pPr>
        <w:spacing w:line="360" w:lineRule="auto"/>
      </w:pPr>
      <w:r>
        <w:rPr>
          <w:b/>
          <w:bCs/>
        </w:rPr>
        <w:t>教学重点和难点</w:t>
      </w:r>
      <w:r>
        <w:t>：各种保护设施的基本组成，各个部位的连接，环境条件的产生和影响，</w:t>
      </w:r>
      <w:r>
        <w:rPr>
          <w:rFonts w:hint="eastAsia"/>
        </w:rPr>
        <w:t>设施</w:t>
      </w:r>
      <w:r>
        <w:t>的</w:t>
      </w:r>
      <w:r>
        <w:rPr>
          <w:rFonts w:hint="eastAsia"/>
        </w:rPr>
        <w:t>应用范围。</w:t>
      </w:r>
    </w:p>
    <w:p>
      <w:pPr>
        <w:spacing w:line="360" w:lineRule="auto"/>
      </w:pPr>
      <w:r>
        <w:rPr>
          <w:b/>
          <w:bCs/>
        </w:rPr>
        <w:t>主要教学内容及要求</w:t>
      </w:r>
      <w:r>
        <w:t>：</w:t>
      </w:r>
      <w:r>
        <w:rPr>
          <w:rFonts w:hint="eastAsia"/>
        </w:rPr>
        <w:t>了解</w:t>
      </w:r>
      <w:r>
        <w:t>简易保护设施的类型，结构；</w:t>
      </w:r>
      <w:r>
        <w:rPr>
          <w:rFonts w:hint="eastAsia"/>
        </w:rPr>
        <w:t>理解</w:t>
      </w:r>
      <w:r>
        <w:t>不同结构类型之间的</w:t>
      </w:r>
      <w:r>
        <w:rPr>
          <w:rFonts w:hint="eastAsia"/>
        </w:rPr>
        <w:t>差异；熟练掌握</w:t>
      </w:r>
      <w:r>
        <w:t>日光温室</w:t>
      </w:r>
      <w:r>
        <w:rPr>
          <w:rFonts w:hint="eastAsia"/>
        </w:rPr>
        <w:t>、</w:t>
      </w:r>
      <w:r>
        <w:t>现代温室</w:t>
      </w:r>
      <w:r>
        <w:rPr>
          <w:rFonts w:hint="eastAsia"/>
        </w:rPr>
        <w:t>和</w:t>
      </w:r>
      <w:r>
        <w:t>塑料拱棚</w:t>
      </w:r>
      <w:r>
        <w:rPr>
          <w:rFonts w:hint="eastAsia"/>
        </w:rPr>
        <w:t>的类型、</w:t>
      </w:r>
      <w:r>
        <w:t>结构和性能</w:t>
      </w:r>
      <w:r>
        <w:rPr>
          <w:rFonts w:hint="eastAsia"/>
        </w:rPr>
        <w:t>。</w:t>
      </w:r>
    </w:p>
    <w:p>
      <w:pPr>
        <w:spacing w:line="360" w:lineRule="auto"/>
      </w:pPr>
      <w:r>
        <w:t>第一节  简易保护设施</w:t>
      </w:r>
    </w:p>
    <w:p>
      <w:pPr>
        <w:spacing w:line="360" w:lineRule="auto"/>
        <w:ind w:firstLine="420" w:firstLineChars="200"/>
      </w:pPr>
      <w:r>
        <w:t>了解简易园艺设施的结构、构成和性能，各种设施的用途</w:t>
      </w:r>
      <w:r>
        <w:rPr>
          <w:rFonts w:hint="eastAsia"/>
        </w:rPr>
        <w:t>。</w:t>
      </w:r>
    </w:p>
    <w:p>
      <w:pPr>
        <w:spacing w:line="360" w:lineRule="auto"/>
        <w:ind w:firstLine="420" w:firstLineChars="200"/>
      </w:pPr>
      <w:r>
        <w:t>理解各种简易设施的温度变化原理</w:t>
      </w:r>
      <w:r>
        <w:rPr>
          <w:rFonts w:hint="eastAsia"/>
        </w:rPr>
        <w:t>。</w:t>
      </w:r>
    </w:p>
    <w:p>
      <w:pPr>
        <w:spacing w:line="360" w:lineRule="auto"/>
        <w:ind w:firstLine="420" w:firstLineChars="200"/>
      </w:pPr>
      <w:r>
        <w:t>掌握园艺设施的构造，能够自行建造简易园艺设施</w:t>
      </w:r>
      <w:r>
        <w:rPr>
          <w:rFonts w:hint="eastAsia"/>
        </w:rPr>
        <w:t>。</w:t>
      </w:r>
    </w:p>
    <w:p>
      <w:pPr>
        <w:spacing w:line="360" w:lineRule="auto"/>
        <w:ind w:firstLine="420" w:firstLineChars="200"/>
      </w:pPr>
      <w:r>
        <w:t>熟练掌握简易园艺设施的建造步骤和温度变化情况和产生原因。</w:t>
      </w:r>
    </w:p>
    <w:p>
      <w:pPr>
        <w:spacing w:line="360" w:lineRule="auto"/>
        <w:ind w:firstLine="420" w:firstLineChars="200"/>
      </w:pPr>
      <w:r>
        <w:t>一、风障和风障畦</w:t>
      </w:r>
    </w:p>
    <w:p>
      <w:pPr>
        <w:spacing w:line="360" w:lineRule="auto"/>
        <w:ind w:firstLine="420" w:firstLineChars="200"/>
      </w:pPr>
      <w:r>
        <w:t>二、阳畦</w:t>
      </w:r>
    </w:p>
    <w:p>
      <w:pPr>
        <w:spacing w:line="360" w:lineRule="auto"/>
        <w:ind w:firstLine="420" w:firstLineChars="200"/>
      </w:pPr>
      <w:r>
        <w:t>三、电热温床</w:t>
      </w:r>
    </w:p>
    <w:p>
      <w:pPr>
        <w:spacing w:line="360" w:lineRule="auto"/>
        <w:ind w:firstLine="420" w:firstLineChars="200"/>
      </w:pPr>
      <w:r>
        <w:t>四、简易覆盖</w:t>
      </w:r>
    </w:p>
    <w:p>
      <w:pPr>
        <w:spacing w:line="360" w:lineRule="auto"/>
      </w:pPr>
      <w:r>
        <w:t>第二节  塑料薄膜拱棚</w:t>
      </w:r>
    </w:p>
    <w:p>
      <w:pPr>
        <w:spacing w:line="360" w:lineRule="auto"/>
        <w:ind w:firstLine="420" w:firstLineChars="200"/>
      </w:pPr>
      <w:r>
        <w:t>了解塑料薄膜拱棚的结构、构成和性能，各种设施的用途</w:t>
      </w:r>
      <w:r>
        <w:rPr>
          <w:rFonts w:hint="eastAsia"/>
        </w:rPr>
        <w:t>。</w:t>
      </w:r>
    </w:p>
    <w:p>
      <w:pPr>
        <w:spacing w:line="360" w:lineRule="auto"/>
        <w:ind w:firstLine="420" w:firstLineChars="200"/>
      </w:pPr>
      <w:r>
        <w:t>理解塑料薄膜拱棚的温度变化原理</w:t>
      </w:r>
      <w:r>
        <w:rPr>
          <w:rFonts w:hint="eastAsia"/>
        </w:rPr>
        <w:t>。</w:t>
      </w:r>
    </w:p>
    <w:p>
      <w:pPr>
        <w:spacing w:line="360" w:lineRule="auto"/>
        <w:ind w:firstLine="420" w:firstLineChars="200"/>
      </w:pPr>
      <w:r>
        <w:t>掌握塑料薄膜拱棚的构造，能够自行建造竹木结构塑料薄膜拱棚，塑料拱棚蔬菜果树花卉的应用状况。</w:t>
      </w:r>
    </w:p>
    <w:p>
      <w:pPr>
        <w:spacing w:line="360" w:lineRule="auto"/>
        <w:ind w:firstLine="420" w:firstLineChars="200"/>
      </w:pPr>
      <w:r>
        <w:t>熟练掌握塑料薄膜拱棚的建造步骤和温度光照变化情况和产生原因。</w:t>
      </w:r>
    </w:p>
    <w:p>
      <w:pPr>
        <w:spacing w:line="360" w:lineRule="auto"/>
        <w:ind w:firstLine="420" w:firstLineChars="200"/>
      </w:pPr>
      <w:r>
        <w:t>一、中、小拱棚</w:t>
      </w:r>
    </w:p>
    <w:p>
      <w:pPr>
        <w:spacing w:line="360" w:lineRule="auto"/>
        <w:ind w:firstLine="420" w:firstLineChars="200"/>
      </w:pPr>
      <w:r>
        <w:t xml:space="preserve">二、塑料大棚  </w:t>
      </w:r>
    </w:p>
    <w:p>
      <w:pPr>
        <w:spacing w:line="360" w:lineRule="auto"/>
      </w:pPr>
      <w:r>
        <w:t>第三节  日光温室</w:t>
      </w:r>
    </w:p>
    <w:p>
      <w:pPr>
        <w:spacing w:line="360" w:lineRule="auto"/>
        <w:ind w:firstLine="420" w:firstLineChars="200"/>
      </w:pPr>
      <w:r>
        <w:t>了解日光温室的结构、构成和性能和用途</w:t>
      </w:r>
      <w:r>
        <w:rPr>
          <w:rFonts w:hint="eastAsia"/>
        </w:rPr>
        <w:t>。</w:t>
      </w:r>
    </w:p>
    <w:p>
      <w:pPr>
        <w:spacing w:line="360" w:lineRule="auto"/>
        <w:ind w:firstLine="420" w:firstLineChars="200"/>
      </w:pPr>
      <w:r>
        <w:t>理解日光温室的采光和保温原理</w:t>
      </w:r>
      <w:r>
        <w:rPr>
          <w:rFonts w:hint="eastAsia"/>
        </w:rPr>
        <w:t>。</w:t>
      </w:r>
    </w:p>
    <w:p>
      <w:pPr>
        <w:spacing w:line="360" w:lineRule="auto"/>
        <w:ind w:firstLine="420" w:firstLineChars="200"/>
      </w:pPr>
      <w:r>
        <w:t>掌握日光温室的采光和保温原理，日光温室内温度、光照的季节性变化，各种园艺作物的茬次安排等。</w:t>
      </w:r>
    </w:p>
    <w:p>
      <w:pPr>
        <w:spacing w:line="360" w:lineRule="auto"/>
        <w:ind w:firstLine="420" w:firstLineChars="200"/>
      </w:pPr>
      <w:r>
        <w:t>熟练掌握日光温室的合理参数、各部结构和建造步骤以及设施蔬菜的栽培利用状况。</w:t>
      </w:r>
    </w:p>
    <w:p>
      <w:pPr>
        <w:spacing w:line="360" w:lineRule="auto"/>
        <w:ind w:firstLine="420" w:firstLineChars="200"/>
      </w:pPr>
      <w:r>
        <w:t>一、日光温室的主要类型</w:t>
      </w:r>
    </w:p>
    <w:p>
      <w:pPr>
        <w:spacing w:line="360" w:lineRule="auto"/>
        <w:ind w:firstLine="420" w:firstLineChars="200"/>
      </w:pPr>
      <w:r>
        <w:t>二、日光温室的采光及采光设计</w:t>
      </w:r>
    </w:p>
    <w:p>
      <w:pPr>
        <w:spacing w:line="360" w:lineRule="auto"/>
        <w:ind w:firstLine="420" w:firstLineChars="200"/>
      </w:pPr>
      <w:r>
        <w:t>三、日光温室的保温及保温设计</w:t>
      </w:r>
    </w:p>
    <w:p>
      <w:pPr>
        <w:spacing w:line="360" w:lineRule="auto"/>
        <w:ind w:firstLine="420" w:firstLineChars="200"/>
      </w:pPr>
      <w:r>
        <w:t>四、日光温室的建造</w:t>
      </w:r>
    </w:p>
    <w:p>
      <w:pPr>
        <w:spacing w:line="360" w:lineRule="auto"/>
        <w:ind w:firstLine="420" w:firstLineChars="200"/>
      </w:pPr>
      <w:r>
        <w:t>五、日光温室的应用</w:t>
      </w:r>
    </w:p>
    <w:p>
      <w:pPr>
        <w:spacing w:line="360" w:lineRule="auto"/>
      </w:pPr>
      <w:r>
        <w:t>第四节  现代化温室</w:t>
      </w:r>
    </w:p>
    <w:p>
      <w:pPr>
        <w:spacing w:line="360" w:lineRule="auto"/>
        <w:ind w:firstLine="420" w:firstLineChars="200"/>
      </w:pPr>
      <w:r>
        <w:t>了解现代化温室的结构、构成、性能和用途</w:t>
      </w:r>
      <w:r>
        <w:rPr>
          <w:rFonts w:hint="eastAsia"/>
        </w:rPr>
        <w:t>。</w:t>
      </w:r>
    </w:p>
    <w:p>
      <w:pPr>
        <w:spacing w:line="360" w:lineRule="auto"/>
        <w:ind w:firstLine="420" w:firstLineChars="200"/>
      </w:pPr>
      <w:r>
        <w:t>理解现代化温室的采光和保温原理</w:t>
      </w:r>
      <w:r>
        <w:rPr>
          <w:rFonts w:hint="eastAsia"/>
        </w:rPr>
        <w:t>。</w:t>
      </w:r>
    </w:p>
    <w:p>
      <w:pPr>
        <w:spacing w:line="360" w:lineRule="auto"/>
        <w:ind w:firstLine="420" w:firstLineChars="200"/>
      </w:pPr>
      <w:r>
        <w:t>掌握现代化温室结构各个节点的构成和利用状况</w:t>
      </w:r>
      <w:r>
        <w:rPr>
          <w:rFonts w:hint="eastAsia"/>
        </w:rPr>
        <w:t>。</w:t>
      </w:r>
    </w:p>
    <w:p>
      <w:pPr>
        <w:spacing w:line="360" w:lineRule="auto"/>
        <w:ind w:firstLine="420" w:firstLineChars="200"/>
      </w:pPr>
      <w:r>
        <w:t>熟练掌握各种系统的构成现代化温室</w:t>
      </w:r>
      <w:r>
        <w:rPr>
          <w:rFonts w:hint="eastAsia"/>
        </w:rPr>
        <w:t>。</w:t>
      </w:r>
    </w:p>
    <w:p>
      <w:pPr>
        <w:spacing w:line="360" w:lineRule="auto"/>
        <w:ind w:firstLine="420" w:firstLineChars="200"/>
      </w:pPr>
      <w:r>
        <w:t>一、现代化温室的主要类型及特点</w:t>
      </w:r>
    </w:p>
    <w:p>
      <w:pPr>
        <w:spacing w:line="360" w:lineRule="auto"/>
        <w:ind w:firstLine="420" w:firstLineChars="200"/>
      </w:pPr>
      <w:r>
        <w:t>二、现代化温室的配套设备及应用</w:t>
      </w:r>
    </w:p>
    <w:p>
      <w:pPr>
        <w:spacing w:line="360" w:lineRule="auto"/>
      </w:pPr>
      <w:r>
        <w:t>第五节  夏季保护设施</w:t>
      </w:r>
    </w:p>
    <w:p>
      <w:pPr>
        <w:spacing w:line="360" w:lineRule="auto"/>
        <w:ind w:firstLine="420" w:firstLineChars="200"/>
      </w:pPr>
      <w:r>
        <w:t>了解夏季保护设施的结构、构成和性能，各种设施的用途</w:t>
      </w:r>
      <w:r>
        <w:rPr>
          <w:rFonts w:hint="eastAsia"/>
        </w:rPr>
        <w:t>。</w:t>
      </w:r>
    </w:p>
    <w:p>
      <w:pPr>
        <w:spacing w:line="360" w:lineRule="auto"/>
        <w:ind w:firstLine="420" w:firstLineChars="200"/>
      </w:pPr>
      <w:r>
        <w:t>理解夏季保护设施降温减光原理</w:t>
      </w:r>
      <w:r>
        <w:rPr>
          <w:rFonts w:hint="eastAsia"/>
        </w:rPr>
        <w:t>。</w:t>
      </w:r>
    </w:p>
    <w:p>
      <w:pPr>
        <w:spacing w:line="360" w:lineRule="auto"/>
        <w:ind w:firstLine="420" w:firstLineChars="200"/>
      </w:pPr>
      <w:r>
        <w:t>掌握夏季保护设施的构造，能够自行建造夏季保护设施</w:t>
      </w:r>
      <w:r>
        <w:rPr>
          <w:rFonts w:hint="eastAsia"/>
        </w:rPr>
        <w:t>。</w:t>
      </w:r>
    </w:p>
    <w:p>
      <w:pPr>
        <w:spacing w:line="360" w:lineRule="auto"/>
        <w:ind w:firstLine="420" w:firstLineChars="200"/>
      </w:pPr>
      <w:r>
        <w:t>熟练掌握夏季保护设施的蔬菜花卉的应用状况。</w:t>
      </w:r>
    </w:p>
    <w:p>
      <w:pPr>
        <w:spacing w:line="360" w:lineRule="auto"/>
        <w:ind w:firstLine="420" w:firstLineChars="200"/>
      </w:pPr>
      <w:r>
        <w:t>一、遮阳网覆盖</w:t>
      </w:r>
    </w:p>
    <w:p>
      <w:pPr>
        <w:spacing w:line="360" w:lineRule="auto"/>
        <w:ind w:firstLine="420" w:firstLineChars="200"/>
      </w:pPr>
      <w:r>
        <w:t>二、防雨棚及应用技术</w:t>
      </w:r>
    </w:p>
    <w:p>
      <w:pPr>
        <w:spacing w:line="360" w:lineRule="auto"/>
        <w:ind w:firstLine="420" w:firstLineChars="200"/>
      </w:pPr>
      <w:r>
        <w:t>三、防虫网及应用技术</w:t>
      </w:r>
    </w:p>
    <w:p>
      <w:pPr>
        <w:rPr>
          <w:szCs w:val="21"/>
        </w:rPr>
      </w:pPr>
      <w:r>
        <w:rPr>
          <w:rFonts w:hint="eastAsia" w:ascii="宋体" w:hAnsi="宋体"/>
          <w:b/>
          <w:bCs/>
          <w:szCs w:val="21"/>
        </w:rPr>
        <w:t>教学组织与实施：</w:t>
      </w:r>
    </w:p>
    <w:p>
      <w:pPr>
        <w:spacing w:line="360" w:lineRule="auto"/>
        <w:ind w:firstLine="420" w:firstLineChars="200"/>
      </w:pPr>
      <w:r>
        <w:rPr>
          <w:rFonts w:hint="eastAsia"/>
        </w:rPr>
        <w:t>根据</w:t>
      </w:r>
      <w:r>
        <w:t>学生认知规律和接受特点，从最基础的简易保护设施如风障畦、阳畦温床等案例出发，到塑料大棚的开发与</w:t>
      </w:r>
      <w:r>
        <w:rPr>
          <w:rFonts w:hint="eastAsia"/>
        </w:rPr>
        <w:t>应用</w:t>
      </w:r>
      <w:r>
        <w:t>，日光温室的发展与建造特性</w:t>
      </w:r>
      <w:r>
        <w:rPr>
          <w:rFonts w:hint="eastAsia"/>
        </w:rPr>
        <w:t>，</w:t>
      </w:r>
      <w:r>
        <w:t>最终熟练掌握现代温室的结构特点，采用</w:t>
      </w:r>
      <w:r>
        <w:rPr>
          <w:rFonts w:hint="eastAsia"/>
        </w:rPr>
        <w:t>采用图文并茂并</w:t>
      </w:r>
      <w:r>
        <w:t>结合教学视频</w:t>
      </w:r>
      <w:r>
        <w:rPr>
          <w:rFonts w:hint="eastAsia"/>
        </w:rPr>
        <w:t>的方式讲授本章</w:t>
      </w:r>
      <w:r>
        <w:t>内容</w:t>
      </w:r>
      <w:r>
        <w:rPr>
          <w:rFonts w:hint="eastAsia"/>
        </w:rPr>
        <w:t>；结合</w:t>
      </w:r>
      <w:r>
        <w:t>课堂作业和提问</w:t>
      </w:r>
      <w:r>
        <w:rPr>
          <w:rFonts w:hint="eastAsia"/>
        </w:rPr>
        <w:t>互动</w:t>
      </w:r>
      <w:r>
        <w:t>增强学生</w:t>
      </w:r>
      <w:r>
        <w:rPr>
          <w:rFonts w:hint="eastAsia"/>
        </w:rPr>
        <w:t>掌握</w:t>
      </w:r>
      <w:r>
        <w:t>重点内容</w:t>
      </w:r>
      <w:r>
        <w:rPr>
          <w:rFonts w:hint="eastAsia"/>
        </w:rPr>
        <w:t>。</w:t>
      </w:r>
    </w:p>
    <w:p>
      <w:pPr>
        <w:spacing w:before="156" w:beforeLines="50" w:after="156" w:afterLines="50" w:line="360" w:lineRule="auto"/>
        <w:ind w:firstLine="3162" w:firstLineChars="1500"/>
        <w:jc w:val="right"/>
        <w:rPr>
          <w:b/>
          <w:bCs/>
        </w:rPr>
      </w:pPr>
      <w:r>
        <w:rPr>
          <w:b/>
          <w:bCs/>
        </w:rPr>
        <w:t>第</w:t>
      </w:r>
      <w:r>
        <w:rPr>
          <w:rFonts w:hint="eastAsia"/>
          <w:b/>
          <w:bCs/>
        </w:rPr>
        <w:t>三</w:t>
      </w:r>
      <w:r>
        <w:rPr>
          <w:b/>
          <w:bCs/>
        </w:rPr>
        <w:t>章  覆盖材料的种类和性能</w:t>
      </w:r>
      <w:r>
        <w:rPr>
          <w:rFonts w:hint="eastAsia"/>
          <w:b/>
          <w:bCs/>
        </w:rPr>
        <w:t xml:space="preserve">       </w:t>
      </w:r>
      <w:r>
        <w:rPr>
          <w:b/>
          <w:bCs/>
        </w:rPr>
        <w:t xml:space="preserve">      学时数</w:t>
      </w:r>
      <w:r>
        <w:rPr>
          <w:rFonts w:hint="eastAsia"/>
          <w:b/>
          <w:bCs/>
        </w:rPr>
        <w:t>：</w:t>
      </w:r>
      <w:r>
        <w:rPr>
          <w:b/>
          <w:bCs/>
        </w:rPr>
        <w:t>2</w:t>
      </w:r>
    </w:p>
    <w:p>
      <w:pPr>
        <w:spacing w:line="360" w:lineRule="auto"/>
      </w:pPr>
      <w:r>
        <w:rPr>
          <w:b/>
          <w:bCs/>
        </w:rPr>
        <w:t>教学</w:t>
      </w:r>
      <w:r>
        <w:rPr>
          <w:rFonts w:hint="eastAsia"/>
          <w:b/>
          <w:bCs/>
        </w:rPr>
        <w:t>目标</w:t>
      </w:r>
      <w:r>
        <w:t>：了解掌握保护设施透明覆盖材料的特性与应用</w:t>
      </w:r>
      <w:r>
        <w:rPr>
          <w:rFonts w:hint="eastAsia"/>
        </w:rPr>
        <w:t>。</w:t>
      </w:r>
    </w:p>
    <w:p>
      <w:pPr>
        <w:spacing w:line="360" w:lineRule="auto"/>
      </w:pPr>
      <w:r>
        <w:rPr>
          <w:b/>
          <w:bCs/>
        </w:rPr>
        <w:t>教学重点和难点</w:t>
      </w:r>
      <w:r>
        <w:t>：各种覆盖材料的光学特性和热特性</w:t>
      </w:r>
    </w:p>
    <w:p>
      <w:pPr>
        <w:spacing w:line="360" w:lineRule="auto"/>
      </w:pPr>
      <w:r>
        <w:rPr>
          <w:b/>
          <w:bCs/>
        </w:rPr>
        <w:t>主要教学内容及要求</w:t>
      </w:r>
      <w:r>
        <w:t>：透明覆盖材料的光学特性和热特性，透明覆盖材料（塑料薄膜，半硬质塑料膜，硬质塑料板，玻璃，新型多功能覆盖材料）的种类与应用，其它（地膜、透气性覆盖材料）覆盖材料，日光温室外覆盖保温材料</w:t>
      </w:r>
      <w:r>
        <w:rPr>
          <w:rFonts w:hint="eastAsia"/>
        </w:rPr>
        <w:t>。</w:t>
      </w:r>
    </w:p>
    <w:p>
      <w:pPr>
        <w:spacing w:line="360" w:lineRule="auto"/>
      </w:pPr>
      <w:r>
        <w:t>第一节</w:t>
      </w:r>
      <w:r>
        <w:rPr>
          <w:rFonts w:hint="eastAsia"/>
        </w:rPr>
        <w:t xml:space="preserve"> </w:t>
      </w:r>
      <w:r>
        <w:t>透明覆盖材料的种类和性能</w:t>
      </w:r>
    </w:p>
    <w:p>
      <w:pPr>
        <w:spacing w:line="360" w:lineRule="auto"/>
        <w:ind w:firstLine="420" w:firstLineChars="200"/>
      </w:pPr>
      <w:r>
        <w:t>了解透明覆盖材料光学特性和热特性</w:t>
      </w:r>
      <w:r>
        <w:rPr>
          <w:rFonts w:hint="eastAsia"/>
        </w:rPr>
        <w:t>。</w:t>
      </w:r>
    </w:p>
    <w:p>
      <w:pPr>
        <w:spacing w:line="360" w:lineRule="auto"/>
        <w:ind w:firstLine="420" w:firstLineChars="200"/>
      </w:pPr>
      <w:r>
        <w:t>理解透明覆盖材料光学特性和热特性原理</w:t>
      </w:r>
      <w:r>
        <w:rPr>
          <w:rFonts w:hint="eastAsia"/>
        </w:rPr>
        <w:t>。</w:t>
      </w:r>
    </w:p>
    <w:p>
      <w:pPr>
        <w:spacing w:line="360" w:lineRule="auto"/>
        <w:ind w:firstLine="420" w:firstLineChars="200"/>
      </w:pPr>
      <w:r>
        <w:t>掌握透明覆盖材料的应用状况</w:t>
      </w:r>
      <w:r>
        <w:rPr>
          <w:rFonts w:hint="eastAsia"/>
        </w:rPr>
        <w:t>。</w:t>
      </w:r>
    </w:p>
    <w:p>
      <w:pPr>
        <w:spacing w:line="360" w:lineRule="auto"/>
        <w:ind w:firstLine="420" w:firstLineChars="200"/>
      </w:pPr>
      <w:r>
        <w:t>熟练掌握塑料薄膜、玻璃、PC版的光热特点和应用状况</w:t>
      </w:r>
      <w:r>
        <w:rPr>
          <w:rFonts w:hint="eastAsia"/>
        </w:rPr>
        <w:t>。</w:t>
      </w:r>
    </w:p>
    <w:p>
      <w:pPr>
        <w:spacing w:line="360" w:lineRule="auto"/>
        <w:ind w:firstLine="420" w:firstLineChars="200"/>
      </w:pPr>
      <w:r>
        <w:t>一、透明覆盖材料的种类</w:t>
      </w:r>
    </w:p>
    <w:p>
      <w:pPr>
        <w:spacing w:line="360" w:lineRule="auto"/>
        <w:ind w:firstLine="420" w:firstLineChars="200"/>
      </w:pPr>
      <w:r>
        <w:t>二、透明覆盖材料的性能</w:t>
      </w:r>
    </w:p>
    <w:p>
      <w:pPr>
        <w:spacing w:line="360" w:lineRule="auto"/>
        <w:ind w:firstLine="420" w:firstLineChars="200"/>
      </w:pPr>
      <w:r>
        <w:t>三、透明覆盖材料的应用</w:t>
      </w:r>
    </w:p>
    <w:p>
      <w:pPr>
        <w:spacing w:line="360" w:lineRule="auto"/>
      </w:pPr>
      <w:r>
        <w:t>第二节  外覆盖保温材料</w:t>
      </w:r>
    </w:p>
    <w:p>
      <w:pPr>
        <w:spacing w:line="360" w:lineRule="auto"/>
        <w:ind w:firstLine="420" w:firstLineChars="200"/>
      </w:pPr>
      <w:r>
        <w:t>了解外覆盖保温材料热特性</w:t>
      </w:r>
      <w:r>
        <w:rPr>
          <w:rFonts w:hint="eastAsia"/>
        </w:rPr>
        <w:t>。</w:t>
      </w:r>
    </w:p>
    <w:p>
      <w:pPr>
        <w:spacing w:line="360" w:lineRule="auto"/>
        <w:ind w:firstLine="420" w:firstLineChars="200"/>
      </w:pPr>
      <w:r>
        <w:t>理解外覆盖保温材料热特性原理</w:t>
      </w:r>
      <w:r>
        <w:rPr>
          <w:rFonts w:hint="eastAsia"/>
        </w:rPr>
        <w:t>。</w:t>
      </w:r>
    </w:p>
    <w:p>
      <w:pPr>
        <w:spacing w:line="360" w:lineRule="auto"/>
        <w:ind w:firstLine="420" w:firstLineChars="200"/>
      </w:pPr>
      <w:r>
        <w:t>掌握外覆盖保温材料的应用状况</w:t>
      </w:r>
      <w:r>
        <w:rPr>
          <w:rFonts w:hint="eastAsia"/>
        </w:rPr>
        <w:t>。</w:t>
      </w:r>
    </w:p>
    <w:p>
      <w:pPr>
        <w:spacing w:line="360" w:lineRule="auto"/>
        <w:ind w:firstLine="420" w:firstLineChars="200"/>
      </w:pPr>
      <w:r>
        <w:t>熟练掌握草苫和保温被的光热特点和应用状况</w:t>
      </w:r>
      <w:r>
        <w:rPr>
          <w:rFonts w:hint="eastAsia"/>
        </w:rPr>
        <w:t>。</w:t>
      </w:r>
    </w:p>
    <w:p>
      <w:pPr>
        <w:spacing w:line="360" w:lineRule="auto"/>
        <w:ind w:firstLine="420" w:firstLineChars="200"/>
      </w:pPr>
      <w:r>
        <w:t>一、草苫（帘）</w:t>
      </w:r>
    </w:p>
    <w:p>
      <w:pPr>
        <w:spacing w:line="360" w:lineRule="auto"/>
        <w:ind w:firstLine="420" w:firstLineChars="200"/>
      </w:pPr>
      <w:r>
        <w:t>二、纸被</w:t>
      </w:r>
    </w:p>
    <w:p>
      <w:pPr>
        <w:spacing w:line="360" w:lineRule="auto"/>
        <w:ind w:firstLine="420" w:firstLineChars="200"/>
      </w:pPr>
      <w:r>
        <w:t>三、保温被</w:t>
      </w:r>
    </w:p>
    <w:p>
      <w:pPr>
        <w:spacing w:line="360" w:lineRule="auto"/>
        <w:ind w:firstLine="420" w:firstLineChars="200"/>
      </w:pPr>
      <w:r>
        <w:t>四、外覆盖保温材料的日常管理</w:t>
      </w:r>
    </w:p>
    <w:p>
      <w:pPr>
        <w:rPr>
          <w:szCs w:val="21"/>
        </w:rPr>
      </w:pPr>
      <w:r>
        <w:rPr>
          <w:rFonts w:hint="eastAsia" w:ascii="宋体" w:hAnsi="宋体"/>
          <w:b/>
          <w:bCs/>
          <w:szCs w:val="21"/>
        </w:rPr>
        <w:t>教学组织与实施：</w:t>
      </w:r>
    </w:p>
    <w:p>
      <w:pPr>
        <w:spacing w:line="360" w:lineRule="auto"/>
        <w:ind w:firstLine="420" w:firstLineChars="200"/>
      </w:pPr>
      <w:r>
        <w:rPr>
          <w:rFonts w:hint="eastAsia"/>
        </w:rPr>
        <w:t>根据覆盖材料</w:t>
      </w:r>
      <w:r>
        <w:t>的</w:t>
      </w:r>
      <w:r>
        <w:rPr>
          <w:rFonts w:hint="eastAsia"/>
        </w:rPr>
        <w:t>开发和</w:t>
      </w:r>
      <w:r>
        <w:t>应用</w:t>
      </w:r>
      <w:r>
        <w:rPr>
          <w:rFonts w:hint="eastAsia"/>
        </w:rPr>
        <w:t>时间</w:t>
      </w:r>
      <w:r>
        <w:t>顺序的规律特点，</w:t>
      </w:r>
      <w:r>
        <w:rPr>
          <w:rFonts w:hint="eastAsia"/>
        </w:rPr>
        <w:t>采用</w:t>
      </w:r>
      <w:r>
        <w:t>图文并茂并结合</w:t>
      </w:r>
      <w:r>
        <w:rPr>
          <w:rFonts w:hint="eastAsia"/>
        </w:rPr>
        <w:t>课堂</w:t>
      </w:r>
      <w:r>
        <w:t>实物演示</w:t>
      </w:r>
      <w:r>
        <w:rPr>
          <w:rFonts w:hint="eastAsia"/>
        </w:rPr>
        <w:t>，</w:t>
      </w:r>
      <w:r>
        <w:t>让学生在课堂中亲眼观察、体会不同覆盖材料的特性区别，最终熟练掌握</w:t>
      </w:r>
      <w:r>
        <w:rPr>
          <w:rFonts w:hint="eastAsia"/>
        </w:rPr>
        <w:t>PE、PVC、EVA等</w:t>
      </w:r>
      <w:r>
        <w:t>常用材料之间的性能区别和联系，</w:t>
      </w:r>
      <w:r>
        <w:rPr>
          <w:rFonts w:hint="eastAsia"/>
        </w:rPr>
        <w:t>结合</w:t>
      </w:r>
      <w:r>
        <w:t>课堂作业和提问</w:t>
      </w:r>
      <w:r>
        <w:rPr>
          <w:rFonts w:hint="eastAsia"/>
        </w:rPr>
        <w:t>互动</w:t>
      </w:r>
      <w:r>
        <w:t>增强学生</w:t>
      </w:r>
      <w:r>
        <w:rPr>
          <w:rFonts w:hint="eastAsia"/>
        </w:rPr>
        <w:t>掌握</w:t>
      </w:r>
      <w:r>
        <w:t>重点内容</w:t>
      </w:r>
      <w:r>
        <w:rPr>
          <w:rFonts w:hint="eastAsia"/>
        </w:rPr>
        <w:t>。</w:t>
      </w:r>
    </w:p>
    <w:p>
      <w:pPr>
        <w:spacing w:before="156" w:beforeLines="50" w:after="156" w:afterLines="50" w:line="360" w:lineRule="auto"/>
        <w:ind w:firstLine="2530" w:firstLineChars="1200"/>
        <w:jc w:val="right"/>
        <w:rPr>
          <w:b/>
        </w:rPr>
      </w:pPr>
      <w:r>
        <w:rPr>
          <w:b/>
        </w:rPr>
        <w:t>第</w:t>
      </w:r>
      <w:r>
        <w:rPr>
          <w:rFonts w:hint="eastAsia"/>
          <w:b/>
        </w:rPr>
        <w:t>四</w:t>
      </w:r>
      <w:r>
        <w:rPr>
          <w:b/>
        </w:rPr>
        <w:t>章  设施环境的变化规律及其调控技术</w:t>
      </w:r>
      <w:r>
        <w:rPr>
          <w:rFonts w:hint="eastAsia"/>
          <w:b/>
        </w:rPr>
        <w:t xml:space="preserve">       </w:t>
      </w:r>
      <w:r>
        <w:rPr>
          <w:b/>
        </w:rPr>
        <w:t xml:space="preserve"> </w:t>
      </w:r>
      <w:r>
        <w:rPr>
          <w:b/>
          <w:bCs/>
        </w:rPr>
        <w:t>学时数</w:t>
      </w:r>
      <w:r>
        <w:rPr>
          <w:rFonts w:hint="eastAsia"/>
          <w:b/>
          <w:bCs/>
        </w:rPr>
        <w:t>：</w:t>
      </w:r>
      <w:r>
        <w:rPr>
          <w:b/>
          <w:bCs/>
        </w:rPr>
        <w:t>10</w:t>
      </w:r>
    </w:p>
    <w:p>
      <w:pPr>
        <w:spacing w:line="360" w:lineRule="auto"/>
      </w:pPr>
      <w:r>
        <w:rPr>
          <w:b/>
          <w:bCs/>
        </w:rPr>
        <w:t>教学目</w:t>
      </w:r>
      <w:r>
        <w:rPr>
          <w:rFonts w:hint="eastAsia"/>
          <w:b/>
          <w:bCs/>
        </w:rPr>
        <w:t>标</w:t>
      </w:r>
      <w:r>
        <w:t>：要求掌握设施内环境条件形成的原因和控制措施</w:t>
      </w:r>
      <w:r>
        <w:rPr>
          <w:rFonts w:hint="eastAsia"/>
        </w:rPr>
        <w:t>。</w:t>
      </w:r>
    </w:p>
    <w:p>
      <w:pPr>
        <w:spacing w:line="360" w:lineRule="auto"/>
      </w:pPr>
      <w:r>
        <w:rPr>
          <w:b/>
          <w:bCs/>
        </w:rPr>
        <w:t>教学重点和难点</w:t>
      </w:r>
      <w:r>
        <w:t>：设施内温度</w:t>
      </w:r>
      <w:r>
        <w:rPr>
          <w:rFonts w:hint="eastAsia"/>
        </w:rPr>
        <w:t>、</w:t>
      </w:r>
      <w:r>
        <w:t>湿度</w:t>
      </w:r>
      <w:r>
        <w:rPr>
          <w:rFonts w:hint="eastAsia"/>
        </w:rPr>
        <w:t>、</w:t>
      </w:r>
      <w:r>
        <w:t>光照</w:t>
      </w:r>
      <w:r>
        <w:rPr>
          <w:rFonts w:hint="eastAsia"/>
        </w:rPr>
        <w:t>、</w:t>
      </w:r>
      <w:r>
        <w:t>气体条件等形成的原因和控制方法</w:t>
      </w:r>
      <w:r>
        <w:rPr>
          <w:rFonts w:hint="eastAsia"/>
        </w:rPr>
        <w:t>。</w:t>
      </w:r>
    </w:p>
    <w:p>
      <w:pPr>
        <w:spacing w:line="360" w:lineRule="auto"/>
      </w:pPr>
      <w:r>
        <w:rPr>
          <w:b/>
          <w:bCs/>
        </w:rPr>
        <w:t>主要教学内容及要求</w:t>
      </w:r>
      <w:r>
        <w:t>：</w:t>
      </w:r>
      <w:r>
        <w:rPr>
          <w:rFonts w:hint="eastAsia"/>
        </w:rPr>
        <w:t>了解设施</w:t>
      </w:r>
      <w:r>
        <w:t>内光、温度、湿度、气体</w:t>
      </w:r>
      <w:r>
        <w:rPr>
          <w:rFonts w:hint="eastAsia"/>
        </w:rPr>
        <w:t>和</w:t>
      </w:r>
      <w:r>
        <w:t>根际环境</w:t>
      </w:r>
      <w:r>
        <w:rPr>
          <w:rFonts w:hint="eastAsia"/>
        </w:rPr>
        <w:t>特点</w:t>
      </w:r>
      <w:r>
        <w:t>及发生原因</w:t>
      </w:r>
      <w:r>
        <w:rPr>
          <w:rFonts w:hint="eastAsia"/>
        </w:rPr>
        <w:t>；</w:t>
      </w:r>
      <w:r>
        <w:t>掌握影响设施光</w:t>
      </w:r>
      <w:r>
        <w:rPr>
          <w:rFonts w:hint="eastAsia"/>
        </w:rPr>
        <w:t>、</w:t>
      </w:r>
      <w:r>
        <w:t>温度和湿度环境的主要因素</w:t>
      </w:r>
      <w:r>
        <w:rPr>
          <w:rFonts w:hint="eastAsia"/>
        </w:rPr>
        <w:t>；熟练掌握</w:t>
      </w:r>
      <w:r>
        <w:t>设施光环境</w:t>
      </w:r>
      <w:r>
        <w:rPr>
          <w:rFonts w:hint="eastAsia"/>
        </w:rPr>
        <w:t>、温度</w:t>
      </w:r>
      <w:r>
        <w:t>、湿度和CO</w:t>
      </w:r>
      <w:r>
        <w:rPr>
          <w:vertAlign w:val="subscript"/>
        </w:rPr>
        <w:t>2</w:t>
      </w:r>
      <w:r>
        <w:t>环境的调控</w:t>
      </w:r>
      <w:r>
        <w:rPr>
          <w:rFonts w:hint="eastAsia"/>
        </w:rPr>
        <w:t>措施</w:t>
      </w:r>
      <w:r>
        <w:t>，作物连作障碍产生的原因，连作障碍的防治措施，根际环境及其调控</w:t>
      </w:r>
      <w:r>
        <w:rPr>
          <w:rFonts w:hint="eastAsia"/>
        </w:rPr>
        <w:t>等。</w:t>
      </w:r>
    </w:p>
    <w:p>
      <w:pPr>
        <w:spacing w:line="360" w:lineRule="auto"/>
        <w:rPr>
          <w:b/>
        </w:rPr>
      </w:pPr>
      <w:r>
        <w:rPr>
          <w:b/>
        </w:rPr>
        <w:t>第一节  光环境特点及其调控</w:t>
      </w:r>
    </w:p>
    <w:p>
      <w:pPr>
        <w:spacing w:line="360" w:lineRule="auto"/>
        <w:ind w:firstLine="420" w:firstLineChars="200"/>
      </w:pPr>
      <w:r>
        <w:t>了解光环境的特点和主要因素</w:t>
      </w:r>
      <w:r>
        <w:rPr>
          <w:rFonts w:hint="eastAsia"/>
        </w:rPr>
        <w:t>。</w:t>
      </w:r>
    </w:p>
    <w:p>
      <w:pPr>
        <w:spacing w:line="360" w:lineRule="auto"/>
        <w:ind w:firstLine="420" w:firstLineChars="200"/>
      </w:pPr>
      <w:r>
        <w:t>理解设施的采光原理</w:t>
      </w:r>
      <w:r>
        <w:rPr>
          <w:rFonts w:hint="eastAsia"/>
        </w:rPr>
        <w:t>。</w:t>
      </w:r>
    </w:p>
    <w:p>
      <w:pPr>
        <w:spacing w:line="360" w:lineRule="auto"/>
        <w:ind w:firstLine="420" w:firstLineChars="200"/>
      </w:pPr>
      <w:r>
        <w:t>掌握光环境调控技术</w:t>
      </w:r>
      <w:r>
        <w:rPr>
          <w:rFonts w:hint="eastAsia"/>
        </w:rPr>
        <w:t>。</w:t>
      </w:r>
    </w:p>
    <w:p>
      <w:pPr>
        <w:spacing w:line="360" w:lineRule="auto"/>
        <w:ind w:firstLine="420" w:firstLineChars="200"/>
      </w:pPr>
      <w:r>
        <w:t>熟练掌握园艺设施增加光照和降低光照的原理和技术。</w:t>
      </w:r>
    </w:p>
    <w:p>
      <w:pPr>
        <w:spacing w:line="360" w:lineRule="auto"/>
        <w:ind w:firstLine="420" w:firstLineChars="200"/>
      </w:pPr>
      <w:r>
        <w:t>一、设施内的光环境特征</w:t>
      </w:r>
    </w:p>
    <w:p>
      <w:pPr>
        <w:spacing w:line="360" w:lineRule="auto"/>
        <w:ind w:firstLine="420" w:firstLineChars="200"/>
      </w:pPr>
      <w:r>
        <w:t>二、影响设施内的光环境的主要因素</w:t>
      </w:r>
    </w:p>
    <w:p>
      <w:pPr>
        <w:spacing w:line="360" w:lineRule="auto"/>
        <w:ind w:firstLine="420" w:firstLineChars="200"/>
      </w:pPr>
      <w:r>
        <w:t>三、光环境的调控</w:t>
      </w:r>
    </w:p>
    <w:p>
      <w:pPr>
        <w:spacing w:line="360" w:lineRule="auto"/>
        <w:rPr>
          <w:b/>
        </w:rPr>
      </w:pPr>
      <w:r>
        <w:rPr>
          <w:b/>
        </w:rPr>
        <w:t>第二节  温度及其调控</w:t>
      </w:r>
    </w:p>
    <w:p>
      <w:pPr>
        <w:spacing w:line="360" w:lineRule="auto"/>
        <w:ind w:firstLine="420" w:firstLineChars="200"/>
      </w:pPr>
      <w:r>
        <w:t>了解园艺设施温度环境的特点和影响因素</w:t>
      </w:r>
      <w:r>
        <w:rPr>
          <w:rFonts w:hint="eastAsia"/>
        </w:rPr>
        <w:t>。</w:t>
      </w:r>
    </w:p>
    <w:p>
      <w:pPr>
        <w:spacing w:line="360" w:lineRule="auto"/>
        <w:ind w:firstLine="420" w:firstLineChars="200"/>
      </w:pPr>
      <w:r>
        <w:t>理解园艺设施温度变化原理</w:t>
      </w:r>
      <w:r>
        <w:rPr>
          <w:rFonts w:hint="eastAsia"/>
        </w:rPr>
        <w:t>。</w:t>
      </w:r>
    </w:p>
    <w:p>
      <w:pPr>
        <w:spacing w:line="360" w:lineRule="auto"/>
        <w:ind w:firstLine="420" w:firstLineChars="200"/>
      </w:pPr>
      <w:r>
        <w:t>掌握园艺设施温度调控技术</w:t>
      </w:r>
      <w:r>
        <w:rPr>
          <w:rFonts w:hint="eastAsia"/>
        </w:rPr>
        <w:t>。</w:t>
      </w:r>
    </w:p>
    <w:p>
      <w:pPr>
        <w:spacing w:line="360" w:lineRule="auto"/>
        <w:ind w:firstLine="420" w:firstLineChars="200"/>
      </w:pPr>
      <w:r>
        <w:t>熟练掌握园艺设施保温、加温和降温原理和技术。</w:t>
      </w:r>
    </w:p>
    <w:p>
      <w:pPr>
        <w:spacing w:line="360" w:lineRule="auto"/>
        <w:ind w:firstLine="420" w:firstLineChars="200"/>
      </w:pPr>
      <w:r>
        <w:t>一、作物对温度的基本要求</w:t>
      </w:r>
    </w:p>
    <w:p>
      <w:pPr>
        <w:spacing w:line="360" w:lineRule="auto"/>
        <w:ind w:firstLine="420" w:firstLineChars="200"/>
      </w:pPr>
      <w:r>
        <w:t>二、温室的热平衡及温度环境特点</w:t>
      </w:r>
    </w:p>
    <w:p>
      <w:pPr>
        <w:spacing w:line="360" w:lineRule="auto"/>
        <w:ind w:firstLine="420" w:firstLineChars="200"/>
      </w:pPr>
      <w:r>
        <w:t>三、保温与加温技术</w:t>
      </w:r>
    </w:p>
    <w:p>
      <w:pPr>
        <w:spacing w:line="360" w:lineRule="auto"/>
        <w:ind w:firstLine="420" w:firstLineChars="200"/>
      </w:pPr>
      <w:r>
        <w:t>四、降温技术</w:t>
      </w:r>
    </w:p>
    <w:p>
      <w:pPr>
        <w:spacing w:line="360" w:lineRule="auto"/>
        <w:rPr>
          <w:b/>
        </w:rPr>
      </w:pPr>
      <w:r>
        <w:rPr>
          <w:b/>
        </w:rPr>
        <w:t>第三节  湿度环境及调控</w:t>
      </w:r>
    </w:p>
    <w:p>
      <w:pPr>
        <w:spacing w:line="360" w:lineRule="auto"/>
        <w:ind w:firstLine="420" w:firstLineChars="200"/>
      </w:pPr>
      <w:r>
        <w:t>了解园艺设施湿度环境的特点和影响因素</w:t>
      </w:r>
      <w:r>
        <w:rPr>
          <w:rFonts w:hint="eastAsia"/>
        </w:rPr>
        <w:t>。</w:t>
      </w:r>
    </w:p>
    <w:p>
      <w:pPr>
        <w:spacing w:line="360" w:lineRule="auto"/>
        <w:ind w:firstLine="420" w:firstLineChars="200"/>
      </w:pPr>
      <w:r>
        <w:t>理解园艺设施湿度变化原理</w:t>
      </w:r>
      <w:r>
        <w:rPr>
          <w:rFonts w:hint="eastAsia"/>
        </w:rPr>
        <w:t>。</w:t>
      </w:r>
    </w:p>
    <w:p>
      <w:pPr>
        <w:spacing w:line="360" w:lineRule="auto"/>
        <w:ind w:firstLine="420" w:firstLineChars="200"/>
      </w:pPr>
      <w:r>
        <w:t>掌握园艺设施湿度调控技术</w:t>
      </w:r>
      <w:r>
        <w:rPr>
          <w:rFonts w:hint="eastAsia"/>
        </w:rPr>
        <w:t>。</w:t>
      </w:r>
    </w:p>
    <w:p>
      <w:pPr>
        <w:spacing w:line="360" w:lineRule="auto"/>
        <w:ind w:firstLine="420" w:firstLineChars="200"/>
      </w:pPr>
      <w:r>
        <w:t>熟练掌握园艺设施保湿、增湿和降湿原理和措施。</w:t>
      </w:r>
    </w:p>
    <w:p>
      <w:pPr>
        <w:spacing w:line="360" w:lineRule="auto"/>
        <w:ind w:firstLine="420" w:firstLineChars="200"/>
      </w:pPr>
      <w:r>
        <w:t>一、设施内湿度的产生</w:t>
      </w:r>
    </w:p>
    <w:p>
      <w:pPr>
        <w:spacing w:line="360" w:lineRule="auto"/>
        <w:ind w:firstLine="420" w:firstLineChars="200"/>
      </w:pPr>
      <w:r>
        <w:t>二、设施内湿度环境特征</w:t>
      </w:r>
    </w:p>
    <w:p>
      <w:pPr>
        <w:spacing w:line="360" w:lineRule="auto"/>
        <w:ind w:firstLine="420" w:firstLineChars="200"/>
      </w:pPr>
      <w:r>
        <w:t>三、设施内湿度与作物生长发能及病虫害发生的关系</w:t>
      </w:r>
    </w:p>
    <w:p>
      <w:pPr>
        <w:spacing w:line="360" w:lineRule="auto"/>
        <w:ind w:firstLine="420" w:firstLineChars="200"/>
      </w:pPr>
      <w:r>
        <w:t>四、设施湿度的调控</w:t>
      </w:r>
    </w:p>
    <w:p>
      <w:pPr>
        <w:spacing w:line="360" w:lineRule="auto"/>
        <w:rPr>
          <w:b/>
        </w:rPr>
      </w:pPr>
      <w:r>
        <w:rPr>
          <w:b/>
        </w:rPr>
        <w:t>第四节  设施内的气体环境及调控</w:t>
      </w:r>
    </w:p>
    <w:p>
      <w:pPr>
        <w:spacing w:line="360" w:lineRule="auto"/>
        <w:ind w:firstLine="420" w:firstLineChars="200"/>
      </w:pPr>
      <w:r>
        <w:t>了解园艺设施气体环境的特点和影响因素</w:t>
      </w:r>
      <w:r>
        <w:rPr>
          <w:rFonts w:hint="eastAsia"/>
        </w:rPr>
        <w:t>。</w:t>
      </w:r>
    </w:p>
    <w:p>
      <w:pPr>
        <w:spacing w:line="360" w:lineRule="auto"/>
        <w:ind w:firstLine="420" w:firstLineChars="200"/>
      </w:pPr>
      <w:r>
        <w:t>理解园艺设施气体变化原理</w:t>
      </w:r>
      <w:r>
        <w:rPr>
          <w:rFonts w:hint="eastAsia"/>
        </w:rPr>
        <w:t>。</w:t>
      </w:r>
    </w:p>
    <w:p>
      <w:pPr>
        <w:spacing w:line="360" w:lineRule="auto"/>
        <w:ind w:firstLine="420" w:firstLineChars="200"/>
      </w:pPr>
      <w:r>
        <w:t>掌握园艺设施CO</w:t>
      </w:r>
      <w:r>
        <w:rPr>
          <w:sz w:val="15"/>
          <w:szCs w:val="13"/>
        </w:rPr>
        <w:t>2</w:t>
      </w:r>
      <w:r>
        <w:t>调控技术</w:t>
      </w:r>
      <w:r>
        <w:rPr>
          <w:rFonts w:hint="eastAsia"/>
        </w:rPr>
        <w:t>。</w:t>
      </w:r>
    </w:p>
    <w:p>
      <w:pPr>
        <w:spacing w:line="360" w:lineRule="auto"/>
        <w:ind w:firstLine="420" w:firstLineChars="200"/>
      </w:pPr>
      <w:r>
        <w:t>熟练掌握园艺设施减少有害气体增加CO</w:t>
      </w:r>
      <w:r>
        <w:rPr>
          <w:sz w:val="15"/>
          <w:szCs w:val="13"/>
        </w:rPr>
        <w:t>2</w:t>
      </w:r>
      <w:r>
        <w:t>的原理和措施。</w:t>
      </w:r>
    </w:p>
    <w:p>
      <w:pPr>
        <w:spacing w:line="360" w:lineRule="auto"/>
        <w:ind w:firstLine="420" w:firstLineChars="200"/>
      </w:pPr>
      <w:r>
        <w:t>一、CO</w:t>
      </w:r>
      <w:r>
        <w:rPr>
          <w:vertAlign w:val="subscript"/>
        </w:rPr>
        <w:t>2</w:t>
      </w:r>
      <w:r>
        <w:t>及其调控</w:t>
      </w:r>
    </w:p>
    <w:p>
      <w:pPr>
        <w:spacing w:line="360" w:lineRule="auto"/>
        <w:ind w:firstLine="420" w:firstLineChars="200"/>
      </w:pPr>
      <w:r>
        <w:t>二、设施内有害气体及排除</w:t>
      </w:r>
    </w:p>
    <w:p>
      <w:pPr>
        <w:spacing w:line="360" w:lineRule="auto"/>
        <w:rPr>
          <w:b/>
        </w:rPr>
      </w:pPr>
      <w:r>
        <w:rPr>
          <w:b/>
        </w:rPr>
        <w:t>第五节  连作障碍</w:t>
      </w:r>
    </w:p>
    <w:p>
      <w:pPr>
        <w:spacing w:line="360" w:lineRule="auto"/>
        <w:ind w:firstLine="420" w:firstLineChars="200"/>
      </w:pPr>
      <w:r>
        <w:t>了解园艺设施连作障碍的成因</w:t>
      </w:r>
      <w:r>
        <w:rPr>
          <w:rFonts w:hint="eastAsia"/>
        </w:rPr>
        <w:t>。</w:t>
      </w:r>
    </w:p>
    <w:p>
      <w:pPr>
        <w:spacing w:line="360" w:lineRule="auto"/>
        <w:ind w:firstLine="420" w:firstLineChars="200"/>
      </w:pPr>
      <w:r>
        <w:t>理解园艺设施连作障碍的危害因素</w:t>
      </w:r>
      <w:r>
        <w:rPr>
          <w:rFonts w:hint="eastAsia"/>
        </w:rPr>
        <w:t>。</w:t>
      </w:r>
    </w:p>
    <w:p>
      <w:pPr>
        <w:spacing w:line="360" w:lineRule="auto"/>
        <w:ind w:firstLine="420" w:firstLineChars="200"/>
      </w:pPr>
      <w:r>
        <w:t>掌握园艺设施连作障碍的克服途径</w:t>
      </w:r>
      <w:r>
        <w:rPr>
          <w:rFonts w:hint="eastAsia"/>
        </w:rPr>
        <w:t>。</w:t>
      </w:r>
    </w:p>
    <w:p>
      <w:pPr>
        <w:spacing w:line="360" w:lineRule="auto"/>
        <w:ind w:firstLine="420" w:firstLineChars="200"/>
      </w:pPr>
      <w:r>
        <w:t>熟练掌握园艺设施减少连作障害的原理和措施</w:t>
      </w:r>
      <w:r>
        <w:rPr>
          <w:rFonts w:hint="eastAsia"/>
        </w:rPr>
        <w:t>。</w:t>
      </w:r>
    </w:p>
    <w:p>
      <w:pPr>
        <w:spacing w:line="360" w:lineRule="auto"/>
        <w:ind w:firstLine="420" w:firstLineChars="200"/>
      </w:pPr>
      <w:r>
        <w:t>一、设施内连作障碍产生的原因</w:t>
      </w:r>
    </w:p>
    <w:p>
      <w:pPr>
        <w:spacing w:line="360" w:lineRule="auto"/>
        <w:ind w:firstLine="420" w:firstLineChars="200"/>
      </w:pPr>
      <w:r>
        <w:t>二、设施内连作障碍的防治措施。</w:t>
      </w:r>
    </w:p>
    <w:p>
      <w:pPr>
        <w:rPr>
          <w:szCs w:val="21"/>
        </w:rPr>
      </w:pPr>
      <w:r>
        <w:rPr>
          <w:rFonts w:hint="eastAsia" w:ascii="宋体" w:hAnsi="宋体"/>
          <w:b/>
          <w:bCs/>
          <w:szCs w:val="21"/>
        </w:rPr>
        <w:t>教学组织与实施：</w:t>
      </w:r>
    </w:p>
    <w:p>
      <w:pPr>
        <w:spacing w:line="360" w:lineRule="auto"/>
        <w:ind w:firstLine="420" w:firstLineChars="200"/>
      </w:pPr>
      <w:r>
        <w:rPr>
          <w:rFonts w:hint="eastAsia"/>
        </w:rPr>
        <w:t>本章</w:t>
      </w:r>
      <w:r>
        <w:t>为该课程的重点内容，</w:t>
      </w:r>
      <w:r>
        <w:rPr>
          <w:rFonts w:hint="eastAsia"/>
        </w:rPr>
        <w:t>根据学生</w:t>
      </w:r>
      <w:r>
        <w:t>前期的学习基础，从植物生长所需的光、温、水、气</w:t>
      </w:r>
      <w:r>
        <w:rPr>
          <w:rFonts w:hint="eastAsia"/>
        </w:rPr>
        <w:t>和土壤</w:t>
      </w:r>
      <w:r>
        <w:t>环境五个方面，</w:t>
      </w:r>
      <w:r>
        <w:rPr>
          <w:rFonts w:hint="eastAsia"/>
        </w:rPr>
        <w:t>通过</w:t>
      </w:r>
      <w:r>
        <w:t>课堂讲解，</w:t>
      </w:r>
      <w:r>
        <w:rPr>
          <w:rFonts w:hint="eastAsia"/>
        </w:rPr>
        <w:t>视频</w:t>
      </w:r>
      <w:r>
        <w:t>资料，以及结合后期教学基地实地实验</w:t>
      </w:r>
      <w:r>
        <w:rPr>
          <w:rFonts w:hint="eastAsia"/>
        </w:rPr>
        <w:t>教学</w:t>
      </w:r>
      <w:r>
        <w:t>，</w:t>
      </w:r>
      <w:r>
        <w:rPr>
          <w:rFonts w:hint="eastAsia"/>
        </w:rPr>
        <w:t>形成大班集中讲授，小班分组实验实习的课程讲授体系，让</w:t>
      </w:r>
      <w:r>
        <w:t>学生们系统全面的</w:t>
      </w:r>
      <w:r>
        <w:rPr>
          <w:rFonts w:hint="eastAsia"/>
        </w:rPr>
        <w:t>掌握</w:t>
      </w:r>
      <w:r>
        <w:t>本章内容</w:t>
      </w:r>
      <w:r>
        <w:rPr>
          <w:rFonts w:hint="eastAsia"/>
        </w:rPr>
        <w:t>。</w:t>
      </w:r>
    </w:p>
    <w:p>
      <w:pPr>
        <w:spacing w:line="360" w:lineRule="auto"/>
        <w:ind w:firstLine="4216" w:firstLineChars="2000"/>
        <w:rPr>
          <w:b/>
          <w:bCs/>
        </w:rPr>
      </w:pPr>
      <w:r>
        <w:rPr>
          <w:b/>
          <w:bCs/>
        </w:rPr>
        <w:t>第</w:t>
      </w:r>
      <w:r>
        <w:rPr>
          <w:rFonts w:hint="eastAsia"/>
          <w:b/>
          <w:bCs/>
        </w:rPr>
        <w:t>五</w:t>
      </w:r>
      <w:r>
        <w:rPr>
          <w:b/>
          <w:bCs/>
        </w:rPr>
        <w:t>章  设施育苗技术</w:t>
      </w:r>
      <w:r>
        <w:rPr>
          <w:rFonts w:hint="eastAsia"/>
          <w:b/>
          <w:bCs/>
        </w:rPr>
        <w:t xml:space="preserve">               </w:t>
      </w:r>
      <w:r>
        <w:rPr>
          <w:b/>
          <w:bCs/>
        </w:rPr>
        <w:t xml:space="preserve"> 学时数</w:t>
      </w:r>
      <w:r>
        <w:rPr>
          <w:rFonts w:hint="eastAsia"/>
          <w:b/>
          <w:bCs/>
        </w:rPr>
        <w:t>：</w:t>
      </w:r>
      <w:r>
        <w:rPr>
          <w:b/>
          <w:bCs/>
        </w:rPr>
        <w:t>2</w:t>
      </w:r>
    </w:p>
    <w:p>
      <w:pPr>
        <w:spacing w:line="360" w:lineRule="auto"/>
      </w:pPr>
      <w:r>
        <w:rPr>
          <w:b/>
          <w:bCs/>
        </w:rPr>
        <w:t>教学</w:t>
      </w:r>
      <w:r>
        <w:rPr>
          <w:rFonts w:hint="eastAsia"/>
          <w:b/>
          <w:bCs/>
        </w:rPr>
        <w:t>目标</w:t>
      </w:r>
      <w:r>
        <w:t>：要求掌握设施育苗的关键技术</w:t>
      </w:r>
      <w:r>
        <w:rPr>
          <w:rFonts w:hint="eastAsia"/>
        </w:rPr>
        <w:t>。</w:t>
      </w:r>
    </w:p>
    <w:p>
      <w:pPr>
        <w:spacing w:line="360" w:lineRule="auto"/>
      </w:pPr>
      <w:r>
        <w:rPr>
          <w:b/>
          <w:bCs/>
        </w:rPr>
        <w:t>教学重点和难点</w:t>
      </w:r>
      <w:r>
        <w:t>：穴盘苗培育的关键技术（基质选配、育苗过程、营养液配置和苗期管理等。</w:t>
      </w:r>
    </w:p>
    <w:p>
      <w:pPr>
        <w:spacing w:line="360" w:lineRule="auto"/>
      </w:pPr>
      <w:r>
        <w:rPr>
          <w:b/>
          <w:bCs/>
        </w:rPr>
        <w:t>主要教学内容及要求</w:t>
      </w:r>
      <w:r>
        <w:t>：</w:t>
      </w:r>
      <w:r>
        <w:rPr>
          <w:rFonts w:hint="eastAsia"/>
        </w:rPr>
        <w:t>了解</w:t>
      </w:r>
      <w:r>
        <w:t>设施育苗的</w:t>
      </w:r>
      <w:r>
        <w:rPr>
          <w:rFonts w:hint="eastAsia"/>
        </w:rPr>
        <w:t>发展</w:t>
      </w:r>
      <w:r>
        <w:t>概况，掌握</w:t>
      </w:r>
      <w:r>
        <w:rPr>
          <w:rFonts w:hint="eastAsia"/>
        </w:rPr>
        <w:t>工厂化</w:t>
      </w:r>
      <w:r>
        <w:t>穴盘育苗的概念、穴盘育苗的关键设备及</w:t>
      </w:r>
      <w:r>
        <w:rPr>
          <w:rFonts w:hint="eastAsia"/>
        </w:rPr>
        <w:t>育苗流程</w:t>
      </w:r>
      <w:r>
        <w:t>，熟练掌握蔬菜嫁接育苗技术</w:t>
      </w:r>
      <w:r>
        <w:rPr>
          <w:rFonts w:hint="eastAsia"/>
        </w:rPr>
        <w:t>和</w:t>
      </w:r>
      <w:r>
        <w:t>穴盘育苗技术</w:t>
      </w:r>
      <w:r>
        <w:rPr>
          <w:rFonts w:hint="eastAsia"/>
        </w:rPr>
        <w:t>。</w:t>
      </w:r>
    </w:p>
    <w:p>
      <w:pPr>
        <w:spacing w:line="360" w:lineRule="auto"/>
        <w:rPr>
          <w:b/>
        </w:rPr>
      </w:pPr>
      <w:r>
        <w:rPr>
          <w:b/>
        </w:rPr>
        <w:t>第一节  嫁接育苗</w:t>
      </w:r>
    </w:p>
    <w:p>
      <w:pPr>
        <w:spacing w:line="360" w:lineRule="auto"/>
        <w:ind w:firstLine="420" w:firstLineChars="200"/>
      </w:pPr>
      <w:r>
        <w:t>了解嫁接育苗的特点和影响因素</w:t>
      </w:r>
      <w:r>
        <w:rPr>
          <w:rFonts w:hint="eastAsia"/>
        </w:rPr>
        <w:t>。</w:t>
      </w:r>
    </w:p>
    <w:p>
      <w:pPr>
        <w:spacing w:line="360" w:lineRule="auto"/>
        <w:ind w:firstLine="420" w:firstLineChars="200"/>
      </w:pPr>
      <w:r>
        <w:t>理解嫁接育苗抗病耐低温原理</w:t>
      </w:r>
      <w:r>
        <w:rPr>
          <w:rFonts w:hint="eastAsia"/>
        </w:rPr>
        <w:t>。</w:t>
      </w:r>
    </w:p>
    <w:p>
      <w:pPr>
        <w:spacing w:line="360" w:lineRule="auto"/>
        <w:ind w:firstLine="420" w:firstLineChars="200"/>
      </w:pPr>
      <w:r>
        <w:t>掌握嫁接育苗技术</w:t>
      </w:r>
      <w:r>
        <w:rPr>
          <w:rFonts w:hint="eastAsia"/>
        </w:rPr>
        <w:t>。</w:t>
      </w:r>
    </w:p>
    <w:p>
      <w:pPr>
        <w:spacing w:line="360" w:lineRule="auto"/>
        <w:ind w:firstLine="420" w:firstLineChars="200"/>
      </w:pPr>
      <w:r>
        <w:t>熟练掌握采用插接、切接等嫁接育苗方法，能够进行嫁接育苗工作。</w:t>
      </w:r>
    </w:p>
    <w:p>
      <w:pPr>
        <w:spacing w:line="360" w:lineRule="auto"/>
        <w:ind w:firstLine="420" w:firstLineChars="200"/>
      </w:pPr>
      <w:r>
        <w:t>一、嫁接育苗的意义及应用现状</w:t>
      </w:r>
    </w:p>
    <w:p>
      <w:pPr>
        <w:spacing w:line="360" w:lineRule="auto"/>
        <w:ind w:firstLine="420" w:firstLineChars="200"/>
      </w:pPr>
      <w:r>
        <w:t>二、蔬菜作物的嫁接方法</w:t>
      </w:r>
    </w:p>
    <w:p>
      <w:pPr>
        <w:spacing w:line="360" w:lineRule="auto"/>
        <w:ind w:firstLine="420" w:firstLineChars="200"/>
      </w:pPr>
      <w:r>
        <w:t>三、蔬菜嫁接苗的生理特点及管理技术</w:t>
      </w:r>
    </w:p>
    <w:p>
      <w:pPr>
        <w:spacing w:line="360" w:lineRule="auto"/>
        <w:rPr>
          <w:b/>
        </w:rPr>
      </w:pPr>
      <w:r>
        <w:rPr>
          <w:b/>
        </w:rPr>
        <w:t>第二节  穴盘育苗技术</w:t>
      </w:r>
    </w:p>
    <w:p>
      <w:pPr>
        <w:spacing w:line="360" w:lineRule="auto"/>
        <w:ind w:firstLine="420" w:firstLineChars="200"/>
      </w:pPr>
      <w:r>
        <w:t>了解穴盘育苗的特点、所用设备</w:t>
      </w:r>
      <w:r>
        <w:rPr>
          <w:rFonts w:hint="eastAsia"/>
        </w:rPr>
        <w:t>。</w:t>
      </w:r>
    </w:p>
    <w:p>
      <w:pPr>
        <w:spacing w:line="360" w:lineRule="auto"/>
        <w:ind w:firstLine="420" w:firstLineChars="200"/>
      </w:pPr>
      <w:r>
        <w:t>理解穴盘育苗的护根原理和基质理化性质成因和设备工作原理</w:t>
      </w:r>
      <w:r>
        <w:rPr>
          <w:rFonts w:hint="eastAsia"/>
        </w:rPr>
        <w:t>。</w:t>
      </w:r>
    </w:p>
    <w:p>
      <w:pPr>
        <w:spacing w:line="360" w:lineRule="auto"/>
        <w:ind w:firstLine="420" w:firstLineChars="200"/>
      </w:pPr>
      <w:r>
        <w:t>掌握穴盘育苗技术</w:t>
      </w:r>
      <w:r>
        <w:rPr>
          <w:rFonts w:hint="eastAsia"/>
        </w:rPr>
        <w:t>。</w:t>
      </w:r>
    </w:p>
    <w:p>
      <w:pPr>
        <w:spacing w:line="360" w:lineRule="auto"/>
        <w:ind w:firstLine="420" w:firstLineChars="200"/>
      </w:pPr>
      <w:r>
        <w:t>熟练掌握穴盘育苗方法，能够进行穴盘育苗工作。</w:t>
      </w:r>
    </w:p>
    <w:p>
      <w:pPr>
        <w:spacing w:line="360" w:lineRule="auto"/>
        <w:ind w:firstLine="420" w:firstLineChars="200"/>
      </w:pPr>
      <w:r>
        <w:t>一、穴盘育苗的关键设备</w:t>
      </w:r>
    </w:p>
    <w:p>
      <w:pPr>
        <w:spacing w:line="360" w:lineRule="auto"/>
        <w:ind w:firstLine="420" w:firstLineChars="200"/>
      </w:pPr>
      <w:r>
        <w:t>二、穴盘育苗常用基质及性能</w:t>
      </w:r>
    </w:p>
    <w:p>
      <w:pPr>
        <w:spacing w:line="360" w:lineRule="auto"/>
        <w:ind w:firstLine="420" w:firstLineChars="200"/>
      </w:pPr>
      <w:r>
        <w:t>三、穴盘育苗的营养液配方与管理</w:t>
      </w:r>
    </w:p>
    <w:p>
      <w:pPr>
        <w:spacing w:line="360" w:lineRule="auto"/>
        <w:ind w:firstLine="420" w:firstLineChars="200"/>
      </w:pPr>
      <w:r>
        <w:t>四、穴盘育苗的技术流程</w:t>
      </w:r>
    </w:p>
    <w:p>
      <w:pPr>
        <w:spacing w:line="360" w:lineRule="auto"/>
        <w:ind w:firstLine="420" w:firstLineChars="200"/>
      </w:pPr>
      <w:r>
        <w:t>五、穴盘苗的质量控制技术</w:t>
      </w:r>
    </w:p>
    <w:p>
      <w:pPr>
        <w:rPr>
          <w:szCs w:val="21"/>
        </w:rPr>
      </w:pPr>
      <w:r>
        <w:rPr>
          <w:rFonts w:hint="eastAsia" w:ascii="宋体" w:hAnsi="宋体"/>
          <w:b/>
          <w:bCs/>
          <w:szCs w:val="21"/>
        </w:rPr>
        <w:t>教学组织与实施：</w:t>
      </w:r>
    </w:p>
    <w:p>
      <w:pPr>
        <w:spacing w:line="360" w:lineRule="auto"/>
        <w:ind w:firstLine="420" w:firstLineChars="200"/>
      </w:pPr>
      <w:r>
        <w:rPr>
          <w:rFonts w:hint="eastAsia"/>
        </w:rPr>
        <w:t>以讲解法、案例分析法为主；采用图文并茂并</w:t>
      </w:r>
      <w:r>
        <w:t>结合教学视频</w:t>
      </w:r>
      <w:r>
        <w:rPr>
          <w:rFonts w:hint="eastAsia"/>
        </w:rPr>
        <w:t>的方式展示工厂化育苗</w:t>
      </w:r>
      <w:r>
        <w:t>的流程、优秀</w:t>
      </w:r>
      <w:r>
        <w:rPr>
          <w:rFonts w:hint="eastAsia"/>
        </w:rPr>
        <w:t>育苗</w:t>
      </w:r>
      <w:r>
        <w:t>企业园区管理技术要点</w:t>
      </w:r>
      <w:r>
        <w:rPr>
          <w:rFonts w:hint="eastAsia"/>
        </w:rPr>
        <w:t>；结合课堂提问</w:t>
      </w:r>
      <w:r>
        <w:t>互动</w:t>
      </w:r>
      <w:r>
        <w:rPr>
          <w:rFonts w:hint="eastAsia"/>
        </w:rPr>
        <w:t>培养</w:t>
      </w:r>
      <w:r>
        <w:t>学生专业学习兴趣。</w:t>
      </w:r>
      <w:r>
        <w:rPr>
          <w:rFonts w:hint="eastAsia"/>
        </w:rPr>
        <w:t>并结合</w:t>
      </w:r>
      <w:r>
        <w:t>后期实验实地教学让学生熟练掌握穴盘育苗</w:t>
      </w:r>
      <w:r>
        <w:rPr>
          <w:rFonts w:hint="eastAsia"/>
        </w:rPr>
        <w:t>技术</w:t>
      </w:r>
      <w:r>
        <w:t>。</w:t>
      </w:r>
    </w:p>
    <w:p>
      <w:pPr>
        <w:spacing w:before="156" w:beforeLines="50" w:after="156" w:afterLines="50" w:line="360" w:lineRule="auto"/>
        <w:ind w:firstLine="2530" w:firstLineChars="1200"/>
        <w:rPr>
          <w:b/>
        </w:rPr>
      </w:pPr>
      <w:r>
        <w:rPr>
          <w:b/>
        </w:rPr>
        <w:t>第</w:t>
      </w:r>
      <w:r>
        <w:rPr>
          <w:rFonts w:hint="eastAsia"/>
          <w:b/>
        </w:rPr>
        <w:t>六</w:t>
      </w:r>
      <w:r>
        <w:rPr>
          <w:b/>
        </w:rPr>
        <w:t>章  主要园艺作物设施栽培技术</w:t>
      </w:r>
      <w:r>
        <w:rPr>
          <w:rFonts w:hint="eastAsia"/>
          <w:b/>
        </w:rPr>
        <w:t xml:space="preserve">         </w:t>
      </w:r>
      <w:r>
        <w:rPr>
          <w:b/>
          <w:bCs/>
        </w:rPr>
        <w:t>学时数</w:t>
      </w:r>
      <w:r>
        <w:rPr>
          <w:rFonts w:hint="eastAsia"/>
          <w:b/>
          <w:bCs/>
        </w:rPr>
        <w:t>：</w:t>
      </w:r>
      <w:r>
        <w:rPr>
          <w:b/>
          <w:bCs/>
        </w:rPr>
        <w:t>6</w:t>
      </w:r>
    </w:p>
    <w:p>
      <w:pPr>
        <w:spacing w:line="360" w:lineRule="auto"/>
      </w:pPr>
      <w:r>
        <w:rPr>
          <w:b/>
          <w:bCs/>
        </w:rPr>
        <w:t>教学目</w:t>
      </w:r>
      <w:r>
        <w:rPr>
          <w:rFonts w:hint="eastAsia"/>
          <w:b/>
          <w:bCs/>
        </w:rPr>
        <w:t>标</w:t>
      </w:r>
      <w:r>
        <w:t>：学习和掌握主要蔬菜</w:t>
      </w:r>
      <w:r>
        <w:rPr>
          <w:rFonts w:hint="eastAsia"/>
        </w:rPr>
        <w:t>、</w:t>
      </w:r>
      <w:r>
        <w:t>花卉和果树的设施栽培技术</w:t>
      </w:r>
      <w:r>
        <w:rPr>
          <w:rFonts w:hint="eastAsia"/>
        </w:rPr>
        <w:t>。</w:t>
      </w:r>
    </w:p>
    <w:p>
      <w:pPr>
        <w:spacing w:line="360" w:lineRule="auto"/>
      </w:pPr>
      <w:r>
        <w:rPr>
          <w:b/>
          <w:bCs/>
        </w:rPr>
        <w:t>教学重点和难点</w:t>
      </w:r>
      <w:r>
        <w:t>：设施类型与蔬菜</w:t>
      </w:r>
      <w:r>
        <w:rPr>
          <w:rFonts w:hint="eastAsia"/>
        </w:rPr>
        <w:t>、</w:t>
      </w:r>
      <w:r>
        <w:t>花卉生产茬次安排的关系，各种主要蔬菜</w:t>
      </w:r>
      <w:r>
        <w:rPr>
          <w:rFonts w:hint="eastAsia"/>
        </w:rPr>
        <w:t>、</w:t>
      </w:r>
      <w:r>
        <w:t>花卉和果树设施栽培的关键技术</w:t>
      </w:r>
      <w:r>
        <w:rPr>
          <w:rFonts w:hint="eastAsia"/>
        </w:rPr>
        <w:t>。</w:t>
      </w:r>
    </w:p>
    <w:p>
      <w:pPr>
        <w:spacing w:line="360" w:lineRule="auto"/>
      </w:pPr>
      <w:r>
        <w:rPr>
          <w:b/>
          <w:bCs/>
        </w:rPr>
        <w:t>主要教学内容及要求</w:t>
      </w:r>
      <w:r>
        <w:t>：</w:t>
      </w:r>
      <w:r>
        <w:rPr>
          <w:rFonts w:hint="eastAsia"/>
        </w:rPr>
        <w:t>了解</w:t>
      </w:r>
      <w:r>
        <w:t>蔬菜、果树和花卉设施栽培</w:t>
      </w:r>
      <w:r>
        <w:rPr>
          <w:rFonts w:hint="eastAsia"/>
        </w:rPr>
        <w:t>的</w:t>
      </w:r>
      <w:r>
        <w:t>主要特点及概况；掌握蔬菜设施栽培的主要茬口安排，促生栽培、半促成栽培的概念</w:t>
      </w:r>
      <w:r>
        <w:rPr>
          <w:rFonts w:hint="eastAsia"/>
        </w:rPr>
        <w:t>；熟练</w:t>
      </w:r>
      <w:r>
        <w:t>掌握瓜类蔬菜的设施栽培，茄果类蔬菜设施栽培，草莓设施栽培</w:t>
      </w:r>
      <w:r>
        <w:rPr>
          <w:rFonts w:hint="eastAsia"/>
        </w:rPr>
        <w:t>及主要</w:t>
      </w:r>
      <w:r>
        <w:t>花卉设施栽培技术</w:t>
      </w:r>
      <w:r>
        <w:rPr>
          <w:rFonts w:hint="eastAsia"/>
        </w:rPr>
        <w:t>要点。</w:t>
      </w:r>
    </w:p>
    <w:p>
      <w:pPr>
        <w:spacing w:line="360" w:lineRule="auto"/>
        <w:rPr>
          <w:b/>
        </w:rPr>
      </w:pPr>
      <w:r>
        <w:rPr>
          <w:b/>
        </w:rPr>
        <w:t>第一节  蔬菜作物的设施栽培技术</w:t>
      </w:r>
    </w:p>
    <w:p>
      <w:pPr>
        <w:spacing w:line="360" w:lineRule="auto"/>
        <w:ind w:firstLine="420" w:firstLineChars="200"/>
      </w:pPr>
      <w:r>
        <w:rPr>
          <w:rFonts w:hint="eastAsia"/>
        </w:rPr>
        <w:t>了解蔬菜设施</w:t>
      </w:r>
      <w:r>
        <w:t>栽培的主要特点，栽培方式及主要种类</w:t>
      </w:r>
      <w:r>
        <w:rPr>
          <w:rFonts w:hint="eastAsia"/>
        </w:rPr>
        <w:t>。</w:t>
      </w:r>
    </w:p>
    <w:p>
      <w:pPr>
        <w:spacing w:line="360" w:lineRule="auto"/>
        <w:ind w:firstLine="420" w:firstLineChars="200"/>
      </w:pPr>
      <w:r>
        <w:rPr>
          <w:rFonts w:hint="eastAsia"/>
        </w:rPr>
        <w:t>理解我国蔬菜</w:t>
      </w:r>
      <w:r>
        <w:t>设施栽培的区划及其主要茬口类型</w:t>
      </w:r>
      <w:r>
        <w:rPr>
          <w:rFonts w:hint="eastAsia"/>
        </w:rPr>
        <w:t>。</w:t>
      </w:r>
    </w:p>
    <w:p>
      <w:pPr>
        <w:spacing w:line="360" w:lineRule="auto"/>
        <w:ind w:firstLine="420" w:firstLineChars="200"/>
      </w:pPr>
      <w:r>
        <w:rPr>
          <w:rFonts w:hint="eastAsia"/>
        </w:rPr>
        <w:t>掌握促成栽培</w:t>
      </w:r>
      <w:r>
        <w:t>、半促成栽培、延迟栽培和越夏栽培的概念</w:t>
      </w:r>
      <w:r>
        <w:rPr>
          <w:rFonts w:hint="eastAsia"/>
        </w:rPr>
        <w:t>。</w:t>
      </w:r>
    </w:p>
    <w:p>
      <w:pPr>
        <w:spacing w:line="360" w:lineRule="auto"/>
        <w:ind w:firstLine="420" w:firstLineChars="200"/>
      </w:pPr>
      <w:r>
        <w:rPr>
          <w:rFonts w:hint="eastAsia"/>
        </w:rPr>
        <w:t>熟练掌握主要设施</w:t>
      </w:r>
      <w:r>
        <w:t>蔬菜的栽培技术要点</w:t>
      </w:r>
      <w:r>
        <w:rPr>
          <w:rFonts w:hint="eastAsia"/>
        </w:rPr>
        <w:t>。</w:t>
      </w:r>
    </w:p>
    <w:p>
      <w:pPr>
        <w:spacing w:line="360" w:lineRule="auto"/>
        <w:ind w:firstLine="420" w:firstLineChars="200"/>
      </w:pPr>
      <w:r>
        <w:t>一、茄果类作物设施栽培技术要点</w:t>
      </w:r>
    </w:p>
    <w:p>
      <w:pPr>
        <w:spacing w:line="360" w:lineRule="auto"/>
        <w:ind w:firstLine="420" w:firstLineChars="200"/>
      </w:pPr>
      <w:r>
        <w:t>二、瓜类的作物设施栽培技术要点</w:t>
      </w:r>
    </w:p>
    <w:p>
      <w:pPr>
        <w:spacing w:line="360" w:lineRule="auto"/>
        <w:rPr>
          <w:b/>
        </w:rPr>
      </w:pPr>
      <w:r>
        <w:rPr>
          <w:b/>
        </w:rPr>
        <w:t>第二节  主要花卉作物的设施栽培</w:t>
      </w:r>
    </w:p>
    <w:p>
      <w:pPr>
        <w:spacing w:line="360" w:lineRule="auto"/>
        <w:ind w:firstLine="525" w:firstLineChars="250"/>
      </w:pPr>
      <w:r>
        <w:rPr>
          <w:rFonts w:hint="eastAsia"/>
        </w:rPr>
        <w:t>了解</w:t>
      </w:r>
      <w:r>
        <w:t>花卉设施栽培的特点与现状</w:t>
      </w:r>
      <w:r>
        <w:rPr>
          <w:rFonts w:hint="eastAsia"/>
        </w:rPr>
        <w:t>。</w:t>
      </w:r>
    </w:p>
    <w:p>
      <w:pPr>
        <w:spacing w:line="360" w:lineRule="auto"/>
        <w:ind w:firstLine="525" w:firstLineChars="250"/>
      </w:pPr>
      <w:r>
        <w:rPr>
          <w:rFonts w:hint="eastAsia"/>
        </w:rPr>
        <w:t>理解</w:t>
      </w:r>
      <w:r>
        <w:t>设施栽培花卉的主要种类</w:t>
      </w:r>
      <w:r>
        <w:rPr>
          <w:rFonts w:hint="eastAsia"/>
        </w:rPr>
        <w:t>。</w:t>
      </w:r>
    </w:p>
    <w:p>
      <w:pPr>
        <w:spacing w:line="360" w:lineRule="auto"/>
        <w:ind w:firstLine="525" w:firstLineChars="250"/>
      </w:pPr>
      <w:r>
        <w:rPr>
          <w:rFonts w:hint="eastAsia"/>
        </w:rPr>
        <w:t>掌握</w:t>
      </w:r>
      <w:r>
        <w:t>切花设施栽培，球根花卉设施，栽培盆花设施栽培</w:t>
      </w:r>
      <w:r>
        <w:rPr>
          <w:rFonts w:hint="eastAsia"/>
        </w:rPr>
        <w:t>技术。</w:t>
      </w:r>
    </w:p>
    <w:p>
      <w:pPr>
        <w:spacing w:line="360" w:lineRule="auto"/>
        <w:ind w:firstLine="420" w:firstLineChars="200"/>
      </w:pPr>
      <w:r>
        <w:t>一、切花设施栽培</w:t>
      </w:r>
    </w:p>
    <w:p>
      <w:pPr>
        <w:spacing w:line="360" w:lineRule="auto"/>
        <w:ind w:firstLine="420" w:firstLineChars="200"/>
      </w:pPr>
      <w:r>
        <w:t>二、盆花设施栽培</w:t>
      </w:r>
    </w:p>
    <w:p>
      <w:pPr>
        <w:spacing w:line="360" w:lineRule="auto"/>
        <w:ind w:firstLine="420" w:firstLineChars="200"/>
      </w:pPr>
      <w:r>
        <w:t>三、球根花卉设施栽培</w:t>
      </w:r>
    </w:p>
    <w:p>
      <w:pPr>
        <w:spacing w:line="360" w:lineRule="auto"/>
        <w:rPr>
          <w:b/>
        </w:rPr>
      </w:pPr>
      <w:r>
        <w:rPr>
          <w:b/>
        </w:rPr>
        <w:t>第三节  果树设施栽培</w:t>
      </w:r>
    </w:p>
    <w:p>
      <w:pPr>
        <w:spacing w:line="360" w:lineRule="auto"/>
        <w:ind w:firstLine="525" w:firstLineChars="250"/>
      </w:pPr>
      <w:r>
        <w:rPr>
          <w:rFonts w:hint="eastAsia"/>
        </w:rPr>
        <w:t>了解国内外果树</w:t>
      </w:r>
      <w:r>
        <w:t>设施栽培的现状及主要树种和品种</w:t>
      </w:r>
      <w:r>
        <w:rPr>
          <w:rFonts w:hint="eastAsia"/>
        </w:rPr>
        <w:t>。</w:t>
      </w:r>
    </w:p>
    <w:p>
      <w:pPr>
        <w:spacing w:line="360" w:lineRule="auto"/>
        <w:ind w:firstLine="525" w:firstLineChars="250"/>
      </w:pPr>
      <w:r>
        <w:rPr>
          <w:rFonts w:hint="eastAsia"/>
        </w:rPr>
        <w:t>理解设施类型</w:t>
      </w:r>
      <w:r>
        <w:t>与果树生长的关系</w:t>
      </w:r>
      <w:r>
        <w:rPr>
          <w:rFonts w:hint="eastAsia"/>
        </w:rPr>
        <w:t>。</w:t>
      </w:r>
    </w:p>
    <w:p>
      <w:pPr>
        <w:spacing w:line="360" w:lineRule="auto"/>
        <w:ind w:firstLine="525" w:firstLineChars="250"/>
      </w:pPr>
      <w:r>
        <w:rPr>
          <w:rFonts w:hint="eastAsia"/>
        </w:rPr>
        <w:t>掌握葡萄避雨</w:t>
      </w:r>
      <w:r>
        <w:t>栽培、桃和樱桃及草莓的设置栽培技术要点。</w:t>
      </w:r>
    </w:p>
    <w:p>
      <w:pPr>
        <w:spacing w:line="360" w:lineRule="auto"/>
        <w:ind w:firstLine="525" w:firstLineChars="250"/>
      </w:pPr>
      <w:r>
        <w:t>一、葡萄设施栽培要点</w:t>
      </w:r>
    </w:p>
    <w:p>
      <w:pPr>
        <w:spacing w:line="360" w:lineRule="auto"/>
        <w:ind w:firstLine="525" w:firstLineChars="250"/>
      </w:pPr>
      <w:r>
        <w:t>二、桃、樱桃</w:t>
      </w:r>
      <w:r>
        <w:rPr>
          <w:rFonts w:hint="eastAsia"/>
        </w:rPr>
        <w:t>及</w:t>
      </w:r>
      <w:r>
        <w:t>草莓的设施栽培</w:t>
      </w:r>
    </w:p>
    <w:p>
      <w:pPr>
        <w:widowControl/>
        <w:snapToGrid w:val="0"/>
        <w:spacing w:line="360" w:lineRule="auto"/>
      </w:pPr>
      <w:r>
        <w:rPr>
          <w:rFonts w:hint="eastAsia" w:ascii="宋体" w:hAnsi="宋体"/>
          <w:b/>
          <w:bCs/>
          <w:szCs w:val="21"/>
        </w:rPr>
        <w:t>教学组织与实施：</w:t>
      </w:r>
      <w:r>
        <w:rPr>
          <w:rFonts w:hint="eastAsia"/>
        </w:rPr>
        <w:t>利用多媒体设备，根据学生的理解程度对知识点进行讲解；结合具体案例分析主要园艺作物设施的特点及经营模式；结合学生切身体会分析设施农业发展的趋势和就业前景。</w:t>
      </w:r>
    </w:p>
    <w:p>
      <w:pPr>
        <w:spacing w:before="156" w:beforeLines="50" w:after="156" w:afterLines="50" w:line="360" w:lineRule="auto"/>
        <w:ind w:firstLine="3584" w:firstLineChars="1700"/>
        <w:jc w:val="right"/>
        <w:rPr>
          <w:b/>
          <w:bCs/>
        </w:rPr>
      </w:pPr>
      <w:r>
        <w:rPr>
          <w:b/>
          <w:bCs/>
        </w:rPr>
        <w:t>第</w:t>
      </w:r>
      <w:r>
        <w:rPr>
          <w:rFonts w:hint="eastAsia"/>
          <w:b/>
          <w:bCs/>
        </w:rPr>
        <w:t>七</w:t>
      </w:r>
      <w:r>
        <w:rPr>
          <w:b/>
          <w:bCs/>
        </w:rPr>
        <w:t>章  无土栽培</w:t>
      </w:r>
      <w:r>
        <w:rPr>
          <w:rFonts w:hint="eastAsia"/>
          <w:b/>
          <w:bCs/>
        </w:rPr>
        <w:t xml:space="preserve">                   </w:t>
      </w:r>
      <w:r>
        <w:rPr>
          <w:b/>
          <w:bCs/>
        </w:rPr>
        <w:t xml:space="preserve"> 学时数</w:t>
      </w:r>
      <w:r>
        <w:rPr>
          <w:rFonts w:hint="eastAsia"/>
          <w:b/>
          <w:bCs/>
        </w:rPr>
        <w:t>：</w:t>
      </w:r>
      <w:r>
        <w:rPr>
          <w:b/>
          <w:bCs/>
        </w:rPr>
        <w:t>4</w:t>
      </w:r>
    </w:p>
    <w:p>
      <w:pPr>
        <w:spacing w:line="360" w:lineRule="auto"/>
      </w:pPr>
      <w:r>
        <w:rPr>
          <w:b/>
          <w:bCs/>
        </w:rPr>
        <w:t>教学目</w:t>
      </w:r>
      <w:r>
        <w:rPr>
          <w:rFonts w:hint="eastAsia"/>
          <w:b/>
          <w:bCs/>
        </w:rPr>
        <w:t>标</w:t>
      </w:r>
      <w:r>
        <w:t>：学习和了解无土栽培技术的概念和主要类型和方法</w:t>
      </w:r>
    </w:p>
    <w:p>
      <w:pPr>
        <w:tabs>
          <w:tab w:val="left" w:pos="4770"/>
        </w:tabs>
        <w:spacing w:line="360" w:lineRule="auto"/>
      </w:pPr>
      <w:r>
        <w:rPr>
          <w:b/>
          <w:bCs/>
        </w:rPr>
        <w:t>教学重点和难点</w:t>
      </w:r>
      <w:r>
        <w:t>: 无土栽培基质和营养液配制</w:t>
      </w:r>
      <w:r>
        <w:tab/>
      </w:r>
    </w:p>
    <w:p>
      <w:pPr>
        <w:spacing w:line="360" w:lineRule="auto"/>
      </w:pPr>
      <w:r>
        <w:rPr>
          <w:b/>
          <w:bCs/>
        </w:rPr>
        <w:t>主要教学内容及要求</w:t>
      </w:r>
      <w:r>
        <w:t>：</w:t>
      </w:r>
      <w:r>
        <w:rPr>
          <w:rFonts w:hint="eastAsia"/>
        </w:rPr>
        <w:t>了解</w:t>
      </w:r>
      <w:r>
        <w:t>无土栽培的发展历史及研究进展，</w:t>
      </w:r>
      <w:r>
        <w:rPr>
          <w:rFonts w:hint="eastAsia"/>
        </w:rPr>
        <w:t>理解</w:t>
      </w:r>
      <w:r>
        <w:t>无土栽培的概念、</w:t>
      </w:r>
      <w:r>
        <w:rPr>
          <w:rFonts w:hint="eastAsia"/>
        </w:rPr>
        <w:t>不同</w:t>
      </w:r>
      <w:r>
        <w:t>无土栽培的类型及分类；掌握</w:t>
      </w:r>
      <w:r>
        <w:rPr>
          <w:rFonts w:hint="eastAsia"/>
        </w:rPr>
        <w:t>无土栽培</w:t>
      </w:r>
      <w:r>
        <w:t>营养液的配制技术，</w:t>
      </w:r>
      <w:r>
        <w:rPr>
          <w:rFonts w:hint="eastAsia"/>
        </w:rPr>
        <w:t>熟练</w:t>
      </w:r>
      <w:r>
        <w:t>掌握</w:t>
      </w:r>
      <w:r>
        <w:rPr>
          <w:rFonts w:hint="eastAsia"/>
        </w:rPr>
        <w:t>无土栽培中</w:t>
      </w:r>
      <w:r>
        <w:t>基质的选择及营养液的管理。</w:t>
      </w:r>
    </w:p>
    <w:p>
      <w:pPr>
        <w:spacing w:line="360" w:lineRule="auto"/>
        <w:rPr>
          <w:b/>
        </w:rPr>
      </w:pPr>
      <w:r>
        <w:rPr>
          <w:b/>
        </w:rPr>
        <w:t>第</w:t>
      </w:r>
      <w:r>
        <w:rPr>
          <w:rFonts w:hint="eastAsia"/>
          <w:b/>
        </w:rPr>
        <w:t>一</w:t>
      </w:r>
      <w:r>
        <w:rPr>
          <w:b/>
        </w:rPr>
        <w:t xml:space="preserve">节  </w:t>
      </w:r>
      <w:r>
        <w:rPr>
          <w:rFonts w:hint="eastAsia"/>
          <w:b/>
        </w:rPr>
        <w:t>无土栽培</w:t>
      </w:r>
      <w:r>
        <w:rPr>
          <w:b/>
        </w:rPr>
        <w:t>概念及分类</w:t>
      </w:r>
    </w:p>
    <w:p>
      <w:pPr>
        <w:spacing w:line="360" w:lineRule="auto"/>
        <w:ind w:firstLine="420" w:firstLineChars="200"/>
      </w:pPr>
      <w:r>
        <w:t>了解</w:t>
      </w:r>
      <w:r>
        <w:rPr>
          <w:rFonts w:hint="eastAsia"/>
        </w:rPr>
        <w:t>无土栽培的</w:t>
      </w:r>
      <w:r>
        <w:t>发展概况</w:t>
      </w:r>
      <w:r>
        <w:rPr>
          <w:rFonts w:hint="eastAsia"/>
        </w:rPr>
        <w:t>。</w:t>
      </w:r>
    </w:p>
    <w:p>
      <w:pPr>
        <w:spacing w:line="360" w:lineRule="auto"/>
        <w:ind w:firstLine="420" w:firstLineChars="200"/>
      </w:pPr>
      <w:r>
        <w:t>理解</w:t>
      </w:r>
      <w:r>
        <w:rPr>
          <w:rFonts w:hint="eastAsia"/>
        </w:rPr>
        <w:t>无土栽培</w:t>
      </w:r>
      <w:r>
        <w:t>的类型与分类</w:t>
      </w:r>
      <w:r>
        <w:rPr>
          <w:rFonts w:hint="eastAsia"/>
        </w:rPr>
        <w:t>。</w:t>
      </w:r>
    </w:p>
    <w:p>
      <w:pPr>
        <w:spacing w:line="360" w:lineRule="auto"/>
        <w:ind w:firstLine="420" w:firstLineChars="200"/>
      </w:pPr>
      <w:r>
        <w:t>掌握</w:t>
      </w:r>
      <w:r>
        <w:rPr>
          <w:rFonts w:hint="eastAsia"/>
        </w:rPr>
        <w:t>营养液的</w:t>
      </w:r>
      <w:r>
        <w:t>配制及管理</w:t>
      </w:r>
      <w:r>
        <w:rPr>
          <w:rFonts w:hint="eastAsia"/>
        </w:rPr>
        <w:t>。</w:t>
      </w:r>
    </w:p>
    <w:p>
      <w:pPr>
        <w:spacing w:line="360" w:lineRule="auto"/>
        <w:ind w:firstLine="420" w:firstLineChars="200"/>
      </w:pPr>
      <w:r>
        <w:t>一、</w:t>
      </w:r>
      <w:r>
        <w:rPr>
          <w:rFonts w:hint="eastAsia"/>
        </w:rPr>
        <w:t>无土栽培</w:t>
      </w:r>
      <w:r>
        <w:t>的发展概况</w:t>
      </w:r>
    </w:p>
    <w:p>
      <w:pPr>
        <w:spacing w:line="360" w:lineRule="auto"/>
        <w:ind w:firstLine="420" w:firstLineChars="200"/>
      </w:pPr>
      <w:r>
        <w:t>二、</w:t>
      </w:r>
      <w:r>
        <w:rPr>
          <w:rFonts w:hint="eastAsia"/>
        </w:rPr>
        <w:t>无土栽培的</w:t>
      </w:r>
      <w:r>
        <w:t>类型与分类</w:t>
      </w:r>
    </w:p>
    <w:p>
      <w:pPr>
        <w:spacing w:line="360" w:lineRule="auto"/>
        <w:ind w:firstLine="420" w:firstLineChars="200"/>
      </w:pPr>
      <w:r>
        <w:rPr>
          <w:rFonts w:hint="eastAsia"/>
        </w:rPr>
        <w:t>三</w:t>
      </w:r>
      <w:r>
        <w:t>、营养液的配制及管理</w:t>
      </w:r>
    </w:p>
    <w:p>
      <w:pPr>
        <w:spacing w:line="360" w:lineRule="auto"/>
        <w:rPr>
          <w:b/>
        </w:rPr>
      </w:pPr>
      <w:r>
        <w:rPr>
          <w:b/>
        </w:rPr>
        <w:t>第</w:t>
      </w:r>
      <w:r>
        <w:rPr>
          <w:rFonts w:hint="eastAsia"/>
          <w:b/>
        </w:rPr>
        <w:t>二</w:t>
      </w:r>
      <w:r>
        <w:rPr>
          <w:b/>
        </w:rPr>
        <w:t xml:space="preserve">节  </w:t>
      </w:r>
      <w:r>
        <w:rPr>
          <w:rFonts w:hint="eastAsia"/>
          <w:b/>
        </w:rPr>
        <w:t>固体基质</w:t>
      </w:r>
      <w:r>
        <w:rPr>
          <w:b/>
        </w:rPr>
        <w:t>栽培技术</w:t>
      </w:r>
    </w:p>
    <w:p>
      <w:pPr>
        <w:spacing w:line="360" w:lineRule="auto"/>
        <w:ind w:firstLine="420" w:firstLineChars="200"/>
      </w:pPr>
      <w:r>
        <w:t>了解</w:t>
      </w:r>
      <w:r>
        <w:rPr>
          <w:rFonts w:hint="eastAsia"/>
        </w:rPr>
        <w:t>固体基质的分类</w:t>
      </w:r>
      <w:r>
        <w:t>及发展概况</w:t>
      </w:r>
      <w:r>
        <w:rPr>
          <w:rFonts w:hint="eastAsia"/>
        </w:rPr>
        <w:t>。</w:t>
      </w:r>
    </w:p>
    <w:p>
      <w:pPr>
        <w:spacing w:line="360" w:lineRule="auto"/>
        <w:ind w:firstLine="420" w:firstLineChars="200"/>
      </w:pPr>
      <w:r>
        <w:t>理解</w:t>
      </w:r>
      <w:r>
        <w:rPr>
          <w:rFonts w:hint="eastAsia"/>
        </w:rPr>
        <w:t>固体基质</w:t>
      </w:r>
      <w:r>
        <w:t>的类型与分类</w:t>
      </w:r>
      <w:r>
        <w:rPr>
          <w:rFonts w:hint="eastAsia"/>
        </w:rPr>
        <w:t>。</w:t>
      </w:r>
    </w:p>
    <w:p>
      <w:pPr>
        <w:spacing w:line="360" w:lineRule="auto"/>
        <w:ind w:firstLine="420" w:firstLineChars="200"/>
      </w:pPr>
      <w:r>
        <w:t>掌握</w:t>
      </w:r>
      <w:r>
        <w:rPr>
          <w:rFonts w:hint="eastAsia"/>
        </w:rPr>
        <w:t>固体基质的</w:t>
      </w:r>
      <w:r>
        <w:t>配制及管理</w:t>
      </w:r>
      <w:r>
        <w:rPr>
          <w:rFonts w:hint="eastAsia"/>
        </w:rPr>
        <w:t>。</w:t>
      </w:r>
    </w:p>
    <w:p>
      <w:pPr>
        <w:spacing w:line="360" w:lineRule="auto"/>
        <w:ind w:firstLine="420" w:firstLineChars="200"/>
      </w:pPr>
      <w:r>
        <w:t>一、</w:t>
      </w:r>
      <w:r>
        <w:rPr>
          <w:rFonts w:hint="eastAsia"/>
        </w:rPr>
        <w:t>固体基质</w:t>
      </w:r>
      <w:r>
        <w:t>的发展概况</w:t>
      </w:r>
    </w:p>
    <w:p>
      <w:pPr>
        <w:spacing w:line="360" w:lineRule="auto"/>
        <w:ind w:firstLine="420" w:firstLineChars="200"/>
      </w:pPr>
      <w:r>
        <w:t>二、</w:t>
      </w:r>
      <w:r>
        <w:rPr>
          <w:rFonts w:hint="eastAsia"/>
        </w:rPr>
        <w:t>固体基质的</w:t>
      </w:r>
      <w:r>
        <w:t>类型与分类</w:t>
      </w:r>
    </w:p>
    <w:p>
      <w:pPr>
        <w:spacing w:line="360" w:lineRule="auto"/>
        <w:ind w:firstLine="420" w:firstLineChars="200"/>
      </w:pPr>
      <w:r>
        <w:rPr>
          <w:rFonts w:hint="eastAsia"/>
        </w:rPr>
        <w:t>三</w:t>
      </w:r>
      <w:r>
        <w:t>、</w:t>
      </w:r>
      <w:r>
        <w:rPr>
          <w:rFonts w:hint="eastAsia"/>
        </w:rPr>
        <w:t>固体基质</w:t>
      </w:r>
      <w:r>
        <w:t>配制及</w:t>
      </w:r>
      <w:r>
        <w:rPr>
          <w:rFonts w:hint="eastAsia"/>
        </w:rPr>
        <w:t>栽培</w:t>
      </w:r>
      <w:r>
        <w:t>管理</w:t>
      </w:r>
      <w:r>
        <w:rPr>
          <w:rFonts w:hint="eastAsia"/>
        </w:rPr>
        <w:t>技术</w:t>
      </w:r>
    </w:p>
    <w:p>
      <w:pPr>
        <w:widowControl/>
        <w:snapToGrid w:val="0"/>
        <w:spacing w:line="360" w:lineRule="auto"/>
      </w:pPr>
      <w:r>
        <w:rPr>
          <w:rFonts w:hint="eastAsia" w:ascii="宋体" w:hAnsi="宋体"/>
          <w:b/>
          <w:bCs/>
          <w:szCs w:val="21"/>
        </w:rPr>
        <w:t>教学组织与实施：</w:t>
      </w:r>
      <w:r>
        <w:rPr>
          <w:rFonts w:hint="eastAsia"/>
        </w:rPr>
        <w:t>利用多媒体设备，根据学生的理解程度对知识点进行讲解；以不同基质种类实物在课堂中让学生亲身感受，加强对无土栽培固体基质类型的区分；分小组讨论无土栽培发展中存在的问题及解决办法。</w:t>
      </w:r>
    </w:p>
    <w:p>
      <w:pPr>
        <w:spacing w:before="156" w:beforeLines="50" w:after="156" w:afterLines="50" w:line="360" w:lineRule="auto"/>
        <w:ind w:firstLine="3584" w:firstLineChars="1700"/>
        <w:jc w:val="right"/>
        <w:rPr>
          <w:b/>
          <w:bCs/>
        </w:rPr>
      </w:pPr>
      <w:r>
        <w:rPr>
          <w:b/>
          <w:bCs/>
        </w:rPr>
        <w:t>第</w:t>
      </w:r>
      <w:r>
        <w:rPr>
          <w:rFonts w:hint="eastAsia"/>
          <w:b/>
          <w:bCs/>
        </w:rPr>
        <w:t>八</w:t>
      </w:r>
      <w:r>
        <w:rPr>
          <w:b/>
          <w:bCs/>
        </w:rPr>
        <w:t>章  设施园艺新技术</w:t>
      </w:r>
      <w:r>
        <w:rPr>
          <w:rFonts w:hint="eastAsia"/>
          <w:b/>
          <w:bCs/>
        </w:rPr>
        <w:t xml:space="preserve">      </w:t>
      </w:r>
      <w:r>
        <w:rPr>
          <w:b/>
          <w:bCs/>
        </w:rPr>
        <w:t xml:space="preserve">         学时数</w:t>
      </w:r>
      <w:r>
        <w:rPr>
          <w:rFonts w:hint="eastAsia"/>
          <w:b/>
          <w:bCs/>
        </w:rPr>
        <w:t>：</w:t>
      </w:r>
      <w:r>
        <w:rPr>
          <w:b/>
          <w:bCs/>
        </w:rPr>
        <w:t>2</w:t>
      </w:r>
    </w:p>
    <w:p>
      <w:pPr>
        <w:spacing w:line="360" w:lineRule="auto"/>
      </w:pPr>
      <w:r>
        <w:rPr>
          <w:b/>
          <w:bCs/>
        </w:rPr>
        <w:t>教学目</w:t>
      </w:r>
      <w:r>
        <w:rPr>
          <w:rFonts w:hint="eastAsia"/>
          <w:b/>
          <w:bCs/>
        </w:rPr>
        <w:t>标</w:t>
      </w:r>
      <w:r>
        <w:t>：学习和了解</w:t>
      </w:r>
      <w:r>
        <w:rPr>
          <w:rFonts w:hint="eastAsia"/>
        </w:rPr>
        <w:t>植物工厂</w:t>
      </w:r>
      <w:r>
        <w:t>的概念和</w:t>
      </w:r>
      <w:r>
        <w:rPr>
          <w:rFonts w:hint="eastAsia"/>
        </w:rPr>
        <w:t>生产关键</w:t>
      </w:r>
      <w:r>
        <w:t>设施设备</w:t>
      </w:r>
      <w:r>
        <w:rPr>
          <w:rFonts w:hint="eastAsia"/>
        </w:rPr>
        <w:t>。</w:t>
      </w:r>
    </w:p>
    <w:p>
      <w:pPr>
        <w:tabs>
          <w:tab w:val="left" w:pos="4770"/>
        </w:tabs>
        <w:spacing w:line="360" w:lineRule="auto"/>
      </w:pPr>
      <w:r>
        <w:rPr>
          <w:b/>
          <w:bCs/>
        </w:rPr>
        <w:t>教学重点和难点</w:t>
      </w:r>
      <w:r>
        <w:t xml:space="preserve">: </w:t>
      </w:r>
      <w:r>
        <w:rPr>
          <w:rFonts w:hint="eastAsia"/>
        </w:rPr>
        <w:t>植物工厂</w:t>
      </w:r>
      <w:r>
        <w:t>的类型与应用特点</w:t>
      </w:r>
      <w:r>
        <w:rPr>
          <w:rFonts w:hint="eastAsia"/>
        </w:rPr>
        <w:t>。</w:t>
      </w:r>
      <w:r>
        <w:tab/>
      </w:r>
    </w:p>
    <w:p>
      <w:pPr>
        <w:spacing w:line="360" w:lineRule="auto"/>
      </w:pPr>
      <w:r>
        <w:rPr>
          <w:b/>
          <w:bCs/>
        </w:rPr>
        <w:t>主要教学内容及要求</w:t>
      </w:r>
      <w:r>
        <w:t>：</w:t>
      </w:r>
      <w:r>
        <w:rPr>
          <w:rFonts w:hint="eastAsia"/>
        </w:rPr>
        <w:t>了解植物工厂</w:t>
      </w:r>
      <w:r>
        <w:t>的发展历史及研究进展，</w:t>
      </w:r>
      <w:r>
        <w:rPr>
          <w:rFonts w:hint="eastAsia"/>
        </w:rPr>
        <w:t>理解植物工厂、</w:t>
      </w:r>
      <w:r>
        <w:t>太空农业的概念、</w:t>
      </w:r>
      <w:r>
        <w:rPr>
          <w:rFonts w:hint="eastAsia"/>
        </w:rPr>
        <w:t>不同植物工厂</w:t>
      </w:r>
      <w:r>
        <w:t>的类型；掌握</w:t>
      </w:r>
      <w:r>
        <w:rPr>
          <w:rFonts w:hint="eastAsia"/>
        </w:rPr>
        <w:t>植物工厂</w:t>
      </w:r>
      <w:r>
        <w:t>的主要设施设备及生产关键技术</w:t>
      </w:r>
      <w:r>
        <w:rPr>
          <w:rFonts w:hint="eastAsia"/>
        </w:rPr>
        <w:t>。</w:t>
      </w:r>
    </w:p>
    <w:p>
      <w:pPr>
        <w:spacing w:line="360" w:lineRule="auto"/>
        <w:rPr>
          <w:b/>
        </w:rPr>
      </w:pPr>
      <w:r>
        <w:rPr>
          <w:b/>
        </w:rPr>
        <w:t>第</w:t>
      </w:r>
      <w:r>
        <w:rPr>
          <w:rFonts w:hint="eastAsia"/>
          <w:b/>
        </w:rPr>
        <w:t>一</w:t>
      </w:r>
      <w:r>
        <w:rPr>
          <w:b/>
        </w:rPr>
        <w:t xml:space="preserve">节  </w:t>
      </w:r>
      <w:r>
        <w:rPr>
          <w:rFonts w:hint="eastAsia"/>
          <w:b/>
        </w:rPr>
        <w:t>植物工厂</w:t>
      </w:r>
      <w:r>
        <w:rPr>
          <w:b/>
        </w:rPr>
        <w:t>概念及分类</w:t>
      </w:r>
    </w:p>
    <w:p>
      <w:pPr>
        <w:spacing w:line="360" w:lineRule="auto"/>
        <w:ind w:firstLine="420" w:firstLineChars="200"/>
      </w:pPr>
      <w:r>
        <w:t>了解</w:t>
      </w:r>
      <w:r>
        <w:rPr>
          <w:rFonts w:hint="eastAsia"/>
        </w:rPr>
        <w:t>植物工厂的</w:t>
      </w:r>
      <w:r>
        <w:t>发展概况</w:t>
      </w:r>
      <w:r>
        <w:rPr>
          <w:rFonts w:hint="eastAsia"/>
        </w:rPr>
        <w:t>。</w:t>
      </w:r>
    </w:p>
    <w:p>
      <w:pPr>
        <w:spacing w:line="360" w:lineRule="auto"/>
        <w:ind w:firstLine="420" w:firstLineChars="200"/>
      </w:pPr>
      <w:r>
        <w:t>理解</w:t>
      </w:r>
      <w:r>
        <w:rPr>
          <w:rFonts w:hint="eastAsia"/>
        </w:rPr>
        <w:t>植物工厂</w:t>
      </w:r>
      <w:r>
        <w:t>的类型与分类</w:t>
      </w:r>
      <w:r>
        <w:rPr>
          <w:rFonts w:hint="eastAsia"/>
        </w:rPr>
        <w:t>。</w:t>
      </w:r>
    </w:p>
    <w:p>
      <w:pPr>
        <w:spacing w:line="360" w:lineRule="auto"/>
        <w:ind w:firstLine="420" w:firstLineChars="200"/>
      </w:pPr>
      <w:r>
        <w:t>掌握</w:t>
      </w:r>
      <w:r>
        <w:rPr>
          <w:rFonts w:hint="eastAsia"/>
        </w:rPr>
        <w:t>植物工厂</w:t>
      </w:r>
      <w:r>
        <w:t>的关键设施设备及应用</w:t>
      </w:r>
      <w:r>
        <w:rPr>
          <w:rFonts w:hint="eastAsia"/>
        </w:rPr>
        <w:t>。</w:t>
      </w:r>
    </w:p>
    <w:p>
      <w:pPr>
        <w:spacing w:line="360" w:lineRule="auto"/>
        <w:ind w:firstLine="420" w:firstLineChars="200"/>
      </w:pPr>
      <w:r>
        <w:t>一、</w:t>
      </w:r>
      <w:r>
        <w:rPr>
          <w:rFonts w:hint="eastAsia"/>
        </w:rPr>
        <w:t>植物工厂</w:t>
      </w:r>
      <w:r>
        <w:t>的发展概况</w:t>
      </w:r>
    </w:p>
    <w:p>
      <w:pPr>
        <w:spacing w:line="360" w:lineRule="auto"/>
        <w:ind w:firstLine="420" w:firstLineChars="200"/>
      </w:pPr>
      <w:r>
        <w:t>二、</w:t>
      </w:r>
      <w:r>
        <w:rPr>
          <w:rFonts w:hint="eastAsia"/>
        </w:rPr>
        <w:t>植物工厂的</w:t>
      </w:r>
      <w:r>
        <w:t>类型与</w:t>
      </w:r>
      <w:r>
        <w:rPr>
          <w:rFonts w:hint="eastAsia"/>
        </w:rPr>
        <w:t>应用</w:t>
      </w:r>
    </w:p>
    <w:p>
      <w:pPr>
        <w:spacing w:line="360" w:lineRule="auto"/>
        <w:ind w:firstLine="420" w:firstLineChars="200"/>
      </w:pPr>
      <w:r>
        <w:rPr>
          <w:rFonts w:hint="eastAsia"/>
        </w:rPr>
        <w:t>三</w:t>
      </w:r>
      <w:r>
        <w:t>、</w:t>
      </w:r>
      <w:r>
        <w:rPr>
          <w:rFonts w:hint="eastAsia"/>
        </w:rPr>
        <w:t>植物工厂的</w:t>
      </w:r>
      <w:r>
        <w:t>主要设施设备及管理特点</w:t>
      </w:r>
    </w:p>
    <w:p>
      <w:pPr>
        <w:spacing w:line="360" w:lineRule="auto"/>
        <w:rPr>
          <w:b/>
        </w:rPr>
      </w:pPr>
      <w:r>
        <w:rPr>
          <w:b/>
        </w:rPr>
        <w:t>第</w:t>
      </w:r>
      <w:r>
        <w:rPr>
          <w:rFonts w:hint="eastAsia"/>
          <w:b/>
        </w:rPr>
        <w:t>二</w:t>
      </w:r>
      <w:r>
        <w:rPr>
          <w:b/>
        </w:rPr>
        <w:t xml:space="preserve">节  </w:t>
      </w:r>
      <w:r>
        <w:rPr>
          <w:rFonts w:hint="eastAsia"/>
          <w:b/>
        </w:rPr>
        <w:t>太空农业</w:t>
      </w:r>
    </w:p>
    <w:p>
      <w:pPr>
        <w:spacing w:line="360" w:lineRule="auto"/>
        <w:ind w:firstLine="420" w:firstLineChars="200"/>
      </w:pPr>
      <w:r>
        <w:t>了解</w:t>
      </w:r>
      <w:r>
        <w:rPr>
          <w:rFonts w:hint="eastAsia"/>
        </w:rPr>
        <w:t>太空农业</w:t>
      </w:r>
      <w:r>
        <w:t>的概念</w:t>
      </w:r>
      <w:r>
        <w:rPr>
          <w:rFonts w:hint="eastAsia"/>
        </w:rPr>
        <w:t>。</w:t>
      </w:r>
    </w:p>
    <w:p>
      <w:pPr>
        <w:spacing w:line="360" w:lineRule="auto"/>
        <w:ind w:firstLine="420" w:firstLineChars="200"/>
      </w:pPr>
      <w:r>
        <w:t>一、</w:t>
      </w:r>
      <w:r>
        <w:rPr>
          <w:rFonts w:hint="eastAsia"/>
        </w:rPr>
        <w:t>太空生态</w:t>
      </w:r>
      <w:r>
        <w:t>生命保障系统</w:t>
      </w:r>
    </w:p>
    <w:p>
      <w:pPr>
        <w:spacing w:line="360" w:lineRule="auto"/>
        <w:ind w:firstLine="420" w:firstLineChars="200"/>
      </w:pPr>
      <w:r>
        <w:t>二、</w:t>
      </w:r>
      <w:r>
        <w:rPr>
          <w:rFonts w:hint="eastAsia"/>
        </w:rPr>
        <w:t>太空农业</w:t>
      </w:r>
      <w:r>
        <w:t>的植物</w:t>
      </w:r>
      <w:r>
        <w:rPr>
          <w:rFonts w:hint="eastAsia"/>
        </w:rPr>
        <w:t>生产</w:t>
      </w:r>
    </w:p>
    <w:p>
      <w:pPr>
        <w:spacing w:line="360" w:lineRule="auto"/>
        <w:ind w:firstLine="420" w:firstLineChars="200"/>
      </w:pPr>
      <w:r>
        <w:rPr>
          <w:rFonts w:hint="eastAsia"/>
        </w:rPr>
        <w:t>三</w:t>
      </w:r>
      <w:r>
        <w:t>、</w:t>
      </w:r>
      <w:r>
        <w:rPr>
          <w:rFonts w:hint="eastAsia"/>
        </w:rPr>
        <w:t>封闭式</w:t>
      </w:r>
      <w:r>
        <w:t>生态系统的构筑</w:t>
      </w:r>
    </w:p>
    <w:p>
      <w:pPr>
        <w:widowControl/>
        <w:snapToGrid w:val="0"/>
        <w:spacing w:line="360" w:lineRule="auto"/>
        <w:jc w:val="left"/>
      </w:pPr>
      <w:r>
        <w:rPr>
          <w:rFonts w:hint="eastAsia" w:ascii="宋体" w:hAnsi="宋体"/>
          <w:b/>
          <w:bCs/>
          <w:szCs w:val="21"/>
        </w:rPr>
        <w:t>教学组织与实施：</w:t>
      </w:r>
      <w:r>
        <w:rPr>
          <w:rFonts w:hint="eastAsia"/>
        </w:rPr>
        <w:t>采用班级集中授课，以当前设施农业新技术的具体应用为切入点，对植物工厂和太空农业进行讲解；分小组讨论学习的方式共同讨论植物工厂未来应用的形式、发展中存在的问题及解决办法。</w:t>
      </w:r>
    </w:p>
    <w:p>
      <w:pPr>
        <w:widowControl/>
        <w:snapToGrid w:val="0"/>
        <w:spacing w:line="360" w:lineRule="auto"/>
        <w:jc w:val="left"/>
      </w:pPr>
    </w:p>
    <w:p>
      <w:pPr>
        <w:rPr>
          <w:b/>
          <w:bCs/>
          <w:kern w:val="0"/>
          <w:szCs w:val="21"/>
        </w:rPr>
      </w:pPr>
      <w:r>
        <w:rPr>
          <w:rFonts w:hint="eastAsia" w:ascii="宋体" w:hAnsi="宋体"/>
          <w:b/>
          <w:bCs/>
          <w:kern w:val="0"/>
          <w:szCs w:val="21"/>
        </w:rPr>
        <w:t>五</w:t>
      </w:r>
      <w:r>
        <w:rPr>
          <w:rFonts w:ascii="宋体" w:hAnsi="宋体"/>
          <w:b/>
          <w:bCs/>
          <w:kern w:val="0"/>
          <w:szCs w:val="21"/>
        </w:rPr>
        <w:t>、实验教学内容及学时分配</w:t>
      </w:r>
      <w:r>
        <w:rPr>
          <w:b/>
          <w:bCs/>
          <w:kern w:val="0"/>
          <w:szCs w:val="21"/>
        </w:rPr>
        <w:t xml:space="preserve"> （16学时）</w:t>
      </w:r>
    </w:p>
    <w:p>
      <w:pPr>
        <w:snapToGrid w:val="0"/>
        <w:spacing w:before="156" w:beforeLines="50" w:line="360" w:lineRule="auto"/>
        <w:rPr>
          <w:rFonts w:ascii="宋体" w:hAnsi="宋体"/>
          <w:b/>
          <w:bCs/>
          <w:szCs w:val="21"/>
        </w:rPr>
      </w:pPr>
      <w:r>
        <w:rPr>
          <w:rFonts w:hint="eastAsia" w:ascii="宋体" w:hAnsi="宋体"/>
          <w:b/>
          <w:bCs/>
          <w:szCs w:val="21"/>
        </w:rPr>
        <w:t>（一）实验课程简介</w:t>
      </w:r>
    </w:p>
    <w:p>
      <w:pPr>
        <w:snapToGrid w:val="0"/>
        <w:spacing w:line="360" w:lineRule="auto"/>
        <w:ind w:firstLine="420" w:firstLineChars="200"/>
        <w:rPr>
          <w:szCs w:val="21"/>
        </w:rPr>
      </w:pPr>
      <w:r>
        <w:rPr>
          <w:rFonts w:ascii="宋体" w:hAnsi="宋体"/>
          <w:szCs w:val="21"/>
        </w:rPr>
        <w:t>该课程是《</w:t>
      </w:r>
      <w:r>
        <w:rPr>
          <w:rFonts w:hint="eastAsia" w:ascii="宋体" w:hAnsi="宋体"/>
          <w:szCs w:val="21"/>
        </w:rPr>
        <w:t>设施园艺</w:t>
      </w:r>
      <w:r>
        <w:rPr>
          <w:rFonts w:ascii="宋体" w:hAnsi="宋体"/>
          <w:szCs w:val="21"/>
        </w:rPr>
        <w:t>学》课程的重要组成部分，共</w:t>
      </w:r>
      <w:r>
        <w:rPr>
          <w:szCs w:val="21"/>
        </w:rPr>
        <w:t>16</w:t>
      </w:r>
      <w:r>
        <w:rPr>
          <w:rFonts w:ascii="宋体" w:hAnsi="宋体"/>
          <w:szCs w:val="21"/>
        </w:rPr>
        <w:t>学时，</w:t>
      </w:r>
      <w:r>
        <w:rPr>
          <w:rFonts w:hint="eastAsia" w:ascii="宋体" w:hAnsi="宋体"/>
          <w:szCs w:val="21"/>
        </w:rPr>
        <w:t>通过设施类型的调查、简易设施的建造、设施内小气候观测、育苗和栽培技术等综合性、验证性和演示性等类型的实验，</w:t>
      </w:r>
      <w:r>
        <w:rPr>
          <w:rFonts w:ascii="宋体" w:hAnsi="宋体"/>
          <w:szCs w:val="21"/>
        </w:rPr>
        <w:t>是提高教学质量的重要环节。</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rPr>
          <w:szCs w:val="21"/>
        </w:rPr>
      </w:pPr>
      <w:r>
        <w:rPr>
          <w:rFonts w:hint="eastAsia" w:ascii="宋体" w:hAnsi="宋体"/>
          <w:szCs w:val="21"/>
        </w:rPr>
        <w:t>通过实验课的学习，使学生验证所学理论基础和知识。要求全体学生参加，根据实验内容进行分组进行。</w:t>
      </w:r>
      <w:r>
        <w:rPr>
          <w:rFonts w:ascii="宋体" w:hAnsi="宋体"/>
          <w:szCs w:val="21"/>
        </w:rPr>
        <w:t>要求学生必须掌握</w:t>
      </w:r>
      <w:r>
        <w:rPr>
          <w:rFonts w:hint="eastAsia" w:ascii="宋体" w:hAnsi="宋体"/>
          <w:szCs w:val="21"/>
        </w:rPr>
        <w:t>设施类型</w:t>
      </w:r>
      <w:r>
        <w:rPr>
          <w:rFonts w:ascii="宋体" w:hAnsi="宋体"/>
          <w:szCs w:val="21"/>
        </w:rPr>
        <w:t>的调查，掌握</w:t>
      </w:r>
      <w:r>
        <w:rPr>
          <w:rFonts w:hint="eastAsia" w:ascii="宋体" w:hAnsi="宋体"/>
          <w:szCs w:val="21"/>
        </w:rPr>
        <w:t>设施栽培</w:t>
      </w:r>
      <w:r>
        <w:rPr>
          <w:rFonts w:ascii="宋体" w:hAnsi="宋体"/>
          <w:szCs w:val="21"/>
        </w:rPr>
        <w:t>管理过程中电热温床铺设</w:t>
      </w:r>
      <w:r>
        <w:rPr>
          <w:rFonts w:hint="eastAsia" w:ascii="宋体" w:hAnsi="宋体"/>
          <w:szCs w:val="21"/>
        </w:rPr>
        <w:t>的</w:t>
      </w:r>
      <w:r>
        <w:rPr>
          <w:rFonts w:ascii="宋体" w:hAnsi="宋体"/>
          <w:szCs w:val="21"/>
        </w:rPr>
        <w:t>基本方法和操作技能，掌握</w:t>
      </w:r>
      <w:r>
        <w:rPr>
          <w:rFonts w:hint="eastAsia" w:ascii="宋体" w:hAnsi="宋体"/>
          <w:szCs w:val="21"/>
        </w:rPr>
        <w:t>穴盘育苗基质</w:t>
      </w:r>
      <w:r>
        <w:rPr>
          <w:rFonts w:ascii="宋体" w:hAnsi="宋体"/>
          <w:szCs w:val="21"/>
        </w:rPr>
        <w:t>的选择和混配，嫁接</w:t>
      </w:r>
      <w:r>
        <w:rPr>
          <w:rFonts w:hint="eastAsia" w:ascii="宋体" w:hAnsi="宋体"/>
          <w:szCs w:val="21"/>
        </w:rPr>
        <w:t>技术</w:t>
      </w:r>
      <w:r>
        <w:rPr>
          <w:rFonts w:ascii="宋体" w:hAnsi="宋体"/>
          <w:szCs w:val="21"/>
        </w:rPr>
        <w:t>的操作方法，并能应用到生产实践中去。</w:t>
      </w:r>
    </w:p>
    <w:p>
      <w:pPr>
        <w:autoSpaceDE w:val="0"/>
        <w:snapToGrid w:val="0"/>
        <w:spacing w:line="360" w:lineRule="auto"/>
        <w:rPr>
          <w:b/>
          <w:szCs w:val="21"/>
        </w:rPr>
      </w:pPr>
      <w:r>
        <w:rPr>
          <w:rFonts w:hint="eastAsia" w:ascii="宋体" w:hAnsi="宋体"/>
          <w:b/>
          <w:szCs w:val="21"/>
        </w:rPr>
        <w:t>（三）实验安全操作规范</w:t>
      </w:r>
    </w:p>
    <w:p>
      <w:pPr>
        <w:snapToGrid w:val="0"/>
        <w:spacing w:line="360" w:lineRule="auto"/>
        <w:ind w:firstLine="420" w:firstLineChars="200"/>
        <w:rPr>
          <w:szCs w:val="21"/>
        </w:rPr>
      </w:pPr>
      <w:r>
        <w:rPr>
          <w:rFonts w:hint="eastAsia"/>
          <w:szCs w:val="21"/>
        </w:rPr>
        <w:t>实验前，学生应认真预习实验册及课本有关内容，充分了解实验目的、内容和方法，并事前检查相关实验器材、设备是否齐全完好。实验中必须听从老师的指导，步骤科学、严肃认真。实验结束并认真清理实验台，归返相关仪器设备；认真、独立分析实验结果，完成相关实验报告。</w:t>
      </w:r>
    </w:p>
    <w:p>
      <w:pPr>
        <w:snapToGrid w:val="0"/>
        <w:spacing w:after="156" w:afterLines="50" w:line="360" w:lineRule="auto"/>
        <w:rPr>
          <w:rFonts w:ascii="宋体" w:hAnsi="宋体"/>
          <w:b/>
          <w:bCs/>
          <w:szCs w:val="21"/>
        </w:rPr>
      </w:pPr>
      <w:r>
        <w:rPr>
          <w:rFonts w:hint="eastAsia" w:ascii="宋体" w:hAnsi="宋体"/>
          <w:b/>
          <w:bCs/>
          <w:szCs w:val="21"/>
        </w:rPr>
        <w:t>（四）实验项目名称与学时分配</w:t>
      </w:r>
    </w:p>
    <w:tbl>
      <w:tblPr>
        <w:tblStyle w:val="22"/>
        <w:tblW w:w="864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551"/>
        <w:gridCol w:w="709"/>
        <w:gridCol w:w="1134"/>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b/>
                <w:bCs/>
                <w:sz w:val="18"/>
                <w:szCs w:val="18"/>
              </w:rPr>
            </w:pPr>
            <w:r>
              <w:rPr>
                <w:b/>
                <w:bCs/>
                <w:sz w:val="18"/>
                <w:szCs w:val="18"/>
              </w:rPr>
              <w:t>序号</w:t>
            </w:r>
          </w:p>
        </w:tc>
        <w:tc>
          <w:tcPr>
            <w:tcW w:w="2551" w:type="dxa"/>
            <w:tcBorders>
              <w:top w:val="single" w:color="auto" w:sz="4" w:space="0"/>
              <w:left w:val="nil"/>
              <w:bottom w:val="single" w:color="auto" w:sz="4" w:space="0"/>
              <w:right w:val="single" w:color="auto" w:sz="4" w:space="0"/>
            </w:tcBorders>
            <w:vAlign w:val="center"/>
          </w:tcPr>
          <w:p>
            <w:pPr>
              <w:spacing w:line="360" w:lineRule="auto"/>
              <w:jc w:val="center"/>
              <w:rPr>
                <w:b/>
                <w:bCs/>
                <w:sz w:val="18"/>
                <w:szCs w:val="18"/>
              </w:rPr>
            </w:pPr>
            <w:r>
              <w:rPr>
                <w:b/>
                <w:bCs/>
                <w:sz w:val="18"/>
                <w:szCs w:val="18"/>
              </w:rPr>
              <w:t>实验名称</w:t>
            </w:r>
          </w:p>
        </w:tc>
        <w:tc>
          <w:tcPr>
            <w:tcW w:w="709" w:type="dxa"/>
            <w:tcBorders>
              <w:top w:val="single" w:color="auto" w:sz="4" w:space="0"/>
              <w:left w:val="nil"/>
              <w:bottom w:val="single" w:color="auto" w:sz="4" w:space="0"/>
              <w:right w:val="single" w:color="auto" w:sz="4" w:space="0"/>
            </w:tcBorders>
            <w:vAlign w:val="center"/>
          </w:tcPr>
          <w:p>
            <w:pPr>
              <w:spacing w:line="360" w:lineRule="auto"/>
              <w:jc w:val="center"/>
              <w:rPr>
                <w:b/>
                <w:bCs/>
                <w:sz w:val="18"/>
                <w:szCs w:val="18"/>
              </w:rPr>
            </w:pPr>
            <w:r>
              <w:rPr>
                <w:b/>
                <w:bCs/>
                <w:sz w:val="18"/>
                <w:szCs w:val="18"/>
              </w:rPr>
              <w:t>学时</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b/>
                <w:bCs/>
                <w:sz w:val="18"/>
                <w:szCs w:val="18"/>
              </w:rPr>
            </w:pPr>
            <w:r>
              <w:rPr>
                <w:b/>
                <w:bCs/>
                <w:sz w:val="18"/>
                <w:szCs w:val="18"/>
              </w:rPr>
              <w:t>类型</w:t>
            </w:r>
          </w:p>
        </w:tc>
        <w:tc>
          <w:tcPr>
            <w:tcW w:w="1418" w:type="dxa"/>
            <w:tcBorders>
              <w:top w:val="single" w:color="auto" w:sz="4" w:space="0"/>
              <w:left w:val="nil"/>
              <w:bottom w:val="single" w:color="auto" w:sz="4" w:space="0"/>
              <w:right w:val="single" w:color="auto" w:sz="4" w:space="0"/>
            </w:tcBorders>
            <w:vAlign w:val="center"/>
          </w:tcPr>
          <w:p>
            <w:pPr>
              <w:spacing w:line="360" w:lineRule="auto"/>
              <w:jc w:val="center"/>
              <w:rPr>
                <w:b/>
                <w:bCs/>
                <w:sz w:val="18"/>
                <w:szCs w:val="18"/>
              </w:rPr>
            </w:pPr>
            <w:r>
              <w:rPr>
                <w:b/>
                <w:bCs/>
                <w:sz w:val="18"/>
                <w:szCs w:val="18"/>
              </w:rPr>
              <w:t>实验要求</w:t>
            </w:r>
          </w:p>
        </w:tc>
        <w:tc>
          <w:tcPr>
            <w:tcW w:w="1134" w:type="dxa"/>
            <w:tcBorders>
              <w:top w:val="single" w:color="auto" w:sz="4" w:space="0"/>
              <w:left w:val="nil"/>
              <w:bottom w:val="single" w:color="auto" w:sz="4" w:space="0"/>
              <w:right w:val="single" w:color="auto" w:sz="4" w:space="0"/>
            </w:tcBorders>
          </w:tcPr>
          <w:p>
            <w:pPr>
              <w:spacing w:line="360" w:lineRule="auto"/>
              <w:jc w:val="center"/>
              <w:rPr>
                <w:b/>
                <w:bCs/>
                <w:sz w:val="18"/>
                <w:szCs w:val="18"/>
              </w:rPr>
            </w:pPr>
            <w:r>
              <w:rPr>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sz w:val="18"/>
                <w:szCs w:val="18"/>
                <w:shd w:val="clear" w:color="auto" w:fill="FFFFFF"/>
              </w:rPr>
              <w:t>19011008</w:t>
            </w:r>
            <w:r>
              <w:rPr>
                <w:sz w:val="18"/>
                <w:szCs w:val="18"/>
              </w:rPr>
              <w:t>01</w:t>
            </w:r>
          </w:p>
        </w:tc>
        <w:tc>
          <w:tcPr>
            <w:tcW w:w="2551"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园艺栽培设施类型的调查</w:t>
            </w:r>
          </w:p>
        </w:tc>
        <w:tc>
          <w:tcPr>
            <w:tcW w:w="709"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4</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综合性</w:t>
            </w:r>
          </w:p>
        </w:tc>
        <w:tc>
          <w:tcPr>
            <w:tcW w:w="1418"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必做</w:t>
            </w:r>
          </w:p>
        </w:tc>
        <w:tc>
          <w:tcPr>
            <w:tcW w:w="1134" w:type="dxa"/>
            <w:tcBorders>
              <w:top w:val="single" w:color="auto" w:sz="4" w:space="0"/>
              <w:left w:val="nil"/>
              <w:bottom w:val="single" w:color="auto" w:sz="4" w:space="0"/>
              <w:right w:val="single" w:color="auto" w:sz="4" w:space="0"/>
            </w:tcBorders>
          </w:tcPr>
          <w:p>
            <w:pPr>
              <w:spacing w:line="360" w:lineRule="auto"/>
              <w:jc w:val="center"/>
              <w:rPr>
                <w:kern w:val="0"/>
                <w:sz w:val="18"/>
                <w:szCs w:val="18"/>
              </w:rPr>
            </w:pPr>
            <w:r>
              <w:rPr>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sz w:val="18"/>
                <w:szCs w:val="18"/>
                <w:shd w:val="clear" w:color="auto" w:fill="FFFFFF"/>
              </w:rPr>
              <w:t>19011008</w:t>
            </w:r>
            <w:r>
              <w:rPr>
                <w:sz w:val="18"/>
                <w:szCs w:val="18"/>
              </w:rPr>
              <w:t>02</w:t>
            </w:r>
          </w:p>
        </w:tc>
        <w:tc>
          <w:tcPr>
            <w:tcW w:w="2551"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塑料大棚的设置</w:t>
            </w:r>
          </w:p>
        </w:tc>
        <w:tc>
          <w:tcPr>
            <w:tcW w:w="709"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2</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演示性</w:t>
            </w:r>
          </w:p>
        </w:tc>
        <w:tc>
          <w:tcPr>
            <w:tcW w:w="1418"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必做</w:t>
            </w:r>
          </w:p>
        </w:tc>
        <w:tc>
          <w:tcPr>
            <w:tcW w:w="1134" w:type="dxa"/>
            <w:tcBorders>
              <w:top w:val="single" w:color="auto" w:sz="4" w:space="0"/>
              <w:left w:val="nil"/>
              <w:bottom w:val="single" w:color="auto" w:sz="4" w:space="0"/>
              <w:right w:val="single" w:color="auto" w:sz="4" w:space="0"/>
            </w:tcBorders>
          </w:tcPr>
          <w:p>
            <w:pPr>
              <w:spacing w:line="360" w:lineRule="auto"/>
              <w:jc w:val="center"/>
              <w:rPr>
                <w:kern w:val="0"/>
                <w:sz w:val="18"/>
                <w:szCs w:val="18"/>
              </w:rPr>
            </w:pPr>
            <w:r>
              <w:rPr>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sz w:val="18"/>
                <w:szCs w:val="18"/>
                <w:shd w:val="clear" w:color="auto" w:fill="FFFFFF"/>
              </w:rPr>
              <w:t>19011008</w:t>
            </w:r>
            <w:r>
              <w:rPr>
                <w:sz w:val="18"/>
                <w:szCs w:val="18"/>
              </w:rPr>
              <w:t>03</w:t>
            </w:r>
          </w:p>
        </w:tc>
        <w:tc>
          <w:tcPr>
            <w:tcW w:w="2551"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设施内小气候观测</w:t>
            </w:r>
          </w:p>
        </w:tc>
        <w:tc>
          <w:tcPr>
            <w:tcW w:w="709"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2</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验证性</w:t>
            </w:r>
          </w:p>
        </w:tc>
        <w:tc>
          <w:tcPr>
            <w:tcW w:w="1418"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必做</w:t>
            </w:r>
          </w:p>
        </w:tc>
        <w:tc>
          <w:tcPr>
            <w:tcW w:w="1134" w:type="dxa"/>
            <w:tcBorders>
              <w:top w:val="single" w:color="auto" w:sz="4" w:space="0"/>
              <w:left w:val="nil"/>
              <w:bottom w:val="single" w:color="auto" w:sz="4" w:space="0"/>
              <w:right w:val="single" w:color="auto" w:sz="4" w:space="0"/>
            </w:tcBorders>
          </w:tcPr>
          <w:p>
            <w:pPr>
              <w:spacing w:line="360" w:lineRule="auto"/>
              <w:jc w:val="center"/>
              <w:rPr>
                <w:kern w:val="0"/>
                <w:sz w:val="18"/>
                <w:szCs w:val="18"/>
              </w:rPr>
            </w:pPr>
            <w:r>
              <w:rPr>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sz w:val="18"/>
                <w:szCs w:val="18"/>
                <w:shd w:val="clear" w:color="auto" w:fill="FFFFFF"/>
              </w:rPr>
              <w:t>19011008</w:t>
            </w:r>
            <w:r>
              <w:rPr>
                <w:sz w:val="18"/>
                <w:szCs w:val="18"/>
              </w:rPr>
              <w:t>04</w:t>
            </w:r>
          </w:p>
        </w:tc>
        <w:tc>
          <w:tcPr>
            <w:tcW w:w="2551"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电热温床的设置</w:t>
            </w:r>
          </w:p>
        </w:tc>
        <w:tc>
          <w:tcPr>
            <w:tcW w:w="709"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2</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演示性</w:t>
            </w:r>
          </w:p>
        </w:tc>
        <w:tc>
          <w:tcPr>
            <w:tcW w:w="1418"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必做</w:t>
            </w:r>
          </w:p>
        </w:tc>
        <w:tc>
          <w:tcPr>
            <w:tcW w:w="1134" w:type="dxa"/>
            <w:tcBorders>
              <w:top w:val="single" w:color="auto" w:sz="4" w:space="0"/>
              <w:left w:val="nil"/>
              <w:bottom w:val="single" w:color="auto" w:sz="4" w:space="0"/>
              <w:right w:val="single" w:color="auto" w:sz="4" w:space="0"/>
            </w:tcBorders>
          </w:tcPr>
          <w:p>
            <w:pPr>
              <w:spacing w:line="360" w:lineRule="auto"/>
              <w:jc w:val="center"/>
              <w:rPr>
                <w:kern w:val="0"/>
                <w:sz w:val="18"/>
                <w:szCs w:val="18"/>
              </w:rPr>
            </w:pPr>
            <w:r>
              <w:rPr>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sz w:val="18"/>
                <w:szCs w:val="18"/>
                <w:shd w:val="clear" w:color="auto" w:fill="FFFFFF"/>
              </w:rPr>
              <w:t>19011008</w:t>
            </w:r>
            <w:r>
              <w:rPr>
                <w:sz w:val="18"/>
                <w:szCs w:val="18"/>
              </w:rPr>
              <w:t>05</w:t>
            </w:r>
          </w:p>
        </w:tc>
        <w:tc>
          <w:tcPr>
            <w:tcW w:w="2551"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穴盘育苗技术</w:t>
            </w:r>
          </w:p>
        </w:tc>
        <w:tc>
          <w:tcPr>
            <w:tcW w:w="709"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4</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综合性</w:t>
            </w:r>
          </w:p>
        </w:tc>
        <w:tc>
          <w:tcPr>
            <w:tcW w:w="1418"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rFonts w:hint="eastAsia"/>
                <w:kern w:val="0"/>
                <w:sz w:val="18"/>
                <w:szCs w:val="18"/>
              </w:rPr>
              <w:t>选做</w:t>
            </w:r>
          </w:p>
        </w:tc>
        <w:tc>
          <w:tcPr>
            <w:tcW w:w="1134" w:type="dxa"/>
            <w:tcBorders>
              <w:top w:val="single" w:color="auto" w:sz="4" w:space="0"/>
              <w:left w:val="nil"/>
              <w:bottom w:val="single" w:color="auto" w:sz="4" w:space="0"/>
              <w:right w:val="single" w:color="auto" w:sz="4" w:space="0"/>
            </w:tcBorders>
          </w:tcPr>
          <w:p>
            <w:pPr>
              <w:spacing w:line="360" w:lineRule="auto"/>
              <w:jc w:val="center"/>
              <w:rPr>
                <w:kern w:val="0"/>
                <w:sz w:val="18"/>
                <w:szCs w:val="18"/>
              </w:rPr>
            </w:pPr>
            <w:r>
              <w:rPr>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sz w:val="18"/>
                <w:szCs w:val="18"/>
              </w:rPr>
            </w:pPr>
            <w:r>
              <w:rPr>
                <w:sz w:val="18"/>
                <w:szCs w:val="18"/>
                <w:shd w:val="clear" w:color="auto" w:fill="FFFFFF"/>
              </w:rPr>
              <w:t>19011008</w:t>
            </w:r>
            <w:r>
              <w:rPr>
                <w:sz w:val="18"/>
                <w:szCs w:val="18"/>
              </w:rPr>
              <w:t>06</w:t>
            </w:r>
          </w:p>
        </w:tc>
        <w:tc>
          <w:tcPr>
            <w:tcW w:w="2551"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温室果菜的植株调整</w:t>
            </w:r>
          </w:p>
        </w:tc>
        <w:tc>
          <w:tcPr>
            <w:tcW w:w="709"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2</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演示性</w:t>
            </w:r>
          </w:p>
        </w:tc>
        <w:tc>
          <w:tcPr>
            <w:tcW w:w="1418" w:type="dxa"/>
            <w:tcBorders>
              <w:top w:val="single" w:color="auto" w:sz="4" w:space="0"/>
              <w:left w:val="nil"/>
              <w:bottom w:val="single" w:color="auto" w:sz="4" w:space="0"/>
              <w:right w:val="single" w:color="auto" w:sz="4" w:space="0"/>
            </w:tcBorders>
            <w:vAlign w:val="center"/>
          </w:tcPr>
          <w:p>
            <w:pPr>
              <w:spacing w:line="360" w:lineRule="auto"/>
              <w:jc w:val="center"/>
              <w:rPr>
                <w:kern w:val="0"/>
                <w:sz w:val="18"/>
                <w:szCs w:val="18"/>
              </w:rPr>
            </w:pPr>
            <w:r>
              <w:rPr>
                <w:kern w:val="0"/>
                <w:sz w:val="18"/>
                <w:szCs w:val="18"/>
              </w:rPr>
              <w:t>选做</w:t>
            </w:r>
          </w:p>
        </w:tc>
        <w:tc>
          <w:tcPr>
            <w:tcW w:w="1134" w:type="dxa"/>
            <w:tcBorders>
              <w:top w:val="single" w:color="auto" w:sz="4" w:space="0"/>
              <w:left w:val="nil"/>
              <w:bottom w:val="single" w:color="auto" w:sz="4" w:space="0"/>
              <w:right w:val="single" w:color="auto" w:sz="4" w:space="0"/>
            </w:tcBorders>
          </w:tcPr>
          <w:p>
            <w:pPr>
              <w:spacing w:line="360" w:lineRule="auto"/>
              <w:jc w:val="center"/>
              <w:rPr>
                <w:kern w:val="0"/>
                <w:sz w:val="18"/>
                <w:szCs w:val="18"/>
              </w:rPr>
            </w:pPr>
            <w:r>
              <w:rPr>
                <w:kern w:val="0"/>
                <w:sz w:val="18"/>
                <w:szCs w:val="18"/>
              </w:rPr>
              <w:t>5</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pacing w:line="360" w:lineRule="auto"/>
        <w:ind w:firstLine="420" w:firstLineChars="200"/>
        <w:rPr>
          <w:kern w:val="0"/>
          <w:szCs w:val="21"/>
        </w:rPr>
      </w:pPr>
      <w:r>
        <w:rPr>
          <w:rFonts w:hint="eastAsia" w:ascii="宋体" w:hAnsi="宋体"/>
          <w:szCs w:val="21"/>
        </w:rPr>
        <w:t>根据实验内容安排具体方式，实验1为综合性实验需要学生深入基地进行，其它实验在实验基地进行。每次试验后要写出实验报告。</w:t>
      </w:r>
    </w:p>
    <w:p>
      <w:pPr>
        <w:snapToGrid w:val="0"/>
        <w:spacing w:line="360" w:lineRule="auto"/>
        <w:rPr>
          <w:rFonts w:ascii="宋体" w:hAnsi="宋体"/>
          <w:b/>
          <w:bCs/>
          <w:szCs w:val="21"/>
        </w:rPr>
      </w:pPr>
      <w:r>
        <w:rPr>
          <w:rFonts w:hint="eastAsia" w:ascii="宋体" w:hAnsi="宋体"/>
          <w:b/>
          <w:bCs/>
          <w:szCs w:val="21"/>
        </w:rPr>
        <w:t>（六）实验内容安排</w:t>
      </w:r>
    </w:p>
    <w:p>
      <w:pPr>
        <w:widowControl/>
        <w:snapToGrid w:val="0"/>
        <w:spacing w:line="360" w:lineRule="auto"/>
        <w:jc w:val="left"/>
        <w:rPr>
          <w:kern w:val="0"/>
          <w:szCs w:val="21"/>
        </w:rPr>
      </w:pPr>
      <w:r>
        <w:rPr>
          <w:rFonts w:ascii="宋体" w:hAnsi="宋体"/>
          <w:b/>
          <w:bCs/>
          <w:szCs w:val="21"/>
        </w:rPr>
        <w:t>【实验一】</w:t>
      </w:r>
      <w:r>
        <w:rPr>
          <w:rFonts w:ascii="宋体" w:hAnsi="宋体"/>
          <w:b/>
          <w:bCs/>
          <w:kern w:val="0"/>
          <w:szCs w:val="21"/>
        </w:rPr>
        <w:t>园艺栽培设施类型的调查</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4</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ascii="宋体" w:hAnsi="宋体"/>
          <w:szCs w:val="21"/>
        </w:rPr>
        <w:t>了解目前生产中常用的园艺设施状况</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到郑州市近郊县各种设施园艺基地进行园艺设施的调查</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每个调查四种以上的园艺设施，包裹结构类型、规模（长度、高度、跨度、墙体厚度等）、栽培作物状况（种类、种植期、生长状况等）调查结束写出实验报告。</w:t>
      </w:r>
    </w:p>
    <w:p>
      <w:pPr>
        <w:snapToGrid w:val="0"/>
        <w:spacing w:line="360" w:lineRule="auto"/>
        <w:ind w:firstLine="422" w:firstLineChars="200"/>
        <w:rPr>
          <w:szCs w:val="21"/>
        </w:rPr>
      </w:pPr>
      <w:r>
        <w:rPr>
          <w:b/>
          <w:bCs/>
          <w:szCs w:val="21"/>
        </w:rPr>
        <w:t>5.</w:t>
      </w:r>
      <w:r>
        <w:rPr>
          <w:rFonts w:ascii="宋体" w:hAnsi="宋体"/>
          <w:b/>
          <w:bCs/>
          <w:szCs w:val="21"/>
        </w:rPr>
        <w:t>实验设备及器材：</w:t>
      </w:r>
      <w:r>
        <w:rPr>
          <w:rFonts w:ascii="宋体" w:hAnsi="宋体"/>
          <w:szCs w:val="21"/>
        </w:rPr>
        <w:t>卷尺、高度仪等</w:t>
      </w:r>
    </w:p>
    <w:p>
      <w:pPr>
        <w:widowControl/>
        <w:snapToGrid w:val="0"/>
        <w:spacing w:line="360" w:lineRule="auto"/>
        <w:jc w:val="left"/>
        <w:rPr>
          <w:kern w:val="0"/>
          <w:szCs w:val="21"/>
        </w:rPr>
      </w:pPr>
      <w:r>
        <w:rPr>
          <w:rFonts w:ascii="宋体" w:hAnsi="宋体"/>
          <w:b/>
          <w:bCs/>
          <w:szCs w:val="21"/>
        </w:rPr>
        <w:t>【实验二】</w:t>
      </w:r>
      <w:r>
        <w:rPr>
          <w:rFonts w:ascii="宋体" w:hAnsi="宋体"/>
          <w:b/>
          <w:bCs/>
          <w:kern w:val="0"/>
          <w:szCs w:val="21"/>
        </w:rPr>
        <w:t>塑料拱棚的设置</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2</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ascii="宋体" w:hAnsi="宋体"/>
          <w:szCs w:val="21"/>
        </w:rPr>
        <w:t>掌握塑料拱棚的结构、建造过程等</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以班为单位建造一个塑料拱棚</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每个学生都要参与，学会塑料拱棚的建造过程，结束后写出实验报告。</w:t>
      </w:r>
    </w:p>
    <w:p>
      <w:pPr>
        <w:snapToGrid w:val="0"/>
        <w:spacing w:line="360" w:lineRule="auto"/>
        <w:ind w:firstLine="422" w:firstLineChars="200"/>
        <w:rPr>
          <w:szCs w:val="21"/>
        </w:rPr>
      </w:pPr>
      <w:r>
        <w:rPr>
          <w:b/>
          <w:bCs/>
          <w:szCs w:val="21"/>
        </w:rPr>
        <w:t>5.</w:t>
      </w:r>
      <w:r>
        <w:rPr>
          <w:rFonts w:ascii="宋体" w:hAnsi="宋体"/>
          <w:b/>
          <w:bCs/>
          <w:szCs w:val="21"/>
        </w:rPr>
        <w:t>实验设备及器材：</w:t>
      </w:r>
      <w:r>
        <w:rPr>
          <w:rFonts w:ascii="宋体" w:hAnsi="宋体"/>
          <w:szCs w:val="21"/>
        </w:rPr>
        <w:t>竹竿、铁丝、塑料薄膜、压膜线、卷尺等</w:t>
      </w:r>
    </w:p>
    <w:p>
      <w:pPr>
        <w:widowControl/>
        <w:snapToGrid w:val="0"/>
        <w:spacing w:line="360" w:lineRule="auto"/>
        <w:jc w:val="left"/>
        <w:rPr>
          <w:kern w:val="0"/>
          <w:szCs w:val="21"/>
        </w:rPr>
      </w:pPr>
      <w:r>
        <w:rPr>
          <w:rFonts w:ascii="宋体" w:hAnsi="宋体"/>
          <w:b/>
          <w:bCs/>
          <w:szCs w:val="21"/>
        </w:rPr>
        <w:t>【实验三】</w:t>
      </w:r>
      <w:r>
        <w:rPr>
          <w:rFonts w:hint="eastAsia" w:ascii="宋体" w:hAnsi="宋体"/>
          <w:b/>
          <w:bCs/>
          <w:kern w:val="0"/>
          <w:szCs w:val="21"/>
        </w:rPr>
        <w:t>设施内小气候观测</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2</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ascii="宋体" w:hAnsi="宋体"/>
          <w:szCs w:val="21"/>
        </w:rPr>
        <w:t>掌握设施内温度、湿度、光照、</w:t>
      </w:r>
      <w:r>
        <w:rPr>
          <w:szCs w:val="21"/>
        </w:rPr>
        <w:t>CO</w:t>
      </w:r>
      <w:r>
        <w:rPr>
          <w:szCs w:val="21"/>
          <w:vertAlign w:val="subscript"/>
        </w:rPr>
        <w:t>2</w:t>
      </w:r>
      <w:r>
        <w:rPr>
          <w:rFonts w:ascii="宋体" w:hAnsi="宋体"/>
          <w:szCs w:val="21"/>
        </w:rPr>
        <w:t>浓度的测定方法，了解其变化状况。</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测定设施内温度、湿度、光照、</w:t>
      </w:r>
      <w:r>
        <w:rPr>
          <w:szCs w:val="21"/>
        </w:rPr>
        <w:t>CO</w:t>
      </w:r>
      <w:r>
        <w:rPr>
          <w:szCs w:val="21"/>
          <w:vertAlign w:val="subscript"/>
        </w:rPr>
        <w:t>2</w:t>
      </w:r>
      <w:r>
        <w:rPr>
          <w:rFonts w:ascii="宋体" w:hAnsi="宋体"/>
          <w:szCs w:val="21"/>
        </w:rPr>
        <w:t>浓度</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掌握各种测定仪器的使用方法、设置方法和设施内环境变化状况。结束后写出实验报告。</w:t>
      </w:r>
    </w:p>
    <w:p>
      <w:pPr>
        <w:snapToGrid w:val="0"/>
        <w:spacing w:line="360" w:lineRule="auto"/>
        <w:ind w:firstLine="422" w:firstLineChars="200"/>
        <w:rPr>
          <w:szCs w:val="21"/>
        </w:rPr>
      </w:pPr>
      <w:r>
        <w:rPr>
          <w:b/>
          <w:bCs/>
          <w:szCs w:val="21"/>
        </w:rPr>
        <w:t>5.</w:t>
      </w:r>
      <w:r>
        <w:rPr>
          <w:rFonts w:ascii="宋体" w:hAnsi="宋体"/>
          <w:b/>
          <w:bCs/>
          <w:szCs w:val="21"/>
        </w:rPr>
        <w:t>实验设备及器材：</w:t>
      </w:r>
      <w:r>
        <w:rPr>
          <w:rFonts w:ascii="宋体" w:hAnsi="宋体"/>
          <w:szCs w:val="21"/>
        </w:rPr>
        <w:t>温度计、湿度计、照度计、</w:t>
      </w:r>
      <w:r>
        <w:rPr>
          <w:szCs w:val="21"/>
        </w:rPr>
        <w:t>CO</w:t>
      </w:r>
      <w:r>
        <w:rPr>
          <w:szCs w:val="21"/>
          <w:vertAlign w:val="subscript"/>
        </w:rPr>
        <w:t>2</w:t>
      </w:r>
      <w:r>
        <w:rPr>
          <w:rFonts w:ascii="宋体" w:hAnsi="宋体"/>
          <w:szCs w:val="21"/>
        </w:rPr>
        <w:t>分析仪等</w:t>
      </w:r>
    </w:p>
    <w:p>
      <w:pPr>
        <w:widowControl/>
        <w:snapToGrid w:val="0"/>
        <w:spacing w:line="360" w:lineRule="auto"/>
        <w:jc w:val="left"/>
        <w:rPr>
          <w:b/>
          <w:bCs/>
          <w:kern w:val="0"/>
          <w:szCs w:val="21"/>
        </w:rPr>
      </w:pPr>
      <w:r>
        <w:rPr>
          <w:rFonts w:ascii="宋体" w:hAnsi="宋体"/>
          <w:b/>
          <w:bCs/>
          <w:szCs w:val="21"/>
        </w:rPr>
        <w:t>【实验四】</w:t>
      </w:r>
      <w:r>
        <w:rPr>
          <w:rFonts w:hint="eastAsia" w:ascii="宋体" w:hAnsi="宋体"/>
          <w:b/>
          <w:bCs/>
          <w:kern w:val="0"/>
          <w:szCs w:val="21"/>
        </w:rPr>
        <w:t>电热温床的设置</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2</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ascii="宋体" w:hAnsi="宋体"/>
          <w:szCs w:val="21"/>
        </w:rPr>
        <w:t>掌握电热温床的结构、建造过程等</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以班为单位建造一个电热温床</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每个学生都要参与，学会电热温床的建造过程，掌握电热线的性能和布置方法，结束后写出实验报告。</w:t>
      </w:r>
    </w:p>
    <w:p>
      <w:pPr>
        <w:snapToGrid w:val="0"/>
        <w:spacing w:line="360" w:lineRule="auto"/>
        <w:ind w:firstLine="422" w:firstLineChars="200"/>
        <w:rPr>
          <w:szCs w:val="21"/>
        </w:rPr>
      </w:pPr>
      <w:r>
        <w:rPr>
          <w:b/>
          <w:bCs/>
          <w:szCs w:val="21"/>
        </w:rPr>
        <w:t>5.</w:t>
      </w:r>
      <w:r>
        <w:rPr>
          <w:rFonts w:ascii="宋体" w:hAnsi="宋体"/>
          <w:b/>
          <w:bCs/>
          <w:szCs w:val="21"/>
        </w:rPr>
        <w:t>实验设备及器材：</w:t>
      </w:r>
      <w:r>
        <w:rPr>
          <w:rFonts w:ascii="宋体" w:hAnsi="宋体"/>
          <w:szCs w:val="21"/>
        </w:rPr>
        <w:t>电热线、控温仪、电源开关、竹竿、铁丝、塑料薄膜、压膜线、卷尺等</w:t>
      </w:r>
    </w:p>
    <w:p>
      <w:pPr>
        <w:widowControl/>
        <w:snapToGrid w:val="0"/>
        <w:spacing w:line="360" w:lineRule="auto"/>
        <w:jc w:val="left"/>
        <w:rPr>
          <w:kern w:val="0"/>
          <w:szCs w:val="21"/>
        </w:rPr>
      </w:pPr>
      <w:r>
        <w:rPr>
          <w:rFonts w:ascii="宋体" w:hAnsi="宋体"/>
          <w:b/>
          <w:bCs/>
          <w:szCs w:val="21"/>
        </w:rPr>
        <w:t>【实验五】</w:t>
      </w:r>
      <w:r>
        <w:rPr>
          <w:rFonts w:hint="eastAsia" w:ascii="宋体" w:hAnsi="宋体"/>
          <w:b/>
          <w:bCs/>
          <w:kern w:val="0"/>
          <w:szCs w:val="21"/>
        </w:rPr>
        <w:t>穴盘育苗技术</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4</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ascii="宋体" w:hAnsi="宋体"/>
          <w:szCs w:val="21"/>
        </w:rPr>
        <w:t>掌握</w:t>
      </w:r>
      <w:r>
        <w:rPr>
          <w:rFonts w:ascii="宋体" w:hAnsi="宋体"/>
          <w:kern w:val="0"/>
          <w:szCs w:val="21"/>
        </w:rPr>
        <w:t>穴盘育苗技术</w:t>
      </w:r>
      <w:r>
        <w:rPr>
          <w:rFonts w:ascii="宋体" w:hAnsi="宋体"/>
          <w:szCs w:val="21"/>
        </w:rPr>
        <w:t>等</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以小组为单位进行穴盘育苗</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每个学生都要参与，了解穴盘育苗过程，掌握穴盘育苗技术，结束后写出实验报告。</w:t>
      </w:r>
    </w:p>
    <w:p>
      <w:pPr>
        <w:snapToGrid w:val="0"/>
        <w:spacing w:line="360" w:lineRule="auto"/>
        <w:ind w:firstLine="422" w:firstLineChars="200"/>
        <w:rPr>
          <w:szCs w:val="21"/>
        </w:rPr>
      </w:pPr>
      <w:r>
        <w:rPr>
          <w:b/>
          <w:bCs/>
          <w:szCs w:val="21"/>
        </w:rPr>
        <w:t>5.</w:t>
      </w:r>
      <w:r>
        <w:rPr>
          <w:rFonts w:ascii="宋体" w:hAnsi="宋体"/>
          <w:b/>
          <w:bCs/>
          <w:szCs w:val="21"/>
        </w:rPr>
        <w:t>实验设备及器材：</w:t>
      </w:r>
      <w:r>
        <w:rPr>
          <w:rFonts w:ascii="宋体" w:hAnsi="宋体"/>
          <w:szCs w:val="21"/>
        </w:rPr>
        <w:t>穴盘、基质、蔬菜种子等。</w:t>
      </w:r>
    </w:p>
    <w:p>
      <w:pPr>
        <w:widowControl/>
        <w:snapToGrid w:val="0"/>
        <w:spacing w:line="360" w:lineRule="auto"/>
        <w:jc w:val="left"/>
        <w:rPr>
          <w:b/>
          <w:bCs/>
          <w:kern w:val="0"/>
          <w:szCs w:val="21"/>
        </w:rPr>
      </w:pPr>
      <w:r>
        <w:rPr>
          <w:rFonts w:ascii="宋体" w:hAnsi="宋体"/>
          <w:b/>
          <w:bCs/>
          <w:kern w:val="0"/>
          <w:szCs w:val="21"/>
        </w:rPr>
        <w:t>【实验六】温室果菜的植株调整</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2</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ascii="宋体" w:hAnsi="宋体"/>
          <w:szCs w:val="21"/>
        </w:rPr>
        <w:t>掌握</w:t>
      </w:r>
      <w:r>
        <w:rPr>
          <w:rFonts w:ascii="宋体" w:hAnsi="宋体"/>
          <w:kern w:val="0"/>
          <w:szCs w:val="21"/>
        </w:rPr>
        <w:t>植株调整的方式和方法</w:t>
      </w:r>
      <w:r>
        <w:rPr>
          <w:rFonts w:ascii="宋体" w:hAnsi="宋体"/>
          <w:szCs w:val="21"/>
        </w:rPr>
        <w:t>等</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对设施内番茄、辣椒、茄子、黄瓜等进行整枝、打杈、绑蔓、授粉等</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每个学生都要参与，了解果类蔬菜生长状况和过程，掌握整枝方式方法和技术，结束后写出实验报告。</w:t>
      </w:r>
    </w:p>
    <w:p>
      <w:pPr>
        <w:widowControl/>
        <w:snapToGrid w:val="0"/>
        <w:spacing w:line="360" w:lineRule="auto"/>
        <w:jc w:val="left"/>
        <w:rPr>
          <w:szCs w:val="21"/>
        </w:rPr>
      </w:pPr>
      <w:r>
        <w:rPr>
          <w:b/>
          <w:bCs/>
          <w:kern w:val="0"/>
          <w:sz w:val="24"/>
        </w:rPr>
        <w:t xml:space="preserve">   </w:t>
      </w:r>
      <w:r>
        <w:rPr>
          <w:b/>
          <w:bCs/>
          <w:kern w:val="0"/>
          <w:szCs w:val="21"/>
        </w:rPr>
        <w:t>5.</w:t>
      </w:r>
      <w:r>
        <w:rPr>
          <w:rFonts w:ascii="宋体" w:hAnsi="宋体"/>
          <w:b/>
          <w:bCs/>
          <w:kern w:val="0"/>
          <w:szCs w:val="21"/>
        </w:rPr>
        <w:t>实验设备及器材：</w:t>
      </w:r>
      <w:r>
        <w:rPr>
          <w:rFonts w:ascii="宋体" w:hAnsi="宋体"/>
          <w:szCs w:val="21"/>
        </w:rPr>
        <w:t>设施蔬菜生产田、绑蔓器、吊绳、吊蔓夹等。</w:t>
      </w:r>
    </w:p>
    <w:p>
      <w:pPr>
        <w:snapToGrid w:val="0"/>
        <w:spacing w:line="360" w:lineRule="auto"/>
        <w:rPr>
          <w:rFonts w:ascii="宋体" w:hAnsi="宋体"/>
          <w:szCs w:val="21"/>
        </w:rPr>
      </w:pPr>
      <w:r>
        <w:rPr>
          <w:rFonts w:hint="eastAsia" w:ascii="宋体" w:hAnsi="宋体"/>
          <w:b/>
          <w:bCs/>
          <w:szCs w:val="21"/>
        </w:rPr>
        <w:t>(七)考核方式及成绩评定</w:t>
      </w:r>
    </w:p>
    <w:p>
      <w:pPr>
        <w:widowControl/>
        <w:snapToGrid w:val="0"/>
        <w:spacing w:line="360" w:lineRule="auto"/>
        <w:ind w:firstLine="420" w:firstLineChars="200"/>
        <w:jc w:val="left"/>
        <w:rPr>
          <w:rFonts w:ascii="宋体" w:hAnsi="宋体"/>
          <w:szCs w:val="21"/>
        </w:rPr>
      </w:pPr>
      <w:r>
        <w:rPr>
          <w:rFonts w:ascii="宋体" w:hAnsi="宋体"/>
          <w:szCs w:val="21"/>
        </w:rPr>
        <w:t>教师对每次的实验根据学生参与度和实验报告撰写情况进行考核，分为优秀、良好、及格和不及格四个档次。实验总成绩占该门课程成绩的</w:t>
      </w:r>
      <w:r>
        <w:rPr>
          <w:szCs w:val="21"/>
        </w:rPr>
        <w:t>15%</w:t>
      </w:r>
      <w:r>
        <w:rPr>
          <w:rFonts w:ascii="宋体" w:hAnsi="宋体"/>
          <w:szCs w:val="21"/>
        </w:rPr>
        <w:t>。</w:t>
      </w:r>
    </w:p>
    <w:p>
      <w:pPr>
        <w:widowControl/>
        <w:snapToGrid w:val="0"/>
        <w:spacing w:line="360" w:lineRule="auto"/>
        <w:jc w:val="left"/>
        <w:rPr>
          <w:rFonts w:ascii="宋体" w:hAnsi="宋体"/>
          <w:b/>
          <w:bCs/>
          <w:szCs w:val="21"/>
        </w:rPr>
      </w:pPr>
      <w:r>
        <w:rPr>
          <w:rFonts w:hint="eastAsia" w:ascii="宋体" w:hAnsi="宋体"/>
          <w:b/>
          <w:bCs/>
          <w:szCs w:val="21"/>
        </w:rPr>
        <w:t>六、课程思政</w:t>
      </w:r>
    </w:p>
    <w:p>
      <w:pPr>
        <w:widowControl/>
        <w:snapToGrid w:val="0"/>
        <w:spacing w:line="360" w:lineRule="auto"/>
        <w:jc w:val="left"/>
        <w:rPr>
          <w:szCs w:val="21"/>
        </w:rPr>
      </w:pPr>
      <w:r>
        <w:rPr>
          <w:rFonts w:hint="eastAsia"/>
          <w:szCs w:val="21"/>
        </w:rPr>
        <w:t>（在课程教学过程中将政治认同、家国情怀、文化素养、宪法法治意识、道德修养等思政元素融入专业教育，并举例说明）</w:t>
      </w:r>
    </w:p>
    <w:p>
      <w:pPr>
        <w:widowControl/>
        <w:snapToGrid w:val="0"/>
        <w:spacing w:line="360" w:lineRule="auto"/>
        <w:ind w:firstLine="420" w:firstLineChars="200"/>
        <w:jc w:val="left"/>
        <w:rPr>
          <w:szCs w:val="21"/>
        </w:rPr>
      </w:pPr>
      <w:r>
        <w:rPr>
          <w:rFonts w:hint="eastAsia"/>
          <w:szCs w:val="21"/>
        </w:rPr>
        <w:t>在理论和实践教学的各个环节，润物细无声地融入思政教育元素，让思政理念细水长流式地贯穿于课程教学的全过程。根据该课程的特点，结合设施园艺的主要内容，确定《设施园艺学》课程思政建设的总体目标：在“新农科”建设背景下，服务国家“乡村振兴、生态文明和美丽幸福中国建设”等战略需求，重点培养具有世界眼光、中国情怀，具备责任、担当、奉献意识，以强农兴农为己任，“爱农、懂农、践农”的新型农科人才。引导学生增强人与自然环境和谐共生意识，明确人类共同发展进步的历史担当。以下为具体目标：</w:t>
      </w:r>
    </w:p>
    <w:p>
      <w:pPr>
        <w:widowControl/>
        <w:snapToGrid w:val="0"/>
        <w:spacing w:line="360" w:lineRule="auto"/>
        <w:ind w:firstLine="420" w:firstLineChars="200"/>
        <w:jc w:val="left"/>
        <w:rPr>
          <w:szCs w:val="21"/>
        </w:rPr>
      </w:pPr>
      <w:r>
        <w:rPr>
          <w:rFonts w:hint="eastAsia"/>
          <w:szCs w:val="21"/>
        </w:rPr>
        <w:t>（１）了解设施园艺在国民经济和人民生活中的重要地位和作用，掌握国内外设施园艺的发展历史、现状及未来前景，引导学生厚植爱国主义情怀，增强学生服务农业农村现代化和服务乡村振兴的使命感和责任感。中国的设施园艺产业以节能、环保为特色，为世界设施园艺的可持续的发展贡献了中国智慧。通过对中国设施栽培的悠久历史和新中国成立以来中国设施园艺产业取得巨大成就的介绍，培养学生对“四个自信”的认知，即使同学们坚信在中国共产党领导下，中国设施园艺产业将会更加繁荣，人民生活也会更加美好。</w:t>
      </w:r>
    </w:p>
    <w:p>
      <w:pPr>
        <w:widowControl/>
        <w:snapToGrid w:val="0"/>
        <w:spacing w:line="360" w:lineRule="auto"/>
        <w:ind w:firstLine="420" w:firstLineChars="200"/>
        <w:jc w:val="left"/>
        <w:rPr>
          <w:szCs w:val="21"/>
        </w:rPr>
      </w:pPr>
      <w:r>
        <w:rPr>
          <w:rFonts w:hint="eastAsia"/>
          <w:szCs w:val="21"/>
        </w:rPr>
        <w:t>（２）了解园艺设施类型和园艺设施覆盖材料从无到有、从简单到复杂、从初级到高级，种类越来越丰富，功能越来越齐全的发展规律，引导学生养成求真崇实、敢于探索、坚定执着的科学精神和精益求精的大国工匠精神。</w:t>
      </w:r>
    </w:p>
    <w:p>
      <w:pPr>
        <w:widowControl/>
        <w:snapToGrid w:val="0"/>
        <w:spacing w:line="360" w:lineRule="auto"/>
        <w:ind w:firstLine="420" w:firstLineChars="200"/>
        <w:jc w:val="left"/>
        <w:rPr>
          <w:szCs w:val="21"/>
        </w:rPr>
      </w:pPr>
      <w:r>
        <w:rPr>
          <w:rFonts w:hint="eastAsia"/>
          <w:szCs w:val="21"/>
        </w:rPr>
        <w:t>（３）掌握环境因子与园艺作物生长发育之间的关系，熟悉园艺设施的建筑结构、设备以及环境工程技术所创造的环境特点，能够从生态、安全、健康、高效等方面对设施内的环境条件进行人为调控，培养辩证思维意识，养成生态文明理念。</w:t>
      </w:r>
    </w:p>
    <w:p>
      <w:pPr>
        <w:widowControl/>
        <w:snapToGrid w:val="0"/>
        <w:spacing w:line="360" w:lineRule="auto"/>
        <w:ind w:firstLine="420" w:firstLineChars="200"/>
        <w:jc w:val="left"/>
        <w:rPr>
          <w:szCs w:val="21"/>
        </w:rPr>
      </w:pPr>
      <w:r>
        <w:rPr>
          <w:rFonts w:hint="eastAsia"/>
          <w:szCs w:val="21"/>
        </w:rPr>
        <w:t>（４）掌握园艺作物工厂化育苗管理技术，以及主要蔬菜作物、花卉和果树等设施优质、高产栽培或无土栽培技术要点，改变学生对传统农业如“农业就是面朝黄土背朝天”“农业离不开土壤”等落后认知，增强学生的专业好感度以及对从事农业生产和科研工作的认同感，引导学生以强农兴农为己任，培养知农、爱农创新人才。</w:t>
      </w:r>
    </w:p>
    <w:p>
      <w:pPr>
        <w:widowControl/>
        <w:snapToGrid w:val="0"/>
        <w:spacing w:line="360" w:lineRule="auto"/>
        <w:ind w:firstLine="420" w:firstLineChars="200"/>
        <w:jc w:val="left"/>
        <w:rPr>
          <w:b/>
          <w:bCs/>
          <w:szCs w:val="21"/>
        </w:rPr>
      </w:pPr>
      <w:r>
        <w:rPr>
          <w:rFonts w:hint="eastAsia"/>
          <w:szCs w:val="21"/>
        </w:rPr>
        <w:t>（5）设施园艺学这门课程是理论与实践结合较为紧密的课程，在实验实习操作前先拟定了知识技能目标和情感价值目标，要求学生在掌握操作技能的同时，注重对学生优良品格的培养。在实践操作过程中，注重将科学精神、社会公德、职业道德、品德修养等育人内容融入其中，使学生在实操过程中体会专业精神、团队精神、创新意识、纪律意识和集体荣誉感。</w:t>
      </w:r>
    </w:p>
    <w:p>
      <w:pPr>
        <w:rPr>
          <w:szCs w:val="21"/>
        </w:rPr>
      </w:pPr>
      <w:r>
        <w:rPr>
          <w:rFonts w:hint="eastAsia" w:ascii="宋体" w:hAnsi="宋体"/>
          <w:b/>
          <w:bCs/>
          <w:kern w:val="0"/>
          <w:szCs w:val="21"/>
        </w:rPr>
        <w:t>七</w:t>
      </w:r>
      <w:r>
        <w:rPr>
          <w:rFonts w:ascii="宋体" w:hAnsi="宋体"/>
          <w:b/>
          <w:bCs/>
          <w:kern w:val="0"/>
          <w:szCs w:val="21"/>
        </w:rPr>
        <w:t>、使用教材</w:t>
      </w:r>
      <w:r>
        <w:rPr>
          <w:rFonts w:hint="eastAsia" w:ascii="宋体" w:hAnsi="宋体"/>
          <w:szCs w:val="21"/>
        </w:rPr>
        <w:t>（教材的选用应符合教育部和学校教材选用规定，教学资源丰富多样，体现思想性、科学性与时代性）</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w:t>
      </w:r>
      <w:r>
        <w:rPr>
          <w:rFonts w:hint="eastAsia" w:ascii="宋体" w:hAnsi="宋体"/>
          <w:b/>
          <w:bCs/>
          <w:kern w:val="0"/>
          <w:szCs w:val="21"/>
        </w:rPr>
        <w:t>选用</w:t>
      </w:r>
      <w:r>
        <w:rPr>
          <w:rFonts w:ascii="宋体" w:hAnsi="宋体"/>
          <w:b/>
          <w:bCs/>
          <w:kern w:val="0"/>
          <w:szCs w:val="21"/>
        </w:rPr>
        <w:t>教材：</w:t>
      </w:r>
    </w:p>
    <w:p>
      <w:pPr>
        <w:widowControl/>
        <w:snapToGrid w:val="0"/>
        <w:spacing w:line="360" w:lineRule="auto"/>
        <w:ind w:firstLine="420" w:firstLineChars="200"/>
        <w:jc w:val="left"/>
        <w:rPr>
          <w:szCs w:val="21"/>
        </w:rPr>
      </w:pPr>
      <w:r>
        <w:rPr>
          <w:kern w:val="0"/>
          <w:szCs w:val="21"/>
        </w:rPr>
        <w:t>（1）理论课教材：</w:t>
      </w:r>
      <w:r>
        <w:rPr>
          <w:szCs w:val="21"/>
        </w:rPr>
        <w:t>设施园艺学（第三版），郭世荣，孙锦编著，中国农业出版社，2020年</w:t>
      </w:r>
    </w:p>
    <w:p>
      <w:pPr>
        <w:widowControl/>
        <w:snapToGrid w:val="0"/>
        <w:spacing w:line="360" w:lineRule="auto"/>
        <w:ind w:firstLine="420" w:firstLineChars="200"/>
        <w:jc w:val="left"/>
        <w:rPr>
          <w:kern w:val="0"/>
          <w:szCs w:val="21"/>
        </w:rPr>
      </w:pPr>
      <w:r>
        <w:rPr>
          <w:szCs w:val="21"/>
        </w:rPr>
        <w:t>（2）实验课教材：设施园艺学（第三版），郭世荣，孙锦编著，中国农业出版社，2020年</w:t>
      </w:r>
    </w:p>
    <w:p>
      <w:pPr>
        <w:widowControl/>
        <w:snapToGrid w:val="0"/>
        <w:spacing w:line="360" w:lineRule="auto"/>
        <w:ind w:firstLine="420" w:firstLineChars="200"/>
        <w:jc w:val="left"/>
        <w:rPr>
          <w:kern w:val="0"/>
          <w:szCs w:val="21"/>
        </w:rPr>
      </w:pPr>
      <w:r>
        <w:rPr>
          <w:szCs w:val="21"/>
        </w:rPr>
        <w:t>（3）实习指导书：设施园艺学（第三版），郭世荣，孙锦编著，中国农业出版社，2020年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ascii="宋体" w:hAnsi="宋体"/>
          <w:b/>
          <w:bCs/>
          <w:kern w:val="0"/>
          <w:szCs w:val="21"/>
        </w:rPr>
        <w:t>参考书：</w:t>
      </w:r>
    </w:p>
    <w:p>
      <w:pPr>
        <w:widowControl/>
        <w:adjustRightInd w:val="0"/>
        <w:snapToGrid w:val="0"/>
        <w:spacing w:line="360" w:lineRule="auto"/>
        <w:ind w:firstLine="420" w:firstLineChars="200"/>
        <w:jc w:val="left"/>
        <w:rPr>
          <w:szCs w:val="21"/>
        </w:rPr>
      </w:pPr>
      <w:r>
        <w:rPr>
          <w:rFonts w:hint="eastAsia" w:ascii="宋体" w:hAnsi="宋体"/>
          <w:szCs w:val="21"/>
        </w:rPr>
        <w:t>（</w:t>
      </w:r>
      <w:r>
        <w:rPr>
          <w:rFonts w:hint="eastAsia"/>
          <w:szCs w:val="21"/>
        </w:rPr>
        <w:t>1</w:t>
      </w:r>
      <w:r>
        <w:rPr>
          <w:rFonts w:hint="eastAsia" w:ascii="宋体" w:hAnsi="宋体"/>
          <w:szCs w:val="21"/>
        </w:rPr>
        <w:t>）</w:t>
      </w:r>
      <w:r>
        <w:rPr>
          <w:rFonts w:ascii="宋体" w:hAnsi="宋体"/>
          <w:szCs w:val="21"/>
        </w:rPr>
        <w:t>设施园艺学</w:t>
      </w:r>
      <w:r>
        <w:rPr>
          <w:rFonts w:hint="eastAsia" w:ascii="宋体" w:hAnsi="宋体"/>
          <w:szCs w:val="21"/>
        </w:rPr>
        <w:t>．</w:t>
      </w:r>
      <w:r>
        <w:rPr>
          <w:rFonts w:ascii="宋体" w:hAnsi="宋体"/>
          <w:szCs w:val="21"/>
        </w:rPr>
        <w:t>张福墁主编</w:t>
      </w:r>
      <w:r>
        <w:rPr>
          <w:rFonts w:hint="eastAsia" w:ascii="宋体" w:hAnsi="宋体"/>
          <w:szCs w:val="21"/>
        </w:rPr>
        <w:t>．</w:t>
      </w:r>
      <w:r>
        <w:rPr>
          <w:rFonts w:ascii="宋体" w:hAnsi="宋体"/>
          <w:szCs w:val="21"/>
        </w:rPr>
        <w:t>北京：中国农业出版社，</w:t>
      </w:r>
      <w:r>
        <w:rPr>
          <w:szCs w:val="21"/>
        </w:rPr>
        <w:t>2014</w:t>
      </w:r>
      <w:r>
        <w:rPr>
          <w:rFonts w:ascii="宋体" w:hAnsi="宋体"/>
          <w:szCs w:val="21"/>
        </w:rPr>
        <w:t>年第</w:t>
      </w:r>
      <w:r>
        <w:rPr>
          <w:szCs w:val="21"/>
        </w:rPr>
        <w:t>2</w:t>
      </w:r>
      <w:r>
        <w:rPr>
          <w:rFonts w:ascii="宋体" w:hAnsi="宋体"/>
          <w:szCs w:val="21"/>
        </w:rPr>
        <w:t>版</w:t>
      </w:r>
    </w:p>
    <w:p>
      <w:pPr>
        <w:widowControl/>
        <w:adjustRightInd w:val="0"/>
        <w:snapToGrid w:val="0"/>
        <w:spacing w:line="360" w:lineRule="auto"/>
        <w:ind w:firstLine="420" w:firstLineChars="200"/>
        <w:jc w:val="left"/>
        <w:rPr>
          <w:szCs w:val="21"/>
        </w:rPr>
      </w:pPr>
      <w:r>
        <w:rPr>
          <w:rFonts w:hint="eastAsia" w:ascii="宋体" w:hAnsi="宋体"/>
          <w:szCs w:val="21"/>
        </w:rPr>
        <w:t>（</w:t>
      </w:r>
      <w:r>
        <w:rPr>
          <w:rFonts w:hint="eastAsia"/>
          <w:szCs w:val="21"/>
        </w:rPr>
        <w:t>2</w:t>
      </w:r>
      <w:r>
        <w:rPr>
          <w:rFonts w:hint="eastAsia" w:ascii="宋体" w:hAnsi="宋体"/>
          <w:szCs w:val="21"/>
        </w:rPr>
        <w:t>）</w:t>
      </w:r>
      <w:r>
        <w:rPr>
          <w:rFonts w:ascii="宋体" w:hAnsi="宋体"/>
          <w:szCs w:val="21"/>
        </w:rPr>
        <w:t>蔬菜栽培学保护地栽培（第二版）</w:t>
      </w:r>
      <w:r>
        <w:rPr>
          <w:rFonts w:hint="eastAsia" w:ascii="宋体" w:hAnsi="宋体"/>
          <w:szCs w:val="21"/>
        </w:rPr>
        <w:t>．</w:t>
      </w:r>
      <w:r>
        <w:rPr>
          <w:rFonts w:ascii="宋体" w:hAnsi="宋体"/>
          <w:szCs w:val="21"/>
        </w:rPr>
        <w:t>北京农业大学主编</w:t>
      </w:r>
      <w:r>
        <w:rPr>
          <w:rFonts w:hint="eastAsia" w:ascii="宋体" w:hAnsi="宋体"/>
          <w:szCs w:val="21"/>
        </w:rPr>
        <w:t>．</w:t>
      </w:r>
      <w:r>
        <w:rPr>
          <w:rFonts w:ascii="宋体" w:hAnsi="宋体"/>
          <w:szCs w:val="21"/>
        </w:rPr>
        <w:t>北京：农业出版社，</w:t>
      </w:r>
      <w:r>
        <w:rPr>
          <w:szCs w:val="21"/>
        </w:rPr>
        <w:t>1989</w:t>
      </w:r>
      <w:r>
        <w:rPr>
          <w:rFonts w:ascii="宋体" w:hAnsi="宋体"/>
          <w:szCs w:val="21"/>
        </w:rPr>
        <w:t>年</w:t>
      </w:r>
    </w:p>
    <w:p>
      <w:pPr>
        <w:widowControl/>
        <w:adjustRightInd w:val="0"/>
        <w:snapToGrid w:val="0"/>
        <w:spacing w:line="360" w:lineRule="auto"/>
        <w:ind w:firstLine="420" w:firstLineChars="200"/>
        <w:jc w:val="left"/>
        <w:rPr>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园艺通论</w:t>
      </w:r>
      <w:r>
        <w:rPr>
          <w:rFonts w:hint="eastAsia" w:ascii="宋体" w:hAnsi="宋体"/>
          <w:szCs w:val="21"/>
        </w:rPr>
        <w:t>．</w:t>
      </w:r>
      <w:r>
        <w:rPr>
          <w:rFonts w:ascii="宋体" w:hAnsi="宋体"/>
          <w:szCs w:val="21"/>
        </w:rPr>
        <w:t>李光晨</w:t>
      </w:r>
      <w:r>
        <w:rPr>
          <w:rFonts w:hint="eastAsia" w:ascii="宋体" w:hAnsi="宋体"/>
          <w:szCs w:val="21"/>
        </w:rPr>
        <w:t>．</w:t>
      </w:r>
      <w:r>
        <w:rPr>
          <w:rFonts w:ascii="宋体" w:hAnsi="宋体"/>
          <w:szCs w:val="21"/>
        </w:rPr>
        <w:t>中国农业大学出版社，</w:t>
      </w:r>
      <w:r>
        <w:rPr>
          <w:szCs w:val="21"/>
        </w:rPr>
        <w:t>2000</w:t>
      </w:r>
      <w:r>
        <w:rPr>
          <w:rFonts w:ascii="宋体" w:hAnsi="宋体"/>
          <w:szCs w:val="21"/>
        </w:rPr>
        <w:t>年</w:t>
      </w:r>
      <w:r>
        <w:rPr>
          <w:szCs w:val="21"/>
        </w:rPr>
        <w:t>9</w:t>
      </w:r>
      <w:r>
        <w:rPr>
          <w:rFonts w:ascii="宋体" w:hAnsi="宋体"/>
          <w:szCs w:val="21"/>
        </w:rPr>
        <w:t>月第</w:t>
      </w:r>
      <w:r>
        <w:rPr>
          <w:szCs w:val="21"/>
        </w:rPr>
        <w:t>1</w:t>
      </w:r>
      <w:r>
        <w:rPr>
          <w:rFonts w:ascii="宋体" w:hAnsi="宋体"/>
          <w:szCs w:val="21"/>
        </w:rPr>
        <w:t>版</w:t>
      </w:r>
    </w:p>
    <w:p>
      <w:pPr>
        <w:widowControl/>
        <w:snapToGrid w:val="0"/>
        <w:spacing w:line="360" w:lineRule="auto"/>
        <w:ind w:firstLine="422" w:firstLineChars="200"/>
        <w:jc w:val="left"/>
        <w:rPr>
          <w:b/>
          <w:bCs/>
          <w:kern w:val="0"/>
          <w:szCs w:val="21"/>
        </w:rPr>
      </w:pPr>
      <w:r>
        <w:rPr>
          <w:rFonts w:hint="eastAsia"/>
          <w:b/>
          <w:bCs/>
          <w:kern w:val="0"/>
          <w:szCs w:val="21"/>
        </w:rPr>
        <w:t xml:space="preserve"> 3.</w:t>
      </w:r>
      <w:r>
        <w:rPr>
          <w:rFonts w:hint="eastAsia" w:ascii="宋体" w:hAnsi="宋体"/>
          <w:b/>
          <w:bCs/>
          <w:kern w:val="0"/>
          <w:szCs w:val="21"/>
        </w:rPr>
        <w:t>推荐网站：</w:t>
      </w:r>
    </w:p>
    <w:p>
      <w:pPr>
        <w:widowControl/>
        <w:adjustRightInd w:val="0"/>
        <w:snapToGrid w:val="0"/>
        <w:spacing w:line="360" w:lineRule="auto"/>
        <w:ind w:firstLine="420" w:firstLineChars="200"/>
        <w:jc w:val="left"/>
        <w:rPr>
          <w:szCs w:val="21"/>
        </w:rPr>
      </w:pPr>
      <w:r>
        <w:rPr>
          <w:rFonts w:hint="eastAsia" w:ascii="宋体" w:hAnsi="宋体"/>
          <w:szCs w:val="21"/>
        </w:rPr>
        <w:t>（</w:t>
      </w:r>
      <w:r>
        <w:rPr>
          <w:rFonts w:hint="eastAsia"/>
          <w:szCs w:val="21"/>
        </w:rPr>
        <w:t>1</w:t>
      </w:r>
      <w:r>
        <w:rPr>
          <w:rFonts w:hint="eastAsia" w:ascii="宋体" w:hAnsi="宋体"/>
          <w:szCs w:val="21"/>
        </w:rPr>
        <w:t>）</w:t>
      </w:r>
      <w:r>
        <w:rPr>
          <w:rFonts w:ascii="宋体" w:hAnsi="宋体"/>
          <w:szCs w:val="21"/>
        </w:rPr>
        <w:t>华中蔬菜网</w:t>
      </w:r>
      <w:r>
        <w:rPr>
          <w:rFonts w:hint="eastAsia" w:ascii="宋体" w:hAnsi="宋体"/>
          <w:szCs w:val="21"/>
        </w:rPr>
        <w:t>，</w:t>
      </w:r>
      <w:r>
        <w:fldChar w:fldCharType="begin"/>
      </w:r>
      <w:r>
        <w:instrText xml:space="preserve"> HYPERLINK "http://www.hzshucai.com" </w:instrText>
      </w:r>
      <w:r>
        <w:fldChar w:fldCharType="separate"/>
      </w:r>
      <w:r>
        <w:rPr>
          <w:szCs w:val="21"/>
          <w:u w:val="single"/>
        </w:rPr>
        <w:t>www.hzshucai.com</w:t>
      </w:r>
      <w:r>
        <w:rPr>
          <w:szCs w:val="21"/>
          <w:u w:val="single"/>
        </w:rPr>
        <w:fldChar w:fldCharType="end"/>
      </w:r>
    </w:p>
    <w:p>
      <w:pPr>
        <w:widowControl/>
        <w:adjustRightInd w:val="0"/>
        <w:snapToGrid w:val="0"/>
        <w:spacing w:line="360" w:lineRule="auto"/>
        <w:ind w:firstLine="315" w:firstLineChars="150"/>
        <w:jc w:val="left"/>
        <w:rPr>
          <w:szCs w:val="21"/>
        </w:rPr>
      </w:pPr>
      <w:r>
        <w:rPr>
          <w:rFonts w:hint="eastAsia" w:ascii="宋体" w:hAnsi="宋体"/>
          <w:szCs w:val="21"/>
        </w:rPr>
        <w:t>（</w:t>
      </w:r>
      <w:r>
        <w:rPr>
          <w:rFonts w:hint="eastAsia"/>
          <w:szCs w:val="21"/>
        </w:rPr>
        <w:t>2</w:t>
      </w:r>
      <w:r>
        <w:rPr>
          <w:rFonts w:hint="eastAsia" w:ascii="宋体" w:hAnsi="宋体"/>
          <w:szCs w:val="21"/>
        </w:rPr>
        <w:t>）</w:t>
      </w:r>
      <w:r>
        <w:rPr>
          <w:rFonts w:ascii="宋体" w:hAnsi="宋体"/>
          <w:szCs w:val="21"/>
        </w:rPr>
        <w:t>园艺设施学精品课程网</w:t>
      </w:r>
      <w:r>
        <w:rPr>
          <w:rFonts w:hint="eastAsia" w:ascii="宋体" w:hAnsi="宋体"/>
          <w:szCs w:val="21"/>
        </w:rPr>
        <w:t>，</w:t>
      </w:r>
      <w:r>
        <w:fldChar w:fldCharType="begin"/>
      </w:r>
      <w:r>
        <w:instrText xml:space="preserve"> HYPERLINK "http://netc.nwsuaf.edu.cn/yuanyi" </w:instrText>
      </w:r>
      <w:r>
        <w:fldChar w:fldCharType="separate"/>
      </w:r>
      <w:r>
        <w:rPr>
          <w:szCs w:val="21"/>
          <w:u w:val="single"/>
        </w:rPr>
        <w:t>http://netc.nwsuaf.edu.cn/yuanyi</w:t>
      </w:r>
      <w:r>
        <w:rPr>
          <w:szCs w:val="21"/>
          <w:u w:val="single"/>
        </w:rPr>
        <w:fldChar w:fldCharType="end"/>
      </w:r>
    </w:p>
    <w:p>
      <w:pPr>
        <w:widowControl/>
        <w:adjustRightInd w:val="0"/>
        <w:snapToGrid w:val="0"/>
        <w:spacing w:line="360" w:lineRule="auto"/>
        <w:ind w:firstLine="315" w:firstLineChars="150"/>
        <w:jc w:val="left"/>
        <w:rPr>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中国温室网</w:t>
      </w:r>
      <w:r>
        <w:rPr>
          <w:rFonts w:hint="eastAsia" w:ascii="宋体" w:hAnsi="宋体"/>
          <w:szCs w:val="21"/>
        </w:rPr>
        <w:t>，</w:t>
      </w:r>
      <w:r>
        <w:fldChar w:fldCharType="begin"/>
      </w:r>
      <w:r>
        <w:instrText xml:space="preserve"> HYPERLINK "http://chinagreenhouse.com" </w:instrText>
      </w:r>
      <w:r>
        <w:fldChar w:fldCharType="separate"/>
      </w:r>
      <w:r>
        <w:rPr>
          <w:szCs w:val="21"/>
          <w:u w:val="single"/>
        </w:rPr>
        <w:t>http://chinagreenhouse.com</w:t>
      </w:r>
      <w:r>
        <w:rPr>
          <w:szCs w:val="21"/>
          <w:u w:val="single"/>
        </w:rPr>
        <w:fldChar w:fldCharType="end"/>
      </w:r>
    </w:p>
    <w:p>
      <w:pPr>
        <w:widowControl/>
        <w:snapToGrid w:val="0"/>
        <w:spacing w:line="360" w:lineRule="auto"/>
        <w:jc w:val="left"/>
        <w:rPr>
          <w:rFonts w:hAnsi="宋体"/>
          <w:b/>
          <w:bCs/>
          <w:kern w:val="0"/>
          <w:szCs w:val="21"/>
        </w:rPr>
      </w:pPr>
      <w:r>
        <w:rPr>
          <w:rFonts w:hint="eastAsia" w:ascii="宋体" w:hAnsi="宋体"/>
          <w:b/>
          <w:bCs/>
          <w:kern w:val="0"/>
          <w:szCs w:val="21"/>
        </w:rPr>
        <w:t>八</w:t>
      </w:r>
      <w:r>
        <w:rPr>
          <w:rFonts w:ascii="宋体" w:hAnsi="宋体"/>
          <w:b/>
          <w:bCs/>
          <w:kern w:val="0"/>
          <w:szCs w:val="21"/>
        </w:rPr>
        <w:t>、</w:t>
      </w:r>
      <w:r>
        <w:rPr>
          <w:rFonts w:hint="eastAsia" w:ascii="宋体" w:hAnsi="宋体"/>
          <w:b/>
          <w:bCs/>
          <w:kern w:val="0"/>
          <w:szCs w:val="21"/>
        </w:rPr>
        <w:t>教学条件</w:t>
      </w:r>
    </w:p>
    <w:p>
      <w:pPr>
        <w:snapToGrid w:val="0"/>
        <w:spacing w:line="360" w:lineRule="auto"/>
        <w:ind w:firstLine="420" w:firstLineChars="200"/>
        <w:rPr>
          <w:rFonts w:ascii="宋体" w:hAnsi="宋体"/>
          <w:szCs w:val="21"/>
        </w:rPr>
      </w:pPr>
      <w:r>
        <w:rPr>
          <w:rFonts w:hint="eastAsia" w:ascii="宋体" w:hAnsi="宋体"/>
          <w:szCs w:val="21"/>
        </w:rPr>
        <w:t>阐述课程实施所需要的软、硬件条件，如师资、场地、实验条件等。</w:t>
      </w:r>
    </w:p>
    <w:p>
      <w:pPr>
        <w:snapToGrid w:val="0"/>
        <w:spacing w:line="360" w:lineRule="auto"/>
        <w:ind w:firstLine="420" w:firstLineChars="200"/>
        <w:rPr>
          <w:rFonts w:ascii="宋体" w:hAnsi="宋体"/>
          <w:szCs w:val="21"/>
        </w:rPr>
      </w:pPr>
      <w:r>
        <w:rPr>
          <w:rFonts w:hint="eastAsia" w:ascii="宋体" w:hAnsi="宋体"/>
          <w:szCs w:val="21"/>
        </w:rPr>
        <w:t>《设施</w:t>
      </w:r>
      <w:r>
        <w:rPr>
          <w:rFonts w:ascii="宋体" w:hAnsi="宋体"/>
          <w:szCs w:val="21"/>
        </w:rPr>
        <w:t>园艺学</w:t>
      </w:r>
      <w:r>
        <w:rPr>
          <w:rFonts w:hint="eastAsia" w:ascii="宋体" w:hAnsi="宋体"/>
          <w:szCs w:val="21"/>
        </w:rPr>
        <w:t>》课程</w:t>
      </w:r>
      <w:r>
        <w:rPr>
          <w:rFonts w:ascii="宋体" w:hAnsi="宋体"/>
          <w:szCs w:val="21"/>
        </w:rPr>
        <w:t>一直</w:t>
      </w:r>
      <w:r>
        <w:rPr>
          <w:rFonts w:hint="eastAsia" w:ascii="宋体" w:hAnsi="宋体"/>
          <w:szCs w:val="21"/>
        </w:rPr>
        <w:t>采用“教学实验、参观学习和生产实习一体化”的实践教学模式设施若干个实验：通过设施类型的调查、简易设施的建造、设施内小气候观测、育苗和栽培技术等实验教学，提高学生的独立获取知识的能力；通过参观校内外基地，使学生系统掌握课程理论知识，培养学生系统分析问题的能力；目前</w:t>
      </w:r>
      <w:r>
        <w:rPr>
          <w:rFonts w:ascii="宋体" w:hAnsi="宋体"/>
          <w:szCs w:val="21"/>
        </w:rPr>
        <w:t>拥有</w:t>
      </w:r>
      <w:r>
        <w:rPr>
          <w:rFonts w:hint="eastAsia" w:ascii="宋体" w:hAnsi="宋体"/>
          <w:szCs w:val="21"/>
        </w:rPr>
        <w:t>三区科教园区、毛庄科教园区、扶沟蔬菜研究院等校内实习基地以及毛庄绿园生产基地、鄢陵建业绿色基地、弘亿农业科技有限公司生产基地、中牟国家农业公园、中鹤农业园区、鹤壁建业绿色基地、农科院原阳基地等校外基地。进一步加强和完善基地建设，计划在毛庄科教园区建设2个塑料大棚和1个日光温室，并与校外多个基地合作，保证学生实验实训和创新教育的顺利完成。</w:t>
      </w:r>
    </w:p>
    <w:p>
      <w:pPr>
        <w:widowControl/>
        <w:numPr>
          <w:ilvl w:val="0"/>
          <w:numId w:val="20"/>
        </w:numPr>
        <w:snapToGrid w:val="0"/>
        <w:spacing w:line="360" w:lineRule="auto"/>
        <w:jc w:val="left"/>
        <w:rPr>
          <w:rFonts w:ascii="宋体" w:hAnsi="宋体"/>
          <w:b/>
          <w:bCs/>
          <w:kern w:val="0"/>
          <w:szCs w:val="21"/>
        </w:rPr>
      </w:pPr>
      <w:r>
        <w:rPr>
          <w:rFonts w:hint="eastAsia" w:ascii="宋体" w:hAnsi="宋体"/>
          <w:b/>
          <w:bCs/>
          <w:kern w:val="0"/>
          <w:szCs w:val="21"/>
        </w:rPr>
        <w:t>教学考核评价</w:t>
      </w:r>
    </w:p>
    <w:p>
      <w:pPr>
        <w:widowControl/>
        <w:snapToGrid w:val="0"/>
        <w:spacing w:line="360" w:lineRule="auto"/>
        <w:ind w:firstLine="420"/>
        <w:jc w:val="left"/>
        <w:rPr>
          <w:szCs w:val="21"/>
        </w:rPr>
      </w:pPr>
      <w:r>
        <w:rPr>
          <w:b/>
          <w:bCs/>
          <w:kern w:val="0"/>
          <w:szCs w:val="21"/>
        </w:rPr>
        <w:t>1.过程性评价：</w:t>
      </w:r>
      <w:r>
        <w:rPr>
          <w:szCs w:val="21"/>
        </w:rPr>
        <w:t>（翻转课堂、小组作业、学习通讨论、课前预习、课堂表现、课后作业、课程实验等占20%；期中测试占20%）</w:t>
      </w:r>
    </w:p>
    <w:p>
      <w:pPr>
        <w:widowControl/>
        <w:snapToGrid w:val="0"/>
        <w:spacing w:line="360" w:lineRule="auto"/>
        <w:ind w:firstLine="420"/>
        <w:jc w:val="left"/>
        <w:rPr>
          <w:szCs w:val="21"/>
        </w:rPr>
      </w:pPr>
      <w:r>
        <w:rPr>
          <w:b/>
          <w:bCs/>
          <w:kern w:val="0"/>
          <w:szCs w:val="21"/>
        </w:rPr>
        <w:t>2.终结性评价：</w:t>
      </w:r>
      <w:r>
        <w:rPr>
          <w:szCs w:val="21"/>
        </w:rPr>
        <w:t>（</w:t>
      </w:r>
      <w:r>
        <w:rPr>
          <w:kern w:val="0"/>
          <w:szCs w:val="21"/>
        </w:rPr>
        <w:t>期末成绩以闭卷考试</w:t>
      </w:r>
      <w:r>
        <w:rPr>
          <w:bCs/>
          <w:kern w:val="0"/>
          <w:szCs w:val="21"/>
        </w:rPr>
        <w:t>形式考核</w:t>
      </w:r>
      <w:r>
        <w:rPr>
          <w:szCs w:val="21"/>
        </w:rPr>
        <w:t>；60%）</w:t>
      </w:r>
    </w:p>
    <w:p>
      <w:pPr>
        <w:widowControl/>
        <w:snapToGrid w:val="0"/>
        <w:spacing w:line="360" w:lineRule="auto"/>
        <w:ind w:firstLine="420"/>
        <w:jc w:val="left"/>
        <w:rPr>
          <w:szCs w:val="21"/>
        </w:rPr>
      </w:pPr>
      <w:r>
        <w:rPr>
          <w:b/>
          <w:bCs/>
          <w:kern w:val="0"/>
          <w:szCs w:val="21"/>
        </w:rPr>
        <w:t>3.课程综合评价：</w:t>
      </w:r>
      <w:r>
        <w:rPr>
          <w:szCs w:val="21"/>
        </w:rPr>
        <w:t>（考试成绩为60%，平时成绩20%，期中成绩20%）</w:t>
      </w:r>
    </w:p>
    <w:p>
      <w:pPr>
        <w:pStyle w:val="21"/>
        <w:rPr>
          <w:sz w:val="28"/>
          <w:szCs w:val="28"/>
        </w:rPr>
      </w:pPr>
      <w:bookmarkStart w:id="176" w:name="_Toc138076613"/>
      <w:bookmarkStart w:id="177" w:name="_Toc138076318"/>
      <w:bookmarkStart w:id="178" w:name="_Toc138076069"/>
      <w:bookmarkStart w:id="179" w:name="_Toc138070429"/>
      <w:bookmarkStart w:id="180" w:name="_Toc138068799"/>
      <w:bookmarkStart w:id="181" w:name="_Toc138070699"/>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rPr>
          <w:sz w:val="28"/>
          <w:szCs w:val="28"/>
        </w:rPr>
      </w:pPr>
    </w:p>
    <w:p>
      <w:pPr>
        <w:pStyle w:val="21"/>
        <w:rPr>
          <w:sz w:val="28"/>
          <w:szCs w:val="28"/>
        </w:rPr>
      </w:pPr>
      <w:bookmarkStart w:id="182" w:name="_Toc21424"/>
      <w:r>
        <w:rPr>
          <w:rFonts w:hint="eastAsia"/>
          <w:sz w:val="28"/>
          <w:szCs w:val="28"/>
        </w:rPr>
        <w:t>花卉栽培学</w:t>
      </w:r>
      <w:bookmarkEnd w:id="176"/>
      <w:bookmarkEnd w:id="177"/>
      <w:bookmarkEnd w:id="178"/>
      <w:bookmarkEnd w:id="179"/>
      <w:bookmarkEnd w:id="180"/>
      <w:bookmarkEnd w:id="181"/>
      <w:bookmarkEnd w:id="182"/>
    </w:p>
    <w:p>
      <w:pPr>
        <w:snapToGrid w:val="0"/>
        <w:spacing w:line="360" w:lineRule="auto"/>
        <w:jc w:val="center"/>
        <w:rPr>
          <w:sz w:val="24"/>
        </w:rPr>
      </w:pPr>
      <w:r>
        <w:rPr>
          <w:sz w:val="24"/>
        </w:rPr>
        <w:t>（Floriculture Production）</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课程编号：19011157h</w:t>
            </w:r>
          </w:p>
        </w:tc>
        <w:tc>
          <w:tcPr>
            <w:tcW w:w="1453" w:type="pct"/>
          </w:tcPr>
          <w:p>
            <w:pPr>
              <w:spacing w:line="300" w:lineRule="auto"/>
              <w:rPr>
                <w:rFonts w:ascii="宋体" w:hAnsi="宋体"/>
                <w:b/>
                <w:bCs/>
                <w:szCs w:val="21"/>
              </w:rPr>
            </w:pPr>
            <w:r>
              <w:rPr>
                <w:rFonts w:hint="eastAsia" w:ascii="宋体" w:hAnsi="宋体"/>
                <w:b/>
                <w:bCs/>
                <w:szCs w:val="21"/>
              </w:rPr>
              <w:t>课程总学时：56</w:t>
            </w:r>
          </w:p>
        </w:tc>
        <w:tc>
          <w:tcPr>
            <w:tcW w:w="1881" w:type="pct"/>
          </w:tcPr>
          <w:p>
            <w:pPr>
              <w:spacing w:line="300" w:lineRule="auto"/>
              <w:rPr>
                <w:rFonts w:ascii="宋体" w:hAnsi="宋体"/>
                <w:b/>
                <w:bCs/>
                <w:szCs w:val="21"/>
              </w:rPr>
            </w:pPr>
            <w:r>
              <w:rPr>
                <w:rFonts w:hint="eastAsia" w:ascii="宋体" w:hAnsi="宋体"/>
                <w:b/>
                <w:bCs/>
                <w:szCs w:val="21"/>
              </w:rPr>
              <w:t>实验学时：20学时</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课程性质：</w:t>
            </w:r>
            <w:r>
              <w:rPr>
                <w:rFonts w:hint="eastAsia" w:hAnsi="宋体"/>
                <w:b/>
                <w:bCs/>
                <w:szCs w:val="21"/>
              </w:rPr>
              <w:t>必修</w:t>
            </w:r>
          </w:p>
        </w:tc>
        <w:tc>
          <w:tcPr>
            <w:tcW w:w="1453" w:type="pct"/>
          </w:tcPr>
          <w:p>
            <w:pPr>
              <w:spacing w:line="300" w:lineRule="auto"/>
              <w:rPr>
                <w:rFonts w:ascii="宋体" w:hAnsi="宋体"/>
                <w:b/>
                <w:bCs/>
                <w:szCs w:val="21"/>
              </w:rPr>
            </w:pPr>
            <w:r>
              <w:rPr>
                <w:rFonts w:hint="eastAsia" w:ascii="宋体" w:hAnsi="宋体"/>
                <w:b/>
                <w:bCs/>
                <w:szCs w:val="21"/>
              </w:rPr>
              <w:t>课程属性:</w:t>
            </w:r>
            <w:r>
              <w:rPr>
                <w:rFonts w:hint="eastAsia" w:hAnsi="宋体"/>
                <w:b/>
                <w:bCs/>
                <w:szCs w:val="21"/>
              </w:rPr>
              <w:t>专业类</w:t>
            </w:r>
          </w:p>
        </w:tc>
        <w:tc>
          <w:tcPr>
            <w:tcW w:w="1881" w:type="pct"/>
          </w:tcPr>
          <w:p>
            <w:pPr>
              <w:spacing w:line="300" w:lineRule="auto"/>
              <w:rPr>
                <w:rFonts w:ascii="宋体" w:hAnsi="宋体"/>
                <w:b/>
                <w:bCs/>
                <w:szCs w:val="21"/>
              </w:rPr>
            </w:pPr>
            <w:r>
              <w:rPr>
                <w:rFonts w:hint="eastAsia" w:ascii="宋体" w:hAnsi="宋体"/>
                <w:b/>
                <w:bCs/>
                <w:szCs w:val="21"/>
              </w:rPr>
              <w:t>开设学期：第5学期</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课程负责人：薛东齐</w:t>
            </w:r>
          </w:p>
        </w:tc>
        <w:tc>
          <w:tcPr>
            <w:tcW w:w="1453" w:type="pct"/>
          </w:tcPr>
          <w:p>
            <w:pPr>
              <w:spacing w:line="300" w:lineRule="auto"/>
              <w:rPr>
                <w:rFonts w:ascii="宋体" w:hAnsi="宋体"/>
                <w:b/>
                <w:bCs/>
                <w:szCs w:val="21"/>
              </w:rPr>
            </w:pPr>
            <w:r>
              <w:rPr>
                <w:rFonts w:hint="eastAsia" w:ascii="宋体" w:hAnsi="宋体"/>
                <w:b/>
                <w:bCs/>
                <w:szCs w:val="21"/>
              </w:rPr>
              <w:t>课程团队：高艳娜、孟更、王永、郭鑫、娄雪源</w:t>
            </w:r>
          </w:p>
        </w:tc>
        <w:tc>
          <w:tcPr>
            <w:tcW w:w="1881" w:type="pct"/>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
                <w:bCs/>
                <w:szCs w:val="21"/>
              </w:rPr>
            </w:pPr>
            <w:r>
              <w:rPr>
                <w:rFonts w:hint="eastAsia" w:ascii="宋体" w:hAnsi="宋体"/>
                <w:b/>
                <w:bCs/>
                <w:szCs w:val="21"/>
              </w:rPr>
              <w:t>适用专业：园艺专业核心课</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要求学生先修园艺基础，掌握园艺学（果树、花卉和蔬菜等）共性的、基础的内容，学习者最好具有植物、土壤与肥料、遗传与育种、病虫害防治等方面的基础知识，同时也掌握一定的植物栽培和管理技术。</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对后续的支撑：本课程讲授的</w:t>
            </w:r>
            <w:r>
              <w:rPr>
                <w:rFonts w:ascii="宋体" w:hAnsi="宋体"/>
                <w:b/>
                <w:bCs/>
                <w:szCs w:val="21"/>
              </w:rPr>
              <w:t>花卉的生态习性及花卉生长发育基本规律；花卉繁殖、栽培的原理；花卉应用的基本原则</w:t>
            </w:r>
            <w:r>
              <w:rPr>
                <w:rFonts w:hint="eastAsia" w:ascii="宋体" w:hAnsi="宋体"/>
                <w:b/>
                <w:bCs/>
                <w:szCs w:val="21"/>
              </w:rPr>
              <w:t>等内容对第6学期开展的为期19周的毕业（生产）实习奠定技术基础。</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主撰人：花卉栽培学课程月</w:t>
            </w:r>
          </w:p>
        </w:tc>
        <w:tc>
          <w:tcPr>
            <w:tcW w:w="1453" w:type="pct"/>
          </w:tcPr>
          <w:p>
            <w:pPr>
              <w:spacing w:line="300" w:lineRule="auto"/>
              <w:rPr>
                <w:rFonts w:ascii="宋体" w:hAnsi="宋体"/>
                <w:b/>
                <w:bCs/>
                <w:szCs w:val="21"/>
              </w:rPr>
            </w:pPr>
            <w:r>
              <w:rPr>
                <w:rFonts w:hint="eastAsia" w:ascii="宋体" w:hAnsi="宋体"/>
                <w:b/>
                <w:bCs/>
                <w:szCs w:val="21"/>
              </w:rPr>
              <w:t>审核人：薛东齐</w:t>
            </w:r>
          </w:p>
        </w:tc>
        <w:tc>
          <w:tcPr>
            <w:tcW w:w="1881"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rPr>
          <w:rFonts w:hAnsi="宋体"/>
          <w:bCs/>
          <w:kern w:val="0"/>
          <w:szCs w:val="21"/>
        </w:rPr>
      </w:pPr>
      <w:r>
        <w:rPr>
          <w:rFonts w:hint="eastAsia" w:hAnsi="宋体"/>
          <w:bCs/>
          <w:kern w:val="0"/>
          <w:szCs w:val="21"/>
        </w:rPr>
        <w:t>花卉栽培学是园艺专业的专业课，是园艺专业的主干课程之一。花卉栽培学是研究花卉的分类、生物学特性、繁殖方法、栽培技术、经营管理与应用的科学，其综合性很强。本课程以学生为中心，充分调动学生的学习自觉性，使学生能将理论知识内化并应用于实践。花卉栽培学主要学习花卉分类的原理与方法、花卉种质资源及其分布特点、花卉的生态习性及花卉生长发育基本规律、花卉繁殖、栽培的原理及花卉应用的基本原则等。为了使学生系统掌握花卉栽培学的理论知识和实践操作技能并将知识应用于实际生产，协调目前课程内容多、学时有限的矛盾，花卉栽培学课程组采用线上线下混合式教学的模式。线上内容视频讲解、课件、拓展性课件、文献资料、讨论和作业为主。线下教学方法有主要采用“演示法教学、小组讨论式教学、竞赛式教学、项目探究式教学、翻转课堂、线上线下混合式教学法”的教学模式进行。通过花卉栽培学的学习，学生可以掌握花卉产业化生产和经营管理及其园林应用的基础理论和实践技能。</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kern w:val="0"/>
          <w:szCs w:val="21"/>
        </w:rPr>
      </w:pPr>
      <w:r>
        <w:rPr>
          <w:rFonts w:hint="eastAsia"/>
          <w:kern w:val="0"/>
          <w:szCs w:val="21"/>
        </w:rPr>
        <w:t>1.</w:t>
      </w:r>
      <w:r>
        <w:rPr>
          <w:rFonts w:hAnsi="宋体"/>
          <w:kern w:val="0"/>
          <w:szCs w:val="21"/>
        </w:rPr>
        <w:t>理论知识方面：</w:t>
      </w:r>
      <w:r>
        <w:rPr>
          <w:rFonts w:hint="eastAsia" w:hAnsi="宋体"/>
          <w:bCs/>
          <w:kern w:val="0"/>
          <w:szCs w:val="21"/>
        </w:rPr>
        <w:t>要求学生掌握花卉分类的原理与方法、花卉种质资源及其分布特点、花卉的生态习性及花卉生长发育基本规律、花卉繁殖、栽培的原理及花卉应用的基本原则等。</w:t>
      </w:r>
    </w:p>
    <w:p>
      <w:pPr>
        <w:widowControl/>
        <w:snapToGrid w:val="0"/>
        <w:spacing w:line="360" w:lineRule="auto"/>
        <w:ind w:firstLine="420" w:firstLineChars="200"/>
        <w:jc w:val="left"/>
        <w:rPr>
          <w:rFonts w:hAnsi="宋体"/>
          <w:bCs/>
          <w:kern w:val="0"/>
          <w:szCs w:val="21"/>
        </w:rPr>
      </w:pPr>
      <w:r>
        <w:rPr>
          <w:rFonts w:hint="eastAsia"/>
          <w:kern w:val="0"/>
          <w:szCs w:val="21"/>
        </w:rPr>
        <w:t>2.</w:t>
      </w:r>
      <w:r>
        <w:rPr>
          <w:rFonts w:hAnsi="宋体"/>
          <w:kern w:val="0"/>
          <w:szCs w:val="21"/>
        </w:rPr>
        <w:t>实验技能方面：</w:t>
      </w:r>
      <w:r>
        <w:rPr>
          <w:rFonts w:hint="eastAsia" w:hAnsi="宋体"/>
          <w:bCs/>
          <w:kern w:val="0"/>
          <w:szCs w:val="21"/>
        </w:rPr>
        <w:t>要求学生熟练识别150～200种花卉，掌握花卉繁殖栽培的方法和步骤，能够根据不同的园林应用形式选择不同的花卉，并采用不同的栽培养护措施。</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spacing w:line="360" w:lineRule="auto"/>
        <w:ind w:firstLine="420" w:firstLineChars="200"/>
        <w:rPr>
          <w:rFonts w:hAnsi="宋体"/>
          <w:bCs/>
          <w:kern w:val="0"/>
          <w:szCs w:val="21"/>
        </w:rPr>
      </w:pPr>
      <w:r>
        <w:rPr>
          <w:rFonts w:hint="eastAsia" w:hAnsi="宋体"/>
          <w:bCs/>
          <w:kern w:val="0"/>
          <w:szCs w:val="21"/>
        </w:rPr>
        <w:t>《花卉栽培学》培养学生掌握花卉产业化生产和经营管理及其园林应用的基础理论和实践技能。为了达成教学目标，《花卉栽培学》设置理论教学、实验和实习。对一般性知识点，要求学生进行课前预习，课堂讲授完成；对知识点采用启发式的教学方法讲授，并介绍相关的课外知识及学科进展。对重要的知识点，要求学生进行课前预习，课堂讲授完成；对主要知识点采用启发式、讨论式的教学方法讲授，同时介绍相关的研究进展，并采用课堂提问加深学生对知识点的记忆，及培养学生运用知识点的思路。通过实验和实习教学，加强花卉植物的识别特征，常见花卉的习性和观赏特点、花卉的园林应用类型、繁殖方法及栽培管理要点等知识的应用。最终使学生能够识别150种以上生产及花卉市场常见的园林植物；掌握60种以上常见观赏植物的识别要点、</w:t>
      </w:r>
      <w:r>
        <w:rPr>
          <w:rFonts w:hAnsi="宋体"/>
          <w:bCs/>
          <w:kern w:val="0"/>
          <w:szCs w:val="21"/>
        </w:rPr>
        <w:t>75</w:t>
      </w:r>
      <w:r>
        <w:rPr>
          <w:rFonts w:hint="eastAsia" w:hAnsi="宋体"/>
          <w:bCs/>
          <w:kern w:val="0"/>
          <w:szCs w:val="21"/>
        </w:rPr>
        <w:t>生态习性、观赏特性、栽培技术等；并培养学生运用工具书正确鉴定观赏植物。</w:t>
      </w:r>
    </w:p>
    <w:p>
      <w:pPr>
        <w:spacing w:line="360" w:lineRule="auto"/>
        <w:ind w:firstLine="420" w:firstLineChars="200"/>
        <w:rPr>
          <w:rFonts w:hAnsi="宋体"/>
          <w:bCs/>
          <w:kern w:val="0"/>
          <w:szCs w:val="21"/>
        </w:rPr>
      </w:pPr>
      <w:bookmarkStart w:id="183" w:name="_Hlk135858814"/>
      <w:r>
        <w:rPr>
          <w:rFonts w:hint="eastAsia" w:hAnsi="宋体"/>
          <w:bCs/>
          <w:kern w:val="0"/>
          <w:szCs w:val="21"/>
        </w:rPr>
        <w:t>理论课采取闭卷考试进行考核；总成绩＝期末考试成绩*40%+过程性评价*40%+平时成绩*20%。实验教学以实验报告的方式进行成绩评定，实验成绩占课程过程性评价总成绩的20%，其成绩登记到期末总成绩单上；过程性评价成绩包括线上学习情况、课堂小测验、小组讨论表现，创新性任务考核；教学实习以考核方式进行成绩评定。实验和实习成绩评定根据报告确定，分为优秀（90~100分）、良好（80~90分）、中等（70~80分）、及格（60~70分）和不及格（60分以下）五个等次。</w:t>
      </w:r>
    </w:p>
    <w:bookmarkEnd w:id="183"/>
    <w:p>
      <w:pPr>
        <w:spacing w:line="360" w:lineRule="auto"/>
        <w:ind w:firstLine="420" w:firstLineChars="200"/>
        <w:rPr>
          <w:rFonts w:hAnsi="宋体"/>
          <w:bCs/>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775"/>
        <w:gridCol w:w="1123"/>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77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12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1</w:t>
            </w:r>
          </w:p>
        </w:tc>
        <w:tc>
          <w:tcPr>
            <w:tcW w:w="677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sz w:val="18"/>
                <w:szCs w:val="18"/>
              </w:rPr>
            </w:pPr>
            <w:r>
              <w:rPr>
                <w:rFonts w:hint="eastAsia"/>
                <w:sz w:val="18"/>
                <w:szCs w:val="18"/>
              </w:rPr>
              <w:t>目标1：了解中国花卉产业的发展前景，激发学生的专业兴趣，培养具有良好职业道德、创新精神和社会责任感的三农人才。</w:t>
            </w:r>
          </w:p>
        </w:tc>
        <w:tc>
          <w:tcPr>
            <w:tcW w:w="112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sz w:val="18"/>
                <w:szCs w:val="18"/>
              </w:rPr>
            </w:pPr>
            <w:r>
              <w:rPr>
                <w:rFonts w:hint="eastAsia"/>
                <w:sz w:val="18"/>
                <w:szCs w:val="18"/>
              </w:rPr>
              <w:t>2</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2</w:t>
            </w:r>
          </w:p>
        </w:tc>
        <w:tc>
          <w:tcPr>
            <w:tcW w:w="677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sz w:val="18"/>
                <w:szCs w:val="18"/>
                <w:highlight w:val="yellow"/>
              </w:rPr>
            </w:pPr>
            <w:r>
              <w:rPr>
                <w:rFonts w:hint="eastAsia"/>
                <w:sz w:val="18"/>
                <w:szCs w:val="18"/>
              </w:rPr>
              <w:t>目标2：以“花卉分类、花卉繁殖、花卉栽培管理及花卉应用”为重点，使学生识别多种花卉，并掌握这些花卉的生态习性、繁殖方法、栽培管理措施及园林用途。理解团队合作的重要性和领导技巧，具备良好的团队合作意识和协作精神。</w:t>
            </w:r>
          </w:p>
        </w:tc>
        <w:tc>
          <w:tcPr>
            <w:tcW w:w="112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hint="eastAsia"/>
                <w:sz w:val="18"/>
                <w:szCs w:val="18"/>
              </w:rPr>
            </w:pPr>
            <w:r>
              <w:rPr>
                <w:rFonts w:hint="eastAsia"/>
                <w:sz w:val="18"/>
                <w:szCs w:val="18"/>
              </w:rPr>
              <w:t>6</w:t>
            </w:r>
          </w:p>
          <w:p>
            <w:pPr>
              <w:spacing w:line="320" w:lineRule="exact"/>
              <w:ind w:firstLine="360"/>
              <w:rPr>
                <w:sz w:val="18"/>
                <w:szCs w:val="18"/>
              </w:rPr>
            </w:pPr>
            <w:r>
              <w:rPr>
                <w:rFonts w:hint="eastAsia"/>
                <w:sz w:val="18"/>
                <w:szCs w:val="18"/>
              </w:rPr>
              <w:t>8</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3</w:t>
            </w:r>
          </w:p>
        </w:tc>
        <w:tc>
          <w:tcPr>
            <w:tcW w:w="677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sz w:val="18"/>
                <w:szCs w:val="18"/>
              </w:rPr>
            </w:pPr>
            <w:r>
              <w:rPr>
                <w:rFonts w:hint="eastAsia"/>
                <w:sz w:val="18"/>
                <w:szCs w:val="18"/>
              </w:rPr>
              <w:t>目标3：</w:t>
            </w:r>
            <w:r>
              <w:rPr>
                <w:rFonts w:hint="eastAsia" w:hAnsiTheme="minorEastAsia"/>
                <w:sz w:val="18"/>
                <w:szCs w:val="18"/>
              </w:rPr>
              <w:t>通过讲课和实习培养学生的观察思维能力及花卉生产方面的实际操作技能。具有国际视野，有自主学习和终身学习意识，有适应环境变化不断学习的能力。</w:t>
            </w:r>
          </w:p>
        </w:tc>
        <w:tc>
          <w:tcPr>
            <w:tcW w:w="112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hint="eastAsia"/>
                <w:sz w:val="18"/>
                <w:szCs w:val="18"/>
              </w:rPr>
            </w:pPr>
            <w:r>
              <w:rPr>
                <w:rFonts w:hint="eastAsia"/>
                <w:sz w:val="18"/>
                <w:szCs w:val="18"/>
              </w:rPr>
              <w:t>5</w:t>
            </w:r>
          </w:p>
          <w:p>
            <w:pPr>
              <w:spacing w:line="320" w:lineRule="exact"/>
              <w:ind w:firstLine="360"/>
              <w:rPr>
                <w:sz w:val="18"/>
                <w:szCs w:val="18"/>
              </w:rPr>
            </w:pPr>
            <w:r>
              <w:rPr>
                <w:rFonts w:hint="eastAsia"/>
                <w:sz w:val="18"/>
                <w:szCs w:val="18"/>
              </w:rPr>
              <w:t>10</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rFonts w:hint="eastAsia"/>
                <w:sz w:val="18"/>
                <w:szCs w:val="18"/>
              </w:rPr>
              <w:t>4</w:t>
            </w:r>
          </w:p>
        </w:tc>
        <w:tc>
          <w:tcPr>
            <w:tcW w:w="677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sz w:val="18"/>
                <w:szCs w:val="18"/>
              </w:rPr>
            </w:pPr>
            <w:r>
              <w:rPr>
                <w:rFonts w:hint="eastAsia"/>
                <w:sz w:val="18"/>
                <w:szCs w:val="18"/>
              </w:rPr>
              <w:t>目标4：结合教学内容进行爱国主义思想教育，通过认识了解我国丰富的花卉植物资源和科研成就、花卉产业近年的快速发展，培养学生热爱祖国的思想，拥护党和国家的改革开放、发展经济的方针政策。</w:t>
            </w:r>
          </w:p>
        </w:tc>
        <w:tc>
          <w:tcPr>
            <w:tcW w:w="112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hint="eastAsia"/>
                <w:sz w:val="18"/>
                <w:szCs w:val="18"/>
              </w:rPr>
            </w:pPr>
            <w:r>
              <w:rPr>
                <w:rFonts w:hint="eastAsia"/>
                <w:sz w:val="18"/>
                <w:szCs w:val="18"/>
              </w:rPr>
              <w:t>7</w:t>
            </w:r>
          </w:p>
          <w:p>
            <w:pPr>
              <w:spacing w:line="320" w:lineRule="exact"/>
              <w:ind w:firstLine="360"/>
              <w:rPr>
                <w:sz w:val="18"/>
                <w:szCs w:val="18"/>
              </w:rPr>
            </w:pPr>
            <w:r>
              <w:rPr>
                <w:rFonts w:hint="eastAsia"/>
                <w:sz w:val="18"/>
                <w:szCs w:val="18"/>
              </w:rPr>
              <w:t>9</w:t>
            </w:r>
          </w:p>
          <w:p>
            <w:pPr>
              <w:spacing w:line="320" w:lineRule="exact"/>
              <w:ind w:firstLine="360"/>
              <w:rPr>
                <w:sz w:val="18"/>
                <w:szCs w:val="18"/>
              </w:rPr>
            </w:pPr>
          </w:p>
          <w:p>
            <w:pPr>
              <w:spacing w:line="320" w:lineRule="exact"/>
              <w:ind w:firstLine="360"/>
              <w:rPr>
                <w:sz w:val="18"/>
                <w:szCs w:val="18"/>
              </w:rPr>
            </w:pPr>
          </w:p>
        </w:tc>
      </w:tr>
    </w:tbl>
    <w:p>
      <w:pPr>
        <w:spacing w:line="360" w:lineRule="auto"/>
        <w:ind w:firstLine="420" w:firstLineChars="200"/>
        <w:rPr>
          <w:rFonts w:hAnsi="宋体"/>
          <w:bCs/>
          <w:kern w:val="0"/>
          <w:szCs w:val="21"/>
        </w:rPr>
      </w:pPr>
    </w:p>
    <w:p>
      <w:pPr>
        <w:widowControl/>
        <w:snapToGrid w:val="0"/>
        <w:spacing w:line="360" w:lineRule="auto"/>
        <w:jc w:val="left"/>
        <w:rPr>
          <w:rFonts w:hAnsi="宋体"/>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（36学时）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绪论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szCs w:val="20"/>
        </w:rPr>
        <w:t>通过本章学习使学生理解花卉的概念；了解花卉在人类生活中的作用及花卉产业发展的历程和趋势；明确花卉学在园艺专业课程中的地位及其与相关课程的关系；明确本课程的学习要求及基本的学习方法；培养学生对本学科的学习兴趣。</w:t>
      </w:r>
    </w:p>
    <w:p>
      <w:pPr>
        <w:widowControl/>
        <w:snapToGrid w:val="0"/>
        <w:spacing w:line="360" w:lineRule="auto"/>
        <w:rPr>
          <w:rFonts w:ascii="宋体" w:hAnsi="宋体"/>
          <w:szCs w:val="20"/>
        </w:rPr>
      </w:pPr>
      <w:r>
        <w:rPr>
          <w:rFonts w:hint="eastAsia" w:ascii="宋体" w:hAnsi="宋体"/>
          <w:b/>
          <w:bCs/>
        </w:rPr>
        <w:t>教学重点和难点：</w:t>
      </w:r>
      <w:r>
        <w:rPr>
          <w:rFonts w:hint="eastAsia" w:ascii="宋体" w:hAnsi="宋体"/>
          <w:szCs w:val="20"/>
        </w:rPr>
        <w:t>花卉的定义与花卉学的研究范畴；花卉在人类生活中的作用；中国花卉栽培的历史和现状；世界花卉业的发展现状和趋势。</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了解：花卉栽培在人们生活中的地位与作用；花卉产业的历史、现状及发展趋势。</w:t>
      </w:r>
    </w:p>
    <w:p>
      <w:pPr>
        <w:pStyle w:val="7"/>
        <w:snapToGrid w:val="0"/>
        <w:spacing w:line="360" w:lineRule="auto"/>
        <w:rPr>
          <w:rFonts w:ascii="宋体" w:hAnsi="宋体"/>
        </w:rPr>
      </w:pPr>
      <w:r>
        <w:rPr>
          <w:rFonts w:hint="eastAsia" w:ascii="宋体" w:hAnsi="宋体"/>
        </w:rPr>
        <w:t>掌握：花卉的涵义及范围、意义和作用。</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rPr>
          <w:rFonts w:ascii="宋体" w:hAnsi="宋体"/>
          <w:b/>
          <w:bCs/>
        </w:rPr>
      </w:pPr>
      <w:r>
        <w:rPr>
          <w:rFonts w:hint="eastAsia" w:ascii="宋体" w:hAnsi="宋体"/>
          <w:bCs/>
        </w:rPr>
        <w:t>授课</w:t>
      </w:r>
      <w:r>
        <w:rPr>
          <w:rFonts w:hint="eastAsia" w:ascii="宋体" w:hAnsi="宋体"/>
          <w:szCs w:val="20"/>
        </w:rPr>
        <w:t>教师于学习通平台提前发布要求，学生通过自主观察、查询资料了解什么是花卉、花卉栽培学习的意义，以及使学生自己认识到花卉产业的重要性；并采用“学生参与讲绪论”，充分调动学生的积极主动性。教师课堂讲解花卉业发展趋势、世界花卉生产的特点和花卉发展历史与现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第一章</w:t>
            </w:r>
            <w:r>
              <w:rPr>
                <w:rFonts w:hint="eastAsia" w:hAnsi="宋体"/>
                <w:b/>
                <w:bCs/>
                <w:szCs w:val="21"/>
              </w:rPr>
              <w:t xml:space="preserve">  </w:t>
            </w:r>
            <w:r>
              <w:rPr>
                <w:rFonts w:hint="eastAsia"/>
                <w:b/>
                <w:szCs w:val="21"/>
              </w:rPr>
              <w:t>花卉的分类与分布</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napToGrid w:val="0"/>
        <w:spacing w:line="360" w:lineRule="auto"/>
        <w:rPr>
          <w:rFonts w:ascii="宋体" w:hAnsi="宋体"/>
          <w:b/>
          <w:bCs/>
        </w:rPr>
      </w:pPr>
      <w:r>
        <w:rPr>
          <w:rFonts w:hint="eastAsia" w:ascii="宋体" w:hAnsi="宋体"/>
          <w:b/>
          <w:bCs/>
        </w:rPr>
        <w:t>第一节 花卉的分类    1</w:t>
      </w:r>
      <w:r>
        <w:rPr>
          <w:rFonts w:ascii="宋体" w:hAnsi="宋体"/>
          <w:b/>
          <w:bCs/>
        </w:rPr>
        <w:t>学时</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cs="宋体"/>
          <w:kern w:val="0"/>
          <w:szCs w:val="21"/>
        </w:rPr>
        <w:t>使学生掌握生态习性分类的方法，各类代表性花卉的识别特征</w:t>
      </w:r>
      <w:r>
        <w:rPr>
          <w:rFonts w:hint="eastAsia" w:ascii="宋体" w:hAnsi="宋体" w:cs="宋体"/>
          <w:kern w:val="0"/>
          <w:szCs w:val="21"/>
        </w:rPr>
        <w:t>。</w:t>
      </w:r>
    </w:p>
    <w:p>
      <w:pPr>
        <w:widowControl/>
        <w:snapToGrid w:val="0"/>
        <w:spacing w:line="360" w:lineRule="auto"/>
        <w:rPr>
          <w:rFonts w:ascii="宋体" w:hAnsi="宋体"/>
          <w:szCs w:val="20"/>
        </w:rPr>
      </w:pPr>
      <w:r>
        <w:rPr>
          <w:rFonts w:hint="eastAsia" w:ascii="宋体" w:hAnsi="宋体"/>
          <w:b/>
          <w:bCs/>
        </w:rPr>
        <w:t>教学重点和难点：</w:t>
      </w:r>
      <w:r>
        <w:rPr>
          <w:rFonts w:hint="eastAsia" w:ascii="宋体" w:hAnsi="宋体"/>
          <w:szCs w:val="20"/>
        </w:rPr>
        <w:t>花卉的按生态习性分类，区分一年生花卉和二年生花卉，区分宿根花卉和球根花卉。</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了解：花卉分类的基本依据，了解花卉的基本形态描述；花卉资源的起源和多样性。</w:t>
      </w:r>
    </w:p>
    <w:p>
      <w:pPr>
        <w:pStyle w:val="7"/>
        <w:snapToGrid w:val="0"/>
        <w:spacing w:line="360" w:lineRule="auto"/>
        <w:rPr>
          <w:rFonts w:ascii="宋体" w:hAnsi="宋体"/>
        </w:rPr>
      </w:pPr>
      <w:r>
        <w:rPr>
          <w:rFonts w:hint="eastAsia" w:ascii="宋体" w:hAnsi="宋体"/>
        </w:rPr>
        <w:t>掌握：花卉植株按生活类型分类，按栽培方式的分类，按观赏特性分类，按园林用途分类的原则。</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rPr>
          <w:rFonts w:ascii="宋体" w:hAnsi="宋体"/>
          <w:szCs w:val="20"/>
        </w:rPr>
      </w:pPr>
      <w:r>
        <w:rPr>
          <w:rFonts w:hint="eastAsia" w:ascii="宋体" w:hAnsi="宋体"/>
          <w:szCs w:val="20"/>
        </w:rPr>
        <w:t>本节作为一般性的基础知识，要求学生进行课前预习，线上主要通过大量的花卉植株图片来让学生认识不同的花卉，教师对知识点的讲授采用启发式的教学方法，并介绍相关的课外知识及学科进展。</w:t>
      </w:r>
    </w:p>
    <w:p>
      <w:pPr>
        <w:widowControl/>
        <w:snapToGrid w:val="0"/>
        <w:spacing w:line="360" w:lineRule="auto"/>
        <w:jc w:val="left"/>
        <w:rPr>
          <w:rFonts w:hAnsi="宋体"/>
          <w:b/>
          <w:kern w:val="0"/>
          <w:szCs w:val="21"/>
        </w:rPr>
      </w:pPr>
      <w:r>
        <w:rPr>
          <w:rFonts w:hAnsi="宋体"/>
          <w:b/>
          <w:kern w:val="0"/>
          <w:szCs w:val="21"/>
        </w:rPr>
        <w:t>第</w:t>
      </w:r>
      <w:r>
        <w:rPr>
          <w:rFonts w:hint="eastAsia" w:hAnsi="宋体"/>
          <w:b/>
          <w:kern w:val="0"/>
          <w:szCs w:val="21"/>
        </w:rPr>
        <w:t>二</w:t>
      </w:r>
      <w:r>
        <w:rPr>
          <w:rFonts w:hAnsi="宋体"/>
          <w:b/>
          <w:kern w:val="0"/>
          <w:szCs w:val="21"/>
        </w:rPr>
        <w:t>节</w:t>
      </w:r>
      <w:r>
        <w:rPr>
          <w:rFonts w:hint="eastAsia" w:hAnsi="宋体"/>
          <w:b/>
          <w:kern w:val="0"/>
          <w:szCs w:val="21"/>
        </w:rPr>
        <w:t xml:space="preserve"> </w:t>
      </w:r>
      <w:r>
        <w:rPr>
          <w:rFonts w:hint="eastAsia" w:hAnsi="宋体"/>
          <w:b/>
          <w:bCs/>
          <w:kern w:val="0"/>
          <w:szCs w:val="21"/>
        </w:rPr>
        <w:t xml:space="preserve">花卉的分布    </w:t>
      </w:r>
      <w:r>
        <w:rPr>
          <w:rFonts w:hint="eastAsia" w:ascii="宋体" w:hAnsi="宋体"/>
          <w:b/>
          <w:bCs/>
        </w:rPr>
        <w:t>1</w:t>
      </w:r>
      <w:r>
        <w:rPr>
          <w:rFonts w:ascii="宋体" w:hAnsi="宋体"/>
          <w:b/>
          <w:bCs/>
        </w:rPr>
        <w:t>学时</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szCs w:val="20"/>
        </w:rPr>
        <w:t>使学习理解世界气候型的特点，了解中国的名花及其分布范围。</w:t>
      </w:r>
    </w:p>
    <w:p>
      <w:pPr>
        <w:widowControl/>
        <w:snapToGrid w:val="0"/>
        <w:spacing w:line="360" w:lineRule="auto"/>
        <w:rPr>
          <w:rFonts w:ascii="宋体" w:hAnsi="宋体"/>
          <w:szCs w:val="20"/>
        </w:rPr>
      </w:pPr>
      <w:r>
        <w:rPr>
          <w:rFonts w:hint="eastAsia" w:ascii="宋体" w:hAnsi="宋体"/>
          <w:b/>
          <w:bCs/>
        </w:rPr>
        <w:t>教学重点和难点：</w:t>
      </w:r>
      <w:r>
        <w:rPr>
          <w:rFonts w:hint="eastAsia" w:ascii="宋体" w:hAnsi="宋体"/>
          <w:szCs w:val="20"/>
        </w:rPr>
        <w:t>世界气候型及其代表花卉，中国花卉的地理分布。</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了解：花卉原产地的气候型类型。</w:t>
      </w:r>
    </w:p>
    <w:p>
      <w:pPr>
        <w:pStyle w:val="7"/>
        <w:snapToGrid w:val="0"/>
        <w:spacing w:line="360" w:lineRule="auto"/>
        <w:rPr>
          <w:rFonts w:ascii="宋体" w:hAnsi="宋体"/>
        </w:rPr>
      </w:pPr>
      <w:r>
        <w:rPr>
          <w:rFonts w:hint="eastAsia" w:ascii="宋体" w:hAnsi="宋体"/>
        </w:rPr>
        <w:t>掌握：各气候型的气候特点及花卉分布特点。</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rPr>
          <w:b/>
          <w:kern w:val="0"/>
          <w:szCs w:val="21"/>
        </w:rPr>
      </w:pPr>
      <w:r>
        <w:rPr>
          <w:rFonts w:hint="eastAsia" w:ascii="宋体" w:hAnsi="宋体"/>
          <w:szCs w:val="20"/>
        </w:rPr>
        <w:t>教师提前在学习通等线上平台准备好各种媒体学习资料、任务单、教学课件；学生自我学习，获取完成知识点的必要知识信息，教师通过辅导、双向互动等形式进行指导；以小组的形式检查效果、考核评价。</w:t>
      </w:r>
    </w:p>
    <w:tbl>
      <w:tblPr>
        <w:tblStyle w:val="22"/>
        <w:tblW w:w="0" w:type="auto"/>
        <w:tblInd w:w="4" w:type="dxa"/>
        <w:tblLayout w:type="autofit"/>
        <w:tblCellMar>
          <w:top w:w="0" w:type="dxa"/>
          <w:left w:w="0" w:type="dxa"/>
          <w:bottom w:w="0" w:type="dxa"/>
          <w:right w:w="0" w:type="dxa"/>
        </w:tblCellMar>
      </w:tblPr>
      <w:tblGrid>
        <w:gridCol w:w="2291"/>
        <w:gridCol w:w="3639"/>
        <w:gridCol w:w="2966"/>
      </w:tblGrid>
      <w:tr>
        <w:tblPrEx>
          <w:tblCellMar>
            <w:top w:w="0" w:type="dxa"/>
            <w:left w:w="0" w:type="dxa"/>
            <w:bottom w:w="0" w:type="dxa"/>
            <w:right w:w="0" w:type="dxa"/>
          </w:tblCellMar>
        </w:tblPrEx>
        <w:trPr>
          <w:trHeight w:val="270" w:hRule="atLeast"/>
        </w:trPr>
        <w:tc>
          <w:tcPr>
            <w:tcW w:w="2291" w:type="dxa"/>
            <w:tcBorders>
              <w:top w:val="nil"/>
              <w:left w:val="nil"/>
              <w:bottom w:val="nil"/>
              <w:right w:val="nil"/>
            </w:tcBorders>
            <w:vAlign w:val="center"/>
          </w:tcPr>
          <w:p>
            <w:pPr>
              <w:widowControl/>
              <w:snapToGrid w:val="0"/>
              <w:spacing w:line="360" w:lineRule="auto"/>
              <w:rPr>
                <w:rFonts w:hAnsi="宋体"/>
                <w:b/>
                <w:bCs/>
                <w:szCs w:val="21"/>
              </w:rPr>
            </w:pPr>
          </w:p>
        </w:tc>
        <w:tc>
          <w:tcPr>
            <w:tcW w:w="363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bookmarkStart w:id="184" w:name="_Hlk135831510"/>
            <w:r>
              <w:rPr>
                <w:rFonts w:hint="eastAsia" w:hAnsi="宋体"/>
                <w:b/>
                <w:bCs/>
                <w:szCs w:val="21"/>
              </w:rPr>
              <w:t xml:space="preserve">  花卉的生长发育与环境</w:t>
            </w:r>
            <w:bookmarkEnd w:id="184"/>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了解花卉植物生长发育与环境的相互关系，理解花卉的生长发育规律，掌握环境对花卉生长发育过程（包括形态建成）的影响。</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重点介绍花卉按其对环境因子适应性不同的分类，环境对生长发育进程的影响，温度、光照、水分、土壤等环境因子对花卉形态建成的影响等。难点是记忆花卉对不同环境因子适应性的分类和理解</w:t>
      </w:r>
      <w:bookmarkStart w:id="185" w:name="_Hlk135833228"/>
      <w:r>
        <w:rPr>
          <w:rFonts w:hint="eastAsia" w:ascii="宋体" w:hAnsi="宋体"/>
          <w:bCs/>
        </w:rPr>
        <w:t>光周期和春化作用</w:t>
      </w:r>
      <w:bookmarkEnd w:id="185"/>
      <w:r>
        <w:rPr>
          <w:rFonts w:hint="eastAsia" w:ascii="宋体" w:hAnsi="宋体"/>
          <w:bCs/>
        </w:rPr>
        <w:t>对不同花卉的花芽分化的影响。</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bCs/>
          <w:szCs w:val="24"/>
        </w:rPr>
      </w:pPr>
      <w:r>
        <w:rPr>
          <w:rFonts w:hint="eastAsia" w:ascii="宋体" w:hAnsi="宋体"/>
          <w:bCs/>
          <w:szCs w:val="24"/>
        </w:rPr>
        <w:t>了解：花卉生长发育的规律性。</w:t>
      </w:r>
    </w:p>
    <w:p>
      <w:pPr>
        <w:pStyle w:val="7"/>
        <w:snapToGrid w:val="0"/>
        <w:spacing w:line="360" w:lineRule="auto"/>
        <w:rPr>
          <w:rFonts w:ascii="宋体" w:hAnsi="宋体"/>
          <w:bCs/>
          <w:szCs w:val="24"/>
        </w:rPr>
      </w:pPr>
      <w:r>
        <w:rPr>
          <w:rFonts w:hint="eastAsia" w:ascii="宋体" w:hAnsi="宋体"/>
          <w:bCs/>
          <w:szCs w:val="24"/>
        </w:rPr>
        <w:t>理解：各类花卉的生育特点。</w:t>
      </w:r>
    </w:p>
    <w:p>
      <w:pPr>
        <w:pStyle w:val="7"/>
        <w:snapToGrid w:val="0"/>
        <w:spacing w:line="360" w:lineRule="auto"/>
        <w:rPr>
          <w:rFonts w:ascii="宋体" w:hAnsi="宋体"/>
          <w:bCs/>
          <w:szCs w:val="24"/>
        </w:rPr>
      </w:pPr>
      <w:r>
        <w:rPr>
          <w:rFonts w:hint="eastAsia" w:ascii="宋体" w:hAnsi="宋体"/>
          <w:bCs/>
          <w:szCs w:val="24"/>
        </w:rPr>
        <w:t>掌握：花芽分化的理论。</w:t>
      </w:r>
    </w:p>
    <w:p>
      <w:pPr>
        <w:pStyle w:val="7"/>
        <w:snapToGrid w:val="0"/>
        <w:spacing w:line="360" w:lineRule="auto"/>
        <w:rPr>
          <w:rFonts w:ascii="宋体" w:hAnsi="宋体"/>
          <w:bCs/>
          <w:szCs w:val="24"/>
        </w:rPr>
      </w:pPr>
      <w:r>
        <w:rPr>
          <w:rFonts w:hint="eastAsia" w:ascii="宋体" w:hAnsi="宋体"/>
        </w:rPr>
        <w:t>熟练掌</w:t>
      </w:r>
      <w:r>
        <w:rPr>
          <w:rFonts w:hint="eastAsia" w:ascii="宋体" w:hAnsi="宋体"/>
          <w:bCs/>
          <w:szCs w:val="24"/>
        </w:rPr>
        <w:t>握：</w:t>
      </w:r>
      <w:bookmarkStart w:id="186" w:name="_Hlk135832714"/>
      <w:r>
        <w:rPr>
          <w:rFonts w:hint="eastAsia" w:ascii="宋体" w:hAnsi="宋体"/>
          <w:bCs/>
          <w:szCs w:val="24"/>
        </w:rPr>
        <w:t>光照、温度、水分环境因子对花卉生长的影响；土壤及营养对对花卉生长的影响</w:t>
      </w:r>
      <w:bookmarkEnd w:id="186"/>
      <w:r>
        <w:rPr>
          <w:rFonts w:hint="eastAsia" w:ascii="宋体" w:hAnsi="宋体"/>
          <w:bCs/>
          <w:szCs w:val="24"/>
        </w:rPr>
        <w:t>。</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jc w:val="left"/>
        <w:rPr>
          <w:rFonts w:ascii="宋体" w:hAnsi="宋体"/>
          <w:bCs/>
        </w:rPr>
      </w:pPr>
      <w:r>
        <w:rPr>
          <w:rFonts w:hint="eastAsia" w:ascii="宋体" w:hAnsi="宋体"/>
          <w:bCs/>
        </w:rPr>
        <w:t>本节讲授的概念和基础知识比较重要，要求学生进行课前预习，课堂讲授完成；对主要知识点采用启发式、讨论式的教学方法讲授，同时介绍相关的研究进展，并采用课堂提问加深学生对知识点的记忆，及培养学生运用知识点的思路，通过学情分析和网络调查，及时了解学生的学习情况。通过实验中观察不同花卉的生育期并提交报告强化对知识点的认识。</w:t>
      </w:r>
    </w:p>
    <w:tbl>
      <w:tblPr>
        <w:tblStyle w:val="22"/>
        <w:tblW w:w="0" w:type="auto"/>
        <w:tblInd w:w="4" w:type="dxa"/>
        <w:tblLayout w:type="autofit"/>
        <w:tblCellMar>
          <w:top w:w="0" w:type="dxa"/>
          <w:left w:w="0" w:type="dxa"/>
          <w:bottom w:w="0" w:type="dxa"/>
          <w:right w:w="0" w:type="dxa"/>
        </w:tblCellMar>
      </w:tblPr>
      <w:tblGrid>
        <w:gridCol w:w="2001"/>
        <w:gridCol w:w="3929"/>
        <w:gridCol w:w="2966"/>
      </w:tblGrid>
      <w:tr>
        <w:tblPrEx>
          <w:tblCellMar>
            <w:top w:w="0" w:type="dxa"/>
            <w:left w:w="0" w:type="dxa"/>
            <w:bottom w:w="0" w:type="dxa"/>
            <w:right w:w="0" w:type="dxa"/>
          </w:tblCellMar>
        </w:tblPrEx>
        <w:trPr>
          <w:trHeight w:val="270" w:hRule="atLeast"/>
        </w:trPr>
        <w:tc>
          <w:tcPr>
            <w:tcW w:w="200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92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三</w:t>
            </w:r>
            <w:r>
              <w:rPr>
                <w:rFonts w:hAnsi="宋体"/>
                <w:b/>
                <w:bCs/>
                <w:szCs w:val="21"/>
              </w:rPr>
              <w:t>章</w:t>
            </w:r>
            <w:bookmarkStart w:id="187" w:name="_Hlk135834455"/>
            <w:r>
              <w:rPr>
                <w:rFonts w:hint="eastAsia" w:hAnsi="宋体"/>
                <w:b/>
                <w:bCs/>
                <w:szCs w:val="21"/>
              </w:rPr>
              <w:t xml:space="preserve">  </w:t>
            </w:r>
            <w:r>
              <w:rPr>
                <w:rFonts w:hint="eastAsia"/>
                <w:b/>
                <w:szCs w:val="21"/>
              </w:rPr>
              <w:t>花卉栽培的设施与器具</w:t>
            </w:r>
            <w:bookmarkEnd w:id="187"/>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了解现代化玻璃温室、日光温室与塑料大棚的研究概况与发展趋势；掌握不同类型的日光温室与塑料大棚的特性与相关设备；能够熟练的运用一些生产措施进行环境调控，了解温室花卉生产常用的栽培设施。</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温室的结构、设计及内部环境控制,日光温室与塑料大棚的分类,荫棚、冷床与温床的分类及其在花卉栽培中的应用,设施花卉栽培的特点、构建材料、环境控制措施。</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bCs/>
          <w:szCs w:val="24"/>
        </w:rPr>
      </w:pPr>
      <w:r>
        <w:rPr>
          <w:rFonts w:hint="eastAsia" w:ascii="宋体" w:hAnsi="宋体"/>
          <w:bCs/>
          <w:szCs w:val="24"/>
        </w:rPr>
        <w:t>了解：</w:t>
      </w:r>
      <w:bookmarkStart w:id="188" w:name="_Hlk135835240"/>
      <w:r>
        <w:rPr>
          <w:rFonts w:hint="eastAsia" w:ascii="宋体" w:hAnsi="宋体"/>
          <w:bCs/>
          <w:szCs w:val="24"/>
        </w:rPr>
        <w:t>花卉生产的主要设施及其作用</w:t>
      </w:r>
      <w:bookmarkEnd w:id="188"/>
      <w:r>
        <w:rPr>
          <w:rFonts w:hint="eastAsia" w:ascii="宋体" w:hAnsi="宋体"/>
          <w:bCs/>
          <w:szCs w:val="24"/>
        </w:rPr>
        <w:t>。</w:t>
      </w:r>
    </w:p>
    <w:p>
      <w:pPr>
        <w:pStyle w:val="7"/>
        <w:snapToGrid w:val="0"/>
        <w:spacing w:line="360" w:lineRule="auto"/>
        <w:rPr>
          <w:rFonts w:ascii="宋体" w:hAnsi="宋体"/>
          <w:bCs/>
          <w:szCs w:val="24"/>
        </w:rPr>
      </w:pPr>
      <w:r>
        <w:rPr>
          <w:rFonts w:hint="eastAsia" w:ascii="宋体" w:hAnsi="宋体"/>
          <w:bCs/>
          <w:szCs w:val="24"/>
        </w:rPr>
        <w:t>理解：各类花卉对温室环境的要求。</w:t>
      </w:r>
    </w:p>
    <w:p>
      <w:pPr>
        <w:pStyle w:val="7"/>
        <w:snapToGrid w:val="0"/>
        <w:spacing w:line="360" w:lineRule="auto"/>
        <w:rPr>
          <w:rFonts w:ascii="宋体" w:hAnsi="宋体"/>
          <w:bCs/>
          <w:szCs w:val="24"/>
        </w:rPr>
      </w:pPr>
      <w:r>
        <w:rPr>
          <w:rFonts w:hint="eastAsia" w:ascii="宋体" w:hAnsi="宋体"/>
          <w:bCs/>
          <w:szCs w:val="24"/>
        </w:rPr>
        <w:t>掌握：温室的结构、设计及内部环境控制。</w:t>
      </w:r>
    </w:p>
    <w:p>
      <w:pPr>
        <w:pStyle w:val="7"/>
        <w:snapToGrid w:val="0"/>
        <w:spacing w:line="360" w:lineRule="auto"/>
        <w:rPr>
          <w:rFonts w:ascii="宋体" w:hAnsi="宋体"/>
          <w:bCs/>
          <w:szCs w:val="24"/>
        </w:rPr>
      </w:pPr>
      <w:r>
        <w:rPr>
          <w:rFonts w:hint="eastAsia" w:ascii="宋体" w:hAnsi="宋体"/>
          <w:bCs/>
          <w:szCs w:val="24"/>
        </w:rPr>
        <w:t>熟练掌握：</w:t>
      </w:r>
      <w:bookmarkStart w:id="189" w:name="_Hlk135834614"/>
      <w:r>
        <w:rPr>
          <w:rFonts w:hint="eastAsia" w:ascii="宋体" w:hAnsi="宋体"/>
          <w:bCs/>
          <w:szCs w:val="24"/>
        </w:rPr>
        <w:t>花卉栽培器具各自的性能特点</w:t>
      </w:r>
      <w:bookmarkEnd w:id="189"/>
      <w:r>
        <w:rPr>
          <w:rFonts w:hint="eastAsia" w:ascii="宋体" w:hAnsi="宋体"/>
          <w:bCs/>
          <w:szCs w:val="24"/>
        </w:rPr>
        <w:t>。</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rPr>
          <w:rFonts w:ascii="宋体" w:hAnsi="宋体"/>
          <w:szCs w:val="20"/>
        </w:rPr>
      </w:pPr>
      <w:r>
        <w:rPr>
          <w:rFonts w:hint="eastAsia" w:ascii="宋体" w:hAnsi="宋体"/>
          <w:szCs w:val="20"/>
        </w:rPr>
        <w:t>线上学生查阅和学习温室、塑料大棚、温床等栽培设施设备的概念，并结合教师在学习通上布置的任务，提前学习并掌握花卉栽培器具的种类、基本功能及其适用范围。线下以班级为单位进行“翻转课堂”，由学生讲解根据种植地自然条件和设施花卉种类因地制宜地选择和使用花卉栽培设施的案例分析。学生制作好课件后在授课时间进行课堂讲解。培养学生团队协作和讲述表达的能力。</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四</w:t>
            </w:r>
            <w:r>
              <w:rPr>
                <w:rFonts w:hAnsi="宋体"/>
                <w:b/>
                <w:bCs/>
                <w:szCs w:val="21"/>
              </w:rPr>
              <w:t>章</w:t>
            </w:r>
            <w:bookmarkStart w:id="190" w:name="_Hlk135836268"/>
            <w:r>
              <w:rPr>
                <w:rFonts w:hint="eastAsia" w:hAnsi="宋体"/>
                <w:b/>
                <w:bCs/>
                <w:szCs w:val="21"/>
              </w:rPr>
              <w:t xml:space="preserve">  </w:t>
            </w:r>
            <w:r>
              <w:rPr>
                <w:rFonts w:hint="eastAsia"/>
                <w:b/>
                <w:szCs w:val="21"/>
              </w:rPr>
              <w:t>花卉的繁殖</w:t>
            </w:r>
            <w:bookmarkEnd w:id="190"/>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数：3</w:t>
            </w:r>
          </w:p>
        </w:tc>
      </w:tr>
    </w:tbl>
    <w:p>
      <w:pPr>
        <w:snapToGrid w:val="0"/>
        <w:spacing w:line="360" w:lineRule="auto"/>
        <w:rPr>
          <w:rFonts w:ascii="宋体" w:hAnsi="宋体"/>
          <w:b/>
          <w:bCs/>
        </w:rPr>
      </w:pPr>
      <w:r>
        <w:rPr>
          <w:rFonts w:hint="eastAsia" w:ascii="宋体" w:hAnsi="宋体"/>
          <w:b/>
          <w:bCs/>
        </w:rPr>
        <w:t>第一节 有性繁殖    2学时</w:t>
      </w:r>
    </w:p>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通过本节学习使学生了解种子繁殖的特点，掌握种子的获取、贮藏与检验方法，掌握播种前种子处理方法及播种时期的选择。</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有性繁殖的特点及利用，有性繁殖的具体操作和繁殖时的注意问题。</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w:t>
      </w:r>
      <w:bookmarkStart w:id="191" w:name="_Hlk135837309"/>
      <w:r>
        <w:rPr>
          <w:rFonts w:hint="eastAsia" w:ascii="宋体" w:hAnsi="宋体"/>
        </w:rPr>
        <w:t>花卉种子的类别与形态结构，花卉种子繁殖的特点</w:t>
      </w:r>
      <w:bookmarkEnd w:id="191"/>
      <w:r>
        <w:rPr>
          <w:rFonts w:hint="eastAsia" w:ascii="宋体" w:hAnsi="宋体"/>
        </w:rPr>
        <w:t>。</w:t>
      </w:r>
    </w:p>
    <w:p>
      <w:pPr>
        <w:pStyle w:val="7"/>
        <w:snapToGrid w:val="0"/>
        <w:spacing w:line="360" w:lineRule="auto"/>
        <w:rPr>
          <w:rFonts w:ascii="宋体" w:hAnsi="宋体"/>
        </w:rPr>
      </w:pPr>
      <w:r>
        <w:rPr>
          <w:rFonts w:hint="eastAsia" w:ascii="宋体" w:hAnsi="宋体"/>
        </w:rPr>
        <w:t>掌握：</w:t>
      </w:r>
      <w:bookmarkStart w:id="192" w:name="_Hlk135837337"/>
      <w:r>
        <w:rPr>
          <w:rFonts w:hint="eastAsia" w:ascii="宋体" w:hAnsi="宋体"/>
        </w:rPr>
        <w:t>花卉种子的获取、贮藏、种子质量鉴定方法及指标</w:t>
      </w:r>
      <w:bookmarkEnd w:id="192"/>
      <w:r>
        <w:rPr>
          <w:rFonts w:hint="eastAsia" w:ascii="宋体" w:hAnsi="宋体"/>
        </w:rPr>
        <w:t>。</w:t>
      </w:r>
    </w:p>
    <w:p>
      <w:pPr>
        <w:pStyle w:val="7"/>
        <w:snapToGrid w:val="0"/>
        <w:spacing w:line="360" w:lineRule="auto"/>
        <w:rPr>
          <w:rFonts w:ascii="宋体" w:hAnsi="宋体"/>
        </w:rPr>
      </w:pPr>
      <w:r>
        <w:rPr>
          <w:rFonts w:hint="eastAsia" w:ascii="宋体" w:hAnsi="宋体"/>
        </w:rPr>
        <w:t>熟练掌握：花卉种子播前处理的技术和方法及播种时期的选择。</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rPr>
          <w:rFonts w:ascii="宋体" w:hAnsi="宋体"/>
          <w:szCs w:val="20"/>
        </w:rPr>
      </w:pPr>
      <w:r>
        <w:rPr>
          <w:rFonts w:hint="eastAsia" w:ascii="宋体" w:hAnsi="宋体"/>
          <w:szCs w:val="20"/>
        </w:rPr>
        <w:t>学生带着疑问和探索在线上自主学习花卉种子质量鉴定方法、播前种子处理、播种技术、育苗意义及苗期管理等内容。线下教师课堂讲解花卉种子在播种和育苗过程中容易出现的问题。通过“花卉种子观察”、“种子播前处理”、“穴盘育苗”等试验把知识应用于实践。培养学生主动学习和实践能力，使学生播前处理、播种和育苗的技能。感兴趣的学生可以和教师的科研结合，进行进一步的试验研究。</w:t>
      </w:r>
    </w:p>
    <w:p>
      <w:pPr>
        <w:snapToGrid w:val="0"/>
        <w:spacing w:line="360" w:lineRule="auto"/>
        <w:rPr>
          <w:rFonts w:ascii="宋体" w:hAnsi="宋体"/>
          <w:b/>
          <w:bCs/>
        </w:rPr>
      </w:pPr>
      <w:r>
        <w:rPr>
          <w:rFonts w:ascii="宋体" w:hAnsi="宋体"/>
          <w:b/>
          <w:bCs/>
        </w:rPr>
        <w:t>第</w:t>
      </w:r>
      <w:r>
        <w:rPr>
          <w:rFonts w:hint="eastAsia" w:ascii="宋体" w:hAnsi="宋体"/>
          <w:b/>
          <w:bCs/>
        </w:rPr>
        <w:t>二</w:t>
      </w:r>
      <w:r>
        <w:rPr>
          <w:rFonts w:ascii="宋体" w:hAnsi="宋体"/>
          <w:b/>
          <w:bCs/>
        </w:rPr>
        <w:t>节</w:t>
      </w:r>
      <w:r>
        <w:rPr>
          <w:rFonts w:hint="eastAsia" w:ascii="宋体" w:hAnsi="宋体"/>
          <w:b/>
          <w:bCs/>
        </w:rPr>
        <w:t xml:space="preserve"> 无性繁殖    1学时</w:t>
      </w:r>
    </w:p>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介绍花卉繁殖方法，使学生了解花卉繁殖所依据的理论基础，并能根据具体花卉种类和具体条件和生产要求选择不同的繁殖方法，掌握花卉繁殖技术并能综合运用。</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无性繁殖的特点及利用；无性繁殖的具体操作和繁殖时的注意问题，包括分株和分球，扦插和压条，嫁接和组织养。</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Times New Roman" w:hAnsi="宋体"/>
          <w:kern w:val="0"/>
          <w:szCs w:val="21"/>
        </w:rPr>
      </w:pPr>
      <w:r>
        <w:rPr>
          <w:rFonts w:hint="eastAsia" w:ascii="Times New Roman" w:hAnsi="宋体"/>
          <w:kern w:val="0"/>
          <w:szCs w:val="21"/>
        </w:rPr>
        <w:t>了解：</w:t>
      </w:r>
      <w:bookmarkStart w:id="193" w:name="_Hlk135837378"/>
      <w:r>
        <w:rPr>
          <w:rFonts w:hint="eastAsia" w:ascii="Times New Roman" w:hAnsi="宋体"/>
          <w:kern w:val="0"/>
          <w:szCs w:val="21"/>
        </w:rPr>
        <w:t>无性繁殖的特点</w:t>
      </w:r>
      <w:bookmarkEnd w:id="193"/>
      <w:r>
        <w:rPr>
          <w:rFonts w:hint="eastAsia" w:ascii="Times New Roman" w:hAnsi="宋体"/>
          <w:kern w:val="0"/>
          <w:szCs w:val="21"/>
        </w:rPr>
        <w:t>。</w:t>
      </w:r>
    </w:p>
    <w:p>
      <w:pPr>
        <w:pStyle w:val="7"/>
        <w:snapToGrid w:val="0"/>
        <w:spacing w:line="360" w:lineRule="auto"/>
        <w:rPr>
          <w:rFonts w:ascii="Times New Roman" w:hAnsi="宋体"/>
          <w:kern w:val="0"/>
          <w:szCs w:val="21"/>
        </w:rPr>
      </w:pPr>
      <w:r>
        <w:rPr>
          <w:rFonts w:hint="eastAsia" w:ascii="Times New Roman" w:hAnsi="宋体"/>
          <w:kern w:val="0"/>
          <w:szCs w:val="21"/>
        </w:rPr>
        <w:t>理解：分生繁殖的方法。</w:t>
      </w:r>
    </w:p>
    <w:p>
      <w:pPr>
        <w:pStyle w:val="7"/>
        <w:snapToGrid w:val="0"/>
        <w:spacing w:line="360" w:lineRule="auto"/>
        <w:rPr>
          <w:rFonts w:ascii="Times New Roman" w:hAnsi="宋体"/>
          <w:kern w:val="0"/>
          <w:szCs w:val="21"/>
        </w:rPr>
      </w:pPr>
      <w:r>
        <w:rPr>
          <w:rFonts w:hint="eastAsia" w:ascii="Times New Roman" w:hAnsi="宋体"/>
          <w:kern w:val="0"/>
          <w:szCs w:val="21"/>
        </w:rPr>
        <w:t>掌握：</w:t>
      </w:r>
      <w:bookmarkStart w:id="194" w:name="_Hlk135837407"/>
      <w:r>
        <w:rPr>
          <w:rFonts w:hint="eastAsia" w:ascii="Times New Roman" w:hAnsi="宋体"/>
          <w:kern w:val="0"/>
          <w:szCs w:val="21"/>
        </w:rPr>
        <w:t>扦插繁殖原理、扦插繁殖类型与方法；嫁接成活的原理、嫁接方法。</w:t>
      </w:r>
      <w:bookmarkEnd w:id="194"/>
    </w:p>
    <w:p>
      <w:pPr>
        <w:pStyle w:val="7"/>
        <w:snapToGrid w:val="0"/>
        <w:spacing w:line="360" w:lineRule="auto"/>
        <w:rPr>
          <w:rFonts w:ascii="Times New Roman" w:hAnsi="宋体"/>
          <w:kern w:val="0"/>
          <w:szCs w:val="21"/>
        </w:rPr>
      </w:pPr>
      <w:r>
        <w:rPr>
          <w:rFonts w:hint="eastAsia" w:ascii="Times New Roman" w:hAnsi="宋体"/>
          <w:kern w:val="0"/>
          <w:szCs w:val="21"/>
        </w:rPr>
        <w:t>熟练掌握：花卉分生繁殖技术，花卉压条繁殖技术，花卉组培快繁技术原理与技术。</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rPr>
          <w:rFonts w:ascii="宋体" w:hAnsi="宋体"/>
          <w:szCs w:val="20"/>
        </w:rPr>
      </w:pPr>
      <w:r>
        <w:rPr>
          <w:rFonts w:hint="eastAsia" w:ascii="宋体" w:hAnsi="宋体"/>
          <w:szCs w:val="20"/>
        </w:rPr>
        <w:t>线上或者线下通过小组讨论的方式学习花卉的无性繁殖原理、技术和方法。线上通过视频学习花卉无性繁殖的相关视频和技术方法。课后及时发布作业检验学习效果，并及时反馈。教师在实验基地讲解嫁接、扦插、分株、组培快繁等的操作，并通过提问和实验操作来掌握学生的学习情况，培养学生主动学习和实践技能。</w:t>
      </w:r>
    </w:p>
    <w:p>
      <w:pPr>
        <w:widowControl/>
        <w:snapToGrid w:val="0"/>
        <w:spacing w:line="360" w:lineRule="auto"/>
        <w:jc w:val="left"/>
        <w:rPr>
          <w:rFonts w:hAnsi="宋体"/>
          <w:kern w:val="0"/>
          <w:szCs w:val="21"/>
        </w:rPr>
      </w:pP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五</w:t>
            </w:r>
            <w:r>
              <w:rPr>
                <w:rFonts w:hAnsi="宋体"/>
                <w:b/>
                <w:bCs/>
                <w:szCs w:val="21"/>
              </w:rPr>
              <w:t>章</w:t>
            </w:r>
            <w:bookmarkStart w:id="195" w:name="_Hlk135840670"/>
            <w:r>
              <w:rPr>
                <w:rFonts w:hint="eastAsia" w:hAnsi="宋体"/>
                <w:b/>
                <w:bCs/>
                <w:szCs w:val="21"/>
              </w:rPr>
              <w:t xml:space="preserve">  </w:t>
            </w:r>
            <w:r>
              <w:rPr>
                <w:rFonts w:hint="eastAsia"/>
                <w:b/>
                <w:szCs w:val="21"/>
              </w:rPr>
              <w:t>花卉的栽培管理</w:t>
            </w:r>
            <w:bookmarkEnd w:id="195"/>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数：3</w:t>
            </w:r>
          </w:p>
        </w:tc>
      </w:tr>
    </w:tbl>
    <w:p>
      <w:pPr>
        <w:snapToGrid w:val="0"/>
        <w:spacing w:line="360" w:lineRule="auto"/>
        <w:rPr>
          <w:rFonts w:ascii="宋体" w:hAnsi="宋体"/>
          <w:b/>
          <w:bCs/>
        </w:rPr>
      </w:pPr>
      <w:r>
        <w:rPr>
          <w:rFonts w:hint="eastAsia" w:ascii="宋体" w:hAnsi="宋体"/>
          <w:b/>
          <w:bCs/>
        </w:rPr>
        <w:t>第一节 露地及温室花卉的栽培管理措施    1学时</w:t>
      </w:r>
    </w:p>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通过本节课的讲授使学生掌握露地花卉栽培的基本技术和不同生态习性的露地花卉栽培的特点，使学生掌握温室花卉栽培的基本技术和不同生态习性的露地花卉栽培的特点，掌握常规的共性管理技术和特殊的技术管理环节。</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露地与温室花卉的播种和育苗；露地与温室花卉的苗期管理和定植；不同生态习性的花卉的栽培管理环节。</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w:t>
      </w:r>
      <w:bookmarkStart w:id="196" w:name="_Hlk135841039"/>
      <w:r>
        <w:rPr>
          <w:rFonts w:hint="eastAsia" w:ascii="宋体" w:hAnsi="宋体"/>
        </w:rPr>
        <w:t>露地花卉特点与类型，掌握常见露地花卉栽培的环节与技术</w:t>
      </w:r>
      <w:bookmarkEnd w:id="196"/>
      <w:r>
        <w:rPr>
          <w:rFonts w:hint="eastAsia" w:ascii="宋体" w:hAnsi="宋体"/>
        </w:rPr>
        <w:t>。</w:t>
      </w:r>
    </w:p>
    <w:p>
      <w:pPr>
        <w:pStyle w:val="7"/>
        <w:snapToGrid w:val="0"/>
        <w:spacing w:line="360" w:lineRule="auto"/>
        <w:rPr>
          <w:rFonts w:ascii="宋体" w:hAnsi="宋体"/>
        </w:rPr>
      </w:pPr>
      <w:r>
        <w:rPr>
          <w:rFonts w:hint="eastAsia" w:ascii="宋体" w:hAnsi="宋体"/>
        </w:rPr>
        <w:t>掌握：</w:t>
      </w:r>
      <w:bookmarkStart w:id="197" w:name="_Hlk135841107"/>
      <w:r>
        <w:rPr>
          <w:rFonts w:hint="eastAsia" w:ascii="宋体" w:hAnsi="宋体"/>
        </w:rPr>
        <w:t>常见露地和温室一、二年生花卉、宿根花卉、球根花卉的繁殖、栽培、养护管理</w:t>
      </w:r>
      <w:bookmarkEnd w:id="197"/>
      <w:r>
        <w:rPr>
          <w:rFonts w:hint="eastAsia" w:ascii="宋体" w:hAnsi="宋体"/>
        </w:rPr>
        <w:t>。</w:t>
      </w:r>
    </w:p>
    <w:p>
      <w:pPr>
        <w:pStyle w:val="7"/>
        <w:snapToGrid w:val="0"/>
        <w:spacing w:line="360" w:lineRule="auto"/>
        <w:rPr>
          <w:rFonts w:ascii="宋体" w:hAnsi="宋体"/>
        </w:rPr>
      </w:pPr>
      <w:r>
        <w:rPr>
          <w:rFonts w:hint="eastAsia" w:ascii="宋体" w:hAnsi="宋体"/>
        </w:rPr>
        <w:t>熟练掌握：露地花卉和温室花卉的栽培管理技术。</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rPr>
          <w:rFonts w:ascii="宋体" w:hAnsi="宋体"/>
          <w:szCs w:val="20"/>
        </w:rPr>
      </w:pPr>
      <w:r>
        <w:rPr>
          <w:rFonts w:hint="eastAsia" w:ascii="宋体" w:hAnsi="宋体"/>
          <w:szCs w:val="20"/>
        </w:rPr>
        <w:t>学生在学习通上自学花卉的露地和温室栽培管理技术规范，熟悉各类露地花卉和温室花卉的形态、生态习性与栽培技术；结合实验安排，线下以实验小组为单位进行多种露地和温室花卉的繁殖、栽培、养护管理实训，着重培养学生的将知识应用实际的能力，以及自主学习、查阅资料、团队合作和交流的能力。</w:t>
      </w:r>
    </w:p>
    <w:p>
      <w:pPr>
        <w:snapToGrid w:val="0"/>
        <w:spacing w:line="360" w:lineRule="auto"/>
        <w:rPr>
          <w:rFonts w:ascii="宋体" w:hAnsi="宋体"/>
          <w:b/>
          <w:bCs/>
        </w:rPr>
      </w:pPr>
      <w:r>
        <w:rPr>
          <w:rFonts w:ascii="宋体" w:hAnsi="宋体"/>
          <w:b/>
          <w:bCs/>
        </w:rPr>
        <w:t>第</w:t>
      </w:r>
      <w:r>
        <w:rPr>
          <w:rFonts w:hint="eastAsia" w:ascii="宋体" w:hAnsi="宋体"/>
          <w:b/>
          <w:bCs/>
        </w:rPr>
        <w:t>二</w:t>
      </w:r>
      <w:r>
        <w:rPr>
          <w:rFonts w:ascii="宋体" w:hAnsi="宋体"/>
          <w:b/>
          <w:bCs/>
        </w:rPr>
        <w:t>节</w:t>
      </w:r>
      <w:r>
        <w:rPr>
          <w:rFonts w:hint="eastAsia" w:ascii="宋体" w:hAnsi="宋体"/>
          <w:b/>
          <w:bCs/>
        </w:rPr>
        <w:t xml:space="preserve"> 盆栽花卉的栽培管理措施    1学时</w:t>
      </w:r>
    </w:p>
    <w:p>
      <w:pPr>
        <w:widowControl/>
        <w:snapToGrid w:val="0"/>
        <w:spacing w:line="360" w:lineRule="auto"/>
        <w:rPr>
          <w:rFonts w:hAnsi="宋体"/>
          <w:kern w:val="0"/>
          <w:szCs w:val="21"/>
        </w:rPr>
      </w:pPr>
      <w:r>
        <w:rPr>
          <w:rFonts w:hint="eastAsia" w:ascii="宋体" w:hAnsi="宋体"/>
          <w:b/>
          <w:bCs/>
        </w:rPr>
        <w:t>教学目标：</w:t>
      </w:r>
      <w:r>
        <w:rPr>
          <w:rFonts w:hint="eastAsia" w:hAnsi="宋体"/>
          <w:kern w:val="0"/>
          <w:szCs w:val="21"/>
        </w:rPr>
        <w:t>通过本节课的讲授使学生了解盆花的特点及常见类型，掌握盆花栽培中基质准备、盆栽技术、日常养护管理技术；掌握各类盆栽花卉的特点、类型及其繁殖与栽培技术。</w:t>
      </w:r>
    </w:p>
    <w:p>
      <w:pPr>
        <w:widowControl/>
        <w:snapToGrid w:val="0"/>
        <w:spacing w:line="360" w:lineRule="auto"/>
        <w:rPr>
          <w:rFonts w:hAnsi="宋体"/>
          <w:kern w:val="0"/>
          <w:szCs w:val="21"/>
        </w:rPr>
      </w:pPr>
      <w:r>
        <w:rPr>
          <w:rFonts w:hint="eastAsia" w:ascii="宋体" w:hAnsi="宋体"/>
          <w:b/>
          <w:bCs/>
        </w:rPr>
        <w:t>教学重点和难点：</w:t>
      </w:r>
      <w:r>
        <w:rPr>
          <w:rFonts w:hint="eastAsia" w:hAnsi="宋体"/>
          <w:kern w:val="0"/>
          <w:szCs w:val="21"/>
        </w:rPr>
        <w:t>常见栽培基质特点及类型，及培养土的配制技术；盆栽的基本技术（上盆、脱盆、换盆、松土、施肥、浇水等）。</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Times New Roman" w:hAnsi="宋体"/>
          <w:kern w:val="0"/>
          <w:szCs w:val="21"/>
        </w:rPr>
      </w:pPr>
      <w:r>
        <w:rPr>
          <w:rFonts w:hint="eastAsia" w:ascii="宋体" w:hAnsi="宋体"/>
        </w:rPr>
        <w:t>了</w:t>
      </w:r>
      <w:r>
        <w:rPr>
          <w:rFonts w:hint="eastAsia" w:ascii="Times New Roman" w:hAnsi="宋体"/>
          <w:kern w:val="0"/>
          <w:szCs w:val="21"/>
        </w:rPr>
        <w:t>解：</w:t>
      </w:r>
      <w:bookmarkStart w:id="198" w:name="_Hlk135841061"/>
      <w:r>
        <w:rPr>
          <w:rFonts w:hint="eastAsia" w:ascii="Times New Roman" w:hAnsi="宋体"/>
          <w:kern w:val="0"/>
          <w:szCs w:val="21"/>
        </w:rPr>
        <w:t>盆花上盆、翻盆与换盆技术</w:t>
      </w:r>
      <w:bookmarkEnd w:id="198"/>
      <w:r>
        <w:rPr>
          <w:rFonts w:hint="eastAsia" w:ascii="Times New Roman" w:hAnsi="宋体"/>
          <w:kern w:val="0"/>
          <w:szCs w:val="21"/>
        </w:rPr>
        <w:t>。</w:t>
      </w:r>
    </w:p>
    <w:p>
      <w:pPr>
        <w:pStyle w:val="7"/>
        <w:snapToGrid w:val="0"/>
        <w:spacing w:line="360" w:lineRule="auto"/>
        <w:rPr>
          <w:rFonts w:ascii="Times New Roman" w:hAnsi="宋体"/>
          <w:kern w:val="0"/>
          <w:szCs w:val="21"/>
        </w:rPr>
      </w:pPr>
      <w:r>
        <w:rPr>
          <w:rFonts w:hint="eastAsia" w:ascii="Times New Roman" w:hAnsi="宋体"/>
          <w:kern w:val="0"/>
          <w:szCs w:val="21"/>
        </w:rPr>
        <w:t>掌握：</w:t>
      </w:r>
      <w:bookmarkStart w:id="199" w:name="_Hlk135841143"/>
      <w:r>
        <w:rPr>
          <w:rFonts w:hint="eastAsia" w:ascii="Times New Roman" w:hAnsi="宋体"/>
          <w:kern w:val="0"/>
          <w:szCs w:val="21"/>
        </w:rPr>
        <w:t>常见盆栽一、二年生花卉、宿根花卉、木本花卉、兰科花卉的栽培管理技术</w:t>
      </w:r>
      <w:bookmarkEnd w:id="199"/>
      <w:r>
        <w:rPr>
          <w:rFonts w:hint="eastAsia" w:ascii="Times New Roman" w:hAnsi="宋体"/>
          <w:kern w:val="0"/>
          <w:szCs w:val="21"/>
        </w:rPr>
        <w:t>。</w:t>
      </w:r>
    </w:p>
    <w:p>
      <w:pPr>
        <w:pStyle w:val="7"/>
        <w:snapToGrid w:val="0"/>
        <w:spacing w:line="360" w:lineRule="auto"/>
        <w:rPr>
          <w:rFonts w:ascii="Times New Roman" w:hAnsi="宋体"/>
          <w:kern w:val="0"/>
          <w:szCs w:val="21"/>
        </w:rPr>
      </w:pPr>
      <w:r>
        <w:rPr>
          <w:rFonts w:hint="eastAsia" w:ascii="Times New Roman" w:hAnsi="宋体"/>
          <w:kern w:val="0"/>
          <w:szCs w:val="21"/>
        </w:rPr>
        <w:t>熟练掌握：</w:t>
      </w:r>
      <w:bookmarkStart w:id="200" w:name="_Hlk135841223"/>
      <w:r>
        <w:rPr>
          <w:rFonts w:hint="eastAsia" w:ascii="Times New Roman" w:hAnsi="宋体"/>
          <w:kern w:val="0"/>
          <w:szCs w:val="21"/>
        </w:rPr>
        <w:t>不同类型盆栽花卉的栽培技术</w:t>
      </w:r>
      <w:bookmarkEnd w:id="200"/>
      <w:r>
        <w:rPr>
          <w:rFonts w:hint="eastAsia" w:ascii="Times New Roman" w:hAnsi="宋体"/>
          <w:kern w:val="0"/>
          <w:szCs w:val="21"/>
        </w:rPr>
        <w:t>。</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rPr>
          <w:rFonts w:ascii="宋体" w:hAnsi="宋体"/>
          <w:szCs w:val="20"/>
        </w:rPr>
      </w:pPr>
      <w:r>
        <w:rPr>
          <w:rFonts w:hint="eastAsia" w:ascii="宋体" w:hAnsi="宋体"/>
          <w:szCs w:val="20"/>
        </w:rPr>
        <w:t>学生在学习通上自学盆栽花卉的栽培管理技术，熟悉</w:t>
      </w:r>
      <w:r>
        <w:rPr>
          <w:rFonts w:hint="eastAsia" w:hAnsi="宋体"/>
          <w:kern w:val="0"/>
          <w:szCs w:val="21"/>
        </w:rPr>
        <w:t>常见盆栽一、二年生花卉、宿根花卉、木本花卉、兰科花卉的栽培管理技术</w:t>
      </w:r>
      <w:r>
        <w:rPr>
          <w:rFonts w:hint="eastAsia" w:ascii="仿宋_GB2312" w:hAnsi="宋体" w:eastAsia="仿宋_GB2312" w:cs="宋体"/>
          <w:kern w:val="0"/>
          <w:szCs w:val="21"/>
        </w:rPr>
        <w:t>；</w:t>
      </w:r>
      <w:r>
        <w:rPr>
          <w:rFonts w:hint="eastAsia" w:ascii="宋体" w:hAnsi="宋体"/>
          <w:szCs w:val="20"/>
        </w:rPr>
        <w:t>结合实验安排，线下以实验小组为单位进行多种盆栽花卉的</w:t>
      </w:r>
      <w:r>
        <w:rPr>
          <w:rFonts w:hint="eastAsia" w:hAnsi="宋体"/>
          <w:kern w:val="0"/>
          <w:szCs w:val="21"/>
        </w:rPr>
        <w:t>繁殖、栽培、养护管理实训，着</w:t>
      </w:r>
      <w:r>
        <w:rPr>
          <w:rFonts w:hint="eastAsia" w:ascii="宋体" w:hAnsi="宋体"/>
          <w:szCs w:val="20"/>
        </w:rPr>
        <w:t>重培养学生的将知识应用实际的能力。</w:t>
      </w:r>
    </w:p>
    <w:p>
      <w:pPr>
        <w:snapToGrid w:val="0"/>
        <w:spacing w:line="360" w:lineRule="auto"/>
        <w:rPr>
          <w:rFonts w:ascii="宋体" w:hAnsi="宋体"/>
          <w:b/>
          <w:bCs/>
        </w:rPr>
      </w:pPr>
      <w:r>
        <w:rPr>
          <w:rFonts w:ascii="宋体" w:hAnsi="宋体"/>
          <w:b/>
          <w:bCs/>
        </w:rPr>
        <w:t>第</w:t>
      </w:r>
      <w:r>
        <w:rPr>
          <w:rFonts w:hint="eastAsia" w:ascii="宋体" w:hAnsi="宋体"/>
          <w:b/>
          <w:bCs/>
        </w:rPr>
        <w:t>三</w:t>
      </w:r>
      <w:r>
        <w:rPr>
          <w:rFonts w:ascii="宋体" w:hAnsi="宋体"/>
          <w:b/>
          <w:bCs/>
        </w:rPr>
        <w:t>节</w:t>
      </w:r>
      <w:r>
        <w:rPr>
          <w:rFonts w:hint="eastAsia" w:ascii="宋体" w:hAnsi="宋体"/>
          <w:b/>
          <w:bCs/>
        </w:rPr>
        <w:t xml:space="preserve"> 花卉的无土栽培    1学时</w:t>
      </w:r>
    </w:p>
    <w:p>
      <w:pPr>
        <w:widowControl/>
        <w:snapToGrid w:val="0"/>
        <w:spacing w:line="360" w:lineRule="auto"/>
        <w:rPr>
          <w:rFonts w:hAnsi="宋体"/>
          <w:kern w:val="0"/>
          <w:szCs w:val="21"/>
        </w:rPr>
      </w:pPr>
      <w:r>
        <w:rPr>
          <w:rFonts w:hint="eastAsia" w:ascii="宋体" w:hAnsi="宋体"/>
          <w:b/>
          <w:bCs/>
        </w:rPr>
        <w:t>教学目标：</w:t>
      </w:r>
      <w:r>
        <w:rPr>
          <w:rFonts w:hint="eastAsia" w:hAnsi="宋体"/>
          <w:kern w:val="0"/>
          <w:szCs w:val="21"/>
        </w:rPr>
        <w:t>了解花卉无土栽培的基础理论知识，以及花卉无土栽培在生产中的合理利用；掌握常规花卉无土栽培营养液配方和栽培技术。</w:t>
      </w:r>
    </w:p>
    <w:p>
      <w:pPr>
        <w:widowControl/>
        <w:snapToGrid w:val="0"/>
        <w:spacing w:line="360" w:lineRule="auto"/>
        <w:rPr>
          <w:rFonts w:hAnsi="宋体"/>
          <w:kern w:val="0"/>
          <w:szCs w:val="21"/>
        </w:rPr>
      </w:pPr>
      <w:r>
        <w:rPr>
          <w:rFonts w:hint="eastAsia" w:ascii="宋体" w:hAnsi="宋体"/>
          <w:b/>
          <w:bCs/>
        </w:rPr>
        <w:t>教学重点和难点：</w:t>
      </w:r>
      <w:r>
        <w:rPr>
          <w:rFonts w:hint="eastAsia" w:hAnsi="宋体"/>
          <w:kern w:val="0"/>
          <w:szCs w:val="21"/>
        </w:rPr>
        <w:t>无土栽培的理论基础，无土栽培的方法和栽培设施，不同种类花卉无土栽培的营养液配方的配制方法和原则。</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Times New Roman" w:hAnsi="宋体"/>
          <w:kern w:val="0"/>
          <w:szCs w:val="21"/>
        </w:rPr>
      </w:pPr>
      <w:r>
        <w:rPr>
          <w:rFonts w:hint="eastAsia" w:ascii="宋体" w:hAnsi="宋体"/>
        </w:rPr>
        <w:t>了</w:t>
      </w:r>
      <w:r>
        <w:rPr>
          <w:rFonts w:hint="eastAsia" w:ascii="Times New Roman" w:hAnsi="宋体"/>
          <w:kern w:val="0"/>
          <w:szCs w:val="21"/>
        </w:rPr>
        <w:t>解：</w:t>
      </w:r>
      <w:bookmarkStart w:id="201" w:name="_Hlk135841082"/>
      <w:r>
        <w:rPr>
          <w:rFonts w:hint="eastAsia" w:ascii="Times New Roman" w:hAnsi="宋体"/>
          <w:kern w:val="0"/>
          <w:szCs w:val="21"/>
        </w:rPr>
        <w:t>无土栽培的意义和优点、无土栽培的方法</w:t>
      </w:r>
      <w:bookmarkEnd w:id="201"/>
      <w:r>
        <w:rPr>
          <w:rFonts w:hint="eastAsia" w:ascii="Times New Roman" w:hAnsi="宋体"/>
          <w:kern w:val="0"/>
          <w:szCs w:val="21"/>
        </w:rPr>
        <w:t>。</w:t>
      </w:r>
    </w:p>
    <w:p>
      <w:pPr>
        <w:pStyle w:val="7"/>
        <w:snapToGrid w:val="0"/>
        <w:spacing w:line="360" w:lineRule="auto"/>
        <w:rPr>
          <w:rFonts w:ascii="Times New Roman" w:hAnsi="宋体"/>
          <w:kern w:val="0"/>
          <w:szCs w:val="21"/>
        </w:rPr>
      </w:pPr>
      <w:r>
        <w:rPr>
          <w:rFonts w:hint="eastAsia" w:ascii="Times New Roman" w:hAnsi="宋体"/>
          <w:kern w:val="0"/>
          <w:szCs w:val="21"/>
        </w:rPr>
        <w:t>理解：</w:t>
      </w:r>
      <w:bookmarkStart w:id="202" w:name="_Hlk135841186"/>
      <w:r>
        <w:rPr>
          <w:rFonts w:hint="eastAsia" w:ascii="Times New Roman" w:hAnsi="宋体"/>
          <w:kern w:val="0"/>
          <w:szCs w:val="21"/>
        </w:rPr>
        <w:t>常见一、二年生花卉、宿根花卉、木本花卉等的无土栽培管理技术。</w:t>
      </w:r>
      <w:bookmarkEnd w:id="202"/>
    </w:p>
    <w:p>
      <w:pPr>
        <w:pStyle w:val="7"/>
        <w:snapToGrid w:val="0"/>
        <w:spacing w:line="360" w:lineRule="auto"/>
        <w:rPr>
          <w:rFonts w:ascii="Times New Roman" w:hAnsi="宋体"/>
          <w:kern w:val="0"/>
          <w:szCs w:val="21"/>
        </w:rPr>
      </w:pPr>
      <w:r>
        <w:rPr>
          <w:rFonts w:hint="eastAsia" w:ascii="Times New Roman" w:hAnsi="宋体"/>
          <w:kern w:val="0"/>
          <w:szCs w:val="21"/>
        </w:rPr>
        <w:t>熟练掌握：</w:t>
      </w:r>
      <w:bookmarkStart w:id="203" w:name="_Hlk135841242"/>
      <w:r>
        <w:rPr>
          <w:rFonts w:hint="eastAsia" w:ascii="Times New Roman" w:hAnsi="宋体"/>
          <w:kern w:val="0"/>
          <w:szCs w:val="21"/>
        </w:rPr>
        <w:t>无土栽培营养液的配制与栽培管理</w:t>
      </w:r>
      <w:bookmarkEnd w:id="203"/>
      <w:r>
        <w:rPr>
          <w:rFonts w:hint="eastAsia" w:ascii="Times New Roman" w:hAnsi="宋体"/>
          <w:kern w:val="0"/>
          <w:szCs w:val="21"/>
        </w:rPr>
        <w:t>。</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rPr>
          <w:rFonts w:ascii="宋体" w:hAnsi="宋体"/>
          <w:szCs w:val="20"/>
        </w:rPr>
      </w:pPr>
      <w:r>
        <w:rPr>
          <w:rFonts w:hint="eastAsia" w:ascii="宋体" w:hAnsi="宋体"/>
          <w:szCs w:val="20"/>
        </w:rPr>
        <w:t>学生线上自学花卉无土栽培的技术和管理要点。线下分成实践小组的形式，在授课教师的指导下于温室中进行</w:t>
      </w:r>
      <w:r>
        <w:rPr>
          <w:rFonts w:hint="eastAsia" w:hAnsi="宋体"/>
          <w:kern w:val="0"/>
          <w:szCs w:val="21"/>
        </w:rPr>
        <w:t>常见一、二年生花卉、宿根花卉、木本花卉等的无土栽培管理，</w:t>
      </w:r>
      <w:r>
        <w:rPr>
          <w:rFonts w:hint="eastAsia" w:ascii="宋体" w:hAnsi="宋体"/>
          <w:szCs w:val="20"/>
        </w:rPr>
        <w:t>并对栽培管理过程中的环境因素进行调研，着重培养学生自主学习、查阅资料、团队合作和交流的能力。</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六</w:t>
            </w:r>
            <w:r>
              <w:rPr>
                <w:rFonts w:hAnsi="宋体"/>
                <w:b/>
                <w:bCs/>
                <w:szCs w:val="21"/>
              </w:rPr>
              <w:t>章</w:t>
            </w:r>
            <w:bookmarkStart w:id="204" w:name="_Hlk135845084"/>
            <w:r>
              <w:rPr>
                <w:rFonts w:hint="eastAsia" w:hAnsi="宋体"/>
                <w:b/>
                <w:bCs/>
                <w:szCs w:val="21"/>
              </w:rPr>
              <w:t xml:space="preserve">  花卉的应用</w:t>
            </w:r>
            <w:bookmarkEnd w:id="204"/>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通</w:t>
      </w:r>
      <w:r>
        <w:rPr>
          <w:rFonts w:hint="eastAsia" w:ascii="宋体" w:hAnsi="宋体"/>
          <w:szCs w:val="20"/>
        </w:rPr>
        <w:t>过学习使学生了解</w:t>
      </w:r>
      <w:bookmarkStart w:id="205" w:name="_Hlk135845104"/>
      <w:r>
        <w:rPr>
          <w:rFonts w:hint="eastAsia" w:ascii="宋体" w:hAnsi="宋体"/>
          <w:szCs w:val="20"/>
        </w:rPr>
        <w:t>花卉的主要应用方式和方法</w:t>
      </w:r>
      <w:bookmarkEnd w:id="205"/>
      <w:r>
        <w:rPr>
          <w:rFonts w:hint="eastAsia" w:ascii="宋体" w:hAnsi="宋体"/>
          <w:szCs w:val="20"/>
        </w:rPr>
        <w:t>；掌握花坛、花</w:t>
      </w:r>
      <w:r>
        <w:rPr>
          <w:rFonts w:hint="eastAsia" w:ascii="宋体" w:hAnsi="宋体"/>
        </w:rPr>
        <w:t>境</w:t>
      </w:r>
      <w:r>
        <w:rPr>
          <w:rFonts w:hint="eastAsia" w:ascii="宋体" w:hAnsi="宋体"/>
          <w:szCs w:val="20"/>
        </w:rPr>
        <w:t>等园林景观，并能设计花卉应用方案；掌握不同的园林用途花卉的具体栽培措施和生产技术。</w:t>
      </w:r>
    </w:p>
    <w:p>
      <w:pPr>
        <w:widowControl/>
        <w:snapToGrid w:val="0"/>
        <w:spacing w:line="360" w:lineRule="auto"/>
        <w:rPr>
          <w:rFonts w:ascii="宋体" w:hAnsi="宋体"/>
          <w:szCs w:val="20"/>
        </w:rPr>
      </w:pPr>
      <w:r>
        <w:rPr>
          <w:rFonts w:hint="eastAsia" w:ascii="宋体" w:hAnsi="宋体"/>
          <w:b/>
          <w:bCs/>
        </w:rPr>
        <w:t>教学重点和难点：</w:t>
      </w:r>
    </w:p>
    <w:p>
      <w:pPr>
        <w:pStyle w:val="7"/>
        <w:snapToGrid w:val="0"/>
        <w:spacing w:line="360" w:lineRule="auto"/>
        <w:ind w:firstLine="0" w:firstLineChars="0"/>
        <w:rPr>
          <w:rFonts w:ascii="宋体" w:hAnsi="宋体"/>
        </w:rPr>
      </w:pPr>
      <w:r>
        <w:rPr>
          <w:rFonts w:hint="eastAsia" w:ascii="宋体" w:hAnsi="宋体"/>
          <w:b/>
        </w:rPr>
        <w:t>主要教学内容及要求：</w:t>
      </w:r>
    </w:p>
    <w:p>
      <w:pPr>
        <w:widowControl/>
        <w:snapToGrid w:val="0"/>
        <w:spacing w:line="360" w:lineRule="auto"/>
        <w:ind w:firstLine="420"/>
        <w:rPr>
          <w:rFonts w:ascii="宋体" w:hAnsi="宋体"/>
          <w:szCs w:val="20"/>
        </w:rPr>
      </w:pPr>
      <w:r>
        <w:rPr>
          <w:rFonts w:hint="eastAsia" w:ascii="宋体" w:hAnsi="宋体"/>
        </w:rPr>
        <w:t>了解：</w:t>
      </w:r>
      <w:r>
        <w:rPr>
          <w:rFonts w:hint="eastAsia" w:ascii="宋体" w:hAnsi="宋体"/>
          <w:szCs w:val="20"/>
        </w:rPr>
        <w:t>各种花卉应用的方式与方法，花卉在园林应用中的养护。</w:t>
      </w:r>
    </w:p>
    <w:p>
      <w:pPr>
        <w:pStyle w:val="7"/>
        <w:snapToGrid w:val="0"/>
        <w:spacing w:line="360" w:lineRule="auto"/>
        <w:rPr>
          <w:rFonts w:ascii="宋体" w:hAnsi="宋体"/>
        </w:rPr>
      </w:pPr>
      <w:r>
        <w:rPr>
          <w:rFonts w:hint="eastAsia" w:ascii="宋体" w:hAnsi="宋体"/>
        </w:rPr>
        <w:t>理解：</w:t>
      </w:r>
      <w:bookmarkStart w:id="206" w:name="_Hlk135845168"/>
      <w:r>
        <w:rPr>
          <w:rFonts w:hint="eastAsia" w:ascii="宋体" w:hAnsi="宋体"/>
        </w:rPr>
        <w:t>花卉装饰材料与应用，花卉装饰的设计；插花艺术的意义与类型及其各类插花艺术的风格与特点</w:t>
      </w:r>
      <w:bookmarkEnd w:id="206"/>
      <w:r>
        <w:rPr>
          <w:rFonts w:hint="eastAsia" w:ascii="宋体" w:hAnsi="宋体"/>
        </w:rPr>
        <w:t>。</w:t>
      </w:r>
    </w:p>
    <w:p>
      <w:pPr>
        <w:pStyle w:val="7"/>
        <w:snapToGrid w:val="0"/>
        <w:spacing w:line="360" w:lineRule="auto"/>
        <w:rPr>
          <w:rFonts w:ascii="宋体" w:hAnsi="宋体"/>
        </w:rPr>
      </w:pPr>
      <w:r>
        <w:rPr>
          <w:rFonts w:hint="eastAsia" w:ascii="宋体" w:hAnsi="宋体"/>
        </w:rPr>
        <w:t>掌握：</w:t>
      </w:r>
      <w:bookmarkStart w:id="207" w:name="_Hlk135845182"/>
      <w:r>
        <w:rPr>
          <w:rFonts w:hint="eastAsia" w:ascii="宋体" w:hAnsi="宋体"/>
        </w:rPr>
        <w:t>具备选择植物进行室内绿化装饰和养护能力，具备制作各类插花艺术作品并用其装饰环境的能力</w:t>
      </w:r>
      <w:bookmarkEnd w:id="207"/>
      <w:r>
        <w:rPr>
          <w:rFonts w:hint="eastAsia" w:ascii="宋体" w:hAnsi="宋体"/>
        </w:rPr>
        <w:t>。</w:t>
      </w:r>
    </w:p>
    <w:p>
      <w:pPr>
        <w:pStyle w:val="7"/>
        <w:snapToGrid w:val="0"/>
        <w:spacing w:line="360" w:lineRule="auto"/>
        <w:rPr>
          <w:rFonts w:ascii="宋体" w:hAnsi="宋体"/>
        </w:rPr>
      </w:pPr>
      <w:r>
        <w:rPr>
          <w:rFonts w:hint="eastAsia" w:ascii="宋体" w:hAnsi="宋体"/>
        </w:rPr>
        <w:t>熟练掌握：</w:t>
      </w:r>
      <w:bookmarkStart w:id="208" w:name="_Hlk135845203"/>
      <w:r>
        <w:rPr>
          <w:rFonts w:hint="eastAsia" w:ascii="宋体" w:hAnsi="宋体"/>
        </w:rPr>
        <w:t>根据露地花卉的形态、习性特点，园林绿地的生态环境，具备设计花坛、花境等园林景观的具备能力</w:t>
      </w:r>
      <w:bookmarkEnd w:id="208"/>
      <w:r>
        <w:rPr>
          <w:rFonts w:hint="eastAsia" w:ascii="宋体" w:hAnsi="宋体"/>
        </w:rPr>
        <w:t>。</w:t>
      </w:r>
    </w:p>
    <w:p>
      <w:pPr>
        <w:widowControl/>
        <w:snapToGrid w:val="0"/>
        <w:spacing w:line="360" w:lineRule="auto"/>
        <w:rPr>
          <w:rFonts w:ascii="宋体" w:hAnsi="宋体"/>
          <w:szCs w:val="20"/>
        </w:rPr>
      </w:pPr>
      <w:r>
        <w:rPr>
          <w:rFonts w:hint="eastAsia" w:ascii="宋体" w:hAnsi="宋体"/>
          <w:b/>
          <w:bCs/>
        </w:rPr>
        <w:t>教学组织与实施：</w:t>
      </w:r>
    </w:p>
    <w:p>
      <w:pPr>
        <w:widowControl/>
        <w:snapToGrid w:val="0"/>
        <w:spacing w:line="360" w:lineRule="auto"/>
        <w:ind w:firstLine="420"/>
        <w:jc w:val="left"/>
        <w:rPr>
          <w:rFonts w:hAnsi="宋体"/>
          <w:kern w:val="0"/>
          <w:szCs w:val="21"/>
        </w:rPr>
      </w:pPr>
      <w:r>
        <w:rPr>
          <w:rFonts w:hint="eastAsia" w:ascii="宋体" w:hAnsi="宋体"/>
          <w:szCs w:val="20"/>
        </w:rPr>
        <w:t>授课教师提前在学习通平台设置学习资料，学生在线熟悉各类花卉应用方案制定与实施、熟悉花坛、花境布置的操作规范和更换规程等知识内容；教师提前准备好各种媒体学习资料、水仙鳞茎、教学课件，并准备好教学场地；学生自我学习，获取完成本节课程的必要知识信息，教师通过现场操作、指导、双向互动等形式进行指导。</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rPr>
                <w:rFonts w:hAnsi="宋体"/>
                <w:b/>
                <w:bCs/>
                <w:szCs w:val="21"/>
              </w:rPr>
            </w:pPr>
            <w:r>
              <w:rPr>
                <w:rFonts w:hAnsi="宋体"/>
                <w:b/>
                <w:bCs/>
                <w:szCs w:val="21"/>
              </w:rPr>
              <w:t>第</w:t>
            </w:r>
            <w:r>
              <w:rPr>
                <w:rFonts w:hint="eastAsia" w:hAnsi="宋体"/>
                <w:b/>
                <w:bCs/>
                <w:szCs w:val="21"/>
              </w:rPr>
              <w:t>七</w:t>
            </w:r>
            <w:r>
              <w:rPr>
                <w:rFonts w:hAnsi="宋体"/>
                <w:b/>
                <w:bCs/>
                <w:szCs w:val="21"/>
              </w:rPr>
              <w:t>章</w:t>
            </w:r>
            <w:r>
              <w:rPr>
                <w:rFonts w:hint="eastAsia" w:hAnsi="宋体"/>
                <w:b/>
                <w:bCs/>
                <w:szCs w:val="21"/>
              </w:rPr>
              <w:t xml:space="preserve">  </w:t>
            </w:r>
            <w:r>
              <w:rPr>
                <w:rFonts w:hint="eastAsia"/>
                <w:b/>
                <w:szCs w:val="21"/>
              </w:rPr>
              <w:t>一、二年生花卉</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掌握一、二生花卉的生物学习性、繁殖与栽培管理的主要技术要点；识别常见的一、二年生花卉80～100种；掌握一、二年生花卉的观赏与应用特点，以及重要草花的繁殖、栽培与应用。</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重点介绍草花良种繁育和保持种性的技术措施，识别大量花卉种类；重点介绍几个代表种的形态识别、生物学特征和繁殖、栽培与应用特点。</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Times New Roman" w:hAnsi="宋体"/>
          <w:kern w:val="0"/>
          <w:szCs w:val="21"/>
        </w:rPr>
      </w:pPr>
      <w:r>
        <w:rPr>
          <w:rFonts w:hint="eastAsia" w:ascii="Times New Roman" w:hAnsi="宋体"/>
          <w:kern w:val="0"/>
          <w:szCs w:val="21"/>
        </w:rPr>
        <w:t>了解：常见的一、二年生花卉的定义、种类和共性特点，类型与品种、植物学特征、生物学特性。</w:t>
      </w:r>
    </w:p>
    <w:p>
      <w:pPr>
        <w:pStyle w:val="7"/>
        <w:snapToGrid w:val="0"/>
        <w:spacing w:line="360" w:lineRule="auto"/>
        <w:rPr>
          <w:rFonts w:ascii="Times New Roman" w:hAnsi="宋体"/>
          <w:kern w:val="0"/>
          <w:szCs w:val="21"/>
        </w:rPr>
      </w:pPr>
      <w:r>
        <w:rPr>
          <w:rFonts w:hint="eastAsia" w:ascii="Times New Roman" w:hAnsi="宋体"/>
          <w:kern w:val="0"/>
          <w:szCs w:val="21"/>
        </w:rPr>
        <w:t>理解：</w:t>
      </w:r>
      <w:bookmarkStart w:id="209" w:name="_Hlk135846385"/>
      <w:r>
        <w:rPr>
          <w:rFonts w:hint="eastAsia" w:ascii="Times New Roman" w:hAnsi="宋体"/>
          <w:kern w:val="0"/>
          <w:szCs w:val="21"/>
        </w:rPr>
        <w:t>不同一、二年生花卉的生育特点、营养和温度的管理原则，以及开花习性</w:t>
      </w:r>
      <w:bookmarkEnd w:id="209"/>
      <w:r>
        <w:rPr>
          <w:rFonts w:hint="eastAsia" w:ascii="Times New Roman" w:hAnsi="宋体"/>
          <w:kern w:val="0"/>
          <w:szCs w:val="21"/>
        </w:rPr>
        <w:t>。</w:t>
      </w:r>
    </w:p>
    <w:p>
      <w:pPr>
        <w:pStyle w:val="7"/>
        <w:snapToGrid w:val="0"/>
        <w:spacing w:line="360" w:lineRule="auto"/>
        <w:rPr>
          <w:rFonts w:ascii="Times New Roman" w:hAnsi="宋体"/>
          <w:kern w:val="0"/>
          <w:szCs w:val="21"/>
        </w:rPr>
      </w:pPr>
      <w:r>
        <w:rPr>
          <w:rFonts w:hint="eastAsia" w:ascii="Times New Roman" w:hAnsi="宋体"/>
          <w:kern w:val="0"/>
          <w:szCs w:val="21"/>
        </w:rPr>
        <w:t>掌握：一、二年生花卉露地栽培、大棚栽培和日光温室越冬栽培的技术要点。</w:t>
      </w:r>
    </w:p>
    <w:p>
      <w:pPr>
        <w:pStyle w:val="7"/>
        <w:snapToGrid w:val="0"/>
        <w:spacing w:line="360" w:lineRule="auto"/>
        <w:rPr>
          <w:rFonts w:ascii="Times New Roman" w:hAnsi="宋体"/>
          <w:kern w:val="0"/>
          <w:szCs w:val="21"/>
        </w:rPr>
      </w:pPr>
      <w:r>
        <w:rPr>
          <w:rFonts w:hint="eastAsia" w:ascii="Times New Roman" w:hAnsi="宋体"/>
          <w:kern w:val="0"/>
          <w:szCs w:val="21"/>
        </w:rPr>
        <w:t>熟练掌握：一、二年生花卉的繁殖和栽培管理要点。</w:t>
      </w:r>
    </w:p>
    <w:p>
      <w:pPr>
        <w:widowControl/>
        <w:snapToGrid w:val="0"/>
        <w:spacing w:line="360" w:lineRule="auto"/>
        <w:rPr>
          <w:rFonts w:ascii="宋体" w:hAnsi="宋体"/>
          <w:b/>
          <w:bCs/>
        </w:rPr>
      </w:pPr>
      <w:r>
        <w:rPr>
          <w:rFonts w:hint="eastAsia" w:ascii="宋体" w:hAnsi="宋体"/>
          <w:b/>
          <w:bCs/>
        </w:rPr>
        <w:t>教学组织与实施：</w:t>
      </w:r>
    </w:p>
    <w:p>
      <w:pPr>
        <w:widowControl/>
        <w:spacing w:line="360" w:lineRule="auto"/>
        <w:ind w:firstLine="420"/>
        <w:rPr>
          <w:rFonts w:hAnsi="宋体"/>
          <w:kern w:val="0"/>
          <w:szCs w:val="21"/>
        </w:rPr>
      </w:pPr>
      <w:bookmarkStart w:id="210" w:name="_Hlk135846799"/>
      <w:r>
        <w:rPr>
          <w:rFonts w:hint="eastAsia" w:hAnsi="宋体"/>
          <w:kern w:val="0"/>
          <w:szCs w:val="21"/>
        </w:rPr>
        <w:t>采用“学生参与讲各论”的翻转课堂模式</w:t>
      </w:r>
      <w:bookmarkEnd w:id="210"/>
      <w:r>
        <w:rPr>
          <w:rFonts w:hint="eastAsia" w:hAnsi="宋体"/>
          <w:kern w:val="0"/>
          <w:szCs w:val="21"/>
        </w:rPr>
        <w:t>。充分调动学生的积极主动性。教师提前通过线上课程安排学生查阅一、二年生花卉对人体营养、对国民经济发展、对农民致富、对国际贸易重要性的案例，</w:t>
      </w:r>
      <w:bookmarkStart w:id="211" w:name="_Hlk135846859"/>
      <w:r>
        <w:rPr>
          <w:rFonts w:hint="eastAsia" w:hAnsi="宋体"/>
          <w:kern w:val="0"/>
          <w:szCs w:val="21"/>
        </w:rPr>
        <w:t>查阅一、二年生花卉科学研究的应用成果和成就</w:t>
      </w:r>
      <w:bookmarkEnd w:id="211"/>
      <w:r>
        <w:rPr>
          <w:rFonts w:hint="eastAsia" w:hAnsi="宋体"/>
          <w:kern w:val="0"/>
          <w:szCs w:val="21"/>
        </w:rPr>
        <w:t>，使学生自己认识到花卉产业的重要；教师要讲好花卉产业存在的问题，培养学生的责任感。</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八</w:t>
            </w:r>
            <w:r>
              <w:rPr>
                <w:rFonts w:hAnsi="宋体"/>
                <w:b/>
                <w:bCs/>
                <w:szCs w:val="21"/>
              </w:rPr>
              <w:t>章</w:t>
            </w:r>
            <w:r>
              <w:rPr>
                <w:rFonts w:hint="eastAsia" w:hAnsi="宋体"/>
                <w:b/>
                <w:bCs/>
                <w:szCs w:val="21"/>
              </w:rPr>
              <w:t xml:space="preserve">  </w:t>
            </w:r>
            <w:r>
              <w:rPr>
                <w:rFonts w:hint="eastAsia"/>
                <w:b/>
                <w:szCs w:val="21"/>
              </w:rPr>
              <w:t>宿根花卉</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使学生了解常见宿根花卉的形态特征、生物学习性、繁殖方法、栽培管理技术；了解宿根花卉在园林中的应用，包括花坛、花境的设计，与其它观赏花卉的合理配置；解决宿根花卉栽培生产中常见的问题，以及在生活中的应用现状及发展前景。</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重点介绍宿根花卉不同于一、二年生花卉的繁殖、栽培与应用特点。难点是园艺化程度和商品价值高的花卉如菊花、香石竹的周年栽培管理与供应。</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了解：宿根花卉的概念与范畴、宿根花卉的特点。</w:t>
      </w:r>
    </w:p>
    <w:p>
      <w:pPr>
        <w:pStyle w:val="7"/>
        <w:snapToGrid w:val="0"/>
        <w:spacing w:line="360" w:lineRule="auto"/>
        <w:rPr>
          <w:rFonts w:ascii="宋体" w:hAnsi="宋体"/>
        </w:rPr>
      </w:pPr>
      <w:r>
        <w:rPr>
          <w:rFonts w:hint="eastAsia" w:ascii="宋体" w:hAnsi="宋体"/>
        </w:rPr>
        <w:t>理解：宿根花卉种类，及常见的宿根花卉栽培</w:t>
      </w:r>
      <w:r>
        <w:rPr>
          <w:rFonts w:hint="eastAsia" w:ascii="Times New Roman" w:hAnsi="宋体"/>
          <w:kern w:val="0"/>
          <w:szCs w:val="21"/>
        </w:rPr>
        <w:t>栽培技术要点。</w:t>
      </w:r>
    </w:p>
    <w:p>
      <w:pPr>
        <w:pStyle w:val="7"/>
        <w:snapToGrid w:val="0"/>
        <w:spacing w:line="360" w:lineRule="auto"/>
        <w:rPr>
          <w:rFonts w:ascii="宋体" w:hAnsi="宋体"/>
        </w:rPr>
      </w:pPr>
      <w:r>
        <w:rPr>
          <w:rFonts w:hint="eastAsia" w:ascii="宋体" w:hAnsi="宋体"/>
        </w:rPr>
        <w:t>掌握：宿根花卉繁殖栽培应用的特点。</w:t>
      </w:r>
    </w:p>
    <w:p>
      <w:pPr>
        <w:pStyle w:val="7"/>
        <w:snapToGrid w:val="0"/>
        <w:spacing w:line="360" w:lineRule="auto"/>
        <w:rPr>
          <w:rFonts w:ascii="宋体" w:hAnsi="宋体"/>
        </w:rPr>
      </w:pPr>
      <w:r>
        <w:rPr>
          <w:rFonts w:hint="eastAsia" w:ascii="宋体" w:hAnsi="宋体"/>
        </w:rPr>
        <w:t>熟练掌握：重要宿根花卉栽培示例（菊花、香石竹、君子兰）。</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jc w:val="left"/>
        <w:rPr>
          <w:rFonts w:hAnsi="宋体"/>
          <w:kern w:val="0"/>
          <w:szCs w:val="21"/>
        </w:rPr>
      </w:pPr>
      <w:r>
        <w:rPr>
          <w:rFonts w:hint="eastAsia" w:hAnsi="宋体"/>
          <w:kern w:val="0"/>
          <w:szCs w:val="21"/>
        </w:rPr>
        <w:t>线上学习宿根花卉的概念、分类以及宿根花卉在生产上的应用。结合宿根花卉的产业发展现状和网络热点问题，分组</w:t>
      </w:r>
      <w:bookmarkStart w:id="212" w:name="_Hlk135847221"/>
      <w:r>
        <w:rPr>
          <w:rFonts w:hint="eastAsia" w:hAnsi="宋体"/>
          <w:kern w:val="0"/>
          <w:szCs w:val="21"/>
        </w:rPr>
        <w:t>讨论宿根花卉的现状、存在问题、未来发展趋势</w:t>
      </w:r>
      <w:bookmarkEnd w:id="212"/>
      <w:r>
        <w:rPr>
          <w:rFonts w:hint="eastAsia" w:hAnsi="宋体"/>
          <w:kern w:val="0"/>
          <w:szCs w:val="21"/>
        </w:rPr>
        <w:t>等。通过实验掌握宿根花卉的植株栽培管理技术，结合实验，加深学生对宿根类花卉的认识和应用技术方面的研究。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九</w:t>
            </w:r>
            <w:r>
              <w:rPr>
                <w:rFonts w:hAnsi="宋体"/>
                <w:b/>
                <w:bCs/>
                <w:szCs w:val="21"/>
              </w:rPr>
              <w:t>章</w:t>
            </w:r>
            <w:r>
              <w:rPr>
                <w:rFonts w:hint="eastAsia" w:hAnsi="宋体"/>
                <w:b/>
                <w:bCs/>
                <w:szCs w:val="21"/>
              </w:rPr>
              <w:t xml:space="preserve">  </w:t>
            </w:r>
            <w:r>
              <w:rPr>
                <w:rFonts w:hint="eastAsia"/>
                <w:b/>
                <w:szCs w:val="21"/>
              </w:rPr>
              <w:t>球根花卉</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使学生了解常见球根花卉的形态特征、生物学习性、繁殖方法、栽培管理技术；了解球根花卉在园林中的应用，包括花坛、花境的设计，与其它观赏花卉的合理配置；解决球根类花卉栽培生产中常见的问题。</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重点介绍球根花卉的分类。难点是园艺化程度和商品价值高的球根花卉如百合、郁金香、风信子的周年栽培管理与供应。</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了解：球根花卉的概念与范畴、宿根花卉的特点。</w:t>
      </w:r>
    </w:p>
    <w:p>
      <w:pPr>
        <w:pStyle w:val="7"/>
        <w:snapToGrid w:val="0"/>
        <w:spacing w:line="360" w:lineRule="auto"/>
        <w:rPr>
          <w:rFonts w:ascii="宋体" w:hAnsi="宋体"/>
        </w:rPr>
      </w:pPr>
      <w:r>
        <w:rPr>
          <w:rFonts w:hint="eastAsia" w:ascii="宋体" w:hAnsi="宋体"/>
        </w:rPr>
        <w:t>理解：球根花卉种类，及常见的宿根花卉栽培</w:t>
      </w:r>
      <w:r>
        <w:rPr>
          <w:rFonts w:hint="eastAsia" w:ascii="Times New Roman" w:hAnsi="宋体"/>
          <w:kern w:val="0"/>
          <w:szCs w:val="21"/>
        </w:rPr>
        <w:t>栽培技术要点。</w:t>
      </w:r>
    </w:p>
    <w:p>
      <w:pPr>
        <w:pStyle w:val="7"/>
        <w:snapToGrid w:val="0"/>
        <w:spacing w:line="360" w:lineRule="auto"/>
        <w:rPr>
          <w:rFonts w:ascii="宋体" w:hAnsi="宋体"/>
        </w:rPr>
      </w:pPr>
      <w:r>
        <w:rPr>
          <w:rFonts w:hint="eastAsia" w:ascii="宋体" w:hAnsi="宋体"/>
        </w:rPr>
        <w:t>掌握：球根花卉繁殖栽培应用的特点。</w:t>
      </w:r>
    </w:p>
    <w:p>
      <w:pPr>
        <w:pStyle w:val="7"/>
        <w:snapToGrid w:val="0"/>
        <w:spacing w:line="360" w:lineRule="auto"/>
        <w:rPr>
          <w:rFonts w:ascii="宋体" w:hAnsi="宋体"/>
        </w:rPr>
      </w:pPr>
      <w:r>
        <w:rPr>
          <w:rFonts w:hint="eastAsia" w:ascii="宋体" w:hAnsi="宋体"/>
        </w:rPr>
        <w:t>熟练掌握：重要球根花卉栽培示例（</w:t>
      </w:r>
      <w:r>
        <w:rPr>
          <w:rFonts w:hint="eastAsia" w:hAnsi="宋体"/>
          <w:kern w:val="0"/>
          <w:szCs w:val="21"/>
        </w:rPr>
        <w:t>百合、郁金香、风信子</w:t>
      </w:r>
      <w:r>
        <w:rPr>
          <w:rFonts w:hint="eastAsia" w:ascii="宋体" w:hAnsi="宋体"/>
        </w:rPr>
        <w:t>）。</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jc w:val="left"/>
        <w:rPr>
          <w:rFonts w:hAnsi="宋体"/>
          <w:kern w:val="0"/>
          <w:szCs w:val="21"/>
        </w:rPr>
      </w:pPr>
      <w:r>
        <w:rPr>
          <w:rFonts w:hint="eastAsia" w:hAnsi="宋体"/>
          <w:kern w:val="0"/>
          <w:szCs w:val="21"/>
        </w:rPr>
        <w:t>线上学习</w:t>
      </w:r>
      <w:r>
        <w:rPr>
          <w:rFonts w:hint="eastAsia" w:ascii="宋体" w:hAnsi="宋体"/>
        </w:rPr>
        <w:t>球根</w:t>
      </w:r>
      <w:r>
        <w:rPr>
          <w:rFonts w:hint="eastAsia" w:hAnsi="宋体"/>
          <w:kern w:val="0"/>
          <w:szCs w:val="21"/>
        </w:rPr>
        <w:t>花卉的概念、分类以及</w:t>
      </w:r>
      <w:r>
        <w:rPr>
          <w:rFonts w:hint="eastAsia" w:ascii="宋体" w:hAnsi="宋体"/>
        </w:rPr>
        <w:t>球根</w:t>
      </w:r>
      <w:r>
        <w:rPr>
          <w:rFonts w:hint="eastAsia" w:hAnsi="宋体"/>
          <w:kern w:val="0"/>
          <w:szCs w:val="21"/>
        </w:rPr>
        <w:t>花卉在生产上的应用。结合</w:t>
      </w:r>
      <w:r>
        <w:rPr>
          <w:rFonts w:hint="eastAsia" w:ascii="宋体" w:hAnsi="宋体"/>
        </w:rPr>
        <w:t>球根</w:t>
      </w:r>
      <w:r>
        <w:rPr>
          <w:rFonts w:hint="eastAsia" w:hAnsi="宋体"/>
          <w:kern w:val="0"/>
          <w:szCs w:val="21"/>
        </w:rPr>
        <w:t>花卉的产业发展现状和网络热点问题，分组讨论</w:t>
      </w:r>
      <w:r>
        <w:rPr>
          <w:rFonts w:hint="eastAsia" w:ascii="宋体" w:hAnsi="宋体"/>
        </w:rPr>
        <w:t>球根</w:t>
      </w:r>
      <w:r>
        <w:rPr>
          <w:rFonts w:hint="eastAsia" w:hAnsi="宋体"/>
          <w:kern w:val="0"/>
          <w:szCs w:val="21"/>
        </w:rPr>
        <w:t>花卉的现状、存在问题、未来发展趋势等。通过实验掌握</w:t>
      </w:r>
      <w:r>
        <w:rPr>
          <w:rFonts w:hint="eastAsia" w:ascii="宋体" w:hAnsi="宋体"/>
        </w:rPr>
        <w:t>球根</w:t>
      </w:r>
      <w:r>
        <w:rPr>
          <w:rFonts w:hint="eastAsia" w:hAnsi="宋体"/>
          <w:kern w:val="0"/>
          <w:szCs w:val="21"/>
        </w:rPr>
        <w:t>花卉的植株栽培管理技术，结合实验，加深学生对</w:t>
      </w:r>
      <w:r>
        <w:rPr>
          <w:rFonts w:hint="eastAsia" w:ascii="宋体" w:hAnsi="宋体"/>
        </w:rPr>
        <w:t>球根</w:t>
      </w:r>
      <w:r>
        <w:rPr>
          <w:rFonts w:hint="eastAsia" w:hAnsi="宋体"/>
          <w:kern w:val="0"/>
          <w:szCs w:val="21"/>
        </w:rPr>
        <w:t>类花卉的认识和应用技术方面的研究。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十</w:t>
            </w:r>
            <w:r>
              <w:rPr>
                <w:rFonts w:hAnsi="宋体"/>
                <w:b/>
                <w:bCs/>
                <w:szCs w:val="21"/>
              </w:rPr>
              <w:t>章</w:t>
            </w:r>
            <w:r>
              <w:rPr>
                <w:rFonts w:hint="eastAsia" w:hAnsi="宋体"/>
                <w:b/>
                <w:bCs/>
                <w:szCs w:val="21"/>
              </w:rPr>
              <w:t xml:space="preserve">  </w:t>
            </w:r>
            <w:r>
              <w:rPr>
                <w:rFonts w:hint="eastAsia"/>
                <w:b/>
                <w:szCs w:val="21"/>
              </w:rPr>
              <w:t>室内</w:t>
            </w:r>
            <w:r>
              <w:rPr>
                <w:b/>
                <w:szCs w:val="21"/>
              </w:rPr>
              <w:t>观叶植物</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使学生了解常见室内观叶植物的种类、繁殖方法、栽培管理技术；了解室内观叶植物在庭院绿化与室内装饰中的设计与应用，与其它观赏花卉的合理配置；解决室内观叶植物栽培生产中常见的问题，了解室内观叶植物在生活中的应用现状及发展前景。</w:t>
      </w:r>
    </w:p>
    <w:p>
      <w:pPr>
        <w:widowControl/>
        <w:snapToGrid w:val="0"/>
        <w:spacing w:line="360" w:lineRule="auto"/>
        <w:rPr>
          <w:rFonts w:hAnsi="宋体"/>
          <w:b/>
          <w:bCs/>
          <w:kern w:val="0"/>
          <w:szCs w:val="21"/>
        </w:rPr>
      </w:pPr>
      <w:r>
        <w:rPr>
          <w:rFonts w:hint="eastAsia" w:ascii="宋体" w:hAnsi="宋体"/>
          <w:b/>
          <w:bCs/>
        </w:rPr>
        <w:t>教学重点和难点：</w:t>
      </w:r>
      <w:r>
        <w:rPr>
          <w:rFonts w:hAnsi="宋体"/>
          <w:kern w:val="0"/>
          <w:szCs w:val="21"/>
        </w:rPr>
        <w:t>重点是观叶植物种类识别，典型观叶植物繁殖、栽培与应用要点</w:t>
      </w:r>
      <w:r>
        <w:rPr>
          <w:rFonts w:hint="eastAsia" w:hAnsi="宋体"/>
          <w:kern w:val="0"/>
          <w:szCs w:val="21"/>
        </w:rPr>
        <w:t>；</w:t>
      </w:r>
      <w:r>
        <w:rPr>
          <w:rFonts w:hAnsi="宋体"/>
          <w:kern w:val="0"/>
          <w:szCs w:val="21"/>
        </w:rPr>
        <w:t>重要花卉繁殖栽培示例</w:t>
      </w:r>
      <w:r>
        <w:rPr>
          <w:rFonts w:hint="eastAsia" w:hAnsi="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Times New Roman" w:hAnsi="宋体"/>
          <w:kern w:val="0"/>
          <w:szCs w:val="21"/>
        </w:rPr>
      </w:pPr>
      <w:r>
        <w:rPr>
          <w:rFonts w:hint="eastAsia" w:ascii="Times New Roman" w:hAnsi="宋体"/>
          <w:kern w:val="0"/>
          <w:szCs w:val="21"/>
        </w:rPr>
        <w:t>了解：</w:t>
      </w:r>
      <w:r>
        <w:rPr>
          <w:rFonts w:ascii="Times New Roman" w:hAnsi="宋体"/>
          <w:kern w:val="0"/>
          <w:szCs w:val="21"/>
        </w:rPr>
        <w:t>观叶植物繁殖栽培应用的特点</w:t>
      </w:r>
      <w:r>
        <w:rPr>
          <w:rFonts w:hint="eastAsia" w:ascii="Times New Roman" w:hAnsi="宋体"/>
          <w:kern w:val="0"/>
          <w:szCs w:val="21"/>
        </w:rPr>
        <w:t>。</w:t>
      </w:r>
    </w:p>
    <w:p>
      <w:pPr>
        <w:pStyle w:val="7"/>
        <w:snapToGrid w:val="0"/>
        <w:spacing w:line="360" w:lineRule="auto"/>
        <w:rPr>
          <w:rFonts w:ascii="Times New Roman" w:hAnsi="宋体"/>
          <w:kern w:val="0"/>
          <w:szCs w:val="21"/>
        </w:rPr>
      </w:pPr>
      <w:r>
        <w:rPr>
          <w:rFonts w:hint="eastAsia" w:ascii="Times New Roman" w:hAnsi="宋体"/>
          <w:kern w:val="0"/>
          <w:szCs w:val="21"/>
        </w:rPr>
        <w:t>理解：常见室内观叶花卉的种类，及常见的栽培栽培技术要点。</w:t>
      </w:r>
    </w:p>
    <w:p>
      <w:pPr>
        <w:pStyle w:val="7"/>
        <w:snapToGrid w:val="0"/>
        <w:spacing w:line="360" w:lineRule="auto"/>
        <w:rPr>
          <w:rFonts w:ascii="Times New Roman" w:hAnsi="宋体"/>
          <w:kern w:val="0"/>
          <w:szCs w:val="21"/>
        </w:rPr>
      </w:pPr>
      <w:r>
        <w:rPr>
          <w:rFonts w:hint="eastAsia" w:ascii="Times New Roman" w:hAnsi="宋体"/>
          <w:kern w:val="0"/>
          <w:szCs w:val="21"/>
        </w:rPr>
        <w:t>掌握：室内观叶花卉植株的繁殖栽培应用的特点。</w:t>
      </w:r>
    </w:p>
    <w:p>
      <w:pPr>
        <w:pStyle w:val="7"/>
        <w:snapToGrid w:val="0"/>
        <w:spacing w:line="360" w:lineRule="auto"/>
        <w:rPr>
          <w:rFonts w:ascii="Times New Roman" w:hAnsi="宋体"/>
          <w:kern w:val="0"/>
          <w:szCs w:val="21"/>
        </w:rPr>
      </w:pPr>
      <w:r>
        <w:rPr>
          <w:rFonts w:hint="eastAsia" w:ascii="Times New Roman" w:hAnsi="宋体"/>
          <w:kern w:val="0"/>
          <w:szCs w:val="21"/>
        </w:rPr>
        <w:t>熟练掌握：</w:t>
      </w:r>
      <w:r>
        <w:rPr>
          <w:rFonts w:ascii="Times New Roman" w:hAnsi="宋体"/>
          <w:kern w:val="0"/>
          <w:szCs w:val="21"/>
        </w:rPr>
        <w:t>重要</w:t>
      </w:r>
      <w:r>
        <w:rPr>
          <w:rFonts w:hint="eastAsia" w:ascii="Times New Roman" w:hAnsi="宋体"/>
          <w:kern w:val="0"/>
          <w:szCs w:val="21"/>
        </w:rPr>
        <w:t>室内观叶</w:t>
      </w:r>
      <w:r>
        <w:rPr>
          <w:rFonts w:ascii="Times New Roman" w:hAnsi="宋体"/>
          <w:kern w:val="0"/>
          <w:szCs w:val="21"/>
        </w:rPr>
        <w:t>花卉栽培示例（吊兰、绿萝、散尾葵、凤梨、竹芋、肾蕨、猪笼草）</w:t>
      </w:r>
      <w:r>
        <w:rPr>
          <w:rFonts w:hint="eastAsia" w:ascii="Times New Roman" w:hAnsi="宋体"/>
          <w:kern w:val="0"/>
          <w:szCs w:val="21"/>
        </w:rPr>
        <w:t>。</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jc w:val="left"/>
        <w:rPr>
          <w:rFonts w:hAnsi="宋体"/>
          <w:kern w:val="0"/>
          <w:szCs w:val="21"/>
        </w:rPr>
      </w:pPr>
      <w:r>
        <w:rPr>
          <w:rFonts w:hint="eastAsia" w:hAnsi="宋体"/>
          <w:kern w:val="0"/>
          <w:szCs w:val="21"/>
        </w:rPr>
        <w:t>线上学生自学室内观叶植物的概念，影响室内观叶植物生长发育的因素和我国室内观叶植物的市场现状和未来发展趋势。线下以班级为单位进行“翻转课堂”，由学生讲解室内观叶植物的种类和提高室内观叶植物产品品质和安全性的措施。学生制作好课件后彼此之间互讲，教师进行评价和补充，培养学生团队协作和表达能力。</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十一</w:t>
            </w:r>
            <w:r>
              <w:rPr>
                <w:rFonts w:hAnsi="宋体"/>
                <w:b/>
                <w:bCs/>
                <w:szCs w:val="21"/>
              </w:rPr>
              <w:t>章</w:t>
            </w:r>
            <w:r>
              <w:rPr>
                <w:rFonts w:hint="eastAsia" w:hAnsi="宋体"/>
                <w:b/>
                <w:bCs/>
                <w:szCs w:val="21"/>
              </w:rPr>
              <w:t xml:space="preserve">  </w:t>
            </w:r>
            <w:r>
              <w:rPr>
                <w:rFonts w:hint="eastAsia"/>
                <w:b/>
                <w:szCs w:val="21"/>
              </w:rPr>
              <w:t>多浆植物</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数：3</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使学生了解常见多浆花卉的形态特征、生物学习性、繁殖方法、栽培管理技术；了解多浆植物在园林绿化中的设计与应用，与其它观赏花卉的合理配置；解决多浆植物在园林栽培生产中常见的问题，以及在生活中的应用现状及发展前景。</w:t>
      </w:r>
    </w:p>
    <w:p>
      <w:pPr>
        <w:widowControl/>
        <w:snapToGrid w:val="0"/>
        <w:spacing w:line="360" w:lineRule="auto"/>
        <w:rPr>
          <w:rFonts w:hAnsi="宋体"/>
          <w:b/>
          <w:bCs/>
          <w:kern w:val="0"/>
          <w:szCs w:val="21"/>
        </w:rPr>
      </w:pPr>
      <w:r>
        <w:rPr>
          <w:rFonts w:hint="eastAsia" w:ascii="宋体" w:hAnsi="宋体"/>
          <w:b/>
          <w:bCs/>
        </w:rPr>
        <w:t>教学重点和难点：</w:t>
      </w:r>
      <w:r>
        <w:rPr>
          <w:rFonts w:hAnsi="宋体"/>
          <w:kern w:val="0"/>
          <w:szCs w:val="21"/>
        </w:rPr>
        <w:t>重点介绍仙人掌类和多浆植物的特殊形态和生理代谢特点。重要花卉嫁接与栽培示例</w:t>
      </w:r>
      <w:r>
        <w:rPr>
          <w:rFonts w:hint="eastAsia" w:hAnsi="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了解：多浆植物花卉的概念与范畴、多浆花卉的特点。</w:t>
      </w:r>
    </w:p>
    <w:p>
      <w:pPr>
        <w:pStyle w:val="7"/>
        <w:snapToGrid w:val="0"/>
        <w:spacing w:line="360" w:lineRule="auto"/>
        <w:rPr>
          <w:rFonts w:ascii="宋体" w:hAnsi="宋体"/>
        </w:rPr>
      </w:pPr>
      <w:r>
        <w:rPr>
          <w:rFonts w:hint="eastAsia" w:ascii="宋体" w:hAnsi="宋体"/>
        </w:rPr>
        <w:t>理解：多浆花卉种类，及常见的多浆花卉栽培</w:t>
      </w:r>
      <w:r>
        <w:rPr>
          <w:rFonts w:hint="eastAsia" w:ascii="Times New Roman" w:hAnsi="宋体"/>
          <w:kern w:val="0"/>
          <w:szCs w:val="21"/>
        </w:rPr>
        <w:t>栽培技术要点。</w:t>
      </w:r>
    </w:p>
    <w:p>
      <w:pPr>
        <w:pStyle w:val="7"/>
        <w:snapToGrid w:val="0"/>
        <w:spacing w:line="360" w:lineRule="auto"/>
        <w:rPr>
          <w:rFonts w:ascii="宋体" w:hAnsi="宋体"/>
        </w:rPr>
      </w:pPr>
      <w:r>
        <w:rPr>
          <w:rFonts w:hint="eastAsia" w:ascii="宋体" w:hAnsi="宋体"/>
        </w:rPr>
        <w:t>掌握：</w:t>
      </w:r>
      <w:r>
        <w:rPr>
          <w:rFonts w:ascii="宋体" w:hAnsi="宋体"/>
        </w:rPr>
        <w:t>多浆植物繁殖栽培应用的特点</w:t>
      </w:r>
      <w:r>
        <w:rPr>
          <w:rFonts w:hint="eastAsia" w:ascii="宋体" w:hAnsi="宋体"/>
        </w:rPr>
        <w:t>。</w:t>
      </w:r>
    </w:p>
    <w:p>
      <w:pPr>
        <w:pStyle w:val="7"/>
        <w:snapToGrid w:val="0"/>
        <w:spacing w:line="360" w:lineRule="auto"/>
        <w:rPr>
          <w:rFonts w:ascii="宋体" w:hAnsi="宋体"/>
        </w:rPr>
      </w:pPr>
      <w:r>
        <w:rPr>
          <w:rFonts w:hint="eastAsia" w:ascii="宋体" w:hAnsi="宋体"/>
        </w:rPr>
        <w:t>熟练掌握：重要花多浆花卉栽培示</w:t>
      </w:r>
      <w:r>
        <w:rPr>
          <w:rFonts w:hint="eastAsia" w:ascii="Times New Roman" w:hAnsi="宋体"/>
          <w:kern w:val="0"/>
          <w:szCs w:val="21"/>
        </w:rPr>
        <w:t>例（仙人掌、</w:t>
      </w:r>
      <w:r>
        <w:rPr>
          <w:rFonts w:ascii="Times New Roman" w:hAnsi="宋体"/>
          <w:kern w:val="0"/>
          <w:szCs w:val="21"/>
        </w:rPr>
        <w:t>蟹爪兰、球兰</w:t>
      </w:r>
      <w:r>
        <w:rPr>
          <w:rFonts w:hint="eastAsia" w:ascii="Times New Roman" w:hAnsi="宋体"/>
          <w:kern w:val="0"/>
          <w:szCs w:val="21"/>
        </w:rPr>
        <w:t>等）。</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jc w:val="left"/>
        <w:rPr>
          <w:rFonts w:ascii="宋体" w:hAnsi="宋体"/>
          <w:szCs w:val="20"/>
        </w:rPr>
      </w:pPr>
      <w:r>
        <w:rPr>
          <w:rFonts w:hint="eastAsia" w:ascii="宋体" w:hAnsi="宋体"/>
          <w:szCs w:val="20"/>
        </w:rPr>
        <w:t>线上学习多浆花卉的概念、分类以及多浆花卉在生产上的应用。结合多浆花卉的产业发展现状和未来发展趋势，分组讨论多浆花卉的现状、存在问题等。通过实验掌握多浆花卉的繁殖、栽培管理技术，结合实验，加深学生对多浆花卉的认识。</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十二</w:t>
            </w:r>
            <w:r>
              <w:rPr>
                <w:rFonts w:hAnsi="宋体"/>
                <w:b/>
                <w:bCs/>
                <w:szCs w:val="21"/>
              </w:rPr>
              <w:t>章</w:t>
            </w:r>
            <w:r>
              <w:rPr>
                <w:rFonts w:hint="eastAsia" w:hAnsi="宋体"/>
                <w:b/>
                <w:bCs/>
                <w:szCs w:val="21"/>
              </w:rPr>
              <w:t xml:space="preserve">  </w:t>
            </w:r>
            <w:r>
              <w:rPr>
                <w:rFonts w:hint="eastAsia"/>
                <w:b/>
                <w:szCs w:val="21"/>
              </w:rPr>
              <w:t>兰科花卉</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数：3</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使学生了解常见兰科花卉的种类、形态特征、生物学习性、繁殖方法、栽培管理技术；室内兰科花卉在庭院绿化与室内装饰中的设计与应用，以及切花兰的栽培与观赏，与其它观赏花卉的合理配置；解决兰科花卉栽培生产中常见的问题。</w:t>
      </w:r>
    </w:p>
    <w:p>
      <w:pPr>
        <w:widowControl/>
        <w:snapToGrid w:val="0"/>
        <w:spacing w:line="360" w:lineRule="auto"/>
        <w:rPr>
          <w:rFonts w:hAnsi="宋体"/>
          <w:b/>
          <w:bCs/>
          <w:kern w:val="0"/>
          <w:szCs w:val="21"/>
        </w:rPr>
      </w:pPr>
      <w:r>
        <w:rPr>
          <w:rFonts w:hint="eastAsia" w:ascii="宋体" w:hAnsi="宋体"/>
          <w:b/>
          <w:bCs/>
        </w:rPr>
        <w:t>教学重点和难点：</w:t>
      </w:r>
      <w:r>
        <w:rPr>
          <w:rFonts w:hint="eastAsia" w:hAnsi="宋体"/>
          <w:kern w:val="0"/>
          <w:szCs w:val="21"/>
        </w:rPr>
        <w:t>重点介绍兰科植物形态特点、中国兰和热带兰代表种的主要繁殖、栽培与应用特点，重要兰科花卉的繁殖和栽培管理技术。</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了解：兰科花卉的概念与范畴、兰科花卉的特点。</w:t>
      </w:r>
    </w:p>
    <w:p>
      <w:pPr>
        <w:pStyle w:val="7"/>
        <w:snapToGrid w:val="0"/>
        <w:spacing w:line="360" w:lineRule="auto"/>
        <w:rPr>
          <w:rFonts w:ascii="宋体" w:hAnsi="宋体"/>
        </w:rPr>
      </w:pPr>
      <w:r>
        <w:rPr>
          <w:rFonts w:hint="eastAsia" w:ascii="宋体" w:hAnsi="宋体"/>
        </w:rPr>
        <w:t>理解：地生兰科、附生兰科、腐生兰科花卉的种类及栽培栽培技术要点。</w:t>
      </w:r>
    </w:p>
    <w:p>
      <w:pPr>
        <w:pStyle w:val="7"/>
        <w:snapToGrid w:val="0"/>
        <w:spacing w:line="360" w:lineRule="auto"/>
        <w:rPr>
          <w:rFonts w:ascii="宋体" w:hAnsi="宋体"/>
        </w:rPr>
      </w:pPr>
      <w:r>
        <w:rPr>
          <w:rFonts w:hint="eastAsia" w:ascii="宋体" w:hAnsi="宋体"/>
        </w:rPr>
        <w:t>掌握：兰科花卉繁殖栽培应用的特点。</w:t>
      </w:r>
    </w:p>
    <w:p>
      <w:pPr>
        <w:pStyle w:val="7"/>
        <w:snapToGrid w:val="0"/>
        <w:spacing w:line="360" w:lineRule="auto"/>
        <w:rPr>
          <w:rFonts w:ascii="宋体" w:hAnsi="宋体"/>
        </w:rPr>
      </w:pPr>
      <w:r>
        <w:rPr>
          <w:rFonts w:hint="eastAsia" w:ascii="宋体" w:hAnsi="宋体"/>
        </w:rPr>
        <w:t>熟练掌握：</w:t>
      </w:r>
      <w:r>
        <w:rPr>
          <w:rFonts w:ascii="宋体" w:hAnsi="宋体"/>
        </w:rPr>
        <w:t>重要</w:t>
      </w:r>
      <w:r>
        <w:rPr>
          <w:rFonts w:hint="eastAsia" w:ascii="宋体" w:hAnsi="宋体"/>
        </w:rPr>
        <w:t>兰科</w:t>
      </w:r>
      <w:r>
        <w:rPr>
          <w:rFonts w:ascii="宋体" w:hAnsi="宋体"/>
        </w:rPr>
        <w:t>花卉栽培示例（春兰、蝴蝶兰）</w:t>
      </w:r>
      <w:r>
        <w:rPr>
          <w:rFonts w:hint="eastAsia" w:ascii="宋体" w:hAnsi="宋体"/>
        </w:rPr>
        <w:t>。</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jc w:val="left"/>
        <w:rPr>
          <w:rFonts w:ascii="宋体" w:hAnsi="宋体"/>
          <w:szCs w:val="20"/>
        </w:rPr>
      </w:pPr>
      <w:r>
        <w:rPr>
          <w:rFonts w:hint="eastAsia" w:ascii="宋体" w:hAnsi="宋体"/>
          <w:szCs w:val="20"/>
        </w:rPr>
        <w:t>学生在学习通平台自自主学习兰科花卉的概念、分类以及地生兰科、附生兰科、腐生兰科花卉在生产上的应用。采用翻转课堂的形式，学生分组讲述兰科花卉的发展现状、存在问题、未来发展趋势等。通过对蝴蝶兰等生产基地的参观和学习，让学生了解兰科花卉的植株栽培管理技术，加深学生对兰科类花卉的认识。</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十三</w:t>
            </w:r>
            <w:r>
              <w:rPr>
                <w:rFonts w:hAnsi="宋体"/>
                <w:b/>
                <w:bCs/>
                <w:szCs w:val="21"/>
              </w:rPr>
              <w:t>章</w:t>
            </w:r>
            <w:r>
              <w:rPr>
                <w:rFonts w:hint="eastAsia" w:hAnsi="宋体"/>
                <w:b/>
                <w:bCs/>
                <w:szCs w:val="21"/>
              </w:rPr>
              <w:t xml:space="preserve">  </w:t>
            </w:r>
            <w:r>
              <w:rPr>
                <w:rFonts w:hint="eastAsia"/>
                <w:b/>
                <w:szCs w:val="21"/>
              </w:rPr>
              <w:t>水生花卉</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使学生了解常见水生花卉的形态特征、生物学习性、繁殖方法、栽培管理技术；了解水生花卉在水景绿化中的设计与应用，与其它观赏花卉的合理配置；了解水生花卉在生活中的应用现状及发展前景，解决水生花卉栽培生产中常见的栽培管理问题。</w:t>
      </w:r>
    </w:p>
    <w:p>
      <w:pPr>
        <w:widowControl/>
        <w:snapToGrid w:val="0"/>
        <w:spacing w:line="360" w:lineRule="auto"/>
        <w:rPr>
          <w:rFonts w:hAnsi="宋体"/>
          <w:b/>
          <w:bCs/>
          <w:kern w:val="0"/>
          <w:szCs w:val="21"/>
        </w:rPr>
      </w:pPr>
      <w:r>
        <w:rPr>
          <w:rFonts w:hint="eastAsia" w:ascii="宋体" w:hAnsi="宋体"/>
          <w:b/>
          <w:bCs/>
        </w:rPr>
        <w:t>教学重点和难点：</w:t>
      </w:r>
      <w:r>
        <w:rPr>
          <w:rFonts w:hAnsi="宋体"/>
          <w:kern w:val="0"/>
          <w:szCs w:val="21"/>
        </w:rPr>
        <w:t>重点介绍水生花卉的类别，重要花卉繁殖与栽培示例。难点是不同原产地水生花卉的环境管理</w:t>
      </w:r>
      <w:r>
        <w:rPr>
          <w:rFonts w:hint="eastAsia" w:hAnsi="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w:t>
      </w:r>
      <w:r>
        <w:rPr>
          <w:rFonts w:ascii="宋体" w:hAnsi="宋体"/>
        </w:rPr>
        <w:t>水生花卉的习性、繁殖、栽培与应用的特点</w:t>
      </w:r>
      <w:r>
        <w:rPr>
          <w:rFonts w:hint="eastAsia" w:ascii="宋体" w:hAnsi="宋体"/>
        </w:rPr>
        <w:t>。</w:t>
      </w:r>
    </w:p>
    <w:p>
      <w:pPr>
        <w:pStyle w:val="7"/>
        <w:snapToGrid w:val="0"/>
        <w:spacing w:line="360" w:lineRule="auto"/>
        <w:rPr>
          <w:rFonts w:ascii="宋体" w:hAnsi="宋体"/>
        </w:rPr>
      </w:pPr>
      <w:r>
        <w:rPr>
          <w:rFonts w:hint="eastAsia" w:ascii="宋体" w:hAnsi="宋体"/>
        </w:rPr>
        <w:t>理解：水生花卉种类，及常见的宿根花卉栽培栽培技术要点。</w:t>
      </w:r>
    </w:p>
    <w:p>
      <w:pPr>
        <w:pStyle w:val="7"/>
        <w:snapToGrid w:val="0"/>
        <w:spacing w:line="360" w:lineRule="auto"/>
        <w:rPr>
          <w:rFonts w:ascii="宋体" w:hAnsi="宋体"/>
        </w:rPr>
      </w:pPr>
      <w:r>
        <w:rPr>
          <w:rFonts w:hint="eastAsia" w:ascii="宋体" w:hAnsi="宋体"/>
        </w:rPr>
        <w:t>掌握：水生花卉繁殖栽培应用的特点。</w:t>
      </w:r>
    </w:p>
    <w:p>
      <w:pPr>
        <w:pStyle w:val="7"/>
        <w:snapToGrid w:val="0"/>
        <w:spacing w:line="360" w:lineRule="auto"/>
        <w:rPr>
          <w:rFonts w:ascii="宋体" w:hAnsi="宋体"/>
        </w:rPr>
      </w:pPr>
      <w:r>
        <w:rPr>
          <w:rFonts w:hint="eastAsia" w:ascii="宋体" w:hAnsi="宋体"/>
        </w:rPr>
        <w:t>熟练掌握：</w:t>
      </w:r>
      <w:r>
        <w:rPr>
          <w:rFonts w:ascii="宋体" w:hAnsi="宋体"/>
        </w:rPr>
        <w:t>重要水生花卉栽培示例（荷花、睡莲、凤眼莲、金鱼藻）</w:t>
      </w:r>
      <w:r>
        <w:rPr>
          <w:rFonts w:hint="eastAsia" w:ascii="宋体" w:hAnsi="宋体"/>
        </w:rPr>
        <w:t>。</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jc w:val="left"/>
        <w:rPr>
          <w:rFonts w:ascii="宋体" w:hAnsi="宋体"/>
          <w:szCs w:val="20"/>
        </w:rPr>
      </w:pPr>
      <w:r>
        <w:rPr>
          <w:rFonts w:hint="eastAsia" w:ascii="宋体" w:hAnsi="宋体"/>
          <w:szCs w:val="20"/>
        </w:rPr>
        <w:t>采用翻转课堂的形式进行讲授，充分调动的积极主动性。学生主要从水生</w:t>
      </w:r>
      <w:r>
        <w:rPr>
          <w:rFonts w:ascii="宋体" w:hAnsi="宋体"/>
          <w:szCs w:val="20"/>
        </w:rPr>
        <w:t>花卉的习性、繁殖、栽培与应用的特点</w:t>
      </w:r>
      <w:r>
        <w:rPr>
          <w:rFonts w:hint="eastAsia" w:ascii="宋体" w:hAnsi="宋体"/>
          <w:szCs w:val="20"/>
        </w:rPr>
        <w:t>进行课件的制作，对中国重要水生花卉，如</w:t>
      </w:r>
      <w:r>
        <w:rPr>
          <w:rFonts w:ascii="宋体" w:hAnsi="宋体"/>
          <w:szCs w:val="20"/>
        </w:rPr>
        <w:t>荷花、睡莲</w:t>
      </w:r>
      <w:r>
        <w:rPr>
          <w:rFonts w:hint="eastAsia" w:ascii="宋体" w:hAnsi="宋体"/>
          <w:szCs w:val="20"/>
        </w:rPr>
        <w:t>等的生长习性和栽培管理技术进行概述。通过对紫荆山公园等水生花卉种植园区的参观和学习，让学生了解水生花卉的植株栽培管理技术，加深学生对水生类花卉的认识。</w:t>
      </w:r>
    </w:p>
    <w:p>
      <w:pPr>
        <w:widowControl/>
        <w:snapToGrid w:val="0"/>
        <w:spacing w:line="360" w:lineRule="auto"/>
        <w:jc w:val="left"/>
        <w:rPr>
          <w:rFonts w:hAnsi="宋体"/>
          <w:kern w:val="0"/>
          <w:szCs w:val="21"/>
        </w:rPr>
      </w:pP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十四</w:t>
            </w:r>
            <w:r>
              <w:rPr>
                <w:rFonts w:hAnsi="宋体"/>
                <w:b/>
                <w:bCs/>
                <w:szCs w:val="21"/>
              </w:rPr>
              <w:t>章</w:t>
            </w:r>
            <w:r>
              <w:rPr>
                <w:rFonts w:hint="eastAsia" w:hAnsi="宋体"/>
                <w:b/>
                <w:bCs/>
                <w:szCs w:val="21"/>
              </w:rPr>
              <w:t xml:space="preserve">  </w:t>
            </w:r>
            <w:r>
              <w:rPr>
                <w:rFonts w:hint="eastAsia"/>
                <w:b/>
                <w:szCs w:val="21"/>
              </w:rPr>
              <w:t>木本花卉</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hAnsi="宋体"/>
          <w:kern w:val="0"/>
          <w:szCs w:val="21"/>
        </w:rPr>
        <w:t>使学生了解木本花卉的形态特征、生物学习性、繁殖方法、栽培管理技术；了解木本花卉在园林中的应用，以及与其它观赏花卉的合理配置；解决木本花卉栽培生管理中常见的问题，以及在生活中的应用现状及发展前景。</w:t>
      </w:r>
    </w:p>
    <w:p>
      <w:pPr>
        <w:widowControl/>
        <w:snapToGrid w:val="0"/>
        <w:spacing w:line="360" w:lineRule="auto"/>
        <w:rPr>
          <w:rFonts w:hAnsi="宋体"/>
          <w:b/>
          <w:bCs/>
          <w:kern w:val="0"/>
          <w:szCs w:val="21"/>
        </w:rPr>
      </w:pPr>
      <w:r>
        <w:rPr>
          <w:rFonts w:hint="eastAsia" w:ascii="宋体" w:hAnsi="宋体"/>
          <w:b/>
          <w:bCs/>
        </w:rPr>
        <w:t>教学重点和难点：</w:t>
      </w:r>
      <w:r>
        <w:rPr>
          <w:rFonts w:hAnsi="宋体"/>
          <w:kern w:val="0"/>
          <w:szCs w:val="21"/>
        </w:rPr>
        <w:t>重点介绍中国传统木本名花和产业化程度高的木本切花和盆花，重要花卉栽培示例。难点是这些花卉周年生产的品种选择、栽培日历与管理</w:t>
      </w:r>
      <w:r>
        <w:rPr>
          <w:rFonts w:hint="eastAsia" w:hAnsi="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p>
    <w:p>
      <w:pPr>
        <w:pStyle w:val="7"/>
        <w:snapToGrid w:val="0"/>
        <w:spacing w:line="360" w:lineRule="auto"/>
        <w:rPr>
          <w:rFonts w:ascii="宋体" w:hAnsi="宋体"/>
        </w:rPr>
      </w:pPr>
      <w:r>
        <w:rPr>
          <w:rFonts w:hint="eastAsia" w:ascii="宋体" w:hAnsi="宋体"/>
        </w:rPr>
        <w:t>了解：木本花卉的概念、种类、特点，生态习性，园林应用。</w:t>
      </w:r>
    </w:p>
    <w:p>
      <w:pPr>
        <w:pStyle w:val="7"/>
        <w:snapToGrid w:val="0"/>
        <w:spacing w:line="360" w:lineRule="auto"/>
        <w:rPr>
          <w:rFonts w:ascii="宋体" w:hAnsi="宋体"/>
        </w:rPr>
      </w:pPr>
      <w:r>
        <w:rPr>
          <w:rFonts w:hint="eastAsia" w:ascii="宋体" w:hAnsi="宋体"/>
        </w:rPr>
        <w:t>理解：木本花卉繁殖，及常见的木本花卉栽培</w:t>
      </w:r>
      <w:r>
        <w:rPr>
          <w:rFonts w:hint="eastAsia" w:ascii="Times New Roman" w:hAnsi="宋体"/>
          <w:kern w:val="0"/>
          <w:szCs w:val="21"/>
        </w:rPr>
        <w:t>栽培技术要点。</w:t>
      </w:r>
    </w:p>
    <w:p>
      <w:pPr>
        <w:pStyle w:val="7"/>
        <w:snapToGrid w:val="0"/>
        <w:spacing w:line="360" w:lineRule="auto"/>
        <w:rPr>
          <w:rFonts w:ascii="宋体" w:hAnsi="宋体"/>
        </w:rPr>
      </w:pPr>
      <w:r>
        <w:rPr>
          <w:rFonts w:hint="eastAsia" w:ascii="宋体" w:hAnsi="宋体"/>
        </w:rPr>
        <w:t>掌握：木本花卉繁殖栽培应用的特点。</w:t>
      </w:r>
    </w:p>
    <w:p>
      <w:pPr>
        <w:pStyle w:val="7"/>
        <w:snapToGrid w:val="0"/>
        <w:spacing w:line="360" w:lineRule="auto"/>
        <w:rPr>
          <w:rFonts w:ascii="宋体" w:hAnsi="宋体"/>
        </w:rPr>
      </w:pPr>
      <w:r>
        <w:rPr>
          <w:rFonts w:hint="eastAsia" w:ascii="宋体" w:hAnsi="宋体"/>
        </w:rPr>
        <w:t>熟练掌握：重要木本花卉栽培示例（月季、牡丹等）。</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jc w:val="left"/>
        <w:rPr>
          <w:rFonts w:ascii="宋体" w:hAnsi="宋体"/>
          <w:szCs w:val="20"/>
        </w:rPr>
      </w:pPr>
      <w:r>
        <w:rPr>
          <w:rFonts w:hint="eastAsia" w:ascii="宋体" w:hAnsi="宋体"/>
          <w:szCs w:val="20"/>
        </w:rPr>
        <w:t>学生学习通平台线上学习木本花卉的概念、分类以及木本花卉在生产上的应用。要求学生进行课前预习，教师课堂讲授完成。对主要知识点采用启发式、讨论式的教学方法讲授，同时介绍相关的研究进展，并采用课堂提问，加深学生对知识点的记忆，培养学生运用知识点的思路。</w:t>
      </w:r>
    </w:p>
    <w:p>
      <w:pPr>
        <w:widowControl/>
        <w:snapToGrid w:val="0"/>
        <w:spacing w:line="360" w:lineRule="auto"/>
        <w:jc w:val="left"/>
        <w:rPr>
          <w:rFonts w:hAnsi="宋体"/>
          <w:kern w:val="0"/>
          <w:szCs w:val="21"/>
        </w:rPr>
      </w:pPr>
    </w:p>
    <w:p>
      <w:pPr>
        <w:widowControl/>
        <w:snapToGrid w:val="0"/>
        <w:spacing w:line="360" w:lineRule="auto"/>
        <w:jc w:val="left"/>
        <w:rPr>
          <w:rFonts w:hAnsi="宋体"/>
          <w:bCs/>
          <w:kern w:val="0"/>
          <w:szCs w:val="21"/>
        </w:rPr>
      </w:pPr>
      <w:r>
        <w:rPr>
          <w:rFonts w:hint="eastAsia" w:hAnsi="宋体"/>
          <w:b/>
          <w:bCs/>
          <w:kern w:val="0"/>
          <w:szCs w:val="21"/>
        </w:rPr>
        <w:t>五</w:t>
      </w:r>
      <w:r>
        <w:rPr>
          <w:rFonts w:hAnsi="宋体"/>
          <w:b/>
          <w:bCs/>
          <w:kern w:val="0"/>
          <w:szCs w:val="21"/>
        </w:rPr>
        <w:t>、实验教学内容及学时分配</w:t>
      </w:r>
      <w:r>
        <w:rPr>
          <w:rFonts w:hint="eastAsia" w:hAnsi="宋体"/>
          <w:b/>
          <w:bCs/>
          <w:kern w:val="0"/>
          <w:szCs w:val="21"/>
        </w:rPr>
        <w:t>（20</w:t>
      </w:r>
      <w:r>
        <w:rPr>
          <w:rFonts w:hAnsi="宋体"/>
          <w:b/>
          <w:bCs/>
          <w:kern w:val="0"/>
          <w:szCs w:val="21"/>
        </w:rPr>
        <w:t>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rFonts w:ascii="宋体" w:hAnsi="宋体"/>
          <w:bCs/>
          <w:szCs w:val="21"/>
        </w:rPr>
      </w:pPr>
      <w:r>
        <w:rPr>
          <w:rFonts w:hint="eastAsia" w:ascii="宋体" w:hAnsi="宋体"/>
          <w:bCs/>
          <w:szCs w:val="21"/>
        </w:rPr>
        <w:t>花卉栽培学是园艺专业的专业课，是园艺专业的主干课程之一。花卉栽培学是研究花卉的分类、生物学特性、繁殖方法、栽培技术、经营管理与应用的科学，其综合性很强。实验教学是花卉栽培学课程的重要教学环节，设立了10个实验项目。通过实验教学，使学生掌握花卉种质资源的收集及评价方法，掌握花卉概念、分类、生长习性、繁殖、栽培管理及应用技术，掌握花卉产业化生产、经营及管理技术，使学生能全面、系统的掌握花卉学的基本理论、基本知识和基本技能，为园艺专业的学习奠定基础，具备从事花卉生产、科研及应用的基本理论和实践技能。同时对于花卉资源的拓展、开发利用，实现花卉资源的合理高效利用具有重要的意义。</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rPr>
          <w:rFonts w:hint="eastAsia"/>
        </w:rPr>
        <w:t>花卉学实验是《花卉栽培学》课程教学过程中的重要环节，是对理论教学的重要补充和验证，是培养学生实践技能的重要途径。实验内容的安排以实用性为宗旨，以提高实践技能为目的，做到与理论教学相辅相承，互相促进，提高教学效果。主要学习要求为：学习观赏花卉的植物形态分类学基础知识和在生产实践中的应用方法；了解园林植物的分布、生态习性和对环境的改善和保护功能；掌握观赏植物的园林特性及在园林中的应用。能够识别150种以上生产及花卉市场常见的园林植物；掌握60种以上常见观赏植物的识别要点、生态习性、观赏特性、栽培技术等；培养学生运用工具书正确鉴定观赏植物。</w:t>
      </w:r>
    </w:p>
    <w:p>
      <w:pPr>
        <w:snapToGrid w:val="0"/>
        <w:spacing w:line="360" w:lineRule="auto"/>
        <w:ind w:firstLine="420" w:firstLineChars="200"/>
      </w:pPr>
      <w:r>
        <w:rPr>
          <w:rFonts w:hint="eastAsia"/>
        </w:rPr>
        <w:t>学生应按照实验（操作）流程，准确选择实验材料和实验方法，合理操作，应用所学理论知识，分析实验中的各种现象和结果，认真撰写实验报告。通过实验巩固和加深对专业理论的理解。具体要求包括：</w:t>
      </w:r>
    </w:p>
    <w:p>
      <w:pPr>
        <w:snapToGrid w:val="0"/>
        <w:spacing w:line="360" w:lineRule="auto"/>
        <w:ind w:firstLine="420" w:firstLineChars="200"/>
      </w:pPr>
      <w:r>
        <w:rPr>
          <w:rFonts w:hint="eastAsia"/>
        </w:rPr>
        <w:t>（1）积极鼓励学生参与实验准备工作，拓宽学生知识面。</w:t>
      </w:r>
    </w:p>
    <w:p>
      <w:pPr>
        <w:snapToGrid w:val="0"/>
        <w:spacing w:line="360" w:lineRule="auto"/>
        <w:ind w:firstLine="420" w:firstLineChars="200"/>
      </w:pPr>
      <w:r>
        <w:rPr>
          <w:rFonts w:hint="eastAsia"/>
        </w:rPr>
        <w:t>（2）引导学生做好预习，了解实验目的、方法原理及具体操作要求，熟悉所用实验材料及相关仪器。</w:t>
      </w:r>
    </w:p>
    <w:p>
      <w:pPr>
        <w:snapToGrid w:val="0"/>
        <w:spacing w:line="360" w:lineRule="auto"/>
        <w:ind w:firstLine="420" w:firstLineChars="200"/>
      </w:pPr>
      <w:r>
        <w:rPr>
          <w:rFonts w:hint="eastAsia"/>
        </w:rPr>
        <w:t>（3）实验授课过程中相关内容应予以拓展。</w:t>
      </w:r>
    </w:p>
    <w:p>
      <w:pPr>
        <w:snapToGrid w:val="0"/>
        <w:spacing w:line="360" w:lineRule="auto"/>
        <w:ind w:firstLine="420" w:firstLineChars="200"/>
      </w:pPr>
      <w:r>
        <w:rPr>
          <w:rFonts w:hint="eastAsia"/>
        </w:rPr>
        <w:t>（4）鼓励学生在独立操作完成设计性实验的前提下，对实验数据合作共享，培养自主独立思考问题的能力和合作探讨研究、互相协作的科学素养。</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本实验在于给学生有关识别，繁殖，栽培花卉的结构以及花卉在实际中的应用等内容。同时培养学生科学研究态度及独立工作能力，为今后学习与工作打好基础。为此，在实验过程中必须严格遵守以下注意事项：</w:t>
      </w:r>
    </w:p>
    <w:p>
      <w:pPr>
        <w:snapToGrid w:val="0"/>
        <w:spacing w:line="360" w:lineRule="auto"/>
        <w:ind w:firstLine="420" w:firstLineChars="200"/>
      </w:pPr>
      <w:r>
        <w:rPr>
          <w:rFonts w:hint="eastAsia"/>
        </w:rPr>
        <w:t>（1）实验前必须结合课堂讲授的有关部分，认真预习指定的实验内容，并将实验内容步骤事先记录笔记本内，使实验能顺利进行。</w:t>
      </w:r>
    </w:p>
    <w:p>
      <w:pPr>
        <w:snapToGrid w:val="0"/>
        <w:spacing w:line="360" w:lineRule="auto"/>
        <w:ind w:firstLine="420" w:firstLineChars="200"/>
      </w:pPr>
      <w:r>
        <w:rPr>
          <w:rFonts w:hint="eastAsia"/>
        </w:rPr>
        <w:t>（2）实验室除用心听取指导老师讲解外，在实验过程中必须仔细认真和多动脑筋，实事求是的观察和分析问题，培养科学的研究态度。</w:t>
      </w:r>
    </w:p>
    <w:p>
      <w:pPr>
        <w:snapToGrid w:val="0"/>
        <w:spacing w:line="360" w:lineRule="auto"/>
        <w:ind w:firstLine="420" w:firstLineChars="200"/>
      </w:pPr>
      <w:r>
        <w:rPr>
          <w:rFonts w:hint="eastAsia"/>
        </w:rPr>
        <w:t>（3）保持实验室的整齐、清洁，不得随地吐痰或乱扔废物，实验结束后将所有仪器用品洗净并安放整齐。以养成科学的工作态度，值日生应负责扫地、抹桌等清洁工作。</w:t>
      </w:r>
    </w:p>
    <w:p>
      <w:pPr>
        <w:snapToGrid w:val="0"/>
        <w:spacing w:line="360" w:lineRule="auto"/>
        <w:ind w:firstLine="420" w:firstLineChars="200"/>
      </w:pPr>
      <w:r>
        <w:rPr>
          <w:rFonts w:hint="eastAsia"/>
        </w:rPr>
        <w:t>（4）爱护公物，节约药品及实验材料，按量取用，公用器材不得任意移动，如有损坏，立即报告指导教师，并填写仪器损失单。</w:t>
      </w:r>
    </w:p>
    <w:p>
      <w:pPr>
        <w:snapToGrid w:val="0"/>
        <w:spacing w:line="360" w:lineRule="auto"/>
        <w:ind w:firstLine="420" w:firstLineChars="200"/>
      </w:pPr>
      <w:r>
        <w:rPr>
          <w:rFonts w:hint="eastAsia"/>
        </w:rPr>
        <w:t>（5）实验室必须保持肃静，不得任意走动或高声谈笑。</w:t>
      </w:r>
    </w:p>
    <w:p>
      <w:pPr>
        <w:snapToGrid w:val="0"/>
        <w:spacing w:line="360" w:lineRule="auto"/>
        <w:ind w:firstLine="420" w:firstLineChars="200"/>
      </w:pPr>
      <w:r>
        <w:rPr>
          <w:rFonts w:hint="eastAsia"/>
        </w:rPr>
        <w:t>（6）实验结果需写成报告，实验报告，务必实事求是，根据自己实验的所得结果，简单扼要书写实验报告书。</w:t>
      </w:r>
    </w:p>
    <w:p>
      <w:pPr>
        <w:snapToGrid w:val="0"/>
        <w:spacing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2977"/>
        <w:gridCol w:w="1060"/>
        <w:gridCol w:w="1030"/>
        <w:gridCol w:w="1122"/>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2977"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1060"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学时</w:t>
            </w:r>
          </w:p>
        </w:tc>
        <w:tc>
          <w:tcPr>
            <w:tcW w:w="1030" w:type="dxa"/>
            <w:tcBorders>
              <w:tl2br w:val="nil"/>
              <w:tr2bl w:val="nil"/>
            </w:tcBorders>
            <w:shd w:val="clear" w:color="auto" w:fill="EEECE1" w:themeFill="background2"/>
            <w:vAlign w:val="center"/>
          </w:tcPr>
          <w:p>
            <w:pPr>
              <w:ind w:firstLine="17"/>
              <w:jc w:val="center"/>
              <w:rPr>
                <w:rFonts w:ascii="宋体" w:hAnsi="宋体" w:cs="宋体"/>
                <w:b/>
                <w:bCs/>
                <w:sz w:val="18"/>
                <w:szCs w:val="18"/>
              </w:rPr>
            </w:pPr>
            <w:r>
              <w:rPr>
                <w:rFonts w:hint="eastAsia" w:ascii="宋体" w:hAnsi="宋体" w:cs="宋体"/>
                <w:b/>
                <w:bCs/>
                <w:sz w:val="18"/>
                <w:szCs w:val="18"/>
              </w:rPr>
              <w:t>类型</w:t>
            </w:r>
          </w:p>
        </w:tc>
        <w:tc>
          <w:tcPr>
            <w:tcW w:w="1122"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实验要求</w:t>
            </w:r>
          </w:p>
        </w:tc>
        <w:tc>
          <w:tcPr>
            <w:tcW w:w="1338"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jc w:val="both"/>
              <w:rPr>
                <w:sz w:val="18"/>
                <w:szCs w:val="18"/>
              </w:rPr>
            </w:pPr>
            <w:r>
              <w:rPr>
                <w:rFonts w:hint="eastAsia"/>
                <w:sz w:val="18"/>
                <w:szCs w:val="18"/>
              </w:rPr>
              <w:t>19011006h01</w:t>
            </w:r>
          </w:p>
        </w:tc>
        <w:tc>
          <w:tcPr>
            <w:tcW w:w="2977" w:type="dxa"/>
            <w:tcBorders>
              <w:tl2br w:val="nil"/>
              <w:tr2bl w:val="nil"/>
            </w:tcBorders>
            <w:vAlign w:val="center"/>
          </w:tcPr>
          <w:p>
            <w:pPr>
              <w:ind w:firstLine="360"/>
              <w:jc w:val="center"/>
              <w:rPr>
                <w:sz w:val="18"/>
                <w:szCs w:val="18"/>
              </w:rPr>
            </w:pPr>
            <w:r>
              <w:rPr>
                <w:rFonts w:hint="eastAsia"/>
                <w:sz w:val="18"/>
                <w:szCs w:val="18"/>
              </w:rPr>
              <w:t>花卉</w:t>
            </w:r>
            <w:r>
              <w:rPr>
                <w:sz w:val="18"/>
                <w:szCs w:val="18"/>
              </w:rPr>
              <w:t>种子的识别</w:t>
            </w:r>
            <w:r>
              <w:rPr>
                <w:rFonts w:hint="eastAsia"/>
                <w:sz w:val="18"/>
                <w:szCs w:val="18"/>
              </w:rPr>
              <w:t>、采集与保存</w:t>
            </w:r>
          </w:p>
        </w:tc>
        <w:tc>
          <w:tcPr>
            <w:tcW w:w="1060" w:type="dxa"/>
            <w:tcBorders>
              <w:tl2br w:val="nil"/>
              <w:tr2bl w:val="nil"/>
            </w:tcBorders>
            <w:vAlign w:val="center"/>
          </w:tcPr>
          <w:p>
            <w:pPr>
              <w:ind w:firstLine="360"/>
              <w:jc w:val="center"/>
              <w:rPr>
                <w:sz w:val="18"/>
                <w:szCs w:val="18"/>
              </w:rPr>
            </w:pPr>
            <w:r>
              <w:rPr>
                <w:rFonts w:hint="eastAsia"/>
                <w:sz w:val="18"/>
                <w:szCs w:val="18"/>
              </w:rPr>
              <w:t>2</w:t>
            </w:r>
          </w:p>
        </w:tc>
        <w:tc>
          <w:tcPr>
            <w:tcW w:w="1030" w:type="dxa"/>
            <w:tcBorders>
              <w:tl2br w:val="nil"/>
              <w:tr2bl w:val="nil"/>
            </w:tcBorders>
            <w:vAlign w:val="center"/>
          </w:tcPr>
          <w:p>
            <w:pPr>
              <w:rPr>
                <w:sz w:val="18"/>
                <w:szCs w:val="18"/>
              </w:rPr>
            </w:pPr>
            <w:r>
              <w:rPr>
                <w:rFonts w:hint="eastAsia"/>
                <w:sz w:val="18"/>
                <w:szCs w:val="18"/>
              </w:rPr>
              <w:t>基础性</w:t>
            </w:r>
          </w:p>
        </w:tc>
        <w:tc>
          <w:tcPr>
            <w:tcW w:w="1122" w:type="dxa"/>
            <w:tcBorders>
              <w:tl2br w:val="nil"/>
              <w:tr2bl w:val="nil"/>
            </w:tcBorders>
            <w:vAlign w:val="center"/>
          </w:tcPr>
          <w:p>
            <w:pPr>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19011006h02</w:t>
            </w:r>
          </w:p>
        </w:tc>
        <w:tc>
          <w:tcPr>
            <w:tcW w:w="2977" w:type="dxa"/>
            <w:tcBorders>
              <w:tl2br w:val="nil"/>
              <w:tr2bl w:val="nil"/>
            </w:tcBorders>
            <w:vAlign w:val="center"/>
          </w:tcPr>
          <w:p>
            <w:pPr>
              <w:ind w:firstLine="360"/>
              <w:jc w:val="center"/>
              <w:rPr>
                <w:sz w:val="18"/>
                <w:szCs w:val="18"/>
              </w:rPr>
            </w:pPr>
            <w:r>
              <w:rPr>
                <w:sz w:val="18"/>
                <w:szCs w:val="18"/>
              </w:rPr>
              <w:t>花卉分类识别</w:t>
            </w:r>
          </w:p>
        </w:tc>
        <w:tc>
          <w:tcPr>
            <w:tcW w:w="1060" w:type="dxa"/>
            <w:tcBorders>
              <w:tl2br w:val="nil"/>
              <w:tr2bl w:val="nil"/>
            </w:tcBorders>
            <w:vAlign w:val="center"/>
          </w:tcPr>
          <w:p>
            <w:pPr>
              <w:ind w:firstLine="360"/>
              <w:jc w:val="center"/>
              <w:rPr>
                <w:sz w:val="18"/>
                <w:szCs w:val="18"/>
              </w:rPr>
            </w:pPr>
            <w:r>
              <w:rPr>
                <w:rFonts w:hint="eastAsia"/>
                <w:sz w:val="18"/>
                <w:szCs w:val="18"/>
              </w:rPr>
              <w:t>4</w:t>
            </w:r>
          </w:p>
        </w:tc>
        <w:tc>
          <w:tcPr>
            <w:tcW w:w="1030" w:type="dxa"/>
            <w:tcBorders>
              <w:tl2br w:val="nil"/>
              <w:tr2bl w:val="nil"/>
            </w:tcBorders>
            <w:vAlign w:val="center"/>
          </w:tcPr>
          <w:p>
            <w:pPr>
              <w:rPr>
                <w:sz w:val="18"/>
                <w:szCs w:val="18"/>
              </w:rPr>
            </w:pPr>
            <w:r>
              <w:rPr>
                <w:rFonts w:hint="eastAsia"/>
                <w:sz w:val="18"/>
                <w:szCs w:val="18"/>
              </w:rPr>
              <w:t>基础性</w:t>
            </w:r>
          </w:p>
        </w:tc>
        <w:tc>
          <w:tcPr>
            <w:tcW w:w="1122" w:type="dxa"/>
            <w:tcBorders>
              <w:tl2br w:val="nil"/>
              <w:tr2bl w:val="nil"/>
            </w:tcBorders>
          </w:tcPr>
          <w:p>
            <w:pPr>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19011006h03</w:t>
            </w:r>
          </w:p>
        </w:tc>
        <w:tc>
          <w:tcPr>
            <w:tcW w:w="2977" w:type="dxa"/>
            <w:tcBorders>
              <w:tl2br w:val="nil"/>
              <w:tr2bl w:val="nil"/>
            </w:tcBorders>
            <w:vAlign w:val="center"/>
          </w:tcPr>
          <w:p>
            <w:pPr>
              <w:ind w:firstLine="360"/>
              <w:jc w:val="center"/>
              <w:rPr>
                <w:sz w:val="18"/>
                <w:szCs w:val="18"/>
              </w:rPr>
            </w:pPr>
            <w:r>
              <w:rPr>
                <w:sz w:val="18"/>
                <w:szCs w:val="18"/>
              </w:rPr>
              <w:t>花卉栽培设施的参观与评价</w:t>
            </w:r>
          </w:p>
        </w:tc>
        <w:tc>
          <w:tcPr>
            <w:tcW w:w="1060" w:type="dxa"/>
            <w:tcBorders>
              <w:tl2br w:val="nil"/>
              <w:tr2bl w:val="nil"/>
            </w:tcBorders>
            <w:vAlign w:val="center"/>
          </w:tcPr>
          <w:p>
            <w:pPr>
              <w:ind w:firstLine="360"/>
              <w:jc w:val="center"/>
              <w:rPr>
                <w:sz w:val="18"/>
                <w:szCs w:val="18"/>
              </w:rPr>
            </w:pPr>
            <w:r>
              <w:rPr>
                <w:rFonts w:hint="eastAsia"/>
                <w:sz w:val="18"/>
                <w:szCs w:val="18"/>
              </w:rPr>
              <w:t>2</w:t>
            </w:r>
          </w:p>
        </w:tc>
        <w:tc>
          <w:tcPr>
            <w:tcW w:w="1030" w:type="dxa"/>
            <w:tcBorders>
              <w:tl2br w:val="nil"/>
              <w:tr2bl w:val="nil"/>
            </w:tcBorders>
            <w:vAlign w:val="center"/>
          </w:tcPr>
          <w:p>
            <w:pPr>
              <w:rPr>
                <w:sz w:val="18"/>
                <w:szCs w:val="18"/>
              </w:rPr>
            </w:pPr>
            <w:r>
              <w:rPr>
                <w:rFonts w:hint="eastAsia"/>
                <w:sz w:val="18"/>
                <w:szCs w:val="18"/>
              </w:rPr>
              <w:t>综合性</w:t>
            </w:r>
          </w:p>
        </w:tc>
        <w:tc>
          <w:tcPr>
            <w:tcW w:w="1122" w:type="dxa"/>
            <w:tcBorders>
              <w:tl2br w:val="nil"/>
              <w:tr2bl w:val="nil"/>
            </w:tcBorders>
          </w:tcPr>
          <w:p>
            <w:pPr>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19011006h04</w:t>
            </w:r>
          </w:p>
        </w:tc>
        <w:tc>
          <w:tcPr>
            <w:tcW w:w="2977" w:type="dxa"/>
            <w:tcBorders>
              <w:tl2br w:val="nil"/>
              <w:tr2bl w:val="nil"/>
            </w:tcBorders>
            <w:vAlign w:val="center"/>
          </w:tcPr>
          <w:p>
            <w:pPr>
              <w:ind w:firstLine="360"/>
              <w:jc w:val="center"/>
              <w:rPr>
                <w:sz w:val="18"/>
                <w:szCs w:val="18"/>
              </w:rPr>
            </w:pPr>
            <w:r>
              <w:rPr>
                <w:rFonts w:hint="eastAsia"/>
                <w:sz w:val="18"/>
                <w:szCs w:val="18"/>
              </w:rPr>
              <w:t>月季品种识别及栽培管理技术</w:t>
            </w:r>
          </w:p>
        </w:tc>
        <w:tc>
          <w:tcPr>
            <w:tcW w:w="1060" w:type="dxa"/>
            <w:tcBorders>
              <w:tl2br w:val="nil"/>
              <w:tr2bl w:val="nil"/>
            </w:tcBorders>
            <w:vAlign w:val="center"/>
          </w:tcPr>
          <w:p>
            <w:pPr>
              <w:ind w:firstLine="360"/>
              <w:jc w:val="center"/>
              <w:rPr>
                <w:sz w:val="18"/>
                <w:szCs w:val="18"/>
              </w:rPr>
            </w:pPr>
            <w:r>
              <w:rPr>
                <w:rFonts w:hint="eastAsia"/>
                <w:sz w:val="18"/>
                <w:szCs w:val="18"/>
              </w:rPr>
              <w:t>4</w:t>
            </w:r>
          </w:p>
        </w:tc>
        <w:tc>
          <w:tcPr>
            <w:tcW w:w="1030" w:type="dxa"/>
            <w:tcBorders>
              <w:tl2br w:val="nil"/>
              <w:tr2bl w:val="nil"/>
            </w:tcBorders>
            <w:vAlign w:val="center"/>
          </w:tcPr>
          <w:p>
            <w:pPr>
              <w:rPr>
                <w:sz w:val="18"/>
                <w:szCs w:val="18"/>
              </w:rPr>
            </w:pPr>
            <w:r>
              <w:rPr>
                <w:rFonts w:hint="eastAsia"/>
                <w:sz w:val="18"/>
                <w:szCs w:val="18"/>
              </w:rPr>
              <w:t>综合性</w:t>
            </w:r>
          </w:p>
        </w:tc>
        <w:tc>
          <w:tcPr>
            <w:tcW w:w="1122" w:type="dxa"/>
            <w:tcBorders>
              <w:tl2br w:val="nil"/>
              <w:tr2bl w:val="nil"/>
            </w:tcBorders>
          </w:tcPr>
          <w:p>
            <w:pPr>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19011006h05</w:t>
            </w:r>
          </w:p>
        </w:tc>
        <w:tc>
          <w:tcPr>
            <w:tcW w:w="2977" w:type="dxa"/>
            <w:tcBorders>
              <w:tl2br w:val="nil"/>
              <w:tr2bl w:val="nil"/>
            </w:tcBorders>
            <w:vAlign w:val="center"/>
          </w:tcPr>
          <w:p>
            <w:pPr>
              <w:ind w:firstLine="360"/>
              <w:jc w:val="center"/>
              <w:rPr>
                <w:sz w:val="18"/>
                <w:szCs w:val="18"/>
              </w:rPr>
            </w:pPr>
            <w:r>
              <w:rPr>
                <w:rFonts w:hint="eastAsia"/>
                <w:sz w:val="18"/>
                <w:szCs w:val="18"/>
              </w:rPr>
              <w:t>花卉栽培虚拟仿真实验</w:t>
            </w:r>
          </w:p>
        </w:tc>
        <w:tc>
          <w:tcPr>
            <w:tcW w:w="1060" w:type="dxa"/>
            <w:tcBorders>
              <w:tl2br w:val="nil"/>
              <w:tr2bl w:val="nil"/>
            </w:tcBorders>
            <w:vAlign w:val="center"/>
          </w:tcPr>
          <w:p>
            <w:pPr>
              <w:ind w:firstLine="360"/>
              <w:jc w:val="center"/>
              <w:rPr>
                <w:sz w:val="18"/>
                <w:szCs w:val="18"/>
              </w:rPr>
            </w:pPr>
            <w:r>
              <w:rPr>
                <w:rFonts w:hint="eastAsia"/>
                <w:sz w:val="18"/>
                <w:szCs w:val="18"/>
              </w:rPr>
              <w:t>2</w:t>
            </w:r>
          </w:p>
        </w:tc>
        <w:tc>
          <w:tcPr>
            <w:tcW w:w="1030" w:type="dxa"/>
            <w:tcBorders>
              <w:tl2br w:val="nil"/>
              <w:tr2bl w:val="nil"/>
            </w:tcBorders>
            <w:vAlign w:val="center"/>
          </w:tcPr>
          <w:p>
            <w:pPr>
              <w:rPr>
                <w:sz w:val="18"/>
                <w:szCs w:val="18"/>
              </w:rPr>
            </w:pPr>
            <w:r>
              <w:rPr>
                <w:rFonts w:hint="eastAsia"/>
                <w:sz w:val="18"/>
                <w:szCs w:val="18"/>
              </w:rPr>
              <w:t>设计性</w:t>
            </w:r>
          </w:p>
        </w:tc>
        <w:tc>
          <w:tcPr>
            <w:tcW w:w="1122" w:type="dxa"/>
            <w:tcBorders>
              <w:tl2br w:val="nil"/>
              <w:tr2bl w:val="nil"/>
            </w:tcBorders>
          </w:tcPr>
          <w:p>
            <w:pPr>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19011006h06</w:t>
            </w:r>
          </w:p>
        </w:tc>
        <w:tc>
          <w:tcPr>
            <w:tcW w:w="2977" w:type="dxa"/>
            <w:tcBorders>
              <w:tl2br w:val="nil"/>
              <w:tr2bl w:val="nil"/>
            </w:tcBorders>
            <w:vAlign w:val="center"/>
          </w:tcPr>
          <w:p>
            <w:pPr>
              <w:ind w:firstLine="360"/>
              <w:jc w:val="center"/>
              <w:rPr>
                <w:sz w:val="18"/>
                <w:szCs w:val="18"/>
              </w:rPr>
            </w:pPr>
            <w:r>
              <w:rPr>
                <w:sz w:val="18"/>
                <w:szCs w:val="18"/>
              </w:rPr>
              <w:t>花卉种子繁殖</w:t>
            </w:r>
          </w:p>
        </w:tc>
        <w:tc>
          <w:tcPr>
            <w:tcW w:w="1060" w:type="dxa"/>
            <w:tcBorders>
              <w:tl2br w:val="nil"/>
              <w:tr2bl w:val="nil"/>
            </w:tcBorders>
            <w:vAlign w:val="center"/>
          </w:tcPr>
          <w:p>
            <w:pPr>
              <w:ind w:firstLine="360"/>
              <w:jc w:val="center"/>
              <w:rPr>
                <w:sz w:val="18"/>
                <w:szCs w:val="18"/>
              </w:rPr>
            </w:pPr>
            <w:r>
              <w:rPr>
                <w:rFonts w:hint="eastAsia"/>
                <w:sz w:val="18"/>
                <w:szCs w:val="18"/>
              </w:rPr>
              <w:t>4</w:t>
            </w:r>
          </w:p>
        </w:tc>
        <w:tc>
          <w:tcPr>
            <w:tcW w:w="1030" w:type="dxa"/>
            <w:tcBorders>
              <w:tl2br w:val="nil"/>
              <w:tr2bl w:val="nil"/>
            </w:tcBorders>
            <w:vAlign w:val="center"/>
          </w:tcPr>
          <w:p>
            <w:pPr>
              <w:rPr>
                <w:sz w:val="18"/>
                <w:szCs w:val="18"/>
              </w:rPr>
            </w:pPr>
            <w:r>
              <w:rPr>
                <w:rFonts w:hint="eastAsia"/>
                <w:sz w:val="18"/>
                <w:szCs w:val="18"/>
              </w:rPr>
              <w:t>综合性</w:t>
            </w:r>
          </w:p>
        </w:tc>
        <w:tc>
          <w:tcPr>
            <w:tcW w:w="1122" w:type="dxa"/>
            <w:tcBorders>
              <w:tl2br w:val="nil"/>
              <w:tr2bl w:val="nil"/>
            </w:tcBorders>
          </w:tcPr>
          <w:p>
            <w:pPr>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19011006h07</w:t>
            </w:r>
          </w:p>
        </w:tc>
        <w:tc>
          <w:tcPr>
            <w:tcW w:w="2977" w:type="dxa"/>
            <w:tcBorders>
              <w:tl2br w:val="nil"/>
              <w:tr2bl w:val="nil"/>
            </w:tcBorders>
            <w:vAlign w:val="center"/>
          </w:tcPr>
          <w:p>
            <w:pPr>
              <w:ind w:firstLine="360"/>
              <w:jc w:val="center"/>
              <w:rPr>
                <w:sz w:val="18"/>
                <w:szCs w:val="18"/>
              </w:rPr>
            </w:pPr>
            <w:r>
              <w:rPr>
                <w:sz w:val="18"/>
                <w:szCs w:val="18"/>
              </w:rPr>
              <w:t>花卉分生</w:t>
            </w:r>
            <w:r>
              <w:rPr>
                <w:rFonts w:hint="eastAsia"/>
                <w:sz w:val="18"/>
                <w:szCs w:val="18"/>
              </w:rPr>
              <w:t>和扦插</w:t>
            </w:r>
            <w:r>
              <w:rPr>
                <w:sz w:val="18"/>
                <w:szCs w:val="18"/>
              </w:rPr>
              <w:t>繁殖</w:t>
            </w:r>
          </w:p>
        </w:tc>
        <w:tc>
          <w:tcPr>
            <w:tcW w:w="1060" w:type="dxa"/>
            <w:tcBorders>
              <w:tl2br w:val="nil"/>
              <w:tr2bl w:val="nil"/>
            </w:tcBorders>
            <w:vAlign w:val="center"/>
          </w:tcPr>
          <w:p>
            <w:pPr>
              <w:ind w:firstLine="360"/>
              <w:jc w:val="center"/>
              <w:rPr>
                <w:sz w:val="18"/>
                <w:szCs w:val="18"/>
              </w:rPr>
            </w:pPr>
            <w:r>
              <w:rPr>
                <w:rFonts w:hint="eastAsia"/>
                <w:sz w:val="18"/>
                <w:szCs w:val="18"/>
              </w:rPr>
              <w:t>2</w:t>
            </w:r>
          </w:p>
        </w:tc>
        <w:tc>
          <w:tcPr>
            <w:tcW w:w="1030" w:type="dxa"/>
            <w:tcBorders>
              <w:tl2br w:val="nil"/>
              <w:tr2bl w:val="nil"/>
            </w:tcBorders>
            <w:vAlign w:val="center"/>
          </w:tcPr>
          <w:p>
            <w:pPr>
              <w:rPr>
                <w:sz w:val="18"/>
                <w:szCs w:val="18"/>
              </w:rPr>
            </w:pPr>
            <w:r>
              <w:rPr>
                <w:rFonts w:hint="eastAsia"/>
                <w:sz w:val="18"/>
                <w:szCs w:val="18"/>
              </w:rPr>
              <w:t>综合性</w:t>
            </w:r>
          </w:p>
        </w:tc>
        <w:tc>
          <w:tcPr>
            <w:tcW w:w="1122" w:type="dxa"/>
            <w:tcBorders>
              <w:tl2br w:val="nil"/>
              <w:tr2bl w:val="nil"/>
            </w:tcBorders>
          </w:tcPr>
          <w:p>
            <w:pPr>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19011006h08</w:t>
            </w:r>
          </w:p>
        </w:tc>
        <w:tc>
          <w:tcPr>
            <w:tcW w:w="2977" w:type="dxa"/>
            <w:tcBorders>
              <w:tl2br w:val="nil"/>
              <w:tr2bl w:val="nil"/>
            </w:tcBorders>
            <w:vAlign w:val="center"/>
          </w:tcPr>
          <w:p>
            <w:pPr>
              <w:ind w:firstLine="360"/>
              <w:jc w:val="center"/>
              <w:rPr>
                <w:sz w:val="18"/>
                <w:szCs w:val="18"/>
              </w:rPr>
            </w:pPr>
            <w:r>
              <w:rPr>
                <w:sz w:val="18"/>
                <w:szCs w:val="18"/>
              </w:rPr>
              <w:t>花卉整形修剪</w:t>
            </w:r>
          </w:p>
        </w:tc>
        <w:tc>
          <w:tcPr>
            <w:tcW w:w="1060" w:type="dxa"/>
            <w:tcBorders>
              <w:tl2br w:val="nil"/>
              <w:tr2bl w:val="nil"/>
            </w:tcBorders>
            <w:vAlign w:val="center"/>
          </w:tcPr>
          <w:p>
            <w:pPr>
              <w:ind w:firstLine="360"/>
              <w:jc w:val="center"/>
              <w:rPr>
                <w:sz w:val="18"/>
                <w:szCs w:val="18"/>
              </w:rPr>
            </w:pPr>
            <w:r>
              <w:rPr>
                <w:rFonts w:hint="eastAsia"/>
                <w:sz w:val="18"/>
                <w:szCs w:val="18"/>
              </w:rPr>
              <w:t>2</w:t>
            </w:r>
          </w:p>
        </w:tc>
        <w:tc>
          <w:tcPr>
            <w:tcW w:w="1030" w:type="dxa"/>
            <w:tcBorders>
              <w:tl2br w:val="nil"/>
              <w:tr2bl w:val="nil"/>
            </w:tcBorders>
            <w:vAlign w:val="center"/>
          </w:tcPr>
          <w:p>
            <w:pPr>
              <w:rPr>
                <w:sz w:val="18"/>
                <w:szCs w:val="18"/>
              </w:rPr>
            </w:pPr>
            <w:r>
              <w:rPr>
                <w:rFonts w:hint="eastAsia"/>
                <w:sz w:val="18"/>
                <w:szCs w:val="18"/>
              </w:rPr>
              <w:t>综合性</w:t>
            </w:r>
          </w:p>
        </w:tc>
        <w:tc>
          <w:tcPr>
            <w:tcW w:w="1122" w:type="dxa"/>
            <w:tcBorders>
              <w:tl2br w:val="nil"/>
              <w:tr2bl w:val="nil"/>
            </w:tcBorders>
          </w:tcPr>
          <w:p>
            <w:pPr>
              <w:jc w:val="center"/>
              <w:rPr>
                <w:sz w:val="18"/>
                <w:szCs w:val="18"/>
              </w:rPr>
            </w:pPr>
            <w:r>
              <w:rPr>
                <w:rFonts w:hint="eastAsia"/>
                <w:sz w:val="18"/>
                <w:szCs w:val="18"/>
              </w:rPr>
              <w:t>选做</w:t>
            </w:r>
          </w:p>
        </w:tc>
        <w:tc>
          <w:tcPr>
            <w:tcW w:w="1338" w:type="dxa"/>
            <w:tcBorders>
              <w:tl2br w:val="nil"/>
              <w:tr2bl w:val="nil"/>
            </w:tcBorders>
          </w:tcPr>
          <w:p>
            <w:pPr>
              <w:ind w:firstLine="360"/>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19011006h09</w:t>
            </w:r>
          </w:p>
        </w:tc>
        <w:tc>
          <w:tcPr>
            <w:tcW w:w="2977" w:type="dxa"/>
            <w:tcBorders>
              <w:tl2br w:val="nil"/>
              <w:tr2bl w:val="nil"/>
            </w:tcBorders>
            <w:vAlign w:val="center"/>
          </w:tcPr>
          <w:p>
            <w:pPr>
              <w:ind w:firstLine="360"/>
              <w:jc w:val="center"/>
              <w:rPr>
                <w:sz w:val="18"/>
                <w:szCs w:val="18"/>
              </w:rPr>
            </w:pPr>
            <w:r>
              <w:rPr>
                <w:rFonts w:hint="eastAsia"/>
                <w:sz w:val="18"/>
                <w:szCs w:val="18"/>
              </w:rPr>
              <w:t>创意插花</w:t>
            </w:r>
          </w:p>
        </w:tc>
        <w:tc>
          <w:tcPr>
            <w:tcW w:w="1060" w:type="dxa"/>
            <w:tcBorders>
              <w:tl2br w:val="nil"/>
              <w:tr2bl w:val="nil"/>
            </w:tcBorders>
            <w:vAlign w:val="center"/>
          </w:tcPr>
          <w:p>
            <w:pPr>
              <w:ind w:firstLine="360"/>
              <w:jc w:val="center"/>
              <w:rPr>
                <w:sz w:val="18"/>
                <w:szCs w:val="18"/>
              </w:rPr>
            </w:pPr>
            <w:r>
              <w:rPr>
                <w:rFonts w:hint="eastAsia"/>
                <w:sz w:val="18"/>
                <w:szCs w:val="18"/>
              </w:rPr>
              <w:t>2</w:t>
            </w:r>
          </w:p>
        </w:tc>
        <w:tc>
          <w:tcPr>
            <w:tcW w:w="1030" w:type="dxa"/>
            <w:tcBorders>
              <w:tl2br w:val="nil"/>
              <w:tr2bl w:val="nil"/>
            </w:tcBorders>
            <w:vAlign w:val="center"/>
          </w:tcPr>
          <w:p>
            <w:pPr>
              <w:rPr>
                <w:sz w:val="18"/>
                <w:szCs w:val="18"/>
              </w:rPr>
            </w:pPr>
            <w:r>
              <w:rPr>
                <w:rFonts w:hint="eastAsia"/>
                <w:sz w:val="18"/>
                <w:szCs w:val="18"/>
              </w:rPr>
              <w:t>设计性</w:t>
            </w:r>
          </w:p>
        </w:tc>
        <w:tc>
          <w:tcPr>
            <w:tcW w:w="1122" w:type="dxa"/>
            <w:tcBorders>
              <w:tl2br w:val="nil"/>
              <w:tr2bl w:val="nil"/>
            </w:tcBorders>
            <w:vAlign w:val="center"/>
          </w:tcPr>
          <w:p>
            <w:pPr>
              <w:jc w:val="center"/>
              <w:rPr>
                <w:sz w:val="18"/>
                <w:szCs w:val="18"/>
              </w:rPr>
            </w:pPr>
            <w:r>
              <w:rPr>
                <w:rFonts w:hint="eastAsia"/>
                <w:sz w:val="18"/>
                <w:szCs w:val="18"/>
              </w:rPr>
              <w:t>选做</w:t>
            </w:r>
          </w:p>
        </w:tc>
        <w:tc>
          <w:tcPr>
            <w:tcW w:w="1338" w:type="dxa"/>
            <w:tcBorders>
              <w:tl2br w:val="nil"/>
              <w:tr2bl w:val="nil"/>
            </w:tcBorders>
          </w:tcPr>
          <w:p>
            <w:pPr>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4" w:type="dxa"/>
            <w:tcBorders>
              <w:tl2br w:val="nil"/>
              <w:tr2bl w:val="nil"/>
            </w:tcBorders>
            <w:vAlign w:val="center"/>
          </w:tcPr>
          <w:p>
            <w:pPr>
              <w:rPr>
                <w:sz w:val="18"/>
                <w:szCs w:val="18"/>
              </w:rPr>
            </w:pPr>
            <w:r>
              <w:rPr>
                <w:rFonts w:hint="eastAsia"/>
                <w:sz w:val="18"/>
                <w:szCs w:val="18"/>
              </w:rPr>
              <w:t>19011006h10</w:t>
            </w:r>
          </w:p>
        </w:tc>
        <w:tc>
          <w:tcPr>
            <w:tcW w:w="2977" w:type="dxa"/>
            <w:tcBorders>
              <w:tl2br w:val="nil"/>
              <w:tr2bl w:val="nil"/>
            </w:tcBorders>
            <w:vAlign w:val="center"/>
          </w:tcPr>
          <w:p>
            <w:pPr>
              <w:ind w:firstLine="360"/>
              <w:jc w:val="center"/>
              <w:rPr>
                <w:sz w:val="18"/>
                <w:szCs w:val="18"/>
              </w:rPr>
            </w:pPr>
            <w:r>
              <w:rPr>
                <w:rFonts w:hint="eastAsia"/>
                <w:sz w:val="18"/>
                <w:szCs w:val="18"/>
              </w:rPr>
              <w:t>创意压花</w:t>
            </w:r>
          </w:p>
        </w:tc>
        <w:tc>
          <w:tcPr>
            <w:tcW w:w="1060" w:type="dxa"/>
            <w:tcBorders>
              <w:tl2br w:val="nil"/>
              <w:tr2bl w:val="nil"/>
            </w:tcBorders>
            <w:vAlign w:val="center"/>
          </w:tcPr>
          <w:p>
            <w:pPr>
              <w:ind w:firstLine="360"/>
              <w:jc w:val="center"/>
              <w:rPr>
                <w:sz w:val="18"/>
                <w:szCs w:val="18"/>
              </w:rPr>
            </w:pPr>
            <w:r>
              <w:rPr>
                <w:rFonts w:hint="eastAsia"/>
                <w:sz w:val="18"/>
                <w:szCs w:val="18"/>
              </w:rPr>
              <w:t>2</w:t>
            </w:r>
          </w:p>
        </w:tc>
        <w:tc>
          <w:tcPr>
            <w:tcW w:w="1030" w:type="dxa"/>
            <w:tcBorders>
              <w:tl2br w:val="nil"/>
              <w:tr2bl w:val="nil"/>
            </w:tcBorders>
            <w:vAlign w:val="center"/>
          </w:tcPr>
          <w:p>
            <w:pPr>
              <w:rPr>
                <w:sz w:val="18"/>
                <w:szCs w:val="18"/>
              </w:rPr>
            </w:pPr>
            <w:r>
              <w:rPr>
                <w:rFonts w:hint="eastAsia"/>
                <w:sz w:val="18"/>
                <w:szCs w:val="18"/>
              </w:rPr>
              <w:t>设计性</w:t>
            </w:r>
          </w:p>
        </w:tc>
        <w:tc>
          <w:tcPr>
            <w:tcW w:w="1122" w:type="dxa"/>
            <w:tcBorders>
              <w:tl2br w:val="nil"/>
              <w:tr2bl w:val="nil"/>
            </w:tcBorders>
            <w:vAlign w:val="center"/>
          </w:tcPr>
          <w:p>
            <w:pPr>
              <w:jc w:val="center"/>
              <w:rPr>
                <w:sz w:val="18"/>
                <w:szCs w:val="18"/>
              </w:rPr>
            </w:pPr>
            <w:r>
              <w:rPr>
                <w:rFonts w:hint="eastAsia"/>
                <w:sz w:val="18"/>
                <w:szCs w:val="18"/>
              </w:rPr>
              <w:t>选做</w:t>
            </w:r>
          </w:p>
        </w:tc>
        <w:tc>
          <w:tcPr>
            <w:tcW w:w="1338" w:type="dxa"/>
            <w:tcBorders>
              <w:tl2br w:val="nil"/>
              <w:tr2bl w:val="nil"/>
            </w:tcBorders>
          </w:tcPr>
          <w:p>
            <w:pPr>
              <w:ind w:firstLine="360"/>
              <w:jc w:val="center"/>
              <w:rPr>
                <w:sz w:val="18"/>
                <w:szCs w:val="18"/>
              </w:rPr>
            </w:pPr>
            <w:r>
              <w:rPr>
                <w:rFonts w:hint="eastAsia"/>
                <w:sz w:val="18"/>
                <w:szCs w:val="18"/>
              </w:rPr>
              <w:t>5-6</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bCs/>
          <w:szCs w:val="21"/>
        </w:rPr>
      </w:pPr>
      <w:r>
        <w:rPr>
          <w:rFonts w:hint="eastAsia" w:ascii="宋体" w:hAnsi="宋体"/>
          <w:bCs/>
          <w:szCs w:val="21"/>
        </w:rPr>
        <w:t>实验采用室内与室外相结合方式进行。基础性实验在实验室或室外进行，掌握观赏植物茎、叶、花、果实的形态特征和形态术语，为花卉栽培打下基础。综合性实验主要在公园、花卉市场和花卉生产企业进行，识别常见花卉、学习花卉的繁殖及栽培管理方法。花卉栽培学实验根据观赏植物的物候期和讲课进度，掌握常见花卉的识别要点、分布、生物学特性及栽培、引种注意事项。通过花卉栽培学课程的学习和实验，不仅能够认识常见花卉，更重要的是能够根据花卉的生物学特性和当地的环境条件正确地栽培应用花卉。</w:t>
      </w:r>
    </w:p>
    <w:p>
      <w:pPr>
        <w:snapToGrid w:val="0"/>
        <w:spacing w:line="360" w:lineRule="auto"/>
        <w:ind w:firstLine="420" w:firstLineChars="200"/>
        <w:rPr>
          <w:rFonts w:ascii="宋体" w:hAnsi="宋体"/>
          <w:b/>
          <w:bCs/>
          <w:szCs w:val="21"/>
        </w:rPr>
      </w:pPr>
      <w:r>
        <w:rPr>
          <w:rFonts w:hint="eastAsia" w:ascii="宋体" w:hAnsi="宋体"/>
          <w:bCs/>
          <w:szCs w:val="21"/>
        </w:rPr>
        <w:t>实验课要求为：理解实验原理及实验方案，掌握正确操作规程；掌握各种仪器的使用，《花卉栽培学》实验分为10个项目，20学时，其中7个必做实验、3个选做实验。通过花卉学实验方法或技能的学习，使学生掌握的花卉的分类、识别、生长发育特点、繁殖方法、栽培管理等方面的技术措施和实践技能，为从事花卉生产栽培和经营管理打下基础。</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实验一</w:t>
      </w:r>
      <w:r>
        <w:rPr>
          <w:rFonts w:hint="eastAsia" w:asciiTheme="minorEastAsia" w:hAnsiTheme="minorEastAsia" w:eastAsiaTheme="minorEastAsia"/>
          <w:b/>
          <w:sz w:val="21"/>
          <w:szCs w:val="21"/>
        </w:rPr>
        <w:t>】花卉</w:t>
      </w:r>
      <w:r>
        <w:rPr>
          <w:rFonts w:asciiTheme="minorEastAsia" w:hAnsiTheme="minorEastAsia" w:eastAsiaTheme="minorEastAsia"/>
          <w:b/>
          <w:sz w:val="21"/>
          <w:szCs w:val="21"/>
        </w:rPr>
        <w:t>种子的识别</w:t>
      </w:r>
      <w:r>
        <w:rPr>
          <w:rFonts w:hint="eastAsia" w:asciiTheme="minorEastAsia" w:hAnsiTheme="minorEastAsia" w:eastAsiaTheme="minorEastAsia"/>
          <w:b/>
          <w:sz w:val="21"/>
          <w:szCs w:val="21"/>
        </w:rPr>
        <w:t>、采集与保存</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rPr>
        <w:t>识别常用花卉种子，了解花卉种子采集方法和要求，掌握花卉种子常用的保存方法。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rPr>
        <w:t>花卉种子成熟调查，花卉种子采集和采集记录，观察花卉种子外形特征，称量花卉种子质量和计算千粒重，花卉种子解剖观察，花卉种子保存与贮藏。</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rPr>
        <w:t>花卉种子的识和保存别在实验室进行，花卉种子的采集主要在校园园区进行采集。同时结合视频材料和花卉市场调查等方法完成本实验，要求学生叙述校园花卉种子成熟期和采集方法，花卉种子相关特征测定，包括外形特征、千粒重、分类、色泽等，以一种花卉为例，简述花卉种子保存和贮藏的要求以及步骤。</w:t>
      </w:r>
    </w:p>
    <w:p>
      <w:pPr>
        <w:snapToGrid w:val="0"/>
        <w:spacing w:line="360" w:lineRule="auto"/>
        <w:ind w:firstLine="422" w:firstLineChars="200"/>
        <w:rPr>
          <w:b/>
          <w:szCs w:val="21"/>
        </w:rPr>
      </w:pPr>
      <w:r>
        <w:rPr>
          <w:rFonts w:hint="eastAsia"/>
          <w:b/>
          <w:szCs w:val="21"/>
        </w:rPr>
        <w:t>5.实验设备及器材：</w:t>
      </w:r>
      <w:r>
        <w:rPr>
          <w:rFonts w:hint="eastAsia" w:ascii="宋体" w:hAnsi="宋体"/>
          <w:bCs/>
        </w:rPr>
        <w:t>放大镜，种子袋，小剪刀，镊子，培养皿，电子天平，普通天平，干燥箱，广口瓶等。</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二】花卉分类</w:t>
      </w:r>
      <w:r>
        <w:rPr>
          <w:rFonts w:asciiTheme="minorEastAsia" w:hAnsiTheme="minorEastAsia" w:eastAsiaTheme="minorEastAsia"/>
          <w:b/>
          <w:sz w:val="21"/>
          <w:szCs w:val="21"/>
        </w:rPr>
        <w:t>识别</w:t>
      </w:r>
    </w:p>
    <w:p>
      <w:pPr>
        <w:snapToGrid w:val="0"/>
        <w:spacing w:line="360" w:lineRule="auto"/>
        <w:ind w:firstLine="422" w:firstLineChars="200"/>
      </w:pPr>
      <w:r>
        <w:rPr>
          <w:rFonts w:hint="eastAsia"/>
          <w:b/>
          <w:szCs w:val="21"/>
        </w:rPr>
        <w:t>1.实验学时：</w:t>
      </w:r>
      <w:r>
        <w:rPr>
          <w:rFonts w:hint="eastAsia" w:ascii="宋体" w:hAnsi="宋体"/>
          <w:bCs/>
        </w:rPr>
        <w:t>4</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rPr>
        <w:t>要求识别30种以上常见的花卉（包括木本和草本），掌握其主要形态特征，了解其生物学习性，生态习性和观赏特性，为花卉的繁殖、栽培和园林应用打下良好的基础。</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rPr>
        <w:t>（1）指导教师现场讲解每种花卉的名称，可数，识别要点，生态习性，分类，原产地等方面的信息。简要介绍每种花卉的繁殖要点和栽培要点，学生做好记录。（2）依据老师讲解内容，学生对照花卉识别手册或教材，进行观察分析，并记录花卉主要观赏特性，加深印象和记忆。利用数码相机进行必要的摄影和记录。（3）指导老师现场提问及答疑。提问诱导学生根据植物形态特征、原产地和生态习性等方面思考其栽培繁殖的时间和方法，以及如何在园林中进行应用。</w:t>
      </w:r>
    </w:p>
    <w:p>
      <w:pPr>
        <w:snapToGrid w:val="0"/>
        <w:spacing w:line="360" w:lineRule="auto"/>
        <w:ind w:firstLine="422" w:firstLineChars="200"/>
        <w:rPr>
          <w:rFonts w:ascii="宋体" w:hAnsi="宋体"/>
          <w:bCs/>
        </w:rPr>
      </w:pPr>
      <w:r>
        <w:rPr>
          <w:rFonts w:hint="eastAsia"/>
          <w:b/>
          <w:szCs w:val="21"/>
        </w:rPr>
        <w:t>4.实验要求：</w:t>
      </w:r>
      <w:r>
        <w:rPr>
          <w:rFonts w:hint="eastAsia" w:ascii="宋体" w:hAnsi="宋体"/>
          <w:bCs/>
        </w:rPr>
        <w:t>要求学生将所见的花卉进行分类，具体要：（1）种类不低于30种，尽量包含各种不同的花卉类型，如一二年生、宿根、球根、观叶植物、木本花卉等都应包括。（2）形态描述时只要求撰写主要识别特征。（3）本实验报告必须手写，不得打印。</w:t>
      </w:r>
    </w:p>
    <w:p>
      <w:pPr>
        <w:snapToGrid w:val="0"/>
        <w:spacing w:line="360" w:lineRule="auto"/>
        <w:ind w:firstLine="422" w:firstLineChars="200"/>
        <w:rPr>
          <w:b/>
          <w:szCs w:val="21"/>
        </w:rPr>
      </w:pPr>
      <w:r>
        <w:rPr>
          <w:rFonts w:hint="eastAsia"/>
          <w:b/>
          <w:szCs w:val="21"/>
        </w:rPr>
        <w:t>5.实验设备及器材：</w:t>
      </w:r>
      <w:r>
        <w:rPr>
          <w:rFonts w:hint="eastAsia" w:ascii="宋体" w:hAnsi="宋体"/>
          <w:bCs/>
        </w:rPr>
        <w:t>数码相机，放大镜，钢卷尺，直尺等。</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三】</w:t>
      </w:r>
      <w:r>
        <w:rPr>
          <w:rFonts w:asciiTheme="minorEastAsia" w:hAnsiTheme="minorEastAsia" w:eastAsiaTheme="minorEastAsia"/>
          <w:b/>
          <w:sz w:val="21"/>
          <w:szCs w:val="21"/>
        </w:rPr>
        <w:t>花卉栽培设施的参观与评价</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firstLine="422" w:firstLineChars="200"/>
        <w:rPr>
          <w:b/>
          <w:szCs w:val="21"/>
        </w:rPr>
      </w:pPr>
      <w:r>
        <w:rPr>
          <w:rFonts w:hint="eastAsia"/>
          <w:b/>
          <w:szCs w:val="21"/>
        </w:rPr>
        <w:t>2.实验目的：</w:t>
      </w:r>
      <w:r>
        <w:rPr>
          <w:rFonts w:hint="eastAsia" w:ascii="宋体" w:hAnsi="宋体"/>
          <w:bCs/>
        </w:rPr>
        <w:t>通过对不同园艺栽培设施的实地调查，测量分析，结合观看影像资料，掌握本地区主要花卉栽培设施的结构特点，性能及应用学会花卉设施构建的识别及其合理性的评估。</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rPr>
        <w:t>调查和测量，进行实地调查，访问和测量，将测量结果和调查资料整理成实验报告。思考本地区主要园艺栽培设施结构的特点和形成原因。</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rPr>
        <w:t>从本地区园艺栽培设施类型结构性能及其应用的角度写出调查报告，画出主要设施类型的结构示意图。注明各部位名称和尺寸，并指出优缺点，和改进意见。思考本地区主要设施栽培设施结构的特点和形成原因。</w:t>
      </w:r>
    </w:p>
    <w:p>
      <w:pPr>
        <w:snapToGrid w:val="0"/>
        <w:spacing w:line="360" w:lineRule="auto"/>
        <w:ind w:firstLine="422" w:firstLineChars="200"/>
        <w:rPr>
          <w:rFonts w:ascii="宋体" w:hAnsi="宋体"/>
          <w:bCs/>
        </w:rPr>
      </w:pPr>
      <w:r>
        <w:rPr>
          <w:rFonts w:hint="eastAsia"/>
          <w:b/>
          <w:szCs w:val="21"/>
        </w:rPr>
        <w:t>5.实验设备及器材：</w:t>
      </w:r>
      <w:r>
        <w:rPr>
          <w:rFonts w:hint="eastAsia" w:ascii="宋体" w:hAnsi="宋体"/>
          <w:bCs/>
        </w:rPr>
        <w:t>室外调查皮尺，钢卷尺等测量用具，及铅笔、直尺等记录用具。影像资料及设备：不同园艺栽培设施类型和结构的幻灯片，录像、光盘等影像资料以及幻灯机、放映机等影像设备。</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四】月季品种识别及栽培管理技术</w:t>
      </w:r>
    </w:p>
    <w:p>
      <w:pPr>
        <w:snapToGrid w:val="0"/>
        <w:spacing w:line="360" w:lineRule="auto"/>
        <w:ind w:firstLine="422" w:firstLineChars="200"/>
      </w:pPr>
      <w:r>
        <w:rPr>
          <w:rFonts w:hint="eastAsia"/>
          <w:b/>
          <w:szCs w:val="21"/>
        </w:rPr>
        <w:t>1.实验学时：</w:t>
      </w:r>
      <w:r>
        <w:rPr>
          <w:rFonts w:hint="eastAsia" w:ascii="宋体" w:hAnsi="宋体"/>
          <w:bCs/>
        </w:rPr>
        <w:t>4</w:t>
      </w:r>
    </w:p>
    <w:p>
      <w:pPr>
        <w:snapToGrid w:val="0"/>
        <w:spacing w:line="360" w:lineRule="auto"/>
        <w:ind w:firstLine="422" w:firstLineChars="200"/>
        <w:rPr>
          <w:rFonts w:ascii="宋体" w:hAnsi="宋体"/>
          <w:bCs/>
        </w:rPr>
      </w:pPr>
      <w:r>
        <w:rPr>
          <w:rFonts w:hint="eastAsia"/>
          <w:b/>
          <w:szCs w:val="21"/>
        </w:rPr>
        <w:t>2.实验目的：</w:t>
      </w:r>
      <w:r>
        <w:rPr>
          <w:rFonts w:hint="eastAsia" w:ascii="宋体" w:hAnsi="宋体"/>
          <w:bCs/>
        </w:rPr>
        <w:t>依据月季品种分类原则，掌握月季的基本形态特征，了解生物学特性及基繁殖方法、栽培管理技术及园林应用。</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rPr>
        <w:t>观察50个以上的月季品种，用测量尺测株高及叶、花的大小，仔细观察花的色泽、形态等。</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rPr>
        <w:t>引导学生认真观察，测量和记载月季的叶形、花的大小、花的颜色、花型，并能根据记载资料区别不同种类的月季。</w:t>
      </w:r>
    </w:p>
    <w:p>
      <w:pPr>
        <w:snapToGrid w:val="0"/>
        <w:spacing w:line="360" w:lineRule="auto"/>
        <w:ind w:firstLine="422" w:firstLineChars="200"/>
        <w:rPr>
          <w:rFonts w:ascii="宋体" w:hAnsi="宋体"/>
          <w:bCs/>
        </w:rPr>
      </w:pPr>
      <w:r>
        <w:rPr>
          <w:rFonts w:hint="eastAsia"/>
          <w:b/>
          <w:szCs w:val="21"/>
        </w:rPr>
        <w:t>5.实验设备及器材：</w:t>
      </w:r>
      <w:r>
        <w:rPr>
          <w:rFonts w:hint="eastAsia" w:ascii="宋体" w:hAnsi="宋体"/>
          <w:bCs/>
        </w:rPr>
        <w:t>多种刻度范围的直尺、游标卡尺、色卡等。</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五】花卉栽培虚拟仿真实验</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left="197" w:firstLine="223"/>
        <w:rPr>
          <w:b/>
          <w:szCs w:val="21"/>
        </w:rPr>
      </w:pPr>
      <w:r>
        <w:rPr>
          <w:rFonts w:hint="eastAsia"/>
          <w:b/>
          <w:szCs w:val="21"/>
        </w:rPr>
        <w:t>2.实验目的：</w:t>
      </w:r>
      <w:r>
        <w:rPr>
          <w:rFonts w:hint="eastAsia" w:hAnsi="宋体"/>
          <w:szCs w:val="21"/>
          <w:shd w:val="clear" w:color="auto" w:fill="FFFFFF"/>
        </w:rPr>
        <w:t>系统提供直观真实的三维模型场景，提供给学生进行模拟操作的实训场地，通过对花卉栽培和繁殖等流程的模拟训练和考核，提高学生实际的动手能力和对花卉的认识；通过仿真实验让学生更好的掌握花卉的栽培管理技巧和繁殖方式。</w:t>
      </w:r>
    </w:p>
    <w:p>
      <w:pPr>
        <w:snapToGrid w:val="0"/>
        <w:spacing w:line="360" w:lineRule="auto"/>
        <w:ind w:firstLine="420"/>
        <w:rPr>
          <w:b/>
          <w:szCs w:val="21"/>
        </w:rPr>
      </w:pPr>
      <w:r>
        <w:rPr>
          <w:rFonts w:hint="eastAsia"/>
          <w:b/>
          <w:szCs w:val="21"/>
        </w:rPr>
        <w:t>3.实验内容：</w:t>
      </w:r>
    </w:p>
    <w:p>
      <w:pPr>
        <w:snapToGrid w:val="0"/>
        <w:spacing w:line="360" w:lineRule="auto"/>
        <w:ind w:firstLine="420"/>
        <w:rPr>
          <w:szCs w:val="21"/>
        </w:rPr>
      </w:pPr>
      <w:r>
        <w:rPr>
          <w:rFonts w:hAnsi="宋体"/>
          <w:szCs w:val="21"/>
        </w:rPr>
        <w:t>（</w:t>
      </w:r>
      <w:r>
        <w:rPr>
          <w:szCs w:val="21"/>
        </w:rPr>
        <w:t>1</w:t>
      </w:r>
      <w:r>
        <w:rPr>
          <w:rFonts w:hAnsi="宋体"/>
          <w:szCs w:val="21"/>
        </w:rPr>
        <w:t>）</w:t>
      </w:r>
      <w:r>
        <w:rPr>
          <w:rFonts w:hint="eastAsia" w:hAnsi="宋体"/>
          <w:szCs w:val="21"/>
        </w:rPr>
        <w:t>学生熟悉虚拟仿真系统不同模块的内容。</w:t>
      </w:r>
    </w:p>
    <w:p>
      <w:pPr>
        <w:snapToGrid w:val="0"/>
        <w:spacing w:line="360" w:lineRule="auto"/>
        <w:ind w:firstLine="420"/>
        <w:rPr>
          <w:szCs w:val="21"/>
        </w:rPr>
      </w:pPr>
      <w:r>
        <w:rPr>
          <w:rFonts w:hAnsi="宋体"/>
          <w:szCs w:val="21"/>
        </w:rPr>
        <w:t>（</w:t>
      </w:r>
      <w:r>
        <w:rPr>
          <w:szCs w:val="21"/>
        </w:rPr>
        <w:t>2</w:t>
      </w:r>
      <w:r>
        <w:rPr>
          <w:rFonts w:hAnsi="宋体"/>
          <w:szCs w:val="21"/>
        </w:rPr>
        <w:t>）</w:t>
      </w:r>
      <w:r>
        <w:rPr>
          <w:rFonts w:hint="eastAsia" w:hAnsi="宋体"/>
          <w:szCs w:val="21"/>
        </w:rPr>
        <w:t>根据不同模块的要求进行操作和模拟训练</w:t>
      </w:r>
      <w:r>
        <w:rPr>
          <w:rFonts w:hAnsi="宋体"/>
          <w:szCs w:val="21"/>
        </w:rPr>
        <w:t>。</w:t>
      </w:r>
    </w:p>
    <w:p>
      <w:pPr>
        <w:snapToGrid w:val="0"/>
        <w:spacing w:line="360" w:lineRule="auto"/>
        <w:ind w:firstLine="420" w:firstLineChars="200"/>
        <w:rPr>
          <w:szCs w:val="21"/>
        </w:rPr>
      </w:pPr>
      <w:r>
        <w:rPr>
          <w:rFonts w:hAnsi="宋体"/>
          <w:szCs w:val="21"/>
        </w:rPr>
        <w:t>（</w:t>
      </w:r>
      <w:r>
        <w:rPr>
          <w:szCs w:val="21"/>
        </w:rPr>
        <w:t>3</w:t>
      </w:r>
      <w:r>
        <w:rPr>
          <w:rFonts w:hAnsi="宋体"/>
          <w:szCs w:val="21"/>
        </w:rPr>
        <w:t>）</w:t>
      </w:r>
      <w:r>
        <w:rPr>
          <w:rFonts w:hint="eastAsia" w:hAnsi="宋体"/>
          <w:szCs w:val="21"/>
        </w:rPr>
        <w:t>完成不同模块的考核内容</w:t>
      </w:r>
      <w:r>
        <w:rPr>
          <w:rFonts w:hAnsi="宋体"/>
          <w:szCs w:val="21"/>
        </w:rPr>
        <w:t>。</w:t>
      </w:r>
    </w:p>
    <w:p>
      <w:pPr>
        <w:snapToGrid w:val="0"/>
        <w:spacing w:line="360" w:lineRule="auto"/>
        <w:ind w:firstLine="422" w:firstLineChars="200"/>
        <w:rPr>
          <w:b/>
          <w:szCs w:val="21"/>
        </w:rPr>
      </w:pPr>
      <w:r>
        <w:rPr>
          <w:rFonts w:hint="eastAsia"/>
          <w:b/>
          <w:szCs w:val="21"/>
        </w:rPr>
        <w:t>4.实验要求：</w:t>
      </w:r>
    </w:p>
    <w:p>
      <w:pPr>
        <w:snapToGrid w:val="0"/>
        <w:spacing w:line="360" w:lineRule="auto"/>
        <w:ind w:firstLine="420" w:firstLineChars="200"/>
        <w:rPr>
          <w:bCs/>
          <w:szCs w:val="21"/>
        </w:rPr>
      </w:pPr>
      <w:r>
        <w:rPr>
          <w:bCs/>
          <w:szCs w:val="21"/>
        </w:rPr>
        <w:t>（1）</w:t>
      </w:r>
      <w:r>
        <w:rPr>
          <w:rFonts w:hint="eastAsia" w:hAnsi="宋体"/>
          <w:szCs w:val="21"/>
        </w:rPr>
        <w:t>学生要严格按照要求熟悉和使用虚拟仿真系统</w:t>
      </w:r>
      <w:r>
        <w:rPr>
          <w:rFonts w:hint="eastAsia"/>
          <w:bCs/>
          <w:szCs w:val="21"/>
        </w:rPr>
        <w:t>。</w:t>
      </w:r>
    </w:p>
    <w:p>
      <w:pPr>
        <w:snapToGrid w:val="0"/>
        <w:spacing w:line="360" w:lineRule="auto"/>
        <w:ind w:firstLine="420"/>
        <w:rPr>
          <w:bCs/>
          <w:szCs w:val="21"/>
        </w:rPr>
      </w:pPr>
      <w:r>
        <w:rPr>
          <w:bCs/>
          <w:szCs w:val="21"/>
        </w:rPr>
        <w:t>（2）</w:t>
      </w:r>
      <w:r>
        <w:rPr>
          <w:rFonts w:hint="eastAsia"/>
          <w:bCs/>
          <w:szCs w:val="21"/>
        </w:rPr>
        <w:t>每位学生要独立完成每个模块的内容。</w:t>
      </w:r>
    </w:p>
    <w:p>
      <w:pPr>
        <w:snapToGrid w:val="0"/>
        <w:spacing w:line="360" w:lineRule="auto"/>
        <w:ind w:firstLine="420" w:firstLineChars="200"/>
        <w:rPr>
          <w:b/>
          <w:szCs w:val="21"/>
        </w:rPr>
      </w:pPr>
      <w:r>
        <w:rPr>
          <w:bCs/>
          <w:szCs w:val="21"/>
        </w:rPr>
        <w:t>（</w:t>
      </w:r>
      <w:r>
        <w:rPr>
          <w:rFonts w:hint="eastAsia"/>
          <w:bCs/>
          <w:szCs w:val="21"/>
        </w:rPr>
        <w:t>3</w:t>
      </w:r>
      <w:r>
        <w:rPr>
          <w:bCs/>
          <w:szCs w:val="21"/>
        </w:rPr>
        <w:t>）</w:t>
      </w:r>
      <w:r>
        <w:rPr>
          <w:rFonts w:hint="eastAsia"/>
          <w:bCs/>
          <w:szCs w:val="21"/>
        </w:rPr>
        <w:t>根据要求完成实验报告</w:t>
      </w:r>
      <w:r>
        <w:rPr>
          <w:bCs/>
          <w:szCs w:val="21"/>
        </w:rPr>
        <w:t>。</w:t>
      </w:r>
    </w:p>
    <w:p>
      <w:pPr>
        <w:snapToGrid w:val="0"/>
        <w:spacing w:line="360" w:lineRule="auto"/>
        <w:ind w:firstLine="422" w:firstLineChars="200"/>
        <w:rPr>
          <w:rFonts w:ascii="宋体" w:hAnsi="宋体"/>
          <w:bCs/>
        </w:rPr>
      </w:pPr>
      <w:r>
        <w:rPr>
          <w:rFonts w:hint="eastAsia"/>
          <w:b/>
          <w:szCs w:val="21"/>
        </w:rPr>
        <w:t>5.实验设备及器材：</w:t>
      </w:r>
      <w:r>
        <w:rPr>
          <w:rFonts w:hint="eastAsia" w:hAnsi="宋体"/>
          <w:szCs w:val="21"/>
        </w:rPr>
        <w:t>多媒体教室</w:t>
      </w:r>
      <w:r>
        <w:rPr>
          <w:rFonts w:hAnsi="宋体"/>
          <w:szCs w:val="21"/>
        </w:rPr>
        <w:t>。</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六】</w:t>
      </w:r>
      <w:r>
        <w:rPr>
          <w:rFonts w:asciiTheme="minorEastAsia" w:hAnsiTheme="minorEastAsia" w:eastAsiaTheme="minorEastAsia"/>
          <w:b/>
          <w:sz w:val="21"/>
          <w:szCs w:val="21"/>
        </w:rPr>
        <w:t>花卉种子繁殖</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left="197" w:firstLine="223"/>
        <w:rPr>
          <w:b/>
          <w:szCs w:val="21"/>
        </w:rPr>
      </w:pPr>
      <w:r>
        <w:rPr>
          <w:rFonts w:hint="eastAsia"/>
          <w:b/>
          <w:szCs w:val="21"/>
        </w:rPr>
        <w:t>2.实验目的：</w:t>
      </w:r>
      <w:r>
        <w:rPr>
          <w:rFonts w:hint="eastAsia" w:hAnsi="宋体"/>
          <w:szCs w:val="21"/>
          <w:shd w:val="clear" w:color="auto" w:fill="FFFFFF"/>
        </w:rPr>
        <w:t>通过劳动实践，使学生熟悉人工露地播种育苗的各个过程，掌握花卉播种过程中的关键技术；通过播种责任田划分和不同责任田之间的评比培养学生的责任感和荣誉感。</w:t>
      </w:r>
    </w:p>
    <w:p>
      <w:pPr>
        <w:snapToGrid w:val="0"/>
        <w:spacing w:line="360" w:lineRule="auto"/>
        <w:ind w:firstLine="420"/>
        <w:rPr>
          <w:b/>
          <w:szCs w:val="21"/>
        </w:rPr>
      </w:pPr>
      <w:r>
        <w:rPr>
          <w:rFonts w:hint="eastAsia"/>
          <w:b/>
          <w:szCs w:val="21"/>
        </w:rPr>
        <w:t>3.实验内容：</w:t>
      </w:r>
    </w:p>
    <w:p>
      <w:pPr>
        <w:snapToGrid w:val="0"/>
        <w:spacing w:line="360" w:lineRule="auto"/>
        <w:ind w:firstLine="420"/>
        <w:rPr>
          <w:szCs w:val="21"/>
        </w:rPr>
      </w:pPr>
      <w:r>
        <w:rPr>
          <w:rFonts w:hAnsi="宋体"/>
          <w:szCs w:val="21"/>
        </w:rPr>
        <w:t>（</w:t>
      </w:r>
      <w:r>
        <w:rPr>
          <w:szCs w:val="21"/>
        </w:rPr>
        <w:t>1</w:t>
      </w:r>
      <w:r>
        <w:rPr>
          <w:rFonts w:hAnsi="宋体"/>
          <w:szCs w:val="21"/>
        </w:rPr>
        <w:t>）</w:t>
      </w:r>
      <w:r>
        <w:rPr>
          <w:rFonts w:hint="eastAsia" w:hAnsi="宋体"/>
          <w:szCs w:val="21"/>
          <w:shd w:val="clear" w:color="auto" w:fill="FFFFFF"/>
        </w:rPr>
        <w:t>播种责任田的耕翻操作</w:t>
      </w:r>
      <w:r>
        <w:rPr>
          <w:rFonts w:hint="eastAsia" w:hAnsi="宋体"/>
          <w:szCs w:val="21"/>
        </w:rPr>
        <w:t>。</w:t>
      </w:r>
    </w:p>
    <w:p>
      <w:pPr>
        <w:snapToGrid w:val="0"/>
        <w:spacing w:line="360" w:lineRule="auto"/>
        <w:ind w:firstLine="420"/>
        <w:rPr>
          <w:szCs w:val="21"/>
        </w:rPr>
      </w:pPr>
      <w:r>
        <w:rPr>
          <w:rFonts w:hAnsi="宋体"/>
          <w:szCs w:val="21"/>
        </w:rPr>
        <w:t>（</w:t>
      </w:r>
      <w:r>
        <w:rPr>
          <w:szCs w:val="21"/>
        </w:rPr>
        <w:t>2</w:t>
      </w:r>
      <w:r>
        <w:rPr>
          <w:rFonts w:hAnsi="宋体"/>
          <w:szCs w:val="21"/>
        </w:rPr>
        <w:t>）</w:t>
      </w:r>
      <w:r>
        <w:rPr>
          <w:rFonts w:hint="eastAsia" w:hAnsi="宋体"/>
          <w:szCs w:val="21"/>
        </w:rPr>
        <w:t>识别所播种的花卉种子，并在教师的带领下进行播种</w:t>
      </w:r>
      <w:r>
        <w:rPr>
          <w:rFonts w:hAnsi="宋体"/>
          <w:szCs w:val="21"/>
        </w:rPr>
        <w:t>。</w:t>
      </w:r>
    </w:p>
    <w:p>
      <w:pPr>
        <w:snapToGrid w:val="0"/>
        <w:spacing w:line="360" w:lineRule="auto"/>
        <w:ind w:firstLine="420" w:firstLineChars="200"/>
        <w:rPr>
          <w:szCs w:val="21"/>
        </w:rPr>
      </w:pPr>
      <w:r>
        <w:rPr>
          <w:rFonts w:hAnsi="宋体"/>
          <w:szCs w:val="21"/>
        </w:rPr>
        <w:t>（</w:t>
      </w:r>
      <w:r>
        <w:rPr>
          <w:szCs w:val="21"/>
        </w:rPr>
        <w:t>3</w:t>
      </w:r>
      <w:r>
        <w:rPr>
          <w:rFonts w:hAnsi="宋体"/>
          <w:szCs w:val="21"/>
        </w:rPr>
        <w:t>）</w:t>
      </w:r>
      <w:r>
        <w:rPr>
          <w:rFonts w:hint="eastAsia" w:hAnsi="宋体"/>
          <w:szCs w:val="21"/>
        </w:rPr>
        <w:t>教师和学生共同对</w:t>
      </w:r>
      <w:r>
        <w:rPr>
          <w:rFonts w:hint="eastAsia" w:hAnsi="宋体"/>
          <w:szCs w:val="21"/>
          <w:shd w:val="clear" w:color="auto" w:fill="FFFFFF"/>
        </w:rPr>
        <w:t>不同责任田进行评比，包括责任田耕翻质量、播种质量以及后期出苗质量等</w:t>
      </w:r>
      <w:r>
        <w:rPr>
          <w:rFonts w:hAnsi="宋体"/>
          <w:szCs w:val="21"/>
        </w:rPr>
        <w:t>。</w:t>
      </w:r>
    </w:p>
    <w:p>
      <w:pPr>
        <w:snapToGrid w:val="0"/>
        <w:spacing w:line="360" w:lineRule="auto"/>
        <w:ind w:firstLine="422" w:firstLineChars="200"/>
        <w:rPr>
          <w:b/>
          <w:szCs w:val="21"/>
        </w:rPr>
      </w:pPr>
      <w:r>
        <w:rPr>
          <w:rFonts w:hint="eastAsia"/>
          <w:b/>
          <w:szCs w:val="21"/>
        </w:rPr>
        <w:t>4.实验要求：</w:t>
      </w:r>
    </w:p>
    <w:p>
      <w:pPr>
        <w:snapToGrid w:val="0"/>
        <w:spacing w:line="360" w:lineRule="auto"/>
        <w:ind w:firstLine="420" w:firstLineChars="200"/>
        <w:rPr>
          <w:bCs/>
          <w:szCs w:val="21"/>
        </w:rPr>
      </w:pPr>
      <w:r>
        <w:rPr>
          <w:bCs/>
          <w:szCs w:val="21"/>
        </w:rPr>
        <w:t>（1）</w:t>
      </w:r>
      <w:r>
        <w:rPr>
          <w:rFonts w:hint="eastAsia"/>
          <w:bCs/>
          <w:szCs w:val="21"/>
        </w:rPr>
        <w:t>本实验是几位同学合作完成，既有分工，又有合作，保证实验质量。</w:t>
      </w:r>
    </w:p>
    <w:p>
      <w:pPr>
        <w:snapToGrid w:val="0"/>
        <w:spacing w:line="360" w:lineRule="auto"/>
        <w:ind w:firstLine="420"/>
        <w:rPr>
          <w:rFonts w:hAnsi="宋体"/>
          <w:szCs w:val="21"/>
        </w:rPr>
      </w:pPr>
      <w:r>
        <w:rPr>
          <w:bCs/>
          <w:szCs w:val="21"/>
        </w:rPr>
        <w:t>（2）</w:t>
      </w:r>
      <w:r>
        <w:rPr>
          <w:rFonts w:hint="eastAsia"/>
          <w:bCs/>
          <w:szCs w:val="21"/>
        </w:rPr>
        <w:t>对</w:t>
      </w:r>
      <w:r>
        <w:rPr>
          <w:rFonts w:hint="eastAsia" w:hAnsi="宋体"/>
          <w:szCs w:val="21"/>
        </w:rPr>
        <w:t>所播种的花卉，进行资料查阅，进一步了解其形态特征和栽培管理特点等。</w:t>
      </w:r>
    </w:p>
    <w:p>
      <w:pPr>
        <w:snapToGrid w:val="0"/>
        <w:spacing w:line="360" w:lineRule="auto"/>
        <w:ind w:firstLine="420" w:firstLineChars="200"/>
        <w:rPr>
          <w:rFonts w:hAnsi="宋体"/>
          <w:szCs w:val="21"/>
        </w:rPr>
      </w:pPr>
      <w:r>
        <w:rPr>
          <w:bCs/>
          <w:szCs w:val="21"/>
        </w:rPr>
        <w:t>（</w:t>
      </w:r>
      <w:r>
        <w:rPr>
          <w:rFonts w:hint="eastAsia"/>
          <w:bCs/>
          <w:szCs w:val="21"/>
        </w:rPr>
        <w:t>3</w:t>
      </w:r>
      <w:r>
        <w:rPr>
          <w:bCs/>
          <w:szCs w:val="21"/>
        </w:rPr>
        <w:t>）</w:t>
      </w:r>
      <w:r>
        <w:rPr>
          <w:rFonts w:hint="eastAsia"/>
          <w:bCs/>
          <w:szCs w:val="21"/>
        </w:rPr>
        <w:t>根据要求对责任田进行管理</w:t>
      </w:r>
      <w:r>
        <w:rPr>
          <w:bCs/>
          <w:szCs w:val="21"/>
        </w:rPr>
        <w:t>。</w:t>
      </w:r>
    </w:p>
    <w:p>
      <w:pPr>
        <w:snapToGrid w:val="0"/>
        <w:spacing w:line="360" w:lineRule="auto"/>
        <w:ind w:firstLine="420" w:firstLineChars="200"/>
        <w:rPr>
          <w:rFonts w:ascii="宋体" w:hAnsi="宋体"/>
          <w:bCs/>
          <w:szCs w:val="21"/>
        </w:rPr>
      </w:pPr>
      <w:r>
        <w:rPr>
          <w:bCs/>
          <w:szCs w:val="21"/>
        </w:rPr>
        <w:t>（</w:t>
      </w:r>
      <w:r>
        <w:rPr>
          <w:rFonts w:hint="eastAsia"/>
          <w:bCs/>
          <w:szCs w:val="21"/>
        </w:rPr>
        <w:t>4</w:t>
      </w:r>
      <w:r>
        <w:rPr>
          <w:bCs/>
          <w:szCs w:val="21"/>
        </w:rPr>
        <w:t>）</w:t>
      </w:r>
      <w:r>
        <w:rPr>
          <w:rFonts w:hint="eastAsia"/>
          <w:bCs/>
          <w:szCs w:val="21"/>
        </w:rPr>
        <w:t>根据要求完成实验报告</w:t>
      </w:r>
      <w:r>
        <w:rPr>
          <w:bCs/>
          <w:szCs w:val="21"/>
        </w:rPr>
        <w:t>。</w:t>
      </w:r>
    </w:p>
    <w:p>
      <w:pPr>
        <w:snapToGrid w:val="0"/>
        <w:spacing w:line="360" w:lineRule="auto"/>
        <w:ind w:firstLine="422" w:firstLineChars="200"/>
        <w:rPr>
          <w:rFonts w:ascii="宋体" w:hAnsi="宋体"/>
          <w:bCs/>
        </w:rPr>
      </w:pPr>
      <w:r>
        <w:rPr>
          <w:rFonts w:hint="eastAsia"/>
          <w:b/>
          <w:szCs w:val="21"/>
        </w:rPr>
        <w:t>5.实验设备及器材：</w:t>
      </w:r>
      <w:r>
        <w:rPr>
          <w:rFonts w:hAnsi="宋体"/>
          <w:bCs/>
          <w:szCs w:val="21"/>
        </w:rPr>
        <w:t>笔记本</w:t>
      </w:r>
      <w:r>
        <w:rPr>
          <w:rFonts w:hint="eastAsia" w:hAnsi="宋体"/>
          <w:bCs/>
          <w:szCs w:val="21"/>
        </w:rPr>
        <w:t>、</w:t>
      </w:r>
      <w:r>
        <w:rPr>
          <w:rFonts w:hint="eastAsia"/>
          <w:bCs/>
          <w:szCs w:val="21"/>
        </w:rPr>
        <w:t>种子、耙子</w:t>
      </w:r>
      <w:r>
        <w:rPr>
          <w:rFonts w:hint="eastAsia" w:hAnsi="宋体"/>
          <w:bCs/>
          <w:szCs w:val="21"/>
        </w:rPr>
        <w:t>、锄头、铁锨等农具</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七】</w:t>
      </w:r>
      <w:r>
        <w:rPr>
          <w:rFonts w:asciiTheme="minorEastAsia" w:hAnsiTheme="minorEastAsia" w:eastAsiaTheme="minorEastAsia"/>
          <w:b/>
          <w:sz w:val="21"/>
          <w:szCs w:val="21"/>
        </w:rPr>
        <w:t>花卉分生</w:t>
      </w:r>
      <w:r>
        <w:rPr>
          <w:rFonts w:hint="eastAsia" w:asciiTheme="minorEastAsia" w:hAnsiTheme="minorEastAsia" w:eastAsiaTheme="minorEastAsia"/>
          <w:b/>
          <w:sz w:val="21"/>
          <w:szCs w:val="21"/>
        </w:rPr>
        <w:t>和扦插</w:t>
      </w:r>
      <w:r>
        <w:rPr>
          <w:rFonts w:asciiTheme="minorEastAsia" w:hAnsiTheme="minorEastAsia" w:eastAsiaTheme="minorEastAsia"/>
          <w:b/>
          <w:sz w:val="21"/>
          <w:szCs w:val="21"/>
        </w:rPr>
        <w:t>繁殖</w:t>
      </w:r>
    </w:p>
    <w:p>
      <w:pPr>
        <w:snapToGrid w:val="0"/>
        <w:spacing w:line="360" w:lineRule="auto"/>
        <w:ind w:firstLine="422" w:firstLineChars="200"/>
      </w:pPr>
      <w:r>
        <w:rPr>
          <w:rFonts w:hint="eastAsia"/>
          <w:b/>
          <w:szCs w:val="21"/>
        </w:rPr>
        <w:t>1.实验学时：</w:t>
      </w:r>
      <w:r>
        <w:rPr>
          <w:rFonts w:hint="eastAsia" w:hAnsi="宋体"/>
          <w:bCs/>
          <w:szCs w:val="21"/>
        </w:rPr>
        <w:t>2</w:t>
      </w:r>
    </w:p>
    <w:p>
      <w:pPr>
        <w:snapToGrid w:val="0"/>
        <w:spacing w:line="360" w:lineRule="auto"/>
        <w:ind w:firstLine="422" w:firstLineChars="200"/>
        <w:rPr>
          <w:szCs w:val="21"/>
        </w:rPr>
      </w:pPr>
      <w:r>
        <w:rPr>
          <w:rFonts w:hint="eastAsia"/>
          <w:b/>
          <w:szCs w:val="21"/>
        </w:rPr>
        <w:t>2.实验目的：</w:t>
      </w:r>
      <w:r>
        <w:rPr>
          <w:rFonts w:hint="eastAsia"/>
          <w:szCs w:val="21"/>
        </w:rPr>
        <w:t>通过实验了解扦插和分生繁殖的主要方法；掌握扦插和分生繁殖的基本要领。</w:t>
      </w:r>
    </w:p>
    <w:p>
      <w:pPr>
        <w:snapToGrid w:val="0"/>
        <w:spacing w:line="360" w:lineRule="auto"/>
        <w:ind w:firstLine="420"/>
        <w:rPr>
          <w:b/>
          <w:szCs w:val="21"/>
        </w:rPr>
      </w:pPr>
      <w:r>
        <w:rPr>
          <w:rFonts w:hint="eastAsia"/>
          <w:b/>
          <w:szCs w:val="21"/>
        </w:rPr>
        <w:t>3.实验内容：</w:t>
      </w:r>
    </w:p>
    <w:p>
      <w:pPr>
        <w:snapToGrid w:val="0"/>
        <w:spacing w:line="360" w:lineRule="auto"/>
        <w:ind w:firstLine="420"/>
        <w:rPr>
          <w:szCs w:val="21"/>
        </w:rPr>
      </w:pPr>
      <w:r>
        <w:rPr>
          <w:rFonts w:hAnsi="宋体"/>
          <w:szCs w:val="21"/>
        </w:rPr>
        <w:t>（</w:t>
      </w:r>
      <w:r>
        <w:rPr>
          <w:szCs w:val="21"/>
        </w:rPr>
        <w:t>1</w:t>
      </w:r>
      <w:r>
        <w:rPr>
          <w:rFonts w:hAnsi="宋体"/>
          <w:szCs w:val="21"/>
        </w:rPr>
        <w:t>）</w:t>
      </w:r>
      <w:r>
        <w:rPr>
          <w:rFonts w:hint="eastAsia" w:hAnsi="宋体"/>
          <w:szCs w:val="21"/>
          <w:shd w:val="clear" w:color="auto" w:fill="FFFFFF"/>
        </w:rPr>
        <w:t>配制花卉无性繁殖所需要的基质。</w:t>
      </w:r>
    </w:p>
    <w:p>
      <w:pPr>
        <w:snapToGrid w:val="0"/>
        <w:spacing w:line="360" w:lineRule="auto"/>
        <w:ind w:firstLine="420"/>
        <w:rPr>
          <w:szCs w:val="21"/>
        </w:rPr>
      </w:pPr>
      <w:r>
        <w:rPr>
          <w:rFonts w:hAnsi="宋体"/>
          <w:szCs w:val="21"/>
        </w:rPr>
        <w:t>（</w:t>
      </w:r>
      <w:r>
        <w:rPr>
          <w:szCs w:val="21"/>
        </w:rPr>
        <w:t>2</w:t>
      </w:r>
      <w:r>
        <w:rPr>
          <w:rFonts w:hAnsi="宋体"/>
          <w:szCs w:val="21"/>
        </w:rPr>
        <w:t>）</w:t>
      </w:r>
      <w:r>
        <w:rPr>
          <w:rFonts w:hint="eastAsia" w:hAnsi="宋体"/>
          <w:szCs w:val="21"/>
          <w:shd w:val="clear" w:color="auto" w:fill="FFFFFF"/>
        </w:rPr>
        <w:t>对常见多肉植物等进行叶插。</w:t>
      </w:r>
    </w:p>
    <w:p>
      <w:pPr>
        <w:snapToGrid w:val="0"/>
        <w:spacing w:line="360" w:lineRule="auto"/>
        <w:ind w:firstLine="420" w:firstLineChars="200"/>
        <w:rPr>
          <w:rFonts w:hAnsi="宋体"/>
          <w:szCs w:val="21"/>
        </w:rPr>
      </w:pPr>
      <w:r>
        <w:rPr>
          <w:rFonts w:hAnsi="宋体"/>
          <w:szCs w:val="21"/>
        </w:rPr>
        <w:t>（</w:t>
      </w:r>
      <w:r>
        <w:rPr>
          <w:szCs w:val="21"/>
        </w:rPr>
        <w:t>3</w:t>
      </w:r>
      <w:r>
        <w:rPr>
          <w:rFonts w:hAnsi="宋体"/>
          <w:szCs w:val="21"/>
        </w:rPr>
        <w:t>）</w:t>
      </w:r>
      <w:r>
        <w:rPr>
          <w:rFonts w:hint="eastAsia" w:hAnsi="宋体"/>
          <w:szCs w:val="21"/>
        </w:rPr>
        <w:t>对绿萝、喜林芋、常春藤和菊花类花卉等进行叶芽插或分生繁殖等。</w:t>
      </w:r>
    </w:p>
    <w:p>
      <w:pPr>
        <w:snapToGrid w:val="0"/>
        <w:spacing w:line="360" w:lineRule="auto"/>
        <w:ind w:firstLine="422" w:firstLineChars="200"/>
        <w:rPr>
          <w:b/>
          <w:szCs w:val="21"/>
        </w:rPr>
      </w:pPr>
      <w:r>
        <w:rPr>
          <w:rFonts w:hint="eastAsia"/>
          <w:b/>
          <w:szCs w:val="21"/>
        </w:rPr>
        <w:t>4.实验要求：</w:t>
      </w:r>
    </w:p>
    <w:p>
      <w:pPr>
        <w:snapToGrid w:val="0"/>
        <w:spacing w:line="360" w:lineRule="auto"/>
        <w:ind w:firstLine="420" w:firstLineChars="200"/>
        <w:rPr>
          <w:bCs/>
          <w:szCs w:val="21"/>
        </w:rPr>
      </w:pPr>
      <w:r>
        <w:rPr>
          <w:bCs/>
          <w:szCs w:val="21"/>
        </w:rPr>
        <w:t>（1）</w:t>
      </w:r>
      <w:r>
        <w:rPr>
          <w:rFonts w:hint="eastAsia"/>
          <w:bCs/>
          <w:szCs w:val="21"/>
        </w:rPr>
        <w:t>本实验是几位同学合作完成，既有分工，又有合作，保证实验质量。</w:t>
      </w:r>
    </w:p>
    <w:p>
      <w:pPr>
        <w:snapToGrid w:val="0"/>
        <w:spacing w:line="360" w:lineRule="auto"/>
        <w:ind w:firstLine="420"/>
        <w:rPr>
          <w:rFonts w:hAnsi="宋体"/>
          <w:szCs w:val="21"/>
        </w:rPr>
      </w:pPr>
      <w:r>
        <w:rPr>
          <w:bCs/>
          <w:szCs w:val="21"/>
        </w:rPr>
        <w:t>（2）</w:t>
      </w:r>
      <w:r>
        <w:rPr>
          <w:rFonts w:hint="eastAsia"/>
          <w:bCs/>
          <w:szCs w:val="21"/>
        </w:rPr>
        <w:t>对</w:t>
      </w:r>
      <w:r>
        <w:rPr>
          <w:rFonts w:hint="eastAsia" w:hAnsi="宋体"/>
          <w:szCs w:val="21"/>
        </w:rPr>
        <w:t>所用花材，学生课后要进行资料查阅，进一步了解其形态特征和栽培管理特点等。</w:t>
      </w:r>
    </w:p>
    <w:p>
      <w:pPr>
        <w:snapToGrid w:val="0"/>
        <w:spacing w:line="360" w:lineRule="auto"/>
        <w:ind w:firstLine="420" w:firstLineChars="200"/>
        <w:rPr>
          <w:rFonts w:hAnsi="宋体"/>
          <w:szCs w:val="21"/>
        </w:rPr>
      </w:pPr>
      <w:r>
        <w:rPr>
          <w:bCs/>
          <w:szCs w:val="21"/>
        </w:rPr>
        <w:t>（</w:t>
      </w:r>
      <w:r>
        <w:rPr>
          <w:rFonts w:hint="eastAsia"/>
          <w:bCs/>
          <w:szCs w:val="21"/>
        </w:rPr>
        <w:t>3</w:t>
      </w:r>
      <w:r>
        <w:rPr>
          <w:bCs/>
          <w:szCs w:val="21"/>
        </w:rPr>
        <w:t>）</w:t>
      </w:r>
      <w:r>
        <w:rPr>
          <w:rFonts w:hint="eastAsia"/>
          <w:bCs/>
          <w:szCs w:val="21"/>
        </w:rPr>
        <w:t>根据要求对</w:t>
      </w:r>
      <w:r>
        <w:rPr>
          <w:rFonts w:hint="eastAsia" w:hAnsi="宋体"/>
          <w:szCs w:val="21"/>
        </w:rPr>
        <w:t>花材进行繁殖和管理</w:t>
      </w:r>
      <w:r>
        <w:rPr>
          <w:bCs/>
          <w:szCs w:val="21"/>
        </w:rPr>
        <w:t>。</w:t>
      </w:r>
    </w:p>
    <w:p>
      <w:pPr>
        <w:snapToGrid w:val="0"/>
        <w:spacing w:line="360" w:lineRule="auto"/>
        <w:ind w:firstLine="420" w:firstLineChars="200"/>
        <w:rPr>
          <w:rFonts w:ascii="宋体" w:hAnsi="宋体"/>
          <w:bCs/>
          <w:szCs w:val="21"/>
        </w:rPr>
      </w:pPr>
      <w:r>
        <w:rPr>
          <w:bCs/>
          <w:szCs w:val="21"/>
        </w:rPr>
        <w:t>（</w:t>
      </w:r>
      <w:r>
        <w:rPr>
          <w:rFonts w:hint="eastAsia"/>
          <w:bCs/>
          <w:szCs w:val="21"/>
        </w:rPr>
        <w:t>4</w:t>
      </w:r>
      <w:r>
        <w:rPr>
          <w:bCs/>
          <w:szCs w:val="21"/>
        </w:rPr>
        <w:t>）</w:t>
      </w:r>
      <w:r>
        <w:rPr>
          <w:rFonts w:hint="eastAsia"/>
          <w:bCs/>
          <w:szCs w:val="21"/>
        </w:rPr>
        <w:t>根据要求完成实验报告</w:t>
      </w:r>
      <w:r>
        <w:rPr>
          <w:bCs/>
          <w:szCs w:val="21"/>
        </w:rPr>
        <w:t>。</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rPr>
        <w:t>不同花材、基质、剪刀、笔记本等。</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八】花卉市场花卉种类识别和调查</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firstLine="422" w:firstLineChars="200"/>
        <w:rPr>
          <w:b/>
          <w:szCs w:val="21"/>
        </w:rPr>
      </w:pPr>
      <w:r>
        <w:rPr>
          <w:rFonts w:hint="eastAsia"/>
          <w:b/>
          <w:szCs w:val="21"/>
        </w:rPr>
        <w:t>2.实验目的：</w:t>
      </w:r>
      <w:r>
        <w:rPr>
          <w:rFonts w:hAnsi="宋体"/>
          <w:szCs w:val="21"/>
        </w:rPr>
        <w:t>使学生</w:t>
      </w:r>
      <w:r>
        <w:rPr>
          <w:rFonts w:hAnsi="宋体"/>
          <w:szCs w:val="21"/>
          <w:shd w:val="clear" w:color="auto" w:fill="FFFFFF"/>
        </w:rPr>
        <w:t>掌握</w:t>
      </w:r>
      <w:r>
        <w:rPr>
          <w:rFonts w:hint="eastAsia" w:hAnsi="宋体"/>
          <w:szCs w:val="21"/>
          <w:shd w:val="clear" w:color="auto" w:fill="FFFFFF"/>
        </w:rPr>
        <w:t>花卉市场常见的花卉销售形式（包括</w:t>
      </w:r>
      <w:r>
        <w:rPr>
          <w:rFonts w:hAnsi="宋体"/>
          <w:szCs w:val="21"/>
          <w:shd w:val="clear" w:color="auto" w:fill="FFFFFF"/>
        </w:rPr>
        <w:t>盆花及切花</w:t>
      </w:r>
      <w:r>
        <w:rPr>
          <w:rFonts w:hint="eastAsia" w:hAnsi="宋体"/>
          <w:szCs w:val="21"/>
          <w:shd w:val="clear" w:color="auto" w:fill="FFFFFF"/>
        </w:rPr>
        <w:t>），并掌握各形式的植物种类、形态特征及园林用途等</w:t>
      </w:r>
      <w:r>
        <w:rPr>
          <w:rFonts w:hAnsi="宋体"/>
          <w:szCs w:val="21"/>
          <w:shd w:val="clear" w:color="auto" w:fill="FFFFFF"/>
        </w:rPr>
        <w:t>。</w:t>
      </w:r>
    </w:p>
    <w:p>
      <w:pPr>
        <w:snapToGrid w:val="0"/>
        <w:spacing w:line="360" w:lineRule="auto"/>
        <w:ind w:firstLine="422" w:firstLineChars="200"/>
        <w:rPr>
          <w:b/>
          <w:szCs w:val="21"/>
        </w:rPr>
      </w:pPr>
      <w:r>
        <w:rPr>
          <w:rFonts w:hint="eastAsia"/>
          <w:b/>
          <w:szCs w:val="21"/>
        </w:rPr>
        <w:t>3.实验内容：</w:t>
      </w:r>
    </w:p>
    <w:p>
      <w:pPr>
        <w:shd w:val="solid" w:color="FFFFFF" w:fill="auto"/>
        <w:autoSpaceDN w:val="0"/>
        <w:spacing w:line="360" w:lineRule="auto"/>
        <w:ind w:left="836" w:leftChars="198" w:hanging="420" w:hangingChars="200"/>
        <w:rPr>
          <w:szCs w:val="21"/>
        </w:rPr>
      </w:pPr>
      <w:r>
        <w:rPr>
          <w:rFonts w:hAnsi="宋体"/>
          <w:szCs w:val="21"/>
        </w:rPr>
        <w:t>（</w:t>
      </w:r>
      <w:r>
        <w:rPr>
          <w:szCs w:val="21"/>
        </w:rPr>
        <w:t>1</w:t>
      </w:r>
      <w:r>
        <w:rPr>
          <w:rFonts w:hAnsi="宋体"/>
          <w:szCs w:val="21"/>
        </w:rPr>
        <w:t>）教师现场讲解每种花卉的名称、主要形态特征、科属、生态习性、繁殖方法、栽培管理要点及园林用途，学生做好记录。</w:t>
      </w:r>
    </w:p>
    <w:p>
      <w:pPr>
        <w:shd w:val="solid" w:color="FFFFFF" w:fill="auto"/>
        <w:autoSpaceDN w:val="0"/>
        <w:spacing w:line="360" w:lineRule="auto"/>
        <w:ind w:left="1447" w:leftChars="199" w:hanging="1029" w:hangingChars="490"/>
        <w:rPr>
          <w:szCs w:val="21"/>
          <w:shd w:val="clear" w:color="auto" w:fill="FFFFFF"/>
        </w:rPr>
      </w:pPr>
      <w:r>
        <w:rPr>
          <w:rFonts w:hAnsi="宋体"/>
          <w:szCs w:val="21"/>
        </w:rPr>
        <w:t>（</w:t>
      </w:r>
      <w:r>
        <w:rPr>
          <w:szCs w:val="21"/>
        </w:rPr>
        <w:t>2</w:t>
      </w:r>
      <w:r>
        <w:rPr>
          <w:rFonts w:hAnsi="宋体"/>
          <w:szCs w:val="21"/>
        </w:rPr>
        <w:t>）学生分组</w:t>
      </w:r>
      <w:r>
        <w:rPr>
          <w:rFonts w:hint="eastAsia" w:hAnsi="宋体"/>
          <w:szCs w:val="21"/>
        </w:rPr>
        <w:t>在规定时间内在花卉市场进行调查并</w:t>
      </w:r>
      <w:r>
        <w:rPr>
          <w:rFonts w:hAnsi="宋体"/>
          <w:szCs w:val="21"/>
        </w:rPr>
        <w:t>观察记载，</w:t>
      </w:r>
      <w:r>
        <w:rPr>
          <w:rFonts w:hint="eastAsia" w:hAnsi="宋体"/>
          <w:szCs w:val="21"/>
        </w:rPr>
        <w:t>回校后查阅资料</w:t>
      </w:r>
      <w:r>
        <w:rPr>
          <w:rFonts w:hAnsi="宋体"/>
          <w:szCs w:val="21"/>
        </w:rPr>
        <w:t>。</w:t>
      </w:r>
    </w:p>
    <w:p>
      <w:pPr>
        <w:snapToGrid w:val="0"/>
        <w:spacing w:line="360" w:lineRule="auto"/>
        <w:ind w:firstLine="422" w:firstLineChars="200"/>
        <w:rPr>
          <w:b/>
          <w:szCs w:val="21"/>
        </w:rPr>
      </w:pPr>
      <w:r>
        <w:rPr>
          <w:rFonts w:hint="eastAsia"/>
          <w:b/>
          <w:szCs w:val="21"/>
        </w:rPr>
        <w:t>4.实验要求：</w:t>
      </w:r>
    </w:p>
    <w:p>
      <w:pPr>
        <w:snapToGrid w:val="0"/>
        <w:spacing w:line="360" w:lineRule="auto"/>
        <w:ind w:firstLine="420" w:firstLineChars="200"/>
        <w:rPr>
          <w:bCs/>
          <w:szCs w:val="21"/>
        </w:rPr>
      </w:pPr>
      <w:r>
        <w:rPr>
          <w:bCs/>
          <w:szCs w:val="21"/>
        </w:rPr>
        <w:t>（1）</w:t>
      </w:r>
      <w:r>
        <w:rPr>
          <w:rFonts w:hAnsi="宋体"/>
          <w:szCs w:val="21"/>
        </w:rPr>
        <w:t>教师现场讲解</w:t>
      </w:r>
      <w:r>
        <w:rPr>
          <w:rFonts w:hint="eastAsia" w:hAnsi="宋体"/>
          <w:szCs w:val="21"/>
        </w:rPr>
        <w:t>期间</w:t>
      </w:r>
      <w:r>
        <w:rPr>
          <w:rFonts w:hint="eastAsia"/>
          <w:bCs/>
          <w:szCs w:val="21"/>
        </w:rPr>
        <w:t>，学生要认真听并做笔记记录，保证实验质量。</w:t>
      </w:r>
    </w:p>
    <w:p>
      <w:pPr>
        <w:snapToGrid w:val="0"/>
        <w:spacing w:line="360" w:lineRule="auto"/>
        <w:ind w:firstLine="420"/>
        <w:rPr>
          <w:bCs/>
          <w:szCs w:val="21"/>
        </w:rPr>
      </w:pPr>
      <w:r>
        <w:rPr>
          <w:bCs/>
          <w:szCs w:val="21"/>
        </w:rPr>
        <w:t>（2）</w:t>
      </w:r>
      <w:r>
        <w:rPr>
          <w:rFonts w:hAnsi="宋体"/>
          <w:szCs w:val="21"/>
        </w:rPr>
        <w:t>学生要识别掌握</w:t>
      </w:r>
      <w:r>
        <w:rPr>
          <w:rFonts w:hint="eastAsia"/>
          <w:szCs w:val="21"/>
        </w:rPr>
        <w:t>3</w:t>
      </w:r>
      <w:r>
        <w:rPr>
          <w:szCs w:val="21"/>
        </w:rPr>
        <w:t>0</w:t>
      </w:r>
      <w:r>
        <w:rPr>
          <w:rFonts w:hAnsi="宋体"/>
          <w:szCs w:val="21"/>
        </w:rPr>
        <w:t>种</w:t>
      </w:r>
      <w:r>
        <w:rPr>
          <w:rFonts w:hint="eastAsia" w:hAnsi="宋体"/>
          <w:szCs w:val="21"/>
        </w:rPr>
        <w:t>以上的</w:t>
      </w:r>
      <w:r>
        <w:rPr>
          <w:rFonts w:hAnsi="宋体"/>
          <w:szCs w:val="21"/>
        </w:rPr>
        <w:t>花卉</w:t>
      </w:r>
      <w:r>
        <w:rPr>
          <w:rFonts w:hint="eastAsia"/>
          <w:bCs/>
          <w:szCs w:val="21"/>
        </w:rPr>
        <w:t>。</w:t>
      </w:r>
    </w:p>
    <w:p>
      <w:pPr>
        <w:snapToGrid w:val="0"/>
        <w:spacing w:line="360" w:lineRule="auto"/>
        <w:ind w:firstLine="420" w:firstLineChars="200"/>
        <w:rPr>
          <w:bCs/>
          <w:szCs w:val="21"/>
        </w:rPr>
      </w:pPr>
      <w:r>
        <w:rPr>
          <w:bCs/>
          <w:szCs w:val="21"/>
        </w:rPr>
        <w:t>（</w:t>
      </w:r>
      <w:r>
        <w:rPr>
          <w:rFonts w:hint="eastAsia"/>
          <w:bCs/>
          <w:szCs w:val="21"/>
        </w:rPr>
        <w:t>3</w:t>
      </w:r>
      <w:r>
        <w:rPr>
          <w:bCs/>
          <w:szCs w:val="21"/>
        </w:rPr>
        <w:t>）</w:t>
      </w:r>
      <w:r>
        <w:rPr>
          <w:rFonts w:hint="eastAsia" w:hAnsi="宋体"/>
          <w:bCs/>
          <w:szCs w:val="21"/>
        </w:rPr>
        <w:t>学生回校后，对所在小组调查的花卉进行资料查阅，进一步了解其中文名、</w:t>
      </w:r>
      <w:r>
        <w:rPr>
          <w:rFonts w:hAnsi="宋体"/>
          <w:szCs w:val="21"/>
        </w:rPr>
        <w:t>拉丁学名、科属、主要形态特征</w:t>
      </w:r>
      <w:r>
        <w:rPr>
          <w:rFonts w:hint="eastAsia" w:hAnsi="宋体"/>
          <w:szCs w:val="21"/>
        </w:rPr>
        <w:t>及</w:t>
      </w:r>
      <w:r>
        <w:rPr>
          <w:rFonts w:hAnsi="宋体"/>
          <w:szCs w:val="21"/>
        </w:rPr>
        <w:t>观赏用途</w:t>
      </w:r>
      <w:r>
        <w:rPr>
          <w:rFonts w:hint="eastAsia" w:hAnsi="宋体"/>
          <w:szCs w:val="21"/>
        </w:rPr>
        <w:t>等。</w:t>
      </w:r>
    </w:p>
    <w:p>
      <w:pPr>
        <w:snapToGrid w:val="0"/>
        <w:spacing w:line="360" w:lineRule="auto"/>
        <w:ind w:firstLine="420" w:firstLineChars="200"/>
        <w:rPr>
          <w:b/>
          <w:szCs w:val="21"/>
        </w:rPr>
      </w:pPr>
      <w:r>
        <w:rPr>
          <w:bCs/>
          <w:szCs w:val="21"/>
        </w:rPr>
        <w:t>（</w:t>
      </w:r>
      <w:r>
        <w:rPr>
          <w:rFonts w:hint="eastAsia"/>
          <w:bCs/>
          <w:szCs w:val="21"/>
        </w:rPr>
        <w:t>4</w:t>
      </w:r>
      <w:r>
        <w:rPr>
          <w:bCs/>
          <w:szCs w:val="21"/>
        </w:rPr>
        <w:t>）</w:t>
      </w:r>
      <w:r>
        <w:rPr>
          <w:rFonts w:hint="eastAsia"/>
          <w:bCs/>
          <w:szCs w:val="21"/>
        </w:rPr>
        <w:t>根据要求完成实验报告</w:t>
      </w:r>
      <w:r>
        <w:rPr>
          <w:bCs/>
          <w:szCs w:val="21"/>
        </w:rPr>
        <w:t>。</w:t>
      </w:r>
    </w:p>
    <w:p>
      <w:pPr>
        <w:snapToGrid w:val="0"/>
        <w:spacing w:line="360" w:lineRule="auto"/>
        <w:ind w:firstLine="422" w:firstLineChars="200"/>
        <w:rPr>
          <w:rFonts w:ascii="宋体" w:hAnsi="宋体"/>
          <w:bCs/>
        </w:rPr>
      </w:pPr>
      <w:r>
        <w:rPr>
          <w:rFonts w:hint="eastAsia"/>
          <w:b/>
          <w:szCs w:val="21"/>
        </w:rPr>
        <w:t>5.实验设备及器材：</w:t>
      </w:r>
      <w:r>
        <w:rPr>
          <w:rFonts w:hAnsi="宋体"/>
          <w:bCs/>
          <w:szCs w:val="21"/>
        </w:rPr>
        <w:t>笔记本</w:t>
      </w:r>
      <w:r>
        <w:rPr>
          <w:rFonts w:hint="eastAsia" w:hAnsi="宋体"/>
          <w:bCs/>
          <w:szCs w:val="21"/>
        </w:rPr>
        <w:t>等</w:t>
      </w:r>
      <w:r>
        <w:rPr>
          <w:rFonts w:hAnsi="宋体"/>
          <w:bCs/>
          <w:szCs w:val="21"/>
        </w:rPr>
        <w:t>。</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九】创意插花</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firstLine="422" w:firstLineChars="200"/>
        <w:rPr>
          <w:szCs w:val="21"/>
        </w:rPr>
      </w:pPr>
      <w:r>
        <w:rPr>
          <w:rFonts w:hint="eastAsia"/>
          <w:b/>
          <w:szCs w:val="21"/>
        </w:rPr>
        <w:t>2.实验目的：</w:t>
      </w:r>
      <w:r>
        <w:rPr>
          <w:rFonts w:hint="eastAsia"/>
          <w:szCs w:val="21"/>
        </w:rPr>
        <w:t>通过实验了解插花的花材分类和搭配艺术；掌握插花材料的造型作用和水养特性；掌握插花的主要方法和基本要领。</w:t>
      </w:r>
    </w:p>
    <w:p>
      <w:pPr>
        <w:snapToGrid w:val="0"/>
        <w:spacing w:line="360" w:lineRule="auto"/>
        <w:ind w:firstLine="422" w:firstLineChars="200"/>
        <w:rPr>
          <w:b/>
          <w:szCs w:val="21"/>
        </w:rPr>
      </w:pPr>
      <w:r>
        <w:rPr>
          <w:rFonts w:hint="eastAsia"/>
          <w:b/>
          <w:szCs w:val="21"/>
        </w:rPr>
        <w:t>3.实验内容：</w:t>
      </w:r>
    </w:p>
    <w:p>
      <w:pPr>
        <w:shd w:val="solid" w:color="FFFFFF" w:fill="auto"/>
        <w:autoSpaceDN w:val="0"/>
        <w:spacing w:line="360" w:lineRule="auto"/>
        <w:ind w:left="836" w:leftChars="198" w:hanging="420" w:hangingChars="200"/>
        <w:rPr>
          <w:szCs w:val="21"/>
        </w:rPr>
      </w:pPr>
      <w:r>
        <w:rPr>
          <w:rFonts w:hAnsi="宋体"/>
          <w:szCs w:val="21"/>
        </w:rPr>
        <w:t>（</w:t>
      </w:r>
      <w:r>
        <w:rPr>
          <w:szCs w:val="21"/>
        </w:rPr>
        <w:t>1</w:t>
      </w:r>
      <w:r>
        <w:rPr>
          <w:rFonts w:hAnsi="宋体"/>
          <w:szCs w:val="21"/>
        </w:rPr>
        <w:t>）</w:t>
      </w:r>
      <w:r>
        <w:rPr>
          <w:rFonts w:hint="eastAsia" w:hAnsi="宋体"/>
          <w:szCs w:val="21"/>
        </w:rPr>
        <w:t>教师现场讲解、指导学生创作。</w:t>
      </w:r>
    </w:p>
    <w:p>
      <w:pPr>
        <w:shd w:val="solid" w:color="FFFFFF" w:fill="auto"/>
        <w:autoSpaceDN w:val="0"/>
        <w:spacing w:line="360" w:lineRule="auto"/>
        <w:ind w:left="1447" w:leftChars="199" w:hanging="1029" w:hangingChars="490"/>
        <w:rPr>
          <w:rFonts w:hAnsi="宋体"/>
          <w:szCs w:val="21"/>
        </w:rPr>
      </w:pPr>
      <w:r>
        <w:rPr>
          <w:rFonts w:hAnsi="宋体"/>
          <w:szCs w:val="21"/>
        </w:rPr>
        <w:t>（</w:t>
      </w:r>
      <w:r>
        <w:rPr>
          <w:szCs w:val="21"/>
        </w:rPr>
        <w:t>2</w:t>
      </w:r>
      <w:r>
        <w:rPr>
          <w:rFonts w:hAnsi="宋体"/>
          <w:szCs w:val="21"/>
        </w:rPr>
        <w:t>）</w:t>
      </w:r>
      <w:r>
        <w:rPr>
          <w:rFonts w:hint="eastAsia" w:hAnsi="宋体"/>
          <w:szCs w:val="21"/>
        </w:rPr>
        <w:t>花材的挑选、收集和预加工。</w:t>
      </w:r>
    </w:p>
    <w:p>
      <w:pPr>
        <w:shd w:val="solid" w:color="FFFFFF" w:fill="auto"/>
        <w:autoSpaceDN w:val="0"/>
        <w:spacing w:line="360" w:lineRule="auto"/>
        <w:ind w:left="1447" w:leftChars="199" w:hanging="1029" w:hangingChars="490"/>
        <w:rPr>
          <w:bCs/>
          <w:szCs w:val="21"/>
        </w:rPr>
      </w:pPr>
      <w:r>
        <w:rPr>
          <w:rFonts w:hAnsi="宋体"/>
          <w:szCs w:val="21"/>
        </w:rPr>
        <w:t>（</w:t>
      </w:r>
      <w:r>
        <w:rPr>
          <w:rFonts w:hint="eastAsia"/>
          <w:szCs w:val="21"/>
        </w:rPr>
        <w:t>3</w:t>
      </w:r>
      <w:r>
        <w:rPr>
          <w:rFonts w:hAnsi="宋体"/>
          <w:szCs w:val="21"/>
        </w:rPr>
        <w:t>）</w:t>
      </w:r>
      <w:r>
        <w:rPr>
          <w:rFonts w:hint="eastAsia"/>
          <w:bCs/>
          <w:szCs w:val="21"/>
        </w:rPr>
        <w:t>插花创作。</w:t>
      </w:r>
    </w:p>
    <w:p>
      <w:pPr>
        <w:shd w:val="solid" w:color="FFFFFF" w:fill="auto"/>
        <w:autoSpaceDN w:val="0"/>
        <w:spacing w:line="360" w:lineRule="auto"/>
        <w:ind w:left="1447" w:leftChars="199" w:hanging="1029" w:hangingChars="490"/>
        <w:rPr>
          <w:bCs/>
          <w:szCs w:val="21"/>
        </w:rPr>
      </w:pPr>
      <w:r>
        <w:rPr>
          <w:rFonts w:hAnsi="宋体"/>
          <w:szCs w:val="21"/>
        </w:rPr>
        <w:t>（</w:t>
      </w:r>
      <w:r>
        <w:rPr>
          <w:rFonts w:hint="eastAsia"/>
          <w:szCs w:val="21"/>
        </w:rPr>
        <w:t>4</w:t>
      </w:r>
      <w:r>
        <w:rPr>
          <w:rFonts w:hAnsi="宋体"/>
          <w:szCs w:val="21"/>
        </w:rPr>
        <w:t>）</w:t>
      </w:r>
      <w:r>
        <w:rPr>
          <w:rFonts w:hint="eastAsia" w:hAnsi="宋体"/>
          <w:szCs w:val="21"/>
        </w:rPr>
        <w:t>作品讨论、评比、拍照和展示。</w:t>
      </w:r>
    </w:p>
    <w:p>
      <w:pPr>
        <w:snapToGrid w:val="0"/>
        <w:spacing w:line="360" w:lineRule="auto"/>
        <w:ind w:firstLine="422" w:firstLineChars="200"/>
        <w:rPr>
          <w:b/>
          <w:szCs w:val="21"/>
        </w:rPr>
      </w:pPr>
      <w:r>
        <w:rPr>
          <w:rFonts w:hint="eastAsia"/>
          <w:b/>
          <w:szCs w:val="21"/>
        </w:rPr>
        <w:t>4.实验要求：</w:t>
      </w:r>
    </w:p>
    <w:p>
      <w:pPr>
        <w:snapToGrid w:val="0"/>
        <w:spacing w:line="360" w:lineRule="auto"/>
        <w:ind w:firstLine="420" w:firstLineChars="200"/>
        <w:rPr>
          <w:bCs/>
          <w:szCs w:val="21"/>
        </w:rPr>
      </w:pPr>
      <w:r>
        <w:rPr>
          <w:bCs/>
          <w:szCs w:val="21"/>
        </w:rPr>
        <w:t>（1）</w:t>
      </w:r>
      <w:r>
        <w:rPr>
          <w:rFonts w:hint="eastAsia"/>
          <w:bCs/>
          <w:szCs w:val="21"/>
        </w:rPr>
        <w:t>本实验是几位同学合作完成，既有分工，又有合作，保证实验质量。</w:t>
      </w:r>
    </w:p>
    <w:p>
      <w:pPr>
        <w:snapToGrid w:val="0"/>
        <w:spacing w:line="360" w:lineRule="auto"/>
        <w:ind w:firstLine="420"/>
        <w:rPr>
          <w:rFonts w:hAnsi="宋体"/>
          <w:szCs w:val="21"/>
        </w:rPr>
      </w:pPr>
      <w:r>
        <w:rPr>
          <w:bCs/>
          <w:szCs w:val="21"/>
        </w:rPr>
        <w:t>（2）</w:t>
      </w:r>
      <w:r>
        <w:rPr>
          <w:rFonts w:hint="eastAsia"/>
          <w:bCs/>
          <w:szCs w:val="21"/>
        </w:rPr>
        <w:t>对</w:t>
      </w:r>
      <w:r>
        <w:rPr>
          <w:rFonts w:hint="eastAsia" w:hAnsi="宋体"/>
          <w:szCs w:val="21"/>
        </w:rPr>
        <w:t>所用花材，学生课后要进行资料查阅，进一步了解其形态特征和栽培管理特点等。</w:t>
      </w:r>
    </w:p>
    <w:p>
      <w:pPr>
        <w:snapToGrid w:val="0"/>
        <w:spacing w:line="360" w:lineRule="auto"/>
        <w:ind w:firstLine="420" w:firstLineChars="200"/>
        <w:rPr>
          <w:bCs/>
          <w:szCs w:val="21"/>
        </w:rPr>
      </w:pPr>
      <w:r>
        <w:rPr>
          <w:bCs/>
          <w:szCs w:val="21"/>
        </w:rPr>
        <w:t>（</w:t>
      </w:r>
      <w:r>
        <w:rPr>
          <w:rFonts w:hint="eastAsia"/>
          <w:bCs/>
          <w:szCs w:val="21"/>
        </w:rPr>
        <w:t>3</w:t>
      </w:r>
      <w:r>
        <w:rPr>
          <w:bCs/>
          <w:szCs w:val="21"/>
        </w:rPr>
        <w:t>）</w:t>
      </w:r>
      <w:r>
        <w:rPr>
          <w:rFonts w:hint="eastAsia"/>
          <w:bCs/>
          <w:szCs w:val="21"/>
        </w:rPr>
        <w:t>认真的完成插花过程，掌握插花的主要方法和基本要领，并记好笔记。</w:t>
      </w:r>
    </w:p>
    <w:p>
      <w:pPr>
        <w:snapToGrid w:val="0"/>
        <w:spacing w:line="360" w:lineRule="auto"/>
        <w:ind w:firstLine="420" w:firstLineChars="200"/>
        <w:rPr>
          <w:bCs/>
          <w:szCs w:val="21"/>
        </w:rPr>
      </w:pPr>
      <w:r>
        <w:rPr>
          <w:bCs/>
          <w:szCs w:val="21"/>
        </w:rPr>
        <w:t>（</w:t>
      </w:r>
      <w:r>
        <w:rPr>
          <w:rFonts w:hint="eastAsia"/>
          <w:bCs/>
          <w:szCs w:val="21"/>
        </w:rPr>
        <w:t>4</w:t>
      </w:r>
      <w:r>
        <w:rPr>
          <w:bCs/>
          <w:szCs w:val="21"/>
        </w:rPr>
        <w:t>）</w:t>
      </w:r>
      <w:r>
        <w:rPr>
          <w:rFonts w:hint="eastAsia"/>
          <w:bCs/>
          <w:szCs w:val="21"/>
        </w:rPr>
        <w:t>对所做作品要注明小组成员信息和班级信息。</w:t>
      </w:r>
    </w:p>
    <w:p>
      <w:pPr>
        <w:snapToGrid w:val="0"/>
        <w:spacing w:line="360" w:lineRule="auto"/>
        <w:ind w:firstLine="420" w:firstLineChars="200"/>
        <w:rPr>
          <w:b/>
          <w:szCs w:val="21"/>
        </w:rPr>
      </w:pPr>
      <w:r>
        <w:rPr>
          <w:bCs/>
          <w:szCs w:val="21"/>
        </w:rPr>
        <w:t>（</w:t>
      </w:r>
      <w:r>
        <w:rPr>
          <w:rFonts w:hint="eastAsia"/>
          <w:bCs/>
          <w:szCs w:val="21"/>
        </w:rPr>
        <w:t>5</w:t>
      </w:r>
      <w:r>
        <w:rPr>
          <w:bCs/>
          <w:szCs w:val="21"/>
        </w:rPr>
        <w:t>）</w:t>
      </w:r>
      <w:r>
        <w:rPr>
          <w:rFonts w:hint="eastAsia"/>
          <w:bCs/>
          <w:szCs w:val="21"/>
        </w:rPr>
        <w:t>根据要求完成实验报告</w:t>
      </w:r>
      <w:r>
        <w:rPr>
          <w:bCs/>
          <w:szCs w:val="21"/>
        </w:rPr>
        <w:t>。</w:t>
      </w:r>
    </w:p>
    <w:p>
      <w:pPr>
        <w:snapToGrid w:val="0"/>
        <w:spacing w:line="360" w:lineRule="auto"/>
        <w:ind w:firstLine="422" w:firstLineChars="200"/>
        <w:rPr>
          <w:rFonts w:ascii="宋体" w:hAnsi="宋体"/>
          <w:bCs/>
        </w:rPr>
      </w:pPr>
      <w:r>
        <w:rPr>
          <w:rFonts w:hint="eastAsia"/>
          <w:b/>
          <w:szCs w:val="21"/>
        </w:rPr>
        <w:t>5.实验设备及器材：</w:t>
      </w:r>
      <w:r>
        <w:rPr>
          <w:rFonts w:hint="eastAsia" w:ascii="宋体" w:hAnsi="宋体"/>
          <w:bCs/>
        </w:rPr>
        <w:t>切花材料、剪刀、胶带、插花容器、插花支撑物、笔记本等</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十】创意压花</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firstLine="422" w:firstLineChars="200"/>
        <w:rPr>
          <w:bCs/>
          <w:szCs w:val="21"/>
        </w:rPr>
      </w:pPr>
      <w:r>
        <w:rPr>
          <w:rFonts w:hint="eastAsia"/>
          <w:b/>
          <w:szCs w:val="21"/>
        </w:rPr>
        <w:t>2.实验目的：</w:t>
      </w:r>
      <w:r>
        <w:rPr>
          <w:rFonts w:hint="eastAsia"/>
          <w:bCs/>
          <w:szCs w:val="21"/>
        </w:rPr>
        <w:t>了解花材干燥原理，熟悉花材干燥方法，掌握压花艺术创作过程，并设计制作压花作品</w:t>
      </w:r>
    </w:p>
    <w:p>
      <w:pPr>
        <w:snapToGrid w:val="0"/>
        <w:spacing w:line="360" w:lineRule="auto"/>
        <w:ind w:firstLine="422" w:firstLineChars="200"/>
        <w:rPr>
          <w:b/>
          <w:szCs w:val="21"/>
        </w:rPr>
      </w:pPr>
      <w:r>
        <w:rPr>
          <w:rFonts w:hint="eastAsia"/>
          <w:b/>
          <w:szCs w:val="21"/>
        </w:rPr>
        <w:t>3.实验内容：</w:t>
      </w:r>
    </w:p>
    <w:p>
      <w:pPr>
        <w:shd w:val="solid" w:color="FFFFFF" w:fill="auto"/>
        <w:autoSpaceDN w:val="0"/>
        <w:spacing w:line="360" w:lineRule="auto"/>
        <w:ind w:left="836" w:leftChars="198" w:hanging="420" w:hangingChars="200"/>
        <w:rPr>
          <w:szCs w:val="21"/>
        </w:rPr>
      </w:pPr>
      <w:r>
        <w:rPr>
          <w:rFonts w:hAnsi="宋体"/>
          <w:szCs w:val="21"/>
        </w:rPr>
        <w:t>（</w:t>
      </w:r>
      <w:r>
        <w:rPr>
          <w:szCs w:val="21"/>
        </w:rPr>
        <w:t>1</w:t>
      </w:r>
      <w:r>
        <w:rPr>
          <w:rFonts w:hAnsi="宋体"/>
          <w:szCs w:val="21"/>
        </w:rPr>
        <w:t>）</w:t>
      </w:r>
      <w:r>
        <w:rPr>
          <w:rFonts w:hint="eastAsia" w:hAnsi="宋体"/>
          <w:szCs w:val="21"/>
        </w:rPr>
        <w:t>教师现场讲解、指导学生创作。</w:t>
      </w:r>
    </w:p>
    <w:p>
      <w:pPr>
        <w:shd w:val="solid" w:color="FFFFFF" w:fill="auto"/>
        <w:autoSpaceDN w:val="0"/>
        <w:spacing w:line="360" w:lineRule="auto"/>
        <w:ind w:left="836" w:leftChars="198" w:hanging="420" w:hangingChars="200"/>
        <w:rPr>
          <w:szCs w:val="21"/>
        </w:rPr>
      </w:pPr>
      <w:r>
        <w:rPr>
          <w:rFonts w:hAnsi="宋体"/>
          <w:szCs w:val="21"/>
        </w:rPr>
        <w:t>（</w:t>
      </w:r>
      <w:r>
        <w:rPr>
          <w:szCs w:val="21"/>
        </w:rPr>
        <w:t>2</w:t>
      </w:r>
      <w:r>
        <w:rPr>
          <w:rFonts w:hAnsi="宋体"/>
          <w:szCs w:val="21"/>
        </w:rPr>
        <w:t>）</w:t>
      </w:r>
      <w:r>
        <w:rPr>
          <w:rFonts w:hint="eastAsia" w:hAnsi="宋体"/>
          <w:szCs w:val="21"/>
        </w:rPr>
        <w:t>花材的挑选、收集和预加工</w:t>
      </w:r>
    </w:p>
    <w:p>
      <w:pPr>
        <w:snapToGrid w:val="0"/>
        <w:spacing w:line="360" w:lineRule="auto"/>
        <w:ind w:firstLine="420" w:firstLineChars="200"/>
        <w:rPr>
          <w:rFonts w:hAnsi="宋体"/>
          <w:szCs w:val="21"/>
        </w:rPr>
      </w:pPr>
      <w:r>
        <w:rPr>
          <w:rFonts w:hAnsi="宋体"/>
          <w:szCs w:val="21"/>
        </w:rPr>
        <w:t>（</w:t>
      </w:r>
      <w:r>
        <w:rPr>
          <w:rFonts w:hint="eastAsia"/>
          <w:szCs w:val="21"/>
        </w:rPr>
        <w:t>3</w:t>
      </w:r>
      <w:r>
        <w:rPr>
          <w:rFonts w:hAnsi="宋体"/>
          <w:szCs w:val="21"/>
        </w:rPr>
        <w:t>）</w:t>
      </w:r>
      <w:r>
        <w:rPr>
          <w:rFonts w:hint="eastAsia" w:hAnsi="宋体"/>
          <w:szCs w:val="21"/>
        </w:rPr>
        <w:t>压花（平面干燥花）创作</w:t>
      </w:r>
      <w:r>
        <w:rPr>
          <w:rFonts w:hAnsi="宋体"/>
          <w:szCs w:val="21"/>
        </w:rPr>
        <w:t>。</w:t>
      </w:r>
    </w:p>
    <w:p>
      <w:pPr>
        <w:snapToGrid w:val="0"/>
        <w:spacing w:line="360" w:lineRule="auto"/>
        <w:ind w:firstLine="420" w:firstLineChars="200"/>
        <w:rPr>
          <w:rFonts w:hAnsi="宋体"/>
          <w:szCs w:val="21"/>
        </w:rPr>
      </w:pPr>
      <w:r>
        <w:rPr>
          <w:rFonts w:hAnsi="宋体"/>
          <w:szCs w:val="21"/>
        </w:rPr>
        <w:t>（</w:t>
      </w:r>
      <w:r>
        <w:rPr>
          <w:rFonts w:hint="eastAsia"/>
          <w:szCs w:val="21"/>
        </w:rPr>
        <w:t>4</w:t>
      </w:r>
      <w:r>
        <w:rPr>
          <w:rFonts w:hAnsi="宋体"/>
          <w:szCs w:val="21"/>
        </w:rPr>
        <w:t>）</w:t>
      </w:r>
      <w:r>
        <w:rPr>
          <w:rFonts w:hint="eastAsia" w:hAnsi="宋体"/>
          <w:szCs w:val="21"/>
        </w:rPr>
        <w:t>作品讨论、评比、拍照、装框和保藏。</w:t>
      </w:r>
    </w:p>
    <w:p>
      <w:pPr>
        <w:snapToGrid w:val="0"/>
        <w:spacing w:line="360" w:lineRule="auto"/>
        <w:ind w:firstLine="422" w:firstLineChars="200"/>
        <w:rPr>
          <w:rFonts w:ascii="宋体" w:hAnsi="宋体"/>
          <w:bCs/>
        </w:rPr>
      </w:pPr>
      <w:r>
        <w:rPr>
          <w:rFonts w:hint="eastAsia"/>
          <w:b/>
          <w:szCs w:val="21"/>
        </w:rPr>
        <w:t>4.实验要求：</w:t>
      </w:r>
    </w:p>
    <w:p>
      <w:pPr>
        <w:snapToGrid w:val="0"/>
        <w:spacing w:line="360" w:lineRule="auto"/>
        <w:ind w:firstLine="420" w:firstLineChars="200"/>
        <w:rPr>
          <w:bCs/>
          <w:szCs w:val="21"/>
        </w:rPr>
      </w:pPr>
      <w:r>
        <w:rPr>
          <w:bCs/>
          <w:szCs w:val="21"/>
        </w:rPr>
        <w:t>（1）</w:t>
      </w:r>
      <w:r>
        <w:rPr>
          <w:rFonts w:hint="eastAsia"/>
          <w:bCs/>
          <w:szCs w:val="21"/>
        </w:rPr>
        <w:t>本实验是几位同学合作完成，既有分工，又有合作，保证实验质量。</w:t>
      </w:r>
    </w:p>
    <w:p>
      <w:pPr>
        <w:snapToGrid w:val="0"/>
        <w:spacing w:line="360" w:lineRule="auto"/>
        <w:ind w:firstLine="420"/>
        <w:rPr>
          <w:rFonts w:hAnsi="宋体"/>
          <w:szCs w:val="21"/>
        </w:rPr>
      </w:pPr>
      <w:r>
        <w:rPr>
          <w:bCs/>
          <w:szCs w:val="21"/>
        </w:rPr>
        <w:t>（2）</w:t>
      </w:r>
      <w:r>
        <w:rPr>
          <w:rFonts w:hint="eastAsia"/>
          <w:bCs/>
          <w:szCs w:val="21"/>
        </w:rPr>
        <w:t>对</w:t>
      </w:r>
      <w:r>
        <w:rPr>
          <w:rFonts w:hint="eastAsia" w:hAnsi="宋体"/>
          <w:szCs w:val="21"/>
        </w:rPr>
        <w:t>所用花材，学生课后要进行资料查阅，进一步了解其形态特征和栽培管理特点等。</w:t>
      </w:r>
    </w:p>
    <w:p>
      <w:pPr>
        <w:snapToGrid w:val="0"/>
        <w:spacing w:line="360" w:lineRule="auto"/>
        <w:ind w:firstLine="420" w:firstLineChars="200"/>
        <w:rPr>
          <w:bCs/>
          <w:szCs w:val="21"/>
        </w:rPr>
      </w:pPr>
      <w:r>
        <w:rPr>
          <w:bCs/>
          <w:szCs w:val="21"/>
        </w:rPr>
        <w:t>（</w:t>
      </w:r>
      <w:r>
        <w:rPr>
          <w:rFonts w:hint="eastAsia"/>
          <w:bCs/>
          <w:szCs w:val="21"/>
        </w:rPr>
        <w:t>3</w:t>
      </w:r>
      <w:r>
        <w:rPr>
          <w:bCs/>
          <w:szCs w:val="21"/>
        </w:rPr>
        <w:t>）</w:t>
      </w:r>
      <w:r>
        <w:rPr>
          <w:rFonts w:hint="eastAsia"/>
          <w:bCs/>
          <w:szCs w:val="21"/>
        </w:rPr>
        <w:t>认真的完成压花过程，记好笔记。</w:t>
      </w:r>
    </w:p>
    <w:p>
      <w:pPr>
        <w:snapToGrid w:val="0"/>
        <w:spacing w:line="360" w:lineRule="auto"/>
        <w:ind w:firstLine="420" w:firstLineChars="200"/>
        <w:rPr>
          <w:bCs/>
          <w:szCs w:val="21"/>
        </w:rPr>
      </w:pPr>
      <w:r>
        <w:rPr>
          <w:bCs/>
          <w:szCs w:val="21"/>
        </w:rPr>
        <w:t>（</w:t>
      </w:r>
      <w:r>
        <w:rPr>
          <w:rFonts w:hint="eastAsia"/>
          <w:bCs/>
          <w:szCs w:val="21"/>
        </w:rPr>
        <w:t>4</w:t>
      </w:r>
      <w:r>
        <w:rPr>
          <w:bCs/>
          <w:szCs w:val="21"/>
        </w:rPr>
        <w:t>）</w:t>
      </w:r>
      <w:r>
        <w:rPr>
          <w:rFonts w:hint="eastAsia"/>
          <w:bCs/>
          <w:szCs w:val="21"/>
        </w:rPr>
        <w:t>对所做作品要注明小组成员信息和班级信息。</w:t>
      </w:r>
    </w:p>
    <w:p>
      <w:pPr>
        <w:snapToGrid w:val="0"/>
        <w:spacing w:line="360" w:lineRule="auto"/>
        <w:ind w:firstLine="420" w:firstLineChars="200"/>
        <w:rPr>
          <w:rFonts w:ascii="宋体" w:hAnsi="宋体"/>
          <w:bCs/>
          <w:szCs w:val="21"/>
        </w:rPr>
      </w:pPr>
      <w:r>
        <w:rPr>
          <w:bCs/>
          <w:szCs w:val="21"/>
        </w:rPr>
        <w:t>（</w:t>
      </w:r>
      <w:r>
        <w:rPr>
          <w:rFonts w:hint="eastAsia"/>
          <w:bCs/>
          <w:szCs w:val="21"/>
        </w:rPr>
        <w:t>5</w:t>
      </w:r>
      <w:r>
        <w:rPr>
          <w:bCs/>
          <w:szCs w:val="21"/>
        </w:rPr>
        <w:t>）</w:t>
      </w:r>
      <w:r>
        <w:rPr>
          <w:rFonts w:hint="eastAsia"/>
          <w:bCs/>
          <w:szCs w:val="21"/>
        </w:rPr>
        <w:t>根据要求完成实验报告</w:t>
      </w:r>
      <w:r>
        <w:rPr>
          <w:bCs/>
          <w:szCs w:val="21"/>
        </w:rPr>
        <w:t>。</w:t>
      </w:r>
    </w:p>
    <w:p>
      <w:pPr>
        <w:snapToGrid w:val="0"/>
        <w:spacing w:line="360" w:lineRule="auto"/>
        <w:ind w:firstLine="422" w:firstLineChars="200"/>
        <w:rPr>
          <w:rFonts w:ascii="宋体" w:hAnsi="宋体"/>
          <w:bCs/>
        </w:rPr>
      </w:pPr>
      <w:r>
        <w:rPr>
          <w:rFonts w:hint="eastAsia"/>
          <w:b/>
          <w:szCs w:val="21"/>
        </w:rPr>
        <w:t>5.实验设备及器材：</w:t>
      </w:r>
      <w:r>
        <w:rPr>
          <w:rFonts w:hint="eastAsia" w:ascii="宋体" w:hAnsi="宋体"/>
          <w:bCs/>
        </w:rPr>
        <w:t>美工刀、小刀、剪刀、胶水、镊子、压花工具、相框等。</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widowControl/>
        <w:snapToGrid w:val="0"/>
        <w:spacing w:line="360" w:lineRule="auto"/>
        <w:jc w:val="left"/>
        <w:rPr>
          <w:rFonts w:hAnsi="宋体"/>
          <w:szCs w:val="21"/>
        </w:rPr>
      </w:pPr>
      <w:r>
        <w:rPr>
          <w:rFonts w:hint="eastAsia" w:hAnsi="宋体"/>
          <w:szCs w:val="21"/>
        </w:rPr>
        <w:t>（一）花卉栽培学课程思政建设主要有以下5个目标：</w:t>
      </w:r>
    </w:p>
    <w:p>
      <w:pPr>
        <w:widowControl/>
        <w:snapToGrid w:val="0"/>
        <w:spacing w:line="360" w:lineRule="auto"/>
        <w:ind w:firstLine="420"/>
        <w:jc w:val="left"/>
        <w:rPr>
          <w:rFonts w:hAnsi="宋体"/>
          <w:szCs w:val="21"/>
        </w:rPr>
      </w:pPr>
      <w:r>
        <w:rPr>
          <w:rFonts w:hint="eastAsia" w:hAnsi="宋体"/>
          <w:szCs w:val="21"/>
        </w:rPr>
        <w:t>目标 1：理想信念。具有坚定正确的政治方向，自觉践行社会主义核心价值观。</w:t>
      </w:r>
    </w:p>
    <w:p>
      <w:pPr>
        <w:widowControl/>
        <w:snapToGrid w:val="0"/>
        <w:spacing w:line="360" w:lineRule="auto"/>
        <w:ind w:firstLine="420"/>
        <w:jc w:val="left"/>
        <w:rPr>
          <w:rFonts w:hAnsi="宋体"/>
          <w:szCs w:val="21"/>
        </w:rPr>
      </w:pPr>
      <w:r>
        <w:rPr>
          <w:rFonts w:hint="eastAsia" w:hAnsi="宋体"/>
          <w:szCs w:val="21"/>
        </w:rPr>
        <w:t>目标 2：经济社会及可持续发展。具有“三农”情怀和“知农爱农为农”素养，具备环境保护和社会可持续发展意识。</w:t>
      </w:r>
    </w:p>
    <w:p>
      <w:pPr>
        <w:widowControl/>
        <w:snapToGrid w:val="0"/>
        <w:spacing w:line="360" w:lineRule="auto"/>
        <w:ind w:firstLine="420"/>
        <w:jc w:val="left"/>
        <w:rPr>
          <w:rFonts w:hAnsi="宋体"/>
          <w:szCs w:val="21"/>
        </w:rPr>
      </w:pPr>
      <w:r>
        <w:rPr>
          <w:rFonts w:hint="eastAsia" w:hAnsi="宋体"/>
          <w:szCs w:val="21"/>
        </w:rPr>
        <w:t>目标 3：职业规范。具有人文社会科学素养、社会责任感，能够在课程学习中理解并遵守职业道德和规范，履行职责，具有探索精神和创新意识。</w:t>
      </w:r>
    </w:p>
    <w:p>
      <w:pPr>
        <w:widowControl/>
        <w:snapToGrid w:val="0"/>
        <w:spacing w:line="360" w:lineRule="auto"/>
        <w:ind w:firstLine="420"/>
        <w:jc w:val="left"/>
        <w:rPr>
          <w:rFonts w:hAnsi="宋体"/>
          <w:szCs w:val="21"/>
        </w:rPr>
      </w:pPr>
      <w:r>
        <w:rPr>
          <w:rFonts w:hint="eastAsia" w:hAnsi="宋体"/>
          <w:szCs w:val="21"/>
        </w:rPr>
        <w:t>目标 4：团队意识。理解团队合作的重要性和领导技巧，具备良好的团队合作意识和协作精神。</w:t>
      </w:r>
    </w:p>
    <w:p>
      <w:pPr>
        <w:widowControl/>
        <w:snapToGrid w:val="0"/>
        <w:spacing w:line="360" w:lineRule="auto"/>
        <w:ind w:firstLine="420"/>
        <w:jc w:val="left"/>
        <w:rPr>
          <w:rFonts w:hAnsi="宋体"/>
          <w:szCs w:val="21"/>
        </w:rPr>
      </w:pPr>
      <w:r>
        <w:rPr>
          <w:rFonts w:hint="eastAsia" w:hAnsi="宋体"/>
          <w:szCs w:val="21"/>
        </w:rPr>
        <w:t>目标 5：终身学习。具有国际视野，有自主学习和终身学习意识，有适应环境变化不断学习的能力。</w:t>
      </w:r>
    </w:p>
    <w:p>
      <w:pPr>
        <w:widowControl/>
        <w:snapToGrid w:val="0"/>
        <w:spacing w:line="360" w:lineRule="auto"/>
        <w:jc w:val="left"/>
        <w:rPr>
          <w:rFonts w:hAnsi="宋体"/>
          <w:szCs w:val="21"/>
        </w:rPr>
      </w:pPr>
      <w:r>
        <w:rPr>
          <w:rFonts w:hint="eastAsia" w:hAnsi="宋体"/>
          <w:szCs w:val="21"/>
        </w:rPr>
        <w:t>（二）对应思政育人目标，本课程共设计8个案例融入课堂教学，具体如下：</w:t>
      </w:r>
    </w:p>
    <w:p>
      <w:pPr>
        <w:widowControl/>
        <w:snapToGrid w:val="0"/>
        <w:spacing w:line="360" w:lineRule="auto"/>
        <w:jc w:val="left"/>
        <w:rPr>
          <w:rFonts w:hAnsi="宋体"/>
          <w:szCs w:val="21"/>
        </w:rPr>
      </w:pPr>
      <w:r>
        <w:rPr>
          <w:rFonts w:hint="eastAsia" w:hAnsi="宋体"/>
          <w:szCs w:val="21"/>
        </w:rPr>
        <w:t>（1）花卉栽培学绪论</w:t>
      </w:r>
    </w:p>
    <w:p>
      <w:pPr>
        <w:widowControl/>
        <w:snapToGrid w:val="0"/>
        <w:spacing w:line="360" w:lineRule="auto"/>
        <w:ind w:firstLine="420"/>
        <w:jc w:val="left"/>
        <w:rPr>
          <w:rFonts w:hAnsi="宋体"/>
          <w:szCs w:val="21"/>
        </w:rPr>
      </w:pPr>
      <w:r>
        <w:rPr>
          <w:rFonts w:hint="eastAsia" w:hAnsi="宋体"/>
          <w:szCs w:val="21"/>
        </w:rPr>
        <w:t>在讲解“我国花卉种质资源”时融入案例1：我国丰富的花卉种质资源及其对世界园林的贡献。通过例举中国原产的兰属、山茶、杜鹃等花卉资源，并结合著名植物学家亨利·威尔逊5次访华后出版的专著《中国，园林之母》中的论述这2个方面，阐明中国古代园艺对世界园艺的影响和贡献，增强学生的国家认同感和民族自豪感。</w:t>
      </w:r>
    </w:p>
    <w:p>
      <w:pPr>
        <w:widowControl/>
        <w:snapToGrid w:val="0"/>
        <w:spacing w:line="360" w:lineRule="auto"/>
        <w:ind w:firstLine="420"/>
        <w:jc w:val="left"/>
        <w:rPr>
          <w:rFonts w:hAnsi="宋体"/>
          <w:szCs w:val="21"/>
        </w:rPr>
      </w:pPr>
      <w:r>
        <w:rPr>
          <w:rFonts w:hint="eastAsia" w:hAnsi="宋体"/>
          <w:szCs w:val="21"/>
        </w:rPr>
        <w:t>在讲解“我国花卉业的发展和现状”时融入案例2：中国传统十大名花与我心中的国花。结合古代诗词赏析，使学生了解中国花卉传统文化，提高学生人文素养；介绍国花评选历程，以“我心中的国花”为题，引发学生思考，通过不同花卉表现的内涵品质来挖掘中华民族的伟大精神。</w:t>
      </w:r>
    </w:p>
    <w:p>
      <w:pPr>
        <w:widowControl/>
        <w:snapToGrid w:val="0"/>
        <w:spacing w:line="360" w:lineRule="auto"/>
        <w:jc w:val="left"/>
        <w:rPr>
          <w:rFonts w:hAnsi="宋体"/>
          <w:szCs w:val="21"/>
        </w:rPr>
      </w:pPr>
      <w:r>
        <w:rPr>
          <w:rFonts w:hint="eastAsia" w:hAnsi="宋体"/>
          <w:szCs w:val="21"/>
        </w:rPr>
        <w:t>（2）花卉的分类</w:t>
      </w:r>
    </w:p>
    <w:p>
      <w:pPr>
        <w:widowControl/>
        <w:snapToGrid w:val="0"/>
        <w:spacing w:line="360" w:lineRule="auto"/>
        <w:ind w:firstLine="420"/>
        <w:jc w:val="left"/>
        <w:rPr>
          <w:rFonts w:hAnsi="宋体"/>
          <w:szCs w:val="21"/>
        </w:rPr>
      </w:pPr>
      <w:r>
        <w:rPr>
          <w:rFonts w:hint="eastAsia" w:hAnsi="宋体"/>
          <w:szCs w:val="21"/>
        </w:rPr>
        <w:t>在“依据商品用途分类”中，讲到“切花类”时引入案例3：我与改革开放共成长—昆明杨月季园艺有限公司负责人杨玉勇伴随改革开放成长的芬芳之旅。该案例通过对云南著名切花品牌—昆明杨月季园艺有限责任公司创办和发展历程的讲解，使学生知道个人事业取得成功离不开国家的改革开放政策，同时还需要个人具有爱农情怀、执着追求与不断创新精神。</w:t>
      </w:r>
    </w:p>
    <w:p>
      <w:pPr>
        <w:widowControl/>
        <w:snapToGrid w:val="0"/>
        <w:spacing w:line="360" w:lineRule="auto"/>
        <w:jc w:val="left"/>
        <w:rPr>
          <w:rFonts w:hAnsi="宋体"/>
          <w:szCs w:val="21"/>
        </w:rPr>
      </w:pPr>
      <w:r>
        <w:rPr>
          <w:rFonts w:hint="eastAsia" w:hAnsi="宋体"/>
          <w:szCs w:val="21"/>
        </w:rPr>
        <w:t>（3）花卉的生长发育与环境</w:t>
      </w:r>
    </w:p>
    <w:p>
      <w:pPr>
        <w:widowControl/>
        <w:snapToGrid w:val="0"/>
        <w:spacing w:line="360" w:lineRule="auto"/>
        <w:ind w:firstLine="420"/>
        <w:jc w:val="left"/>
        <w:rPr>
          <w:rFonts w:hAnsi="宋体"/>
          <w:szCs w:val="21"/>
        </w:rPr>
      </w:pPr>
      <w:r>
        <w:rPr>
          <w:rFonts w:hint="eastAsia" w:hAnsi="宋体"/>
          <w:szCs w:val="21"/>
        </w:rPr>
        <w:t>在讲解“花芽分化”时，提出花卉的花芽分化理论和类型等理论是建立在大量科学试验和研究基础之上的，科学研究成果是促进学科知识体系完善的原动力，科技成果的产生离不开个人的努力，更离不开团队的合作，由此引入案例4：创新团队—国家花卉工程技术研究中心。通过介绍研究中心在花卉种质资源创新、新品种培育、现代化生产等方面取得的标志性成果，使学生理解团队合作的重要性，培养良好的团队合作意识和协作精神。</w:t>
      </w:r>
    </w:p>
    <w:p>
      <w:pPr>
        <w:widowControl/>
        <w:snapToGrid w:val="0"/>
        <w:spacing w:line="360" w:lineRule="auto"/>
        <w:jc w:val="left"/>
        <w:rPr>
          <w:rFonts w:hAnsi="宋体"/>
          <w:szCs w:val="21"/>
        </w:rPr>
      </w:pPr>
      <w:r>
        <w:rPr>
          <w:rFonts w:hint="eastAsia" w:hAnsi="宋体"/>
          <w:szCs w:val="21"/>
        </w:rPr>
        <w:t>（4）花卉的栽培管理</w:t>
      </w:r>
    </w:p>
    <w:p>
      <w:pPr>
        <w:widowControl/>
        <w:snapToGrid w:val="0"/>
        <w:spacing w:line="360" w:lineRule="auto"/>
        <w:ind w:firstLine="420"/>
        <w:jc w:val="left"/>
        <w:rPr>
          <w:rFonts w:hAnsi="宋体"/>
          <w:szCs w:val="21"/>
        </w:rPr>
      </w:pPr>
      <w:r>
        <w:rPr>
          <w:rFonts w:hint="eastAsia" w:hAnsi="宋体"/>
          <w:szCs w:val="21"/>
        </w:rPr>
        <w:t>在讲解“花卉露地栽培管理”之前，强调懂得花卉种植技术的重要意义，引入案例 5：青春闪耀乡村大舞台—女大学生村官冯素金带领村民种花，农户家家乐开花。通过该案例使学生知道我国农村广阔的天地富有生机希望，只要真心投入，辛勤耕耘，努力奋斗，就一定会大有作为。</w:t>
      </w:r>
    </w:p>
    <w:p>
      <w:pPr>
        <w:widowControl/>
        <w:snapToGrid w:val="0"/>
        <w:spacing w:line="360" w:lineRule="auto"/>
        <w:jc w:val="left"/>
        <w:rPr>
          <w:rFonts w:hAnsi="宋体"/>
          <w:szCs w:val="21"/>
        </w:rPr>
      </w:pPr>
      <w:r>
        <w:rPr>
          <w:rFonts w:hint="eastAsia" w:hAnsi="宋体"/>
          <w:szCs w:val="21"/>
        </w:rPr>
        <w:t>（5）一、二年生花卉</w:t>
      </w:r>
    </w:p>
    <w:p>
      <w:pPr>
        <w:widowControl/>
        <w:snapToGrid w:val="0"/>
        <w:spacing w:line="360" w:lineRule="auto"/>
        <w:ind w:firstLine="420"/>
        <w:jc w:val="left"/>
        <w:rPr>
          <w:rFonts w:hAnsi="宋体"/>
          <w:szCs w:val="21"/>
        </w:rPr>
      </w:pPr>
      <w:r>
        <w:rPr>
          <w:rFonts w:hint="eastAsia" w:hAnsi="宋体"/>
          <w:szCs w:val="21"/>
        </w:rPr>
        <w:t>在讲解“一二年生花卉”时提出，全国每年花费上亿元用于进口草花种子。以矮牵牛为例，一粒进口种子售价1元，为了扭转这种受制于人的局面，我国科技工作者付出了艰苦卓绝的努力，由此引出案例6：让国产花草扮靓街头—包满珠。通过该案例让学生了解我国花卉科研精英所作的贡献，引导学生树立正确的科研价值观，不断奋发向上，用所学知识回报祖国，振兴我国花卉产业。</w:t>
      </w:r>
    </w:p>
    <w:p>
      <w:pPr>
        <w:widowControl/>
        <w:snapToGrid w:val="0"/>
        <w:spacing w:line="360" w:lineRule="auto"/>
        <w:jc w:val="left"/>
        <w:rPr>
          <w:rFonts w:hAnsi="宋体"/>
          <w:szCs w:val="21"/>
        </w:rPr>
      </w:pPr>
      <w:r>
        <w:rPr>
          <w:rFonts w:hint="eastAsia" w:hAnsi="宋体"/>
          <w:szCs w:val="21"/>
        </w:rPr>
        <w:t>（6）球根花卉</w:t>
      </w:r>
    </w:p>
    <w:p>
      <w:pPr>
        <w:widowControl/>
        <w:snapToGrid w:val="0"/>
        <w:spacing w:line="360" w:lineRule="auto"/>
        <w:ind w:firstLine="420"/>
        <w:jc w:val="left"/>
        <w:rPr>
          <w:rFonts w:hAnsi="宋体"/>
          <w:szCs w:val="21"/>
        </w:rPr>
      </w:pPr>
      <w:r>
        <w:rPr>
          <w:rFonts w:hint="eastAsia" w:hAnsi="宋体"/>
          <w:szCs w:val="21"/>
        </w:rPr>
        <w:t>在讲解“球根花卉百合”时融入案例7：独爱百合—杨利平。源于对花卉，尤其是百合的热爱，杨利平教授曾转战四所高校，他的人生经历就像他的科研成果一样丰富。通过该案例，使学生了解我国花卉科技工作者对科研事业的执着追求以及不辞辛苦的敬业精神。</w:t>
      </w:r>
    </w:p>
    <w:p>
      <w:pPr>
        <w:widowControl/>
        <w:snapToGrid w:val="0"/>
        <w:spacing w:line="360" w:lineRule="auto"/>
        <w:jc w:val="left"/>
        <w:rPr>
          <w:rFonts w:hAnsi="宋体"/>
          <w:szCs w:val="21"/>
        </w:rPr>
      </w:pPr>
      <w:r>
        <w:rPr>
          <w:rFonts w:hint="eastAsia" w:hAnsi="宋体"/>
          <w:szCs w:val="21"/>
        </w:rPr>
        <w:t>（7）木本花卉</w:t>
      </w:r>
    </w:p>
    <w:p>
      <w:pPr>
        <w:widowControl/>
        <w:snapToGrid w:val="0"/>
        <w:spacing w:line="360" w:lineRule="auto"/>
        <w:ind w:firstLine="420"/>
        <w:jc w:val="left"/>
        <w:rPr>
          <w:rFonts w:hAnsi="宋体"/>
          <w:szCs w:val="21"/>
        </w:rPr>
      </w:pPr>
      <w:r>
        <w:rPr>
          <w:rFonts w:hint="eastAsia" w:hAnsi="宋体"/>
          <w:szCs w:val="21"/>
        </w:rPr>
        <w:t>在讲解“牡丹和芍药区别”时，布置学生查阅资料自学完成，引入案例8：追逐梦想，涅槃重生—农大学生石嫣的成长历程。通过该案例，让学生建立自主学习和终身学习意识，培养适应环境变化不断学习的能力。</w:t>
      </w: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hAnsi="宋体"/>
          <w:bCs/>
          <w:kern w:val="0"/>
          <w:szCs w:val="21"/>
        </w:rPr>
      </w:pPr>
      <w:r>
        <w:rPr>
          <w:rFonts w:hint="eastAsia" w:ascii="宋体" w:hAnsi="宋体"/>
          <w:bCs/>
          <w:kern w:val="0"/>
          <w:szCs w:val="21"/>
        </w:rPr>
        <w:t>（1）理论课教材：</w:t>
      </w:r>
      <w:r>
        <w:rPr>
          <w:rFonts w:hint="eastAsia" w:hAnsi="宋体"/>
          <w:bCs/>
          <w:kern w:val="0"/>
          <w:szCs w:val="21"/>
        </w:rPr>
        <w:t>《花卉学》第三版，包满珠主编，中国农业出版社，2018 年</w:t>
      </w:r>
    </w:p>
    <w:p>
      <w:pPr>
        <w:widowControl/>
        <w:snapToGrid w:val="0"/>
        <w:spacing w:line="360" w:lineRule="auto"/>
        <w:ind w:firstLine="420" w:firstLineChars="200"/>
        <w:jc w:val="left"/>
        <w:rPr>
          <w:rFonts w:hAnsi="宋体"/>
          <w:bCs/>
          <w:kern w:val="0"/>
          <w:szCs w:val="21"/>
        </w:rPr>
      </w:pPr>
      <w:r>
        <w:rPr>
          <w:rFonts w:hint="eastAsia" w:ascii="宋体" w:hAnsi="宋体"/>
        </w:rPr>
        <w:t>（2）实验课教材：</w:t>
      </w:r>
      <w:r>
        <w:rPr>
          <w:rFonts w:hint="eastAsia" w:hAnsi="宋体"/>
          <w:bCs/>
          <w:kern w:val="0"/>
          <w:szCs w:val="21"/>
        </w:rPr>
        <w:t>《实验、实习指导书》河南农业大学园艺学院编</w:t>
      </w:r>
    </w:p>
    <w:p>
      <w:pPr>
        <w:widowControl/>
        <w:snapToGrid w:val="0"/>
        <w:spacing w:line="360" w:lineRule="auto"/>
        <w:ind w:firstLine="420" w:firstLineChars="200"/>
        <w:jc w:val="left"/>
        <w:rPr>
          <w:rFonts w:hAnsi="宋体"/>
          <w:bCs/>
          <w:kern w:val="0"/>
          <w:szCs w:val="21"/>
        </w:rPr>
      </w:pPr>
      <w:r>
        <w:rPr>
          <w:rFonts w:hint="eastAsia" w:ascii="宋体" w:hAnsi="宋体"/>
        </w:rPr>
        <w:t>（3）实习指导书：</w:t>
      </w:r>
      <w:r>
        <w:rPr>
          <w:rFonts w:hint="eastAsia" w:hAnsi="宋体"/>
          <w:bCs/>
          <w:kern w:val="0"/>
          <w:szCs w:val="21"/>
        </w:rPr>
        <w:t>《实验、实习指导书》河南农业大学园艺学院编</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napToGrid w:val="0"/>
        <w:spacing w:line="360" w:lineRule="auto"/>
        <w:ind w:firstLine="420" w:firstLineChars="200"/>
        <w:rPr>
          <w:rFonts w:hAnsi="宋体"/>
          <w:bCs/>
          <w:kern w:val="0"/>
          <w:szCs w:val="21"/>
        </w:rPr>
      </w:pPr>
      <w:r>
        <w:rPr>
          <w:rFonts w:hAnsi="宋体"/>
          <w:bCs/>
          <w:kern w:val="0"/>
          <w:szCs w:val="21"/>
        </w:rPr>
        <w:t>（1）</w:t>
      </w:r>
      <w:r>
        <w:rPr>
          <w:rFonts w:hint="eastAsia" w:hAnsi="宋体"/>
          <w:bCs/>
          <w:kern w:val="0"/>
          <w:szCs w:val="21"/>
        </w:rPr>
        <w:t>花卉栽培．曹春应，孙日波．中国农业出版社，2023</w:t>
      </w:r>
    </w:p>
    <w:p>
      <w:pPr>
        <w:snapToGrid w:val="0"/>
        <w:spacing w:line="360" w:lineRule="auto"/>
        <w:ind w:firstLine="420" w:firstLineChars="200"/>
        <w:rPr>
          <w:rFonts w:hAnsi="宋体"/>
          <w:bCs/>
          <w:kern w:val="0"/>
          <w:szCs w:val="21"/>
        </w:rPr>
      </w:pPr>
      <w:r>
        <w:rPr>
          <w:rFonts w:hAnsi="宋体"/>
          <w:bCs/>
          <w:kern w:val="0"/>
          <w:szCs w:val="21"/>
        </w:rPr>
        <w:t>（2）</w:t>
      </w:r>
      <w:r>
        <w:rPr>
          <w:rFonts w:hint="eastAsia" w:hAnsi="宋体"/>
          <w:bCs/>
          <w:kern w:val="0"/>
          <w:szCs w:val="21"/>
        </w:rPr>
        <w:t>花卉学第二版．王莲英，秦魁杰．中国林业出版社，2023</w:t>
      </w:r>
    </w:p>
    <w:p>
      <w:pPr>
        <w:widowControl/>
        <w:snapToGrid w:val="0"/>
        <w:spacing w:line="360" w:lineRule="auto"/>
        <w:ind w:firstLine="420" w:firstLineChars="200"/>
        <w:jc w:val="left"/>
        <w:rPr>
          <w:rFonts w:hAnsi="宋体"/>
          <w:bCs/>
          <w:kern w:val="0"/>
          <w:szCs w:val="21"/>
        </w:rPr>
      </w:pPr>
      <w:r>
        <w:rPr>
          <w:rFonts w:hint="eastAsia" w:hAnsi="宋体"/>
          <w:bCs/>
          <w:kern w:val="0"/>
          <w:szCs w:val="21"/>
        </w:rPr>
        <w:t>（3）园林花卉学．杨利平，和凤美．中国农业大学出版社，2023年</w:t>
      </w:r>
    </w:p>
    <w:p>
      <w:pPr>
        <w:widowControl/>
        <w:snapToGrid w:val="0"/>
        <w:spacing w:line="360" w:lineRule="auto"/>
        <w:ind w:firstLine="420" w:firstLineChars="200"/>
        <w:jc w:val="left"/>
        <w:rPr>
          <w:b/>
          <w:kern w:val="0"/>
          <w:szCs w:val="21"/>
        </w:rPr>
      </w:pPr>
      <w:r>
        <w:rPr>
          <w:rFonts w:hint="eastAsia" w:hAnsi="宋体"/>
          <w:bCs/>
          <w:kern w:val="0"/>
          <w:szCs w:val="21"/>
        </w:rPr>
        <w:t>（4）园林花卉学第四版．刘燕．中国林业出版社，2023年</w:t>
      </w: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snapToGrid w:val="0"/>
        <w:spacing w:line="360" w:lineRule="auto"/>
        <w:ind w:firstLine="420" w:firstLineChars="200"/>
        <w:rPr>
          <w:rFonts w:hAnsi="宋体"/>
          <w:bCs/>
          <w:kern w:val="0"/>
          <w:szCs w:val="21"/>
        </w:rPr>
      </w:pPr>
      <w:r>
        <w:rPr>
          <w:rFonts w:hAnsi="宋体"/>
          <w:bCs/>
          <w:kern w:val="0"/>
          <w:szCs w:val="21"/>
        </w:rPr>
        <w:t>（1）</w:t>
      </w:r>
      <w:r>
        <w:rPr>
          <w:rFonts w:hint="eastAsia" w:hAnsi="宋体"/>
          <w:bCs/>
          <w:kern w:val="0"/>
          <w:szCs w:val="21"/>
        </w:rPr>
        <w:t>中国花卉网，</w:t>
      </w:r>
      <w:r>
        <w:rPr>
          <w:rFonts w:hAnsi="宋体"/>
          <w:bCs/>
          <w:kern w:val="0"/>
          <w:szCs w:val="21"/>
        </w:rPr>
        <w:t>http://www.china-flower.com/</w:t>
      </w:r>
    </w:p>
    <w:p>
      <w:pPr>
        <w:widowControl/>
        <w:snapToGrid w:val="0"/>
        <w:spacing w:line="360" w:lineRule="auto"/>
        <w:ind w:firstLine="420" w:firstLineChars="200"/>
        <w:jc w:val="left"/>
        <w:rPr>
          <w:rFonts w:hAnsi="宋体"/>
          <w:bCs/>
          <w:kern w:val="0"/>
          <w:szCs w:val="21"/>
        </w:rPr>
      </w:pPr>
      <w:r>
        <w:rPr>
          <w:rFonts w:hAnsi="宋体"/>
          <w:bCs/>
          <w:kern w:val="0"/>
          <w:szCs w:val="21"/>
        </w:rPr>
        <w:t>（2）</w:t>
      </w:r>
      <w:r>
        <w:rPr>
          <w:rFonts w:hint="eastAsia" w:hAnsi="宋体"/>
          <w:bCs/>
          <w:kern w:val="0"/>
          <w:szCs w:val="21"/>
        </w:rPr>
        <w:t>花卉世界网，</w:t>
      </w:r>
      <w:r>
        <w:rPr>
          <w:rFonts w:hAnsi="宋体"/>
          <w:bCs/>
          <w:kern w:val="0"/>
          <w:szCs w:val="21"/>
        </w:rPr>
        <w:t>http://www.flowerworld.com.cn/</w:t>
      </w:r>
    </w:p>
    <w:p>
      <w:pPr>
        <w:widowControl/>
        <w:snapToGrid w:val="0"/>
        <w:spacing w:line="360" w:lineRule="auto"/>
        <w:ind w:firstLine="420" w:firstLineChars="200"/>
        <w:jc w:val="left"/>
        <w:rPr>
          <w:rFonts w:hAnsi="宋体"/>
          <w:bCs/>
          <w:kern w:val="0"/>
          <w:szCs w:val="21"/>
        </w:rPr>
      </w:pPr>
      <w:r>
        <w:rPr>
          <w:rFonts w:hint="eastAsia"/>
          <w:kern w:val="0"/>
        </w:rPr>
        <w:t>（</w:t>
      </w:r>
      <w:r>
        <w:rPr>
          <w:rFonts w:hint="eastAsia" w:hAnsi="宋体"/>
          <w:bCs/>
          <w:kern w:val="0"/>
          <w:szCs w:val="21"/>
        </w:rPr>
        <w:t>3）花卉学国家级精品在线课程，</w:t>
      </w:r>
    </w:p>
    <w:p>
      <w:pPr>
        <w:widowControl/>
        <w:snapToGrid w:val="0"/>
        <w:spacing w:line="360" w:lineRule="auto"/>
        <w:ind w:firstLine="945" w:firstLineChars="450"/>
        <w:jc w:val="left"/>
        <w:rPr>
          <w:rFonts w:hAnsi="宋体"/>
          <w:bCs/>
          <w:kern w:val="0"/>
          <w:szCs w:val="21"/>
        </w:rPr>
      </w:pPr>
      <w:r>
        <w:rPr>
          <w:rFonts w:hAnsi="宋体"/>
          <w:bCs/>
          <w:kern w:val="0"/>
          <w:szCs w:val="21"/>
        </w:rPr>
        <w:t>https://www.icourse163.org/course/HZAU-1002479003?tid=1002639002</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szCs w:val="21"/>
        </w:rPr>
      </w:pPr>
      <w:r>
        <w:rPr>
          <w:rFonts w:hint="eastAsia" w:ascii="宋体" w:hAnsi="宋体"/>
          <w:szCs w:val="21"/>
        </w:rPr>
        <w:t>1. 需要师资情况：每个课头号下至少有2名授课教师，目前师资结构合适。</w:t>
      </w:r>
    </w:p>
    <w:p>
      <w:pPr>
        <w:snapToGrid w:val="0"/>
        <w:spacing w:line="360" w:lineRule="auto"/>
        <w:ind w:firstLine="420" w:firstLineChars="200"/>
        <w:rPr>
          <w:rFonts w:ascii="宋体" w:hAnsi="宋体"/>
          <w:szCs w:val="21"/>
        </w:rPr>
      </w:pPr>
      <w:r>
        <w:rPr>
          <w:rFonts w:hint="eastAsia" w:ascii="宋体" w:hAnsi="宋体"/>
          <w:szCs w:val="21"/>
        </w:rPr>
        <w:t>2. 场地：实验用地、温室、园艺植物生理生化实验室。</w:t>
      </w:r>
    </w:p>
    <w:p>
      <w:pPr>
        <w:snapToGrid w:val="0"/>
        <w:spacing w:line="360" w:lineRule="auto"/>
        <w:ind w:firstLine="420" w:firstLineChars="200"/>
        <w:rPr>
          <w:rFonts w:ascii="宋体" w:hAnsi="宋体"/>
          <w:szCs w:val="21"/>
        </w:rPr>
      </w:pPr>
      <w:r>
        <w:rPr>
          <w:rFonts w:hint="eastAsia" w:ascii="宋体" w:hAnsi="宋体"/>
          <w:szCs w:val="21"/>
        </w:rPr>
        <w:t>3. 实验条件：园艺学院和科教园区具备完成课程规定的实验条件。</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ascii="宋体" w:hAnsi="宋体"/>
        </w:rPr>
      </w:pPr>
      <w:r>
        <w:rPr>
          <w:rFonts w:hint="eastAsia" w:hAnsi="宋体"/>
          <w:b/>
          <w:bCs/>
          <w:kern w:val="0"/>
          <w:szCs w:val="21"/>
        </w:rPr>
        <w:t>1.过程性评价：</w:t>
      </w:r>
      <w:r>
        <w:rPr>
          <w:rFonts w:hint="eastAsia" w:hAnsi="宋体"/>
          <w:bCs/>
          <w:kern w:val="0"/>
          <w:szCs w:val="21"/>
        </w:rPr>
        <w:t>过程性评价占课程总成绩的40%。</w:t>
      </w:r>
      <w:r>
        <w:rPr>
          <w:rFonts w:hint="eastAsia" w:ascii="宋体" w:hAnsi="宋体"/>
        </w:rPr>
        <w:t>本门课程的考核分为平时、期中、期末和实验考核、实习考核五个环节。平时成绩包括平时学习情况、课堂提问、作业、考勤等；期中考试采取灵活的考核方式；期末考试为闭卷；实验考核包括考勤和实验报告；实习考核包括考勤、实习报告等</w:t>
      </w:r>
      <w:r>
        <w:rPr>
          <w:rFonts w:hint="eastAsia" w:hAnsi="宋体"/>
          <w:bCs/>
          <w:kern w:val="0"/>
          <w:szCs w:val="21"/>
        </w:rPr>
        <w:t>。</w:t>
      </w:r>
    </w:p>
    <w:p>
      <w:pPr>
        <w:widowControl/>
        <w:snapToGrid w:val="0"/>
        <w:spacing w:line="360" w:lineRule="auto"/>
        <w:ind w:firstLine="420"/>
        <w:jc w:val="left"/>
        <w:rPr>
          <w:rFonts w:hAnsi="宋体"/>
          <w:b/>
          <w:bCs/>
          <w:kern w:val="0"/>
          <w:szCs w:val="21"/>
        </w:rPr>
      </w:pPr>
      <w:r>
        <w:rPr>
          <w:rFonts w:hint="eastAsia" w:hAnsi="宋体"/>
          <w:b/>
          <w:bCs/>
          <w:kern w:val="0"/>
          <w:szCs w:val="21"/>
        </w:rPr>
        <w:t>2.终结性评价：</w:t>
      </w:r>
      <w:r>
        <w:rPr>
          <w:rFonts w:hint="eastAsia" w:hAnsi="宋体"/>
          <w:bCs/>
          <w:kern w:val="0"/>
          <w:szCs w:val="21"/>
        </w:rPr>
        <w:t>终结性评价占课程总成绩的40%，主要采用期末闭卷考试的形式进行。</w:t>
      </w:r>
    </w:p>
    <w:p>
      <w:pPr>
        <w:spacing w:line="360" w:lineRule="auto"/>
        <w:ind w:firstLine="422" w:firstLineChars="200"/>
        <w:rPr>
          <w:rFonts w:hAnsi="宋体"/>
          <w:bCs/>
          <w:kern w:val="0"/>
          <w:szCs w:val="21"/>
        </w:rPr>
      </w:pPr>
      <w:r>
        <w:rPr>
          <w:rFonts w:hint="eastAsia" w:hAnsi="宋体"/>
          <w:b/>
          <w:bCs/>
          <w:kern w:val="0"/>
          <w:szCs w:val="21"/>
        </w:rPr>
        <w:t>3.课程综合评价：</w:t>
      </w:r>
      <w:r>
        <w:rPr>
          <w:rFonts w:hint="eastAsia" w:hAnsi="宋体"/>
          <w:bCs/>
          <w:kern w:val="0"/>
          <w:szCs w:val="21"/>
        </w:rPr>
        <w:t>理论课采取闭卷考试进行考核；总成绩＝期末考试成绩*40%+过程性评价*40%+平时成绩*20%。实验教学以实验报告的方式进行成绩评定，实验成绩占课程过程性评价总成绩的20%，其成绩登记到期末总成绩单上；过程性评价成绩包括线上学习情况、课堂小测验、小组讨论表现，创新性任务考核；教学实习以考核方式进行成绩评定。实验和实习成绩评定根据报告确定，分为优秀（90~100分）、良好（80~90分）、中等（70~80分）、及格（60~70分）和不及格（60分以下）五个等次。</w:t>
      </w:r>
    </w:p>
    <w:p>
      <w:pPr>
        <w:pStyle w:val="21"/>
        <w:rPr>
          <w:sz w:val="28"/>
          <w:szCs w:val="28"/>
        </w:rPr>
      </w:pPr>
      <w:bookmarkStart w:id="213" w:name="_Toc138070430"/>
      <w:bookmarkStart w:id="214" w:name="_Toc138076319"/>
      <w:bookmarkStart w:id="215" w:name="_Toc138070700"/>
      <w:bookmarkStart w:id="216" w:name="_Toc138068800"/>
      <w:bookmarkStart w:id="217" w:name="_Toc138076614"/>
      <w:bookmarkStart w:id="218" w:name="_Toc138076070"/>
    </w:p>
    <w:p>
      <w:pPr>
        <w:rPr>
          <w:rFonts w:hint="eastAsia"/>
          <w:sz w:val="28"/>
          <w:szCs w:val="28"/>
        </w:rPr>
      </w:pPr>
      <w:bookmarkStart w:id="219" w:name="_Toc5601"/>
      <w:r>
        <w:rPr>
          <w:rFonts w:hint="eastAsia"/>
          <w:sz w:val="28"/>
          <w:szCs w:val="28"/>
        </w:rPr>
        <w:br w:type="page"/>
      </w:r>
    </w:p>
    <w:p>
      <w:pPr>
        <w:pStyle w:val="21"/>
        <w:rPr>
          <w:sz w:val="28"/>
          <w:szCs w:val="28"/>
        </w:rPr>
      </w:pPr>
      <w:r>
        <w:rPr>
          <w:rFonts w:hint="eastAsia"/>
          <w:sz w:val="28"/>
          <w:szCs w:val="28"/>
        </w:rPr>
        <w:t>园艺植物生物技术</w:t>
      </w:r>
      <w:bookmarkEnd w:id="213"/>
      <w:bookmarkEnd w:id="214"/>
      <w:bookmarkEnd w:id="215"/>
      <w:bookmarkEnd w:id="216"/>
      <w:bookmarkEnd w:id="217"/>
      <w:bookmarkEnd w:id="218"/>
      <w:bookmarkEnd w:id="219"/>
    </w:p>
    <w:p>
      <w:pPr>
        <w:snapToGrid w:val="0"/>
        <w:spacing w:line="360" w:lineRule="auto"/>
        <w:jc w:val="center"/>
        <w:rPr>
          <w:color w:val="0000FF"/>
          <w:sz w:val="24"/>
        </w:rPr>
      </w:pPr>
      <w:r>
        <w:rPr>
          <w:sz w:val="24"/>
        </w:rPr>
        <w:t>（Biotechnology of Horticultural Plant）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c>
          <w:tcPr>
            <w:tcW w:w="1666" w:type="pct"/>
          </w:tcPr>
          <w:p>
            <w:pPr>
              <w:spacing w:line="300" w:lineRule="auto"/>
              <w:rPr>
                <w:rFonts w:ascii="宋体" w:hAnsi="宋体"/>
                <w:b/>
                <w:bCs/>
                <w:szCs w:val="21"/>
              </w:rPr>
            </w:pPr>
            <w:r>
              <w:rPr>
                <w:rFonts w:hint="eastAsia" w:ascii="宋体" w:hAnsi="宋体"/>
                <w:b/>
                <w:bCs/>
                <w:szCs w:val="21"/>
              </w:rPr>
              <w:t>课程编号：</w:t>
            </w:r>
            <w:r>
              <w:rPr>
                <w:b/>
                <w:bCs/>
                <w:szCs w:val="21"/>
              </w:rPr>
              <w:t>19011</w:t>
            </w:r>
            <w:r>
              <w:rPr>
                <w:rFonts w:hint="eastAsia"/>
                <w:b/>
                <w:bCs/>
                <w:szCs w:val="21"/>
              </w:rPr>
              <w:t>116h</w:t>
            </w:r>
          </w:p>
        </w:tc>
        <w:tc>
          <w:tcPr>
            <w:tcW w:w="1453" w:type="pct"/>
          </w:tcPr>
          <w:p>
            <w:pPr>
              <w:spacing w:line="300" w:lineRule="auto"/>
              <w:rPr>
                <w:rFonts w:ascii="宋体" w:hAnsi="宋体"/>
                <w:b/>
                <w:bCs/>
                <w:szCs w:val="21"/>
              </w:rPr>
            </w:pPr>
            <w:r>
              <w:rPr>
                <w:rFonts w:hint="eastAsia" w:ascii="宋体" w:hAnsi="宋体"/>
                <w:b/>
                <w:bCs/>
                <w:szCs w:val="21"/>
              </w:rPr>
              <w:t>课程总学时：</w:t>
            </w:r>
            <w:r>
              <w:rPr>
                <w:rFonts w:hint="eastAsia"/>
                <w:b/>
                <w:bCs/>
                <w:szCs w:val="21"/>
              </w:rPr>
              <w:t>48</w:t>
            </w:r>
          </w:p>
        </w:tc>
        <w:tc>
          <w:tcPr>
            <w:tcW w:w="1881" w:type="pct"/>
          </w:tcPr>
          <w:p>
            <w:pPr>
              <w:spacing w:line="300" w:lineRule="auto"/>
              <w:rPr>
                <w:rFonts w:ascii="宋体" w:hAnsi="宋体"/>
                <w:b/>
                <w:bCs/>
                <w:szCs w:val="21"/>
              </w:rPr>
            </w:pPr>
            <w:r>
              <w:rPr>
                <w:rFonts w:hint="eastAsia" w:ascii="宋体" w:hAnsi="宋体"/>
                <w:b/>
                <w:bCs/>
                <w:szCs w:val="21"/>
              </w:rPr>
              <w:t>实验学时：</w:t>
            </w:r>
            <w:r>
              <w:rPr>
                <w:rFonts w:hint="eastAsia"/>
                <w:b/>
                <w:bCs/>
                <w:szCs w:val="21"/>
              </w:rPr>
              <w:t>12</w:t>
            </w:r>
            <w:r>
              <w:rPr>
                <w:rFonts w:hint="eastAsia" w:ascii="宋体" w:hAnsi="宋体"/>
                <w:b/>
                <w:bCs/>
                <w:szCs w:val="21"/>
              </w:rPr>
              <w:t xml:space="preserve"> 学时</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课程性质：</w:t>
            </w:r>
            <w:r>
              <w:rPr>
                <w:rFonts w:hint="eastAsia"/>
                <w:b/>
                <w:bCs/>
                <w:szCs w:val="21"/>
              </w:rPr>
              <w:t>必修</w:t>
            </w:r>
          </w:p>
        </w:tc>
        <w:tc>
          <w:tcPr>
            <w:tcW w:w="1453" w:type="pct"/>
          </w:tcPr>
          <w:p>
            <w:pPr>
              <w:spacing w:line="300" w:lineRule="auto"/>
              <w:rPr>
                <w:rFonts w:ascii="宋体" w:hAnsi="宋体"/>
                <w:b/>
                <w:bCs/>
                <w:szCs w:val="21"/>
              </w:rPr>
            </w:pPr>
            <w:r>
              <w:rPr>
                <w:rFonts w:hint="eastAsia" w:ascii="宋体" w:hAnsi="宋体"/>
                <w:b/>
                <w:szCs w:val="21"/>
              </w:rPr>
              <w:t>课程属性:</w:t>
            </w:r>
            <w:r>
              <w:rPr>
                <w:rFonts w:hint="eastAsia"/>
                <w:b/>
                <w:szCs w:val="21"/>
              </w:rPr>
              <w:t>专业类</w:t>
            </w:r>
          </w:p>
        </w:tc>
        <w:tc>
          <w:tcPr>
            <w:tcW w:w="1881" w:type="pct"/>
          </w:tcPr>
          <w:p>
            <w:pPr>
              <w:spacing w:line="300" w:lineRule="auto"/>
              <w:rPr>
                <w:rFonts w:ascii="宋体" w:hAnsi="宋体"/>
                <w:b/>
                <w:bCs/>
                <w:szCs w:val="21"/>
              </w:rPr>
            </w:pPr>
            <w:r>
              <w:rPr>
                <w:rFonts w:hint="eastAsia" w:ascii="宋体" w:hAnsi="宋体"/>
                <w:b/>
                <w:bCs/>
                <w:szCs w:val="21"/>
              </w:rPr>
              <w:t>开设学期：第</w:t>
            </w:r>
            <w:r>
              <w:rPr>
                <w:b/>
                <w:bCs/>
                <w:szCs w:val="21"/>
              </w:rPr>
              <w:t>7</w:t>
            </w:r>
            <w:r>
              <w:rPr>
                <w:rFonts w:hint="eastAsia" w:ascii="宋体" w:hAnsi="宋体"/>
                <w:b/>
                <w:bCs/>
                <w:szCs w:val="21"/>
              </w:rPr>
              <w:t>学期</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课程负责人：谭彬</w:t>
            </w:r>
          </w:p>
        </w:tc>
        <w:tc>
          <w:tcPr>
            <w:tcW w:w="1453" w:type="pct"/>
          </w:tcPr>
          <w:p>
            <w:pPr>
              <w:spacing w:line="300" w:lineRule="auto"/>
              <w:rPr>
                <w:rFonts w:ascii="宋体" w:hAnsi="宋体"/>
                <w:b/>
                <w:bCs/>
                <w:szCs w:val="21"/>
              </w:rPr>
            </w:pPr>
            <w:r>
              <w:rPr>
                <w:rFonts w:hint="eastAsia" w:ascii="宋体" w:hAnsi="宋体"/>
                <w:b/>
                <w:bCs/>
                <w:szCs w:val="21"/>
              </w:rPr>
              <w:t>课程团队：白团辉、李志谦、高艳娜、刘东明、王小贝、张海朋、侯娟、侯楠</w:t>
            </w:r>
          </w:p>
        </w:tc>
        <w:tc>
          <w:tcPr>
            <w:tcW w:w="1881" w:type="pct"/>
          </w:tcPr>
          <w:p>
            <w:pPr>
              <w:spacing w:line="300" w:lineRule="auto"/>
              <w:rPr>
                <w:rFonts w:hint="eastAsia" w:ascii="宋体" w:hAnsi="宋体" w:eastAsia="宋体"/>
                <w:b/>
                <w:bCs/>
                <w:szCs w:val="21"/>
                <w:lang w:eastAsia="zh-CN"/>
              </w:rPr>
            </w:pPr>
            <w:r>
              <w:rPr>
                <w:rFonts w:hint="eastAsia" w:ascii="宋体" w:hAnsi="宋体"/>
                <w:b/>
                <w:bCs/>
                <w:szCs w:val="21"/>
              </w:rPr>
              <w:t>授课语言：</w:t>
            </w:r>
            <w:r>
              <w:rPr>
                <w:rFonts w:hint="eastAsia" w:ascii="宋体" w:hAnsi="宋体"/>
                <w:b/>
                <w:bCs/>
                <w:szCs w:val="21"/>
                <w:lang w:eastAsia="zh-CN"/>
              </w:rPr>
              <w:t>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Cs/>
                <w:color w:val="0000FF"/>
                <w:szCs w:val="21"/>
              </w:rPr>
            </w:pPr>
            <w:r>
              <w:rPr>
                <w:rFonts w:hint="eastAsia" w:ascii="宋体" w:hAnsi="宋体"/>
                <w:b/>
                <w:bCs/>
                <w:szCs w:val="21"/>
              </w:rPr>
              <w:t>适用专业：园艺</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w:t>
            </w:r>
            <w:r>
              <w:rPr>
                <w:b/>
                <w:bCs/>
                <w:szCs w:val="21"/>
              </w:rPr>
              <w:t>植物学；基础生物化学；植物生理学；园艺植物遗传学；园艺植物育种学；分子生物学基础</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w:t>
            </w:r>
            <w:r>
              <w:rPr>
                <w:b/>
                <w:bCs/>
                <w:szCs w:val="21"/>
              </w:rPr>
              <w:t>植物基因工程</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主撰人：李志谦、王小贝、张海朋等</w:t>
            </w:r>
          </w:p>
        </w:tc>
        <w:tc>
          <w:tcPr>
            <w:tcW w:w="1453" w:type="pct"/>
          </w:tcPr>
          <w:p>
            <w:pPr>
              <w:spacing w:line="300" w:lineRule="auto"/>
              <w:rPr>
                <w:rFonts w:ascii="宋体" w:hAnsi="宋体"/>
                <w:b/>
                <w:bCs/>
                <w:szCs w:val="21"/>
              </w:rPr>
            </w:pPr>
            <w:r>
              <w:rPr>
                <w:rFonts w:hint="eastAsia" w:ascii="宋体" w:hAnsi="宋体"/>
                <w:b/>
                <w:bCs/>
                <w:szCs w:val="21"/>
              </w:rPr>
              <w:t>审核人：谭彬</w:t>
            </w:r>
          </w:p>
        </w:tc>
        <w:tc>
          <w:tcPr>
            <w:tcW w:w="1881"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rFonts w:hAnsi="宋体"/>
          <w:bCs/>
          <w:color w:val="0000FF"/>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p>
    <w:p>
      <w:pPr>
        <w:spacing w:line="360" w:lineRule="auto"/>
        <w:ind w:firstLine="420" w:firstLineChars="200"/>
        <w:rPr>
          <w:bCs/>
          <w:kern w:val="0"/>
          <w:szCs w:val="21"/>
        </w:rPr>
      </w:pPr>
      <w:r>
        <w:rPr>
          <w:bCs/>
          <w:kern w:val="0"/>
          <w:szCs w:val="21"/>
        </w:rPr>
        <w:t>园艺植物生物技术是园艺专业学生的专业课，为核心课程。该课程是应用现代生物技术有关基本原理和方法，在个体、细胞、分子水平上研究、评价和改造园艺植物遗传特性的有关理论和技术的科学。要求学生通过本课程的学习，了解现代生物技术的发展概况和趋势，掌握园艺植物组织培养、细胞培养与体细胞杂交、脱毒快繁、DNA分子标记、基因克隆以及遗传转化的基本原理和技术，为从事园艺植物生物技术相关研究及其产业应用奠定良好的理论和技术基础。</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kern w:val="0"/>
          <w:szCs w:val="21"/>
        </w:rPr>
      </w:pPr>
      <w:r>
        <w:rPr>
          <w:rFonts w:hint="eastAsia"/>
          <w:kern w:val="0"/>
          <w:szCs w:val="21"/>
        </w:rPr>
        <w:t>1.</w:t>
      </w:r>
      <w:r>
        <w:rPr>
          <w:rFonts w:hAnsi="宋体"/>
          <w:kern w:val="0"/>
          <w:szCs w:val="21"/>
        </w:rPr>
        <w:t>理论知识方面：</w:t>
      </w:r>
      <w:r>
        <w:rPr>
          <w:bCs/>
          <w:kern w:val="0"/>
          <w:szCs w:val="21"/>
        </w:rPr>
        <w:t>（1）系统地掌握园艺植物生物技术的研究历史和发展趋势，明确园艺植物生物技术的任务及其与其他学科的关系，</w:t>
      </w:r>
      <w:r>
        <w:rPr>
          <w:kern w:val="0"/>
          <w:szCs w:val="21"/>
        </w:rPr>
        <w:t>使学生了解本课程在本专业中的地位；</w:t>
      </w:r>
      <w:r>
        <w:rPr>
          <w:bCs/>
          <w:kern w:val="0"/>
          <w:szCs w:val="21"/>
        </w:rPr>
        <w:t>（2）明确</w:t>
      </w:r>
      <w:r>
        <w:rPr>
          <w:kern w:val="0"/>
          <w:szCs w:val="21"/>
        </w:rPr>
        <w:t>组织培养的基本原理和技术，掌握细胞培养、体细胞杂交、脱毒快繁的原理和方法，了解这些方法在园艺植物研究中的应用；（3）了解基因分离克隆、遗传转化等知识，掌握转基因技术在园艺植物育种中的应用，为进一步开展园艺植物生物技术相关研究与应用奠定基础；（4）了解分子标记技术的类别、原理及特点，及其在园艺植物研究中的应用</w:t>
      </w:r>
      <w:r>
        <w:rPr>
          <w:rFonts w:hint="eastAsia"/>
          <w:kern w:val="0"/>
          <w:szCs w:val="21"/>
        </w:rPr>
        <w:t>；（5）了解果树生物技术研究进展，以及果树转基因研究近况。</w:t>
      </w:r>
    </w:p>
    <w:p>
      <w:pPr>
        <w:widowControl/>
        <w:snapToGrid w:val="0"/>
        <w:spacing w:line="360" w:lineRule="auto"/>
        <w:ind w:firstLine="420" w:firstLineChars="200"/>
        <w:jc w:val="left"/>
        <w:rPr>
          <w:bCs/>
          <w:kern w:val="0"/>
          <w:szCs w:val="21"/>
        </w:rPr>
      </w:pPr>
      <w:r>
        <w:rPr>
          <w:rFonts w:hint="eastAsia"/>
          <w:kern w:val="0"/>
          <w:szCs w:val="21"/>
        </w:rPr>
        <w:t>2.</w:t>
      </w:r>
      <w:r>
        <w:rPr>
          <w:rFonts w:hAnsi="宋体"/>
          <w:kern w:val="0"/>
          <w:szCs w:val="21"/>
        </w:rPr>
        <w:t>实验技能方面：</w:t>
      </w:r>
      <w:r>
        <w:rPr>
          <w:bCs/>
          <w:kern w:val="0"/>
          <w:szCs w:val="21"/>
        </w:rPr>
        <w:t>（1）掌握</w:t>
      </w:r>
      <w:r>
        <w:rPr>
          <w:kern w:val="0"/>
          <w:szCs w:val="21"/>
        </w:rPr>
        <w:t>现代生物技术实验室设置与仪器使用方法；</w:t>
      </w:r>
      <w:r>
        <w:rPr>
          <w:bCs/>
          <w:kern w:val="0"/>
          <w:szCs w:val="21"/>
        </w:rPr>
        <w:t>（2）掌握</w:t>
      </w:r>
      <w:r>
        <w:rPr>
          <w:rFonts w:hint="eastAsia"/>
          <w:bCs/>
          <w:kern w:val="0"/>
          <w:szCs w:val="21"/>
        </w:rPr>
        <w:t>外植体的</w:t>
      </w:r>
      <w:r>
        <w:rPr>
          <w:bCs/>
          <w:kern w:val="0"/>
          <w:szCs w:val="21"/>
        </w:rPr>
        <w:t>消毒与接种技术；（3）掌握</w:t>
      </w:r>
      <w:r>
        <w:rPr>
          <w:rFonts w:hint="eastAsia"/>
          <w:bCs/>
          <w:kern w:val="0"/>
          <w:szCs w:val="21"/>
        </w:rPr>
        <w:t>质粒DNA的限制性内切酶酶切及电泳检测</w:t>
      </w:r>
      <w:r>
        <w:rPr>
          <w:bCs/>
          <w:kern w:val="0"/>
          <w:szCs w:val="21"/>
        </w:rPr>
        <w:t>。</w:t>
      </w:r>
    </w:p>
    <w:p>
      <w:pPr>
        <w:widowControl/>
        <w:snapToGrid w:val="0"/>
        <w:spacing w:line="360" w:lineRule="auto"/>
        <w:ind w:firstLine="420" w:firstLineChars="200"/>
        <w:jc w:val="left"/>
        <w:rPr>
          <w:rFonts w:hAnsi="宋体"/>
          <w:bCs/>
          <w:color w:val="0000FF"/>
          <w:kern w:val="0"/>
          <w:szCs w:val="21"/>
        </w:rPr>
      </w:pP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widowControl/>
        <w:snapToGrid w:val="0"/>
        <w:spacing w:line="360" w:lineRule="auto"/>
        <w:ind w:firstLine="420" w:firstLineChars="200"/>
        <w:jc w:val="left"/>
        <w:rPr>
          <w:bCs/>
          <w:kern w:val="0"/>
          <w:szCs w:val="21"/>
        </w:rPr>
      </w:pPr>
      <w:r>
        <w:rPr>
          <w:bCs/>
          <w:kern w:val="0"/>
          <w:szCs w:val="21"/>
        </w:rPr>
        <w:t>园艺植物生物技术系统讲述了现代生物技术研究中常用的方法与技术在园艺植物中的应用及其发展趋势，重点讲述了体细胞培养和杂交、植物组织培养、基因克隆、分子标记和植物转基因技术，根据教学内容精心设计试验环节，期望学生通过理论学习和试验操作，掌握园艺植物生物技术研究中常用的方法，为从事园艺植物生物技术相关研究及其产业应用奠定良好的理论和技术基础。</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705"/>
        <w:gridCol w:w="1193"/>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670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hint="default" w:ascii="Times New Roman" w:hAnsi="Times New Roman" w:cs="Times New Roman"/>
                <w:b/>
                <w:bCs/>
                <w:sz w:val="18"/>
                <w:szCs w:val="18"/>
              </w:rPr>
            </w:pPr>
            <w:r>
              <w:rPr>
                <w:rFonts w:hint="default" w:ascii="Times New Roman" w:hAnsi="Times New Roman" w:cs="Times New Roman"/>
                <w:b/>
                <w:bCs/>
                <w:sz w:val="18"/>
                <w:szCs w:val="18"/>
              </w:rPr>
              <w:t>课程目标</w:t>
            </w:r>
          </w:p>
        </w:tc>
        <w:tc>
          <w:tcPr>
            <w:tcW w:w="119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hint="default" w:ascii="Times New Roman" w:hAnsi="Times New Roman" w:cs="Times New Roman"/>
                <w:b/>
                <w:bCs/>
                <w:sz w:val="18"/>
                <w:szCs w:val="18"/>
              </w:rPr>
            </w:pPr>
            <w:r>
              <w:rPr>
                <w:rFonts w:hint="default" w:ascii="Times New Roman" w:hAnsi="Times New Roman" w:cs="Times New Roman"/>
                <w:b/>
                <w:bCs/>
                <w:sz w:val="18"/>
                <w:szCs w:val="18"/>
              </w:rPr>
              <w:t>毕业要求</w:t>
            </w:r>
          </w:p>
        </w:tc>
      </w:tr>
      <w:tr>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1</w:t>
            </w:r>
          </w:p>
        </w:tc>
        <w:tc>
          <w:tcPr>
            <w:tcW w:w="670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sz w:val="18"/>
                <w:szCs w:val="18"/>
              </w:rPr>
            </w:pPr>
            <w:r>
              <w:rPr>
                <w:rFonts w:hint="default" w:ascii="Times New Roman" w:hAnsi="Times New Roman" w:cs="Times New Roman"/>
                <w:bCs/>
                <w:sz w:val="18"/>
                <w:szCs w:val="18"/>
              </w:rPr>
              <w:t>目标1：了解现代生物技术的发展概况和趋势，掌握园艺植物组织培养、细胞培养与体细胞杂交、脱毒快繁、DNA分子标记、基因克隆以及遗传转化的基本原理和技术。</w:t>
            </w:r>
          </w:p>
        </w:tc>
        <w:tc>
          <w:tcPr>
            <w:tcW w:w="1193"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 w:val="18"/>
                <w:szCs w:val="18"/>
                <w:lang w:bidi="ar"/>
              </w:rPr>
            </w:pPr>
            <w:r>
              <w:rPr>
                <w:rFonts w:hint="default" w:ascii="Times New Roman" w:hAnsi="Times New Roman" w:cs="Times New Roman"/>
                <w:color w:val="000000"/>
                <w:sz w:val="18"/>
                <w:szCs w:val="18"/>
                <w:lang w:bidi="ar"/>
              </w:rPr>
              <w:t>4</w:t>
            </w:r>
          </w:p>
          <w:p>
            <w:pPr>
              <w:widowControl/>
              <w:jc w:val="center"/>
              <w:rPr>
                <w:rFonts w:hint="default" w:ascii="Times New Roman" w:hAnsi="Times New Roman" w:cs="Times New Roman"/>
                <w:sz w:val="18"/>
                <w:szCs w:val="18"/>
              </w:rPr>
            </w:pPr>
            <w:r>
              <w:rPr>
                <w:rFonts w:hint="default" w:ascii="Times New Roman" w:hAnsi="Times New Roman" w:cs="Times New Roman"/>
                <w:color w:val="000000"/>
                <w:sz w:val="18"/>
                <w:szCs w:val="18"/>
                <w:lang w:bidi="ar"/>
              </w:rPr>
              <w:t>5</w:t>
            </w:r>
          </w:p>
          <w:p>
            <w:pPr>
              <w:widowControl/>
              <w:ind w:firstLine="360"/>
              <w:jc w:val="center"/>
              <w:rPr>
                <w:rFonts w:hint="default" w:ascii="Times New Roman" w:hAnsi="Times New Roman" w:cs="Times New Roman" w:eastAsiaTheme="minorEastAsia"/>
                <w:color w:val="0000FF"/>
                <w:sz w:val="18"/>
                <w:szCs w:val="18"/>
              </w:rPr>
            </w:pP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2</w:t>
            </w:r>
          </w:p>
        </w:tc>
        <w:tc>
          <w:tcPr>
            <w:tcW w:w="670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0000FF"/>
                <w:sz w:val="18"/>
                <w:szCs w:val="18"/>
                <w:highlight w:val="yellow"/>
              </w:rPr>
            </w:pPr>
            <w:r>
              <w:rPr>
                <w:rFonts w:hint="default" w:ascii="Times New Roman" w:hAnsi="Times New Roman" w:cs="Times New Roman"/>
                <w:bCs/>
                <w:sz w:val="18"/>
                <w:szCs w:val="18"/>
              </w:rPr>
              <w:t>目标2：掌握园艺植物生物技术研究中常用的方法与技术在园艺植物中的应用及其发展趋势.</w:t>
            </w:r>
          </w:p>
        </w:tc>
        <w:tc>
          <w:tcPr>
            <w:tcW w:w="1193"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color w:val="000000"/>
                <w:sz w:val="18"/>
                <w:szCs w:val="18"/>
                <w:lang w:bidi="ar"/>
              </w:rPr>
            </w:pPr>
            <w:r>
              <w:rPr>
                <w:rFonts w:hint="default" w:ascii="Times New Roman" w:hAnsi="Times New Roman" w:cs="Times New Roman"/>
                <w:color w:val="000000"/>
                <w:sz w:val="18"/>
                <w:szCs w:val="18"/>
                <w:lang w:bidi="ar"/>
              </w:rPr>
              <w:t>6</w:t>
            </w:r>
          </w:p>
          <w:p>
            <w:pPr>
              <w:widowControl/>
              <w:jc w:val="center"/>
              <w:rPr>
                <w:rFonts w:hint="default" w:ascii="Times New Roman" w:hAnsi="Times New Roman" w:cs="Times New Roman" w:eastAsiaTheme="minorEastAsia"/>
                <w:color w:val="0000FF"/>
                <w:sz w:val="18"/>
                <w:szCs w:val="18"/>
              </w:rPr>
            </w:pPr>
            <w:r>
              <w:rPr>
                <w:rFonts w:hint="default" w:ascii="Times New Roman" w:hAnsi="Times New Roman" w:cs="Times New Roman"/>
                <w:color w:val="000000"/>
                <w:sz w:val="18"/>
                <w:szCs w:val="18"/>
                <w:lang w:bidi="ar"/>
              </w:rPr>
              <w:t>9</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hint="default" w:ascii="Times New Roman" w:hAnsi="Times New Roman" w:cs="Times New Roman" w:eastAsiaTheme="minorEastAsia"/>
                <w:sz w:val="18"/>
                <w:szCs w:val="18"/>
              </w:rPr>
            </w:pPr>
            <w:r>
              <w:rPr>
                <w:rFonts w:hint="default" w:ascii="Times New Roman" w:hAnsi="Times New Roman" w:cs="Times New Roman" w:eastAsiaTheme="minorEastAsia"/>
                <w:sz w:val="18"/>
                <w:szCs w:val="18"/>
              </w:rPr>
              <w:t>3</w:t>
            </w:r>
          </w:p>
        </w:tc>
        <w:tc>
          <w:tcPr>
            <w:tcW w:w="670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int="default" w:ascii="Times New Roman" w:hAnsi="Times New Roman" w:cs="Times New Roman"/>
                <w:color w:val="0000FF"/>
                <w:sz w:val="18"/>
                <w:szCs w:val="18"/>
                <w:highlight w:val="yellow"/>
              </w:rPr>
            </w:pPr>
            <w:r>
              <w:rPr>
                <w:rFonts w:hint="default" w:ascii="Times New Roman" w:hAnsi="Times New Roman" w:cs="Times New Roman"/>
                <w:bCs/>
                <w:sz w:val="18"/>
                <w:szCs w:val="18"/>
              </w:rPr>
              <w:t>目标3：为从事园艺植物生物技术相关研究及其产业应用奠定良好的理论和技术基础。</w:t>
            </w:r>
          </w:p>
        </w:tc>
        <w:tc>
          <w:tcPr>
            <w:tcW w:w="119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default" w:ascii="Times New Roman" w:hAnsi="Times New Roman" w:cs="Times New Roman" w:eastAsiaTheme="minorEastAsia"/>
                <w:color w:val="0000FF"/>
                <w:sz w:val="18"/>
                <w:szCs w:val="18"/>
              </w:rPr>
            </w:pPr>
            <w:r>
              <w:rPr>
                <w:rFonts w:hint="default" w:ascii="Times New Roman" w:hAnsi="Times New Roman" w:cs="Times New Roman"/>
                <w:color w:val="000000"/>
                <w:sz w:val="18"/>
                <w:szCs w:val="18"/>
                <w:lang w:bidi="ar"/>
              </w:rPr>
              <w:t>6</w:t>
            </w:r>
          </w:p>
        </w:tc>
      </w:tr>
    </w:tbl>
    <w:p>
      <w:pPr>
        <w:widowControl/>
        <w:snapToGrid w:val="0"/>
        <w:spacing w:line="360" w:lineRule="auto"/>
        <w:jc w:val="left"/>
        <w:rPr>
          <w:rFonts w:hAnsi="宋体"/>
          <w:bCs/>
          <w:color w:val="0000FF"/>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（24学时）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绪论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adjustRightInd w:val="0"/>
        <w:snapToGrid w:val="0"/>
        <w:spacing w:line="360" w:lineRule="auto"/>
        <w:jc w:val="left"/>
        <w:rPr>
          <w:b/>
          <w:bCs/>
        </w:rPr>
      </w:pPr>
      <w:r>
        <w:rPr>
          <w:b/>
          <w:bCs/>
        </w:rPr>
        <w:t>教学目标：</w:t>
      </w:r>
      <w:r>
        <w:rPr>
          <w:bCs/>
        </w:rPr>
        <w:t>了解生物技术在园艺植物中的应用，及园艺植物生物技术的研究内容，掌握生物技术的概念。</w:t>
      </w:r>
    </w:p>
    <w:p>
      <w:pPr>
        <w:widowControl/>
        <w:snapToGrid w:val="0"/>
        <w:spacing w:line="360" w:lineRule="auto"/>
        <w:rPr>
          <w:b/>
          <w:bCs/>
          <w:kern w:val="0"/>
          <w:szCs w:val="21"/>
        </w:rPr>
      </w:pPr>
      <w:r>
        <w:rPr>
          <w:b/>
          <w:bCs/>
        </w:rPr>
        <w:t>教学重点和难点：</w:t>
      </w:r>
      <w:r>
        <w:rPr>
          <w:bCs/>
        </w:rPr>
        <w:t>生物技术的概念、基因工程技术。</w:t>
      </w:r>
    </w:p>
    <w:p>
      <w:pPr>
        <w:widowControl/>
        <w:adjustRightInd w:val="0"/>
        <w:snapToGrid w:val="0"/>
        <w:spacing w:line="360" w:lineRule="auto"/>
        <w:jc w:val="left"/>
        <w:rPr>
          <w:b/>
        </w:rPr>
      </w:pPr>
      <w:r>
        <w:rPr>
          <w:b/>
        </w:rPr>
        <w:t>主要教学内容及要求：</w:t>
      </w:r>
    </w:p>
    <w:p>
      <w:pPr>
        <w:widowControl/>
        <w:adjustRightInd w:val="0"/>
        <w:snapToGrid w:val="0"/>
        <w:spacing w:line="360" w:lineRule="auto"/>
        <w:ind w:firstLine="422" w:firstLineChars="200"/>
        <w:jc w:val="left"/>
        <w:rPr>
          <w:b/>
        </w:rPr>
      </w:pPr>
      <w:r>
        <w:rPr>
          <w:b/>
        </w:rPr>
        <w:t>了解：</w:t>
      </w:r>
      <w:r>
        <w:rPr>
          <w:bCs/>
        </w:rPr>
        <w:t>了解生物技术在园艺植物中的应用，及园艺植物生物技术的研究内容；课程要求与安排。</w:t>
      </w:r>
    </w:p>
    <w:p>
      <w:pPr>
        <w:widowControl/>
        <w:adjustRightInd w:val="0"/>
        <w:snapToGrid w:val="0"/>
        <w:spacing w:line="360" w:lineRule="auto"/>
        <w:ind w:firstLine="422" w:firstLineChars="200"/>
        <w:jc w:val="left"/>
      </w:pPr>
      <w:r>
        <w:rPr>
          <w:b/>
        </w:rPr>
        <w:t>理解：</w:t>
      </w:r>
      <w:r>
        <w:t>生物技术对园艺科学发展的贡献。</w:t>
      </w:r>
    </w:p>
    <w:p>
      <w:pPr>
        <w:widowControl/>
        <w:adjustRightInd w:val="0"/>
        <w:snapToGrid w:val="0"/>
        <w:spacing w:line="360" w:lineRule="auto"/>
        <w:ind w:firstLine="422" w:firstLineChars="200"/>
        <w:jc w:val="left"/>
      </w:pPr>
      <w:r>
        <w:rPr>
          <w:b/>
        </w:rPr>
        <w:t>掌握：</w:t>
      </w:r>
      <w:r>
        <w:t>基因工程的概念。</w:t>
      </w:r>
    </w:p>
    <w:p>
      <w:pPr>
        <w:widowControl/>
        <w:adjustRightInd w:val="0"/>
        <w:snapToGrid w:val="0"/>
        <w:spacing w:line="360" w:lineRule="auto"/>
        <w:ind w:firstLine="422" w:firstLineChars="200"/>
        <w:jc w:val="left"/>
        <w:rPr>
          <w:b/>
        </w:rPr>
      </w:pPr>
      <w:r>
        <w:rPr>
          <w:b/>
        </w:rPr>
        <w:t>熟练掌握：</w:t>
      </w:r>
      <w:r>
        <w:t>生物技术的概念。</w:t>
      </w:r>
    </w:p>
    <w:p>
      <w:pPr>
        <w:widowControl/>
        <w:adjustRightInd w:val="0"/>
        <w:snapToGrid w:val="0"/>
        <w:spacing w:line="360" w:lineRule="auto"/>
        <w:jc w:val="left"/>
        <w:rPr>
          <w:bCs/>
          <w:kern w:val="0"/>
          <w:szCs w:val="21"/>
        </w:rPr>
      </w:pPr>
      <w:r>
        <w:rPr>
          <w:b/>
          <w:bCs/>
          <w:kern w:val="0"/>
          <w:szCs w:val="21"/>
        </w:rPr>
        <w:t>教学组织与实施：</w:t>
      </w:r>
      <w:r>
        <w:rPr>
          <w:bCs/>
          <w:kern w:val="0"/>
          <w:szCs w:val="21"/>
        </w:rPr>
        <w:t>通过课堂教学，结合大量图片资料和实例介绍生物技术在对园艺科学的贡献及植物生物技术的主要研究内容；通过现代生物技术实验室参观与仪器使用方法讲解，让学生对生物技术相关概念和仪器有进一步的理解。</w:t>
      </w:r>
    </w:p>
    <w:tbl>
      <w:tblPr>
        <w:tblStyle w:val="22"/>
        <w:tblW w:w="0" w:type="auto"/>
        <w:tblInd w:w="4" w:type="dxa"/>
        <w:tblLayout w:type="autofit"/>
        <w:tblCellMar>
          <w:top w:w="0" w:type="dxa"/>
          <w:left w:w="0" w:type="dxa"/>
          <w:bottom w:w="0" w:type="dxa"/>
          <w:right w:w="0" w:type="dxa"/>
        </w:tblCellMar>
      </w:tblPr>
      <w:tblGrid>
        <w:gridCol w:w="2081"/>
        <w:gridCol w:w="3915"/>
        <w:gridCol w:w="2900"/>
      </w:tblGrid>
      <w:tr>
        <w:tblPrEx>
          <w:tblCellMar>
            <w:top w:w="0" w:type="dxa"/>
            <w:left w:w="0" w:type="dxa"/>
            <w:bottom w:w="0" w:type="dxa"/>
            <w:right w:w="0" w:type="dxa"/>
          </w:tblCellMar>
        </w:tblPrEx>
        <w:trPr>
          <w:trHeight w:val="270" w:hRule="atLeast"/>
        </w:trPr>
        <w:tc>
          <w:tcPr>
            <w:tcW w:w="2081" w:type="dxa"/>
            <w:tcBorders>
              <w:top w:val="nil"/>
              <w:left w:val="nil"/>
              <w:bottom w:val="nil"/>
              <w:right w:val="nil"/>
            </w:tcBorders>
            <w:vAlign w:val="center"/>
          </w:tcPr>
          <w:p>
            <w:pPr>
              <w:widowControl/>
              <w:snapToGrid w:val="0"/>
              <w:spacing w:line="360" w:lineRule="auto"/>
              <w:ind w:firstLine="422"/>
              <w:rPr>
                <w:rFonts w:hAnsi="宋体"/>
                <w:b/>
                <w:bCs/>
                <w:szCs w:val="21"/>
              </w:rPr>
            </w:pPr>
            <w:r>
              <w:rPr>
                <w:rFonts w:hint="eastAsia" w:ascii="宋体" w:hAnsi="宋体" w:cs="宋体"/>
                <w:kern w:val="0"/>
                <w:szCs w:val="21"/>
              </w:rPr>
              <w:t></w:t>
            </w:r>
          </w:p>
        </w:tc>
        <w:tc>
          <w:tcPr>
            <w:tcW w:w="3915" w:type="dxa"/>
            <w:tcBorders>
              <w:top w:val="nil"/>
              <w:left w:val="nil"/>
              <w:bottom w:val="nil"/>
              <w:right w:val="nil"/>
            </w:tcBorders>
            <w:vAlign w:val="center"/>
          </w:tcPr>
          <w:p>
            <w:pPr>
              <w:widowControl/>
              <w:snapToGrid w:val="0"/>
              <w:spacing w:line="360" w:lineRule="auto"/>
              <w:ind w:firstLine="422"/>
              <w:rPr>
                <w:rFonts w:hAnsi="宋体"/>
                <w:b/>
                <w:bCs/>
                <w:szCs w:val="21"/>
              </w:rPr>
            </w:pPr>
            <w:r>
              <w:rPr>
                <w:rFonts w:hAnsi="宋体"/>
                <w:b/>
                <w:bCs/>
                <w:szCs w:val="21"/>
              </w:rPr>
              <w:t>第一章</w:t>
            </w:r>
            <w:r>
              <w:rPr>
                <w:rFonts w:hint="eastAsia"/>
                <w:b/>
                <w:bCs/>
                <w:szCs w:val="21"/>
              </w:rPr>
              <w:t xml:space="preserve">  </w:t>
            </w:r>
            <w:r>
              <w:rPr>
                <w:b/>
                <w:szCs w:val="21"/>
              </w:rPr>
              <w:t>植物组织与细胞培养技术</w:t>
            </w:r>
          </w:p>
        </w:tc>
        <w:tc>
          <w:tcPr>
            <w:tcW w:w="2900" w:type="dxa"/>
            <w:tcBorders>
              <w:top w:val="nil"/>
              <w:left w:val="nil"/>
              <w:bottom w:val="nil"/>
              <w:right w:val="nil"/>
            </w:tcBorders>
            <w:vAlign w:val="center"/>
          </w:tcPr>
          <w:p>
            <w:pPr>
              <w:widowControl/>
              <w:snapToGrid w:val="0"/>
              <w:spacing w:line="360" w:lineRule="auto"/>
              <w:ind w:right="422"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szCs w:val="21"/>
        </w:rPr>
        <w:t>了解组织培养技术的发展简史，组织培养室的设置和相关仪器设备，掌握组织培养的理论基础，培养基的种类和配制方式。</w:t>
      </w:r>
    </w:p>
    <w:p>
      <w:pPr>
        <w:widowControl/>
        <w:snapToGrid w:val="0"/>
        <w:spacing w:line="360" w:lineRule="auto"/>
        <w:rPr>
          <w:rFonts w:hAnsi="宋体"/>
          <w:b/>
          <w:bCs/>
          <w:kern w:val="0"/>
          <w:szCs w:val="21"/>
        </w:rPr>
      </w:pPr>
      <w:r>
        <w:rPr>
          <w:rFonts w:hint="eastAsia" w:ascii="宋体" w:hAnsi="宋体"/>
          <w:b/>
          <w:bCs/>
        </w:rPr>
        <w:t>教学重点和难点：</w:t>
      </w:r>
      <w:r>
        <w:rPr>
          <w:szCs w:val="21"/>
        </w:rPr>
        <w:t>生物技术的概念、基因工程技术、细胞全能性、植物器官培养与快繁技术、</w:t>
      </w:r>
      <w:r>
        <w:rPr>
          <w:bCs/>
        </w:rPr>
        <w:t>花</w:t>
      </w:r>
      <w:r>
        <w:rPr>
          <w:rFonts w:hint="eastAsia"/>
          <w:bCs/>
        </w:rPr>
        <w:t>药培养</w:t>
      </w:r>
      <w:r>
        <w:rPr>
          <w:bCs/>
        </w:rPr>
        <w:t>技术和体细胞无性系变异</w:t>
      </w:r>
      <w:r>
        <w:rPr>
          <w:szCs w:val="21"/>
        </w:rPr>
        <w:t>。</w:t>
      </w:r>
      <w:r>
        <w:rPr>
          <w:rFonts w:hint="eastAsia" w:ascii="宋体" w:hAnsi="宋体" w:cs="宋体"/>
          <w:kern w:val="0"/>
          <w:szCs w:val="21"/>
        </w:rPr>
        <w:t></w:t>
      </w:r>
    </w:p>
    <w:p>
      <w:pPr>
        <w:spacing w:line="360" w:lineRule="auto"/>
        <w:ind w:firstLine="422" w:firstLineChars="200"/>
        <w:rPr>
          <w:rFonts w:ascii="宋体" w:hAnsi="宋体"/>
          <w:b/>
        </w:rPr>
      </w:pPr>
      <w:r>
        <w:rPr>
          <w:rFonts w:hint="eastAsia" w:ascii="宋体" w:hAnsi="宋体"/>
          <w:b/>
        </w:rPr>
        <w:t>主要教学内容及要求：</w:t>
      </w:r>
    </w:p>
    <w:p>
      <w:pPr>
        <w:spacing w:line="360" w:lineRule="auto"/>
        <w:ind w:firstLine="422" w:firstLineChars="200"/>
        <w:rPr>
          <w:szCs w:val="21"/>
        </w:rPr>
      </w:pPr>
      <w:r>
        <w:rPr>
          <w:b/>
          <w:szCs w:val="21"/>
        </w:rPr>
        <w:t>了解：</w:t>
      </w:r>
      <w:r>
        <w:rPr>
          <w:szCs w:val="21"/>
        </w:rPr>
        <w:t>了解组织培养技术的发展简史，组织培养室的设置和相关仪器设备，掌握组织培养的理论基础，培养基的种类和配制方式。</w:t>
      </w:r>
    </w:p>
    <w:p>
      <w:pPr>
        <w:spacing w:line="360" w:lineRule="auto"/>
        <w:ind w:firstLine="422" w:firstLineChars="200"/>
        <w:rPr>
          <w:b/>
          <w:szCs w:val="21"/>
        </w:rPr>
      </w:pPr>
      <w:r>
        <w:rPr>
          <w:b/>
          <w:szCs w:val="21"/>
        </w:rPr>
        <w:t>理解：</w:t>
      </w:r>
      <w:r>
        <w:rPr>
          <w:bCs/>
        </w:rPr>
        <w:t>组织培养在科研和生产中的意义</w:t>
      </w:r>
      <w:r>
        <w:rPr>
          <w:szCs w:val="21"/>
        </w:rPr>
        <w:t>；</w:t>
      </w:r>
      <w:r>
        <w:rPr>
          <w:bCs/>
        </w:rPr>
        <w:t>细胞全能性学说及相关概念；体细胞无性系变异的概念；植物器官培养与快繁技术</w:t>
      </w:r>
      <w:r>
        <w:rPr>
          <w:szCs w:val="21"/>
        </w:rPr>
        <w:t>。</w:t>
      </w:r>
    </w:p>
    <w:p>
      <w:pPr>
        <w:spacing w:line="360" w:lineRule="auto"/>
        <w:ind w:firstLine="422" w:firstLineChars="200"/>
        <w:rPr>
          <w:szCs w:val="21"/>
        </w:rPr>
      </w:pPr>
      <w:r>
        <w:rPr>
          <w:b/>
          <w:szCs w:val="21"/>
        </w:rPr>
        <w:t>掌握：</w:t>
      </w:r>
      <w:r>
        <w:rPr>
          <w:bCs/>
        </w:rPr>
        <w:t>组织培养概念；组织培养技术范畴；组织培养实验室的构造及布局；</w:t>
      </w:r>
      <w:r>
        <w:rPr>
          <w:kern w:val="0"/>
          <w:szCs w:val="21"/>
        </w:rPr>
        <w:t>组织培养相关仪器设备的原理及使用方法</w:t>
      </w:r>
      <w:r>
        <w:rPr>
          <w:szCs w:val="21"/>
        </w:rPr>
        <w:t>。</w:t>
      </w:r>
    </w:p>
    <w:p>
      <w:pPr>
        <w:spacing w:line="360" w:lineRule="auto"/>
        <w:ind w:firstLine="422" w:firstLineChars="200"/>
        <w:rPr>
          <w:bCs/>
        </w:rPr>
      </w:pPr>
      <w:r>
        <w:rPr>
          <w:b/>
          <w:bCs/>
        </w:rPr>
        <w:t>熟练掌握：</w:t>
      </w:r>
      <w:r>
        <w:rPr>
          <w:kern w:val="0"/>
          <w:szCs w:val="21"/>
        </w:rPr>
        <w:t>组织培养有关培养基的种类与特点，及其配制方法；</w:t>
      </w:r>
      <w:r>
        <w:rPr>
          <w:bCs/>
        </w:rPr>
        <w:t>胚胎培养方法；花药、花粉培养方法及单倍体植株再生器官培养与快速繁殖原理与技术。</w:t>
      </w:r>
    </w:p>
    <w:p>
      <w:pPr>
        <w:spacing w:line="360" w:lineRule="auto"/>
        <w:rPr>
          <w:szCs w:val="21"/>
        </w:rPr>
      </w:pPr>
      <w:r>
        <w:rPr>
          <w:szCs w:val="21"/>
        </w:rPr>
        <w:t>第</w:t>
      </w:r>
      <w:r>
        <w:rPr>
          <w:rFonts w:hint="eastAsia"/>
          <w:szCs w:val="21"/>
        </w:rPr>
        <w:t>一</w:t>
      </w:r>
      <w:r>
        <w:rPr>
          <w:szCs w:val="21"/>
        </w:rPr>
        <w:t xml:space="preserve">节  组织培养技术概述        </w:t>
      </w:r>
      <w:r>
        <w:rPr>
          <w:bCs/>
          <w:szCs w:val="21"/>
        </w:rPr>
        <w:t>0.5学时</w:t>
      </w:r>
    </w:p>
    <w:p>
      <w:pPr>
        <w:widowControl/>
        <w:snapToGrid w:val="0"/>
        <w:spacing w:line="360" w:lineRule="auto"/>
        <w:rPr>
          <w:kern w:val="0"/>
          <w:szCs w:val="21"/>
        </w:rPr>
      </w:pPr>
      <w:r>
        <w:rPr>
          <w:kern w:val="0"/>
          <w:szCs w:val="21"/>
        </w:rPr>
        <w:t xml:space="preserve">第二节  </w:t>
      </w:r>
      <w:r>
        <w:rPr>
          <w:szCs w:val="21"/>
        </w:rPr>
        <w:t xml:space="preserve">园艺植物组织培养的原理与技术             </w:t>
      </w:r>
      <w:r>
        <w:rPr>
          <w:rFonts w:hint="eastAsia"/>
          <w:bCs/>
          <w:szCs w:val="21"/>
        </w:rPr>
        <w:t>0</w:t>
      </w:r>
      <w:r>
        <w:rPr>
          <w:bCs/>
          <w:szCs w:val="21"/>
        </w:rPr>
        <w:t>.5学时</w:t>
      </w:r>
    </w:p>
    <w:p>
      <w:pPr>
        <w:widowControl/>
        <w:snapToGrid w:val="0"/>
        <w:spacing w:line="360" w:lineRule="auto"/>
        <w:rPr>
          <w:bCs/>
          <w:szCs w:val="21"/>
        </w:rPr>
      </w:pPr>
      <w:r>
        <w:rPr>
          <w:szCs w:val="21"/>
        </w:rPr>
        <w:t xml:space="preserve">第三节  园艺植物组织培养的应用领域             </w:t>
      </w:r>
      <w:r>
        <w:rPr>
          <w:rFonts w:hint="eastAsia"/>
          <w:bCs/>
          <w:szCs w:val="21"/>
        </w:rPr>
        <w:t>1</w:t>
      </w:r>
      <w:r>
        <w:rPr>
          <w:bCs/>
          <w:szCs w:val="21"/>
        </w:rPr>
        <w:t>学时</w:t>
      </w:r>
    </w:p>
    <w:p>
      <w:pPr>
        <w:widowControl/>
        <w:snapToGrid w:val="0"/>
        <w:spacing w:line="360" w:lineRule="auto"/>
      </w:pPr>
      <w:r>
        <w:rPr>
          <w:rFonts w:hint="eastAsia" w:ascii="宋体" w:hAnsi="宋体"/>
          <w:b/>
          <w:bCs/>
        </w:rPr>
        <w:t>教学组织与实施：</w:t>
      </w:r>
      <w:r>
        <w:rPr>
          <w:bCs/>
          <w:szCs w:val="21"/>
        </w:rPr>
        <w:t>通过课堂讲授，结合大量图片和实例，</w:t>
      </w:r>
      <w:r>
        <w:t>使学生了解植物组织培养相关的概念和技术要点；通过番茄接种试验，进一步让学生理解组织培养的方法和操作流程。</w:t>
      </w:r>
    </w:p>
    <w:tbl>
      <w:tblPr>
        <w:tblStyle w:val="22"/>
        <w:tblW w:w="0" w:type="auto"/>
        <w:tblInd w:w="4" w:type="dxa"/>
        <w:tblLayout w:type="autofit"/>
        <w:tblCellMar>
          <w:top w:w="0" w:type="dxa"/>
          <w:left w:w="0" w:type="dxa"/>
          <w:bottom w:w="0" w:type="dxa"/>
          <w:right w:w="0" w:type="dxa"/>
        </w:tblCellMar>
      </w:tblPr>
      <w:tblGrid>
        <w:gridCol w:w="2181"/>
        <w:gridCol w:w="3900"/>
        <w:gridCol w:w="2815"/>
      </w:tblGrid>
      <w:tr>
        <w:tblPrEx>
          <w:tblCellMar>
            <w:top w:w="0" w:type="dxa"/>
            <w:left w:w="0" w:type="dxa"/>
            <w:bottom w:w="0" w:type="dxa"/>
            <w:right w:w="0" w:type="dxa"/>
          </w:tblCellMar>
        </w:tblPrEx>
        <w:trPr>
          <w:trHeight w:val="270" w:hRule="atLeast"/>
        </w:trPr>
        <w:tc>
          <w:tcPr>
            <w:tcW w:w="218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900"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rFonts w:hint="eastAsia"/>
                <w:b/>
                <w:bCs/>
                <w:szCs w:val="21"/>
              </w:rPr>
              <w:t xml:space="preserve">  </w:t>
            </w:r>
            <w:r>
              <w:rPr>
                <w:b/>
                <w:szCs w:val="21"/>
              </w:rPr>
              <w:t>原生质体培养和体细胞杂交</w:t>
            </w:r>
          </w:p>
        </w:tc>
        <w:tc>
          <w:tcPr>
            <w:tcW w:w="2815"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bCs/>
        </w:rPr>
      </w:pPr>
      <w:r>
        <w:rPr>
          <w:b/>
          <w:bCs/>
        </w:rPr>
        <w:t>教学目标：</w:t>
      </w:r>
      <w:r>
        <w:rPr>
          <w:bCs/>
        </w:rPr>
        <w:t>通过本章的学习，明确体细胞杂交的概念、融合方法方式和原生质体操作的意义，掌握原生质体操作的基本步骤和在育种中的应用。</w:t>
      </w:r>
    </w:p>
    <w:p>
      <w:pPr>
        <w:widowControl/>
        <w:snapToGrid w:val="0"/>
        <w:spacing w:line="360" w:lineRule="auto"/>
        <w:rPr>
          <w:bCs/>
        </w:rPr>
      </w:pPr>
      <w:r>
        <w:rPr>
          <w:b/>
          <w:bCs/>
        </w:rPr>
        <w:t>教学重点和难点：</w:t>
      </w:r>
      <w:r>
        <w:rPr>
          <w:bCs/>
        </w:rPr>
        <w:t>原生质体融合方法/方式、主要应用；体细胞杂种的遗传鉴定；</w:t>
      </w:r>
      <w:r>
        <w:t>原生质体分离培养步骤、主要应用；原生质体培养方法。</w:t>
      </w:r>
    </w:p>
    <w:p>
      <w:pPr>
        <w:widowControl/>
        <w:snapToGrid w:val="0"/>
        <w:spacing w:line="360" w:lineRule="auto"/>
        <w:rPr>
          <w:b/>
          <w:bCs/>
        </w:rPr>
      </w:pPr>
      <w:r>
        <w:rPr>
          <w:b/>
          <w:bCs/>
        </w:rPr>
        <w:t>主要教学内容及要求：</w:t>
      </w:r>
    </w:p>
    <w:p>
      <w:pPr>
        <w:widowControl/>
        <w:snapToGrid w:val="0"/>
        <w:spacing w:line="360" w:lineRule="auto"/>
        <w:ind w:firstLine="422" w:firstLineChars="200"/>
        <w:rPr>
          <w:bCs/>
        </w:rPr>
      </w:pPr>
      <w:r>
        <w:rPr>
          <w:rFonts w:hint="eastAsia"/>
          <w:b/>
          <w:bCs/>
        </w:rPr>
        <w:t>了解：</w:t>
      </w:r>
      <w:r>
        <w:rPr>
          <w:bCs/>
        </w:rPr>
        <w:t>原生质体操作的意义；体细胞杂交的概念和</w:t>
      </w:r>
      <w:r>
        <w:rPr>
          <w:kern w:val="0"/>
          <w:szCs w:val="21"/>
        </w:rPr>
        <w:t>原生质体融合的发展及意义</w:t>
      </w:r>
      <w:r>
        <w:rPr>
          <w:bCs/>
        </w:rPr>
        <w:t>。</w:t>
      </w:r>
    </w:p>
    <w:p>
      <w:pPr>
        <w:widowControl/>
        <w:snapToGrid w:val="0"/>
        <w:spacing w:line="360" w:lineRule="auto"/>
        <w:ind w:firstLine="422" w:firstLineChars="200"/>
        <w:rPr>
          <w:kern w:val="0"/>
          <w:szCs w:val="21"/>
        </w:rPr>
      </w:pPr>
      <w:r>
        <w:rPr>
          <w:rFonts w:hint="eastAsia"/>
          <w:b/>
          <w:bCs/>
        </w:rPr>
        <w:t>理解：</w:t>
      </w:r>
      <w:r>
        <w:rPr>
          <w:kern w:val="0"/>
          <w:szCs w:val="21"/>
        </w:rPr>
        <w:t>原生质体研究的发展与应用；影响原生质体分离的因素；原生质体融合方式；体细胞杂种筛选与鉴定方法；原生质体再生植株的遗传变异及其利用；。</w:t>
      </w:r>
    </w:p>
    <w:p>
      <w:pPr>
        <w:widowControl/>
        <w:snapToGrid w:val="0"/>
        <w:spacing w:line="360" w:lineRule="auto"/>
        <w:ind w:firstLine="422" w:firstLineChars="200"/>
        <w:rPr>
          <w:kern w:val="0"/>
          <w:szCs w:val="21"/>
        </w:rPr>
      </w:pPr>
      <w:r>
        <w:rPr>
          <w:rFonts w:hint="eastAsia"/>
          <w:b/>
          <w:kern w:val="0"/>
          <w:szCs w:val="21"/>
        </w:rPr>
        <w:t>掌握：</w:t>
      </w:r>
      <w:r>
        <w:rPr>
          <w:kern w:val="0"/>
          <w:szCs w:val="21"/>
        </w:rPr>
        <w:t>原生质体培养基与培养方法；原生质体培养与植株再生；体细胞杂交在园艺植物育种中的应用。</w:t>
      </w:r>
    </w:p>
    <w:p>
      <w:pPr>
        <w:widowControl/>
        <w:snapToGrid w:val="0"/>
        <w:spacing w:line="360" w:lineRule="auto"/>
        <w:ind w:firstLine="422" w:firstLineChars="200"/>
        <w:rPr>
          <w:b/>
          <w:bCs/>
          <w:kern w:val="0"/>
          <w:szCs w:val="21"/>
        </w:rPr>
      </w:pPr>
      <w:r>
        <w:rPr>
          <w:rFonts w:hint="eastAsia"/>
          <w:b/>
          <w:kern w:val="0"/>
          <w:szCs w:val="21"/>
        </w:rPr>
        <w:t>熟练掌握：</w:t>
      </w:r>
      <w:r>
        <w:rPr>
          <w:kern w:val="0"/>
          <w:szCs w:val="21"/>
        </w:rPr>
        <w:t>原生质体分离、纯化与活力测定；原生质体融合方法。</w:t>
      </w:r>
    </w:p>
    <w:p>
      <w:pPr>
        <w:spacing w:line="360" w:lineRule="auto"/>
        <w:rPr>
          <w:bCs/>
          <w:szCs w:val="21"/>
        </w:rPr>
      </w:pPr>
      <w:r>
        <w:rPr>
          <w:bCs/>
          <w:szCs w:val="21"/>
        </w:rPr>
        <w:t xml:space="preserve">第一节  原生质体培养     </w:t>
      </w:r>
      <w:r>
        <w:rPr>
          <w:rFonts w:hint="eastAsia"/>
          <w:bCs/>
          <w:szCs w:val="21"/>
        </w:rPr>
        <w:t>0</w:t>
      </w:r>
      <w:r>
        <w:rPr>
          <w:bCs/>
          <w:szCs w:val="21"/>
        </w:rPr>
        <w:t>.5学时</w:t>
      </w:r>
    </w:p>
    <w:p>
      <w:pPr>
        <w:widowControl/>
        <w:snapToGrid w:val="0"/>
        <w:spacing w:line="360" w:lineRule="auto"/>
        <w:rPr>
          <w:bCs/>
          <w:szCs w:val="21"/>
        </w:rPr>
      </w:pPr>
      <w:r>
        <w:rPr>
          <w:bCs/>
          <w:szCs w:val="21"/>
        </w:rPr>
        <w:t xml:space="preserve">第二节  体细胞杂交     </w:t>
      </w:r>
      <w:r>
        <w:rPr>
          <w:rFonts w:hint="eastAsia"/>
          <w:bCs/>
          <w:szCs w:val="21"/>
        </w:rPr>
        <w:t>1</w:t>
      </w:r>
      <w:r>
        <w:rPr>
          <w:bCs/>
          <w:szCs w:val="21"/>
        </w:rPr>
        <w:t>.5学时</w:t>
      </w:r>
    </w:p>
    <w:p>
      <w:pPr>
        <w:widowControl/>
        <w:snapToGrid w:val="0"/>
        <w:spacing w:line="360" w:lineRule="auto"/>
        <w:ind w:firstLine="422" w:firstLineChars="200"/>
        <w:jc w:val="left"/>
        <w:rPr>
          <w:kern w:val="0"/>
          <w:szCs w:val="21"/>
        </w:rPr>
      </w:pPr>
      <w:r>
        <w:rPr>
          <w:b/>
          <w:kern w:val="0"/>
          <w:szCs w:val="21"/>
        </w:rPr>
        <w:t>教学组织与实施：</w:t>
      </w:r>
      <w:r>
        <w:rPr>
          <w:kern w:val="0"/>
          <w:szCs w:val="21"/>
        </w:rPr>
        <w:t>通过课堂教学，结合大量图片资料和实例讲解原生质体分离、纯化与活力测定的方法及原生质体融合的方法。</w:t>
      </w:r>
    </w:p>
    <w:p>
      <w:pPr>
        <w:widowControl/>
        <w:snapToGrid w:val="0"/>
        <w:spacing w:line="360" w:lineRule="auto"/>
        <w:ind w:firstLine="420" w:firstLineChars="200"/>
        <w:jc w:val="left"/>
        <w:rPr>
          <w:kern w:val="0"/>
          <w:szCs w:val="21"/>
        </w:rPr>
      </w:pPr>
    </w:p>
    <w:tbl>
      <w:tblPr>
        <w:tblStyle w:val="22"/>
        <w:tblW w:w="0" w:type="auto"/>
        <w:tblInd w:w="4" w:type="dxa"/>
        <w:tblLayout w:type="autofit"/>
        <w:tblCellMar>
          <w:top w:w="0" w:type="dxa"/>
          <w:left w:w="0" w:type="dxa"/>
          <w:bottom w:w="0" w:type="dxa"/>
          <w:right w:w="0" w:type="dxa"/>
        </w:tblCellMar>
      </w:tblPr>
      <w:tblGrid>
        <w:gridCol w:w="2211"/>
        <w:gridCol w:w="3820"/>
        <w:gridCol w:w="2865"/>
      </w:tblGrid>
      <w:tr>
        <w:tblPrEx>
          <w:tblCellMar>
            <w:top w:w="0" w:type="dxa"/>
            <w:left w:w="0" w:type="dxa"/>
            <w:bottom w:w="0" w:type="dxa"/>
            <w:right w:w="0" w:type="dxa"/>
          </w:tblCellMar>
        </w:tblPrEx>
        <w:trPr>
          <w:trHeight w:val="270" w:hRule="atLeast"/>
        </w:trPr>
        <w:tc>
          <w:tcPr>
            <w:tcW w:w="221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820"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b/>
                <w:bCs/>
                <w:szCs w:val="21"/>
              </w:rPr>
              <w:t>第三章  分子标记技术原理与应用</w:t>
            </w:r>
          </w:p>
        </w:tc>
        <w:tc>
          <w:tcPr>
            <w:tcW w:w="2865"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b/>
          <w:bCs/>
          <w:kern w:val="0"/>
          <w:szCs w:val="21"/>
        </w:rPr>
      </w:pPr>
      <w:r>
        <w:rPr>
          <w:b/>
          <w:bCs/>
        </w:rPr>
        <w:t>教学目标：</w:t>
      </w:r>
      <w:r>
        <w:rPr>
          <w:bCs/>
        </w:rPr>
        <w:t>通过本章的学习，明确</w:t>
      </w:r>
      <w:r>
        <w:rPr>
          <w:kern w:val="0"/>
          <w:szCs w:val="21"/>
        </w:rPr>
        <w:t>分子标记的基本原理、主要分子标记类型；掌握不同类型分子标记在园艺植物研究中的应用。</w:t>
      </w:r>
    </w:p>
    <w:p>
      <w:pPr>
        <w:widowControl/>
        <w:snapToGrid w:val="0"/>
        <w:spacing w:line="360" w:lineRule="auto"/>
        <w:rPr>
          <w:kern w:val="0"/>
          <w:szCs w:val="21"/>
        </w:rPr>
      </w:pPr>
      <w:r>
        <w:rPr>
          <w:b/>
          <w:bCs/>
        </w:rPr>
        <w:t>教学重点和难点：</w:t>
      </w:r>
      <w:r>
        <w:rPr>
          <w:kern w:val="0"/>
          <w:szCs w:val="21"/>
        </w:rPr>
        <w:t>分子标记的基本原理和主要类型；分子标记技术在园艺植物研究中的应用。</w:t>
      </w:r>
    </w:p>
    <w:p>
      <w:pPr>
        <w:widowControl/>
        <w:snapToGrid w:val="0"/>
        <w:spacing w:line="360" w:lineRule="auto"/>
        <w:rPr>
          <w:b/>
          <w:bCs/>
        </w:rPr>
      </w:pPr>
      <w:r>
        <w:rPr>
          <w:b/>
          <w:bCs/>
        </w:rPr>
        <w:t>主要教学内容及要求：</w:t>
      </w:r>
    </w:p>
    <w:p>
      <w:pPr>
        <w:widowControl/>
        <w:snapToGrid w:val="0"/>
        <w:spacing w:line="360" w:lineRule="auto"/>
        <w:ind w:firstLine="422" w:firstLineChars="200"/>
        <w:rPr>
          <w:kern w:val="0"/>
          <w:szCs w:val="21"/>
        </w:rPr>
      </w:pPr>
      <w:r>
        <w:rPr>
          <w:rFonts w:hint="eastAsia"/>
          <w:b/>
          <w:bCs/>
        </w:rPr>
        <w:t>了解：</w:t>
      </w:r>
      <w:r>
        <w:rPr>
          <w:kern w:val="0"/>
          <w:szCs w:val="21"/>
        </w:rPr>
        <w:t xml:space="preserve"> DNA显色技术。</w:t>
      </w:r>
    </w:p>
    <w:p>
      <w:pPr>
        <w:widowControl/>
        <w:snapToGrid w:val="0"/>
        <w:spacing w:line="360" w:lineRule="auto"/>
        <w:ind w:firstLine="422" w:firstLineChars="200"/>
        <w:rPr>
          <w:kern w:val="0"/>
          <w:szCs w:val="21"/>
        </w:rPr>
      </w:pPr>
      <w:r>
        <w:rPr>
          <w:rFonts w:hint="eastAsia"/>
          <w:b/>
          <w:kern w:val="0"/>
          <w:szCs w:val="21"/>
        </w:rPr>
        <w:t>理解：</w:t>
      </w:r>
      <w:r>
        <w:rPr>
          <w:kern w:val="0"/>
          <w:szCs w:val="21"/>
        </w:rPr>
        <w:t>分子标记的基本原理。</w:t>
      </w:r>
    </w:p>
    <w:p>
      <w:pPr>
        <w:widowControl/>
        <w:snapToGrid w:val="0"/>
        <w:spacing w:line="360" w:lineRule="auto"/>
        <w:ind w:firstLine="422" w:firstLineChars="200"/>
        <w:rPr>
          <w:kern w:val="0"/>
          <w:szCs w:val="21"/>
        </w:rPr>
      </w:pPr>
      <w:r>
        <w:rPr>
          <w:rFonts w:hint="eastAsia"/>
          <w:b/>
          <w:kern w:val="0"/>
          <w:szCs w:val="21"/>
        </w:rPr>
        <w:t>掌握：</w:t>
      </w:r>
      <w:r>
        <w:rPr>
          <w:kern w:val="0"/>
          <w:szCs w:val="21"/>
        </w:rPr>
        <w:t>DNA是主要的遗传物质；几种常用的分子标记技术；种质评价和核心种质筛选；杂种鉴定和早期辅助选择；遗传连锁图的构建。</w:t>
      </w:r>
    </w:p>
    <w:p>
      <w:pPr>
        <w:widowControl/>
        <w:snapToGrid w:val="0"/>
        <w:spacing w:line="360" w:lineRule="auto"/>
        <w:ind w:firstLine="420" w:firstLineChars="200"/>
        <w:rPr>
          <w:b/>
          <w:bCs/>
          <w:kern w:val="0"/>
          <w:szCs w:val="21"/>
        </w:rPr>
      </w:pPr>
      <w:r>
        <w:rPr>
          <w:kern w:val="0"/>
          <w:szCs w:val="21"/>
        </w:rPr>
        <w:t>熟练掌握：DNA复制和体外扩增。</w:t>
      </w:r>
    </w:p>
    <w:p>
      <w:pPr>
        <w:widowControl/>
        <w:adjustRightInd w:val="0"/>
        <w:snapToGrid w:val="0"/>
        <w:spacing w:line="360" w:lineRule="auto"/>
        <w:jc w:val="left"/>
        <w:rPr>
          <w:bCs/>
          <w:kern w:val="0"/>
          <w:szCs w:val="21"/>
        </w:rPr>
      </w:pPr>
      <w:r>
        <w:rPr>
          <w:bCs/>
          <w:kern w:val="0"/>
          <w:szCs w:val="21"/>
        </w:rPr>
        <w:t xml:space="preserve">第一节  分子标记的原理及种类     </w:t>
      </w:r>
      <w:r>
        <w:rPr>
          <w:rFonts w:hint="eastAsia"/>
          <w:bCs/>
          <w:kern w:val="0"/>
          <w:szCs w:val="21"/>
        </w:rPr>
        <w:t>1.5</w:t>
      </w:r>
      <w:r>
        <w:rPr>
          <w:bCs/>
          <w:kern w:val="0"/>
          <w:szCs w:val="21"/>
        </w:rPr>
        <w:t>学时</w:t>
      </w:r>
    </w:p>
    <w:p>
      <w:pPr>
        <w:widowControl/>
        <w:adjustRightInd w:val="0"/>
        <w:snapToGrid w:val="0"/>
        <w:spacing w:line="360" w:lineRule="auto"/>
        <w:jc w:val="left"/>
        <w:rPr>
          <w:bCs/>
          <w:kern w:val="0"/>
          <w:szCs w:val="21"/>
        </w:rPr>
      </w:pPr>
      <w:r>
        <w:rPr>
          <w:bCs/>
          <w:kern w:val="0"/>
          <w:szCs w:val="21"/>
        </w:rPr>
        <w:t xml:space="preserve">第二节  分子标记的应用     </w:t>
      </w:r>
      <w:r>
        <w:rPr>
          <w:rFonts w:hint="eastAsia"/>
          <w:bCs/>
          <w:kern w:val="0"/>
          <w:szCs w:val="21"/>
        </w:rPr>
        <w:t>2.5</w:t>
      </w:r>
      <w:r>
        <w:rPr>
          <w:bCs/>
          <w:kern w:val="0"/>
          <w:szCs w:val="21"/>
        </w:rPr>
        <w:t>学时</w:t>
      </w:r>
    </w:p>
    <w:p>
      <w:pPr>
        <w:widowControl/>
        <w:snapToGrid w:val="0"/>
        <w:spacing w:line="360" w:lineRule="auto"/>
        <w:rPr>
          <w:kern w:val="0"/>
          <w:szCs w:val="21"/>
        </w:rPr>
      </w:pPr>
      <w:r>
        <w:rPr>
          <w:b/>
          <w:kern w:val="0"/>
          <w:szCs w:val="21"/>
        </w:rPr>
        <w:t>教学组织与实施：</w:t>
      </w:r>
      <w:r>
        <w:rPr>
          <w:kern w:val="0"/>
          <w:szCs w:val="21"/>
        </w:rPr>
        <w:t>通过课堂教学，讲述分子标记原理的和类型；结合大量实例，阐明分子标记在园艺植物中的应用及其意义。</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b/>
                <w:bCs/>
                <w:szCs w:val="21"/>
              </w:rPr>
              <w:t xml:space="preserve">第四章  基因分离与克隆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b/>
          <w:bCs/>
          <w:kern w:val="0"/>
          <w:szCs w:val="21"/>
        </w:rPr>
      </w:pPr>
      <w:r>
        <w:rPr>
          <w:b/>
          <w:bCs/>
        </w:rPr>
        <w:t>教学目标：</w:t>
      </w:r>
      <w:r>
        <w:rPr>
          <w:bCs/>
        </w:rPr>
        <w:t>通过本章的学习，</w:t>
      </w:r>
      <w:r>
        <w:rPr>
          <w:kern w:val="0"/>
          <w:szCs w:val="21"/>
        </w:rPr>
        <w:t>掌握基因的概念和基本结构；基因分离克隆的基本原理、主要克隆策略；基因组文库和cDNA文库的概念、构建方法；基因组DNA克隆方法。</w:t>
      </w:r>
    </w:p>
    <w:p>
      <w:pPr>
        <w:widowControl/>
        <w:snapToGrid w:val="0"/>
        <w:spacing w:line="360" w:lineRule="auto"/>
        <w:rPr>
          <w:b/>
          <w:bCs/>
          <w:kern w:val="0"/>
          <w:szCs w:val="21"/>
        </w:rPr>
      </w:pPr>
      <w:r>
        <w:rPr>
          <w:b/>
          <w:bCs/>
        </w:rPr>
        <w:t>教学重点和难点：</w:t>
      </w:r>
      <w:r>
        <w:rPr>
          <w:kern w:val="0"/>
          <w:szCs w:val="21"/>
        </w:rPr>
        <w:t>基因的概念和结构；基因分离克隆的基本原理和主要克隆策略；基因组文库与cDNA文库的区别。</w:t>
      </w:r>
    </w:p>
    <w:p>
      <w:pPr>
        <w:widowControl/>
        <w:snapToGrid w:val="0"/>
        <w:spacing w:line="360" w:lineRule="auto"/>
        <w:rPr>
          <w:b/>
          <w:bCs/>
        </w:rPr>
      </w:pPr>
      <w:r>
        <w:rPr>
          <w:b/>
          <w:bCs/>
        </w:rPr>
        <w:t>主要教学内容及要求：</w:t>
      </w:r>
    </w:p>
    <w:p>
      <w:pPr>
        <w:widowControl/>
        <w:snapToGrid w:val="0"/>
        <w:spacing w:line="360" w:lineRule="auto"/>
        <w:ind w:firstLine="422" w:firstLineChars="200"/>
        <w:rPr>
          <w:b/>
          <w:bCs/>
          <w:kern w:val="0"/>
          <w:szCs w:val="21"/>
        </w:rPr>
      </w:pPr>
      <w:r>
        <w:rPr>
          <w:rFonts w:hint="eastAsia"/>
          <w:b/>
          <w:kern w:val="0"/>
          <w:szCs w:val="21"/>
        </w:rPr>
        <w:t>了解：</w:t>
      </w:r>
      <w:r>
        <w:rPr>
          <w:kern w:val="0"/>
          <w:szCs w:val="21"/>
        </w:rPr>
        <w:t>基因组文库的构建；cDNA文库的构建及目的cDNA克隆的筛选。</w:t>
      </w:r>
    </w:p>
    <w:p>
      <w:pPr>
        <w:widowControl/>
        <w:snapToGrid w:val="0"/>
        <w:spacing w:line="360" w:lineRule="auto"/>
        <w:ind w:firstLine="422" w:firstLineChars="200"/>
        <w:rPr>
          <w:kern w:val="0"/>
          <w:szCs w:val="21"/>
        </w:rPr>
      </w:pPr>
      <w:r>
        <w:rPr>
          <w:rFonts w:hint="eastAsia"/>
          <w:b/>
          <w:kern w:val="0"/>
          <w:szCs w:val="21"/>
        </w:rPr>
        <w:t>理解：</w:t>
      </w:r>
      <w:r>
        <w:rPr>
          <w:kern w:val="0"/>
          <w:szCs w:val="21"/>
        </w:rPr>
        <w:t>基因分离克隆的基本原理；</w:t>
      </w:r>
    </w:p>
    <w:p>
      <w:pPr>
        <w:widowControl/>
        <w:snapToGrid w:val="0"/>
        <w:spacing w:line="360" w:lineRule="auto"/>
        <w:ind w:firstLine="422" w:firstLineChars="200"/>
        <w:rPr>
          <w:kern w:val="0"/>
          <w:szCs w:val="21"/>
        </w:rPr>
      </w:pPr>
      <w:r>
        <w:rPr>
          <w:rFonts w:hint="eastAsia"/>
          <w:b/>
          <w:kern w:val="0"/>
          <w:szCs w:val="21"/>
        </w:rPr>
        <w:t>掌握：</w:t>
      </w:r>
      <w:r>
        <w:rPr>
          <w:kern w:val="0"/>
          <w:szCs w:val="21"/>
        </w:rPr>
        <w:t>基因的结构。</w:t>
      </w:r>
    </w:p>
    <w:p>
      <w:pPr>
        <w:widowControl/>
        <w:snapToGrid w:val="0"/>
        <w:spacing w:line="360" w:lineRule="auto"/>
        <w:ind w:firstLine="422" w:firstLineChars="200"/>
        <w:rPr>
          <w:kern w:val="0"/>
          <w:szCs w:val="21"/>
        </w:rPr>
      </w:pPr>
      <w:r>
        <w:rPr>
          <w:rFonts w:hint="eastAsia"/>
          <w:b/>
          <w:kern w:val="0"/>
          <w:szCs w:val="21"/>
        </w:rPr>
        <w:t>熟练掌握：</w:t>
      </w:r>
      <w:r>
        <w:rPr>
          <w:kern w:val="0"/>
          <w:szCs w:val="21"/>
        </w:rPr>
        <w:t>基因的概念；主要克隆策略。</w:t>
      </w:r>
    </w:p>
    <w:p>
      <w:pPr>
        <w:widowControl/>
        <w:spacing w:line="360" w:lineRule="auto"/>
        <w:jc w:val="left"/>
        <w:rPr>
          <w:bCs/>
          <w:kern w:val="0"/>
          <w:szCs w:val="21"/>
        </w:rPr>
      </w:pPr>
      <w:r>
        <w:rPr>
          <w:bCs/>
          <w:kern w:val="0"/>
          <w:szCs w:val="21"/>
        </w:rPr>
        <w:t>第一节  基因的概念和结构     0.5学时</w:t>
      </w:r>
    </w:p>
    <w:p>
      <w:pPr>
        <w:widowControl/>
        <w:spacing w:line="360" w:lineRule="auto"/>
        <w:jc w:val="left"/>
        <w:rPr>
          <w:bCs/>
          <w:kern w:val="0"/>
          <w:szCs w:val="21"/>
        </w:rPr>
      </w:pPr>
      <w:r>
        <w:rPr>
          <w:bCs/>
          <w:kern w:val="0"/>
          <w:szCs w:val="21"/>
        </w:rPr>
        <w:t xml:space="preserve">第二节  基因克隆的基本过程     </w:t>
      </w:r>
      <w:r>
        <w:rPr>
          <w:rFonts w:hint="eastAsia"/>
          <w:bCs/>
          <w:kern w:val="0"/>
          <w:szCs w:val="21"/>
        </w:rPr>
        <w:t>1</w:t>
      </w:r>
      <w:r>
        <w:rPr>
          <w:bCs/>
          <w:kern w:val="0"/>
          <w:szCs w:val="21"/>
        </w:rPr>
        <w:t>.5学时</w:t>
      </w:r>
    </w:p>
    <w:p>
      <w:pPr>
        <w:widowControl/>
        <w:spacing w:line="360" w:lineRule="auto"/>
        <w:jc w:val="left"/>
        <w:rPr>
          <w:bCs/>
          <w:kern w:val="0"/>
          <w:szCs w:val="21"/>
        </w:rPr>
      </w:pPr>
      <w:r>
        <w:rPr>
          <w:bCs/>
          <w:kern w:val="0"/>
          <w:szCs w:val="21"/>
        </w:rPr>
        <w:t xml:space="preserve">第三节  基因组文库与cDNA文库     </w:t>
      </w:r>
      <w:r>
        <w:rPr>
          <w:rFonts w:hint="eastAsia"/>
          <w:bCs/>
          <w:kern w:val="0"/>
          <w:szCs w:val="21"/>
        </w:rPr>
        <w:t>2</w:t>
      </w:r>
      <w:r>
        <w:rPr>
          <w:bCs/>
          <w:kern w:val="0"/>
          <w:szCs w:val="21"/>
        </w:rPr>
        <w:t>学时</w:t>
      </w:r>
    </w:p>
    <w:p>
      <w:pPr>
        <w:widowControl/>
        <w:spacing w:line="360" w:lineRule="auto"/>
        <w:jc w:val="left"/>
        <w:rPr>
          <w:kern w:val="0"/>
          <w:szCs w:val="21"/>
        </w:rPr>
      </w:pPr>
      <w:r>
        <w:rPr>
          <w:b/>
          <w:kern w:val="0"/>
          <w:szCs w:val="21"/>
        </w:rPr>
        <w:t>教学组织与实施：</w:t>
      </w:r>
      <w:r>
        <w:rPr>
          <w:kern w:val="0"/>
          <w:szCs w:val="21"/>
        </w:rPr>
        <w:t>通过课堂教学，基因的概念和结构、基因克隆的基本过程和主要策略；通过质粒DNA的限制性内切酶酶切及电泳检测试验，使学生掌握基因克隆的相关技术。</w:t>
      </w:r>
    </w:p>
    <w:p>
      <w:pPr>
        <w:widowControl/>
        <w:snapToGrid w:val="0"/>
        <w:spacing w:line="360" w:lineRule="auto"/>
        <w:ind w:firstLine="420" w:firstLineChars="200"/>
        <w:jc w:val="left"/>
        <w:rPr>
          <w:rFonts w:hAnsi="宋体"/>
          <w:color w:val="0000FF"/>
          <w:kern w:val="0"/>
          <w:szCs w:val="21"/>
        </w:rPr>
      </w:pP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b/>
                <w:bCs/>
                <w:szCs w:val="21"/>
              </w:rPr>
              <w:t xml:space="preserve">第五章  植物转基因技术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pacing w:line="360" w:lineRule="auto"/>
        <w:jc w:val="left"/>
        <w:rPr>
          <w:b/>
          <w:bCs/>
          <w:kern w:val="0"/>
          <w:szCs w:val="21"/>
        </w:rPr>
      </w:pPr>
      <w:r>
        <w:rPr>
          <w:b/>
          <w:bCs/>
          <w:kern w:val="0"/>
          <w:szCs w:val="21"/>
        </w:rPr>
        <w:t>教学目标：</w:t>
      </w:r>
      <w:r>
        <w:rPr>
          <w:bCs/>
          <w:kern w:val="0"/>
          <w:szCs w:val="21"/>
        </w:rPr>
        <w:t>通过本章的学习，了解植物转基因技术的研究概况，掌握植物转基因技术概念，转基因的主要方法及原理、外植体选择的特点和转基因植物的鉴定方法；</w:t>
      </w:r>
      <w:r>
        <w:rPr>
          <w:kern w:val="0"/>
          <w:szCs w:val="21"/>
        </w:rPr>
        <w:t>转基因在园艺植物改良中的应用。</w:t>
      </w:r>
    </w:p>
    <w:p>
      <w:pPr>
        <w:widowControl/>
        <w:spacing w:line="360" w:lineRule="auto"/>
        <w:jc w:val="left"/>
        <w:rPr>
          <w:b/>
          <w:bCs/>
          <w:kern w:val="0"/>
          <w:szCs w:val="21"/>
        </w:rPr>
      </w:pPr>
      <w:r>
        <w:rPr>
          <w:b/>
          <w:bCs/>
          <w:kern w:val="0"/>
          <w:szCs w:val="21"/>
        </w:rPr>
        <w:t>教学重点和难点：</w:t>
      </w:r>
      <w:r>
        <w:rPr>
          <w:bCs/>
          <w:kern w:val="0"/>
          <w:szCs w:val="21"/>
        </w:rPr>
        <w:t>转基因技术的概念及植物转基因研究概况；转基因植物的鉴定方法；转基因在园艺植物改良中的应用；转基因植物食品安全性及生态安全性；转基因植物的安全性管理办法。</w:t>
      </w:r>
    </w:p>
    <w:p>
      <w:pPr>
        <w:widowControl/>
        <w:spacing w:line="360" w:lineRule="auto"/>
        <w:jc w:val="left"/>
        <w:rPr>
          <w:b/>
          <w:bCs/>
          <w:kern w:val="0"/>
          <w:szCs w:val="21"/>
        </w:rPr>
      </w:pPr>
      <w:r>
        <w:rPr>
          <w:b/>
          <w:bCs/>
          <w:kern w:val="0"/>
          <w:szCs w:val="21"/>
        </w:rPr>
        <w:t>主要教学内容及要求：</w:t>
      </w:r>
    </w:p>
    <w:p>
      <w:pPr>
        <w:widowControl/>
        <w:spacing w:line="360" w:lineRule="auto"/>
        <w:jc w:val="left"/>
        <w:rPr>
          <w:bCs/>
          <w:kern w:val="0"/>
          <w:szCs w:val="21"/>
        </w:rPr>
      </w:pPr>
      <w:r>
        <w:rPr>
          <w:bCs/>
          <w:kern w:val="0"/>
          <w:szCs w:val="21"/>
        </w:rPr>
        <w:t>第一节  植物转基因研究概况     0.5学时</w:t>
      </w:r>
    </w:p>
    <w:p>
      <w:pPr>
        <w:widowControl/>
        <w:spacing w:line="360" w:lineRule="auto"/>
        <w:jc w:val="left"/>
        <w:rPr>
          <w:bCs/>
          <w:kern w:val="0"/>
          <w:szCs w:val="21"/>
        </w:rPr>
      </w:pPr>
      <w:r>
        <w:rPr>
          <w:bCs/>
          <w:kern w:val="0"/>
          <w:szCs w:val="21"/>
        </w:rPr>
        <w:t>第二节  植物转基因方法     1.5学时</w:t>
      </w:r>
    </w:p>
    <w:p>
      <w:pPr>
        <w:widowControl/>
        <w:spacing w:line="360" w:lineRule="auto"/>
        <w:jc w:val="left"/>
        <w:rPr>
          <w:bCs/>
          <w:kern w:val="0"/>
          <w:szCs w:val="21"/>
        </w:rPr>
      </w:pPr>
      <w:r>
        <w:rPr>
          <w:bCs/>
          <w:kern w:val="0"/>
          <w:szCs w:val="21"/>
        </w:rPr>
        <w:t>第三节  转基因植物的鉴定方法及其在园艺植物改良中的应用     1.5学时</w:t>
      </w:r>
    </w:p>
    <w:p>
      <w:pPr>
        <w:widowControl/>
        <w:spacing w:line="360" w:lineRule="auto"/>
        <w:jc w:val="left"/>
        <w:rPr>
          <w:bCs/>
          <w:kern w:val="0"/>
          <w:szCs w:val="21"/>
        </w:rPr>
      </w:pPr>
      <w:r>
        <w:rPr>
          <w:bCs/>
          <w:kern w:val="0"/>
          <w:szCs w:val="21"/>
        </w:rPr>
        <w:t>第四节  转基因植物的安全性评价     0.5学时</w:t>
      </w:r>
    </w:p>
    <w:p>
      <w:pPr>
        <w:widowControl/>
        <w:spacing w:line="360" w:lineRule="auto"/>
        <w:ind w:firstLine="422" w:firstLineChars="200"/>
        <w:jc w:val="left"/>
        <w:rPr>
          <w:b/>
          <w:bCs/>
          <w:kern w:val="0"/>
          <w:szCs w:val="21"/>
        </w:rPr>
      </w:pPr>
      <w:r>
        <w:rPr>
          <w:b/>
          <w:bCs/>
          <w:kern w:val="0"/>
          <w:szCs w:val="21"/>
        </w:rPr>
        <w:t>了解：</w:t>
      </w:r>
      <w:r>
        <w:rPr>
          <w:bCs/>
          <w:kern w:val="0"/>
          <w:szCs w:val="21"/>
        </w:rPr>
        <w:t>植物转基因研究概况；转基因的主要方法；</w:t>
      </w:r>
      <w:r>
        <w:rPr>
          <w:kern w:val="0"/>
          <w:szCs w:val="21"/>
        </w:rPr>
        <w:t>转基因植物的食品安全性；转基因植物生态环境的安全性；转基因植物的安全性管理办法。</w:t>
      </w:r>
    </w:p>
    <w:p>
      <w:pPr>
        <w:widowControl/>
        <w:spacing w:line="360" w:lineRule="auto"/>
        <w:ind w:firstLine="422" w:firstLineChars="200"/>
        <w:jc w:val="left"/>
        <w:rPr>
          <w:b/>
          <w:bCs/>
          <w:kern w:val="0"/>
          <w:szCs w:val="21"/>
        </w:rPr>
      </w:pPr>
      <w:r>
        <w:rPr>
          <w:b/>
          <w:bCs/>
          <w:kern w:val="0"/>
          <w:szCs w:val="21"/>
        </w:rPr>
        <w:t>理解：</w:t>
      </w:r>
      <w:r>
        <w:rPr>
          <w:kern w:val="0"/>
          <w:szCs w:val="21"/>
        </w:rPr>
        <w:t>外植体的特点和选择方法；外源基因整合的鉴定；外源基因表达的检测；</w:t>
      </w:r>
    </w:p>
    <w:p>
      <w:pPr>
        <w:widowControl/>
        <w:spacing w:line="360" w:lineRule="auto"/>
        <w:ind w:firstLine="422" w:firstLineChars="200"/>
        <w:jc w:val="left"/>
        <w:rPr>
          <w:bCs/>
          <w:kern w:val="0"/>
          <w:szCs w:val="21"/>
        </w:rPr>
      </w:pPr>
      <w:r>
        <w:rPr>
          <w:b/>
          <w:bCs/>
          <w:kern w:val="0"/>
          <w:szCs w:val="21"/>
        </w:rPr>
        <w:t>掌握：</w:t>
      </w:r>
      <w:r>
        <w:rPr>
          <w:bCs/>
          <w:kern w:val="0"/>
          <w:szCs w:val="21"/>
        </w:rPr>
        <w:t>转基因技术相关概念；农杆菌介导法的原理和过程。</w:t>
      </w:r>
    </w:p>
    <w:p>
      <w:pPr>
        <w:widowControl/>
        <w:spacing w:line="360" w:lineRule="auto"/>
        <w:ind w:firstLine="422" w:firstLineChars="200"/>
        <w:jc w:val="left"/>
        <w:rPr>
          <w:b/>
          <w:bCs/>
          <w:kern w:val="0"/>
          <w:szCs w:val="21"/>
        </w:rPr>
      </w:pPr>
      <w:r>
        <w:rPr>
          <w:b/>
          <w:bCs/>
          <w:kern w:val="0"/>
          <w:szCs w:val="21"/>
        </w:rPr>
        <w:t>熟练掌握：</w:t>
      </w:r>
      <w:r>
        <w:rPr>
          <w:kern w:val="0"/>
          <w:szCs w:val="21"/>
        </w:rPr>
        <w:t>转基因植物的鉴定方法。</w:t>
      </w:r>
    </w:p>
    <w:p>
      <w:pPr>
        <w:widowControl/>
        <w:spacing w:line="360" w:lineRule="auto"/>
        <w:jc w:val="left"/>
        <w:rPr>
          <w:b/>
          <w:bCs/>
          <w:kern w:val="0"/>
          <w:szCs w:val="21"/>
        </w:rPr>
      </w:pPr>
      <w:r>
        <w:rPr>
          <w:b/>
          <w:bCs/>
          <w:kern w:val="0"/>
          <w:szCs w:val="21"/>
        </w:rPr>
        <w:t>教学组织与实施：</w:t>
      </w:r>
      <w:r>
        <w:rPr>
          <w:bCs/>
          <w:kern w:val="0"/>
          <w:szCs w:val="21"/>
        </w:rPr>
        <w:t>通过课堂教学，结合大量图片和实例资料，详细讲述植物转基因的研究现状、转基因的主要方法和外植体选择的特点，介绍转基因植物安全性评价的方法。</w:t>
      </w:r>
    </w:p>
    <w:p>
      <w:pPr>
        <w:widowControl/>
        <w:snapToGrid w:val="0"/>
        <w:spacing w:line="360" w:lineRule="auto"/>
        <w:ind w:firstLine="420" w:firstLineChars="200"/>
        <w:jc w:val="left"/>
        <w:rPr>
          <w:rFonts w:hAnsi="宋体"/>
          <w:color w:val="0000FF"/>
          <w:kern w:val="0"/>
          <w:szCs w:val="21"/>
        </w:rPr>
      </w:pPr>
    </w:p>
    <w:tbl>
      <w:tblPr>
        <w:tblStyle w:val="22"/>
        <w:tblW w:w="0" w:type="auto"/>
        <w:tblInd w:w="4" w:type="dxa"/>
        <w:tblLayout w:type="autofit"/>
        <w:tblCellMar>
          <w:top w:w="0" w:type="dxa"/>
          <w:left w:w="0" w:type="dxa"/>
          <w:bottom w:w="0" w:type="dxa"/>
          <w:right w:w="0" w:type="dxa"/>
        </w:tblCellMar>
      </w:tblPr>
      <w:tblGrid>
        <w:gridCol w:w="1661"/>
        <w:gridCol w:w="4646"/>
        <w:gridCol w:w="2589"/>
      </w:tblGrid>
      <w:tr>
        <w:tblPrEx>
          <w:tblCellMar>
            <w:top w:w="0" w:type="dxa"/>
            <w:left w:w="0" w:type="dxa"/>
            <w:bottom w:w="0" w:type="dxa"/>
            <w:right w:w="0" w:type="dxa"/>
          </w:tblCellMar>
        </w:tblPrEx>
        <w:trPr>
          <w:trHeight w:val="270" w:hRule="atLeast"/>
        </w:trPr>
        <w:tc>
          <w:tcPr>
            <w:tcW w:w="166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646"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六</w:t>
            </w:r>
            <w:r>
              <w:rPr>
                <w:rFonts w:hAnsi="宋体"/>
                <w:b/>
                <w:bCs/>
                <w:szCs w:val="21"/>
              </w:rPr>
              <w:t>章</w:t>
            </w:r>
            <w:r>
              <w:rPr>
                <w:rFonts w:hint="eastAsia"/>
                <w:b/>
                <w:bCs/>
                <w:szCs w:val="21"/>
              </w:rPr>
              <w:t xml:space="preserve">  园艺植物生物技术与生物信息学</w:t>
            </w:r>
          </w:p>
        </w:tc>
        <w:tc>
          <w:tcPr>
            <w:tcW w:w="2589"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pacing w:line="360" w:lineRule="auto"/>
        <w:jc w:val="left"/>
        <w:rPr>
          <w:b/>
          <w:bCs/>
          <w:kern w:val="0"/>
          <w:szCs w:val="21"/>
        </w:rPr>
      </w:pPr>
      <w:r>
        <w:rPr>
          <w:b/>
          <w:bCs/>
          <w:kern w:val="0"/>
          <w:szCs w:val="21"/>
        </w:rPr>
        <w:t>教学目标：</w:t>
      </w:r>
      <w:r>
        <w:rPr>
          <w:bCs/>
          <w:kern w:val="0"/>
          <w:szCs w:val="21"/>
        </w:rPr>
        <w:t>通过本章的学习，了解</w:t>
      </w:r>
      <w:r>
        <w:rPr>
          <w:rFonts w:hint="eastAsia"/>
          <w:bCs/>
          <w:kern w:val="0"/>
          <w:szCs w:val="21"/>
        </w:rPr>
        <w:t>生物信息学发展史、常用数据库及生物信息学在园艺植物中的应用；掌握利用生物信息学方法从各生物学科众多分散的观测资料中发现联系和规律，进而挖掘潜在的信息与知识。</w:t>
      </w:r>
    </w:p>
    <w:p>
      <w:pPr>
        <w:widowControl/>
        <w:spacing w:line="360" w:lineRule="auto"/>
        <w:jc w:val="left"/>
        <w:rPr>
          <w:b/>
          <w:bCs/>
          <w:kern w:val="0"/>
          <w:szCs w:val="21"/>
        </w:rPr>
      </w:pPr>
      <w:r>
        <w:rPr>
          <w:b/>
          <w:bCs/>
          <w:kern w:val="0"/>
          <w:szCs w:val="21"/>
        </w:rPr>
        <w:t>教学重点和难点：</w:t>
      </w:r>
      <w:r>
        <w:rPr>
          <w:rFonts w:hint="eastAsia"/>
          <w:bCs/>
          <w:kern w:val="0"/>
          <w:szCs w:val="21"/>
        </w:rPr>
        <w:t>常用数据库的使用方法（NCBI、phytozome、KEGG、uniport等）</w:t>
      </w:r>
      <w:r>
        <w:rPr>
          <w:bCs/>
          <w:kern w:val="0"/>
          <w:szCs w:val="21"/>
        </w:rPr>
        <w:t>；</w:t>
      </w:r>
      <w:r>
        <w:rPr>
          <w:rFonts w:hint="eastAsia"/>
          <w:bCs/>
          <w:kern w:val="0"/>
          <w:szCs w:val="21"/>
        </w:rPr>
        <w:t>通过生物信息学手段发现园艺植物性状与基因之间的联系和规律，利用生物学大数据解析性状形成的机理</w:t>
      </w:r>
      <w:r>
        <w:rPr>
          <w:bCs/>
          <w:kern w:val="0"/>
          <w:szCs w:val="21"/>
        </w:rPr>
        <w:t>。</w:t>
      </w:r>
    </w:p>
    <w:p>
      <w:pPr>
        <w:widowControl/>
        <w:spacing w:line="360" w:lineRule="auto"/>
        <w:jc w:val="left"/>
        <w:rPr>
          <w:b/>
          <w:bCs/>
          <w:kern w:val="0"/>
          <w:szCs w:val="21"/>
        </w:rPr>
      </w:pPr>
      <w:r>
        <w:rPr>
          <w:b/>
          <w:bCs/>
          <w:kern w:val="0"/>
          <w:szCs w:val="21"/>
        </w:rPr>
        <w:t>主要教学内容及要求：</w:t>
      </w:r>
    </w:p>
    <w:p>
      <w:pPr>
        <w:widowControl/>
        <w:spacing w:line="360" w:lineRule="auto"/>
        <w:jc w:val="left"/>
        <w:rPr>
          <w:bCs/>
          <w:kern w:val="0"/>
          <w:szCs w:val="21"/>
        </w:rPr>
      </w:pPr>
      <w:r>
        <w:rPr>
          <w:bCs/>
          <w:kern w:val="0"/>
          <w:szCs w:val="21"/>
        </w:rPr>
        <w:t xml:space="preserve">第一节  </w:t>
      </w:r>
      <w:r>
        <w:rPr>
          <w:rFonts w:hint="eastAsia"/>
          <w:bCs/>
          <w:kern w:val="0"/>
          <w:szCs w:val="21"/>
        </w:rPr>
        <w:t>生物信息学发展史</w:t>
      </w:r>
      <w:r>
        <w:rPr>
          <w:bCs/>
          <w:kern w:val="0"/>
          <w:szCs w:val="21"/>
        </w:rPr>
        <w:t xml:space="preserve">     0.5学时</w:t>
      </w:r>
    </w:p>
    <w:p>
      <w:pPr>
        <w:widowControl/>
        <w:spacing w:line="360" w:lineRule="auto"/>
        <w:jc w:val="left"/>
        <w:rPr>
          <w:bCs/>
          <w:kern w:val="0"/>
          <w:szCs w:val="21"/>
        </w:rPr>
      </w:pPr>
      <w:r>
        <w:rPr>
          <w:bCs/>
          <w:kern w:val="0"/>
          <w:szCs w:val="21"/>
        </w:rPr>
        <w:t xml:space="preserve">第二节  </w:t>
      </w:r>
      <w:r>
        <w:rPr>
          <w:rFonts w:hint="eastAsia"/>
          <w:bCs/>
          <w:kern w:val="0"/>
          <w:szCs w:val="21"/>
        </w:rPr>
        <w:t>常用数据库</w:t>
      </w:r>
      <w:r>
        <w:rPr>
          <w:bCs/>
          <w:kern w:val="0"/>
          <w:szCs w:val="21"/>
        </w:rPr>
        <w:t xml:space="preserve">     </w:t>
      </w:r>
      <w:r>
        <w:rPr>
          <w:rFonts w:hint="eastAsia"/>
          <w:bCs/>
          <w:kern w:val="0"/>
          <w:szCs w:val="21"/>
        </w:rPr>
        <w:t xml:space="preserve">      </w:t>
      </w:r>
      <w:r>
        <w:rPr>
          <w:bCs/>
          <w:kern w:val="0"/>
          <w:szCs w:val="21"/>
        </w:rPr>
        <w:t>1.</w:t>
      </w:r>
      <w:r>
        <w:rPr>
          <w:rFonts w:hint="eastAsia"/>
          <w:bCs/>
          <w:kern w:val="0"/>
          <w:szCs w:val="21"/>
        </w:rPr>
        <w:t>0</w:t>
      </w:r>
      <w:r>
        <w:rPr>
          <w:bCs/>
          <w:kern w:val="0"/>
          <w:szCs w:val="21"/>
        </w:rPr>
        <w:t>学时</w:t>
      </w:r>
    </w:p>
    <w:p>
      <w:pPr>
        <w:widowControl/>
        <w:spacing w:line="360" w:lineRule="auto"/>
        <w:jc w:val="left"/>
        <w:rPr>
          <w:bCs/>
          <w:kern w:val="0"/>
          <w:szCs w:val="21"/>
        </w:rPr>
      </w:pPr>
      <w:r>
        <w:rPr>
          <w:bCs/>
          <w:kern w:val="0"/>
          <w:szCs w:val="21"/>
        </w:rPr>
        <w:t xml:space="preserve">第三节  </w:t>
      </w:r>
      <w:r>
        <w:rPr>
          <w:rFonts w:hint="eastAsia"/>
          <w:bCs/>
          <w:kern w:val="0"/>
          <w:szCs w:val="21"/>
        </w:rPr>
        <w:t>生物信息学在园艺作物研究中的应用</w:t>
      </w:r>
      <w:r>
        <w:rPr>
          <w:bCs/>
          <w:kern w:val="0"/>
          <w:szCs w:val="21"/>
        </w:rPr>
        <w:t xml:space="preserve">    </w:t>
      </w:r>
      <w:r>
        <w:rPr>
          <w:rFonts w:hint="eastAsia"/>
          <w:bCs/>
          <w:kern w:val="0"/>
          <w:szCs w:val="21"/>
        </w:rPr>
        <w:t>0</w:t>
      </w:r>
      <w:r>
        <w:rPr>
          <w:bCs/>
          <w:kern w:val="0"/>
          <w:szCs w:val="21"/>
        </w:rPr>
        <w:t>.5学时</w:t>
      </w:r>
    </w:p>
    <w:p>
      <w:pPr>
        <w:widowControl/>
        <w:spacing w:line="360" w:lineRule="auto"/>
        <w:ind w:firstLine="422" w:firstLineChars="200"/>
        <w:jc w:val="left"/>
        <w:rPr>
          <w:kern w:val="0"/>
          <w:szCs w:val="21"/>
        </w:rPr>
      </w:pPr>
      <w:r>
        <w:rPr>
          <w:b/>
          <w:bCs/>
          <w:kern w:val="0"/>
          <w:szCs w:val="21"/>
        </w:rPr>
        <w:t>了解：</w:t>
      </w:r>
      <w:r>
        <w:rPr>
          <w:bCs/>
          <w:kern w:val="0"/>
          <w:szCs w:val="21"/>
        </w:rPr>
        <w:t>了解</w:t>
      </w:r>
      <w:r>
        <w:rPr>
          <w:rFonts w:hint="eastAsia"/>
          <w:bCs/>
          <w:kern w:val="0"/>
          <w:szCs w:val="21"/>
        </w:rPr>
        <w:t>生物信息学发展史、常用数据库</w:t>
      </w:r>
      <w:r>
        <w:rPr>
          <w:kern w:val="0"/>
          <w:szCs w:val="21"/>
        </w:rPr>
        <w:t>。</w:t>
      </w:r>
    </w:p>
    <w:p>
      <w:pPr>
        <w:widowControl/>
        <w:spacing w:line="360" w:lineRule="auto"/>
        <w:ind w:firstLine="422" w:firstLineChars="200"/>
        <w:jc w:val="left"/>
        <w:rPr>
          <w:kern w:val="0"/>
          <w:szCs w:val="21"/>
        </w:rPr>
      </w:pPr>
      <w:r>
        <w:rPr>
          <w:b/>
          <w:bCs/>
          <w:kern w:val="0"/>
          <w:szCs w:val="21"/>
        </w:rPr>
        <w:t>理解：</w:t>
      </w:r>
      <w:r>
        <w:rPr>
          <w:rFonts w:hint="eastAsia"/>
          <w:bCs/>
          <w:kern w:val="0"/>
          <w:szCs w:val="21"/>
        </w:rPr>
        <w:t>生物信息学在园艺植物中的应用</w:t>
      </w:r>
    </w:p>
    <w:p>
      <w:pPr>
        <w:widowControl/>
        <w:spacing w:line="360" w:lineRule="auto"/>
        <w:ind w:firstLine="422" w:firstLineChars="200"/>
        <w:jc w:val="left"/>
        <w:rPr>
          <w:bCs/>
          <w:kern w:val="0"/>
          <w:szCs w:val="21"/>
        </w:rPr>
      </w:pPr>
      <w:r>
        <w:rPr>
          <w:b/>
          <w:bCs/>
          <w:kern w:val="0"/>
          <w:szCs w:val="21"/>
        </w:rPr>
        <w:t>掌握：</w:t>
      </w:r>
      <w:r>
        <w:rPr>
          <w:rFonts w:hint="eastAsia"/>
          <w:bCs/>
          <w:kern w:val="0"/>
          <w:szCs w:val="21"/>
        </w:rPr>
        <w:t>利用生物信息学方法从各生物学科众多分散的观测资料中发现联系和规律，进而挖掘潜在的信息与知识</w:t>
      </w:r>
      <w:r>
        <w:rPr>
          <w:bCs/>
          <w:kern w:val="0"/>
          <w:szCs w:val="21"/>
        </w:rPr>
        <w:t>。</w:t>
      </w:r>
    </w:p>
    <w:p>
      <w:pPr>
        <w:widowControl/>
        <w:spacing w:line="360" w:lineRule="auto"/>
        <w:jc w:val="left"/>
        <w:rPr>
          <w:b/>
          <w:bCs/>
          <w:kern w:val="0"/>
          <w:szCs w:val="21"/>
        </w:rPr>
      </w:pPr>
      <w:r>
        <w:rPr>
          <w:b/>
          <w:bCs/>
          <w:kern w:val="0"/>
          <w:szCs w:val="21"/>
        </w:rPr>
        <w:t>教学组织与实施：</w:t>
      </w:r>
      <w:r>
        <w:rPr>
          <w:bCs/>
          <w:kern w:val="0"/>
          <w:szCs w:val="21"/>
        </w:rPr>
        <w:t>通过课堂教学，</w:t>
      </w:r>
      <w:r>
        <w:rPr>
          <w:rFonts w:hint="eastAsia"/>
          <w:bCs/>
          <w:kern w:val="0"/>
          <w:szCs w:val="21"/>
        </w:rPr>
        <w:t>结合应用实例和文献报道</w:t>
      </w:r>
      <w:r>
        <w:rPr>
          <w:bCs/>
          <w:kern w:val="0"/>
          <w:szCs w:val="21"/>
        </w:rPr>
        <w:t>，详细讲述</w:t>
      </w:r>
      <w:r>
        <w:rPr>
          <w:rFonts w:hint="eastAsia"/>
          <w:bCs/>
          <w:kern w:val="0"/>
          <w:szCs w:val="21"/>
        </w:rPr>
        <w:t>生物信息学方法在园艺植物中的应用</w:t>
      </w:r>
      <w:r>
        <w:rPr>
          <w:bCs/>
          <w:kern w:val="0"/>
          <w:szCs w:val="21"/>
        </w:rPr>
        <w:t>。</w:t>
      </w:r>
    </w:p>
    <w:tbl>
      <w:tblPr>
        <w:tblStyle w:val="22"/>
        <w:tblW w:w="0" w:type="auto"/>
        <w:tblInd w:w="4" w:type="dxa"/>
        <w:tblLayout w:type="autofit"/>
        <w:tblCellMar>
          <w:top w:w="0" w:type="dxa"/>
          <w:left w:w="0" w:type="dxa"/>
          <w:bottom w:w="0" w:type="dxa"/>
          <w:right w:w="0" w:type="dxa"/>
        </w:tblCellMar>
      </w:tblPr>
      <w:tblGrid>
        <w:gridCol w:w="1941"/>
        <w:gridCol w:w="4189"/>
        <w:gridCol w:w="2766"/>
      </w:tblGrid>
      <w:tr>
        <w:tblPrEx>
          <w:tblCellMar>
            <w:top w:w="0" w:type="dxa"/>
            <w:left w:w="0" w:type="dxa"/>
            <w:bottom w:w="0" w:type="dxa"/>
            <w:right w:w="0" w:type="dxa"/>
          </w:tblCellMar>
        </w:tblPrEx>
        <w:trPr>
          <w:trHeight w:val="270" w:hRule="atLeast"/>
        </w:trPr>
        <w:tc>
          <w:tcPr>
            <w:tcW w:w="194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189" w:type="dxa"/>
            <w:tcBorders>
              <w:top w:val="nil"/>
              <w:left w:val="nil"/>
              <w:bottom w:val="nil"/>
              <w:right w:val="nil"/>
            </w:tcBorders>
            <w:vAlign w:val="center"/>
          </w:tcPr>
          <w:p>
            <w:pPr>
              <w:widowControl/>
              <w:snapToGrid w:val="0"/>
              <w:spacing w:line="360" w:lineRule="auto"/>
              <w:ind w:firstLine="422"/>
              <w:jc w:val="center"/>
              <w:rPr>
                <w:b/>
                <w:bCs/>
                <w:szCs w:val="21"/>
              </w:rPr>
            </w:pPr>
            <w:r>
              <w:rPr>
                <w:rFonts w:hint="eastAsia"/>
                <w:b/>
                <w:bCs/>
                <w:szCs w:val="21"/>
              </w:rPr>
              <w:t>第七章  园艺植物生物技术研究进展</w:t>
            </w:r>
          </w:p>
        </w:tc>
        <w:tc>
          <w:tcPr>
            <w:tcW w:w="27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szCs w:val="21"/>
        </w:rPr>
        <w:t>了解</w:t>
      </w:r>
      <w:r>
        <w:rPr>
          <w:rFonts w:hint="eastAsia"/>
          <w:szCs w:val="21"/>
        </w:rPr>
        <w:t>常见生物技术方法在果树、蔬菜和花卉植物中的应用</w:t>
      </w:r>
      <w:r>
        <w:rPr>
          <w:szCs w:val="21"/>
        </w:rPr>
        <w:t>，</w:t>
      </w:r>
      <w:r>
        <w:rPr>
          <w:rFonts w:hint="eastAsia"/>
          <w:szCs w:val="21"/>
        </w:rPr>
        <w:t>理解生物技术在园艺植物中应用的技术原理，掌握利用现代生物学方法解决园艺植物科学难题的方法</w:t>
      </w:r>
      <w:r>
        <w:rPr>
          <w:szCs w:val="21"/>
        </w:rPr>
        <w:t>。</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rPr>
        <w:t>主要园艺植物的细胞学研究</w:t>
      </w:r>
      <w:r>
        <w:rPr>
          <w:szCs w:val="21"/>
        </w:rPr>
        <w:t>、</w:t>
      </w:r>
      <w:r>
        <w:rPr>
          <w:rFonts w:hint="eastAsia"/>
          <w:szCs w:val="21"/>
        </w:rPr>
        <w:t>分子标记的应用</w:t>
      </w:r>
      <w:r>
        <w:rPr>
          <w:szCs w:val="21"/>
        </w:rPr>
        <w:t>、</w:t>
      </w:r>
      <w:r>
        <w:rPr>
          <w:rFonts w:hint="eastAsia"/>
          <w:szCs w:val="21"/>
        </w:rPr>
        <w:t>基因的分离与克隆和转基因技术研究</w:t>
      </w:r>
      <w:r>
        <w:rPr>
          <w:szCs w:val="21"/>
        </w:rPr>
        <w:t>。</w:t>
      </w:r>
      <w:r>
        <w:rPr>
          <w:rFonts w:hint="eastAsia" w:ascii="宋体" w:hAnsi="宋体" w:cs="宋体"/>
          <w:kern w:val="0"/>
          <w:szCs w:val="21"/>
        </w:rPr>
        <w:t></w:t>
      </w:r>
    </w:p>
    <w:p>
      <w:pPr>
        <w:spacing w:line="360" w:lineRule="auto"/>
        <w:ind w:firstLine="422" w:firstLineChars="200"/>
        <w:rPr>
          <w:rFonts w:ascii="宋体" w:hAnsi="宋体"/>
          <w:b/>
        </w:rPr>
      </w:pPr>
      <w:r>
        <w:rPr>
          <w:rFonts w:hint="eastAsia" w:ascii="宋体" w:hAnsi="宋体"/>
          <w:b/>
        </w:rPr>
        <w:t>主要教学内容及要求：</w:t>
      </w:r>
    </w:p>
    <w:p>
      <w:pPr>
        <w:spacing w:line="360" w:lineRule="auto"/>
        <w:ind w:firstLine="422" w:firstLineChars="200"/>
        <w:rPr>
          <w:szCs w:val="21"/>
        </w:rPr>
      </w:pPr>
      <w:r>
        <w:rPr>
          <w:b/>
          <w:szCs w:val="21"/>
        </w:rPr>
        <w:t>了解：</w:t>
      </w:r>
      <w:r>
        <w:rPr>
          <w:szCs w:val="21"/>
        </w:rPr>
        <w:t>了解</w:t>
      </w:r>
      <w:r>
        <w:rPr>
          <w:rFonts w:hint="eastAsia"/>
          <w:szCs w:val="21"/>
        </w:rPr>
        <w:t>园艺植物细胞学技术研究的方法和生物技术的发展趋势</w:t>
      </w:r>
      <w:r>
        <w:rPr>
          <w:szCs w:val="21"/>
        </w:rPr>
        <w:t>。</w:t>
      </w:r>
    </w:p>
    <w:p>
      <w:pPr>
        <w:spacing w:line="360" w:lineRule="auto"/>
        <w:ind w:firstLine="422" w:firstLineChars="200"/>
        <w:rPr>
          <w:b/>
          <w:szCs w:val="21"/>
        </w:rPr>
      </w:pPr>
      <w:r>
        <w:rPr>
          <w:b/>
          <w:szCs w:val="21"/>
        </w:rPr>
        <w:t>理解：</w:t>
      </w:r>
      <w:r>
        <w:rPr>
          <w:rFonts w:hint="eastAsia"/>
          <w:bCs/>
          <w:szCs w:val="21"/>
        </w:rPr>
        <w:t>主要园艺植物转基因的方法、原理及转基因植株鉴定的方法</w:t>
      </w:r>
      <w:r>
        <w:rPr>
          <w:bCs/>
          <w:szCs w:val="21"/>
        </w:rPr>
        <w:t>。</w:t>
      </w:r>
    </w:p>
    <w:p>
      <w:pPr>
        <w:spacing w:line="360" w:lineRule="auto"/>
        <w:ind w:firstLine="422" w:firstLineChars="200"/>
        <w:rPr>
          <w:szCs w:val="21"/>
        </w:rPr>
      </w:pPr>
      <w:r>
        <w:rPr>
          <w:b/>
          <w:szCs w:val="21"/>
        </w:rPr>
        <w:t>掌握：</w:t>
      </w:r>
      <w:r>
        <w:rPr>
          <w:rFonts w:hint="eastAsia"/>
          <w:bCs/>
          <w:szCs w:val="21"/>
        </w:rPr>
        <w:t>分子标记的原理和</w:t>
      </w:r>
      <w:r>
        <w:rPr>
          <w:rFonts w:hint="eastAsia"/>
          <w:bCs/>
        </w:rPr>
        <w:t>分子标记辅助选择育种的应用</w:t>
      </w:r>
      <w:r>
        <w:rPr>
          <w:szCs w:val="21"/>
        </w:rPr>
        <w:t>。</w:t>
      </w:r>
    </w:p>
    <w:p>
      <w:pPr>
        <w:spacing w:line="360" w:lineRule="auto"/>
        <w:rPr>
          <w:szCs w:val="21"/>
        </w:rPr>
      </w:pPr>
      <w:r>
        <w:rPr>
          <w:szCs w:val="21"/>
        </w:rPr>
        <w:t>第</w:t>
      </w:r>
      <w:r>
        <w:rPr>
          <w:rFonts w:hint="eastAsia"/>
          <w:szCs w:val="21"/>
        </w:rPr>
        <w:t>一</w:t>
      </w:r>
      <w:r>
        <w:rPr>
          <w:szCs w:val="21"/>
        </w:rPr>
        <w:t xml:space="preserve">节  </w:t>
      </w:r>
      <w:r>
        <w:rPr>
          <w:rFonts w:hint="eastAsia"/>
          <w:szCs w:val="21"/>
        </w:rPr>
        <w:t>果树生物技术研究进展</w:t>
      </w:r>
      <w:r>
        <w:rPr>
          <w:szCs w:val="21"/>
        </w:rPr>
        <w:t xml:space="preserve">      </w:t>
      </w:r>
      <w:r>
        <w:rPr>
          <w:rFonts w:hint="eastAsia"/>
          <w:szCs w:val="21"/>
        </w:rPr>
        <w:t xml:space="preserve">     </w:t>
      </w:r>
      <w:r>
        <w:rPr>
          <w:szCs w:val="21"/>
        </w:rPr>
        <w:t xml:space="preserve">  </w:t>
      </w:r>
      <w:r>
        <w:rPr>
          <w:rFonts w:hint="eastAsia"/>
          <w:bCs/>
          <w:szCs w:val="21"/>
        </w:rPr>
        <w:t>2</w:t>
      </w:r>
      <w:r>
        <w:rPr>
          <w:bCs/>
          <w:szCs w:val="21"/>
        </w:rPr>
        <w:t>学时</w:t>
      </w:r>
    </w:p>
    <w:p>
      <w:pPr>
        <w:widowControl/>
        <w:snapToGrid w:val="0"/>
        <w:spacing w:line="360" w:lineRule="auto"/>
        <w:rPr>
          <w:kern w:val="0"/>
          <w:szCs w:val="21"/>
        </w:rPr>
      </w:pPr>
      <w:r>
        <w:rPr>
          <w:kern w:val="0"/>
          <w:szCs w:val="21"/>
        </w:rPr>
        <w:t xml:space="preserve">第二节  </w:t>
      </w:r>
      <w:r>
        <w:rPr>
          <w:rFonts w:hint="eastAsia"/>
          <w:kern w:val="0"/>
          <w:szCs w:val="21"/>
        </w:rPr>
        <w:t>蔬菜生物技术研究进展</w:t>
      </w:r>
      <w:r>
        <w:rPr>
          <w:szCs w:val="21"/>
        </w:rPr>
        <w:t xml:space="preserve">             </w:t>
      </w:r>
      <w:r>
        <w:rPr>
          <w:rFonts w:hint="eastAsia"/>
          <w:bCs/>
          <w:szCs w:val="21"/>
        </w:rPr>
        <w:t>1</w:t>
      </w:r>
      <w:r>
        <w:rPr>
          <w:bCs/>
          <w:szCs w:val="21"/>
        </w:rPr>
        <w:t>学时</w:t>
      </w:r>
    </w:p>
    <w:p>
      <w:pPr>
        <w:widowControl/>
        <w:snapToGrid w:val="0"/>
        <w:spacing w:line="360" w:lineRule="auto"/>
        <w:rPr>
          <w:bCs/>
          <w:szCs w:val="21"/>
        </w:rPr>
      </w:pPr>
      <w:r>
        <w:rPr>
          <w:szCs w:val="21"/>
        </w:rPr>
        <w:t xml:space="preserve">第三节  </w:t>
      </w:r>
      <w:r>
        <w:rPr>
          <w:rFonts w:hint="eastAsia"/>
          <w:szCs w:val="21"/>
        </w:rPr>
        <w:t>花卉生物技术研究进展</w:t>
      </w:r>
      <w:r>
        <w:rPr>
          <w:szCs w:val="21"/>
        </w:rPr>
        <w:t xml:space="preserve">             </w:t>
      </w:r>
      <w:r>
        <w:rPr>
          <w:rFonts w:hint="eastAsia"/>
          <w:bCs/>
          <w:szCs w:val="21"/>
        </w:rPr>
        <w:t>1</w:t>
      </w:r>
      <w:r>
        <w:rPr>
          <w:bCs/>
          <w:szCs w:val="21"/>
        </w:rPr>
        <w:t>学时</w:t>
      </w:r>
    </w:p>
    <w:p>
      <w:pPr>
        <w:widowControl/>
        <w:snapToGrid w:val="0"/>
        <w:spacing w:line="360" w:lineRule="auto"/>
      </w:pPr>
      <w:r>
        <w:rPr>
          <w:rFonts w:hint="eastAsia" w:ascii="宋体" w:hAnsi="宋体"/>
          <w:b/>
          <w:bCs/>
        </w:rPr>
        <w:t>教学组织与实施：</w:t>
      </w:r>
      <w:r>
        <w:rPr>
          <w:bCs/>
          <w:szCs w:val="21"/>
        </w:rPr>
        <w:t>通过课堂</w:t>
      </w:r>
      <w:r>
        <w:rPr>
          <w:rFonts w:hint="eastAsia"/>
          <w:bCs/>
          <w:szCs w:val="21"/>
        </w:rPr>
        <w:t>案例</w:t>
      </w:r>
      <w:r>
        <w:rPr>
          <w:bCs/>
          <w:szCs w:val="21"/>
        </w:rPr>
        <w:t>讲授，</w:t>
      </w:r>
      <w:r>
        <w:t>使学生了解</w:t>
      </w:r>
      <w:r>
        <w:rPr>
          <w:rFonts w:hint="eastAsia"/>
        </w:rPr>
        <w:t>生物技术在果树、蔬菜和花卉等主要物种遗传改良中的应用及发展趋势，掌握</w:t>
      </w:r>
      <w:r>
        <w:rPr>
          <w:rFonts w:hint="eastAsia"/>
          <w:szCs w:val="21"/>
        </w:rPr>
        <w:t>利用现代生物学方法解决园艺植物科学难题的方法</w:t>
      </w:r>
      <w:r>
        <w:t>。</w:t>
      </w:r>
    </w:p>
    <w:p>
      <w:pPr>
        <w:widowControl/>
        <w:snapToGrid w:val="0"/>
        <w:spacing w:line="360" w:lineRule="auto"/>
        <w:jc w:val="left"/>
        <w:rPr>
          <w:rFonts w:hAnsi="宋体"/>
          <w:bCs/>
          <w:kern w:val="0"/>
          <w:szCs w:val="21"/>
        </w:rPr>
      </w:pPr>
      <w:r>
        <w:rPr>
          <w:rFonts w:hint="eastAsia" w:hAnsi="宋体"/>
          <w:b/>
          <w:bCs/>
          <w:kern w:val="0"/>
          <w:szCs w:val="21"/>
        </w:rPr>
        <w:t>五</w:t>
      </w:r>
      <w:r>
        <w:rPr>
          <w:rFonts w:hAnsi="宋体"/>
          <w:b/>
          <w:bCs/>
          <w:kern w:val="0"/>
          <w:szCs w:val="21"/>
        </w:rPr>
        <w:t>、实验教学内容及学时分配</w:t>
      </w:r>
      <w:r>
        <w:rPr>
          <w:rFonts w:hint="eastAsia" w:hAnsi="宋体"/>
          <w:b/>
          <w:bCs/>
          <w:kern w:val="0"/>
          <w:szCs w:val="21"/>
        </w:rPr>
        <w:t>（8</w:t>
      </w:r>
      <w:r>
        <w:rPr>
          <w:rFonts w:hAnsi="宋体"/>
          <w:b/>
          <w:bCs/>
          <w:kern w:val="0"/>
          <w:szCs w:val="21"/>
        </w:rPr>
        <w:t>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tabs>
          <w:tab w:val="left" w:pos="1772"/>
        </w:tabs>
        <w:snapToGrid w:val="0"/>
        <w:spacing w:line="360" w:lineRule="auto"/>
        <w:ind w:firstLine="420" w:firstLineChars="200"/>
        <w:rPr>
          <w:rFonts w:ascii="宋体" w:hAnsi="宋体"/>
          <w:bCs/>
          <w:szCs w:val="21"/>
        </w:rPr>
      </w:pPr>
      <w:r>
        <w:rPr>
          <w:rFonts w:hint="eastAsia" w:ascii="宋体" w:hAnsi="宋体"/>
          <w:bCs/>
          <w:szCs w:val="21"/>
        </w:rPr>
        <w:t>该课程是《园艺植物生物技术》的重要组成部分，共8学时，为《园艺植物生物技术》教学中联络理论与实践操作的重要内容，是提高教学质量的重要环节。</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rPr>
          <w:rFonts w:hint="eastAsia"/>
        </w:rPr>
        <w:t>通过该课程的学习，应使学生学会综合运用生物技术的理论知识，使学生掌握生物技术的基本操作技术，培养学生利用理论教学的相关知识，采用适当的方法和技术对园艺植物进行遗传改良和辅助育种等。</w:t>
      </w:r>
    </w:p>
    <w:p>
      <w:pPr>
        <w:snapToGrid w:val="0"/>
        <w:spacing w:line="360" w:lineRule="auto"/>
        <w:ind w:firstLine="420" w:firstLineChars="200"/>
      </w:pPr>
      <w:r>
        <w:rPr>
          <w:rFonts w:hint="eastAsia"/>
        </w:rPr>
        <w:t>要求学生必须掌握现代生物技术的基本操作、主要仪器操作、无菌操作技术等，掌握从生物技术理论基础到的基本方法和操作技能，掌握仪器使用、技术操作和无菌操作等常见技术的操作方法，并能应用到生产实践中去。</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实验安全是最基本的要求之一，规范操作是实验结果可靠的保障。要求同学们首先要保护好自己，佩戴实验服、手套和口罩等防护措施。其次，要正确规范使用仪器设备。</w:t>
      </w:r>
    </w:p>
    <w:p>
      <w:pPr>
        <w:snapToGrid w:val="0"/>
        <w:spacing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23"/>
        <w:gridCol w:w="3780"/>
        <w:gridCol w:w="780"/>
        <w:gridCol w:w="1160"/>
        <w:gridCol w:w="960"/>
        <w:gridCol w:w="9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3780"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780" w:type="dxa"/>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学时</w:t>
            </w:r>
          </w:p>
        </w:tc>
        <w:tc>
          <w:tcPr>
            <w:tcW w:w="1160" w:type="dxa"/>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类型</w:t>
            </w:r>
          </w:p>
        </w:tc>
        <w:tc>
          <w:tcPr>
            <w:tcW w:w="960" w:type="dxa"/>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实验要求</w:t>
            </w:r>
          </w:p>
        </w:tc>
        <w:tc>
          <w:tcPr>
            <w:tcW w:w="972" w:type="dxa"/>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每组人数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vAlign w:val="center"/>
          </w:tcPr>
          <w:p>
            <w:pPr>
              <w:rPr>
                <w:sz w:val="18"/>
                <w:szCs w:val="18"/>
              </w:rPr>
            </w:pPr>
            <w:r>
              <w:rPr>
                <w:sz w:val="18"/>
                <w:szCs w:val="18"/>
              </w:rPr>
              <w:t>19011</w:t>
            </w:r>
            <w:r>
              <w:rPr>
                <w:rFonts w:hint="eastAsia"/>
                <w:sz w:val="18"/>
                <w:szCs w:val="18"/>
              </w:rPr>
              <w:t>116h01</w:t>
            </w:r>
          </w:p>
        </w:tc>
        <w:tc>
          <w:tcPr>
            <w:tcW w:w="3780" w:type="dxa"/>
            <w:vAlign w:val="center"/>
          </w:tcPr>
          <w:p>
            <w:pPr>
              <w:rPr>
                <w:sz w:val="18"/>
                <w:szCs w:val="18"/>
              </w:rPr>
            </w:pPr>
            <w:r>
              <w:rPr>
                <w:rFonts w:hint="eastAsia"/>
                <w:sz w:val="18"/>
                <w:szCs w:val="18"/>
              </w:rPr>
              <w:t>分子生物学实验室参观及主要仪器设备介绍</w:t>
            </w:r>
          </w:p>
        </w:tc>
        <w:tc>
          <w:tcPr>
            <w:tcW w:w="780" w:type="dxa"/>
            <w:vAlign w:val="center"/>
          </w:tcPr>
          <w:p>
            <w:pPr>
              <w:ind w:firstLine="7"/>
              <w:jc w:val="center"/>
              <w:rPr>
                <w:sz w:val="18"/>
                <w:szCs w:val="18"/>
              </w:rPr>
            </w:pPr>
            <w:r>
              <w:rPr>
                <w:rFonts w:hint="eastAsia"/>
                <w:sz w:val="18"/>
                <w:szCs w:val="18"/>
              </w:rPr>
              <w:t>2</w:t>
            </w:r>
          </w:p>
        </w:tc>
        <w:tc>
          <w:tcPr>
            <w:tcW w:w="1160" w:type="dxa"/>
            <w:vAlign w:val="center"/>
          </w:tcPr>
          <w:p>
            <w:pPr>
              <w:rPr>
                <w:sz w:val="18"/>
                <w:szCs w:val="18"/>
              </w:rPr>
            </w:pPr>
            <w:r>
              <w:rPr>
                <w:rFonts w:hint="eastAsia"/>
                <w:sz w:val="18"/>
                <w:szCs w:val="18"/>
              </w:rPr>
              <w:t>基础性实验</w:t>
            </w:r>
          </w:p>
        </w:tc>
        <w:tc>
          <w:tcPr>
            <w:tcW w:w="960" w:type="dxa"/>
            <w:vAlign w:val="center"/>
          </w:tcPr>
          <w:p>
            <w:pPr>
              <w:ind w:firstLine="47"/>
              <w:jc w:val="center"/>
              <w:rPr>
                <w:sz w:val="18"/>
                <w:szCs w:val="18"/>
              </w:rPr>
            </w:pPr>
            <w:r>
              <w:rPr>
                <w:rFonts w:hint="eastAsia"/>
                <w:sz w:val="18"/>
                <w:szCs w:val="18"/>
              </w:rPr>
              <w:t>必做</w:t>
            </w:r>
          </w:p>
        </w:tc>
        <w:tc>
          <w:tcPr>
            <w:tcW w:w="972" w:type="dxa"/>
            <w:vAlign w:val="center"/>
          </w:tcPr>
          <w:p>
            <w:pPr>
              <w:jc w:val="center"/>
              <w:rPr>
                <w:sz w:val="18"/>
                <w:szCs w:val="18"/>
              </w:rPr>
            </w:pPr>
            <w:r>
              <w:rPr>
                <w:rFonts w:hint="eastAsia"/>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vAlign w:val="center"/>
          </w:tcPr>
          <w:p>
            <w:pPr>
              <w:rPr>
                <w:sz w:val="18"/>
                <w:szCs w:val="18"/>
              </w:rPr>
            </w:pPr>
            <w:r>
              <w:rPr>
                <w:sz w:val="18"/>
                <w:szCs w:val="18"/>
              </w:rPr>
              <w:t>19011</w:t>
            </w:r>
            <w:r>
              <w:rPr>
                <w:rFonts w:hint="eastAsia"/>
                <w:sz w:val="18"/>
                <w:szCs w:val="18"/>
              </w:rPr>
              <w:t>116h02</w:t>
            </w:r>
          </w:p>
        </w:tc>
        <w:tc>
          <w:tcPr>
            <w:tcW w:w="3780" w:type="dxa"/>
            <w:vAlign w:val="center"/>
          </w:tcPr>
          <w:p>
            <w:pPr>
              <w:ind w:firstLine="360"/>
              <w:jc w:val="center"/>
              <w:rPr>
                <w:sz w:val="18"/>
                <w:szCs w:val="18"/>
              </w:rPr>
            </w:pPr>
            <w:r>
              <w:rPr>
                <w:rFonts w:hint="eastAsia"/>
                <w:sz w:val="18"/>
                <w:szCs w:val="18"/>
              </w:rPr>
              <w:t>分子生物学基本实验知识与操作</w:t>
            </w:r>
          </w:p>
        </w:tc>
        <w:tc>
          <w:tcPr>
            <w:tcW w:w="780" w:type="dxa"/>
            <w:vAlign w:val="center"/>
          </w:tcPr>
          <w:p>
            <w:pPr>
              <w:ind w:firstLine="7"/>
              <w:jc w:val="center"/>
              <w:rPr>
                <w:sz w:val="18"/>
                <w:szCs w:val="18"/>
              </w:rPr>
            </w:pPr>
            <w:r>
              <w:rPr>
                <w:rFonts w:hint="eastAsia"/>
                <w:sz w:val="18"/>
                <w:szCs w:val="18"/>
              </w:rPr>
              <w:t>4</w:t>
            </w:r>
          </w:p>
        </w:tc>
        <w:tc>
          <w:tcPr>
            <w:tcW w:w="1160" w:type="dxa"/>
            <w:vAlign w:val="center"/>
          </w:tcPr>
          <w:p>
            <w:pPr>
              <w:rPr>
                <w:sz w:val="18"/>
                <w:szCs w:val="18"/>
              </w:rPr>
            </w:pPr>
            <w:r>
              <w:rPr>
                <w:rFonts w:hint="eastAsia"/>
                <w:sz w:val="18"/>
                <w:szCs w:val="18"/>
              </w:rPr>
              <w:t>基础性实验</w:t>
            </w:r>
          </w:p>
        </w:tc>
        <w:tc>
          <w:tcPr>
            <w:tcW w:w="960" w:type="dxa"/>
            <w:vAlign w:val="center"/>
          </w:tcPr>
          <w:p>
            <w:pPr>
              <w:ind w:firstLine="47"/>
              <w:jc w:val="center"/>
              <w:rPr>
                <w:sz w:val="18"/>
                <w:szCs w:val="18"/>
              </w:rPr>
            </w:pPr>
            <w:r>
              <w:rPr>
                <w:rFonts w:hint="eastAsia"/>
                <w:sz w:val="18"/>
                <w:szCs w:val="18"/>
              </w:rPr>
              <w:t>必做</w:t>
            </w:r>
          </w:p>
        </w:tc>
        <w:tc>
          <w:tcPr>
            <w:tcW w:w="972" w:type="dxa"/>
            <w:vAlign w:val="center"/>
          </w:tcPr>
          <w:p>
            <w:pPr>
              <w:jc w:val="center"/>
              <w:rPr>
                <w:sz w:val="18"/>
                <w:szCs w:val="18"/>
              </w:rPr>
            </w:pPr>
            <w:r>
              <w:rPr>
                <w:rFonts w:hint="eastAsia"/>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23" w:type="dxa"/>
            <w:vAlign w:val="center"/>
          </w:tcPr>
          <w:p>
            <w:pPr>
              <w:rPr>
                <w:sz w:val="18"/>
                <w:szCs w:val="18"/>
              </w:rPr>
            </w:pPr>
            <w:r>
              <w:rPr>
                <w:sz w:val="18"/>
                <w:szCs w:val="18"/>
              </w:rPr>
              <w:t>19011</w:t>
            </w:r>
            <w:r>
              <w:rPr>
                <w:rFonts w:hint="eastAsia"/>
                <w:sz w:val="18"/>
                <w:szCs w:val="18"/>
              </w:rPr>
              <w:t>116h03</w:t>
            </w:r>
          </w:p>
        </w:tc>
        <w:tc>
          <w:tcPr>
            <w:tcW w:w="3780" w:type="dxa"/>
            <w:vAlign w:val="center"/>
          </w:tcPr>
          <w:p>
            <w:pPr>
              <w:ind w:firstLine="360"/>
              <w:jc w:val="center"/>
              <w:rPr>
                <w:sz w:val="18"/>
                <w:szCs w:val="18"/>
              </w:rPr>
            </w:pPr>
            <w:r>
              <w:rPr>
                <w:rFonts w:hint="eastAsia"/>
                <w:sz w:val="18"/>
                <w:szCs w:val="18"/>
              </w:rPr>
              <w:t>外植体消毒与接种试验</w:t>
            </w:r>
          </w:p>
        </w:tc>
        <w:tc>
          <w:tcPr>
            <w:tcW w:w="780" w:type="dxa"/>
            <w:vAlign w:val="center"/>
          </w:tcPr>
          <w:p>
            <w:pPr>
              <w:ind w:firstLine="7"/>
              <w:jc w:val="center"/>
              <w:rPr>
                <w:sz w:val="18"/>
                <w:szCs w:val="18"/>
              </w:rPr>
            </w:pPr>
            <w:r>
              <w:rPr>
                <w:rFonts w:hint="eastAsia"/>
                <w:sz w:val="18"/>
                <w:szCs w:val="18"/>
              </w:rPr>
              <w:t>2</w:t>
            </w:r>
          </w:p>
        </w:tc>
        <w:tc>
          <w:tcPr>
            <w:tcW w:w="1160" w:type="dxa"/>
            <w:vAlign w:val="center"/>
          </w:tcPr>
          <w:p>
            <w:pPr>
              <w:rPr>
                <w:sz w:val="18"/>
                <w:szCs w:val="18"/>
              </w:rPr>
            </w:pPr>
            <w:r>
              <w:rPr>
                <w:rFonts w:hint="eastAsia"/>
                <w:sz w:val="18"/>
                <w:szCs w:val="18"/>
              </w:rPr>
              <w:t>基础性实验</w:t>
            </w:r>
          </w:p>
        </w:tc>
        <w:tc>
          <w:tcPr>
            <w:tcW w:w="960" w:type="dxa"/>
            <w:vAlign w:val="center"/>
          </w:tcPr>
          <w:p>
            <w:pPr>
              <w:ind w:firstLine="47"/>
              <w:jc w:val="center"/>
              <w:rPr>
                <w:sz w:val="18"/>
                <w:szCs w:val="18"/>
              </w:rPr>
            </w:pPr>
            <w:r>
              <w:rPr>
                <w:rFonts w:hint="eastAsia"/>
                <w:sz w:val="18"/>
                <w:szCs w:val="18"/>
              </w:rPr>
              <w:t>必做</w:t>
            </w:r>
          </w:p>
        </w:tc>
        <w:tc>
          <w:tcPr>
            <w:tcW w:w="972" w:type="dxa"/>
            <w:vAlign w:val="center"/>
          </w:tcPr>
          <w:p>
            <w:pPr>
              <w:jc w:val="center"/>
              <w:rPr>
                <w:sz w:val="18"/>
                <w:szCs w:val="18"/>
              </w:rPr>
            </w:pPr>
            <w:r>
              <w:rPr>
                <w:rFonts w:hint="eastAsia"/>
                <w:sz w:val="18"/>
                <w:szCs w:val="18"/>
              </w:rPr>
              <w:t>6</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szCs w:val="21"/>
        </w:rPr>
      </w:pPr>
      <w:r>
        <w:rPr>
          <w:rFonts w:hint="eastAsia" w:ascii="宋体" w:hAnsi="宋体"/>
          <w:szCs w:val="21"/>
        </w:rPr>
        <w:t>本课程以基础性实验为主，以室内实验为主，要求学生课前预习，了解实验原理，学会理论联系实际、分析和解决遇到的实际问题。要求每个学生必需认真完成每个实验，并提交实验报告。</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rPr>
          <w:rFonts w:eastAsia="宋体"/>
          <w:b/>
          <w:sz w:val="21"/>
          <w:szCs w:val="21"/>
          <w:highlight w:val="yellow"/>
        </w:rPr>
      </w:pPr>
      <w:r>
        <w:rPr>
          <w:rFonts w:hint="eastAsia"/>
          <w:b/>
          <w:sz w:val="21"/>
          <w:szCs w:val="21"/>
        </w:rPr>
        <w:t>【</w:t>
      </w:r>
      <w:r>
        <w:rPr>
          <w:b/>
          <w:sz w:val="21"/>
          <w:szCs w:val="21"/>
        </w:rPr>
        <w:t>实验</w:t>
      </w:r>
      <w:r>
        <w:rPr>
          <w:rFonts w:hint="eastAsia" w:eastAsia="宋体"/>
          <w:b/>
          <w:sz w:val="21"/>
          <w:szCs w:val="21"/>
        </w:rPr>
        <w:t>一</w:t>
      </w:r>
      <w:r>
        <w:rPr>
          <w:rFonts w:hint="eastAsia"/>
          <w:b/>
          <w:sz w:val="21"/>
          <w:szCs w:val="21"/>
        </w:rPr>
        <w:t>】</w:t>
      </w:r>
      <w:r>
        <w:rPr>
          <w:rFonts w:hint="eastAsia" w:eastAsia="宋体"/>
          <w:b/>
          <w:sz w:val="21"/>
          <w:szCs w:val="21"/>
        </w:rPr>
        <w:t>分子生物学实验室参观及主要仪器设备介绍</w:t>
      </w:r>
    </w:p>
    <w:p>
      <w:pPr>
        <w:snapToGrid w:val="0"/>
        <w:spacing w:line="360" w:lineRule="auto"/>
        <w:ind w:firstLine="422" w:firstLineChars="200"/>
      </w:pPr>
      <w:r>
        <w:rPr>
          <w:rFonts w:hint="eastAsia"/>
          <w:b/>
          <w:szCs w:val="21"/>
        </w:rPr>
        <w:t>1.实验学时：</w:t>
      </w:r>
      <w:r>
        <w:rPr>
          <w:rFonts w:hint="eastAsia" w:ascii="宋体" w:hAnsi="宋体"/>
          <w:bCs/>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rPr>
        <w:t>通过参观现代分子生物学实验室，初步了解实验室常见仪器设备、使用说明、注意事项和常见问题解决方法。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rPr>
        <w:t>对常见仪器设备的用途、使用方法等进行讲解，利用分子生物学仪器解决生物学问题。</w:t>
      </w:r>
    </w:p>
    <w:p>
      <w:pPr>
        <w:snapToGrid w:val="0"/>
        <w:spacing w:line="360" w:lineRule="auto"/>
        <w:ind w:firstLine="422" w:firstLineChars="200"/>
        <w:rPr>
          <w:bCs/>
          <w:szCs w:val="21"/>
        </w:rPr>
      </w:pPr>
      <w:r>
        <w:rPr>
          <w:rFonts w:hint="eastAsia"/>
          <w:b/>
          <w:szCs w:val="21"/>
        </w:rPr>
        <w:t>4.实验要求：</w:t>
      </w:r>
      <w:r>
        <w:rPr>
          <w:rFonts w:hint="eastAsia"/>
          <w:bCs/>
          <w:szCs w:val="21"/>
        </w:rPr>
        <w:t>掌握实验室仪器名称及功能；初步掌握仪器使用方法及注意事项。</w:t>
      </w:r>
    </w:p>
    <w:p>
      <w:pPr>
        <w:snapToGrid w:val="0"/>
        <w:spacing w:line="360" w:lineRule="auto"/>
        <w:ind w:firstLine="422" w:firstLineChars="200"/>
        <w:rPr>
          <w:b/>
          <w:szCs w:val="21"/>
        </w:rPr>
      </w:pPr>
      <w:r>
        <w:rPr>
          <w:rFonts w:hint="eastAsia"/>
          <w:b/>
          <w:szCs w:val="21"/>
        </w:rPr>
        <w:t>5.实验设备及器材：</w:t>
      </w:r>
      <w:r>
        <w:rPr>
          <w:rFonts w:hint="eastAsia"/>
          <w:bCs/>
          <w:szCs w:val="21"/>
        </w:rPr>
        <w:t>PCR仪、离心机、超净工作台、组培间、实时荧光定量PCR仪、体视显微镜等。</w:t>
      </w:r>
    </w:p>
    <w:p>
      <w:pPr>
        <w:pStyle w:val="20"/>
        <w:snapToGrid w:val="0"/>
        <w:spacing w:before="0" w:beforeAutospacing="0" w:after="0" w:afterAutospacing="0" w:line="360" w:lineRule="auto"/>
        <w:rPr>
          <w:rFonts w:eastAsia="宋体"/>
          <w:b/>
          <w:sz w:val="21"/>
          <w:szCs w:val="21"/>
        </w:rPr>
      </w:pPr>
      <w:r>
        <w:rPr>
          <w:rFonts w:hint="eastAsia"/>
          <w:b/>
          <w:sz w:val="21"/>
          <w:szCs w:val="21"/>
        </w:rPr>
        <w:t>【</w:t>
      </w:r>
      <w:r>
        <w:rPr>
          <w:b/>
          <w:sz w:val="21"/>
          <w:szCs w:val="21"/>
        </w:rPr>
        <w:t>实验</w:t>
      </w:r>
      <w:r>
        <w:rPr>
          <w:rFonts w:hint="eastAsia" w:eastAsia="宋体"/>
          <w:b/>
          <w:sz w:val="21"/>
          <w:szCs w:val="21"/>
        </w:rPr>
        <w:t>二</w:t>
      </w:r>
      <w:r>
        <w:rPr>
          <w:rFonts w:hint="eastAsia"/>
          <w:b/>
          <w:sz w:val="21"/>
          <w:szCs w:val="21"/>
        </w:rPr>
        <w:t>】</w:t>
      </w:r>
      <w:r>
        <w:rPr>
          <w:rFonts w:hint="eastAsia" w:eastAsia="宋体"/>
          <w:b/>
          <w:sz w:val="21"/>
          <w:szCs w:val="21"/>
        </w:rPr>
        <w:t>分子生物学基本实验知识与操作</w:t>
      </w:r>
    </w:p>
    <w:p>
      <w:pPr>
        <w:snapToGrid w:val="0"/>
        <w:spacing w:line="360" w:lineRule="auto"/>
        <w:ind w:firstLine="422" w:firstLineChars="200"/>
      </w:pPr>
      <w:r>
        <w:rPr>
          <w:rFonts w:hint="eastAsia"/>
          <w:b/>
          <w:szCs w:val="21"/>
        </w:rPr>
        <w:t>1.实验学时：</w:t>
      </w:r>
      <w:r>
        <w:rPr>
          <w:rFonts w:hint="eastAsia" w:ascii="宋体" w:hAnsi="宋体"/>
          <w:bCs/>
        </w:rPr>
        <w:t>4学时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rPr>
        <w:t>：通过基础实验操作，掌握常用实验仪器使用方法、学习限制性内切酶作用原理和方法；练习DNA琼脂糖凝胶电泳的原理和方法。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rPr>
        <w:t>学习移液枪的正确使用方法，按照限制性内切酶说明配置反应体系，在水浴锅中孵育酶切，配置琼脂糖凝胶，并使用电泳仪电泳，并利用紫外凝胶成像仪检测酶切效果。</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rPr>
        <w:t>掌握双酶切及DNA琼脂让凝胶电泳的原理及操作方法。</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rPr>
        <w:t>移液枪、恒温水浴锅、水平式电泳装置、电泳仪、微波炉，紫外凝胶成像仪。</w:t>
      </w:r>
    </w:p>
    <w:p>
      <w:pPr>
        <w:pStyle w:val="20"/>
        <w:snapToGrid w:val="0"/>
        <w:spacing w:before="0" w:beforeAutospacing="0" w:after="0" w:afterAutospacing="0" w:line="360" w:lineRule="auto"/>
        <w:rPr>
          <w:rFonts w:eastAsia="宋体"/>
          <w:b/>
          <w:sz w:val="21"/>
          <w:szCs w:val="21"/>
        </w:rPr>
      </w:pPr>
      <w:r>
        <w:rPr>
          <w:rFonts w:hint="eastAsia"/>
          <w:b/>
          <w:sz w:val="21"/>
          <w:szCs w:val="21"/>
        </w:rPr>
        <w:t>【</w:t>
      </w:r>
      <w:r>
        <w:rPr>
          <w:b/>
          <w:sz w:val="21"/>
          <w:szCs w:val="21"/>
        </w:rPr>
        <w:t>实验</w:t>
      </w:r>
      <w:r>
        <w:rPr>
          <w:rFonts w:hint="eastAsia" w:eastAsia="宋体"/>
          <w:b/>
          <w:sz w:val="21"/>
          <w:szCs w:val="21"/>
        </w:rPr>
        <w:t>三</w:t>
      </w:r>
      <w:r>
        <w:rPr>
          <w:rFonts w:hint="eastAsia"/>
          <w:b/>
          <w:sz w:val="21"/>
          <w:szCs w:val="21"/>
        </w:rPr>
        <w:t>】</w:t>
      </w:r>
      <w:r>
        <w:rPr>
          <w:rFonts w:hint="eastAsia" w:eastAsia="宋体"/>
          <w:b/>
          <w:sz w:val="21"/>
          <w:szCs w:val="21"/>
        </w:rPr>
        <w:t>外植体消毒与接种试验</w:t>
      </w:r>
    </w:p>
    <w:p>
      <w:pPr>
        <w:snapToGrid w:val="0"/>
        <w:spacing w:line="360" w:lineRule="auto"/>
        <w:ind w:firstLine="422" w:firstLineChars="200"/>
      </w:pPr>
      <w:r>
        <w:rPr>
          <w:rFonts w:hint="eastAsia"/>
          <w:b/>
          <w:szCs w:val="21"/>
        </w:rPr>
        <w:t>1.实验学时：</w:t>
      </w:r>
      <w:r>
        <w:rPr>
          <w:rFonts w:hint="eastAsia" w:ascii="宋体" w:hAnsi="宋体"/>
          <w:bCs/>
        </w:rPr>
        <w:t>2学时</w:t>
      </w:r>
    </w:p>
    <w:p>
      <w:pPr>
        <w:snapToGrid w:val="0"/>
        <w:spacing w:line="360" w:lineRule="auto"/>
        <w:ind w:firstLine="422" w:firstLineChars="200"/>
        <w:rPr>
          <w:rFonts w:ascii="宋体" w:hAnsi="宋体"/>
          <w:bCs/>
        </w:rPr>
      </w:pPr>
      <w:r>
        <w:rPr>
          <w:rFonts w:hint="eastAsia"/>
          <w:b/>
          <w:szCs w:val="21"/>
        </w:rPr>
        <w:t>2.实验目的：</w:t>
      </w:r>
      <w:r>
        <w:rPr>
          <w:rFonts w:hint="eastAsia" w:ascii="宋体" w:hAnsi="宋体"/>
          <w:bCs/>
        </w:rPr>
        <w:t>通过在超净工作台上进行无菌操作训练，掌握外植体消毒和接种的无菌操作技术。</w:t>
      </w:r>
    </w:p>
    <w:p>
      <w:pPr>
        <w:snapToGrid w:val="0"/>
        <w:spacing w:line="360" w:lineRule="auto"/>
        <w:ind w:firstLine="422" w:firstLineChars="200"/>
        <w:rPr>
          <w:rFonts w:ascii="宋体" w:hAnsi="宋体"/>
          <w:bCs/>
          <w:szCs w:val="21"/>
        </w:rPr>
      </w:pPr>
      <w:r>
        <w:rPr>
          <w:rFonts w:hint="eastAsia"/>
          <w:b/>
          <w:szCs w:val="21"/>
        </w:rPr>
        <w:t>3.实验内容：</w:t>
      </w:r>
      <w:r>
        <w:rPr>
          <w:rFonts w:hint="eastAsia"/>
          <w:bCs/>
          <w:szCs w:val="21"/>
        </w:rPr>
        <w:t>利用番茄种子作为外植体，进行消毒。并在超净工作台中无菌接种在MS培养基上，密封包装、标记等，在光照培养室中培养一周，统计种子萌发率和污染率。</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rPr>
        <w:t>初步掌握外植体消毒的方法；掌握接种的无菌操作技术；外植体愈伤组织诱导和分化的方法。</w:t>
      </w:r>
    </w:p>
    <w:p>
      <w:pPr>
        <w:snapToGrid w:val="0"/>
        <w:spacing w:line="360" w:lineRule="auto"/>
        <w:ind w:firstLine="422" w:firstLineChars="200"/>
        <w:rPr>
          <w:b/>
          <w:szCs w:val="21"/>
        </w:rPr>
      </w:pPr>
      <w:r>
        <w:rPr>
          <w:rFonts w:hint="eastAsia"/>
          <w:b/>
          <w:szCs w:val="21"/>
        </w:rPr>
        <w:t>5.实验设备及器材：</w:t>
      </w:r>
      <w:r>
        <w:rPr>
          <w:rFonts w:hint="eastAsia"/>
          <w:bCs/>
          <w:szCs w:val="21"/>
        </w:rPr>
        <w:t>超净工作台、酒精灯、接种器械（解剖刀、剪刀、镊子等）、一次性培养皿、MS培养基、次氯酸钠、番茄种子等。</w:t>
      </w:r>
    </w:p>
    <w:p>
      <w:pPr>
        <w:snapToGrid w:val="0"/>
        <w:spacing w:line="360" w:lineRule="auto"/>
        <w:rPr>
          <w:rFonts w:ascii="宋体" w:hAnsi="宋体"/>
          <w:bCs/>
          <w:color w:val="0000FF"/>
          <w:szCs w:val="21"/>
        </w:rPr>
      </w:pPr>
      <w:r>
        <w:rPr>
          <w:rFonts w:hint="eastAsia" w:ascii="宋体" w:hAnsi="宋体"/>
          <w:b/>
          <w:szCs w:val="21"/>
        </w:rPr>
        <w:t>(七)</w:t>
      </w:r>
      <w:r>
        <w:rPr>
          <w:rFonts w:hint="eastAsia" w:ascii="宋体" w:hAnsi="宋体"/>
          <w:b/>
          <w:bCs/>
          <w:szCs w:val="21"/>
        </w:rPr>
        <w:t>考核方式及成绩评定</w:t>
      </w:r>
    </w:p>
    <w:p>
      <w:pPr>
        <w:snapToGrid w:val="0"/>
        <w:spacing w:line="360" w:lineRule="auto"/>
        <w:ind w:firstLine="420" w:firstLineChars="200"/>
        <w:rPr>
          <w:rFonts w:ascii="宋体" w:hAnsi="宋体"/>
          <w:bCs/>
        </w:rPr>
      </w:pPr>
      <w:r>
        <w:rPr>
          <w:rFonts w:hint="eastAsia" w:ascii="宋体" w:hAnsi="宋体"/>
          <w:bCs/>
        </w:rPr>
        <w:t>试验报告成绩</w:t>
      </w:r>
      <w:r>
        <w:rPr>
          <w:rFonts w:hint="eastAsia"/>
          <w:bCs/>
          <w:szCs w:val="21"/>
        </w:rPr>
        <w:t>。</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widowControl/>
        <w:snapToGrid w:val="0"/>
        <w:spacing w:line="360" w:lineRule="auto"/>
        <w:ind w:firstLine="420" w:firstLineChars="200"/>
        <w:rPr>
          <w:rFonts w:ascii="仿宋_GB2312" w:hAnsi="仿宋_GB2312" w:cs="仿宋_GB2312"/>
          <w:szCs w:val="32"/>
        </w:rPr>
      </w:pPr>
      <w:r>
        <w:rPr>
          <w:rFonts w:hint="eastAsia" w:ascii="宋体" w:hAnsi="宋体"/>
          <w:bCs/>
        </w:rPr>
        <w:t>在本课程教学过程中，通过提炼课程中蕴含的思政教育，在培养学生专业素养和科研能力的同时培养学生的专业责任感和使命感，厚植三农情怀，</w:t>
      </w:r>
      <w:r>
        <w:rPr>
          <w:rFonts w:hint="eastAsia" w:ascii="仿宋_GB2312" w:hAnsi="仿宋_GB2312" w:cs="仿宋_GB2312"/>
          <w:szCs w:val="32"/>
        </w:rPr>
        <w:t>懂农业，爱农村，爱农民，立志服务三农，把科技论文写在祖国大地上。例如在绪论中，通过讲解生物技术的发展及在园艺植物中的应用，带领同学追忆一代代科研工作者通过不懈努力解决农业生产中存在的实际问题，为丰富广大人民群众的“果盘子”和“菜篮子”做出的突出贡献，使各位同学切实体会到园艺使生活更美好的专业自豪感和使命感。</w:t>
      </w:r>
    </w:p>
    <w:p>
      <w:pPr>
        <w:widowControl/>
        <w:snapToGrid w:val="0"/>
        <w:spacing w:line="360" w:lineRule="auto"/>
        <w:ind w:firstLine="420" w:firstLineChars="200"/>
        <w:rPr>
          <w:rFonts w:ascii="宋体" w:hAnsi="宋体"/>
          <w:bCs/>
        </w:rPr>
      </w:pPr>
      <w:r>
        <w:rPr>
          <w:rFonts w:hint="eastAsia" w:ascii="宋体" w:hAnsi="宋体"/>
          <w:bCs/>
        </w:rPr>
        <w:t>通过转基因植物的学习，让学生深刻理解转基因的本质，对社会不实报道有明辨是非的能力，同时做好科普宣传。在授课过程中，在系统传授科学知识的同时，传播广大科学家在探索生物奥秘过程中所展现的坚韧不拔的勇气和锲而不舍的精神，培养学生献身科学和传播科学的精神。</w:t>
      </w: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r>
        <w:rPr>
          <w:rFonts w:hint="eastAsia" w:ascii="宋体" w:hAnsi="宋体" w:cs="宋体"/>
          <w:b/>
          <w:bCs/>
          <w:color w:val="0000FF"/>
          <w:kern w:val="0"/>
          <w:szCs w:val="21"/>
        </w:rPr>
        <w:t></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hAnsi="宋体"/>
          <w:bCs/>
          <w:color w:val="0000FF"/>
          <w:kern w:val="0"/>
          <w:szCs w:val="21"/>
        </w:rPr>
      </w:pPr>
      <w:r>
        <w:rPr>
          <w:rFonts w:hint="eastAsia" w:ascii="宋体" w:hAnsi="宋体"/>
          <w:bCs/>
          <w:kern w:val="0"/>
          <w:szCs w:val="21"/>
        </w:rPr>
        <w:t>（1）理论课教材：园艺植物生物技术，邓秀新，胡春根编著，高等教育出版社，2005</w:t>
      </w:r>
    </w:p>
    <w:p>
      <w:pPr>
        <w:widowControl/>
        <w:snapToGrid w:val="0"/>
        <w:spacing w:line="360" w:lineRule="auto"/>
        <w:ind w:firstLine="420" w:firstLineChars="200"/>
        <w:jc w:val="left"/>
        <w:rPr>
          <w:rFonts w:hAnsi="宋体"/>
          <w:bCs/>
          <w:color w:val="0000FF"/>
          <w:kern w:val="0"/>
          <w:szCs w:val="21"/>
        </w:rPr>
      </w:pPr>
      <w:r>
        <w:rPr>
          <w:rFonts w:hint="eastAsia" w:ascii="宋体" w:hAnsi="宋体"/>
        </w:rPr>
        <w:t>（2）实验课教材：园艺植物生物技术实验指导，胡桂兵编著，中国农业出版社，2010</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widowControl/>
        <w:snapToGrid w:val="0"/>
        <w:spacing w:line="360" w:lineRule="auto"/>
        <w:ind w:firstLine="420" w:firstLineChars="200"/>
        <w:jc w:val="left"/>
        <w:rPr>
          <w:rFonts w:hAnsi="宋体"/>
          <w:bCs/>
          <w:kern w:val="0"/>
          <w:szCs w:val="21"/>
        </w:rPr>
      </w:pPr>
      <w:r>
        <w:rPr>
          <w:rFonts w:hint="eastAsia" w:hAnsi="宋体"/>
          <w:bCs/>
          <w:kern w:val="0"/>
          <w:szCs w:val="21"/>
        </w:rPr>
        <w:t>（1）植物生物技术，许智宏编著，上海科技出版社，1998</w:t>
      </w:r>
    </w:p>
    <w:p>
      <w:pPr>
        <w:widowControl/>
        <w:snapToGrid w:val="0"/>
        <w:spacing w:line="360" w:lineRule="auto"/>
        <w:ind w:firstLine="420" w:firstLineChars="200"/>
        <w:jc w:val="left"/>
        <w:rPr>
          <w:rFonts w:hAnsi="宋体"/>
          <w:bCs/>
          <w:kern w:val="0"/>
          <w:szCs w:val="21"/>
        </w:rPr>
      </w:pPr>
      <w:r>
        <w:rPr>
          <w:rFonts w:hint="eastAsia" w:hAnsi="宋体"/>
          <w:bCs/>
          <w:kern w:val="0"/>
          <w:szCs w:val="21"/>
        </w:rPr>
        <w:t>（2）植物生物技术，张献龙，唐克轩编著，科学出版社，2004</w:t>
      </w:r>
    </w:p>
    <w:p>
      <w:pPr>
        <w:widowControl/>
        <w:snapToGrid w:val="0"/>
        <w:spacing w:line="360" w:lineRule="auto"/>
        <w:ind w:firstLine="420" w:firstLineChars="200"/>
        <w:jc w:val="left"/>
        <w:rPr>
          <w:rFonts w:hAnsi="宋体"/>
          <w:bCs/>
          <w:kern w:val="0"/>
          <w:szCs w:val="21"/>
        </w:rPr>
      </w:pPr>
      <w:r>
        <w:rPr>
          <w:rFonts w:hint="eastAsia" w:hAnsi="宋体"/>
          <w:bCs/>
          <w:kern w:val="0"/>
          <w:szCs w:val="21"/>
        </w:rPr>
        <w:t>（3）植物组织培养教程，李浚明编著，北京农业大学出版社，1991</w:t>
      </w:r>
    </w:p>
    <w:p>
      <w:pPr>
        <w:widowControl/>
        <w:snapToGrid w:val="0"/>
        <w:spacing w:line="360" w:lineRule="auto"/>
        <w:ind w:firstLine="420" w:firstLineChars="200"/>
        <w:jc w:val="left"/>
        <w:rPr>
          <w:rFonts w:hAnsi="宋体"/>
          <w:bCs/>
          <w:kern w:val="0"/>
          <w:szCs w:val="21"/>
        </w:rPr>
      </w:pPr>
      <w:r>
        <w:rPr>
          <w:rFonts w:hint="eastAsia" w:hAnsi="宋体"/>
          <w:bCs/>
          <w:kern w:val="0"/>
          <w:szCs w:val="21"/>
        </w:rPr>
        <w:t>（4）植物基因工程，王关林和方宏筠编著，科学出版社，2003</w:t>
      </w:r>
    </w:p>
    <w:p>
      <w:pPr>
        <w:widowControl/>
        <w:snapToGrid w:val="0"/>
        <w:spacing w:line="360" w:lineRule="auto"/>
        <w:ind w:firstLine="420" w:firstLineChars="200"/>
        <w:jc w:val="left"/>
        <w:rPr>
          <w:rFonts w:hAnsi="宋体"/>
          <w:bCs/>
          <w:color w:val="0000FF"/>
          <w:kern w:val="0"/>
          <w:szCs w:val="21"/>
        </w:rPr>
      </w:pP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snapToGrid w:val="0"/>
        <w:spacing w:line="360" w:lineRule="auto"/>
        <w:ind w:firstLine="420" w:firstLineChars="200"/>
        <w:rPr>
          <w:szCs w:val="21"/>
        </w:rPr>
      </w:pPr>
      <w:r>
        <w:rPr>
          <w:szCs w:val="21"/>
        </w:rPr>
        <w:t>（1）华中农业大学园艺植物生物技术国家级精品课程网站</w:t>
      </w:r>
    </w:p>
    <w:p>
      <w:pPr>
        <w:snapToGrid w:val="0"/>
        <w:spacing w:line="360" w:lineRule="auto"/>
        <w:ind w:firstLine="420" w:firstLineChars="200"/>
        <w:rPr>
          <w:szCs w:val="21"/>
        </w:rPr>
      </w:pPr>
      <w:r>
        <w:rPr>
          <w:szCs w:val="21"/>
        </w:rPr>
        <w:t>网址：http://nhjy.hzau.edu.cn/kech/yyzw/main.htm</w:t>
      </w:r>
    </w:p>
    <w:p>
      <w:pPr>
        <w:widowControl/>
        <w:snapToGrid w:val="0"/>
        <w:spacing w:line="360" w:lineRule="auto"/>
        <w:ind w:firstLine="420" w:firstLineChars="200"/>
        <w:jc w:val="left"/>
        <w:rPr>
          <w:szCs w:val="21"/>
        </w:rPr>
      </w:pPr>
      <w:r>
        <w:rPr>
          <w:szCs w:val="21"/>
        </w:rPr>
        <w:t>（2）加州大学河滨分校植物细胞生物学中心网站</w:t>
      </w:r>
    </w:p>
    <w:p>
      <w:pPr>
        <w:widowControl/>
        <w:snapToGrid w:val="0"/>
        <w:spacing w:line="360" w:lineRule="auto"/>
        <w:ind w:firstLine="420" w:firstLineChars="200"/>
        <w:jc w:val="left"/>
        <w:rPr>
          <w:kern w:val="0"/>
        </w:rPr>
      </w:pPr>
      <w:r>
        <w:rPr>
          <w:szCs w:val="21"/>
        </w:rPr>
        <w:t>网址：</w:t>
      </w:r>
      <w:r>
        <w:rPr>
          <w:color w:val="auto"/>
          <w:kern w:val="0"/>
          <w:u w:val="none"/>
        </w:rPr>
        <w:t>http://cepceb.ucr.edu/index.php</w:t>
      </w:r>
    </w:p>
    <w:p>
      <w:pPr>
        <w:widowControl/>
        <w:snapToGrid w:val="0"/>
        <w:spacing w:line="360" w:lineRule="auto"/>
        <w:ind w:firstLine="420" w:firstLineChars="200"/>
        <w:jc w:val="left"/>
        <w:rPr>
          <w:kern w:val="0"/>
        </w:rPr>
      </w:pPr>
      <w:r>
        <w:rPr>
          <w:rFonts w:hint="eastAsia"/>
          <w:kern w:val="0"/>
        </w:rPr>
        <w:t>（3）中国大学MOOC网，https://www.icourse163.org/</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color w:val="0000FF"/>
          <w:szCs w:val="21"/>
        </w:rPr>
      </w:pPr>
      <w:r>
        <w:rPr>
          <w:szCs w:val="21"/>
        </w:rPr>
        <w:t>园艺植物生物技术教学团队教学设施完备，教学条件优良，目前本教</w:t>
      </w:r>
      <w:r>
        <w:rPr>
          <w:rFonts w:hint="eastAsia"/>
          <w:szCs w:val="21"/>
        </w:rPr>
        <w:t>学</w:t>
      </w:r>
      <w:r>
        <w:rPr>
          <w:szCs w:val="21"/>
        </w:rPr>
        <w:t>团队拥有园艺植物生理生态、园艺植物种质资源与遗传育种和园艺植物分子生物学等4个校内实验室，拥有</w:t>
      </w:r>
      <w:r>
        <w:rPr>
          <w:rFonts w:hint="eastAsia"/>
          <w:szCs w:val="21"/>
        </w:rPr>
        <w:t>第二实验楼</w:t>
      </w:r>
      <w:r>
        <w:rPr>
          <w:szCs w:val="21"/>
        </w:rPr>
        <w:t>200 m</w:t>
      </w:r>
      <w:r>
        <w:rPr>
          <w:szCs w:val="21"/>
          <w:vertAlign w:val="superscript"/>
        </w:rPr>
        <w:t>2</w:t>
      </w:r>
      <w:r>
        <w:rPr>
          <w:szCs w:val="21"/>
        </w:rPr>
        <w:t>的组培实验室，可以满足学生教学和专业实践需要，同时，也为教师、学生的科研任务提供良好的工作和学习空间，教学科研水平稳步提高</w:t>
      </w:r>
      <w:r>
        <w:rPr>
          <w:rFonts w:hint="eastAsia" w:ascii="宋体" w:hAnsi="宋体"/>
          <w:color w:val="0000FF"/>
          <w:szCs w:val="21"/>
        </w:rPr>
        <w:t>。</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pPr>
      <w:r>
        <w:rPr>
          <w:rFonts w:hint="eastAsia" w:hAnsi="宋体"/>
          <w:b/>
          <w:bCs/>
          <w:kern w:val="0"/>
          <w:szCs w:val="21"/>
        </w:rPr>
        <w:t>1.过程性评价：</w:t>
      </w:r>
    </w:p>
    <w:p>
      <w:pPr>
        <w:snapToGrid w:val="0"/>
        <w:spacing w:line="360" w:lineRule="auto"/>
        <w:ind w:firstLine="420" w:firstLineChars="200"/>
        <w:rPr>
          <w:rFonts w:cs="宋体"/>
          <w:bCs/>
          <w:kern w:val="0"/>
          <w:szCs w:val="21"/>
        </w:rPr>
      </w:pPr>
      <w:r>
        <w:rPr>
          <w:rFonts w:hint="eastAsia" w:cs="宋体"/>
          <w:bCs/>
          <w:kern w:val="0"/>
          <w:szCs w:val="21"/>
        </w:rPr>
        <w:t>过程性评价包括追踪学生出勤情况、课堂表现情况（如课堂及讨论的参与度、提出与回答问题的积极性和质量等）、线上学习讨论情况、实验报告完成情况及成绩等，采用多元化综合考核评价方法；占比4</w:t>
      </w:r>
      <w:r>
        <w:rPr>
          <w:rFonts w:cs="宋体"/>
          <w:bCs/>
          <w:kern w:val="0"/>
          <w:szCs w:val="21"/>
        </w:rPr>
        <w:t>0%-60%</w:t>
      </w:r>
      <w:r>
        <w:rPr>
          <w:rFonts w:hint="eastAsia" w:cs="宋体"/>
          <w:bCs/>
          <w:kern w:val="0"/>
          <w:szCs w:val="21"/>
        </w:rPr>
        <w:t>。</w:t>
      </w:r>
    </w:p>
    <w:p>
      <w:pPr>
        <w:widowControl/>
        <w:snapToGrid w:val="0"/>
        <w:spacing w:line="360" w:lineRule="auto"/>
        <w:ind w:firstLine="420"/>
        <w:jc w:val="left"/>
        <w:rPr>
          <w:rFonts w:hAnsi="宋体"/>
          <w:b/>
          <w:bCs/>
          <w:color w:val="0000FF"/>
          <w:kern w:val="0"/>
          <w:szCs w:val="21"/>
        </w:rPr>
      </w:pPr>
      <w:r>
        <w:rPr>
          <w:rFonts w:hint="eastAsia" w:hAnsi="宋体"/>
          <w:b/>
          <w:bCs/>
          <w:kern w:val="0"/>
          <w:szCs w:val="21"/>
        </w:rPr>
        <w:t>2.终结性评价：</w:t>
      </w:r>
      <w:r>
        <w:t>期末考试方式为闭卷考试，考试时间120分钟，期末成绩满分100分，占总成绩的50~70%，平时成绩占总成绩的</w:t>
      </w:r>
      <w:r>
        <w:rPr>
          <w:rFonts w:hint="eastAsia"/>
        </w:rPr>
        <w:t>4</w:t>
      </w:r>
      <w:r>
        <w:t>0%~</w:t>
      </w:r>
      <w:r>
        <w:rPr>
          <w:rFonts w:hint="eastAsia"/>
        </w:rPr>
        <w:t>6</w:t>
      </w:r>
      <w:r>
        <w:t>0%。</w:t>
      </w:r>
    </w:p>
    <w:p>
      <w:pPr>
        <w:widowControl/>
        <w:snapToGrid w:val="0"/>
        <w:spacing w:line="360" w:lineRule="auto"/>
        <w:ind w:firstLine="420"/>
        <w:jc w:val="left"/>
        <w:rPr>
          <w:rFonts w:ascii="宋体" w:hAnsi="宋体"/>
        </w:rPr>
      </w:pPr>
      <w:r>
        <w:rPr>
          <w:rFonts w:hint="eastAsia" w:hAnsi="宋体"/>
          <w:b/>
          <w:bCs/>
          <w:kern w:val="0"/>
          <w:szCs w:val="21"/>
        </w:rPr>
        <w:t>3.课程综合评价：</w:t>
      </w:r>
      <w:r>
        <w:rPr>
          <w:rFonts w:hint="eastAsia" w:cs="宋体"/>
          <w:bCs/>
          <w:kern w:val="0"/>
          <w:szCs w:val="21"/>
        </w:rPr>
        <w:t>过程性评价×4</w:t>
      </w:r>
      <w:r>
        <w:rPr>
          <w:rFonts w:cs="宋体"/>
          <w:bCs/>
          <w:kern w:val="0"/>
          <w:szCs w:val="21"/>
        </w:rPr>
        <w:t>0%-60%</w:t>
      </w:r>
      <w:r>
        <w:rPr>
          <w:rFonts w:hint="eastAsia" w:cs="宋体"/>
          <w:bCs/>
          <w:kern w:val="0"/>
          <w:szCs w:val="21"/>
        </w:rPr>
        <w:t>+终结性评价×</w:t>
      </w:r>
      <w:r>
        <w:rPr>
          <w:rFonts w:hint="eastAsia" w:hAnsi="宋体"/>
          <w:bCs/>
          <w:kern w:val="0"/>
          <w:szCs w:val="21"/>
        </w:rPr>
        <w:t>40</w:t>
      </w:r>
      <w:r>
        <w:rPr>
          <w:rFonts w:hAnsi="宋体"/>
          <w:bCs/>
          <w:kern w:val="0"/>
          <w:szCs w:val="21"/>
        </w:rPr>
        <w:t>%-60%</w:t>
      </w:r>
      <w:r>
        <w:rPr>
          <w:rFonts w:hint="eastAsia" w:hAnsi="宋体"/>
          <w:bCs/>
          <w:kern w:val="0"/>
          <w:szCs w:val="21"/>
        </w:rPr>
        <w:t>。</w:t>
      </w:r>
    </w:p>
    <w:p>
      <w:pPr>
        <w:pStyle w:val="21"/>
        <w:rPr>
          <w:bCs w:val="0"/>
          <w:sz w:val="28"/>
          <w:szCs w:val="28"/>
        </w:rPr>
      </w:pPr>
      <w:bookmarkStart w:id="220" w:name="_Toc138068801"/>
      <w:bookmarkStart w:id="221" w:name="_Toc489359088"/>
      <w:bookmarkStart w:id="222" w:name="_Toc138076071"/>
      <w:bookmarkStart w:id="223" w:name="_Toc138076320"/>
      <w:bookmarkStart w:id="224" w:name="_Toc138076615"/>
      <w:bookmarkStart w:id="225" w:name="_Toc138070431"/>
      <w:bookmarkStart w:id="226" w:name="_Toc138070701"/>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hint="eastAsia"/>
          <w:sz w:val="28"/>
          <w:szCs w:val="28"/>
        </w:rPr>
      </w:pPr>
    </w:p>
    <w:p>
      <w:pPr>
        <w:rPr>
          <w:rFonts w:hint="eastAsia"/>
          <w:sz w:val="28"/>
          <w:szCs w:val="28"/>
        </w:rPr>
      </w:pPr>
    </w:p>
    <w:p>
      <w:pPr>
        <w:rPr>
          <w:sz w:val="28"/>
          <w:szCs w:val="28"/>
        </w:rPr>
      </w:pPr>
    </w:p>
    <w:p>
      <w:pPr>
        <w:pStyle w:val="21"/>
        <w:rPr>
          <w:sz w:val="24"/>
          <w:szCs w:val="28"/>
        </w:rPr>
      </w:pPr>
      <w:bookmarkStart w:id="227" w:name="_Toc2451"/>
      <w:r>
        <w:rPr>
          <w:bCs w:val="0"/>
          <w:sz w:val="28"/>
          <w:szCs w:val="28"/>
        </w:rPr>
        <w:t>园艺产品采后处理学</w:t>
      </w:r>
      <w:bookmarkEnd w:id="220"/>
      <w:bookmarkEnd w:id="221"/>
      <w:bookmarkEnd w:id="222"/>
      <w:bookmarkEnd w:id="223"/>
      <w:bookmarkEnd w:id="224"/>
      <w:bookmarkEnd w:id="225"/>
      <w:bookmarkEnd w:id="226"/>
      <w:bookmarkEnd w:id="227"/>
    </w:p>
    <w:p>
      <w:pPr>
        <w:snapToGrid w:val="0"/>
        <w:spacing w:line="360" w:lineRule="auto"/>
        <w:jc w:val="center"/>
        <w:rPr>
          <w:sz w:val="28"/>
        </w:rPr>
      </w:pPr>
      <w:r>
        <w:rPr>
          <w:sz w:val="28"/>
        </w:rPr>
        <w:t>（</w:t>
      </w:r>
      <w:r>
        <w:rPr>
          <w:rFonts w:hint="eastAsia"/>
          <w:sz w:val="24"/>
        </w:rPr>
        <w:t>Postharvest Hand</w:t>
      </w:r>
      <w:r>
        <w:rPr>
          <w:sz w:val="24"/>
        </w:rPr>
        <w:t>l</w:t>
      </w:r>
      <w:r>
        <w:rPr>
          <w:rFonts w:hint="eastAsia"/>
          <w:sz w:val="24"/>
        </w:rPr>
        <w:t>ing of Horticultural Crops</w:t>
      </w:r>
      <w:r>
        <w:rPr>
          <w:sz w:val="28"/>
        </w:rPr>
        <w:t>）</w:t>
      </w:r>
    </w:p>
    <w:p>
      <w:pPr>
        <w:snapToGrid w:val="0"/>
        <w:spacing w:line="360" w:lineRule="auto"/>
        <w:jc w:val="center"/>
        <w:rPr>
          <w:b/>
          <w:szCs w:val="21"/>
        </w:rPr>
      </w:pPr>
      <w:r>
        <w:rPr>
          <w:rFonts w:hint="eastAsia"/>
          <w:b/>
          <w:szCs w:val="21"/>
        </w:rPr>
        <w:t>课程基本信息</w:t>
      </w:r>
    </w:p>
    <w:tbl>
      <w:tblPr>
        <w:tblStyle w:val="22"/>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spacing w:line="300" w:lineRule="auto"/>
              <w:rPr>
                <w:b/>
                <w:bCs/>
                <w:szCs w:val="21"/>
              </w:rPr>
            </w:pPr>
            <w:r>
              <w:rPr>
                <w:b/>
                <w:bCs/>
                <w:szCs w:val="21"/>
              </w:rPr>
              <w:t>课程编号：</w:t>
            </w:r>
            <w:r>
              <w:rPr>
                <w:rFonts w:eastAsiaTheme="minorEastAsia"/>
                <w:b/>
                <w:szCs w:val="21"/>
              </w:rPr>
              <w:t>19011</w:t>
            </w:r>
            <w:r>
              <w:rPr>
                <w:rFonts w:hint="eastAsia" w:eastAsiaTheme="minorEastAsia"/>
                <w:b/>
                <w:szCs w:val="21"/>
              </w:rPr>
              <w:t>117h</w:t>
            </w:r>
          </w:p>
        </w:tc>
        <w:tc>
          <w:tcPr>
            <w:tcW w:w="2649" w:type="dxa"/>
          </w:tcPr>
          <w:p>
            <w:pPr>
              <w:spacing w:line="300" w:lineRule="auto"/>
              <w:rPr>
                <w:b/>
                <w:bCs/>
                <w:szCs w:val="21"/>
              </w:rPr>
            </w:pPr>
            <w:r>
              <w:rPr>
                <w:b/>
                <w:bCs/>
                <w:szCs w:val="21"/>
              </w:rPr>
              <w:t>课程总学时：</w:t>
            </w:r>
            <w:r>
              <w:rPr>
                <w:rFonts w:eastAsiaTheme="minorEastAsia"/>
                <w:b/>
                <w:szCs w:val="21"/>
              </w:rPr>
              <w:t>64</w:t>
            </w:r>
          </w:p>
        </w:tc>
        <w:tc>
          <w:tcPr>
            <w:tcW w:w="3429" w:type="dxa"/>
          </w:tcPr>
          <w:p>
            <w:pPr>
              <w:spacing w:line="300" w:lineRule="auto"/>
              <w:rPr>
                <w:b/>
                <w:bCs/>
                <w:szCs w:val="21"/>
              </w:rPr>
            </w:pPr>
            <w:r>
              <w:rPr>
                <w:b/>
                <w:bCs/>
                <w:szCs w:val="21"/>
              </w:rPr>
              <w:t xml:space="preserve">实验学时： </w:t>
            </w:r>
            <w:r>
              <w:rPr>
                <w:rFonts w:eastAsiaTheme="minorEastAsia"/>
                <w:b/>
                <w:szCs w:val="21"/>
              </w:rPr>
              <w:t>24</w:t>
            </w:r>
            <w:r>
              <w:rPr>
                <w:b/>
                <w:bCs/>
                <w:szCs w:val="21"/>
              </w:rPr>
              <w:t xml:space="preserve"> 学时</w:t>
            </w:r>
          </w:p>
        </w:tc>
      </w:tr>
      <w:tr>
        <w:tblPrEx>
          <w:tblCellMar>
            <w:top w:w="0" w:type="dxa"/>
            <w:left w:w="108" w:type="dxa"/>
            <w:bottom w:w="0" w:type="dxa"/>
            <w:right w:w="108" w:type="dxa"/>
          </w:tblCellMar>
        </w:tblPrEx>
        <w:tc>
          <w:tcPr>
            <w:tcW w:w="3038" w:type="dxa"/>
          </w:tcPr>
          <w:p>
            <w:pPr>
              <w:spacing w:line="300" w:lineRule="auto"/>
              <w:rPr>
                <w:b/>
                <w:bCs/>
                <w:szCs w:val="21"/>
              </w:rPr>
            </w:pPr>
            <w:r>
              <w:rPr>
                <w:b/>
                <w:bCs/>
                <w:szCs w:val="21"/>
              </w:rPr>
              <w:t>课程性质：</w:t>
            </w:r>
            <w:r>
              <w:rPr>
                <w:rFonts w:eastAsiaTheme="minorEastAsia"/>
                <w:b/>
                <w:szCs w:val="21"/>
              </w:rPr>
              <w:t>必修</w:t>
            </w:r>
          </w:p>
        </w:tc>
        <w:tc>
          <w:tcPr>
            <w:tcW w:w="2649" w:type="dxa"/>
          </w:tcPr>
          <w:p>
            <w:pPr>
              <w:spacing w:line="300" w:lineRule="auto"/>
              <w:rPr>
                <w:b/>
                <w:bCs/>
                <w:szCs w:val="21"/>
              </w:rPr>
            </w:pPr>
            <w:r>
              <w:rPr>
                <w:b/>
                <w:szCs w:val="21"/>
              </w:rPr>
              <w:t>课程属性:</w:t>
            </w:r>
            <w:r>
              <w:rPr>
                <w:rFonts w:eastAsiaTheme="minorEastAsia"/>
                <w:b/>
                <w:szCs w:val="21"/>
              </w:rPr>
              <w:t>专业类</w:t>
            </w:r>
          </w:p>
        </w:tc>
        <w:tc>
          <w:tcPr>
            <w:tcW w:w="3429" w:type="dxa"/>
          </w:tcPr>
          <w:p>
            <w:pPr>
              <w:spacing w:line="300" w:lineRule="auto"/>
              <w:rPr>
                <w:b/>
                <w:bCs/>
                <w:szCs w:val="21"/>
              </w:rPr>
            </w:pPr>
            <w:r>
              <w:rPr>
                <w:b/>
                <w:bCs/>
                <w:szCs w:val="21"/>
              </w:rPr>
              <w:t>开设学期：第</w:t>
            </w:r>
            <w:r>
              <w:rPr>
                <w:rFonts w:eastAsiaTheme="minorEastAsia"/>
                <w:b/>
                <w:szCs w:val="21"/>
              </w:rPr>
              <w:t>7</w:t>
            </w:r>
            <w:r>
              <w:rPr>
                <w:b/>
                <w:bCs/>
                <w:szCs w:val="21"/>
              </w:rPr>
              <w:t xml:space="preserve"> 学期</w:t>
            </w:r>
          </w:p>
        </w:tc>
      </w:tr>
      <w:tr>
        <w:tblPrEx>
          <w:tblCellMar>
            <w:top w:w="0" w:type="dxa"/>
            <w:left w:w="108" w:type="dxa"/>
            <w:bottom w:w="0" w:type="dxa"/>
            <w:right w:w="108" w:type="dxa"/>
          </w:tblCellMar>
        </w:tblPrEx>
        <w:tc>
          <w:tcPr>
            <w:tcW w:w="3038" w:type="dxa"/>
          </w:tcPr>
          <w:p>
            <w:pPr>
              <w:spacing w:line="300" w:lineRule="auto"/>
              <w:rPr>
                <w:b/>
                <w:bCs/>
                <w:szCs w:val="21"/>
              </w:rPr>
            </w:pPr>
            <w:r>
              <w:rPr>
                <w:b/>
                <w:bCs/>
                <w:szCs w:val="21"/>
              </w:rPr>
              <w:t>课程负责人：王兰菊</w:t>
            </w:r>
          </w:p>
        </w:tc>
        <w:tc>
          <w:tcPr>
            <w:tcW w:w="2649" w:type="dxa"/>
          </w:tcPr>
          <w:p>
            <w:pPr>
              <w:spacing w:line="300" w:lineRule="auto"/>
              <w:rPr>
                <w:b/>
                <w:bCs/>
                <w:szCs w:val="21"/>
              </w:rPr>
            </w:pPr>
            <w:r>
              <w:rPr>
                <w:b/>
                <w:bCs/>
                <w:szCs w:val="21"/>
              </w:rPr>
              <w:t>课程团队：</w:t>
            </w:r>
            <w:r>
              <w:rPr>
                <w:rFonts w:eastAsiaTheme="minorEastAsia"/>
                <w:b/>
                <w:szCs w:val="21"/>
              </w:rPr>
              <w:t>王兰菊、胡青霞、叶霞、王伟、侯娟、李营、何畅</w:t>
            </w:r>
          </w:p>
        </w:tc>
        <w:tc>
          <w:tcPr>
            <w:tcW w:w="3429" w:type="dxa"/>
          </w:tcPr>
          <w:p>
            <w:pPr>
              <w:spacing w:line="300" w:lineRule="auto"/>
              <w:rPr>
                <w:b/>
                <w:bCs/>
                <w:szCs w:val="21"/>
              </w:rPr>
            </w:pPr>
            <w:r>
              <w:rPr>
                <w:b/>
                <w:bCs/>
                <w:szCs w:val="21"/>
              </w:rPr>
              <w:t>授课语言：中文</w:t>
            </w:r>
          </w:p>
        </w:tc>
      </w:tr>
      <w:tr>
        <w:tblPrEx>
          <w:tblCellMar>
            <w:top w:w="0" w:type="dxa"/>
            <w:left w:w="108" w:type="dxa"/>
            <w:bottom w:w="0" w:type="dxa"/>
            <w:right w:w="108" w:type="dxa"/>
          </w:tblCellMar>
        </w:tblPrEx>
        <w:tc>
          <w:tcPr>
            <w:tcW w:w="9116" w:type="dxa"/>
            <w:gridSpan w:val="3"/>
          </w:tcPr>
          <w:p>
            <w:pPr>
              <w:spacing w:line="300" w:lineRule="auto"/>
              <w:ind w:right="-170" w:rightChars="-81"/>
              <w:rPr>
                <w:bCs/>
                <w:szCs w:val="21"/>
              </w:rPr>
            </w:pPr>
            <w:r>
              <w:rPr>
                <w:b/>
                <w:bCs/>
                <w:szCs w:val="21"/>
              </w:rPr>
              <w:t>适用专业：</w:t>
            </w:r>
            <w:r>
              <w:rPr>
                <w:rFonts w:eastAsiaTheme="minorEastAsia"/>
                <w:b/>
                <w:bCs/>
                <w:szCs w:val="21"/>
              </w:rPr>
              <w:t>园艺</w:t>
            </w:r>
          </w:p>
        </w:tc>
      </w:tr>
      <w:tr>
        <w:tblPrEx>
          <w:tblCellMar>
            <w:top w:w="0" w:type="dxa"/>
            <w:left w:w="108" w:type="dxa"/>
            <w:bottom w:w="0" w:type="dxa"/>
            <w:right w:w="108" w:type="dxa"/>
          </w:tblCellMar>
        </w:tblPrEx>
        <w:tc>
          <w:tcPr>
            <w:tcW w:w="9116" w:type="dxa"/>
            <w:gridSpan w:val="3"/>
          </w:tcPr>
          <w:p>
            <w:pPr>
              <w:spacing w:line="300" w:lineRule="auto"/>
              <w:rPr>
                <w:b/>
                <w:bCs/>
                <w:szCs w:val="21"/>
              </w:rPr>
            </w:pPr>
            <w:r>
              <w:rPr>
                <w:b/>
                <w:bCs/>
                <w:szCs w:val="21"/>
              </w:rPr>
              <w:t>对先修的要求：</w:t>
            </w:r>
            <w:r>
              <w:rPr>
                <w:rFonts w:eastAsiaTheme="minorEastAsia"/>
                <w:b/>
                <w:szCs w:val="21"/>
              </w:rPr>
              <w:t>植物生理学、基础生物化学、果树栽培学、蔬菜栽培学、园艺植物病虫害防治</w:t>
            </w:r>
          </w:p>
        </w:tc>
      </w:tr>
      <w:tr>
        <w:tblPrEx>
          <w:tblCellMar>
            <w:top w:w="0" w:type="dxa"/>
            <w:left w:w="108" w:type="dxa"/>
            <w:bottom w:w="0" w:type="dxa"/>
            <w:right w:w="108" w:type="dxa"/>
          </w:tblCellMar>
        </w:tblPrEx>
        <w:tc>
          <w:tcPr>
            <w:tcW w:w="9116" w:type="dxa"/>
            <w:gridSpan w:val="3"/>
          </w:tcPr>
          <w:p>
            <w:pPr>
              <w:spacing w:line="300" w:lineRule="auto"/>
              <w:rPr>
                <w:b/>
                <w:bCs/>
                <w:szCs w:val="21"/>
              </w:rPr>
            </w:pPr>
            <w:r>
              <w:rPr>
                <w:b/>
                <w:bCs/>
                <w:szCs w:val="21"/>
              </w:rPr>
              <w:t>对后续的支撑：为园艺产品营销学课程提供产品的属性、分类、定价和包装基本知识。</w:t>
            </w:r>
          </w:p>
        </w:tc>
      </w:tr>
      <w:tr>
        <w:tblPrEx>
          <w:tblCellMar>
            <w:top w:w="0" w:type="dxa"/>
            <w:left w:w="108" w:type="dxa"/>
            <w:bottom w:w="0" w:type="dxa"/>
            <w:right w:w="108" w:type="dxa"/>
          </w:tblCellMar>
        </w:tblPrEx>
        <w:tc>
          <w:tcPr>
            <w:tcW w:w="3038" w:type="dxa"/>
          </w:tcPr>
          <w:p>
            <w:pPr>
              <w:spacing w:line="300" w:lineRule="auto"/>
              <w:rPr>
                <w:b/>
                <w:bCs/>
                <w:szCs w:val="21"/>
              </w:rPr>
            </w:pPr>
            <w:r>
              <w:rPr>
                <w:b/>
                <w:bCs/>
                <w:szCs w:val="21"/>
              </w:rPr>
              <w:t>主撰人：</w:t>
            </w:r>
            <w:r>
              <w:rPr>
                <w:rFonts w:eastAsiaTheme="minorEastAsia"/>
                <w:b/>
                <w:szCs w:val="21"/>
              </w:rPr>
              <w:t>胡青霞、叶霞、王伟、侯娟、李营、何畅</w:t>
            </w:r>
          </w:p>
        </w:tc>
        <w:tc>
          <w:tcPr>
            <w:tcW w:w="2649" w:type="dxa"/>
          </w:tcPr>
          <w:p>
            <w:pPr>
              <w:spacing w:line="300" w:lineRule="auto"/>
              <w:rPr>
                <w:b/>
                <w:bCs/>
                <w:szCs w:val="21"/>
              </w:rPr>
            </w:pPr>
            <w:r>
              <w:rPr>
                <w:b/>
                <w:bCs/>
                <w:szCs w:val="21"/>
              </w:rPr>
              <w:t>审核人：叶霞</w:t>
            </w:r>
          </w:p>
        </w:tc>
        <w:tc>
          <w:tcPr>
            <w:tcW w:w="3429" w:type="dxa"/>
          </w:tcPr>
          <w:p>
            <w:pPr>
              <w:spacing w:line="300" w:lineRule="auto"/>
              <w:rPr>
                <w:b/>
                <w:bCs/>
                <w:szCs w:val="21"/>
              </w:rPr>
            </w:pPr>
            <w:r>
              <w:rPr>
                <w:b/>
                <w:bCs/>
                <w:szCs w:val="21"/>
              </w:rPr>
              <w:t>大纲制定（修订）日期：</w:t>
            </w:r>
            <w:r>
              <w:rPr>
                <w:rFonts w:hint="eastAsia"/>
                <w:b/>
                <w:bCs/>
                <w:szCs w:val="21"/>
              </w:rPr>
              <w:t>2023.05</w:t>
            </w:r>
          </w:p>
        </w:tc>
      </w:tr>
    </w:tbl>
    <w:p>
      <w:pPr>
        <w:widowControl/>
        <w:snapToGrid w:val="0"/>
        <w:spacing w:line="360" w:lineRule="auto"/>
        <w:jc w:val="left"/>
        <w:rPr>
          <w:b/>
          <w:bCs/>
          <w:kern w:val="0"/>
          <w:szCs w:val="21"/>
        </w:rPr>
      </w:pPr>
    </w:p>
    <w:p>
      <w:pPr>
        <w:widowControl/>
        <w:snapToGrid w:val="0"/>
        <w:spacing w:line="360" w:lineRule="auto"/>
        <w:jc w:val="left"/>
        <w:rPr>
          <w:kern w:val="0"/>
          <w:szCs w:val="21"/>
        </w:rPr>
      </w:pPr>
      <w:r>
        <w:rPr>
          <w:b/>
          <w:bCs/>
          <w:kern w:val="0"/>
          <w:szCs w:val="21"/>
        </w:rPr>
        <w:t>一、课程的教学理念、性质、目标和任务</w:t>
      </w:r>
    </w:p>
    <w:p>
      <w:pPr>
        <w:widowControl/>
        <w:snapToGrid w:val="0"/>
        <w:spacing w:line="360" w:lineRule="auto"/>
        <w:ind w:left="210" w:firstLine="418"/>
        <w:jc w:val="left"/>
        <w:rPr>
          <w:bCs/>
          <w:szCs w:val="21"/>
        </w:rPr>
      </w:pPr>
      <w:r>
        <w:t>《园艺产品采后处理学》属园艺专业核心课程，是讲授园艺产品采后生理变化规律、后熟衰老调控及贮运保鲜技术的一门专业必修课。通过课程学习，使学生了解产品质量评价标准、方法，能够以贮藏保鲜基本原理为指导，采用果蔬冷链物流技术及果蔬贮运关键技术，解决园艺产品贮、运、销环节出现的问题，达到提高商品质量、降低产品的采后损耗，满足园艺产品贮运生产和相关管理的需要。在教学理念上，首先，课程教学关注学生的进步和发展，突出学生的主体地位，同时专业知识教学与思政育人紧密结合，真正体现教书育人；其次，紧扣课程特点，提高学生动手能力，《园艺产品采后处理学》课程具有较强的应用性，在教学过程中做到理论联系实践，理论教学与实践环节相互衔接，让同学们在实践教学中理解和掌握理论知识，学以致用；第三，教学效果具有可量化性：教学目标尽可能明确和具体，以便检测教师的教学效果；第四，教师不断反思自己的教学效果是否有效，并不断改进。</w:t>
      </w:r>
    </w:p>
    <w:p>
      <w:pPr>
        <w:widowControl/>
        <w:snapToGrid w:val="0"/>
        <w:spacing w:line="360" w:lineRule="auto"/>
        <w:jc w:val="left"/>
        <w:rPr>
          <w:kern w:val="0"/>
          <w:szCs w:val="21"/>
        </w:rPr>
      </w:pPr>
      <w:r>
        <w:rPr>
          <w:b/>
          <w:bCs/>
          <w:kern w:val="0"/>
          <w:szCs w:val="21"/>
        </w:rPr>
        <w:t>二、课程教学的基本要求</w:t>
      </w:r>
    </w:p>
    <w:p>
      <w:pPr>
        <w:widowControl/>
        <w:snapToGrid w:val="0"/>
        <w:spacing w:line="360" w:lineRule="auto"/>
        <w:ind w:firstLine="420"/>
        <w:jc w:val="left"/>
      </w:pPr>
      <w:r>
        <w:rPr>
          <w:kern w:val="0"/>
        </w:rPr>
        <w:t>1、</w:t>
      </w:r>
      <w:r>
        <w:t>理论知识方面</w:t>
      </w:r>
    </w:p>
    <w:p>
      <w:pPr>
        <w:widowControl/>
        <w:snapToGrid w:val="0"/>
        <w:spacing w:line="360" w:lineRule="auto"/>
        <w:ind w:firstLine="420"/>
        <w:jc w:val="left"/>
      </w:pPr>
      <w:r>
        <w:rPr>
          <w:rFonts w:hint="eastAsia"/>
        </w:rPr>
        <w:t>了解园艺产品质量评价标准、方法及影响耐藏性的采前、采后因素；掌握园艺产品的质量构成、呼吸生理、乙烯生物合成、衰老调控、水分蒸腾生理及其调控措施；了解确定果品、蔬菜采收成熟度方法；掌握果品蔬菜商品化处理程序及关键技术，掌握果蔬冷链物流的关键技术、运输方式及相关管理技术要点。了解果品蔬菜主要贮藏方式，掌握机械冷藏、气调贮藏原理、配套设施组成和关键管理技术；了解主要果品、蔬菜、花卉的贮运特性，掌握产品贮运的关键技术。</w:t>
      </w:r>
    </w:p>
    <w:p>
      <w:pPr>
        <w:widowControl/>
        <w:snapToGrid w:val="0"/>
        <w:spacing w:line="360" w:lineRule="auto"/>
        <w:ind w:firstLine="420" w:firstLineChars="200"/>
        <w:jc w:val="left"/>
      </w:pPr>
      <w:r>
        <w:rPr>
          <w:kern w:val="0"/>
        </w:rPr>
        <w:t>2、实验技能方面</w:t>
      </w:r>
    </w:p>
    <w:p>
      <w:pPr>
        <w:widowControl/>
        <w:snapToGrid w:val="0"/>
        <w:spacing w:line="360" w:lineRule="auto"/>
        <w:ind w:firstLine="420"/>
        <w:jc w:val="left"/>
        <w:rPr>
          <w:kern w:val="0"/>
        </w:rPr>
      </w:pPr>
      <w:r>
        <w:rPr>
          <w:rFonts w:hint="eastAsia"/>
          <w:kern w:val="0"/>
        </w:rPr>
        <w:t>掌握果品蔬菜一般物理性状测定方法。熟练掌握主要果品蔬菜有机酸含量、Vc含量测定原理及操作步骤。掌握果品蔬菜呼吸强度测定原理、操作步骤（气流法、静置法）；掌握果品蔬菜采后成熟衰老调控原理、方法和程序；掌握果品蔬菜贮藏环境中温度、湿度测定要点及氧气、二氧化碳浓度测定原理、操作步骤。</w:t>
      </w:r>
    </w:p>
    <w:p>
      <w:pPr>
        <w:widowControl/>
        <w:snapToGrid w:val="0"/>
        <w:spacing w:line="360" w:lineRule="auto"/>
        <w:jc w:val="left"/>
        <w:rPr>
          <w:b/>
          <w:bCs/>
          <w:kern w:val="0"/>
          <w:szCs w:val="21"/>
        </w:rPr>
      </w:pPr>
      <w:r>
        <w:rPr>
          <w:b/>
          <w:bCs/>
          <w:kern w:val="0"/>
          <w:szCs w:val="21"/>
        </w:rPr>
        <w:t>三、课程的教学设计</w:t>
      </w:r>
    </w:p>
    <w:p>
      <w:pPr>
        <w:widowControl/>
        <w:snapToGrid w:val="0"/>
        <w:spacing w:line="360" w:lineRule="auto"/>
        <w:ind w:firstLine="420"/>
        <w:jc w:val="left"/>
        <w:rPr>
          <w:kern w:val="0"/>
          <w:szCs w:val="21"/>
        </w:rPr>
      </w:pPr>
      <w:r>
        <w:rPr>
          <w:kern w:val="0"/>
          <w:szCs w:val="21"/>
        </w:rPr>
        <w:t>1.</w:t>
      </w:r>
      <w:r>
        <w:rPr>
          <w:rFonts w:hint="eastAsia"/>
          <w:kern w:val="0"/>
          <w:szCs w:val="21"/>
        </w:rPr>
        <w:t>教学设计说明</w:t>
      </w:r>
    </w:p>
    <w:p>
      <w:pPr>
        <w:pStyle w:val="10"/>
        <w:snapToGrid w:val="0"/>
        <w:spacing w:line="360" w:lineRule="auto"/>
        <w:ind w:right="-290" w:rightChars="-138" w:firstLine="420" w:firstLineChars="200"/>
        <w:rPr>
          <w:rFonts w:ascii="Times New Roman" w:hAnsi="Times New Roman" w:cs="Times New Roman"/>
          <w:bCs/>
          <w:kern w:val="0"/>
        </w:rPr>
      </w:pPr>
      <w:r>
        <w:rPr>
          <w:rFonts w:ascii="Times New Roman" w:hAnsi="Times New Roman" w:cs="Times New Roman"/>
          <w:bCs/>
          <w:kern w:val="0"/>
        </w:rPr>
        <w:t>本课程总体上采取“教—学—翻转课堂—讨论—实践”的教学策略，园艺产品质量构成与评价、果蔬采后生理、影响果蔬贮藏性因素、采收及采后处理、果蔬物流、贮藏方式与管理和采后病害理论部分采取以教师为主导、学生为主体的方式，教师授课、学生学习、学生实践；各类果品、蔬菜、花卉贮藏部分以学生为主导、教师讲评的方式，采用翻转课堂的方式，开展学生讲解、讨论评价等环节。主要采用以下教学方法：成立课程团队，将章节内容系统化，突出重难点、考核目标，让学生明确考核内容和要求，更有方向地学习本课程；理论课大班授课，以教师为主导、学生为主体，部分教学内容以学生为主、学生讲解，采用多媒体教学、翻转课堂、线上线下混合式教学、虚拟仿真课堂等方式，注重与学生互动，鼓励学生积极参与到教学中等多种教学方法，最大程度地激发学生学习的主观能动性；实验课小班授课，让学生动手操作，对课堂理论知识进行巩固和深化，加强动手操作能力培养，并注重对学生学习效果的评价和总结。教学考核采用多种方式，课堂出勤率、回答问题、线上学习、实验课操作过程、实验结果、翻转课堂部分学生讲解内容的系统性、充实性、准确性、讲解表达仪态等方面纳入过程性评价，并结合期末考试终结性测试，促使学生更好地掌握相关知识。</w:t>
      </w:r>
    </w:p>
    <w:p>
      <w:pPr>
        <w:widowControl/>
        <w:snapToGrid w:val="0"/>
        <w:spacing w:line="360" w:lineRule="auto"/>
        <w:ind w:firstLine="420"/>
        <w:jc w:val="left"/>
        <w:rPr>
          <w:kern w:val="0"/>
          <w:szCs w:val="21"/>
        </w:rPr>
      </w:pPr>
      <w:r>
        <w:rPr>
          <w:kern w:val="0"/>
          <w:szCs w:val="21"/>
        </w:rPr>
        <w:t>2.</w:t>
      </w:r>
      <w:r>
        <w:rPr>
          <w:rFonts w:hint="eastAsia"/>
          <w:kern w:val="0"/>
          <w:szCs w:val="21"/>
        </w:rPr>
        <w:t>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b/>
                <w:bCs/>
                <w:sz w:val="18"/>
                <w:szCs w:val="18"/>
              </w:rPr>
            </w:pPr>
            <w:r>
              <w:rPr>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b/>
                <w:bCs/>
                <w:sz w:val="18"/>
                <w:szCs w:val="18"/>
              </w:rPr>
            </w:pPr>
            <w:r>
              <w:rPr>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both"/>
              <w:rPr>
                <w:b/>
                <w:bCs/>
                <w:sz w:val="18"/>
                <w:szCs w:val="18"/>
              </w:rPr>
            </w:pPr>
            <w:r>
              <w:rPr>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eastAsiaTheme="minorEastAsia"/>
                <w:sz w:val="18"/>
                <w:szCs w:val="21"/>
              </w:rPr>
              <w:t>目标1：通过课程的学习，培养学生热爱祖国，热爱人民，具有正确的政治方向，拥护中国共产党的领导。树立正确的世界观、价值观和人生观，自觉践行社会主义核心价值观，做到四个自信。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eastAsiaTheme="minorEastAsia"/>
                <w:sz w:val="18"/>
                <w:szCs w:val="18"/>
              </w:rPr>
              <w:t>1</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highlight w:val="yellow"/>
              </w:rPr>
            </w:pPr>
            <w:r>
              <w:rPr>
                <w:rFonts w:eastAsiaTheme="minorEastAsia"/>
                <w:sz w:val="18"/>
                <w:szCs w:val="18"/>
              </w:rPr>
              <w:t>目标</w:t>
            </w:r>
            <w:r>
              <w:rPr>
                <w:rFonts w:hint="eastAsia" w:eastAsiaTheme="minorEastAsia"/>
                <w:sz w:val="18"/>
                <w:szCs w:val="18"/>
              </w:rPr>
              <w:t>2</w:t>
            </w:r>
            <w:r>
              <w:rPr>
                <w:rFonts w:eastAsiaTheme="minorEastAsia"/>
                <w:sz w:val="18"/>
                <w:szCs w:val="18"/>
              </w:rPr>
              <w:t>：</w:t>
            </w:r>
            <w:r>
              <w:rPr>
                <w:rFonts w:hint="eastAsia" w:eastAsiaTheme="minorEastAsia"/>
                <w:sz w:val="18"/>
                <w:szCs w:val="18"/>
              </w:rPr>
              <w:t>通过课程的学习，使学生</w:t>
            </w:r>
            <w:r>
              <w:rPr>
                <w:rFonts w:eastAsiaTheme="minorEastAsia"/>
                <w:sz w:val="18"/>
                <w:szCs w:val="18"/>
              </w:rPr>
              <w:t>了解</w:t>
            </w:r>
            <w:r>
              <w:rPr>
                <w:rFonts w:hint="eastAsia" w:eastAsiaTheme="minorEastAsia"/>
                <w:sz w:val="18"/>
                <w:szCs w:val="18"/>
              </w:rPr>
              <w:t>园艺产品质量评价标准、方法，掌握基本的贮藏保鲜原理及技术，采用果蔬冷链物流技术及果蔬贮运关键</w:t>
            </w:r>
            <w:r>
              <w:rPr>
                <w:rFonts w:eastAsiaTheme="minorEastAsia"/>
                <w:sz w:val="18"/>
                <w:szCs w:val="18"/>
              </w:rPr>
              <w:t>技术</w:t>
            </w:r>
            <w:r>
              <w:rPr>
                <w:rFonts w:hint="eastAsia" w:eastAsiaTheme="minorEastAsia"/>
                <w:sz w:val="18"/>
                <w:szCs w:val="18"/>
              </w:rPr>
              <w:t>，</w:t>
            </w:r>
            <w:r>
              <w:rPr>
                <w:rFonts w:eastAsiaTheme="minorEastAsia"/>
                <w:sz w:val="18"/>
                <w:szCs w:val="18"/>
              </w:rPr>
              <w:t>解决</w:t>
            </w:r>
            <w:r>
              <w:rPr>
                <w:rFonts w:hint="eastAsia" w:eastAsiaTheme="minorEastAsia"/>
                <w:sz w:val="18"/>
                <w:szCs w:val="18"/>
              </w:rPr>
              <w:t>园艺产品</w:t>
            </w:r>
            <w:r>
              <w:rPr>
                <w:rFonts w:eastAsiaTheme="minorEastAsia"/>
                <w:sz w:val="18"/>
                <w:szCs w:val="18"/>
              </w:rPr>
              <w:t>贮</w:t>
            </w:r>
            <w:r>
              <w:rPr>
                <w:rFonts w:hint="eastAsia" w:eastAsiaTheme="minorEastAsia"/>
                <w:sz w:val="18"/>
                <w:szCs w:val="18"/>
              </w:rPr>
              <w:t>、</w:t>
            </w:r>
            <w:r>
              <w:rPr>
                <w:rFonts w:eastAsiaTheme="minorEastAsia"/>
                <w:sz w:val="18"/>
                <w:szCs w:val="18"/>
              </w:rPr>
              <w:t>运、销</w:t>
            </w:r>
            <w:r>
              <w:rPr>
                <w:rFonts w:hint="eastAsia" w:eastAsiaTheme="minorEastAsia"/>
                <w:sz w:val="18"/>
                <w:szCs w:val="18"/>
              </w:rPr>
              <w:t>环节</w:t>
            </w:r>
            <w:r>
              <w:rPr>
                <w:rFonts w:eastAsiaTheme="minorEastAsia"/>
                <w:sz w:val="18"/>
                <w:szCs w:val="18"/>
              </w:rPr>
              <w:t>出现的问题，</w:t>
            </w:r>
            <w:r>
              <w:rPr>
                <w:rFonts w:hint="eastAsia" w:eastAsiaTheme="minorEastAsia"/>
                <w:sz w:val="18"/>
                <w:szCs w:val="18"/>
              </w:rPr>
              <w:t>达到提高商品质量、降低产品的采后损耗，满足园艺产品贮运生产和相关管理的需要；同时，在</w:t>
            </w:r>
            <w:r>
              <w:rPr>
                <w:rFonts w:eastAsiaTheme="minorEastAsia"/>
                <w:sz w:val="18"/>
                <w:szCs w:val="21"/>
              </w:rPr>
              <w:t>科学工作态度、采后生物学相关实验技能及创新思维等方面获得初步的训练。</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eastAsiaTheme="minorEastAsia"/>
                <w:sz w:val="18"/>
                <w:szCs w:val="18"/>
              </w:rPr>
              <w:t>5</w:t>
            </w:r>
          </w:p>
          <w:p>
            <w:pPr>
              <w:spacing w:line="320" w:lineRule="exact"/>
              <w:ind w:firstLine="360"/>
              <w:jc w:val="both"/>
              <w:rPr>
                <w:rFonts w:eastAsiaTheme="minorEastAsia"/>
                <w:sz w:val="18"/>
                <w:szCs w:val="18"/>
              </w:rPr>
            </w:pPr>
            <w:r>
              <w:rPr>
                <w:rFonts w:eastAsiaTheme="minorEastAsia"/>
                <w:sz w:val="18"/>
                <w:szCs w:val="18"/>
              </w:rPr>
              <w:t>7</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eastAsiaTheme="minorEastAsia"/>
                <w:sz w:val="18"/>
                <w:szCs w:val="21"/>
              </w:rPr>
              <w:t>目标3：通过本课程的开设加强学生的综合素质和创新能力的培养，增强学生在园艺产品采后处理产业中发现问题、分析问题和解决问题的能力，推动我国园艺产品采后生物学的科学研究和采后处理产业的发展。</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eastAsiaTheme="minorEastAsia"/>
                <w:sz w:val="18"/>
                <w:szCs w:val="18"/>
              </w:rPr>
              <w:t>4</w:t>
            </w:r>
          </w:p>
        </w:tc>
      </w:tr>
    </w:tbl>
    <w:p>
      <w:pPr>
        <w:pStyle w:val="10"/>
        <w:snapToGrid w:val="0"/>
        <w:spacing w:line="360" w:lineRule="auto"/>
        <w:ind w:right="-290" w:rightChars="-138" w:firstLine="420" w:firstLineChars="200"/>
        <w:rPr>
          <w:rFonts w:ascii="Times New Roman" w:hAnsi="Times New Roman" w:cs="Times New Roman"/>
          <w:bCs/>
          <w:kern w:val="0"/>
        </w:rPr>
      </w:pPr>
    </w:p>
    <w:p>
      <w:pPr>
        <w:widowControl/>
        <w:jc w:val="left"/>
        <w:rPr>
          <w:bCs/>
          <w:kern w:val="0"/>
          <w:szCs w:val="21"/>
        </w:rPr>
      </w:pPr>
      <w:r>
        <w:rPr>
          <w:bCs/>
          <w:kern w:val="0"/>
        </w:rPr>
        <w:br w:type="page"/>
      </w:r>
    </w:p>
    <w:p>
      <w:pPr>
        <w:widowControl/>
        <w:snapToGrid w:val="0"/>
        <w:spacing w:line="360" w:lineRule="auto"/>
        <w:jc w:val="left"/>
        <w:rPr>
          <w:b/>
          <w:bCs/>
          <w:kern w:val="0"/>
          <w:szCs w:val="21"/>
        </w:rPr>
      </w:pPr>
      <w:r>
        <w:rPr>
          <w:b/>
          <w:bCs/>
          <w:kern w:val="0"/>
          <w:szCs w:val="21"/>
        </w:rPr>
        <w:t>四、理论教学内容及学时分配（40学时）</w:t>
      </w:r>
    </w:p>
    <w:p>
      <w:pPr>
        <w:widowControl/>
        <w:snapToGrid w:val="0"/>
        <w:spacing w:before="156" w:beforeLines="50" w:after="156" w:afterLines="50" w:line="360" w:lineRule="auto"/>
        <w:ind w:right="420"/>
        <w:jc w:val="right"/>
        <w:outlineLvl w:val="3"/>
        <w:rPr>
          <w:b/>
          <w:kern w:val="0"/>
          <w:sz w:val="24"/>
        </w:rPr>
      </w:pPr>
      <w:r>
        <w:rPr>
          <w:b/>
          <w:kern w:val="0"/>
        </w:rPr>
        <w:t>绪论                           学时数：2</w:t>
      </w:r>
    </w:p>
    <w:p>
      <w:pPr>
        <w:widowControl/>
        <w:snapToGrid w:val="0"/>
        <w:spacing w:line="360" w:lineRule="auto"/>
        <w:jc w:val="left"/>
        <w:rPr>
          <w:b/>
        </w:rPr>
      </w:pPr>
      <w:r>
        <w:rPr>
          <w:b/>
        </w:rPr>
        <w:t>教学目</w:t>
      </w:r>
      <w:r>
        <w:rPr>
          <w:b/>
          <w:bCs/>
        </w:rPr>
        <w:t>标</w:t>
      </w:r>
      <w:r>
        <w:rPr>
          <w:b/>
        </w:rPr>
        <w:t>：</w:t>
      </w:r>
    </w:p>
    <w:p>
      <w:pPr>
        <w:widowControl/>
        <w:snapToGrid w:val="0"/>
        <w:spacing w:line="360" w:lineRule="auto"/>
        <w:ind w:firstLine="420" w:firstLineChars="200"/>
        <w:jc w:val="left"/>
        <w:rPr>
          <w:b/>
          <w:kern w:val="0"/>
        </w:rPr>
      </w:pPr>
      <w:r>
        <w:rPr>
          <w:kern w:val="0"/>
        </w:rPr>
        <w:t>了解果品蔬菜采后处理产业发展历史、现状及存在问题，明确今后发展的方向。</w:t>
      </w:r>
    </w:p>
    <w:p>
      <w:pPr>
        <w:widowControl/>
        <w:snapToGrid w:val="0"/>
        <w:spacing w:line="360" w:lineRule="auto"/>
        <w:jc w:val="left"/>
        <w:rPr>
          <w:b/>
        </w:rPr>
      </w:pPr>
      <w:r>
        <w:rPr>
          <w:b/>
        </w:rPr>
        <w:t>教学重点和难点：</w:t>
      </w:r>
    </w:p>
    <w:p>
      <w:pPr>
        <w:widowControl/>
        <w:snapToGrid w:val="0"/>
        <w:spacing w:line="360" w:lineRule="auto"/>
        <w:ind w:firstLine="420" w:firstLineChars="200"/>
        <w:jc w:val="left"/>
        <w:rPr>
          <w:kern w:val="0"/>
        </w:rPr>
      </w:pPr>
      <w:r>
        <w:rPr>
          <w:kern w:val="0"/>
        </w:rPr>
        <w:t>园艺产品流通冷链环节组成、建设存在问题，引起产品采后损失的主要原因及解决措施。</w:t>
      </w:r>
    </w:p>
    <w:p>
      <w:pPr>
        <w:widowControl/>
        <w:adjustRightInd w:val="0"/>
        <w:snapToGrid w:val="0"/>
        <w:spacing w:line="360" w:lineRule="auto"/>
        <w:jc w:val="left"/>
        <w:rPr>
          <w:kern w:val="0"/>
        </w:rPr>
      </w:pPr>
      <w:r>
        <w:rPr>
          <w:b/>
        </w:rPr>
        <w:t>主要教学内容及要求：</w:t>
      </w:r>
    </w:p>
    <w:p>
      <w:pPr>
        <w:widowControl/>
        <w:adjustRightInd w:val="0"/>
        <w:snapToGrid w:val="0"/>
        <w:spacing w:line="360" w:lineRule="auto"/>
        <w:ind w:firstLine="420" w:firstLineChars="200"/>
        <w:jc w:val="left"/>
        <w:rPr>
          <w:kern w:val="0"/>
        </w:rPr>
      </w:pPr>
      <w:r>
        <w:rPr>
          <w:rFonts w:hint="eastAsia"/>
          <w:kern w:val="0"/>
        </w:rPr>
        <w:t>了解：果品蔬菜贮运保鲜的意义；果品蔬菜贮运保鲜的发展历程和产业现状。</w:t>
      </w:r>
    </w:p>
    <w:p>
      <w:pPr>
        <w:widowControl/>
        <w:adjustRightInd w:val="0"/>
        <w:snapToGrid w:val="0"/>
        <w:spacing w:line="360" w:lineRule="auto"/>
        <w:ind w:firstLine="420" w:firstLineChars="200"/>
        <w:jc w:val="left"/>
        <w:rPr>
          <w:kern w:val="0"/>
        </w:rPr>
      </w:pPr>
      <w:r>
        <w:rPr>
          <w:rFonts w:hint="eastAsia"/>
          <w:kern w:val="0"/>
        </w:rPr>
        <w:t>理解：果品蔬菜贮运保鲜产业存在的主要问题。</w:t>
      </w:r>
    </w:p>
    <w:p>
      <w:pPr>
        <w:widowControl/>
        <w:adjustRightInd w:val="0"/>
        <w:snapToGrid w:val="0"/>
        <w:spacing w:line="360" w:lineRule="auto"/>
        <w:ind w:firstLine="420" w:firstLineChars="200"/>
        <w:jc w:val="left"/>
        <w:rPr>
          <w:kern w:val="0"/>
        </w:rPr>
      </w:pPr>
      <w:r>
        <w:rPr>
          <w:rFonts w:hint="eastAsia"/>
          <w:kern w:val="0"/>
        </w:rPr>
        <w:t>掌握：果品蔬菜贮运保鲜产业今后的发展方向。</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rFonts w:hint="eastAsia"/>
          <w:kern w:val="0"/>
          <w:szCs w:val="21"/>
        </w:rPr>
        <w:t>以课堂讲授的方式些结合大量实例、相关图片和视频讲述果品蔬菜采后处理产业的发展历史现状及存在问题，让学生对园艺产品采后处理有一定的直观理解（2学时）。</w:t>
      </w:r>
    </w:p>
    <w:p>
      <w:pPr>
        <w:widowControl/>
        <w:snapToGrid w:val="0"/>
        <w:spacing w:before="156" w:beforeLines="50" w:after="156" w:afterLines="50" w:line="360" w:lineRule="auto"/>
        <w:ind w:right="420"/>
        <w:jc w:val="right"/>
        <w:outlineLvl w:val="3"/>
        <w:rPr>
          <w:b/>
          <w:kern w:val="0"/>
          <w:sz w:val="24"/>
        </w:rPr>
      </w:pPr>
      <w:r>
        <w:rPr>
          <w:b/>
          <w:kern w:val="0"/>
        </w:rPr>
        <w:t>第一章</w:t>
      </w:r>
      <w:r>
        <w:rPr>
          <w:rFonts w:hint="eastAsia"/>
          <w:b/>
          <w:kern w:val="0"/>
          <w:lang w:val="en-US" w:eastAsia="zh-CN"/>
        </w:rPr>
        <w:t xml:space="preserve"> </w:t>
      </w:r>
      <w:r>
        <w:rPr>
          <w:b/>
          <w:kern w:val="0"/>
        </w:rPr>
        <w:t>果品蔬菜的质量构成与评价              学时数：3</w:t>
      </w:r>
    </w:p>
    <w:p>
      <w:pPr>
        <w:widowControl/>
        <w:snapToGrid w:val="0"/>
        <w:spacing w:line="360" w:lineRule="auto"/>
        <w:jc w:val="left"/>
        <w:textAlignment w:val="baseline"/>
        <w:rPr>
          <w:b/>
        </w:rPr>
      </w:pPr>
      <w:r>
        <w:rPr>
          <w:b/>
        </w:rPr>
        <w:t>教学目</w:t>
      </w:r>
      <w:r>
        <w:rPr>
          <w:b/>
          <w:bCs/>
        </w:rPr>
        <w:t>标</w:t>
      </w:r>
      <w:r>
        <w:rPr>
          <w:b/>
        </w:rPr>
        <w:t>：</w:t>
      </w:r>
    </w:p>
    <w:p>
      <w:pPr>
        <w:widowControl/>
        <w:snapToGrid w:val="0"/>
        <w:spacing w:line="360" w:lineRule="auto"/>
        <w:ind w:firstLine="420" w:firstLineChars="200"/>
        <w:jc w:val="left"/>
        <w:textAlignment w:val="baseline"/>
        <w:rPr>
          <w:b/>
          <w:kern w:val="0"/>
        </w:rPr>
      </w:pPr>
      <w:r>
        <w:rPr>
          <w:kern w:val="0"/>
        </w:rPr>
        <w:t>了解果品蔬菜的质量含义、质量标准，掌握果品蔬菜质量构成及质量评价方法。</w:t>
      </w:r>
    </w:p>
    <w:p>
      <w:pPr>
        <w:widowControl/>
        <w:snapToGrid w:val="0"/>
        <w:spacing w:line="360" w:lineRule="auto"/>
        <w:jc w:val="left"/>
        <w:textAlignment w:val="baseline"/>
        <w:rPr>
          <w:b/>
        </w:rPr>
      </w:pPr>
      <w:r>
        <w:rPr>
          <w:b/>
        </w:rPr>
        <w:t>教学重点和难点：</w:t>
      </w:r>
    </w:p>
    <w:p>
      <w:pPr>
        <w:widowControl/>
        <w:snapToGrid w:val="0"/>
        <w:spacing w:line="360" w:lineRule="auto"/>
        <w:ind w:firstLine="420" w:firstLineChars="200"/>
        <w:jc w:val="left"/>
        <w:textAlignment w:val="baseline"/>
        <w:rPr>
          <w:kern w:val="0"/>
        </w:rPr>
      </w:pPr>
      <w:r>
        <w:rPr>
          <w:bCs/>
        </w:rPr>
        <w:t>重点：</w:t>
      </w:r>
      <w:r>
        <w:rPr>
          <w:kern w:val="0"/>
        </w:rPr>
        <w:t>果品蔬菜的质量构成、质量评价方法。难点：果品蔬菜产品的卫生质量评价及其质量安全监测。</w:t>
      </w:r>
    </w:p>
    <w:p>
      <w:pPr>
        <w:widowControl/>
        <w:snapToGrid w:val="0"/>
        <w:spacing w:line="360" w:lineRule="auto"/>
        <w:jc w:val="left"/>
        <w:textAlignment w:val="baseline"/>
        <w:rPr>
          <w:b/>
        </w:rPr>
      </w:pPr>
      <w:r>
        <w:rPr>
          <w:b/>
        </w:rPr>
        <w:t>主要教学内容及要求：</w:t>
      </w:r>
    </w:p>
    <w:p>
      <w:pPr>
        <w:widowControl/>
        <w:snapToGrid w:val="0"/>
        <w:spacing w:line="360" w:lineRule="auto"/>
        <w:ind w:firstLine="420" w:firstLineChars="200"/>
        <w:jc w:val="left"/>
        <w:textAlignment w:val="baseline"/>
      </w:pPr>
      <w:r>
        <w:t>了解：</w:t>
      </w:r>
      <w:r>
        <w:rPr>
          <w:kern w:val="0"/>
        </w:rPr>
        <w:t>绿色食品、有机食品申请程序；</w:t>
      </w:r>
      <w:r>
        <w:t>质量标准和质量评价方法。</w:t>
      </w:r>
    </w:p>
    <w:p>
      <w:pPr>
        <w:widowControl/>
        <w:snapToGrid w:val="0"/>
        <w:spacing w:line="360" w:lineRule="auto"/>
        <w:ind w:firstLine="420" w:firstLineChars="200"/>
        <w:jc w:val="left"/>
        <w:textAlignment w:val="baseline"/>
        <w:rPr>
          <w:kern w:val="0"/>
        </w:rPr>
      </w:pPr>
      <w:r>
        <w:rPr>
          <w:kern w:val="0"/>
        </w:rPr>
        <w:t>理解：绿色食品、有机食品生产标准组成、联系及区别。</w:t>
      </w:r>
    </w:p>
    <w:p>
      <w:pPr>
        <w:widowControl/>
        <w:snapToGrid w:val="0"/>
        <w:spacing w:line="360" w:lineRule="auto"/>
        <w:ind w:firstLine="420" w:firstLineChars="200"/>
        <w:jc w:val="left"/>
        <w:textAlignment w:val="baseline"/>
        <w:rPr>
          <w:kern w:val="0"/>
        </w:rPr>
      </w:pPr>
      <w:r>
        <w:rPr>
          <w:kern w:val="0"/>
        </w:rPr>
        <w:t>掌握：</w:t>
      </w:r>
      <w:r>
        <w:t>果蔬的质量构成；</w:t>
      </w:r>
      <w:r>
        <w:rPr>
          <w:kern w:val="0"/>
        </w:rPr>
        <w:t>绿色食品、有机食品定义；绿色食品、有机食品质量的评价方法。</w:t>
      </w:r>
    </w:p>
    <w:p>
      <w:pPr>
        <w:widowControl/>
        <w:snapToGrid w:val="0"/>
        <w:spacing w:line="360" w:lineRule="auto"/>
        <w:ind w:firstLine="420" w:firstLineChars="200"/>
        <w:jc w:val="left"/>
        <w:textAlignment w:val="baseline"/>
        <w:rPr>
          <w:kern w:val="0"/>
        </w:rPr>
      </w:pPr>
      <w:r>
        <w:rPr>
          <w:kern w:val="0"/>
        </w:rPr>
        <w:t>熟练掌握：绿色食品、有机食品卫生质量的标准、质量评价方法。</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rFonts w:hint="eastAsia"/>
          <w:kern w:val="0"/>
          <w:szCs w:val="21"/>
        </w:rPr>
        <w:t>以课堂授课的形式，讲述果</w:t>
      </w:r>
      <w:r>
        <w:rPr>
          <w:kern w:val="0"/>
        </w:rPr>
        <w:t>品蔬菜质量含义、质量标准，掌握果品蔬菜质量构成及质量评价方法，同时</w:t>
      </w:r>
      <w:r>
        <w:rPr>
          <w:rFonts w:hint="eastAsia"/>
          <w:kern w:val="0"/>
          <w:szCs w:val="21"/>
        </w:rPr>
        <w:t>授课过程中加入大量</w:t>
      </w:r>
      <w:r>
        <w:rPr>
          <w:kern w:val="0"/>
        </w:rPr>
        <w:t>质量卫生、质量评价与质量标准等案例图片和视频</w:t>
      </w:r>
      <w:r>
        <w:rPr>
          <w:rFonts w:hint="eastAsia"/>
          <w:kern w:val="0"/>
          <w:szCs w:val="21"/>
        </w:rPr>
        <w:t>，让学生掌握园艺产品质量构成、质量标准及评价方法（3学时）。</w:t>
      </w:r>
    </w:p>
    <w:p>
      <w:pPr>
        <w:widowControl/>
        <w:jc w:val="left"/>
        <w:rPr>
          <w:kern w:val="0"/>
          <w:szCs w:val="21"/>
        </w:rPr>
      </w:pPr>
      <w:r>
        <w:rPr>
          <w:kern w:val="0"/>
          <w:szCs w:val="21"/>
        </w:rPr>
        <w:br w:type="page"/>
      </w:r>
    </w:p>
    <w:p>
      <w:pPr>
        <w:widowControl/>
        <w:snapToGrid w:val="0"/>
        <w:spacing w:before="156" w:beforeLines="50" w:after="156" w:afterLines="50" w:line="360" w:lineRule="auto"/>
        <w:jc w:val="right"/>
        <w:outlineLvl w:val="3"/>
        <w:rPr>
          <w:b/>
          <w:kern w:val="0"/>
        </w:rPr>
      </w:pPr>
      <w:r>
        <w:rPr>
          <w:b/>
          <w:kern w:val="0"/>
        </w:rPr>
        <w:t>第二章</w:t>
      </w:r>
      <w:r>
        <w:rPr>
          <w:rFonts w:hint="eastAsia"/>
          <w:b/>
          <w:kern w:val="0"/>
          <w:lang w:val="en-US" w:eastAsia="zh-CN"/>
        </w:rPr>
        <w:t xml:space="preserve"> </w:t>
      </w:r>
      <w:r>
        <w:rPr>
          <w:b/>
          <w:kern w:val="0"/>
        </w:rPr>
        <w:t>果品蔬菜的采后生理 </w:t>
      </w:r>
      <w:r>
        <w:rPr>
          <w:rFonts w:hint="eastAsia"/>
          <w:b/>
          <w:kern w:val="0"/>
        </w:rPr>
        <w:t xml:space="preserve">                    </w:t>
      </w:r>
      <w:r>
        <w:rPr>
          <w:b/>
          <w:kern w:val="0"/>
        </w:rPr>
        <w:t>学时数：</w:t>
      </w:r>
      <w:r>
        <w:rPr>
          <w:rFonts w:hint="eastAsia"/>
          <w:b/>
          <w:kern w:val="0"/>
        </w:rPr>
        <w:t>8</w:t>
      </w:r>
    </w:p>
    <w:p>
      <w:pPr>
        <w:widowControl/>
        <w:tabs>
          <w:tab w:val="left" w:pos="1260"/>
        </w:tabs>
        <w:snapToGrid w:val="0"/>
        <w:spacing w:line="360" w:lineRule="auto"/>
        <w:textAlignment w:val="baseline"/>
        <w:rPr>
          <w:b/>
        </w:rPr>
      </w:pPr>
      <w:r>
        <w:rPr>
          <w:b/>
        </w:rPr>
        <w:t>教学目</w:t>
      </w:r>
      <w:r>
        <w:rPr>
          <w:b/>
          <w:bCs/>
        </w:rPr>
        <w:t>标</w:t>
      </w:r>
      <w:r>
        <w:rPr>
          <w:b/>
        </w:rPr>
        <w:t>：</w:t>
      </w:r>
    </w:p>
    <w:p>
      <w:pPr>
        <w:widowControl/>
        <w:tabs>
          <w:tab w:val="left" w:pos="1260"/>
        </w:tabs>
        <w:snapToGrid w:val="0"/>
        <w:spacing w:line="360" w:lineRule="auto"/>
        <w:ind w:firstLine="420" w:firstLineChars="200"/>
        <w:textAlignment w:val="baseline"/>
        <w:rPr>
          <w:kern w:val="0"/>
        </w:rPr>
      </w:pPr>
      <w:r>
        <w:rPr>
          <w:kern w:val="0"/>
        </w:rPr>
        <w:t>了解果蔬的成熟衰老及采后生理有关概念，掌握果蔬的成熟与衰老、呼吸与乙烯、蒸腾休眠等采后生理基本理论及其影响因素，使学生认识各种采后生理变化规律及其调控措施与果蔬贮运的关系。</w:t>
      </w:r>
    </w:p>
    <w:p>
      <w:pPr>
        <w:widowControl/>
        <w:tabs>
          <w:tab w:val="left" w:pos="1260"/>
        </w:tabs>
        <w:snapToGrid w:val="0"/>
        <w:spacing w:line="360" w:lineRule="auto"/>
        <w:textAlignment w:val="baseline"/>
        <w:rPr>
          <w:b/>
        </w:rPr>
      </w:pPr>
      <w:r>
        <w:rPr>
          <w:b/>
        </w:rPr>
        <w:t>教学重点和难点：</w:t>
      </w:r>
    </w:p>
    <w:p>
      <w:pPr>
        <w:widowControl/>
        <w:tabs>
          <w:tab w:val="left" w:pos="1260"/>
        </w:tabs>
        <w:snapToGrid w:val="0"/>
        <w:spacing w:line="360" w:lineRule="auto"/>
        <w:ind w:firstLine="420" w:firstLineChars="200"/>
        <w:textAlignment w:val="baseline"/>
        <w:rPr>
          <w:kern w:val="0"/>
        </w:rPr>
      </w:pPr>
      <w:r>
        <w:rPr>
          <w:kern w:val="0"/>
        </w:rPr>
        <w:t>重点：影响呼吸作用的因素；呼吸跃变类型在采后生理上的区别及生产中调控后熟的相关技术措施；机械伤对果蔬生理变化及贮藏损失的影响；乙烯合成代谢及其影响因素。难点：乙烯代谢变化与产品后熟衰老调控的技术措施。</w:t>
      </w:r>
    </w:p>
    <w:p>
      <w:pPr>
        <w:widowControl/>
        <w:adjustRightInd w:val="0"/>
        <w:snapToGrid w:val="0"/>
        <w:spacing w:line="360" w:lineRule="auto"/>
        <w:jc w:val="left"/>
        <w:rPr>
          <w:b/>
        </w:rPr>
      </w:pPr>
      <w:r>
        <w:rPr>
          <w:b/>
        </w:rPr>
        <w:t>主要教学内容及要求：</w:t>
      </w:r>
    </w:p>
    <w:p>
      <w:pPr>
        <w:widowControl/>
        <w:adjustRightInd w:val="0"/>
        <w:snapToGrid w:val="0"/>
        <w:spacing w:line="360" w:lineRule="auto"/>
        <w:ind w:left="420" w:leftChars="200"/>
        <w:jc w:val="left"/>
        <w:rPr>
          <w:kern w:val="0"/>
        </w:rPr>
      </w:pPr>
      <w:r>
        <w:rPr>
          <w:kern w:val="0"/>
        </w:rPr>
        <w:t>（1）果品蔬菜的成熟与衰老</w:t>
      </w:r>
    </w:p>
    <w:p>
      <w:pPr>
        <w:widowControl/>
        <w:adjustRightInd w:val="0"/>
        <w:snapToGrid w:val="0"/>
        <w:spacing w:line="360" w:lineRule="auto"/>
        <w:ind w:left="420" w:leftChars="200"/>
        <w:jc w:val="left"/>
      </w:pPr>
      <w:r>
        <w:rPr>
          <w:kern w:val="0"/>
        </w:rPr>
        <w:t>（2）果品蔬菜的呼吸作用</w:t>
      </w:r>
    </w:p>
    <w:p>
      <w:pPr>
        <w:widowControl/>
        <w:adjustRightInd w:val="0"/>
        <w:snapToGrid w:val="0"/>
        <w:spacing w:line="360" w:lineRule="auto"/>
        <w:ind w:left="420" w:leftChars="200"/>
        <w:jc w:val="left"/>
      </w:pPr>
      <w:r>
        <w:rPr>
          <w:kern w:val="0"/>
        </w:rPr>
        <w:t>（3）乙烯与果品蔬菜的成熟衰老</w:t>
      </w:r>
    </w:p>
    <w:p>
      <w:pPr>
        <w:widowControl/>
        <w:adjustRightInd w:val="0"/>
        <w:snapToGrid w:val="0"/>
        <w:spacing w:line="360" w:lineRule="auto"/>
        <w:ind w:left="420" w:leftChars="200"/>
        <w:jc w:val="left"/>
      </w:pPr>
      <w:r>
        <w:rPr>
          <w:kern w:val="0"/>
        </w:rPr>
        <w:t>（4）果品蔬菜的蒸腾作用</w:t>
      </w:r>
    </w:p>
    <w:p>
      <w:pPr>
        <w:widowControl/>
        <w:adjustRightInd w:val="0"/>
        <w:snapToGrid w:val="0"/>
        <w:spacing w:line="360" w:lineRule="auto"/>
        <w:ind w:left="420" w:leftChars="200"/>
        <w:jc w:val="left"/>
      </w:pPr>
      <w:r>
        <w:rPr>
          <w:kern w:val="0"/>
        </w:rPr>
        <w:t>（5）蔬菜的休眠与贮藏</w:t>
      </w:r>
    </w:p>
    <w:p>
      <w:pPr>
        <w:widowControl/>
        <w:adjustRightInd w:val="0"/>
        <w:snapToGrid w:val="0"/>
        <w:spacing w:line="360" w:lineRule="auto"/>
        <w:ind w:firstLine="420" w:firstLineChars="200"/>
        <w:jc w:val="left"/>
        <w:rPr>
          <w:kern w:val="0"/>
        </w:rPr>
      </w:pPr>
      <w:r>
        <w:rPr>
          <w:kern w:val="0"/>
        </w:rPr>
        <w:t>了解：成熟衰老过程中果蔬的化学成分、细胞壁结构与软化相关酶化学变化与贮藏品质、贮藏寿命的关系。影响蒸腾作用的主要因素。</w:t>
      </w:r>
    </w:p>
    <w:p>
      <w:pPr>
        <w:widowControl/>
        <w:adjustRightInd w:val="0"/>
        <w:snapToGrid w:val="0"/>
        <w:spacing w:line="360" w:lineRule="auto"/>
        <w:ind w:firstLine="420" w:firstLineChars="200"/>
        <w:jc w:val="left"/>
        <w:rPr>
          <w:kern w:val="0"/>
        </w:rPr>
      </w:pPr>
      <w:r>
        <w:rPr>
          <w:kern w:val="0"/>
        </w:rPr>
        <w:t>理解：生物技术调控果蔬成熟衰老的机理及其技术应用潜力、可行性。呼吸作用的本质、呼吸跃变类型对果蔬成熟衰老及贮藏品质变化的影响规律；休眠特性与蔬菜产品贮藏品质、贮藏寿命变化的关系。</w:t>
      </w:r>
    </w:p>
    <w:p>
      <w:pPr>
        <w:widowControl/>
        <w:adjustRightInd w:val="0"/>
        <w:snapToGrid w:val="0"/>
        <w:spacing w:line="360" w:lineRule="auto"/>
        <w:ind w:firstLine="420" w:firstLineChars="200"/>
        <w:jc w:val="left"/>
        <w:rPr>
          <w:kern w:val="0"/>
        </w:rPr>
      </w:pPr>
      <w:r>
        <w:rPr>
          <w:kern w:val="0"/>
        </w:rPr>
        <w:t>掌握：成熟、后熟、衰老、呼吸强度、呼吸跃变、呼吸高峰、呼吸热、蒸腾作用、休眠等的定义；呼吸热的计算方法及降低产品营养消耗的技术措施；蒸腾作用与果蔬贮藏保鲜的关系，生产中减少产品失水萎焉的技术措施。</w:t>
      </w:r>
    </w:p>
    <w:p>
      <w:pPr>
        <w:widowControl/>
        <w:adjustRightInd w:val="0"/>
        <w:snapToGrid w:val="0"/>
        <w:spacing w:line="360" w:lineRule="auto"/>
        <w:ind w:firstLine="420" w:firstLineChars="200"/>
        <w:jc w:val="left"/>
        <w:rPr>
          <w:kern w:val="0"/>
        </w:rPr>
      </w:pPr>
      <w:r>
        <w:rPr>
          <w:kern w:val="0"/>
        </w:rPr>
        <w:t>熟练掌握：影响产品呼吸作用的因素；影响蒸腾作用的因素；乙烯代谢变化及其影响因素，贮运实践中调控产品成熟衰老的关键技术措施。</w:t>
      </w:r>
    </w:p>
    <w:p>
      <w:pPr>
        <w:widowControl/>
        <w:snapToGrid w:val="0"/>
        <w:spacing w:line="360" w:lineRule="auto"/>
        <w:rPr>
          <w:b/>
          <w:bCs/>
        </w:rPr>
      </w:pPr>
      <w:r>
        <w:rPr>
          <w:b/>
          <w:bCs/>
        </w:rPr>
        <w:t>教学组织与实施：</w:t>
      </w:r>
    </w:p>
    <w:p>
      <w:pPr>
        <w:widowControl/>
        <w:snapToGrid w:val="0"/>
        <w:spacing w:line="360" w:lineRule="auto"/>
        <w:ind w:firstLine="420" w:firstLineChars="200"/>
        <w:rPr>
          <w:kern w:val="0"/>
        </w:rPr>
      </w:pPr>
      <w:r>
        <w:rPr>
          <w:rFonts w:hint="eastAsia"/>
          <w:kern w:val="0"/>
          <w:szCs w:val="21"/>
        </w:rPr>
        <w:t>以课堂讲授的方式，同时结合大量</w:t>
      </w:r>
      <w:r>
        <w:rPr>
          <w:kern w:val="0"/>
        </w:rPr>
        <w:t>图片和视频等多媒体资源，讲述果蔬的成熟与衰老、呼吸与乙烯、蒸腾休眠等采后生理基本理论及其影响因素。另外，理论课程教学要与实验教学紧密结合，本章理论课讲授完成后及时安排呼吸强度测定等相关实验，让同学们通过实验加深对理论教学内容的理解和掌握</w:t>
      </w:r>
      <w:r>
        <w:rPr>
          <w:rFonts w:hint="eastAsia"/>
          <w:kern w:val="0"/>
          <w:szCs w:val="21"/>
        </w:rPr>
        <w:t>（8学时）</w:t>
      </w:r>
      <w:r>
        <w:rPr>
          <w:kern w:val="0"/>
        </w:rPr>
        <w:t>。</w:t>
      </w:r>
    </w:p>
    <w:p>
      <w:pPr>
        <w:widowControl/>
        <w:jc w:val="left"/>
        <w:rPr>
          <w:kern w:val="0"/>
        </w:rPr>
      </w:pPr>
      <w:r>
        <w:rPr>
          <w:kern w:val="0"/>
        </w:rPr>
        <w:br w:type="page"/>
      </w:r>
    </w:p>
    <w:p>
      <w:pPr>
        <w:widowControl/>
        <w:snapToGrid w:val="0"/>
        <w:spacing w:before="156" w:beforeLines="50" w:after="156" w:afterLines="50" w:line="360" w:lineRule="auto"/>
        <w:jc w:val="right"/>
        <w:outlineLvl w:val="3"/>
        <w:rPr>
          <w:b/>
          <w:kern w:val="0"/>
          <w:sz w:val="24"/>
        </w:rPr>
      </w:pPr>
      <w:r>
        <w:rPr>
          <w:b/>
          <w:kern w:val="0"/>
        </w:rPr>
        <w:t>第三章</w:t>
      </w:r>
      <w:r>
        <w:rPr>
          <w:rFonts w:hint="eastAsia"/>
          <w:b/>
          <w:kern w:val="0"/>
          <w:lang w:val="en-US" w:eastAsia="zh-CN"/>
        </w:rPr>
        <w:t xml:space="preserve"> </w:t>
      </w:r>
      <w:r>
        <w:rPr>
          <w:b/>
          <w:kern w:val="0"/>
        </w:rPr>
        <w:t>影响果品蔬菜贮藏性的因素 </w:t>
      </w:r>
      <w:r>
        <w:rPr>
          <w:rFonts w:hint="eastAsia"/>
          <w:b/>
          <w:kern w:val="0"/>
        </w:rPr>
        <w:t xml:space="preserve">             </w:t>
      </w:r>
      <w:r>
        <w:rPr>
          <w:b/>
          <w:kern w:val="0"/>
        </w:rPr>
        <w:t>学时数：2</w:t>
      </w:r>
    </w:p>
    <w:p>
      <w:pPr>
        <w:widowControl/>
        <w:snapToGrid w:val="0"/>
        <w:spacing w:line="360" w:lineRule="auto"/>
        <w:jc w:val="left"/>
        <w:textAlignment w:val="baseline"/>
        <w:rPr>
          <w:b/>
        </w:rPr>
      </w:pPr>
      <w:r>
        <w:rPr>
          <w:b/>
        </w:rPr>
        <w:t>教学目</w:t>
      </w:r>
      <w:r>
        <w:rPr>
          <w:b/>
          <w:bCs/>
        </w:rPr>
        <w:t>标</w:t>
      </w:r>
      <w:r>
        <w:rPr>
          <w:b/>
        </w:rPr>
        <w:t>：</w:t>
      </w:r>
    </w:p>
    <w:p>
      <w:pPr>
        <w:widowControl/>
        <w:snapToGrid w:val="0"/>
        <w:spacing w:line="360" w:lineRule="auto"/>
        <w:ind w:firstLine="420" w:firstLineChars="200"/>
        <w:jc w:val="left"/>
        <w:textAlignment w:val="baseline"/>
        <w:rPr>
          <w:b/>
          <w:kern w:val="0"/>
        </w:rPr>
      </w:pPr>
      <w:r>
        <w:rPr>
          <w:kern w:val="0"/>
        </w:rPr>
        <w:t>了解自身因素、采前因素、贮藏环境条件对果蔬贮藏效果影响，认识到果品蔬菜贮藏保鲜是一项系统工程。</w:t>
      </w:r>
    </w:p>
    <w:p>
      <w:pPr>
        <w:widowControl/>
        <w:snapToGrid w:val="0"/>
        <w:spacing w:line="360" w:lineRule="auto"/>
        <w:jc w:val="left"/>
        <w:textAlignment w:val="baseline"/>
        <w:rPr>
          <w:b/>
        </w:rPr>
      </w:pPr>
      <w:r>
        <w:rPr>
          <w:b/>
        </w:rPr>
        <w:t>教学重点和难点：</w:t>
      </w:r>
    </w:p>
    <w:p>
      <w:pPr>
        <w:widowControl/>
        <w:snapToGrid w:val="0"/>
        <w:spacing w:line="360" w:lineRule="auto"/>
        <w:ind w:firstLine="420" w:firstLineChars="200"/>
        <w:jc w:val="left"/>
        <w:textAlignment w:val="baseline"/>
        <w:rPr>
          <w:kern w:val="0"/>
        </w:rPr>
      </w:pPr>
      <w:r>
        <w:rPr>
          <w:kern w:val="0"/>
        </w:rPr>
        <w:t>采前因素、贮藏环境条件共同影响果品蔬菜贮运效果。难点：认识适宜的生态条件、良好的栽培管理和适宜的贮运条件是生产优质产品和获得良好保鲜效果的重要基础和保证。</w:t>
      </w:r>
    </w:p>
    <w:p>
      <w:pPr>
        <w:widowControl/>
        <w:snapToGrid w:val="0"/>
        <w:spacing w:line="360" w:lineRule="auto"/>
        <w:jc w:val="left"/>
        <w:textAlignment w:val="baseline"/>
        <w:rPr>
          <w:b/>
        </w:rPr>
      </w:pPr>
      <w:r>
        <w:rPr>
          <w:b/>
        </w:rPr>
        <w:t>主要教学内容及要求：</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1</w:t>
      </w:r>
      <w:r>
        <w:rPr>
          <w:rFonts w:hint="eastAsia"/>
          <w:kern w:val="0"/>
          <w:szCs w:val="21"/>
        </w:rPr>
        <w:t>）自身因素</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2</w:t>
      </w:r>
      <w:r>
        <w:rPr>
          <w:rFonts w:hint="eastAsia"/>
          <w:kern w:val="0"/>
          <w:szCs w:val="21"/>
        </w:rPr>
        <w:t>）采前因素</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3</w:t>
      </w:r>
      <w:r>
        <w:rPr>
          <w:rFonts w:hint="eastAsia"/>
          <w:kern w:val="0"/>
          <w:szCs w:val="21"/>
        </w:rPr>
        <w:t>）贮藏因素</w:t>
      </w:r>
    </w:p>
    <w:p>
      <w:pPr>
        <w:widowControl/>
        <w:snapToGrid w:val="0"/>
        <w:spacing w:line="360" w:lineRule="auto"/>
        <w:ind w:firstLine="420" w:firstLineChars="200"/>
        <w:jc w:val="left"/>
        <w:textAlignment w:val="baseline"/>
        <w:rPr>
          <w:kern w:val="0"/>
        </w:rPr>
      </w:pPr>
      <w:r>
        <w:rPr>
          <w:kern w:val="0"/>
        </w:rPr>
        <w:t>了解：影响贮藏效果的采前、采后因素。</w:t>
      </w:r>
    </w:p>
    <w:p>
      <w:pPr>
        <w:widowControl/>
        <w:snapToGrid w:val="0"/>
        <w:spacing w:line="360" w:lineRule="auto"/>
        <w:ind w:firstLine="420" w:firstLineChars="200"/>
        <w:jc w:val="left"/>
        <w:textAlignment w:val="baseline"/>
        <w:rPr>
          <w:kern w:val="0"/>
        </w:rPr>
      </w:pPr>
      <w:r>
        <w:rPr>
          <w:kern w:val="0"/>
        </w:rPr>
        <w:t>理解：不同种类、品种果品、蔬菜耐贮藏性的差异原因；采后贮藏保鲜是一个系统工程。</w:t>
      </w:r>
    </w:p>
    <w:p>
      <w:pPr>
        <w:widowControl/>
        <w:snapToGrid w:val="0"/>
        <w:spacing w:line="360" w:lineRule="auto"/>
        <w:ind w:firstLine="420" w:firstLineChars="200"/>
        <w:jc w:val="left"/>
        <w:textAlignment w:val="baseline"/>
        <w:rPr>
          <w:kern w:val="0"/>
        </w:rPr>
      </w:pPr>
      <w:r>
        <w:rPr>
          <w:kern w:val="0"/>
        </w:rPr>
        <w:t>掌握：内在因素、生态条件、农业技术对果蔬耐贮藏性的影响。</w:t>
      </w:r>
    </w:p>
    <w:p>
      <w:pPr>
        <w:widowControl/>
        <w:snapToGrid w:val="0"/>
        <w:spacing w:line="360" w:lineRule="auto"/>
        <w:ind w:firstLine="420" w:firstLineChars="200"/>
        <w:jc w:val="left"/>
        <w:textAlignment w:val="baseline"/>
        <w:rPr>
          <w:kern w:val="0"/>
        </w:rPr>
      </w:pPr>
      <w:r>
        <w:rPr>
          <w:kern w:val="0"/>
        </w:rPr>
        <w:t>熟练掌握：影响采后果蔬产品质量的贮藏因素。</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rFonts w:hint="eastAsia"/>
          <w:kern w:val="0"/>
          <w:szCs w:val="21"/>
        </w:rPr>
        <w:t>以课堂授课的形式，讲述影响</w:t>
      </w:r>
      <w:r>
        <w:rPr>
          <w:kern w:val="0"/>
        </w:rPr>
        <w:t>园艺产品贮藏性的自身因素、采前因素、贮藏环境条件等，</w:t>
      </w:r>
      <w:r>
        <w:rPr>
          <w:rFonts w:hint="eastAsia"/>
          <w:kern w:val="0"/>
          <w:szCs w:val="21"/>
        </w:rPr>
        <w:t>授课过程中加入大量</w:t>
      </w:r>
      <w:r>
        <w:rPr>
          <w:kern w:val="0"/>
        </w:rPr>
        <w:t>园艺产品贮藏性受影响后的图片和视频</w:t>
      </w:r>
      <w:r>
        <w:rPr>
          <w:rFonts w:hint="eastAsia"/>
          <w:kern w:val="0"/>
          <w:szCs w:val="21"/>
        </w:rPr>
        <w:t>，提供一些生理性病害的网络资源，让学生掌握</w:t>
      </w:r>
      <w:r>
        <w:rPr>
          <w:kern w:val="0"/>
        </w:rPr>
        <w:t>影响采后果蔬产品质量的贮藏因素</w:t>
      </w:r>
      <w:r>
        <w:rPr>
          <w:rFonts w:hint="eastAsia"/>
          <w:kern w:val="0"/>
          <w:szCs w:val="21"/>
        </w:rPr>
        <w:t>（2学时）。</w:t>
      </w:r>
    </w:p>
    <w:p>
      <w:pPr>
        <w:widowControl/>
        <w:wordWrap w:val="0"/>
        <w:snapToGrid w:val="0"/>
        <w:spacing w:before="156" w:beforeLines="50" w:after="156" w:afterLines="50" w:line="360" w:lineRule="auto"/>
        <w:jc w:val="right"/>
        <w:outlineLvl w:val="3"/>
        <w:rPr>
          <w:b/>
          <w:kern w:val="0"/>
          <w:sz w:val="24"/>
        </w:rPr>
      </w:pPr>
      <w:r>
        <w:rPr>
          <w:b/>
          <w:kern w:val="0"/>
        </w:rPr>
        <w:t>第四章</w:t>
      </w:r>
      <w:r>
        <w:rPr>
          <w:rFonts w:hint="eastAsia"/>
          <w:b/>
          <w:kern w:val="0"/>
          <w:lang w:val="en-US" w:eastAsia="zh-CN"/>
        </w:rPr>
        <w:t xml:space="preserve"> </w:t>
      </w:r>
      <w:r>
        <w:rPr>
          <w:b/>
          <w:kern w:val="0"/>
        </w:rPr>
        <w:t>果品蔬菜的采收和采后处理                 学时数：6</w:t>
      </w:r>
    </w:p>
    <w:p>
      <w:pPr>
        <w:widowControl/>
        <w:snapToGrid w:val="0"/>
        <w:spacing w:line="360" w:lineRule="auto"/>
        <w:textAlignment w:val="baseline"/>
        <w:rPr>
          <w:b/>
        </w:rPr>
      </w:pPr>
      <w:r>
        <w:rPr>
          <w:b/>
        </w:rPr>
        <w:t>教学目</w:t>
      </w:r>
      <w:r>
        <w:rPr>
          <w:b/>
          <w:bCs/>
        </w:rPr>
        <w:t>标</w:t>
      </w:r>
      <w:r>
        <w:rPr>
          <w:b/>
        </w:rPr>
        <w:t>：</w:t>
      </w:r>
    </w:p>
    <w:p>
      <w:pPr>
        <w:widowControl/>
        <w:snapToGrid w:val="0"/>
        <w:spacing w:line="360" w:lineRule="auto"/>
        <w:ind w:firstLine="420" w:firstLineChars="200"/>
        <w:textAlignment w:val="baseline"/>
        <w:rPr>
          <w:kern w:val="0"/>
        </w:rPr>
      </w:pPr>
      <w:r>
        <w:rPr>
          <w:kern w:val="0"/>
        </w:rPr>
        <w:t>了解影响果品蔬菜采收因素和采后进行分级、清洗、包装、催熟、预冷处理的作用及技术要求，认识到果蔬的贮藏性、商品质量与采收和采后处理的密切关系。</w:t>
      </w:r>
    </w:p>
    <w:p>
      <w:pPr>
        <w:widowControl/>
        <w:snapToGrid w:val="0"/>
        <w:spacing w:line="360" w:lineRule="auto"/>
        <w:textAlignment w:val="baseline"/>
        <w:rPr>
          <w:b/>
        </w:rPr>
      </w:pPr>
      <w:r>
        <w:rPr>
          <w:b/>
        </w:rPr>
        <w:t>教学重点和难点：</w:t>
      </w:r>
    </w:p>
    <w:p>
      <w:pPr>
        <w:widowControl/>
        <w:snapToGrid w:val="0"/>
        <w:spacing w:line="360" w:lineRule="auto"/>
        <w:ind w:firstLine="420" w:firstLineChars="200"/>
        <w:textAlignment w:val="baseline"/>
        <w:rPr>
          <w:kern w:val="0"/>
        </w:rPr>
      </w:pPr>
      <w:r>
        <w:rPr>
          <w:kern w:val="0"/>
        </w:rPr>
        <w:t>重点：确定果蔬成熟度的方法、采后处理各程序作用及分级、包装的关键操作技术。难点：果蔬预冷方式、配套设备及其应用管理技术。</w:t>
      </w:r>
    </w:p>
    <w:p>
      <w:pPr>
        <w:widowControl/>
        <w:snapToGrid w:val="0"/>
        <w:spacing w:line="360" w:lineRule="auto"/>
        <w:textAlignment w:val="baseline"/>
        <w:rPr>
          <w:b/>
        </w:rPr>
      </w:pPr>
      <w:r>
        <w:rPr>
          <w:b/>
        </w:rPr>
        <w:t>主要教学内容及要求：</w:t>
      </w:r>
    </w:p>
    <w:p>
      <w:pPr>
        <w:widowControl/>
        <w:snapToGrid w:val="0"/>
        <w:spacing w:line="360" w:lineRule="auto"/>
        <w:ind w:firstLine="420" w:firstLineChars="200"/>
        <w:textAlignment w:val="baseline"/>
        <w:rPr>
          <w:kern w:val="0"/>
        </w:rPr>
      </w:pPr>
      <w:r>
        <w:rPr>
          <w:kern w:val="0"/>
        </w:rPr>
        <w:t>了解：果蔬采收基本原则、采收方法及注意事项；果蔬商品化处理各程序（分级、晾晒与愈伤、清洗、防腐、催熟与脱涩、预冷、包装）的作用。</w:t>
      </w:r>
    </w:p>
    <w:p>
      <w:pPr>
        <w:widowControl/>
        <w:snapToGrid w:val="0"/>
        <w:spacing w:line="360" w:lineRule="auto"/>
        <w:ind w:firstLine="420" w:firstLineChars="200"/>
        <w:textAlignment w:val="baseline"/>
        <w:rPr>
          <w:kern w:val="0"/>
        </w:rPr>
      </w:pPr>
      <w:r>
        <w:rPr>
          <w:kern w:val="0"/>
        </w:rPr>
        <w:t>理解：确定果蔬采收期考虑因素与收获后果蔬的商品质量关系；果蔬采收成熟度与果蔬成熟度的关系；不同包装设计类型、方法与商品质量变化的关系。</w:t>
      </w:r>
    </w:p>
    <w:p>
      <w:pPr>
        <w:widowControl/>
        <w:snapToGrid w:val="0"/>
        <w:spacing w:line="360" w:lineRule="auto"/>
        <w:ind w:firstLine="420" w:firstLineChars="200"/>
        <w:textAlignment w:val="baseline"/>
        <w:rPr>
          <w:kern w:val="0"/>
        </w:rPr>
      </w:pPr>
      <w:r>
        <w:rPr>
          <w:kern w:val="0"/>
        </w:rPr>
        <w:t>掌握：判断果蔬成熟度的标准、方法；商品化处理（分级、清洗、防腐、催熟、包装）各程序操作的关键技术。</w:t>
      </w:r>
    </w:p>
    <w:p>
      <w:pPr>
        <w:widowControl/>
        <w:snapToGrid w:val="0"/>
        <w:spacing w:line="360" w:lineRule="auto"/>
        <w:ind w:firstLine="420" w:firstLineChars="200"/>
        <w:textAlignment w:val="baseline"/>
        <w:rPr>
          <w:kern w:val="0"/>
        </w:rPr>
      </w:pPr>
      <w:r>
        <w:rPr>
          <w:kern w:val="0"/>
        </w:rPr>
        <w:t>熟练掌握：不同预冷方式、配套设备特点及其操作关键技术。</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rFonts w:hint="eastAsia"/>
          <w:kern w:val="0"/>
          <w:szCs w:val="21"/>
        </w:rPr>
        <w:t>以课堂授课的形式，讲述影响</w:t>
      </w:r>
      <w:r>
        <w:rPr>
          <w:kern w:val="0"/>
        </w:rPr>
        <w:t>园艺产品采收原则和采收方法；同时利用视频展示园艺产品国际先进的机械化采收方法，深入、直观的让学生了解目前国际上园艺产品采收的现状，并掌握一些基本的采收原则与采收方法等</w:t>
      </w:r>
      <w:r>
        <w:rPr>
          <w:rFonts w:hint="eastAsia"/>
          <w:kern w:val="0"/>
          <w:szCs w:val="21"/>
        </w:rPr>
        <w:t>（3学时）。</w:t>
      </w:r>
    </w:p>
    <w:p>
      <w:pPr>
        <w:widowControl/>
        <w:snapToGrid w:val="0"/>
        <w:spacing w:line="360" w:lineRule="auto"/>
        <w:ind w:firstLine="420" w:firstLineChars="200"/>
        <w:rPr>
          <w:kern w:val="0"/>
        </w:rPr>
      </w:pPr>
      <w:r>
        <w:rPr>
          <w:rFonts w:hint="eastAsia"/>
          <w:kern w:val="0"/>
          <w:szCs w:val="21"/>
        </w:rPr>
        <w:t>以课堂授课的形式，讲述影响</w:t>
      </w:r>
      <w:r>
        <w:rPr>
          <w:kern w:val="0"/>
        </w:rPr>
        <w:t>园艺产品采后商品化处理程序；同时利用视频展示园艺产品采后商品化处理流水线（分级、药剂处理、包装、预冷与催熟），直观的让学生了解并掌握目前园艺产品采后商品化处理流程</w:t>
      </w:r>
      <w:r>
        <w:rPr>
          <w:rFonts w:hint="eastAsia"/>
          <w:kern w:val="0"/>
          <w:szCs w:val="21"/>
        </w:rPr>
        <w:t>（3学时）。</w:t>
      </w:r>
    </w:p>
    <w:p>
      <w:pPr>
        <w:widowControl/>
        <w:snapToGrid w:val="0"/>
        <w:spacing w:before="156" w:beforeLines="50" w:after="156" w:afterLines="50" w:line="360" w:lineRule="auto"/>
        <w:jc w:val="right"/>
        <w:outlineLvl w:val="3"/>
        <w:rPr>
          <w:b/>
          <w:kern w:val="0"/>
        </w:rPr>
      </w:pPr>
      <w:r>
        <w:rPr>
          <w:b/>
          <w:kern w:val="0"/>
        </w:rPr>
        <w:t>第五章</w:t>
      </w:r>
      <w:r>
        <w:rPr>
          <w:rFonts w:hint="eastAsia"/>
          <w:b/>
          <w:kern w:val="0"/>
          <w:lang w:val="en-US" w:eastAsia="zh-CN"/>
        </w:rPr>
        <w:t xml:space="preserve"> </w:t>
      </w:r>
      <w:r>
        <w:rPr>
          <w:b/>
          <w:kern w:val="0"/>
        </w:rPr>
        <w:t>果品蔬菜的物流                       学时数：3</w:t>
      </w:r>
    </w:p>
    <w:p>
      <w:pPr>
        <w:widowControl/>
        <w:snapToGrid w:val="0"/>
        <w:spacing w:line="360" w:lineRule="auto"/>
        <w:rPr>
          <w:b/>
          <w:bCs/>
        </w:rPr>
      </w:pPr>
      <w:r>
        <w:rPr>
          <w:b/>
          <w:bCs/>
        </w:rPr>
        <w:t>教学目标：</w:t>
      </w:r>
    </w:p>
    <w:p>
      <w:pPr>
        <w:widowControl/>
        <w:snapToGrid w:val="0"/>
        <w:spacing w:line="360" w:lineRule="auto"/>
        <w:ind w:firstLine="420" w:firstLineChars="200"/>
        <w:rPr>
          <w:kern w:val="0"/>
        </w:rPr>
      </w:pPr>
      <w:r>
        <w:rPr>
          <w:kern w:val="0"/>
        </w:rPr>
        <w:t>了解物流的概念及国内外物流发展概况，使学生掌握果蔬产品运输的基本要求及运输环境因素对产品质量影响，明确实现我国果蔬产品冷链流通贮运发展的方向。</w:t>
      </w:r>
    </w:p>
    <w:p>
      <w:pPr>
        <w:widowControl/>
        <w:snapToGrid w:val="0"/>
        <w:spacing w:line="360" w:lineRule="auto"/>
        <w:textAlignment w:val="baseline"/>
        <w:rPr>
          <w:b/>
        </w:rPr>
      </w:pPr>
      <w:r>
        <w:rPr>
          <w:b/>
        </w:rPr>
        <w:t>教学重点和难点：</w:t>
      </w:r>
    </w:p>
    <w:p>
      <w:pPr>
        <w:widowControl/>
        <w:snapToGrid w:val="0"/>
        <w:spacing w:line="360" w:lineRule="auto"/>
        <w:ind w:firstLine="420" w:firstLineChars="200"/>
        <w:textAlignment w:val="baseline"/>
        <w:rPr>
          <w:kern w:val="0"/>
        </w:rPr>
      </w:pPr>
      <w:r>
        <w:rPr>
          <w:kern w:val="0"/>
        </w:rPr>
        <w:t>重点：物流定义；果蔬的冷链流通体系组成及实现冷链的条件；运输环境条件对果蔬生理变化及产品质量的影响规律。难点：实现果蔬冷链流通体系的关键环节衔接与相关技术管理。</w:t>
      </w:r>
    </w:p>
    <w:p>
      <w:pPr>
        <w:widowControl/>
        <w:adjustRightInd w:val="0"/>
        <w:snapToGrid w:val="0"/>
        <w:spacing w:line="360" w:lineRule="auto"/>
        <w:rPr>
          <w:b/>
        </w:rPr>
      </w:pPr>
      <w:r>
        <w:rPr>
          <w:b/>
        </w:rPr>
        <w:t>主要教学内容及要求：</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1</w:t>
      </w:r>
      <w:r>
        <w:rPr>
          <w:rFonts w:hint="eastAsia"/>
          <w:kern w:val="0"/>
          <w:szCs w:val="21"/>
        </w:rPr>
        <w:t>）物流的发展与构成因素</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2</w:t>
      </w:r>
      <w:r>
        <w:rPr>
          <w:rFonts w:hint="eastAsia"/>
          <w:kern w:val="0"/>
          <w:szCs w:val="21"/>
        </w:rPr>
        <w:t>）果品蔬菜的运输</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3</w:t>
      </w:r>
      <w:r>
        <w:rPr>
          <w:rFonts w:hint="eastAsia"/>
          <w:kern w:val="0"/>
          <w:szCs w:val="21"/>
        </w:rPr>
        <w:t>）果品蔬菜的物流系统及冷链流通</w:t>
      </w:r>
    </w:p>
    <w:p>
      <w:pPr>
        <w:widowControl/>
        <w:adjustRightInd w:val="0"/>
        <w:snapToGrid w:val="0"/>
        <w:spacing w:line="360" w:lineRule="auto"/>
        <w:ind w:firstLine="420" w:firstLineChars="200"/>
        <w:rPr>
          <w:kern w:val="0"/>
        </w:rPr>
      </w:pPr>
      <w:r>
        <w:rPr>
          <w:kern w:val="0"/>
        </w:rPr>
        <w:t>了解：物流概念、构成要素及国内外物流发展的概况；园艺产品运输的基本要求。</w:t>
      </w:r>
    </w:p>
    <w:p>
      <w:pPr>
        <w:widowControl/>
        <w:adjustRightInd w:val="0"/>
        <w:snapToGrid w:val="0"/>
        <w:spacing w:line="360" w:lineRule="auto"/>
        <w:ind w:firstLine="420" w:firstLineChars="200"/>
        <w:rPr>
          <w:kern w:val="0"/>
        </w:rPr>
      </w:pPr>
      <w:r>
        <w:rPr>
          <w:kern w:val="0"/>
        </w:rPr>
        <w:t>理解：实现冷链的3P</w:t>
      </w:r>
      <w:r>
        <w:rPr>
          <w:rFonts w:hint="eastAsia"/>
          <w:kern w:val="0"/>
        </w:rPr>
        <w:t>、</w:t>
      </w:r>
      <w:r>
        <w:rPr>
          <w:kern w:val="0"/>
        </w:rPr>
        <w:t>3T</w:t>
      </w:r>
      <w:r>
        <w:rPr>
          <w:rFonts w:hint="eastAsia"/>
          <w:kern w:val="0"/>
        </w:rPr>
        <w:t>、</w:t>
      </w:r>
      <w:r>
        <w:rPr>
          <w:kern w:val="0"/>
        </w:rPr>
        <w:t>3C</w:t>
      </w:r>
      <w:r>
        <w:rPr>
          <w:rFonts w:hint="eastAsia"/>
          <w:kern w:val="0"/>
        </w:rPr>
        <w:t>及</w:t>
      </w:r>
      <w:r>
        <w:rPr>
          <w:kern w:val="0"/>
        </w:rPr>
        <w:t>3Q原则与果蔬产品质量的关系。运输环境条件（车辆振动、运输温度、湿度）对产品生理代谢及商品质量的影响；果蔬采后生理变化与冷链流通优越性的关系。</w:t>
      </w:r>
    </w:p>
    <w:p>
      <w:pPr>
        <w:widowControl/>
        <w:adjustRightInd w:val="0"/>
        <w:snapToGrid w:val="0"/>
        <w:spacing w:line="360" w:lineRule="auto"/>
        <w:ind w:firstLine="420" w:firstLineChars="200"/>
        <w:rPr>
          <w:kern w:val="0"/>
        </w:rPr>
      </w:pPr>
      <w:r>
        <w:rPr>
          <w:kern w:val="0"/>
        </w:rPr>
        <w:t>掌握：冷链的概念；实现冷链的条件；不同运输方式、运输工具特点及其相关管理技术。果蔬产品在运输中应注意事项。</w:t>
      </w:r>
    </w:p>
    <w:p>
      <w:pPr>
        <w:widowControl/>
        <w:adjustRightInd w:val="0"/>
        <w:snapToGrid w:val="0"/>
        <w:spacing w:line="360" w:lineRule="auto"/>
        <w:ind w:firstLine="420" w:firstLineChars="200"/>
        <w:rPr>
          <w:b/>
          <w:bCs/>
          <w:kern w:val="0"/>
        </w:rPr>
      </w:pPr>
      <w:r>
        <w:rPr>
          <w:kern w:val="0"/>
        </w:rPr>
        <w:t>熟练掌握：果蔬物流冷链系统组成及其环节衔接管理的关键技术。</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rFonts w:hint="eastAsia"/>
          <w:kern w:val="0"/>
          <w:szCs w:val="21"/>
        </w:rPr>
        <w:t>以课堂授课的形式，讲述</w:t>
      </w:r>
      <w:r>
        <w:rPr>
          <w:kern w:val="0"/>
        </w:rPr>
        <w:t>果蔬的冷链流通体系、实现冷链的条件及运输方式等，课程内容中加入大量的相关图片和视频，让学生掌握果蔬物流系统及冷链流通体系</w:t>
      </w:r>
      <w:r>
        <w:rPr>
          <w:rFonts w:hint="eastAsia"/>
          <w:kern w:val="0"/>
          <w:szCs w:val="21"/>
        </w:rPr>
        <w:t>（3学时）。</w:t>
      </w:r>
    </w:p>
    <w:p>
      <w:pPr>
        <w:widowControl/>
        <w:jc w:val="left"/>
        <w:rPr>
          <w:kern w:val="0"/>
          <w:szCs w:val="21"/>
        </w:rPr>
      </w:pPr>
      <w:r>
        <w:rPr>
          <w:kern w:val="0"/>
          <w:szCs w:val="21"/>
        </w:rPr>
        <w:br w:type="page"/>
      </w:r>
    </w:p>
    <w:p>
      <w:pPr>
        <w:widowControl/>
        <w:snapToGrid w:val="0"/>
        <w:spacing w:before="156" w:beforeLines="50" w:after="156" w:afterLines="50" w:line="360" w:lineRule="auto"/>
        <w:ind w:left="843" w:hanging="843" w:hangingChars="400"/>
        <w:jc w:val="right"/>
        <w:textAlignment w:val="baseline"/>
        <w:outlineLvl w:val="3"/>
        <w:rPr>
          <w:kern w:val="0"/>
          <w:sz w:val="24"/>
        </w:rPr>
      </w:pPr>
      <w:r>
        <w:rPr>
          <w:b/>
          <w:kern w:val="0"/>
        </w:rPr>
        <w:t>第六章</w:t>
      </w:r>
      <w:r>
        <w:rPr>
          <w:rFonts w:hint="eastAsia"/>
          <w:b/>
          <w:kern w:val="0"/>
          <w:lang w:val="en-US" w:eastAsia="zh-CN"/>
        </w:rPr>
        <w:t xml:space="preserve"> </w:t>
      </w:r>
      <w:r>
        <w:rPr>
          <w:b/>
          <w:kern w:val="0"/>
        </w:rPr>
        <w:t>果品蔬菜的贮藏方式与管理              学时数：7</w:t>
      </w:r>
    </w:p>
    <w:p>
      <w:pPr>
        <w:widowControl/>
        <w:snapToGrid w:val="0"/>
        <w:spacing w:line="360" w:lineRule="auto"/>
        <w:jc w:val="left"/>
        <w:textAlignment w:val="baseline"/>
        <w:rPr>
          <w:b/>
        </w:rPr>
      </w:pPr>
      <w:r>
        <w:rPr>
          <w:b/>
        </w:rPr>
        <w:t>教学目</w:t>
      </w:r>
      <w:r>
        <w:rPr>
          <w:b/>
          <w:bCs/>
        </w:rPr>
        <w:t>标</w:t>
      </w:r>
      <w:r>
        <w:rPr>
          <w:b/>
        </w:rPr>
        <w:t>：</w:t>
      </w:r>
    </w:p>
    <w:p>
      <w:pPr>
        <w:widowControl/>
        <w:snapToGrid w:val="0"/>
        <w:spacing w:line="360" w:lineRule="auto"/>
        <w:ind w:firstLine="420" w:firstLineChars="200"/>
        <w:jc w:val="left"/>
        <w:textAlignment w:val="baseline"/>
        <w:rPr>
          <w:b/>
        </w:rPr>
      </w:pPr>
      <w:r>
        <w:rPr>
          <w:kern w:val="0"/>
        </w:rPr>
        <w:t>了解园艺产品贮藏方式及特点，掌握机械冷藏、气调贮藏原理及主要设施设备组成特点及贮藏管理关键技术。</w:t>
      </w:r>
    </w:p>
    <w:p>
      <w:pPr>
        <w:widowControl/>
        <w:snapToGrid w:val="0"/>
        <w:spacing w:line="360" w:lineRule="auto"/>
        <w:jc w:val="left"/>
        <w:textAlignment w:val="baseline"/>
        <w:rPr>
          <w:kern w:val="0"/>
        </w:rPr>
      </w:pPr>
      <w:r>
        <w:rPr>
          <w:b/>
        </w:rPr>
        <w:t>教学重点和难点</w:t>
      </w:r>
      <w:r>
        <w:rPr>
          <w:kern w:val="0"/>
        </w:rPr>
        <w:t>：</w:t>
      </w:r>
    </w:p>
    <w:p>
      <w:pPr>
        <w:widowControl/>
        <w:snapToGrid w:val="0"/>
        <w:spacing w:line="360" w:lineRule="auto"/>
        <w:ind w:firstLine="420" w:firstLineChars="200"/>
        <w:jc w:val="left"/>
        <w:textAlignment w:val="baseline"/>
        <w:rPr>
          <w:b/>
        </w:rPr>
      </w:pPr>
      <w:r>
        <w:rPr>
          <w:kern w:val="0"/>
        </w:rPr>
        <w:t>重点：机械制冷原理及设备组成；果品蔬菜冷库结构设施组成、冷藏管理关键技术。气调贮藏基本原理。难点：气调贮藏库设施构造组成及相关设备运行管理技术。</w:t>
      </w:r>
    </w:p>
    <w:p>
      <w:pPr>
        <w:widowControl/>
        <w:snapToGrid w:val="0"/>
        <w:spacing w:line="360" w:lineRule="auto"/>
        <w:jc w:val="left"/>
        <w:textAlignment w:val="baseline"/>
        <w:rPr>
          <w:kern w:val="0"/>
        </w:rPr>
      </w:pPr>
      <w:r>
        <w:rPr>
          <w:b/>
        </w:rPr>
        <w:t>主要教学内容及要求</w:t>
      </w:r>
      <w:r>
        <w:rPr>
          <w:kern w:val="0"/>
        </w:rPr>
        <w:t>：</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1</w:t>
      </w:r>
      <w:r>
        <w:rPr>
          <w:rFonts w:hint="eastAsia"/>
          <w:kern w:val="0"/>
          <w:szCs w:val="21"/>
        </w:rPr>
        <w:t>）简易贮藏</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2</w:t>
      </w:r>
      <w:r>
        <w:rPr>
          <w:rFonts w:hint="eastAsia"/>
          <w:kern w:val="0"/>
          <w:szCs w:val="21"/>
        </w:rPr>
        <w:t>）机械冷藏</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3</w:t>
      </w:r>
      <w:r>
        <w:rPr>
          <w:rFonts w:hint="eastAsia"/>
          <w:kern w:val="0"/>
          <w:szCs w:val="21"/>
        </w:rPr>
        <w:t>）气调贮藏</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4</w:t>
      </w:r>
      <w:r>
        <w:rPr>
          <w:rFonts w:hint="eastAsia"/>
          <w:kern w:val="0"/>
          <w:szCs w:val="21"/>
        </w:rPr>
        <w:t>）其它贮藏方式及辅助处理</w:t>
      </w:r>
    </w:p>
    <w:p>
      <w:pPr>
        <w:widowControl/>
        <w:snapToGrid w:val="0"/>
        <w:spacing w:line="360" w:lineRule="auto"/>
        <w:ind w:firstLine="420" w:firstLineChars="200"/>
        <w:jc w:val="left"/>
        <w:textAlignment w:val="baseline"/>
        <w:rPr>
          <w:kern w:val="0"/>
        </w:rPr>
      </w:pPr>
      <w:r>
        <w:rPr>
          <w:kern w:val="0"/>
        </w:rPr>
        <w:t>了解：果品蔬菜常温贮藏（堆藏、沟藏、冻藏、假植贮藏、窖藏、土窑洞贮藏）、减压贮藏及冰温贮藏的原理、设施构造特点及技术管理措施。主要制冷剂的特性。</w:t>
      </w:r>
    </w:p>
    <w:p>
      <w:pPr>
        <w:widowControl/>
        <w:snapToGrid w:val="0"/>
        <w:spacing w:line="360" w:lineRule="auto"/>
        <w:ind w:firstLine="420" w:firstLineChars="200"/>
        <w:jc w:val="left"/>
        <w:textAlignment w:val="baseline"/>
        <w:rPr>
          <w:kern w:val="0"/>
        </w:rPr>
      </w:pPr>
      <w:r>
        <w:rPr>
          <w:kern w:val="0"/>
        </w:rPr>
        <w:t>理解：根据不同常温贮藏方式与不同地区自然资源条件、不同产品生理特性及品质变化的特点，确定适宜产品的贮藏设施及配套管理技术。CA</w:t>
      </w:r>
      <w:r>
        <w:rPr>
          <w:rFonts w:hint="eastAsia"/>
          <w:kern w:val="0"/>
        </w:rPr>
        <w:t>与</w:t>
      </w:r>
      <w:r>
        <w:rPr>
          <w:kern w:val="0"/>
        </w:rPr>
        <w:t>MA的关系与区别。</w:t>
      </w:r>
    </w:p>
    <w:p>
      <w:pPr>
        <w:widowControl/>
        <w:snapToGrid w:val="0"/>
        <w:spacing w:line="360" w:lineRule="auto"/>
        <w:ind w:firstLine="420" w:firstLineChars="200"/>
        <w:jc w:val="left"/>
        <w:textAlignment w:val="baseline"/>
        <w:rPr>
          <w:kern w:val="0"/>
        </w:rPr>
      </w:pPr>
      <w:r>
        <w:rPr>
          <w:kern w:val="0"/>
        </w:rPr>
        <w:t>掌握：常温贮藏、机械冷藏、气调贮藏（CA</w:t>
      </w:r>
      <w:r>
        <w:rPr>
          <w:rFonts w:hint="eastAsia"/>
          <w:kern w:val="0"/>
        </w:rPr>
        <w:t>）、限气贮藏（</w:t>
      </w:r>
      <w:r>
        <w:rPr>
          <w:kern w:val="0"/>
        </w:rPr>
        <w:t>MA）的定义；机械制冷原理、气调贮藏原理；冷藏库、气调库设施结构特点；制冷设备、气调库调节气体设备组成及温、湿度的管理设备组成及其配套技术管理。</w:t>
      </w:r>
    </w:p>
    <w:p>
      <w:pPr>
        <w:widowControl/>
        <w:snapToGrid w:val="0"/>
        <w:spacing w:line="360" w:lineRule="auto"/>
        <w:ind w:firstLine="420" w:firstLineChars="200"/>
        <w:jc w:val="left"/>
        <w:textAlignment w:val="baseline"/>
        <w:rPr>
          <w:kern w:val="0"/>
        </w:rPr>
      </w:pPr>
      <w:r>
        <w:rPr>
          <w:kern w:val="0"/>
        </w:rPr>
        <w:t>熟练掌握：果蔬冷藏、气调贮藏关键管理技术；在贮运生产中，果蔬MA包装应用的主要方式及相关管理技术措施。</w:t>
      </w:r>
    </w:p>
    <w:p>
      <w:pPr>
        <w:widowControl/>
        <w:snapToGrid w:val="0"/>
        <w:spacing w:line="360" w:lineRule="auto"/>
        <w:rPr>
          <w:b/>
          <w:bCs/>
        </w:rPr>
      </w:pPr>
      <w:r>
        <w:rPr>
          <w:b/>
          <w:bCs/>
        </w:rPr>
        <w:t>教学组织与实施：</w:t>
      </w:r>
    </w:p>
    <w:p>
      <w:pPr>
        <w:widowControl/>
        <w:snapToGrid w:val="0"/>
        <w:spacing w:line="360" w:lineRule="auto"/>
        <w:ind w:firstLine="420" w:firstLineChars="200"/>
        <w:rPr>
          <w:kern w:val="0"/>
        </w:rPr>
      </w:pPr>
      <w:r>
        <w:t>以课程授课的方式，同时结合图片、微视频等多媒体资料深入浅出、生动形象的讲解果品蔬菜的贮藏方式与管理，在教学过程中与学生进行充分的互动，加深对课堂知识的理解与认识。同时，授课前要求学生提前预习课本本章节内容，充分利用互联网查阅相关知识，做好课前准备工作。</w:t>
      </w:r>
      <w:r>
        <w:rPr>
          <w:rFonts w:hint="eastAsia"/>
          <w:kern w:val="0"/>
          <w:szCs w:val="21"/>
        </w:rPr>
        <w:t>（7学时）</w:t>
      </w:r>
      <w:r>
        <w:t>。</w:t>
      </w:r>
    </w:p>
    <w:p>
      <w:pPr>
        <w:widowControl/>
        <w:snapToGrid w:val="0"/>
        <w:spacing w:before="156" w:beforeLines="50" w:after="156" w:afterLines="50" w:line="360" w:lineRule="auto"/>
        <w:jc w:val="right"/>
        <w:rPr>
          <w:rFonts w:eastAsia="黑体"/>
          <w:b/>
          <w:kern w:val="0"/>
          <w:sz w:val="24"/>
        </w:rPr>
      </w:pPr>
      <w:r>
        <w:rPr>
          <w:b/>
          <w:kern w:val="0"/>
        </w:rPr>
        <w:t>第七章</w:t>
      </w:r>
      <w:r>
        <w:rPr>
          <w:rFonts w:hint="eastAsia"/>
          <w:b/>
          <w:kern w:val="0"/>
          <w:lang w:val="en-US" w:eastAsia="zh-CN"/>
        </w:rPr>
        <w:t xml:space="preserve"> </w:t>
      </w:r>
      <w:r>
        <w:rPr>
          <w:b/>
          <w:kern w:val="0"/>
        </w:rPr>
        <w:t>果品蔬菜采后病虫害                 学时数：2</w:t>
      </w:r>
    </w:p>
    <w:p>
      <w:pPr>
        <w:widowControl/>
        <w:snapToGrid w:val="0"/>
        <w:spacing w:line="360" w:lineRule="auto"/>
        <w:textAlignment w:val="baseline"/>
        <w:rPr>
          <w:b/>
        </w:rPr>
      </w:pPr>
      <w:r>
        <w:rPr>
          <w:b/>
        </w:rPr>
        <w:t>教学目</w:t>
      </w:r>
      <w:r>
        <w:rPr>
          <w:b/>
          <w:bCs/>
        </w:rPr>
        <w:t>标</w:t>
      </w:r>
      <w:r>
        <w:rPr>
          <w:b/>
        </w:rPr>
        <w:t>：</w:t>
      </w:r>
    </w:p>
    <w:p>
      <w:pPr>
        <w:widowControl/>
        <w:snapToGrid w:val="0"/>
        <w:spacing w:line="360" w:lineRule="auto"/>
        <w:ind w:firstLine="420" w:firstLineChars="200"/>
        <w:textAlignment w:val="baseline"/>
        <w:rPr>
          <w:kern w:val="0"/>
        </w:rPr>
      </w:pPr>
      <w:r>
        <w:rPr>
          <w:kern w:val="0"/>
        </w:rPr>
        <w:t>了解影响贮运期间果品蔬菜侵染性病害和生理性病害发病原因，掌握采后果品蔬菜主要病虫害综合防治技术措施，达到降低采后产品质量损失和损耗的目的。</w:t>
      </w:r>
    </w:p>
    <w:p>
      <w:pPr>
        <w:widowControl/>
        <w:snapToGrid w:val="0"/>
        <w:spacing w:line="360" w:lineRule="auto"/>
        <w:textAlignment w:val="baseline"/>
        <w:rPr>
          <w:kern w:val="0"/>
        </w:rPr>
      </w:pPr>
      <w:r>
        <w:rPr>
          <w:b/>
        </w:rPr>
        <w:t>教学重点和难点</w:t>
      </w:r>
      <w:r>
        <w:rPr>
          <w:kern w:val="0"/>
        </w:rPr>
        <w:t>：</w:t>
      </w:r>
    </w:p>
    <w:p>
      <w:pPr>
        <w:widowControl/>
        <w:snapToGrid w:val="0"/>
        <w:spacing w:line="360" w:lineRule="auto"/>
        <w:ind w:firstLine="420" w:firstLineChars="200"/>
        <w:textAlignment w:val="baseline"/>
        <w:rPr>
          <w:kern w:val="0"/>
        </w:rPr>
      </w:pPr>
      <w:r>
        <w:rPr>
          <w:kern w:val="0"/>
        </w:rPr>
        <w:t>重点：引起果蔬采后损失原因；采后侵染性病害、生理性病害的症状、发病原因及其防治措施。难点：采后果蔬生理性病害的发生与调控。</w:t>
      </w:r>
    </w:p>
    <w:p>
      <w:pPr>
        <w:widowControl/>
        <w:snapToGrid w:val="0"/>
        <w:spacing w:line="360" w:lineRule="auto"/>
        <w:textAlignment w:val="baseline"/>
        <w:rPr>
          <w:kern w:val="0"/>
        </w:rPr>
      </w:pPr>
      <w:r>
        <w:rPr>
          <w:b/>
        </w:rPr>
        <w:t>主要教学内容及要求</w:t>
      </w:r>
      <w:r>
        <w:rPr>
          <w:kern w:val="0"/>
        </w:rPr>
        <w:t>：</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1</w:t>
      </w:r>
      <w:r>
        <w:rPr>
          <w:rFonts w:hint="eastAsia"/>
          <w:kern w:val="0"/>
          <w:szCs w:val="21"/>
        </w:rPr>
        <w:t>）侵染性病害</w:t>
      </w:r>
    </w:p>
    <w:p>
      <w:pPr>
        <w:widowControl/>
        <w:snapToGrid w:val="0"/>
        <w:spacing w:line="360" w:lineRule="auto"/>
        <w:ind w:firstLine="420" w:firstLineChars="200"/>
        <w:textAlignment w:val="baseline"/>
        <w:rPr>
          <w:kern w:val="0"/>
          <w:szCs w:val="21"/>
        </w:rPr>
      </w:pPr>
      <w:r>
        <w:rPr>
          <w:rFonts w:hint="eastAsia"/>
          <w:kern w:val="0"/>
          <w:szCs w:val="21"/>
        </w:rPr>
        <w:t>（</w:t>
      </w:r>
      <w:r>
        <w:rPr>
          <w:kern w:val="0"/>
          <w:szCs w:val="21"/>
        </w:rPr>
        <w:t>2</w:t>
      </w:r>
      <w:r>
        <w:rPr>
          <w:rFonts w:hint="eastAsia"/>
          <w:kern w:val="0"/>
          <w:szCs w:val="21"/>
        </w:rPr>
        <w:t>）生理性病害</w:t>
      </w:r>
    </w:p>
    <w:p>
      <w:pPr>
        <w:widowControl/>
        <w:snapToGrid w:val="0"/>
        <w:spacing w:line="360" w:lineRule="auto"/>
        <w:ind w:firstLine="420" w:firstLineChars="200"/>
        <w:textAlignment w:val="baseline"/>
        <w:rPr>
          <w:kern w:val="0"/>
        </w:rPr>
      </w:pPr>
      <w:r>
        <w:rPr>
          <w:kern w:val="0"/>
        </w:rPr>
        <w:t>了解：园艺产品贮运期间侵染性病害、生理性病害的定义及发生原因；采后果蔬的主要病虫害种类、危害特点及防治措施。</w:t>
      </w:r>
    </w:p>
    <w:p>
      <w:pPr>
        <w:widowControl/>
        <w:snapToGrid w:val="0"/>
        <w:spacing w:line="360" w:lineRule="auto"/>
        <w:ind w:firstLine="420" w:firstLineChars="200"/>
        <w:textAlignment w:val="baseline"/>
        <w:rPr>
          <w:kern w:val="0"/>
        </w:rPr>
      </w:pPr>
      <w:r>
        <w:rPr>
          <w:kern w:val="0"/>
        </w:rPr>
        <w:t>理解：侵染性病害、生理性病害的病症特点及影响因素。许多采后病害的发生与采前的栽培管理有着密切的关系；通过采后处理措施可以延缓或减轻病虫害的发生。</w:t>
      </w:r>
    </w:p>
    <w:p>
      <w:pPr>
        <w:widowControl/>
        <w:snapToGrid w:val="0"/>
        <w:spacing w:line="360" w:lineRule="auto"/>
        <w:ind w:firstLine="420" w:firstLineChars="200"/>
        <w:textAlignment w:val="baseline"/>
        <w:rPr>
          <w:kern w:val="0"/>
        </w:rPr>
      </w:pPr>
      <w:r>
        <w:rPr>
          <w:kern w:val="0"/>
        </w:rPr>
        <w:t>掌握：侵染性病害、生理性病害两种病害的综合防治技术措施。</w:t>
      </w:r>
    </w:p>
    <w:p>
      <w:pPr>
        <w:widowControl/>
        <w:snapToGrid w:val="0"/>
        <w:spacing w:line="360" w:lineRule="auto"/>
        <w:ind w:firstLine="420" w:firstLineChars="200"/>
        <w:textAlignment w:val="baseline"/>
        <w:rPr>
          <w:kern w:val="0"/>
        </w:rPr>
      </w:pPr>
      <w:r>
        <w:rPr>
          <w:kern w:val="0"/>
        </w:rPr>
        <w:t>熟练掌握：主要果品蔬菜冷害发生的原因、症状及降低产品冷害发生的技术措施。</w:t>
      </w:r>
    </w:p>
    <w:p>
      <w:pPr>
        <w:widowControl/>
        <w:adjustRightInd w:val="0"/>
        <w:snapToGrid w:val="0"/>
        <w:spacing w:line="360" w:lineRule="auto"/>
        <w:rPr>
          <w:b/>
          <w:bCs/>
        </w:rPr>
      </w:pPr>
      <w:r>
        <w:rPr>
          <w:b/>
          <w:bCs/>
        </w:rPr>
        <w:t>教学组织与实施：</w:t>
      </w:r>
    </w:p>
    <w:p>
      <w:pPr>
        <w:widowControl/>
        <w:adjustRightInd w:val="0"/>
        <w:snapToGrid w:val="0"/>
        <w:spacing w:line="360" w:lineRule="auto"/>
        <w:ind w:firstLine="420" w:firstLineChars="200"/>
      </w:pPr>
      <w:r>
        <w:t>以课程授课结合图片和视频的方式，讲述影响贮运期间果品蔬菜侵染性病害和生理性病害发病原因综合防治技术措施。因为涉及较多植物病虫害方面专业知识，授课前安排学生提前预习，充分利用互联网查阅相关知识，做好课前准备工作。课堂教学过程中增加互动环节，充分调动大家课堂学习的积极性，加深对课堂理论知识的理解与掌握</w:t>
      </w:r>
      <w:r>
        <w:rPr>
          <w:rFonts w:hint="eastAsia"/>
          <w:kern w:val="0"/>
          <w:szCs w:val="21"/>
        </w:rPr>
        <w:t>（2学时）</w:t>
      </w:r>
      <w:r>
        <w:t>。</w:t>
      </w:r>
    </w:p>
    <w:p>
      <w:pPr>
        <w:widowControl/>
        <w:wordWrap w:val="0"/>
        <w:snapToGrid w:val="0"/>
        <w:spacing w:before="156" w:beforeLines="50" w:after="156" w:afterLines="50" w:line="360" w:lineRule="auto"/>
        <w:jc w:val="right"/>
        <w:outlineLvl w:val="3"/>
        <w:rPr>
          <w:b/>
        </w:rPr>
      </w:pPr>
      <w:r>
        <w:rPr>
          <w:b/>
          <w:kern w:val="0"/>
        </w:rPr>
        <w:t>第八章</w:t>
      </w:r>
      <w:r>
        <w:rPr>
          <w:rFonts w:hint="eastAsia"/>
          <w:b/>
          <w:kern w:val="0"/>
          <w:lang w:val="en-US" w:eastAsia="zh-CN"/>
        </w:rPr>
        <w:t xml:space="preserve"> </w:t>
      </w:r>
      <w:r>
        <w:rPr>
          <w:b/>
          <w:kern w:val="0"/>
        </w:rPr>
        <w:t>各类果品、蔬菜、花卉贮藏                   学时数：7</w:t>
      </w:r>
    </w:p>
    <w:p>
      <w:pPr>
        <w:widowControl/>
        <w:snapToGrid w:val="0"/>
        <w:spacing w:line="360" w:lineRule="auto"/>
        <w:textAlignment w:val="baseline"/>
        <w:rPr>
          <w:b/>
        </w:rPr>
      </w:pPr>
      <w:r>
        <w:rPr>
          <w:b/>
        </w:rPr>
        <w:t>教学目</w:t>
      </w:r>
      <w:r>
        <w:rPr>
          <w:b/>
          <w:bCs/>
        </w:rPr>
        <w:t>标</w:t>
      </w:r>
      <w:r>
        <w:rPr>
          <w:b/>
        </w:rPr>
        <w:t>：</w:t>
      </w:r>
    </w:p>
    <w:p>
      <w:pPr>
        <w:widowControl/>
        <w:snapToGrid w:val="0"/>
        <w:spacing w:line="360" w:lineRule="auto"/>
        <w:ind w:firstLine="420" w:firstLineChars="200"/>
        <w:textAlignment w:val="baseline"/>
        <w:rPr>
          <w:kern w:val="0"/>
        </w:rPr>
      </w:pPr>
      <w:r>
        <w:rPr>
          <w:kern w:val="0"/>
        </w:rPr>
        <w:t>了解主要果品、蔬菜及常见鲜切花的贮藏特性（品种、生理、贮藏条件），掌握商业化贮藏方式及贮藏关键技术要点，制订主要园艺产品贮藏运输技术方案。</w:t>
      </w:r>
    </w:p>
    <w:p>
      <w:pPr>
        <w:widowControl/>
        <w:snapToGrid w:val="0"/>
        <w:spacing w:line="360" w:lineRule="auto"/>
        <w:textAlignment w:val="baseline"/>
        <w:rPr>
          <w:kern w:val="0"/>
        </w:rPr>
      </w:pPr>
      <w:r>
        <w:rPr>
          <w:b/>
        </w:rPr>
        <w:t>教学重点和难点</w:t>
      </w:r>
      <w:r>
        <w:rPr>
          <w:kern w:val="0"/>
        </w:rPr>
        <w:t>：</w:t>
      </w:r>
    </w:p>
    <w:p>
      <w:pPr>
        <w:widowControl/>
        <w:snapToGrid w:val="0"/>
        <w:spacing w:line="360" w:lineRule="auto"/>
        <w:ind w:firstLine="420" w:firstLineChars="200"/>
        <w:textAlignment w:val="baseline"/>
        <w:rPr>
          <w:kern w:val="0"/>
        </w:rPr>
      </w:pPr>
      <w:r>
        <w:rPr>
          <w:kern w:val="0"/>
        </w:rPr>
        <w:t>重点：几种主要果品、蔬菜商业贮藏方式及贮藏关键技术管理。难点：不同果品、蔬菜及贮藏特性及采取的相应贮藏技术和操作管理措施。</w:t>
      </w:r>
    </w:p>
    <w:p>
      <w:pPr>
        <w:widowControl/>
        <w:snapToGrid w:val="0"/>
        <w:spacing w:line="360" w:lineRule="auto"/>
        <w:textAlignment w:val="baseline"/>
        <w:rPr>
          <w:kern w:val="0"/>
        </w:rPr>
      </w:pPr>
      <w:r>
        <w:rPr>
          <w:b/>
        </w:rPr>
        <w:t>主要教学内容及要求</w:t>
      </w:r>
      <w:r>
        <w:rPr>
          <w:kern w:val="0"/>
        </w:rPr>
        <w:t>：</w:t>
      </w:r>
    </w:p>
    <w:p>
      <w:pPr>
        <w:widowControl/>
        <w:snapToGrid w:val="0"/>
        <w:spacing w:line="360" w:lineRule="auto"/>
        <w:ind w:firstLine="420" w:firstLineChars="200"/>
        <w:textAlignment w:val="baseline"/>
        <w:rPr>
          <w:kern w:val="0"/>
        </w:rPr>
      </w:pPr>
      <w:r>
        <w:rPr>
          <w:rFonts w:hint="eastAsia"/>
          <w:kern w:val="0"/>
        </w:rPr>
        <w:t>（</w:t>
      </w:r>
      <w:r>
        <w:rPr>
          <w:kern w:val="0"/>
        </w:rPr>
        <w:t>1</w:t>
      </w:r>
      <w:r>
        <w:rPr>
          <w:rFonts w:hint="eastAsia"/>
          <w:kern w:val="0"/>
        </w:rPr>
        <w:t>）果品贮藏</w:t>
      </w:r>
    </w:p>
    <w:p>
      <w:pPr>
        <w:widowControl/>
        <w:snapToGrid w:val="0"/>
        <w:spacing w:line="360" w:lineRule="auto"/>
        <w:ind w:firstLine="420" w:firstLineChars="200"/>
        <w:textAlignment w:val="baseline"/>
        <w:rPr>
          <w:kern w:val="0"/>
        </w:rPr>
      </w:pPr>
      <w:r>
        <w:rPr>
          <w:rFonts w:hint="eastAsia"/>
          <w:kern w:val="0"/>
        </w:rPr>
        <w:t>（</w:t>
      </w:r>
      <w:r>
        <w:rPr>
          <w:kern w:val="0"/>
        </w:rPr>
        <w:t>2</w:t>
      </w:r>
      <w:r>
        <w:rPr>
          <w:rFonts w:hint="eastAsia"/>
          <w:kern w:val="0"/>
        </w:rPr>
        <w:t>）蔬菜贮藏</w:t>
      </w:r>
    </w:p>
    <w:p>
      <w:pPr>
        <w:widowControl/>
        <w:snapToGrid w:val="0"/>
        <w:spacing w:line="360" w:lineRule="auto"/>
        <w:ind w:firstLine="420" w:firstLineChars="200"/>
        <w:textAlignment w:val="baseline"/>
        <w:rPr>
          <w:kern w:val="0"/>
        </w:rPr>
      </w:pPr>
      <w:r>
        <w:rPr>
          <w:rFonts w:hint="eastAsia"/>
          <w:kern w:val="0"/>
        </w:rPr>
        <w:t>（</w:t>
      </w:r>
      <w:r>
        <w:rPr>
          <w:kern w:val="0"/>
        </w:rPr>
        <w:t>3</w:t>
      </w:r>
      <w:r>
        <w:rPr>
          <w:rFonts w:hint="eastAsia"/>
          <w:kern w:val="0"/>
        </w:rPr>
        <w:t>）鲜切花贮运</w:t>
      </w:r>
    </w:p>
    <w:p>
      <w:pPr>
        <w:widowControl/>
        <w:snapToGrid w:val="0"/>
        <w:spacing w:line="360" w:lineRule="auto"/>
        <w:ind w:firstLine="420" w:firstLineChars="200"/>
        <w:textAlignment w:val="baseline"/>
        <w:rPr>
          <w:kern w:val="0"/>
        </w:rPr>
      </w:pPr>
      <w:r>
        <w:rPr>
          <w:kern w:val="0"/>
        </w:rPr>
        <w:t>了解：影响主要果品类（苹果、梨、香蕉、柑橘、葡萄、猕猴桃、大枣、核果类（桃、李、杏）、坚果类、浆果类（十字、石榴及草莓）的贮藏特性；影响叶菜类（绿叶菜、甘蓝、芹菜）、果菜类（番茄、辣椒、茄子、菜豆和黄瓜、苦瓜、冬瓜和南瓜）、花菜类（花椰菜、青花菜、蒜薹）、地下茎类（萝卜和胡萝卜、马铃薯、洋葱、大蒜、山药）、西甜瓜的贮藏特性；了解常见鲜切花（月季、康乃馨、菊花、非洲菊、唐菖蒲）等的贮运特性。</w:t>
      </w:r>
    </w:p>
    <w:p>
      <w:pPr>
        <w:widowControl/>
        <w:snapToGrid w:val="0"/>
        <w:spacing w:line="360" w:lineRule="auto"/>
        <w:ind w:firstLine="420" w:firstLineChars="200"/>
        <w:textAlignment w:val="baseline"/>
        <w:rPr>
          <w:kern w:val="0"/>
        </w:rPr>
      </w:pPr>
      <w:r>
        <w:rPr>
          <w:kern w:val="0"/>
        </w:rPr>
        <w:t>理解：不同果品、蔬菜、鲜切花贮运生理特性与采后常见病害（侵染、生理）发生、产品质量变化的关系。</w:t>
      </w:r>
    </w:p>
    <w:p>
      <w:pPr>
        <w:widowControl/>
        <w:snapToGrid w:val="0"/>
        <w:spacing w:line="360" w:lineRule="auto"/>
        <w:ind w:firstLine="420" w:firstLineChars="200"/>
        <w:textAlignment w:val="baseline"/>
        <w:rPr>
          <w:kern w:val="0"/>
        </w:rPr>
      </w:pPr>
      <w:r>
        <w:rPr>
          <w:kern w:val="0"/>
        </w:rPr>
        <w:t>掌握：主要大宗果品、蔬菜种类、常见几种鲜切花的贮藏特性、采后损失主因、贮藏技术及关键技术参数；主要果品、蔬菜种类常见病害发病原因及防治措施。</w:t>
      </w:r>
    </w:p>
    <w:p>
      <w:pPr>
        <w:widowControl/>
        <w:snapToGrid w:val="0"/>
        <w:spacing w:line="360" w:lineRule="auto"/>
        <w:ind w:firstLine="420" w:firstLineChars="200"/>
        <w:textAlignment w:val="baseline"/>
        <w:rPr>
          <w:kern w:val="0"/>
        </w:rPr>
      </w:pPr>
      <w:r>
        <w:rPr>
          <w:kern w:val="0"/>
        </w:rPr>
        <w:t>熟练掌握：主要果品、蔬菜及常见几种鲜切花的商业贮藏技术、商品化处理主要程序及冷链流通环节的技术关键及相关操作管理。</w:t>
      </w:r>
    </w:p>
    <w:p>
      <w:pPr>
        <w:widowControl/>
        <w:adjustRightInd w:val="0"/>
        <w:snapToGrid w:val="0"/>
        <w:spacing w:line="360" w:lineRule="auto"/>
        <w:rPr>
          <w:b/>
          <w:bCs/>
        </w:rPr>
      </w:pPr>
      <w:r>
        <w:rPr>
          <w:b/>
          <w:bCs/>
        </w:rPr>
        <w:t>教学组织与实施：</w:t>
      </w:r>
    </w:p>
    <w:p>
      <w:pPr>
        <w:widowControl/>
        <w:adjustRightInd w:val="0"/>
        <w:snapToGrid w:val="0"/>
        <w:spacing w:line="360" w:lineRule="auto"/>
        <w:ind w:firstLine="420" w:firstLineChars="200"/>
        <w:rPr>
          <w:kern w:val="0"/>
          <w:szCs w:val="21"/>
        </w:rPr>
      </w:pPr>
      <w:r>
        <w:rPr>
          <w:kern w:val="0"/>
        </w:rPr>
        <w:t>采取翻转课堂的形式，由学生</w:t>
      </w:r>
      <w:r>
        <w:t>讲述</w:t>
      </w:r>
      <w:r>
        <w:rPr>
          <w:kern w:val="0"/>
        </w:rPr>
        <w:t>主要果品、蔬菜及常见鲜切花的贮藏特性和商业化贮藏方式及贮藏关键技术要点，教师点评并作补充。提前半个月布置课堂任务，由2-3</w:t>
      </w:r>
      <w:r>
        <w:rPr>
          <w:rFonts w:hint="eastAsia"/>
          <w:kern w:val="0"/>
        </w:rPr>
        <w:t>人</w:t>
      </w:r>
      <w:r>
        <w:rPr>
          <w:kern w:val="0"/>
        </w:rPr>
        <w:t>1</w:t>
      </w:r>
      <w:r>
        <w:rPr>
          <w:rFonts w:hint="eastAsia"/>
          <w:kern w:val="0"/>
        </w:rPr>
        <w:t>组，选定一种果蔬，查阅资料，精心准备</w:t>
      </w:r>
      <w:r>
        <w:rPr>
          <w:kern w:val="0"/>
        </w:rPr>
        <w:t>PPT</w:t>
      </w:r>
      <w:r>
        <w:rPr>
          <w:rFonts w:hint="eastAsia"/>
          <w:kern w:val="0"/>
        </w:rPr>
        <w:t>，介绍其贮藏特性、贮藏方式和贮藏管理的关键技术环节等。考核要求每个同学都要参与讲课，要求PPT图文并茂，内容完整、系统、新颖；要求同学表达清晰、重点突出。教师提问并作补充，制定评分细则，根据每个同学表现现场打分，计入平时成绩。通过翻转课堂，让同学们把前面学习过的园艺产品贮藏保鲜基本原理和贮藏管理知识进行回顾和融会贯通，加深学习效果（</w:t>
      </w:r>
      <w:r>
        <w:rPr>
          <w:kern w:val="0"/>
        </w:rPr>
        <w:t>7</w:t>
      </w:r>
      <w:r>
        <w:rPr>
          <w:rFonts w:hint="eastAsia"/>
          <w:kern w:val="0"/>
        </w:rPr>
        <w:t>学</w:t>
      </w:r>
      <w:r>
        <w:rPr>
          <w:kern w:val="0"/>
        </w:rPr>
        <w:t>时）。</w:t>
      </w:r>
    </w:p>
    <w:p>
      <w:pPr>
        <w:widowControl/>
        <w:snapToGrid w:val="0"/>
        <w:spacing w:line="360" w:lineRule="auto"/>
        <w:jc w:val="left"/>
        <w:rPr>
          <w:bCs/>
          <w:kern w:val="0"/>
          <w:szCs w:val="21"/>
        </w:rPr>
      </w:pPr>
      <w:r>
        <w:rPr>
          <w:b/>
          <w:bCs/>
          <w:kern w:val="0"/>
          <w:szCs w:val="21"/>
        </w:rPr>
        <w:t>五、实验教学内容及学时分配（24学时）</w:t>
      </w:r>
    </w:p>
    <w:p>
      <w:pPr>
        <w:snapToGrid w:val="0"/>
        <w:spacing w:line="360" w:lineRule="auto"/>
        <w:rPr>
          <w:b/>
          <w:bCs/>
          <w:szCs w:val="21"/>
        </w:rPr>
      </w:pPr>
      <w:r>
        <w:rPr>
          <w:b/>
          <w:szCs w:val="21"/>
        </w:rPr>
        <w:t>（一）</w:t>
      </w:r>
      <w:r>
        <w:rPr>
          <w:b/>
          <w:bCs/>
          <w:szCs w:val="21"/>
        </w:rPr>
        <w:t>实验课程简介</w:t>
      </w:r>
    </w:p>
    <w:p>
      <w:pPr>
        <w:snapToGrid w:val="0"/>
        <w:spacing w:line="360" w:lineRule="auto"/>
        <w:ind w:firstLine="420" w:firstLineChars="200"/>
      </w:pPr>
      <w:r>
        <w:t>园艺产品采后处理实验是配合园艺产品贮运保鲜技术理论而开设的实验课，要求学生具备扎实的有机化学、分析化学、植物生理、生物化学等专业基础知识。主要进行采后果蔬的物理性状、营养品质及</w:t>
      </w:r>
      <w:r>
        <w:rPr>
          <w:rFonts w:hint="eastAsia"/>
        </w:rPr>
        <w:t>几种</w:t>
      </w:r>
      <w:r>
        <w:t>采后生理指标测定分析，加深学生对园艺产品保鲜基本原理的理解，通过</w:t>
      </w:r>
      <w:r>
        <w:rPr>
          <w:rFonts w:hint="eastAsia"/>
        </w:rPr>
        <w:t>综合性实验</w:t>
      </w:r>
      <w:r>
        <w:t>，培养学生的基本实验操作技能</w:t>
      </w:r>
      <w:r>
        <w:rPr>
          <w:rFonts w:hint="eastAsia"/>
        </w:rPr>
        <w:t>、</w:t>
      </w:r>
      <w:r>
        <w:t>科学研究</w:t>
      </w:r>
      <w:r>
        <w:rPr>
          <w:rFonts w:hint="eastAsia"/>
        </w:rPr>
        <w:t>及综合分析</w:t>
      </w:r>
      <w:r>
        <w:t>的能力。</w:t>
      </w:r>
    </w:p>
    <w:p>
      <w:pPr>
        <w:snapToGrid w:val="0"/>
        <w:spacing w:line="360" w:lineRule="auto"/>
        <w:rPr>
          <w:b/>
          <w:bCs/>
          <w:szCs w:val="21"/>
        </w:rPr>
      </w:pPr>
      <w:r>
        <w:rPr>
          <w:b/>
          <w:bCs/>
          <w:szCs w:val="21"/>
        </w:rPr>
        <w:t>（二）实验教学目的和基本要求</w:t>
      </w:r>
    </w:p>
    <w:p>
      <w:pPr>
        <w:snapToGrid w:val="0"/>
        <w:spacing w:line="360" w:lineRule="auto"/>
        <w:ind w:firstLine="420" w:firstLineChars="200"/>
      </w:pPr>
      <w:r>
        <w:t>教学目的是使学生熟悉和掌握基本仪器的使用方法，要求学生掌握各种分析方法</w:t>
      </w:r>
      <w:r>
        <w:rPr>
          <w:rFonts w:hint="eastAsia"/>
        </w:rPr>
        <w:t>原理及测定</w:t>
      </w:r>
      <w:r>
        <w:t>的</w:t>
      </w:r>
      <w:r>
        <w:rPr>
          <w:rFonts w:hint="eastAsia"/>
        </w:rPr>
        <w:t>各个</w:t>
      </w:r>
      <w:r>
        <w:t>操作环节，并独立完成实验报告。</w:t>
      </w:r>
    </w:p>
    <w:p>
      <w:pPr>
        <w:snapToGrid w:val="0"/>
        <w:spacing w:line="360" w:lineRule="auto"/>
        <w:ind w:firstLine="420" w:firstLineChars="200"/>
      </w:pPr>
      <w:r>
        <w:t>1、对学生进行果实主要营养品质、采后生理指标测定方法的操作训练，使学生掌握测定分析方法、技能。</w:t>
      </w:r>
    </w:p>
    <w:p>
      <w:pPr>
        <w:snapToGrid w:val="0"/>
        <w:spacing w:after="156" w:line="360" w:lineRule="auto"/>
        <w:ind w:firstLine="420" w:firstLineChars="200"/>
      </w:pPr>
      <w:r>
        <w:t>2、加深学生对园艺产品保鲜基本原理的理解，初步掌握几种常见果品蔬菜冷藏、气调贮藏技术参数的检测方法及操作步骤。</w:t>
      </w:r>
      <w:r>
        <w:rPr>
          <w:rFonts w:hint="eastAsia"/>
        </w:rPr>
        <w:t>此外，通过一些综合试验</w:t>
      </w:r>
      <w:r>
        <w:t>，</w:t>
      </w:r>
      <w:r>
        <w:rPr>
          <w:rFonts w:hint="eastAsia"/>
        </w:rPr>
        <w:t>使学生</w:t>
      </w:r>
      <w:r>
        <w:t>初步掌握</w:t>
      </w:r>
      <w:r>
        <w:rPr>
          <w:rFonts w:hint="eastAsia"/>
        </w:rPr>
        <w:t>果蔬采后成熟衰老调控</w:t>
      </w:r>
      <w:r>
        <w:t>方法</w:t>
      </w:r>
      <w:r>
        <w:rPr>
          <w:rFonts w:hint="eastAsia"/>
        </w:rPr>
        <w:t>，进而培养学生综合分析能力</w:t>
      </w:r>
      <w:r>
        <w:t>。</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1、实验室守则</w:t>
      </w:r>
    </w:p>
    <w:p>
      <w:pPr>
        <w:snapToGrid w:val="0"/>
        <w:spacing w:line="360" w:lineRule="auto"/>
        <w:ind w:firstLine="420" w:firstLineChars="200"/>
      </w:pPr>
      <w:r>
        <w:rPr>
          <w:rFonts w:hint="eastAsia"/>
        </w:rPr>
        <w:t>学生进行课程实验时，应遵从以下守则：</w:t>
      </w:r>
    </w:p>
    <w:p>
      <w:pPr>
        <w:snapToGrid w:val="0"/>
        <w:spacing w:line="360" w:lineRule="auto"/>
        <w:ind w:firstLine="420" w:firstLineChars="200"/>
      </w:pPr>
      <w:r>
        <w:rPr>
          <w:rFonts w:hint="eastAsia"/>
        </w:rPr>
        <w:t>（1）进入园艺学院本科实验室工作时，必须穿工作服，离开实验室时应脱下。工作服应经常保持整洁，禁止穿工作服进入公共场所。在进行任何有可能碰伤、刺激或烧伤眼睛的工作时，必须戴防护眼镜。</w:t>
      </w:r>
    </w:p>
    <w:p>
      <w:pPr>
        <w:snapToGrid w:val="0"/>
        <w:spacing w:line="360" w:lineRule="auto"/>
        <w:ind w:firstLine="420" w:firstLineChars="200"/>
      </w:pPr>
      <w:r>
        <w:rPr>
          <w:rFonts w:hint="eastAsia"/>
        </w:rPr>
        <w:t>（2）禁止在实验室内吸烟及吃东西。不准使用试验器皿作茶杯或餐具，不得用嘴巴品尝味道的方法来鉴别未知物。</w:t>
      </w:r>
    </w:p>
    <w:p>
      <w:pPr>
        <w:snapToGrid w:val="0"/>
        <w:spacing w:line="360" w:lineRule="auto"/>
        <w:ind w:firstLine="420" w:firstLineChars="200"/>
      </w:pPr>
      <w:r>
        <w:rPr>
          <w:rFonts w:hint="eastAsia"/>
        </w:rPr>
        <w:t>（3）工作完毕后离开实验室时应用肥皂洗手。</w:t>
      </w:r>
    </w:p>
    <w:p>
      <w:pPr>
        <w:snapToGrid w:val="0"/>
        <w:spacing w:line="360" w:lineRule="auto"/>
        <w:ind w:firstLine="420" w:firstLineChars="200"/>
      </w:pPr>
      <w:r>
        <w:rPr>
          <w:rFonts w:hint="eastAsia"/>
        </w:rPr>
        <w:t>（4）实验室停止供电、供水时应将水源、电源开关全部关上，以防恢复供电、供水时由于开关未关而发生事故。离开实验室时应检查门、窗、水、电、气是否安全及关闭。</w:t>
      </w:r>
    </w:p>
    <w:p>
      <w:pPr>
        <w:snapToGrid w:val="0"/>
        <w:spacing w:line="360" w:lineRule="auto"/>
        <w:ind w:firstLine="420" w:firstLineChars="200"/>
      </w:pPr>
      <w:r>
        <w:rPr>
          <w:rFonts w:hint="eastAsia"/>
        </w:rPr>
        <w:t>（5）实验室内的每瓶试剂必须贴有明显的与试剂相符的标签、并标明试剂名称、浓度及配制日期或标定日期。</w:t>
      </w:r>
    </w:p>
    <w:p>
      <w:pPr>
        <w:snapToGrid w:val="0"/>
        <w:spacing w:line="360" w:lineRule="auto"/>
        <w:ind w:firstLine="420" w:firstLineChars="200"/>
      </w:pPr>
      <w:r>
        <w:rPr>
          <w:rFonts w:hint="eastAsia"/>
        </w:rPr>
        <w:t>（6）开启园艺产品采后处理学课程涉及到的试剂，如盐酸、氢氧化钠等时，一定要注意安全。</w:t>
      </w:r>
    </w:p>
    <w:p>
      <w:pPr>
        <w:snapToGrid w:val="0"/>
        <w:spacing w:line="360" w:lineRule="auto"/>
        <w:ind w:firstLine="420" w:firstLineChars="200"/>
      </w:pPr>
      <w:r>
        <w:rPr>
          <w:rFonts w:hint="eastAsia"/>
        </w:rPr>
        <w:t>（7）取下正在加热至近沸的水或溶夜时，应用玻璃棒进行搅拌，驱除气泡，或用烧杯夹将其轻轻摇动后方可取下,防止突然产生大气泡并飞溅伤人。煮沸有大量沉淀的液体时应用玻璃棒不断搅拌,以免发生爆沸。</w:t>
      </w:r>
    </w:p>
    <w:p>
      <w:pPr>
        <w:snapToGrid w:val="0"/>
        <w:spacing w:line="360" w:lineRule="auto"/>
        <w:ind w:firstLine="420" w:firstLineChars="200"/>
      </w:pPr>
      <w:r>
        <w:rPr>
          <w:rFonts w:hint="eastAsia"/>
        </w:rPr>
        <w:t>（8）园艺产品采后处理学实验室的仪器在未掌握安全操作规程前不得随意动用。</w:t>
      </w:r>
    </w:p>
    <w:p>
      <w:pPr>
        <w:snapToGrid w:val="0"/>
        <w:spacing w:line="360" w:lineRule="auto"/>
        <w:ind w:firstLine="420" w:firstLineChars="200"/>
        <w:rPr>
          <w:shd w:val="clear" w:color="auto" w:fill="FFFFFF"/>
        </w:rPr>
      </w:pPr>
      <w:r>
        <w:rPr>
          <w:rFonts w:hint="eastAsia"/>
        </w:rPr>
        <w:t>2、</w:t>
      </w:r>
      <w:r>
        <w:rPr>
          <w:shd w:val="clear" w:color="auto" w:fill="FFFFFF"/>
        </w:rPr>
        <w:t>电器、易燃、易爆、有毒有害试剂</w:t>
      </w:r>
    </w:p>
    <w:p>
      <w:pPr>
        <w:snapToGrid w:val="0"/>
        <w:spacing w:line="360" w:lineRule="auto"/>
        <w:ind w:firstLine="420" w:firstLineChars="200"/>
      </w:pPr>
      <w:r>
        <w:rPr>
          <w:rFonts w:hint="eastAsia"/>
        </w:rPr>
        <w:t>（1）电器安全操作规程</w:t>
      </w:r>
    </w:p>
    <w:p>
      <w:pPr>
        <w:snapToGrid w:val="0"/>
        <w:spacing w:line="360" w:lineRule="auto"/>
        <w:ind w:firstLine="420" w:firstLineChars="200"/>
      </w:pPr>
      <w:r>
        <w:rPr>
          <w:rFonts w:hint="eastAsia"/>
        </w:rPr>
        <w:t>1.1 实验室内不得有裸露的电线、闸刀开关应完全合上或断开，以防止接触不好产生火花进而引起易燃物的爆炸，拔下插头时应用手捏住插头再拔，不得只拉电线。</w:t>
      </w:r>
    </w:p>
    <w:p>
      <w:pPr>
        <w:snapToGrid w:val="0"/>
        <w:spacing w:line="360" w:lineRule="auto"/>
        <w:ind w:firstLine="420" w:firstLineChars="200"/>
      </w:pPr>
      <w:r>
        <w:rPr>
          <w:rFonts w:hint="eastAsia"/>
        </w:rPr>
        <w:t>1.2 各种电器设备及电线应始终保持干燥，不得浸湿，以防短路引起火灾或烧坏电器设备。</w:t>
      </w:r>
    </w:p>
    <w:p>
      <w:pPr>
        <w:snapToGrid w:val="0"/>
        <w:spacing w:line="360" w:lineRule="auto"/>
        <w:ind w:firstLine="420" w:firstLineChars="200"/>
      </w:pPr>
      <w:r>
        <w:rPr>
          <w:rFonts w:hint="eastAsia"/>
        </w:rPr>
        <w:t>1.3 各类电器设备发生异常或故障时，应及时断电，由专业人员检修。</w:t>
      </w:r>
    </w:p>
    <w:p>
      <w:pPr>
        <w:snapToGrid w:val="0"/>
        <w:spacing w:line="360" w:lineRule="auto"/>
        <w:ind w:firstLine="420" w:firstLineChars="200"/>
      </w:pPr>
      <w:r>
        <w:rPr>
          <w:rFonts w:hint="eastAsia"/>
        </w:rPr>
        <w:t>1.4 保险丝熔断时，应查清原因，不得任意增加或加粗保险丝，更不得以铜丝代替。</w:t>
      </w:r>
    </w:p>
    <w:p>
      <w:pPr>
        <w:snapToGrid w:val="0"/>
        <w:spacing w:line="360" w:lineRule="auto"/>
        <w:ind w:firstLine="420" w:firstLineChars="200"/>
      </w:pPr>
      <w:r>
        <w:rPr>
          <w:rFonts w:hint="eastAsia"/>
        </w:rPr>
        <w:t>（2）化学药品的安全操作规程</w:t>
      </w:r>
    </w:p>
    <w:p>
      <w:pPr>
        <w:snapToGrid w:val="0"/>
        <w:spacing w:line="360" w:lineRule="auto"/>
        <w:ind w:firstLine="420" w:firstLineChars="200"/>
      </w:pPr>
      <w:r>
        <w:rPr>
          <w:rFonts w:hint="eastAsia"/>
        </w:rPr>
        <w:t>2.1浓硫酸与水混合时，必须边搅拌边将硫酸徐徐注入存有冷却水的耐热玻璃杯中，不得将水倒入硫酸中。否则将引起爆炸与烧伤事故。凡是在稀释能放出大量热的酸、碱时都应按此规定操作。</w:t>
      </w:r>
    </w:p>
    <w:p>
      <w:pPr>
        <w:snapToGrid w:val="0"/>
        <w:spacing w:line="360" w:lineRule="auto"/>
        <w:ind w:firstLine="420" w:firstLineChars="200"/>
      </w:pPr>
      <w:r>
        <w:rPr>
          <w:rFonts w:hint="eastAsia"/>
        </w:rPr>
        <w:t>2.2 搬运大瓶（或坛装）酸、碱或腐蚀性液体时，应特别小心，注意容器有无裂纹，外包装是否牢固，搬运时最好用手推车。从大容器中分装时应用虹吸管移取，不得将10公斤以上的玻璃器皿用手来倾倒。</w:t>
      </w:r>
    </w:p>
    <w:p>
      <w:pPr>
        <w:snapToGrid w:val="0"/>
        <w:spacing w:line="360" w:lineRule="auto"/>
        <w:ind w:firstLine="420" w:firstLineChars="200"/>
      </w:pPr>
      <w:r>
        <w:rPr>
          <w:rFonts w:hint="eastAsia"/>
        </w:rPr>
        <w:t>2.3 实验室不得存放大量易燃药品和废液，例如：乙醇、甲醇、丙酮、及其他易燃有机溶剂等，对少量易燃药品应放在远离热源的地方。注意其盛装容器的密封性，以防挥发后的气体与空气混合形成爆炸性气体。使用易燃药品时，附近不得有明火、电炉及电源开关，更不得在明火或炉上直接加热。</w:t>
      </w:r>
    </w:p>
    <w:p>
      <w:pPr>
        <w:snapToGrid w:val="0"/>
        <w:spacing w:line="360" w:lineRule="auto"/>
        <w:ind w:firstLine="420" w:firstLineChars="200"/>
      </w:pPr>
      <w:r>
        <w:rPr>
          <w:rFonts w:hint="eastAsia"/>
        </w:rPr>
        <w:t>2.4废液、废物的处理</w:t>
      </w:r>
    </w:p>
    <w:p>
      <w:pPr>
        <w:snapToGrid w:val="0"/>
        <w:spacing w:line="360" w:lineRule="auto"/>
        <w:ind w:firstLine="420" w:firstLineChars="200"/>
      </w:pPr>
      <w:r>
        <w:rPr>
          <w:rFonts w:hint="eastAsia"/>
        </w:rPr>
        <w:t>2.4.1一切不溶固体或衣酸、浓碱溶液严禁到入水池，以防堵塞和腐蚀水管,浓酸、浓碱应经稀释后才能放入水池。</w:t>
      </w:r>
    </w:p>
    <w:p>
      <w:pPr>
        <w:snapToGrid w:val="0"/>
        <w:spacing w:line="360" w:lineRule="auto"/>
        <w:ind w:firstLine="420" w:firstLineChars="200"/>
      </w:pPr>
      <w:r>
        <w:rPr>
          <w:rFonts w:hint="eastAsia"/>
        </w:rPr>
        <w:t>2.4.2大量有机溶剂废液不得放入下水道，应回收至废液桶中集中处理。</w:t>
      </w:r>
    </w:p>
    <w:p>
      <w:pPr>
        <w:snapToGrid w:val="0"/>
        <w:spacing w:line="360" w:lineRule="auto"/>
        <w:ind w:firstLine="420" w:firstLineChars="200"/>
      </w:pPr>
      <w:r>
        <w:rPr>
          <w:rFonts w:hint="eastAsia"/>
        </w:rPr>
        <w:t>3、灭火与急救</w:t>
      </w:r>
    </w:p>
    <w:p>
      <w:pPr>
        <w:snapToGrid w:val="0"/>
        <w:spacing w:line="360" w:lineRule="auto"/>
        <w:ind w:firstLine="420" w:firstLineChars="200"/>
      </w:pPr>
      <w:r>
        <w:rPr>
          <w:rFonts w:hint="eastAsia"/>
        </w:rPr>
        <w:t>（1）灭火</w:t>
      </w:r>
    </w:p>
    <w:p>
      <w:pPr>
        <w:snapToGrid w:val="0"/>
        <w:spacing w:line="360" w:lineRule="auto"/>
        <w:ind w:firstLine="420" w:firstLineChars="200"/>
      </w:pPr>
      <w:r>
        <w:rPr>
          <w:rFonts w:hint="eastAsia"/>
        </w:rPr>
        <w:t>1.1实验室失火后，一定要沉着、不要惊慌，要根据起火原因与火势大小，及时采取以下措施：</w:t>
      </w:r>
    </w:p>
    <w:p>
      <w:pPr>
        <w:snapToGrid w:val="0"/>
        <w:spacing w:line="360" w:lineRule="auto"/>
        <w:ind w:firstLine="420" w:firstLineChars="200"/>
      </w:pPr>
      <w:r>
        <w:rPr>
          <w:rFonts w:hint="eastAsia"/>
        </w:rPr>
        <w:t>1.1.1立即关掉电源、气源及通风机</w:t>
      </w:r>
    </w:p>
    <w:p>
      <w:pPr>
        <w:snapToGrid w:val="0"/>
        <w:spacing w:line="360" w:lineRule="auto"/>
        <w:ind w:firstLine="420" w:firstLineChars="200"/>
      </w:pPr>
      <w:r>
        <w:rPr>
          <w:rFonts w:hint="eastAsia"/>
        </w:rPr>
        <w:t>1.1.2将室内易燃、易爆物(例如压缩气瓶)小心搬离火源，注意搬动时切不可碰撞，以免引起更大火灾。</w:t>
      </w:r>
    </w:p>
    <w:p>
      <w:pPr>
        <w:snapToGrid w:val="0"/>
        <w:spacing w:line="360" w:lineRule="auto"/>
        <w:ind w:firstLine="420" w:firstLineChars="200"/>
      </w:pPr>
      <w:r>
        <w:rPr>
          <w:rFonts w:hint="eastAsia"/>
        </w:rPr>
        <w:t>1.1.3迅速选用适当的灭火器，将刚起的火扑灭。注意不要用水来扑灭不溶于水的油类以及其他有机溶剂等可燃物。</w:t>
      </w:r>
    </w:p>
    <w:p>
      <w:pPr>
        <w:snapToGrid w:val="0"/>
        <w:spacing w:line="360" w:lineRule="auto"/>
        <w:ind w:firstLine="420" w:firstLineChars="200"/>
      </w:pPr>
      <w:r>
        <w:rPr>
          <w:rFonts w:hint="eastAsia"/>
        </w:rPr>
        <w:t>1.1.4及时报警：火警电话119。</w:t>
      </w:r>
    </w:p>
    <w:p>
      <w:pPr>
        <w:snapToGrid w:val="0"/>
        <w:spacing w:line="360" w:lineRule="auto"/>
        <w:ind w:firstLine="420" w:firstLineChars="200"/>
      </w:pPr>
      <w:r>
        <w:rPr>
          <w:rFonts w:hint="eastAsia"/>
        </w:rPr>
        <w:t>1.2身上衣服着火时，切不可任意跑动。应用石棉毯裹在身，以隔绝空气而灭火。如无石棉毯或薄毯时，可就地躺下打滚以灭火。</w:t>
      </w:r>
    </w:p>
    <w:p>
      <w:pPr>
        <w:snapToGrid w:val="0"/>
        <w:spacing w:line="360" w:lineRule="auto"/>
        <w:ind w:firstLine="420" w:firstLineChars="200"/>
      </w:pPr>
      <w:r>
        <w:rPr>
          <w:rFonts w:hint="eastAsia"/>
        </w:rPr>
        <w:t>1.3实验室应装备必要的灭火设备。</w:t>
      </w:r>
    </w:p>
    <w:p>
      <w:pPr>
        <w:snapToGrid w:val="0"/>
        <w:spacing w:line="360" w:lineRule="auto"/>
        <w:ind w:firstLine="420" w:firstLineChars="200"/>
      </w:pPr>
      <w:r>
        <w:rPr>
          <w:rFonts w:hint="eastAsia"/>
        </w:rPr>
        <w:t>（2）急救</w:t>
      </w:r>
    </w:p>
    <w:p>
      <w:pPr>
        <w:snapToGrid w:val="0"/>
        <w:spacing w:line="360" w:lineRule="auto"/>
        <w:ind w:firstLine="420" w:firstLineChars="200"/>
      </w:pPr>
      <w:r>
        <w:rPr>
          <w:rFonts w:hint="eastAsia"/>
        </w:rPr>
        <w:t>2.1实验室应备有急救箱，并经常检查，保证齐备无缺。</w:t>
      </w:r>
    </w:p>
    <w:p>
      <w:pPr>
        <w:snapToGrid w:val="0"/>
        <w:spacing w:line="360" w:lineRule="auto"/>
        <w:ind w:firstLine="420" w:firstLineChars="200"/>
      </w:pPr>
      <w:r>
        <w:rPr>
          <w:rFonts w:hint="eastAsia"/>
        </w:rPr>
        <w:t>2.2当眼睛里溅入腐蚀性药品时:应立即用实验室配备的洗眼器冲洗，但应注意水压不可太大，以免眼球受伤，待药物被充分洗净后，再到医务室就医。</w:t>
      </w:r>
    </w:p>
    <w:p>
      <w:pPr>
        <w:snapToGrid w:val="0"/>
        <w:spacing w:line="360" w:lineRule="auto"/>
        <w:ind w:firstLine="420" w:firstLineChars="200"/>
      </w:pPr>
      <w:r>
        <w:rPr>
          <w:rFonts w:hint="eastAsia"/>
        </w:rPr>
        <w:t>2.3当眼睛里进入碎玻璃或其他异物时，应闭上眼睛。不要转动，立即到医务室就医，切记不可用手揉眼睛，以免引起更严重的擦伤。</w:t>
      </w:r>
    </w:p>
    <w:p>
      <w:pPr>
        <w:snapToGrid w:val="0"/>
        <w:spacing w:line="360" w:lineRule="auto"/>
        <w:ind w:firstLine="420" w:firstLineChars="200"/>
      </w:pPr>
      <w:r>
        <w:rPr>
          <w:rFonts w:hint="eastAsia"/>
        </w:rPr>
        <w:t>2.4 浓酸或碱洒在衣服上，或沾在皮肤上，应立即用大量水冲洗，随后分别用碳酸氢钠溶液（2%）或乙酸溶液（3-4%）轻轻擦洗，必要时去医务室就医。</w:t>
      </w:r>
    </w:p>
    <w:p>
      <w:pPr>
        <w:snapToGrid w:val="0"/>
        <w:spacing w:line="360" w:lineRule="auto"/>
        <w:ind w:firstLine="420" w:firstLineChars="200"/>
      </w:pPr>
      <w:r>
        <w:rPr>
          <w:rFonts w:hint="eastAsia"/>
        </w:rPr>
        <w:t>2.5人员触电后，应立即切断电源，或用非导电体将电线从触电者身上移开。如果触电者已经休克，应迅速将其移到新鲜空气处，立即进行人工呼吸，并请医务人员到现场抢救。</w:t>
      </w:r>
    </w:p>
    <w:p>
      <w:pPr>
        <w:snapToGrid w:val="0"/>
        <w:spacing w:after="156" w:afterLines="50" w:line="360" w:lineRule="auto"/>
        <w:rPr>
          <w:b/>
          <w:bCs/>
          <w:szCs w:val="21"/>
        </w:rPr>
      </w:pPr>
      <w:r>
        <w:rPr>
          <w:b/>
          <w:bCs/>
          <w:szCs w:val="21"/>
        </w:rPr>
        <w:t>（四）实验项目名称与学时分配</w:t>
      </w:r>
    </w:p>
    <w:tbl>
      <w:tblPr>
        <w:tblStyle w:val="22"/>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402"/>
        <w:gridCol w:w="707"/>
        <w:gridCol w:w="958"/>
        <w:gridCol w:w="1225"/>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tcBorders>
              <w:tl2br w:val="nil"/>
              <w:tr2bl w:val="nil"/>
            </w:tcBorders>
            <w:shd w:val="clear" w:color="auto" w:fill="EEECE1" w:themeFill="background2"/>
            <w:vAlign w:val="center"/>
          </w:tcPr>
          <w:p>
            <w:pPr>
              <w:ind w:firstLine="361"/>
              <w:jc w:val="center"/>
              <w:rPr>
                <w:b/>
                <w:bCs/>
                <w:sz w:val="18"/>
                <w:szCs w:val="18"/>
              </w:rPr>
            </w:pPr>
            <w:r>
              <w:rPr>
                <w:b/>
                <w:bCs/>
                <w:sz w:val="18"/>
                <w:szCs w:val="18"/>
              </w:rPr>
              <w:t>序号</w:t>
            </w:r>
          </w:p>
        </w:tc>
        <w:tc>
          <w:tcPr>
            <w:tcW w:w="3402" w:type="dxa"/>
            <w:tcBorders>
              <w:tl2br w:val="nil"/>
              <w:tr2bl w:val="nil"/>
            </w:tcBorders>
            <w:shd w:val="clear" w:color="auto" w:fill="EEECE1" w:themeFill="background2"/>
            <w:vAlign w:val="center"/>
          </w:tcPr>
          <w:p>
            <w:pPr>
              <w:ind w:firstLine="361"/>
              <w:jc w:val="center"/>
              <w:rPr>
                <w:b/>
                <w:bCs/>
                <w:sz w:val="18"/>
                <w:szCs w:val="18"/>
              </w:rPr>
            </w:pPr>
            <w:r>
              <w:rPr>
                <w:b/>
                <w:bCs/>
                <w:sz w:val="18"/>
                <w:szCs w:val="18"/>
              </w:rPr>
              <w:t>实验名称</w:t>
            </w:r>
          </w:p>
        </w:tc>
        <w:tc>
          <w:tcPr>
            <w:tcW w:w="707" w:type="dxa"/>
            <w:tcBorders>
              <w:tl2br w:val="nil"/>
              <w:tr2bl w:val="nil"/>
            </w:tcBorders>
            <w:shd w:val="clear" w:color="auto" w:fill="EEECE1" w:themeFill="background2"/>
            <w:vAlign w:val="center"/>
          </w:tcPr>
          <w:p>
            <w:pPr>
              <w:rPr>
                <w:b/>
                <w:bCs/>
                <w:sz w:val="18"/>
                <w:szCs w:val="18"/>
              </w:rPr>
            </w:pPr>
            <w:r>
              <w:rPr>
                <w:b/>
                <w:bCs/>
                <w:sz w:val="18"/>
                <w:szCs w:val="18"/>
              </w:rPr>
              <w:t>学时</w:t>
            </w:r>
          </w:p>
        </w:tc>
        <w:tc>
          <w:tcPr>
            <w:tcW w:w="958" w:type="dxa"/>
            <w:tcBorders>
              <w:tl2br w:val="nil"/>
              <w:tr2bl w:val="nil"/>
            </w:tcBorders>
            <w:shd w:val="clear" w:color="auto" w:fill="EEECE1" w:themeFill="background2"/>
            <w:vAlign w:val="center"/>
          </w:tcPr>
          <w:p>
            <w:pPr>
              <w:ind w:firstLine="361"/>
              <w:jc w:val="center"/>
              <w:rPr>
                <w:b/>
                <w:bCs/>
                <w:sz w:val="18"/>
                <w:szCs w:val="18"/>
              </w:rPr>
            </w:pPr>
            <w:r>
              <w:rPr>
                <w:b/>
                <w:bCs/>
                <w:sz w:val="18"/>
                <w:szCs w:val="18"/>
              </w:rPr>
              <w:t>类型</w:t>
            </w:r>
          </w:p>
        </w:tc>
        <w:tc>
          <w:tcPr>
            <w:tcW w:w="1225" w:type="dxa"/>
            <w:tcBorders>
              <w:tl2br w:val="nil"/>
              <w:tr2bl w:val="nil"/>
            </w:tcBorders>
            <w:shd w:val="clear" w:color="auto" w:fill="EEECE1" w:themeFill="background2"/>
            <w:vAlign w:val="center"/>
          </w:tcPr>
          <w:p>
            <w:pPr>
              <w:rPr>
                <w:b/>
                <w:bCs/>
                <w:sz w:val="18"/>
                <w:szCs w:val="18"/>
              </w:rPr>
            </w:pPr>
            <w:r>
              <w:rPr>
                <w:b/>
                <w:bCs/>
                <w:sz w:val="18"/>
                <w:szCs w:val="18"/>
              </w:rPr>
              <w:t>实验要求</w:t>
            </w:r>
          </w:p>
        </w:tc>
        <w:tc>
          <w:tcPr>
            <w:tcW w:w="1128" w:type="dxa"/>
            <w:tcBorders>
              <w:tl2br w:val="nil"/>
              <w:tr2bl w:val="nil"/>
            </w:tcBorders>
            <w:shd w:val="clear" w:color="auto" w:fill="EEECE1" w:themeFill="background2"/>
            <w:vAlign w:val="center"/>
          </w:tcPr>
          <w:p>
            <w:pPr>
              <w:rPr>
                <w:b/>
                <w:bCs/>
                <w:sz w:val="18"/>
                <w:szCs w:val="18"/>
              </w:rPr>
            </w:pPr>
            <w:r>
              <w:rPr>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117</w:t>
            </w:r>
            <w:r>
              <w:rPr>
                <w:rFonts w:eastAsiaTheme="minorEastAsia"/>
                <w:b w:val="0"/>
                <w:bCs/>
                <w:sz w:val="18"/>
                <w:szCs w:val="18"/>
              </w:rPr>
              <w:t>h</w:t>
            </w:r>
            <w:r>
              <w:rPr>
                <w:rFonts w:hint="eastAsia" w:eastAsiaTheme="minorEastAsia"/>
                <w:b w:val="0"/>
                <w:bCs/>
                <w:sz w:val="18"/>
                <w:szCs w:val="18"/>
              </w:rPr>
              <w:t>0</w:t>
            </w:r>
            <w:r>
              <w:rPr>
                <w:rFonts w:eastAsiaTheme="minorEastAsia"/>
                <w:b w:val="0"/>
                <w:bCs/>
                <w:sz w:val="18"/>
                <w:szCs w:val="18"/>
              </w:rPr>
              <w:t>1</w:t>
            </w:r>
          </w:p>
        </w:tc>
        <w:tc>
          <w:tcPr>
            <w:tcW w:w="3402"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果品蔬菜一般物理性状的测定</w:t>
            </w:r>
          </w:p>
        </w:tc>
        <w:tc>
          <w:tcPr>
            <w:tcW w:w="707" w:type="dxa"/>
            <w:tcBorders>
              <w:tl2br w:val="nil"/>
              <w:tr2bl w:val="nil"/>
            </w:tcBorders>
            <w:vAlign w:val="center"/>
          </w:tcPr>
          <w:p>
            <w:pPr>
              <w:widowControl/>
              <w:snapToGrid w:val="0"/>
              <w:jc w:val="center"/>
              <w:rPr>
                <w:rFonts w:eastAsiaTheme="minorEastAsia"/>
                <w:bCs/>
                <w:sz w:val="18"/>
                <w:szCs w:val="18"/>
              </w:rPr>
            </w:pPr>
            <w:r>
              <w:rPr>
                <w:rFonts w:eastAsiaTheme="minorEastAsia"/>
                <w:bCs/>
                <w:sz w:val="18"/>
                <w:szCs w:val="18"/>
              </w:rPr>
              <w:t>2</w:t>
            </w:r>
          </w:p>
        </w:tc>
        <w:tc>
          <w:tcPr>
            <w:tcW w:w="958"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验证性</w:t>
            </w:r>
          </w:p>
        </w:tc>
        <w:tc>
          <w:tcPr>
            <w:tcW w:w="1225"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必做</w:t>
            </w:r>
          </w:p>
        </w:tc>
        <w:tc>
          <w:tcPr>
            <w:tcW w:w="1128" w:type="dxa"/>
            <w:tcBorders>
              <w:tl2br w:val="nil"/>
              <w:tr2bl w:val="nil"/>
            </w:tcBorders>
            <w:vAlign w:val="center"/>
          </w:tcPr>
          <w:p>
            <w:pPr>
              <w:widowControl/>
              <w:snapToGrid w:val="0"/>
              <w:jc w:val="center"/>
              <w:rPr>
                <w:rFonts w:eastAsiaTheme="minorEastAsia"/>
                <w:bCs/>
                <w:sz w:val="18"/>
                <w:szCs w:val="18"/>
              </w:rPr>
            </w:pPr>
            <w:r>
              <w:rPr>
                <w:rFonts w:eastAsiaTheme="minorEastAsia"/>
                <w:bCs/>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117</w:t>
            </w:r>
            <w:r>
              <w:rPr>
                <w:rFonts w:eastAsiaTheme="minorEastAsia"/>
                <w:b w:val="0"/>
                <w:bCs/>
                <w:sz w:val="18"/>
                <w:szCs w:val="18"/>
              </w:rPr>
              <w:t>h</w:t>
            </w:r>
            <w:r>
              <w:rPr>
                <w:rFonts w:hint="eastAsia" w:eastAsiaTheme="minorEastAsia"/>
                <w:b w:val="0"/>
                <w:bCs/>
                <w:sz w:val="18"/>
                <w:szCs w:val="18"/>
              </w:rPr>
              <w:t>0</w:t>
            </w:r>
            <w:r>
              <w:rPr>
                <w:rFonts w:eastAsiaTheme="minorEastAsia"/>
                <w:b w:val="0"/>
                <w:bCs/>
                <w:sz w:val="18"/>
                <w:szCs w:val="18"/>
              </w:rPr>
              <w:t>2</w:t>
            </w:r>
          </w:p>
        </w:tc>
        <w:tc>
          <w:tcPr>
            <w:tcW w:w="3402"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果品蔬菜可滴定酸含量、可溶性固形物含量的测定</w:t>
            </w:r>
            <w:r>
              <w:rPr>
                <w:rFonts w:hint="eastAsia" w:eastAsiaTheme="minorEastAsia"/>
                <w:sz w:val="18"/>
                <w:szCs w:val="18"/>
              </w:rPr>
              <w:t>及分析</w:t>
            </w:r>
          </w:p>
        </w:tc>
        <w:tc>
          <w:tcPr>
            <w:tcW w:w="707" w:type="dxa"/>
            <w:tcBorders>
              <w:tl2br w:val="nil"/>
              <w:tr2bl w:val="nil"/>
            </w:tcBorders>
            <w:vAlign w:val="center"/>
          </w:tcPr>
          <w:p>
            <w:pPr>
              <w:widowControl/>
              <w:snapToGrid w:val="0"/>
              <w:jc w:val="center"/>
              <w:rPr>
                <w:rFonts w:eastAsiaTheme="minorEastAsia"/>
                <w:bCs/>
                <w:sz w:val="18"/>
                <w:szCs w:val="18"/>
              </w:rPr>
            </w:pPr>
            <w:r>
              <w:rPr>
                <w:rFonts w:eastAsiaTheme="minorEastAsia"/>
                <w:bCs/>
                <w:sz w:val="18"/>
                <w:szCs w:val="18"/>
              </w:rPr>
              <w:t>2</w:t>
            </w:r>
          </w:p>
        </w:tc>
        <w:tc>
          <w:tcPr>
            <w:tcW w:w="958" w:type="dxa"/>
            <w:tcBorders>
              <w:tl2br w:val="nil"/>
              <w:tr2bl w:val="nil"/>
            </w:tcBorders>
            <w:vAlign w:val="center"/>
          </w:tcPr>
          <w:p>
            <w:pPr>
              <w:jc w:val="center"/>
              <w:rPr>
                <w:rFonts w:eastAsiaTheme="minorEastAsia"/>
                <w:sz w:val="18"/>
                <w:szCs w:val="18"/>
              </w:rPr>
            </w:pPr>
            <w:r>
              <w:rPr>
                <w:rFonts w:hint="eastAsia" w:eastAsiaTheme="minorEastAsia"/>
                <w:bCs/>
                <w:sz w:val="18"/>
                <w:szCs w:val="18"/>
              </w:rPr>
              <w:t>设计性</w:t>
            </w:r>
          </w:p>
        </w:tc>
        <w:tc>
          <w:tcPr>
            <w:tcW w:w="1225"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必做</w:t>
            </w:r>
          </w:p>
        </w:tc>
        <w:tc>
          <w:tcPr>
            <w:tcW w:w="1128"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117</w:t>
            </w:r>
            <w:r>
              <w:rPr>
                <w:rFonts w:eastAsiaTheme="minorEastAsia"/>
                <w:b w:val="0"/>
                <w:bCs/>
                <w:sz w:val="18"/>
                <w:szCs w:val="18"/>
              </w:rPr>
              <w:t>h</w:t>
            </w:r>
            <w:r>
              <w:rPr>
                <w:rFonts w:hint="eastAsia" w:eastAsiaTheme="minorEastAsia"/>
                <w:b w:val="0"/>
                <w:bCs/>
                <w:sz w:val="18"/>
                <w:szCs w:val="18"/>
              </w:rPr>
              <w:t>0</w:t>
            </w:r>
            <w:r>
              <w:rPr>
                <w:rFonts w:eastAsiaTheme="minorEastAsia"/>
                <w:b w:val="0"/>
                <w:bCs/>
                <w:sz w:val="18"/>
                <w:szCs w:val="18"/>
              </w:rPr>
              <w:t>3</w:t>
            </w:r>
          </w:p>
        </w:tc>
        <w:tc>
          <w:tcPr>
            <w:tcW w:w="3402"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果品蔬菜还原型Vc含量的测定</w:t>
            </w:r>
          </w:p>
        </w:tc>
        <w:tc>
          <w:tcPr>
            <w:tcW w:w="707" w:type="dxa"/>
            <w:tcBorders>
              <w:tl2br w:val="nil"/>
              <w:tr2bl w:val="nil"/>
            </w:tcBorders>
            <w:vAlign w:val="center"/>
          </w:tcPr>
          <w:p>
            <w:pPr>
              <w:widowControl/>
              <w:snapToGrid w:val="0"/>
              <w:jc w:val="center"/>
              <w:rPr>
                <w:rFonts w:eastAsiaTheme="minorEastAsia"/>
                <w:bCs/>
                <w:sz w:val="18"/>
                <w:szCs w:val="18"/>
              </w:rPr>
            </w:pPr>
            <w:r>
              <w:rPr>
                <w:rFonts w:eastAsiaTheme="minorEastAsia"/>
                <w:bCs/>
                <w:sz w:val="18"/>
                <w:szCs w:val="18"/>
              </w:rPr>
              <w:t>2</w:t>
            </w:r>
          </w:p>
        </w:tc>
        <w:tc>
          <w:tcPr>
            <w:tcW w:w="958" w:type="dxa"/>
            <w:tcBorders>
              <w:tl2br w:val="nil"/>
              <w:tr2bl w:val="nil"/>
            </w:tcBorders>
            <w:vAlign w:val="center"/>
          </w:tcPr>
          <w:p>
            <w:pPr>
              <w:jc w:val="center"/>
              <w:rPr>
                <w:rFonts w:eastAsiaTheme="minorEastAsia"/>
                <w:sz w:val="18"/>
                <w:szCs w:val="18"/>
              </w:rPr>
            </w:pPr>
            <w:r>
              <w:rPr>
                <w:rFonts w:hint="eastAsia" w:eastAsiaTheme="minorEastAsia"/>
                <w:bCs/>
                <w:sz w:val="18"/>
                <w:szCs w:val="18"/>
              </w:rPr>
              <w:t>设计性</w:t>
            </w:r>
          </w:p>
        </w:tc>
        <w:tc>
          <w:tcPr>
            <w:tcW w:w="1225"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必做</w:t>
            </w:r>
          </w:p>
        </w:tc>
        <w:tc>
          <w:tcPr>
            <w:tcW w:w="1128"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117</w:t>
            </w:r>
            <w:r>
              <w:rPr>
                <w:rFonts w:eastAsiaTheme="minorEastAsia"/>
                <w:b w:val="0"/>
                <w:bCs/>
                <w:sz w:val="18"/>
                <w:szCs w:val="18"/>
              </w:rPr>
              <w:t>h</w:t>
            </w:r>
            <w:r>
              <w:rPr>
                <w:rFonts w:hint="eastAsia" w:eastAsiaTheme="minorEastAsia"/>
                <w:b w:val="0"/>
                <w:bCs/>
                <w:sz w:val="18"/>
                <w:szCs w:val="18"/>
              </w:rPr>
              <w:t>0</w:t>
            </w:r>
            <w:r>
              <w:rPr>
                <w:rFonts w:eastAsiaTheme="minorEastAsia"/>
                <w:b w:val="0"/>
                <w:bCs/>
                <w:sz w:val="18"/>
                <w:szCs w:val="18"/>
              </w:rPr>
              <w:t>4</w:t>
            </w:r>
          </w:p>
        </w:tc>
        <w:tc>
          <w:tcPr>
            <w:tcW w:w="3402"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果品蔬菜呼吸强度测定</w:t>
            </w:r>
          </w:p>
        </w:tc>
        <w:tc>
          <w:tcPr>
            <w:tcW w:w="707" w:type="dxa"/>
            <w:tcBorders>
              <w:tl2br w:val="nil"/>
              <w:tr2bl w:val="nil"/>
            </w:tcBorders>
            <w:vAlign w:val="center"/>
          </w:tcPr>
          <w:p>
            <w:pPr>
              <w:widowControl/>
              <w:snapToGrid w:val="0"/>
              <w:jc w:val="center"/>
              <w:rPr>
                <w:rFonts w:eastAsiaTheme="minorEastAsia"/>
                <w:bCs/>
                <w:sz w:val="18"/>
                <w:szCs w:val="18"/>
              </w:rPr>
            </w:pPr>
            <w:r>
              <w:rPr>
                <w:rFonts w:eastAsiaTheme="minorEastAsia"/>
                <w:bCs/>
                <w:sz w:val="18"/>
                <w:szCs w:val="18"/>
              </w:rPr>
              <w:t>3</w:t>
            </w:r>
          </w:p>
        </w:tc>
        <w:tc>
          <w:tcPr>
            <w:tcW w:w="958" w:type="dxa"/>
            <w:tcBorders>
              <w:tl2br w:val="nil"/>
              <w:tr2bl w:val="nil"/>
            </w:tcBorders>
            <w:vAlign w:val="center"/>
          </w:tcPr>
          <w:p>
            <w:pPr>
              <w:jc w:val="center"/>
              <w:rPr>
                <w:rFonts w:eastAsiaTheme="minorEastAsia"/>
                <w:sz w:val="18"/>
                <w:szCs w:val="18"/>
              </w:rPr>
            </w:pPr>
            <w:r>
              <w:rPr>
                <w:rFonts w:hint="eastAsia" w:eastAsiaTheme="minorEastAsia"/>
                <w:bCs/>
                <w:sz w:val="18"/>
                <w:szCs w:val="18"/>
              </w:rPr>
              <w:t>验证性</w:t>
            </w:r>
          </w:p>
        </w:tc>
        <w:tc>
          <w:tcPr>
            <w:tcW w:w="1225"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必做</w:t>
            </w:r>
          </w:p>
        </w:tc>
        <w:tc>
          <w:tcPr>
            <w:tcW w:w="1128"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117</w:t>
            </w:r>
            <w:r>
              <w:rPr>
                <w:b w:val="0"/>
                <w:bCs/>
                <w:sz w:val="18"/>
                <w:szCs w:val="18"/>
              </w:rPr>
              <w:t>h</w:t>
            </w:r>
            <w:r>
              <w:rPr>
                <w:rFonts w:hint="eastAsia"/>
                <w:b w:val="0"/>
                <w:bCs/>
                <w:sz w:val="18"/>
                <w:szCs w:val="18"/>
              </w:rPr>
              <w:t>05</w:t>
            </w:r>
          </w:p>
        </w:tc>
        <w:tc>
          <w:tcPr>
            <w:tcW w:w="3402" w:type="dxa"/>
            <w:tcBorders>
              <w:tl2br w:val="nil"/>
              <w:tr2bl w:val="nil"/>
            </w:tcBorders>
            <w:vAlign w:val="center"/>
          </w:tcPr>
          <w:p>
            <w:pPr>
              <w:widowControl/>
              <w:snapToGrid w:val="0"/>
              <w:jc w:val="center"/>
              <w:rPr>
                <w:rFonts w:eastAsiaTheme="minorEastAsia"/>
                <w:sz w:val="18"/>
                <w:szCs w:val="18"/>
              </w:rPr>
            </w:pPr>
            <w:r>
              <w:rPr>
                <w:rFonts w:eastAsiaTheme="minorEastAsia"/>
                <w:sz w:val="18"/>
                <w:szCs w:val="18"/>
              </w:rPr>
              <w:t>果品蔬菜</w:t>
            </w:r>
            <w:r>
              <w:rPr>
                <w:bCs/>
                <w:sz w:val="18"/>
                <w:szCs w:val="18"/>
              </w:rPr>
              <w:t>采后成熟</w:t>
            </w:r>
            <w:r>
              <w:rPr>
                <w:rFonts w:hint="eastAsia"/>
                <w:bCs/>
                <w:sz w:val="18"/>
                <w:szCs w:val="18"/>
              </w:rPr>
              <w:t>衰老</w:t>
            </w:r>
            <w:r>
              <w:rPr>
                <w:bCs/>
                <w:sz w:val="18"/>
                <w:szCs w:val="18"/>
              </w:rPr>
              <w:t>调控</w:t>
            </w:r>
          </w:p>
        </w:tc>
        <w:tc>
          <w:tcPr>
            <w:tcW w:w="707" w:type="dxa"/>
            <w:tcBorders>
              <w:tl2br w:val="nil"/>
              <w:tr2bl w:val="nil"/>
            </w:tcBorders>
            <w:vAlign w:val="center"/>
          </w:tcPr>
          <w:p>
            <w:pPr>
              <w:widowControl/>
              <w:snapToGrid w:val="0"/>
              <w:jc w:val="center"/>
              <w:rPr>
                <w:rFonts w:eastAsiaTheme="minorEastAsia"/>
                <w:bCs/>
                <w:sz w:val="18"/>
                <w:szCs w:val="18"/>
              </w:rPr>
            </w:pPr>
            <w:r>
              <w:rPr>
                <w:sz w:val="18"/>
                <w:szCs w:val="18"/>
              </w:rPr>
              <w:t>4</w:t>
            </w:r>
          </w:p>
        </w:tc>
        <w:tc>
          <w:tcPr>
            <w:tcW w:w="958" w:type="dxa"/>
            <w:tcBorders>
              <w:tl2br w:val="nil"/>
              <w:tr2bl w:val="nil"/>
            </w:tcBorders>
            <w:vAlign w:val="center"/>
          </w:tcPr>
          <w:p>
            <w:pPr>
              <w:jc w:val="center"/>
              <w:rPr>
                <w:rFonts w:eastAsiaTheme="minorEastAsia"/>
                <w:bCs/>
                <w:sz w:val="18"/>
                <w:szCs w:val="18"/>
              </w:rPr>
            </w:pPr>
            <w:r>
              <w:rPr>
                <w:sz w:val="18"/>
                <w:szCs w:val="18"/>
              </w:rPr>
              <w:t>综合性</w:t>
            </w:r>
          </w:p>
        </w:tc>
        <w:tc>
          <w:tcPr>
            <w:tcW w:w="1225" w:type="dxa"/>
            <w:tcBorders>
              <w:tl2br w:val="nil"/>
              <w:tr2bl w:val="nil"/>
            </w:tcBorders>
            <w:vAlign w:val="center"/>
          </w:tcPr>
          <w:p>
            <w:pPr>
              <w:widowControl/>
              <w:snapToGrid w:val="0"/>
              <w:jc w:val="center"/>
              <w:rPr>
                <w:rFonts w:eastAsiaTheme="minorEastAsia"/>
                <w:bCs/>
                <w:sz w:val="18"/>
                <w:szCs w:val="18"/>
              </w:rPr>
            </w:pPr>
            <w:r>
              <w:rPr>
                <w:sz w:val="18"/>
                <w:szCs w:val="18"/>
              </w:rPr>
              <w:t>必做</w:t>
            </w:r>
          </w:p>
        </w:tc>
        <w:tc>
          <w:tcPr>
            <w:tcW w:w="1128" w:type="dxa"/>
            <w:tcBorders>
              <w:tl2br w:val="nil"/>
              <w:tr2bl w:val="nil"/>
            </w:tcBorders>
            <w:vAlign w:val="center"/>
          </w:tcPr>
          <w:p>
            <w:pPr>
              <w:widowControl/>
              <w:snapToGrid w:val="0"/>
              <w:jc w:val="center"/>
              <w:rPr>
                <w:rFonts w:eastAsiaTheme="minorEastAsia"/>
                <w:sz w:val="18"/>
                <w:szCs w:val="18"/>
              </w:rPr>
            </w:pPr>
            <w:r>
              <w:rPr>
                <w:rFonts w:eastAsiaTheme="minor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b w:val="0"/>
                <w:bCs/>
                <w:sz w:val="18"/>
                <w:szCs w:val="18"/>
              </w:rPr>
            </w:pPr>
            <w:r>
              <w:rPr>
                <w:rFonts w:eastAsiaTheme="minorEastAsia"/>
                <w:b w:val="0"/>
                <w:bCs/>
                <w:sz w:val="18"/>
                <w:szCs w:val="18"/>
              </w:rPr>
              <w:t>19011</w:t>
            </w:r>
            <w:r>
              <w:rPr>
                <w:rFonts w:hint="eastAsia" w:eastAsiaTheme="minorEastAsia"/>
                <w:b w:val="0"/>
                <w:bCs/>
                <w:sz w:val="18"/>
                <w:szCs w:val="18"/>
              </w:rPr>
              <w:t>117</w:t>
            </w:r>
            <w:r>
              <w:rPr>
                <w:rFonts w:eastAsiaTheme="minorEastAsia"/>
                <w:b w:val="0"/>
                <w:bCs/>
                <w:sz w:val="18"/>
                <w:szCs w:val="18"/>
              </w:rPr>
              <w:t>h</w:t>
            </w:r>
            <w:r>
              <w:rPr>
                <w:rFonts w:hint="eastAsia" w:eastAsiaTheme="minorEastAsia"/>
                <w:b w:val="0"/>
                <w:bCs/>
                <w:sz w:val="18"/>
                <w:szCs w:val="18"/>
              </w:rPr>
              <w:t>06</w:t>
            </w:r>
          </w:p>
        </w:tc>
        <w:tc>
          <w:tcPr>
            <w:tcW w:w="3402" w:type="dxa"/>
            <w:tcBorders>
              <w:tl2br w:val="nil"/>
              <w:tr2bl w:val="nil"/>
            </w:tcBorders>
            <w:vAlign w:val="center"/>
          </w:tcPr>
          <w:p>
            <w:pPr>
              <w:widowControl/>
              <w:snapToGrid w:val="0"/>
              <w:jc w:val="center"/>
              <w:rPr>
                <w:rFonts w:eastAsiaTheme="minorEastAsia"/>
                <w:sz w:val="18"/>
                <w:szCs w:val="18"/>
              </w:rPr>
            </w:pPr>
            <w:r>
              <w:rPr>
                <w:rFonts w:eastAsiaTheme="minorEastAsia"/>
                <w:sz w:val="18"/>
                <w:szCs w:val="18"/>
              </w:rPr>
              <w:t>果品蔬菜</w:t>
            </w:r>
            <w:r>
              <w:rPr>
                <w:rFonts w:hint="eastAsia" w:eastAsiaTheme="minorEastAsia"/>
                <w:sz w:val="18"/>
                <w:szCs w:val="18"/>
              </w:rPr>
              <w:t>的人工催熟脱涩实验</w:t>
            </w:r>
          </w:p>
        </w:tc>
        <w:tc>
          <w:tcPr>
            <w:tcW w:w="707" w:type="dxa"/>
            <w:tcBorders>
              <w:tl2br w:val="nil"/>
              <w:tr2bl w:val="nil"/>
            </w:tcBorders>
            <w:vAlign w:val="center"/>
          </w:tcPr>
          <w:p>
            <w:pPr>
              <w:widowControl/>
              <w:snapToGrid w:val="0"/>
              <w:jc w:val="center"/>
              <w:rPr>
                <w:sz w:val="18"/>
                <w:szCs w:val="18"/>
              </w:rPr>
            </w:pPr>
            <w:r>
              <w:rPr>
                <w:sz w:val="18"/>
                <w:szCs w:val="18"/>
              </w:rPr>
              <w:t>4</w:t>
            </w:r>
          </w:p>
        </w:tc>
        <w:tc>
          <w:tcPr>
            <w:tcW w:w="958" w:type="dxa"/>
            <w:tcBorders>
              <w:tl2br w:val="nil"/>
              <w:tr2bl w:val="nil"/>
            </w:tcBorders>
            <w:vAlign w:val="center"/>
          </w:tcPr>
          <w:p>
            <w:pPr>
              <w:jc w:val="center"/>
              <w:rPr>
                <w:rFonts w:eastAsiaTheme="minorEastAsia"/>
                <w:bCs/>
                <w:sz w:val="18"/>
                <w:szCs w:val="18"/>
              </w:rPr>
            </w:pPr>
            <w:r>
              <w:rPr>
                <w:sz w:val="18"/>
                <w:szCs w:val="18"/>
              </w:rPr>
              <w:t>综合性</w:t>
            </w:r>
          </w:p>
        </w:tc>
        <w:tc>
          <w:tcPr>
            <w:tcW w:w="1225" w:type="dxa"/>
            <w:tcBorders>
              <w:tl2br w:val="nil"/>
              <w:tr2bl w:val="nil"/>
            </w:tcBorders>
            <w:vAlign w:val="center"/>
          </w:tcPr>
          <w:p>
            <w:pPr>
              <w:widowControl/>
              <w:snapToGrid w:val="0"/>
              <w:jc w:val="center"/>
              <w:rPr>
                <w:rFonts w:eastAsiaTheme="minorEastAsia"/>
                <w:bCs/>
                <w:sz w:val="18"/>
                <w:szCs w:val="18"/>
              </w:rPr>
            </w:pPr>
            <w:r>
              <w:rPr>
                <w:sz w:val="18"/>
                <w:szCs w:val="18"/>
              </w:rPr>
              <w:t>必做</w:t>
            </w:r>
          </w:p>
        </w:tc>
        <w:tc>
          <w:tcPr>
            <w:tcW w:w="1128" w:type="dxa"/>
            <w:tcBorders>
              <w:tl2br w:val="nil"/>
              <w:tr2bl w:val="nil"/>
            </w:tcBorders>
            <w:vAlign w:val="center"/>
          </w:tcPr>
          <w:p>
            <w:pPr>
              <w:widowControl/>
              <w:snapToGrid w:val="0"/>
              <w:jc w:val="center"/>
              <w:rPr>
                <w:rFonts w:eastAsiaTheme="minorEastAsia"/>
                <w:sz w:val="18"/>
                <w:szCs w:val="18"/>
              </w:rPr>
            </w:pPr>
            <w:r>
              <w:rPr>
                <w:rFonts w:eastAsiaTheme="minor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117</w:t>
            </w:r>
            <w:r>
              <w:rPr>
                <w:rFonts w:eastAsiaTheme="minorEastAsia"/>
                <w:b w:val="0"/>
                <w:bCs/>
                <w:sz w:val="18"/>
                <w:szCs w:val="18"/>
              </w:rPr>
              <w:t>h</w:t>
            </w:r>
            <w:r>
              <w:rPr>
                <w:rFonts w:hint="eastAsia" w:eastAsiaTheme="minorEastAsia"/>
                <w:b w:val="0"/>
                <w:bCs/>
                <w:sz w:val="18"/>
                <w:szCs w:val="18"/>
              </w:rPr>
              <w:t>0</w:t>
            </w:r>
            <w:r>
              <w:rPr>
                <w:rFonts w:eastAsiaTheme="minorEastAsia"/>
                <w:b w:val="0"/>
                <w:bCs/>
                <w:sz w:val="18"/>
                <w:szCs w:val="18"/>
              </w:rPr>
              <w:t>7</w:t>
            </w:r>
          </w:p>
        </w:tc>
        <w:tc>
          <w:tcPr>
            <w:tcW w:w="3402" w:type="dxa"/>
            <w:tcBorders>
              <w:tl2br w:val="nil"/>
              <w:tr2bl w:val="nil"/>
            </w:tcBorders>
            <w:vAlign w:val="center"/>
          </w:tcPr>
          <w:p>
            <w:pPr>
              <w:widowControl/>
              <w:snapToGrid w:val="0"/>
              <w:jc w:val="center"/>
              <w:rPr>
                <w:rFonts w:eastAsiaTheme="minorEastAsia"/>
                <w:sz w:val="18"/>
                <w:szCs w:val="18"/>
              </w:rPr>
            </w:pPr>
            <w:r>
              <w:rPr>
                <w:rFonts w:eastAsiaTheme="minorEastAsia"/>
                <w:sz w:val="18"/>
                <w:szCs w:val="18"/>
              </w:rPr>
              <w:t>果品蔬菜贮</w:t>
            </w:r>
            <w:r>
              <w:rPr>
                <w:rFonts w:hint="eastAsia" w:eastAsiaTheme="minorEastAsia"/>
                <w:sz w:val="18"/>
                <w:szCs w:val="18"/>
              </w:rPr>
              <w:t>运</w:t>
            </w:r>
            <w:r>
              <w:rPr>
                <w:rFonts w:eastAsiaTheme="minorEastAsia"/>
                <w:sz w:val="18"/>
                <w:szCs w:val="18"/>
              </w:rPr>
              <w:t>环境</w:t>
            </w:r>
            <w:r>
              <w:rPr>
                <w:rFonts w:hint="eastAsia" w:eastAsiaTheme="minorEastAsia"/>
                <w:sz w:val="18"/>
                <w:szCs w:val="18"/>
              </w:rPr>
              <w:t>技术参数</w:t>
            </w:r>
            <w:r>
              <w:rPr>
                <w:rFonts w:eastAsiaTheme="minorEastAsia"/>
                <w:sz w:val="18"/>
                <w:szCs w:val="18"/>
              </w:rPr>
              <w:t>的测定</w:t>
            </w:r>
          </w:p>
        </w:tc>
        <w:tc>
          <w:tcPr>
            <w:tcW w:w="707" w:type="dxa"/>
            <w:tcBorders>
              <w:tl2br w:val="nil"/>
              <w:tr2bl w:val="nil"/>
            </w:tcBorders>
            <w:vAlign w:val="center"/>
          </w:tcPr>
          <w:p>
            <w:pPr>
              <w:widowControl/>
              <w:snapToGrid w:val="0"/>
              <w:jc w:val="center"/>
              <w:rPr>
                <w:rFonts w:eastAsiaTheme="minorEastAsia"/>
                <w:bCs/>
                <w:sz w:val="18"/>
                <w:szCs w:val="18"/>
              </w:rPr>
            </w:pPr>
            <w:r>
              <w:rPr>
                <w:rFonts w:eastAsiaTheme="minorEastAsia"/>
                <w:bCs/>
                <w:sz w:val="18"/>
                <w:szCs w:val="18"/>
              </w:rPr>
              <w:t>3</w:t>
            </w:r>
          </w:p>
        </w:tc>
        <w:tc>
          <w:tcPr>
            <w:tcW w:w="958" w:type="dxa"/>
            <w:tcBorders>
              <w:tl2br w:val="nil"/>
              <w:tr2bl w:val="nil"/>
            </w:tcBorders>
            <w:vAlign w:val="center"/>
          </w:tcPr>
          <w:p>
            <w:pPr>
              <w:widowControl/>
              <w:snapToGrid w:val="0"/>
              <w:jc w:val="center"/>
              <w:rPr>
                <w:rFonts w:eastAsiaTheme="minorEastAsia"/>
                <w:bCs/>
                <w:sz w:val="18"/>
                <w:szCs w:val="18"/>
              </w:rPr>
            </w:pPr>
            <w:r>
              <w:rPr>
                <w:sz w:val="18"/>
                <w:szCs w:val="18"/>
              </w:rPr>
              <w:t>综合</w:t>
            </w:r>
            <w:r>
              <w:rPr>
                <w:rFonts w:hint="eastAsia" w:eastAsiaTheme="minorEastAsia"/>
                <w:bCs/>
                <w:sz w:val="18"/>
                <w:szCs w:val="18"/>
              </w:rPr>
              <w:t>性</w:t>
            </w:r>
          </w:p>
        </w:tc>
        <w:tc>
          <w:tcPr>
            <w:tcW w:w="1225"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必做</w:t>
            </w:r>
          </w:p>
        </w:tc>
        <w:tc>
          <w:tcPr>
            <w:tcW w:w="1128"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96" w:type="dxa"/>
            <w:tcBorders>
              <w:tl2br w:val="nil"/>
              <w:tr2bl w:val="nil"/>
            </w:tcBorders>
            <w:vAlign w:val="center"/>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117</w:t>
            </w:r>
            <w:r>
              <w:rPr>
                <w:rFonts w:eastAsiaTheme="minorEastAsia"/>
                <w:b w:val="0"/>
                <w:bCs/>
                <w:sz w:val="18"/>
                <w:szCs w:val="18"/>
              </w:rPr>
              <w:t>h</w:t>
            </w:r>
            <w:r>
              <w:rPr>
                <w:rFonts w:hint="eastAsia" w:eastAsiaTheme="minorEastAsia"/>
                <w:b w:val="0"/>
                <w:bCs/>
                <w:sz w:val="18"/>
                <w:szCs w:val="18"/>
              </w:rPr>
              <w:t>0</w:t>
            </w:r>
            <w:r>
              <w:rPr>
                <w:rFonts w:eastAsiaTheme="minorEastAsia"/>
                <w:b w:val="0"/>
                <w:bCs/>
                <w:sz w:val="18"/>
                <w:szCs w:val="18"/>
              </w:rPr>
              <w:t>8</w:t>
            </w:r>
          </w:p>
        </w:tc>
        <w:tc>
          <w:tcPr>
            <w:tcW w:w="3402" w:type="dxa"/>
            <w:tcBorders>
              <w:tl2br w:val="nil"/>
              <w:tr2bl w:val="nil"/>
            </w:tcBorders>
            <w:vAlign w:val="center"/>
          </w:tcPr>
          <w:p>
            <w:pPr>
              <w:widowControl/>
              <w:snapToGrid w:val="0"/>
              <w:jc w:val="center"/>
              <w:rPr>
                <w:rFonts w:eastAsiaTheme="minorEastAsia"/>
                <w:sz w:val="18"/>
                <w:szCs w:val="18"/>
              </w:rPr>
            </w:pPr>
            <w:r>
              <w:rPr>
                <w:rFonts w:hint="eastAsia" w:eastAsiaTheme="minorEastAsia"/>
                <w:sz w:val="18"/>
                <w:szCs w:val="18"/>
              </w:rPr>
              <w:t>不同贮运条件对果蔬微环境及采后品质的影响</w:t>
            </w:r>
          </w:p>
        </w:tc>
        <w:tc>
          <w:tcPr>
            <w:tcW w:w="707"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4</w:t>
            </w:r>
          </w:p>
        </w:tc>
        <w:tc>
          <w:tcPr>
            <w:tcW w:w="958" w:type="dxa"/>
            <w:tcBorders>
              <w:tl2br w:val="nil"/>
              <w:tr2bl w:val="nil"/>
            </w:tcBorders>
            <w:vAlign w:val="center"/>
          </w:tcPr>
          <w:p>
            <w:pPr>
              <w:widowControl/>
              <w:snapToGrid w:val="0"/>
              <w:jc w:val="center"/>
              <w:rPr>
                <w:rFonts w:eastAsiaTheme="minorEastAsia"/>
                <w:bCs/>
                <w:sz w:val="18"/>
                <w:szCs w:val="18"/>
              </w:rPr>
            </w:pPr>
            <w:r>
              <w:rPr>
                <w:sz w:val="18"/>
                <w:szCs w:val="18"/>
              </w:rPr>
              <w:t>综合</w:t>
            </w:r>
            <w:r>
              <w:rPr>
                <w:rFonts w:hint="eastAsia" w:eastAsiaTheme="minorEastAsia"/>
                <w:bCs/>
                <w:sz w:val="18"/>
                <w:szCs w:val="18"/>
              </w:rPr>
              <w:t>性</w:t>
            </w:r>
          </w:p>
        </w:tc>
        <w:tc>
          <w:tcPr>
            <w:tcW w:w="1225" w:type="dxa"/>
            <w:tcBorders>
              <w:tl2br w:val="nil"/>
              <w:tr2bl w:val="nil"/>
            </w:tcBorders>
            <w:vAlign w:val="center"/>
          </w:tcPr>
          <w:p>
            <w:pPr>
              <w:widowControl/>
              <w:snapToGrid w:val="0"/>
              <w:jc w:val="center"/>
              <w:rPr>
                <w:rFonts w:eastAsiaTheme="minorEastAsia"/>
                <w:bCs/>
                <w:sz w:val="18"/>
                <w:szCs w:val="18"/>
              </w:rPr>
            </w:pPr>
            <w:r>
              <w:rPr>
                <w:rFonts w:hint="eastAsia" w:eastAsiaTheme="minorEastAsia"/>
                <w:bCs/>
                <w:sz w:val="18"/>
                <w:szCs w:val="18"/>
              </w:rPr>
              <w:t>必做</w:t>
            </w:r>
          </w:p>
        </w:tc>
        <w:tc>
          <w:tcPr>
            <w:tcW w:w="1128" w:type="dxa"/>
            <w:tcBorders>
              <w:tl2br w:val="nil"/>
              <w:tr2bl w:val="nil"/>
            </w:tcBorders>
            <w:vAlign w:val="center"/>
          </w:tcPr>
          <w:p>
            <w:pPr>
              <w:widowControl/>
              <w:snapToGrid w:val="0"/>
              <w:jc w:val="center"/>
              <w:rPr>
                <w:rFonts w:eastAsiaTheme="minorEastAsia"/>
                <w:bCs/>
                <w:sz w:val="18"/>
                <w:szCs w:val="18"/>
              </w:rPr>
            </w:pPr>
            <w:r>
              <w:rPr>
                <w:rFonts w:eastAsiaTheme="minorEastAsia"/>
                <w:sz w:val="18"/>
                <w:szCs w:val="18"/>
              </w:rPr>
              <w:t>3-5</w:t>
            </w:r>
          </w:p>
        </w:tc>
      </w:tr>
    </w:tbl>
    <w:p>
      <w:pPr>
        <w:snapToGrid w:val="0"/>
        <w:spacing w:line="360" w:lineRule="auto"/>
        <w:rPr>
          <w:b/>
          <w:bCs/>
          <w:szCs w:val="21"/>
        </w:rPr>
      </w:pPr>
      <w:r>
        <w:rPr>
          <w:b/>
          <w:bCs/>
          <w:szCs w:val="21"/>
        </w:rPr>
        <w:t>（五）实验方式及基本要求</w:t>
      </w:r>
    </w:p>
    <w:p>
      <w:pPr>
        <w:spacing w:line="360" w:lineRule="auto"/>
        <w:ind w:left="183" w:leftChars="87" w:firstLine="420" w:firstLineChars="200"/>
        <w:jc w:val="left"/>
      </w:pPr>
      <w:r>
        <w:t>1、以3-5人一组为单位，共同完成一个实验。要求学生严格按照实验要求独立完成单元操作。独立完成实验报告。</w:t>
      </w:r>
    </w:p>
    <w:p>
      <w:pPr>
        <w:spacing w:line="360" w:lineRule="auto"/>
        <w:ind w:left="183" w:leftChars="87" w:firstLine="420" w:firstLineChars="200"/>
        <w:jc w:val="left"/>
      </w:pPr>
      <w:r>
        <w:t>2、要求学生掌握果蔬品质指标、采后生理指标测定的原理、方法及操作步骤，独立完成测定实验过程，撰写并提交实验报告。</w:t>
      </w:r>
    </w:p>
    <w:p>
      <w:pPr>
        <w:spacing w:line="360" w:lineRule="auto"/>
        <w:ind w:left="183" w:leftChars="87" w:firstLine="420" w:firstLineChars="200"/>
        <w:jc w:val="left"/>
      </w:pPr>
      <w:r>
        <w:rPr>
          <w:rFonts w:hint="eastAsia"/>
        </w:rPr>
        <w:t>3、要求学生掌握利用所学基本原理及实验技能解决实际问题的能力。</w:t>
      </w:r>
    </w:p>
    <w:p>
      <w:pPr>
        <w:snapToGrid w:val="0"/>
        <w:spacing w:line="360" w:lineRule="auto"/>
        <w:rPr>
          <w:b/>
          <w:szCs w:val="21"/>
        </w:rPr>
      </w:pPr>
      <w:r>
        <w:rPr>
          <w:b/>
          <w:bCs/>
          <w:szCs w:val="21"/>
        </w:rPr>
        <w:t>（六）</w:t>
      </w:r>
      <w:r>
        <w:rPr>
          <w:b/>
          <w:szCs w:val="21"/>
        </w:rPr>
        <w:t>实验内容安排</w:t>
      </w:r>
    </w:p>
    <w:p>
      <w:pPr>
        <w:spacing w:line="360" w:lineRule="auto"/>
        <w:jc w:val="left"/>
        <w:rPr>
          <w:b/>
          <w:szCs w:val="21"/>
        </w:rPr>
      </w:pPr>
      <w:r>
        <w:rPr>
          <w:b/>
          <w:szCs w:val="21"/>
        </w:rPr>
        <w:t>【实验一】</w:t>
      </w:r>
      <w:r>
        <w:rPr>
          <w:rFonts w:hint="eastAsia"/>
          <w:b/>
          <w:szCs w:val="21"/>
        </w:rPr>
        <w:t>果品蔬菜一般物理性状的测定</w:t>
      </w:r>
    </w:p>
    <w:p>
      <w:pPr>
        <w:spacing w:line="360" w:lineRule="auto"/>
        <w:ind w:left="183" w:leftChars="87" w:firstLine="422" w:firstLineChars="200"/>
        <w:jc w:val="left"/>
      </w:pPr>
      <w:r>
        <w:rPr>
          <w:b/>
          <w:bCs/>
        </w:rPr>
        <w:t>1</w:t>
      </w:r>
      <w:r>
        <w:t>、</w:t>
      </w:r>
      <w:r>
        <w:rPr>
          <w:b/>
          <w:bCs/>
        </w:rPr>
        <w:t>实验学时：</w:t>
      </w:r>
      <w:r>
        <w:rPr>
          <w:rFonts w:hint="eastAsia"/>
        </w:rPr>
        <w:t>2</w:t>
      </w:r>
      <w:r>
        <w:t>学时</w:t>
      </w:r>
    </w:p>
    <w:p>
      <w:pPr>
        <w:spacing w:line="360" w:lineRule="auto"/>
        <w:ind w:left="183" w:leftChars="87" w:firstLine="422" w:firstLineChars="200"/>
        <w:jc w:val="left"/>
      </w:pPr>
      <w:r>
        <w:rPr>
          <w:b/>
        </w:rPr>
        <w:t>2</w:t>
      </w:r>
      <w:r>
        <w:t>、</w:t>
      </w:r>
      <w:r>
        <w:rPr>
          <w:b/>
        </w:rPr>
        <w:t>实验目的：</w:t>
      </w:r>
      <w:r>
        <w:t>果蔬物理性状是判断果蔬感官品质、商品质量、品种特性、确定果蔬采收成熟度、贮藏期及加工适应性的重要依据</w:t>
      </w:r>
      <w:r>
        <w:rPr>
          <w:rFonts w:hint="eastAsia"/>
        </w:rPr>
        <w:t>，</w:t>
      </w:r>
      <w:r>
        <w:t>也是判断果蔬贮藏特性变化的重要指标。掌握各种果蔬物理性状的测定方法，为制订各种贮藏技术措施提供依据。</w:t>
      </w:r>
    </w:p>
    <w:p>
      <w:pPr>
        <w:spacing w:line="360" w:lineRule="auto"/>
        <w:ind w:left="183" w:leftChars="87" w:firstLine="422" w:firstLineChars="200"/>
        <w:jc w:val="left"/>
      </w:pPr>
      <w:r>
        <w:rPr>
          <w:b/>
        </w:rPr>
        <w:t>3</w:t>
      </w:r>
      <w:r>
        <w:t>、</w:t>
      </w:r>
      <w:r>
        <w:rPr>
          <w:b/>
        </w:rPr>
        <w:t>实验内容：</w:t>
      </w:r>
      <w:r>
        <w:t>测定果实的重量、果形指数、比重、果实硬度、出汁率、容重等物理性状。进行果实的重量、果形指数、比重、硬度、可溶性固形物含量测定时，选不同种类、品种果实分别取5-10个果实测定，取其平均值。</w:t>
      </w:r>
    </w:p>
    <w:p>
      <w:pPr>
        <w:spacing w:line="360" w:lineRule="auto"/>
        <w:ind w:left="183" w:leftChars="87" w:firstLine="422" w:firstLineChars="200"/>
        <w:jc w:val="left"/>
      </w:pPr>
      <w:r>
        <w:rPr>
          <w:b/>
        </w:rPr>
        <w:t>4</w:t>
      </w:r>
      <w:r>
        <w:t>、</w:t>
      </w:r>
      <w:r>
        <w:rPr>
          <w:b/>
        </w:rPr>
        <w:t>实验要求：</w:t>
      </w:r>
      <w:r>
        <w:t>要求掌握游标卡尺、硬度计、手持糖量计</w:t>
      </w:r>
      <w:r>
        <w:rPr>
          <w:rFonts w:hint="eastAsia"/>
        </w:rPr>
        <w:t>（折光仪）</w:t>
      </w:r>
      <w:r>
        <w:t>的操作方法。掌握果实重量、果形指数、比重、果实硬度</w:t>
      </w:r>
      <w:r>
        <w:rPr>
          <w:rFonts w:hint="eastAsia"/>
        </w:rPr>
        <w:t>、</w:t>
      </w:r>
      <w:r>
        <w:t>出汁率的测定方法。</w:t>
      </w:r>
    </w:p>
    <w:p>
      <w:pPr>
        <w:spacing w:line="360" w:lineRule="auto"/>
        <w:ind w:left="183" w:leftChars="87" w:firstLine="422" w:firstLineChars="200"/>
        <w:jc w:val="left"/>
      </w:pPr>
      <w:r>
        <w:rPr>
          <w:b/>
        </w:rPr>
        <w:t>5</w:t>
      </w:r>
      <w:r>
        <w:t>、</w:t>
      </w:r>
      <w:r>
        <w:rPr>
          <w:b/>
        </w:rPr>
        <w:t>实验设备及器材：</w:t>
      </w:r>
      <w:r>
        <w:t>游标卡尺、硬度计、分析天平、手持糖量计。</w:t>
      </w:r>
    </w:p>
    <w:p>
      <w:pPr>
        <w:spacing w:line="360" w:lineRule="auto"/>
        <w:jc w:val="left"/>
        <w:rPr>
          <w:b/>
          <w:szCs w:val="21"/>
        </w:rPr>
      </w:pPr>
      <w:r>
        <w:rPr>
          <w:b/>
          <w:szCs w:val="21"/>
        </w:rPr>
        <w:t>【实验二】</w:t>
      </w:r>
      <w:r>
        <w:rPr>
          <w:rFonts w:hint="eastAsia"/>
          <w:b/>
          <w:szCs w:val="21"/>
        </w:rPr>
        <w:t>果品蔬菜可滴定酸含量、可溶性固形物含量的测定及固/酸比值的计算</w:t>
      </w:r>
    </w:p>
    <w:p>
      <w:pPr>
        <w:spacing w:line="360" w:lineRule="auto"/>
        <w:ind w:firstLine="422" w:firstLineChars="200"/>
      </w:pPr>
      <w:r>
        <w:rPr>
          <w:b/>
          <w:bCs/>
        </w:rPr>
        <w:t>1</w:t>
      </w:r>
      <w:r>
        <w:t>、</w:t>
      </w:r>
      <w:r>
        <w:rPr>
          <w:b/>
          <w:bCs/>
        </w:rPr>
        <w:t>实验学时：</w:t>
      </w:r>
      <w:r>
        <w:t>2学时</w:t>
      </w:r>
    </w:p>
    <w:p>
      <w:pPr>
        <w:spacing w:line="360" w:lineRule="auto"/>
        <w:ind w:firstLine="422" w:firstLineChars="200"/>
      </w:pPr>
      <w:r>
        <w:rPr>
          <w:b/>
          <w:bCs/>
        </w:rPr>
        <w:t>2</w:t>
      </w:r>
      <w:r>
        <w:t>、</w:t>
      </w:r>
      <w:r>
        <w:rPr>
          <w:b/>
          <w:bCs/>
        </w:rPr>
        <w:t>实验目的：</w:t>
      </w:r>
      <w:r>
        <w:t>果蔬中可溶性固形物含量及含酸量是衡量鉴别果蔬质量的重要指标之一，与新鲜果蔬及贮藏、加工后产品的品质风味关系密切。了解其含量对评价果蔬品质质量有重要作用。通过实验</w:t>
      </w:r>
      <w:r>
        <w:rPr>
          <w:rFonts w:hint="eastAsia"/>
        </w:rPr>
        <w:t>比较不同果品蔬菜的</w:t>
      </w:r>
      <w:r>
        <w:t>可溶性固形物含量、可滴定酸含量</w:t>
      </w:r>
      <w:r>
        <w:rPr>
          <w:rFonts w:hint="eastAsia"/>
        </w:rPr>
        <w:t>，了解影响果实口感和品质的主要因素。</w:t>
      </w:r>
    </w:p>
    <w:p>
      <w:pPr>
        <w:spacing w:line="360" w:lineRule="auto"/>
        <w:ind w:firstLine="420"/>
        <w:rPr>
          <w:b/>
        </w:rPr>
      </w:pPr>
      <w:r>
        <w:rPr>
          <w:b/>
        </w:rPr>
        <w:t>3</w:t>
      </w:r>
      <w:r>
        <w:t>、</w:t>
      </w:r>
      <w:r>
        <w:rPr>
          <w:b/>
        </w:rPr>
        <w:t>实验内容：</w:t>
      </w:r>
    </w:p>
    <w:p>
      <w:pPr>
        <w:spacing w:line="360" w:lineRule="auto"/>
        <w:ind w:firstLine="420" w:firstLineChars="200"/>
      </w:pPr>
      <w:r>
        <w:rPr>
          <w:bCs/>
          <w:kern w:val="0"/>
          <w:szCs w:val="21"/>
        </w:rPr>
        <w:t>（1）</w:t>
      </w:r>
      <w:r>
        <w:t>用手持糖量计测定果实TSS含量：每个果实</w:t>
      </w:r>
      <w:r>
        <w:rPr>
          <w:rFonts w:hint="eastAsia"/>
        </w:rPr>
        <w:t>在</w:t>
      </w:r>
      <w:r>
        <w:t>赤道线</w:t>
      </w:r>
      <w:r>
        <w:rPr>
          <w:rFonts w:hint="eastAsia"/>
        </w:rPr>
        <w:t>的</w:t>
      </w:r>
      <w:r>
        <w:t>4个部位取果汁测定</w:t>
      </w:r>
      <w:r>
        <w:rPr>
          <w:rFonts w:hint="eastAsia"/>
        </w:rPr>
        <w:t>TSS含量</w:t>
      </w:r>
      <w:r>
        <w:t>，求其平均值。</w:t>
      </w:r>
    </w:p>
    <w:p>
      <w:pPr>
        <w:spacing w:line="360" w:lineRule="auto"/>
        <w:ind w:firstLine="420" w:firstLineChars="200"/>
      </w:pPr>
      <w:r>
        <w:rPr>
          <w:bCs/>
          <w:kern w:val="0"/>
          <w:szCs w:val="21"/>
        </w:rPr>
        <w:t>（2）</w:t>
      </w:r>
      <w:r>
        <w:t>测定果实可滴定酸的含量：根据酸碱中和的原理，以苹果、番茄、柑橘、葡萄等果蔬为样品，测定果实中可滴定酸的含量。</w:t>
      </w:r>
    </w:p>
    <w:p>
      <w:pPr>
        <w:spacing w:line="360" w:lineRule="auto"/>
        <w:ind w:firstLine="420" w:firstLineChars="200"/>
      </w:pPr>
      <w:r>
        <w:rPr>
          <w:bCs/>
          <w:kern w:val="0"/>
          <w:szCs w:val="21"/>
        </w:rPr>
        <w:t>（3）</w:t>
      </w:r>
      <w:r>
        <w:t>计算果实的固酸比。理解果实的风味与糖、酸及固酸比的关系。</w:t>
      </w:r>
    </w:p>
    <w:p>
      <w:pPr>
        <w:spacing w:line="360" w:lineRule="auto"/>
        <w:ind w:firstLine="422" w:firstLineChars="200"/>
      </w:pPr>
      <w:r>
        <w:rPr>
          <w:b/>
        </w:rPr>
        <w:t>4</w:t>
      </w:r>
      <w:r>
        <w:rPr>
          <w:rFonts w:hint="eastAsia"/>
          <w:b/>
        </w:rPr>
        <w:t>、</w:t>
      </w:r>
      <w:r>
        <w:rPr>
          <w:b/>
        </w:rPr>
        <w:t>实验要求：</w:t>
      </w:r>
      <w:r>
        <w:t>掌握可溶性固形物及果蔬可滴定酸含量测定具体操作方法。</w:t>
      </w:r>
    </w:p>
    <w:p>
      <w:pPr>
        <w:spacing w:line="360" w:lineRule="auto"/>
        <w:ind w:firstLine="422" w:firstLineChars="200"/>
        <w:rPr>
          <w:b/>
        </w:rPr>
      </w:pPr>
      <w:r>
        <w:rPr>
          <w:b/>
        </w:rPr>
        <w:t>5</w:t>
      </w:r>
      <w:r>
        <w:rPr>
          <w:rFonts w:hint="eastAsia"/>
          <w:b/>
        </w:rPr>
        <w:t>、</w:t>
      </w:r>
      <w:r>
        <w:rPr>
          <w:b/>
        </w:rPr>
        <w:t>实验设备及器材：</w:t>
      </w:r>
      <w:r>
        <w:t>手持糖量计、碱式滴定管、移液管、容量瓶、研钵、天平等。</w:t>
      </w:r>
    </w:p>
    <w:p>
      <w:pPr>
        <w:spacing w:line="360" w:lineRule="auto"/>
        <w:jc w:val="left"/>
        <w:rPr>
          <w:b/>
          <w:szCs w:val="21"/>
        </w:rPr>
      </w:pPr>
      <w:r>
        <w:rPr>
          <w:b/>
          <w:szCs w:val="21"/>
        </w:rPr>
        <w:t>【实验三】</w:t>
      </w:r>
      <w:r>
        <w:rPr>
          <w:rFonts w:hint="eastAsia"/>
          <w:b/>
          <w:szCs w:val="21"/>
        </w:rPr>
        <w:t>果品蔬菜还原型 Vc含量的测定</w:t>
      </w:r>
    </w:p>
    <w:p>
      <w:pPr>
        <w:spacing w:line="360" w:lineRule="auto"/>
        <w:ind w:firstLine="422" w:firstLineChars="200"/>
      </w:pPr>
      <w:r>
        <w:rPr>
          <w:b/>
          <w:bCs/>
        </w:rPr>
        <w:t>1</w:t>
      </w:r>
      <w:r>
        <w:rPr>
          <w:rFonts w:hint="eastAsia"/>
          <w:b/>
          <w:bCs/>
        </w:rPr>
        <w:t>、</w:t>
      </w:r>
      <w:r>
        <w:rPr>
          <w:b/>
          <w:bCs/>
        </w:rPr>
        <w:t>实验学</w:t>
      </w:r>
      <w:r>
        <w:rPr>
          <w:b/>
        </w:rPr>
        <w:t>时：</w:t>
      </w:r>
      <w:r>
        <w:rPr>
          <w:rFonts w:hint="eastAsia"/>
        </w:rPr>
        <w:t>2</w:t>
      </w:r>
      <w:r>
        <w:t>学时</w:t>
      </w:r>
    </w:p>
    <w:p>
      <w:pPr>
        <w:spacing w:line="360" w:lineRule="auto"/>
        <w:ind w:firstLine="422" w:firstLineChars="200"/>
      </w:pPr>
      <w:r>
        <w:rPr>
          <w:b/>
        </w:rPr>
        <w:t>2</w:t>
      </w:r>
      <w:r>
        <w:rPr>
          <w:rFonts w:hint="eastAsia"/>
          <w:b/>
        </w:rPr>
        <w:t>、</w:t>
      </w:r>
      <w:r>
        <w:rPr>
          <w:b/>
        </w:rPr>
        <w:t>实验目的：</w:t>
      </w:r>
      <w:r>
        <w:t>维生素C含量是评价果蔬营养价值的重要指标之一。要求通过本实验了解果蔬中维生素C测定的基本原理</w:t>
      </w:r>
      <w:r>
        <w:rPr>
          <w:rFonts w:hint="eastAsia"/>
        </w:rPr>
        <w:t>和常见果蔬Vc含量的差别，为日常Vc摄取量提供指导</w:t>
      </w:r>
      <w:r>
        <w:t>。</w:t>
      </w:r>
    </w:p>
    <w:p>
      <w:pPr>
        <w:spacing w:line="360" w:lineRule="auto"/>
        <w:ind w:firstLine="422" w:firstLineChars="200"/>
      </w:pPr>
      <w:r>
        <w:rPr>
          <w:b/>
        </w:rPr>
        <w:t>3</w:t>
      </w:r>
      <w:r>
        <w:rPr>
          <w:rFonts w:hint="eastAsia"/>
          <w:b/>
        </w:rPr>
        <w:t>、</w:t>
      </w:r>
      <w:r>
        <w:rPr>
          <w:b/>
        </w:rPr>
        <w:t>实验内容</w:t>
      </w:r>
      <w:r>
        <w:rPr>
          <w:b/>
          <w:bCs/>
        </w:rPr>
        <w:t>：</w:t>
      </w:r>
      <w:r>
        <w:t>用碘量法或2，6二氯靛酚钠测定法测定柑橘、猕猴桃、大枣、花椰菜、青椒等果蔬的维生素C含量。</w:t>
      </w:r>
    </w:p>
    <w:p>
      <w:pPr>
        <w:spacing w:line="360" w:lineRule="auto"/>
        <w:ind w:firstLine="422" w:firstLineChars="200"/>
        <w:rPr>
          <w:spacing w:val="15"/>
          <w:kern w:val="0"/>
        </w:rPr>
      </w:pPr>
      <w:r>
        <w:rPr>
          <w:b/>
        </w:rPr>
        <w:t>4</w:t>
      </w:r>
      <w:r>
        <w:rPr>
          <w:rFonts w:hint="eastAsia"/>
          <w:b/>
        </w:rPr>
        <w:t>、</w:t>
      </w:r>
      <w:r>
        <w:rPr>
          <w:b/>
        </w:rPr>
        <w:t>实验要求：</w:t>
      </w:r>
      <w:r>
        <w:rPr>
          <w:spacing w:val="15"/>
          <w:kern w:val="0"/>
        </w:rPr>
        <w:t>掌握果蔬Vc含量测定方法及操作方法。</w:t>
      </w:r>
    </w:p>
    <w:p>
      <w:pPr>
        <w:spacing w:line="360" w:lineRule="auto"/>
        <w:ind w:firstLine="422" w:firstLineChars="200"/>
      </w:pPr>
      <w:r>
        <w:rPr>
          <w:b/>
        </w:rPr>
        <w:t>5</w:t>
      </w:r>
      <w:r>
        <w:rPr>
          <w:rFonts w:hint="eastAsia"/>
          <w:b/>
        </w:rPr>
        <w:t>、</w:t>
      </w:r>
      <w:r>
        <w:rPr>
          <w:b/>
        </w:rPr>
        <w:t>实验设备及器材：</w:t>
      </w:r>
      <w:r>
        <w:t>天平、微量滴定管、移液管、容量瓶。</w:t>
      </w:r>
    </w:p>
    <w:p>
      <w:pPr>
        <w:spacing w:line="360" w:lineRule="auto"/>
        <w:jc w:val="left"/>
        <w:rPr>
          <w:b/>
          <w:szCs w:val="21"/>
        </w:rPr>
      </w:pPr>
      <w:r>
        <w:rPr>
          <w:b/>
          <w:szCs w:val="21"/>
        </w:rPr>
        <w:t>【实验四】</w:t>
      </w:r>
      <w:r>
        <w:rPr>
          <w:rFonts w:hint="eastAsia"/>
          <w:b/>
          <w:szCs w:val="21"/>
        </w:rPr>
        <w:t>果品蔬菜呼吸强度测定</w:t>
      </w:r>
    </w:p>
    <w:p>
      <w:pPr>
        <w:spacing w:line="360" w:lineRule="auto"/>
        <w:ind w:firstLine="422" w:firstLineChars="200"/>
      </w:pPr>
      <w:r>
        <w:rPr>
          <w:b/>
        </w:rPr>
        <w:t>1</w:t>
      </w:r>
      <w:r>
        <w:rPr>
          <w:rFonts w:hint="eastAsia"/>
          <w:b/>
        </w:rPr>
        <w:t>、</w:t>
      </w:r>
      <w:r>
        <w:rPr>
          <w:b/>
        </w:rPr>
        <w:t>实验学时：</w:t>
      </w:r>
      <w:r>
        <w:rPr>
          <w:rFonts w:hint="eastAsia"/>
        </w:rPr>
        <w:t>3</w:t>
      </w:r>
      <w:r>
        <w:t>学时</w:t>
      </w:r>
    </w:p>
    <w:p>
      <w:pPr>
        <w:spacing w:line="360" w:lineRule="auto"/>
        <w:ind w:firstLine="422" w:firstLineChars="200"/>
      </w:pPr>
      <w:r>
        <w:rPr>
          <w:b/>
        </w:rPr>
        <w:t>2</w:t>
      </w:r>
      <w:r>
        <w:rPr>
          <w:rFonts w:hint="eastAsia"/>
          <w:b/>
        </w:rPr>
        <w:t>、</w:t>
      </w:r>
      <w:r>
        <w:rPr>
          <w:b/>
        </w:rPr>
        <w:t>实验目的：</w:t>
      </w:r>
      <w:r>
        <w:t>呼吸强度可衡量呼吸作用强弱，了解果蔬采后生理状态，为低温和气调贮运以及呼吸热的计算提供必要参考数据。</w:t>
      </w:r>
    </w:p>
    <w:p>
      <w:pPr>
        <w:spacing w:line="360" w:lineRule="auto"/>
        <w:ind w:firstLine="420" w:firstLineChars="200"/>
      </w:pPr>
      <w:r>
        <w:t>通常是采用一定碱液吸收果蔬在一定时间内呼吸所释放出来的CO</w:t>
      </w:r>
      <w:r>
        <w:rPr>
          <w:vertAlign w:val="subscript"/>
        </w:rPr>
        <w:t>2</w:t>
      </w:r>
      <w:r>
        <w:t>，再用酸滴定剩余的碱，然后计算呼吸所释放CO</w:t>
      </w:r>
      <w:r>
        <w:rPr>
          <w:vertAlign w:val="subscript"/>
        </w:rPr>
        <w:t>2</w:t>
      </w:r>
      <w:r>
        <w:t>量，求出呼吸强度。呼吸强度单位为每公斤每小时果蔬释放CO</w:t>
      </w:r>
      <w:r>
        <w:rPr>
          <w:vertAlign w:val="subscript"/>
        </w:rPr>
        <w:t>2</w:t>
      </w:r>
      <w:r>
        <w:t>毫克数。</w:t>
      </w:r>
    </w:p>
    <w:p>
      <w:pPr>
        <w:spacing w:line="360" w:lineRule="auto"/>
        <w:rPr>
          <w:sz w:val="18"/>
        </w:rPr>
      </w:pPr>
      <w:r>
        <w:t>通过实验掌握用气流法、静置法测定呼吸强度的操作方法步</w:t>
      </w:r>
      <w:r>
        <w:rPr>
          <w:sz w:val="18"/>
        </w:rPr>
        <w:t>骤。</w:t>
      </w:r>
    </w:p>
    <w:p>
      <w:pPr>
        <w:spacing w:line="360" w:lineRule="auto"/>
        <w:ind w:firstLine="422" w:firstLineChars="200"/>
      </w:pPr>
      <w:r>
        <w:rPr>
          <w:b/>
        </w:rPr>
        <w:t>3</w:t>
      </w:r>
      <w:r>
        <w:rPr>
          <w:rFonts w:hint="eastAsia"/>
          <w:b/>
        </w:rPr>
        <w:t>、</w:t>
      </w:r>
      <w:r>
        <w:rPr>
          <w:b/>
        </w:rPr>
        <w:t>实验内容</w:t>
      </w:r>
      <w:r>
        <w:rPr>
          <w:rFonts w:hint="eastAsia"/>
          <w:b/>
        </w:rPr>
        <w:t>：</w:t>
      </w:r>
      <w:r>
        <w:t>气流法、静置法测定果蔬（如苹果、番茄</w:t>
      </w:r>
      <w:r>
        <w:rPr>
          <w:rFonts w:hint="eastAsia"/>
        </w:rPr>
        <w:t>、</w:t>
      </w:r>
      <w:r>
        <w:t>青椒、叶菜等）呼吸强度。</w:t>
      </w:r>
    </w:p>
    <w:p>
      <w:pPr>
        <w:spacing w:line="360" w:lineRule="auto"/>
        <w:ind w:firstLine="422" w:firstLineChars="200"/>
      </w:pPr>
      <w:r>
        <w:rPr>
          <w:b/>
        </w:rPr>
        <w:t>4</w:t>
      </w:r>
      <w:r>
        <w:rPr>
          <w:rFonts w:hint="eastAsia"/>
          <w:b/>
        </w:rPr>
        <w:t>、</w:t>
      </w:r>
      <w:r>
        <w:rPr>
          <w:b/>
        </w:rPr>
        <w:t>实验要求：</w:t>
      </w:r>
      <w:r>
        <w:t>掌握测定果品蔬菜呼吸强度原理及操作方法步骤。</w:t>
      </w:r>
    </w:p>
    <w:p>
      <w:pPr>
        <w:spacing w:line="360" w:lineRule="auto"/>
        <w:ind w:firstLine="422" w:firstLineChars="200"/>
      </w:pPr>
      <w:r>
        <w:rPr>
          <w:b/>
        </w:rPr>
        <w:t>5</w:t>
      </w:r>
      <w:r>
        <w:rPr>
          <w:rFonts w:hint="eastAsia"/>
          <w:b/>
        </w:rPr>
        <w:t>、</w:t>
      </w:r>
      <w:r>
        <w:rPr>
          <w:b/>
        </w:rPr>
        <w:t>实验设备及器材：</w:t>
      </w:r>
      <w:r>
        <w:t>真空干燥器、大气采样器、吸收管、滴定管架、铁夹、培养皿。</w:t>
      </w:r>
    </w:p>
    <w:p>
      <w:pPr>
        <w:spacing w:line="360" w:lineRule="auto"/>
        <w:jc w:val="left"/>
        <w:rPr>
          <w:b/>
          <w:szCs w:val="21"/>
        </w:rPr>
      </w:pPr>
      <w:r>
        <w:rPr>
          <w:b/>
          <w:szCs w:val="21"/>
        </w:rPr>
        <w:t>【实验</w:t>
      </w:r>
      <w:r>
        <w:rPr>
          <w:rFonts w:hint="eastAsia"/>
          <w:b/>
          <w:szCs w:val="21"/>
        </w:rPr>
        <w:t>五</w:t>
      </w:r>
      <w:r>
        <w:rPr>
          <w:b/>
          <w:szCs w:val="21"/>
        </w:rPr>
        <w:t>】果</w:t>
      </w:r>
      <w:r>
        <w:rPr>
          <w:rFonts w:hint="eastAsia"/>
          <w:b/>
          <w:szCs w:val="21"/>
        </w:rPr>
        <w:t>品蔬菜</w:t>
      </w:r>
      <w:r>
        <w:rPr>
          <w:b/>
          <w:szCs w:val="21"/>
        </w:rPr>
        <w:t>采后成熟</w:t>
      </w:r>
      <w:r>
        <w:rPr>
          <w:rFonts w:hint="eastAsia"/>
          <w:b/>
          <w:szCs w:val="21"/>
        </w:rPr>
        <w:t>衰老调控</w:t>
      </w:r>
    </w:p>
    <w:p>
      <w:pPr>
        <w:spacing w:line="360" w:lineRule="auto"/>
        <w:ind w:firstLine="422" w:firstLineChars="200"/>
        <w:rPr>
          <w:b/>
          <w:szCs w:val="21"/>
        </w:rPr>
      </w:pPr>
      <w:r>
        <w:rPr>
          <w:b/>
          <w:szCs w:val="21"/>
        </w:rPr>
        <w:t>1</w:t>
      </w:r>
      <w:r>
        <w:rPr>
          <w:rFonts w:hint="eastAsia"/>
          <w:b/>
          <w:szCs w:val="21"/>
        </w:rPr>
        <w:t>、</w:t>
      </w:r>
      <w:r>
        <w:rPr>
          <w:b/>
          <w:szCs w:val="21"/>
        </w:rPr>
        <w:t>实验学时：</w:t>
      </w:r>
      <w:r>
        <w:rPr>
          <w:rFonts w:hint="eastAsia"/>
          <w:szCs w:val="21"/>
        </w:rPr>
        <w:t>4</w:t>
      </w:r>
      <w:r>
        <w:rPr>
          <w:szCs w:val="21"/>
        </w:rPr>
        <w:t>学时</w:t>
      </w:r>
    </w:p>
    <w:p>
      <w:pPr>
        <w:spacing w:line="360" w:lineRule="auto"/>
        <w:ind w:firstLine="420"/>
        <w:rPr>
          <w:szCs w:val="21"/>
        </w:rPr>
      </w:pPr>
      <w:r>
        <w:rPr>
          <w:b/>
          <w:szCs w:val="21"/>
        </w:rPr>
        <w:t>2</w:t>
      </w:r>
      <w:r>
        <w:rPr>
          <w:rFonts w:hint="eastAsia"/>
          <w:b/>
          <w:szCs w:val="21"/>
        </w:rPr>
        <w:t>、</w:t>
      </w:r>
      <w:r>
        <w:rPr>
          <w:b/>
          <w:szCs w:val="21"/>
        </w:rPr>
        <w:t>实验目的：</w:t>
      </w:r>
      <w:r>
        <w:rPr>
          <w:szCs w:val="21"/>
        </w:rPr>
        <w:t>了解果蔬</w:t>
      </w:r>
      <w:r>
        <w:rPr>
          <w:rFonts w:hint="eastAsia"/>
          <w:szCs w:val="21"/>
        </w:rPr>
        <w:t>采后调控的</w:t>
      </w:r>
      <w:r>
        <w:rPr>
          <w:szCs w:val="21"/>
        </w:rPr>
        <w:t>原理和方法</w:t>
      </w:r>
      <w:r>
        <w:rPr>
          <w:rFonts w:hint="eastAsia"/>
          <w:szCs w:val="21"/>
        </w:rPr>
        <w:t>。</w:t>
      </w:r>
      <w:r>
        <w:rPr>
          <w:szCs w:val="21"/>
        </w:rPr>
        <w:t>掌握乙烯利等常用催熟剂的催熟原理</w:t>
      </w:r>
      <w:r>
        <w:rPr>
          <w:rFonts w:hint="eastAsia"/>
          <w:szCs w:val="21"/>
        </w:rPr>
        <w:t>和乙烯作用抑制剂1-MCP等物质延长果蔬贮藏寿命的原理，掌握调控果蔬成熟及衰老的操作步骤和注意事项</w:t>
      </w:r>
      <w:r>
        <w:rPr>
          <w:szCs w:val="21"/>
        </w:rPr>
        <w:t>。</w:t>
      </w:r>
    </w:p>
    <w:p>
      <w:pPr>
        <w:spacing w:line="360" w:lineRule="auto"/>
        <w:ind w:firstLine="422" w:firstLineChars="200"/>
        <w:rPr>
          <w:b/>
          <w:szCs w:val="21"/>
        </w:rPr>
      </w:pPr>
      <w:r>
        <w:rPr>
          <w:b/>
          <w:szCs w:val="21"/>
        </w:rPr>
        <w:t>3</w:t>
      </w:r>
      <w:r>
        <w:rPr>
          <w:rFonts w:hint="eastAsia"/>
          <w:b/>
          <w:szCs w:val="21"/>
        </w:rPr>
        <w:t>、</w:t>
      </w:r>
      <w:r>
        <w:rPr>
          <w:b/>
          <w:szCs w:val="21"/>
        </w:rPr>
        <w:t>实验内容：</w:t>
      </w:r>
    </w:p>
    <w:p>
      <w:pPr>
        <w:spacing w:line="360" w:lineRule="auto"/>
        <w:ind w:firstLine="420" w:firstLineChars="200"/>
        <w:rPr>
          <w:bCs/>
          <w:kern w:val="0"/>
          <w:szCs w:val="21"/>
        </w:rPr>
      </w:pPr>
      <w:r>
        <w:rPr>
          <w:bCs/>
          <w:kern w:val="0"/>
          <w:szCs w:val="21"/>
        </w:rPr>
        <w:t>（1）材料准备 挑选成熟度一致、完整的果蔬，测定样品的硬度、可溶性固形物含量、可滴定酸，描述果实的颜色等各项主要感官品质指标的初始值。</w:t>
      </w:r>
    </w:p>
    <w:p>
      <w:pPr>
        <w:spacing w:line="360" w:lineRule="auto"/>
        <w:ind w:firstLine="420" w:firstLineChars="200"/>
        <w:rPr>
          <w:bCs/>
          <w:kern w:val="0"/>
          <w:szCs w:val="21"/>
        </w:rPr>
      </w:pPr>
      <w:r>
        <w:rPr>
          <w:bCs/>
          <w:kern w:val="0"/>
          <w:szCs w:val="21"/>
        </w:rPr>
        <w:t>（2）对样品进行成熟衰老调控物质的处理：</w:t>
      </w:r>
    </w:p>
    <w:p>
      <w:pPr>
        <w:spacing w:line="360" w:lineRule="auto"/>
        <w:ind w:firstLine="420" w:firstLineChars="200"/>
        <w:rPr>
          <w:szCs w:val="21"/>
        </w:rPr>
      </w:pPr>
      <w:r>
        <w:rPr>
          <w:bCs/>
          <w:kern w:val="0"/>
          <w:szCs w:val="21"/>
        </w:rPr>
        <w:t>A：</w:t>
      </w:r>
      <w:r>
        <w:rPr>
          <w:rFonts w:hint="eastAsia"/>
          <w:szCs w:val="21"/>
        </w:rPr>
        <w:t>用乙烯利或其他催熟剂处理果蔬；</w:t>
      </w:r>
    </w:p>
    <w:p>
      <w:pPr>
        <w:spacing w:line="360" w:lineRule="auto"/>
        <w:ind w:firstLine="420" w:firstLineChars="200"/>
        <w:rPr>
          <w:szCs w:val="21"/>
        </w:rPr>
      </w:pPr>
      <w:r>
        <w:rPr>
          <w:rFonts w:hint="eastAsia"/>
          <w:szCs w:val="21"/>
        </w:rPr>
        <w:t>B：用乙烯作用抑制剂1-MCP处理果蔬；</w:t>
      </w:r>
    </w:p>
    <w:p>
      <w:pPr>
        <w:spacing w:line="360" w:lineRule="auto"/>
        <w:ind w:firstLine="420" w:firstLineChars="200"/>
        <w:rPr>
          <w:bCs/>
          <w:kern w:val="0"/>
          <w:szCs w:val="21"/>
        </w:rPr>
      </w:pPr>
      <w:r>
        <w:rPr>
          <w:rFonts w:hint="eastAsia"/>
          <w:szCs w:val="21"/>
        </w:rPr>
        <w:t>C：</w:t>
      </w:r>
      <w:r>
        <w:rPr>
          <w:bCs/>
          <w:kern w:val="0"/>
          <w:szCs w:val="21"/>
        </w:rPr>
        <w:t>不进行任何药物处理，作为对照。</w:t>
      </w:r>
    </w:p>
    <w:p>
      <w:pPr>
        <w:spacing w:line="360" w:lineRule="auto"/>
        <w:ind w:firstLine="420" w:firstLineChars="200"/>
        <w:rPr>
          <w:szCs w:val="21"/>
        </w:rPr>
      </w:pPr>
      <w:r>
        <w:rPr>
          <w:bCs/>
          <w:kern w:val="0"/>
          <w:szCs w:val="21"/>
        </w:rPr>
        <w:t>各处理及对照均在自然状态下贮藏</w:t>
      </w:r>
      <w:r>
        <w:rPr>
          <w:rFonts w:hint="eastAsia"/>
          <w:szCs w:val="21"/>
        </w:rPr>
        <w:t>，1周后测定其各项主要感官品质指标。</w:t>
      </w:r>
    </w:p>
    <w:p>
      <w:pPr>
        <w:spacing w:line="360" w:lineRule="auto"/>
        <w:ind w:firstLine="420" w:firstLineChars="200"/>
        <w:rPr>
          <w:szCs w:val="21"/>
        </w:rPr>
      </w:pPr>
      <w:r>
        <w:rPr>
          <w:rFonts w:hint="eastAsia"/>
          <w:szCs w:val="21"/>
        </w:rPr>
        <w:t>（3）分析处理前后果蔬的主要感官品质变化情况，掌握催熟剂和乙烯作用抑制剂1-MCP的作用原理及对果实成熟衰老的调控作用，理解乙烯在调控果蔬采后成熟衰老的重要作用。</w:t>
      </w:r>
    </w:p>
    <w:p>
      <w:pPr>
        <w:spacing w:line="360" w:lineRule="auto"/>
        <w:ind w:firstLine="422" w:firstLineChars="200"/>
        <w:rPr>
          <w:spacing w:val="15"/>
          <w:kern w:val="0"/>
          <w:szCs w:val="21"/>
        </w:rPr>
      </w:pPr>
      <w:r>
        <w:rPr>
          <w:b/>
          <w:szCs w:val="21"/>
        </w:rPr>
        <w:t>4</w:t>
      </w:r>
      <w:r>
        <w:rPr>
          <w:rFonts w:hint="eastAsia"/>
          <w:b/>
          <w:szCs w:val="21"/>
        </w:rPr>
        <w:t>、</w:t>
      </w:r>
      <w:r>
        <w:rPr>
          <w:b/>
          <w:szCs w:val="21"/>
        </w:rPr>
        <w:t>实验要求</w:t>
      </w:r>
      <w:r>
        <w:rPr>
          <w:rFonts w:hint="eastAsia"/>
          <w:b/>
          <w:szCs w:val="21"/>
        </w:rPr>
        <w:t>：</w:t>
      </w:r>
      <w:r>
        <w:rPr>
          <w:rFonts w:hint="eastAsia"/>
          <w:szCs w:val="21"/>
        </w:rPr>
        <w:t>分析不同处理的果蔬1周内的硬度、可溶性固形物含量、可滴定酸、果实的颜色等主要感官品质指标的变化规律，分析不同处理产生差异的原因；</w:t>
      </w:r>
      <w:r>
        <w:rPr>
          <w:szCs w:val="21"/>
        </w:rPr>
        <w:t>理解</w:t>
      </w:r>
      <w:r>
        <w:rPr>
          <w:rFonts w:hint="eastAsia"/>
          <w:szCs w:val="21"/>
        </w:rPr>
        <w:t>果蔬采后采用的常用的化学调控方法，掌握乙烯及1-MCP等对果蔬采后成熟衰老调控的意义</w:t>
      </w:r>
      <w:r>
        <w:rPr>
          <w:szCs w:val="21"/>
        </w:rPr>
        <w:t>。</w:t>
      </w:r>
    </w:p>
    <w:p>
      <w:pPr>
        <w:spacing w:line="360" w:lineRule="auto"/>
        <w:ind w:firstLine="422" w:firstLineChars="200"/>
        <w:rPr>
          <w:szCs w:val="21"/>
        </w:rPr>
      </w:pPr>
      <w:r>
        <w:rPr>
          <w:b/>
          <w:szCs w:val="21"/>
        </w:rPr>
        <w:t>5</w:t>
      </w:r>
      <w:r>
        <w:rPr>
          <w:rFonts w:hint="eastAsia"/>
          <w:b/>
          <w:szCs w:val="21"/>
        </w:rPr>
        <w:t>、</w:t>
      </w:r>
      <w:r>
        <w:rPr>
          <w:b/>
          <w:szCs w:val="21"/>
        </w:rPr>
        <w:t>实验设备及器材</w:t>
      </w:r>
      <w:r>
        <w:rPr>
          <w:rFonts w:hint="eastAsia"/>
          <w:b/>
          <w:szCs w:val="21"/>
        </w:rPr>
        <w:t>：</w:t>
      </w:r>
      <w:r>
        <w:rPr>
          <w:szCs w:val="21"/>
        </w:rPr>
        <w:t>硬度计</w:t>
      </w:r>
      <w:r>
        <w:rPr>
          <w:rFonts w:hint="eastAsia"/>
          <w:szCs w:val="21"/>
        </w:rPr>
        <w:t>、</w:t>
      </w:r>
      <w:r>
        <w:rPr>
          <w:szCs w:val="21"/>
        </w:rPr>
        <w:t>手持糖量计</w:t>
      </w:r>
      <w:r>
        <w:rPr>
          <w:rFonts w:hint="eastAsia"/>
          <w:szCs w:val="21"/>
        </w:rPr>
        <w:t>、滴定管、容量瓶、</w:t>
      </w:r>
      <w:r>
        <w:rPr>
          <w:szCs w:val="21"/>
        </w:rPr>
        <w:t>标签纸</w:t>
      </w:r>
      <w:r>
        <w:rPr>
          <w:rFonts w:hint="eastAsia"/>
          <w:szCs w:val="21"/>
        </w:rPr>
        <w:t>、</w:t>
      </w:r>
      <w:r>
        <w:rPr>
          <w:szCs w:val="21"/>
        </w:rPr>
        <w:t>乙烯薄膜袋等。</w:t>
      </w:r>
    </w:p>
    <w:p>
      <w:pPr>
        <w:spacing w:line="360" w:lineRule="auto"/>
        <w:rPr>
          <w:b/>
          <w:kern w:val="0"/>
          <w:szCs w:val="21"/>
        </w:rPr>
      </w:pPr>
      <w:r>
        <w:rPr>
          <w:b/>
          <w:szCs w:val="21"/>
        </w:rPr>
        <w:t>【实验</w:t>
      </w:r>
      <w:r>
        <w:rPr>
          <w:rFonts w:hint="eastAsia"/>
          <w:b/>
          <w:szCs w:val="21"/>
        </w:rPr>
        <w:t>六】</w:t>
      </w:r>
      <w:r>
        <w:rPr>
          <w:b/>
          <w:kern w:val="0"/>
          <w:szCs w:val="21"/>
        </w:rPr>
        <w:t>果品蔬菜</w:t>
      </w:r>
      <w:r>
        <w:rPr>
          <w:rFonts w:hint="eastAsia"/>
          <w:b/>
          <w:kern w:val="0"/>
          <w:szCs w:val="21"/>
        </w:rPr>
        <w:t>的人工催熟脱涩实验</w:t>
      </w:r>
    </w:p>
    <w:p>
      <w:pPr>
        <w:spacing w:line="360" w:lineRule="auto"/>
        <w:ind w:firstLine="422" w:firstLineChars="200"/>
        <w:rPr>
          <w:b/>
        </w:rPr>
      </w:pPr>
      <w:r>
        <w:rPr>
          <w:rFonts w:hint="eastAsia"/>
          <w:b/>
        </w:rPr>
        <w:t>1、实验学时</w:t>
      </w:r>
      <w:r>
        <w:rPr>
          <w:b/>
          <w:szCs w:val="21"/>
        </w:rPr>
        <w:t>：</w:t>
      </w:r>
      <w:r>
        <w:t>4学时</w:t>
      </w:r>
    </w:p>
    <w:p>
      <w:pPr>
        <w:spacing w:line="360" w:lineRule="auto"/>
        <w:ind w:firstLine="422" w:firstLineChars="200"/>
      </w:pPr>
      <w:r>
        <w:rPr>
          <w:rFonts w:hint="eastAsia"/>
          <w:b/>
        </w:rPr>
        <w:t>2、实验目的</w:t>
      </w:r>
      <w:r>
        <w:rPr>
          <w:b/>
          <w:szCs w:val="21"/>
        </w:rPr>
        <w:t>：</w:t>
      </w:r>
      <w:r>
        <w:t>理解人工催熟原理及方法，掌握几种常见果蔬的催熟方法。</w:t>
      </w:r>
    </w:p>
    <w:p>
      <w:pPr>
        <w:spacing w:line="360" w:lineRule="auto"/>
        <w:ind w:firstLine="422" w:firstLineChars="200"/>
      </w:pPr>
      <w:r>
        <w:rPr>
          <w:rFonts w:hint="eastAsia"/>
          <w:b/>
        </w:rPr>
        <w:t>3、实验内容</w:t>
      </w:r>
      <w:r>
        <w:rPr>
          <w:b/>
          <w:szCs w:val="21"/>
        </w:rPr>
        <w:t>：</w:t>
      </w:r>
      <w:r>
        <w:t>以猕猴桃、柑橘、柿子、番茄等为实验材料，密封条件下，用乙烯利催熟法、果蔬混果催熟法、熏香催熟法等方法进行催熟，观察温度、催熟剂及剂量对果蔬催熟的效果，理解乙烯在果蔬成熟衰老中的作用。</w:t>
      </w:r>
    </w:p>
    <w:p>
      <w:pPr>
        <w:autoSpaceDE w:val="0"/>
        <w:autoSpaceDN w:val="0"/>
        <w:spacing w:line="360" w:lineRule="auto"/>
        <w:ind w:firstLine="420" w:firstLineChars="200"/>
        <w:textAlignment w:val="baseline"/>
        <w:rPr>
          <w:lang w:val="zh-CN"/>
        </w:rPr>
      </w:pPr>
      <w:r>
        <w:rPr>
          <w:lang w:val="zh-CN"/>
        </w:rPr>
        <w:t>番茄催熟</w:t>
      </w:r>
    </w:p>
    <w:p>
      <w:pPr>
        <w:numPr>
          <w:ilvl w:val="0"/>
          <w:numId w:val="21"/>
        </w:numPr>
        <w:autoSpaceDE w:val="0"/>
        <w:autoSpaceDN w:val="0"/>
        <w:spacing w:line="360" w:lineRule="auto"/>
        <w:ind w:firstLine="420" w:firstLineChars="200"/>
        <w:textAlignment w:val="baseline"/>
        <w:rPr>
          <w:lang w:val="zh-CN"/>
        </w:rPr>
      </w:pPr>
      <w:r>
        <w:rPr>
          <w:bCs/>
          <w:kern w:val="0"/>
          <w:szCs w:val="21"/>
        </w:rPr>
        <w:t xml:space="preserve">材料准备 </w:t>
      </w:r>
      <w:r>
        <w:rPr>
          <w:lang w:val="zh-CN"/>
        </w:rPr>
        <w:t>采摘已显乳白色的绿番茄，每10-20个为1组，分别放催熟箱或玻璃干燥器中。分别用乙烯利、酒精进行催熟处理。催熟环境维持</w:t>
      </w:r>
      <w:r>
        <w:rPr>
          <w:rFonts w:hint="eastAsia"/>
          <w:lang w:val="zh-CN"/>
        </w:rPr>
        <w:t>在</w:t>
      </w:r>
      <w:r>
        <w:rPr>
          <w:lang w:val="zh-CN"/>
        </w:rPr>
        <w:t>20℃。</w:t>
      </w:r>
    </w:p>
    <w:p>
      <w:pPr>
        <w:autoSpaceDE w:val="0"/>
        <w:autoSpaceDN w:val="0"/>
        <w:spacing w:before="100" w:line="360" w:lineRule="auto"/>
        <w:ind w:firstLine="420" w:firstLineChars="200"/>
        <w:textAlignment w:val="baseline"/>
        <w:rPr>
          <w:lang w:val="zh-CN"/>
        </w:rPr>
      </w:pPr>
      <w:r>
        <w:rPr>
          <w:lang w:val="zh-CN"/>
        </w:rPr>
        <w:t>（</w:t>
      </w:r>
      <w:r>
        <w:rPr>
          <w:rFonts w:hint="eastAsia"/>
          <w:lang w:val="zh-CN"/>
        </w:rPr>
        <w:t>2</w:t>
      </w:r>
      <w:r>
        <w:rPr>
          <w:lang w:val="zh-CN"/>
        </w:rPr>
        <w:t>）乙烯利催熟</w:t>
      </w:r>
      <w:r>
        <w:rPr>
          <w:rFonts w:hint="eastAsia"/>
          <w:lang w:val="zh-CN"/>
        </w:rPr>
        <w:t xml:space="preserve"> </w:t>
      </w:r>
      <w:r>
        <w:rPr>
          <w:lang w:val="zh-CN"/>
        </w:rPr>
        <w:t>用乙烯利进行催熟处理</w:t>
      </w:r>
      <w:r>
        <w:rPr>
          <w:rFonts w:hint="eastAsia"/>
          <w:lang w:val="zh-CN"/>
        </w:rPr>
        <w:t>，封闭容器保湿，定期观察番茄色泽变化。</w:t>
      </w:r>
    </w:p>
    <w:p>
      <w:pPr>
        <w:autoSpaceDE w:val="0"/>
        <w:autoSpaceDN w:val="0"/>
        <w:spacing w:line="360" w:lineRule="auto"/>
        <w:ind w:firstLine="420" w:firstLineChars="200"/>
        <w:textAlignment w:val="baseline"/>
        <w:rPr>
          <w:lang w:val="zh-CN"/>
        </w:rPr>
      </w:pPr>
      <w:r>
        <w:rPr>
          <w:lang w:val="zh-CN"/>
        </w:rPr>
        <w:t>（</w:t>
      </w:r>
      <w:r>
        <w:rPr>
          <w:rFonts w:hint="eastAsia"/>
        </w:rPr>
        <w:t>3</w:t>
      </w:r>
      <w:r>
        <w:rPr>
          <w:lang w:val="zh-CN"/>
        </w:rPr>
        <w:t>）酒精处理 将酒精喷于果面，封闭容器并维持20℃，</w:t>
      </w:r>
      <w:r>
        <w:rPr>
          <w:rFonts w:hint="eastAsia"/>
          <w:lang w:val="zh-CN"/>
        </w:rPr>
        <w:t>定期</w:t>
      </w:r>
      <w:r>
        <w:rPr>
          <w:lang w:val="zh-CN"/>
        </w:rPr>
        <w:t>观察番茄色泽的变化。</w:t>
      </w:r>
    </w:p>
    <w:p>
      <w:pPr>
        <w:autoSpaceDE w:val="0"/>
        <w:autoSpaceDN w:val="0"/>
        <w:spacing w:line="360" w:lineRule="auto"/>
        <w:ind w:firstLine="420" w:firstLineChars="200"/>
        <w:textAlignment w:val="baseline"/>
        <w:rPr>
          <w:lang w:val="zh-CN"/>
        </w:rPr>
      </w:pPr>
      <w:r>
        <w:rPr>
          <w:lang w:val="zh-CN"/>
        </w:rPr>
        <w:t>（</w:t>
      </w:r>
      <w:r>
        <w:rPr>
          <w:rFonts w:hint="eastAsia"/>
        </w:rPr>
        <w:t>4</w:t>
      </w:r>
      <w:r>
        <w:rPr>
          <w:lang w:val="zh-CN"/>
        </w:rPr>
        <w:t>）对照 将相同成熟度的绿番茄，放在20℃室温下。观察番茄颜色及硬度变化</w:t>
      </w:r>
      <w:r>
        <w:rPr>
          <w:rFonts w:hint="eastAsia"/>
          <w:lang w:val="zh-CN"/>
        </w:rPr>
        <w:t>。</w:t>
      </w:r>
    </w:p>
    <w:p>
      <w:pPr>
        <w:autoSpaceDE w:val="0"/>
        <w:autoSpaceDN w:val="0"/>
        <w:spacing w:line="360" w:lineRule="auto"/>
        <w:ind w:firstLine="420" w:firstLineChars="200"/>
        <w:textAlignment w:val="baseline"/>
        <w:rPr>
          <w:lang w:val="zh-CN"/>
        </w:rPr>
      </w:pPr>
      <w:r>
        <w:rPr>
          <w:lang w:val="zh-CN"/>
        </w:rPr>
        <w:t>猕猴桃催熟</w:t>
      </w:r>
    </w:p>
    <w:p>
      <w:pPr>
        <w:autoSpaceDE w:val="0"/>
        <w:autoSpaceDN w:val="0"/>
        <w:spacing w:line="360" w:lineRule="auto"/>
        <w:ind w:firstLine="420" w:firstLineChars="200"/>
        <w:textAlignment w:val="baseline"/>
        <w:rPr>
          <w:lang w:val="zh-CN"/>
        </w:rPr>
      </w:pPr>
      <w:r>
        <w:rPr>
          <w:lang w:val="zh-CN"/>
        </w:rPr>
        <w:t>（1）材料准备</w:t>
      </w:r>
      <w:r>
        <w:rPr>
          <w:rFonts w:hint="eastAsia"/>
        </w:rPr>
        <w:t xml:space="preserve"> </w:t>
      </w:r>
      <w:r>
        <w:rPr>
          <w:lang w:val="zh-CN"/>
        </w:rPr>
        <w:t>取已长8</w:t>
      </w:r>
      <w:r>
        <w:rPr>
          <w:rFonts w:hint="eastAsia"/>
          <w:lang w:val="zh-CN"/>
        </w:rPr>
        <w:t>成</w:t>
      </w:r>
      <w:r>
        <w:rPr>
          <w:lang w:val="zh-CN"/>
        </w:rPr>
        <w:t>熟的猕猴桃（较硬不能食用），分别置于塑料或干燥器中。分别用乙烯利、酒精进行处理。方法参考番茄。维持温度20-25℃和90%以上相对湿度，经2-3天后观察其品质变化。</w:t>
      </w:r>
    </w:p>
    <w:p>
      <w:pPr>
        <w:autoSpaceDE w:val="0"/>
        <w:autoSpaceDN w:val="0"/>
        <w:spacing w:line="360" w:lineRule="auto"/>
        <w:ind w:firstLine="420" w:firstLineChars="200"/>
        <w:textAlignment w:val="baseline"/>
      </w:pPr>
      <w:r>
        <w:rPr>
          <w:lang w:val="zh-CN"/>
        </w:rPr>
        <w:t>（2）对照 取同样成熟度的猕猴桃不处理，放在20℃室温下，比较不同处理果实的硬度及固形物含量变化。</w:t>
      </w:r>
    </w:p>
    <w:p>
      <w:pPr>
        <w:spacing w:line="360" w:lineRule="auto"/>
        <w:ind w:firstLine="422" w:firstLineChars="200"/>
      </w:pPr>
      <w:r>
        <w:rPr>
          <w:rFonts w:hint="eastAsia"/>
          <w:b/>
        </w:rPr>
        <w:t>4、实验要求</w:t>
      </w:r>
      <w:r>
        <w:rPr>
          <w:b/>
        </w:rPr>
        <w:t>：</w:t>
      </w:r>
      <w:r>
        <w:rPr>
          <w:lang w:val="zh-CN"/>
        </w:rPr>
        <w:t>掌握番茄及猕猴桃催熟原理及处理技术参数及操作程序</w:t>
      </w:r>
      <w:r>
        <w:rPr>
          <w:rFonts w:hint="eastAsia"/>
          <w:lang w:val="zh-CN"/>
        </w:rPr>
        <w:t>，</w:t>
      </w:r>
      <w:r>
        <w:t>理解影响果蔬催熟的因素（内在因素和外在因素），了解果蔬催熟应该注意的事项（果蔬自身成熟度、氧气供应、温度、催熟剂剂量、湿度），可以解释果蔬催熟中出现的现象。</w:t>
      </w:r>
    </w:p>
    <w:p>
      <w:pPr>
        <w:spacing w:line="360" w:lineRule="auto"/>
        <w:ind w:firstLine="422" w:firstLineChars="200"/>
      </w:pPr>
      <w:r>
        <w:rPr>
          <w:rFonts w:hint="eastAsia"/>
          <w:b/>
        </w:rPr>
        <w:t>5、</w:t>
      </w:r>
      <w:r>
        <w:rPr>
          <w:b/>
        </w:rPr>
        <w:t>实验所需仪器设备：</w:t>
      </w:r>
      <w:r>
        <w:t>真空干燥器、温度计、湿度计、</w:t>
      </w:r>
      <w:r>
        <w:rPr>
          <w:lang w:val="zh-CN"/>
        </w:rPr>
        <w:t>聚乙烯薄膜袋</w:t>
      </w:r>
      <w:r>
        <w:t>、</w:t>
      </w:r>
      <w:r>
        <w:rPr>
          <w:lang w:val="zh-CN"/>
        </w:rPr>
        <w:t>硬度计及折光仪</w:t>
      </w:r>
      <w:r>
        <w:t>。</w:t>
      </w:r>
    </w:p>
    <w:p>
      <w:pPr>
        <w:spacing w:line="360" w:lineRule="auto"/>
        <w:jc w:val="left"/>
        <w:rPr>
          <w:b/>
          <w:szCs w:val="21"/>
        </w:rPr>
      </w:pPr>
      <w:r>
        <w:rPr>
          <w:b/>
          <w:szCs w:val="21"/>
        </w:rPr>
        <w:t>【实验</w:t>
      </w:r>
      <w:r>
        <w:rPr>
          <w:rFonts w:hint="eastAsia"/>
          <w:b/>
          <w:szCs w:val="21"/>
        </w:rPr>
        <w:t>七】果品蔬菜贮运环境技术参数的测定</w:t>
      </w:r>
    </w:p>
    <w:p>
      <w:pPr>
        <w:spacing w:line="360" w:lineRule="auto"/>
        <w:ind w:firstLine="422" w:firstLineChars="200"/>
        <w:rPr>
          <w:b/>
        </w:rPr>
      </w:pPr>
      <w:r>
        <w:rPr>
          <w:b/>
        </w:rPr>
        <w:t>1</w:t>
      </w:r>
      <w:r>
        <w:rPr>
          <w:rFonts w:hint="eastAsia"/>
          <w:b/>
        </w:rPr>
        <w:t>、</w:t>
      </w:r>
      <w:r>
        <w:rPr>
          <w:b/>
        </w:rPr>
        <w:t>实验学时：</w:t>
      </w:r>
      <w:r>
        <w:rPr>
          <w:rFonts w:hint="eastAsia"/>
        </w:rPr>
        <w:t>3</w:t>
      </w:r>
      <w:r>
        <w:t>学时</w:t>
      </w:r>
    </w:p>
    <w:p>
      <w:pPr>
        <w:spacing w:line="360" w:lineRule="auto"/>
        <w:ind w:firstLine="422" w:firstLineChars="200"/>
      </w:pPr>
      <w:r>
        <w:rPr>
          <w:b/>
        </w:rPr>
        <w:t>2</w:t>
      </w:r>
      <w:r>
        <w:rPr>
          <w:rFonts w:hint="eastAsia"/>
          <w:b/>
        </w:rPr>
        <w:t>、</w:t>
      </w:r>
      <w:r>
        <w:rPr>
          <w:b/>
        </w:rPr>
        <w:t>实验目的：</w:t>
      </w:r>
      <w:r>
        <w:t>了解果品蔬菜贮藏环境中温度、湿度测定的要点，理解测定贮藏环境中气体成分含量的意义，掌握其测定的方法步骤。气调贮藏是目前最先进的果蔬贮藏方式。测定贮藏环境中O</w:t>
      </w:r>
      <w:r>
        <w:rPr>
          <w:b/>
          <w:vertAlign w:val="subscript"/>
        </w:rPr>
        <w:t>2</w:t>
      </w:r>
      <w:r>
        <w:t>与CO</w:t>
      </w:r>
      <w:r>
        <w:rPr>
          <w:b/>
          <w:vertAlign w:val="subscript"/>
        </w:rPr>
        <w:t>2</w:t>
      </w:r>
      <w:r>
        <w:t>含量是实现气调贮藏日常运转的关键技术之一。通过实验掌握奥</w:t>
      </w:r>
      <w:r>
        <w:rPr>
          <w:rFonts w:hint="eastAsia"/>
        </w:rPr>
        <w:t>氏</w:t>
      </w:r>
      <w:r>
        <w:t>气体测定仪及电化学O</w:t>
      </w:r>
      <w:r>
        <w:rPr>
          <w:b/>
          <w:vertAlign w:val="subscript"/>
        </w:rPr>
        <w:t>2</w:t>
      </w:r>
      <w:r>
        <w:t>与CO</w:t>
      </w:r>
      <w:r>
        <w:rPr>
          <w:b/>
          <w:vertAlign w:val="subscript"/>
        </w:rPr>
        <w:t>2</w:t>
      </w:r>
      <w:r>
        <w:t>测定仪器结构组成、测定原理及操作步骤。</w:t>
      </w:r>
    </w:p>
    <w:p>
      <w:pPr>
        <w:spacing w:line="360" w:lineRule="auto"/>
        <w:ind w:firstLine="422" w:firstLineChars="200"/>
        <w:rPr>
          <w:b/>
        </w:rPr>
      </w:pPr>
      <w:r>
        <w:rPr>
          <w:b/>
        </w:rPr>
        <w:t>3</w:t>
      </w:r>
      <w:r>
        <w:rPr>
          <w:rFonts w:hint="eastAsia"/>
          <w:b/>
        </w:rPr>
        <w:t>、</w:t>
      </w:r>
      <w:r>
        <w:rPr>
          <w:b/>
        </w:rPr>
        <w:t>实验内容：</w:t>
      </w:r>
    </w:p>
    <w:p>
      <w:pPr>
        <w:spacing w:line="360" w:lineRule="auto"/>
        <w:ind w:firstLine="420" w:firstLineChars="200"/>
      </w:pPr>
      <w:r>
        <w:rPr>
          <w:bCs/>
          <w:kern w:val="0"/>
          <w:szCs w:val="21"/>
        </w:rPr>
        <w:t>（1）</w:t>
      </w:r>
      <w:r>
        <w:rPr>
          <w:rFonts w:hint="eastAsia"/>
        </w:rPr>
        <w:t>用数显式温度、湿度测定仪测定果蔬包装袋内、外温度、湿度。每组取3-5个代表点。</w:t>
      </w:r>
    </w:p>
    <w:p>
      <w:pPr>
        <w:spacing w:line="360" w:lineRule="auto"/>
        <w:ind w:firstLine="420" w:firstLineChars="200"/>
      </w:pPr>
      <w:r>
        <w:rPr>
          <w:bCs/>
          <w:kern w:val="0"/>
          <w:szCs w:val="21"/>
        </w:rPr>
        <w:t>（2）</w:t>
      </w:r>
      <w:r>
        <w:t>用奥</w:t>
      </w:r>
      <w:r>
        <w:rPr>
          <w:rFonts w:hint="eastAsia"/>
        </w:rPr>
        <w:t>氏</w:t>
      </w:r>
      <w:r>
        <w:t>气体分析仪进行测定</w:t>
      </w:r>
      <w:r>
        <w:rPr>
          <w:rFonts w:hint="eastAsia"/>
        </w:rPr>
        <w:t>果蔬贮藏环境的</w:t>
      </w:r>
      <w:r>
        <w:t>气体成分</w:t>
      </w:r>
      <w:r>
        <w:rPr>
          <w:rFonts w:hint="eastAsia"/>
        </w:rPr>
        <w:t>含量</w:t>
      </w:r>
      <w:r>
        <w:t>（O</w:t>
      </w:r>
      <w:r>
        <w:rPr>
          <w:b/>
          <w:vertAlign w:val="subscript"/>
        </w:rPr>
        <w:t>2</w:t>
      </w:r>
      <w:r>
        <w:t>与CO</w:t>
      </w:r>
      <w:r>
        <w:rPr>
          <w:b/>
          <w:vertAlign w:val="subscript"/>
        </w:rPr>
        <w:t>2</w:t>
      </w:r>
      <w:r>
        <w:t>）。</w:t>
      </w:r>
    </w:p>
    <w:p>
      <w:pPr>
        <w:spacing w:line="360" w:lineRule="auto"/>
        <w:ind w:firstLine="420" w:firstLineChars="200"/>
      </w:pPr>
      <w:r>
        <w:rPr>
          <w:bCs/>
          <w:kern w:val="0"/>
          <w:szCs w:val="21"/>
        </w:rPr>
        <w:t>（3）</w:t>
      </w:r>
      <w:r>
        <w:t>用</w:t>
      </w:r>
      <w:r>
        <w:rPr>
          <w:bCs/>
        </w:rPr>
        <w:t>电化学</w:t>
      </w:r>
      <w:r>
        <w:rPr>
          <w:rFonts w:hint="eastAsia"/>
          <w:bCs/>
        </w:rPr>
        <w:t>法</w:t>
      </w:r>
      <w:r>
        <w:rPr>
          <w:bCs/>
          <w:spacing w:val="15"/>
          <w:kern w:val="0"/>
        </w:rPr>
        <w:t>O</w:t>
      </w:r>
      <w:r>
        <w:rPr>
          <w:bCs/>
          <w:spacing w:val="15"/>
          <w:kern w:val="0"/>
          <w:vertAlign w:val="subscript"/>
        </w:rPr>
        <w:t>2</w:t>
      </w:r>
      <w:r>
        <w:rPr>
          <w:bCs/>
        </w:rPr>
        <w:t>与</w:t>
      </w:r>
      <w:r>
        <w:rPr>
          <w:bCs/>
          <w:spacing w:val="15"/>
          <w:kern w:val="0"/>
        </w:rPr>
        <w:t>CO</w:t>
      </w:r>
      <w:r>
        <w:rPr>
          <w:bCs/>
          <w:spacing w:val="15"/>
          <w:kern w:val="0"/>
          <w:vertAlign w:val="subscript"/>
        </w:rPr>
        <w:t>2</w:t>
      </w:r>
      <w:r>
        <w:rPr>
          <w:bCs/>
        </w:rPr>
        <w:t>测定仪测定</w:t>
      </w:r>
      <w:r>
        <w:rPr>
          <w:rFonts w:hint="eastAsia"/>
          <w:bCs/>
        </w:rPr>
        <w:t>贮藏环境的</w:t>
      </w:r>
      <w:r>
        <w:t>气体成分</w:t>
      </w:r>
      <w:r>
        <w:rPr>
          <w:rFonts w:hint="eastAsia"/>
        </w:rPr>
        <w:t>含量</w:t>
      </w:r>
      <w:r>
        <w:t>（O</w:t>
      </w:r>
      <w:r>
        <w:rPr>
          <w:b/>
          <w:vertAlign w:val="subscript"/>
        </w:rPr>
        <w:t>2</w:t>
      </w:r>
      <w:r>
        <w:t>与CO</w:t>
      </w:r>
      <w:r>
        <w:rPr>
          <w:vertAlign w:val="subscript"/>
        </w:rPr>
        <w:t>2</w:t>
      </w:r>
      <w:r>
        <w:t>）。</w:t>
      </w:r>
    </w:p>
    <w:p>
      <w:pPr>
        <w:spacing w:line="360" w:lineRule="auto"/>
        <w:ind w:firstLine="422" w:firstLineChars="200"/>
        <w:rPr>
          <w:spacing w:val="15"/>
          <w:kern w:val="0"/>
          <w:szCs w:val="21"/>
        </w:rPr>
      </w:pPr>
      <w:r>
        <w:rPr>
          <w:b/>
        </w:rPr>
        <w:t>4</w:t>
      </w:r>
      <w:r>
        <w:rPr>
          <w:rFonts w:hint="eastAsia"/>
          <w:b/>
        </w:rPr>
        <w:t>、</w:t>
      </w:r>
      <w:r>
        <w:rPr>
          <w:b/>
        </w:rPr>
        <w:t>实验要求</w:t>
      </w:r>
      <w:r>
        <w:rPr>
          <w:rFonts w:hint="eastAsia"/>
          <w:b/>
        </w:rPr>
        <w:t>：</w:t>
      </w:r>
      <w:r>
        <w:rPr>
          <w:rFonts w:hint="eastAsia"/>
        </w:rPr>
        <w:t>分析包装内外不同取样点温度、湿度变化规律，分析出现差异原因；</w:t>
      </w:r>
      <w:r>
        <w:t>理解贮藏环境气体成分含量测定对气调</w:t>
      </w:r>
      <w:r>
        <w:rPr>
          <w:szCs w:val="21"/>
        </w:rPr>
        <w:t>贮藏的意义，掌握奥氏气体分析仪的测定原理；了解</w:t>
      </w:r>
      <w:r>
        <w:rPr>
          <w:spacing w:val="15"/>
          <w:kern w:val="0"/>
          <w:szCs w:val="21"/>
        </w:rPr>
        <w:t>电化学O</w:t>
      </w:r>
      <w:r>
        <w:rPr>
          <w:spacing w:val="15"/>
          <w:kern w:val="0"/>
          <w:szCs w:val="21"/>
          <w:vertAlign w:val="subscript"/>
        </w:rPr>
        <w:t>2</w:t>
      </w:r>
      <w:r>
        <w:rPr>
          <w:spacing w:val="15"/>
          <w:kern w:val="0"/>
          <w:szCs w:val="21"/>
        </w:rPr>
        <w:t>与CO</w:t>
      </w:r>
      <w:r>
        <w:rPr>
          <w:spacing w:val="15"/>
          <w:kern w:val="0"/>
          <w:szCs w:val="21"/>
          <w:vertAlign w:val="subscript"/>
        </w:rPr>
        <w:t>2</w:t>
      </w:r>
      <w:r>
        <w:rPr>
          <w:spacing w:val="15"/>
          <w:kern w:val="0"/>
          <w:szCs w:val="21"/>
        </w:rPr>
        <w:t>测定</w:t>
      </w:r>
      <w:r>
        <w:rPr>
          <w:szCs w:val="21"/>
        </w:rPr>
        <w:t>仪测定果蔬贮藏环境中的O</w:t>
      </w:r>
      <w:r>
        <w:rPr>
          <w:szCs w:val="21"/>
          <w:vertAlign w:val="subscript"/>
        </w:rPr>
        <w:t>2</w:t>
      </w:r>
      <w:r>
        <w:rPr>
          <w:szCs w:val="21"/>
        </w:rPr>
        <w:t>与CO</w:t>
      </w:r>
      <w:r>
        <w:rPr>
          <w:szCs w:val="21"/>
          <w:vertAlign w:val="subscript"/>
        </w:rPr>
        <w:t>2</w:t>
      </w:r>
      <w:r>
        <w:rPr>
          <w:szCs w:val="21"/>
        </w:rPr>
        <w:t>含量操作步骤。</w:t>
      </w:r>
    </w:p>
    <w:p>
      <w:pPr>
        <w:spacing w:line="360" w:lineRule="auto"/>
        <w:ind w:firstLine="422" w:firstLineChars="200"/>
        <w:rPr>
          <w:szCs w:val="21"/>
        </w:rPr>
      </w:pPr>
      <w:r>
        <w:rPr>
          <w:b/>
          <w:szCs w:val="21"/>
        </w:rPr>
        <w:t>5</w:t>
      </w:r>
      <w:r>
        <w:rPr>
          <w:rFonts w:hint="eastAsia"/>
          <w:b/>
          <w:szCs w:val="21"/>
        </w:rPr>
        <w:t>、</w:t>
      </w:r>
      <w:r>
        <w:rPr>
          <w:b/>
          <w:szCs w:val="21"/>
        </w:rPr>
        <w:t>实验设备及器材</w:t>
      </w:r>
      <w:r>
        <w:rPr>
          <w:rFonts w:hint="eastAsia"/>
          <w:b/>
          <w:szCs w:val="21"/>
        </w:rPr>
        <w:t>：</w:t>
      </w:r>
      <w:r>
        <w:rPr>
          <w:rFonts w:hint="eastAsia"/>
          <w:szCs w:val="21"/>
        </w:rPr>
        <w:t>数显式温度、湿度测定仪、</w:t>
      </w:r>
      <w:r>
        <w:rPr>
          <w:szCs w:val="21"/>
        </w:rPr>
        <w:t>奥</w:t>
      </w:r>
      <w:r>
        <w:rPr>
          <w:rFonts w:hint="eastAsia"/>
          <w:szCs w:val="21"/>
        </w:rPr>
        <w:t>氏</w:t>
      </w:r>
      <w:r>
        <w:rPr>
          <w:szCs w:val="21"/>
        </w:rPr>
        <w:t>气体分析仪、O</w:t>
      </w:r>
      <w:r>
        <w:rPr>
          <w:szCs w:val="21"/>
          <w:vertAlign w:val="subscript"/>
        </w:rPr>
        <w:t>2</w:t>
      </w:r>
      <w:r>
        <w:rPr>
          <w:szCs w:val="21"/>
        </w:rPr>
        <w:t>与CO</w:t>
      </w:r>
      <w:r>
        <w:rPr>
          <w:szCs w:val="21"/>
          <w:vertAlign w:val="subscript"/>
        </w:rPr>
        <w:t>2</w:t>
      </w:r>
      <w:r>
        <w:rPr>
          <w:szCs w:val="21"/>
        </w:rPr>
        <w:t>电化学测定仪</w:t>
      </w:r>
      <w:r>
        <w:rPr>
          <w:rFonts w:hint="eastAsia"/>
          <w:szCs w:val="21"/>
        </w:rPr>
        <w:t>、</w:t>
      </w:r>
      <w:r>
        <w:rPr>
          <w:szCs w:val="21"/>
        </w:rPr>
        <w:t>塑料袋</w:t>
      </w:r>
      <w:r>
        <w:rPr>
          <w:rFonts w:hint="eastAsia"/>
          <w:szCs w:val="21"/>
        </w:rPr>
        <w:t>、</w:t>
      </w:r>
      <w:r>
        <w:rPr>
          <w:szCs w:val="21"/>
        </w:rPr>
        <w:t>老桩</w:t>
      </w:r>
      <w:r>
        <w:rPr>
          <w:rFonts w:hint="eastAsia"/>
          <w:szCs w:val="21"/>
        </w:rPr>
        <w:t>、</w:t>
      </w:r>
      <w:r>
        <w:rPr>
          <w:szCs w:val="21"/>
        </w:rPr>
        <w:t>真空干燥器</w:t>
      </w:r>
      <w:r>
        <w:rPr>
          <w:rFonts w:hint="eastAsia"/>
          <w:szCs w:val="21"/>
        </w:rPr>
        <w:t>、</w:t>
      </w:r>
      <w:r>
        <w:rPr>
          <w:szCs w:val="21"/>
        </w:rPr>
        <w:t>球胆</w:t>
      </w:r>
      <w:r>
        <w:rPr>
          <w:rFonts w:hint="eastAsia"/>
          <w:szCs w:val="21"/>
        </w:rPr>
        <w:t>、</w:t>
      </w:r>
      <w:r>
        <w:rPr>
          <w:szCs w:val="21"/>
        </w:rPr>
        <w:t>样袋</w:t>
      </w:r>
      <w:r>
        <w:rPr>
          <w:rFonts w:hint="eastAsia"/>
          <w:szCs w:val="21"/>
        </w:rPr>
        <w:t>。</w:t>
      </w:r>
    </w:p>
    <w:p>
      <w:pPr>
        <w:spacing w:line="360" w:lineRule="auto"/>
        <w:jc w:val="left"/>
        <w:rPr>
          <w:b/>
          <w:szCs w:val="21"/>
        </w:rPr>
      </w:pPr>
      <w:r>
        <w:rPr>
          <w:b/>
          <w:szCs w:val="21"/>
        </w:rPr>
        <w:t>【实验</w:t>
      </w:r>
      <w:r>
        <w:rPr>
          <w:rFonts w:hint="eastAsia"/>
          <w:b/>
          <w:szCs w:val="21"/>
        </w:rPr>
        <w:t>八】不</w:t>
      </w:r>
      <w:r>
        <w:rPr>
          <w:rFonts w:hint="eastAsia"/>
          <w:b/>
          <w:kern w:val="0"/>
          <w:szCs w:val="21"/>
        </w:rPr>
        <w:t>同贮运条件对果蔬微环境及采后品质的影响</w:t>
      </w:r>
    </w:p>
    <w:p>
      <w:pPr>
        <w:spacing w:line="360" w:lineRule="auto"/>
        <w:ind w:firstLine="422" w:firstLineChars="200"/>
        <w:rPr>
          <w:b/>
        </w:rPr>
      </w:pPr>
      <w:r>
        <w:rPr>
          <w:rFonts w:hint="eastAsia"/>
          <w:b/>
        </w:rPr>
        <w:t>1.实验学时</w:t>
      </w:r>
      <w:r>
        <w:rPr>
          <w:b/>
        </w:rPr>
        <w:t>：</w:t>
      </w:r>
      <w:r>
        <w:t>4学时</w:t>
      </w:r>
    </w:p>
    <w:p>
      <w:pPr>
        <w:spacing w:line="360" w:lineRule="auto"/>
        <w:ind w:firstLine="422" w:firstLineChars="200"/>
      </w:pPr>
      <w:r>
        <w:rPr>
          <w:rFonts w:hint="eastAsia"/>
          <w:b/>
        </w:rPr>
        <w:t>2.实验目的</w:t>
      </w:r>
      <w:r>
        <w:rPr>
          <w:b/>
        </w:rPr>
        <w:t>：</w:t>
      </w:r>
      <w:r>
        <w:t>理解贮运环境中处理条件对果蔬微环境和贮藏品质的影响。</w:t>
      </w:r>
    </w:p>
    <w:p>
      <w:pPr>
        <w:spacing w:line="360" w:lineRule="auto"/>
        <w:ind w:firstLine="422" w:firstLineChars="200"/>
      </w:pPr>
      <w:r>
        <w:rPr>
          <w:rFonts w:hint="eastAsia"/>
          <w:b/>
        </w:rPr>
        <w:t>3.实验内容</w:t>
      </w:r>
      <w:r>
        <w:rPr>
          <w:b/>
        </w:rPr>
        <w:t>：</w:t>
      </w:r>
      <w:r>
        <w:rPr>
          <w:rFonts w:hint="eastAsia"/>
        </w:rPr>
        <w:t>以猕猴桃</w:t>
      </w:r>
      <w:r>
        <w:t>或苹果</w:t>
      </w:r>
      <w:r>
        <w:rPr>
          <w:rFonts w:hint="eastAsia"/>
        </w:rPr>
        <w:t>等为实验材料，分别在室温和冷藏的条件下，采用高湿度（进行包装，空气相对湿度为</w:t>
      </w:r>
      <w:r>
        <w:t>85</w:t>
      </w:r>
      <w:r>
        <w:rPr>
          <w:rFonts w:hint="eastAsia"/>
        </w:rPr>
        <w:t>%</w:t>
      </w:r>
      <w:r>
        <w:t>-95%</w:t>
      </w:r>
      <w:r>
        <w:rPr>
          <w:rFonts w:hint="eastAsia"/>
        </w:rPr>
        <w:t>）和低湿度（不进行包装，空气相对湿度为</w:t>
      </w:r>
      <w:r>
        <w:t>40</w:t>
      </w:r>
      <w:r>
        <w:rPr>
          <w:rFonts w:hint="eastAsia"/>
        </w:rPr>
        <w:t>%</w:t>
      </w:r>
      <w:r>
        <w:t>-50%</w:t>
      </w:r>
      <w:r>
        <w:rPr>
          <w:rFonts w:hint="eastAsia"/>
        </w:rPr>
        <w:t>）进行果品贮藏，贮藏</w:t>
      </w:r>
      <w:r>
        <w:t>1-2</w:t>
      </w:r>
      <w:r>
        <w:rPr>
          <w:rFonts w:hint="eastAsia"/>
        </w:rPr>
        <w:t>周后观察</w:t>
      </w:r>
      <w:r>
        <w:t>果实外观状态</w:t>
      </w:r>
      <w:r>
        <w:rPr>
          <w:rFonts w:hint="eastAsia"/>
        </w:rPr>
        <w:t>、测定果蔬的失水率、果品的硬度、可溶性固形物含量和可滴定酸含量等品质的变化，理解贮运环境中温度和湿度的变化对果蔬贮藏品质的影响。</w:t>
      </w:r>
    </w:p>
    <w:p>
      <w:pPr>
        <w:spacing w:line="360" w:lineRule="auto"/>
        <w:ind w:firstLine="420" w:firstLineChars="200"/>
      </w:pPr>
      <w:r>
        <w:rPr>
          <w:bCs/>
          <w:kern w:val="0"/>
          <w:szCs w:val="21"/>
        </w:rPr>
        <w:t>（1）材料准备 挑选八成熟</w:t>
      </w:r>
      <w:r>
        <w:t>猕猴桃或苹果等为实验材料。</w:t>
      </w:r>
    </w:p>
    <w:p>
      <w:pPr>
        <w:spacing w:line="360" w:lineRule="auto"/>
        <w:ind w:firstLine="420" w:firstLineChars="200"/>
      </w:pPr>
      <w:r>
        <w:t>（2）贮运温度及其变化对果蔬贮藏微环境和品质的影响  分别在室温和冷藏的条件下进行贮藏，用自动温湿度记录仪检测环境温湿度变化情况，观察记录果蔬外观是否有结露现象；1-2周后测定品质变化。</w:t>
      </w:r>
    </w:p>
    <w:p>
      <w:pPr>
        <w:spacing w:line="360" w:lineRule="auto"/>
        <w:ind w:firstLine="420" w:firstLineChars="200"/>
      </w:pPr>
      <w:r>
        <w:rPr>
          <w:bCs/>
          <w:kern w:val="0"/>
          <w:szCs w:val="21"/>
        </w:rPr>
        <w:t>（3）贮运包装对</w:t>
      </w:r>
      <w:r>
        <w:t>果蔬贮藏微环境和品质的影响 采用塑料薄膜包装和不进行包装两种方式对果蔬进行处理，用自动温湿度记录仪检测环境温湿度变化情况，观察记录包装袋内侧是否有结露现象；1-2周后观察果实外观状态、测定果蔬的失水率、果品的硬度、可溶性固形物和可滴定酸等质量变化。</w:t>
      </w:r>
    </w:p>
    <w:p>
      <w:pPr>
        <w:spacing w:line="360" w:lineRule="auto"/>
        <w:ind w:firstLine="422" w:firstLineChars="200"/>
      </w:pPr>
      <w:r>
        <w:rPr>
          <w:rFonts w:hint="eastAsia"/>
          <w:b/>
        </w:rPr>
        <w:t>4.实验要求</w:t>
      </w:r>
      <w:r>
        <w:rPr>
          <w:b/>
        </w:rPr>
        <w:t>：</w:t>
      </w:r>
      <w:r>
        <w:rPr>
          <w:lang w:val="zh-CN"/>
        </w:rPr>
        <w:t>掌握</w:t>
      </w:r>
      <w:r>
        <w:rPr>
          <w:rFonts w:hint="eastAsia"/>
          <w:lang w:val="zh-CN"/>
        </w:rPr>
        <w:t>温度和湿度及其稳定性对</w:t>
      </w:r>
      <w:r>
        <w:rPr>
          <w:lang w:val="zh-CN"/>
        </w:rPr>
        <w:t>猕猴桃</w:t>
      </w:r>
      <w:r>
        <w:rPr>
          <w:rFonts w:hint="eastAsia"/>
          <w:lang w:val="zh-CN"/>
        </w:rPr>
        <w:t>或者香蕉等果品的贮藏品质的影响，</w:t>
      </w:r>
      <w:r>
        <w:t>了解冷库的常规管理及技术参数的设定原则。</w:t>
      </w:r>
    </w:p>
    <w:p>
      <w:pPr>
        <w:spacing w:line="360" w:lineRule="auto"/>
        <w:ind w:firstLine="422" w:firstLineChars="200"/>
      </w:pPr>
      <w:r>
        <w:rPr>
          <w:rFonts w:hint="eastAsia"/>
          <w:b/>
        </w:rPr>
        <w:t>5.</w:t>
      </w:r>
      <w:r>
        <w:rPr>
          <w:b/>
        </w:rPr>
        <w:t>实验所需仪器设备：</w:t>
      </w:r>
      <w:r>
        <w:t>冷库或者冰箱、自动温湿度记录仪、</w:t>
      </w:r>
      <w:r>
        <w:rPr>
          <w:lang w:val="zh-CN"/>
        </w:rPr>
        <w:t>聚乙烯薄膜袋</w:t>
      </w:r>
      <w:r>
        <w:rPr>
          <w:rFonts w:hint="eastAsia"/>
          <w:lang w:val="zh-CN"/>
        </w:rPr>
        <w:t>、</w:t>
      </w:r>
      <w:r>
        <w:rPr>
          <w:lang w:val="zh-CN"/>
        </w:rPr>
        <w:t>硬度计及折光仪</w:t>
      </w:r>
      <w:r>
        <w:rPr>
          <w:rFonts w:hint="eastAsia"/>
          <w:lang w:val="zh-CN"/>
        </w:rPr>
        <w:t>等</w:t>
      </w:r>
      <w:r>
        <w:t>。</w:t>
      </w:r>
    </w:p>
    <w:p>
      <w:pPr>
        <w:spacing w:line="360" w:lineRule="auto"/>
        <w:ind w:firstLine="420"/>
        <w:rPr>
          <w:szCs w:val="21"/>
        </w:rPr>
      </w:pPr>
    </w:p>
    <w:p>
      <w:pPr>
        <w:snapToGrid w:val="0"/>
        <w:spacing w:line="360" w:lineRule="auto"/>
        <w:rPr>
          <w:b/>
          <w:szCs w:val="21"/>
        </w:rPr>
      </w:pPr>
      <w:r>
        <w:rPr>
          <w:b/>
          <w:szCs w:val="21"/>
        </w:rPr>
        <w:t>六、课程思政</w:t>
      </w:r>
    </w:p>
    <w:p>
      <w:pPr>
        <w:snapToGrid w:val="0"/>
        <w:spacing w:line="360" w:lineRule="auto"/>
        <w:ind w:firstLine="420" w:firstLineChars="200"/>
      </w:pPr>
      <w:r>
        <w:rPr>
          <w:rFonts w:hint="eastAsia"/>
        </w:rPr>
        <w:t>坚持“实现立德树人根本任务”的大思政综合教育理念，在课程教学过程中将政治认同、家国情怀、文化素养、法治意识、道德修养等思想政治元素融入专业教育，隐性和显性教育相融合，知识育才和精神育才相结合。</w:t>
      </w:r>
      <w:r>
        <w:t>例如</w:t>
      </w:r>
      <w:r>
        <w:rPr>
          <w:rFonts w:hint="eastAsia"/>
        </w:rPr>
        <w:t>，绪论部分通过介绍园艺产品在人们生活中的地位、采后调控在园艺产业链中的重要作用，使学生潜移默化的了解本门课程的重要性，树立专业自信及三农情怀；在讲解园艺产品的采后生理章节时，有效融入我国园艺产品采后生理调控的最新研究进展，让学生更直观的了解我国的园艺产品采后分子生物学调控基础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国意识、专业自信和三农情怀等，实现高校“立德树人”的人才培养目标</w:t>
      </w:r>
      <w:r>
        <w:t>。</w:t>
      </w:r>
    </w:p>
    <w:p>
      <w:pPr>
        <w:widowControl/>
        <w:snapToGrid w:val="0"/>
        <w:spacing w:line="360" w:lineRule="auto"/>
        <w:jc w:val="left"/>
        <w:rPr>
          <w:kern w:val="0"/>
          <w:szCs w:val="21"/>
        </w:rPr>
      </w:pPr>
      <w:r>
        <w:rPr>
          <w:b/>
          <w:bCs/>
          <w:kern w:val="0"/>
          <w:szCs w:val="21"/>
        </w:rPr>
        <w:t>七、教材及教学参考书</w:t>
      </w:r>
    </w:p>
    <w:p>
      <w:pPr>
        <w:widowControl/>
        <w:snapToGrid w:val="0"/>
        <w:spacing w:line="360" w:lineRule="auto"/>
        <w:ind w:firstLine="422" w:firstLineChars="200"/>
        <w:jc w:val="left"/>
        <w:rPr>
          <w:b/>
          <w:bCs/>
          <w:kern w:val="0"/>
          <w:szCs w:val="21"/>
        </w:rPr>
      </w:pPr>
      <w:r>
        <w:rPr>
          <w:b/>
          <w:bCs/>
          <w:kern w:val="0"/>
          <w:szCs w:val="21"/>
        </w:rPr>
        <w:t>1、选用教材：</w:t>
      </w:r>
    </w:p>
    <w:p>
      <w:pPr>
        <w:widowControl/>
        <w:snapToGrid w:val="0"/>
        <w:spacing w:line="360" w:lineRule="auto"/>
        <w:ind w:firstLine="420" w:firstLineChars="200"/>
        <w:jc w:val="left"/>
        <w:rPr>
          <w:bCs/>
          <w:kern w:val="0"/>
          <w:szCs w:val="21"/>
        </w:rPr>
      </w:pPr>
      <w:r>
        <w:rPr>
          <w:bCs/>
          <w:kern w:val="0"/>
          <w:szCs w:val="21"/>
        </w:rPr>
        <w:t>（1）理论课教材：</w:t>
      </w:r>
    </w:p>
    <w:p>
      <w:pPr>
        <w:widowControl/>
        <w:snapToGrid w:val="0"/>
        <w:spacing w:line="360" w:lineRule="auto"/>
        <w:ind w:firstLine="420" w:firstLineChars="200"/>
        <w:jc w:val="left"/>
        <w:rPr>
          <w:bCs/>
          <w:kern w:val="0"/>
          <w:szCs w:val="21"/>
        </w:rPr>
      </w:pPr>
      <w:r>
        <w:rPr>
          <w:bCs/>
          <w:kern w:val="0"/>
          <w:szCs w:val="21"/>
        </w:rPr>
        <w:t>果品蔬菜贮藏运销学（第四版）．刘兴华、陈维信主编．中国农业出版社，2021年</w:t>
      </w:r>
    </w:p>
    <w:p>
      <w:pPr>
        <w:widowControl/>
        <w:snapToGrid w:val="0"/>
        <w:spacing w:line="360" w:lineRule="auto"/>
        <w:ind w:firstLine="420" w:firstLineChars="200"/>
        <w:jc w:val="left"/>
        <w:rPr>
          <w:bCs/>
          <w:kern w:val="0"/>
          <w:szCs w:val="21"/>
        </w:rPr>
      </w:pPr>
      <w:r>
        <w:rPr>
          <w:bCs/>
          <w:kern w:val="0"/>
          <w:szCs w:val="21"/>
        </w:rPr>
        <w:t>（2）实验课教材：</w:t>
      </w:r>
    </w:p>
    <w:p>
      <w:pPr>
        <w:widowControl/>
        <w:snapToGrid w:val="0"/>
        <w:spacing w:line="360" w:lineRule="auto"/>
        <w:ind w:firstLine="420" w:firstLineChars="200"/>
        <w:jc w:val="left"/>
        <w:rPr>
          <w:bCs/>
          <w:kern w:val="0"/>
          <w:szCs w:val="21"/>
        </w:rPr>
      </w:pPr>
      <w:r>
        <w:rPr>
          <w:bCs/>
          <w:kern w:val="0"/>
          <w:szCs w:val="21"/>
        </w:rPr>
        <w:t>园艺产品采后处理实验指导．王兰菊、胡青霞、张惠梅编．（自编）</w:t>
      </w:r>
    </w:p>
    <w:p>
      <w:pPr>
        <w:widowControl/>
        <w:snapToGrid w:val="0"/>
        <w:spacing w:line="360" w:lineRule="auto"/>
        <w:ind w:firstLine="422" w:firstLineChars="200"/>
        <w:jc w:val="left"/>
        <w:rPr>
          <w:kern w:val="0"/>
          <w:szCs w:val="21"/>
        </w:rPr>
      </w:pPr>
      <w:r>
        <w:rPr>
          <w:b/>
          <w:bCs/>
          <w:kern w:val="0"/>
          <w:szCs w:val="21"/>
        </w:rPr>
        <w:t>2、参考书：</w:t>
      </w:r>
    </w:p>
    <w:p>
      <w:pPr>
        <w:widowControl/>
        <w:snapToGrid w:val="0"/>
        <w:spacing w:line="360" w:lineRule="auto"/>
        <w:ind w:firstLine="420" w:firstLineChars="200"/>
        <w:jc w:val="left"/>
        <w:rPr>
          <w:kern w:val="0"/>
        </w:rPr>
      </w:pPr>
      <w:r>
        <w:rPr>
          <w:kern w:val="0"/>
        </w:rPr>
        <w:t>（1）园艺产品贮藏运销学．程运江主编．中国农业出版社，2019年</w:t>
      </w:r>
    </w:p>
    <w:p>
      <w:pPr>
        <w:widowControl/>
        <w:snapToGrid w:val="0"/>
        <w:spacing w:line="360" w:lineRule="auto"/>
        <w:ind w:firstLine="420" w:firstLineChars="200"/>
        <w:jc w:val="left"/>
        <w:rPr>
          <w:kern w:val="0"/>
        </w:rPr>
      </w:pPr>
      <w:r>
        <w:rPr>
          <w:kern w:val="0"/>
        </w:rPr>
        <w:t>（2）园艺产品贮藏加工学—贮藏篇．罗云波、蔡同一主编．中国农业大学出版社，2007年</w:t>
      </w:r>
    </w:p>
    <w:p>
      <w:pPr>
        <w:widowControl/>
        <w:snapToGrid w:val="0"/>
        <w:spacing w:line="360" w:lineRule="auto"/>
        <w:ind w:firstLine="420" w:firstLineChars="200"/>
        <w:jc w:val="left"/>
        <w:rPr>
          <w:kern w:val="0"/>
        </w:rPr>
      </w:pPr>
      <w:r>
        <w:rPr>
          <w:kern w:val="0"/>
        </w:rPr>
        <w:t>（3）果蔬贮运学．周山涛主编．化学工业出版社，1998年</w:t>
      </w:r>
    </w:p>
    <w:p>
      <w:pPr>
        <w:widowControl/>
        <w:snapToGrid w:val="0"/>
        <w:spacing w:line="360" w:lineRule="auto"/>
        <w:ind w:firstLine="420" w:firstLineChars="200"/>
        <w:jc w:val="left"/>
        <w:rPr>
          <w:bCs/>
          <w:kern w:val="0"/>
          <w:szCs w:val="21"/>
        </w:rPr>
      </w:pPr>
      <w:r>
        <w:rPr>
          <w:kern w:val="0"/>
        </w:rPr>
        <w:t>（4）Postharvest Technology of Horticultural crops. Kader A A. University of California, Publication</w:t>
      </w:r>
    </w:p>
    <w:p>
      <w:pPr>
        <w:widowControl/>
        <w:snapToGrid w:val="0"/>
        <w:spacing w:line="360" w:lineRule="auto"/>
        <w:ind w:firstLine="422" w:firstLineChars="200"/>
        <w:jc w:val="left"/>
        <w:rPr>
          <w:b/>
          <w:kern w:val="0"/>
          <w:szCs w:val="21"/>
        </w:rPr>
      </w:pPr>
      <w:r>
        <w:rPr>
          <w:rFonts w:hint="eastAsia"/>
          <w:b/>
          <w:kern w:val="0"/>
          <w:szCs w:val="21"/>
        </w:rPr>
        <w:t>3.推荐网站：</w:t>
      </w:r>
    </w:p>
    <w:p>
      <w:pPr>
        <w:widowControl/>
        <w:snapToGrid w:val="0"/>
        <w:spacing w:line="360" w:lineRule="auto"/>
        <w:ind w:left="420" w:leftChars="200"/>
        <w:jc w:val="left"/>
        <w:rPr>
          <w:kern w:val="0"/>
        </w:rPr>
      </w:pPr>
      <w:r>
        <w:t>（</w:t>
      </w:r>
      <w:r>
        <w:rPr>
          <w:rFonts w:hint="eastAsia"/>
        </w:rPr>
        <w:t>1</w:t>
      </w:r>
      <w:r>
        <w:t>）国家农产品保鲜工程 技术研究中心（天津）网站，网址</w:t>
      </w:r>
      <w:r>
        <w:rPr>
          <w:kern w:val="0"/>
        </w:rPr>
        <w:t> </w:t>
      </w:r>
      <w:r>
        <w:rPr>
          <w:color w:val="auto"/>
          <w:kern w:val="0"/>
          <w:u w:val="none"/>
        </w:rPr>
        <w:t>http://www.luda.com.cn</w:t>
      </w:r>
      <w:r>
        <w:rPr>
          <w:kern w:val="0"/>
        </w:rPr>
        <w:br w:type="textWrapping"/>
      </w:r>
      <w:r>
        <w:rPr>
          <w:kern w:val="0"/>
        </w:rPr>
        <w:t>（</w:t>
      </w:r>
      <w:r>
        <w:rPr>
          <w:rFonts w:hint="eastAsia"/>
          <w:kern w:val="0"/>
        </w:rPr>
        <w:t>2</w:t>
      </w:r>
      <w:r>
        <w:rPr>
          <w:kern w:val="0"/>
        </w:rPr>
        <w:t xml:space="preserve">）食品伙伴网，网址http://down.foodmate.net </w:t>
      </w:r>
    </w:p>
    <w:p>
      <w:pPr>
        <w:widowControl/>
        <w:snapToGrid w:val="0"/>
        <w:spacing w:line="360" w:lineRule="auto"/>
        <w:ind w:left="420" w:leftChars="200"/>
        <w:jc w:val="left"/>
        <w:rPr>
          <w:kern w:val="0"/>
          <w:u w:val="single"/>
        </w:rPr>
      </w:pPr>
      <w:r>
        <w:rPr>
          <w:rFonts w:hint="eastAsia"/>
          <w:kern w:val="0"/>
        </w:rPr>
        <w:t>（3）中国农产品保鲜网，网址</w:t>
      </w:r>
      <w:r>
        <w:rPr>
          <w:kern w:val="0"/>
        </w:rPr>
        <w:t>http://www.cnbaoxian.com</w:t>
      </w:r>
    </w:p>
    <w:p>
      <w:pPr>
        <w:widowControl/>
        <w:snapToGrid w:val="0"/>
        <w:spacing w:line="360" w:lineRule="auto"/>
        <w:jc w:val="left"/>
        <w:rPr>
          <w:b/>
          <w:bCs/>
          <w:kern w:val="0"/>
          <w:szCs w:val="21"/>
        </w:rPr>
      </w:pPr>
      <w:r>
        <w:rPr>
          <w:b/>
          <w:bCs/>
          <w:kern w:val="0"/>
          <w:szCs w:val="21"/>
        </w:rPr>
        <w:t>八、教学条件</w:t>
      </w:r>
    </w:p>
    <w:p>
      <w:pPr>
        <w:widowControl/>
        <w:snapToGrid w:val="0"/>
        <w:spacing w:line="360" w:lineRule="auto"/>
        <w:ind w:left="105" w:leftChars="50" w:firstLine="419"/>
        <w:jc w:val="left"/>
        <w:rPr>
          <w:szCs w:val="21"/>
        </w:rPr>
      </w:pPr>
      <w:r>
        <w:rPr>
          <w:szCs w:val="21"/>
        </w:rPr>
        <w:t>该课程开展依托园艺产品采后处理教学团队，授课教师具备相关知识背景，其中理论课开展需要多媒体教室，实验课程开展需要园艺产品采后处理实验室，并配备各种满足开设实验课程的各种仪器设备和实验管理员。</w:t>
      </w:r>
    </w:p>
    <w:p>
      <w:pPr>
        <w:widowControl/>
        <w:snapToGrid w:val="0"/>
        <w:spacing w:line="360" w:lineRule="auto"/>
        <w:jc w:val="left"/>
        <w:rPr>
          <w:b/>
          <w:bCs/>
          <w:kern w:val="0"/>
          <w:szCs w:val="21"/>
        </w:rPr>
      </w:pPr>
      <w:r>
        <w:rPr>
          <w:b/>
          <w:bCs/>
          <w:kern w:val="0"/>
          <w:szCs w:val="21"/>
        </w:rPr>
        <w:t>九、教学考核评价</w:t>
      </w:r>
    </w:p>
    <w:p>
      <w:pPr>
        <w:snapToGrid w:val="0"/>
        <w:spacing w:line="360" w:lineRule="auto"/>
        <w:ind w:firstLine="420"/>
        <w:rPr>
          <w:szCs w:val="21"/>
        </w:rPr>
      </w:pPr>
      <w:r>
        <w:rPr>
          <w:b/>
          <w:bCs/>
          <w:kern w:val="0"/>
          <w:szCs w:val="21"/>
        </w:rPr>
        <w:t>1、过程性评价：</w:t>
      </w:r>
    </w:p>
    <w:p>
      <w:pPr>
        <w:widowControl/>
        <w:spacing w:line="360" w:lineRule="auto"/>
        <w:ind w:firstLine="420" w:firstLineChars="200"/>
        <w:jc w:val="left"/>
        <w:rPr>
          <w:szCs w:val="21"/>
        </w:rPr>
      </w:pPr>
      <w:r>
        <w:rPr>
          <w:rFonts w:hint="eastAsia"/>
          <w:szCs w:val="21"/>
        </w:rPr>
        <w:t>本</w:t>
      </w:r>
      <w:r>
        <w:rPr>
          <w:szCs w:val="21"/>
        </w:rPr>
        <w:t>课程的过程性考核分为平时成绩、实验成绩</w:t>
      </w:r>
      <w:r>
        <w:rPr>
          <w:rFonts w:hint="eastAsia"/>
          <w:szCs w:val="21"/>
        </w:rPr>
        <w:t>和期中</w:t>
      </w:r>
      <w:r>
        <w:rPr>
          <w:szCs w:val="21"/>
        </w:rPr>
        <w:t>翻转课堂</w:t>
      </w:r>
      <w:r>
        <w:rPr>
          <w:rFonts w:hint="eastAsia"/>
          <w:szCs w:val="21"/>
        </w:rPr>
        <w:t>测试</w:t>
      </w:r>
      <w:r>
        <w:rPr>
          <w:szCs w:val="21"/>
        </w:rPr>
        <w:t>三个环节</w:t>
      </w:r>
      <w:r>
        <w:rPr>
          <w:rFonts w:hint="eastAsia"/>
          <w:szCs w:val="21"/>
        </w:rPr>
        <w:t>，总占比50%。其中</w:t>
      </w:r>
      <w:r>
        <w:rPr>
          <w:szCs w:val="21"/>
        </w:rPr>
        <w:t>平时成绩包括平时学习情况、课堂提问、</w:t>
      </w:r>
      <w:r>
        <w:rPr>
          <w:rFonts w:hint="eastAsia"/>
          <w:szCs w:val="21"/>
        </w:rPr>
        <w:t>线上学习、</w:t>
      </w:r>
      <w:r>
        <w:rPr>
          <w:szCs w:val="21"/>
        </w:rPr>
        <w:t>小组讨论表现、作业、考勤等，占比10%；实验成绩包括</w:t>
      </w:r>
      <w:r>
        <w:rPr>
          <w:rFonts w:hint="eastAsia"/>
          <w:szCs w:val="21"/>
        </w:rPr>
        <w:t>实验操作</w:t>
      </w:r>
      <w:r>
        <w:rPr>
          <w:szCs w:val="21"/>
        </w:rPr>
        <w:t>和实验报告，占比</w:t>
      </w:r>
      <w:r>
        <w:rPr>
          <w:rFonts w:hint="eastAsia"/>
          <w:szCs w:val="21"/>
        </w:rPr>
        <w:t>3</w:t>
      </w:r>
      <w:r>
        <w:rPr>
          <w:szCs w:val="21"/>
        </w:rPr>
        <w:t>0%；</w:t>
      </w:r>
      <w:r>
        <w:rPr>
          <w:rFonts w:hint="eastAsia"/>
          <w:szCs w:val="21"/>
        </w:rPr>
        <w:t>期中</w:t>
      </w:r>
      <w:r>
        <w:rPr>
          <w:szCs w:val="21"/>
        </w:rPr>
        <w:t>翻转课堂主要是分小组进行课程相关内容</w:t>
      </w:r>
      <w:r>
        <w:rPr>
          <w:rFonts w:hint="eastAsia"/>
          <w:szCs w:val="21"/>
        </w:rPr>
        <w:t>的PPT制作和</w:t>
      </w:r>
      <w:r>
        <w:rPr>
          <w:szCs w:val="21"/>
        </w:rPr>
        <w:t>讲解，占比</w:t>
      </w:r>
      <w:r>
        <w:rPr>
          <w:rFonts w:hint="eastAsia"/>
          <w:szCs w:val="21"/>
        </w:rPr>
        <w:t>1</w:t>
      </w:r>
      <w:r>
        <w:rPr>
          <w:szCs w:val="21"/>
        </w:rPr>
        <w:t>0%。</w:t>
      </w:r>
    </w:p>
    <w:p>
      <w:pPr>
        <w:widowControl/>
        <w:snapToGrid w:val="0"/>
        <w:spacing w:line="360" w:lineRule="auto"/>
        <w:ind w:firstLine="420"/>
        <w:jc w:val="left"/>
        <w:rPr>
          <w:b/>
          <w:bCs/>
          <w:kern w:val="0"/>
          <w:szCs w:val="21"/>
        </w:rPr>
      </w:pPr>
      <w:r>
        <w:rPr>
          <w:b/>
          <w:bCs/>
          <w:kern w:val="0"/>
          <w:szCs w:val="21"/>
        </w:rPr>
        <w:t>2、终结性评价：</w:t>
      </w:r>
      <w:r>
        <w:t>闭卷考试</w:t>
      </w:r>
      <w:r>
        <w:rPr>
          <w:kern w:val="0"/>
          <w:szCs w:val="21"/>
        </w:rPr>
        <w:t>，占比</w:t>
      </w:r>
      <w:r>
        <w:rPr>
          <w:rFonts w:hint="eastAsia"/>
          <w:kern w:val="0"/>
          <w:szCs w:val="21"/>
        </w:rPr>
        <w:t>5</w:t>
      </w:r>
      <w:r>
        <w:rPr>
          <w:kern w:val="0"/>
          <w:szCs w:val="21"/>
        </w:rPr>
        <w:t>0%。</w:t>
      </w:r>
    </w:p>
    <w:p>
      <w:pPr>
        <w:widowControl/>
        <w:snapToGrid w:val="0"/>
        <w:spacing w:line="360" w:lineRule="auto"/>
        <w:ind w:firstLine="420"/>
        <w:jc w:val="left"/>
        <w:rPr>
          <w:szCs w:val="21"/>
        </w:rPr>
      </w:pPr>
      <w:r>
        <w:rPr>
          <w:b/>
          <w:bCs/>
          <w:kern w:val="0"/>
          <w:szCs w:val="21"/>
        </w:rPr>
        <w:t>3、课程综合评价：</w:t>
      </w:r>
      <w:r>
        <w:rPr>
          <w:szCs w:val="21"/>
        </w:rPr>
        <w:t>本课程综合评价采用过程性考核与终结性考核相结合的方式，</w:t>
      </w:r>
      <w:r>
        <w:rPr>
          <w:kern w:val="0"/>
          <w:szCs w:val="21"/>
        </w:rPr>
        <w:t>过程性评价</w:t>
      </w:r>
      <w:r>
        <w:rPr>
          <w:rFonts w:hint="eastAsia"/>
          <w:kern w:val="0"/>
          <w:szCs w:val="21"/>
        </w:rPr>
        <w:t>50%</w:t>
      </w:r>
      <w:r>
        <w:rPr>
          <w:kern w:val="0"/>
          <w:szCs w:val="21"/>
        </w:rPr>
        <w:t>+</w:t>
      </w:r>
      <w:r>
        <w:rPr>
          <w:rFonts w:hint="eastAsia"/>
          <w:kern w:val="0"/>
          <w:szCs w:val="21"/>
        </w:rPr>
        <w:t>终结性</w:t>
      </w:r>
      <w:r>
        <w:rPr>
          <w:kern w:val="0"/>
          <w:szCs w:val="21"/>
        </w:rPr>
        <w:t>评价</w:t>
      </w:r>
      <w:r>
        <w:rPr>
          <w:rFonts w:hint="eastAsia"/>
          <w:kern w:val="0"/>
          <w:szCs w:val="21"/>
        </w:rPr>
        <w:t>50</w:t>
      </w:r>
      <w:r>
        <w:rPr>
          <w:kern w:val="0"/>
          <w:szCs w:val="21"/>
        </w:rPr>
        <w:t>%</w:t>
      </w:r>
      <w:r>
        <w:rPr>
          <w:rFonts w:hint="eastAsia"/>
          <w:kern w:val="0"/>
          <w:szCs w:val="21"/>
        </w:rPr>
        <w:t>。</w:t>
      </w:r>
    </w:p>
    <w:p>
      <w:pPr>
        <w:pStyle w:val="21"/>
        <w:rPr>
          <w:bCs w:val="0"/>
          <w:sz w:val="28"/>
          <w:szCs w:val="28"/>
        </w:rPr>
      </w:pPr>
      <w:bookmarkStart w:id="228" w:name="_Toc138070432"/>
      <w:bookmarkStart w:id="229" w:name="_Toc138068802"/>
      <w:bookmarkStart w:id="230" w:name="_Toc138076616"/>
      <w:bookmarkStart w:id="231" w:name="_Toc489359089"/>
      <w:bookmarkStart w:id="232" w:name="_Toc138076321"/>
      <w:bookmarkStart w:id="233" w:name="_Toc138076072"/>
      <w:bookmarkStart w:id="234" w:name="_Toc138070702"/>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rPr>
          <w:sz w:val="28"/>
          <w:szCs w:val="28"/>
        </w:rPr>
      </w:pPr>
    </w:p>
    <w:p>
      <w:pPr>
        <w:rPr>
          <w:sz w:val="28"/>
          <w:szCs w:val="28"/>
        </w:rPr>
      </w:pPr>
    </w:p>
    <w:p>
      <w:pPr>
        <w:pStyle w:val="21"/>
        <w:rPr>
          <w:sz w:val="24"/>
          <w:szCs w:val="28"/>
        </w:rPr>
      </w:pPr>
      <w:bookmarkStart w:id="235" w:name="_Toc28124"/>
      <w:r>
        <w:rPr>
          <w:rFonts w:hint="eastAsia"/>
          <w:bCs w:val="0"/>
          <w:sz w:val="28"/>
          <w:szCs w:val="28"/>
        </w:rPr>
        <w:t>园艺产品营销学</w:t>
      </w:r>
      <w:bookmarkEnd w:id="228"/>
      <w:bookmarkEnd w:id="229"/>
      <w:bookmarkEnd w:id="230"/>
      <w:bookmarkEnd w:id="231"/>
      <w:bookmarkEnd w:id="232"/>
      <w:bookmarkEnd w:id="233"/>
      <w:bookmarkEnd w:id="234"/>
      <w:bookmarkEnd w:id="235"/>
    </w:p>
    <w:p>
      <w:pPr>
        <w:snapToGrid w:val="0"/>
        <w:spacing w:line="360" w:lineRule="auto"/>
        <w:jc w:val="center"/>
        <w:rPr>
          <w:sz w:val="24"/>
        </w:rPr>
      </w:pPr>
      <w:r>
        <w:rPr>
          <w:sz w:val="24"/>
        </w:rPr>
        <w:t>（Marketing of Horticultural Products）</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2764"/>
        <w:gridCol w:w="2910"/>
        <w:gridCol w:w="3442"/>
      </w:tblGrid>
      <w:tr>
        <w:tc>
          <w:tcPr>
            <w:tcW w:w="1516" w:type="pct"/>
          </w:tcPr>
          <w:p>
            <w:pPr>
              <w:spacing w:line="300" w:lineRule="auto"/>
              <w:rPr>
                <w:rFonts w:ascii="宋体" w:hAnsi="宋体"/>
                <w:b/>
                <w:bCs/>
                <w:szCs w:val="21"/>
              </w:rPr>
            </w:pPr>
            <w:r>
              <w:rPr>
                <w:rFonts w:hint="eastAsia" w:ascii="宋体" w:hAnsi="宋体"/>
                <w:b/>
                <w:bCs/>
                <w:szCs w:val="21"/>
              </w:rPr>
              <w:t>课程编号：1</w:t>
            </w:r>
            <w:r>
              <w:rPr>
                <w:rFonts w:ascii="宋体" w:hAnsi="宋体"/>
                <w:b/>
                <w:bCs/>
                <w:szCs w:val="21"/>
              </w:rPr>
              <w:t>9011011</w:t>
            </w:r>
          </w:p>
        </w:tc>
        <w:tc>
          <w:tcPr>
            <w:tcW w:w="1596" w:type="pct"/>
          </w:tcPr>
          <w:p>
            <w:pPr>
              <w:spacing w:line="300" w:lineRule="auto"/>
              <w:rPr>
                <w:rFonts w:ascii="宋体" w:hAnsi="宋体"/>
                <w:b/>
                <w:bCs/>
                <w:szCs w:val="21"/>
              </w:rPr>
            </w:pPr>
            <w:r>
              <w:rPr>
                <w:rFonts w:hint="eastAsia" w:ascii="宋体" w:hAnsi="宋体"/>
                <w:b/>
                <w:bCs/>
                <w:szCs w:val="21"/>
              </w:rPr>
              <w:t>课程总学时：3</w:t>
            </w:r>
            <w:r>
              <w:rPr>
                <w:rFonts w:ascii="宋体" w:hAnsi="宋体"/>
                <w:b/>
                <w:bCs/>
                <w:szCs w:val="21"/>
              </w:rPr>
              <w:t>2</w:t>
            </w:r>
          </w:p>
        </w:tc>
        <w:tc>
          <w:tcPr>
            <w:tcW w:w="1887" w:type="pct"/>
          </w:tcPr>
          <w:p>
            <w:pPr>
              <w:spacing w:line="300" w:lineRule="auto"/>
              <w:rPr>
                <w:rFonts w:ascii="宋体" w:hAnsi="宋体"/>
                <w:b/>
                <w:bCs/>
                <w:szCs w:val="21"/>
              </w:rPr>
            </w:pPr>
            <w:r>
              <w:rPr>
                <w:rFonts w:hint="eastAsia" w:ascii="宋体" w:hAnsi="宋体"/>
                <w:b/>
                <w:bCs/>
                <w:szCs w:val="21"/>
              </w:rPr>
              <w:t xml:space="preserve">实验学时：  </w:t>
            </w:r>
            <w:r>
              <w:rPr>
                <w:rFonts w:ascii="宋体" w:hAnsi="宋体"/>
                <w:b/>
                <w:bCs/>
                <w:szCs w:val="21"/>
              </w:rPr>
              <w:t>0</w:t>
            </w:r>
            <w:r>
              <w:rPr>
                <w:rFonts w:hint="eastAsia" w:ascii="宋体" w:hAnsi="宋体"/>
                <w:b/>
                <w:bCs/>
                <w:szCs w:val="21"/>
              </w:rPr>
              <w:t xml:space="preserve"> 学时</w:t>
            </w:r>
          </w:p>
        </w:tc>
      </w:tr>
      <w:tr>
        <w:tblPrEx>
          <w:tblCellMar>
            <w:top w:w="0" w:type="dxa"/>
            <w:left w:w="108" w:type="dxa"/>
            <w:bottom w:w="0" w:type="dxa"/>
            <w:right w:w="108" w:type="dxa"/>
          </w:tblCellMar>
        </w:tblPrEx>
        <w:tc>
          <w:tcPr>
            <w:tcW w:w="1516" w:type="pct"/>
          </w:tcPr>
          <w:p>
            <w:pPr>
              <w:spacing w:line="300" w:lineRule="auto"/>
              <w:rPr>
                <w:rFonts w:ascii="宋体" w:hAnsi="宋体"/>
                <w:b/>
                <w:bCs/>
                <w:szCs w:val="21"/>
              </w:rPr>
            </w:pPr>
            <w:r>
              <w:rPr>
                <w:rFonts w:hint="eastAsia" w:ascii="宋体" w:hAnsi="宋体"/>
                <w:b/>
                <w:bCs/>
                <w:szCs w:val="21"/>
              </w:rPr>
              <w:t>课程性质：必修</w:t>
            </w:r>
          </w:p>
        </w:tc>
        <w:tc>
          <w:tcPr>
            <w:tcW w:w="1596" w:type="pct"/>
          </w:tcPr>
          <w:p>
            <w:pPr>
              <w:spacing w:line="300" w:lineRule="auto"/>
              <w:rPr>
                <w:rFonts w:ascii="宋体" w:hAnsi="宋体"/>
                <w:b/>
                <w:bCs/>
                <w:szCs w:val="21"/>
              </w:rPr>
            </w:pPr>
            <w:r>
              <w:rPr>
                <w:rFonts w:hint="eastAsia" w:ascii="宋体" w:hAnsi="宋体"/>
                <w:b/>
                <w:szCs w:val="21"/>
              </w:rPr>
              <w:t>课程属性:专业类</w:t>
            </w:r>
          </w:p>
        </w:tc>
        <w:tc>
          <w:tcPr>
            <w:tcW w:w="1887" w:type="pct"/>
          </w:tcPr>
          <w:p>
            <w:pPr>
              <w:spacing w:line="300" w:lineRule="auto"/>
              <w:rPr>
                <w:rFonts w:ascii="宋体" w:hAnsi="宋体"/>
                <w:b/>
                <w:bCs/>
                <w:szCs w:val="21"/>
              </w:rPr>
            </w:pPr>
            <w:r>
              <w:rPr>
                <w:rFonts w:hint="eastAsia" w:ascii="宋体" w:hAnsi="宋体"/>
                <w:b/>
                <w:bCs/>
                <w:szCs w:val="21"/>
              </w:rPr>
              <w:t xml:space="preserve">开设学期：第 </w:t>
            </w:r>
            <w:r>
              <w:rPr>
                <w:rFonts w:ascii="宋体" w:hAnsi="宋体"/>
                <w:b/>
                <w:bCs/>
                <w:szCs w:val="21"/>
              </w:rPr>
              <w:t>8</w:t>
            </w:r>
            <w:r>
              <w:rPr>
                <w:rFonts w:hint="eastAsia" w:ascii="宋体" w:hAnsi="宋体"/>
                <w:b/>
                <w:bCs/>
                <w:szCs w:val="21"/>
              </w:rPr>
              <w:t xml:space="preserve"> 学期</w:t>
            </w:r>
          </w:p>
        </w:tc>
      </w:tr>
      <w:tr>
        <w:tblPrEx>
          <w:tblCellMar>
            <w:top w:w="0" w:type="dxa"/>
            <w:left w:w="108" w:type="dxa"/>
            <w:bottom w:w="0" w:type="dxa"/>
            <w:right w:w="108" w:type="dxa"/>
          </w:tblCellMar>
        </w:tblPrEx>
        <w:tc>
          <w:tcPr>
            <w:tcW w:w="1516" w:type="pct"/>
          </w:tcPr>
          <w:p>
            <w:pPr>
              <w:spacing w:line="300" w:lineRule="auto"/>
              <w:rPr>
                <w:rFonts w:ascii="宋体" w:hAnsi="宋体"/>
                <w:b/>
                <w:bCs/>
                <w:szCs w:val="21"/>
              </w:rPr>
            </w:pPr>
            <w:r>
              <w:rPr>
                <w:rFonts w:hint="eastAsia" w:ascii="宋体" w:hAnsi="宋体"/>
                <w:b/>
                <w:bCs/>
                <w:szCs w:val="21"/>
              </w:rPr>
              <w:t>课程负责人：杨森</w:t>
            </w:r>
          </w:p>
        </w:tc>
        <w:tc>
          <w:tcPr>
            <w:tcW w:w="1596" w:type="pct"/>
          </w:tcPr>
          <w:p>
            <w:pPr>
              <w:spacing w:line="300" w:lineRule="auto"/>
              <w:ind w:left="1054" w:hanging="1054" w:hangingChars="500"/>
              <w:rPr>
                <w:rFonts w:ascii="宋体" w:hAnsi="宋体"/>
                <w:b/>
                <w:bCs/>
                <w:szCs w:val="21"/>
              </w:rPr>
            </w:pPr>
            <w:r>
              <w:rPr>
                <w:rFonts w:hint="eastAsia" w:ascii="宋体" w:hAnsi="宋体"/>
                <w:b/>
                <w:bCs/>
                <w:szCs w:val="21"/>
              </w:rPr>
              <w:t>课程团队：</w:t>
            </w:r>
            <w:r>
              <w:rPr>
                <w:rFonts w:hint="eastAsia" w:ascii="宋体" w:hAnsi="宋体"/>
                <w:b/>
                <w:szCs w:val="21"/>
              </w:rPr>
              <w:t>王苗苗、张郎郎、张世文</w:t>
            </w:r>
          </w:p>
        </w:tc>
        <w:tc>
          <w:tcPr>
            <w:tcW w:w="1887" w:type="pct"/>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Cs/>
                <w:color w:val="0000FF"/>
                <w:szCs w:val="21"/>
              </w:rPr>
            </w:pPr>
            <w:r>
              <w:rPr>
                <w:rFonts w:hint="eastAsia" w:ascii="宋体" w:hAnsi="宋体"/>
                <w:b/>
                <w:bCs/>
                <w:szCs w:val="21"/>
              </w:rPr>
              <w:t>适用专业：园艺</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通过对园艺植物育种学课程的学习掌握优良品种的选育技术；通过对蔬菜/果树栽培学课程的学习掌握优良品种的栽培管理技术；通过实习参与了园艺植物一线栽培管理的生产实践；最终通过园艺产品营销学课程的学习掌握园艺产品的营销策略。</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对后续的支撑：园艺产品营销学属于第八学期课程，是园艺专业学生最后的课程之一。拟通过本课程的学习为学生的毕业设计及未来就业提供扎实的专业基础。</w:t>
            </w:r>
          </w:p>
        </w:tc>
      </w:tr>
      <w:tr>
        <w:tblPrEx>
          <w:tblCellMar>
            <w:top w:w="0" w:type="dxa"/>
            <w:left w:w="108" w:type="dxa"/>
            <w:bottom w:w="0" w:type="dxa"/>
            <w:right w:w="108" w:type="dxa"/>
          </w:tblCellMar>
        </w:tblPrEx>
        <w:tc>
          <w:tcPr>
            <w:tcW w:w="1516" w:type="pct"/>
          </w:tcPr>
          <w:p>
            <w:pPr>
              <w:spacing w:line="300" w:lineRule="auto"/>
              <w:ind w:left="843" w:hanging="843" w:hangingChars="400"/>
              <w:rPr>
                <w:rFonts w:ascii="宋体" w:hAnsi="宋体"/>
                <w:b/>
                <w:bCs/>
                <w:szCs w:val="21"/>
              </w:rPr>
            </w:pPr>
            <w:r>
              <w:rPr>
                <w:rFonts w:hint="eastAsia" w:ascii="宋体" w:hAnsi="宋体"/>
                <w:b/>
                <w:bCs/>
                <w:szCs w:val="21"/>
              </w:rPr>
              <w:t>主撰人：王苗苗、张郎郎、张世文</w:t>
            </w:r>
          </w:p>
        </w:tc>
        <w:tc>
          <w:tcPr>
            <w:tcW w:w="1596" w:type="pct"/>
          </w:tcPr>
          <w:p>
            <w:pPr>
              <w:spacing w:line="300" w:lineRule="auto"/>
              <w:rPr>
                <w:rFonts w:ascii="宋体" w:hAnsi="宋体"/>
                <w:b/>
                <w:bCs/>
                <w:szCs w:val="21"/>
              </w:rPr>
            </w:pPr>
            <w:r>
              <w:rPr>
                <w:rFonts w:hint="eastAsia" w:ascii="宋体" w:hAnsi="宋体"/>
                <w:b/>
                <w:bCs/>
                <w:szCs w:val="21"/>
              </w:rPr>
              <w:t>审核人：杨森</w:t>
            </w:r>
          </w:p>
        </w:tc>
        <w:tc>
          <w:tcPr>
            <w:tcW w:w="1887"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18"/>
      </w:pPr>
      <w:r>
        <w:rPr>
          <w:rFonts w:hint="eastAsia"/>
        </w:rPr>
        <w:t>《园艺产品营销学》是一门建立在市场营销学和园艺学的综合性的应用科学，是在园艺产品特性的基础上，结合营销学和市场经济学，研究市场经济条件下以满足消费者对园艺产品需求为中心的营销活动过程。课程</w:t>
      </w:r>
      <w:r>
        <w:t>以</w:t>
      </w:r>
      <w:r>
        <w:rPr>
          <w:rFonts w:hint="eastAsia"/>
        </w:rPr>
        <w:t>市场营销的基本理论为指导，以园艺产品为营销对象，以“园艺产品特性”、“市场+”、“互联网+”等为主线，探索解决园艺产品的难储运、效益低、销售不稳定问题的方法与方案。</w:t>
      </w:r>
      <w:r>
        <w:rPr>
          <w:rFonts w:hint="eastAsia" w:hAnsi="宋体"/>
          <w:kern w:val="0"/>
          <w:szCs w:val="21"/>
        </w:rPr>
        <w:t>园艺产品营销学是研究园艺产品营销整体活动及其发展规律的学科，融市场营销学和农业经济学的原理、思想和方法为一体新型交叉性边缘学科。在农业进入新的发展阶段、园艺产品市场竞争日益激烈的背景下产生和发展的。在园艺专业课基础上和掌握市场营销基本原理的基础上，进一步了解我国主要园艺产品的供求状况、区域布局和营销特点，能够进行园艺产品的营销策划和管理。通过本课程的学习，学生应该树立正确的市场营销观念，掌握市场分析的原理与方法。能够正确地运用市场营销策略来开展市场营销活动。讲授内容多以案例形式完成。</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kern w:val="0"/>
          <w:szCs w:val="21"/>
        </w:rPr>
      </w:pPr>
      <w:r>
        <w:rPr>
          <w:rFonts w:hint="eastAsia"/>
          <w:kern w:val="0"/>
          <w:szCs w:val="21"/>
        </w:rPr>
        <w:t>1.</w:t>
      </w:r>
      <w:r>
        <w:rPr>
          <w:rFonts w:hAnsi="宋体"/>
          <w:kern w:val="0"/>
          <w:szCs w:val="21"/>
        </w:rPr>
        <w:t>理论知识方面：</w:t>
      </w:r>
      <w:r>
        <w:rPr>
          <w:rFonts w:hint="eastAsia"/>
          <w:kern w:val="0"/>
          <w:szCs w:val="21"/>
        </w:rPr>
        <w:t>运用市场经济条件下的市场营销规律来开展园艺产品的营销活动。在课程讲授时始终以市场营销的基本手段贯穿整个课程，要求学生了解、掌握市场营销的规律、特点、基本的营销手段、技巧和园艺产品供求的特点和规律，掌握园艺产品在市场上的定价规律、园艺产品流通渠道的特点及园艺产品的市场信息的收集和使用。</w:t>
      </w:r>
      <w:r>
        <w:rPr>
          <w:rFonts w:hint="eastAsia" w:hAnsi="宋体"/>
          <w:bCs/>
          <w:color w:val="0000FF"/>
          <w:kern w:val="0"/>
          <w:szCs w:val="21"/>
        </w:rPr>
        <w:t xml:space="preserve"> </w:t>
      </w:r>
    </w:p>
    <w:p>
      <w:pPr>
        <w:widowControl/>
        <w:snapToGrid w:val="0"/>
        <w:spacing w:line="360" w:lineRule="auto"/>
        <w:ind w:firstLine="420" w:firstLineChars="200"/>
        <w:jc w:val="left"/>
        <w:rPr>
          <w:rFonts w:hAnsi="宋体"/>
          <w:bCs/>
          <w:color w:val="0000FF"/>
          <w:kern w:val="0"/>
          <w:szCs w:val="21"/>
        </w:rPr>
      </w:pPr>
      <w:r>
        <w:rPr>
          <w:rFonts w:hint="eastAsia"/>
          <w:kern w:val="0"/>
          <w:szCs w:val="21"/>
        </w:rPr>
        <w:t>2.</w:t>
      </w:r>
      <w:r>
        <w:rPr>
          <w:rFonts w:hAnsi="宋体"/>
          <w:kern w:val="0"/>
          <w:szCs w:val="21"/>
        </w:rPr>
        <w:t>实验技能方面：</w:t>
      </w:r>
      <w:r>
        <w:rPr>
          <w:rFonts w:hint="eastAsia" w:hAnsi="宋体"/>
          <w:bCs/>
          <w:kern w:val="0"/>
          <w:szCs w:val="21"/>
        </w:rPr>
        <w:t>无实验课程。</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widowControl/>
        <w:snapToGrid w:val="0"/>
        <w:spacing w:line="360" w:lineRule="auto"/>
        <w:ind w:firstLine="420"/>
        <w:jc w:val="left"/>
      </w:pPr>
      <w:r>
        <w:rPr>
          <w:rFonts w:hint="eastAsia"/>
        </w:rPr>
        <w:t>课程以“培养高素质本科销售创业的综合型人才”为目标，以“打造一支较高素质的园艺营销队伍和一支综合能力较强的园艺产业化人才队伍”为出发点；对园艺产品营销的特点、营销精髓、市场营销环境、消费心理、市场细分、市场定位的开发与营销、市场营销策略的制定、分析、实施及解决方案等作了系统的介绍，突出对学生就业职业能力、创业创富能力的训练，结合园艺专业人才培养目标对素质结构、能力结构和知识结构的综合素质要求，把市场营销的共性与园艺产品的特性相结合、把产品标准与进出口贸易相结合、把案例分析与解决问题相结合、把能力训练和课堂讨论相结合，侧重于实践性、实用性和可操作性，为从事园艺产品营销和园艺产业化经营管理打下良好基础，提升学生的就业、创业、创富的能力。</w:t>
      </w:r>
    </w:p>
    <w:p>
      <w:pPr>
        <w:widowControl/>
        <w:snapToGrid w:val="0"/>
        <w:spacing w:line="360" w:lineRule="auto"/>
        <w:ind w:firstLine="420"/>
        <w:jc w:val="left"/>
        <w:rPr>
          <w:rFonts w:ascii="宋体" w:hAnsi="宋体" w:cs="宋体"/>
          <w:bCs/>
          <w:color w:val="FF0000"/>
          <w:kern w:val="0"/>
          <w:szCs w:val="21"/>
        </w:rPr>
      </w:pPr>
      <w:r>
        <w:rPr>
          <w:rFonts w:hint="eastAsia"/>
        </w:rPr>
        <w:t>教学策略方面，为解决课程内容多与学时少的矛盾，课程组采用线上线下混合式教学的模式。 通过各类网课A</w:t>
      </w:r>
      <w:r>
        <w:t>PP</w:t>
      </w:r>
      <w:r>
        <w:rPr>
          <w:rFonts w:hint="eastAsia"/>
        </w:rPr>
        <w:t>或微信群建立网课班级群，线上提前公布课程内容，有利于学生预习课程内容及寻找课程难点。线下教学以教师课堂讲授、小组讨论为主，主要解决同学难于理解的知识点</w:t>
      </w:r>
      <w:r>
        <w:rPr>
          <w:rFonts w:hint="eastAsia" w:ascii="宋体" w:hAnsi="宋体" w:cs="宋体"/>
          <w:bCs/>
          <w:kern w:val="0"/>
          <w:szCs w:val="21"/>
        </w:rPr>
        <w:t>。</w:t>
      </w:r>
      <w:r>
        <w:rPr>
          <w:rFonts w:hint="eastAsia"/>
        </w:rPr>
        <w:t>建立全面合理的课程考核评价体系，强化过程性评价，设置多元化的评价指标，合理分配课程成绩的构成比例。</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846"/>
        <w:gridCol w:w="6848"/>
        <w:gridCol w:w="1203"/>
      </w:tblGrid>
      <w:tr>
        <w:trPr>
          <w:trHeight w:val="403"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序号</w:t>
            </w:r>
          </w:p>
        </w:tc>
        <w:tc>
          <w:tcPr>
            <w:tcW w:w="684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20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rPr>
            </w:pPr>
            <w:r>
              <w:rPr>
                <w:rFonts w:hint="eastAsia" w:hAnsiTheme="minorEastAsia" w:eastAsiaTheme="minorEastAsia"/>
                <w:sz w:val="18"/>
                <w:szCs w:val="18"/>
              </w:rPr>
              <w:t>目标1：使学生具备市场营销环境、消费者心理与购买行为、市场定位和市场细分等市场分析的能力；</w:t>
            </w:r>
          </w:p>
        </w:tc>
        <w:tc>
          <w:tcPr>
            <w:tcW w:w="120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int="eastAsia" w:eastAsiaTheme="minorEastAsia"/>
                <w:sz w:val="18"/>
                <w:szCs w:val="18"/>
              </w:rPr>
              <w:t>5</w:t>
            </w:r>
          </w:p>
        </w:tc>
      </w:tr>
      <w:tr>
        <w:trPr>
          <w:trHeight w:val="96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FF"/>
                <w:sz w:val="18"/>
                <w:szCs w:val="18"/>
                <w:highlight w:val="yellow"/>
              </w:rPr>
            </w:pPr>
            <w:r>
              <w:rPr>
                <w:rFonts w:hint="eastAsia" w:hAnsiTheme="minorEastAsia" w:eastAsiaTheme="minorEastAsia"/>
                <w:sz w:val="18"/>
                <w:szCs w:val="18"/>
              </w:rPr>
              <w:t>目标2：</w:t>
            </w:r>
            <w:r>
              <w:rPr>
                <w:rFonts w:hint="eastAsia" w:eastAsiaTheme="minorEastAsia"/>
                <w:sz w:val="18"/>
                <w:szCs w:val="18"/>
              </w:rPr>
              <w:t>使学生具备利用市场营销策略进行园艺产品的营销策划和管理的能力；</w:t>
            </w:r>
          </w:p>
        </w:tc>
        <w:tc>
          <w:tcPr>
            <w:tcW w:w="120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int="eastAsia" w:eastAsiaTheme="minorEastAsia"/>
                <w:sz w:val="18"/>
                <w:szCs w:val="18"/>
              </w:rPr>
              <w:t>6</w:t>
            </w:r>
          </w:p>
          <w:p>
            <w:pPr>
              <w:spacing w:line="320" w:lineRule="exact"/>
              <w:ind w:firstLine="360"/>
              <w:rPr>
                <w:rFonts w:eastAsiaTheme="minorEastAsia"/>
                <w:sz w:val="18"/>
                <w:szCs w:val="18"/>
              </w:rPr>
            </w:pPr>
            <w:r>
              <w:rPr>
                <w:rFonts w:hint="eastAsia" w:eastAsiaTheme="minorEastAsia"/>
                <w:sz w:val="18"/>
                <w:szCs w:val="18"/>
              </w:rPr>
              <w:t>7</w:t>
            </w:r>
          </w:p>
          <w:p>
            <w:pPr>
              <w:spacing w:line="320" w:lineRule="exact"/>
              <w:ind w:firstLine="360"/>
              <w:rPr>
                <w:rFonts w:eastAsiaTheme="minorEastAsia"/>
                <w:sz w:val="18"/>
                <w:szCs w:val="18"/>
              </w:rPr>
            </w:pPr>
            <w:r>
              <w:rPr>
                <w:rFonts w:hint="eastAsia" w:eastAsiaTheme="minorEastAsia"/>
                <w:sz w:val="18"/>
                <w:szCs w:val="18"/>
              </w:rPr>
              <w:t>8</w:t>
            </w:r>
          </w:p>
        </w:tc>
      </w:tr>
      <w:tr>
        <w:tblPrEx>
          <w:tblCellMar>
            <w:top w:w="0" w:type="dxa"/>
            <w:left w:w="108" w:type="dxa"/>
            <w:bottom w:w="0" w:type="dxa"/>
            <w:right w:w="108" w:type="dxa"/>
          </w:tblCellMar>
        </w:tblPrEx>
        <w:trPr>
          <w:trHeight w:val="96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color w:val="0000FF"/>
                <w:sz w:val="18"/>
                <w:szCs w:val="18"/>
              </w:rPr>
            </w:pPr>
            <w:r>
              <w:rPr>
                <w:rFonts w:hint="eastAsia" w:eastAsiaTheme="minorEastAsia"/>
                <w:sz w:val="18"/>
                <w:szCs w:val="18"/>
              </w:rPr>
              <w:t>目标3：使学生具备运用市场营销策略来开展市场营销活动的能力。</w:t>
            </w:r>
          </w:p>
        </w:tc>
        <w:tc>
          <w:tcPr>
            <w:tcW w:w="1203"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int="eastAsia" w:eastAsiaTheme="minorEastAsia"/>
                <w:sz w:val="18"/>
                <w:szCs w:val="18"/>
              </w:rPr>
              <w:t>7</w:t>
            </w:r>
          </w:p>
          <w:p>
            <w:pPr>
              <w:spacing w:line="320" w:lineRule="exact"/>
              <w:ind w:firstLine="360"/>
              <w:rPr>
                <w:rFonts w:eastAsiaTheme="minorEastAsia"/>
                <w:sz w:val="18"/>
                <w:szCs w:val="18"/>
              </w:rPr>
            </w:pPr>
            <w:r>
              <w:rPr>
                <w:rFonts w:hint="eastAsia" w:eastAsiaTheme="minorEastAsia"/>
                <w:sz w:val="18"/>
                <w:szCs w:val="18"/>
              </w:rPr>
              <w:t>8</w:t>
            </w:r>
          </w:p>
        </w:tc>
      </w:tr>
    </w:tbl>
    <w:p>
      <w:pPr>
        <w:spacing w:line="360" w:lineRule="auto"/>
        <w:ind w:firstLine="420" w:firstLineChars="200"/>
        <w:rPr>
          <w:rFonts w:hAnsi="宋体"/>
          <w:bCs/>
          <w:color w:val="0000FF"/>
          <w:kern w:val="0"/>
          <w:szCs w:val="21"/>
        </w:rPr>
      </w:pPr>
    </w:p>
    <w:p>
      <w:pPr>
        <w:widowControl/>
        <w:snapToGrid w:val="0"/>
        <w:spacing w:line="360" w:lineRule="auto"/>
        <w:jc w:val="left"/>
        <w:rPr>
          <w:rFonts w:hAnsi="宋体"/>
          <w:bCs/>
          <w:color w:val="0000FF"/>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hAnsi="宋体"/>
          <w:b/>
          <w:bCs/>
          <w:kern w:val="0"/>
          <w:szCs w:val="21"/>
        </w:rPr>
        <w:t>32</w:t>
      </w:r>
      <w:r>
        <w:rPr>
          <w:rFonts w:hint="eastAsia" w:hAnsi="宋体"/>
          <w:b/>
          <w:bCs/>
          <w:kern w:val="0"/>
          <w:szCs w:val="21"/>
        </w:rPr>
        <w:t>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绪论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1</w:t>
            </w:r>
          </w:p>
        </w:tc>
      </w:tr>
    </w:tbl>
    <w:p>
      <w:pPr>
        <w:widowControl/>
        <w:snapToGrid w:val="0"/>
        <w:spacing w:line="360" w:lineRule="auto"/>
        <w:ind w:firstLine="420" w:firstLineChars="200"/>
        <w:jc w:val="left"/>
        <w:rPr>
          <w:rFonts w:ascii="宋体" w:hAnsi="宋体"/>
          <w:szCs w:val="21"/>
        </w:rPr>
      </w:pPr>
      <w:r>
        <w:rPr>
          <w:rFonts w:hint="eastAsia" w:ascii="宋体" w:hAnsi="宋体"/>
          <w:szCs w:val="21"/>
        </w:rPr>
        <w:t>总体上讲述园艺产品营销学课程的</w:t>
      </w:r>
      <w:r>
        <w:rPr>
          <w:rFonts w:hint="eastAsia"/>
          <w:szCs w:val="21"/>
        </w:rPr>
        <w:t>学习目的、</w:t>
      </w:r>
      <w:r>
        <w:rPr>
          <w:rFonts w:hint="eastAsia" w:ascii="宋体" w:hAnsi="宋体"/>
          <w:szCs w:val="21"/>
        </w:rPr>
        <w:t>课程的性质任务、学习方法和课程内容四部分内容。突出大学生就业的形势和掌握基本营销手段的必要性和园艺产品的商品特点；并用多个案例简述营销的技巧，以引起学生们的学习热情。</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第一章</w:t>
            </w:r>
            <w:r>
              <w:rPr>
                <w:rFonts w:hint="eastAsia"/>
                <w:b/>
                <w:bCs/>
                <w:szCs w:val="21"/>
              </w:rPr>
              <w:t xml:space="preserve">  园艺产品概述</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1</w:t>
            </w:r>
          </w:p>
        </w:tc>
      </w:tr>
    </w:tbl>
    <w:p>
      <w:pPr>
        <w:snapToGrid w:val="0"/>
        <w:spacing w:line="360" w:lineRule="auto"/>
        <w:rPr>
          <w:rFonts w:ascii="宋体" w:hAnsi="宋体"/>
          <w:b/>
          <w:bCs/>
        </w:rPr>
      </w:pPr>
      <w:r>
        <w:rPr>
          <w:rFonts w:ascii="宋体" w:hAnsi="宋体"/>
          <w:b/>
          <w:bCs/>
        </w:rPr>
        <w:t>第一节</w:t>
      </w:r>
      <w:r>
        <w:rPr>
          <w:rFonts w:hint="eastAsia" w:ascii="宋体" w:hAnsi="宋体"/>
          <w:b/>
          <w:bCs/>
        </w:rPr>
        <w:t xml:space="preserve">  园艺产品属性（</w:t>
      </w:r>
      <w:r>
        <w:rPr>
          <w:rFonts w:ascii="宋体" w:hAnsi="宋体"/>
          <w:b/>
          <w:bCs/>
        </w:rPr>
        <w:t>0.5学时</w:t>
      </w:r>
      <w:r>
        <w:rPr>
          <w:rFonts w:hint="eastAsia" w:ascii="宋体" w:hAnsi="宋体"/>
          <w:b/>
          <w:bCs/>
        </w:rPr>
        <w:t>）</w:t>
      </w:r>
      <w:r>
        <w:rPr>
          <w:rFonts w:ascii="宋体" w:hAnsi="宋体"/>
          <w:b/>
          <w:bCs/>
        </w:rPr>
        <w:t>    </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使学生了解园艺产品的自然属性和社会属性。</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园艺产品的社会属性是本章的学习重点和难点。</w:t>
      </w:r>
      <w:r>
        <w:rPr>
          <w:rFonts w:hint="eastAsia" w:ascii="宋体" w:hAnsi="宋体" w:cs="宋体"/>
          <w:kern w:val="0"/>
          <w:szCs w:val="21"/>
        </w:rPr>
        <w:t></w:t>
      </w:r>
    </w:p>
    <w:p>
      <w:pPr>
        <w:pStyle w:val="7"/>
        <w:snapToGrid w:val="0"/>
        <w:spacing w:line="360" w:lineRule="auto"/>
        <w:ind w:right="109" w:rightChars="52" w:firstLine="0" w:firstLineChars="0"/>
        <w:rPr>
          <w:rFonts w:ascii="宋体" w:hAnsi="宋体"/>
        </w:rPr>
      </w:pPr>
      <w:r>
        <w:rPr>
          <w:rFonts w:hint="eastAsia" w:ascii="宋体" w:hAnsi="宋体"/>
          <w:b/>
        </w:rPr>
        <w:t>主要教学内容及要求：</w:t>
      </w:r>
      <w:r>
        <w:rPr>
          <w:rFonts w:hint="eastAsia" w:ascii="宋体" w:hAnsi="宋体"/>
        </w:rPr>
        <w:t>了解园艺产品的分类；掌握园艺产品的属性。</w:t>
      </w:r>
    </w:p>
    <w:p>
      <w:pPr>
        <w:widowControl/>
        <w:snapToGrid w:val="0"/>
        <w:spacing w:line="360" w:lineRule="auto"/>
        <w:rPr>
          <w:rFonts w:hAnsi="宋体"/>
          <w:b/>
          <w:kern w:val="0"/>
          <w:szCs w:val="21"/>
        </w:rPr>
      </w:pPr>
      <w:r>
        <w:rPr>
          <w:rFonts w:hint="eastAsia" w:ascii="宋体" w:hAnsi="宋体"/>
          <w:b/>
          <w:bCs/>
        </w:rPr>
        <w:t>教学组织与实施：</w:t>
      </w:r>
      <w:r>
        <w:rPr>
          <w:rFonts w:hint="eastAsia" w:ascii="宋体" w:hAnsi="宋体"/>
          <w:bCs/>
        </w:rPr>
        <w:t>主要以理论讲授为主，结合大量的案例分析，部分重点内容结合相关小视频加深学生对理论的理解。</w:t>
      </w:r>
      <w:r>
        <w:rPr>
          <w:rFonts w:hint="eastAsia" w:ascii="宋体" w:hAnsi="宋体"/>
          <w:szCs w:val="20"/>
        </w:rPr>
        <w:t>同时通过课堂讨论，即时解决学生听课过程中的难点。</w:t>
      </w:r>
      <w:r>
        <w:rPr>
          <w:rFonts w:ascii="宋体" w:hAnsi="宋体"/>
          <w:b/>
          <w:bCs/>
        </w:rPr>
        <w:t xml:space="preserve">  </w:t>
      </w:r>
    </w:p>
    <w:p>
      <w:pPr>
        <w:snapToGrid w:val="0"/>
        <w:spacing w:line="360" w:lineRule="auto"/>
        <w:rPr>
          <w:rFonts w:ascii="宋体" w:hAnsi="宋体"/>
          <w:b/>
          <w:bCs/>
        </w:rPr>
      </w:pPr>
      <w:r>
        <w:rPr>
          <w:rFonts w:ascii="宋体" w:hAnsi="宋体"/>
          <w:b/>
          <w:bCs/>
        </w:rPr>
        <w:t>第</w:t>
      </w:r>
      <w:r>
        <w:rPr>
          <w:rFonts w:hint="eastAsia" w:ascii="宋体" w:hAnsi="宋体"/>
          <w:b/>
          <w:bCs/>
        </w:rPr>
        <w:t>二</w:t>
      </w:r>
      <w:r>
        <w:rPr>
          <w:rFonts w:ascii="宋体" w:hAnsi="宋体"/>
          <w:b/>
          <w:bCs/>
        </w:rPr>
        <w:t>节</w:t>
      </w:r>
      <w:r>
        <w:rPr>
          <w:rFonts w:hint="eastAsia" w:ascii="宋体" w:hAnsi="宋体"/>
          <w:b/>
          <w:bCs/>
        </w:rPr>
        <w:t xml:space="preserve">  </w:t>
      </w:r>
      <w:bookmarkStart w:id="236" w:name="_Hlk137672470"/>
      <w:r>
        <w:rPr>
          <w:rFonts w:hint="eastAsia" w:ascii="宋体" w:hAnsi="宋体"/>
          <w:b/>
          <w:bCs/>
        </w:rPr>
        <w:t>园艺产品的分类及营销特点</w:t>
      </w:r>
      <w:bookmarkEnd w:id="236"/>
      <w:r>
        <w:rPr>
          <w:rFonts w:hint="eastAsia" w:ascii="宋体" w:hAnsi="宋体"/>
          <w:b/>
          <w:bCs/>
        </w:rPr>
        <w:t>（</w:t>
      </w:r>
      <w:r>
        <w:rPr>
          <w:rFonts w:ascii="宋体" w:hAnsi="宋体"/>
          <w:b/>
          <w:bCs/>
        </w:rPr>
        <w:t>0.5学时</w:t>
      </w:r>
      <w:r>
        <w:rPr>
          <w:rFonts w:hint="eastAsia" w:ascii="宋体" w:hAnsi="宋体"/>
          <w:b/>
          <w:bCs/>
        </w:rPr>
        <w:t>）</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使学生掌握园艺产品的生产特点及营销特点。</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园艺产品的生产特点及营销特点。</w:t>
      </w:r>
      <w:r>
        <w:rPr>
          <w:rFonts w:hint="eastAsia" w:ascii="宋体" w:hAnsi="宋体" w:cs="宋体"/>
          <w:kern w:val="0"/>
          <w:szCs w:val="21"/>
        </w:rPr>
        <w:t></w:t>
      </w:r>
    </w:p>
    <w:p>
      <w:pPr>
        <w:pStyle w:val="7"/>
        <w:snapToGrid w:val="0"/>
        <w:spacing w:line="360" w:lineRule="auto"/>
        <w:ind w:firstLine="0" w:firstLineChars="0"/>
        <w:jc w:val="left"/>
        <w:rPr>
          <w:rFonts w:ascii="宋体" w:hAnsi="宋体"/>
          <w:b/>
        </w:rPr>
      </w:pPr>
      <w:r>
        <w:rPr>
          <w:rFonts w:hint="eastAsia" w:ascii="宋体" w:hAnsi="宋体"/>
          <w:b/>
        </w:rPr>
        <w:t>主要教学内容及要求：</w:t>
      </w:r>
      <w:r>
        <w:rPr>
          <w:rFonts w:hint="eastAsia" w:ascii="宋体" w:hAnsi="宋体"/>
        </w:rPr>
        <w:t>了解园艺产品的分类；掌握园艺产品的</w:t>
      </w:r>
      <w:r>
        <w:rPr>
          <w:rFonts w:hint="eastAsia" w:ascii="宋体" w:hAnsi="宋体"/>
          <w:bCs/>
        </w:rPr>
        <w:t>生产特点及营销特点</w:t>
      </w:r>
      <w:r>
        <w:rPr>
          <w:rFonts w:hint="eastAsia" w:ascii="宋体" w:hAnsi="宋体"/>
        </w:rPr>
        <w:t>。</w:t>
      </w:r>
      <w:r>
        <w:rPr>
          <w:rFonts w:ascii="宋体" w:hAnsi="宋体"/>
        </w:rPr>
        <w:t xml:space="preserve"> </w:t>
      </w:r>
    </w:p>
    <w:p>
      <w:pPr>
        <w:widowControl/>
        <w:adjustRightInd w:val="0"/>
        <w:snapToGrid w:val="0"/>
        <w:spacing w:line="360" w:lineRule="auto"/>
        <w:rPr>
          <w:rFonts w:ascii="宋体" w:hAnsi="宋体"/>
        </w:rPr>
      </w:pPr>
      <w:r>
        <w:rPr>
          <w:rFonts w:hint="eastAsia" w:ascii="宋体" w:hAnsi="宋体"/>
          <w:b/>
          <w:bCs/>
        </w:rPr>
        <w:t>教学组织与实施：</w:t>
      </w:r>
      <w:r>
        <w:rPr>
          <w:rFonts w:ascii="宋体" w:hAnsi="宋体"/>
        </w:rPr>
        <w:t>本章节</w:t>
      </w:r>
      <w:r>
        <w:rPr>
          <w:rFonts w:hint="eastAsia" w:ascii="宋体" w:hAnsi="宋体"/>
        </w:rPr>
        <w:t>主要涉及园艺产品的分类及营销特点。利用超星学习通班级群提前上传课件，要求学生提前预习章节内容，做好课前准备工作。以班级授课的形式讲授园艺产品的特性及营销特点，结合P</w:t>
      </w:r>
      <w:r>
        <w:rPr>
          <w:rFonts w:ascii="宋体" w:hAnsi="宋体"/>
        </w:rPr>
        <w:t>PT</w:t>
      </w:r>
      <w:r>
        <w:rPr>
          <w:rFonts w:hint="eastAsia" w:ascii="宋体" w:hAnsi="宋体"/>
        </w:rPr>
        <w:t>及范例视频，理论基础联系实际应用，深入浅出的讲授疑点难点。</w:t>
      </w:r>
      <w:r>
        <w:rPr>
          <w:rFonts w:ascii="宋体" w:hAnsi="宋体"/>
        </w:rPr>
        <w:t>在教学过程中</w:t>
      </w:r>
      <w:r>
        <w:rPr>
          <w:rFonts w:hint="eastAsia" w:ascii="宋体" w:hAnsi="宋体"/>
        </w:rPr>
        <w:t>设置提问及</w:t>
      </w:r>
      <w:r>
        <w:rPr>
          <w:rFonts w:ascii="宋体" w:hAnsi="宋体"/>
        </w:rPr>
        <w:t>互动</w:t>
      </w:r>
      <w:r>
        <w:rPr>
          <w:rFonts w:hint="eastAsia" w:ascii="宋体" w:hAnsi="宋体"/>
        </w:rPr>
        <w:t>环节</w:t>
      </w:r>
      <w:r>
        <w:rPr>
          <w:rFonts w:ascii="宋体" w:hAnsi="宋体"/>
        </w:rPr>
        <w:t>，活跃课堂气氛，</w:t>
      </w:r>
      <w:r>
        <w:rPr>
          <w:rFonts w:hint="eastAsia" w:ascii="宋体" w:hAnsi="宋体"/>
        </w:rPr>
        <w:t>调动学生积极性及专注性，</w:t>
      </w:r>
      <w:r>
        <w:rPr>
          <w:rFonts w:ascii="宋体" w:hAnsi="宋体"/>
        </w:rPr>
        <w:t>加深对课堂知识的理解与认识。</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rFonts w:hint="eastAsia"/>
                <w:b/>
                <w:bCs/>
                <w:szCs w:val="21"/>
              </w:rPr>
              <w:t xml:space="preserve">  </w:t>
            </w:r>
            <w:r>
              <w:rPr>
                <w:rFonts w:hint="eastAsia" w:hAnsi="宋体"/>
                <w:b/>
                <w:bCs/>
                <w:szCs w:val="21"/>
              </w:rPr>
              <w:t>园艺产品营销理念</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4</w:t>
            </w:r>
          </w:p>
        </w:tc>
      </w:tr>
    </w:tbl>
    <w:p>
      <w:pPr>
        <w:snapToGrid w:val="0"/>
        <w:spacing w:line="360" w:lineRule="auto"/>
        <w:rPr>
          <w:rFonts w:ascii="宋体" w:hAnsi="宋体"/>
          <w:b/>
          <w:bCs/>
        </w:rPr>
      </w:pPr>
      <w:r>
        <w:rPr>
          <w:rFonts w:ascii="宋体" w:hAnsi="宋体"/>
          <w:b/>
          <w:bCs/>
        </w:rPr>
        <w:t>第一节</w:t>
      </w:r>
      <w:r>
        <w:rPr>
          <w:rFonts w:hint="eastAsia" w:ascii="宋体" w:hAnsi="宋体"/>
          <w:b/>
          <w:bCs/>
        </w:rPr>
        <w:t xml:space="preserve">  市场营销概述（</w:t>
      </w:r>
      <w:r>
        <w:rPr>
          <w:rFonts w:ascii="宋体" w:hAnsi="宋体"/>
          <w:b/>
          <w:bCs/>
        </w:rPr>
        <w:t>2学时</w:t>
      </w:r>
      <w:r>
        <w:rPr>
          <w:rFonts w:hint="eastAsia" w:ascii="宋体" w:hAnsi="宋体"/>
          <w:b/>
          <w:bCs/>
        </w:rPr>
        <w:t>）</w:t>
      </w:r>
      <w:r>
        <w:rPr>
          <w:rFonts w:ascii="宋体" w:hAnsi="宋体"/>
          <w:b/>
          <w:bCs/>
        </w:rPr>
        <w:t>    </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使学生掌握市场营销概念。</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市场，市场营销及相关概念。</w:t>
      </w:r>
      <w:r>
        <w:rPr>
          <w:rFonts w:hint="eastAsia" w:ascii="宋体" w:hAnsi="宋体" w:cs="宋体"/>
          <w:kern w:val="0"/>
          <w:szCs w:val="21"/>
        </w:rPr>
        <w:t></w:t>
      </w:r>
    </w:p>
    <w:p>
      <w:pPr>
        <w:pStyle w:val="7"/>
        <w:snapToGrid w:val="0"/>
        <w:spacing w:line="360" w:lineRule="auto"/>
        <w:ind w:right="109" w:rightChars="52" w:firstLine="0" w:firstLineChars="0"/>
        <w:rPr>
          <w:rFonts w:ascii="宋体" w:hAnsi="宋体"/>
        </w:rPr>
      </w:pPr>
      <w:r>
        <w:rPr>
          <w:rFonts w:hint="eastAsia" w:ascii="宋体" w:hAnsi="宋体"/>
          <w:b/>
        </w:rPr>
        <w:t>主要教学内容及要求：</w:t>
      </w:r>
      <w:r>
        <w:rPr>
          <w:rFonts w:hint="eastAsia" w:ascii="宋体" w:hAnsi="宋体"/>
        </w:rPr>
        <w:t>掌握市场的概念，组成及分类；熟练掌握市场营销及相关概念。</w:t>
      </w:r>
    </w:p>
    <w:p>
      <w:pPr>
        <w:widowControl/>
        <w:snapToGrid w:val="0"/>
        <w:spacing w:line="360" w:lineRule="auto"/>
        <w:rPr>
          <w:rFonts w:hAnsi="宋体"/>
          <w:b/>
          <w:kern w:val="0"/>
          <w:szCs w:val="21"/>
        </w:rPr>
      </w:pPr>
      <w:r>
        <w:rPr>
          <w:rFonts w:hint="eastAsia" w:ascii="宋体" w:hAnsi="宋体"/>
          <w:b/>
          <w:bCs/>
        </w:rPr>
        <w:t>教学组织与实施：</w:t>
      </w:r>
      <w:r>
        <w:rPr>
          <w:rFonts w:ascii="宋体" w:hAnsi="宋体"/>
        </w:rPr>
        <w:t>本章节</w:t>
      </w:r>
      <w:r>
        <w:rPr>
          <w:rFonts w:hint="eastAsia" w:ascii="宋体" w:hAnsi="宋体"/>
        </w:rPr>
        <w:t>主要涉及市场营销概述。</w:t>
      </w:r>
      <w:r>
        <w:rPr>
          <w:rFonts w:hint="eastAsia" w:ascii="宋体" w:hAnsi="宋体"/>
          <w:bCs/>
        </w:rPr>
        <w:t>主要以理论讲授为主，结合大量的案例分析</w:t>
      </w:r>
      <w:r>
        <w:rPr>
          <w:rFonts w:hint="eastAsia" w:ascii="宋体" w:hAnsi="宋体"/>
        </w:rPr>
        <w:t>市场营销的概念及发展，利用多个正反案例，剖析市场营销的本质，理论基础联系实际应用</w:t>
      </w:r>
      <w:r>
        <w:rPr>
          <w:rFonts w:hint="eastAsia" w:ascii="宋体" w:hAnsi="宋体"/>
          <w:bCs/>
        </w:rPr>
        <w:t>，部分重点内容结合相关小视频加深学生对理论的理解。</w:t>
      </w:r>
      <w:r>
        <w:rPr>
          <w:rFonts w:hint="eastAsia" w:ascii="宋体" w:hAnsi="宋体"/>
          <w:szCs w:val="20"/>
        </w:rPr>
        <w:t>同时通过课堂讨论，即时解决学生听课过程中的难点。</w:t>
      </w:r>
      <w:r>
        <w:rPr>
          <w:rFonts w:ascii="宋体" w:hAnsi="宋体"/>
          <w:b/>
          <w:bCs/>
        </w:rPr>
        <w:t xml:space="preserve">  </w:t>
      </w:r>
    </w:p>
    <w:p>
      <w:pPr>
        <w:snapToGrid w:val="0"/>
        <w:spacing w:line="360" w:lineRule="auto"/>
        <w:rPr>
          <w:rFonts w:ascii="宋体" w:hAnsi="宋体"/>
          <w:b/>
          <w:bCs/>
        </w:rPr>
      </w:pPr>
      <w:r>
        <w:rPr>
          <w:rFonts w:ascii="宋体" w:hAnsi="宋体"/>
          <w:b/>
          <w:bCs/>
        </w:rPr>
        <w:t>第</w:t>
      </w:r>
      <w:r>
        <w:rPr>
          <w:rFonts w:hint="eastAsia" w:ascii="宋体" w:hAnsi="宋体"/>
          <w:b/>
          <w:bCs/>
        </w:rPr>
        <w:t>二</w:t>
      </w:r>
      <w:r>
        <w:rPr>
          <w:rFonts w:ascii="宋体" w:hAnsi="宋体"/>
          <w:b/>
          <w:bCs/>
        </w:rPr>
        <w:t>节</w:t>
      </w:r>
      <w:r>
        <w:rPr>
          <w:rFonts w:hint="eastAsia" w:ascii="宋体" w:hAnsi="宋体"/>
          <w:b/>
          <w:bCs/>
        </w:rPr>
        <w:t xml:space="preserve"> </w:t>
      </w:r>
      <w:bookmarkStart w:id="237" w:name="_Hlk137673148"/>
      <w:r>
        <w:rPr>
          <w:rFonts w:hint="eastAsia" w:ascii="宋体" w:hAnsi="宋体"/>
          <w:b/>
          <w:bCs/>
        </w:rPr>
        <w:t xml:space="preserve"> 市场营销管理观念</w:t>
      </w:r>
      <w:bookmarkEnd w:id="237"/>
      <w:r>
        <w:rPr>
          <w:rFonts w:hint="eastAsia" w:ascii="宋体" w:hAnsi="宋体"/>
          <w:b/>
          <w:bCs/>
        </w:rPr>
        <w:t>（</w:t>
      </w:r>
      <w:r>
        <w:rPr>
          <w:rFonts w:ascii="宋体" w:hAnsi="宋体"/>
          <w:b/>
          <w:bCs/>
        </w:rPr>
        <w:t>2学时</w:t>
      </w:r>
      <w:r>
        <w:rPr>
          <w:rFonts w:hint="eastAsia" w:ascii="宋体" w:hAnsi="宋体"/>
          <w:b/>
          <w:bCs/>
        </w:rPr>
        <w:t>）</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使学生掌握市场营销管理观念的实质及发展历程。</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市场营销管理观念的发展历程。</w:t>
      </w:r>
      <w:r>
        <w:rPr>
          <w:rFonts w:hint="eastAsia" w:ascii="宋体" w:hAnsi="宋体" w:cs="宋体"/>
          <w:kern w:val="0"/>
          <w:szCs w:val="21"/>
        </w:rPr>
        <w:t></w:t>
      </w:r>
    </w:p>
    <w:p>
      <w:pPr>
        <w:pStyle w:val="7"/>
        <w:snapToGrid w:val="0"/>
        <w:spacing w:line="360" w:lineRule="auto"/>
        <w:ind w:firstLine="0" w:firstLineChars="0"/>
        <w:jc w:val="left"/>
        <w:rPr>
          <w:rFonts w:ascii="宋体" w:hAnsi="宋体"/>
          <w:b/>
        </w:rPr>
      </w:pPr>
      <w:r>
        <w:rPr>
          <w:rFonts w:hint="eastAsia" w:ascii="宋体" w:hAnsi="宋体"/>
          <w:b/>
        </w:rPr>
        <w:t>主要教学内容及要求：</w:t>
      </w:r>
      <w:bookmarkStart w:id="238" w:name="_Hlk137675896"/>
      <w:r>
        <w:rPr>
          <w:rFonts w:hint="eastAsia" w:ascii="宋体" w:hAnsi="宋体"/>
        </w:rPr>
        <w:t>理解</w:t>
      </w:r>
      <w:r>
        <w:rPr>
          <w:rFonts w:hint="eastAsia" w:ascii="宋体" w:hAnsi="宋体"/>
          <w:bCs/>
        </w:rPr>
        <w:t>市场营销管理的概念、实质和分类；</w:t>
      </w:r>
      <w:bookmarkEnd w:id="238"/>
      <w:r>
        <w:rPr>
          <w:rFonts w:hint="eastAsia" w:ascii="宋体" w:hAnsi="宋体"/>
        </w:rPr>
        <w:t>熟练掌握</w:t>
      </w:r>
      <w:bookmarkStart w:id="239" w:name="_Hlk137675917"/>
      <w:r>
        <w:rPr>
          <w:rFonts w:hint="eastAsia" w:ascii="宋体" w:hAnsi="宋体"/>
        </w:rPr>
        <w:t>市场营销管理观念的实质和发展历程。</w:t>
      </w:r>
      <w:r>
        <w:rPr>
          <w:rFonts w:ascii="宋体" w:hAnsi="宋体"/>
        </w:rPr>
        <w:t xml:space="preserve"> </w:t>
      </w:r>
    </w:p>
    <w:bookmarkEnd w:id="239"/>
    <w:p>
      <w:pPr>
        <w:widowControl/>
        <w:adjustRightInd w:val="0"/>
        <w:snapToGrid w:val="0"/>
        <w:spacing w:line="360" w:lineRule="auto"/>
        <w:rPr>
          <w:rFonts w:ascii="宋体" w:hAnsi="宋体"/>
        </w:rPr>
      </w:pPr>
      <w:r>
        <w:rPr>
          <w:rFonts w:hint="eastAsia" w:ascii="宋体" w:hAnsi="宋体"/>
          <w:b/>
          <w:bCs/>
        </w:rPr>
        <w:t>教学组织与实施：</w:t>
      </w:r>
      <w:r>
        <w:rPr>
          <w:rFonts w:ascii="宋体" w:hAnsi="宋体"/>
        </w:rPr>
        <w:t>本章节</w:t>
      </w:r>
      <w:r>
        <w:rPr>
          <w:rFonts w:hint="eastAsia" w:ascii="宋体" w:hAnsi="宋体"/>
        </w:rPr>
        <w:t>主要涉及市场营销概述和市场营销观念。利用超星学习通班级群提前上传课件，要求学生提前预习章节内容，做好课前准备工作。以班级授课的形式讲授市场营销管理观念的发展历程，深入浅出的讲授疑点难点。</w:t>
      </w:r>
      <w:r>
        <w:rPr>
          <w:rFonts w:ascii="宋体" w:hAnsi="宋体"/>
        </w:rPr>
        <w:t>在教学过程中</w:t>
      </w:r>
      <w:r>
        <w:rPr>
          <w:rFonts w:hint="eastAsia" w:ascii="宋体" w:hAnsi="宋体"/>
        </w:rPr>
        <w:t>设置提问及</w:t>
      </w:r>
      <w:r>
        <w:rPr>
          <w:rFonts w:ascii="宋体" w:hAnsi="宋体"/>
        </w:rPr>
        <w:t>互动</w:t>
      </w:r>
      <w:r>
        <w:rPr>
          <w:rFonts w:hint="eastAsia" w:ascii="宋体" w:hAnsi="宋体"/>
        </w:rPr>
        <w:t>环节</w:t>
      </w:r>
      <w:r>
        <w:rPr>
          <w:rFonts w:ascii="宋体" w:hAnsi="宋体"/>
        </w:rPr>
        <w:t>，活跃课堂气氛，</w:t>
      </w:r>
      <w:r>
        <w:rPr>
          <w:rFonts w:hint="eastAsia" w:ascii="宋体" w:hAnsi="宋体"/>
        </w:rPr>
        <w:t>调动学生积极性及专注性，</w:t>
      </w:r>
      <w:r>
        <w:rPr>
          <w:rFonts w:ascii="宋体" w:hAnsi="宋体"/>
        </w:rPr>
        <w:t>加深对课堂知识的理解与认识。</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adjustRightInd w:val="0"/>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三</w:t>
            </w:r>
            <w:r>
              <w:rPr>
                <w:rFonts w:hAnsi="宋体"/>
                <w:b/>
                <w:bCs/>
                <w:szCs w:val="21"/>
              </w:rPr>
              <w:t>章</w:t>
            </w:r>
            <w:r>
              <w:rPr>
                <w:rFonts w:hint="eastAsia"/>
                <w:b/>
                <w:bCs/>
                <w:szCs w:val="21"/>
              </w:rPr>
              <w:t xml:space="preserve">  </w:t>
            </w:r>
            <w:r>
              <w:rPr>
                <w:rFonts w:hint="eastAsia" w:hAnsi="宋体"/>
                <w:b/>
                <w:bCs/>
                <w:szCs w:val="21"/>
              </w:rPr>
              <w:t>市场营销环境</w:t>
            </w:r>
          </w:p>
        </w:tc>
        <w:tc>
          <w:tcPr>
            <w:tcW w:w="2966" w:type="dxa"/>
            <w:tcBorders>
              <w:top w:val="nil"/>
              <w:left w:val="nil"/>
              <w:bottom w:val="nil"/>
              <w:right w:val="nil"/>
            </w:tcBorders>
            <w:vAlign w:val="center"/>
          </w:tcPr>
          <w:p>
            <w:pPr>
              <w:widowControl/>
              <w:adjustRightInd w:val="0"/>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rFonts w:ascii="宋体" w:hAnsi="宋体"/>
          <w:b/>
          <w:bCs/>
        </w:rPr>
      </w:pPr>
      <w:r>
        <w:rPr>
          <w:rFonts w:ascii="宋体" w:hAnsi="宋体"/>
          <w:b/>
          <w:bCs/>
        </w:rPr>
        <w:t>第一节</w:t>
      </w:r>
      <w:r>
        <w:rPr>
          <w:rFonts w:hint="eastAsia" w:ascii="宋体" w:hAnsi="宋体"/>
          <w:b/>
          <w:bCs/>
        </w:rPr>
        <w:t xml:space="preserve">  市场营销环境的含义及构成因素（</w:t>
      </w:r>
      <w:r>
        <w:rPr>
          <w:rFonts w:ascii="宋体" w:hAnsi="宋体"/>
          <w:b/>
          <w:bCs/>
        </w:rPr>
        <w:t>1.5学时</w:t>
      </w:r>
      <w:r>
        <w:rPr>
          <w:rFonts w:hint="eastAsia" w:ascii="宋体" w:hAnsi="宋体"/>
          <w:b/>
          <w:bCs/>
        </w:rPr>
        <w:t>）</w:t>
      </w:r>
      <w:r>
        <w:rPr>
          <w:rFonts w:ascii="宋体" w:hAnsi="宋体"/>
          <w:b/>
          <w:bCs/>
        </w:rPr>
        <w:t>    </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使学生掌握市场营销环境的概念及构成因素。</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市场营销环境分类。</w:t>
      </w:r>
      <w:r>
        <w:rPr>
          <w:rFonts w:hint="eastAsia" w:ascii="宋体" w:hAnsi="宋体" w:cs="宋体"/>
          <w:kern w:val="0"/>
          <w:szCs w:val="21"/>
        </w:rPr>
        <w:t></w:t>
      </w:r>
    </w:p>
    <w:p>
      <w:pPr>
        <w:pStyle w:val="7"/>
        <w:snapToGrid w:val="0"/>
        <w:spacing w:line="360" w:lineRule="auto"/>
        <w:ind w:right="109" w:rightChars="52" w:firstLine="0" w:firstLineChars="0"/>
        <w:rPr>
          <w:rFonts w:ascii="宋体" w:hAnsi="宋体"/>
        </w:rPr>
      </w:pPr>
      <w:r>
        <w:rPr>
          <w:rFonts w:hint="eastAsia" w:ascii="宋体" w:hAnsi="宋体"/>
          <w:b/>
        </w:rPr>
        <w:t>主要教学内容及要求：</w:t>
      </w:r>
      <w:r>
        <w:rPr>
          <w:rFonts w:hint="eastAsia" w:ascii="宋体" w:hAnsi="宋体"/>
        </w:rPr>
        <w:t>理解市场营销环境的概念及作用；熟练掌握市场营销环境的构成因素。</w:t>
      </w:r>
    </w:p>
    <w:p>
      <w:pPr>
        <w:widowControl/>
        <w:snapToGrid w:val="0"/>
        <w:spacing w:line="360" w:lineRule="auto"/>
        <w:rPr>
          <w:rFonts w:hAnsi="宋体"/>
          <w:b/>
          <w:kern w:val="0"/>
          <w:szCs w:val="21"/>
        </w:rPr>
      </w:pPr>
      <w:r>
        <w:rPr>
          <w:rFonts w:hint="eastAsia" w:ascii="宋体" w:hAnsi="宋体"/>
          <w:b/>
          <w:bCs/>
        </w:rPr>
        <w:t>教学组织与实施：</w:t>
      </w:r>
      <w:r>
        <w:rPr>
          <w:rFonts w:ascii="宋体" w:hAnsi="宋体"/>
        </w:rPr>
        <w:t>本章节</w:t>
      </w:r>
      <w:r>
        <w:rPr>
          <w:rFonts w:hint="eastAsia" w:ascii="宋体" w:hAnsi="宋体"/>
        </w:rPr>
        <w:t>主要涉及市场营销环境概述。</w:t>
      </w:r>
      <w:r>
        <w:rPr>
          <w:rFonts w:hint="eastAsia" w:ascii="宋体" w:hAnsi="宋体"/>
          <w:bCs/>
        </w:rPr>
        <w:t>主要以理论讲授为主，结合大量的案例分析</w:t>
      </w:r>
      <w:r>
        <w:rPr>
          <w:rFonts w:hint="eastAsia" w:ascii="宋体" w:hAnsi="宋体"/>
        </w:rPr>
        <w:t>市场营销环境的概念及构成要素，利用多个正反案例，剖析市场营销环境的构成因素，</w:t>
      </w:r>
      <w:r>
        <w:rPr>
          <w:rFonts w:hint="eastAsia" w:ascii="宋体" w:hAnsi="宋体"/>
          <w:bCs/>
        </w:rPr>
        <w:t>部分重点内容结合相关小视频加深学生对理论的理解。</w:t>
      </w:r>
      <w:r>
        <w:rPr>
          <w:rFonts w:hint="eastAsia" w:ascii="宋体" w:hAnsi="宋体"/>
          <w:szCs w:val="20"/>
        </w:rPr>
        <w:t>同时通过课堂讨论，即时解决学生听课过程中的难点。</w:t>
      </w:r>
      <w:r>
        <w:rPr>
          <w:rFonts w:ascii="宋体" w:hAnsi="宋体"/>
          <w:b/>
          <w:bCs/>
        </w:rPr>
        <w:t xml:space="preserve">  </w:t>
      </w:r>
    </w:p>
    <w:p>
      <w:pPr>
        <w:snapToGrid w:val="0"/>
        <w:spacing w:line="360" w:lineRule="auto"/>
        <w:rPr>
          <w:rFonts w:ascii="宋体" w:hAnsi="宋体"/>
          <w:b/>
          <w:bCs/>
        </w:rPr>
      </w:pPr>
      <w:r>
        <w:rPr>
          <w:rFonts w:ascii="宋体" w:hAnsi="宋体"/>
          <w:b/>
          <w:bCs/>
        </w:rPr>
        <w:t>第</w:t>
      </w:r>
      <w:r>
        <w:rPr>
          <w:rFonts w:hint="eastAsia" w:ascii="宋体" w:hAnsi="宋体"/>
          <w:b/>
          <w:bCs/>
        </w:rPr>
        <w:t>二</w:t>
      </w:r>
      <w:r>
        <w:rPr>
          <w:rFonts w:ascii="宋体" w:hAnsi="宋体"/>
          <w:b/>
          <w:bCs/>
        </w:rPr>
        <w:t>节</w:t>
      </w:r>
      <w:r>
        <w:rPr>
          <w:rFonts w:hint="eastAsia" w:ascii="宋体" w:hAnsi="宋体"/>
          <w:b/>
          <w:bCs/>
        </w:rPr>
        <w:t xml:space="preserve">  经营者对市场环境影响的对策（</w:t>
      </w:r>
      <w:r>
        <w:rPr>
          <w:rFonts w:ascii="宋体" w:hAnsi="宋体"/>
          <w:b/>
          <w:bCs/>
        </w:rPr>
        <w:t>0.5学时</w:t>
      </w:r>
      <w:r>
        <w:rPr>
          <w:rFonts w:hint="eastAsia" w:ascii="宋体" w:hAnsi="宋体"/>
          <w:b/>
          <w:bCs/>
        </w:rPr>
        <w:t>）</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使学生掌握分析市场营销环境的方法及对策。</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市场营销环境机会和威胁。</w:t>
      </w:r>
      <w:r>
        <w:rPr>
          <w:rFonts w:hint="eastAsia" w:ascii="宋体" w:hAnsi="宋体" w:cs="宋体"/>
          <w:kern w:val="0"/>
          <w:szCs w:val="21"/>
        </w:rPr>
        <w:t></w:t>
      </w:r>
    </w:p>
    <w:p>
      <w:pPr>
        <w:pStyle w:val="7"/>
        <w:snapToGrid w:val="0"/>
        <w:spacing w:line="360" w:lineRule="auto"/>
        <w:ind w:firstLine="0" w:firstLineChars="0"/>
        <w:jc w:val="left"/>
        <w:rPr>
          <w:rFonts w:ascii="宋体" w:hAnsi="宋体"/>
          <w:b/>
        </w:rPr>
      </w:pPr>
      <w:r>
        <w:rPr>
          <w:rFonts w:hint="eastAsia" w:ascii="宋体" w:hAnsi="宋体"/>
          <w:b/>
        </w:rPr>
        <w:t>主要教学内容及要求：</w:t>
      </w:r>
      <w:r>
        <w:rPr>
          <w:rFonts w:hint="eastAsia" w:ascii="宋体" w:hAnsi="宋体"/>
        </w:rPr>
        <w:t>理解</w:t>
      </w:r>
      <w:r>
        <w:rPr>
          <w:rFonts w:hint="eastAsia" w:ascii="宋体" w:hAnsi="宋体"/>
          <w:bCs/>
        </w:rPr>
        <w:t>市场营环境分析的作用；</w:t>
      </w:r>
      <w:r>
        <w:rPr>
          <w:rFonts w:hint="eastAsia" w:ascii="宋体" w:hAnsi="宋体"/>
        </w:rPr>
        <w:t>掌握市场营销环境的评估方法及对策。</w:t>
      </w:r>
      <w:r>
        <w:rPr>
          <w:rFonts w:ascii="宋体" w:hAnsi="宋体"/>
        </w:rPr>
        <w:t xml:space="preserve"> </w:t>
      </w:r>
    </w:p>
    <w:p>
      <w:pPr>
        <w:widowControl/>
        <w:adjustRightInd w:val="0"/>
        <w:snapToGrid w:val="0"/>
        <w:spacing w:line="360" w:lineRule="auto"/>
        <w:rPr>
          <w:rFonts w:ascii="宋体" w:hAnsi="宋体"/>
        </w:rPr>
      </w:pPr>
      <w:r>
        <w:rPr>
          <w:rFonts w:hint="eastAsia" w:ascii="宋体" w:hAnsi="宋体"/>
          <w:b/>
          <w:bCs/>
        </w:rPr>
        <w:t>教学组织与实施：</w:t>
      </w:r>
      <w:r>
        <w:rPr>
          <w:rFonts w:ascii="宋体" w:hAnsi="宋体"/>
        </w:rPr>
        <w:t>本章节</w:t>
      </w:r>
      <w:r>
        <w:rPr>
          <w:rFonts w:hint="eastAsia" w:ascii="宋体" w:hAnsi="宋体"/>
        </w:rPr>
        <w:t>主要涉及市场营销环境的分析。利用超星学习通班级群提前上传课件，要求学生提前预习章节内容，做好课前准备工作。以班级授课的形式讲授市场营销环境的分析步骤及评估方法，深入浅出的讲授疑点难点。</w:t>
      </w:r>
      <w:r>
        <w:rPr>
          <w:rFonts w:ascii="宋体" w:hAnsi="宋体"/>
        </w:rPr>
        <w:t>在教学过程中</w:t>
      </w:r>
      <w:r>
        <w:rPr>
          <w:rFonts w:hint="eastAsia" w:ascii="宋体" w:hAnsi="宋体"/>
        </w:rPr>
        <w:t>设置提问及</w:t>
      </w:r>
      <w:r>
        <w:rPr>
          <w:rFonts w:ascii="宋体" w:hAnsi="宋体"/>
        </w:rPr>
        <w:t>互动</w:t>
      </w:r>
      <w:r>
        <w:rPr>
          <w:rFonts w:hint="eastAsia" w:ascii="宋体" w:hAnsi="宋体"/>
        </w:rPr>
        <w:t>环节</w:t>
      </w:r>
      <w:r>
        <w:rPr>
          <w:rFonts w:ascii="宋体" w:hAnsi="宋体"/>
        </w:rPr>
        <w:t>，活跃课堂气氛，</w:t>
      </w:r>
      <w:r>
        <w:rPr>
          <w:rFonts w:hint="eastAsia" w:ascii="宋体" w:hAnsi="宋体"/>
        </w:rPr>
        <w:t>调动学生积极性及专注性，</w:t>
      </w:r>
      <w:r>
        <w:rPr>
          <w:rFonts w:ascii="宋体" w:hAnsi="宋体"/>
        </w:rPr>
        <w:t>加深对课堂知识的理解与认识。</w:t>
      </w:r>
    </w:p>
    <w:p>
      <w:pPr>
        <w:widowControl/>
        <w:snapToGrid w:val="0"/>
        <w:spacing w:line="360" w:lineRule="auto"/>
        <w:jc w:val="right"/>
        <w:rPr>
          <w:kern w:val="0"/>
          <w:szCs w:val="21"/>
        </w:rPr>
      </w:pPr>
      <w:r>
        <w:rPr>
          <w:rFonts w:hint="eastAsia" w:hAnsi="宋体"/>
          <w:b/>
          <w:bCs/>
          <w:kern w:val="0"/>
          <w:szCs w:val="21"/>
        </w:rPr>
        <w:t xml:space="preserve"> </w:t>
      </w:r>
      <w:r>
        <w:rPr>
          <w:rFonts w:hAnsi="宋体"/>
          <w:b/>
          <w:bCs/>
          <w:kern w:val="0"/>
          <w:szCs w:val="21"/>
        </w:rPr>
        <w:t xml:space="preserve">                   第</w:t>
      </w:r>
      <w:r>
        <w:rPr>
          <w:rFonts w:hint="eastAsia" w:hAnsi="宋体"/>
          <w:b/>
          <w:bCs/>
          <w:kern w:val="0"/>
          <w:szCs w:val="21"/>
        </w:rPr>
        <w:t>四</w:t>
      </w:r>
      <w:r>
        <w:rPr>
          <w:rFonts w:hAnsi="宋体"/>
          <w:b/>
          <w:bCs/>
          <w:kern w:val="0"/>
          <w:szCs w:val="21"/>
        </w:rPr>
        <w:t>章</w:t>
      </w:r>
      <w:r>
        <w:rPr>
          <w:b/>
          <w:bCs/>
          <w:kern w:val="0"/>
          <w:szCs w:val="21"/>
        </w:rPr>
        <w:t>     </w:t>
      </w:r>
      <w:r>
        <w:rPr>
          <w:rFonts w:hint="eastAsia"/>
          <w:b/>
          <w:szCs w:val="21"/>
        </w:rPr>
        <w:t>消费者心理与购买行为</w:t>
      </w:r>
      <w:r>
        <w:rPr>
          <w:b/>
          <w:bCs/>
          <w:kern w:val="0"/>
          <w:szCs w:val="21"/>
        </w:rPr>
        <w:t>     </w:t>
      </w:r>
      <w:r>
        <w:rPr>
          <w:rFonts w:hint="eastAsia"/>
          <w:b/>
          <w:bCs/>
          <w:kern w:val="0"/>
          <w:szCs w:val="21"/>
        </w:rPr>
        <w:t xml:space="preserve">           </w:t>
      </w:r>
      <w:r>
        <w:rPr>
          <w:b/>
          <w:bCs/>
          <w:kern w:val="0"/>
          <w:szCs w:val="21"/>
        </w:rPr>
        <w:t xml:space="preserve">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Ansi="宋体"/>
          <w:b/>
          <w:bCs/>
          <w:color w:val="000000" w:themeColor="text1"/>
          <w:kern w:val="0"/>
          <w:szCs w:val="21"/>
          <w14:textFill>
            <w14:solidFill>
              <w14:schemeClr w14:val="tx1"/>
            </w14:solidFill>
          </w14:textFill>
        </w:rPr>
        <w:t>4</w:t>
      </w:r>
    </w:p>
    <w:p>
      <w:pPr>
        <w:snapToGrid w:val="0"/>
        <w:spacing w:line="360" w:lineRule="auto"/>
        <w:rPr>
          <w:rFonts w:ascii="宋体" w:hAnsi="宋体"/>
          <w:b/>
          <w:bCs/>
        </w:rPr>
      </w:pPr>
      <w:r>
        <w:rPr>
          <w:rFonts w:ascii="宋体" w:hAnsi="宋体"/>
          <w:b/>
          <w:bCs/>
        </w:rPr>
        <w:t>第一节</w:t>
      </w:r>
      <w:r>
        <w:rPr>
          <w:rFonts w:hint="eastAsia" w:ascii="宋体" w:hAnsi="宋体"/>
          <w:b/>
          <w:bCs/>
        </w:rPr>
        <w:t xml:space="preserve">  影响消费者行为的因素（</w:t>
      </w:r>
      <w:r>
        <w:rPr>
          <w:rFonts w:ascii="宋体" w:hAnsi="宋体"/>
          <w:b/>
          <w:bCs/>
        </w:rPr>
        <w:t>2学时</w:t>
      </w:r>
      <w:r>
        <w:rPr>
          <w:rFonts w:hint="eastAsia" w:ascii="宋体" w:hAnsi="宋体"/>
          <w:b/>
          <w:bCs/>
        </w:rPr>
        <w:t>）</w:t>
      </w:r>
      <w:r>
        <w:rPr>
          <w:rFonts w:ascii="宋体" w:hAnsi="宋体"/>
          <w:b/>
          <w:bCs/>
        </w:rPr>
        <w:t>    </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使学生了解影响消费者行为的因素。</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影响消费者行为的因素是本章的学习重点；马斯洛的需要层次论。</w:t>
      </w:r>
      <w:r>
        <w:rPr>
          <w:rFonts w:hint="eastAsia" w:ascii="宋体" w:hAnsi="宋体" w:cs="宋体"/>
          <w:kern w:val="0"/>
          <w:szCs w:val="21"/>
        </w:rPr>
        <w:t></w:t>
      </w:r>
    </w:p>
    <w:p>
      <w:pPr>
        <w:pStyle w:val="7"/>
        <w:snapToGrid w:val="0"/>
        <w:spacing w:line="360" w:lineRule="auto"/>
        <w:ind w:right="109" w:rightChars="52" w:firstLine="0" w:firstLineChars="0"/>
        <w:rPr>
          <w:rFonts w:ascii="宋体" w:hAnsi="宋体"/>
        </w:rPr>
      </w:pPr>
      <w:r>
        <w:rPr>
          <w:rFonts w:hint="eastAsia" w:ascii="宋体" w:hAnsi="宋体"/>
          <w:b/>
        </w:rPr>
        <w:t>主要教学内容及要求：</w:t>
      </w:r>
      <w:r>
        <w:rPr>
          <w:rFonts w:hint="eastAsia" w:ascii="宋体" w:hAnsi="宋体"/>
        </w:rPr>
        <w:t>了解影响消费者行为的因素；掌握影响消费者行为的心理因素。</w:t>
      </w:r>
    </w:p>
    <w:p>
      <w:pPr>
        <w:widowControl/>
        <w:snapToGrid w:val="0"/>
        <w:spacing w:line="360" w:lineRule="auto"/>
        <w:rPr>
          <w:rFonts w:hAnsi="宋体"/>
          <w:b/>
          <w:kern w:val="0"/>
          <w:szCs w:val="21"/>
        </w:rPr>
      </w:pPr>
      <w:r>
        <w:rPr>
          <w:rFonts w:hint="eastAsia" w:ascii="宋体" w:hAnsi="宋体"/>
          <w:b/>
          <w:bCs/>
        </w:rPr>
        <w:t>教学组织与实施：</w:t>
      </w:r>
      <w:r>
        <w:rPr>
          <w:rFonts w:hint="eastAsia" w:ascii="宋体" w:hAnsi="宋体"/>
          <w:bCs/>
        </w:rPr>
        <w:t>主要以理论讲授为主，结合大量的案例分析，部分重点内容结合相关小视频加深学生对理论的理解。</w:t>
      </w:r>
      <w:r>
        <w:rPr>
          <w:rFonts w:hint="eastAsia" w:ascii="宋体" w:hAnsi="宋体"/>
          <w:szCs w:val="20"/>
        </w:rPr>
        <w:t>同时通过课堂讨论，即时解决学生听课过程中的难点。</w:t>
      </w:r>
      <w:r>
        <w:rPr>
          <w:rFonts w:ascii="宋体" w:hAnsi="宋体"/>
          <w:b/>
          <w:bCs/>
        </w:rPr>
        <w:t xml:space="preserve">  </w:t>
      </w:r>
    </w:p>
    <w:p>
      <w:pPr>
        <w:widowControl/>
        <w:snapToGrid w:val="0"/>
        <w:spacing w:line="360" w:lineRule="auto"/>
        <w:jc w:val="left"/>
        <w:rPr>
          <w:b/>
          <w:kern w:val="0"/>
          <w:szCs w:val="21"/>
        </w:rPr>
      </w:pPr>
      <w:r>
        <w:rPr>
          <w:rFonts w:hAnsi="宋体"/>
          <w:b/>
          <w:kern w:val="0"/>
          <w:szCs w:val="21"/>
        </w:rPr>
        <w:t>第</w:t>
      </w:r>
      <w:r>
        <w:rPr>
          <w:rFonts w:hint="eastAsia" w:hAnsi="宋体"/>
          <w:b/>
          <w:kern w:val="0"/>
          <w:szCs w:val="21"/>
        </w:rPr>
        <w:t>二</w:t>
      </w:r>
      <w:r>
        <w:rPr>
          <w:rFonts w:hAnsi="宋体"/>
          <w:b/>
          <w:kern w:val="0"/>
          <w:szCs w:val="21"/>
        </w:rPr>
        <w:t>节</w:t>
      </w:r>
      <w:r>
        <w:rPr>
          <w:rFonts w:hint="eastAsia" w:hAnsi="宋体"/>
          <w:b/>
          <w:kern w:val="0"/>
          <w:szCs w:val="21"/>
        </w:rPr>
        <w:t xml:space="preserve">  </w:t>
      </w:r>
      <w:r>
        <w:rPr>
          <w:rFonts w:hint="eastAsia" w:hAnsi="宋体"/>
          <w:b/>
          <w:bCs/>
          <w:kern w:val="0"/>
          <w:szCs w:val="21"/>
        </w:rPr>
        <w:t>消费者行为过程与消费者购买活动分析（</w:t>
      </w:r>
      <w:r>
        <w:rPr>
          <w:b/>
          <w:kern w:val="0"/>
          <w:szCs w:val="21"/>
        </w:rPr>
        <w:t>2</w:t>
      </w:r>
      <w:r>
        <w:rPr>
          <w:rFonts w:hAnsi="宋体"/>
          <w:b/>
          <w:kern w:val="0"/>
          <w:szCs w:val="21"/>
        </w:rPr>
        <w:t>学时</w:t>
      </w:r>
      <w:r>
        <w:rPr>
          <w:rFonts w:hint="eastAsia" w:hAnsi="宋体"/>
          <w:b/>
          <w:kern w:val="0"/>
          <w:szCs w:val="21"/>
        </w:rPr>
        <w:t>）</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通过学习，学生应该掌握消费者行为的概念与过程，了解消费者购买活动的基本规律与类型。</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w:t>
      </w:r>
      <w:r>
        <w:rPr>
          <w:bCs/>
        </w:rPr>
        <w:t>5W1H</w:t>
      </w:r>
      <w:r>
        <w:rPr>
          <w:rFonts w:hint="eastAsia" w:ascii="宋体" w:hAnsi="宋体"/>
          <w:bCs/>
        </w:rPr>
        <w:t>分析法”是本章的学习重点；消费者购买决策过程是本章学习的难点。</w:t>
      </w:r>
    </w:p>
    <w:p>
      <w:pPr>
        <w:pStyle w:val="7"/>
        <w:snapToGrid w:val="0"/>
        <w:spacing w:line="360" w:lineRule="auto"/>
        <w:ind w:right="109" w:rightChars="52" w:firstLine="0" w:firstLineChars="0"/>
        <w:rPr>
          <w:rFonts w:ascii="宋体" w:hAnsi="宋体"/>
        </w:rPr>
      </w:pPr>
      <w:r>
        <w:rPr>
          <w:rFonts w:hint="eastAsia" w:ascii="宋体" w:hAnsi="宋体"/>
          <w:b/>
        </w:rPr>
        <w:t>主要教学内容及要求：</w:t>
      </w:r>
      <w:r>
        <w:rPr>
          <w:rFonts w:hint="eastAsia" w:ascii="宋体" w:hAnsi="宋体"/>
        </w:rPr>
        <w:t>了解如何进行消费者购买活动分析；掌握影响消费者行为的概念与过程。</w:t>
      </w:r>
    </w:p>
    <w:p>
      <w:pPr>
        <w:pStyle w:val="7"/>
        <w:tabs>
          <w:tab w:val="left" w:pos="5954"/>
        </w:tabs>
        <w:snapToGrid w:val="0"/>
        <w:spacing w:line="360" w:lineRule="auto"/>
        <w:ind w:firstLine="0" w:firstLineChars="0"/>
        <w:rPr>
          <w:rFonts w:ascii="宋体" w:hAnsi="宋体"/>
        </w:rPr>
      </w:pPr>
      <w:r>
        <w:rPr>
          <w:rFonts w:hint="eastAsia" w:ascii="宋体" w:hAnsi="宋体"/>
          <w:b/>
          <w:bCs/>
        </w:rPr>
        <w:t>教学组织与实施：</w:t>
      </w:r>
      <w:r>
        <w:rPr>
          <w:rFonts w:hint="eastAsia" w:ascii="宋体" w:hAnsi="宋体"/>
          <w:bCs/>
        </w:rPr>
        <w:t>主要以理论讲授为主，结合大量的案例分析，部分重点内容结合相关小视频加深学生对理论的理解。</w:t>
      </w:r>
      <w:r>
        <w:rPr>
          <w:rFonts w:hint="eastAsia" w:ascii="宋体" w:hAnsi="宋体"/>
        </w:rPr>
        <w:t>同时通过课堂讨论，即时解决学生听课过程中的难点。</w:t>
      </w:r>
    </w:p>
    <w:p>
      <w:pPr>
        <w:widowControl/>
        <w:snapToGrid w:val="0"/>
        <w:spacing w:line="360" w:lineRule="auto"/>
        <w:jc w:val="right"/>
        <w:rPr>
          <w:rFonts w:ascii="宋体" w:hAnsi="宋体"/>
          <w:b/>
          <w:bCs/>
        </w:rPr>
      </w:pPr>
      <w:r>
        <w:rPr>
          <w:b/>
          <w:bCs/>
          <w:kern w:val="0"/>
          <w:szCs w:val="21"/>
        </w:rPr>
        <w:t>   </w:t>
      </w:r>
      <w:r>
        <w:rPr>
          <w:rFonts w:hAnsi="宋体"/>
          <w:b/>
          <w:bCs/>
          <w:kern w:val="0"/>
          <w:szCs w:val="21"/>
        </w:rPr>
        <w:t>第</w:t>
      </w:r>
      <w:r>
        <w:rPr>
          <w:rFonts w:hint="eastAsia" w:hAnsi="宋体"/>
          <w:b/>
          <w:bCs/>
          <w:kern w:val="0"/>
          <w:szCs w:val="21"/>
        </w:rPr>
        <w:t>五</w:t>
      </w:r>
      <w:r>
        <w:rPr>
          <w:rFonts w:hAnsi="宋体"/>
          <w:b/>
          <w:bCs/>
          <w:kern w:val="0"/>
          <w:szCs w:val="21"/>
        </w:rPr>
        <w:t>章</w:t>
      </w:r>
      <w:r>
        <w:rPr>
          <w:b/>
          <w:bCs/>
          <w:kern w:val="0"/>
          <w:szCs w:val="21"/>
        </w:rPr>
        <w:t>    </w:t>
      </w:r>
      <w:r>
        <w:rPr>
          <w:rFonts w:hAnsi="宋体"/>
          <w:b/>
          <w:bCs/>
          <w:color w:val="0000FF"/>
          <w:kern w:val="0"/>
          <w:szCs w:val="21"/>
        </w:rPr>
        <w:t> </w:t>
      </w:r>
      <w:r>
        <w:rPr>
          <w:rFonts w:hint="eastAsia" w:hAnsi="宋体"/>
          <w:b/>
          <w:bCs/>
          <w:kern w:val="0"/>
          <w:szCs w:val="21"/>
        </w:rPr>
        <w:t>市场细分与市场定位</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数：4</w:t>
      </w:r>
    </w:p>
    <w:p>
      <w:pPr>
        <w:snapToGrid w:val="0"/>
        <w:spacing w:line="360" w:lineRule="auto"/>
        <w:rPr>
          <w:rFonts w:ascii="宋体" w:hAnsi="宋体"/>
          <w:b/>
          <w:bCs/>
        </w:rPr>
      </w:pPr>
      <w:r>
        <w:rPr>
          <w:rFonts w:ascii="宋体" w:hAnsi="宋体"/>
          <w:b/>
          <w:bCs/>
        </w:rPr>
        <w:t>第一节</w:t>
      </w:r>
      <w:r>
        <w:rPr>
          <w:rFonts w:hint="eastAsia" w:ascii="宋体" w:hAnsi="宋体"/>
          <w:b/>
          <w:bCs/>
        </w:rPr>
        <w:t xml:space="preserve">  市场细分（</w:t>
      </w:r>
      <w:r>
        <w:rPr>
          <w:rFonts w:ascii="宋体" w:hAnsi="宋体"/>
          <w:b/>
          <w:bCs/>
        </w:rPr>
        <w:t>2学时</w:t>
      </w:r>
      <w:r>
        <w:rPr>
          <w:rFonts w:hint="eastAsia" w:ascii="宋体" w:hAnsi="宋体"/>
          <w:b/>
          <w:bCs/>
        </w:rPr>
        <w:t>）</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使学生掌握市场细分的概念、依据和方法，领会市场细分的重要作用。</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市场细分的方法既是本章的重点，也是本章难点。</w:t>
      </w:r>
      <w:r>
        <w:rPr>
          <w:rFonts w:hint="eastAsia" w:ascii="宋体" w:hAnsi="宋体" w:cs="宋体"/>
          <w:kern w:val="0"/>
          <w:szCs w:val="21"/>
        </w:rPr>
        <w:t></w:t>
      </w:r>
    </w:p>
    <w:p>
      <w:pPr>
        <w:pStyle w:val="7"/>
        <w:snapToGrid w:val="0"/>
        <w:spacing w:line="360" w:lineRule="auto"/>
        <w:ind w:right="109" w:rightChars="52" w:firstLine="0" w:firstLineChars="0"/>
        <w:rPr>
          <w:rFonts w:ascii="宋体" w:hAnsi="宋体"/>
          <w:color w:val="0000FF"/>
        </w:rPr>
      </w:pPr>
      <w:r>
        <w:rPr>
          <w:rFonts w:hint="eastAsia" w:ascii="宋体" w:hAnsi="宋体"/>
          <w:b/>
        </w:rPr>
        <w:t>主要教学内容及要求：</w:t>
      </w:r>
      <w:r>
        <w:rPr>
          <w:rFonts w:hint="eastAsia" w:ascii="宋体" w:hAnsi="宋体"/>
        </w:rPr>
        <w:t>了解营销发展的三个阶段；了解市场细分的理论依据和原则；理解市场细分的概念和作用；掌握市场细分的概念与消费者市场细分的标志，通过学习学生应该能够学会对某产品进行市场细分。</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主要以理论讲授为主，结合大量的案例分析，部分重点内容结合相关小视频加深学生对理论的理解。</w:t>
      </w:r>
      <w:r>
        <w:rPr>
          <w:rFonts w:hint="eastAsia" w:ascii="宋体" w:hAnsi="宋体"/>
          <w:szCs w:val="20"/>
        </w:rPr>
        <w:t>同时通过课堂讨论，即时解决学生听课过程中的难点。最后</w:t>
      </w:r>
      <w:r>
        <w:rPr>
          <w:rFonts w:hint="eastAsia" w:ascii="宋体" w:hAnsi="宋体"/>
        </w:rPr>
        <w:t>布置课后作业，让学生利用所学理论知识对某产品进行市场细分，巩固所学理论知识。</w:t>
      </w:r>
      <w:r>
        <w:rPr>
          <w:rFonts w:ascii="宋体" w:hAnsi="宋体"/>
          <w:b/>
          <w:bCs/>
        </w:rPr>
        <w:t xml:space="preserve"> </w:t>
      </w:r>
    </w:p>
    <w:p>
      <w:pPr>
        <w:snapToGrid w:val="0"/>
        <w:spacing w:line="360" w:lineRule="auto"/>
        <w:rPr>
          <w:rFonts w:ascii="宋体" w:hAnsi="宋体"/>
          <w:b/>
          <w:bCs/>
        </w:rPr>
      </w:pPr>
      <w:r>
        <w:rPr>
          <w:rFonts w:ascii="宋体" w:hAnsi="宋体"/>
          <w:b/>
          <w:bCs/>
        </w:rPr>
        <w:t>第</w:t>
      </w:r>
      <w:r>
        <w:rPr>
          <w:rFonts w:hint="eastAsia" w:ascii="宋体" w:hAnsi="宋体"/>
          <w:b/>
          <w:bCs/>
        </w:rPr>
        <w:t>二</w:t>
      </w:r>
      <w:r>
        <w:rPr>
          <w:rFonts w:ascii="宋体" w:hAnsi="宋体"/>
          <w:b/>
          <w:bCs/>
        </w:rPr>
        <w:t>节</w:t>
      </w:r>
      <w:r>
        <w:rPr>
          <w:rFonts w:hint="eastAsia" w:ascii="宋体" w:hAnsi="宋体"/>
          <w:b/>
          <w:bCs/>
        </w:rPr>
        <w:t xml:space="preserve">  目标市场选择与市场定位（</w:t>
      </w:r>
      <w:r>
        <w:rPr>
          <w:rFonts w:ascii="宋体" w:hAnsi="宋体"/>
          <w:b/>
          <w:bCs/>
        </w:rPr>
        <w:t>2学时</w:t>
      </w:r>
      <w:r>
        <w:rPr>
          <w:rFonts w:hint="eastAsia" w:ascii="宋体" w:hAnsi="宋体"/>
          <w:b/>
          <w:bCs/>
        </w:rPr>
        <w:t>）</w:t>
      </w:r>
    </w:p>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通过本章学习，学生应该掌握目标市场策略的选择，以及如何实施成功的市场定位。</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市场定位的方法既是本章的重点，也是本章难点。</w:t>
      </w:r>
      <w:r>
        <w:rPr>
          <w:rFonts w:hint="eastAsia" w:ascii="宋体" w:hAnsi="宋体" w:cs="宋体"/>
          <w:kern w:val="0"/>
          <w:szCs w:val="21"/>
        </w:rPr>
        <w:t></w:t>
      </w:r>
    </w:p>
    <w:p>
      <w:pPr>
        <w:pStyle w:val="7"/>
        <w:tabs>
          <w:tab w:val="left" w:pos="5954"/>
        </w:tabs>
        <w:snapToGrid w:val="0"/>
        <w:spacing w:line="360" w:lineRule="auto"/>
        <w:ind w:right="-29" w:rightChars="-14" w:firstLine="0" w:firstLineChars="0"/>
        <w:rPr>
          <w:rFonts w:ascii="宋体" w:hAnsi="宋体"/>
        </w:rPr>
      </w:pPr>
      <w:r>
        <w:rPr>
          <w:rFonts w:hint="eastAsia" w:ascii="宋体" w:hAnsi="宋体"/>
          <w:b/>
        </w:rPr>
        <w:t>主要教学内容及要求：</w:t>
      </w:r>
      <w:r>
        <w:rPr>
          <w:rFonts w:hint="eastAsia" w:ascii="宋体" w:hAnsi="宋体"/>
        </w:rPr>
        <w:t>了解市场定位的策略；理解目标市场策略；掌握市场定位的概念、提出依据和市场定位的方法，通过学习学生应该能够运用常用的市场定位方法对某企业、品牌或某一城市进行市场定位。</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主要以理论讲授为主，结合大量的案例分析，部分重点内容结合相关小视频加深学生对理论的理解。</w:t>
      </w:r>
      <w:r>
        <w:rPr>
          <w:rFonts w:hint="eastAsia" w:ascii="宋体" w:hAnsi="宋体"/>
          <w:szCs w:val="20"/>
        </w:rPr>
        <w:t>同时通过课堂讨论，即时解决学生听课过程中的难点。最后</w:t>
      </w:r>
      <w:r>
        <w:rPr>
          <w:rFonts w:hint="eastAsia" w:ascii="宋体" w:hAnsi="宋体"/>
        </w:rPr>
        <w:t>布置课后作业，让学生利用所学理论知识对某品牌、企业 或地区进行市场定位，巩固所学理论知识。</w:t>
      </w:r>
    </w:p>
    <w:p>
      <w:pPr>
        <w:widowControl/>
        <w:snapToGrid w:val="0"/>
        <w:spacing w:line="360" w:lineRule="auto"/>
        <w:jc w:val="right"/>
        <w:rPr>
          <w:rFonts w:ascii="宋体" w:hAnsi="宋体"/>
          <w:b/>
          <w:bCs/>
        </w:rPr>
      </w:pPr>
      <w:r>
        <w:rPr>
          <w:b/>
          <w:bCs/>
          <w:kern w:val="0"/>
          <w:szCs w:val="21"/>
        </w:rPr>
        <w:t> </w:t>
      </w:r>
      <w:r>
        <w:rPr>
          <w:rFonts w:hAnsi="宋体"/>
          <w:b/>
          <w:bCs/>
          <w:kern w:val="0"/>
          <w:szCs w:val="21"/>
        </w:rPr>
        <w:t>第</w:t>
      </w:r>
      <w:r>
        <w:rPr>
          <w:rFonts w:hint="eastAsia" w:hAnsi="宋体"/>
          <w:b/>
          <w:bCs/>
          <w:kern w:val="0"/>
          <w:szCs w:val="21"/>
        </w:rPr>
        <w:t>六</w:t>
      </w:r>
      <w:r>
        <w:rPr>
          <w:rFonts w:hAnsi="宋体"/>
          <w:b/>
          <w:bCs/>
          <w:kern w:val="0"/>
          <w:szCs w:val="21"/>
        </w:rPr>
        <w:t>章</w:t>
      </w:r>
      <w:r>
        <w:rPr>
          <w:b/>
          <w:bCs/>
          <w:kern w:val="0"/>
          <w:szCs w:val="21"/>
        </w:rPr>
        <w:t>    </w:t>
      </w:r>
      <w:r>
        <w:rPr>
          <w:rFonts w:hint="eastAsia"/>
          <w:b/>
          <w:bCs/>
          <w:kern w:val="0"/>
          <w:szCs w:val="21"/>
        </w:rPr>
        <w:t>园艺产品营销策略及选择</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数：1</w:t>
      </w:r>
      <w:r>
        <w:rPr>
          <w:rFonts w:hAnsi="宋体"/>
          <w:b/>
          <w:bCs/>
          <w:kern w:val="0"/>
          <w:szCs w:val="21"/>
        </w:rPr>
        <w:t>6</w:t>
      </w:r>
    </w:p>
    <w:p>
      <w:pPr>
        <w:snapToGrid w:val="0"/>
        <w:spacing w:line="360" w:lineRule="auto"/>
        <w:rPr>
          <w:rFonts w:ascii="宋体" w:hAnsi="宋体"/>
          <w:b/>
          <w:bCs/>
        </w:rPr>
      </w:pPr>
      <w:r>
        <w:rPr>
          <w:rFonts w:ascii="宋体" w:hAnsi="宋体"/>
          <w:b/>
          <w:bCs/>
        </w:rPr>
        <w:t>第一节</w:t>
      </w:r>
      <w:r>
        <w:rPr>
          <w:rFonts w:hint="eastAsia" w:ascii="宋体" w:hAnsi="宋体"/>
          <w:b/>
          <w:bCs/>
        </w:rPr>
        <w:t xml:space="preserve">  园艺产品的产品策略（4</w:t>
      </w:r>
      <w:r>
        <w:rPr>
          <w:rFonts w:ascii="宋体" w:hAnsi="宋体"/>
          <w:b/>
          <w:bCs/>
        </w:rPr>
        <w:t>学时</w:t>
      </w:r>
      <w:r>
        <w:rPr>
          <w:rFonts w:hint="eastAsia" w:ascii="宋体" w:hAnsi="宋体"/>
          <w:b/>
          <w:bCs/>
        </w:rPr>
        <w:t>）</w:t>
      </w:r>
    </w:p>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掌握园艺产品营销中的产品整体概念及其不同阶段的营销策略理解产品组合的相关概念，知道如何对企业的产品组合状况进行分析判断和决策；掌握常用的品牌与包装策略；明确市场营销学中的新产品含义，了解新产品开发的组织、程序及市场扩散。</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教学的重点是园艺产品生命周期各阶段的营销特点及营销策略；园艺产品品牌与包装的功能及策略；教学的难点是园艺产品整体概念的理解。</w:t>
      </w:r>
    </w:p>
    <w:p>
      <w:pPr>
        <w:adjustRightInd w:val="0"/>
        <w:snapToGrid w:val="0"/>
        <w:spacing w:line="360" w:lineRule="auto"/>
      </w:pPr>
      <w:r>
        <w:rPr>
          <w:rFonts w:hint="eastAsia" w:ascii="宋体" w:hAnsi="宋体"/>
          <w:b/>
          <w:bCs/>
        </w:rPr>
        <w:t>主要教学内容及要求：</w:t>
      </w:r>
      <w:r>
        <w:rPr>
          <w:rFonts w:hint="eastAsia" w:ascii="宋体" w:hAnsi="宋体"/>
          <w:bCs/>
        </w:rPr>
        <w:t>了</w:t>
      </w:r>
      <w:r>
        <w:rPr>
          <w:rFonts w:hint="eastAsia"/>
        </w:rPr>
        <w:t>解</w:t>
      </w:r>
      <w:r>
        <w:rPr>
          <w:rFonts w:hint="eastAsia" w:ascii="宋体" w:hAnsi="宋体"/>
        </w:rPr>
        <w:t>园艺产品新产品的类型与开发</w:t>
      </w:r>
      <w:r>
        <w:rPr>
          <w:rFonts w:hint="eastAsia" w:ascii="宋体" w:hAnsi="宋体"/>
          <w:bCs/>
        </w:rPr>
        <w:t>；</w:t>
      </w:r>
      <w:r>
        <w:rPr>
          <w:rFonts w:hint="eastAsia" w:ascii="宋体" w:hAnsi="宋体"/>
        </w:rPr>
        <w:t>理解园艺产品的整体概念；</w:t>
      </w:r>
      <w:r>
        <w:rPr>
          <w:rFonts w:hint="eastAsia"/>
        </w:rPr>
        <w:t>掌握</w:t>
      </w:r>
      <w:r>
        <w:rPr>
          <w:rFonts w:hint="eastAsia" w:ascii="宋体" w:hAnsi="宋体"/>
          <w:bCs/>
        </w:rPr>
        <w:t>园艺产品生命周期各阶段的营销特点及营销策略；熟练掌握园艺产品品牌与包装的功能及策略。</w:t>
      </w:r>
    </w:p>
    <w:p>
      <w:pPr>
        <w:widowControl/>
        <w:snapToGrid w:val="0"/>
        <w:spacing w:line="360" w:lineRule="auto"/>
        <w:rPr>
          <w:rFonts w:hAnsi="宋体"/>
          <w:b/>
          <w:kern w:val="0"/>
          <w:szCs w:val="21"/>
        </w:rPr>
      </w:pPr>
      <w:r>
        <w:rPr>
          <w:rFonts w:hint="eastAsia" w:ascii="宋体" w:hAnsi="宋体"/>
          <w:b/>
          <w:bCs/>
        </w:rPr>
        <w:t>教学组织与实施：</w:t>
      </w:r>
      <w:r>
        <w:rPr>
          <w:rFonts w:hint="eastAsia" w:ascii="宋体" w:hAnsi="宋体"/>
          <w:bCs/>
        </w:rPr>
        <w:t>本节内容主要以理论讲授为主，结合大量的案例分析，部分重点内容结合相关小视频加深学生对理论的理解。以包装为例，通过金玉其外的成语故事小视频理解包装的意义及其优缺点。</w:t>
      </w:r>
      <w:r>
        <w:rPr>
          <w:rFonts w:ascii="宋体" w:hAnsi="宋体"/>
          <w:color w:val="0000FF"/>
          <w:szCs w:val="20"/>
        </w:rPr>
        <w:t xml:space="preserve"> </w:t>
      </w:r>
    </w:p>
    <w:p>
      <w:pPr>
        <w:widowControl/>
        <w:snapToGrid w:val="0"/>
        <w:spacing w:line="360" w:lineRule="auto"/>
        <w:jc w:val="left"/>
        <w:rPr>
          <w:b/>
          <w:kern w:val="0"/>
          <w:szCs w:val="21"/>
        </w:rPr>
      </w:pPr>
      <w:r>
        <w:rPr>
          <w:rFonts w:hAnsi="宋体"/>
          <w:b/>
          <w:kern w:val="0"/>
          <w:szCs w:val="21"/>
        </w:rPr>
        <w:t>第</w:t>
      </w:r>
      <w:r>
        <w:rPr>
          <w:rFonts w:hint="eastAsia" w:hAnsi="宋体"/>
          <w:b/>
          <w:kern w:val="0"/>
          <w:szCs w:val="21"/>
        </w:rPr>
        <w:t>二</w:t>
      </w:r>
      <w:r>
        <w:rPr>
          <w:rFonts w:hAnsi="宋体"/>
          <w:b/>
          <w:kern w:val="0"/>
          <w:szCs w:val="21"/>
        </w:rPr>
        <w:t>节</w:t>
      </w:r>
      <w:r>
        <w:rPr>
          <w:rFonts w:hint="eastAsia" w:hAnsi="宋体"/>
          <w:b/>
          <w:kern w:val="0"/>
          <w:szCs w:val="21"/>
        </w:rPr>
        <w:t xml:space="preserve">  </w:t>
      </w:r>
      <w:r>
        <w:rPr>
          <w:rFonts w:hint="eastAsia" w:hAnsi="宋体"/>
          <w:b/>
          <w:bCs/>
          <w:kern w:val="0"/>
          <w:szCs w:val="21"/>
        </w:rPr>
        <w:t>园艺产品的定价策略（</w:t>
      </w:r>
      <w:r>
        <w:rPr>
          <w:rFonts w:hint="eastAsia"/>
          <w:b/>
          <w:kern w:val="0"/>
          <w:szCs w:val="21"/>
        </w:rPr>
        <w:t>2</w:t>
      </w:r>
      <w:r>
        <w:rPr>
          <w:rFonts w:hAnsi="宋体"/>
          <w:b/>
          <w:kern w:val="0"/>
          <w:szCs w:val="21"/>
        </w:rPr>
        <w:t>学时</w:t>
      </w:r>
      <w:r>
        <w:rPr>
          <w:rFonts w:hint="eastAsia" w:hAnsi="宋体"/>
          <w:b/>
          <w:kern w:val="0"/>
          <w:szCs w:val="21"/>
        </w:rPr>
        <w:t>）</w:t>
      </w:r>
    </w:p>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掌握园艺产品价格确定方法及策略应用。</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教学的重点园艺产品定价策略；难点是是影响园艺产品定价的因素。</w:t>
      </w:r>
    </w:p>
    <w:p>
      <w:pPr>
        <w:adjustRightInd w:val="0"/>
        <w:snapToGrid w:val="0"/>
        <w:spacing w:line="360" w:lineRule="auto"/>
        <w:rPr>
          <w:rFonts w:ascii="宋体" w:hAnsi="宋体"/>
        </w:rPr>
      </w:pPr>
      <w:r>
        <w:rPr>
          <w:rFonts w:hint="eastAsia" w:ascii="宋体" w:hAnsi="宋体"/>
          <w:b/>
          <w:bCs/>
        </w:rPr>
        <w:t>主要教学内容及要求：</w:t>
      </w:r>
      <w:r>
        <w:rPr>
          <w:rFonts w:hint="eastAsia" w:ascii="宋体" w:hAnsi="宋体"/>
          <w:bCs/>
        </w:rPr>
        <w:t>了</w:t>
      </w:r>
      <w:r>
        <w:rPr>
          <w:rFonts w:hint="eastAsia"/>
        </w:rPr>
        <w:t>解</w:t>
      </w:r>
      <w:r>
        <w:rPr>
          <w:rFonts w:hint="eastAsia" w:ascii="宋体" w:hAnsi="宋体"/>
          <w:bCs/>
        </w:rPr>
        <w:t>艺产品价格制定程序；理解影响园艺产品定价的主要因素；掌握园艺产品的三大定价方法，熟练掌握并运用价格策略去进行不同类型产品的价格设定。</w:t>
      </w:r>
    </w:p>
    <w:p>
      <w:pPr>
        <w:widowControl/>
        <w:snapToGrid w:val="0"/>
        <w:spacing w:line="360" w:lineRule="auto"/>
        <w:rPr>
          <w:rFonts w:ascii="宋体" w:hAnsi="宋体"/>
          <w:bCs/>
        </w:rPr>
      </w:pPr>
      <w:r>
        <w:rPr>
          <w:rFonts w:hint="eastAsia" w:ascii="宋体" w:hAnsi="宋体"/>
          <w:b/>
          <w:bCs/>
        </w:rPr>
        <w:t>教学组织与实施：</w:t>
      </w:r>
      <w:r>
        <w:rPr>
          <w:rFonts w:hint="eastAsia" w:ascii="宋体" w:hAnsi="宋体"/>
          <w:bCs/>
        </w:rPr>
        <w:t>通过理论结合案例分析的讲授方式使同学们理解产品的定价策略，课后安排作业市场价格调查，让学生了解市场上园艺产品所采用的价格策略及其效果，通过理论与案例及实践相结合的方式了解并掌握园艺产品价格策略。</w:t>
      </w:r>
    </w:p>
    <w:p>
      <w:pPr>
        <w:widowControl/>
        <w:snapToGrid w:val="0"/>
        <w:spacing w:line="360" w:lineRule="auto"/>
        <w:jc w:val="left"/>
        <w:rPr>
          <w:b/>
          <w:kern w:val="0"/>
          <w:szCs w:val="21"/>
        </w:rPr>
      </w:pPr>
      <w:r>
        <w:rPr>
          <w:rFonts w:hAnsi="宋体"/>
          <w:b/>
          <w:kern w:val="0"/>
          <w:szCs w:val="21"/>
        </w:rPr>
        <w:t>第</w:t>
      </w:r>
      <w:r>
        <w:rPr>
          <w:rFonts w:hint="eastAsia" w:hAnsi="宋体"/>
          <w:b/>
          <w:kern w:val="0"/>
          <w:szCs w:val="21"/>
        </w:rPr>
        <w:t>三</w:t>
      </w:r>
      <w:r>
        <w:rPr>
          <w:rFonts w:hAnsi="宋体"/>
          <w:b/>
          <w:kern w:val="0"/>
          <w:szCs w:val="21"/>
        </w:rPr>
        <w:t>节</w:t>
      </w:r>
      <w:r>
        <w:rPr>
          <w:rFonts w:hint="eastAsia" w:hAnsi="宋体"/>
          <w:b/>
          <w:kern w:val="0"/>
          <w:szCs w:val="21"/>
        </w:rPr>
        <w:t xml:space="preserve">  </w:t>
      </w:r>
      <w:r>
        <w:rPr>
          <w:rFonts w:hint="eastAsia" w:hAnsi="宋体"/>
          <w:b/>
          <w:bCs/>
          <w:kern w:val="0"/>
          <w:szCs w:val="21"/>
        </w:rPr>
        <w:t>园艺产品的渠道策略（</w:t>
      </w:r>
      <w:r>
        <w:rPr>
          <w:rFonts w:hint="eastAsia"/>
          <w:b/>
          <w:kern w:val="0"/>
          <w:szCs w:val="21"/>
        </w:rPr>
        <w:t>2</w:t>
      </w:r>
      <w:r>
        <w:rPr>
          <w:rFonts w:hAnsi="宋体"/>
          <w:b/>
          <w:kern w:val="0"/>
          <w:szCs w:val="21"/>
        </w:rPr>
        <w:t>学时</w:t>
      </w:r>
      <w:r>
        <w:rPr>
          <w:rFonts w:hint="eastAsia" w:hAnsi="宋体"/>
          <w:b/>
          <w:kern w:val="0"/>
          <w:szCs w:val="21"/>
        </w:rPr>
        <w:t>）</w:t>
      </w:r>
    </w:p>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了解渠道的各个环节及其作用和意义；利用掌握的园艺产品在全国各个产区生产状况和园艺产品的特点指导园艺产品流通。</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教学的重点和难点是园艺产品的渠道现状及对策。</w:t>
      </w:r>
    </w:p>
    <w:p>
      <w:pPr>
        <w:pStyle w:val="7"/>
        <w:snapToGrid w:val="0"/>
        <w:spacing w:line="360" w:lineRule="auto"/>
        <w:ind w:firstLine="0" w:firstLineChars="0"/>
        <w:jc w:val="left"/>
        <w:rPr>
          <w:rFonts w:ascii="宋体" w:hAnsi="宋体"/>
          <w:bCs/>
          <w:szCs w:val="24"/>
        </w:rPr>
      </w:pPr>
      <w:r>
        <w:rPr>
          <w:rFonts w:hint="eastAsia" w:ascii="宋体" w:hAnsi="宋体"/>
          <w:b/>
          <w:bCs/>
        </w:rPr>
        <w:t>主要教学内容及要求：</w:t>
      </w:r>
      <w:r>
        <w:rPr>
          <w:rFonts w:hint="eastAsia" w:ascii="宋体" w:hAnsi="宋体"/>
          <w:bCs/>
        </w:rPr>
        <w:t>了解渠道</w:t>
      </w:r>
      <w:r>
        <w:rPr>
          <w:rFonts w:hint="eastAsia" w:ascii="宋体" w:hAnsi="宋体"/>
          <w:bCs/>
          <w:szCs w:val="24"/>
        </w:rPr>
        <w:t>的各个环节及其作用和意义</w:t>
      </w:r>
      <w:r>
        <w:rPr>
          <w:rFonts w:hint="eastAsia" w:ascii="宋体" w:hAnsi="宋体"/>
          <w:bCs/>
        </w:rPr>
        <w:t>；理</w:t>
      </w:r>
      <w:r>
        <w:rPr>
          <w:rFonts w:hint="eastAsia" w:ascii="宋体" w:hAnsi="宋体"/>
          <w:bCs/>
          <w:szCs w:val="24"/>
        </w:rPr>
        <w:t>解园艺产品</w:t>
      </w:r>
      <w:r>
        <w:rPr>
          <w:rFonts w:hint="eastAsia" w:ascii="宋体" w:hAnsi="宋体"/>
          <w:bCs/>
        </w:rPr>
        <w:t>市场流通渠道的类型及园艺产品现有的渠道现状与特；</w:t>
      </w:r>
      <w:r>
        <w:rPr>
          <w:rFonts w:hint="eastAsia" w:ascii="宋体" w:hAnsi="宋体"/>
          <w:bCs/>
          <w:szCs w:val="24"/>
        </w:rPr>
        <w:t>掌握园艺产品市场流通渠道的类型，熟练掌握各渠道类型的优缺点及适合的园艺产品种类。</w:t>
      </w:r>
    </w:p>
    <w:p>
      <w:pPr>
        <w:widowControl/>
        <w:snapToGrid w:val="0"/>
        <w:spacing w:line="360" w:lineRule="auto"/>
        <w:rPr>
          <w:rFonts w:ascii="宋体" w:hAnsi="宋体"/>
          <w:bCs/>
        </w:rPr>
      </w:pPr>
      <w:r>
        <w:rPr>
          <w:rFonts w:hint="eastAsia" w:ascii="宋体" w:hAnsi="宋体"/>
          <w:b/>
          <w:bCs/>
        </w:rPr>
        <w:t>教学组织与实施：</w:t>
      </w:r>
      <w:r>
        <w:rPr>
          <w:rFonts w:hint="eastAsia" w:ascii="宋体" w:hAnsi="宋体"/>
          <w:bCs/>
        </w:rPr>
        <w:t>理论讲授为主，列出案例通过课堂讨论进一步加深学生对园艺产品流通渠道重要性的理解。</w:t>
      </w:r>
    </w:p>
    <w:p>
      <w:pPr>
        <w:spacing w:line="360" w:lineRule="auto"/>
      </w:pPr>
      <w:r>
        <w:rPr>
          <w:rFonts w:hint="eastAsia" w:ascii="宋体" w:hAnsi="宋体" w:cs="宋体"/>
          <w:b/>
          <w:bCs/>
        </w:rPr>
        <w:t>第四节  园艺产品促销策略（</w:t>
      </w:r>
      <w:r>
        <w:rPr>
          <w:rFonts w:hint="eastAsia"/>
          <w:b/>
          <w:bCs/>
          <w:kern w:val="0"/>
          <w:szCs w:val="21"/>
        </w:rPr>
        <w:t>5学时</w:t>
      </w:r>
      <w:r>
        <w:rPr>
          <w:rFonts w:hint="eastAsia" w:ascii="宋体" w:hAnsi="宋体" w:cs="宋体"/>
          <w:b/>
          <w:bCs/>
        </w:rPr>
        <w:t>）</w:t>
      </w:r>
    </w:p>
    <w:p>
      <w:pPr>
        <w:spacing w:line="360" w:lineRule="auto"/>
        <w:rPr>
          <w:rFonts w:ascii="宋体" w:hAnsi="宋体" w:cs="宋体"/>
          <w:b/>
          <w:bCs/>
        </w:rPr>
      </w:pPr>
      <w:r>
        <w:rPr>
          <w:rFonts w:hint="eastAsia" w:ascii="宋体" w:hAnsi="宋体"/>
          <w:b/>
          <w:bCs/>
        </w:rPr>
        <w:t>教学目标：</w:t>
      </w:r>
      <w:r>
        <w:rPr>
          <w:rFonts w:hint="eastAsia" w:ascii="宋体" w:hAnsi="宋体" w:cs="宋体"/>
          <w:bCs/>
          <w:szCs w:val="21"/>
        </w:rPr>
        <w:t>促销策略是园艺产品营销学的核心内容之一，学习本节是让同学们真正理解促进销售的意义及促销的方式和组合。</w:t>
      </w:r>
    </w:p>
    <w:p>
      <w:pPr>
        <w:spacing w:line="360" w:lineRule="auto"/>
        <w:rPr>
          <w:rFonts w:ascii="宋体" w:hAnsi="宋体" w:cs="宋体"/>
          <w:b/>
          <w:bCs/>
        </w:rPr>
      </w:pPr>
      <w:r>
        <w:rPr>
          <w:rFonts w:hint="eastAsia" w:ascii="宋体" w:hAnsi="宋体"/>
          <w:b/>
          <w:bCs/>
        </w:rPr>
        <w:t>教学重点和难点：</w:t>
      </w:r>
      <w:r>
        <w:rPr>
          <w:rFonts w:hint="eastAsia" w:ascii="宋体" w:hAnsi="宋体" w:cs="宋体"/>
          <w:bCs/>
          <w:szCs w:val="21"/>
        </w:rPr>
        <w:t>促销的意义和作用；四种促销方式中广告、人员销售、营业推广、公共关系的内容及特点；促销组合策略的种类及选择因素。</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rPr>
          <w:rFonts w:ascii="宋体" w:hAnsi="宋体" w:cs="宋体"/>
          <w:bCs/>
          <w:szCs w:val="21"/>
        </w:rPr>
      </w:pPr>
      <w:r>
        <w:rPr>
          <w:rFonts w:hint="eastAsia" w:ascii="宋体" w:hAnsi="宋体" w:cs="宋体"/>
          <w:bCs/>
        </w:rPr>
        <w:t>本节主要介绍了园艺产品的促销策略，促销的作用与原则；</w:t>
      </w:r>
      <w:r>
        <w:rPr>
          <w:rFonts w:hint="eastAsia" w:ascii="宋体" w:hAnsi="宋体" w:cs="宋体"/>
          <w:bCs/>
          <w:szCs w:val="21"/>
        </w:rPr>
        <w:t>四种</w:t>
      </w:r>
      <w:r>
        <w:rPr>
          <w:rFonts w:hint="eastAsia" w:ascii="宋体" w:hAnsi="宋体" w:cs="宋体"/>
          <w:bCs/>
        </w:rPr>
        <w:t>促销方式</w:t>
      </w:r>
      <w:r>
        <w:rPr>
          <w:rFonts w:hint="eastAsia" w:ascii="宋体" w:hAnsi="宋体" w:cs="宋体"/>
          <w:bCs/>
          <w:szCs w:val="21"/>
        </w:rPr>
        <w:t>中广告、人员销售、营业推广、公共关系的概念、形式、特点及原则；促销组合策略的种类及影响选择促销组合策略的因素。</w:t>
      </w:r>
    </w:p>
    <w:p>
      <w:pPr>
        <w:spacing w:line="360" w:lineRule="auto"/>
        <w:ind w:firstLine="420" w:firstLineChars="200"/>
        <w:rPr>
          <w:rFonts w:ascii="宋体" w:hAnsi="宋体"/>
          <w:b/>
        </w:rPr>
      </w:pPr>
      <w:r>
        <w:rPr>
          <w:rFonts w:hint="eastAsia" w:ascii="宋体" w:hAnsi="宋体" w:cs="宋体"/>
          <w:bCs/>
          <w:szCs w:val="21"/>
        </w:rPr>
        <w:t>要求学生理解促销与促销组合的概念，各种促销方式的基本原则；掌握促销策略的作用与原则，促销的四种方式及各方式的概念及特点；熟练掌握四种促销方式的具体形式，促销组合策略的种类以及影响选择促销组合策略的因素。</w:t>
      </w:r>
    </w:p>
    <w:p>
      <w:pPr>
        <w:spacing w:line="360" w:lineRule="auto"/>
        <w:rPr>
          <w:rFonts w:ascii="宋体" w:hAnsi="宋体"/>
          <w:b/>
          <w:bCs/>
        </w:rPr>
      </w:pPr>
      <w:r>
        <w:rPr>
          <w:rFonts w:hint="eastAsia" w:ascii="宋体" w:hAnsi="宋体"/>
          <w:b/>
          <w:bCs/>
        </w:rPr>
        <w:t>教学组织与实施：</w:t>
      </w:r>
      <w:r>
        <w:rPr>
          <w:rFonts w:hint="eastAsia" w:ascii="宋体" w:hAnsi="宋体" w:cs="宋体"/>
        </w:rPr>
        <w:t>由浅入深引导学生掌握乃至熟练掌握本节的重点难点，使学生既能从总体上理解促销及促销组合的概念，又能具体掌握不同促销方式的特点、原则以及适用环境。</w:t>
      </w:r>
    </w:p>
    <w:p>
      <w:pPr>
        <w:spacing w:line="360" w:lineRule="auto"/>
        <w:rPr>
          <w:rFonts w:ascii="宋体" w:hAnsi="宋体"/>
          <w:b/>
          <w:bCs/>
        </w:rPr>
      </w:pPr>
      <w:r>
        <w:rPr>
          <w:b/>
          <w:bCs/>
        </w:rPr>
        <w:t>第五节  园艺产品营销组合战略</w:t>
      </w:r>
      <w:r>
        <w:rPr>
          <w:rFonts w:hint="eastAsia"/>
          <w:b/>
          <w:bCs/>
        </w:rPr>
        <w:t>（3学时）</w:t>
      </w:r>
    </w:p>
    <w:p>
      <w:pPr>
        <w:spacing w:line="360" w:lineRule="auto"/>
      </w:pPr>
      <w:r>
        <w:rPr>
          <w:rFonts w:hint="eastAsia" w:ascii="宋体" w:hAnsi="宋体" w:cs="宋体"/>
          <w:b/>
          <w:bCs/>
        </w:rPr>
        <w:t>教学目标：</w:t>
      </w:r>
      <w:r>
        <w:rPr>
          <w:rFonts w:hint="eastAsia" w:ascii="宋体" w:hAnsi="宋体" w:cs="宋体"/>
        </w:rPr>
        <w:t>营销组合战略</w:t>
      </w:r>
      <w:r>
        <w:rPr>
          <w:rFonts w:hint="eastAsia" w:ascii="宋体" w:hAnsi="宋体" w:cs="宋体"/>
          <w:szCs w:val="21"/>
        </w:rPr>
        <w:t>是</w:t>
      </w:r>
      <w:r>
        <w:rPr>
          <w:rFonts w:hint="eastAsia" w:ascii="宋体" w:hAnsi="宋体" w:cs="宋体"/>
        </w:rPr>
        <w:t>园艺产品</w:t>
      </w:r>
      <w:r>
        <w:rPr>
          <w:rFonts w:hint="eastAsia" w:ascii="宋体" w:hAnsi="宋体" w:cs="宋体"/>
          <w:szCs w:val="21"/>
        </w:rPr>
        <w:t>营销学的核心内容之一，学习本节是让同学们真正理解并掌握</w:t>
      </w:r>
      <w:r>
        <w:rPr>
          <w:rFonts w:hint="eastAsia" w:ascii="宋体" w:hAnsi="宋体" w:cs="宋体"/>
        </w:rPr>
        <w:t>园艺产品营销组合战略含义、意义以及我国园艺产品国际营销组合战略与国内营销组合策略的内容与区别。</w:t>
      </w:r>
    </w:p>
    <w:p>
      <w:pPr>
        <w:spacing w:line="360" w:lineRule="auto"/>
        <w:rPr>
          <w:rFonts w:ascii="宋体" w:hAnsi="宋体"/>
          <w:b/>
          <w:bCs/>
        </w:rPr>
      </w:pPr>
      <w:r>
        <w:rPr>
          <w:rFonts w:hint="eastAsia" w:ascii="宋体" w:hAnsi="宋体" w:cs="宋体"/>
          <w:b/>
          <w:bCs/>
        </w:rPr>
        <w:t>教学重点和难点：</w:t>
      </w:r>
      <w:r>
        <w:rPr>
          <w:rFonts w:hint="eastAsia" w:ascii="宋体" w:hAnsi="宋体" w:cs="宋体"/>
        </w:rPr>
        <w:t>园艺产品营销组合及营销组合战略的含义、意义；我国园艺产品国际营销组合战略中产品、价格、促销、渠道四种策略的内容及与国内营销组合策略的区别。</w:t>
      </w:r>
    </w:p>
    <w:p>
      <w:pPr>
        <w:spacing w:line="360" w:lineRule="auto"/>
        <w:rPr>
          <w:rFonts w:ascii="宋体" w:hAnsi="宋体"/>
          <w:b/>
        </w:rPr>
      </w:pPr>
      <w:r>
        <w:rPr>
          <w:rFonts w:hint="eastAsia" w:ascii="宋体" w:hAnsi="宋体" w:cs="宋体"/>
          <w:b/>
        </w:rPr>
        <w:t>主要教学内容及要求：</w:t>
      </w:r>
    </w:p>
    <w:p>
      <w:pPr>
        <w:spacing w:line="360" w:lineRule="auto"/>
        <w:ind w:firstLine="420" w:firstLineChars="200"/>
        <w:rPr>
          <w:rFonts w:ascii="宋体" w:hAnsi="宋体" w:cs="宋体"/>
          <w:bCs/>
        </w:rPr>
      </w:pPr>
      <w:r>
        <w:rPr>
          <w:rFonts w:hint="eastAsia" w:ascii="宋体" w:hAnsi="宋体" w:cs="宋体"/>
          <w:bCs/>
        </w:rPr>
        <w:t>本节主要介绍了园艺产品营销组合及营销组合战略的含义、意义；加入世贸组织后我国园艺产业的现状；我国园艺产品国际营销组合战略中产品、价格、促销、渠道四种策略的内容及与国内营销组合策略的区别。</w:t>
      </w:r>
    </w:p>
    <w:p>
      <w:pPr>
        <w:spacing w:line="360" w:lineRule="auto"/>
        <w:ind w:firstLine="420" w:firstLineChars="200"/>
        <w:rPr>
          <w:rFonts w:ascii="宋体" w:hAnsi="宋体"/>
          <w:b/>
          <w:bCs/>
        </w:rPr>
      </w:pPr>
      <w:r>
        <w:rPr>
          <w:rFonts w:hint="eastAsia" w:ascii="宋体" w:hAnsi="宋体" w:cs="宋体"/>
          <w:bCs/>
        </w:rPr>
        <w:t>要求学生了解我国园艺产业在加入世贸组织后的现状及优势，理解营销组合及营销组合战略的含义、营销组合的意义，掌握我国园艺产品营销组合战略中的产品策略、价格策略、促销策略以及渠道策略，掌握国际营销组合策略和国内营销组合策略的区别。</w:t>
      </w:r>
    </w:p>
    <w:p>
      <w:pPr>
        <w:spacing w:line="360" w:lineRule="auto"/>
        <w:rPr>
          <w:rFonts w:ascii="宋体" w:hAnsi="宋体" w:cs="宋体"/>
        </w:rPr>
      </w:pPr>
      <w:r>
        <w:rPr>
          <w:rFonts w:hint="eastAsia" w:ascii="宋体" w:hAnsi="宋体" w:cs="宋体"/>
          <w:b/>
          <w:bCs/>
        </w:rPr>
        <w:t>教学组织与实施：</w:t>
      </w:r>
      <w:r>
        <w:rPr>
          <w:rFonts w:hint="eastAsia" w:ascii="宋体" w:hAnsi="宋体" w:cs="宋体"/>
        </w:rPr>
        <w:t>根据本节特点，应指导学生理解并掌握在实际案例中如何运用园艺产品营销组合策略，让学生自己思考并提出方案，再将不同的方案相互比较，争取找到最优方案。在讨论过程中，加深学生对营销组合策略的理解，并掌握制定思路。</w:t>
      </w:r>
    </w:p>
    <w:p>
      <w:pPr>
        <w:snapToGrid w:val="0"/>
        <w:spacing w:line="360" w:lineRule="auto"/>
        <w:rPr>
          <w:rFonts w:ascii="宋体" w:hAnsi="宋体"/>
          <w:b/>
          <w:szCs w:val="21"/>
        </w:rPr>
      </w:pPr>
      <w:r>
        <w:rPr>
          <w:rFonts w:hint="eastAsia" w:ascii="宋体" w:hAnsi="宋体"/>
          <w:b/>
          <w:szCs w:val="21"/>
        </w:rPr>
        <w:t>五</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ascii="宋体" w:hAnsi="宋体"/>
          <w:bCs/>
          <w:kern w:val="0"/>
          <w:szCs w:val="21"/>
        </w:rPr>
      </w:pPr>
      <w:r>
        <w:rPr>
          <w:rFonts w:hint="eastAsia" w:ascii="宋体" w:hAnsi="宋体"/>
          <w:bCs/>
          <w:kern w:val="0"/>
          <w:szCs w:val="21"/>
        </w:rPr>
        <w:t>（1）制定园艺产品营销方案需要遵守相关原则，如诚实守信、遵守国家相关法律法规，以及避免恶意竞争等。通过这些部分的讲授，培养学生正确的三观，明确道德底线。</w:t>
      </w:r>
    </w:p>
    <w:p>
      <w:pPr>
        <w:snapToGrid w:val="0"/>
        <w:spacing w:line="360" w:lineRule="auto"/>
        <w:ind w:firstLine="420" w:firstLineChars="200"/>
        <w:rPr>
          <w:rFonts w:hAnsi="宋体"/>
          <w:color w:val="0000FF"/>
          <w:szCs w:val="21"/>
        </w:rPr>
      </w:pPr>
      <w:r>
        <w:rPr>
          <w:rFonts w:hint="eastAsia" w:ascii="宋体" w:hAnsi="宋体"/>
          <w:bCs/>
          <w:kern w:val="0"/>
          <w:szCs w:val="21"/>
        </w:rPr>
        <w:t>（</w:t>
      </w:r>
      <w:r>
        <w:rPr>
          <w:rFonts w:ascii="宋体" w:hAnsi="宋体"/>
          <w:bCs/>
          <w:kern w:val="0"/>
          <w:szCs w:val="21"/>
        </w:rPr>
        <w:t>2</w:t>
      </w:r>
      <w:r>
        <w:rPr>
          <w:rFonts w:hint="eastAsia" w:ascii="宋体" w:hAnsi="宋体"/>
          <w:bCs/>
          <w:kern w:val="0"/>
          <w:szCs w:val="21"/>
        </w:rPr>
        <w:t>）营销方案需要营销人员的通力配合才能得以完成，对企业内部而言，需要各部门团结合作，互相成就；对部门内部员工来讲，需要全力以赴才能有最佳成绩。通过这些部分的讲授让学生明白团结的重要性，同时要有力争上游，不断进取的良好心态来面对学习和以后的工作。</w:t>
      </w:r>
    </w:p>
    <w:p>
      <w:pPr>
        <w:widowControl/>
        <w:snapToGrid w:val="0"/>
        <w:spacing w:line="360" w:lineRule="auto"/>
        <w:jc w:val="left"/>
        <w:rPr>
          <w:kern w:val="0"/>
          <w:szCs w:val="21"/>
        </w:rPr>
      </w:pPr>
      <w:r>
        <w:rPr>
          <w:rFonts w:hint="eastAsia" w:hAnsi="宋体"/>
          <w:b/>
          <w:bCs/>
          <w:kern w:val="0"/>
          <w:szCs w:val="21"/>
        </w:rPr>
        <w:t>六</w:t>
      </w:r>
      <w:r>
        <w:rPr>
          <w:rFonts w:hAnsi="宋体"/>
          <w:b/>
          <w:bCs/>
          <w:kern w:val="0"/>
          <w:szCs w:val="21"/>
        </w:rPr>
        <w:t>、教材</w:t>
      </w:r>
      <w:r>
        <w:rPr>
          <w:rFonts w:hint="eastAsia" w:hAnsi="宋体"/>
          <w:b/>
          <w:bCs/>
          <w:kern w:val="0"/>
          <w:szCs w:val="21"/>
        </w:rPr>
        <w:t>及教学参考书</w:t>
      </w:r>
      <w:r>
        <w:rPr>
          <w:rFonts w:hint="eastAsia" w:ascii="宋体" w:hAnsi="宋体" w:cs="宋体"/>
          <w:b/>
          <w:bCs/>
          <w:color w:val="0000FF"/>
          <w:kern w:val="0"/>
          <w:szCs w:val="21"/>
        </w:rPr>
        <w:t></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hAnsi="宋体"/>
          <w:bCs/>
          <w:kern w:val="0"/>
          <w:szCs w:val="21"/>
        </w:rPr>
      </w:pPr>
      <w:r>
        <w:rPr>
          <w:rFonts w:hint="eastAsia" w:ascii="宋体" w:hAnsi="宋体"/>
          <w:bCs/>
          <w:kern w:val="0"/>
          <w:szCs w:val="21"/>
        </w:rPr>
        <w:t>（1）理论课教材：</w:t>
      </w:r>
      <w:r>
        <w:rPr>
          <w:rFonts w:hint="eastAsia" w:hAnsi="宋体"/>
          <w:bCs/>
          <w:kern w:val="0"/>
          <w:szCs w:val="21"/>
        </w:rPr>
        <w:t>园艺产品营销</w:t>
      </w:r>
      <w:r>
        <w:rPr>
          <w:rFonts w:hAnsi="宋体"/>
          <w:bCs/>
          <w:kern w:val="0"/>
          <w:szCs w:val="21"/>
        </w:rPr>
        <w:t>，</w:t>
      </w:r>
      <w:r>
        <w:rPr>
          <w:rFonts w:hint="eastAsia" w:hAnsi="宋体"/>
          <w:bCs/>
          <w:kern w:val="0"/>
          <w:szCs w:val="21"/>
        </w:rPr>
        <w:t xml:space="preserve">崔坤 </w:t>
      </w:r>
      <w:r>
        <w:rPr>
          <w:rFonts w:hAnsi="宋体"/>
          <w:bCs/>
          <w:kern w:val="0"/>
          <w:szCs w:val="21"/>
        </w:rPr>
        <w:t>编著，</w:t>
      </w:r>
      <w:r>
        <w:rPr>
          <w:rFonts w:hint="eastAsia" w:hAnsi="宋体"/>
          <w:bCs/>
          <w:kern w:val="0"/>
          <w:szCs w:val="21"/>
        </w:rPr>
        <w:t>中国农业出版社</w:t>
      </w:r>
      <w:r>
        <w:rPr>
          <w:rFonts w:hAnsi="宋体"/>
          <w:bCs/>
          <w:kern w:val="0"/>
          <w:szCs w:val="21"/>
        </w:rPr>
        <w:t>，</w:t>
      </w:r>
      <w:r>
        <w:rPr>
          <w:rFonts w:hint="eastAsia" w:hAnsi="宋体"/>
          <w:bCs/>
          <w:kern w:val="0"/>
          <w:szCs w:val="21"/>
        </w:rPr>
        <w:t>20</w:t>
      </w:r>
      <w:r>
        <w:rPr>
          <w:rFonts w:hAnsi="宋体"/>
          <w:bCs/>
          <w:kern w:val="0"/>
          <w:szCs w:val="21"/>
        </w:rPr>
        <w:t>06</w:t>
      </w:r>
      <w:r>
        <w:rPr>
          <w:rFonts w:hint="eastAsia" w:hAnsi="宋体"/>
          <w:bCs/>
          <w:kern w:val="0"/>
          <w:szCs w:val="21"/>
        </w:rPr>
        <w:t>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napToGrid w:val="0"/>
        <w:spacing w:line="360" w:lineRule="auto"/>
        <w:ind w:firstLine="420" w:firstLineChars="200"/>
        <w:rPr>
          <w:rFonts w:hAnsi="宋体"/>
          <w:b/>
          <w:bCs/>
          <w:strike/>
          <w:color w:val="0000FF"/>
          <w:kern w:val="0"/>
          <w:szCs w:val="21"/>
        </w:rPr>
      </w:pPr>
      <w:r>
        <w:rPr>
          <w:rFonts w:hAnsi="宋体"/>
          <w:bCs/>
          <w:kern w:val="0"/>
          <w:szCs w:val="21"/>
        </w:rPr>
        <w:t>（</w:t>
      </w:r>
      <w:r>
        <w:rPr>
          <w:bCs/>
          <w:kern w:val="0"/>
          <w:szCs w:val="21"/>
        </w:rPr>
        <w:t>1</w:t>
      </w:r>
      <w:r>
        <w:rPr>
          <w:rFonts w:hAnsi="宋体"/>
          <w:bCs/>
          <w:kern w:val="0"/>
          <w:szCs w:val="21"/>
        </w:rPr>
        <w:t>）</w:t>
      </w:r>
      <w:r>
        <w:rPr>
          <w:rFonts w:hint="eastAsia" w:hAnsi="宋体"/>
          <w:bCs/>
          <w:kern w:val="0"/>
          <w:szCs w:val="21"/>
        </w:rPr>
        <w:t>市场营销学。薛云建。人民邮电出版社，</w:t>
      </w:r>
      <w:r>
        <w:rPr>
          <w:rFonts w:ascii="Arial" w:hAnsi="Arial" w:cs="Arial"/>
          <w:color w:val="333333"/>
          <w:sz w:val="18"/>
          <w:szCs w:val="18"/>
          <w:shd w:val="clear" w:color="auto" w:fill="FFFFFF"/>
        </w:rPr>
        <w:t>2013</w:t>
      </w:r>
      <w:r>
        <w:rPr>
          <w:rFonts w:hint="eastAsia" w:ascii="Arial" w:hAnsi="Arial" w:cs="Arial"/>
          <w:color w:val="333333"/>
          <w:sz w:val="18"/>
          <w:szCs w:val="18"/>
          <w:shd w:val="clear" w:color="auto" w:fill="FFFFFF"/>
        </w:rPr>
        <w:t>年。</w:t>
      </w:r>
    </w:p>
    <w:p>
      <w:pPr>
        <w:snapToGrid w:val="0"/>
        <w:spacing w:line="360" w:lineRule="auto"/>
        <w:ind w:firstLine="420" w:firstLineChars="200"/>
        <w:jc w:val="left"/>
        <w:rPr>
          <w:rFonts w:hAnsi="宋体"/>
          <w:bCs/>
          <w:kern w:val="0"/>
          <w:szCs w:val="21"/>
        </w:rPr>
      </w:pPr>
      <w:r>
        <w:rPr>
          <w:rFonts w:hAnsi="宋体"/>
          <w:bCs/>
          <w:kern w:val="0"/>
          <w:szCs w:val="21"/>
        </w:rPr>
        <w:t>（</w:t>
      </w:r>
      <w:r>
        <w:rPr>
          <w:bCs/>
          <w:kern w:val="0"/>
          <w:szCs w:val="21"/>
        </w:rPr>
        <w:t>2</w:t>
      </w:r>
      <w:r>
        <w:rPr>
          <w:rFonts w:hAnsi="宋体"/>
          <w:bCs/>
          <w:kern w:val="0"/>
          <w:szCs w:val="21"/>
        </w:rPr>
        <w:t>）</w:t>
      </w:r>
      <w:r>
        <w:rPr>
          <w:rFonts w:ascii="Arial" w:hAnsi="Arial" w:cs="Arial"/>
          <w:color w:val="333333"/>
          <w:szCs w:val="21"/>
          <w:shd w:val="clear" w:color="auto" w:fill="FFFFFF"/>
        </w:rPr>
        <w:t>市场营销原理（美国版）</w:t>
      </w:r>
      <w:r>
        <w:rPr>
          <w:rFonts w:hint="eastAsia" w:hAnsi="宋体"/>
          <w:bCs/>
          <w:kern w:val="0"/>
          <w:szCs w:val="21"/>
        </w:rPr>
        <w:t>。菲利普·科特勒 。机械工业出版社，</w:t>
      </w:r>
      <w:r>
        <w:rPr>
          <w:rFonts w:hAnsi="宋体"/>
          <w:bCs/>
          <w:kern w:val="0"/>
          <w:szCs w:val="21"/>
        </w:rPr>
        <w:t>2010</w:t>
      </w:r>
      <w:r>
        <w:rPr>
          <w:rFonts w:hint="eastAsia" w:hAnsi="宋体"/>
          <w:bCs/>
          <w:kern w:val="0"/>
          <w:szCs w:val="21"/>
        </w:rPr>
        <w:t>年</w:t>
      </w:r>
    </w:p>
    <w:p>
      <w:pPr>
        <w:snapToGrid w:val="0"/>
        <w:spacing w:line="360" w:lineRule="auto"/>
        <w:ind w:firstLine="420" w:firstLineChars="200"/>
        <w:rPr>
          <w:rFonts w:ascii="宋体" w:hAnsi="宋体"/>
          <w:szCs w:val="21"/>
        </w:rPr>
      </w:pPr>
      <w:r>
        <w:rPr>
          <w:rFonts w:hint="eastAsia" w:hAnsi="宋体"/>
          <w:bCs/>
          <w:kern w:val="0"/>
          <w:szCs w:val="21"/>
        </w:rPr>
        <w:t>（3）市场营销学。吴建安。高等教育出版社，</w:t>
      </w:r>
      <w:r>
        <w:rPr>
          <w:rFonts w:hAnsi="宋体"/>
          <w:bCs/>
          <w:kern w:val="0"/>
          <w:szCs w:val="21"/>
        </w:rPr>
        <w:t>2007</w:t>
      </w:r>
      <w:r>
        <w:rPr>
          <w:rFonts w:hint="eastAsia" w:hAnsi="宋体"/>
          <w:bCs/>
          <w:kern w:val="0"/>
          <w:szCs w:val="21"/>
        </w:rPr>
        <w:t>年</w:t>
      </w:r>
    </w:p>
    <w:p>
      <w:pPr>
        <w:widowControl/>
        <w:snapToGrid w:val="0"/>
        <w:spacing w:line="360" w:lineRule="auto"/>
        <w:ind w:firstLine="422" w:firstLineChars="200"/>
        <w:jc w:val="left"/>
        <w:rPr>
          <w:b/>
          <w:kern w:val="0"/>
          <w:szCs w:val="21"/>
        </w:rPr>
      </w:pPr>
      <w:r>
        <w:rPr>
          <w:rFonts w:hint="eastAsia"/>
          <w:b/>
          <w:kern w:val="0"/>
          <w:szCs w:val="21"/>
        </w:rPr>
        <w:t>3.推荐网站：</w:t>
      </w:r>
    </w:p>
    <w:p>
      <w:pPr>
        <w:snapToGrid w:val="0"/>
        <w:spacing w:line="360" w:lineRule="auto"/>
        <w:ind w:firstLine="420" w:firstLineChars="200"/>
        <w:rPr>
          <w:rFonts w:ascii="宋体" w:hAnsi="宋体"/>
          <w:szCs w:val="21"/>
        </w:rPr>
      </w:pPr>
      <w:r>
        <w:rPr>
          <w:rFonts w:hint="eastAsia" w:ascii="宋体" w:hAnsi="宋体"/>
          <w:szCs w:val="21"/>
        </w:rPr>
        <w:t>（1）爱课程，</w:t>
      </w:r>
      <w:r>
        <w:rPr>
          <w:rFonts w:ascii="宋体" w:hAnsi="宋体"/>
          <w:szCs w:val="21"/>
        </w:rPr>
        <w:t>http://www.icourses.cn/home/#</w:t>
      </w:r>
    </w:p>
    <w:p>
      <w:pPr>
        <w:widowControl/>
        <w:snapToGrid w:val="0"/>
        <w:spacing w:line="360" w:lineRule="auto"/>
        <w:ind w:firstLine="420" w:firstLineChars="200"/>
        <w:jc w:val="left"/>
        <w:rPr>
          <w:kern w:val="0"/>
        </w:rPr>
      </w:pPr>
      <w:r>
        <w:rPr>
          <w:rFonts w:hint="eastAsia" w:ascii="宋体" w:hAnsi="宋体"/>
          <w:szCs w:val="21"/>
        </w:rPr>
        <w:t>（2）中国大学MOOC，</w:t>
      </w:r>
      <w:r>
        <w:rPr>
          <w:rFonts w:ascii="宋体" w:hAnsi="宋体"/>
          <w:szCs w:val="21"/>
        </w:rPr>
        <w:t>https://www.icourse163.org/</w:t>
      </w:r>
      <w:r>
        <w:rPr>
          <w:kern w:val="0"/>
        </w:rPr>
        <w:t> </w:t>
      </w:r>
    </w:p>
    <w:p>
      <w:pPr>
        <w:widowControl/>
        <w:snapToGrid w:val="0"/>
        <w:spacing w:line="360" w:lineRule="auto"/>
        <w:jc w:val="left"/>
        <w:rPr>
          <w:rFonts w:hAnsi="宋体"/>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widowControl/>
        <w:snapToGrid w:val="0"/>
        <w:spacing w:line="360" w:lineRule="auto"/>
        <w:ind w:firstLine="420" w:firstLineChars="200"/>
        <w:jc w:val="left"/>
        <w:rPr>
          <w:rFonts w:ascii="宋体" w:hAnsi="宋体"/>
          <w:color w:val="0000FF"/>
          <w:szCs w:val="21"/>
        </w:rPr>
      </w:pPr>
      <w:r>
        <w:rPr>
          <w:rFonts w:hint="eastAsia" w:ascii="宋体" w:hAnsi="宋体"/>
          <w:szCs w:val="21"/>
        </w:rPr>
        <w:t>分园艺产品营销学理论课程采用多媒体辅助教学手段，在三号教学楼或工程楼教室完成。</w:t>
      </w:r>
      <w:r>
        <w:rPr>
          <w:rFonts w:hint="eastAsia" w:ascii="宋体" w:hAnsi="宋体"/>
          <w:color w:val="0000FF"/>
          <w:szCs w:val="21"/>
        </w:rPr>
        <w:t></w:t>
      </w:r>
    </w:p>
    <w:p>
      <w:pPr>
        <w:widowControl/>
        <w:snapToGrid w:val="0"/>
        <w:spacing w:line="360" w:lineRule="auto"/>
        <w:jc w:val="left"/>
        <w:rPr>
          <w:rFonts w:hAnsi="宋体"/>
          <w:b/>
          <w:bCs/>
          <w:kern w:val="0"/>
          <w:szCs w:val="21"/>
        </w:rPr>
      </w:pPr>
      <w:r>
        <w:rPr>
          <w:rFonts w:hint="eastAsia" w:hAnsi="宋体"/>
          <w:b/>
          <w:bCs/>
          <w:kern w:val="0"/>
          <w:szCs w:val="21"/>
        </w:rPr>
        <w:t>八、教学考核评价</w:t>
      </w:r>
    </w:p>
    <w:p>
      <w:pPr>
        <w:widowControl/>
        <w:snapToGrid w:val="0"/>
        <w:spacing w:line="360" w:lineRule="auto"/>
        <w:ind w:firstLine="420"/>
        <w:jc w:val="left"/>
        <w:rPr>
          <w:rFonts w:ascii="宋体" w:hAnsi="宋体"/>
          <w:szCs w:val="21"/>
        </w:rPr>
      </w:pPr>
      <w:r>
        <w:rPr>
          <w:rFonts w:hint="eastAsia" w:hAnsi="宋体"/>
          <w:b/>
          <w:bCs/>
          <w:kern w:val="0"/>
          <w:szCs w:val="21"/>
        </w:rPr>
        <w:t>1.过程性评价：</w:t>
      </w:r>
      <w:r>
        <w:rPr>
          <w:rFonts w:hint="eastAsia" w:ascii="宋体" w:hAnsi="宋体"/>
        </w:rPr>
        <w:t>平时成绩（占总成绩百分之五十）：主要根据考勤、作业、听课状态和笔记完成情况给予成绩。</w:t>
      </w:r>
      <w:r>
        <w:rPr>
          <w:rFonts w:ascii="宋体" w:hAnsi="宋体"/>
          <w:color w:val="0000FF"/>
          <w:szCs w:val="21"/>
        </w:rPr>
        <w:t xml:space="preserve"> </w:t>
      </w:r>
    </w:p>
    <w:p>
      <w:pPr>
        <w:snapToGrid w:val="0"/>
        <w:spacing w:line="360" w:lineRule="auto"/>
        <w:ind w:firstLine="422" w:firstLineChars="200"/>
        <w:rPr>
          <w:rFonts w:ascii="宋体" w:hAnsi="宋体"/>
          <w:szCs w:val="21"/>
        </w:rPr>
      </w:pPr>
      <w:r>
        <w:rPr>
          <w:rFonts w:hint="eastAsia" w:hAnsi="宋体"/>
          <w:b/>
          <w:bCs/>
          <w:kern w:val="0"/>
          <w:szCs w:val="21"/>
        </w:rPr>
        <w:t>2.终结性评价：</w:t>
      </w:r>
      <w:r>
        <w:rPr>
          <w:rFonts w:hint="eastAsia" w:hAnsi="宋体"/>
          <w:kern w:val="0"/>
          <w:szCs w:val="21"/>
        </w:rPr>
        <w:t>平时成绩占50%，课程论文成绩占50%。</w:t>
      </w:r>
    </w:p>
    <w:p>
      <w:pPr>
        <w:snapToGrid w:val="0"/>
        <w:spacing w:line="360" w:lineRule="auto"/>
        <w:ind w:firstLine="422" w:firstLineChars="200"/>
        <w:rPr>
          <w:rFonts w:ascii="宋体" w:hAnsi="宋体"/>
          <w:bCs/>
          <w:color w:val="0000FF"/>
          <w:szCs w:val="21"/>
        </w:rPr>
      </w:pPr>
      <w:r>
        <w:rPr>
          <w:rFonts w:hint="eastAsia" w:hAnsi="宋体"/>
          <w:b/>
          <w:bCs/>
          <w:kern w:val="0"/>
          <w:szCs w:val="21"/>
        </w:rPr>
        <w:t>3.课程综合评价：</w:t>
      </w:r>
      <w:r>
        <w:rPr>
          <w:szCs w:val="21"/>
        </w:rPr>
        <w:t>课程成绩由平时成绩和期末</w:t>
      </w:r>
      <w:r>
        <w:rPr>
          <w:rFonts w:hint="eastAsia"/>
          <w:szCs w:val="21"/>
        </w:rPr>
        <w:t>课程论文</w:t>
      </w:r>
      <w:r>
        <w:rPr>
          <w:szCs w:val="21"/>
        </w:rPr>
        <w:t>成绩组成，满分100分，其中平时成绩</w:t>
      </w:r>
      <w:r>
        <w:rPr>
          <w:bCs/>
          <w:color w:val="000000"/>
          <w:szCs w:val="21"/>
        </w:rPr>
        <w:t>占课程最终成绩的50%，</w:t>
      </w:r>
      <w:r>
        <w:rPr>
          <w:rFonts w:hint="eastAsia"/>
          <w:bCs/>
          <w:color w:val="000000"/>
          <w:szCs w:val="21"/>
        </w:rPr>
        <w:t>课程论文</w:t>
      </w:r>
      <w:r>
        <w:rPr>
          <w:bCs/>
          <w:color w:val="000000"/>
          <w:szCs w:val="21"/>
        </w:rPr>
        <w:t>成绩占课程最终成绩的50%</w:t>
      </w:r>
      <w:r>
        <w:rPr>
          <w:szCs w:val="21"/>
        </w:rPr>
        <w:t>。</w:t>
      </w:r>
      <w:r>
        <w:rPr>
          <w:rFonts w:hint="eastAsia" w:ascii="宋体" w:hAnsi="宋体"/>
        </w:rPr>
        <w:t>通过考核了解学生课程知识点掌握情况，加强理解。</w:t>
      </w:r>
    </w:p>
    <w:p>
      <w:pPr>
        <w:pStyle w:val="21"/>
        <w:rPr>
          <w:sz w:val="28"/>
          <w:szCs w:val="28"/>
        </w:rPr>
      </w:pPr>
      <w:bookmarkStart w:id="240" w:name="_Toc138068803"/>
      <w:bookmarkStart w:id="241" w:name="_Toc138070703"/>
      <w:bookmarkStart w:id="242" w:name="_Toc138076073"/>
      <w:bookmarkStart w:id="243" w:name="_Toc138076617"/>
      <w:bookmarkStart w:id="244" w:name="_Toc138076322"/>
      <w:bookmarkStart w:id="245" w:name="_Toc138070433"/>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pStyle w:val="21"/>
        <w:rPr>
          <w:sz w:val="28"/>
          <w:szCs w:val="28"/>
        </w:rPr>
      </w:pPr>
      <w:bookmarkStart w:id="246" w:name="_Toc30804"/>
      <w:r>
        <w:rPr>
          <w:rFonts w:hint="eastAsia"/>
          <w:sz w:val="28"/>
          <w:szCs w:val="28"/>
        </w:rPr>
        <w:t>茶艺</w:t>
      </w:r>
      <w:bookmarkEnd w:id="240"/>
      <w:bookmarkEnd w:id="241"/>
      <w:bookmarkEnd w:id="242"/>
      <w:bookmarkEnd w:id="243"/>
      <w:bookmarkEnd w:id="244"/>
      <w:bookmarkEnd w:id="245"/>
      <w:bookmarkEnd w:id="246"/>
    </w:p>
    <w:p>
      <w:pPr>
        <w:ind w:firstLine="3600" w:firstLineChars="1500"/>
        <w:jc w:val="both"/>
        <w:rPr>
          <w:sz w:val="24"/>
        </w:rPr>
      </w:pPr>
      <w:r>
        <w:rPr>
          <w:rFonts w:hint="eastAsia" w:eastAsia="????"/>
          <w:sz w:val="24"/>
          <w:szCs w:val="36"/>
        </w:rPr>
        <w:t>（</w:t>
      </w:r>
      <w:r>
        <w:rPr>
          <w:rFonts w:eastAsia="????"/>
          <w:sz w:val="24"/>
          <w:szCs w:val="36"/>
        </w:rPr>
        <w:t>Tea Ceremony</w:t>
      </w:r>
      <w:r>
        <w:rPr>
          <w:rFonts w:hint="eastAsia" w:eastAsia="????"/>
          <w:sz w:val="24"/>
          <w:szCs w:val="36"/>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课程编号：19011</w:t>
            </w:r>
            <w:r>
              <w:rPr>
                <w:rFonts w:ascii="宋体" w:hAnsi="宋体"/>
                <w:b/>
                <w:bCs/>
                <w:szCs w:val="21"/>
              </w:rPr>
              <w:t>047</w:t>
            </w:r>
          </w:p>
        </w:tc>
        <w:tc>
          <w:tcPr>
            <w:tcW w:w="1453" w:type="pct"/>
          </w:tcPr>
          <w:p>
            <w:pPr>
              <w:tabs>
                <w:tab w:val="center" w:pos="1216"/>
              </w:tabs>
              <w:spacing w:line="300" w:lineRule="auto"/>
              <w:ind w:firstLine="422"/>
              <w:rPr>
                <w:rFonts w:ascii="宋体" w:hAnsi="宋体"/>
                <w:b/>
                <w:bCs/>
                <w:szCs w:val="21"/>
              </w:rPr>
            </w:pPr>
            <w:r>
              <w:rPr>
                <w:rFonts w:hint="eastAsia" w:ascii="宋体" w:hAnsi="宋体"/>
                <w:b/>
                <w:bCs/>
                <w:szCs w:val="21"/>
              </w:rPr>
              <w:t>课程总学时：</w:t>
            </w:r>
            <w:r>
              <w:rPr>
                <w:rFonts w:ascii="宋体" w:hAnsi="宋体"/>
                <w:b/>
                <w:bCs/>
                <w:szCs w:val="21"/>
              </w:rPr>
              <w:t>32</w:t>
            </w:r>
          </w:p>
        </w:tc>
        <w:tc>
          <w:tcPr>
            <w:tcW w:w="1881" w:type="pct"/>
          </w:tcPr>
          <w:p>
            <w:pPr>
              <w:spacing w:line="300" w:lineRule="auto"/>
              <w:ind w:firstLine="422"/>
              <w:rPr>
                <w:rFonts w:ascii="宋体" w:hAnsi="宋体"/>
                <w:b/>
                <w:bCs/>
                <w:szCs w:val="21"/>
              </w:rPr>
            </w:pPr>
            <w:r>
              <w:rPr>
                <w:rFonts w:hint="eastAsia" w:ascii="宋体" w:hAnsi="宋体"/>
                <w:b/>
                <w:bCs/>
                <w:szCs w:val="21"/>
              </w:rPr>
              <w:t>实验学时：</w:t>
            </w:r>
            <w:r>
              <w:rPr>
                <w:rFonts w:ascii="宋体" w:hAnsi="宋体"/>
                <w:b/>
                <w:bCs/>
                <w:szCs w:val="21"/>
              </w:rPr>
              <w:t>12</w:t>
            </w:r>
            <w:r>
              <w:rPr>
                <w:rFonts w:hint="eastAsia" w:ascii="宋体" w:hAnsi="宋体"/>
                <w:b/>
                <w:bCs/>
                <w:szCs w:val="21"/>
              </w:rPr>
              <w:t>学时</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课程性质：选修</w:t>
            </w:r>
          </w:p>
        </w:tc>
        <w:tc>
          <w:tcPr>
            <w:tcW w:w="1453" w:type="pct"/>
          </w:tcPr>
          <w:p>
            <w:pPr>
              <w:spacing w:line="300" w:lineRule="auto"/>
              <w:ind w:firstLine="422"/>
              <w:rPr>
                <w:rFonts w:ascii="宋体" w:hAnsi="宋体"/>
                <w:b/>
                <w:bCs/>
                <w:szCs w:val="21"/>
              </w:rPr>
            </w:pPr>
            <w:r>
              <w:rPr>
                <w:rFonts w:hint="eastAsia" w:ascii="宋体" w:hAnsi="宋体"/>
                <w:b/>
                <w:szCs w:val="21"/>
              </w:rPr>
              <w:t>课程属性:专业类</w:t>
            </w:r>
          </w:p>
        </w:tc>
        <w:tc>
          <w:tcPr>
            <w:tcW w:w="1881" w:type="pct"/>
          </w:tcPr>
          <w:p>
            <w:pPr>
              <w:spacing w:line="300" w:lineRule="auto"/>
              <w:ind w:firstLine="422"/>
              <w:rPr>
                <w:rFonts w:ascii="宋体" w:hAnsi="宋体"/>
                <w:b/>
                <w:bCs/>
                <w:szCs w:val="21"/>
              </w:rPr>
            </w:pPr>
            <w:r>
              <w:rPr>
                <w:rFonts w:hint="eastAsia" w:ascii="宋体" w:hAnsi="宋体"/>
                <w:b/>
                <w:bCs/>
                <w:szCs w:val="21"/>
              </w:rPr>
              <w:t>开设学期：第 4 学期</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课程负责人：苏会</w:t>
            </w:r>
          </w:p>
        </w:tc>
        <w:tc>
          <w:tcPr>
            <w:tcW w:w="1453" w:type="pct"/>
          </w:tcPr>
          <w:p>
            <w:pPr>
              <w:spacing w:line="300" w:lineRule="auto"/>
              <w:ind w:firstLine="422"/>
              <w:rPr>
                <w:rFonts w:ascii="宋体" w:hAnsi="宋体"/>
                <w:b/>
                <w:bCs/>
                <w:szCs w:val="21"/>
              </w:rPr>
            </w:pPr>
            <w:r>
              <w:rPr>
                <w:rFonts w:hint="eastAsia" w:ascii="宋体" w:hAnsi="宋体"/>
                <w:b/>
                <w:bCs/>
                <w:szCs w:val="21"/>
              </w:rPr>
              <w:t>课程团队：茶学课程组</w:t>
            </w:r>
          </w:p>
        </w:tc>
        <w:tc>
          <w:tcPr>
            <w:tcW w:w="1881" w:type="pct"/>
          </w:tcPr>
          <w:p>
            <w:pPr>
              <w:spacing w:line="300" w:lineRule="auto"/>
              <w:ind w:firstLine="422"/>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firstLine="422"/>
              <w:rPr>
                <w:rFonts w:ascii="宋体" w:hAnsi="宋体"/>
                <w:bCs/>
                <w:szCs w:val="21"/>
              </w:rPr>
            </w:pPr>
            <w:r>
              <w:rPr>
                <w:rFonts w:hint="eastAsia" w:ascii="宋体" w:hAnsi="宋体"/>
                <w:b/>
                <w:bCs/>
                <w:szCs w:val="21"/>
              </w:rPr>
              <w:t>适用专业：园艺，设施农业与工程</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对先修的要求：无</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对后续的支撑：无</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主撰人： 苏会</w:t>
            </w:r>
          </w:p>
        </w:tc>
        <w:tc>
          <w:tcPr>
            <w:tcW w:w="1453" w:type="pct"/>
          </w:tcPr>
          <w:p>
            <w:pPr>
              <w:spacing w:line="300" w:lineRule="auto"/>
              <w:ind w:firstLine="422"/>
              <w:rPr>
                <w:rFonts w:ascii="宋体" w:hAnsi="宋体"/>
                <w:b/>
                <w:bCs/>
                <w:szCs w:val="21"/>
              </w:rPr>
            </w:pPr>
            <w:r>
              <w:rPr>
                <w:rFonts w:hint="eastAsia" w:ascii="宋体" w:hAnsi="宋体"/>
                <w:b/>
                <w:bCs/>
                <w:szCs w:val="21"/>
              </w:rPr>
              <w:t>审核人：贺巍</w:t>
            </w:r>
          </w:p>
        </w:tc>
        <w:tc>
          <w:tcPr>
            <w:tcW w:w="1881" w:type="pct"/>
          </w:tcPr>
          <w:p>
            <w:pPr>
              <w:spacing w:line="300" w:lineRule="auto"/>
              <w:ind w:firstLine="422"/>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400" w:lineRule="atLeast"/>
        <w:ind w:firstLine="420" w:firstLineChars="200"/>
        <w:jc w:val="left"/>
        <w:rPr>
          <w:rFonts w:ascii="宋体" w:hAnsi="宋体" w:cs="宋体"/>
          <w:kern w:val="0"/>
          <w:szCs w:val="21"/>
        </w:rPr>
      </w:pPr>
      <w:r>
        <w:rPr>
          <w:rFonts w:hint="eastAsia" w:ascii="宋体" w:hAnsi="宋体" w:cs="宋体"/>
          <w:kern w:val="0"/>
          <w:szCs w:val="21"/>
        </w:rPr>
        <w:t>《茶艺基础》课程是专业选修课，针对大二学生于第四学期开设。茶艺基础是—门将美学、表演艺术、礼仪、插花艺术、茶文化、茶叶感官审评等相结合的交叉学科。课程包含四个培养目标：一是知识目标：学生熟练掌握茶叶基础知识，茶艺发展历史，泡茶用水与茶具的选择，茶席设计，茶艺礼仪，基础茶艺，主题茶艺编创等理论知识；二是能力目标：熟练掌握茶艺基本手法，具备独立设计一款茶席及主题茶艺的能力；三是素质目标：茶艺是茶文化的重要载体和表现方式，培养学生树立文化自信自强的意识，传承和弘扬中华优秀传统文化。四是美育目标：茶艺具有典型的美学特征，通过茶艺的学习，培养学生的审美情趣，提高感知美好生活的能力。</w:t>
      </w:r>
    </w:p>
    <w:p>
      <w:pPr>
        <w:spacing w:line="400" w:lineRule="atLeast"/>
        <w:ind w:firstLine="420" w:firstLineChars="200"/>
        <w:jc w:val="left"/>
        <w:rPr>
          <w:rFonts w:ascii="宋体" w:hAnsi="宋体" w:cs="宋体"/>
          <w:kern w:val="0"/>
          <w:szCs w:val="21"/>
        </w:rPr>
      </w:pPr>
      <w:r>
        <w:rPr>
          <w:rFonts w:hint="eastAsia" w:ascii="宋体" w:hAnsi="宋体" w:cs="宋体"/>
          <w:kern w:val="0"/>
          <w:szCs w:val="21"/>
        </w:rPr>
        <w:t>通过《茶艺基础》课程学习，学生能够掌握如何正确的使用茶具，科学的冲泡和品饮茶叶，如何讲好茶与茶文化的故事，做好中华优秀传统文化的传承。课程以“立德树人”为教学理念，采取“线上线下混合式”教学模式，打通课堂内外的学习方式，以“学生为主体，老师作引导”的教学思维，通过多种互动形式让学生真正融入课堂，积极思考，主动学习，培养独立的逻辑思维能力，提升综合素质能力。</w:t>
      </w:r>
    </w:p>
    <w:p>
      <w:pPr>
        <w:spacing w:line="400" w:lineRule="atLeast"/>
        <w:ind w:firstLine="420" w:firstLineChars="200"/>
        <w:jc w:val="left"/>
        <w:rPr>
          <w:rFonts w:ascii="宋体" w:hAnsi="宋体" w:cs="宋体"/>
          <w:kern w:val="0"/>
          <w:szCs w:val="21"/>
        </w:rPr>
      </w:pP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rFonts w:hAnsi="宋体"/>
          <w:bCs/>
          <w:kern w:val="0"/>
          <w:szCs w:val="21"/>
        </w:rPr>
      </w:pPr>
      <w:r>
        <w:rPr>
          <w:rFonts w:hint="eastAsia"/>
          <w:kern w:val="0"/>
          <w:szCs w:val="21"/>
        </w:rPr>
        <w:t>1.</w:t>
      </w:r>
      <w:r>
        <w:rPr>
          <w:rFonts w:hAnsi="宋体"/>
          <w:kern w:val="0"/>
          <w:szCs w:val="21"/>
        </w:rPr>
        <w:t>理论知识方面：</w:t>
      </w:r>
      <w:r>
        <w:rPr>
          <w:szCs w:val="18"/>
        </w:rPr>
        <w:t>通过本课程各教学环节，要求学生掌握</w:t>
      </w:r>
      <w:r>
        <w:t>从事茶叶生产与茶叶营销及茶文化传播等职业岗位群工作所必须具备或掌握</w:t>
      </w:r>
      <w:r>
        <w:rPr>
          <w:rFonts w:hint="eastAsia"/>
        </w:rPr>
        <w:t>的茶叶基础</w:t>
      </w:r>
      <w:r>
        <w:t>知识</w:t>
      </w:r>
      <w:r>
        <w:rPr>
          <w:rFonts w:hint="eastAsia"/>
        </w:rPr>
        <w:t>，并</w:t>
      </w:r>
      <w:r>
        <w:rPr>
          <w:rFonts w:hint="eastAsia"/>
          <w:szCs w:val="18"/>
        </w:rPr>
        <w:t>具备茶叶生产及销售过程中</w:t>
      </w:r>
      <w:r>
        <w:t>发现问题、分析问题和解决问题的</w:t>
      </w:r>
      <w:r>
        <w:rPr>
          <w:rFonts w:hint="eastAsia"/>
        </w:rPr>
        <w:t>综合素质</w:t>
      </w:r>
      <w:r>
        <w:t>能力</w:t>
      </w:r>
      <w:r>
        <w:rPr>
          <w:rFonts w:hint="eastAsia"/>
        </w:rPr>
        <w:t>。</w:t>
      </w:r>
    </w:p>
    <w:p>
      <w:pPr>
        <w:widowControl/>
        <w:snapToGrid w:val="0"/>
        <w:spacing w:line="360" w:lineRule="auto"/>
        <w:ind w:firstLine="420" w:firstLineChars="200"/>
        <w:jc w:val="left"/>
        <w:rPr>
          <w:rFonts w:hAnsi="宋体"/>
          <w:bCs/>
          <w:kern w:val="0"/>
          <w:szCs w:val="21"/>
        </w:rPr>
      </w:pPr>
      <w:r>
        <w:rPr>
          <w:rFonts w:hint="eastAsia"/>
          <w:kern w:val="0"/>
          <w:szCs w:val="21"/>
        </w:rPr>
        <w:t>2.</w:t>
      </w:r>
      <w:r>
        <w:rPr>
          <w:rFonts w:hAnsi="宋体"/>
          <w:kern w:val="0"/>
          <w:szCs w:val="21"/>
        </w:rPr>
        <w:t>实验技能方面：</w:t>
      </w:r>
      <w:r>
        <w:rPr>
          <w:szCs w:val="18"/>
        </w:rPr>
        <w:t>通过本课程各教学环节，</w:t>
      </w:r>
      <w:r>
        <w:rPr>
          <w:rFonts w:hint="eastAsia"/>
          <w:szCs w:val="18"/>
        </w:rPr>
        <w:t>学生能够科学冲泡一杯茶，独立进行茶席设计及主题茶艺的编创，并具备依托茶艺形式，推广茶文化和茶产业发展</w:t>
      </w:r>
      <w:r>
        <w:rPr>
          <w:rFonts w:hint="eastAsia"/>
        </w:rPr>
        <w:t>。</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spacing w:line="360" w:lineRule="auto"/>
        <w:ind w:firstLine="420" w:firstLineChars="200"/>
        <w:rPr>
          <w:rFonts w:hAnsi="宋体"/>
          <w:bCs/>
          <w:kern w:val="0"/>
          <w:szCs w:val="21"/>
        </w:rPr>
      </w:pPr>
      <w:r>
        <w:rPr>
          <w:rFonts w:hint="eastAsia" w:hAnsi="宋体"/>
          <w:bCs/>
          <w:kern w:val="0"/>
          <w:szCs w:val="21"/>
        </w:rPr>
        <w:t>课程以教师讲授结合实验教学进行，主要讲授茶艺基本礼仪、泡茶用水与茶具的选择、茶席设计、基础茶艺、主题茶艺等知识；实验教学则包括泡茶过程中的基本礼仪，茶席设计、不同茶类的冲泡技艺、茶会的组织等技能。</w:t>
      </w:r>
      <w:r>
        <w:rPr>
          <w:rFonts w:hint="eastAsia"/>
          <w:bCs/>
          <w:kern w:val="0"/>
          <w:szCs w:val="21"/>
        </w:rPr>
        <w:t>在理论学习过程中，以课堂展示，作业布置，视频拍摄等为主要考核方式，教师进行评价。实验课则是让学生实践</w:t>
      </w:r>
      <w:r>
        <w:rPr>
          <w:rFonts w:hint="eastAsia" w:hAnsi="宋体"/>
          <w:bCs/>
          <w:kern w:val="0"/>
          <w:szCs w:val="21"/>
        </w:rPr>
        <w:t>泡茶过程中的基本礼仪、茶会的组织，茶席布置、茶艺冲泡的实践能力。</w:t>
      </w:r>
      <w:r>
        <w:rPr>
          <w:rFonts w:hint="eastAsia"/>
          <w:bCs/>
          <w:kern w:val="0"/>
          <w:szCs w:val="21"/>
        </w:rPr>
        <w:t>在整个教学过程中，</w:t>
      </w:r>
      <w:r>
        <w:rPr>
          <w:kern w:val="0"/>
          <w:szCs w:val="21"/>
        </w:rPr>
        <w:t>通过</w:t>
      </w:r>
      <w:r>
        <w:rPr>
          <w:rFonts w:hint="eastAsia"/>
          <w:kern w:val="0"/>
          <w:szCs w:val="21"/>
        </w:rPr>
        <w:t>课堂互动，作业完成及茶艺技能考核及期末试卷考试等环节</w:t>
      </w:r>
      <w:r>
        <w:rPr>
          <w:kern w:val="0"/>
          <w:szCs w:val="21"/>
        </w:rPr>
        <w:t>进行</w:t>
      </w:r>
      <w:r>
        <w:rPr>
          <w:rFonts w:hint="eastAsia"/>
          <w:kern w:val="0"/>
          <w:szCs w:val="21"/>
        </w:rPr>
        <w:t>过程性评价</w:t>
      </w:r>
      <w:r>
        <w:rPr>
          <w:kern w:val="0"/>
          <w:szCs w:val="21"/>
        </w:rPr>
        <w:t>。</w:t>
      </w:r>
    </w:p>
    <w:p>
      <w:pPr>
        <w:spacing w:line="360" w:lineRule="auto"/>
        <w:ind w:firstLine="420" w:firstLineChars="200"/>
        <w:rPr>
          <w:rFonts w:hAnsi="宋体"/>
          <w:bCs/>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rPr>
            </w:pPr>
            <w:r>
              <w:rPr>
                <w:rFonts w:hint="eastAsia" w:hAnsiTheme="minorEastAsia" w:eastAsiaTheme="minorEastAsia"/>
                <w:sz w:val="18"/>
                <w:szCs w:val="18"/>
              </w:rPr>
              <w:t>使学生树立文化自信，传承和弘扬中华优秀传统文化</w:t>
            </w:r>
            <w:r>
              <w:rPr>
                <w:rFonts w:hAnsiTheme="minorEastAsia" w:eastAsiaTheme="minorEastAsia"/>
                <w:sz w:val="18"/>
                <w:szCs w:val="18"/>
              </w:rPr>
              <w:t>。</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highlight w:val="yellow"/>
              </w:rPr>
            </w:pPr>
            <w:r>
              <w:rPr>
                <w:rFonts w:hint="eastAsia" w:hAnsiTheme="minorEastAsia" w:eastAsiaTheme="minorEastAsia"/>
                <w:sz w:val="18"/>
                <w:szCs w:val="18"/>
              </w:rPr>
              <w:t>通过茶艺展示形式，助力茶文化推广和茶产业发展。</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int="eastAsia" w:eastAsiaTheme="minorEastAsia"/>
                <w:sz w:val="18"/>
                <w:szCs w:val="18"/>
              </w:rPr>
              <w:t>掌握茶叶基础知识，茶艺礼仪，茶叶审评，茶艺编创等专业理论知识。</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3</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int="eastAsia" w:hAnsi="宋体"/>
                <w:bCs/>
                <w:sz w:val="18"/>
                <w:szCs w:val="18"/>
              </w:rPr>
              <w:t>掌握不同茶类科学冲泡方法及茶艺基本技能。</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4</w:t>
            </w:r>
          </w:p>
        </w:tc>
      </w:tr>
    </w:tbl>
    <w:p>
      <w:pPr>
        <w:spacing w:line="360" w:lineRule="auto"/>
        <w:ind w:firstLine="420" w:firstLineChars="200"/>
        <w:rPr>
          <w:rFonts w:hAnsi="宋体"/>
          <w:bCs/>
          <w:kern w:val="0"/>
          <w:szCs w:val="21"/>
        </w:rPr>
      </w:pPr>
    </w:p>
    <w:p>
      <w:pPr>
        <w:widowControl/>
        <w:snapToGrid w:val="0"/>
        <w:spacing w:line="360" w:lineRule="auto"/>
        <w:jc w:val="left"/>
        <w:rPr>
          <w:rFonts w:hAnsi="宋体"/>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（2</w:t>
      </w:r>
      <w:r>
        <w:rPr>
          <w:rFonts w:hAnsi="宋体"/>
          <w:b/>
          <w:bCs/>
          <w:kern w:val="0"/>
          <w:szCs w:val="21"/>
        </w:rPr>
        <w:t>0</w:t>
      </w:r>
      <w:r>
        <w:rPr>
          <w:rFonts w:hint="eastAsia" w:hAnsi="宋体"/>
          <w:b/>
          <w:bCs/>
          <w:kern w:val="0"/>
          <w:szCs w:val="21"/>
        </w:rPr>
        <w:t>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第一章</w:t>
            </w:r>
            <w:r>
              <w:rPr>
                <w:rFonts w:hint="eastAsia"/>
                <w:b/>
                <w:bCs/>
                <w:szCs w:val="21"/>
              </w:rPr>
              <w:t xml:space="preserve">  </w:t>
            </w:r>
            <w:r>
              <w:rPr>
                <w:rFonts w:hint="eastAsia"/>
                <w:b/>
                <w:szCs w:val="21"/>
              </w:rPr>
              <w:t>茶艺概论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numPr>
          <w:ilvl w:val="0"/>
          <w:numId w:val="22"/>
        </w:numPr>
        <w:snapToGrid w:val="0"/>
        <w:spacing w:line="360" w:lineRule="auto"/>
        <w:rPr>
          <w:rFonts w:ascii="宋体" w:hAnsi="宋体"/>
          <w:b/>
          <w:bCs/>
        </w:rPr>
      </w:pPr>
      <w:r>
        <w:rPr>
          <w:rFonts w:ascii="宋体" w:hAnsi="宋体"/>
          <w:b/>
          <w:bCs/>
        </w:rPr>
        <w:t>4</w:t>
      </w:r>
      <w:r>
        <w:rPr>
          <w:rFonts w:hint="eastAsia" w:ascii="宋体" w:hAnsi="宋体"/>
          <w:b/>
          <w:bCs/>
        </w:rPr>
        <w:t xml:space="preserve"> 茶艺  1</w:t>
      </w:r>
      <w:r>
        <w:rPr>
          <w:rFonts w:ascii="宋体" w:hAnsi="宋体"/>
          <w:b/>
          <w:bCs/>
        </w:rPr>
        <w:t>学时</w:t>
      </w:r>
    </w:p>
    <w:p>
      <w:pPr>
        <w:numPr>
          <w:ilvl w:val="0"/>
          <w:numId w:val="22"/>
        </w:numPr>
        <w:snapToGrid w:val="0"/>
        <w:spacing w:line="360" w:lineRule="auto"/>
        <w:rPr>
          <w:rFonts w:ascii="宋体" w:hAnsi="宋体"/>
          <w:b/>
          <w:bCs/>
        </w:rPr>
      </w:pPr>
      <w:r>
        <w:rPr>
          <w:rFonts w:hint="eastAsia" w:ascii="宋体" w:hAnsi="宋体"/>
          <w:b/>
          <w:bCs/>
        </w:rPr>
        <w:t xml:space="preserve">茶艺的形成与发展   </w:t>
      </w:r>
      <w:r>
        <w:rPr>
          <w:rFonts w:ascii="宋体" w:hAnsi="宋体"/>
          <w:b/>
          <w:bCs/>
        </w:rPr>
        <w:t>1学时</w:t>
      </w:r>
    </w:p>
    <w:p>
      <w:pPr>
        <w:numPr>
          <w:ilvl w:val="0"/>
          <w:numId w:val="22"/>
        </w:numPr>
        <w:snapToGrid w:val="0"/>
        <w:spacing w:line="360" w:lineRule="auto"/>
        <w:rPr>
          <w:rFonts w:ascii="宋体" w:hAnsi="宋体"/>
          <w:b/>
          <w:bCs/>
        </w:rPr>
      </w:pPr>
      <w:r>
        <w:rPr>
          <w:rFonts w:hint="eastAsia" w:ascii="宋体" w:hAnsi="宋体"/>
          <w:b/>
          <w:bCs/>
        </w:rPr>
        <w:t>茶艺与茶道、茶俗   1</w:t>
      </w:r>
      <w:r>
        <w:rPr>
          <w:rFonts w:ascii="宋体" w:hAnsi="宋体"/>
          <w:b/>
          <w:bCs/>
        </w:rPr>
        <w:t>学时</w:t>
      </w:r>
    </w:p>
    <w:p>
      <w:pPr>
        <w:numPr>
          <w:ilvl w:val="0"/>
          <w:numId w:val="22"/>
        </w:numPr>
        <w:snapToGrid w:val="0"/>
        <w:spacing w:line="360" w:lineRule="auto"/>
        <w:rPr>
          <w:rFonts w:ascii="宋体" w:hAnsi="宋体"/>
          <w:b/>
          <w:bCs/>
        </w:rPr>
      </w:pPr>
      <w:r>
        <w:rPr>
          <w:rFonts w:hint="eastAsia" w:ascii="宋体" w:hAnsi="宋体"/>
          <w:b/>
          <w:bCs/>
        </w:rPr>
        <w:t xml:space="preserve">茶叶基础知识    </w:t>
      </w:r>
      <w:r>
        <w:rPr>
          <w:rFonts w:ascii="宋体" w:hAnsi="宋体"/>
          <w:b/>
          <w:bCs/>
        </w:rPr>
        <w:t>1学时</w:t>
      </w:r>
    </w:p>
    <w:p>
      <w:pPr>
        <w:adjustRightInd w:val="0"/>
        <w:snapToGrid w:val="0"/>
        <w:spacing w:line="400" w:lineRule="atLeast"/>
        <w:jc w:val="left"/>
        <w:rPr>
          <w:szCs w:val="21"/>
        </w:rPr>
      </w:pPr>
      <w:r>
        <w:rPr>
          <w:rFonts w:hint="eastAsia" w:ascii="宋体" w:hAnsi="宋体"/>
          <w:b/>
          <w:bCs/>
        </w:rPr>
        <w:t>教学目标：</w:t>
      </w:r>
      <w:bookmarkStart w:id="247" w:name="OLE_LINK36"/>
      <w:bookmarkStart w:id="248" w:name="OLE_LINK37"/>
      <w:r>
        <w:rPr>
          <w:szCs w:val="21"/>
        </w:rPr>
        <w:t>了解并掌握茶艺的概念，了解茶艺的形成与发展过程，熟悉并掌握茶艺与茶道的关系</w:t>
      </w:r>
      <w:r>
        <w:rPr>
          <w:rFonts w:hint="eastAsia"/>
          <w:szCs w:val="21"/>
        </w:rPr>
        <w:t>，茶艺与茶俗的区别；了解六大基础茶类及特征</w:t>
      </w:r>
      <w:r>
        <w:rPr>
          <w:szCs w:val="21"/>
        </w:rPr>
        <w:t>。</w:t>
      </w:r>
      <w:bookmarkEnd w:id="247"/>
      <w:bookmarkEnd w:id="248"/>
    </w:p>
    <w:p>
      <w:pPr>
        <w:widowControl/>
        <w:snapToGrid w:val="0"/>
        <w:spacing w:line="360" w:lineRule="auto"/>
        <w:rPr>
          <w:rFonts w:hAnsi="宋体"/>
          <w:b/>
          <w:bCs/>
          <w:kern w:val="0"/>
          <w:szCs w:val="21"/>
        </w:rPr>
      </w:pP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bookmarkStart w:id="249" w:name="OLE_LINK33"/>
      <w:bookmarkStart w:id="250" w:name="OLE_LINK34"/>
      <w:bookmarkStart w:id="251" w:name="OLE_LINK35"/>
      <w:r>
        <w:t>茶艺的概念、茶艺与茶道的关系。</w:t>
      </w:r>
      <w:bookmarkEnd w:id="249"/>
      <w:bookmarkEnd w:id="250"/>
      <w:bookmarkEnd w:id="251"/>
      <w:r>
        <w:rPr>
          <w:rFonts w:hint="eastAsia" w:ascii="宋体" w:hAnsi="宋体" w:cs="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r>
        <w:rPr>
          <w:kern w:val="0"/>
          <w:szCs w:val="21"/>
        </w:rPr>
        <w:t>了解茶艺的形成与发展过程，</w:t>
      </w:r>
      <w:r>
        <w:rPr>
          <w:rFonts w:hint="eastAsia"/>
          <w:kern w:val="0"/>
          <w:szCs w:val="21"/>
        </w:rPr>
        <w:t>不同地域的饮茶习俗；理解茶艺概念的形成过程；掌握茶艺基本概念；熟练掌握中华茶艺与日本茶道的关系。</w:t>
      </w:r>
      <w:r>
        <w:rPr>
          <w:rFonts w:ascii="宋体" w:hAnsi="宋体"/>
        </w:rPr>
        <w:t xml:space="preserve"> </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课堂展示《故事里的茶》；</w:t>
      </w:r>
      <w:bookmarkStart w:id="252" w:name="OLE_LINK3"/>
      <w:r>
        <w:rPr>
          <w:rFonts w:hint="eastAsia" w:ascii="宋体" w:hAnsi="宋体"/>
        </w:rPr>
        <w:t>问题引入“你眼中的茶艺”，“茶艺与茶道一样吗”；根据学生答案，引入新知识点的讲授，通过对“茶艺”一词的争议过程的讲解，讲授茶艺的发展历史与形成过程，引出“茶艺”概念；通过对比讲解，视频观看，引出茶艺与茶道的关系；掌握茶叶基本分类与特征，了解茶性。最后总结回顾，理解茶艺概念和掌握茶艺与茶道的异同。作业布置：采访身边人“什么是茶艺”，并进行讲解什么是茶艺（拍摄小视频形式）。</w:t>
      </w:r>
      <w:bookmarkEnd w:id="252"/>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rFonts w:hint="eastAsia"/>
                <w:b/>
                <w:bCs/>
                <w:szCs w:val="21"/>
              </w:rPr>
              <w:t xml:space="preserve">  水与器的选择</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numPr>
          <w:ilvl w:val="0"/>
          <w:numId w:val="23"/>
        </w:numPr>
        <w:snapToGrid w:val="0"/>
        <w:spacing w:line="360" w:lineRule="auto"/>
        <w:jc w:val="left"/>
        <w:rPr>
          <w:rFonts w:hAnsi="宋体"/>
          <w:b/>
          <w:bCs/>
          <w:kern w:val="0"/>
          <w:szCs w:val="21"/>
        </w:rPr>
      </w:pPr>
      <w:r>
        <w:rPr>
          <w:rFonts w:hint="eastAsia" w:hAnsi="宋体"/>
          <w:b/>
          <w:bCs/>
          <w:kern w:val="0"/>
          <w:szCs w:val="21"/>
        </w:rPr>
        <w:t xml:space="preserve"> 水为茶之母  </w:t>
      </w:r>
      <w:r>
        <w:rPr>
          <w:rFonts w:hint="eastAsia" w:ascii="宋体" w:hAnsi="宋体"/>
          <w:b/>
          <w:bCs/>
        </w:rPr>
        <w:t>2</w:t>
      </w:r>
      <w:r>
        <w:rPr>
          <w:rFonts w:ascii="宋体" w:hAnsi="宋体"/>
          <w:b/>
          <w:bCs/>
        </w:rPr>
        <w:t>学时</w:t>
      </w:r>
    </w:p>
    <w:p>
      <w:pPr>
        <w:widowControl/>
        <w:numPr>
          <w:ilvl w:val="0"/>
          <w:numId w:val="23"/>
        </w:numPr>
        <w:snapToGrid w:val="0"/>
        <w:spacing w:line="360" w:lineRule="auto"/>
        <w:jc w:val="left"/>
        <w:rPr>
          <w:rFonts w:hAnsi="宋体"/>
          <w:b/>
          <w:bCs/>
          <w:kern w:val="0"/>
          <w:szCs w:val="21"/>
        </w:rPr>
      </w:pPr>
      <w:r>
        <w:rPr>
          <w:rFonts w:hint="eastAsia" w:hAnsi="宋体"/>
          <w:b/>
          <w:bCs/>
          <w:kern w:val="0"/>
          <w:szCs w:val="21"/>
        </w:rPr>
        <w:t xml:space="preserve"> 器为茶之父  </w:t>
      </w:r>
      <w:r>
        <w:rPr>
          <w:rFonts w:hint="eastAsia" w:ascii="宋体" w:hAnsi="宋体"/>
          <w:b/>
          <w:bCs/>
        </w:rPr>
        <w:t>2</w:t>
      </w:r>
      <w:r>
        <w:rPr>
          <w:rFonts w:ascii="宋体" w:hAnsi="宋体"/>
          <w:b/>
          <w:bCs/>
        </w:rPr>
        <w:t>学时</w:t>
      </w:r>
    </w:p>
    <w:p>
      <w:pPr>
        <w:widowControl/>
        <w:snapToGrid w:val="0"/>
        <w:spacing w:line="360" w:lineRule="auto"/>
        <w:jc w:val="left"/>
        <w:rPr>
          <w:szCs w:val="21"/>
        </w:rPr>
      </w:pPr>
      <w:r>
        <w:rPr>
          <w:rFonts w:hint="eastAsia" w:ascii="宋体" w:hAnsi="宋体"/>
          <w:b/>
          <w:bCs/>
        </w:rPr>
        <w:t>教学目标：</w:t>
      </w:r>
      <w:r>
        <w:rPr>
          <w:szCs w:val="21"/>
        </w:rPr>
        <w:t>掌握水与器对茶汤品质的影响，从而能够在茶艺</w:t>
      </w:r>
      <w:r>
        <w:rPr>
          <w:rFonts w:hint="eastAsia"/>
          <w:szCs w:val="21"/>
        </w:rPr>
        <w:t>过程</w:t>
      </w:r>
      <w:r>
        <w:rPr>
          <w:szCs w:val="21"/>
        </w:rPr>
        <w:t>中对水与器进行最佳选择。</w:t>
      </w:r>
    </w:p>
    <w:p>
      <w:pPr>
        <w:widowControl/>
        <w:snapToGrid w:val="0"/>
        <w:spacing w:line="360" w:lineRule="auto"/>
        <w:jc w:val="left"/>
      </w:pPr>
      <w:r>
        <w:rPr>
          <w:b/>
          <w:bCs/>
        </w:rPr>
        <w:t>教学重点和难点：</w:t>
      </w:r>
      <w:r>
        <w:rPr>
          <w:szCs w:val="21"/>
        </w:rPr>
        <w:t>不同水</w:t>
      </w:r>
      <w:r>
        <w:rPr>
          <w:rFonts w:hint="eastAsia"/>
          <w:szCs w:val="21"/>
        </w:rPr>
        <w:t>质</w:t>
      </w:r>
      <w:r>
        <w:rPr>
          <w:szCs w:val="21"/>
        </w:rPr>
        <w:t>与</w:t>
      </w:r>
      <w:r>
        <w:rPr>
          <w:rFonts w:hint="eastAsia"/>
          <w:szCs w:val="21"/>
        </w:rPr>
        <w:t>茶具</w:t>
      </w:r>
      <w:r>
        <w:rPr>
          <w:szCs w:val="21"/>
        </w:rPr>
        <w:t>对茶汤品质的影响。</w:t>
      </w:r>
    </w:p>
    <w:p>
      <w:pPr>
        <w:widowControl/>
        <w:snapToGrid w:val="0"/>
        <w:spacing w:line="360" w:lineRule="auto"/>
        <w:jc w:val="left"/>
        <w:rPr>
          <w:kern w:val="0"/>
          <w:szCs w:val="21"/>
        </w:rPr>
      </w:pPr>
      <w:r>
        <w:rPr>
          <w:b/>
          <w:bCs/>
        </w:rPr>
        <w:t>主要教学内容及要求：</w:t>
      </w:r>
      <w:r>
        <w:rPr>
          <w:rFonts w:hint="eastAsia"/>
          <w:kern w:val="0"/>
          <w:szCs w:val="21"/>
        </w:rPr>
        <w:t>了解自唐代茶文化盛行以来，古人对泡茶用水和茶具的选择；理解不同水源和不同材质的茶具对茶汤品质的影响，掌握泡茶的适宜用水要求和不同茶具的优缺点；熟练掌握冲泡不同茶类对水与器的选择。</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课堂展示《故事里的茶》；问题引入“适宜泡茶的水有哪些”，“泡茶器具对茶汤品质有影响吗”；根据学生答案，引入新知识点的讲授，通过对“古人泡茶用水和茶具的讲究”的讲解，引出现代人的科学泡茶用水和茶具的选择；通过案例讲解不同水质和茶具对茶汤品质的影响，引出如何科学选水和茶具进行泡茶；最后总结回顾，理解泡茶用水和茶具对茶汤品质的影响，掌握冲泡不同茶类水与器的选择。作业布置：用两种不同水源或茶具冲泡同一茶类，对比差异。（照片拍摄及原因分析）。</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三</w:t>
            </w:r>
            <w:r>
              <w:rPr>
                <w:rFonts w:hAnsi="宋体"/>
                <w:b/>
                <w:bCs/>
                <w:szCs w:val="21"/>
              </w:rPr>
              <w:t>章</w:t>
            </w:r>
            <w:r>
              <w:rPr>
                <w:rFonts w:hint="eastAsia"/>
                <w:b/>
                <w:bCs/>
                <w:szCs w:val="21"/>
              </w:rPr>
              <w:t xml:space="preserve">  茶艺基本礼仪</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numPr>
          <w:ilvl w:val="0"/>
          <w:numId w:val="24"/>
        </w:numPr>
        <w:spacing w:line="400" w:lineRule="atLeast"/>
        <w:jc w:val="left"/>
        <w:rPr>
          <w:b/>
          <w:bCs/>
        </w:rPr>
      </w:pPr>
      <w:bookmarkStart w:id="253" w:name="OLE_LINK28"/>
      <w:bookmarkStart w:id="254" w:name="OLE_LINK29"/>
      <w:r>
        <w:rPr>
          <w:rFonts w:hint="eastAsia"/>
          <w:b/>
          <w:bCs/>
        </w:rPr>
        <w:t>茶艺礼仪的</w:t>
      </w:r>
      <w:r>
        <w:rPr>
          <w:b/>
          <w:bCs/>
        </w:rPr>
        <w:t>基本要求</w:t>
      </w:r>
      <w:r>
        <w:rPr>
          <w:rFonts w:hint="eastAsia"/>
          <w:b/>
          <w:bCs/>
        </w:rPr>
        <w:t xml:space="preserve">  0.5学时</w:t>
      </w:r>
    </w:p>
    <w:p>
      <w:pPr>
        <w:spacing w:line="400" w:lineRule="atLeast"/>
        <w:jc w:val="left"/>
        <w:rPr>
          <w:b/>
          <w:bCs/>
        </w:rPr>
      </w:pPr>
      <w:r>
        <w:rPr>
          <w:b/>
          <w:bCs/>
        </w:rPr>
        <w:t xml:space="preserve">第二节 </w:t>
      </w:r>
      <w:r>
        <w:rPr>
          <w:rFonts w:hint="eastAsia"/>
          <w:b/>
          <w:bCs/>
        </w:rPr>
        <w:t>茶艺基本</w:t>
      </w:r>
      <w:r>
        <w:rPr>
          <w:b/>
          <w:bCs/>
        </w:rPr>
        <w:t>礼仪</w:t>
      </w:r>
      <w:r>
        <w:rPr>
          <w:rFonts w:hint="eastAsia"/>
          <w:b/>
          <w:bCs/>
        </w:rPr>
        <w:t xml:space="preserve">   0.5学时</w:t>
      </w:r>
    </w:p>
    <w:p>
      <w:pPr>
        <w:spacing w:line="400" w:lineRule="atLeast"/>
        <w:jc w:val="left"/>
        <w:rPr>
          <w:b/>
          <w:bCs/>
        </w:rPr>
      </w:pPr>
      <w:r>
        <w:rPr>
          <w:b/>
          <w:bCs/>
        </w:rPr>
        <w:t xml:space="preserve">第三节 </w:t>
      </w:r>
      <w:r>
        <w:rPr>
          <w:rFonts w:hint="eastAsia"/>
          <w:b/>
          <w:bCs/>
        </w:rPr>
        <w:t>仪容和仪态   1学时</w:t>
      </w:r>
    </w:p>
    <w:bookmarkEnd w:id="253"/>
    <w:bookmarkEnd w:id="254"/>
    <w:p>
      <w:pPr>
        <w:widowControl/>
        <w:snapToGrid w:val="0"/>
        <w:spacing w:line="400" w:lineRule="atLeast"/>
        <w:jc w:val="left"/>
        <w:rPr>
          <w:szCs w:val="21"/>
        </w:rPr>
      </w:pPr>
      <w:r>
        <w:rPr>
          <w:rFonts w:hint="eastAsia" w:ascii="宋体" w:hAnsi="宋体"/>
          <w:b/>
          <w:bCs/>
        </w:rPr>
        <w:t>教学目标：</w:t>
      </w:r>
      <w:r>
        <w:rPr>
          <w:szCs w:val="21"/>
        </w:rPr>
        <w:t>让学生</w:t>
      </w:r>
      <w:r>
        <w:rPr>
          <w:kern w:val="0"/>
          <w:szCs w:val="21"/>
        </w:rPr>
        <w:t>了解并掌握茶艺过程中茶艺师的仪容、仪态与基本礼仪。</w:t>
      </w:r>
    </w:p>
    <w:p>
      <w:pPr>
        <w:adjustRightInd w:val="0"/>
        <w:snapToGrid w:val="0"/>
        <w:spacing w:line="400" w:lineRule="atLeast"/>
        <w:jc w:val="left"/>
      </w:pPr>
      <w:r>
        <w:rPr>
          <w:b/>
          <w:bCs/>
        </w:rPr>
        <w:t>教学重点和难点：</w:t>
      </w:r>
      <w:r>
        <w:t>茶艺礼仪</w:t>
      </w:r>
      <w:r>
        <w:rPr>
          <w:rFonts w:hint="eastAsia"/>
        </w:rPr>
        <w:t>基本动作</w:t>
      </w:r>
      <w:r>
        <w:t>。</w:t>
      </w:r>
    </w:p>
    <w:p>
      <w:pPr>
        <w:widowControl/>
        <w:snapToGrid w:val="0"/>
        <w:spacing w:line="400" w:lineRule="atLeast"/>
        <w:jc w:val="left"/>
        <w:rPr>
          <w:kern w:val="0"/>
          <w:szCs w:val="21"/>
        </w:rPr>
      </w:pPr>
      <w:r>
        <w:rPr>
          <w:b/>
          <w:bCs/>
        </w:rPr>
        <w:t>主要教学内容及要求：</w:t>
      </w:r>
      <w:r>
        <w:rPr>
          <w:rFonts w:hint="eastAsia"/>
        </w:rPr>
        <w:t>了解礼仪的重要性；理解茶艺礼仪的基本要求；掌握茶艺中的基本礼仪；熟练掌握茶艺中的常用礼仪和寓意礼。</w:t>
      </w:r>
    </w:p>
    <w:p>
      <w:pPr>
        <w:widowControl/>
        <w:snapToGrid w:val="0"/>
        <w:spacing w:line="400" w:lineRule="atLeast"/>
        <w:rPr>
          <w:rFonts w:ascii="宋体" w:hAnsi="宋体"/>
        </w:rPr>
      </w:pPr>
      <w:r>
        <w:rPr>
          <w:rFonts w:hint="eastAsia" w:ascii="宋体" w:hAnsi="宋体"/>
          <w:b/>
          <w:bCs/>
        </w:rPr>
        <w:t>教学组织与实施：</w:t>
      </w:r>
      <w:r>
        <w:rPr>
          <w:rFonts w:hint="eastAsia" w:ascii="宋体" w:hAnsi="宋体"/>
        </w:rPr>
        <w:t>课堂展示《故事里的茶》；问题引入“茶艺中的哪些动作属于基本礼仪”；根据学生答案，引入新知识点的讲授，通过对“中国是礼仪之邦”的引入，引出茶艺中礼仪的重要性；通过视频观看，现场示范及学生模拟，讲解茶艺中的基本礼仪动作及动作要点；最后总结回顾，茶艺中的常用礼仪及寓意礼，掌握掌握动作的规范性和寓意。作业布置：向身边人讲解两个茶艺中的礼仪动作（拍摄小视频形式）。</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四</w:t>
            </w:r>
            <w:r>
              <w:rPr>
                <w:rFonts w:hAnsi="宋体"/>
                <w:b/>
                <w:bCs/>
                <w:szCs w:val="21"/>
              </w:rPr>
              <w:t>章</w:t>
            </w:r>
            <w:r>
              <w:rPr>
                <w:rFonts w:hint="eastAsia"/>
                <w:b/>
                <w:bCs/>
                <w:szCs w:val="21"/>
              </w:rPr>
              <w:t xml:space="preserve">  茶席设计</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pacing w:line="400" w:lineRule="atLeast"/>
        <w:jc w:val="left"/>
        <w:rPr>
          <w:b/>
          <w:bCs/>
        </w:rPr>
      </w:pPr>
      <w:r>
        <w:rPr>
          <w:b/>
          <w:bCs/>
        </w:rPr>
        <w:t xml:space="preserve">第一节 </w:t>
      </w:r>
      <w:r>
        <w:rPr>
          <w:rFonts w:hint="eastAsia"/>
          <w:b/>
          <w:bCs/>
        </w:rPr>
        <w:t xml:space="preserve">茶席概论   </w:t>
      </w:r>
      <w:r>
        <w:rPr>
          <w:b/>
          <w:bCs/>
        </w:rPr>
        <w:t>0.5</w:t>
      </w:r>
      <w:r>
        <w:rPr>
          <w:rFonts w:hint="eastAsia"/>
          <w:b/>
          <w:bCs/>
        </w:rPr>
        <w:t>学时</w:t>
      </w:r>
    </w:p>
    <w:p>
      <w:pPr>
        <w:spacing w:line="400" w:lineRule="atLeast"/>
        <w:jc w:val="left"/>
        <w:rPr>
          <w:b/>
          <w:bCs/>
        </w:rPr>
      </w:pPr>
      <w:r>
        <w:rPr>
          <w:b/>
          <w:bCs/>
        </w:rPr>
        <w:t xml:space="preserve">第二节 </w:t>
      </w:r>
      <w:r>
        <w:rPr>
          <w:rFonts w:hint="eastAsia"/>
          <w:b/>
          <w:bCs/>
        </w:rPr>
        <w:t xml:space="preserve">茶席基本构成   </w:t>
      </w:r>
      <w:r>
        <w:rPr>
          <w:b/>
          <w:bCs/>
        </w:rPr>
        <w:t>0.5</w:t>
      </w:r>
      <w:r>
        <w:rPr>
          <w:rFonts w:hint="eastAsia"/>
          <w:b/>
          <w:bCs/>
        </w:rPr>
        <w:t>学时</w:t>
      </w:r>
    </w:p>
    <w:p>
      <w:pPr>
        <w:spacing w:line="400" w:lineRule="atLeast"/>
        <w:jc w:val="left"/>
        <w:rPr>
          <w:b/>
          <w:bCs/>
        </w:rPr>
      </w:pPr>
      <w:r>
        <w:rPr>
          <w:rFonts w:hint="eastAsia"/>
          <w:b/>
          <w:bCs/>
        </w:rPr>
        <w:t xml:space="preserve">第三节 主题茶席设计   </w:t>
      </w:r>
      <w:r>
        <w:rPr>
          <w:b/>
          <w:bCs/>
        </w:rPr>
        <w:t>1</w:t>
      </w:r>
      <w:r>
        <w:rPr>
          <w:rFonts w:hint="eastAsia"/>
          <w:b/>
          <w:bCs/>
        </w:rPr>
        <w:t>学时</w:t>
      </w:r>
    </w:p>
    <w:p>
      <w:pPr>
        <w:widowControl/>
        <w:snapToGrid w:val="0"/>
        <w:spacing w:line="400" w:lineRule="atLeast"/>
        <w:jc w:val="left"/>
        <w:rPr>
          <w:szCs w:val="21"/>
        </w:rPr>
      </w:pPr>
      <w:r>
        <w:rPr>
          <w:rFonts w:hint="eastAsia" w:ascii="宋体" w:hAnsi="宋体"/>
          <w:b/>
          <w:bCs/>
        </w:rPr>
        <w:t>教学目标：</w:t>
      </w:r>
      <w:r>
        <w:rPr>
          <w:kern w:val="0"/>
          <w:szCs w:val="21"/>
        </w:rPr>
        <w:t>了解并掌握</w:t>
      </w:r>
      <w:r>
        <w:rPr>
          <w:rFonts w:hint="eastAsia"/>
          <w:kern w:val="0"/>
          <w:szCs w:val="21"/>
        </w:rPr>
        <w:t>茶席的概念与基本构成元素，学会独立设计一款茶席</w:t>
      </w:r>
      <w:r>
        <w:rPr>
          <w:kern w:val="0"/>
          <w:szCs w:val="21"/>
        </w:rPr>
        <w:t>。</w:t>
      </w:r>
    </w:p>
    <w:p>
      <w:pPr>
        <w:adjustRightInd w:val="0"/>
        <w:snapToGrid w:val="0"/>
        <w:spacing w:line="400" w:lineRule="atLeast"/>
        <w:jc w:val="left"/>
      </w:pPr>
      <w:r>
        <w:rPr>
          <w:b/>
          <w:bCs/>
        </w:rPr>
        <w:t>教学重点和难点：</w:t>
      </w:r>
      <w:r>
        <w:rPr>
          <w:szCs w:val="21"/>
        </w:rPr>
        <w:t>基础茶席的布置，茶席主题的凝练</w:t>
      </w:r>
      <w:r>
        <w:t>。</w:t>
      </w:r>
    </w:p>
    <w:p>
      <w:pPr>
        <w:widowControl/>
        <w:snapToGrid w:val="0"/>
        <w:spacing w:line="400" w:lineRule="atLeast"/>
        <w:jc w:val="left"/>
        <w:rPr>
          <w:kern w:val="0"/>
          <w:szCs w:val="21"/>
        </w:rPr>
      </w:pPr>
      <w:r>
        <w:rPr>
          <w:b/>
          <w:bCs/>
        </w:rPr>
        <w:t>主要教学内容及要求：</w:t>
      </w:r>
      <w:r>
        <w:rPr>
          <w:rFonts w:hint="eastAsia"/>
        </w:rPr>
        <w:t>了解茶席的演变历史；理解茶席的概念；掌握茶席的基本构成元素；熟练掌握对构成元素的巧妙利用，设计一款茶席。</w:t>
      </w:r>
    </w:p>
    <w:p>
      <w:pPr>
        <w:widowControl/>
        <w:snapToGrid w:val="0"/>
        <w:spacing w:line="400" w:lineRule="atLeast"/>
        <w:rPr>
          <w:rFonts w:ascii="宋体" w:hAnsi="宋体"/>
          <w:b/>
          <w:bCs/>
        </w:rPr>
      </w:pPr>
      <w:r>
        <w:rPr>
          <w:rFonts w:hint="eastAsia" w:ascii="宋体" w:hAnsi="宋体"/>
          <w:b/>
          <w:bCs/>
        </w:rPr>
        <w:t>教学组织与实施：</w:t>
      </w:r>
      <w:r>
        <w:rPr>
          <w:rFonts w:hint="eastAsia" w:ascii="宋体" w:hAnsi="宋体"/>
        </w:rPr>
        <w:t>课堂展示《故事里的茶》；案例比较进行问题引入“茶席的构成元素都有哪些”；根据学生答案，引入新知识点的讲授，通过对“茶席演变过程”的引入，引出茶席设计的重要性，讲解茶席基本构成与设计原则；通过案例分析，讲解主题茶席设计的要点；最后总结回顾，理解茶席设计的概念及构成元素，掌握对茶具，插花及其他要素的合理运用和搭配。作业布置：设计一款主题茶席，主题自拟（照片拍摄及作品赏析）。</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五</w:t>
            </w:r>
            <w:r>
              <w:rPr>
                <w:rFonts w:hAnsi="宋体"/>
                <w:b/>
                <w:bCs/>
                <w:szCs w:val="21"/>
              </w:rPr>
              <w:t>章</w:t>
            </w:r>
            <w:r>
              <w:rPr>
                <w:rFonts w:hint="eastAsia"/>
                <w:b/>
                <w:bCs/>
                <w:szCs w:val="21"/>
              </w:rPr>
              <w:t xml:space="preserve">  基础茶艺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adjustRightInd w:val="0"/>
        <w:snapToGrid w:val="0"/>
        <w:spacing w:line="360" w:lineRule="auto"/>
        <w:jc w:val="left"/>
        <w:rPr>
          <w:b/>
          <w:bCs/>
        </w:rPr>
      </w:pPr>
      <w:r>
        <w:rPr>
          <w:b/>
          <w:bCs/>
        </w:rPr>
        <w:t xml:space="preserve">第一节 </w:t>
      </w:r>
      <w:r>
        <w:rPr>
          <w:rFonts w:hint="eastAsia"/>
          <w:b/>
          <w:bCs/>
        </w:rPr>
        <w:t xml:space="preserve">茶艺基本手法  </w:t>
      </w:r>
      <w:r>
        <w:rPr>
          <w:b/>
          <w:bCs/>
        </w:rPr>
        <w:t>0.5</w:t>
      </w:r>
      <w:r>
        <w:rPr>
          <w:rFonts w:hint="eastAsia"/>
          <w:b/>
          <w:bCs/>
        </w:rPr>
        <w:t>学时</w:t>
      </w:r>
    </w:p>
    <w:p>
      <w:pPr>
        <w:adjustRightInd w:val="0"/>
        <w:snapToGrid w:val="0"/>
        <w:spacing w:line="360" w:lineRule="auto"/>
        <w:jc w:val="left"/>
        <w:rPr>
          <w:b/>
          <w:bCs/>
        </w:rPr>
      </w:pPr>
      <w:r>
        <w:rPr>
          <w:rFonts w:hint="eastAsia"/>
          <w:b/>
          <w:bCs/>
        </w:rPr>
        <w:t xml:space="preserve">第二节 茶艺基本流程  </w:t>
      </w:r>
      <w:r>
        <w:rPr>
          <w:b/>
          <w:bCs/>
        </w:rPr>
        <w:t>0.5</w:t>
      </w:r>
      <w:r>
        <w:rPr>
          <w:rFonts w:hint="eastAsia"/>
          <w:b/>
          <w:bCs/>
        </w:rPr>
        <w:t>学时</w:t>
      </w:r>
    </w:p>
    <w:p>
      <w:pPr>
        <w:numPr>
          <w:ilvl w:val="0"/>
          <w:numId w:val="23"/>
        </w:numPr>
        <w:adjustRightInd w:val="0"/>
        <w:snapToGrid w:val="0"/>
        <w:spacing w:line="360" w:lineRule="auto"/>
        <w:jc w:val="left"/>
        <w:rPr>
          <w:b/>
          <w:bCs/>
        </w:rPr>
      </w:pPr>
      <w:r>
        <w:rPr>
          <w:b/>
          <w:bCs/>
        </w:rPr>
        <w:t>玻璃杯泡法茶艺</w:t>
      </w:r>
      <w:r>
        <w:rPr>
          <w:rFonts w:hint="eastAsia"/>
          <w:b/>
          <w:bCs/>
        </w:rPr>
        <w:t xml:space="preserve">  1学时    </w:t>
      </w:r>
    </w:p>
    <w:p>
      <w:pPr>
        <w:numPr>
          <w:ilvl w:val="0"/>
          <w:numId w:val="23"/>
        </w:numPr>
        <w:adjustRightInd w:val="0"/>
        <w:snapToGrid w:val="0"/>
        <w:spacing w:line="360" w:lineRule="auto"/>
        <w:jc w:val="left"/>
        <w:rPr>
          <w:b/>
          <w:bCs/>
        </w:rPr>
      </w:pPr>
      <w:r>
        <w:rPr>
          <w:b/>
          <w:bCs/>
        </w:rPr>
        <w:t>盖碗泡法茶艺</w:t>
      </w:r>
      <w:r>
        <w:rPr>
          <w:rFonts w:hint="eastAsia"/>
          <w:b/>
          <w:bCs/>
        </w:rPr>
        <w:t xml:space="preserve">  1学时</w:t>
      </w:r>
    </w:p>
    <w:p>
      <w:pPr>
        <w:adjustRightInd w:val="0"/>
        <w:snapToGrid w:val="0"/>
        <w:spacing w:line="360" w:lineRule="auto"/>
        <w:jc w:val="left"/>
        <w:rPr>
          <w:b/>
          <w:bCs/>
        </w:rPr>
      </w:pPr>
      <w:r>
        <w:rPr>
          <w:b/>
          <w:bCs/>
        </w:rPr>
        <w:t>第</w:t>
      </w:r>
      <w:r>
        <w:rPr>
          <w:rFonts w:hint="eastAsia"/>
          <w:b/>
          <w:bCs/>
        </w:rPr>
        <w:t>五</w:t>
      </w:r>
      <w:r>
        <w:rPr>
          <w:b/>
          <w:bCs/>
        </w:rPr>
        <w:t>节 壶泡法茶艺</w:t>
      </w:r>
      <w:r>
        <w:rPr>
          <w:rFonts w:hint="eastAsia"/>
          <w:b/>
          <w:bCs/>
        </w:rPr>
        <w:t xml:space="preserve">  </w:t>
      </w:r>
      <w:r>
        <w:rPr>
          <w:b/>
          <w:bCs/>
        </w:rPr>
        <w:t>0.5</w:t>
      </w:r>
      <w:r>
        <w:rPr>
          <w:rFonts w:hint="eastAsia"/>
          <w:b/>
          <w:bCs/>
        </w:rPr>
        <w:t>学时</w:t>
      </w:r>
    </w:p>
    <w:p>
      <w:pPr>
        <w:adjustRightInd w:val="0"/>
        <w:snapToGrid w:val="0"/>
        <w:spacing w:line="360" w:lineRule="auto"/>
        <w:jc w:val="left"/>
        <w:rPr>
          <w:b/>
          <w:bCs/>
        </w:rPr>
      </w:pPr>
      <w:r>
        <w:rPr>
          <w:b/>
          <w:bCs/>
        </w:rPr>
        <w:t>第</w:t>
      </w:r>
      <w:r>
        <w:rPr>
          <w:rFonts w:hint="eastAsia"/>
          <w:b/>
          <w:bCs/>
        </w:rPr>
        <w:t>六</w:t>
      </w:r>
      <w:r>
        <w:rPr>
          <w:b/>
          <w:bCs/>
        </w:rPr>
        <w:t xml:space="preserve">节 </w:t>
      </w:r>
      <w:r>
        <w:rPr>
          <w:rFonts w:hint="eastAsia"/>
          <w:b/>
          <w:bCs/>
        </w:rPr>
        <w:t>工夫</w:t>
      </w:r>
      <w:r>
        <w:rPr>
          <w:b/>
          <w:bCs/>
        </w:rPr>
        <w:t>茶艺</w:t>
      </w:r>
      <w:r>
        <w:rPr>
          <w:rFonts w:hint="eastAsia"/>
          <w:b/>
          <w:bCs/>
        </w:rPr>
        <w:t xml:space="preserve">    </w:t>
      </w:r>
      <w:r>
        <w:rPr>
          <w:b/>
          <w:bCs/>
        </w:rPr>
        <w:t>0.5</w:t>
      </w:r>
      <w:r>
        <w:rPr>
          <w:rFonts w:hint="eastAsia"/>
          <w:b/>
          <w:bCs/>
        </w:rPr>
        <w:t>学时</w:t>
      </w:r>
    </w:p>
    <w:p>
      <w:pPr>
        <w:widowControl/>
        <w:snapToGrid w:val="0"/>
        <w:spacing w:line="400" w:lineRule="atLeast"/>
        <w:jc w:val="left"/>
        <w:rPr>
          <w:szCs w:val="21"/>
        </w:rPr>
      </w:pPr>
      <w:r>
        <w:rPr>
          <w:rFonts w:hint="eastAsia" w:ascii="宋体" w:hAnsi="宋体"/>
          <w:b/>
          <w:bCs/>
        </w:rPr>
        <w:t>教学目标：</w:t>
      </w:r>
      <w:r>
        <w:rPr>
          <w:kern w:val="0"/>
          <w:szCs w:val="21"/>
        </w:rPr>
        <w:t>了解并掌握</w:t>
      </w:r>
      <w:r>
        <w:rPr>
          <w:rFonts w:hint="eastAsia"/>
          <w:kern w:val="0"/>
          <w:szCs w:val="21"/>
        </w:rPr>
        <w:t>茶艺基本手法，掌握不同茶艺的基本流程与手法</w:t>
      </w:r>
      <w:r>
        <w:rPr>
          <w:kern w:val="0"/>
          <w:szCs w:val="21"/>
        </w:rPr>
        <w:t>。</w:t>
      </w:r>
    </w:p>
    <w:p>
      <w:pPr>
        <w:adjustRightInd w:val="0"/>
        <w:snapToGrid w:val="0"/>
        <w:spacing w:line="400" w:lineRule="atLeast"/>
        <w:jc w:val="left"/>
      </w:pPr>
      <w:r>
        <w:rPr>
          <w:b/>
          <w:bCs/>
        </w:rPr>
        <w:t>教学重点和难点：</w:t>
      </w:r>
      <w:r>
        <w:rPr>
          <w:rFonts w:hint="eastAsia"/>
          <w:szCs w:val="21"/>
        </w:rPr>
        <w:t>茶艺基本手法与流程</w:t>
      </w:r>
      <w:r>
        <w:t>。</w:t>
      </w:r>
    </w:p>
    <w:p>
      <w:pPr>
        <w:widowControl/>
        <w:snapToGrid w:val="0"/>
        <w:spacing w:line="400" w:lineRule="atLeast"/>
        <w:jc w:val="left"/>
        <w:rPr>
          <w:kern w:val="0"/>
          <w:szCs w:val="21"/>
        </w:rPr>
      </w:pPr>
      <w:r>
        <w:rPr>
          <w:b/>
          <w:bCs/>
        </w:rPr>
        <w:t>主要教学内容及要求：</w:t>
      </w:r>
      <w:r>
        <w:rPr>
          <w:rFonts w:hint="eastAsia"/>
        </w:rPr>
        <w:t>了解茶艺的分类；理解茶艺基本手法；掌握茶艺基本手法动作及流程；熟练掌握玻璃杯泡，盖碗泡及壶泡法茶艺的基本手法。</w:t>
      </w:r>
    </w:p>
    <w:p>
      <w:pPr>
        <w:widowControl/>
        <w:snapToGrid w:val="0"/>
        <w:spacing w:line="400" w:lineRule="atLeast"/>
        <w:rPr>
          <w:rFonts w:ascii="宋体" w:hAnsi="宋体"/>
          <w:b/>
          <w:bCs/>
        </w:rPr>
      </w:pPr>
      <w:r>
        <w:rPr>
          <w:rFonts w:hint="eastAsia" w:ascii="宋体" w:hAnsi="宋体"/>
          <w:b/>
          <w:bCs/>
        </w:rPr>
        <w:t>教学组织与实施：</w:t>
      </w:r>
      <w:r>
        <w:rPr>
          <w:rFonts w:hint="eastAsia" w:ascii="宋体" w:hAnsi="宋体"/>
        </w:rPr>
        <w:t>课堂展示《故事里的茶》；视频观看进行问题引入“茶艺中的动作和流程都有哪些”；根据学生答案，引入新知识点的讲授，通过对“茶艺动作美”的引入，引出茶艺基本手法的重要性，讲解茶艺中的基本手法及流程；通过案例分析，讲解不同茶艺的流程与要点；最后总结回顾，理解和掌握茶艺基本手法。作业布置：三种茶艺选其一，对其流程及动作要点进行讲解（拍摄小视频形式）。</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六</w:t>
            </w:r>
            <w:r>
              <w:rPr>
                <w:rFonts w:hAnsi="宋体"/>
                <w:b/>
                <w:bCs/>
                <w:szCs w:val="21"/>
              </w:rPr>
              <w:t>章</w:t>
            </w:r>
            <w:r>
              <w:rPr>
                <w:rFonts w:hint="eastAsia"/>
                <w:b/>
                <w:bCs/>
                <w:szCs w:val="21"/>
              </w:rPr>
              <w:t xml:space="preserve">  主题茶艺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adjustRightInd w:val="0"/>
        <w:snapToGrid w:val="0"/>
        <w:spacing w:line="360" w:lineRule="auto"/>
        <w:jc w:val="left"/>
        <w:rPr>
          <w:b/>
          <w:bCs/>
        </w:rPr>
      </w:pPr>
      <w:r>
        <w:rPr>
          <w:b/>
          <w:bCs/>
        </w:rPr>
        <w:t>第</w:t>
      </w:r>
      <w:r>
        <w:rPr>
          <w:rFonts w:hint="eastAsia"/>
          <w:b/>
          <w:bCs/>
        </w:rPr>
        <w:t>一</w:t>
      </w:r>
      <w:r>
        <w:rPr>
          <w:b/>
          <w:bCs/>
        </w:rPr>
        <w:t xml:space="preserve">节 </w:t>
      </w:r>
      <w:r>
        <w:rPr>
          <w:rFonts w:hint="eastAsia"/>
          <w:b/>
          <w:bCs/>
        </w:rPr>
        <w:t>主题</w:t>
      </w:r>
      <w:r>
        <w:rPr>
          <w:b/>
          <w:bCs/>
        </w:rPr>
        <w:t>茶艺</w:t>
      </w:r>
      <w:r>
        <w:rPr>
          <w:rFonts w:hint="eastAsia"/>
          <w:b/>
          <w:bCs/>
        </w:rPr>
        <w:t>的概念与形式   1学时</w:t>
      </w:r>
    </w:p>
    <w:p>
      <w:pPr>
        <w:adjustRightInd w:val="0"/>
        <w:snapToGrid w:val="0"/>
        <w:spacing w:line="360" w:lineRule="auto"/>
        <w:jc w:val="left"/>
        <w:rPr>
          <w:b/>
          <w:bCs/>
        </w:rPr>
      </w:pPr>
      <w:r>
        <w:rPr>
          <w:b/>
          <w:bCs/>
        </w:rPr>
        <w:t>第</w:t>
      </w:r>
      <w:r>
        <w:rPr>
          <w:rFonts w:hint="eastAsia"/>
          <w:b/>
          <w:bCs/>
        </w:rPr>
        <w:t>二</w:t>
      </w:r>
      <w:r>
        <w:rPr>
          <w:b/>
          <w:bCs/>
        </w:rPr>
        <w:t xml:space="preserve">节 </w:t>
      </w:r>
      <w:r>
        <w:rPr>
          <w:rFonts w:hint="eastAsia"/>
          <w:b/>
          <w:bCs/>
        </w:rPr>
        <w:t>主题</w:t>
      </w:r>
      <w:r>
        <w:rPr>
          <w:b/>
          <w:bCs/>
        </w:rPr>
        <w:t>茶艺</w:t>
      </w:r>
      <w:r>
        <w:rPr>
          <w:rFonts w:hint="eastAsia"/>
          <w:b/>
          <w:bCs/>
        </w:rPr>
        <w:t>的编创   1学时</w:t>
      </w:r>
    </w:p>
    <w:p>
      <w:pPr>
        <w:widowControl/>
        <w:snapToGrid w:val="0"/>
        <w:spacing w:line="400" w:lineRule="atLeast"/>
        <w:jc w:val="left"/>
        <w:rPr>
          <w:szCs w:val="21"/>
        </w:rPr>
      </w:pPr>
      <w:r>
        <w:rPr>
          <w:rFonts w:hint="eastAsia" w:ascii="宋体" w:hAnsi="宋体"/>
          <w:b/>
          <w:bCs/>
        </w:rPr>
        <w:t xml:space="preserve">教学目标： </w:t>
      </w:r>
      <w:r>
        <w:rPr>
          <w:kern w:val="0"/>
          <w:szCs w:val="21"/>
        </w:rPr>
        <w:t>了解并掌握</w:t>
      </w:r>
      <w:r>
        <w:rPr>
          <w:rFonts w:hint="eastAsia"/>
          <w:kern w:val="0"/>
          <w:szCs w:val="21"/>
        </w:rPr>
        <w:t>主题茶艺的概念，掌握主题茶艺的设计原则</w:t>
      </w:r>
      <w:r>
        <w:rPr>
          <w:kern w:val="0"/>
          <w:szCs w:val="21"/>
        </w:rPr>
        <w:t>。</w:t>
      </w:r>
    </w:p>
    <w:p>
      <w:pPr>
        <w:adjustRightInd w:val="0"/>
        <w:snapToGrid w:val="0"/>
        <w:spacing w:line="400" w:lineRule="atLeast"/>
        <w:jc w:val="left"/>
      </w:pPr>
      <w:r>
        <w:rPr>
          <w:b/>
          <w:bCs/>
        </w:rPr>
        <w:t>教学重点和难点：</w:t>
      </w:r>
      <w:r>
        <w:rPr>
          <w:rFonts w:hint="eastAsia"/>
          <w:szCs w:val="21"/>
        </w:rPr>
        <w:t>主题茶艺的编创</w:t>
      </w:r>
      <w:r>
        <w:t>。</w:t>
      </w:r>
    </w:p>
    <w:p>
      <w:pPr>
        <w:widowControl/>
        <w:snapToGrid w:val="0"/>
        <w:spacing w:line="400" w:lineRule="atLeast"/>
        <w:jc w:val="left"/>
        <w:rPr>
          <w:kern w:val="0"/>
          <w:szCs w:val="21"/>
        </w:rPr>
      </w:pPr>
      <w:r>
        <w:rPr>
          <w:b/>
          <w:bCs/>
        </w:rPr>
        <w:t>主要教学内容及要求：</w:t>
      </w:r>
      <w:r>
        <w:rPr>
          <w:rFonts w:hint="eastAsia"/>
        </w:rPr>
        <w:t>了解主题茶艺的概念；理解主题茶艺的编创原则；掌握主题茶艺的基本要素；熟练掌握对茶艺基本要素的灵活运用。</w:t>
      </w:r>
    </w:p>
    <w:p>
      <w:pPr>
        <w:widowControl/>
        <w:snapToGrid w:val="0"/>
        <w:spacing w:line="400" w:lineRule="atLeast"/>
        <w:rPr>
          <w:rFonts w:ascii="宋体" w:hAnsi="宋体"/>
          <w:b/>
          <w:bCs/>
        </w:rPr>
      </w:pPr>
      <w:r>
        <w:rPr>
          <w:rFonts w:hint="eastAsia" w:ascii="宋体" w:hAnsi="宋体"/>
          <w:b/>
          <w:bCs/>
        </w:rPr>
        <w:t>教学组织与实施：</w:t>
      </w:r>
      <w:r>
        <w:rPr>
          <w:rFonts w:hint="eastAsia" w:ascii="宋体" w:hAnsi="宋体"/>
        </w:rPr>
        <w:t>课堂展示《故事里的茶》；视频观看进行问题引入“主题茶艺与基础茶艺有何不同”；根据学生答案，引入新知识点的讲授，讲解主题茶艺的编创原则；通过案例分析，讲解主题茶艺编创的要点；最后总结回顾，掌握主题茶艺基本编创原则。作业布置：为河南农大茶文化节编创一个主题茶艺（照片及流程讲解）。</w:t>
      </w:r>
    </w:p>
    <w:p>
      <w:pPr>
        <w:widowControl/>
        <w:snapToGrid w:val="0"/>
        <w:spacing w:line="360" w:lineRule="auto"/>
        <w:jc w:val="left"/>
        <w:rPr>
          <w:rFonts w:hAnsi="宋体"/>
          <w:bCs/>
          <w:kern w:val="0"/>
          <w:szCs w:val="21"/>
        </w:rPr>
      </w:pPr>
      <w:r>
        <w:rPr>
          <w:rFonts w:hint="eastAsia" w:hAnsi="宋体"/>
          <w:b/>
          <w:bCs/>
          <w:kern w:val="0"/>
          <w:szCs w:val="21"/>
        </w:rPr>
        <w:t>五</w:t>
      </w:r>
      <w:r>
        <w:rPr>
          <w:rFonts w:hAnsi="宋体"/>
          <w:b/>
          <w:bCs/>
          <w:kern w:val="0"/>
          <w:szCs w:val="21"/>
        </w:rPr>
        <w:t>、实验教学内容及学时分配</w:t>
      </w:r>
      <w:r>
        <w:rPr>
          <w:rFonts w:hint="eastAsia" w:hAnsi="宋体"/>
          <w:b/>
          <w:bCs/>
          <w:kern w:val="0"/>
          <w:szCs w:val="21"/>
        </w:rPr>
        <w:t>（</w:t>
      </w:r>
      <w:r>
        <w:rPr>
          <w:rFonts w:hAnsi="宋体"/>
          <w:b/>
          <w:bCs/>
          <w:kern w:val="0"/>
          <w:szCs w:val="21"/>
        </w:rPr>
        <w:t>12学时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rFonts w:ascii="宋体" w:hAnsi="宋体"/>
          <w:bCs/>
          <w:szCs w:val="21"/>
        </w:rPr>
      </w:pPr>
      <w:r>
        <w:rPr>
          <w:rFonts w:hint="eastAsia" w:ascii="宋体" w:hAnsi="宋体"/>
          <w:bCs/>
          <w:szCs w:val="21"/>
        </w:rPr>
        <w:t>《茶艺基础》实验包含六个部分：玻璃杯泡法茶艺；盖碗泡法茶艺；壶泡法茶艺；碗泡法茶艺；主题茶艺编创；无我茶会。</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rPr>
          <w:rFonts w:hint="eastAsia"/>
        </w:rPr>
        <w:t>实验教学目的：掌握四种茶艺的流程与泡法，掌握主题茶艺的编创原则，掌握无我茶会的基本流程与内涵；</w:t>
      </w:r>
    </w:p>
    <w:p>
      <w:pPr>
        <w:snapToGrid w:val="0"/>
        <w:spacing w:line="360" w:lineRule="auto"/>
        <w:ind w:firstLine="420" w:firstLineChars="200"/>
      </w:pPr>
      <w:r>
        <w:rPr>
          <w:rFonts w:hint="eastAsia"/>
        </w:rPr>
        <w:t>实验基本要求：熟练茶艺基础理论知识，掌握茶艺基本手法。</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1.茶具规范使用，保证干净无损；</w:t>
      </w:r>
    </w:p>
    <w:p>
      <w:pPr>
        <w:snapToGrid w:val="0"/>
        <w:spacing w:line="360" w:lineRule="auto"/>
        <w:ind w:firstLine="420" w:firstLineChars="200"/>
      </w:pPr>
      <w:r>
        <w:rPr>
          <w:rFonts w:hint="eastAsia"/>
        </w:rPr>
        <w:t>2.茶艺教室保持干净整洁。</w:t>
      </w:r>
    </w:p>
    <w:p>
      <w:pPr>
        <w:snapToGrid w:val="0"/>
        <w:spacing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2761"/>
        <w:gridCol w:w="915"/>
        <w:gridCol w:w="1122"/>
        <w:gridCol w:w="1487"/>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2761"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915" w:type="dxa"/>
            <w:tcBorders>
              <w:tl2br w:val="nil"/>
              <w:tr2bl w:val="nil"/>
            </w:tcBorders>
            <w:shd w:val="clear" w:color="auto" w:fill="EEECE1" w:themeFill="background2"/>
            <w:vAlign w:val="center"/>
          </w:tcPr>
          <w:p>
            <w:pPr>
              <w:jc w:val="center"/>
              <w:rPr>
                <w:rFonts w:ascii="宋体" w:hAnsi="宋体" w:cs="宋体"/>
                <w:b/>
                <w:bCs/>
                <w:sz w:val="18"/>
                <w:szCs w:val="18"/>
              </w:rPr>
            </w:pPr>
            <w:r>
              <w:rPr>
                <w:rFonts w:hint="eastAsia" w:ascii="宋体" w:hAnsi="宋体" w:cs="宋体"/>
                <w:b/>
                <w:bCs/>
                <w:sz w:val="18"/>
                <w:szCs w:val="18"/>
              </w:rPr>
              <w:t>学时</w:t>
            </w:r>
          </w:p>
        </w:tc>
        <w:tc>
          <w:tcPr>
            <w:tcW w:w="1122"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类型</w:t>
            </w:r>
          </w:p>
        </w:tc>
        <w:tc>
          <w:tcPr>
            <w:tcW w:w="1487"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实验要求</w:t>
            </w:r>
          </w:p>
        </w:tc>
        <w:tc>
          <w:tcPr>
            <w:tcW w:w="1338"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l2br w:val="nil"/>
              <w:tr2bl w:val="nil"/>
            </w:tcBorders>
            <w:vAlign w:val="center"/>
          </w:tcPr>
          <w:p>
            <w:pPr>
              <w:ind w:firstLine="53"/>
              <w:rPr>
                <w:sz w:val="18"/>
                <w:szCs w:val="18"/>
              </w:rPr>
            </w:pPr>
            <w:r>
              <w:rPr>
                <w:rFonts w:hint="eastAsia" w:ascii="????" w:hAnsi="????" w:eastAsia="????"/>
                <w:sz w:val="19"/>
              </w:rPr>
              <w:t>19011141h</w:t>
            </w:r>
            <w:r>
              <w:rPr>
                <w:rFonts w:hint="eastAsia"/>
                <w:sz w:val="18"/>
                <w:szCs w:val="18"/>
              </w:rPr>
              <w:t>01</w:t>
            </w:r>
          </w:p>
        </w:tc>
        <w:tc>
          <w:tcPr>
            <w:tcW w:w="2761" w:type="dxa"/>
            <w:tcBorders>
              <w:tl2br w:val="nil"/>
              <w:tr2bl w:val="nil"/>
            </w:tcBorders>
            <w:vAlign w:val="center"/>
          </w:tcPr>
          <w:p>
            <w:pPr>
              <w:ind w:firstLine="360"/>
              <w:jc w:val="center"/>
              <w:rPr>
                <w:sz w:val="18"/>
                <w:szCs w:val="18"/>
              </w:rPr>
            </w:pPr>
            <w:bookmarkStart w:id="255" w:name="OLE_LINK4"/>
            <w:r>
              <w:rPr>
                <w:rFonts w:hint="eastAsia"/>
                <w:sz w:val="18"/>
                <w:szCs w:val="18"/>
              </w:rPr>
              <w:t>玻璃杯泡法茶艺</w:t>
            </w:r>
            <w:bookmarkEnd w:id="255"/>
          </w:p>
        </w:tc>
        <w:tc>
          <w:tcPr>
            <w:tcW w:w="915" w:type="dxa"/>
            <w:tcBorders>
              <w:tl2br w:val="nil"/>
              <w:tr2bl w:val="nil"/>
            </w:tcBorders>
            <w:vAlign w:val="center"/>
          </w:tcPr>
          <w:p>
            <w:pPr>
              <w:ind w:firstLine="360"/>
              <w:jc w:val="both"/>
              <w:rPr>
                <w:sz w:val="18"/>
                <w:szCs w:val="18"/>
              </w:rPr>
            </w:pPr>
            <w:r>
              <w:rPr>
                <w:sz w:val="18"/>
                <w:szCs w:val="18"/>
              </w:rPr>
              <w:t>2</w:t>
            </w:r>
          </w:p>
        </w:tc>
        <w:tc>
          <w:tcPr>
            <w:tcW w:w="1122" w:type="dxa"/>
            <w:tcBorders>
              <w:tl2br w:val="nil"/>
              <w:tr2bl w:val="nil"/>
            </w:tcBorders>
            <w:vAlign w:val="center"/>
          </w:tcPr>
          <w:p>
            <w:pPr>
              <w:ind w:firstLine="360"/>
              <w:jc w:val="center"/>
              <w:rPr>
                <w:sz w:val="18"/>
                <w:szCs w:val="18"/>
              </w:rPr>
            </w:pPr>
            <w:r>
              <w:rPr>
                <w:rFonts w:hint="eastAsia"/>
                <w:sz w:val="18"/>
                <w:szCs w:val="18"/>
              </w:rPr>
              <w:t>综合性</w:t>
            </w:r>
          </w:p>
        </w:tc>
        <w:tc>
          <w:tcPr>
            <w:tcW w:w="1487" w:type="dxa"/>
            <w:tcBorders>
              <w:tl2br w:val="nil"/>
              <w:tr2bl w:val="nil"/>
            </w:tcBorders>
            <w:vAlign w:val="center"/>
          </w:tcPr>
          <w:p>
            <w:pPr>
              <w:ind w:firstLine="360"/>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l2br w:val="nil"/>
              <w:tr2bl w:val="nil"/>
            </w:tcBorders>
            <w:vAlign w:val="center"/>
          </w:tcPr>
          <w:p>
            <w:pPr>
              <w:ind w:firstLine="53"/>
              <w:rPr>
                <w:sz w:val="18"/>
                <w:szCs w:val="18"/>
              </w:rPr>
            </w:pPr>
            <w:r>
              <w:rPr>
                <w:rFonts w:hint="eastAsia" w:ascii="????" w:hAnsi="????" w:eastAsia="????"/>
                <w:sz w:val="19"/>
              </w:rPr>
              <w:t>19011141h</w:t>
            </w:r>
            <w:r>
              <w:rPr>
                <w:rFonts w:hint="eastAsia"/>
                <w:sz w:val="18"/>
                <w:szCs w:val="18"/>
              </w:rPr>
              <w:t>02</w:t>
            </w:r>
          </w:p>
        </w:tc>
        <w:tc>
          <w:tcPr>
            <w:tcW w:w="2761" w:type="dxa"/>
            <w:tcBorders>
              <w:tl2br w:val="nil"/>
              <w:tr2bl w:val="nil"/>
            </w:tcBorders>
            <w:vAlign w:val="center"/>
          </w:tcPr>
          <w:p>
            <w:pPr>
              <w:ind w:firstLine="360"/>
              <w:jc w:val="center"/>
              <w:rPr>
                <w:sz w:val="18"/>
                <w:szCs w:val="18"/>
              </w:rPr>
            </w:pPr>
            <w:r>
              <w:rPr>
                <w:rFonts w:hint="eastAsia"/>
                <w:sz w:val="18"/>
                <w:szCs w:val="18"/>
              </w:rPr>
              <w:t>盖碗泡茶艺</w:t>
            </w:r>
          </w:p>
        </w:tc>
        <w:tc>
          <w:tcPr>
            <w:tcW w:w="915" w:type="dxa"/>
            <w:tcBorders>
              <w:tl2br w:val="nil"/>
              <w:tr2bl w:val="nil"/>
            </w:tcBorders>
            <w:vAlign w:val="center"/>
          </w:tcPr>
          <w:p>
            <w:pPr>
              <w:ind w:firstLine="360"/>
              <w:jc w:val="both"/>
              <w:rPr>
                <w:sz w:val="18"/>
                <w:szCs w:val="18"/>
              </w:rPr>
            </w:pPr>
            <w:r>
              <w:rPr>
                <w:sz w:val="18"/>
                <w:szCs w:val="18"/>
              </w:rPr>
              <w:t>2</w:t>
            </w:r>
          </w:p>
        </w:tc>
        <w:tc>
          <w:tcPr>
            <w:tcW w:w="1122" w:type="dxa"/>
            <w:tcBorders>
              <w:tl2br w:val="nil"/>
              <w:tr2bl w:val="nil"/>
            </w:tcBorders>
            <w:vAlign w:val="center"/>
          </w:tcPr>
          <w:p>
            <w:pPr>
              <w:ind w:firstLine="360"/>
              <w:jc w:val="center"/>
              <w:rPr>
                <w:sz w:val="18"/>
                <w:szCs w:val="18"/>
              </w:rPr>
            </w:pPr>
            <w:r>
              <w:rPr>
                <w:rFonts w:hint="eastAsia"/>
                <w:sz w:val="18"/>
                <w:szCs w:val="18"/>
              </w:rPr>
              <w:t>综合性</w:t>
            </w:r>
          </w:p>
        </w:tc>
        <w:tc>
          <w:tcPr>
            <w:tcW w:w="1487" w:type="dxa"/>
            <w:tcBorders>
              <w:tl2br w:val="nil"/>
              <w:tr2bl w:val="nil"/>
            </w:tcBorders>
            <w:vAlign w:val="center"/>
          </w:tcPr>
          <w:p>
            <w:pPr>
              <w:ind w:firstLine="360"/>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l2br w:val="nil"/>
              <w:tr2bl w:val="nil"/>
            </w:tcBorders>
            <w:vAlign w:val="center"/>
          </w:tcPr>
          <w:p>
            <w:pPr>
              <w:ind w:firstLine="53"/>
              <w:rPr>
                <w:sz w:val="18"/>
                <w:szCs w:val="18"/>
              </w:rPr>
            </w:pPr>
            <w:r>
              <w:rPr>
                <w:rFonts w:hint="eastAsia" w:ascii="????" w:hAnsi="????" w:eastAsia="????"/>
                <w:sz w:val="19"/>
              </w:rPr>
              <w:t>19011141h</w:t>
            </w:r>
            <w:r>
              <w:rPr>
                <w:rFonts w:hint="eastAsia"/>
                <w:sz w:val="18"/>
                <w:szCs w:val="18"/>
              </w:rPr>
              <w:t>03</w:t>
            </w:r>
          </w:p>
        </w:tc>
        <w:tc>
          <w:tcPr>
            <w:tcW w:w="2761" w:type="dxa"/>
            <w:tcBorders>
              <w:tl2br w:val="nil"/>
              <w:tr2bl w:val="nil"/>
            </w:tcBorders>
            <w:vAlign w:val="center"/>
          </w:tcPr>
          <w:p>
            <w:pPr>
              <w:ind w:firstLine="360"/>
              <w:jc w:val="center"/>
              <w:rPr>
                <w:sz w:val="18"/>
                <w:szCs w:val="18"/>
              </w:rPr>
            </w:pPr>
            <w:r>
              <w:rPr>
                <w:rFonts w:hint="eastAsia"/>
                <w:sz w:val="18"/>
                <w:szCs w:val="18"/>
              </w:rPr>
              <w:t>壶泡法茶艺</w:t>
            </w:r>
          </w:p>
        </w:tc>
        <w:tc>
          <w:tcPr>
            <w:tcW w:w="915" w:type="dxa"/>
            <w:tcBorders>
              <w:tl2br w:val="nil"/>
              <w:tr2bl w:val="nil"/>
            </w:tcBorders>
            <w:vAlign w:val="center"/>
          </w:tcPr>
          <w:p>
            <w:pPr>
              <w:ind w:firstLine="360"/>
              <w:jc w:val="both"/>
              <w:rPr>
                <w:sz w:val="18"/>
                <w:szCs w:val="18"/>
              </w:rPr>
            </w:pPr>
            <w:r>
              <w:rPr>
                <w:sz w:val="18"/>
                <w:szCs w:val="18"/>
              </w:rPr>
              <w:t>2</w:t>
            </w:r>
          </w:p>
        </w:tc>
        <w:tc>
          <w:tcPr>
            <w:tcW w:w="1122" w:type="dxa"/>
            <w:tcBorders>
              <w:tl2br w:val="nil"/>
              <w:tr2bl w:val="nil"/>
            </w:tcBorders>
            <w:vAlign w:val="center"/>
          </w:tcPr>
          <w:p>
            <w:pPr>
              <w:ind w:firstLine="360"/>
              <w:jc w:val="center"/>
              <w:rPr>
                <w:sz w:val="18"/>
                <w:szCs w:val="18"/>
              </w:rPr>
            </w:pPr>
            <w:r>
              <w:rPr>
                <w:rFonts w:hint="eastAsia"/>
                <w:sz w:val="18"/>
                <w:szCs w:val="18"/>
              </w:rPr>
              <w:t>综合性</w:t>
            </w:r>
          </w:p>
        </w:tc>
        <w:tc>
          <w:tcPr>
            <w:tcW w:w="1487" w:type="dxa"/>
            <w:tcBorders>
              <w:tl2br w:val="nil"/>
              <w:tr2bl w:val="nil"/>
            </w:tcBorders>
            <w:vAlign w:val="center"/>
          </w:tcPr>
          <w:p>
            <w:pPr>
              <w:ind w:firstLine="360"/>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l2br w:val="nil"/>
              <w:tr2bl w:val="nil"/>
            </w:tcBorders>
            <w:vAlign w:val="center"/>
          </w:tcPr>
          <w:p>
            <w:pPr>
              <w:ind w:firstLine="53"/>
              <w:rPr>
                <w:rFonts w:ascii="????" w:hAnsi="????" w:eastAsia="????"/>
                <w:sz w:val="19"/>
              </w:rPr>
            </w:pPr>
            <w:r>
              <w:rPr>
                <w:rFonts w:hint="eastAsia" w:ascii="????" w:hAnsi="????" w:eastAsia="????"/>
                <w:sz w:val="19"/>
              </w:rPr>
              <w:t>19011141h</w:t>
            </w:r>
            <w:r>
              <w:rPr>
                <w:rFonts w:hint="eastAsia"/>
                <w:sz w:val="18"/>
                <w:szCs w:val="18"/>
              </w:rPr>
              <w:t>04</w:t>
            </w:r>
          </w:p>
        </w:tc>
        <w:tc>
          <w:tcPr>
            <w:tcW w:w="2761" w:type="dxa"/>
            <w:tcBorders>
              <w:tl2br w:val="nil"/>
              <w:tr2bl w:val="nil"/>
            </w:tcBorders>
            <w:vAlign w:val="center"/>
          </w:tcPr>
          <w:p>
            <w:pPr>
              <w:ind w:firstLine="360"/>
              <w:jc w:val="center"/>
              <w:rPr>
                <w:sz w:val="18"/>
                <w:szCs w:val="18"/>
              </w:rPr>
            </w:pPr>
            <w:r>
              <w:rPr>
                <w:rFonts w:hint="eastAsia"/>
                <w:sz w:val="18"/>
                <w:szCs w:val="18"/>
              </w:rPr>
              <w:t>碗泡法茶艺</w:t>
            </w:r>
          </w:p>
        </w:tc>
        <w:tc>
          <w:tcPr>
            <w:tcW w:w="915" w:type="dxa"/>
            <w:tcBorders>
              <w:tl2br w:val="nil"/>
              <w:tr2bl w:val="nil"/>
            </w:tcBorders>
            <w:vAlign w:val="center"/>
          </w:tcPr>
          <w:p>
            <w:pPr>
              <w:ind w:firstLine="360"/>
              <w:jc w:val="both"/>
              <w:rPr>
                <w:sz w:val="18"/>
                <w:szCs w:val="18"/>
              </w:rPr>
            </w:pPr>
            <w:r>
              <w:rPr>
                <w:rFonts w:hint="eastAsia"/>
                <w:sz w:val="18"/>
                <w:szCs w:val="18"/>
              </w:rPr>
              <w:t>2</w:t>
            </w:r>
          </w:p>
        </w:tc>
        <w:tc>
          <w:tcPr>
            <w:tcW w:w="1122" w:type="dxa"/>
            <w:tcBorders>
              <w:tl2br w:val="nil"/>
              <w:tr2bl w:val="nil"/>
            </w:tcBorders>
            <w:vAlign w:val="center"/>
          </w:tcPr>
          <w:p>
            <w:pPr>
              <w:ind w:firstLine="360"/>
              <w:jc w:val="center"/>
              <w:rPr>
                <w:sz w:val="18"/>
                <w:szCs w:val="18"/>
              </w:rPr>
            </w:pPr>
            <w:r>
              <w:rPr>
                <w:rFonts w:hint="eastAsia"/>
                <w:sz w:val="18"/>
                <w:szCs w:val="18"/>
              </w:rPr>
              <w:t>综合性</w:t>
            </w:r>
          </w:p>
        </w:tc>
        <w:tc>
          <w:tcPr>
            <w:tcW w:w="1487" w:type="dxa"/>
            <w:tcBorders>
              <w:tl2br w:val="nil"/>
              <w:tr2bl w:val="nil"/>
            </w:tcBorders>
            <w:vAlign w:val="center"/>
          </w:tcPr>
          <w:p>
            <w:pPr>
              <w:ind w:firstLine="360"/>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l2br w:val="nil"/>
              <w:tr2bl w:val="nil"/>
            </w:tcBorders>
            <w:vAlign w:val="center"/>
          </w:tcPr>
          <w:p>
            <w:pPr>
              <w:ind w:firstLine="53"/>
              <w:rPr>
                <w:rFonts w:ascii="????" w:hAnsi="????" w:eastAsia="????"/>
                <w:sz w:val="19"/>
              </w:rPr>
            </w:pPr>
            <w:r>
              <w:rPr>
                <w:rFonts w:hint="eastAsia" w:ascii="????" w:hAnsi="????" w:eastAsia="????"/>
                <w:sz w:val="19"/>
              </w:rPr>
              <w:t>19011141h</w:t>
            </w:r>
            <w:r>
              <w:rPr>
                <w:rFonts w:hint="eastAsia"/>
                <w:sz w:val="18"/>
                <w:szCs w:val="18"/>
              </w:rPr>
              <w:t>05</w:t>
            </w:r>
          </w:p>
        </w:tc>
        <w:tc>
          <w:tcPr>
            <w:tcW w:w="2761" w:type="dxa"/>
            <w:tcBorders>
              <w:tl2br w:val="nil"/>
              <w:tr2bl w:val="nil"/>
            </w:tcBorders>
            <w:vAlign w:val="center"/>
          </w:tcPr>
          <w:p>
            <w:pPr>
              <w:ind w:firstLine="360"/>
              <w:jc w:val="center"/>
              <w:rPr>
                <w:sz w:val="18"/>
                <w:szCs w:val="18"/>
              </w:rPr>
            </w:pPr>
            <w:r>
              <w:rPr>
                <w:rFonts w:hint="eastAsia"/>
                <w:sz w:val="18"/>
                <w:szCs w:val="18"/>
              </w:rPr>
              <w:t>主题茶艺编创</w:t>
            </w:r>
          </w:p>
        </w:tc>
        <w:tc>
          <w:tcPr>
            <w:tcW w:w="915" w:type="dxa"/>
            <w:tcBorders>
              <w:tl2br w:val="nil"/>
              <w:tr2bl w:val="nil"/>
            </w:tcBorders>
            <w:vAlign w:val="center"/>
          </w:tcPr>
          <w:p>
            <w:pPr>
              <w:ind w:firstLine="360"/>
              <w:jc w:val="both"/>
              <w:rPr>
                <w:sz w:val="18"/>
                <w:szCs w:val="18"/>
              </w:rPr>
            </w:pPr>
            <w:r>
              <w:rPr>
                <w:sz w:val="18"/>
                <w:szCs w:val="18"/>
              </w:rPr>
              <w:t>2</w:t>
            </w:r>
          </w:p>
        </w:tc>
        <w:tc>
          <w:tcPr>
            <w:tcW w:w="1122" w:type="dxa"/>
            <w:tcBorders>
              <w:tl2br w:val="nil"/>
              <w:tr2bl w:val="nil"/>
            </w:tcBorders>
            <w:vAlign w:val="center"/>
          </w:tcPr>
          <w:p>
            <w:pPr>
              <w:ind w:firstLine="360"/>
              <w:jc w:val="center"/>
              <w:rPr>
                <w:sz w:val="18"/>
                <w:szCs w:val="18"/>
              </w:rPr>
            </w:pPr>
            <w:r>
              <w:rPr>
                <w:rFonts w:hint="eastAsia"/>
                <w:sz w:val="18"/>
                <w:szCs w:val="18"/>
              </w:rPr>
              <w:t>设计性</w:t>
            </w:r>
          </w:p>
        </w:tc>
        <w:tc>
          <w:tcPr>
            <w:tcW w:w="1487" w:type="dxa"/>
            <w:tcBorders>
              <w:tl2br w:val="nil"/>
              <w:tr2bl w:val="nil"/>
            </w:tcBorders>
            <w:vAlign w:val="center"/>
          </w:tcPr>
          <w:p>
            <w:pPr>
              <w:ind w:firstLine="360"/>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l2br w:val="nil"/>
              <w:tr2bl w:val="nil"/>
            </w:tcBorders>
            <w:vAlign w:val="center"/>
          </w:tcPr>
          <w:p>
            <w:pPr>
              <w:ind w:firstLine="53"/>
              <w:rPr>
                <w:rFonts w:ascii="????" w:hAnsi="????" w:eastAsia="????"/>
                <w:sz w:val="19"/>
              </w:rPr>
            </w:pPr>
            <w:r>
              <w:rPr>
                <w:rFonts w:hint="eastAsia" w:ascii="????" w:hAnsi="????" w:eastAsia="????"/>
                <w:sz w:val="19"/>
              </w:rPr>
              <w:t>19011141h</w:t>
            </w:r>
            <w:r>
              <w:rPr>
                <w:rFonts w:hint="eastAsia"/>
                <w:sz w:val="18"/>
                <w:szCs w:val="18"/>
              </w:rPr>
              <w:t>06</w:t>
            </w:r>
          </w:p>
        </w:tc>
        <w:tc>
          <w:tcPr>
            <w:tcW w:w="2761" w:type="dxa"/>
            <w:tcBorders>
              <w:tl2br w:val="nil"/>
              <w:tr2bl w:val="nil"/>
            </w:tcBorders>
            <w:vAlign w:val="center"/>
          </w:tcPr>
          <w:p>
            <w:pPr>
              <w:ind w:firstLine="360"/>
              <w:jc w:val="center"/>
              <w:rPr>
                <w:sz w:val="18"/>
                <w:szCs w:val="18"/>
              </w:rPr>
            </w:pPr>
            <w:r>
              <w:rPr>
                <w:rFonts w:hint="eastAsia"/>
                <w:sz w:val="18"/>
                <w:szCs w:val="18"/>
              </w:rPr>
              <w:t>无我茶会</w:t>
            </w:r>
          </w:p>
        </w:tc>
        <w:tc>
          <w:tcPr>
            <w:tcW w:w="915" w:type="dxa"/>
            <w:tcBorders>
              <w:tl2br w:val="nil"/>
              <w:tr2bl w:val="nil"/>
            </w:tcBorders>
            <w:vAlign w:val="center"/>
          </w:tcPr>
          <w:p>
            <w:pPr>
              <w:ind w:firstLine="360"/>
              <w:jc w:val="both"/>
              <w:rPr>
                <w:sz w:val="18"/>
                <w:szCs w:val="18"/>
              </w:rPr>
            </w:pPr>
            <w:r>
              <w:rPr>
                <w:rFonts w:hint="eastAsia"/>
                <w:sz w:val="18"/>
                <w:szCs w:val="18"/>
              </w:rPr>
              <w:t>2</w:t>
            </w:r>
          </w:p>
        </w:tc>
        <w:tc>
          <w:tcPr>
            <w:tcW w:w="1122" w:type="dxa"/>
            <w:tcBorders>
              <w:tl2br w:val="nil"/>
              <w:tr2bl w:val="nil"/>
            </w:tcBorders>
            <w:vAlign w:val="center"/>
          </w:tcPr>
          <w:p>
            <w:pPr>
              <w:ind w:firstLine="360"/>
              <w:jc w:val="center"/>
              <w:rPr>
                <w:sz w:val="18"/>
                <w:szCs w:val="18"/>
              </w:rPr>
            </w:pPr>
            <w:r>
              <w:rPr>
                <w:rFonts w:hint="eastAsia"/>
                <w:sz w:val="18"/>
                <w:szCs w:val="18"/>
              </w:rPr>
              <w:t>综合性</w:t>
            </w:r>
          </w:p>
        </w:tc>
        <w:tc>
          <w:tcPr>
            <w:tcW w:w="1487" w:type="dxa"/>
            <w:tcBorders>
              <w:tl2br w:val="nil"/>
              <w:tr2bl w:val="nil"/>
            </w:tcBorders>
            <w:vAlign w:val="center"/>
          </w:tcPr>
          <w:p>
            <w:pPr>
              <w:ind w:firstLine="360"/>
              <w:jc w:val="center"/>
              <w:rPr>
                <w:sz w:val="18"/>
                <w:szCs w:val="18"/>
              </w:rPr>
            </w:pPr>
            <w:r>
              <w:rPr>
                <w:rFonts w:hint="eastAsia"/>
                <w:sz w:val="18"/>
                <w:szCs w:val="18"/>
              </w:rPr>
              <w:t>必做</w:t>
            </w:r>
          </w:p>
        </w:tc>
        <w:tc>
          <w:tcPr>
            <w:tcW w:w="1338" w:type="dxa"/>
            <w:tcBorders>
              <w:tl2br w:val="nil"/>
              <w:tr2bl w:val="nil"/>
            </w:tcBorders>
          </w:tcPr>
          <w:p>
            <w:pPr>
              <w:ind w:firstLine="360"/>
              <w:jc w:val="center"/>
              <w:rPr>
                <w:sz w:val="18"/>
                <w:szCs w:val="18"/>
              </w:rPr>
            </w:pPr>
            <w:r>
              <w:rPr>
                <w:rFonts w:hint="eastAsia"/>
                <w:sz w:val="18"/>
                <w:szCs w:val="18"/>
              </w:rPr>
              <w:t>4-5</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szCs w:val="21"/>
        </w:rPr>
      </w:pPr>
      <w:r>
        <w:rPr>
          <w:rFonts w:hint="eastAsia" w:ascii="宋体" w:hAnsi="宋体"/>
          <w:szCs w:val="21"/>
        </w:rPr>
        <w:t>1.茶艺教室进行实践；</w:t>
      </w:r>
    </w:p>
    <w:p>
      <w:pPr>
        <w:snapToGrid w:val="0"/>
        <w:spacing w:line="360" w:lineRule="auto"/>
        <w:ind w:firstLine="420" w:firstLineChars="200"/>
        <w:rPr>
          <w:rFonts w:ascii="宋体" w:hAnsi="宋体"/>
          <w:szCs w:val="21"/>
        </w:rPr>
      </w:pPr>
      <w:r>
        <w:rPr>
          <w:rFonts w:hint="eastAsia" w:ascii="宋体" w:hAnsi="宋体"/>
          <w:szCs w:val="21"/>
        </w:rPr>
        <w:t>2.遵循教室基本规范，安全使用茶具等器材。</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ind w:firstLine="422"/>
        <w:rPr>
          <w:b/>
          <w:sz w:val="21"/>
          <w:szCs w:val="21"/>
        </w:rPr>
      </w:pPr>
      <w:r>
        <w:rPr>
          <w:rFonts w:hint="eastAsia"/>
          <w:b/>
          <w:sz w:val="21"/>
          <w:szCs w:val="21"/>
        </w:rPr>
        <w:t>【</w:t>
      </w:r>
      <w:r>
        <w:rPr>
          <w:b/>
          <w:sz w:val="21"/>
          <w:szCs w:val="21"/>
        </w:rPr>
        <w:t>实验一</w:t>
      </w:r>
      <w:r>
        <w:rPr>
          <w:rFonts w:hint="eastAsia"/>
          <w:b/>
          <w:sz w:val="21"/>
          <w:szCs w:val="21"/>
        </w:rPr>
        <w:t>】</w:t>
      </w:r>
      <w:r>
        <w:rPr>
          <w:rFonts w:hint="eastAsia" w:ascii="Times New Roman" w:hAnsi="Times New Roman" w:eastAsia="宋体" w:cs="Times New Roman"/>
          <w:b/>
          <w:kern w:val="2"/>
          <w:sz w:val="21"/>
          <w:szCs w:val="21"/>
        </w:rPr>
        <w:t>玻璃杯泡法茶艺</w:t>
      </w:r>
    </w:p>
    <w:p>
      <w:pPr>
        <w:snapToGrid w:val="0"/>
        <w:spacing w:line="360" w:lineRule="auto"/>
        <w:ind w:firstLine="422" w:firstLineChars="200"/>
      </w:pPr>
      <w:r>
        <w:rPr>
          <w:rFonts w:hint="eastAsia"/>
          <w:b/>
          <w:szCs w:val="21"/>
        </w:rPr>
        <w:t>1.实验学时：</w:t>
      </w:r>
      <w:r>
        <w:rPr>
          <w:b/>
          <w:szCs w:val="21"/>
        </w:rPr>
        <w:t>2</w:t>
      </w:r>
    </w:p>
    <w:p>
      <w:pPr>
        <w:snapToGrid w:val="0"/>
        <w:spacing w:line="360" w:lineRule="auto"/>
        <w:ind w:firstLine="422" w:firstLineChars="200"/>
        <w:rPr>
          <w:b/>
          <w:szCs w:val="21"/>
        </w:rPr>
      </w:pPr>
      <w:r>
        <w:rPr>
          <w:rFonts w:hint="eastAsia"/>
          <w:b/>
          <w:szCs w:val="21"/>
        </w:rPr>
        <w:t>2.实验目的：掌握玻璃杯泡法茶艺。</w:t>
      </w:r>
    </w:p>
    <w:p>
      <w:pPr>
        <w:snapToGrid w:val="0"/>
        <w:spacing w:line="360" w:lineRule="auto"/>
        <w:ind w:firstLine="422" w:firstLineChars="200"/>
        <w:rPr>
          <w:rFonts w:ascii="宋体" w:hAnsi="宋体"/>
          <w:bCs/>
          <w:szCs w:val="21"/>
        </w:rPr>
      </w:pPr>
      <w:r>
        <w:rPr>
          <w:rFonts w:hint="eastAsia"/>
          <w:b/>
          <w:szCs w:val="21"/>
        </w:rPr>
        <w:t>3.实验内容：玻璃杯泡法布具准备，温杯，润茶，冲泡等流程演示及实践。</w:t>
      </w:r>
    </w:p>
    <w:p>
      <w:pPr>
        <w:snapToGrid w:val="0"/>
        <w:spacing w:line="360" w:lineRule="auto"/>
        <w:ind w:firstLine="422" w:firstLineChars="200"/>
        <w:rPr>
          <w:rFonts w:ascii="宋体" w:hAnsi="宋体"/>
          <w:bCs/>
          <w:szCs w:val="21"/>
        </w:rPr>
      </w:pPr>
      <w:r>
        <w:rPr>
          <w:rFonts w:hint="eastAsia"/>
          <w:b/>
          <w:szCs w:val="21"/>
        </w:rPr>
        <w:t>4.实验要求：小组合作，保持茶具干净无损。</w:t>
      </w:r>
    </w:p>
    <w:p>
      <w:pPr>
        <w:snapToGrid w:val="0"/>
        <w:spacing w:line="360" w:lineRule="auto"/>
        <w:ind w:firstLine="422" w:firstLineChars="200"/>
        <w:rPr>
          <w:rFonts w:ascii="宋体" w:hAnsi="宋体"/>
          <w:bCs/>
          <w:szCs w:val="21"/>
        </w:rPr>
      </w:pPr>
      <w:r>
        <w:rPr>
          <w:rFonts w:hint="eastAsia"/>
          <w:b/>
          <w:szCs w:val="21"/>
        </w:rPr>
        <w:t>5.实验设备及器材：茶叶，茶盘，水壶，玻璃杯，茶道组，茶巾，茶荷，插花，公道杯，茶罐等。</w:t>
      </w:r>
    </w:p>
    <w:p>
      <w:pPr>
        <w:pStyle w:val="20"/>
        <w:snapToGrid w:val="0"/>
        <w:spacing w:before="0" w:beforeAutospacing="0" w:after="0" w:afterAutospacing="0" w:line="360" w:lineRule="auto"/>
        <w:ind w:firstLine="422"/>
        <w:rPr>
          <w:rFonts w:eastAsia="宋体"/>
          <w:sz w:val="21"/>
          <w:szCs w:val="21"/>
        </w:rPr>
      </w:pPr>
      <w:r>
        <w:rPr>
          <w:rFonts w:hint="eastAsia"/>
          <w:b/>
          <w:sz w:val="21"/>
          <w:szCs w:val="21"/>
        </w:rPr>
        <w:t>【</w:t>
      </w:r>
      <w:r>
        <w:rPr>
          <w:b/>
          <w:sz w:val="21"/>
          <w:szCs w:val="21"/>
        </w:rPr>
        <w:t>实验</w:t>
      </w:r>
      <w:r>
        <w:rPr>
          <w:rFonts w:hint="eastAsia"/>
          <w:b/>
          <w:sz w:val="21"/>
          <w:szCs w:val="21"/>
        </w:rPr>
        <w:t>二】</w:t>
      </w:r>
      <w:r>
        <w:rPr>
          <w:rFonts w:hint="eastAsia" w:ascii="Times New Roman" w:hAnsi="Times New Roman" w:eastAsia="宋体" w:cs="Times New Roman"/>
          <w:b/>
          <w:kern w:val="2"/>
          <w:sz w:val="21"/>
          <w:szCs w:val="21"/>
        </w:rPr>
        <w:t>盖碗泡茶艺</w:t>
      </w:r>
    </w:p>
    <w:p>
      <w:pPr>
        <w:snapToGrid w:val="0"/>
        <w:spacing w:line="360" w:lineRule="auto"/>
        <w:ind w:firstLine="422" w:firstLineChars="200"/>
      </w:pPr>
      <w:r>
        <w:rPr>
          <w:rFonts w:hint="eastAsia"/>
          <w:b/>
          <w:szCs w:val="21"/>
        </w:rPr>
        <w:t>1.实验学时：</w:t>
      </w:r>
      <w:r>
        <w:rPr>
          <w:b/>
          <w:szCs w:val="21"/>
        </w:rPr>
        <w:t>2</w:t>
      </w:r>
    </w:p>
    <w:p>
      <w:pPr>
        <w:snapToGrid w:val="0"/>
        <w:spacing w:line="360" w:lineRule="auto"/>
        <w:ind w:firstLine="422" w:firstLineChars="200"/>
        <w:rPr>
          <w:b/>
          <w:szCs w:val="21"/>
        </w:rPr>
      </w:pPr>
      <w:r>
        <w:rPr>
          <w:rFonts w:hint="eastAsia"/>
          <w:b/>
          <w:szCs w:val="21"/>
        </w:rPr>
        <w:t>2.实验目的：掌握盖碗泡法茶艺。</w:t>
      </w:r>
    </w:p>
    <w:p>
      <w:pPr>
        <w:snapToGrid w:val="0"/>
        <w:spacing w:line="360" w:lineRule="auto"/>
        <w:ind w:firstLine="422" w:firstLineChars="200"/>
        <w:rPr>
          <w:rFonts w:ascii="宋体" w:hAnsi="宋体"/>
          <w:bCs/>
          <w:szCs w:val="21"/>
        </w:rPr>
      </w:pPr>
      <w:r>
        <w:rPr>
          <w:rFonts w:hint="eastAsia"/>
          <w:b/>
          <w:szCs w:val="21"/>
        </w:rPr>
        <w:t>3.实验内容：盖碗泡法布具准备，温杯，润茶，冲泡等流程演示及实践。</w:t>
      </w:r>
    </w:p>
    <w:p>
      <w:pPr>
        <w:snapToGrid w:val="0"/>
        <w:spacing w:line="360" w:lineRule="auto"/>
        <w:ind w:firstLine="422" w:firstLineChars="200"/>
        <w:rPr>
          <w:rFonts w:ascii="宋体" w:hAnsi="宋体"/>
          <w:bCs/>
          <w:szCs w:val="21"/>
        </w:rPr>
      </w:pPr>
      <w:r>
        <w:rPr>
          <w:rFonts w:hint="eastAsia"/>
          <w:b/>
          <w:szCs w:val="21"/>
        </w:rPr>
        <w:t>4.实验要求：小组合作，保持茶具干净无损。</w:t>
      </w:r>
    </w:p>
    <w:p>
      <w:pPr>
        <w:snapToGrid w:val="0"/>
        <w:spacing w:line="360" w:lineRule="auto"/>
        <w:ind w:firstLine="422" w:firstLineChars="200"/>
        <w:rPr>
          <w:rFonts w:ascii="宋体" w:hAnsi="宋体"/>
          <w:bCs/>
          <w:szCs w:val="21"/>
        </w:rPr>
      </w:pPr>
      <w:r>
        <w:rPr>
          <w:rFonts w:hint="eastAsia"/>
          <w:b/>
          <w:szCs w:val="21"/>
        </w:rPr>
        <w:t>5.实验设备及器材：茶叶，茶盘，水壶，盖碗，茶道组，茶巾，茶荷，插花，公道杯，茶罐等。</w:t>
      </w:r>
    </w:p>
    <w:p>
      <w:pPr>
        <w:pStyle w:val="20"/>
        <w:snapToGrid w:val="0"/>
        <w:spacing w:before="0" w:beforeAutospacing="0" w:after="0" w:afterAutospacing="0" w:line="360" w:lineRule="auto"/>
        <w:ind w:firstLine="422"/>
        <w:rPr>
          <w:rFonts w:eastAsia="宋体"/>
          <w:sz w:val="21"/>
          <w:szCs w:val="21"/>
        </w:rPr>
      </w:pPr>
      <w:r>
        <w:rPr>
          <w:rFonts w:hint="eastAsia"/>
          <w:b/>
          <w:sz w:val="21"/>
          <w:szCs w:val="21"/>
        </w:rPr>
        <w:t>【</w:t>
      </w:r>
      <w:r>
        <w:rPr>
          <w:b/>
          <w:sz w:val="21"/>
          <w:szCs w:val="21"/>
        </w:rPr>
        <w:t>实验</w:t>
      </w:r>
      <w:r>
        <w:rPr>
          <w:rFonts w:hint="eastAsia"/>
          <w:b/>
          <w:sz w:val="21"/>
          <w:szCs w:val="21"/>
        </w:rPr>
        <w:t>三】壶</w:t>
      </w:r>
      <w:r>
        <w:rPr>
          <w:rFonts w:hint="eastAsia" w:ascii="Times New Roman" w:hAnsi="Times New Roman" w:eastAsia="宋体" w:cs="Times New Roman"/>
          <w:b/>
          <w:kern w:val="2"/>
          <w:sz w:val="21"/>
          <w:szCs w:val="21"/>
        </w:rPr>
        <w:t>泡茶艺</w:t>
      </w:r>
    </w:p>
    <w:p>
      <w:pPr>
        <w:snapToGrid w:val="0"/>
        <w:spacing w:line="360" w:lineRule="auto"/>
        <w:ind w:firstLine="422" w:firstLineChars="200"/>
      </w:pPr>
      <w:r>
        <w:rPr>
          <w:rFonts w:hint="eastAsia"/>
          <w:b/>
          <w:szCs w:val="21"/>
        </w:rPr>
        <w:t>1.实验学时：</w:t>
      </w:r>
      <w:r>
        <w:rPr>
          <w:b/>
          <w:szCs w:val="21"/>
        </w:rPr>
        <w:t>2</w:t>
      </w:r>
    </w:p>
    <w:p>
      <w:pPr>
        <w:snapToGrid w:val="0"/>
        <w:spacing w:line="360" w:lineRule="auto"/>
        <w:ind w:firstLine="422" w:firstLineChars="200"/>
        <w:rPr>
          <w:b/>
          <w:szCs w:val="21"/>
        </w:rPr>
      </w:pPr>
      <w:r>
        <w:rPr>
          <w:rFonts w:hint="eastAsia"/>
          <w:b/>
          <w:szCs w:val="21"/>
        </w:rPr>
        <w:t>2.实验目的：掌握紫砂壶双杯泡法茶艺。</w:t>
      </w:r>
    </w:p>
    <w:p>
      <w:pPr>
        <w:snapToGrid w:val="0"/>
        <w:spacing w:line="360" w:lineRule="auto"/>
        <w:ind w:firstLine="422" w:firstLineChars="200"/>
        <w:rPr>
          <w:rFonts w:ascii="宋体" w:hAnsi="宋体"/>
          <w:bCs/>
          <w:szCs w:val="21"/>
        </w:rPr>
      </w:pPr>
      <w:r>
        <w:rPr>
          <w:rFonts w:hint="eastAsia"/>
          <w:b/>
          <w:szCs w:val="21"/>
        </w:rPr>
        <w:t>3.实验内容：紫砂壶泡法布具准备，温杯，润茶，冲泡等流程演示及实践。</w:t>
      </w:r>
    </w:p>
    <w:p>
      <w:pPr>
        <w:snapToGrid w:val="0"/>
        <w:spacing w:line="360" w:lineRule="auto"/>
        <w:ind w:firstLine="422" w:firstLineChars="200"/>
        <w:rPr>
          <w:rFonts w:ascii="宋体" w:hAnsi="宋体"/>
          <w:bCs/>
          <w:szCs w:val="21"/>
        </w:rPr>
      </w:pPr>
      <w:r>
        <w:rPr>
          <w:rFonts w:hint="eastAsia"/>
          <w:b/>
          <w:szCs w:val="21"/>
        </w:rPr>
        <w:t>4.实验要求：小组合作，保持茶具干净无损。</w:t>
      </w:r>
    </w:p>
    <w:p>
      <w:pPr>
        <w:snapToGrid w:val="0"/>
        <w:spacing w:line="360" w:lineRule="auto"/>
        <w:ind w:firstLine="422" w:firstLineChars="200"/>
        <w:rPr>
          <w:rFonts w:ascii="宋体" w:hAnsi="宋体"/>
          <w:bCs/>
          <w:szCs w:val="21"/>
        </w:rPr>
      </w:pPr>
      <w:r>
        <w:rPr>
          <w:rFonts w:hint="eastAsia"/>
          <w:b/>
          <w:szCs w:val="21"/>
        </w:rPr>
        <w:t>5.实验设备及器材：茶叶，茶盘，水壶，紫砂壶，品茗杯，闻香杯茶道组，茶巾，茶荷，插花，公道杯，茶罐等。</w:t>
      </w:r>
    </w:p>
    <w:p>
      <w:pPr>
        <w:pStyle w:val="20"/>
        <w:snapToGrid w:val="0"/>
        <w:spacing w:before="0" w:beforeAutospacing="0" w:after="0" w:afterAutospacing="0" w:line="360" w:lineRule="auto"/>
        <w:ind w:firstLine="422"/>
        <w:rPr>
          <w:rFonts w:eastAsia="宋体"/>
          <w:sz w:val="21"/>
          <w:szCs w:val="21"/>
        </w:rPr>
      </w:pPr>
      <w:r>
        <w:rPr>
          <w:rFonts w:hint="eastAsia"/>
          <w:b/>
          <w:sz w:val="21"/>
          <w:szCs w:val="21"/>
        </w:rPr>
        <w:t>【</w:t>
      </w:r>
      <w:r>
        <w:rPr>
          <w:b/>
          <w:sz w:val="21"/>
          <w:szCs w:val="21"/>
        </w:rPr>
        <w:t>实验</w:t>
      </w:r>
      <w:r>
        <w:rPr>
          <w:rFonts w:hint="eastAsia"/>
          <w:b/>
          <w:sz w:val="21"/>
          <w:szCs w:val="21"/>
        </w:rPr>
        <w:t>四】碗</w:t>
      </w:r>
      <w:r>
        <w:rPr>
          <w:rFonts w:hint="eastAsia" w:ascii="Times New Roman" w:hAnsi="Times New Roman" w:eastAsia="宋体" w:cs="Times New Roman"/>
          <w:b/>
          <w:kern w:val="2"/>
          <w:sz w:val="21"/>
          <w:szCs w:val="21"/>
        </w:rPr>
        <w:t>泡茶艺</w:t>
      </w:r>
    </w:p>
    <w:p>
      <w:pPr>
        <w:snapToGrid w:val="0"/>
        <w:spacing w:line="360" w:lineRule="auto"/>
        <w:ind w:firstLine="422" w:firstLineChars="200"/>
      </w:pPr>
      <w:r>
        <w:rPr>
          <w:rFonts w:hint="eastAsia"/>
          <w:b/>
          <w:szCs w:val="21"/>
        </w:rPr>
        <w:t>1.实验学时：2</w:t>
      </w:r>
    </w:p>
    <w:p>
      <w:pPr>
        <w:snapToGrid w:val="0"/>
        <w:spacing w:line="360" w:lineRule="auto"/>
        <w:ind w:firstLine="422" w:firstLineChars="200"/>
        <w:rPr>
          <w:b/>
          <w:szCs w:val="21"/>
        </w:rPr>
      </w:pPr>
      <w:r>
        <w:rPr>
          <w:rFonts w:hint="eastAsia"/>
          <w:b/>
          <w:szCs w:val="21"/>
        </w:rPr>
        <w:t>2.实验目的：掌握碗泡法茶艺。</w:t>
      </w:r>
    </w:p>
    <w:p>
      <w:pPr>
        <w:snapToGrid w:val="0"/>
        <w:spacing w:line="360" w:lineRule="auto"/>
        <w:ind w:firstLine="422" w:firstLineChars="200"/>
        <w:rPr>
          <w:rFonts w:ascii="宋体" w:hAnsi="宋体"/>
          <w:bCs/>
          <w:szCs w:val="21"/>
        </w:rPr>
      </w:pPr>
      <w:r>
        <w:rPr>
          <w:rFonts w:hint="eastAsia"/>
          <w:b/>
          <w:szCs w:val="21"/>
        </w:rPr>
        <w:t>3.实验内容：布具准备，温杯，润茶，冲泡等流程演示及实践。</w:t>
      </w:r>
    </w:p>
    <w:p>
      <w:pPr>
        <w:snapToGrid w:val="0"/>
        <w:spacing w:line="360" w:lineRule="auto"/>
        <w:ind w:firstLine="422" w:firstLineChars="200"/>
        <w:rPr>
          <w:rFonts w:ascii="宋体" w:hAnsi="宋体"/>
          <w:bCs/>
          <w:szCs w:val="21"/>
        </w:rPr>
      </w:pPr>
      <w:r>
        <w:rPr>
          <w:rFonts w:hint="eastAsia"/>
          <w:b/>
          <w:szCs w:val="21"/>
        </w:rPr>
        <w:t>4.实验要求：小组合作，保持茶具干净无损。</w:t>
      </w:r>
    </w:p>
    <w:p>
      <w:pPr>
        <w:snapToGrid w:val="0"/>
        <w:spacing w:line="360" w:lineRule="auto"/>
        <w:ind w:firstLine="422" w:firstLineChars="200"/>
        <w:rPr>
          <w:rFonts w:ascii="宋体" w:hAnsi="宋体"/>
          <w:bCs/>
          <w:szCs w:val="21"/>
        </w:rPr>
      </w:pPr>
      <w:r>
        <w:rPr>
          <w:rFonts w:hint="eastAsia"/>
          <w:b/>
          <w:szCs w:val="21"/>
        </w:rPr>
        <w:t>5.实验设备及器材：茶叶，水壶，盖碗，茶道组，茶巾，茶荷，公道杯，品茗杯，茶罐等。</w:t>
      </w:r>
    </w:p>
    <w:p>
      <w:pPr>
        <w:pStyle w:val="20"/>
        <w:snapToGrid w:val="0"/>
        <w:spacing w:before="0" w:beforeAutospacing="0" w:after="0" w:afterAutospacing="0" w:line="360" w:lineRule="auto"/>
        <w:ind w:firstLine="422"/>
        <w:rPr>
          <w:rFonts w:eastAsia="宋体"/>
          <w:sz w:val="21"/>
          <w:szCs w:val="21"/>
        </w:rPr>
      </w:pPr>
      <w:r>
        <w:rPr>
          <w:rFonts w:hint="eastAsia"/>
          <w:b/>
          <w:sz w:val="21"/>
          <w:szCs w:val="21"/>
        </w:rPr>
        <w:t>【</w:t>
      </w:r>
      <w:r>
        <w:rPr>
          <w:b/>
          <w:sz w:val="21"/>
          <w:szCs w:val="21"/>
        </w:rPr>
        <w:t>实验</w:t>
      </w:r>
      <w:r>
        <w:rPr>
          <w:rFonts w:hint="eastAsia"/>
          <w:b/>
          <w:sz w:val="21"/>
          <w:szCs w:val="21"/>
        </w:rPr>
        <w:t>五】主题</w:t>
      </w:r>
      <w:r>
        <w:rPr>
          <w:rFonts w:hint="eastAsia" w:ascii="Times New Roman" w:hAnsi="Times New Roman" w:eastAsia="宋体" w:cs="Times New Roman"/>
          <w:b/>
          <w:kern w:val="2"/>
          <w:sz w:val="21"/>
          <w:szCs w:val="21"/>
        </w:rPr>
        <w:t>茶艺编创</w:t>
      </w:r>
    </w:p>
    <w:p>
      <w:pPr>
        <w:snapToGrid w:val="0"/>
        <w:spacing w:line="360" w:lineRule="auto"/>
        <w:ind w:firstLine="422" w:firstLineChars="200"/>
      </w:pPr>
      <w:r>
        <w:rPr>
          <w:rFonts w:hint="eastAsia"/>
          <w:b/>
          <w:szCs w:val="21"/>
        </w:rPr>
        <w:t>1.实验学时：</w:t>
      </w:r>
      <w:r>
        <w:rPr>
          <w:b/>
          <w:szCs w:val="21"/>
        </w:rPr>
        <w:t>2</w:t>
      </w:r>
    </w:p>
    <w:p>
      <w:pPr>
        <w:snapToGrid w:val="0"/>
        <w:spacing w:line="360" w:lineRule="auto"/>
        <w:ind w:firstLine="422" w:firstLineChars="200"/>
        <w:rPr>
          <w:b/>
          <w:szCs w:val="21"/>
        </w:rPr>
      </w:pPr>
      <w:r>
        <w:rPr>
          <w:rFonts w:hint="eastAsia"/>
          <w:b/>
          <w:szCs w:val="21"/>
        </w:rPr>
        <w:t>2.实验目的：掌握主题茶艺编创原则。</w:t>
      </w:r>
    </w:p>
    <w:p>
      <w:pPr>
        <w:snapToGrid w:val="0"/>
        <w:spacing w:line="360" w:lineRule="auto"/>
        <w:ind w:firstLine="422" w:firstLineChars="200"/>
        <w:rPr>
          <w:rFonts w:ascii="宋体" w:hAnsi="宋体"/>
          <w:bCs/>
          <w:szCs w:val="21"/>
        </w:rPr>
      </w:pPr>
      <w:r>
        <w:rPr>
          <w:rFonts w:hint="eastAsia"/>
          <w:b/>
          <w:szCs w:val="21"/>
        </w:rPr>
        <w:t>3.实验内容：茶艺流程，茶艺空间，解说词设计等。</w:t>
      </w:r>
    </w:p>
    <w:p>
      <w:pPr>
        <w:snapToGrid w:val="0"/>
        <w:spacing w:line="360" w:lineRule="auto"/>
        <w:ind w:firstLine="422" w:firstLineChars="200"/>
        <w:rPr>
          <w:rFonts w:ascii="宋体" w:hAnsi="宋体"/>
          <w:bCs/>
          <w:szCs w:val="21"/>
        </w:rPr>
      </w:pPr>
      <w:r>
        <w:rPr>
          <w:rFonts w:hint="eastAsia"/>
          <w:b/>
          <w:szCs w:val="21"/>
        </w:rPr>
        <w:t>4.实验要求：小组合作，保持茶具干净无损。</w:t>
      </w:r>
    </w:p>
    <w:p>
      <w:pPr>
        <w:snapToGrid w:val="0"/>
        <w:spacing w:line="360" w:lineRule="auto"/>
        <w:ind w:firstLine="422" w:firstLineChars="200"/>
        <w:rPr>
          <w:rFonts w:ascii="宋体" w:hAnsi="宋体"/>
          <w:bCs/>
          <w:szCs w:val="21"/>
        </w:rPr>
      </w:pPr>
      <w:r>
        <w:rPr>
          <w:rFonts w:hint="eastAsia"/>
          <w:b/>
          <w:szCs w:val="21"/>
        </w:rPr>
        <w:t>5.实验设备及器材：茶席，铺垫，茶叶，水壶，茶道组，茶巾，茶荷，插花，公道杯，茶罐等。</w:t>
      </w:r>
    </w:p>
    <w:p>
      <w:pPr>
        <w:pStyle w:val="20"/>
        <w:snapToGrid w:val="0"/>
        <w:spacing w:before="0" w:beforeAutospacing="0" w:after="0" w:afterAutospacing="0" w:line="360" w:lineRule="auto"/>
        <w:ind w:firstLine="422"/>
        <w:rPr>
          <w:rFonts w:eastAsia="宋体"/>
          <w:sz w:val="21"/>
          <w:szCs w:val="21"/>
        </w:rPr>
      </w:pPr>
      <w:r>
        <w:rPr>
          <w:rFonts w:hint="eastAsia"/>
          <w:b/>
          <w:sz w:val="21"/>
          <w:szCs w:val="21"/>
        </w:rPr>
        <w:t>【</w:t>
      </w:r>
      <w:r>
        <w:rPr>
          <w:b/>
          <w:sz w:val="21"/>
          <w:szCs w:val="21"/>
        </w:rPr>
        <w:t>实验</w:t>
      </w:r>
      <w:r>
        <w:rPr>
          <w:rFonts w:hint="eastAsia"/>
          <w:b/>
          <w:sz w:val="21"/>
          <w:szCs w:val="21"/>
        </w:rPr>
        <w:t>六】无我茶会</w:t>
      </w:r>
    </w:p>
    <w:p>
      <w:pPr>
        <w:snapToGrid w:val="0"/>
        <w:spacing w:line="360" w:lineRule="auto"/>
        <w:ind w:firstLine="422" w:firstLineChars="200"/>
      </w:pPr>
      <w:r>
        <w:rPr>
          <w:rFonts w:hint="eastAsia"/>
          <w:b/>
          <w:szCs w:val="21"/>
        </w:rPr>
        <w:t>1.实验学时：2</w:t>
      </w:r>
    </w:p>
    <w:p>
      <w:pPr>
        <w:snapToGrid w:val="0"/>
        <w:spacing w:line="360" w:lineRule="auto"/>
        <w:ind w:firstLine="422" w:firstLineChars="200"/>
        <w:rPr>
          <w:b/>
          <w:szCs w:val="21"/>
        </w:rPr>
      </w:pPr>
      <w:r>
        <w:rPr>
          <w:rFonts w:hint="eastAsia"/>
          <w:b/>
          <w:szCs w:val="21"/>
        </w:rPr>
        <w:t>2.实验目的：掌握无我茶会的流程及内涵。</w:t>
      </w:r>
    </w:p>
    <w:p>
      <w:pPr>
        <w:snapToGrid w:val="0"/>
        <w:spacing w:line="360" w:lineRule="auto"/>
        <w:ind w:firstLine="422" w:firstLineChars="200"/>
        <w:rPr>
          <w:rFonts w:ascii="宋体" w:hAnsi="宋体"/>
          <w:bCs/>
          <w:szCs w:val="21"/>
        </w:rPr>
      </w:pPr>
      <w:r>
        <w:rPr>
          <w:rFonts w:hint="eastAsia"/>
          <w:b/>
          <w:szCs w:val="21"/>
        </w:rPr>
        <w:t>3.实验内容：无我茶会实践。</w:t>
      </w:r>
    </w:p>
    <w:p>
      <w:pPr>
        <w:snapToGrid w:val="0"/>
        <w:spacing w:line="360" w:lineRule="auto"/>
        <w:ind w:firstLine="422" w:firstLineChars="200"/>
        <w:rPr>
          <w:rFonts w:ascii="宋体" w:hAnsi="宋体"/>
          <w:bCs/>
          <w:szCs w:val="21"/>
        </w:rPr>
      </w:pPr>
      <w:r>
        <w:rPr>
          <w:rFonts w:hint="eastAsia"/>
          <w:b/>
          <w:szCs w:val="21"/>
        </w:rPr>
        <w:t>4.实验要求：小组合作，保持茶具干净无损。</w:t>
      </w:r>
    </w:p>
    <w:p>
      <w:pPr>
        <w:snapToGrid w:val="0"/>
        <w:spacing w:line="360" w:lineRule="auto"/>
        <w:ind w:firstLine="422" w:firstLineChars="200"/>
        <w:rPr>
          <w:rFonts w:ascii="宋体" w:hAnsi="宋体"/>
          <w:bCs/>
          <w:szCs w:val="21"/>
        </w:rPr>
      </w:pPr>
      <w:r>
        <w:rPr>
          <w:rFonts w:hint="eastAsia"/>
          <w:b/>
          <w:szCs w:val="21"/>
        </w:rPr>
        <w:t>5.实验设备及器材：茶叶，茶盘，水壶，紫砂壶，茶道组，茶巾，茶荷，插花，公道杯，茶罐等。</w:t>
      </w:r>
    </w:p>
    <w:p>
      <w:pPr>
        <w:numPr>
          <w:ilvl w:val="0"/>
          <w:numId w:val="25"/>
        </w:numPr>
        <w:snapToGrid w:val="0"/>
        <w:spacing w:line="360" w:lineRule="auto"/>
        <w:rPr>
          <w:rFonts w:ascii="宋体" w:hAnsi="宋体"/>
          <w:b/>
          <w:bCs/>
          <w:szCs w:val="21"/>
        </w:rPr>
      </w:pPr>
      <w:r>
        <w:rPr>
          <w:rFonts w:hint="eastAsia" w:ascii="宋体" w:hAnsi="宋体"/>
          <w:b/>
          <w:bCs/>
          <w:szCs w:val="21"/>
        </w:rPr>
        <w:t>考核方式及成绩评定</w:t>
      </w:r>
    </w:p>
    <w:p>
      <w:pPr>
        <w:snapToGrid w:val="0"/>
        <w:spacing w:line="360" w:lineRule="auto"/>
        <w:rPr>
          <w:rFonts w:ascii="宋体" w:hAnsi="宋体"/>
          <w:b/>
          <w:szCs w:val="21"/>
        </w:rPr>
      </w:pPr>
      <w:r>
        <w:rPr>
          <w:rFonts w:hint="eastAsia" w:ascii="宋体" w:hAnsi="宋体"/>
          <w:b/>
          <w:szCs w:val="21"/>
        </w:rPr>
        <w:t>考核方式：茶艺技能考试，成绩占比20%。</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snapToGrid w:val="0"/>
        <w:spacing w:line="360" w:lineRule="auto"/>
        <w:ind w:firstLine="422" w:firstLineChars="200"/>
        <w:rPr>
          <w:rFonts w:hAnsi="宋体"/>
          <w:szCs w:val="21"/>
        </w:rPr>
      </w:pPr>
      <w:r>
        <w:rPr>
          <w:rFonts w:hint="eastAsia" w:hAnsi="宋体"/>
          <w:b/>
          <w:bCs/>
          <w:szCs w:val="21"/>
        </w:rPr>
        <w:t>文化自信：</w:t>
      </w:r>
      <w:r>
        <w:rPr>
          <w:rFonts w:hint="eastAsia" w:hAnsi="宋体"/>
          <w:szCs w:val="21"/>
        </w:rPr>
        <w:t>茶是中国的文化符号，茶艺中的水，器，茶席，插花，礼仪等均是中华优秀传统文化的体现，通过课程学习，使学生树立文化自信自强，传承和弘扬中华优秀传统文化。</w:t>
      </w:r>
    </w:p>
    <w:p>
      <w:pPr>
        <w:snapToGrid w:val="0"/>
        <w:spacing w:line="360" w:lineRule="auto"/>
        <w:ind w:firstLine="422" w:firstLineChars="200"/>
        <w:rPr>
          <w:rFonts w:hAnsi="宋体"/>
          <w:szCs w:val="21"/>
        </w:rPr>
      </w:pPr>
      <w:r>
        <w:rPr>
          <w:rFonts w:hint="eastAsia" w:hAnsi="宋体"/>
          <w:b/>
          <w:bCs/>
          <w:szCs w:val="21"/>
        </w:rPr>
        <w:t>美育目标：</w:t>
      </w:r>
      <w:r>
        <w:rPr>
          <w:rFonts w:hint="eastAsia" w:hAnsi="宋体"/>
          <w:szCs w:val="21"/>
        </w:rPr>
        <w:t>茶艺具有典型的美学特征，从茶叶的丰富，茶具的精致，音乐的韵律，插花的色彩，到礼仪的雅致，均是东方审美意识的体现，因而，通过课程学习，学生培养审美意识，提升审美能力，学会发现美，欣赏美，提升感知美好生活的能力。</w:t>
      </w: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r>
        <w:rPr>
          <w:rFonts w:hint="eastAsia" w:ascii="宋体" w:hAnsi="宋体" w:cs="宋体"/>
          <w:b/>
          <w:bCs/>
          <w:kern w:val="0"/>
          <w:szCs w:val="21"/>
        </w:rPr>
        <w:t></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hAnsi="宋体"/>
          <w:bCs/>
          <w:kern w:val="0"/>
          <w:szCs w:val="21"/>
        </w:rPr>
      </w:pPr>
      <w:r>
        <w:rPr>
          <w:rFonts w:hint="eastAsia" w:ascii="宋体" w:hAnsi="宋体"/>
          <w:bCs/>
          <w:kern w:val="0"/>
          <w:szCs w:val="21"/>
        </w:rPr>
        <w:t>（1）理论课教材：</w:t>
      </w:r>
      <w:r>
        <w:rPr>
          <w:rFonts w:hint="eastAsia" w:hAnsi="宋体"/>
          <w:bCs/>
          <w:kern w:val="0"/>
          <w:szCs w:val="21"/>
        </w:rPr>
        <w:t>茶艺</w:t>
      </w:r>
      <w:r>
        <w:rPr>
          <w:rFonts w:hAnsi="宋体"/>
          <w:bCs/>
          <w:kern w:val="0"/>
          <w:szCs w:val="21"/>
        </w:rPr>
        <w:t>，</w:t>
      </w:r>
      <w:r>
        <w:rPr>
          <w:rFonts w:hint="eastAsia" w:hAnsi="宋体"/>
          <w:bCs/>
          <w:kern w:val="0"/>
          <w:szCs w:val="21"/>
        </w:rPr>
        <w:t xml:space="preserve">丁以寿 </w:t>
      </w:r>
      <w:r>
        <w:rPr>
          <w:rFonts w:hAnsi="宋体"/>
          <w:bCs/>
          <w:kern w:val="0"/>
          <w:szCs w:val="21"/>
        </w:rPr>
        <w:t>编著，</w:t>
      </w:r>
      <w:r>
        <w:rPr>
          <w:rFonts w:hint="eastAsia" w:hAnsi="宋体"/>
          <w:bCs/>
          <w:kern w:val="0"/>
          <w:szCs w:val="21"/>
        </w:rPr>
        <w:t xml:space="preserve">中国农业 </w:t>
      </w:r>
      <w:r>
        <w:rPr>
          <w:rFonts w:hAnsi="宋体"/>
          <w:bCs/>
          <w:kern w:val="0"/>
          <w:szCs w:val="21"/>
        </w:rPr>
        <w:t>出版社，</w:t>
      </w:r>
      <w:r>
        <w:rPr>
          <w:rFonts w:hint="eastAsia" w:hAnsi="宋体"/>
          <w:bCs/>
          <w:kern w:val="0"/>
          <w:szCs w:val="21"/>
        </w:rPr>
        <w:t xml:space="preserve">2014 </w:t>
      </w:r>
      <w:r>
        <w:rPr>
          <w:rFonts w:hAnsi="宋体"/>
          <w:bCs/>
          <w:kern w:val="0"/>
          <w:szCs w:val="21"/>
        </w:rPr>
        <w:t>年</w:t>
      </w:r>
    </w:p>
    <w:p>
      <w:pPr>
        <w:widowControl/>
        <w:snapToGrid w:val="0"/>
        <w:spacing w:line="360" w:lineRule="auto"/>
        <w:ind w:firstLine="420" w:firstLineChars="200"/>
        <w:jc w:val="left"/>
        <w:rPr>
          <w:rFonts w:hAnsi="宋体"/>
          <w:bCs/>
          <w:kern w:val="0"/>
          <w:szCs w:val="21"/>
        </w:rPr>
      </w:pPr>
      <w:r>
        <w:rPr>
          <w:rFonts w:hint="eastAsia" w:ascii="宋体" w:hAnsi="宋体"/>
        </w:rPr>
        <w:t>（2）实验课教材：</w:t>
      </w:r>
      <w:r>
        <w:rPr>
          <w:rFonts w:hint="eastAsia" w:hAnsi="宋体"/>
          <w:bCs/>
          <w:kern w:val="0"/>
          <w:szCs w:val="21"/>
        </w:rPr>
        <w:t>茶艺</w:t>
      </w:r>
      <w:r>
        <w:rPr>
          <w:rFonts w:hAnsi="宋体"/>
          <w:bCs/>
          <w:kern w:val="0"/>
          <w:szCs w:val="21"/>
        </w:rPr>
        <w:t>，</w:t>
      </w:r>
      <w:r>
        <w:rPr>
          <w:rFonts w:hint="eastAsia" w:hAnsi="宋体"/>
          <w:bCs/>
          <w:kern w:val="0"/>
          <w:szCs w:val="21"/>
        </w:rPr>
        <w:t xml:space="preserve">丁以寿 </w:t>
      </w:r>
      <w:r>
        <w:rPr>
          <w:rFonts w:hAnsi="宋体"/>
          <w:bCs/>
          <w:kern w:val="0"/>
          <w:szCs w:val="21"/>
        </w:rPr>
        <w:t>编著，</w:t>
      </w:r>
      <w:r>
        <w:rPr>
          <w:rFonts w:hint="eastAsia" w:hAnsi="宋体"/>
          <w:bCs/>
          <w:kern w:val="0"/>
          <w:szCs w:val="21"/>
        </w:rPr>
        <w:t xml:space="preserve">中国农业 </w:t>
      </w:r>
      <w:r>
        <w:rPr>
          <w:rFonts w:hAnsi="宋体"/>
          <w:bCs/>
          <w:kern w:val="0"/>
          <w:szCs w:val="21"/>
        </w:rPr>
        <w:t>出版社，</w:t>
      </w:r>
      <w:r>
        <w:rPr>
          <w:rFonts w:hint="eastAsia" w:hAnsi="宋体"/>
          <w:bCs/>
          <w:kern w:val="0"/>
          <w:szCs w:val="21"/>
        </w:rPr>
        <w:t xml:space="preserve">2014 </w:t>
      </w:r>
      <w:r>
        <w:rPr>
          <w:rFonts w:hAnsi="宋体"/>
          <w:bCs/>
          <w:kern w:val="0"/>
          <w:szCs w:val="21"/>
        </w:rPr>
        <w:t>年</w:t>
      </w:r>
    </w:p>
    <w:p>
      <w:pPr>
        <w:widowControl/>
        <w:snapToGrid w:val="0"/>
        <w:spacing w:line="360" w:lineRule="auto"/>
        <w:ind w:firstLine="422" w:firstLineChars="200"/>
        <w:jc w:val="left"/>
        <w:rPr>
          <w:rFonts w:hAnsi="宋体"/>
          <w:b/>
          <w:bCs/>
          <w:kern w:val="0"/>
          <w:szCs w:val="21"/>
        </w:rPr>
      </w:pPr>
      <w:r>
        <w:rPr>
          <w:b/>
          <w:bCs/>
          <w:kern w:val="0"/>
          <w:szCs w:val="21"/>
        </w:rPr>
        <w:t>2</w:t>
      </w:r>
      <w:r>
        <w:rPr>
          <w:rFonts w:hint="eastAsia" w:hAnsi="宋体"/>
          <w:b/>
          <w:bCs/>
          <w:kern w:val="0"/>
          <w:szCs w:val="21"/>
        </w:rPr>
        <w:t>.</w:t>
      </w:r>
      <w:r>
        <w:rPr>
          <w:rFonts w:hAnsi="宋体"/>
          <w:b/>
          <w:bCs/>
          <w:kern w:val="0"/>
          <w:szCs w:val="21"/>
        </w:rPr>
        <w:t>参考书：</w:t>
      </w:r>
    </w:p>
    <w:p>
      <w:pPr>
        <w:snapToGrid w:val="0"/>
        <w:spacing w:line="360" w:lineRule="auto"/>
        <w:ind w:firstLine="420" w:firstLineChars="200"/>
        <w:rPr>
          <w:rFonts w:hAnsi="宋体"/>
          <w:bCs/>
          <w:kern w:val="0"/>
          <w:szCs w:val="21"/>
        </w:rPr>
      </w:pPr>
      <w:r>
        <w:rPr>
          <w:rFonts w:hint="eastAsia" w:hAnsi="宋体"/>
          <w:bCs/>
          <w:kern w:val="0"/>
          <w:szCs w:val="21"/>
        </w:rPr>
        <w:t>（1）茶艺学，黄友谊 编著，中国轻工业 出版社，2022 年</w:t>
      </w:r>
    </w:p>
    <w:p>
      <w:pPr>
        <w:snapToGrid w:val="0"/>
        <w:spacing w:line="360" w:lineRule="auto"/>
        <w:ind w:firstLine="420" w:firstLineChars="200"/>
        <w:rPr>
          <w:rFonts w:hAnsi="宋体"/>
          <w:bCs/>
          <w:kern w:val="0"/>
          <w:szCs w:val="21"/>
        </w:rPr>
      </w:pPr>
      <w:r>
        <w:rPr>
          <w:rFonts w:hint="eastAsia" w:hAnsi="宋体"/>
          <w:bCs/>
          <w:kern w:val="0"/>
          <w:szCs w:val="21"/>
        </w:rPr>
        <w:t>（2）茶艺培训教材．周智修, 江用文, 阮浩耕．中国农业出版社, 2021年</w:t>
      </w:r>
    </w:p>
    <w:p>
      <w:pPr>
        <w:snapToGrid w:val="0"/>
        <w:spacing w:line="360" w:lineRule="auto"/>
        <w:ind w:firstLine="420" w:firstLineChars="200"/>
        <w:rPr>
          <w:rFonts w:hAnsi="宋体"/>
          <w:bCs/>
          <w:kern w:val="0"/>
          <w:szCs w:val="21"/>
        </w:rPr>
      </w:pPr>
      <w:r>
        <w:rPr>
          <w:rFonts w:hint="eastAsia" w:hAnsi="宋体"/>
          <w:bCs/>
          <w:kern w:val="0"/>
          <w:szCs w:val="21"/>
        </w:rPr>
        <w:t>（3）习茶精要讲解. 周智修. 中国农业出版社, 2018年</w:t>
      </w: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snapToGrid w:val="0"/>
        <w:spacing w:line="360" w:lineRule="auto"/>
        <w:ind w:firstLine="420" w:firstLineChars="200"/>
        <w:rPr>
          <w:szCs w:val="21"/>
        </w:rPr>
      </w:pPr>
      <w:r>
        <w:rPr>
          <w:rFonts w:hAnsi="宋体"/>
          <w:szCs w:val="21"/>
        </w:rPr>
        <w:t>（</w:t>
      </w:r>
      <w:r>
        <w:rPr>
          <w:szCs w:val="21"/>
        </w:rPr>
        <w:t>1</w:t>
      </w:r>
      <w:r>
        <w:rPr>
          <w:rFonts w:hAnsi="宋体"/>
          <w:szCs w:val="21"/>
        </w:rPr>
        <w:t>）</w:t>
      </w:r>
      <w:r>
        <w:rPr>
          <w:rFonts w:hint="eastAsia" w:hAnsi="宋体"/>
          <w:szCs w:val="21"/>
        </w:rPr>
        <w:t>中国大学MOOC，中国茶文化与茶健康</w:t>
      </w:r>
    </w:p>
    <w:p>
      <w:pPr>
        <w:widowControl/>
        <w:snapToGrid w:val="0"/>
        <w:spacing w:line="360" w:lineRule="auto"/>
        <w:ind w:firstLine="420" w:firstLineChars="200"/>
        <w:jc w:val="left"/>
        <w:rPr>
          <w:kern w:val="0"/>
        </w:rPr>
      </w:pPr>
      <w:r>
        <w:rPr>
          <w:rFonts w:hAnsi="宋体"/>
          <w:szCs w:val="21"/>
        </w:rPr>
        <w:t>（</w:t>
      </w:r>
      <w:r>
        <w:rPr>
          <w:szCs w:val="21"/>
        </w:rPr>
        <w:t>2</w:t>
      </w:r>
      <w:r>
        <w:rPr>
          <w:rFonts w:hAnsi="宋体"/>
          <w:szCs w:val="21"/>
        </w:rPr>
        <w:t>）</w:t>
      </w:r>
      <w:r>
        <w:rPr>
          <w:rFonts w:hint="eastAsia" w:hAnsi="宋体"/>
          <w:szCs w:val="21"/>
        </w:rPr>
        <w:t>中国大学MOOC，中华茶道</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hAnsi="宋体"/>
          <w:bCs/>
          <w:kern w:val="0"/>
          <w:szCs w:val="21"/>
        </w:rPr>
      </w:pPr>
      <w:r>
        <w:rPr>
          <w:rFonts w:hint="eastAsia" w:hAnsi="宋体"/>
          <w:bCs/>
          <w:kern w:val="0"/>
          <w:szCs w:val="21"/>
        </w:rPr>
        <w:t>教学团队：茶学系教师团队；</w:t>
      </w:r>
    </w:p>
    <w:p>
      <w:pPr>
        <w:snapToGrid w:val="0"/>
        <w:spacing w:line="360" w:lineRule="auto"/>
        <w:ind w:firstLine="420" w:firstLineChars="200"/>
        <w:rPr>
          <w:rFonts w:hAnsi="宋体"/>
          <w:bCs/>
          <w:kern w:val="0"/>
          <w:szCs w:val="21"/>
        </w:rPr>
      </w:pPr>
      <w:r>
        <w:rPr>
          <w:rFonts w:hint="eastAsia" w:hAnsi="宋体"/>
          <w:bCs/>
          <w:kern w:val="0"/>
          <w:szCs w:val="21"/>
        </w:rPr>
        <w:t>教学场地：多媒体教室，茶艺教室；</w:t>
      </w:r>
    </w:p>
    <w:p>
      <w:pPr>
        <w:snapToGrid w:val="0"/>
        <w:spacing w:line="360" w:lineRule="auto"/>
        <w:ind w:firstLine="420" w:firstLineChars="200"/>
        <w:rPr>
          <w:rFonts w:ascii="宋体" w:hAnsi="宋体"/>
          <w:szCs w:val="21"/>
        </w:rPr>
      </w:pPr>
      <w:r>
        <w:rPr>
          <w:rFonts w:hint="eastAsia" w:hAnsi="宋体"/>
          <w:bCs/>
          <w:kern w:val="0"/>
          <w:szCs w:val="21"/>
        </w:rPr>
        <w:t>教学设备：茶艺所需的茶叶，茶具等器材。</w:t>
      </w:r>
      <w:r>
        <w:rPr>
          <w:rFonts w:hint="eastAsia" w:ascii="宋体" w:hAnsi="宋体"/>
          <w:szCs w:val="21"/>
        </w:rPr>
        <w:t></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hAnsi="宋体"/>
          <w:b/>
          <w:bCs/>
          <w:kern w:val="0"/>
          <w:szCs w:val="21"/>
        </w:rPr>
      </w:pPr>
      <w:r>
        <w:rPr>
          <w:rFonts w:hint="eastAsia" w:hAnsi="宋体"/>
          <w:b/>
          <w:bCs/>
          <w:kern w:val="0"/>
          <w:szCs w:val="21"/>
        </w:rPr>
        <w:t>1.过程性评价：</w:t>
      </w:r>
      <w:r>
        <w:rPr>
          <w:rFonts w:hint="eastAsia" w:hAnsi="宋体"/>
          <w:kern w:val="0"/>
          <w:szCs w:val="21"/>
        </w:rPr>
        <w:t>课堂表现占比10%，线上学习（测验）占比20%，茶艺技能考试占比20%</w:t>
      </w:r>
    </w:p>
    <w:p>
      <w:pPr>
        <w:widowControl/>
        <w:snapToGrid w:val="0"/>
        <w:spacing w:line="360" w:lineRule="auto"/>
        <w:ind w:firstLine="420"/>
        <w:jc w:val="left"/>
        <w:rPr>
          <w:rFonts w:hAnsi="宋体"/>
          <w:b/>
          <w:bCs/>
          <w:kern w:val="0"/>
          <w:szCs w:val="21"/>
        </w:rPr>
      </w:pPr>
      <w:r>
        <w:rPr>
          <w:rFonts w:hint="eastAsia" w:hAnsi="宋体"/>
          <w:b/>
          <w:bCs/>
          <w:kern w:val="0"/>
          <w:szCs w:val="21"/>
        </w:rPr>
        <w:t>2.终结性评价：</w:t>
      </w:r>
      <w:r>
        <w:rPr>
          <w:rFonts w:hint="eastAsia" w:hAnsi="宋体"/>
          <w:kern w:val="0"/>
          <w:szCs w:val="21"/>
        </w:rPr>
        <w:t>闭卷考试，占比50%；</w:t>
      </w:r>
    </w:p>
    <w:p>
      <w:pPr>
        <w:widowControl/>
        <w:snapToGrid w:val="0"/>
        <w:spacing w:line="360" w:lineRule="auto"/>
        <w:ind w:firstLine="420"/>
        <w:jc w:val="left"/>
        <w:rPr>
          <w:rFonts w:hAnsi="宋体"/>
          <w:b/>
          <w:bCs/>
          <w:kern w:val="0"/>
          <w:szCs w:val="21"/>
        </w:rPr>
      </w:pPr>
      <w:r>
        <w:rPr>
          <w:rFonts w:hint="eastAsia" w:hAnsi="宋体"/>
          <w:b/>
          <w:bCs/>
          <w:kern w:val="0"/>
          <w:szCs w:val="21"/>
        </w:rPr>
        <w:t>3.课程综合评价：</w:t>
      </w:r>
      <w:r>
        <w:rPr>
          <w:rFonts w:hint="eastAsia" w:hAnsi="宋体"/>
          <w:kern w:val="0"/>
          <w:szCs w:val="21"/>
        </w:rPr>
        <w:t>课堂表现</w:t>
      </w:r>
      <w:r>
        <w:rPr>
          <w:rFonts w:hint="eastAsia" w:ascii="宋体" w:hAnsi="宋体"/>
          <w:bCs/>
          <w:szCs w:val="21"/>
        </w:rPr>
        <w:t>×</w:t>
      </w:r>
      <w:r>
        <w:rPr>
          <w:rFonts w:hint="eastAsia" w:hAnsi="宋体"/>
          <w:kern w:val="0"/>
          <w:szCs w:val="21"/>
        </w:rPr>
        <w:t>10%+线上学习（测验）</w:t>
      </w:r>
      <w:r>
        <w:rPr>
          <w:rFonts w:hint="eastAsia" w:ascii="宋体" w:hAnsi="宋体"/>
          <w:bCs/>
          <w:szCs w:val="21"/>
        </w:rPr>
        <w:t>×</w:t>
      </w:r>
      <w:r>
        <w:rPr>
          <w:rFonts w:hint="eastAsia" w:hAnsi="宋体"/>
          <w:kern w:val="0"/>
          <w:szCs w:val="21"/>
        </w:rPr>
        <w:t>20%+茶艺技能考试</w:t>
      </w:r>
      <w:r>
        <w:rPr>
          <w:rFonts w:hint="eastAsia" w:ascii="宋体" w:hAnsi="宋体"/>
          <w:bCs/>
          <w:szCs w:val="21"/>
        </w:rPr>
        <w:t>×</w:t>
      </w:r>
      <w:r>
        <w:rPr>
          <w:rFonts w:hint="eastAsia" w:hAnsi="宋体"/>
          <w:kern w:val="0"/>
          <w:szCs w:val="21"/>
        </w:rPr>
        <w:t>20%+闭卷考试</w:t>
      </w:r>
      <w:r>
        <w:rPr>
          <w:rFonts w:hint="eastAsia" w:ascii="宋体" w:hAnsi="宋体"/>
          <w:bCs/>
          <w:szCs w:val="21"/>
        </w:rPr>
        <w:t>×</w:t>
      </w:r>
      <w:r>
        <w:rPr>
          <w:rFonts w:hint="eastAsia" w:hAnsi="宋体"/>
          <w:kern w:val="0"/>
          <w:szCs w:val="21"/>
        </w:rPr>
        <w:t>50%。</w:t>
      </w:r>
    </w:p>
    <w:p>
      <w:pPr>
        <w:widowControl/>
        <w:snapToGrid w:val="0"/>
        <w:spacing w:line="360" w:lineRule="auto"/>
        <w:ind w:firstLine="420"/>
        <w:jc w:val="left"/>
        <w:rPr>
          <w:rFonts w:hAnsi="宋体"/>
          <w:kern w:val="0"/>
          <w:szCs w:val="21"/>
        </w:rPr>
      </w:pPr>
      <w:r>
        <w:rPr>
          <w:rFonts w:hint="eastAsia" w:hAnsi="宋体"/>
          <w:b/>
          <w:bCs/>
          <w:kern w:val="0"/>
          <w:szCs w:val="21"/>
        </w:rPr>
        <w:t>课堂表现</w:t>
      </w:r>
      <w:r>
        <w:rPr>
          <w:rFonts w:hint="eastAsia" w:hAnsi="宋体"/>
          <w:kern w:val="0"/>
          <w:szCs w:val="21"/>
        </w:rPr>
        <w:t>：考察学生文化自信意识和综合思维能力的素质目标和能力目标；</w:t>
      </w:r>
    </w:p>
    <w:p>
      <w:pPr>
        <w:widowControl/>
        <w:snapToGrid w:val="0"/>
        <w:spacing w:line="360" w:lineRule="auto"/>
        <w:ind w:firstLine="420"/>
        <w:jc w:val="left"/>
        <w:rPr>
          <w:rFonts w:hAnsi="宋体"/>
          <w:kern w:val="0"/>
          <w:szCs w:val="21"/>
        </w:rPr>
      </w:pPr>
      <w:r>
        <w:rPr>
          <w:rFonts w:hint="eastAsia" w:hAnsi="宋体"/>
          <w:b/>
          <w:bCs/>
          <w:kern w:val="0"/>
          <w:szCs w:val="21"/>
        </w:rPr>
        <w:t>线上学习：</w:t>
      </w:r>
      <w:r>
        <w:rPr>
          <w:rFonts w:hint="eastAsia" w:hAnsi="宋体"/>
          <w:kern w:val="0"/>
          <w:szCs w:val="21"/>
        </w:rPr>
        <w:t>考察学生的茶艺基础知识的掌握情况的知识目标；</w:t>
      </w:r>
    </w:p>
    <w:p>
      <w:pPr>
        <w:widowControl/>
        <w:snapToGrid w:val="0"/>
        <w:spacing w:line="360" w:lineRule="auto"/>
        <w:ind w:firstLine="420"/>
        <w:jc w:val="left"/>
        <w:rPr>
          <w:rFonts w:hAnsi="宋体"/>
          <w:kern w:val="0"/>
          <w:szCs w:val="21"/>
        </w:rPr>
      </w:pPr>
      <w:r>
        <w:rPr>
          <w:rFonts w:hint="eastAsia" w:hAnsi="宋体"/>
          <w:b/>
          <w:bCs/>
          <w:kern w:val="0"/>
          <w:szCs w:val="21"/>
        </w:rPr>
        <w:t>茶艺技能考试：</w:t>
      </w:r>
      <w:r>
        <w:rPr>
          <w:rFonts w:hint="eastAsia" w:hAnsi="宋体"/>
          <w:kern w:val="0"/>
          <w:szCs w:val="21"/>
        </w:rPr>
        <w:t>考察学生茶艺基本技能的操作能力的能力目标和美育目标；</w:t>
      </w:r>
    </w:p>
    <w:p>
      <w:pPr>
        <w:widowControl/>
        <w:snapToGrid w:val="0"/>
        <w:spacing w:line="360" w:lineRule="auto"/>
        <w:ind w:firstLine="420"/>
        <w:jc w:val="left"/>
        <w:rPr>
          <w:rFonts w:hAnsi="宋体"/>
          <w:kern w:val="0"/>
          <w:szCs w:val="21"/>
        </w:rPr>
      </w:pPr>
      <w:r>
        <w:rPr>
          <w:rFonts w:hint="eastAsia" w:hAnsi="宋体"/>
          <w:b/>
          <w:bCs/>
          <w:kern w:val="0"/>
          <w:szCs w:val="21"/>
        </w:rPr>
        <w:t>闭卷考试：</w:t>
      </w:r>
      <w:r>
        <w:rPr>
          <w:rFonts w:hint="eastAsia" w:hAnsi="宋体"/>
          <w:kern w:val="0"/>
          <w:szCs w:val="21"/>
        </w:rPr>
        <w:t>考察学生理论知识的综合应用能力的知识和能力目标。</w:t>
      </w:r>
    </w:p>
    <w:p>
      <w:pPr>
        <w:pStyle w:val="21"/>
        <w:rPr>
          <w:bCs w:val="0"/>
          <w:sz w:val="28"/>
          <w:szCs w:val="28"/>
        </w:rPr>
      </w:pPr>
      <w:bookmarkStart w:id="256" w:name="_Toc138070704"/>
      <w:bookmarkStart w:id="257" w:name="_Toc138068804"/>
      <w:bookmarkStart w:id="258" w:name="_Toc138070434"/>
      <w:bookmarkStart w:id="259" w:name="_Toc138076074"/>
      <w:bookmarkStart w:id="260" w:name="_Toc138076323"/>
      <w:bookmarkStart w:id="261" w:name="_Toc138076618"/>
    </w:p>
    <w:p>
      <w:pPr>
        <w:rPr>
          <w:bCs w:val="0"/>
          <w:sz w:val="28"/>
          <w:szCs w:val="28"/>
        </w:rPr>
      </w:pPr>
      <w:bookmarkStart w:id="262" w:name="_Toc4769"/>
      <w:r>
        <w:rPr>
          <w:bCs w:val="0"/>
          <w:sz w:val="28"/>
          <w:szCs w:val="28"/>
        </w:rPr>
        <w:br w:type="page"/>
      </w:r>
    </w:p>
    <w:p>
      <w:pPr>
        <w:pStyle w:val="21"/>
        <w:rPr>
          <w:sz w:val="24"/>
          <w:szCs w:val="28"/>
        </w:rPr>
      </w:pPr>
      <w:r>
        <w:rPr>
          <w:bCs w:val="0"/>
          <w:sz w:val="28"/>
          <w:szCs w:val="28"/>
        </w:rPr>
        <w:t>设施装备与智能化</w:t>
      </w:r>
      <w:bookmarkEnd w:id="256"/>
      <w:bookmarkEnd w:id="257"/>
      <w:bookmarkEnd w:id="258"/>
      <w:bookmarkEnd w:id="259"/>
      <w:bookmarkEnd w:id="260"/>
      <w:bookmarkEnd w:id="261"/>
      <w:bookmarkEnd w:id="262"/>
    </w:p>
    <w:p>
      <w:pPr>
        <w:shd w:val="solid" w:color="FFFFFF" w:fill="auto"/>
        <w:autoSpaceDN w:val="0"/>
        <w:spacing w:line="360" w:lineRule="auto"/>
        <w:ind w:right="369"/>
        <w:jc w:val="center"/>
        <w:rPr>
          <w:bCs/>
          <w:iCs/>
          <w:sz w:val="24"/>
          <w:shd w:val="clear" w:color="auto" w:fill="FFFFFF"/>
        </w:rPr>
      </w:pPr>
      <w:r>
        <w:rPr>
          <w:rFonts w:hint="eastAsia"/>
          <w:bCs/>
          <w:iCs/>
          <w:sz w:val="24"/>
        </w:rPr>
        <w:t>（</w:t>
      </w:r>
      <w:r>
        <w:rPr>
          <w:bCs/>
          <w:iCs/>
          <w:sz w:val="24"/>
        </w:rPr>
        <w:t>Facility Equipment and Intellectualization</w:t>
      </w:r>
      <w:r>
        <w:rPr>
          <w:bCs/>
          <w:iCs/>
          <w:sz w:val="24"/>
          <w:shd w:val="clear" w:color="auto" w:fill="FFFFFF"/>
        </w:rPr>
        <w:t>)</w:t>
      </w:r>
    </w:p>
    <w:p>
      <w:pPr>
        <w:shd w:val="solid" w:color="FFFFFF" w:fill="auto"/>
        <w:autoSpaceDN w:val="0"/>
        <w:spacing w:line="360" w:lineRule="auto"/>
        <w:ind w:right="369"/>
        <w:jc w:val="center"/>
        <w:rPr>
          <w:b/>
          <w:bCs/>
          <w:iCs/>
          <w:sz w:val="24"/>
        </w:rPr>
      </w:pPr>
    </w:p>
    <w:p>
      <w:pPr>
        <w:snapToGrid w:val="0"/>
        <w:spacing w:line="360" w:lineRule="auto"/>
        <w:jc w:val="center"/>
        <w:rPr>
          <w:b/>
          <w:szCs w:val="21"/>
        </w:rPr>
      </w:pPr>
      <w:r>
        <w:rPr>
          <w:rFonts w:hint="eastAsia"/>
          <w:b/>
          <w:szCs w:val="21"/>
        </w:rPr>
        <w:t>课程基本信息</w:t>
      </w:r>
    </w:p>
    <w:tbl>
      <w:tblPr>
        <w:tblStyle w:val="22"/>
        <w:tblW w:w="0" w:type="auto"/>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spacing w:line="300" w:lineRule="auto"/>
              <w:rPr>
                <w:b/>
                <w:bCs/>
                <w:szCs w:val="21"/>
              </w:rPr>
            </w:pPr>
            <w:r>
              <w:rPr>
                <w:rFonts w:hint="eastAsia"/>
                <w:b/>
                <w:bCs/>
                <w:szCs w:val="21"/>
              </w:rPr>
              <w:t>课程编号：</w:t>
            </w:r>
            <w:r>
              <w:rPr>
                <w:b/>
                <w:bCs/>
                <w:color w:val="000000" w:themeColor="text1"/>
                <w:szCs w:val="21"/>
                <w14:textFill>
                  <w14:solidFill>
                    <w14:schemeClr w14:val="tx1"/>
                  </w14:solidFill>
                </w14:textFill>
              </w:rPr>
              <w:t>19011120</w:t>
            </w:r>
          </w:p>
        </w:tc>
        <w:tc>
          <w:tcPr>
            <w:tcW w:w="2649" w:type="dxa"/>
          </w:tcPr>
          <w:p>
            <w:pPr>
              <w:spacing w:line="300" w:lineRule="auto"/>
              <w:rPr>
                <w:b/>
                <w:bCs/>
                <w:szCs w:val="21"/>
              </w:rPr>
            </w:pPr>
            <w:r>
              <w:rPr>
                <w:rFonts w:hint="eastAsia"/>
                <w:b/>
                <w:bCs/>
                <w:szCs w:val="21"/>
              </w:rPr>
              <w:t>课程总学时：</w:t>
            </w:r>
            <w:r>
              <w:rPr>
                <w:b/>
                <w:bCs/>
                <w:color w:val="000000" w:themeColor="text1"/>
                <w:szCs w:val="21"/>
                <w14:textFill>
                  <w14:solidFill>
                    <w14:schemeClr w14:val="tx1"/>
                  </w14:solidFill>
                </w14:textFill>
              </w:rPr>
              <w:t>32</w:t>
            </w:r>
          </w:p>
        </w:tc>
        <w:tc>
          <w:tcPr>
            <w:tcW w:w="3429" w:type="dxa"/>
          </w:tcPr>
          <w:p>
            <w:pPr>
              <w:spacing w:line="300" w:lineRule="auto"/>
              <w:rPr>
                <w:b/>
                <w:bCs/>
                <w:szCs w:val="21"/>
              </w:rPr>
            </w:pPr>
            <w:r>
              <w:rPr>
                <w:rFonts w:hint="eastAsia"/>
                <w:b/>
                <w:bCs/>
                <w:szCs w:val="21"/>
              </w:rPr>
              <w:t>实验学时：</w:t>
            </w:r>
            <w:r>
              <w:rPr>
                <w:rFonts w:hint="eastAsia"/>
                <w:b/>
                <w:bCs/>
                <w:color w:val="000000" w:themeColor="text1"/>
                <w:szCs w:val="21"/>
                <w14:textFill>
                  <w14:solidFill>
                    <w14:schemeClr w14:val="tx1"/>
                  </w14:solidFill>
                </w14:textFill>
              </w:rPr>
              <w:t>8</w:t>
            </w:r>
          </w:p>
        </w:tc>
      </w:tr>
      <w:tr>
        <w:tblPrEx>
          <w:tblCellMar>
            <w:top w:w="0" w:type="dxa"/>
            <w:left w:w="108" w:type="dxa"/>
            <w:bottom w:w="0" w:type="dxa"/>
            <w:right w:w="108" w:type="dxa"/>
          </w:tblCellMar>
        </w:tblPrEx>
        <w:tc>
          <w:tcPr>
            <w:tcW w:w="3038" w:type="dxa"/>
          </w:tcPr>
          <w:p>
            <w:pPr>
              <w:spacing w:line="300" w:lineRule="auto"/>
              <w:rPr>
                <w:b/>
                <w:bCs/>
                <w:color w:val="FF0000"/>
                <w:szCs w:val="21"/>
              </w:rPr>
            </w:pPr>
            <w:r>
              <w:rPr>
                <w:rFonts w:hint="eastAsia"/>
                <w:b/>
                <w:bCs/>
                <w:szCs w:val="21"/>
              </w:rPr>
              <w:t>课程性质：</w:t>
            </w:r>
            <w:r>
              <w:rPr>
                <w:rFonts w:hint="eastAsia"/>
                <w:b/>
                <w:bCs/>
                <w:color w:val="000000" w:themeColor="text1"/>
                <w:szCs w:val="21"/>
                <w14:textFill>
                  <w14:solidFill>
                    <w14:schemeClr w14:val="tx1"/>
                  </w14:solidFill>
                </w14:textFill>
              </w:rPr>
              <w:t>选修</w:t>
            </w:r>
          </w:p>
        </w:tc>
        <w:tc>
          <w:tcPr>
            <w:tcW w:w="2649" w:type="dxa"/>
          </w:tcPr>
          <w:p>
            <w:pPr>
              <w:spacing w:line="300" w:lineRule="auto"/>
              <w:rPr>
                <w:b/>
                <w:bCs/>
                <w:color w:val="FF0000"/>
                <w:szCs w:val="21"/>
              </w:rPr>
            </w:pPr>
            <w:r>
              <w:rPr>
                <w:rFonts w:hint="eastAsia"/>
                <w:b/>
                <w:bCs/>
                <w:szCs w:val="21"/>
              </w:rPr>
              <w:t>课程属性</w:t>
            </w:r>
            <w:r>
              <w:rPr>
                <w:b/>
                <w:bCs/>
                <w:szCs w:val="21"/>
              </w:rPr>
              <w:t xml:space="preserve">: </w:t>
            </w:r>
            <w:r>
              <w:rPr>
                <w:rFonts w:hint="eastAsia"/>
                <w:b/>
                <w:bCs/>
                <w:color w:val="000000" w:themeColor="text1"/>
                <w:szCs w:val="21"/>
                <w14:textFill>
                  <w14:solidFill>
                    <w14:schemeClr w14:val="tx1"/>
                  </w14:solidFill>
                </w14:textFill>
              </w:rPr>
              <w:t>专业类</w:t>
            </w:r>
          </w:p>
        </w:tc>
        <w:tc>
          <w:tcPr>
            <w:tcW w:w="3429" w:type="dxa"/>
          </w:tcPr>
          <w:p>
            <w:pPr>
              <w:spacing w:line="300" w:lineRule="auto"/>
              <w:rPr>
                <w:b/>
                <w:bCs/>
                <w:szCs w:val="21"/>
              </w:rPr>
            </w:pPr>
            <w:r>
              <w:rPr>
                <w:rFonts w:hint="eastAsia"/>
                <w:b/>
                <w:bCs/>
                <w:szCs w:val="21"/>
              </w:rPr>
              <w:t>开设学期：</w:t>
            </w:r>
            <w:r>
              <w:rPr>
                <w:rFonts w:hint="eastAsia"/>
                <w:b/>
                <w:bCs/>
                <w:color w:val="000000" w:themeColor="text1"/>
                <w:szCs w:val="21"/>
                <w14:textFill>
                  <w14:solidFill>
                    <w14:schemeClr w14:val="tx1"/>
                  </w14:solidFill>
                </w14:textFill>
              </w:rPr>
              <w:t>第</w:t>
            </w:r>
            <w:r>
              <w:rPr>
                <w:b/>
                <w:bCs/>
                <w:color w:val="000000" w:themeColor="text1"/>
                <w:szCs w:val="21"/>
                <w14:textFill>
                  <w14:solidFill>
                    <w14:schemeClr w14:val="tx1"/>
                  </w14:solidFill>
                </w14:textFill>
              </w:rPr>
              <w:t>7</w:t>
            </w:r>
            <w:r>
              <w:rPr>
                <w:rFonts w:hint="eastAsia"/>
                <w:b/>
                <w:bCs/>
                <w:color w:val="000000" w:themeColor="text1"/>
                <w:szCs w:val="21"/>
                <w14:textFill>
                  <w14:solidFill>
                    <w14:schemeClr w14:val="tx1"/>
                  </w14:solidFill>
                </w14:textFill>
              </w:rPr>
              <w:t>学期</w:t>
            </w:r>
          </w:p>
        </w:tc>
      </w:tr>
    </w:tbl>
    <w:p>
      <w:pPr>
        <w:rPr>
          <w:b/>
          <w:bCs/>
          <w:vanish/>
        </w:rPr>
      </w:pPr>
    </w:p>
    <w:tbl>
      <w:tblPr>
        <w:tblStyle w:val="22"/>
        <w:tblW w:w="912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40"/>
        <w:gridCol w:w="2741"/>
        <w:gridCol w:w="333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8" w:type="dxa"/>
          </w:tcPr>
          <w:p>
            <w:pPr>
              <w:spacing w:line="300" w:lineRule="auto"/>
              <w:rPr>
                <w:rFonts w:ascii="宋体" w:hAnsi="宋体" w:eastAsia="Times New Roman"/>
                <w:b/>
                <w:bCs/>
                <w:szCs w:val="21"/>
              </w:rPr>
            </w:pPr>
            <w:r>
              <w:rPr>
                <w:rFonts w:hint="eastAsia" w:ascii="宋体" w:hAnsi="宋体" w:eastAsia="Times New Roman"/>
                <w:b/>
                <w:bCs/>
              </w:rPr>
              <w:t>课程负责人：</w:t>
            </w:r>
            <w:r>
              <w:rPr>
                <w:rFonts w:hint="eastAsia" w:ascii="宋体" w:hAnsi="宋体" w:cs="宋体"/>
                <w:b/>
                <w:bCs/>
                <w:color w:val="000000" w:themeColor="text1"/>
                <w14:textFill>
                  <w14:solidFill>
                    <w14:schemeClr w14:val="tx1"/>
                  </w14:solidFill>
                </w14:textFill>
              </w:rPr>
              <w:t>国志信</w:t>
            </w:r>
          </w:p>
        </w:tc>
        <w:tc>
          <w:tcPr>
            <w:tcW w:w="2740" w:type="dxa"/>
          </w:tcPr>
          <w:p>
            <w:pPr>
              <w:spacing w:line="300" w:lineRule="auto"/>
              <w:jc w:val="left"/>
              <w:rPr>
                <w:rFonts w:ascii="宋体" w:hAnsi="宋体"/>
                <w:b/>
                <w:bCs/>
              </w:rPr>
            </w:pPr>
            <w:r>
              <w:rPr>
                <w:rFonts w:hint="eastAsia" w:ascii="宋体" w:hAnsi="宋体" w:eastAsia="Times New Roman"/>
                <w:b/>
                <w:bCs/>
              </w:rPr>
              <w:t>课程团队：</w:t>
            </w:r>
            <w:r>
              <w:rPr>
                <w:rFonts w:hint="eastAsia" w:ascii="宋体" w:hAnsi="宋体" w:cs="宋体"/>
                <w:b/>
                <w:bCs/>
                <w:color w:val="000000" w:themeColor="text1"/>
                <w14:textFill>
                  <w14:solidFill>
                    <w14:schemeClr w14:val="tx1"/>
                  </w14:solidFill>
                </w14:textFill>
              </w:rPr>
              <w:t>国志信</w:t>
            </w:r>
            <w:r>
              <w:rPr>
                <w:rFonts w:hint="eastAsia" w:ascii="宋体" w:hAnsi="宋体" w:cs="宋体"/>
                <w:b/>
                <w:bCs/>
                <w:color w:val="000000" w:themeColor="text1"/>
                <w:lang w:eastAsia="zh-CN"/>
                <w14:textFill>
                  <w14:solidFill>
                    <w14:schemeClr w14:val="tx1"/>
                  </w14:solidFill>
                </w14:textFill>
              </w:rPr>
              <w:t>、</w:t>
            </w:r>
            <w:r>
              <w:rPr>
                <w:rFonts w:hint="eastAsia" w:ascii="宋体" w:hAnsi="宋体" w:cs="宋体"/>
                <w:b/>
                <w:bCs/>
                <w:color w:val="000000" w:themeColor="text1"/>
                <w14:textFill>
                  <w14:solidFill>
                    <w14:schemeClr w14:val="tx1"/>
                  </w14:solidFill>
                </w14:textFill>
              </w:rPr>
              <w:t>董韩</w:t>
            </w:r>
          </w:p>
        </w:tc>
        <w:tc>
          <w:tcPr>
            <w:tcW w:w="3338" w:type="dxa"/>
          </w:tcPr>
          <w:p>
            <w:pPr>
              <w:spacing w:line="300" w:lineRule="auto"/>
              <w:jc w:val="left"/>
              <w:rPr>
                <w:rFonts w:ascii="宋体" w:hAnsi="宋体" w:eastAsia="Times New Roman"/>
                <w:b/>
                <w:bCs/>
              </w:rPr>
            </w:pPr>
            <w:r>
              <w:rPr>
                <w:rFonts w:hint="eastAsia" w:ascii="宋体" w:hAnsi="宋体" w:eastAsia="Times New Roman"/>
                <w:b/>
                <w:bCs/>
              </w:rPr>
              <w:t>授课语言：</w:t>
            </w:r>
            <w:r>
              <w:rPr>
                <w:rFonts w:hint="eastAsia" w:ascii="宋体" w:hAnsi="宋体" w:cs="宋体"/>
                <w:b/>
                <w:bCs/>
                <w:color w:val="000000" w:themeColor="text1"/>
                <w14:textFill>
                  <w14:solidFill>
                    <w14:schemeClr w14:val="tx1"/>
                  </w14:solidFill>
                </w14:textFill>
              </w:rPr>
              <w:t>中文</w:t>
            </w:r>
          </w:p>
        </w:tc>
      </w:tr>
    </w:tbl>
    <w:p>
      <w:pPr>
        <w:rPr>
          <w:b/>
          <w:bCs/>
          <w:vanish/>
        </w:rPr>
      </w:pPr>
    </w:p>
    <w:tbl>
      <w:tblPr>
        <w:tblStyle w:val="22"/>
        <w:tblW w:w="9120" w:type="dxa"/>
        <w:tblInd w:w="0" w:type="dxa"/>
        <w:tblLayout w:type="fixed"/>
        <w:tblCellMar>
          <w:top w:w="0" w:type="dxa"/>
          <w:left w:w="108" w:type="dxa"/>
          <w:bottom w:w="0" w:type="dxa"/>
          <w:right w:w="108" w:type="dxa"/>
        </w:tblCellMar>
      </w:tblPr>
      <w:tblGrid>
        <w:gridCol w:w="3039"/>
        <w:gridCol w:w="2650"/>
        <w:gridCol w:w="3431"/>
      </w:tblGrid>
      <w:tr>
        <w:tblPrEx>
          <w:tblCellMar>
            <w:top w:w="0" w:type="dxa"/>
            <w:left w:w="108" w:type="dxa"/>
            <w:bottom w:w="0" w:type="dxa"/>
            <w:right w:w="108" w:type="dxa"/>
          </w:tblCellMar>
        </w:tblPrEx>
        <w:tc>
          <w:tcPr>
            <w:tcW w:w="9116" w:type="dxa"/>
            <w:gridSpan w:val="3"/>
          </w:tcPr>
          <w:p>
            <w:pPr>
              <w:spacing w:line="300" w:lineRule="auto"/>
              <w:rPr>
                <w:b/>
                <w:bCs/>
                <w:szCs w:val="21"/>
              </w:rPr>
            </w:pPr>
            <w:r>
              <w:rPr>
                <w:rFonts w:hint="eastAsia"/>
                <w:b/>
                <w:bCs/>
                <w:szCs w:val="21"/>
              </w:rPr>
              <w:t>适用专业：</w:t>
            </w:r>
            <w:r>
              <w:rPr>
                <w:rFonts w:hint="eastAsia"/>
                <w:b/>
                <w:bCs/>
                <w:color w:val="000000" w:themeColor="text1"/>
                <w:szCs w:val="21"/>
                <w14:textFill>
                  <w14:solidFill>
                    <w14:schemeClr w14:val="tx1"/>
                  </w14:solidFill>
                </w14:textFill>
              </w:rPr>
              <w:t>设施园艺学</w:t>
            </w:r>
          </w:p>
        </w:tc>
      </w:tr>
      <w:tr>
        <w:tblPrEx>
          <w:tblCellMar>
            <w:top w:w="0" w:type="dxa"/>
            <w:left w:w="108" w:type="dxa"/>
            <w:bottom w:w="0" w:type="dxa"/>
            <w:right w:w="108" w:type="dxa"/>
          </w:tblCellMar>
        </w:tblPrEx>
        <w:tc>
          <w:tcPr>
            <w:tcW w:w="9116" w:type="dxa"/>
            <w:gridSpan w:val="3"/>
          </w:tcPr>
          <w:p>
            <w:pPr>
              <w:rPr>
                <w:b/>
                <w:bCs/>
                <w:szCs w:val="21"/>
              </w:rPr>
            </w:pPr>
            <w:r>
              <w:rPr>
                <w:rFonts w:hint="eastAsia" w:ascii="宋体" w:hAnsi="宋体"/>
                <w:b/>
                <w:bCs/>
              </w:rPr>
              <w:t>对先修的要求：</w:t>
            </w:r>
            <w:r>
              <w:rPr>
                <w:rFonts w:hint="eastAsia" w:ascii="宋体" w:hAnsi="宋体"/>
                <w:b/>
                <w:bCs/>
                <w:color w:val="000000" w:themeColor="text1"/>
                <w14:textFill>
                  <w14:solidFill>
                    <w14:schemeClr w14:val="tx1"/>
                  </w14:solidFill>
                </w14:textFill>
              </w:rPr>
              <w:t>设施园艺学</w:t>
            </w:r>
            <w:r>
              <w:rPr>
                <w:rFonts w:hint="eastAsia"/>
                <w:b/>
                <w:bCs/>
                <w:color w:val="000000" w:themeColor="text1"/>
                <w:szCs w:val="21"/>
                <w14:textFill>
                  <w14:solidFill>
                    <w14:schemeClr w14:val="tx1"/>
                  </w14:solidFill>
                </w14:textFill>
              </w:rPr>
              <w:t>、植物生理学</w:t>
            </w:r>
          </w:p>
          <w:p>
            <w:pPr>
              <w:spacing w:line="300" w:lineRule="auto"/>
              <w:rPr>
                <w:b/>
                <w:bCs/>
                <w:szCs w:val="21"/>
              </w:rPr>
            </w:pPr>
            <w:r>
              <w:rPr>
                <w:rFonts w:hint="eastAsia"/>
                <w:b/>
                <w:bCs/>
                <w:szCs w:val="21"/>
              </w:rPr>
              <w:t>对后续的支撑：</w:t>
            </w:r>
            <w:r>
              <w:rPr>
                <w:rFonts w:hint="eastAsia"/>
                <w:b/>
                <w:bCs/>
                <w:color w:val="000000" w:themeColor="text1"/>
                <w:szCs w:val="21"/>
                <w14:textFill>
                  <w14:solidFill>
                    <w14:schemeClr w14:val="tx1"/>
                  </w14:solidFill>
                </w14:textFill>
              </w:rPr>
              <w:t>对后续的《智慧园艺》、《创意农业》等选修课程中的育苗设施、栽培设施类型及管理技术要点提供理论和技术支撑。</w:t>
            </w:r>
          </w:p>
        </w:tc>
      </w:tr>
      <w:tr>
        <w:tblPrEx>
          <w:tblCellMar>
            <w:top w:w="0" w:type="dxa"/>
            <w:left w:w="108" w:type="dxa"/>
            <w:bottom w:w="0" w:type="dxa"/>
            <w:right w:w="108" w:type="dxa"/>
          </w:tblCellMar>
        </w:tblPrEx>
        <w:tc>
          <w:tcPr>
            <w:tcW w:w="3038" w:type="dxa"/>
          </w:tcPr>
          <w:p>
            <w:pPr>
              <w:spacing w:line="300" w:lineRule="auto"/>
              <w:rPr>
                <w:b/>
                <w:bCs/>
                <w:szCs w:val="21"/>
              </w:rPr>
            </w:pPr>
            <w:r>
              <w:rPr>
                <w:rFonts w:hint="eastAsia"/>
                <w:b/>
                <w:bCs/>
                <w:szCs w:val="21"/>
              </w:rPr>
              <w:t>主撰人：</w:t>
            </w:r>
            <w:r>
              <w:rPr>
                <w:rFonts w:hint="eastAsia"/>
                <w:b/>
                <w:bCs/>
                <w:color w:val="000000" w:themeColor="text1"/>
                <w:szCs w:val="21"/>
                <w14:textFill>
                  <w14:solidFill>
                    <w14:schemeClr w14:val="tx1"/>
                  </w14:solidFill>
                </w14:textFill>
              </w:rPr>
              <w:t>董韩</w:t>
            </w:r>
          </w:p>
        </w:tc>
        <w:tc>
          <w:tcPr>
            <w:tcW w:w="2649" w:type="dxa"/>
          </w:tcPr>
          <w:p>
            <w:pPr>
              <w:spacing w:line="300" w:lineRule="auto"/>
              <w:rPr>
                <w:b/>
                <w:bCs/>
                <w:szCs w:val="21"/>
              </w:rPr>
            </w:pPr>
            <w:r>
              <w:rPr>
                <w:rFonts w:hint="eastAsia"/>
                <w:b/>
                <w:bCs/>
                <w:szCs w:val="21"/>
              </w:rPr>
              <w:t>审核人：</w:t>
            </w:r>
            <w:r>
              <w:rPr>
                <w:rFonts w:hint="eastAsia"/>
                <w:b/>
                <w:bCs/>
                <w:color w:val="000000" w:themeColor="text1"/>
                <w:szCs w:val="21"/>
                <w14:textFill>
                  <w14:solidFill>
                    <w14:schemeClr w14:val="tx1"/>
                  </w14:solidFill>
                </w14:textFill>
              </w:rPr>
              <w:t>国志信</w:t>
            </w:r>
          </w:p>
        </w:tc>
        <w:tc>
          <w:tcPr>
            <w:tcW w:w="3429" w:type="dxa"/>
          </w:tcPr>
          <w:p>
            <w:pPr>
              <w:spacing w:line="300" w:lineRule="auto"/>
              <w:rPr>
                <w:b/>
                <w:bCs/>
                <w:szCs w:val="21"/>
              </w:rPr>
            </w:pPr>
            <w:r>
              <w:rPr>
                <w:rFonts w:hint="eastAsia"/>
                <w:b/>
                <w:bCs/>
                <w:szCs w:val="21"/>
              </w:rPr>
              <w:t>大纲制定（修订）日期：</w:t>
            </w:r>
            <w:r>
              <w:rPr>
                <w:b/>
                <w:bCs/>
                <w:color w:val="000000" w:themeColor="text1"/>
                <w:szCs w:val="21"/>
                <w14:textFill>
                  <w14:solidFill>
                    <w14:schemeClr w14:val="tx1"/>
                  </w14:solidFill>
                </w14:textFill>
              </w:rPr>
              <w:t>2023.05</w:t>
            </w:r>
          </w:p>
        </w:tc>
      </w:tr>
    </w:tbl>
    <w:p>
      <w:pPr>
        <w:widowControl/>
        <w:snapToGrid w:val="0"/>
        <w:spacing w:line="360" w:lineRule="auto"/>
        <w:jc w:val="left"/>
        <w:rPr>
          <w:b/>
          <w:bCs/>
          <w:kern w:val="0"/>
          <w:szCs w:val="21"/>
        </w:rPr>
      </w:pPr>
    </w:p>
    <w:p>
      <w:pPr>
        <w:widowControl/>
        <w:snapToGrid w:val="0"/>
        <w:spacing w:line="360" w:lineRule="auto"/>
        <w:jc w:val="left"/>
        <w:rPr>
          <w:kern w:val="0"/>
          <w:szCs w:val="21"/>
        </w:rPr>
      </w:pPr>
      <w:r>
        <w:rPr>
          <w:rFonts w:hint="eastAsia"/>
          <w:b/>
          <w:bCs/>
          <w:kern w:val="0"/>
          <w:szCs w:val="21"/>
        </w:rPr>
        <w:t>一、课程的教学理念、性质、目标和任务</w:t>
      </w:r>
    </w:p>
    <w:p>
      <w:pPr>
        <w:spacing w:line="360" w:lineRule="auto"/>
        <w:ind w:firstLine="420" w:firstLineChars="200"/>
        <w:rPr>
          <w:color w:val="262600"/>
        </w:rPr>
      </w:pPr>
      <w:r>
        <w:rPr>
          <w:rFonts w:hint="eastAsia"/>
          <w:color w:val="262600"/>
        </w:rPr>
        <w:t>《设施装备与智能化》是园艺作物设施生产的一门基础理论与应用技术相结合的科学。是一门集现代园艺科学、环境工程科学、信息技术科学和现代农业经济科学等为一体的多学科交叉的综合学科领域。是设施农业与工程专业的专业深化类课程。通过课堂教学，使学生能了解设施农业装备及信息化的基本概念和特点，了解设施农业装备与信息化产业在农业及农业现代化中的地位及作用，了解国内外设施农业装备与信息发展概况和趋势；学习设施农业机械化生产的类型、种类、性能和基础理论；掌握整地、播种、育苗、移栽、植保、灌溉、采收、物流等机械化装备的类型、结构与性能；掌握植保无人机、智慧灌溉、水肥一体化、智慧农业、农业机器人、植物工厂等的概念、类型和技术要点；能够灵活运用设施农业装备的基本理论，能够因地制宜选用合适的农机、农艺和农业技术、实现我国设施农业的机械化、智能化、自动化、信息化发展；学习掌握农业信息化、农业专家系统、设施农业控制技术和远程诊断技术、智慧农业、农业推广信息服务、农业经营与管理信息化、农业数字化的基本概念及理论；能够利用现代化技术手段将设施农业装备与信息化有机融合，推动我国设施园艺逐渐走向智能化、数字化、高效绿色、健康发展。为学生将从事园艺作物设施栽培生产实践打下基础。</w:t>
      </w:r>
    </w:p>
    <w:p>
      <w:pPr>
        <w:spacing w:line="360" w:lineRule="auto"/>
        <w:ind w:firstLine="420" w:firstLineChars="200"/>
        <w:rPr>
          <w:color w:val="262600"/>
        </w:rPr>
      </w:pPr>
      <w:r>
        <w:rPr>
          <w:rFonts w:hint="eastAsia"/>
          <w:color w:val="262600"/>
        </w:rPr>
        <w:t>本课程立足“乡村振兴”举措和“科技兴农”战略，迫踪都市现代智慧农业发展重点，</w:t>
      </w:r>
      <w:r>
        <w:rPr>
          <w:color w:val="262600"/>
        </w:rPr>
        <w:t xml:space="preserve"> </w:t>
      </w:r>
      <w:r>
        <w:rPr>
          <w:rFonts w:hint="eastAsia"/>
          <w:color w:val="262600"/>
        </w:rPr>
        <w:t>面向智能温室生产与管理领域，坚持立德树人根本任务，培养德、智、体、美、劳全面发展，具有一定的科学文化水平，具备“政治素质、职业道德、爱农情怀、工匠精神”</w:t>
      </w:r>
      <w:r>
        <w:rPr>
          <w:color w:val="262600"/>
        </w:rPr>
        <w:t xml:space="preserve"> </w:t>
      </w:r>
      <w:r>
        <w:rPr>
          <w:rFonts w:hint="eastAsia"/>
          <w:color w:val="262600"/>
        </w:rPr>
        <w:t>有较强的专业应用能力、就业能力和可持续发展能力，掌握设施园艺装备与信息化的专业知识和技术技能，面向智能温室生产技术管理、智能温室生产机械化装备与信息技术、智能温室系统集成与应用等岗位群，能够从事设施园艺智慧化、数字化生产方案、智能温室生产经营、装备组装调试、管理运维、创新设计等工作的有文化、懂技术、善经营、会管理的新型复合农业人才。</w:t>
      </w:r>
    </w:p>
    <w:p>
      <w:pPr>
        <w:spacing w:line="400" w:lineRule="exact"/>
        <w:rPr>
          <w:kern w:val="0"/>
          <w:szCs w:val="21"/>
        </w:rPr>
      </w:pPr>
      <w:r>
        <w:rPr>
          <w:rFonts w:hint="eastAsia"/>
          <w:b/>
          <w:bCs/>
          <w:kern w:val="0"/>
          <w:szCs w:val="21"/>
        </w:rPr>
        <w:t>二、课程教学的基本要求</w:t>
      </w:r>
    </w:p>
    <w:p>
      <w:pPr>
        <w:spacing w:line="400" w:lineRule="exact"/>
        <w:ind w:firstLine="420" w:firstLineChars="200"/>
        <w:rPr>
          <w:kern w:val="0"/>
          <w:szCs w:val="21"/>
        </w:rPr>
      </w:pPr>
      <w:r>
        <w:rPr>
          <w:kern w:val="0"/>
          <w:szCs w:val="21"/>
        </w:rPr>
        <w:t>1.</w:t>
      </w:r>
      <w:r>
        <w:rPr>
          <w:rFonts w:hint="eastAsia"/>
          <w:kern w:val="0"/>
          <w:szCs w:val="21"/>
        </w:rPr>
        <w:t>理论知识方面：</w:t>
      </w:r>
    </w:p>
    <w:p>
      <w:pPr>
        <w:spacing w:line="400" w:lineRule="exact"/>
        <w:ind w:firstLine="420" w:firstLineChars="200"/>
        <w:rPr>
          <w:color w:val="262600"/>
        </w:rPr>
      </w:pPr>
      <w:r>
        <w:rPr>
          <w:rFonts w:hint="eastAsia"/>
          <w:color w:val="262600"/>
        </w:rPr>
        <w:t>（</w:t>
      </w:r>
      <w:r>
        <w:rPr>
          <w:color w:val="262600"/>
        </w:rPr>
        <w:t>1</w:t>
      </w:r>
      <w:r>
        <w:rPr>
          <w:rFonts w:hint="eastAsia"/>
          <w:color w:val="262600"/>
        </w:rPr>
        <w:t>）了解设施农业装备及信息化的基本概念和特点，了解设施农业装备与信息化产业在农业及农业现代化中的地位及作用，了解国内外设施农业装备与信息发展概况和趋势。</w:t>
      </w:r>
    </w:p>
    <w:p>
      <w:pPr>
        <w:spacing w:line="360" w:lineRule="auto"/>
        <w:ind w:firstLine="420" w:firstLineChars="200"/>
        <w:rPr>
          <w:color w:val="262600"/>
        </w:rPr>
      </w:pPr>
      <w:r>
        <w:rPr>
          <w:rFonts w:hint="eastAsia"/>
          <w:color w:val="262600"/>
        </w:rPr>
        <w:t>（</w:t>
      </w:r>
      <w:r>
        <w:rPr>
          <w:color w:val="262600"/>
        </w:rPr>
        <w:t>2</w:t>
      </w:r>
      <w:r>
        <w:rPr>
          <w:rFonts w:hint="eastAsia"/>
          <w:color w:val="262600"/>
        </w:rPr>
        <w:t>）学习设施农业机械化生产的类型、种类、性能和基础理论，掌握整地、播种、育苗、移栽、植保、灌溉、采收、物流等机械化装备的类型、结构与性能，掌握植保无人机、智慧灌溉、水肥一体化、智慧农业、农业机器人、植物工厂等的概念、类型和技术要点；能够灵活运用设施农业装备的基本理论，能够因地制宜选用合适的农机、农艺和农业技术、实现我国设施农业的机械化、智能化、自动化、信息化发展。</w:t>
      </w:r>
    </w:p>
    <w:p>
      <w:pPr>
        <w:spacing w:line="360" w:lineRule="auto"/>
        <w:ind w:firstLine="420" w:firstLineChars="200"/>
        <w:rPr>
          <w:color w:val="262600"/>
        </w:rPr>
      </w:pPr>
      <w:r>
        <w:rPr>
          <w:rFonts w:hint="eastAsia"/>
          <w:color w:val="262600"/>
        </w:rPr>
        <w:t>（</w:t>
      </w:r>
      <w:r>
        <w:rPr>
          <w:color w:val="262600"/>
        </w:rPr>
        <w:t>3</w:t>
      </w:r>
      <w:r>
        <w:rPr>
          <w:rFonts w:hint="eastAsia"/>
          <w:color w:val="262600"/>
        </w:rPr>
        <w:t>）学习掌握农业信息化、农业专家系统、设施农业控制技术和远程诊断技术、智慧农业、农业推广信息服务、农业经营与管理信息化、农业数字化的基本概念及理论；能够利用现代化技术手段将设施农业装备与信息化有机融合，推动我国设施园艺逐渐走向智能化、数字化、高效绿色、健康发展。</w:t>
      </w:r>
    </w:p>
    <w:p>
      <w:pPr>
        <w:spacing w:line="360" w:lineRule="auto"/>
        <w:ind w:firstLine="420" w:firstLineChars="200"/>
        <w:rPr>
          <w:color w:val="262600"/>
        </w:rPr>
      </w:pPr>
      <w:r>
        <w:rPr>
          <w:rFonts w:hint="eastAsia"/>
          <w:color w:val="262600"/>
        </w:rPr>
        <w:t>（</w:t>
      </w:r>
      <w:r>
        <w:rPr>
          <w:color w:val="262600"/>
        </w:rPr>
        <w:t>4</w:t>
      </w:r>
      <w:r>
        <w:rPr>
          <w:rFonts w:hint="eastAsia"/>
          <w:color w:val="262600"/>
        </w:rPr>
        <w:t>）了解设施农业装备与信息化的新技术，掌握设施农业装备与信息化发展的新成果、新动态和新理念。</w:t>
      </w:r>
    </w:p>
    <w:p>
      <w:pPr>
        <w:spacing w:line="360" w:lineRule="auto"/>
        <w:ind w:firstLine="420" w:firstLineChars="200"/>
        <w:rPr>
          <w:color w:val="262600"/>
        </w:rPr>
      </w:pPr>
      <w:r>
        <w:rPr>
          <w:kern w:val="0"/>
          <w:szCs w:val="21"/>
        </w:rPr>
        <w:t>2.</w:t>
      </w:r>
      <w:r>
        <w:rPr>
          <w:rFonts w:hint="eastAsia"/>
          <w:kern w:val="0"/>
          <w:szCs w:val="21"/>
        </w:rPr>
        <w:t>实验技能方面：要求学生掌握电热温床的铺设方法、掌握塑料大棚、日光温室施工图的绘制，能够识读连栋温室的施工图。</w:t>
      </w:r>
    </w:p>
    <w:p>
      <w:pPr>
        <w:widowControl/>
        <w:snapToGrid w:val="0"/>
        <w:spacing w:line="360" w:lineRule="auto"/>
        <w:jc w:val="left"/>
        <w:rPr>
          <w:rFonts w:hAnsi="宋体"/>
          <w:b/>
          <w:bCs/>
          <w:kern w:val="0"/>
          <w:szCs w:val="21"/>
        </w:rPr>
      </w:pPr>
      <w:r>
        <w:rPr>
          <w:rFonts w:hint="eastAsia" w:ascii="宋体" w:hAnsi="宋体"/>
          <w:b/>
          <w:bCs/>
          <w:kern w:val="0"/>
          <w:szCs w:val="21"/>
        </w:rPr>
        <w:t>三、课程的教学设计</w:t>
      </w:r>
    </w:p>
    <w:p>
      <w:pPr>
        <w:autoSpaceDE w:val="0"/>
        <w:spacing w:line="360" w:lineRule="auto"/>
        <w:ind w:firstLine="420" w:firstLineChars="200"/>
        <w:rPr>
          <w:rFonts w:hAnsi="宋体"/>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w:t>
      </w:r>
      <w:r>
        <w:rPr>
          <w:rFonts w:hint="eastAsia" w:ascii="宋体" w:hAnsi="宋体"/>
          <w:bCs/>
          <w:color w:val="000000" w:themeColor="text1"/>
          <w:kern w:val="0"/>
          <w:szCs w:val="21"/>
          <w14:textFill>
            <w14:solidFill>
              <w14:schemeClr w14:val="tx1"/>
            </w14:solidFill>
          </w14:textFill>
        </w:rPr>
        <w:t>教学设计说明</w:t>
      </w:r>
    </w:p>
    <w:p>
      <w:pPr>
        <w:spacing w:line="360" w:lineRule="auto"/>
        <w:ind w:firstLine="420" w:firstLineChars="200"/>
        <w:rPr>
          <w:color w:val="262600"/>
        </w:rPr>
      </w:pPr>
      <w:r>
        <w:rPr>
          <w:rFonts w:hint="eastAsia"/>
          <w:color w:val="262600"/>
        </w:rPr>
        <w:t>课程组按照课程实验教学大纲要求，建立完善的课堂教学体系。采用“理论教学、案例分析、视频演示、分组汇报、交流讨论”的教学模式。通过理论教学让同学们充分了解我国设施农业装备与智能化的现状和发展特点及发展路径和发展趋势，使学生系统掌握课程理论知识，培养学生系统分析问题的能力；通过案例分析、视频演示让同学们更加直观地学习到我国设施农业先进装备的类型和技术特点；通过文献查阅、调查与分组汇报和交流讨论，使学生系统掌握课程理论知识，培养学生系统分析问题、交流合作、开拓创新的能力，培养学生们的兴趣。在保证实现培养目标的前提下，突破以知识传授为中心的教学模式，探索以能力培养为主线的教学模式，采用精讲多实践、视频演示、分组汇报的理念和方法，形成大班集中讲授，小班分组讨论学习的课程讲授体系，注重提高学生专业学习兴趣，全面培养学生独立获取知识的能力、观察问题、发现问题、思考问题、解决问题的能力。科学制定实践教学方案，规范设置教学环节，高质量、多形式开展课内实践教学，创新创业教育改革成效显著。</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课程目标及对毕业要求的支撑</w:t>
      </w:r>
    </w:p>
    <w:tbl>
      <w:tblPr>
        <w:tblStyle w:val="22"/>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6337"/>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60" w:lineRule="auto"/>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序号</w:t>
            </w:r>
          </w:p>
        </w:tc>
        <w:tc>
          <w:tcPr>
            <w:tcW w:w="6337" w:type="dxa"/>
            <w:tcBorders>
              <w:top w:val="single" w:color="auto" w:sz="4" w:space="0"/>
              <w:left w:val="nil"/>
              <w:bottom w:val="single" w:color="auto" w:sz="4" w:space="0"/>
              <w:right w:val="single" w:color="auto" w:sz="4" w:space="0"/>
            </w:tcBorders>
            <w:shd w:val="clear" w:color="auto" w:fill="EEECE1"/>
            <w:vAlign w:val="center"/>
          </w:tcPr>
          <w:p>
            <w:pPr>
              <w:spacing w:line="360" w:lineRule="auto"/>
              <w:ind w:firstLine="361" w:firstLineChars="20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课程目标</w:t>
            </w:r>
          </w:p>
        </w:tc>
        <w:tc>
          <w:tcPr>
            <w:tcW w:w="1561" w:type="dxa"/>
            <w:tcBorders>
              <w:top w:val="single" w:color="auto" w:sz="4" w:space="0"/>
              <w:left w:val="nil"/>
              <w:bottom w:val="single" w:color="auto" w:sz="4" w:space="0"/>
              <w:right w:val="single" w:color="auto" w:sz="4" w:space="0"/>
            </w:tcBorders>
            <w:shd w:val="clear" w:color="auto" w:fill="EEECE1"/>
            <w:vAlign w:val="center"/>
          </w:tcPr>
          <w:p>
            <w:pPr>
              <w:spacing w:line="360" w:lineRule="auto"/>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p>
        </w:tc>
        <w:tc>
          <w:tcPr>
            <w:tcW w:w="63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目标</w:t>
            </w:r>
            <w:r>
              <w:rPr>
                <w:color w:val="000000" w:themeColor="text1"/>
                <w:sz w:val="18"/>
                <w:szCs w:val="18"/>
                <w14:textFill>
                  <w14:solidFill>
                    <w14:schemeClr w14:val="tx1"/>
                  </w14:solidFill>
                </w14:textFill>
              </w:rPr>
              <w:t>1</w:t>
            </w:r>
            <w:r>
              <w:rPr>
                <w:rFonts w:hint="eastAsia" w:ascii="宋体" w:hAnsi="宋体"/>
                <w:color w:val="000000" w:themeColor="text1"/>
                <w:sz w:val="18"/>
                <w:szCs w:val="18"/>
                <w14:textFill>
                  <w14:solidFill>
                    <w14:schemeClr w14:val="tx1"/>
                  </w14:solidFill>
                </w14:textFill>
              </w:rPr>
              <w:t>：通过课程的学习，使学生具备懂农业、爱农村、爱农民，立志服务“三农”，解决园艺生产领域实际问题的素质和能力，践行可持续发展理念。</w:t>
            </w:r>
          </w:p>
        </w:tc>
        <w:tc>
          <w:tcPr>
            <w:tcW w:w="1561" w:type="dxa"/>
            <w:tcBorders>
              <w:top w:val="single" w:color="auto" w:sz="4" w:space="0"/>
              <w:left w:val="nil"/>
              <w:bottom w:val="single" w:color="auto" w:sz="4" w:space="0"/>
              <w:right w:val="single" w:color="auto" w:sz="4" w:space="0"/>
            </w:tcBorders>
            <w:vAlign w:val="center"/>
          </w:tcPr>
          <w:p>
            <w:pPr>
              <w:spacing w:line="320" w:lineRule="exact"/>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w:t>
            </w:r>
          </w:p>
        </w:tc>
        <w:tc>
          <w:tcPr>
            <w:tcW w:w="63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目标</w:t>
            </w:r>
            <w:r>
              <w:rPr>
                <w:color w:val="000000" w:themeColor="text1"/>
                <w:sz w:val="18"/>
                <w:szCs w:val="18"/>
                <w14:textFill>
                  <w14:solidFill>
                    <w14:schemeClr w14:val="tx1"/>
                  </w14:solidFill>
                </w14:textFill>
              </w:rPr>
              <w:t>2</w:t>
            </w:r>
            <w:r>
              <w:rPr>
                <w:rFonts w:hint="eastAsia" w:ascii="宋体" w:hAnsi="宋体"/>
                <w:color w:val="000000" w:themeColor="text1"/>
                <w:sz w:val="18"/>
                <w:szCs w:val="18"/>
                <w14:textFill>
                  <w14:solidFill>
                    <w14:schemeClr w14:val="tx1"/>
                  </w14:solidFill>
                </w14:textFill>
              </w:rPr>
              <w:t>：通过课程学习，使学生掌握设施栽培管理、设施环境调控等理论知识和基本技能，具备利用所学知识进行创新创业能力。</w:t>
            </w:r>
          </w:p>
        </w:tc>
        <w:tc>
          <w:tcPr>
            <w:tcW w:w="1561" w:type="dxa"/>
            <w:tcBorders>
              <w:top w:val="single" w:color="auto" w:sz="4" w:space="0"/>
              <w:left w:val="nil"/>
              <w:bottom w:val="single" w:color="auto" w:sz="4" w:space="0"/>
              <w:right w:val="single" w:color="auto" w:sz="4" w:space="0"/>
            </w:tcBorders>
            <w:vAlign w:val="center"/>
          </w:tcPr>
          <w:p>
            <w:pPr>
              <w:spacing w:line="320" w:lineRule="exact"/>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w:t>
            </w:r>
          </w:p>
        </w:tc>
        <w:tc>
          <w:tcPr>
            <w:tcW w:w="63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目标</w:t>
            </w:r>
            <w:r>
              <w:rPr>
                <w:color w:val="000000" w:themeColor="text1"/>
                <w:sz w:val="18"/>
                <w:szCs w:val="18"/>
                <w14:textFill>
                  <w14:solidFill>
                    <w14:schemeClr w14:val="tx1"/>
                  </w14:solidFill>
                </w14:textFill>
              </w:rPr>
              <w:t>3</w:t>
            </w:r>
            <w:r>
              <w:rPr>
                <w:rFonts w:hint="eastAsia" w:ascii="宋体" w:hAnsi="宋体"/>
                <w:color w:val="000000" w:themeColor="text1"/>
                <w:sz w:val="18"/>
                <w:szCs w:val="18"/>
                <w14:textFill>
                  <w14:solidFill>
                    <w14:schemeClr w14:val="tx1"/>
                  </w14:solidFill>
                </w14:textFill>
              </w:rPr>
              <w:t>：通过课程学习，使学生具备较强的沟通表达和协调能力；具有较强的团队合作精神。</w:t>
            </w:r>
          </w:p>
        </w:tc>
        <w:tc>
          <w:tcPr>
            <w:tcW w:w="1561" w:type="dxa"/>
            <w:tcBorders>
              <w:top w:val="single" w:color="auto" w:sz="4" w:space="0"/>
              <w:left w:val="nil"/>
              <w:bottom w:val="single" w:color="auto" w:sz="4" w:space="0"/>
              <w:right w:val="single" w:color="auto" w:sz="4" w:space="0"/>
            </w:tcBorders>
            <w:vAlign w:val="center"/>
          </w:tcPr>
          <w:p>
            <w:pPr>
              <w:spacing w:line="320" w:lineRule="exact"/>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6</w:t>
            </w:r>
          </w:p>
        </w:tc>
      </w:tr>
    </w:tbl>
    <w:p>
      <w:pPr>
        <w:spacing w:line="360" w:lineRule="auto"/>
        <w:ind w:firstLine="420" w:firstLineChars="200"/>
        <w:rPr>
          <w:color w:val="FF0000"/>
        </w:rPr>
      </w:pPr>
    </w:p>
    <w:p>
      <w:pPr>
        <w:spacing w:line="360" w:lineRule="auto"/>
        <w:rPr>
          <w:color w:val="262600"/>
        </w:rPr>
      </w:pPr>
      <w:r>
        <w:rPr>
          <w:rFonts w:hint="eastAsia"/>
          <w:b/>
          <w:bCs/>
          <w:color w:val="262600"/>
        </w:rPr>
        <w:t>四、理论教学内容及学时分配（</w:t>
      </w:r>
      <w:r>
        <w:rPr>
          <w:b/>
          <w:bCs/>
          <w:color w:val="262600"/>
        </w:rPr>
        <w:t>24</w:t>
      </w:r>
      <w:r>
        <w:rPr>
          <w:rFonts w:hint="eastAsia"/>
          <w:b/>
          <w:bCs/>
          <w:color w:val="262600"/>
        </w:rPr>
        <w:t>学时）</w:t>
      </w:r>
      <w:r>
        <w:rPr>
          <w:color w:val="262600"/>
        </w:rPr>
        <w:t></w:t>
      </w:r>
    </w:p>
    <w:p>
      <w:pPr>
        <w:spacing w:before="156" w:beforeLines="50" w:after="156" w:afterLines="50" w:line="360" w:lineRule="auto"/>
        <w:ind w:firstLine="3162" w:firstLineChars="1500"/>
        <w:jc w:val="right"/>
        <w:rPr>
          <w:b/>
          <w:bCs/>
        </w:rPr>
      </w:pPr>
      <w:r>
        <w:rPr>
          <w:rFonts w:hint="eastAsia"/>
          <w:b/>
          <w:bCs/>
        </w:rPr>
        <w:t>第一章</w:t>
      </w:r>
      <w:r>
        <w:rPr>
          <w:b/>
          <w:bCs/>
        </w:rPr>
        <w:t xml:space="preserve">  </w:t>
      </w:r>
      <w:r>
        <w:rPr>
          <w:rFonts w:hint="eastAsia"/>
          <w:b/>
          <w:bCs/>
        </w:rPr>
        <w:t>绪</w:t>
      </w:r>
      <w:r>
        <w:rPr>
          <w:b/>
          <w:bCs/>
        </w:rPr>
        <w:t xml:space="preserve">  </w:t>
      </w:r>
      <w:r>
        <w:rPr>
          <w:rFonts w:hint="eastAsia"/>
          <w:b/>
          <w:bCs/>
        </w:rPr>
        <w:t>论</w:t>
      </w:r>
      <w:r>
        <w:rPr>
          <w:b/>
          <w:bCs/>
        </w:rPr>
        <w:t xml:space="preserve">                           </w:t>
      </w:r>
      <w:r>
        <w:rPr>
          <w:rFonts w:hint="eastAsia"/>
          <w:b/>
          <w:bCs/>
        </w:rPr>
        <w:t>学时数：</w:t>
      </w:r>
      <w:r>
        <w:rPr>
          <w:b/>
          <w:bCs/>
        </w:rPr>
        <w:t>2</w:t>
      </w:r>
    </w:p>
    <w:p>
      <w:pPr>
        <w:spacing w:line="360" w:lineRule="auto"/>
        <w:rPr>
          <w:color w:val="262600"/>
        </w:rPr>
      </w:pPr>
      <w:r>
        <w:rPr>
          <w:rFonts w:hint="eastAsia"/>
          <w:b/>
          <w:bCs/>
        </w:rPr>
        <w:t>教学目标</w:t>
      </w:r>
      <w:r>
        <w:rPr>
          <w:rFonts w:hint="eastAsia"/>
          <w:color w:val="262600"/>
        </w:rPr>
        <w:t>：</w:t>
      </w:r>
    </w:p>
    <w:p>
      <w:pPr>
        <w:spacing w:line="360" w:lineRule="auto"/>
        <w:rPr>
          <w:color w:val="262600"/>
        </w:rPr>
      </w:pPr>
      <w:r>
        <w:rPr>
          <w:color w:val="262600"/>
        </w:rPr>
        <w:t>1.</w:t>
      </w:r>
      <w:r>
        <w:rPr>
          <w:rFonts w:hint="eastAsia"/>
          <w:color w:val="262600"/>
        </w:rPr>
        <w:t>掌握设施智能化装备、农业信息化等相关概念和主要内容；</w:t>
      </w:r>
    </w:p>
    <w:p>
      <w:pPr>
        <w:spacing w:line="360" w:lineRule="auto"/>
        <w:rPr>
          <w:color w:val="262600"/>
        </w:rPr>
      </w:pPr>
      <w:r>
        <w:rPr>
          <w:color w:val="262600"/>
        </w:rPr>
        <w:t>2.</w:t>
      </w:r>
      <w:r>
        <w:rPr>
          <w:rFonts w:hint="eastAsia"/>
          <w:color w:val="262600"/>
        </w:rPr>
        <w:t>熟悉国际国内设施农业装备和信息化的现状、发展趋势</w:t>
      </w:r>
    </w:p>
    <w:p>
      <w:pPr>
        <w:spacing w:line="360" w:lineRule="auto"/>
        <w:rPr>
          <w:color w:val="262600"/>
        </w:rPr>
      </w:pPr>
      <w:r>
        <w:rPr>
          <w:color w:val="262600"/>
        </w:rPr>
        <w:t>3.</w:t>
      </w:r>
      <w:r>
        <w:rPr>
          <w:rFonts w:hint="eastAsia"/>
          <w:color w:val="262600"/>
        </w:rPr>
        <w:t>了解发展设施农业装备与信息化的目的和作用及国家关于农业智能化装备和农业信息化的政策</w:t>
      </w:r>
    </w:p>
    <w:p>
      <w:pPr>
        <w:spacing w:line="360" w:lineRule="auto"/>
        <w:rPr>
          <w:b/>
          <w:bCs/>
          <w:color w:val="FF0000"/>
        </w:rPr>
      </w:pPr>
      <w:r>
        <w:rPr>
          <w:rFonts w:hint="eastAsia"/>
          <w:b/>
          <w:bCs/>
        </w:rPr>
        <w:t>教学重点和难点</w:t>
      </w:r>
      <w:r>
        <w:rPr>
          <w:rFonts w:hint="eastAsia"/>
        </w:rPr>
        <w:t>：</w:t>
      </w:r>
      <w:r>
        <w:rPr>
          <w:rFonts w:hint="eastAsia"/>
          <w:color w:val="262600"/>
        </w:rPr>
        <w:t>设施智能化装备、农业信息化等相关概念和发展趋势</w:t>
      </w:r>
    </w:p>
    <w:p>
      <w:pPr>
        <w:spacing w:line="360" w:lineRule="auto"/>
        <w:rPr>
          <w:color w:val="262600"/>
        </w:rPr>
      </w:pPr>
      <w:r>
        <w:rPr>
          <w:rFonts w:hint="eastAsia"/>
          <w:b/>
          <w:bCs/>
        </w:rPr>
        <w:t>主要教学内容及要求</w:t>
      </w:r>
      <w:r>
        <w:rPr>
          <w:rFonts w:hint="eastAsia"/>
        </w:rPr>
        <w:t>：</w:t>
      </w:r>
      <w:r>
        <w:rPr>
          <w:color w:val="262600"/>
        </w:rPr>
        <w:t xml:space="preserve"> </w:t>
      </w:r>
    </w:p>
    <w:p>
      <w:pPr>
        <w:spacing w:line="360" w:lineRule="auto"/>
        <w:rPr>
          <w:color w:val="262600"/>
        </w:rPr>
      </w:pPr>
      <w:r>
        <w:rPr>
          <w:color w:val="262600"/>
        </w:rPr>
        <w:t>1.</w:t>
      </w:r>
      <w:r>
        <w:rPr>
          <w:rFonts w:hint="eastAsia"/>
          <w:color w:val="262600"/>
        </w:rPr>
        <w:t>设施智能化装备、农业信息化概念及发展目的</w:t>
      </w:r>
    </w:p>
    <w:p>
      <w:pPr>
        <w:spacing w:line="360" w:lineRule="auto"/>
        <w:rPr>
          <w:color w:val="262600"/>
        </w:rPr>
      </w:pPr>
      <w:r>
        <w:rPr>
          <w:color w:val="262600"/>
        </w:rPr>
        <w:t>2.</w:t>
      </w:r>
      <w:r>
        <w:rPr>
          <w:rFonts w:hint="eastAsia"/>
          <w:color w:val="262600"/>
        </w:rPr>
        <w:t>国际国内设施农业装备和信息化的现状和发展趋势</w:t>
      </w:r>
    </w:p>
    <w:p>
      <w:pPr>
        <w:spacing w:line="360" w:lineRule="auto"/>
        <w:rPr>
          <w:color w:val="262600"/>
        </w:rPr>
      </w:pPr>
      <w:r>
        <w:rPr>
          <w:color w:val="262600"/>
        </w:rPr>
        <w:t>3.</w:t>
      </w:r>
      <w:r>
        <w:rPr>
          <w:rFonts w:hint="eastAsia"/>
          <w:color w:val="262600"/>
        </w:rPr>
        <w:t>设施农业每个发展阶段的理解（机械化、自动化、信息化、智能化）</w:t>
      </w:r>
    </w:p>
    <w:p>
      <w:pPr>
        <w:spacing w:line="360" w:lineRule="auto"/>
        <w:rPr>
          <w:color w:val="262600"/>
        </w:rPr>
      </w:pPr>
      <w:r>
        <w:rPr>
          <w:rFonts w:hint="eastAsia"/>
          <w:color w:val="262600"/>
        </w:rPr>
        <w:t>第一章</w:t>
      </w:r>
      <w:r>
        <w:rPr>
          <w:color w:val="262600"/>
        </w:rPr>
        <w:t xml:space="preserve"> </w:t>
      </w:r>
      <w:r>
        <w:rPr>
          <w:rFonts w:hint="eastAsia"/>
          <w:color w:val="262600"/>
        </w:rPr>
        <w:t>绪论</w:t>
      </w:r>
    </w:p>
    <w:p>
      <w:pPr>
        <w:spacing w:line="360" w:lineRule="auto"/>
        <w:rPr>
          <w:color w:val="262600"/>
        </w:rPr>
      </w:pPr>
      <w:r>
        <w:rPr>
          <w:color w:val="262600"/>
        </w:rPr>
        <w:t xml:space="preserve">1 </w:t>
      </w:r>
      <w:r>
        <w:rPr>
          <w:rFonts w:hint="eastAsia"/>
          <w:color w:val="262600"/>
        </w:rPr>
        <w:t>设施农业智能化相关概念</w:t>
      </w:r>
    </w:p>
    <w:p>
      <w:pPr>
        <w:spacing w:line="360" w:lineRule="auto"/>
        <w:rPr>
          <w:color w:val="262600"/>
        </w:rPr>
      </w:pPr>
      <w:r>
        <w:rPr>
          <w:color w:val="262600"/>
        </w:rPr>
        <w:t xml:space="preserve">2 </w:t>
      </w:r>
      <w:r>
        <w:rPr>
          <w:rFonts w:hint="eastAsia"/>
          <w:color w:val="262600"/>
        </w:rPr>
        <w:t>设施农业智能化装备分类</w:t>
      </w:r>
    </w:p>
    <w:p>
      <w:pPr>
        <w:spacing w:line="360" w:lineRule="auto"/>
        <w:rPr>
          <w:color w:val="262600"/>
        </w:rPr>
      </w:pPr>
      <w:r>
        <w:rPr>
          <w:color w:val="262600"/>
        </w:rPr>
        <w:t xml:space="preserve">3 </w:t>
      </w:r>
      <w:r>
        <w:rPr>
          <w:rFonts w:hint="eastAsia"/>
          <w:color w:val="262600"/>
        </w:rPr>
        <w:t>农业信息化概念及主要内容</w:t>
      </w:r>
    </w:p>
    <w:p>
      <w:pPr>
        <w:spacing w:line="360" w:lineRule="auto"/>
        <w:rPr>
          <w:color w:val="262600"/>
        </w:rPr>
      </w:pPr>
      <w:r>
        <w:rPr>
          <w:color w:val="262600"/>
        </w:rPr>
        <w:t xml:space="preserve">4 </w:t>
      </w:r>
      <w:r>
        <w:rPr>
          <w:rFonts w:hint="eastAsia"/>
          <w:color w:val="262600"/>
        </w:rPr>
        <w:t>设施农业装备发展现状及趋势</w:t>
      </w:r>
    </w:p>
    <w:p>
      <w:pPr>
        <w:rPr>
          <w:szCs w:val="21"/>
        </w:rPr>
      </w:pPr>
      <w:r>
        <w:rPr>
          <w:rFonts w:hint="eastAsia" w:ascii="宋体" w:hAnsi="宋体"/>
          <w:b/>
          <w:bCs/>
          <w:szCs w:val="21"/>
        </w:rPr>
        <w:t>教学组织与实施：</w:t>
      </w:r>
    </w:p>
    <w:p>
      <w:pPr>
        <w:spacing w:line="360" w:lineRule="auto"/>
        <w:ind w:firstLine="420" w:firstLineChars="200"/>
        <w:rPr>
          <w:color w:val="262600"/>
        </w:rPr>
      </w:pPr>
      <w:r>
        <w:rPr>
          <w:rFonts w:hint="eastAsia"/>
          <w:color w:val="262600"/>
        </w:rPr>
        <w:t>以案例分析、数据图例分析法为主，小组讨论为辅；采用图文并茂并结合教学视频的方式展示设施农业装备和信息化的概念、发展现状；综合考虑学生前期的学习基础，指导学生讨论分析设施农业装备与信息化的发展前景和经营特点；同时注重通过学生亲眼观察、亲身的体会，后期课程实习过程中安排学生进行基地调研。</w:t>
      </w:r>
    </w:p>
    <w:p>
      <w:pPr>
        <w:widowControl/>
        <w:snapToGrid w:val="0"/>
        <w:spacing w:line="360" w:lineRule="auto"/>
        <w:jc w:val="right"/>
        <w:rPr>
          <w:b/>
          <w:bCs/>
          <w:kern w:val="0"/>
          <w:szCs w:val="21"/>
        </w:rPr>
      </w:pPr>
      <w:r>
        <w:rPr>
          <w:b/>
          <w:bCs/>
          <w:kern w:val="0"/>
          <w:szCs w:val="21"/>
        </w:rPr>
        <w:t> </w:t>
      </w:r>
      <w:r>
        <w:rPr>
          <w:rFonts w:hint="eastAsia"/>
          <w:b/>
          <w:bCs/>
          <w:kern w:val="0"/>
          <w:szCs w:val="21"/>
        </w:rPr>
        <w:t>第二章</w:t>
      </w:r>
      <w:r>
        <w:rPr>
          <w:b/>
          <w:bCs/>
          <w:kern w:val="0"/>
          <w:szCs w:val="21"/>
        </w:rPr>
        <w:t>     </w:t>
      </w:r>
      <w:r>
        <w:rPr>
          <w:rFonts w:hint="eastAsia"/>
          <w:b/>
          <w:bCs/>
          <w:kern w:val="0"/>
          <w:szCs w:val="21"/>
        </w:rPr>
        <w:t>设施蔬菜机械化发展及趋势</w:t>
      </w:r>
      <w:r>
        <w:rPr>
          <w:b/>
          <w:bCs/>
          <w:kern w:val="0"/>
          <w:szCs w:val="21"/>
        </w:rPr>
        <w:t>                          </w:t>
      </w:r>
      <w:r>
        <w:rPr>
          <w:rFonts w:hint="eastAsia"/>
          <w:b/>
          <w:bCs/>
          <w:kern w:val="0"/>
          <w:szCs w:val="21"/>
        </w:rPr>
        <w:t>学时数：</w:t>
      </w:r>
      <w:r>
        <w:rPr>
          <w:b/>
          <w:bCs/>
          <w:kern w:val="0"/>
          <w:szCs w:val="21"/>
        </w:rPr>
        <w:t>2</w:t>
      </w:r>
    </w:p>
    <w:p>
      <w:pPr>
        <w:spacing w:line="360" w:lineRule="auto"/>
        <w:rPr>
          <w:color w:val="262600"/>
        </w:rPr>
      </w:pPr>
      <w:r>
        <w:rPr>
          <w:rFonts w:hint="eastAsia"/>
          <w:b/>
          <w:bCs/>
        </w:rPr>
        <w:t>教学目标</w:t>
      </w:r>
      <w:r>
        <w:rPr>
          <w:rFonts w:hint="eastAsia"/>
          <w:color w:val="262600"/>
        </w:rPr>
        <w:t>：</w:t>
      </w:r>
    </w:p>
    <w:p>
      <w:pPr>
        <w:spacing w:line="360" w:lineRule="auto"/>
        <w:rPr>
          <w:color w:val="262600"/>
        </w:rPr>
      </w:pPr>
      <w:r>
        <w:rPr>
          <w:color w:val="262600"/>
        </w:rPr>
        <w:t>1.</w:t>
      </w:r>
      <w:r>
        <w:rPr>
          <w:rFonts w:hint="eastAsia"/>
          <w:color w:val="262600"/>
        </w:rPr>
        <w:t>了解设施蔬菜生产机械化发展过程中存在的主要问题；</w:t>
      </w:r>
    </w:p>
    <w:p>
      <w:pPr>
        <w:spacing w:line="360" w:lineRule="auto"/>
        <w:rPr>
          <w:color w:val="262600"/>
        </w:rPr>
      </w:pPr>
      <w:r>
        <w:rPr>
          <w:color w:val="262600"/>
        </w:rPr>
        <w:t>2.</w:t>
      </w:r>
      <w:r>
        <w:rPr>
          <w:rFonts w:hint="eastAsia"/>
          <w:color w:val="262600"/>
        </w:rPr>
        <w:t>熟悉日光温室和塑料大棚蔬菜生产过程中现有的机械装备；</w:t>
      </w:r>
    </w:p>
    <w:p>
      <w:pPr>
        <w:spacing w:line="360" w:lineRule="auto"/>
        <w:rPr>
          <w:color w:val="262600"/>
        </w:rPr>
      </w:pPr>
      <w:r>
        <w:rPr>
          <w:color w:val="262600"/>
        </w:rPr>
        <w:t>3.</w:t>
      </w:r>
      <w:r>
        <w:rPr>
          <w:rFonts w:hint="eastAsia"/>
          <w:color w:val="262600"/>
        </w:rPr>
        <w:t>掌握发展设施机械化生产的方法。</w:t>
      </w:r>
    </w:p>
    <w:p>
      <w:pPr>
        <w:spacing w:line="360" w:lineRule="auto"/>
        <w:rPr>
          <w:color w:val="262600"/>
        </w:rPr>
      </w:pPr>
      <w:r>
        <w:rPr>
          <w:rFonts w:hint="eastAsia"/>
          <w:b/>
          <w:bCs/>
        </w:rPr>
        <w:t>教学重点和难点</w:t>
      </w:r>
      <w:r>
        <w:rPr>
          <w:rFonts w:hint="eastAsia"/>
          <w:color w:val="262600"/>
        </w:rPr>
        <w:t>：设施蔬菜生产机械化发展过程中存在的主要问题；日光温室和塑料大棚蔬菜生产过程中现有的机械装备；设施蔬菜机械化生产的技术体系。</w:t>
      </w:r>
    </w:p>
    <w:p>
      <w:pPr>
        <w:spacing w:line="360" w:lineRule="auto"/>
        <w:rPr>
          <w:color w:val="262600"/>
        </w:rPr>
      </w:pPr>
      <w:r>
        <w:rPr>
          <w:rFonts w:hint="eastAsia"/>
          <w:b/>
          <w:bCs/>
        </w:rPr>
        <w:t>主要教学内容及要求</w:t>
      </w:r>
      <w:r>
        <w:rPr>
          <w:rFonts w:hint="eastAsia"/>
          <w:color w:val="262600"/>
        </w:rPr>
        <w:t>：</w:t>
      </w:r>
    </w:p>
    <w:p>
      <w:pPr>
        <w:spacing w:line="360" w:lineRule="auto"/>
        <w:rPr>
          <w:rFonts w:ascii="宋体" w:hAnsi="宋体" w:cs="宋体"/>
          <w:color w:val="262600"/>
        </w:rPr>
      </w:pPr>
      <w:r>
        <w:rPr>
          <w:rFonts w:hint="eastAsia" w:ascii="宋体" w:hAnsi="宋体" w:cs="宋体"/>
          <w:color w:val="262600"/>
        </w:rPr>
        <w:t>1.限制设施蔬菜机械化发展的原因及目前存在问题；</w:t>
      </w:r>
    </w:p>
    <w:p>
      <w:pPr>
        <w:spacing w:line="360" w:lineRule="auto"/>
        <w:rPr>
          <w:rFonts w:ascii="宋体" w:hAnsi="宋体" w:cs="宋体"/>
          <w:color w:val="262600"/>
        </w:rPr>
      </w:pPr>
      <w:r>
        <w:rPr>
          <w:rFonts w:hint="eastAsia" w:ascii="宋体" w:hAnsi="宋体" w:cs="宋体"/>
          <w:color w:val="262600"/>
        </w:rPr>
        <w:t>2.掌握构建设施蔬菜机械化生产技术的方法；</w:t>
      </w:r>
    </w:p>
    <w:p>
      <w:pPr>
        <w:spacing w:line="360" w:lineRule="auto"/>
        <w:rPr>
          <w:rFonts w:ascii="宋体" w:hAnsi="宋体" w:cs="宋体"/>
          <w:color w:val="262600"/>
        </w:rPr>
      </w:pPr>
      <w:r>
        <w:rPr>
          <w:rFonts w:hint="eastAsia" w:ascii="宋体" w:hAnsi="宋体" w:cs="宋体"/>
          <w:color w:val="262600"/>
        </w:rPr>
        <w:t>3.日光温室和塑料大棚在发展蔬菜机械化发展过程中的异同点。</w:t>
      </w:r>
    </w:p>
    <w:p>
      <w:pPr>
        <w:spacing w:line="360" w:lineRule="auto"/>
        <w:rPr>
          <w:rFonts w:ascii="宋体" w:hAnsi="宋体" w:cs="宋体"/>
          <w:b/>
          <w:bCs/>
          <w:color w:val="262600"/>
        </w:rPr>
      </w:pPr>
      <w:r>
        <w:rPr>
          <w:rFonts w:hint="eastAsia" w:ascii="宋体" w:hAnsi="宋体" w:cs="宋体"/>
          <w:b/>
          <w:bCs/>
          <w:color w:val="262600"/>
        </w:rPr>
        <w:t>第二章 设施蔬菜机械化发展及趋势</w:t>
      </w:r>
    </w:p>
    <w:p>
      <w:pPr>
        <w:spacing w:line="360" w:lineRule="auto"/>
        <w:rPr>
          <w:rFonts w:ascii="宋体" w:hAnsi="宋体" w:cs="宋体"/>
          <w:color w:val="262600"/>
        </w:rPr>
      </w:pPr>
      <w:r>
        <w:rPr>
          <w:rFonts w:hint="eastAsia" w:ascii="宋体" w:hAnsi="宋体" w:cs="宋体"/>
          <w:color w:val="262600"/>
        </w:rPr>
        <w:t>1.设施蔬菜机械化发展存在的问题及产生原因；</w:t>
      </w:r>
    </w:p>
    <w:p>
      <w:pPr>
        <w:spacing w:line="360" w:lineRule="auto"/>
        <w:rPr>
          <w:rFonts w:ascii="宋体" w:hAnsi="宋体" w:cs="宋体"/>
          <w:color w:val="262600"/>
        </w:rPr>
      </w:pPr>
      <w:r>
        <w:rPr>
          <w:rFonts w:hint="eastAsia" w:ascii="宋体" w:hAnsi="宋体" w:cs="宋体"/>
          <w:color w:val="262600"/>
        </w:rPr>
        <w:t>2.构建机械化生产模式的方法</w:t>
      </w:r>
    </w:p>
    <w:p>
      <w:pPr>
        <w:spacing w:line="360" w:lineRule="auto"/>
        <w:rPr>
          <w:rFonts w:ascii="宋体" w:hAnsi="宋体" w:cs="宋体"/>
          <w:color w:val="262600"/>
        </w:rPr>
      </w:pPr>
      <w:r>
        <w:rPr>
          <w:rFonts w:hint="eastAsia" w:ascii="宋体" w:hAnsi="宋体" w:cs="宋体"/>
          <w:color w:val="262600"/>
        </w:rPr>
        <w:t>3.设施蔬菜机械化实践案例解析</w:t>
      </w:r>
    </w:p>
    <w:p>
      <w:pPr>
        <w:rPr>
          <w:szCs w:val="21"/>
        </w:rPr>
      </w:pPr>
      <w:r>
        <w:rPr>
          <w:rFonts w:hint="eastAsia" w:ascii="宋体" w:hAnsi="宋体"/>
          <w:b/>
          <w:bCs/>
          <w:szCs w:val="21"/>
        </w:rPr>
        <w:t>教学组织与实施：</w:t>
      </w:r>
    </w:p>
    <w:p>
      <w:pPr>
        <w:spacing w:line="360" w:lineRule="auto"/>
        <w:ind w:firstLine="420" w:firstLineChars="200"/>
        <w:rPr>
          <w:color w:val="262600"/>
        </w:rPr>
      </w:pPr>
      <w:r>
        <w:rPr>
          <w:rFonts w:hint="eastAsia"/>
          <w:color w:val="262600"/>
        </w:rPr>
        <w:t>根据学生认知规律和接受特点，首先指导学生讨论与总结限制设施蔬菜机械化发展的原因及目前存在问题，其次，结合设施结构特点，从设施蔬菜生产系统的角度，提出进行“农艺</w:t>
      </w:r>
      <w:r>
        <w:rPr>
          <w:color w:val="262600"/>
        </w:rPr>
        <w:t>-</w:t>
      </w:r>
      <w:r>
        <w:rPr>
          <w:rFonts w:hint="eastAsia"/>
          <w:color w:val="262600"/>
        </w:rPr>
        <w:t>农机</w:t>
      </w:r>
      <w:r>
        <w:rPr>
          <w:color w:val="262600"/>
        </w:rPr>
        <w:t>-</w:t>
      </w:r>
      <w:r>
        <w:rPr>
          <w:rFonts w:hint="eastAsia"/>
          <w:color w:val="262600"/>
        </w:rPr>
        <w:t>设施”深度融合的构建设施蔬菜机械化发展的模式，最后展示目前在设施中发展机械化所做出的一些成果，采用图文并茂并结合教学视频的方式讲授本章内容；结合课堂作业和提问互动增强学生掌握重点内容。</w:t>
      </w:r>
    </w:p>
    <w:p>
      <w:pPr>
        <w:widowControl/>
        <w:snapToGrid w:val="0"/>
        <w:spacing w:line="360" w:lineRule="auto"/>
        <w:jc w:val="right"/>
        <w:rPr>
          <w:b/>
          <w:bCs/>
          <w:kern w:val="0"/>
          <w:szCs w:val="21"/>
        </w:rPr>
      </w:pPr>
      <w:r>
        <w:rPr>
          <w:rFonts w:hint="eastAsia"/>
          <w:b/>
          <w:bCs/>
          <w:kern w:val="0"/>
          <w:szCs w:val="21"/>
        </w:rPr>
        <w:t>第三章</w:t>
      </w:r>
      <w:r>
        <w:rPr>
          <w:b/>
          <w:bCs/>
          <w:kern w:val="0"/>
          <w:szCs w:val="21"/>
        </w:rPr>
        <w:t>     </w:t>
      </w:r>
      <w:r>
        <w:rPr>
          <w:rFonts w:hint="eastAsia"/>
          <w:b/>
          <w:bCs/>
          <w:kern w:val="0"/>
          <w:szCs w:val="21"/>
        </w:rPr>
        <w:t>设施</w:t>
      </w:r>
      <w:r>
        <w:rPr>
          <w:rFonts w:hint="eastAsia"/>
          <w:b/>
          <w:bCs/>
          <w:color w:val="262600"/>
        </w:rPr>
        <w:t>整地与播种机械化装备</w:t>
      </w:r>
      <w:r>
        <w:rPr>
          <w:b/>
          <w:bCs/>
          <w:kern w:val="0"/>
          <w:szCs w:val="21"/>
        </w:rPr>
        <w:t>                          </w:t>
      </w:r>
      <w:r>
        <w:rPr>
          <w:rFonts w:hint="eastAsia"/>
          <w:b/>
          <w:bCs/>
          <w:kern w:val="0"/>
          <w:szCs w:val="21"/>
        </w:rPr>
        <w:t>学时数：</w:t>
      </w:r>
      <w:r>
        <w:rPr>
          <w:b/>
          <w:bCs/>
          <w:kern w:val="0"/>
          <w:szCs w:val="21"/>
        </w:rPr>
        <w:t>2</w:t>
      </w:r>
    </w:p>
    <w:p>
      <w:pPr>
        <w:spacing w:line="360" w:lineRule="auto"/>
        <w:rPr>
          <w:color w:val="262600"/>
        </w:rPr>
      </w:pPr>
      <w:r>
        <w:rPr>
          <w:rFonts w:hint="eastAsia"/>
          <w:b/>
          <w:bCs/>
        </w:rPr>
        <w:t>教学目标</w:t>
      </w:r>
      <w:r>
        <w:rPr>
          <w:rFonts w:hint="eastAsia"/>
          <w:color w:val="262600"/>
        </w:rPr>
        <w:t>：</w:t>
      </w:r>
    </w:p>
    <w:p>
      <w:pPr>
        <w:spacing w:line="360" w:lineRule="auto"/>
        <w:rPr>
          <w:color w:val="262600"/>
        </w:rPr>
      </w:pPr>
      <w:r>
        <w:rPr>
          <w:color w:val="262600"/>
        </w:rPr>
        <w:t>1.</w:t>
      </w:r>
      <w:r>
        <w:rPr>
          <w:rFonts w:hint="eastAsia"/>
          <w:color w:val="262600"/>
        </w:rPr>
        <w:t>了解设施园艺整地的目的，机械类型、工作原理；常见播种机械的分类、结构和技术要点；</w:t>
      </w:r>
    </w:p>
    <w:p>
      <w:pPr>
        <w:spacing w:line="360" w:lineRule="auto"/>
        <w:rPr>
          <w:color w:val="262600"/>
        </w:rPr>
      </w:pPr>
      <w:r>
        <w:rPr>
          <w:color w:val="262600"/>
        </w:rPr>
        <w:t>2.</w:t>
      </w:r>
      <w:r>
        <w:rPr>
          <w:rFonts w:hint="eastAsia"/>
          <w:color w:val="262600"/>
        </w:rPr>
        <w:t>掌握和熟悉常见整地播种机械的作业特点。</w:t>
      </w:r>
    </w:p>
    <w:p>
      <w:pPr>
        <w:spacing w:line="360" w:lineRule="auto"/>
        <w:rPr>
          <w:color w:val="262600"/>
        </w:rPr>
      </w:pPr>
      <w:r>
        <w:rPr>
          <w:rFonts w:hint="eastAsia"/>
          <w:b/>
          <w:bCs/>
        </w:rPr>
        <w:t>教学重点和难点</w:t>
      </w:r>
      <w:r>
        <w:rPr>
          <w:rFonts w:hint="eastAsia"/>
          <w:color w:val="262600"/>
        </w:rPr>
        <w:t>：各种耕整地机械和播种机械的作业特点和技术要求</w:t>
      </w:r>
    </w:p>
    <w:p>
      <w:pPr>
        <w:spacing w:line="360" w:lineRule="auto"/>
        <w:rPr>
          <w:color w:val="262600"/>
        </w:rPr>
      </w:pPr>
      <w:r>
        <w:rPr>
          <w:rFonts w:hint="eastAsia"/>
          <w:b/>
          <w:bCs/>
        </w:rPr>
        <w:t>主要教学内容及要求</w:t>
      </w:r>
      <w:r>
        <w:rPr>
          <w:rFonts w:hint="eastAsia"/>
          <w:color w:val="262600"/>
        </w:rPr>
        <w:t>：</w:t>
      </w:r>
    </w:p>
    <w:p>
      <w:pPr>
        <w:spacing w:line="360" w:lineRule="auto"/>
        <w:rPr>
          <w:color w:val="262600"/>
        </w:rPr>
      </w:pPr>
      <w:r>
        <w:rPr>
          <w:color w:val="262600"/>
        </w:rPr>
        <w:t>1.</w:t>
      </w:r>
      <w:r>
        <w:rPr>
          <w:rFonts w:hint="eastAsia"/>
          <w:color w:val="262600"/>
        </w:rPr>
        <w:t>整地播种机械的目的和分类方法；</w:t>
      </w:r>
    </w:p>
    <w:p>
      <w:pPr>
        <w:spacing w:line="360" w:lineRule="auto"/>
        <w:rPr>
          <w:color w:val="262600"/>
        </w:rPr>
      </w:pPr>
      <w:r>
        <w:rPr>
          <w:color w:val="262600"/>
        </w:rPr>
        <w:t>2.</w:t>
      </w:r>
      <w:r>
        <w:rPr>
          <w:rFonts w:hint="eastAsia"/>
          <w:color w:val="262600"/>
        </w:rPr>
        <w:t>整地播种机械的作业特点；</w:t>
      </w:r>
    </w:p>
    <w:p>
      <w:pPr>
        <w:spacing w:line="360" w:lineRule="auto"/>
        <w:rPr>
          <w:color w:val="262600"/>
        </w:rPr>
      </w:pPr>
      <w:r>
        <w:rPr>
          <w:color w:val="262600"/>
        </w:rPr>
        <w:t>3.</w:t>
      </w:r>
      <w:r>
        <w:rPr>
          <w:rFonts w:hint="eastAsia"/>
          <w:color w:val="262600"/>
        </w:rPr>
        <w:t>自走式旋耕机与拖拉机驱动的旋耕机相比的结构特点。</w:t>
      </w:r>
    </w:p>
    <w:p>
      <w:pPr>
        <w:spacing w:line="360" w:lineRule="auto"/>
        <w:rPr>
          <w:b/>
          <w:bCs/>
          <w:color w:val="262600"/>
        </w:rPr>
      </w:pPr>
      <w:r>
        <w:rPr>
          <w:rFonts w:hint="eastAsia"/>
          <w:b/>
          <w:bCs/>
          <w:color w:val="262600"/>
        </w:rPr>
        <w:t>第三章</w:t>
      </w:r>
      <w:r>
        <w:rPr>
          <w:b/>
          <w:bCs/>
          <w:color w:val="262600"/>
        </w:rPr>
        <w:t xml:space="preserve"> </w:t>
      </w:r>
      <w:r>
        <w:rPr>
          <w:rFonts w:hint="eastAsia"/>
          <w:b/>
          <w:bCs/>
          <w:color w:val="262600"/>
        </w:rPr>
        <w:t>整地与播种机械化装备</w:t>
      </w:r>
    </w:p>
    <w:p>
      <w:pPr>
        <w:spacing w:line="360" w:lineRule="auto"/>
        <w:rPr>
          <w:color w:val="262600"/>
        </w:rPr>
      </w:pPr>
      <w:r>
        <w:rPr>
          <w:rFonts w:hint="eastAsia"/>
          <w:color w:val="262600"/>
        </w:rPr>
        <w:t>第一节</w:t>
      </w:r>
      <w:r>
        <w:rPr>
          <w:color w:val="262600"/>
        </w:rPr>
        <w:t xml:space="preserve"> </w:t>
      </w:r>
      <w:r>
        <w:rPr>
          <w:rFonts w:hint="eastAsia"/>
          <w:color w:val="262600"/>
        </w:rPr>
        <w:t>整地的目的和技术要求</w:t>
      </w:r>
      <w:r>
        <w:rPr>
          <w:color w:val="262600"/>
        </w:rPr>
        <w:t xml:space="preserve"> </w:t>
      </w:r>
    </w:p>
    <w:p>
      <w:pPr>
        <w:spacing w:line="360" w:lineRule="auto"/>
        <w:rPr>
          <w:color w:val="262600"/>
        </w:rPr>
      </w:pPr>
      <w:r>
        <w:rPr>
          <w:rFonts w:hint="eastAsia"/>
          <w:color w:val="262600"/>
        </w:rPr>
        <w:t>第二节</w:t>
      </w:r>
      <w:r>
        <w:rPr>
          <w:color w:val="262600"/>
        </w:rPr>
        <w:t xml:space="preserve"> </w:t>
      </w:r>
      <w:r>
        <w:rPr>
          <w:rFonts w:hint="eastAsia"/>
          <w:color w:val="262600"/>
        </w:rPr>
        <w:t>整地与播种机械化装备作业特点、结构</w:t>
      </w:r>
    </w:p>
    <w:p>
      <w:pPr>
        <w:spacing w:line="360" w:lineRule="auto"/>
        <w:rPr>
          <w:color w:val="262600"/>
        </w:rPr>
      </w:pPr>
      <w:r>
        <w:rPr>
          <w:rFonts w:hint="eastAsia"/>
          <w:color w:val="262600"/>
        </w:rPr>
        <w:t>第三节</w:t>
      </w:r>
      <w:r>
        <w:rPr>
          <w:color w:val="262600"/>
        </w:rPr>
        <w:t xml:space="preserve"> </w:t>
      </w:r>
      <w:r>
        <w:rPr>
          <w:rFonts w:hint="eastAsia"/>
          <w:color w:val="262600"/>
        </w:rPr>
        <w:t>整地与播种机械化装备现状及分类</w:t>
      </w:r>
    </w:p>
    <w:p>
      <w:pPr>
        <w:rPr>
          <w:szCs w:val="21"/>
        </w:rPr>
      </w:pPr>
      <w:r>
        <w:rPr>
          <w:rFonts w:hint="eastAsia" w:ascii="宋体" w:hAnsi="宋体"/>
          <w:b/>
          <w:bCs/>
          <w:szCs w:val="21"/>
        </w:rPr>
        <w:t>教学组织与实施：</w:t>
      </w:r>
    </w:p>
    <w:p>
      <w:pPr>
        <w:spacing w:line="360" w:lineRule="auto"/>
        <w:ind w:firstLine="420" w:firstLineChars="200"/>
        <w:rPr>
          <w:color w:val="262600"/>
        </w:rPr>
      </w:pPr>
      <w:r>
        <w:rPr>
          <w:rFonts w:hint="eastAsia"/>
          <w:color w:val="262600"/>
        </w:rPr>
        <w:t>根据设施园艺整地的目的，机械类型、工作原理；常见播种机械的分类、结构和技术要点；采用图文并茂并结合视频演示，让学生在课堂中观察、体会不同整地、播种机械的特性区别，最终掌握和熟悉常见整地播种机械的作业特点，结合课堂作业和提问互动增强学生掌握重点内容。</w:t>
      </w:r>
    </w:p>
    <w:p>
      <w:pPr>
        <w:widowControl/>
        <w:snapToGrid w:val="0"/>
        <w:spacing w:line="360" w:lineRule="auto"/>
        <w:jc w:val="right"/>
        <w:rPr>
          <w:color w:val="262600"/>
        </w:rPr>
      </w:pPr>
      <w:r>
        <w:rPr>
          <w:rFonts w:hint="eastAsia"/>
          <w:b/>
          <w:bCs/>
          <w:kern w:val="0"/>
          <w:szCs w:val="21"/>
        </w:rPr>
        <w:t>第四章</w:t>
      </w:r>
      <w:r>
        <w:rPr>
          <w:b/>
          <w:bCs/>
          <w:kern w:val="0"/>
          <w:szCs w:val="21"/>
        </w:rPr>
        <w:t>    </w:t>
      </w:r>
      <w:r>
        <w:rPr>
          <w:rFonts w:hint="eastAsia"/>
          <w:b/>
          <w:bCs/>
          <w:kern w:val="0"/>
          <w:szCs w:val="21"/>
        </w:rPr>
        <w:t>设施育苗移栽与机械化装备</w:t>
      </w:r>
      <w:r>
        <w:rPr>
          <w:b/>
          <w:bCs/>
          <w:kern w:val="0"/>
          <w:szCs w:val="21"/>
        </w:rPr>
        <w:t>                          </w:t>
      </w:r>
      <w:r>
        <w:rPr>
          <w:rFonts w:hint="eastAsia"/>
          <w:b/>
          <w:bCs/>
          <w:kern w:val="0"/>
          <w:szCs w:val="21"/>
        </w:rPr>
        <w:t>学时数：</w:t>
      </w:r>
      <w:r>
        <w:rPr>
          <w:b/>
          <w:bCs/>
          <w:kern w:val="0"/>
          <w:szCs w:val="21"/>
        </w:rPr>
        <w:t>2</w:t>
      </w:r>
    </w:p>
    <w:p>
      <w:pPr>
        <w:spacing w:line="360" w:lineRule="auto"/>
        <w:rPr>
          <w:color w:val="262600"/>
        </w:rPr>
      </w:pPr>
      <w:r>
        <w:rPr>
          <w:rFonts w:hint="eastAsia"/>
          <w:b/>
          <w:bCs/>
        </w:rPr>
        <w:t>教学目标</w:t>
      </w:r>
      <w:r>
        <w:rPr>
          <w:rFonts w:hint="eastAsia"/>
          <w:color w:val="262600"/>
        </w:rPr>
        <w:t>：掌握移苗定植机械化装备的概念、意义、方法；掌握移苗定植机械化装备的特点和类型；了解我国移苗定植机械化装备技术水平概况、存在问题及发展方向；分析我国移苗定植机械化装备应用案例。</w:t>
      </w:r>
    </w:p>
    <w:p>
      <w:pPr>
        <w:spacing w:line="360" w:lineRule="auto"/>
        <w:rPr>
          <w:color w:val="262600"/>
        </w:rPr>
      </w:pPr>
      <w:r>
        <w:rPr>
          <w:rFonts w:hint="eastAsia"/>
          <w:b/>
          <w:bCs/>
        </w:rPr>
        <w:t>教学重点和难点</w:t>
      </w:r>
      <w:r>
        <w:rPr>
          <w:rFonts w:hint="eastAsia"/>
          <w:color w:val="262600"/>
        </w:rPr>
        <w:t>：移苗定植机械化装备的技术要求、种类、特点、类型及结构组成；熟练掌握蔬菜移栽机和嫁接机械的使用。</w:t>
      </w:r>
    </w:p>
    <w:p>
      <w:pPr>
        <w:spacing w:line="360" w:lineRule="auto"/>
        <w:rPr>
          <w:color w:val="262600"/>
        </w:rPr>
      </w:pPr>
      <w:r>
        <w:rPr>
          <w:rFonts w:hint="eastAsia"/>
          <w:b/>
          <w:bCs/>
        </w:rPr>
        <w:t>主要教学内容及要求</w:t>
      </w:r>
      <w:r>
        <w:rPr>
          <w:rFonts w:hint="eastAsia"/>
          <w:color w:val="262600"/>
        </w:rPr>
        <w:t>：了解设施育苗移栽机械装备的概念、意义、特点及与露地机械的区别；掌握移苗定植机械化装备的特点和类型；了解我国移苗定植机械化装备技术水平概况、存在问题及发展方向。</w:t>
      </w:r>
    </w:p>
    <w:p>
      <w:pPr>
        <w:spacing w:line="360" w:lineRule="auto"/>
        <w:rPr>
          <w:b/>
          <w:color w:val="262600"/>
        </w:rPr>
      </w:pPr>
      <w:r>
        <w:rPr>
          <w:rFonts w:hint="eastAsia"/>
          <w:b/>
          <w:color w:val="262600"/>
        </w:rPr>
        <w:t>育苗移苗定植装备：</w:t>
      </w:r>
    </w:p>
    <w:p>
      <w:pPr>
        <w:spacing w:line="360" w:lineRule="auto"/>
        <w:rPr>
          <w:color w:val="262600"/>
        </w:rPr>
      </w:pPr>
      <w:r>
        <w:rPr>
          <w:color w:val="262600"/>
        </w:rPr>
        <w:t>1</w:t>
      </w:r>
      <w:r>
        <w:rPr>
          <w:rFonts w:hint="eastAsia"/>
          <w:color w:val="262600"/>
        </w:rPr>
        <w:t>．育苗移苗机械化装备的概念、意义、方法</w:t>
      </w:r>
    </w:p>
    <w:p>
      <w:pPr>
        <w:spacing w:line="360" w:lineRule="auto"/>
        <w:rPr>
          <w:color w:val="262600"/>
        </w:rPr>
      </w:pPr>
      <w:r>
        <w:rPr>
          <w:color w:val="262600"/>
        </w:rPr>
        <w:t xml:space="preserve">2. </w:t>
      </w:r>
      <w:r>
        <w:rPr>
          <w:rFonts w:hint="eastAsia"/>
          <w:color w:val="262600"/>
        </w:rPr>
        <w:t>育苗移栽机械装备常见种类、结构、特点及工作原理</w:t>
      </w:r>
    </w:p>
    <w:p>
      <w:pPr>
        <w:spacing w:line="360" w:lineRule="auto"/>
        <w:rPr>
          <w:color w:val="262600"/>
        </w:rPr>
      </w:pPr>
      <w:r>
        <w:rPr>
          <w:color w:val="262600"/>
        </w:rPr>
        <w:t xml:space="preserve">3. </w:t>
      </w:r>
      <w:r>
        <w:rPr>
          <w:rFonts w:hint="eastAsia"/>
          <w:color w:val="262600"/>
        </w:rPr>
        <w:t>育苗移栽机械装备技术水平概况、存在问题及发展趋势</w:t>
      </w:r>
    </w:p>
    <w:p>
      <w:pPr>
        <w:rPr>
          <w:szCs w:val="21"/>
        </w:rPr>
      </w:pPr>
      <w:r>
        <w:rPr>
          <w:rFonts w:hint="eastAsia" w:ascii="宋体" w:hAnsi="宋体"/>
          <w:b/>
          <w:bCs/>
          <w:szCs w:val="21"/>
        </w:rPr>
        <w:t>教学组织与实施：</w:t>
      </w:r>
    </w:p>
    <w:p>
      <w:pPr>
        <w:spacing w:line="360" w:lineRule="auto"/>
        <w:ind w:firstLine="420" w:firstLineChars="200"/>
        <w:rPr>
          <w:color w:val="262600"/>
        </w:rPr>
      </w:pPr>
      <w:r>
        <w:rPr>
          <w:rFonts w:hint="eastAsia"/>
          <w:color w:val="262600"/>
        </w:rPr>
        <w:t>以讲解法、案例分析法为主；采用图文并茂并结合教学视频的方式展示国内外机械化育苗移栽机械的流程、优秀育苗企业园区设施机械化育苗移栽管理技术要点；结合课堂提问互动培养学生专业学习兴趣。</w:t>
      </w:r>
    </w:p>
    <w:p>
      <w:pPr>
        <w:widowControl/>
        <w:snapToGrid w:val="0"/>
        <w:spacing w:line="360" w:lineRule="auto"/>
        <w:jc w:val="right"/>
        <w:rPr>
          <w:b/>
          <w:bCs/>
          <w:kern w:val="0"/>
          <w:szCs w:val="21"/>
        </w:rPr>
      </w:pPr>
      <w:r>
        <w:rPr>
          <w:rFonts w:hint="eastAsia"/>
          <w:b/>
          <w:bCs/>
          <w:kern w:val="0"/>
          <w:szCs w:val="21"/>
        </w:rPr>
        <w:t>第五章</w:t>
      </w:r>
      <w:r>
        <w:rPr>
          <w:b/>
          <w:bCs/>
          <w:kern w:val="0"/>
          <w:szCs w:val="21"/>
        </w:rPr>
        <w:t>    </w:t>
      </w:r>
      <w:r>
        <w:rPr>
          <w:rFonts w:hint="eastAsia"/>
          <w:b/>
          <w:bCs/>
          <w:kern w:val="0"/>
          <w:szCs w:val="21"/>
        </w:rPr>
        <w:t>设施节水灌溉与施肥机械化装备</w:t>
      </w:r>
      <w:r>
        <w:rPr>
          <w:b/>
          <w:bCs/>
          <w:kern w:val="0"/>
          <w:szCs w:val="21"/>
        </w:rPr>
        <w:t>                          </w:t>
      </w:r>
      <w:r>
        <w:rPr>
          <w:rFonts w:hint="eastAsia"/>
          <w:b/>
          <w:bCs/>
          <w:kern w:val="0"/>
          <w:szCs w:val="21"/>
        </w:rPr>
        <w:t>学时数：</w:t>
      </w:r>
      <w:r>
        <w:rPr>
          <w:b/>
          <w:bCs/>
          <w:kern w:val="0"/>
          <w:szCs w:val="21"/>
        </w:rPr>
        <w:t>2</w:t>
      </w:r>
    </w:p>
    <w:p>
      <w:pPr>
        <w:spacing w:line="360" w:lineRule="auto"/>
      </w:pPr>
      <w:r>
        <w:rPr>
          <w:rFonts w:hint="eastAsia"/>
          <w:b/>
          <w:bCs/>
        </w:rPr>
        <w:t>教学目标</w:t>
      </w:r>
      <w:r>
        <w:rPr>
          <w:rFonts w:hint="eastAsia"/>
        </w:rPr>
        <w:t>：掌握节水灌溉、施肥机械化的概念、意义、方法；掌握我国节水灌溉与施肥机械化装备分类、结构及技术水平概况、存在问题及发展方向；分析我国节水灌溉与施肥机械化装备应用案例。</w:t>
      </w:r>
    </w:p>
    <w:p>
      <w:pPr>
        <w:spacing w:line="360" w:lineRule="auto"/>
      </w:pPr>
      <w:r>
        <w:rPr>
          <w:rFonts w:hint="eastAsia"/>
          <w:b/>
          <w:bCs/>
        </w:rPr>
        <w:t>教学重点和难点</w:t>
      </w:r>
      <w:r>
        <w:rPr>
          <w:rFonts w:hint="eastAsia"/>
        </w:rPr>
        <w:t>：节水灌溉与施肥机械化装备的特点和关键技术</w:t>
      </w:r>
    </w:p>
    <w:p>
      <w:pPr>
        <w:spacing w:line="360" w:lineRule="auto"/>
      </w:pPr>
      <w:r>
        <w:rPr>
          <w:rFonts w:hint="eastAsia"/>
          <w:b/>
          <w:bCs/>
        </w:rPr>
        <w:t>主要教学内容及要求</w:t>
      </w:r>
      <w:r>
        <w:rPr>
          <w:rFonts w:hint="eastAsia"/>
        </w:rPr>
        <w:t>：了解设施节水灌溉的发展概况，掌握智慧灌溉、水肥一体化的概念、关键设备及技术体系，熟练掌握设施节水灌溉和施肥机械化装备的发展现状和趋势。</w:t>
      </w:r>
    </w:p>
    <w:p>
      <w:pPr>
        <w:spacing w:line="360" w:lineRule="auto"/>
        <w:rPr>
          <w:b/>
        </w:rPr>
      </w:pPr>
      <w:r>
        <w:rPr>
          <w:rFonts w:hint="eastAsia"/>
          <w:b/>
        </w:rPr>
        <w:t>节水灌溉与施肥机械化装备：</w:t>
      </w:r>
    </w:p>
    <w:p>
      <w:pPr>
        <w:spacing w:line="360" w:lineRule="auto"/>
      </w:pPr>
      <w:r>
        <w:t>1</w:t>
      </w:r>
      <w:r>
        <w:rPr>
          <w:rFonts w:hint="eastAsia"/>
        </w:rPr>
        <w:t>．节水灌溉的定义和方式</w:t>
      </w:r>
      <w:r>
        <w:t xml:space="preserve"> </w:t>
      </w:r>
    </w:p>
    <w:p>
      <w:pPr>
        <w:spacing w:line="360" w:lineRule="auto"/>
      </w:pPr>
      <w:r>
        <w:t xml:space="preserve">2. </w:t>
      </w:r>
      <w:r>
        <w:rPr>
          <w:rFonts w:hint="eastAsia"/>
        </w:rPr>
        <w:t>设施灌溉系统的组成和工作原理</w:t>
      </w:r>
      <w:r>
        <w:t xml:space="preserve"> </w:t>
      </w:r>
    </w:p>
    <w:p>
      <w:pPr>
        <w:spacing w:line="360" w:lineRule="auto"/>
      </w:pPr>
      <w:r>
        <w:t xml:space="preserve">3. </w:t>
      </w:r>
      <w:r>
        <w:rPr>
          <w:rFonts w:hint="eastAsia"/>
        </w:rPr>
        <w:t>智慧灌溉、水肥一体化的概念和技术特点</w:t>
      </w:r>
    </w:p>
    <w:p>
      <w:pPr>
        <w:rPr>
          <w:szCs w:val="21"/>
        </w:rPr>
      </w:pPr>
      <w:r>
        <w:rPr>
          <w:rFonts w:hint="eastAsia" w:ascii="宋体" w:hAnsi="宋体"/>
          <w:b/>
          <w:bCs/>
          <w:szCs w:val="21"/>
        </w:rPr>
        <w:t>教学组织与实施：</w:t>
      </w:r>
    </w:p>
    <w:p>
      <w:pPr>
        <w:spacing w:line="360" w:lineRule="auto"/>
        <w:ind w:firstLine="420" w:firstLineChars="200"/>
        <w:rPr>
          <w:color w:val="262600"/>
        </w:rPr>
      </w:pPr>
      <w:r>
        <w:rPr>
          <w:rFonts w:hint="eastAsia"/>
          <w:color w:val="262600"/>
        </w:rPr>
        <w:t>以讲解法、案例分析法为主；采用图文并茂并结合教学视频的方式展示工厂化育苗的流程、优秀育苗企业园区管理技术要点；结合课堂提问互动培养学生专业学习兴趣。并结合后期实验实地教学让学生熟练掌握穴盘育苗技术。</w:t>
      </w:r>
    </w:p>
    <w:p>
      <w:pPr>
        <w:widowControl/>
        <w:snapToGrid w:val="0"/>
        <w:spacing w:line="360" w:lineRule="auto"/>
        <w:jc w:val="right"/>
        <w:rPr>
          <w:b/>
          <w:bCs/>
          <w:kern w:val="0"/>
          <w:szCs w:val="21"/>
        </w:rPr>
      </w:pPr>
    </w:p>
    <w:p>
      <w:pPr>
        <w:widowControl/>
        <w:snapToGrid w:val="0"/>
        <w:spacing w:line="360" w:lineRule="auto"/>
        <w:jc w:val="right"/>
        <w:rPr>
          <w:b/>
          <w:bCs/>
          <w:kern w:val="0"/>
          <w:szCs w:val="21"/>
        </w:rPr>
      </w:pPr>
      <w:r>
        <w:rPr>
          <w:rFonts w:hint="eastAsia"/>
          <w:b/>
          <w:bCs/>
          <w:kern w:val="0"/>
          <w:szCs w:val="21"/>
        </w:rPr>
        <w:t>第六章</w:t>
      </w:r>
      <w:r>
        <w:rPr>
          <w:b/>
          <w:bCs/>
          <w:kern w:val="0"/>
          <w:szCs w:val="21"/>
        </w:rPr>
        <w:t>    </w:t>
      </w:r>
      <w:r>
        <w:rPr>
          <w:rFonts w:hint="eastAsia"/>
          <w:b/>
          <w:bCs/>
          <w:kern w:val="0"/>
          <w:szCs w:val="21"/>
        </w:rPr>
        <w:t>植物保护机械化装备</w:t>
      </w:r>
      <w:r>
        <w:rPr>
          <w:b/>
          <w:bCs/>
          <w:kern w:val="0"/>
          <w:szCs w:val="21"/>
        </w:rPr>
        <w:t>                          </w:t>
      </w:r>
      <w:r>
        <w:rPr>
          <w:rFonts w:hint="eastAsia"/>
          <w:b/>
          <w:bCs/>
          <w:kern w:val="0"/>
          <w:szCs w:val="21"/>
        </w:rPr>
        <w:t>学时数：</w:t>
      </w:r>
      <w:r>
        <w:rPr>
          <w:b/>
          <w:bCs/>
          <w:kern w:val="0"/>
          <w:szCs w:val="21"/>
        </w:rPr>
        <w:t>2</w:t>
      </w:r>
    </w:p>
    <w:p>
      <w:pPr>
        <w:spacing w:line="360" w:lineRule="auto"/>
        <w:rPr>
          <w:color w:val="262600"/>
        </w:rPr>
      </w:pPr>
      <w:bookmarkStart w:id="263" w:name="_Hlk137572558"/>
      <w:r>
        <w:rPr>
          <w:rFonts w:hint="eastAsia"/>
          <w:b/>
          <w:bCs/>
        </w:rPr>
        <w:t>教学目标</w:t>
      </w:r>
      <w:r>
        <w:rPr>
          <w:rFonts w:hint="eastAsia"/>
          <w:color w:val="262600"/>
        </w:rPr>
        <w:t>：</w:t>
      </w:r>
    </w:p>
    <w:p>
      <w:pPr>
        <w:spacing w:line="360" w:lineRule="auto"/>
        <w:rPr>
          <w:color w:val="262600"/>
        </w:rPr>
      </w:pPr>
      <w:r>
        <w:rPr>
          <w:color w:val="262600"/>
        </w:rPr>
        <w:t>1.</w:t>
      </w:r>
      <w:r>
        <w:rPr>
          <w:rFonts w:hint="eastAsia"/>
          <w:color w:val="262600"/>
        </w:rPr>
        <w:t>掌握植物保护的概念、意义、方法；</w:t>
      </w:r>
    </w:p>
    <w:p>
      <w:pPr>
        <w:spacing w:line="360" w:lineRule="auto"/>
        <w:rPr>
          <w:color w:val="262600"/>
        </w:rPr>
      </w:pPr>
      <w:r>
        <w:rPr>
          <w:color w:val="262600"/>
        </w:rPr>
        <w:t>2.</w:t>
      </w:r>
      <w:r>
        <w:rPr>
          <w:rFonts w:hint="eastAsia"/>
          <w:color w:val="262600"/>
        </w:rPr>
        <w:t>掌握机械化学防治的方法和分类；</w:t>
      </w:r>
    </w:p>
    <w:p>
      <w:pPr>
        <w:spacing w:line="360" w:lineRule="auto"/>
        <w:rPr>
          <w:color w:val="262600"/>
        </w:rPr>
      </w:pPr>
      <w:r>
        <w:rPr>
          <w:color w:val="262600"/>
        </w:rPr>
        <w:t>3.</w:t>
      </w:r>
      <w:r>
        <w:rPr>
          <w:rFonts w:hint="eastAsia"/>
          <w:color w:val="262600"/>
        </w:rPr>
        <w:t>熟悉植保机械的概念、类型，工作原理与应用；</w:t>
      </w:r>
    </w:p>
    <w:p>
      <w:pPr>
        <w:spacing w:line="360" w:lineRule="auto"/>
        <w:rPr>
          <w:color w:val="262600"/>
        </w:rPr>
      </w:pPr>
      <w:r>
        <w:rPr>
          <w:color w:val="262600"/>
        </w:rPr>
        <w:t>4.</w:t>
      </w:r>
      <w:r>
        <w:rPr>
          <w:rFonts w:hint="eastAsia"/>
          <w:color w:val="262600"/>
        </w:rPr>
        <w:t>了解无人机植保机械在我国的应用和发展现状；</w:t>
      </w:r>
    </w:p>
    <w:p>
      <w:pPr>
        <w:spacing w:line="360" w:lineRule="auto"/>
        <w:rPr>
          <w:color w:val="262600"/>
        </w:rPr>
      </w:pPr>
      <w:r>
        <w:rPr>
          <w:color w:val="262600"/>
        </w:rPr>
        <w:t>5.</w:t>
      </w:r>
      <w:r>
        <w:rPr>
          <w:rFonts w:hint="eastAsia"/>
          <w:color w:val="262600"/>
        </w:rPr>
        <w:t>掌握我国土壤消毒的概念、分类和方法；</w:t>
      </w:r>
    </w:p>
    <w:p>
      <w:pPr>
        <w:spacing w:line="360" w:lineRule="auto"/>
        <w:rPr>
          <w:color w:val="262600"/>
        </w:rPr>
      </w:pPr>
      <w:r>
        <w:rPr>
          <w:color w:val="262600"/>
        </w:rPr>
        <w:t>6.</w:t>
      </w:r>
      <w:r>
        <w:rPr>
          <w:rFonts w:hint="eastAsia"/>
          <w:color w:val="262600"/>
        </w:rPr>
        <w:t>熟悉我国和国外植保机械化技术水平现状、存在问题及发展方向。</w:t>
      </w:r>
    </w:p>
    <w:p>
      <w:pPr>
        <w:tabs>
          <w:tab w:val="left" w:pos="4770"/>
        </w:tabs>
        <w:spacing w:line="360" w:lineRule="auto"/>
        <w:rPr>
          <w:color w:val="262600"/>
        </w:rPr>
      </w:pPr>
      <w:r>
        <w:rPr>
          <w:rFonts w:hint="eastAsia"/>
          <w:b/>
          <w:bCs/>
        </w:rPr>
        <w:t>教学重点和难点</w:t>
      </w:r>
      <w:r>
        <w:rPr>
          <w:color w:val="262600"/>
        </w:rPr>
        <w:t xml:space="preserve">: </w:t>
      </w:r>
      <w:r>
        <w:rPr>
          <w:rFonts w:hint="eastAsia"/>
          <w:color w:val="262600"/>
        </w:rPr>
        <w:t>掌握植物保护的概念、意义、方法、机械化学防治的方法和分析、国内外国外植保机械化技术水平现状、存在问题及发展方向。</w:t>
      </w:r>
    </w:p>
    <w:p>
      <w:pPr>
        <w:spacing w:line="360" w:lineRule="auto"/>
        <w:rPr>
          <w:color w:val="262600"/>
        </w:rPr>
      </w:pPr>
      <w:r>
        <w:rPr>
          <w:rFonts w:hint="eastAsia"/>
          <w:b/>
          <w:bCs/>
        </w:rPr>
        <w:t>主要教学内容及要求</w:t>
      </w:r>
      <w:r>
        <w:rPr>
          <w:rFonts w:hint="eastAsia"/>
          <w:color w:val="262600"/>
        </w:rPr>
        <w:t>：</w:t>
      </w:r>
    </w:p>
    <w:p>
      <w:pPr>
        <w:spacing w:line="360" w:lineRule="auto"/>
        <w:rPr>
          <w:color w:val="262600"/>
        </w:rPr>
      </w:pPr>
      <w:r>
        <w:rPr>
          <w:color w:val="262600"/>
        </w:rPr>
        <w:t>1.</w:t>
      </w:r>
      <w:r>
        <w:rPr>
          <w:rFonts w:hint="eastAsia"/>
          <w:color w:val="262600"/>
        </w:rPr>
        <w:t>植物保护的概念、意义、方法；</w:t>
      </w:r>
    </w:p>
    <w:p>
      <w:pPr>
        <w:spacing w:line="360" w:lineRule="auto"/>
        <w:rPr>
          <w:color w:val="262600"/>
        </w:rPr>
      </w:pPr>
      <w:r>
        <w:rPr>
          <w:color w:val="262600"/>
        </w:rPr>
        <w:t>2.</w:t>
      </w:r>
      <w:r>
        <w:rPr>
          <w:rFonts w:hint="eastAsia"/>
          <w:color w:val="262600"/>
        </w:rPr>
        <w:t>掌握植保机械的概念、类型，工作原理与应用，土壤消毒的概念和类型；</w:t>
      </w:r>
    </w:p>
    <w:p>
      <w:pPr>
        <w:spacing w:line="360" w:lineRule="auto"/>
        <w:rPr>
          <w:color w:val="262600"/>
        </w:rPr>
      </w:pPr>
      <w:r>
        <w:rPr>
          <w:color w:val="262600"/>
        </w:rPr>
        <w:t>3.</w:t>
      </w:r>
      <w:r>
        <w:rPr>
          <w:rFonts w:hint="eastAsia"/>
          <w:color w:val="262600"/>
        </w:rPr>
        <w:t>熟悉我国和国外植保机械化技术水平现状、存在问题及发展方向；</w:t>
      </w:r>
    </w:p>
    <w:p>
      <w:pPr>
        <w:spacing w:line="360" w:lineRule="auto"/>
        <w:rPr>
          <w:color w:val="262600"/>
        </w:rPr>
      </w:pPr>
      <w:r>
        <w:rPr>
          <w:color w:val="262600"/>
        </w:rPr>
        <w:t>4.</w:t>
      </w:r>
      <w:r>
        <w:rPr>
          <w:rFonts w:hint="eastAsia"/>
          <w:color w:val="262600"/>
        </w:rPr>
        <w:t>熟悉我国土壤消毒机械的技术水平现状、存在问题及发展方向。</w:t>
      </w:r>
    </w:p>
    <w:p>
      <w:pPr>
        <w:spacing w:line="360" w:lineRule="auto"/>
        <w:rPr>
          <w:b/>
          <w:color w:val="262600"/>
        </w:rPr>
      </w:pPr>
      <w:r>
        <w:rPr>
          <w:rFonts w:hint="eastAsia"/>
          <w:b/>
          <w:color w:val="262600"/>
        </w:rPr>
        <w:t>第六章</w:t>
      </w:r>
      <w:r>
        <w:rPr>
          <w:b/>
          <w:color w:val="262600"/>
        </w:rPr>
        <w:t xml:space="preserve"> </w:t>
      </w:r>
      <w:r>
        <w:rPr>
          <w:rFonts w:hint="eastAsia"/>
          <w:b/>
          <w:color w:val="262600"/>
        </w:rPr>
        <w:t>植物保护机械装备</w:t>
      </w:r>
    </w:p>
    <w:p>
      <w:pPr>
        <w:spacing w:line="360" w:lineRule="auto"/>
        <w:rPr>
          <w:color w:val="262600"/>
        </w:rPr>
      </w:pPr>
      <w:r>
        <w:rPr>
          <w:rFonts w:hint="eastAsia"/>
          <w:color w:val="262600"/>
        </w:rPr>
        <w:t>（一）植物保护的意义</w:t>
      </w:r>
    </w:p>
    <w:p>
      <w:pPr>
        <w:spacing w:line="360" w:lineRule="auto"/>
        <w:rPr>
          <w:color w:val="262600"/>
        </w:rPr>
      </w:pPr>
      <w:r>
        <w:rPr>
          <w:rFonts w:hint="eastAsia"/>
          <w:color w:val="262600"/>
        </w:rPr>
        <w:t>（二）植物保护的方法</w:t>
      </w:r>
    </w:p>
    <w:p>
      <w:pPr>
        <w:spacing w:line="360" w:lineRule="auto"/>
        <w:rPr>
          <w:color w:val="262600"/>
        </w:rPr>
      </w:pPr>
      <w:r>
        <w:rPr>
          <w:rFonts w:hint="eastAsia"/>
          <w:color w:val="262600"/>
        </w:rPr>
        <w:t>（三）机械化学防治方法</w:t>
      </w:r>
    </w:p>
    <w:p>
      <w:pPr>
        <w:spacing w:line="360" w:lineRule="auto"/>
        <w:rPr>
          <w:color w:val="262600"/>
        </w:rPr>
      </w:pPr>
      <w:r>
        <w:rPr>
          <w:rFonts w:hint="eastAsia"/>
          <w:color w:val="262600"/>
        </w:rPr>
        <w:t>（四）植保机械的定义与类型</w:t>
      </w:r>
    </w:p>
    <w:p>
      <w:pPr>
        <w:spacing w:line="360" w:lineRule="auto"/>
        <w:rPr>
          <w:color w:val="262600"/>
        </w:rPr>
      </w:pPr>
      <w:r>
        <w:rPr>
          <w:rFonts w:hint="eastAsia"/>
          <w:color w:val="262600"/>
        </w:rPr>
        <w:t>（五）我国植保机械品种结构及技术水平概况</w:t>
      </w:r>
    </w:p>
    <w:p>
      <w:pPr>
        <w:spacing w:line="360" w:lineRule="auto"/>
        <w:rPr>
          <w:color w:val="262600"/>
        </w:rPr>
      </w:pPr>
      <w:r>
        <w:rPr>
          <w:rFonts w:hint="eastAsia"/>
          <w:color w:val="262600"/>
        </w:rPr>
        <w:t>（六）国外植保机械的现状及发展趋势</w:t>
      </w:r>
    </w:p>
    <w:p>
      <w:pPr>
        <w:spacing w:line="360" w:lineRule="auto"/>
        <w:rPr>
          <w:color w:val="262600"/>
        </w:rPr>
      </w:pPr>
      <w:r>
        <w:rPr>
          <w:rFonts w:hint="eastAsia"/>
          <w:color w:val="262600"/>
        </w:rPr>
        <w:t>（七）土壤消毒装备</w:t>
      </w:r>
    </w:p>
    <w:p>
      <w:pPr>
        <w:spacing w:line="360" w:lineRule="auto"/>
        <w:rPr>
          <w:color w:val="262600"/>
        </w:rPr>
      </w:pPr>
      <w:r>
        <w:rPr>
          <w:color w:val="262600"/>
        </w:rPr>
        <w:t>1.</w:t>
      </w:r>
      <w:r>
        <w:rPr>
          <w:rFonts w:hint="eastAsia"/>
          <w:color w:val="262600"/>
        </w:rPr>
        <w:t>土壤连作障碍和土传病害的</w:t>
      </w:r>
      <w:r>
        <w:rPr>
          <w:color w:val="262600"/>
        </w:rPr>
        <w:t xml:space="preserve"> </w:t>
      </w:r>
      <w:r>
        <w:rPr>
          <w:rFonts w:hint="eastAsia"/>
          <w:color w:val="262600"/>
        </w:rPr>
        <w:t>类型</w:t>
      </w:r>
    </w:p>
    <w:p>
      <w:pPr>
        <w:spacing w:line="360" w:lineRule="auto"/>
        <w:rPr>
          <w:color w:val="262600"/>
        </w:rPr>
      </w:pPr>
      <w:r>
        <w:rPr>
          <w:color w:val="262600"/>
        </w:rPr>
        <w:t>2.</w:t>
      </w:r>
      <w:r>
        <w:rPr>
          <w:rFonts w:hint="eastAsia"/>
          <w:color w:val="262600"/>
        </w:rPr>
        <w:t>土壤消毒的定义</w:t>
      </w:r>
    </w:p>
    <w:p>
      <w:pPr>
        <w:spacing w:line="360" w:lineRule="auto"/>
        <w:rPr>
          <w:color w:val="262600"/>
        </w:rPr>
      </w:pPr>
      <w:r>
        <w:rPr>
          <w:color w:val="262600"/>
        </w:rPr>
        <w:t>3.</w:t>
      </w:r>
      <w:r>
        <w:rPr>
          <w:rFonts w:hint="eastAsia"/>
          <w:color w:val="262600"/>
        </w:rPr>
        <w:t>土壤消毒的方法</w:t>
      </w:r>
    </w:p>
    <w:p>
      <w:pPr>
        <w:spacing w:line="360" w:lineRule="auto"/>
        <w:rPr>
          <w:color w:val="262600"/>
        </w:rPr>
      </w:pPr>
      <w:r>
        <w:rPr>
          <w:color w:val="262600"/>
        </w:rPr>
        <w:t>4.</w:t>
      </w:r>
      <w:r>
        <w:rPr>
          <w:rFonts w:hint="eastAsia"/>
          <w:color w:val="262600"/>
        </w:rPr>
        <w:t>土壤消毒设备的定义和类型</w:t>
      </w:r>
    </w:p>
    <w:p>
      <w:pPr>
        <w:spacing w:line="360" w:lineRule="auto"/>
        <w:rPr>
          <w:color w:val="262600"/>
        </w:rPr>
      </w:pPr>
      <w:r>
        <w:rPr>
          <w:color w:val="262600"/>
        </w:rPr>
        <w:t>5.</w:t>
      </w:r>
      <w:r>
        <w:rPr>
          <w:rFonts w:hint="eastAsia"/>
          <w:color w:val="262600"/>
        </w:rPr>
        <w:t>国内研究土壤连作障碍的专家团队和成果</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本章为该课程的重点内容，根据学生前期的对园艺学、设施园艺学的学习基础，从植物保护和土壤消毒的定义、分类、类型和发展现状等方面，通过课堂讲解，视频资料分享，课下查阅、课上分组讨论的讲授体系，让学生们系统全面的掌握本章内容。</w:t>
      </w:r>
    </w:p>
    <w:bookmarkEnd w:id="263"/>
    <w:p>
      <w:pPr>
        <w:widowControl/>
        <w:snapToGrid w:val="0"/>
        <w:spacing w:line="360" w:lineRule="auto"/>
        <w:jc w:val="right"/>
        <w:rPr>
          <w:b/>
          <w:bCs/>
          <w:kern w:val="0"/>
          <w:szCs w:val="21"/>
        </w:rPr>
      </w:pPr>
      <w:r>
        <w:rPr>
          <w:rFonts w:hint="eastAsia"/>
          <w:b/>
          <w:bCs/>
          <w:kern w:val="0"/>
          <w:szCs w:val="21"/>
        </w:rPr>
        <w:t>第七章</w:t>
      </w:r>
      <w:r>
        <w:rPr>
          <w:b/>
          <w:bCs/>
          <w:kern w:val="0"/>
          <w:szCs w:val="21"/>
        </w:rPr>
        <w:t>    </w:t>
      </w:r>
      <w:r>
        <w:rPr>
          <w:rFonts w:hint="eastAsia"/>
          <w:b/>
          <w:bCs/>
          <w:kern w:val="0"/>
          <w:szCs w:val="21"/>
        </w:rPr>
        <w:t>收获机械化装备</w:t>
      </w:r>
      <w:r>
        <w:rPr>
          <w:b/>
          <w:bCs/>
          <w:kern w:val="0"/>
          <w:szCs w:val="21"/>
        </w:rPr>
        <w:t>                          </w:t>
      </w:r>
      <w:r>
        <w:rPr>
          <w:rFonts w:hint="eastAsia"/>
          <w:b/>
          <w:bCs/>
          <w:kern w:val="0"/>
          <w:szCs w:val="21"/>
        </w:rPr>
        <w:t>学时数：</w:t>
      </w:r>
      <w:r>
        <w:rPr>
          <w:b/>
          <w:bCs/>
          <w:kern w:val="0"/>
          <w:szCs w:val="21"/>
        </w:rPr>
        <w:t>2</w:t>
      </w:r>
    </w:p>
    <w:p>
      <w:pPr>
        <w:spacing w:line="360" w:lineRule="auto"/>
        <w:rPr>
          <w:color w:val="262600"/>
        </w:rPr>
      </w:pPr>
      <w:r>
        <w:rPr>
          <w:rFonts w:hint="eastAsia"/>
          <w:b/>
          <w:bCs/>
        </w:rPr>
        <w:t>教学目标</w:t>
      </w:r>
      <w:r>
        <w:rPr>
          <w:rFonts w:hint="eastAsia"/>
          <w:color w:val="262600"/>
        </w:rPr>
        <w:t>：</w:t>
      </w:r>
    </w:p>
    <w:p>
      <w:pPr>
        <w:spacing w:line="360" w:lineRule="auto"/>
        <w:rPr>
          <w:color w:val="262600"/>
        </w:rPr>
      </w:pPr>
      <w:r>
        <w:rPr>
          <w:color w:val="262600"/>
        </w:rPr>
        <w:t>1.</w:t>
      </w:r>
      <w:r>
        <w:rPr>
          <w:rFonts w:hint="eastAsia"/>
          <w:color w:val="262600"/>
        </w:rPr>
        <w:t>掌握设施园艺收获的意义和必要性；</w:t>
      </w:r>
    </w:p>
    <w:p>
      <w:pPr>
        <w:spacing w:line="360" w:lineRule="auto"/>
        <w:rPr>
          <w:color w:val="262600"/>
        </w:rPr>
      </w:pPr>
      <w:r>
        <w:rPr>
          <w:color w:val="262600"/>
        </w:rPr>
        <w:t>2.</w:t>
      </w:r>
      <w:r>
        <w:rPr>
          <w:rFonts w:hint="eastAsia"/>
          <w:color w:val="262600"/>
        </w:rPr>
        <w:t>了解设施园艺收获机械结构、工作原理和分类；</w:t>
      </w:r>
    </w:p>
    <w:p>
      <w:pPr>
        <w:spacing w:line="360" w:lineRule="auto"/>
        <w:rPr>
          <w:color w:val="262600"/>
        </w:rPr>
      </w:pPr>
      <w:r>
        <w:rPr>
          <w:color w:val="262600"/>
        </w:rPr>
        <w:t>3.</w:t>
      </w:r>
      <w:r>
        <w:rPr>
          <w:rFonts w:hint="eastAsia"/>
          <w:color w:val="262600"/>
        </w:rPr>
        <w:t>熟悉我国蔬菜、水果、茶叶收获机械的发展现状、存在问题和前景；</w:t>
      </w:r>
    </w:p>
    <w:p>
      <w:pPr>
        <w:spacing w:line="360" w:lineRule="auto"/>
        <w:rPr>
          <w:color w:val="262600"/>
        </w:rPr>
      </w:pPr>
      <w:r>
        <w:rPr>
          <w:color w:val="262600"/>
        </w:rPr>
        <w:t>4.</w:t>
      </w:r>
      <w:r>
        <w:rPr>
          <w:rFonts w:hint="eastAsia"/>
          <w:color w:val="262600"/>
        </w:rPr>
        <w:t>掌握蔬菜的分类和蔬菜收获机械的定义和类型；</w:t>
      </w:r>
    </w:p>
    <w:p>
      <w:pPr>
        <w:spacing w:line="360" w:lineRule="auto"/>
        <w:rPr>
          <w:color w:val="262600"/>
        </w:rPr>
      </w:pPr>
      <w:r>
        <w:rPr>
          <w:color w:val="262600"/>
        </w:rPr>
        <w:t>5.</w:t>
      </w:r>
      <w:r>
        <w:rPr>
          <w:rFonts w:hint="eastAsia"/>
          <w:color w:val="262600"/>
        </w:rPr>
        <w:t>重点掌握叶类蔬菜收获的意义、分类和存在困境、关键技术环节、收获方式和性能指标体系；</w:t>
      </w:r>
    </w:p>
    <w:p>
      <w:pPr>
        <w:spacing w:line="360" w:lineRule="auto"/>
        <w:rPr>
          <w:color w:val="262600"/>
        </w:rPr>
      </w:pPr>
      <w:r>
        <w:rPr>
          <w:color w:val="262600"/>
        </w:rPr>
        <w:t>6.</w:t>
      </w:r>
      <w:r>
        <w:rPr>
          <w:rFonts w:hint="eastAsia"/>
          <w:color w:val="262600"/>
        </w:rPr>
        <w:t>了解茶叶机械化装备发展现状和意义；</w:t>
      </w:r>
    </w:p>
    <w:p>
      <w:pPr>
        <w:spacing w:line="360" w:lineRule="auto"/>
        <w:rPr>
          <w:color w:val="262600"/>
        </w:rPr>
      </w:pPr>
      <w:r>
        <w:rPr>
          <w:color w:val="262600"/>
        </w:rPr>
        <w:t>7.</w:t>
      </w:r>
      <w:r>
        <w:rPr>
          <w:rFonts w:hint="eastAsia"/>
          <w:color w:val="262600"/>
        </w:rPr>
        <w:t>熟悉蔬菜国内外收获机器人研究现状；</w:t>
      </w:r>
    </w:p>
    <w:p>
      <w:pPr>
        <w:spacing w:line="360" w:lineRule="auto"/>
        <w:rPr>
          <w:color w:val="262600"/>
        </w:rPr>
      </w:pPr>
      <w:r>
        <w:rPr>
          <w:color w:val="262600"/>
        </w:rPr>
        <w:t>8.</w:t>
      </w:r>
      <w:r>
        <w:rPr>
          <w:rFonts w:hint="eastAsia"/>
          <w:color w:val="262600"/>
        </w:rPr>
        <w:t>了解常见农作物收获机械类型。</w:t>
      </w:r>
    </w:p>
    <w:p>
      <w:pPr>
        <w:tabs>
          <w:tab w:val="left" w:pos="4770"/>
        </w:tabs>
        <w:spacing w:line="360" w:lineRule="auto"/>
        <w:rPr>
          <w:color w:val="262600"/>
        </w:rPr>
      </w:pPr>
      <w:r>
        <w:rPr>
          <w:rFonts w:hint="eastAsia"/>
          <w:b/>
          <w:bCs/>
        </w:rPr>
        <w:t>教学重点和难点</w:t>
      </w:r>
      <w:r>
        <w:rPr>
          <w:color w:val="262600"/>
        </w:rPr>
        <w:t xml:space="preserve">: </w:t>
      </w:r>
      <w:r>
        <w:rPr>
          <w:rFonts w:hint="eastAsia"/>
          <w:color w:val="262600"/>
        </w:rPr>
        <w:t>掌握设施园艺收获的意义和必要性；掌握蔬菜的分类和蔬菜收获机械的定义和类型；掌握蔬菜的分类和蔬菜收获机械的定义和类型；叶类蔬菜收获的意义、分类和存在困境、关键技术环节、收获方式和性能指标体系；熟悉我国蔬菜、水果、茶叶收获机械的发展现状、存在问题和前景；熟悉蔬菜国内外收获机器人</w:t>
      </w:r>
    </w:p>
    <w:p>
      <w:pPr>
        <w:tabs>
          <w:tab w:val="left" w:pos="4770"/>
        </w:tabs>
        <w:spacing w:line="360" w:lineRule="auto"/>
        <w:rPr>
          <w:color w:val="262600"/>
        </w:rPr>
      </w:pPr>
      <w:r>
        <w:rPr>
          <w:rFonts w:hint="eastAsia"/>
          <w:b/>
          <w:bCs/>
        </w:rPr>
        <w:t>主要教学内容及要求</w:t>
      </w:r>
      <w:r>
        <w:rPr>
          <w:rFonts w:hint="eastAsia"/>
          <w:color w:val="262600"/>
        </w:rPr>
        <w:t>：</w:t>
      </w:r>
    </w:p>
    <w:p>
      <w:pPr>
        <w:tabs>
          <w:tab w:val="left" w:pos="4770"/>
        </w:tabs>
        <w:spacing w:line="360" w:lineRule="auto"/>
        <w:rPr>
          <w:b/>
          <w:color w:val="262600"/>
        </w:rPr>
      </w:pPr>
      <w:r>
        <w:rPr>
          <w:rFonts w:hint="eastAsia"/>
          <w:b/>
          <w:color w:val="262600"/>
        </w:rPr>
        <w:t>第七章</w:t>
      </w:r>
      <w:r>
        <w:rPr>
          <w:b/>
          <w:color w:val="262600"/>
        </w:rPr>
        <w:t xml:space="preserve"> </w:t>
      </w:r>
      <w:r>
        <w:rPr>
          <w:rFonts w:hint="eastAsia"/>
          <w:b/>
          <w:color w:val="262600"/>
        </w:rPr>
        <w:t>收获机械装备</w:t>
      </w:r>
    </w:p>
    <w:p>
      <w:pPr>
        <w:tabs>
          <w:tab w:val="left" w:pos="4770"/>
        </w:tabs>
        <w:spacing w:line="360" w:lineRule="auto"/>
        <w:rPr>
          <w:color w:val="262600"/>
        </w:rPr>
      </w:pPr>
      <w:r>
        <w:rPr>
          <w:rFonts w:hint="eastAsia"/>
          <w:color w:val="262600"/>
        </w:rPr>
        <w:t>第一节</w:t>
      </w:r>
      <w:r>
        <w:rPr>
          <w:color w:val="262600"/>
        </w:rPr>
        <w:t xml:space="preserve">   </w:t>
      </w:r>
      <w:r>
        <w:rPr>
          <w:rFonts w:hint="eastAsia"/>
          <w:color w:val="262600"/>
        </w:rPr>
        <w:t>蔬菜收获机械</w:t>
      </w:r>
    </w:p>
    <w:p>
      <w:pPr>
        <w:tabs>
          <w:tab w:val="left" w:pos="4770"/>
        </w:tabs>
        <w:spacing w:line="360" w:lineRule="auto"/>
        <w:rPr>
          <w:color w:val="262600"/>
        </w:rPr>
      </w:pPr>
      <w:r>
        <w:rPr>
          <w:rFonts w:hint="eastAsia"/>
          <w:color w:val="262600"/>
        </w:rPr>
        <w:t>（一）我国蔬菜发展现状、存在问题</w:t>
      </w:r>
    </w:p>
    <w:p>
      <w:pPr>
        <w:tabs>
          <w:tab w:val="left" w:pos="4770"/>
        </w:tabs>
        <w:spacing w:line="360" w:lineRule="auto"/>
        <w:rPr>
          <w:color w:val="262600"/>
        </w:rPr>
      </w:pPr>
      <w:r>
        <w:rPr>
          <w:rFonts w:hint="eastAsia"/>
          <w:color w:val="262600"/>
        </w:rPr>
        <w:t>（二）蔬菜分类和蔬菜收获机械的概念</w:t>
      </w:r>
    </w:p>
    <w:p>
      <w:pPr>
        <w:tabs>
          <w:tab w:val="left" w:pos="4770"/>
        </w:tabs>
        <w:spacing w:line="360" w:lineRule="auto"/>
        <w:rPr>
          <w:color w:val="262600"/>
        </w:rPr>
      </w:pPr>
      <w:r>
        <w:rPr>
          <w:rFonts w:hint="eastAsia"/>
          <w:color w:val="262600"/>
        </w:rPr>
        <w:t>（三）蔬菜收获机械的分类及机械结构、工作原理</w:t>
      </w:r>
    </w:p>
    <w:p>
      <w:pPr>
        <w:tabs>
          <w:tab w:val="left" w:pos="4770"/>
        </w:tabs>
        <w:spacing w:line="360" w:lineRule="auto"/>
        <w:rPr>
          <w:color w:val="262600"/>
        </w:rPr>
      </w:pPr>
      <w:r>
        <w:rPr>
          <w:color w:val="262600"/>
        </w:rPr>
        <w:t>1.</w:t>
      </w:r>
      <w:r>
        <w:rPr>
          <w:rFonts w:hint="eastAsia"/>
          <w:color w:val="262600"/>
        </w:rPr>
        <w:t>根菜类收获机械概念、分类和研究现状</w:t>
      </w:r>
    </w:p>
    <w:p>
      <w:pPr>
        <w:tabs>
          <w:tab w:val="left" w:pos="4770"/>
        </w:tabs>
        <w:spacing w:line="360" w:lineRule="auto"/>
        <w:rPr>
          <w:color w:val="262600"/>
        </w:rPr>
      </w:pPr>
      <w:r>
        <w:rPr>
          <w:color w:val="262600"/>
        </w:rPr>
        <w:t>2.</w:t>
      </w:r>
      <w:r>
        <w:rPr>
          <w:rFonts w:hint="eastAsia"/>
          <w:color w:val="262600"/>
        </w:rPr>
        <w:t>果菜类收获机械概念、分类和研究现状</w:t>
      </w:r>
    </w:p>
    <w:p>
      <w:pPr>
        <w:tabs>
          <w:tab w:val="left" w:pos="4770"/>
        </w:tabs>
        <w:spacing w:line="360" w:lineRule="auto"/>
        <w:rPr>
          <w:color w:val="262600"/>
        </w:rPr>
      </w:pPr>
      <w:r>
        <w:rPr>
          <w:color w:val="262600"/>
        </w:rPr>
        <w:t>3.</w:t>
      </w:r>
      <w:r>
        <w:rPr>
          <w:rFonts w:hint="eastAsia"/>
          <w:color w:val="262600"/>
        </w:rPr>
        <w:t>叶菜类收获机械概念、分类和研究现状</w:t>
      </w:r>
    </w:p>
    <w:p>
      <w:pPr>
        <w:tabs>
          <w:tab w:val="left" w:pos="4770"/>
        </w:tabs>
        <w:spacing w:line="360" w:lineRule="auto"/>
        <w:rPr>
          <w:color w:val="262600"/>
        </w:rPr>
      </w:pPr>
      <w:r>
        <w:rPr>
          <w:rFonts w:hint="eastAsia"/>
          <w:color w:val="262600"/>
        </w:rPr>
        <w:t>（</w:t>
      </w:r>
      <w:r>
        <w:rPr>
          <w:color w:val="262600"/>
        </w:rPr>
        <w:t>1</w:t>
      </w:r>
      <w:r>
        <w:rPr>
          <w:rFonts w:hint="eastAsia"/>
          <w:color w:val="262600"/>
        </w:rPr>
        <w:t>）叶类蔬菜分类</w:t>
      </w:r>
    </w:p>
    <w:p>
      <w:pPr>
        <w:tabs>
          <w:tab w:val="left" w:pos="4770"/>
        </w:tabs>
        <w:spacing w:line="360" w:lineRule="auto"/>
        <w:rPr>
          <w:color w:val="262600"/>
        </w:rPr>
      </w:pPr>
      <w:r>
        <w:rPr>
          <w:rFonts w:hint="eastAsia"/>
          <w:color w:val="262600"/>
        </w:rPr>
        <w:t>（</w:t>
      </w:r>
      <w:r>
        <w:rPr>
          <w:color w:val="262600"/>
        </w:rPr>
        <w:t>2</w:t>
      </w:r>
      <w:r>
        <w:rPr>
          <w:rFonts w:hint="eastAsia"/>
          <w:color w:val="262600"/>
        </w:rPr>
        <w:t>）我国叶类蔬菜收获困境</w:t>
      </w:r>
    </w:p>
    <w:p>
      <w:pPr>
        <w:tabs>
          <w:tab w:val="left" w:pos="4770"/>
        </w:tabs>
        <w:spacing w:line="360" w:lineRule="auto"/>
        <w:rPr>
          <w:color w:val="262600"/>
        </w:rPr>
      </w:pPr>
      <w:r>
        <w:rPr>
          <w:rFonts w:hint="eastAsia"/>
          <w:color w:val="262600"/>
        </w:rPr>
        <w:t>（</w:t>
      </w:r>
      <w:r>
        <w:rPr>
          <w:color w:val="262600"/>
        </w:rPr>
        <w:t>3</w:t>
      </w:r>
      <w:r>
        <w:rPr>
          <w:rFonts w:hint="eastAsia"/>
          <w:color w:val="262600"/>
        </w:rPr>
        <w:t>）叶菜类蔬菜机械化关键环节、影响因素</w:t>
      </w:r>
    </w:p>
    <w:p>
      <w:pPr>
        <w:tabs>
          <w:tab w:val="left" w:pos="4770"/>
        </w:tabs>
        <w:spacing w:line="360" w:lineRule="auto"/>
        <w:rPr>
          <w:color w:val="262600"/>
        </w:rPr>
      </w:pPr>
      <w:r>
        <w:rPr>
          <w:rFonts w:hint="eastAsia"/>
          <w:color w:val="262600"/>
        </w:rPr>
        <w:t>（</w:t>
      </w:r>
      <w:r>
        <w:rPr>
          <w:color w:val="262600"/>
        </w:rPr>
        <w:t>4</w:t>
      </w:r>
      <w:r>
        <w:rPr>
          <w:rFonts w:hint="eastAsia"/>
          <w:color w:val="262600"/>
        </w:rPr>
        <w:t>）叶菜类蔬菜的机械收获方式</w:t>
      </w:r>
    </w:p>
    <w:p>
      <w:pPr>
        <w:tabs>
          <w:tab w:val="left" w:pos="4770"/>
        </w:tabs>
        <w:spacing w:line="360" w:lineRule="auto"/>
        <w:rPr>
          <w:color w:val="262600"/>
        </w:rPr>
      </w:pPr>
      <w:r>
        <w:rPr>
          <w:rFonts w:hint="eastAsia"/>
          <w:color w:val="262600"/>
        </w:rPr>
        <w:t>（</w:t>
      </w:r>
      <w:r>
        <w:rPr>
          <w:color w:val="262600"/>
        </w:rPr>
        <w:t>5</w:t>
      </w:r>
      <w:r>
        <w:rPr>
          <w:rFonts w:hint="eastAsia"/>
          <w:color w:val="262600"/>
        </w:rPr>
        <w:t>）叶菜收获机械性能指标体系</w:t>
      </w:r>
    </w:p>
    <w:p>
      <w:pPr>
        <w:tabs>
          <w:tab w:val="left" w:pos="4770"/>
        </w:tabs>
        <w:spacing w:line="360" w:lineRule="auto"/>
        <w:rPr>
          <w:color w:val="262600"/>
        </w:rPr>
      </w:pPr>
      <w:r>
        <w:rPr>
          <w:rFonts w:hint="eastAsia"/>
          <w:color w:val="262600"/>
        </w:rPr>
        <w:t>（</w:t>
      </w:r>
      <w:r>
        <w:rPr>
          <w:color w:val="262600"/>
        </w:rPr>
        <w:t>6</w:t>
      </w:r>
      <w:r>
        <w:rPr>
          <w:rFonts w:hint="eastAsia"/>
          <w:color w:val="262600"/>
        </w:rPr>
        <w:t>）我国现有叶菜类蔬菜类型及发展前景</w:t>
      </w:r>
    </w:p>
    <w:p>
      <w:pPr>
        <w:tabs>
          <w:tab w:val="left" w:pos="4770"/>
        </w:tabs>
        <w:spacing w:line="360" w:lineRule="auto"/>
        <w:rPr>
          <w:color w:val="262600"/>
        </w:rPr>
      </w:pPr>
      <w:r>
        <w:rPr>
          <w:color w:val="262600"/>
        </w:rPr>
        <w:t>4.</w:t>
      </w:r>
      <w:r>
        <w:rPr>
          <w:rFonts w:hint="eastAsia"/>
          <w:color w:val="262600"/>
        </w:rPr>
        <w:t>我国自主研发的蔬菜收获机械及应用</w:t>
      </w:r>
    </w:p>
    <w:p>
      <w:pPr>
        <w:tabs>
          <w:tab w:val="left" w:pos="4770"/>
        </w:tabs>
        <w:spacing w:line="360" w:lineRule="auto"/>
        <w:rPr>
          <w:color w:val="262600"/>
        </w:rPr>
      </w:pPr>
      <w:r>
        <w:rPr>
          <w:color w:val="262600"/>
        </w:rPr>
        <w:t>5.</w:t>
      </w:r>
      <w:r>
        <w:rPr>
          <w:rFonts w:hint="eastAsia"/>
          <w:color w:val="262600"/>
        </w:rPr>
        <w:t>我国蔬菜收获机械发展现状、存在问题及发展方向</w:t>
      </w:r>
    </w:p>
    <w:p>
      <w:pPr>
        <w:tabs>
          <w:tab w:val="left" w:pos="4770"/>
        </w:tabs>
        <w:spacing w:line="360" w:lineRule="auto"/>
        <w:rPr>
          <w:color w:val="262600"/>
        </w:rPr>
      </w:pPr>
      <w:r>
        <w:rPr>
          <w:rFonts w:hint="eastAsia"/>
          <w:color w:val="262600"/>
        </w:rPr>
        <w:t>第二节</w:t>
      </w:r>
      <w:r>
        <w:rPr>
          <w:color w:val="262600"/>
        </w:rPr>
        <w:t xml:space="preserve">   </w:t>
      </w:r>
      <w:r>
        <w:rPr>
          <w:rFonts w:hint="eastAsia"/>
          <w:color w:val="262600"/>
        </w:rPr>
        <w:t>果品收获机械</w:t>
      </w:r>
    </w:p>
    <w:p>
      <w:pPr>
        <w:tabs>
          <w:tab w:val="left" w:pos="4770"/>
        </w:tabs>
        <w:spacing w:line="360" w:lineRule="auto"/>
        <w:rPr>
          <w:color w:val="262600"/>
        </w:rPr>
      </w:pPr>
      <w:r>
        <w:rPr>
          <w:rFonts w:hint="eastAsia"/>
          <w:color w:val="262600"/>
        </w:rPr>
        <w:t>（一）果园机械化装备发展现状和存在问题</w:t>
      </w:r>
    </w:p>
    <w:p>
      <w:pPr>
        <w:tabs>
          <w:tab w:val="left" w:pos="4770"/>
        </w:tabs>
        <w:spacing w:line="360" w:lineRule="auto"/>
        <w:rPr>
          <w:color w:val="262600"/>
        </w:rPr>
      </w:pPr>
      <w:r>
        <w:rPr>
          <w:rFonts w:hint="eastAsia"/>
          <w:color w:val="262600"/>
        </w:rPr>
        <w:t>（二）果实收获机械概念、分类和特点</w:t>
      </w:r>
    </w:p>
    <w:p>
      <w:pPr>
        <w:tabs>
          <w:tab w:val="left" w:pos="4770"/>
        </w:tabs>
        <w:spacing w:line="360" w:lineRule="auto"/>
        <w:rPr>
          <w:color w:val="262600"/>
        </w:rPr>
      </w:pPr>
      <w:r>
        <w:rPr>
          <w:color w:val="262600"/>
        </w:rPr>
        <w:t>1.</w:t>
      </w:r>
      <w:r>
        <w:rPr>
          <w:rFonts w:hint="eastAsia"/>
          <w:color w:val="262600"/>
        </w:rPr>
        <w:t>果园植保机械</w:t>
      </w:r>
    </w:p>
    <w:p>
      <w:pPr>
        <w:tabs>
          <w:tab w:val="left" w:pos="4770"/>
        </w:tabs>
        <w:spacing w:line="360" w:lineRule="auto"/>
        <w:rPr>
          <w:color w:val="262600"/>
        </w:rPr>
      </w:pPr>
      <w:r>
        <w:rPr>
          <w:color w:val="262600"/>
        </w:rPr>
        <w:t>2.</w:t>
      </w:r>
      <w:r>
        <w:rPr>
          <w:rFonts w:hint="eastAsia"/>
          <w:color w:val="262600"/>
        </w:rPr>
        <w:t>果园收获机械</w:t>
      </w:r>
    </w:p>
    <w:p>
      <w:pPr>
        <w:tabs>
          <w:tab w:val="left" w:pos="4770"/>
        </w:tabs>
        <w:spacing w:line="360" w:lineRule="auto"/>
        <w:rPr>
          <w:color w:val="262600"/>
        </w:rPr>
      </w:pPr>
      <w:r>
        <w:rPr>
          <w:color w:val="262600"/>
        </w:rPr>
        <w:t>3.</w:t>
      </w:r>
      <w:r>
        <w:rPr>
          <w:rFonts w:hint="eastAsia"/>
          <w:color w:val="262600"/>
        </w:rPr>
        <w:t>果园运输机械</w:t>
      </w:r>
    </w:p>
    <w:p>
      <w:pPr>
        <w:tabs>
          <w:tab w:val="left" w:pos="4770"/>
        </w:tabs>
        <w:spacing w:line="360" w:lineRule="auto"/>
        <w:rPr>
          <w:color w:val="262600"/>
        </w:rPr>
      </w:pPr>
      <w:r>
        <w:rPr>
          <w:rFonts w:hint="eastAsia"/>
          <w:color w:val="262600"/>
        </w:rPr>
        <w:t>（三）国内外收获机器人研究现状</w:t>
      </w:r>
    </w:p>
    <w:p>
      <w:pPr>
        <w:tabs>
          <w:tab w:val="left" w:pos="4770"/>
        </w:tabs>
        <w:spacing w:line="360" w:lineRule="auto"/>
        <w:rPr>
          <w:color w:val="262600"/>
        </w:rPr>
      </w:pPr>
      <w:r>
        <w:rPr>
          <w:rFonts w:hint="eastAsia"/>
          <w:color w:val="262600"/>
        </w:rPr>
        <w:t>（四）果园采摘机械的发展趋势</w:t>
      </w:r>
    </w:p>
    <w:p>
      <w:pPr>
        <w:tabs>
          <w:tab w:val="left" w:pos="4770"/>
        </w:tabs>
        <w:spacing w:line="360" w:lineRule="auto"/>
        <w:rPr>
          <w:color w:val="262600"/>
        </w:rPr>
      </w:pPr>
      <w:r>
        <w:rPr>
          <w:rFonts w:hint="eastAsia"/>
          <w:color w:val="262600"/>
        </w:rPr>
        <w:t>第三节</w:t>
      </w:r>
      <w:r>
        <w:rPr>
          <w:color w:val="262600"/>
        </w:rPr>
        <w:t xml:space="preserve"> </w:t>
      </w:r>
      <w:r>
        <w:rPr>
          <w:rFonts w:hint="eastAsia"/>
          <w:color w:val="262600"/>
        </w:rPr>
        <w:t>茶叶收获机械</w:t>
      </w:r>
    </w:p>
    <w:p>
      <w:pPr>
        <w:tabs>
          <w:tab w:val="left" w:pos="4770"/>
        </w:tabs>
        <w:spacing w:line="360" w:lineRule="auto"/>
        <w:rPr>
          <w:color w:val="262600"/>
        </w:rPr>
      </w:pPr>
      <w:r>
        <w:rPr>
          <w:rFonts w:hint="eastAsia"/>
          <w:color w:val="262600"/>
        </w:rPr>
        <w:t>（一）茶叶机械化装备发展现状和意义</w:t>
      </w:r>
    </w:p>
    <w:p>
      <w:pPr>
        <w:tabs>
          <w:tab w:val="left" w:pos="4770"/>
        </w:tabs>
        <w:spacing w:line="360" w:lineRule="auto"/>
        <w:rPr>
          <w:color w:val="262600"/>
        </w:rPr>
      </w:pPr>
      <w:r>
        <w:rPr>
          <w:rFonts w:hint="eastAsia"/>
          <w:color w:val="262600"/>
        </w:rPr>
        <w:t>（二）农业农村部：关于加大对茶叶采摘机械化及管理智能化的建议</w:t>
      </w:r>
    </w:p>
    <w:p>
      <w:pPr>
        <w:tabs>
          <w:tab w:val="left" w:pos="4770"/>
        </w:tabs>
        <w:spacing w:line="360" w:lineRule="auto"/>
        <w:rPr>
          <w:color w:val="262600"/>
        </w:rPr>
      </w:pPr>
      <w:r>
        <w:rPr>
          <w:rFonts w:hint="eastAsia"/>
          <w:color w:val="262600"/>
        </w:rPr>
        <w:t>（三）国内外收获机器人研究现状和特点</w:t>
      </w:r>
    </w:p>
    <w:p>
      <w:pPr>
        <w:tabs>
          <w:tab w:val="left" w:pos="4770"/>
        </w:tabs>
        <w:spacing w:line="360" w:lineRule="auto"/>
        <w:rPr>
          <w:color w:val="262600"/>
        </w:rPr>
      </w:pPr>
      <w:r>
        <w:rPr>
          <w:rFonts w:hint="eastAsia"/>
          <w:color w:val="262600"/>
        </w:rPr>
        <w:t>（四）果园采摘机械的发展趋势</w:t>
      </w:r>
    </w:p>
    <w:p>
      <w:pPr>
        <w:tabs>
          <w:tab w:val="left" w:pos="4770"/>
        </w:tabs>
        <w:spacing w:line="360" w:lineRule="auto"/>
        <w:rPr>
          <w:color w:val="262600"/>
        </w:rPr>
      </w:pPr>
      <w:r>
        <w:rPr>
          <w:color w:val="262600"/>
        </w:rPr>
        <w:t>1.</w:t>
      </w:r>
      <w:r>
        <w:rPr>
          <w:rFonts w:hint="eastAsia"/>
          <w:color w:val="262600"/>
        </w:rPr>
        <w:t>果园环境标准化、信息化</w:t>
      </w:r>
    </w:p>
    <w:p>
      <w:pPr>
        <w:tabs>
          <w:tab w:val="left" w:pos="4770"/>
        </w:tabs>
        <w:spacing w:line="360" w:lineRule="auto"/>
        <w:rPr>
          <w:color w:val="262600"/>
        </w:rPr>
      </w:pPr>
      <w:r>
        <w:rPr>
          <w:color w:val="262600"/>
        </w:rPr>
        <w:t>2.</w:t>
      </w:r>
      <w:r>
        <w:rPr>
          <w:rFonts w:hint="eastAsia"/>
          <w:color w:val="262600"/>
        </w:rPr>
        <w:t>果园作用装备自动化、智能化</w:t>
      </w:r>
    </w:p>
    <w:p>
      <w:pPr>
        <w:tabs>
          <w:tab w:val="left" w:pos="4770"/>
        </w:tabs>
        <w:spacing w:line="360" w:lineRule="auto"/>
        <w:rPr>
          <w:color w:val="262600"/>
        </w:rPr>
      </w:pPr>
      <w:r>
        <w:rPr>
          <w:rFonts w:hint="eastAsia"/>
          <w:color w:val="262600"/>
        </w:rPr>
        <w:t>第四节</w:t>
      </w:r>
      <w:r>
        <w:rPr>
          <w:color w:val="262600"/>
        </w:rPr>
        <w:t xml:space="preserve"> </w:t>
      </w:r>
      <w:r>
        <w:rPr>
          <w:rFonts w:hint="eastAsia"/>
          <w:color w:val="262600"/>
        </w:rPr>
        <w:t>农作物收获机械</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本章为该课程的重点内容，根据学生前期的对园艺学、设施园艺学的学习基础，从设施园艺收获的意义和必要性入手，让学生充分了解设施园艺收获机械结构、工作原理和分类；熟悉我国蔬菜、水果、茶叶收获机械的发展现状、存在问题和前景；掌握蔬菜的分类和蔬菜收获机械的定义和类型；重点掌握叶类蔬菜收获的意义、分类和存在困境、关键技术环节、收获方式和性能指标体系；熟悉蔬菜国内外收获机器人研究现状；植物保护和土壤消毒的定义、分类、类型和发展现状等方面，通过课堂讲解，视频资料分享，课下查阅、课上分组讨论的讲授体系，让学生们系统全面的掌握本章内容。</w:t>
      </w:r>
    </w:p>
    <w:p>
      <w:pPr>
        <w:widowControl/>
        <w:snapToGrid w:val="0"/>
        <w:spacing w:line="360" w:lineRule="auto"/>
        <w:jc w:val="right"/>
        <w:rPr>
          <w:b/>
          <w:bCs/>
          <w:kern w:val="0"/>
          <w:szCs w:val="21"/>
        </w:rPr>
      </w:pPr>
      <w:r>
        <w:rPr>
          <w:rFonts w:hint="eastAsia"/>
          <w:b/>
          <w:bCs/>
          <w:kern w:val="0"/>
          <w:szCs w:val="21"/>
        </w:rPr>
        <w:t>第八章</w:t>
      </w:r>
      <w:r>
        <w:rPr>
          <w:b/>
          <w:bCs/>
          <w:kern w:val="0"/>
          <w:szCs w:val="21"/>
        </w:rPr>
        <w:t>    </w:t>
      </w:r>
      <w:r>
        <w:rPr>
          <w:rFonts w:hint="eastAsia"/>
          <w:b/>
          <w:bCs/>
          <w:color w:val="262600"/>
        </w:rPr>
        <w:t>专题讨论</w:t>
      </w:r>
      <w:r>
        <w:rPr>
          <w:b/>
          <w:bCs/>
          <w:color w:val="262600"/>
        </w:rPr>
        <w:t xml:space="preserve"> </w:t>
      </w:r>
      <w:r>
        <w:rPr>
          <w:rFonts w:hint="eastAsia"/>
          <w:b/>
          <w:bCs/>
          <w:color w:val="262600"/>
        </w:rPr>
        <w:t>农业机器人和植物工厂</w:t>
      </w:r>
      <w:r>
        <w:rPr>
          <w:b/>
          <w:bCs/>
          <w:kern w:val="0"/>
          <w:szCs w:val="21"/>
        </w:rPr>
        <w:t>                          </w:t>
      </w:r>
      <w:r>
        <w:rPr>
          <w:rFonts w:hint="eastAsia"/>
          <w:b/>
          <w:bCs/>
          <w:kern w:val="0"/>
          <w:szCs w:val="21"/>
        </w:rPr>
        <w:t>学时数：</w:t>
      </w:r>
      <w:r>
        <w:rPr>
          <w:b/>
          <w:bCs/>
          <w:kern w:val="0"/>
          <w:szCs w:val="21"/>
        </w:rPr>
        <w:t>2</w:t>
      </w:r>
    </w:p>
    <w:p>
      <w:pPr>
        <w:spacing w:line="360" w:lineRule="auto"/>
        <w:rPr>
          <w:color w:val="262600"/>
        </w:rPr>
      </w:pPr>
      <w:r>
        <w:rPr>
          <w:rFonts w:hint="eastAsia"/>
          <w:b/>
          <w:bCs/>
        </w:rPr>
        <w:t>教学目标</w:t>
      </w:r>
      <w:r>
        <w:rPr>
          <w:rFonts w:hint="eastAsia"/>
          <w:color w:val="262600"/>
        </w:rPr>
        <w:t>：</w:t>
      </w:r>
    </w:p>
    <w:p>
      <w:pPr>
        <w:spacing w:line="360" w:lineRule="auto"/>
        <w:rPr>
          <w:color w:val="262600"/>
        </w:rPr>
      </w:pPr>
      <w:r>
        <w:rPr>
          <w:color w:val="262600"/>
        </w:rPr>
        <w:t xml:space="preserve">1. </w:t>
      </w:r>
      <w:r>
        <w:rPr>
          <w:rFonts w:hint="eastAsia"/>
          <w:color w:val="262600"/>
        </w:rPr>
        <w:t>掌握我国农业机器人和植物工厂的概念和分类；</w:t>
      </w:r>
    </w:p>
    <w:p>
      <w:pPr>
        <w:spacing w:line="360" w:lineRule="auto"/>
        <w:rPr>
          <w:color w:val="262600"/>
        </w:rPr>
      </w:pPr>
      <w:r>
        <w:rPr>
          <w:color w:val="262600"/>
        </w:rPr>
        <w:t xml:space="preserve">2. </w:t>
      </w:r>
      <w:r>
        <w:rPr>
          <w:rFonts w:hint="eastAsia"/>
          <w:color w:val="262600"/>
        </w:rPr>
        <w:t>熟悉我国农业机器人和植物工厂发展现状、存在问题和前景。</w:t>
      </w:r>
    </w:p>
    <w:p>
      <w:pPr>
        <w:tabs>
          <w:tab w:val="left" w:pos="4770"/>
        </w:tabs>
        <w:spacing w:line="360" w:lineRule="auto"/>
        <w:rPr>
          <w:color w:val="262600"/>
        </w:rPr>
      </w:pPr>
      <w:r>
        <w:rPr>
          <w:rFonts w:hint="eastAsia"/>
          <w:b/>
          <w:bCs/>
        </w:rPr>
        <w:t>教学重点和难点</w:t>
      </w:r>
      <w:r>
        <w:rPr>
          <w:color w:val="262600"/>
        </w:rPr>
        <w:t xml:space="preserve">: </w:t>
      </w:r>
      <w:r>
        <w:rPr>
          <w:rFonts w:hint="eastAsia"/>
          <w:color w:val="262600"/>
        </w:rPr>
        <w:t>指导学生搜集资料和讲解点评我农业机器人和植物工厂的概念和分类，分析我国农业机器人和植物工厂发展现状、存在问题和前景。</w:t>
      </w:r>
    </w:p>
    <w:p>
      <w:pPr>
        <w:tabs>
          <w:tab w:val="left" w:pos="4770"/>
        </w:tabs>
        <w:spacing w:line="360" w:lineRule="auto"/>
        <w:rPr>
          <w:color w:val="262600"/>
        </w:rPr>
      </w:pPr>
      <w:r>
        <w:rPr>
          <w:rFonts w:hint="eastAsia"/>
          <w:b/>
          <w:bCs/>
        </w:rPr>
        <w:t>主要教学内容及要求</w:t>
      </w:r>
      <w:r>
        <w:rPr>
          <w:rFonts w:hint="eastAsia"/>
          <w:color w:val="262600"/>
        </w:rPr>
        <w:t>：</w:t>
      </w:r>
    </w:p>
    <w:p>
      <w:pPr>
        <w:tabs>
          <w:tab w:val="left" w:pos="4770"/>
        </w:tabs>
        <w:spacing w:line="360" w:lineRule="auto"/>
        <w:rPr>
          <w:b/>
          <w:color w:val="262600"/>
        </w:rPr>
      </w:pPr>
      <w:r>
        <w:rPr>
          <w:rFonts w:hint="eastAsia"/>
          <w:b/>
          <w:color w:val="262600"/>
        </w:rPr>
        <w:t>第八章</w:t>
      </w:r>
      <w:r>
        <w:rPr>
          <w:b/>
          <w:color w:val="262600"/>
        </w:rPr>
        <w:t xml:space="preserve"> </w:t>
      </w:r>
      <w:r>
        <w:rPr>
          <w:rFonts w:hint="eastAsia"/>
          <w:b/>
          <w:color w:val="262600"/>
        </w:rPr>
        <w:t>专题讨论</w:t>
      </w:r>
      <w:r>
        <w:rPr>
          <w:b/>
          <w:color w:val="262600"/>
        </w:rPr>
        <w:t xml:space="preserve"> </w:t>
      </w:r>
      <w:r>
        <w:rPr>
          <w:rFonts w:hint="eastAsia"/>
          <w:b/>
          <w:color w:val="262600"/>
        </w:rPr>
        <w:t>农业机器人和植物工厂</w:t>
      </w:r>
    </w:p>
    <w:p>
      <w:pPr>
        <w:tabs>
          <w:tab w:val="left" w:pos="4770"/>
        </w:tabs>
        <w:spacing w:line="360" w:lineRule="auto"/>
        <w:rPr>
          <w:color w:val="262600"/>
        </w:rPr>
      </w:pPr>
      <w:r>
        <w:rPr>
          <w:rFonts w:hint="eastAsia"/>
          <w:color w:val="262600"/>
        </w:rPr>
        <w:t>第一节</w:t>
      </w:r>
      <w:r>
        <w:rPr>
          <w:color w:val="262600"/>
        </w:rPr>
        <w:t xml:space="preserve">   </w:t>
      </w:r>
      <w:r>
        <w:rPr>
          <w:rFonts w:hint="eastAsia"/>
          <w:color w:val="262600"/>
        </w:rPr>
        <w:t>农业机器人</w:t>
      </w:r>
    </w:p>
    <w:p>
      <w:pPr>
        <w:tabs>
          <w:tab w:val="left" w:pos="4770"/>
        </w:tabs>
        <w:spacing w:line="360" w:lineRule="auto"/>
        <w:rPr>
          <w:color w:val="262600"/>
        </w:rPr>
      </w:pPr>
      <w:r>
        <w:rPr>
          <w:rFonts w:hint="eastAsia"/>
          <w:color w:val="262600"/>
        </w:rPr>
        <w:t>第二节</w:t>
      </w:r>
      <w:r>
        <w:rPr>
          <w:color w:val="262600"/>
        </w:rPr>
        <w:t xml:space="preserve">   </w:t>
      </w:r>
      <w:r>
        <w:rPr>
          <w:rFonts w:hint="eastAsia"/>
          <w:color w:val="262600"/>
        </w:rPr>
        <w:t>植物工厂</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本章为专题讨论课程，以小组为单位论述分组汇报我国农业机器人和植物工厂的发展现状、特点、存在问题和应用前景，学生分为16组自选题目（1.农业机器人 2.植物工厂 3.对现代农业机械的认知、见闻和建议），进行分组汇报，通过学生自主查阅、分组汇报，汇报形势以PPT为主，视频为辅，随后进行同学们进行交流讨论，让学生们更加系统了解我国设施农业机械化发展的现状，我国农业机器人和植物工厂的发展现状、特点、存在问题和应用前景，锻炼学生们能力，最后老师进行PPT汇报讲解总结和梳理，使得学生们全面的掌握本章内容。</w:t>
      </w:r>
    </w:p>
    <w:p>
      <w:pPr>
        <w:widowControl/>
        <w:snapToGrid w:val="0"/>
        <w:spacing w:line="360" w:lineRule="auto"/>
        <w:jc w:val="right"/>
        <w:rPr>
          <w:b/>
          <w:bCs/>
          <w:kern w:val="0"/>
          <w:szCs w:val="21"/>
        </w:rPr>
      </w:pPr>
      <w:r>
        <w:rPr>
          <w:rFonts w:hint="eastAsia"/>
          <w:b/>
          <w:bCs/>
          <w:kern w:val="0"/>
          <w:szCs w:val="21"/>
        </w:rPr>
        <w:t>第九章</w:t>
      </w:r>
      <w:r>
        <w:rPr>
          <w:b/>
          <w:bCs/>
          <w:kern w:val="0"/>
          <w:szCs w:val="21"/>
        </w:rPr>
        <w:t>    </w:t>
      </w:r>
      <w:r>
        <w:rPr>
          <w:rFonts w:hint="eastAsia"/>
          <w:b/>
          <w:bCs/>
          <w:color w:val="262600"/>
        </w:rPr>
        <w:t>农业生产信息化技术</w:t>
      </w:r>
      <w:r>
        <w:rPr>
          <w:b/>
          <w:bCs/>
          <w:kern w:val="0"/>
          <w:szCs w:val="21"/>
        </w:rPr>
        <w:t>                          </w:t>
      </w:r>
      <w:r>
        <w:rPr>
          <w:rFonts w:hint="eastAsia"/>
          <w:b/>
          <w:bCs/>
          <w:kern w:val="0"/>
          <w:szCs w:val="21"/>
        </w:rPr>
        <w:t>学时数：</w:t>
      </w:r>
      <w:r>
        <w:rPr>
          <w:b/>
          <w:bCs/>
          <w:kern w:val="0"/>
          <w:szCs w:val="21"/>
        </w:rPr>
        <w:t>2</w:t>
      </w:r>
    </w:p>
    <w:p>
      <w:pPr>
        <w:spacing w:line="360" w:lineRule="auto"/>
        <w:rPr>
          <w:color w:val="262600"/>
        </w:rPr>
      </w:pPr>
      <w:r>
        <w:rPr>
          <w:rFonts w:hint="eastAsia"/>
          <w:b/>
          <w:bCs/>
        </w:rPr>
        <w:t>教学目标</w:t>
      </w:r>
      <w:r>
        <w:rPr>
          <w:rFonts w:hint="eastAsia"/>
          <w:color w:val="262600"/>
        </w:rPr>
        <w:t>：</w:t>
      </w:r>
    </w:p>
    <w:p>
      <w:pPr>
        <w:spacing w:line="360" w:lineRule="auto"/>
        <w:rPr>
          <w:color w:val="262600"/>
        </w:rPr>
      </w:pPr>
      <w:r>
        <w:rPr>
          <w:color w:val="262600"/>
        </w:rPr>
        <w:t>1.</w:t>
      </w:r>
      <w:r>
        <w:rPr>
          <w:rFonts w:hint="eastAsia"/>
          <w:color w:val="262600"/>
        </w:rPr>
        <w:t>掌握农业信息化的概念、目的和特征；</w:t>
      </w:r>
    </w:p>
    <w:p>
      <w:pPr>
        <w:spacing w:line="360" w:lineRule="auto"/>
        <w:rPr>
          <w:color w:val="262600"/>
        </w:rPr>
      </w:pPr>
      <w:r>
        <w:rPr>
          <w:color w:val="262600"/>
        </w:rPr>
        <w:t>2.</w:t>
      </w:r>
      <w:r>
        <w:rPr>
          <w:rFonts w:hint="eastAsia"/>
          <w:color w:val="262600"/>
        </w:rPr>
        <w:t>熟悉农业信息化的现状和发展方向；</w:t>
      </w:r>
    </w:p>
    <w:p>
      <w:pPr>
        <w:spacing w:line="360" w:lineRule="auto"/>
        <w:rPr>
          <w:color w:val="262600"/>
        </w:rPr>
      </w:pPr>
      <w:r>
        <w:rPr>
          <w:color w:val="262600"/>
        </w:rPr>
        <w:t>3.</w:t>
      </w:r>
      <w:r>
        <w:rPr>
          <w:rFonts w:hint="eastAsia"/>
          <w:color w:val="262600"/>
        </w:rPr>
        <w:t>掌握农业专家系统的概念、结构、特点与应用；</w:t>
      </w:r>
    </w:p>
    <w:p>
      <w:pPr>
        <w:spacing w:line="360" w:lineRule="auto"/>
        <w:rPr>
          <w:color w:val="262600"/>
        </w:rPr>
      </w:pPr>
      <w:r>
        <w:rPr>
          <w:color w:val="262600"/>
        </w:rPr>
        <w:t>4.</w:t>
      </w:r>
      <w:r>
        <w:rPr>
          <w:rFonts w:hint="eastAsia"/>
          <w:color w:val="262600"/>
        </w:rPr>
        <w:t>了解国内研究农业信息化的专家和团队</w:t>
      </w:r>
    </w:p>
    <w:p>
      <w:pPr>
        <w:tabs>
          <w:tab w:val="left" w:pos="4770"/>
        </w:tabs>
        <w:spacing w:line="360" w:lineRule="auto"/>
        <w:rPr>
          <w:color w:val="262600"/>
        </w:rPr>
      </w:pPr>
      <w:r>
        <w:rPr>
          <w:rFonts w:hint="eastAsia"/>
          <w:b/>
          <w:bCs/>
        </w:rPr>
        <w:t>教学重点和难点</w:t>
      </w:r>
      <w:r>
        <w:rPr>
          <w:color w:val="262600"/>
        </w:rPr>
        <w:t xml:space="preserve">: </w:t>
      </w:r>
    </w:p>
    <w:p>
      <w:pPr>
        <w:tabs>
          <w:tab w:val="left" w:pos="4770"/>
        </w:tabs>
        <w:spacing w:line="360" w:lineRule="auto"/>
        <w:rPr>
          <w:color w:val="262600"/>
        </w:rPr>
      </w:pPr>
      <w:r>
        <w:rPr>
          <w:color w:val="262600"/>
        </w:rPr>
        <w:t>1.</w:t>
      </w:r>
      <w:r>
        <w:rPr>
          <w:rFonts w:hint="eastAsia"/>
          <w:color w:val="262600"/>
        </w:rPr>
        <w:t>掌握农业信息化的概念、目的、特征和内涵；</w:t>
      </w:r>
    </w:p>
    <w:p>
      <w:pPr>
        <w:tabs>
          <w:tab w:val="left" w:pos="4770"/>
        </w:tabs>
        <w:spacing w:line="360" w:lineRule="auto"/>
        <w:rPr>
          <w:color w:val="262600"/>
        </w:rPr>
      </w:pPr>
      <w:r>
        <w:rPr>
          <w:color w:val="262600"/>
        </w:rPr>
        <w:t>2.</w:t>
      </w:r>
      <w:r>
        <w:rPr>
          <w:rFonts w:hint="eastAsia"/>
          <w:color w:val="262600"/>
        </w:rPr>
        <w:t>掌握农业专家系统的概念、结构、特点与应用；</w:t>
      </w:r>
    </w:p>
    <w:p>
      <w:pPr>
        <w:tabs>
          <w:tab w:val="left" w:pos="4770"/>
        </w:tabs>
        <w:spacing w:line="360" w:lineRule="auto"/>
        <w:rPr>
          <w:color w:val="262600"/>
        </w:rPr>
      </w:pPr>
      <w:r>
        <w:rPr>
          <w:color w:val="262600"/>
        </w:rPr>
        <w:t>3.</w:t>
      </w:r>
      <w:r>
        <w:rPr>
          <w:rFonts w:hint="eastAsia"/>
          <w:color w:val="262600"/>
        </w:rPr>
        <w:t>熟悉农业信息化的现状和发展方向。</w:t>
      </w:r>
    </w:p>
    <w:p>
      <w:pPr>
        <w:spacing w:line="360" w:lineRule="auto"/>
        <w:rPr>
          <w:color w:val="262600"/>
        </w:rPr>
      </w:pPr>
      <w:r>
        <w:rPr>
          <w:rFonts w:hint="eastAsia"/>
          <w:b/>
          <w:bCs/>
        </w:rPr>
        <w:t>主要教学内容及要求</w:t>
      </w:r>
      <w:r>
        <w:rPr>
          <w:rFonts w:hint="eastAsia"/>
          <w:color w:val="262600"/>
        </w:rPr>
        <w:t>：</w:t>
      </w:r>
    </w:p>
    <w:p>
      <w:pPr>
        <w:spacing w:line="360" w:lineRule="auto"/>
        <w:rPr>
          <w:color w:val="262600"/>
        </w:rPr>
      </w:pPr>
      <w:r>
        <w:rPr>
          <w:rFonts w:hint="eastAsia"/>
          <w:color w:val="262600"/>
        </w:rPr>
        <w:t>植物农业信息化的概念、目的、特征和内涵；掌握农业专家系统的概念、结构、特点与应用；熟悉国内外农业信息化的现状和发展方向。</w:t>
      </w:r>
    </w:p>
    <w:p>
      <w:pPr>
        <w:spacing w:line="360" w:lineRule="auto"/>
        <w:rPr>
          <w:rFonts w:ascii="Tahoma" w:hAnsi="Tahoma" w:eastAsia="微软雅黑"/>
          <w:b/>
          <w:kern w:val="0"/>
          <w:sz w:val="22"/>
          <w:szCs w:val="21"/>
        </w:rPr>
      </w:pPr>
      <w:r>
        <w:rPr>
          <w:rFonts w:hint="eastAsia"/>
          <w:b/>
          <w:color w:val="262600"/>
        </w:rPr>
        <w:t>第九章</w:t>
      </w:r>
      <w:r>
        <w:rPr>
          <w:b/>
          <w:color w:val="262600"/>
        </w:rPr>
        <w:t xml:space="preserve"> </w:t>
      </w:r>
      <w:r>
        <w:rPr>
          <w:rFonts w:hint="eastAsia"/>
          <w:b/>
          <w:color w:val="262600"/>
        </w:rPr>
        <w:t>农业生产信息化技术</w:t>
      </w:r>
    </w:p>
    <w:p>
      <w:pPr>
        <w:spacing w:line="360" w:lineRule="auto"/>
        <w:rPr>
          <w:color w:val="262600"/>
        </w:rPr>
      </w:pPr>
      <w:r>
        <w:rPr>
          <w:rFonts w:hint="eastAsia"/>
          <w:color w:val="262600"/>
        </w:rPr>
        <w:t>第一节</w:t>
      </w:r>
      <w:r>
        <w:rPr>
          <w:color w:val="262600"/>
        </w:rPr>
        <w:t xml:space="preserve"> </w:t>
      </w:r>
      <w:r>
        <w:rPr>
          <w:rFonts w:hint="eastAsia"/>
          <w:color w:val="262600"/>
        </w:rPr>
        <w:t>农业信息化技术、</w:t>
      </w:r>
      <w:r>
        <w:rPr>
          <w:color w:val="262600"/>
        </w:rPr>
        <w:t xml:space="preserve"> </w:t>
      </w:r>
      <w:r>
        <w:rPr>
          <w:rFonts w:hint="eastAsia"/>
          <w:color w:val="262600"/>
        </w:rPr>
        <w:t>农业专家系统农业信息化</w:t>
      </w:r>
    </w:p>
    <w:p>
      <w:pPr>
        <w:spacing w:line="360" w:lineRule="auto"/>
        <w:rPr>
          <w:color w:val="262600"/>
        </w:rPr>
      </w:pPr>
      <w:r>
        <w:rPr>
          <w:color w:val="262600"/>
        </w:rPr>
        <w:t>1.</w:t>
      </w:r>
      <w:r>
        <w:rPr>
          <w:rFonts w:hint="eastAsia"/>
          <w:color w:val="262600"/>
        </w:rPr>
        <w:t>农业信息化的概念</w:t>
      </w:r>
    </w:p>
    <w:p>
      <w:pPr>
        <w:spacing w:line="360" w:lineRule="auto"/>
        <w:rPr>
          <w:szCs w:val="21"/>
        </w:rPr>
      </w:pPr>
      <w:r>
        <w:rPr>
          <w:szCs w:val="21"/>
        </w:rPr>
        <w:t>2.</w:t>
      </w:r>
      <w:r>
        <w:rPr>
          <w:rFonts w:hint="eastAsia"/>
          <w:szCs w:val="21"/>
        </w:rPr>
        <w:t>农业信息化的目的</w:t>
      </w:r>
    </w:p>
    <w:p>
      <w:pPr>
        <w:spacing w:line="360" w:lineRule="auto"/>
        <w:rPr>
          <w:szCs w:val="21"/>
        </w:rPr>
      </w:pPr>
      <w:r>
        <w:rPr>
          <w:szCs w:val="21"/>
        </w:rPr>
        <w:t>3.</w:t>
      </w:r>
      <w:r>
        <w:rPr>
          <w:rFonts w:hint="eastAsia"/>
          <w:szCs w:val="21"/>
        </w:rPr>
        <w:t>农业信息化的特征</w:t>
      </w:r>
    </w:p>
    <w:p>
      <w:pPr>
        <w:spacing w:line="360" w:lineRule="auto"/>
        <w:rPr>
          <w:szCs w:val="21"/>
        </w:rPr>
      </w:pPr>
      <w:r>
        <w:rPr>
          <w:szCs w:val="21"/>
        </w:rPr>
        <w:t>4.</w:t>
      </w:r>
      <w:r>
        <w:rPr>
          <w:rFonts w:hint="eastAsia"/>
          <w:szCs w:val="21"/>
        </w:rPr>
        <w:t>农业信息化的内涵</w:t>
      </w:r>
    </w:p>
    <w:p>
      <w:pPr>
        <w:spacing w:line="360" w:lineRule="auto"/>
        <w:rPr>
          <w:szCs w:val="21"/>
        </w:rPr>
      </w:pPr>
      <w:r>
        <w:rPr>
          <w:szCs w:val="21"/>
        </w:rPr>
        <w:t>5.</w:t>
      </w:r>
      <w:r>
        <w:rPr>
          <w:rFonts w:hint="eastAsia"/>
          <w:szCs w:val="21"/>
        </w:rPr>
        <w:t>农业信息化发展现状和促进农业信息化的举措</w:t>
      </w:r>
    </w:p>
    <w:p>
      <w:pPr>
        <w:spacing w:line="360" w:lineRule="auto"/>
        <w:rPr>
          <w:szCs w:val="21"/>
        </w:rPr>
      </w:pPr>
      <w:r>
        <w:rPr>
          <w:szCs w:val="21"/>
        </w:rPr>
        <w:t>6.</w:t>
      </w:r>
      <w:r>
        <w:rPr>
          <w:rFonts w:hint="eastAsia"/>
          <w:szCs w:val="21"/>
        </w:rPr>
        <w:t>国家关于农业信息化的政策</w:t>
      </w:r>
    </w:p>
    <w:p>
      <w:pPr>
        <w:spacing w:line="360" w:lineRule="auto"/>
        <w:rPr>
          <w:szCs w:val="21"/>
        </w:rPr>
      </w:pPr>
      <w:r>
        <w:rPr>
          <w:szCs w:val="21"/>
        </w:rPr>
        <w:t>7.</w:t>
      </w:r>
      <w:r>
        <w:rPr>
          <w:rFonts w:hint="eastAsia"/>
          <w:szCs w:val="21"/>
        </w:rPr>
        <w:t>农业专家系统概念和内容</w:t>
      </w:r>
    </w:p>
    <w:p>
      <w:pPr>
        <w:spacing w:line="360" w:lineRule="auto"/>
        <w:rPr>
          <w:rFonts w:ascii="宋体" w:hAnsi="宋体"/>
          <w:szCs w:val="21"/>
        </w:rPr>
      </w:pPr>
      <w:r>
        <w:rPr>
          <w:rFonts w:hint="eastAsia" w:ascii="宋体" w:hAnsi="宋体"/>
          <w:szCs w:val="21"/>
        </w:rPr>
        <w:t>农业信息化技术、 农业专家系统农业信息化</w:t>
      </w:r>
    </w:p>
    <w:p>
      <w:pPr>
        <w:spacing w:line="360" w:lineRule="auto"/>
        <w:rPr>
          <w:rFonts w:ascii="宋体" w:hAnsi="宋体"/>
          <w:szCs w:val="21"/>
        </w:rPr>
      </w:pPr>
      <w:r>
        <w:rPr>
          <w:rFonts w:hint="eastAsia" w:ascii="宋体" w:hAnsi="宋体"/>
          <w:szCs w:val="21"/>
        </w:rPr>
        <w:t>（一）农业信息化的概念</w:t>
      </w:r>
    </w:p>
    <w:p>
      <w:pPr>
        <w:spacing w:line="360" w:lineRule="auto"/>
        <w:rPr>
          <w:rFonts w:ascii="宋体" w:hAnsi="宋体"/>
          <w:szCs w:val="21"/>
        </w:rPr>
      </w:pPr>
      <w:r>
        <w:rPr>
          <w:rFonts w:hint="eastAsia" w:ascii="宋体" w:hAnsi="宋体"/>
          <w:szCs w:val="21"/>
        </w:rPr>
        <w:t>（二）农业信息化的目的</w:t>
      </w:r>
    </w:p>
    <w:p>
      <w:pPr>
        <w:spacing w:line="360" w:lineRule="auto"/>
        <w:rPr>
          <w:color w:val="262600"/>
        </w:rPr>
      </w:pPr>
      <w:r>
        <w:rPr>
          <w:color w:val="262600"/>
        </w:rPr>
        <w:t>1.</w:t>
      </w:r>
      <w:r>
        <w:rPr>
          <w:rFonts w:hint="eastAsia"/>
          <w:color w:val="262600"/>
        </w:rPr>
        <w:t>农业现代化需要完善信息技术为支撑</w:t>
      </w:r>
    </w:p>
    <w:p>
      <w:pPr>
        <w:spacing w:line="360" w:lineRule="auto"/>
        <w:rPr>
          <w:color w:val="262600"/>
        </w:rPr>
      </w:pPr>
      <w:r>
        <w:rPr>
          <w:color w:val="262600"/>
        </w:rPr>
        <w:t>2.</w:t>
      </w:r>
      <w:r>
        <w:rPr>
          <w:rFonts w:hint="eastAsia"/>
          <w:color w:val="262600"/>
        </w:rPr>
        <w:t>农民收入实现增长</w:t>
      </w:r>
    </w:p>
    <w:p>
      <w:pPr>
        <w:spacing w:line="360" w:lineRule="auto"/>
        <w:rPr>
          <w:color w:val="262600"/>
        </w:rPr>
      </w:pPr>
      <w:r>
        <w:rPr>
          <w:color w:val="262600"/>
        </w:rPr>
        <w:t>3.</w:t>
      </w:r>
      <w:r>
        <w:rPr>
          <w:rFonts w:hint="eastAsia"/>
          <w:color w:val="262600"/>
        </w:rPr>
        <w:t>农业信息化有效缩小差距</w:t>
      </w:r>
    </w:p>
    <w:p>
      <w:pPr>
        <w:spacing w:line="360" w:lineRule="auto"/>
        <w:rPr>
          <w:rFonts w:ascii="宋体" w:hAnsi="宋体"/>
          <w:szCs w:val="21"/>
        </w:rPr>
      </w:pPr>
      <w:r>
        <w:rPr>
          <w:rFonts w:hint="eastAsia" w:ascii="宋体" w:hAnsi="宋体"/>
          <w:szCs w:val="21"/>
        </w:rPr>
        <w:t>（三）农业信息化的特征</w:t>
      </w:r>
    </w:p>
    <w:p>
      <w:pPr>
        <w:spacing w:line="360" w:lineRule="auto"/>
        <w:rPr>
          <w:szCs w:val="21"/>
        </w:rPr>
      </w:pPr>
      <w:r>
        <w:rPr>
          <w:szCs w:val="21"/>
        </w:rPr>
        <w:t>1.</w:t>
      </w:r>
      <w:r>
        <w:rPr>
          <w:rFonts w:hint="eastAsia"/>
          <w:szCs w:val="21"/>
        </w:rPr>
        <w:t>网络化</w:t>
      </w:r>
    </w:p>
    <w:p>
      <w:pPr>
        <w:spacing w:line="360" w:lineRule="auto"/>
        <w:rPr>
          <w:szCs w:val="21"/>
        </w:rPr>
      </w:pPr>
      <w:r>
        <w:rPr>
          <w:szCs w:val="21"/>
        </w:rPr>
        <w:t>2.</w:t>
      </w:r>
      <w:r>
        <w:rPr>
          <w:rFonts w:hint="eastAsia"/>
          <w:szCs w:val="21"/>
        </w:rPr>
        <w:t>综合化</w:t>
      </w:r>
    </w:p>
    <w:p>
      <w:pPr>
        <w:spacing w:line="360" w:lineRule="auto"/>
        <w:rPr>
          <w:szCs w:val="21"/>
        </w:rPr>
      </w:pPr>
      <w:r>
        <w:rPr>
          <w:szCs w:val="21"/>
        </w:rPr>
        <w:t>3.</w:t>
      </w:r>
      <w:r>
        <w:rPr>
          <w:rFonts w:hint="eastAsia"/>
          <w:szCs w:val="21"/>
        </w:rPr>
        <w:t>全程化</w:t>
      </w:r>
    </w:p>
    <w:p>
      <w:pPr>
        <w:widowControl/>
        <w:adjustRightInd w:val="0"/>
        <w:snapToGrid w:val="0"/>
        <w:spacing w:line="360" w:lineRule="auto"/>
        <w:jc w:val="left"/>
        <w:rPr>
          <w:szCs w:val="21"/>
        </w:rPr>
      </w:pPr>
      <w:r>
        <w:rPr>
          <w:rFonts w:hint="eastAsia"/>
          <w:szCs w:val="21"/>
        </w:rPr>
        <w:t>（四）农业信息化的内涵</w:t>
      </w:r>
    </w:p>
    <w:p>
      <w:pPr>
        <w:widowControl/>
        <w:adjustRightInd w:val="0"/>
        <w:snapToGrid w:val="0"/>
        <w:spacing w:line="360" w:lineRule="auto"/>
        <w:jc w:val="left"/>
        <w:rPr>
          <w:szCs w:val="21"/>
        </w:rPr>
      </w:pPr>
      <w:r>
        <w:rPr>
          <w:szCs w:val="21"/>
        </w:rPr>
        <w:t>1.</w:t>
      </w:r>
      <w:r>
        <w:rPr>
          <w:rFonts w:hint="eastAsia"/>
          <w:szCs w:val="21"/>
        </w:rPr>
        <w:t>农业生产过程的信息化</w:t>
      </w:r>
    </w:p>
    <w:p>
      <w:pPr>
        <w:widowControl/>
        <w:adjustRightInd w:val="0"/>
        <w:snapToGrid w:val="0"/>
        <w:spacing w:line="360" w:lineRule="auto"/>
        <w:jc w:val="left"/>
        <w:rPr>
          <w:szCs w:val="21"/>
        </w:rPr>
      </w:pPr>
      <w:r>
        <w:rPr>
          <w:szCs w:val="21"/>
        </w:rPr>
        <w:t>2.</w:t>
      </w:r>
      <w:r>
        <w:rPr>
          <w:rFonts w:hint="eastAsia"/>
          <w:szCs w:val="21"/>
        </w:rPr>
        <w:t>农产品流通过程的信息化</w:t>
      </w:r>
    </w:p>
    <w:p>
      <w:pPr>
        <w:widowControl/>
        <w:adjustRightInd w:val="0"/>
        <w:snapToGrid w:val="0"/>
        <w:spacing w:line="360" w:lineRule="auto"/>
        <w:jc w:val="left"/>
        <w:rPr>
          <w:szCs w:val="21"/>
        </w:rPr>
      </w:pPr>
      <w:r>
        <w:rPr>
          <w:szCs w:val="21"/>
        </w:rPr>
        <w:t>3.</w:t>
      </w:r>
      <w:r>
        <w:rPr>
          <w:rFonts w:hint="eastAsia"/>
          <w:szCs w:val="21"/>
        </w:rPr>
        <w:t>农业管理过程的信息化</w:t>
      </w:r>
    </w:p>
    <w:p>
      <w:pPr>
        <w:widowControl/>
        <w:adjustRightInd w:val="0"/>
        <w:snapToGrid w:val="0"/>
        <w:spacing w:line="360" w:lineRule="auto"/>
        <w:jc w:val="left"/>
        <w:rPr>
          <w:szCs w:val="21"/>
        </w:rPr>
      </w:pPr>
      <w:r>
        <w:rPr>
          <w:rFonts w:hint="eastAsia"/>
          <w:szCs w:val="21"/>
        </w:rPr>
        <w:t>（五）农业信息化发展现状和促进农业信息化的举措</w:t>
      </w:r>
    </w:p>
    <w:p>
      <w:pPr>
        <w:widowControl/>
        <w:adjustRightInd w:val="0"/>
        <w:snapToGrid w:val="0"/>
        <w:spacing w:line="360" w:lineRule="auto"/>
        <w:jc w:val="left"/>
        <w:rPr>
          <w:szCs w:val="21"/>
        </w:rPr>
      </w:pPr>
      <w:r>
        <w:rPr>
          <w:rFonts w:hint="eastAsia"/>
          <w:szCs w:val="21"/>
        </w:rPr>
        <w:t>（六）国家关于农业信息化的政策</w:t>
      </w:r>
    </w:p>
    <w:p>
      <w:pPr>
        <w:widowControl/>
        <w:adjustRightInd w:val="0"/>
        <w:snapToGrid w:val="0"/>
        <w:spacing w:line="360" w:lineRule="auto"/>
        <w:jc w:val="left"/>
        <w:rPr>
          <w:szCs w:val="21"/>
        </w:rPr>
      </w:pPr>
      <w:r>
        <w:rPr>
          <w:rFonts w:hint="eastAsia"/>
          <w:szCs w:val="21"/>
        </w:rPr>
        <w:t>（七）农业专家系统概念和内容</w:t>
      </w:r>
    </w:p>
    <w:p>
      <w:pPr>
        <w:widowControl/>
        <w:adjustRightInd w:val="0"/>
        <w:snapToGrid w:val="0"/>
        <w:spacing w:line="360" w:lineRule="auto"/>
        <w:jc w:val="left"/>
        <w:rPr>
          <w:szCs w:val="21"/>
        </w:rPr>
      </w:pPr>
      <w:r>
        <w:rPr>
          <w:szCs w:val="21"/>
        </w:rPr>
        <w:t>1.</w:t>
      </w:r>
      <w:r>
        <w:rPr>
          <w:rFonts w:hint="eastAsia"/>
          <w:szCs w:val="21"/>
        </w:rPr>
        <w:t>农业专家系统概述</w:t>
      </w:r>
      <w:r>
        <w:rPr>
          <w:szCs w:val="21"/>
        </w:rPr>
        <w:t xml:space="preserve"> </w:t>
      </w:r>
    </w:p>
    <w:p>
      <w:pPr>
        <w:widowControl/>
        <w:adjustRightInd w:val="0"/>
        <w:snapToGrid w:val="0"/>
        <w:spacing w:line="360" w:lineRule="auto"/>
        <w:jc w:val="left"/>
        <w:rPr>
          <w:szCs w:val="21"/>
        </w:rPr>
      </w:pPr>
      <w:r>
        <w:rPr>
          <w:szCs w:val="21"/>
        </w:rPr>
        <w:t>2.</w:t>
      </w:r>
      <w:r>
        <w:rPr>
          <w:rFonts w:hint="eastAsia"/>
          <w:szCs w:val="21"/>
        </w:rPr>
        <w:t>产前决策专家系统技术</w:t>
      </w:r>
      <w:r>
        <w:rPr>
          <w:szCs w:val="21"/>
        </w:rPr>
        <w:t xml:space="preserve"> </w:t>
      </w:r>
    </w:p>
    <w:p>
      <w:pPr>
        <w:widowControl/>
        <w:adjustRightInd w:val="0"/>
        <w:snapToGrid w:val="0"/>
        <w:spacing w:line="360" w:lineRule="auto"/>
        <w:jc w:val="left"/>
        <w:rPr>
          <w:szCs w:val="21"/>
        </w:rPr>
      </w:pPr>
      <w:r>
        <w:rPr>
          <w:szCs w:val="21"/>
        </w:rPr>
        <w:t>3.</w:t>
      </w:r>
      <w:r>
        <w:rPr>
          <w:rFonts w:hint="eastAsia"/>
          <w:szCs w:val="21"/>
        </w:rPr>
        <w:t>施肥管理专家系统技术</w:t>
      </w:r>
      <w:r>
        <w:rPr>
          <w:szCs w:val="21"/>
        </w:rPr>
        <w:t xml:space="preserve"> </w:t>
      </w:r>
    </w:p>
    <w:p>
      <w:pPr>
        <w:widowControl/>
        <w:adjustRightInd w:val="0"/>
        <w:snapToGrid w:val="0"/>
        <w:spacing w:line="360" w:lineRule="auto"/>
        <w:jc w:val="left"/>
        <w:rPr>
          <w:szCs w:val="21"/>
        </w:rPr>
      </w:pPr>
      <w:r>
        <w:rPr>
          <w:szCs w:val="21"/>
        </w:rPr>
        <w:t>4.</w:t>
      </w:r>
      <w:r>
        <w:rPr>
          <w:rFonts w:hint="eastAsia"/>
          <w:szCs w:val="21"/>
        </w:rPr>
        <w:t>病虫害防治专家系统技术</w:t>
      </w:r>
      <w:r>
        <w:rPr>
          <w:szCs w:val="21"/>
        </w:rPr>
        <w:t xml:space="preserve"> </w:t>
      </w:r>
    </w:p>
    <w:p>
      <w:pPr>
        <w:spacing w:line="360" w:lineRule="auto"/>
        <w:rPr>
          <w:szCs w:val="21"/>
        </w:rPr>
      </w:pPr>
      <w:r>
        <w:rPr>
          <w:szCs w:val="21"/>
        </w:rPr>
        <w:t>5.</w:t>
      </w:r>
      <w:r>
        <w:rPr>
          <w:rFonts w:hint="eastAsia"/>
          <w:szCs w:val="21"/>
        </w:rPr>
        <w:t>节水灌溉专家系统技术</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根据学生前期的对园艺学、设施园艺学的学习基础，从农业信息化的概念、目的、特征和内涵、农业专家系统的概念、结构、特点与应用；让学生们熟悉国内外农业信息化的现状和发展方向，通过课堂讲解，视频资料分享，课下查阅、课上分组讨论的讲授体系，让学生们系统全面的掌握本章内容。</w:t>
      </w:r>
    </w:p>
    <w:p>
      <w:pPr>
        <w:widowControl/>
        <w:snapToGrid w:val="0"/>
        <w:spacing w:line="360" w:lineRule="auto"/>
        <w:jc w:val="right"/>
        <w:rPr>
          <w:b/>
          <w:bCs/>
          <w:kern w:val="0"/>
          <w:szCs w:val="21"/>
        </w:rPr>
      </w:pPr>
      <w:r>
        <w:rPr>
          <w:rFonts w:hint="eastAsia"/>
          <w:b/>
          <w:bCs/>
          <w:kern w:val="0"/>
          <w:szCs w:val="21"/>
        </w:rPr>
        <w:t>第九章</w:t>
      </w:r>
      <w:r>
        <w:rPr>
          <w:b/>
          <w:bCs/>
          <w:kern w:val="0"/>
          <w:szCs w:val="21"/>
        </w:rPr>
        <w:t>    </w:t>
      </w:r>
      <w:r>
        <w:rPr>
          <w:rFonts w:hint="eastAsia"/>
          <w:b/>
          <w:bCs/>
          <w:color w:val="262600"/>
        </w:rPr>
        <w:t>农业生产信息化技术</w:t>
      </w:r>
      <w:r>
        <w:rPr>
          <w:b/>
          <w:bCs/>
          <w:kern w:val="0"/>
          <w:szCs w:val="21"/>
        </w:rPr>
        <w:t> </w:t>
      </w:r>
      <w:r>
        <w:rPr>
          <w:rFonts w:hint="eastAsia"/>
          <w:b/>
          <w:bCs/>
          <w:kern w:val="0"/>
          <w:szCs w:val="21"/>
        </w:rPr>
        <w:t>——设施农业控制技术远程诊断技术</w:t>
      </w:r>
      <w:r>
        <w:rPr>
          <w:b/>
          <w:bCs/>
          <w:kern w:val="0"/>
          <w:szCs w:val="21"/>
        </w:rPr>
        <w:t>                         </w:t>
      </w:r>
      <w:r>
        <w:rPr>
          <w:rFonts w:hint="eastAsia"/>
          <w:b/>
          <w:bCs/>
          <w:kern w:val="0"/>
          <w:szCs w:val="21"/>
        </w:rPr>
        <w:t>学时数：</w:t>
      </w:r>
      <w:r>
        <w:rPr>
          <w:b/>
          <w:bCs/>
          <w:kern w:val="0"/>
          <w:szCs w:val="21"/>
        </w:rPr>
        <w:t>2</w:t>
      </w:r>
    </w:p>
    <w:p>
      <w:pPr>
        <w:spacing w:line="360" w:lineRule="auto"/>
        <w:rPr>
          <w:color w:val="262600"/>
        </w:rPr>
      </w:pPr>
      <w:r>
        <w:rPr>
          <w:rFonts w:hint="eastAsia"/>
          <w:b/>
          <w:bCs/>
        </w:rPr>
        <w:t>教学目标</w:t>
      </w:r>
      <w:r>
        <w:rPr>
          <w:rFonts w:hint="eastAsia"/>
          <w:color w:val="262600"/>
        </w:rPr>
        <w:t>：</w:t>
      </w:r>
    </w:p>
    <w:p>
      <w:pPr>
        <w:spacing w:line="360" w:lineRule="auto"/>
        <w:rPr>
          <w:color w:val="262600"/>
        </w:rPr>
      </w:pPr>
      <w:r>
        <w:rPr>
          <w:color w:val="262600"/>
        </w:rPr>
        <w:t>1.</w:t>
      </w:r>
      <w:r>
        <w:rPr>
          <w:rFonts w:hint="eastAsia"/>
          <w:color w:val="262600"/>
        </w:rPr>
        <w:t>掌握设施农业控制技术和远程诊断技术的组成、技术要求和应用</w:t>
      </w:r>
    </w:p>
    <w:p>
      <w:pPr>
        <w:spacing w:line="360" w:lineRule="auto"/>
        <w:rPr>
          <w:color w:val="262600"/>
        </w:rPr>
      </w:pPr>
      <w:r>
        <w:rPr>
          <w:color w:val="262600"/>
        </w:rPr>
        <w:t>2.</w:t>
      </w:r>
      <w:r>
        <w:rPr>
          <w:rFonts w:hint="eastAsia"/>
          <w:color w:val="262600"/>
        </w:rPr>
        <w:t>熟悉设施农业控制技术和远程诊断技术发展现状；</w:t>
      </w:r>
    </w:p>
    <w:p>
      <w:pPr>
        <w:spacing w:line="360" w:lineRule="auto"/>
        <w:rPr>
          <w:color w:val="262600"/>
        </w:rPr>
      </w:pPr>
      <w:r>
        <w:rPr>
          <w:color w:val="262600"/>
        </w:rPr>
        <w:t>3.</w:t>
      </w:r>
      <w:r>
        <w:rPr>
          <w:rFonts w:hint="eastAsia"/>
          <w:color w:val="262600"/>
        </w:rPr>
        <w:t>了解设施农业控制技术和远程诊断技术应用案例。</w:t>
      </w:r>
    </w:p>
    <w:p>
      <w:pPr>
        <w:tabs>
          <w:tab w:val="left" w:pos="4770"/>
        </w:tabs>
        <w:spacing w:line="360" w:lineRule="auto"/>
        <w:rPr>
          <w:color w:val="262600"/>
        </w:rPr>
      </w:pPr>
      <w:r>
        <w:rPr>
          <w:rFonts w:hint="eastAsia"/>
          <w:b/>
          <w:bCs/>
        </w:rPr>
        <w:t>教学重点和难点</w:t>
      </w:r>
      <w:r>
        <w:rPr>
          <w:color w:val="262600"/>
        </w:rPr>
        <w:t xml:space="preserve">: </w:t>
      </w:r>
    </w:p>
    <w:p>
      <w:pPr>
        <w:spacing w:line="360" w:lineRule="auto"/>
        <w:rPr>
          <w:color w:val="262600"/>
        </w:rPr>
      </w:pPr>
      <w:r>
        <w:rPr>
          <w:rFonts w:hint="eastAsia"/>
          <w:color w:val="262600"/>
        </w:rPr>
        <w:t>掌握设施农业控制技术和远程诊断技术的组成、技术要求和应用；了解设施农业控制技术和远程诊断技术发展现状；设施农业控制技术和远程诊断技术应用案例。</w:t>
      </w:r>
    </w:p>
    <w:p>
      <w:pPr>
        <w:spacing w:line="360" w:lineRule="auto"/>
        <w:rPr>
          <w:color w:val="262600"/>
        </w:rPr>
      </w:pPr>
      <w:r>
        <w:rPr>
          <w:rFonts w:hint="eastAsia"/>
          <w:b/>
          <w:bCs/>
        </w:rPr>
        <w:t>主要教学内容及要求</w:t>
      </w:r>
      <w:r>
        <w:rPr>
          <w:rFonts w:hint="eastAsia"/>
          <w:color w:val="262600"/>
        </w:rPr>
        <w:t>：</w:t>
      </w:r>
    </w:p>
    <w:p>
      <w:pPr>
        <w:spacing w:line="360" w:lineRule="auto"/>
        <w:rPr>
          <w:color w:val="262600"/>
        </w:rPr>
      </w:pPr>
      <w:r>
        <w:rPr>
          <w:rFonts w:hint="eastAsia"/>
          <w:color w:val="262600"/>
        </w:rPr>
        <w:t>设施农业控制技术和远程诊断技术的组成、技术要求和应用；设施农业控制技术和远程诊断技术发展现状；设施农业控制技术和远程诊断技术应用案例农业信息化的概念、目的、特征和内涵、现状和发展方向。</w:t>
      </w:r>
    </w:p>
    <w:p>
      <w:pPr>
        <w:spacing w:line="360" w:lineRule="auto"/>
        <w:rPr>
          <w:b/>
          <w:color w:val="262600"/>
          <w:szCs w:val="21"/>
        </w:rPr>
      </w:pPr>
      <w:r>
        <w:rPr>
          <w:rFonts w:hint="eastAsia"/>
          <w:b/>
          <w:color w:val="262600"/>
          <w:szCs w:val="21"/>
        </w:rPr>
        <w:t>第九章</w:t>
      </w:r>
      <w:r>
        <w:rPr>
          <w:b/>
          <w:color w:val="262600"/>
          <w:szCs w:val="21"/>
        </w:rPr>
        <w:t xml:space="preserve"> </w:t>
      </w:r>
      <w:r>
        <w:rPr>
          <w:rFonts w:hint="eastAsia"/>
          <w:b/>
          <w:color w:val="262600"/>
          <w:szCs w:val="21"/>
        </w:rPr>
        <w:t>农业信息化概述</w:t>
      </w:r>
    </w:p>
    <w:p>
      <w:pPr>
        <w:spacing w:line="360" w:lineRule="auto"/>
        <w:rPr>
          <w:rFonts w:eastAsia="微软雅黑"/>
          <w:b/>
          <w:kern w:val="0"/>
          <w:szCs w:val="21"/>
        </w:rPr>
      </w:pPr>
      <w:r>
        <w:rPr>
          <w:rFonts w:hint="eastAsia"/>
          <w:b/>
          <w:color w:val="262600"/>
          <w:szCs w:val="21"/>
        </w:rPr>
        <w:t>第二节</w:t>
      </w:r>
      <w:r>
        <w:rPr>
          <w:b/>
          <w:color w:val="262600"/>
          <w:szCs w:val="21"/>
        </w:rPr>
        <w:t xml:space="preserve"> </w:t>
      </w:r>
      <w:r>
        <w:rPr>
          <w:rFonts w:hint="eastAsia"/>
          <w:b/>
          <w:color w:val="262600"/>
          <w:szCs w:val="21"/>
        </w:rPr>
        <w:t>农业生产信息化技术</w:t>
      </w:r>
      <w:r>
        <w:rPr>
          <w:b/>
          <w:color w:val="262600"/>
          <w:szCs w:val="21"/>
        </w:rPr>
        <w:t xml:space="preserve"> </w:t>
      </w:r>
      <w:r>
        <w:rPr>
          <w:rFonts w:hint="eastAsia"/>
          <w:b/>
          <w:color w:val="262600"/>
          <w:szCs w:val="21"/>
        </w:rPr>
        <w:t>设施农业控制技术和远程诊断技术</w:t>
      </w:r>
    </w:p>
    <w:p>
      <w:pPr>
        <w:spacing w:line="360" w:lineRule="auto"/>
        <w:rPr>
          <w:color w:val="262600"/>
          <w:szCs w:val="21"/>
        </w:rPr>
      </w:pPr>
      <w:r>
        <w:rPr>
          <w:rFonts w:hint="eastAsia"/>
          <w:color w:val="262600"/>
          <w:szCs w:val="21"/>
        </w:rPr>
        <w:t>（一）设施农业控制技术和远程诊断技术概念</w:t>
      </w:r>
    </w:p>
    <w:p>
      <w:pPr>
        <w:spacing w:line="360" w:lineRule="auto"/>
        <w:rPr>
          <w:color w:val="262600"/>
          <w:szCs w:val="21"/>
        </w:rPr>
      </w:pPr>
      <w:r>
        <w:rPr>
          <w:rFonts w:hint="eastAsia"/>
          <w:color w:val="262600"/>
          <w:szCs w:val="21"/>
        </w:rPr>
        <w:t>（二）农业远程诊断系统的组成和主要技术</w:t>
      </w:r>
    </w:p>
    <w:p>
      <w:pPr>
        <w:spacing w:line="360" w:lineRule="auto"/>
        <w:rPr>
          <w:color w:val="262600"/>
          <w:szCs w:val="21"/>
        </w:rPr>
      </w:pPr>
      <w:r>
        <w:rPr>
          <w:rFonts w:hint="eastAsia"/>
          <w:color w:val="262600"/>
          <w:szCs w:val="21"/>
        </w:rPr>
        <w:t>（三）设施农业控制技术和远程诊断技术应用案例</w:t>
      </w:r>
    </w:p>
    <w:p>
      <w:pPr>
        <w:spacing w:line="360" w:lineRule="auto"/>
        <w:rPr>
          <w:color w:val="262600"/>
          <w:szCs w:val="21"/>
        </w:rPr>
      </w:pPr>
      <w:r>
        <w:rPr>
          <w:rFonts w:hint="eastAsia"/>
          <w:color w:val="262600"/>
          <w:szCs w:val="21"/>
        </w:rPr>
        <w:t>（四）设施农业控制技术和远程诊断技术发展现状</w:t>
      </w:r>
    </w:p>
    <w:p>
      <w:pPr>
        <w:widowControl/>
        <w:snapToGrid w:val="0"/>
        <w:spacing w:line="360" w:lineRule="auto"/>
        <w:rPr>
          <w:rFonts w:ascii="宋体" w:hAnsi="宋体"/>
          <w:szCs w:val="21"/>
        </w:rPr>
      </w:pPr>
      <w:r>
        <w:rPr>
          <w:rFonts w:hint="eastAsia"/>
          <w:b/>
          <w:bCs/>
          <w:szCs w:val="21"/>
        </w:rPr>
        <w:t>教学组织与实施：</w:t>
      </w:r>
      <w:r>
        <w:rPr>
          <w:rFonts w:hint="eastAsia"/>
          <w:szCs w:val="21"/>
        </w:rPr>
        <w:t>根据学生前期的对园艺学、设施园艺学的学习基础，从设施农业控制技术和远程诊断技术定义、类型、特点和发展现状等方面，通过课堂讲解，视频资料分享，课下查阅、课上分组讨论的讲授体系，让学生们系统全面的掌握本章内容。</w:t>
      </w:r>
    </w:p>
    <w:p>
      <w:pPr>
        <w:spacing w:before="156" w:beforeLines="50" w:after="156" w:afterLines="50" w:line="360" w:lineRule="auto"/>
        <w:ind w:right="420"/>
        <w:jc w:val="right"/>
        <w:rPr>
          <w:b/>
          <w:bCs/>
          <w:color w:val="262600"/>
        </w:rPr>
      </w:pPr>
      <w:r>
        <w:rPr>
          <w:rFonts w:hint="eastAsia"/>
          <w:b/>
          <w:bCs/>
          <w:color w:val="262600"/>
        </w:rPr>
        <w:t>第十章</w:t>
      </w:r>
      <w:r>
        <w:rPr>
          <w:b/>
          <w:bCs/>
          <w:color w:val="262600"/>
        </w:rPr>
        <w:t xml:space="preserve"> </w:t>
      </w:r>
      <w:r>
        <w:rPr>
          <w:rFonts w:hint="eastAsia"/>
          <w:b/>
          <w:bCs/>
          <w:color w:val="262600"/>
        </w:rPr>
        <w:t>智慧农业</w:t>
      </w:r>
      <w:r>
        <w:rPr>
          <w:b/>
          <w:bCs/>
          <w:color w:val="262600"/>
        </w:rPr>
        <w:t xml:space="preserve">           </w:t>
      </w:r>
      <w:r>
        <w:rPr>
          <w:rFonts w:hint="eastAsia"/>
          <w:b/>
          <w:bCs/>
          <w:color w:val="262600"/>
        </w:rPr>
        <w:t>学时数：</w:t>
      </w:r>
      <w:r>
        <w:rPr>
          <w:b/>
          <w:bCs/>
          <w:color w:val="262600"/>
        </w:rPr>
        <w:t>2</w:t>
      </w:r>
    </w:p>
    <w:p>
      <w:pPr>
        <w:spacing w:line="360" w:lineRule="auto"/>
        <w:rPr>
          <w:color w:val="262600"/>
        </w:rPr>
      </w:pPr>
      <w:r>
        <w:rPr>
          <w:rFonts w:hint="eastAsia"/>
          <w:b/>
          <w:bCs/>
        </w:rPr>
        <w:t>教学目标</w:t>
      </w:r>
      <w:r>
        <w:rPr>
          <w:rFonts w:hint="eastAsia"/>
          <w:color w:val="262600"/>
        </w:rPr>
        <w:t>：</w:t>
      </w:r>
    </w:p>
    <w:p>
      <w:pPr>
        <w:tabs>
          <w:tab w:val="left" w:pos="4770"/>
        </w:tabs>
        <w:spacing w:line="360" w:lineRule="auto"/>
        <w:rPr>
          <w:color w:val="262600"/>
        </w:rPr>
      </w:pPr>
      <w:r>
        <w:rPr>
          <w:color w:val="262600"/>
        </w:rPr>
        <w:t>1.</w:t>
      </w:r>
      <w:r>
        <w:rPr>
          <w:rFonts w:hint="eastAsia"/>
          <w:color w:val="262600"/>
        </w:rPr>
        <w:t>掌握智慧农业的基本内涵与特征、建设内容和发展的基本路径；</w:t>
      </w:r>
    </w:p>
    <w:p>
      <w:pPr>
        <w:tabs>
          <w:tab w:val="left" w:pos="4770"/>
        </w:tabs>
        <w:spacing w:line="360" w:lineRule="auto"/>
        <w:rPr>
          <w:color w:val="262600"/>
        </w:rPr>
      </w:pPr>
      <w:r>
        <w:rPr>
          <w:color w:val="262600"/>
        </w:rPr>
        <w:t>2.</w:t>
      </w:r>
      <w:r>
        <w:rPr>
          <w:rFonts w:hint="eastAsia"/>
          <w:color w:val="262600"/>
        </w:rPr>
        <w:t>了解智慧农业的误区与壁垒；</w:t>
      </w:r>
    </w:p>
    <w:p>
      <w:pPr>
        <w:tabs>
          <w:tab w:val="left" w:pos="4770"/>
        </w:tabs>
        <w:spacing w:line="360" w:lineRule="auto"/>
        <w:rPr>
          <w:color w:val="262600"/>
        </w:rPr>
      </w:pPr>
      <w:r>
        <w:rPr>
          <w:color w:val="262600"/>
        </w:rPr>
        <w:t>3.</w:t>
      </w:r>
      <w:r>
        <w:rPr>
          <w:rFonts w:hint="eastAsia"/>
          <w:color w:val="262600"/>
        </w:rPr>
        <w:t>了解互联网</w:t>
      </w:r>
      <w:r>
        <w:rPr>
          <w:color w:val="262600"/>
        </w:rPr>
        <w:t>+</w:t>
      </w:r>
      <w:r>
        <w:rPr>
          <w:rFonts w:hint="eastAsia"/>
          <w:color w:val="262600"/>
        </w:rPr>
        <w:t>农业的概念和必然性；</w:t>
      </w:r>
    </w:p>
    <w:p>
      <w:pPr>
        <w:tabs>
          <w:tab w:val="left" w:pos="4770"/>
        </w:tabs>
        <w:spacing w:line="360" w:lineRule="auto"/>
        <w:rPr>
          <w:color w:val="262600"/>
        </w:rPr>
      </w:pPr>
      <w:r>
        <w:rPr>
          <w:color w:val="262600"/>
        </w:rPr>
        <w:t>4.</w:t>
      </w:r>
      <w:r>
        <w:rPr>
          <w:rFonts w:hint="eastAsia"/>
          <w:color w:val="262600"/>
        </w:rPr>
        <w:t>熟悉智慧农业的建议依据和必要性。</w:t>
      </w:r>
    </w:p>
    <w:p>
      <w:pPr>
        <w:tabs>
          <w:tab w:val="left" w:pos="4770"/>
        </w:tabs>
        <w:spacing w:line="360" w:lineRule="auto"/>
        <w:rPr>
          <w:color w:val="262600"/>
        </w:rPr>
      </w:pPr>
      <w:r>
        <w:rPr>
          <w:rFonts w:hint="eastAsia"/>
          <w:b/>
          <w:bCs/>
        </w:rPr>
        <w:t>教学重点和难点</w:t>
      </w:r>
      <w:r>
        <w:rPr>
          <w:color w:val="262600"/>
        </w:rPr>
        <w:t xml:space="preserve">: </w:t>
      </w:r>
    </w:p>
    <w:p>
      <w:pPr>
        <w:spacing w:line="360" w:lineRule="auto"/>
        <w:rPr>
          <w:color w:val="262600"/>
        </w:rPr>
      </w:pPr>
      <w:r>
        <w:rPr>
          <w:rFonts w:hint="eastAsia"/>
          <w:color w:val="262600"/>
        </w:rPr>
        <w:t>掌握智慧农业的基本内涵与特征、建设内容和发展的基本路径；熟悉智慧农业的建议依据和必要性，存在问题和发展方向。</w:t>
      </w:r>
    </w:p>
    <w:p>
      <w:pPr>
        <w:spacing w:line="360" w:lineRule="auto"/>
        <w:rPr>
          <w:color w:val="262600"/>
        </w:rPr>
      </w:pPr>
      <w:r>
        <w:rPr>
          <w:rFonts w:hint="eastAsia"/>
          <w:b/>
          <w:bCs/>
        </w:rPr>
        <w:t>主要教学内容及要求</w:t>
      </w:r>
      <w:r>
        <w:rPr>
          <w:rFonts w:hint="eastAsia"/>
          <w:color w:val="262600"/>
        </w:rPr>
        <w:t>：</w:t>
      </w:r>
    </w:p>
    <w:p>
      <w:pPr>
        <w:spacing w:line="360" w:lineRule="auto"/>
        <w:rPr>
          <w:b/>
          <w:color w:val="262600"/>
        </w:rPr>
      </w:pPr>
      <w:r>
        <w:rPr>
          <w:rFonts w:hint="eastAsia"/>
          <w:color w:val="262600"/>
        </w:rPr>
        <w:t>智慧农业的基本内涵与特征、建设内容和发展的基本路径；我国智慧农业的建议依据和必要性，存在问题和发展方向。</w:t>
      </w:r>
    </w:p>
    <w:p>
      <w:pPr>
        <w:spacing w:line="360" w:lineRule="auto"/>
        <w:rPr>
          <w:b/>
          <w:color w:val="262600"/>
        </w:rPr>
      </w:pPr>
      <w:r>
        <w:rPr>
          <w:rFonts w:hint="eastAsia"/>
          <w:b/>
          <w:color w:val="262600"/>
        </w:rPr>
        <w:t>第十章</w:t>
      </w:r>
      <w:r>
        <w:rPr>
          <w:b/>
          <w:color w:val="262600"/>
        </w:rPr>
        <w:t xml:space="preserve"> </w:t>
      </w:r>
      <w:r>
        <w:rPr>
          <w:rFonts w:hint="eastAsia"/>
          <w:b/>
          <w:color w:val="262600"/>
        </w:rPr>
        <w:t>智慧农业</w:t>
      </w:r>
    </w:p>
    <w:p>
      <w:pPr>
        <w:spacing w:line="360" w:lineRule="auto"/>
        <w:rPr>
          <w:color w:val="262600"/>
        </w:rPr>
      </w:pPr>
      <w:r>
        <w:rPr>
          <w:rFonts w:hint="eastAsia"/>
          <w:color w:val="262600"/>
        </w:rPr>
        <w:t>一、农业发展形态</w:t>
      </w:r>
    </w:p>
    <w:p>
      <w:pPr>
        <w:spacing w:line="360" w:lineRule="auto"/>
        <w:rPr>
          <w:color w:val="262600"/>
        </w:rPr>
      </w:pPr>
      <w:r>
        <w:rPr>
          <w:rFonts w:hint="eastAsia"/>
          <w:color w:val="262600"/>
        </w:rPr>
        <w:t>二、国外智慧农业发展现状</w:t>
      </w:r>
    </w:p>
    <w:p>
      <w:pPr>
        <w:spacing w:line="360" w:lineRule="auto"/>
        <w:rPr>
          <w:color w:val="262600"/>
        </w:rPr>
      </w:pPr>
      <w:r>
        <w:rPr>
          <w:rFonts w:hint="eastAsia"/>
          <w:color w:val="262600"/>
        </w:rPr>
        <w:t>三、智慧农业建设依据</w:t>
      </w:r>
    </w:p>
    <w:p>
      <w:pPr>
        <w:spacing w:line="360" w:lineRule="auto"/>
        <w:rPr>
          <w:color w:val="262600"/>
        </w:rPr>
      </w:pPr>
      <w:r>
        <w:rPr>
          <w:rFonts w:hint="eastAsia"/>
          <w:color w:val="262600"/>
        </w:rPr>
        <w:t>四、智慧农业概念和发展现状</w:t>
      </w:r>
    </w:p>
    <w:p>
      <w:pPr>
        <w:spacing w:line="360" w:lineRule="auto"/>
        <w:rPr>
          <w:color w:val="262600"/>
        </w:rPr>
      </w:pPr>
      <w:r>
        <w:rPr>
          <w:color w:val="262600"/>
        </w:rPr>
        <w:t>1.</w:t>
      </w:r>
      <w:r>
        <w:rPr>
          <w:rFonts w:hint="eastAsia"/>
          <w:color w:val="262600"/>
        </w:rPr>
        <w:t>互联网</w:t>
      </w:r>
      <w:r>
        <w:rPr>
          <w:color w:val="262600"/>
        </w:rPr>
        <w:t>+</w:t>
      </w:r>
      <w:r>
        <w:rPr>
          <w:rFonts w:hint="eastAsia"/>
          <w:color w:val="262600"/>
        </w:rPr>
        <w:t>农业的概念和必然性</w:t>
      </w:r>
    </w:p>
    <w:p>
      <w:pPr>
        <w:spacing w:line="360" w:lineRule="auto"/>
        <w:rPr>
          <w:color w:val="262600"/>
        </w:rPr>
      </w:pPr>
      <w:r>
        <w:rPr>
          <w:color w:val="262600"/>
        </w:rPr>
        <w:t>2.</w:t>
      </w:r>
      <w:r>
        <w:rPr>
          <w:rFonts w:hint="eastAsia"/>
          <w:color w:val="262600"/>
        </w:rPr>
        <w:t>智慧农业与大数据结合</w:t>
      </w:r>
    </w:p>
    <w:p>
      <w:pPr>
        <w:spacing w:line="360" w:lineRule="auto"/>
        <w:rPr>
          <w:color w:val="262600"/>
        </w:rPr>
      </w:pPr>
      <w:r>
        <w:rPr>
          <w:color w:val="262600"/>
        </w:rPr>
        <w:t>3.</w:t>
      </w:r>
      <w:r>
        <w:rPr>
          <w:rFonts w:hint="eastAsia"/>
          <w:color w:val="262600"/>
        </w:rPr>
        <w:t>智慧农业建设的目标、思路和建设内容和基本路径</w:t>
      </w:r>
    </w:p>
    <w:p>
      <w:pPr>
        <w:spacing w:line="360" w:lineRule="auto"/>
        <w:rPr>
          <w:color w:val="262600"/>
        </w:rPr>
      </w:pPr>
      <w:r>
        <w:rPr>
          <w:color w:val="262600"/>
        </w:rPr>
        <w:t>4.</w:t>
      </w:r>
      <w:r>
        <w:rPr>
          <w:rFonts w:hint="eastAsia"/>
          <w:color w:val="262600"/>
        </w:rPr>
        <w:t>智慧农业案例分析</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本章为重点课程，从智慧农业的基本内涵与特征、建设内容和发展的基本路径，研究现状和发展前景及经典案例等方面，通过课堂讲解，视频资料分享，课下查阅、课上分组讨论的讲授体系，让学生们系统全面的掌握本章内容。</w:t>
      </w:r>
    </w:p>
    <w:p>
      <w:pPr>
        <w:spacing w:before="156" w:beforeLines="50" w:after="156" w:afterLines="50" w:line="360" w:lineRule="auto"/>
        <w:ind w:right="420"/>
        <w:jc w:val="right"/>
        <w:rPr>
          <w:b/>
          <w:bCs/>
          <w:color w:val="262600"/>
        </w:rPr>
      </w:pPr>
      <w:r>
        <w:rPr>
          <w:rFonts w:hint="eastAsia"/>
          <w:b/>
          <w:bCs/>
          <w:color w:val="262600"/>
        </w:rPr>
        <w:t>第十一章</w:t>
      </w:r>
      <w:r>
        <w:rPr>
          <w:b/>
          <w:bCs/>
          <w:color w:val="262600"/>
        </w:rPr>
        <w:t xml:space="preserve"> </w:t>
      </w:r>
      <w:r>
        <w:rPr>
          <w:rFonts w:hint="eastAsia"/>
          <w:b/>
          <w:bCs/>
          <w:color w:val="262600"/>
        </w:rPr>
        <w:t>农业推广信息服务</w:t>
      </w:r>
      <w:r>
        <w:rPr>
          <w:b/>
          <w:bCs/>
          <w:color w:val="262600"/>
        </w:rPr>
        <w:t xml:space="preserve">           </w:t>
      </w:r>
      <w:r>
        <w:rPr>
          <w:rFonts w:hint="eastAsia"/>
          <w:b/>
          <w:bCs/>
          <w:color w:val="262600"/>
        </w:rPr>
        <w:t>学时数：</w:t>
      </w:r>
      <w:r>
        <w:rPr>
          <w:b/>
          <w:bCs/>
          <w:color w:val="262600"/>
        </w:rPr>
        <w:t>2</w:t>
      </w:r>
    </w:p>
    <w:p>
      <w:pPr>
        <w:spacing w:line="360" w:lineRule="auto"/>
        <w:rPr>
          <w:color w:val="262600"/>
        </w:rPr>
      </w:pPr>
      <w:r>
        <w:rPr>
          <w:rFonts w:hint="eastAsia"/>
          <w:b/>
          <w:bCs/>
        </w:rPr>
        <w:t>教学目标</w:t>
      </w:r>
      <w:r>
        <w:rPr>
          <w:rFonts w:hint="eastAsia"/>
          <w:color w:val="262600"/>
        </w:rPr>
        <w:t>：</w:t>
      </w:r>
    </w:p>
    <w:p>
      <w:pPr>
        <w:tabs>
          <w:tab w:val="left" w:pos="4770"/>
        </w:tabs>
        <w:spacing w:line="360" w:lineRule="auto"/>
        <w:rPr>
          <w:color w:val="262600"/>
        </w:rPr>
      </w:pPr>
      <w:r>
        <w:rPr>
          <w:color w:val="262600"/>
        </w:rPr>
        <w:t>1.</w:t>
      </w:r>
      <w:r>
        <w:rPr>
          <w:rFonts w:hint="eastAsia"/>
          <w:color w:val="262600"/>
        </w:rPr>
        <w:t>掌握农业信息和农业信息化的含义、农业推广信息系统的相关概念；</w:t>
      </w:r>
    </w:p>
    <w:p>
      <w:pPr>
        <w:tabs>
          <w:tab w:val="left" w:pos="4770"/>
        </w:tabs>
        <w:spacing w:line="360" w:lineRule="auto"/>
        <w:rPr>
          <w:color w:val="262600"/>
        </w:rPr>
      </w:pPr>
      <w:r>
        <w:rPr>
          <w:color w:val="262600"/>
        </w:rPr>
        <w:t>2.</w:t>
      </w:r>
      <w:r>
        <w:rPr>
          <w:rFonts w:hint="eastAsia"/>
          <w:color w:val="262600"/>
        </w:rPr>
        <w:t>了解农业信息的种类和内容、农业信息的来源与特性、农业信息化和信息农业；</w:t>
      </w:r>
    </w:p>
    <w:p>
      <w:pPr>
        <w:tabs>
          <w:tab w:val="left" w:pos="4770"/>
        </w:tabs>
        <w:spacing w:line="360" w:lineRule="auto"/>
        <w:rPr>
          <w:color w:val="262600"/>
        </w:rPr>
      </w:pPr>
      <w:r>
        <w:rPr>
          <w:color w:val="262600"/>
        </w:rPr>
        <w:t>3.</w:t>
      </w:r>
      <w:r>
        <w:rPr>
          <w:rFonts w:hint="eastAsia"/>
          <w:color w:val="262600"/>
        </w:rPr>
        <w:t>掌握农业推广信息系统的利用途径、农业推广信息系统的应用技术</w:t>
      </w:r>
    </w:p>
    <w:p>
      <w:pPr>
        <w:tabs>
          <w:tab w:val="left" w:pos="4770"/>
        </w:tabs>
        <w:spacing w:line="360" w:lineRule="auto"/>
        <w:rPr>
          <w:color w:val="262600"/>
        </w:rPr>
      </w:pPr>
      <w:r>
        <w:rPr>
          <w:color w:val="262600"/>
        </w:rPr>
        <w:t>4.</w:t>
      </w:r>
      <w:r>
        <w:rPr>
          <w:rFonts w:hint="eastAsia"/>
          <w:color w:val="262600"/>
        </w:rPr>
        <w:t>探讨提高农业推广信息服务质量的基本途径</w:t>
      </w:r>
    </w:p>
    <w:p>
      <w:pPr>
        <w:tabs>
          <w:tab w:val="left" w:pos="4770"/>
        </w:tabs>
        <w:spacing w:line="360" w:lineRule="auto"/>
        <w:rPr>
          <w:color w:val="262600"/>
        </w:rPr>
      </w:pPr>
      <w:r>
        <w:rPr>
          <w:color w:val="262600"/>
        </w:rPr>
        <w:t>5.</w:t>
      </w:r>
      <w:r>
        <w:rPr>
          <w:rFonts w:hint="eastAsia"/>
          <w:color w:val="262600"/>
        </w:rPr>
        <w:t>掌握提高促进农业推广信息服务的理论知识和实践技能。</w:t>
      </w:r>
    </w:p>
    <w:p>
      <w:pPr>
        <w:tabs>
          <w:tab w:val="left" w:pos="4770"/>
        </w:tabs>
        <w:spacing w:line="360" w:lineRule="auto"/>
        <w:rPr>
          <w:color w:val="262600"/>
        </w:rPr>
      </w:pPr>
      <w:r>
        <w:rPr>
          <w:rFonts w:hint="eastAsia"/>
          <w:b/>
          <w:bCs/>
        </w:rPr>
        <w:t>教学重点和难点</w:t>
      </w:r>
      <w:r>
        <w:rPr>
          <w:color w:val="262600"/>
        </w:rPr>
        <w:t xml:space="preserve">: </w:t>
      </w:r>
    </w:p>
    <w:p>
      <w:pPr>
        <w:spacing w:line="360" w:lineRule="auto"/>
        <w:rPr>
          <w:color w:val="262600"/>
        </w:rPr>
      </w:pPr>
      <w:r>
        <w:rPr>
          <w:rFonts w:hint="eastAsia"/>
          <w:color w:val="262600"/>
        </w:rPr>
        <w:t>掌握农业信息和农业信息化的含义、农业推广信息系统的相关概念；掌握农业推广信息系统的利用途径、农业推广信息系统的应用技术。</w:t>
      </w:r>
    </w:p>
    <w:p>
      <w:pPr>
        <w:spacing w:line="360" w:lineRule="auto"/>
        <w:rPr>
          <w:color w:val="262600"/>
        </w:rPr>
      </w:pPr>
      <w:r>
        <w:rPr>
          <w:rFonts w:hint="eastAsia"/>
          <w:b/>
          <w:bCs/>
        </w:rPr>
        <w:t>主要教学内容及要求</w:t>
      </w:r>
      <w:r>
        <w:rPr>
          <w:rFonts w:hint="eastAsia"/>
          <w:color w:val="262600"/>
        </w:rPr>
        <w:t>：</w:t>
      </w:r>
    </w:p>
    <w:p>
      <w:pPr>
        <w:spacing w:line="360" w:lineRule="auto"/>
        <w:rPr>
          <w:b/>
          <w:color w:val="262600"/>
        </w:rPr>
      </w:pPr>
      <w:r>
        <w:rPr>
          <w:rFonts w:hint="eastAsia"/>
          <w:color w:val="262600"/>
        </w:rPr>
        <w:t>农业推广信息化、农业信息化、农业信息的基本概念、系统及应用技术。</w:t>
      </w:r>
    </w:p>
    <w:p>
      <w:pPr>
        <w:spacing w:line="360" w:lineRule="auto"/>
        <w:rPr>
          <w:b/>
          <w:color w:val="262600"/>
        </w:rPr>
      </w:pPr>
      <w:r>
        <w:rPr>
          <w:rFonts w:hint="eastAsia"/>
          <w:b/>
          <w:color w:val="262600"/>
        </w:rPr>
        <w:t>第十一章</w:t>
      </w:r>
      <w:r>
        <w:rPr>
          <w:b/>
          <w:color w:val="262600"/>
        </w:rPr>
        <w:t xml:space="preserve"> </w:t>
      </w:r>
      <w:r>
        <w:rPr>
          <w:rFonts w:hint="eastAsia"/>
          <w:b/>
          <w:color w:val="262600"/>
        </w:rPr>
        <w:t>农业推广信息服务</w:t>
      </w:r>
    </w:p>
    <w:p>
      <w:pPr>
        <w:spacing w:line="360" w:lineRule="auto"/>
        <w:rPr>
          <w:color w:val="262600"/>
        </w:rPr>
      </w:pPr>
      <w:r>
        <w:rPr>
          <w:rFonts w:hint="eastAsia"/>
          <w:color w:val="262600"/>
        </w:rPr>
        <w:t>一、农业推广信息概述</w:t>
      </w:r>
    </w:p>
    <w:p>
      <w:pPr>
        <w:spacing w:line="360" w:lineRule="auto"/>
        <w:rPr>
          <w:color w:val="262600"/>
        </w:rPr>
      </w:pPr>
      <w:r>
        <w:rPr>
          <w:rFonts w:hint="eastAsia"/>
          <w:color w:val="262600"/>
        </w:rPr>
        <w:t>二、农业信息化和信息农业</w:t>
      </w:r>
    </w:p>
    <w:p>
      <w:pPr>
        <w:spacing w:line="360" w:lineRule="auto"/>
        <w:rPr>
          <w:color w:val="262600"/>
        </w:rPr>
      </w:pPr>
      <w:r>
        <w:rPr>
          <w:rFonts w:hint="eastAsia"/>
          <w:color w:val="262600"/>
        </w:rPr>
        <w:t>三、农业推广信息系统</w:t>
      </w:r>
    </w:p>
    <w:p>
      <w:pPr>
        <w:spacing w:line="360" w:lineRule="auto"/>
        <w:rPr>
          <w:color w:val="262600"/>
        </w:rPr>
      </w:pPr>
      <w:r>
        <w:rPr>
          <w:rFonts w:hint="eastAsia"/>
          <w:color w:val="262600"/>
        </w:rPr>
        <w:t>四、农业推广信息服务</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本章从农业推广信息概述、农业信息化和信息农业内容、农业推广信息系统、农业推广服务等方面，通过课堂讲解，视频资料分享，课下查阅、课上分组讨论的讲授体系，让学生们系统全面的掌握本章内容。</w:t>
      </w:r>
    </w:p>
    <w:p>
      <w:pPr>
        <w:spacing w:before="156" w:beforeLines="50" w:after="156" w:afterLines="50" w:line="360" w:lineRule="auto"/>
        <w:ind w:right="420"/>
        <w:jc w:val="right"/>
        <w:rPr>
          <w:b/>
          <w:bCs/>
          <w:color w:val="262600"/>
        </w:rPr>
      </w:pPr>
      <w:r>
        <w:rPr>
          <w:rFonts w:hint="eastAsia"/>
          <w:b/>
          <w:bCs/>
          <w:color w:val="262600"/>
        </w:rPr>
        <w:t>第十二章</w:t>
      </w:r>
      <w:r>
        <w:rPr>
          <w:b/>
          <w:bCs/>
          <w:color w:val="262600"/>
        </w:rPr>
        <w:t xml:space="preserve"> </w:t>
      </w:r>
      <w:r>
        <w:rPr>
          <w:rFonts w:hint="eastAsia"/>
          <w:b/>
          <w:bCs/>
          <w:color w:val="262600"/>
        </w:rPr>
        <w:t>农业经营与管理信息化</w:t>
      </w:r>
      <w:r>
        <w:rPr>
          <w:b/>
          <w:bCs/>
          <w:color w:val="262600"/>
        </w:rPr>
        <w:t xml:space="preserve">            </w:t>
      </w:r>
      <w:r>
        <w:rPr>
          <w:rFonts w:hint="eastAsia"/>
          <w:b/>
          <w:bCs/>
          <w:color w:val="262600"/>
        </w:rPr>
        <w:t>学时数：</w:t>
      </w:r>
      <w:r>
        <w:rPr>
          <w:b/>
          <w:bCs/>
          <w:color w:val="262600"/>
        </w:rPr>
        <w:t>2</w:t>
      </w:r>
    </w:p>
    <w:p>
      <w:pPr>
        <w:spacing w:line="360" w:lineRule="auto"/>
        <w:rPr>
          <w:color w:val="262600"/>
        </w:rPr>
      </w:pPr>
      <w:r>
        <w:rPr>
          <w:rFonts w:hint="eastAsia"/>
          <w:b/>
          <w:bCs/>
        </w:rPr>
        <w:t>教学目标</w:t>
      </w:r>
      <w:r>
        <w:rPr>
          <w:rFonts w:hint="eastAsia"/>
          <w:color w:val="262600"/>
        </w:rPr>
        <w:t>：</w:t>
      </w:r>
    </w:p>
    <w:p>
      <w:pPr>
        <w:tabs>
          <w:tab w:val="left" w:pos="4770"/>
        </w:tabs>
        <w:spacing w:line="360" w:lineRule="auto"/>
        <w:rPr>
          <w:color w:val="262600"/>
        </w:rPr>
      </w:pPr>
      <w:r>
        <w:rPr>
          <w:color w:val="262600"/>
        </w:rPr>
        <w:t>1.</w:t>
      </w:r>
      <w:r>
        <w:rPr>
          <w:rFonts w:hint="eastAsia"/>
          <w:color w:val="262600"/>
        </w:rPr>
        <w:t>掌握农业经营、管理信息化的概念和提升水平的相关措施；</w:t>
      </w:r>
    </w:p>
    <w:p>
      <w:pPr>
        <w:tabs>
          <w:tab w:val="left" w:pos="4770"/>
        </w:tabs>
        <w:spacing w:line="360" w:lineRule="auto"/>
        <w:rPr>
          <w:color w:val="262600"/>
        </w:rPr>
      </w:pPr>
      <w:r>
        <w:rPr>
          <w:color w:val="262600"/>
        </w:rPr>
        <w:t>2.</w:t>
      </w:r>
      <w:r>
        <w:rPr>
          <w:rFonts w:hint="eastAsia"/>
          <w:color w:val="262600"/>
        </w:rPr>
        <w:t>了解电子商务在促进农业经营信息化中的作用；</w:t>
      </w:r>
    </w:p>
    <w:p>
      <w:pPr>
        <w:tabs>
          <w:tab w:val="left" w:pos="4770"/>
        </w:tabs>
        <w:spacing w:line="360" w:lineRule="auto"/>
        <w:rPr>
          <w:color w:val="262600"/>
        </w:rPr>
      </w:pPr>
      <w:r>
        <w:rPr>
          <w:color w:val="262600"/>
        </w:rPr>
        <w:t>3.</w:t>
      </w:r>
      <w:r>
        <w:rPr>
          <w:rFonts w:hint="eastAsia"/>
          <w:color w:val="262600"/>
        </w:rPr>
        <w:t>熟悉农业农村政务管理信息化、社会管理信息化的发展现状和趋势。</w:t>
      </w:r>
    </w:p>
    <w:p>
      <w:pPr>
        <w:tabs>
          <w:tab w:val="left" w:pos="4770"/>
        </w:tabs>
        <w:spacing w:line="360" w:lineRule="auto"/>
        <w:rPr>
          <w:color w:val="262600"/>
        </w:rPr>
      </w:pPr>
      <w:r>
        <w:rPr>
          <w:rFonts w:hint="eastAsia"/>
          <w:b/>
          <w:bCs/>
        </w:rPr>
        <w:t>教学重点和难点</w:t>
      </w:r>
      <w:r>
        <w:rPr>
          <w:color w:val="262600"/>
        </w:rPr>
        <w:t xml:space="preserve">: </w:t>
      </w:r>
    </w:p>
    <w:p>
      <w:pPr>
        <w:spacing w:line="360" w:lineRule="auto"/>
        <w:rPr>
          <w:color w:val="262600"/>
        </w:rPr>
      </w:pPr>
      <w:r>
        <w:rPr>
          <w:rFonts w:hint="eastAsia"/>
          <w:color w:val="262600"/>
        </w:rPr>
        <w:t>掌握农业经营、管理信息化的概念和提升水平的相关措施；掌握农业农村政务管理信息化、社会管理信息化的发展现状和趋势掌握农业信息和农业信息化的含义、农业推广信息系统的相关概念。</w:t>
      </w:r>
    </w:p>
    <w:p>
      <w:pPr>
        <w:spacing w:line="360" w:lineRule="auto"/>
        <w:rPr>
          <w:color w:val="262600"/>
        </w:rPr>
      </w:pPr>
      <w:r>
        <w:rPr>
          <w:rFonts w:hint="eastAsia"/>
          <w:b/>
          <w:bCs/>
        </w:rPr>
        <w:t>主要教学内容及要求</w:t>
      </w:r>
      <w:r>
        <w:rPr>
          <w:rFonts w:hint="eastAsia"/>
          <w:color w:val="262600"/>
        </w:rPr>
        <w:t>：</w:t>
      </w:r>
    </w:p>
    <w:p>
      <w:pPr>
        <w:spacing w:line="360" w:lineRule="auto"/>
        <w:rPr>
          <w:b/>
          <w:color w:val="262600"/>
        </w:rPr>
      </w:pPr>
      <w:r>
        <w:rPr>
          <w:rFonts w:hint="eastAsia"/>
          <w:b/>
          <w:color w:val="262600"/>
        </w:rPr>
        <w:t>第十二章</w:t>
      </w:r>
      <w:r>
        <w:rPr>
          <w:b/>
          <w:color w:val="262600"/>
        </w:rPr>
        <w:t xml:space="preserve"> </w:t>
      </w:r>
      <w:r>
        <w:rPr>
          <w:rFonts w:hint="eastAsia"/>
          <w:b/>
          <w:color w:val="262600"/>
        </w:rPr>
        <w:t>农业经营与管理信息化</w:t>
      </w:r>
    </w:p>
    <w:p>
      <w:pPr>
        <w:spacing w:line="360" w:lineRule="auto"/>
        <w:rPr>
          <w:color w:val="262600"/>
        </w:rPr>
      </w:pPr>
      <w:r>
        <w:rPr>
          <w:rFonts w:hint="eastAsia"/>
          <w:color w:val="262600"/>
        </w:rPr>
        <w:t>（一）农业经营、管理信息化的概念和提升水平的相关措施</w:t>
      </w:r>
    </w:p>
    <w:p>
      <w:pPr>
        <w:spacing w:line="360" w:lineRule="auto"/>
        <w:rPr>
          <w:color w:val="262600"/>
        </w:rPr>
      </w:pPr>
      <w:r>
        <w:rPr>
          <w:rFonts w:hint="eastAsia"/>
          <w:color w:val="262600"/>
        </w:rPr>
        <w:t>（二）电子商务的概念及农业经营信息化的作用</w:t>
      </w:r>
    </w:p>
    <w:p>
      <w:pPr>
        <w:spacing w:line="360" w:lineRule="auto"/>
        <w:rPr>
          <w:color w:val="262600"/>
        </w:rPr>
      </w:pPr>
      <w:r>
        <w:rPr>
          <w:rFonts w:hint="eastAsia"/>
          <w:color w:val="262600"/>
        </w:rPr>
        <w:t>（三）农业农村政务管理信息化、社会管理信息化的发展现状、趋势和政策</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本章从农业经营与管理信息化方面，通过课堂讲解，视频资料分享，课下查阅、课上分组讨论的讲授体系，让学生们系统全面的掌握本章内容。</w:t>
      </w:r>
    </w:p>
    <w:p>
      <w:pPr>
        <w:spacing w:before="156" w:beforeLines="50" w:after="156" w:afterLines="50" w:line="360" w:lineRule="auto"/>
        <w:ind w:right="420"/>
        <w:jc w:val="right"/>
        <w:rPr>
          <w:b/>
          <w:bCs/>
          <w:color w:val="262600"/>
        </w:rPr>
      </w:pPr>
      <w:r>
        <w:rPr>
          <w:rFonts w:hint="eastAsia"/>
          <w:b/>
          <w:bCs/>
          <w:color w:val="262600"/>
        </w:rPr>
        <w:t>第十三章</w:t>
      </w:r>
      <w:r>
        <w:rPr>
          <w:b/>
          <w:bCs/>
          <w:color w:val="262600"/>
        </w:rPr>
        <w:t xml:space="preserve"> </w:t>
      </w:r>
      <w:r>
        <w:rPr>
          <w:rFonts w:hint="eastAsia"/>
          <w:b/>
          <w:bCs/>
          <w:color w:val="262600"/>
        </w:rPr>
        <w:t>农业数字化理论与案例分析</w:t>
      </w:r>
      <w:r>
        <w:rPr>
          <w:b/>
          <w:bCs/>
          <w:color w:val="262600"/>
        </w:rPr>
        <w:t xml:space="preserve">            </w:t>
      </w:r>
      <w:r>
        <w:rPr>
          <w:rFonts w:hint="eastAsia"/>
          <w:b/>
          <w:bCs/>
          <w:color w:val="262600"/>
        </w:rPr>
        <w:t>学时数：</w:t>
      </w:r>
      <w:r>
        <w:rPr>
          <w:b/>
          <w:bCs/>
          <w:color w:val="262600"/>
        </w:rPr>
        <w:t>2</w:t>
      </w:r>
    </w:p>
    <w:p>
      <w:pPr>
        <w:spacing w:line="360" w:lineRule="auto"/>
        <w:rPr>
          <w:color w:val="262600"/>
        </w:rPr>
      </w:pPr>
      <w:r>
        <w:rPr>
          <w:rFonts w:hint="eastAsia"/>
          <w:b/>
          <w:bCs/>
        </w:rPr>
        <w:t>教学目标</w:t>
      </w:r>
      <w:r>
        <w:rPr>
          <w:rFonts w:hint="eastAsia"/>
          <w:color w:val="262600"/>
        </w:rPr>
        <w:t>：</w:t>
      </w:r>
    </w:p>
    <w:p>
      <w:pPr>
        <w:tabs>
          <w:tab w:val="left" w:pos="4770"/>
        </w:tabs>
        <w:spacing w:line="360" w:lineRule="auto"/>
        <w:rPr>
          <w:color w:val="262600"/>
        </w:rPr>
      </w:pPr>
      <w:r>
        <w:rPr>
          <w:color w:val="262600"/>
        </w:rPr>
        <w:t>1.</w:t>
      </w:r>
      <w:r>
        <w:rPr>
          <w:rFonts w:hint="eastAsia"/>
          <w:color w:val="262600"/>
        </w:rPr>
        <w:t>掌握农业数字化基本内涵与特征；</w:t>
      </w:r>
    </w:p>
    <w:p>
      <w:pPr>
        <w:tabs>
          <w:tab w:val="left" w:pos="4770"/>
        </w:tabs>
        <w:spacing w:line="360" w:lineRule="auto"/>
        <w:rPr>
          <w:color w:val="262600"/>
        </w:rPr>
      </w:pPr>
      <w:r>
        <w:rPr>
          <w:color w:val="262600"/>
        </w:rPr>
        <w:t>2.</w:t>
      </w:r>
      <w:r>
        <w:rPr>
          <w:rFonts w:hint="eastAsia"/>
          <w:color w:val="262600"/>
        </w:rPr>
        <w:t>了解国内外农业数字化现状、我国农业数字化的政策、存在问题和发展前景；</w:t>
      </w:r>
    </w:p>
    <w:p>
      <w:pPr>
        <w:tabs>
          <w:tab w:val="left" w:pos="4770"/>
        </w:tabs>
        <w:spacing w:line="360" w:lineRule="auto"/>
        <w:rPr>
          <w:color w:val="262600"/>
        </w:rPr>
      </w:pPr>
      <w:r>
        <w:rPr>
          <w:color w:val="262600"/>
        </w:rPr>
        <w:t>3.</w:t>
      </w:r>
      <w:r>
        <w:rPr>
          <w:rFonts w:hint="eastAsia"/>
          <w:color w:val="262600"/>
        </w:rPr>
        <w:t>熟悉农业数字化的具体应用和案例分析。</w:t>
      </w:r>
    </w:p>
    <w:p>
      <w:pPr>
        <w:tabs>
          <w:tab w:val="left" w:pos="4770"/>
        </w:tabs>
        <w:spacing w:line="360" w:lineRule="auto"/>
        <w:rPr>
          <w:color w:val="262600"/>
        </w:rPr>
      </w:pPr>
      <w:r>
        <w:rPr>
          <w:rFonts w:hint="eastAsia"/>
          <w:b/>
          <w:bCs/>
        </w:rPr>
        <w:t>教学重点和难点</w:t>
      </w:r>
      <w:r>
        <w:rPr>
          <w:color w:val="262600"/>
        </w:rPr>
        <w:t xml:space="preserve">: </w:t>
      </w:r>
    </w:p>
    <w:p>
      <w:pPr>
        <w:spacing w:line="360" w:lineRule="auto"/>
        <w:rPr>
          <w:color w:val="262600"/>
        </w:rPr>
      </w:pPr>
      <w:r>
        <w:rPr>
          <w:rFonts w:hint="eastAsia"/>
          <w:color w:val="262600"/>
        </w:rPr>
        <w:t>掌握农业数字化基本内涵与特征概念和特征和具体应用技案例分析；了解国内外农业数字化现状、我国农业数字化的政策、存在问题和发展前景。</w:t>
      </w:r>
    </w:p>
    <w:p>
      <w:pPr>
        <w:spacing w:line="360" w:lineRule="auto"/>
        <w:rPr>
          <w:color w:val="262600"/>
        </w:rPr>
      </w:pPr>
      <w:r>
        <w:rPr>
          <w:rFonts w:hint="eastAsia"/>
          <w:b/>
          <w:bCs/>
        </w:rPr>
        <w:t>主要教学内容及要求</w:t>
      </w:r>
      <w:r>
        <w:rPr>
          <w:rFonts w:hint="eastAsia"/>
          <w:color w:val="262600"/>
        </w:rPr>
        <w:t>：</w:t>
      </w:r>
    </w:p>
    <w:p>
      <w:pPr>
        <w:spacing w:line="360" w:lineRule="auto"/>
        <w:rPr>
          <w:b/>
          <w:color w:val="262600"/>
        </w:rPr>
      </w:pPr>
      <w:r>
        <w:rPr>
          <w:rFonts w:hint="eastAsia"/>
          <w:b/>
          <w:color w:val="262600"/>
        </w:rPr>
        <w:t>第十三章</w:t>
      </w:r>
      <w:r>
        <w:rPr>
          <w:b/>
          <w:color w:val="262600"/>
        </w:rPr>
        <w:t xml:space="preserve"> </w:t>
      </w:r>
      <w:r>
        <w:rPr>
          <w:rFonts w:hint="eastAsia"/>
          <w:b/>
          <w:color w:val="262600"/>
        </w:rPr>
        <w:t>农业数字化理论与案例分析</w:t>
      </w:r>
    </w:p>
    <w:p>
      <w:pPr>
        <w:spacing w:line="360" w:lineRule="auto"/>
        <w:rPr>
          <w:color w:val="262600"/>
        </w:rPr>
      </w:pPr>
      <w:r>
        <w:rPr>
          <w:rFonts w:hint="eastAsia"/>
          <w:color w:val="262600"/>
        </w:rPr>
        <w:t>一、农业数字化基本概念与特征</w:t>
      </w:r>
    </w:p>
    <w:p>
      <w:pPr>
        <w:spacing w:line="360" w:lineRule="auto"/>
        <w:rPr>
          <w:color w:val="262600"/>
        </w:rPr>
      </w:pPr>
      <w:r>
        <w:rPr>
          <w:rFonts w:hint="eastAsia"/>
          <w:color w:val="262600"/>
        </w:rPr>
        <w:t>二、国内外农业数字化现状（政策、存在问题和发展前景）</w:t>
      </w:r>
    </w:p>
    <w:p>
      <w:pPr>
        <w:spacing w:line="360" w:lineRule="auto"/>
        <w:rPr>
          <w:color w:val="262600"/>
        </w:rPr>
      </w:pPr>
      <w:r>
        <w:rPr>
          <w:rFonts w:hint="eastAsia"/>
          <w:color w:val="262600"/>
        </w:rPr>
        <w:t>三、农业数字化应用</w:t>
      </w:r>
    </w:p>
    <w:p>
      <w:pPr>
        <w:spacing w:line="360" w:lineRule="auto"/>
        <w:rPr>
          <w:color w:val="262600"/>
        </w:rPr>
      </w:pPr>
      <w:r>
        <w:rPr>
          <w:rFonts w:hint="eastAsia"/>
          <w:color w:val="262600"/>
        </w:rPr>
        <w:t>四、农业数字化经典案列分析</w:t>
      </w:r>
    </w:p>
    <w:p>
      <w:pPr>
        <w:widowControl/>
        <w:snapToGrid w:val="0"/>
        <w:spacing w:line="360" w:lineRule="auto"/>
        <w:rPr>
          <w:rFonts w:ascii="宋体" w:hAnsi="宋体"/>
          <w:szCs w:val="21"/>
        </w:rPr>
      </w:pPr>
      <w:r>
        <w:rPr>
          <w:rFonts w:hint="eastAsia" w:ascii="宋体" w:hAnsi="宋体"/>
          <w:b/>
          <w:bCs/>
          <w:szCs w:val="21"/>
        </w:rPr>
        <w:t>教学组织与实施：</w:t>
      </w:r>
      <w:r>
        <w:rPr>
          <w:rFonts w:hint="eastAsia" w:ascii="宋体" w:hAnsi="宋体"/>
          <w:szCs w:val="21"/>
        </w:rPr>
        <w:t>本章从农业数字化基本内涵与特征入手，结合国内外农业数字化具体应用和案例分析，通过课堂讲解，视频资料分享，课下查阅、课上分组讨论的讲授体系，让学生们系统全面的掌握本章内容。</w:t>
      </w:r>
    </w:p>
    <w:p>
      <w:pPr>
        <w:widowControl/>
        <w:snapToGrid w:val="0"/>
        <w:spacing w:line="360" w:lineRule="auto"/>
        <w:jc w:val="left"/>
        <w:rPr>
          <w:rFonts w:hAnsi="宋体"/>
          <w:bCs/>
          <w:kern w:val="0"/>
          <w:szCs w:val="21"/>
        </w:rPr>
      </w:pPr>
      <w:r>
        <w:rPr>
          <w:rFonts w:hint="eastAsia" w:hAnsi="宋体"/>
          <w:b/>
          <w:bCs/>
          <w:kern w:val="0"/>
          <w:szCs w:val="21"/>
        </w:rPr>
        <w:t>五、实验教学内容及学时分配（</w:t>
      </w:r>
      <w:r>
        <w:rPr>
          <w:rFonts w:hAnsi="宋体"/>
          <w:b/>
          <w:bCs/>
          <w:kern w:val="0"/>
          <w:szCs w:val="21"/>
        </w:rPr>
        <w:t>8</w:t>
      </w:r>
      <w:r>
        <w:rPr>
          <w:rFonts w:hint="eastAsia" w:hAnsi="宋体"/>
          <w:b/>
          <w:bCs/>
          <w:kern w:val="0"/>
          <w:szCs w:val="21"/>
        </w:rPr>
        <w:t>学时）</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rFonts w:ascii="宋体" w:hAnsi="宋体"/>
          <w:bCs/>
          <w:szCs w:val="21"/>
        </w:rPr>
      </w:pPr>
      <w:r>
        <w:rPr>
          <w:rFonts w:hint="eastAsia" w:ascii="宋体" w:hAnsi="宋体"/>
          <w:bCs/>
          <w:szCs w:val="21"/>
        </w:rPr>
        <w:t>实验课程主要进行日光温室的设计，首先进行方案设计、之后完成塑料大棚和日光温室的施工图绘制，综合应用所学的园艺设施装备和日光温室设计理论和方法，完成日光温室的设计，对所学理论知识进行综合性的实践应用，具有较高的挑战度。</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rPr>
          <w:rFonts w:hint="eastAsia"/>
        </w:rPr>
        <w:t>设计塑料大棚和日光温室的结构参数、结构构件和配套设施，完成塑料大棚和日光温室的设计方案，按施工图绘制基本原则和要求，根据前期已完成的设计方案，绘制塑料大棚和日光温室的施工图，指导工程施工。</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无</w:t>
      </w:r>
    </w:p>
    <w:p>
      <w:pPr>
        <w:snapToGrid w:val="0"/>
        <w:spacing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Layout w:type="autofit"/>
        <w:tblCellMar>
          <w:top w:w="0" w:type="dxa"/>
          <w:left w:w="108" w:type="dxa"/>
          <w:bottom w:w="0" w:type="dxa"/>
          <w:right w:w="108" w:type="dxa"/>
        </w:tblCellMar>
      </w:tblPr>
      <w:tblGrid>
        <w:gridCol w:w="1356"/>
        <w:gridCol w:w="2776"/>
        <w:gridCol w:w="840"/>
        <w:gridCol w:w="1017"/>
        <w:gridCol w:w="1330"/>
        <w:gridCol w:w="1203"/>
      </w:tblGrid>
      <w:tr>
        <w:tblPrEx>
          <w:tblCellMar>
            <w:top w:w="0" w:type="dxa"/>
            <w:left w:w="108" w:type="dxa"/>
            <w:bottom w:w="0" w:type="dxa"/>
            <w:right w:w="108" w:type="dxa"/>
          </w:tblCellMar>
        </w:tblPrEx>
        <w:trPr>
          <w:jc w:val="center"/>
        </w:trPr>
        <w:tc>
          <w:tcPr>
            <w:tcW w:w="135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277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84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学时</w:t>
            </w:r>
          </w:p>
        </w:tc>
        <w:tc>
          <w:tcPr>
            <w:tcW w:w="101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类型</w:t>
            </w:r>
          </w:p>
        </w:tc>
        <w:tc>
          <w:tcPr>
            <w:tcW w:w="133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实验要求</w:t>
            </w:r>
          </w:p>
        </w:tc>
        <w:tc>
          <w:tcPr>
            <w:tcW w:w="1203"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每组人数</w:t>
            </w:r>
          </w:p>
        </w:tc>
      </w:tr>
      <w:tr>
        <w:tblPrEx>
          <w:tblCellMar>
            <w:top w:w="0" w:type="dxa"/>
            <w:left w:w="108" w:type="dxa"/>
            <w:bottom w:w="0" w:type="dxa"/>
            <w:right w:w="108" w:type="dxa"/>
          </w:tblCellMar>
        </w:tblPrEx>
        <w:trPr>
          <w:jc w:val="center"/>
        </w:trPr>
        <w:tc>
          <w:tcPr>
            <w:tcW w:w="1356"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sz w:val="18"/>
                <w:szCs w:val="18"/>
              </w:rPr>
              <w:t>19011120h01</w:t>
            </w:r>
          </w:p>
        </w:tc>
        <w:tc>
          <w:tcPr>
            <w:tcW w:w="2776" w:type="dxa"/>
            <w:tcBorders>
              <w:top w:val="single" w:color="auto" w:sz="4" w:space="0"/>
              <w:left w:val="single" w:color="auto" w:sz="4" w:space="0"/>
              <w:bottom w:val="single" w:color="auto" w:sz="4" w:space="0"/>
              <w:right w:val="single" w:color="auto" w:sz="4" w:space="0"/>
            </w:tcBorders>
            <w:vAlign w:val="center"/>
          </w:tcPr>
          <w:p>
            <w:pPr>
              <w:ind w:firstLine="360" w:firstLineChars="200"/>
              <w:rPr>
                <w:sz w:val="18"/>
                <w:szCs w:val="18"/>
              </w:rPr>
            </w:pPr>
            <w:r>
              <w:rPr>
                <w:rFonts w:hint="eastAsia"/>
                <w:sz w:val="18"/>
                <w:szCs w:val="18"/>
              </w:rPr>
              <w:t>日光温室方案设计</w:t>
            </w:r>
          </w:p>
        </w:tc>
        <w:tc>
          <w:tcPr>
            <w:tcW w:w="840" w:type="dxa"/>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r>
              <w:rPr>
                <w:sz w:val="18"/>
                <w:szCs w:val="18"/>
              </w:rPr>
              <w:t>4</w:t>
            </w:r>
          </w:p>
        </w:tc>
        <w:tc>
          <w:tcPr>
            <w:tcW w:w="1017"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综合性</w:t>
            </w:r>
          </w:p>
        </w:tc>
        <w:tc>
          <w:tcPr>
            <w:tcW w:w="1330" w:type="dxa"/>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r>
              <w:rPr>
                <w:rFonts w:hint="eastAsia"/>
                <w:sz w:val="18"/>
                <w:szCs w:val="18"/>
              </w:rPr>
              <w:t>必做</w:t>
            </w:r>
          </w:p>
        </w:tc>
        <w:tc>
          <w:tcPr>
            <w:tcW w:w="1203" w:type="dxa"/>
            <w:tcBorders>
              <w:top w:val="single" w:color="auto" w:sz="4" w:space="0"/>
              <w:left w:val="single" w:color="auto" w:sz="4" w:space="0"/>
              <w:bottom w:val="single" w:color="auto" w:sz="4" w:space="0"/>
              <w:right w:val="single" w:color="auto" w:sz="4" w:space="0"/>
            </w:tcBorders>
          </w:tcPr>
          <w:p>
            <w:pPr>
              <w:ind w:firstLine="360"/>
              <w:jc w:val="center"/>
              <w:rPr>
                <w:sz w:val="18"/>
                <w:szCs w:val="18"/>
              </w:rPr>
            </w:pPr>
            <w:r>
              <w:rPr>
                <w:sz w:val="18"/>
                <w:szCs w:val="18"/>
              </w:rPr>
              <w:t>1</w:t>
            </w:r>
          </w:p>
        </w:tc>
      </w:tr>
      <w:tr>
        <w:tblPrEx>
          <w:tblCellMar>
            <w:top w:w="0" w:type="dxa"/>
            <w:left w:w="108" w:type="dxa"/>
            <w:bottom w:w="0" w:type="dxa"/>
            <w:right w:w="108" w:type="dxa"/>
          </w:tblCellMar>
        </w:tblPrEx>
        <w:trPr>
          <w:jc w:val="center"/>
        </w:trPr>
        <w:tc>
          <w:tcPr>
            <w:tcW w:w="1356" w:type="dxa"/>
            <w:tcBorders>
              <w:top w:val="single" w:color="auto" w:sz="4" w:space="0"/>
              <w:left w:val="single" w:color="auto" w:sz="4" w:space="0"/>
              <w:bottom w:val="single" w:color="auto" w:sz="4" w:space="0"/>
              <w:right w:val="single" w:color="auto" w:sz="4" w:space="0"/>
            </w:tcBorders>
            <w:vAlign w:val="center"/>
          </w:tcPr>
          <w:p>
            <w:pPr>
              <w:rPr>
                <w:sz w:val="18"/>
                <w:szCs w:val="18"/>
              </w:rPr>
            </w:pPr>
            <w:r>
              <w:rPr>
                <w:sz w:val="18"/>
                <w:szCs w:val="18"/>
              </w:rPr>
              <w:t>19011120h02</w:t>
            </w:r>
          </w:p>
        </w:tc>
        <w:tc>
          <w:tcPr>
            <w:tcW w:w="2776" w:type="dxa"/>
            <w:tcBorders>
              <w:top w:val="single" w:color="auto" w:sz="4" w:space="0"/>
              <w:left w:val="single" w:color="auto" w:sz="4" w:space="0"/>
              <w:bottom w:val="single" w:color="auto" w:sz="4" w:space="0"/>
              <w:right w:val="single" w:color="auto" w:sz="4" w:space="0"/>
            </w:tcBorders>
            <w:vAlign w:val="center"/>
          </w:tcPr>
          <w:p>
            <w:pPr>
              <w:jc w:val="center"/>
              <w:rPr>
                <w:sz w:val="18"/>
                <w:szCs w:val="18"/>
              </w:rPr>
            </w:pPr>
            <w:r>
              <w:rPr>
                <w:rFonts w:hint="eastAsia"/>
                <w:sz w:val="18"/>
                <w:szCs w:val="18"/>
              </w:rPr>
              <w:t>日光温室施工图设计</w:t>
            </w:r>
          </w:p>
        </w:tc>
        <w:tc>
          <w:tcPr>
            <w:tcW w:w="840" w:type="dxa"/>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r>
              <w:rPr>
                <w:sz w:val="18"/>
                <w:szCs w:val="18"/>
              </w:rPr>
              <w:t>4</w:t>
            </w:r>
          </w:p>
        </w:tc>
        <w:tc>
          <w:tcPr>
            <w:tcW w:w="1017" w:type="dxa"/>
            <w:tcBorders>
              <w:top w:val="single" w:color="auto" w:sz="4" w:space="0"/>
              <w:left w:val="single" w:color="auto" w:sz="4" w:space="0"/>
              <w:bottom w:val="single" w:color="auto" w:sz="4" w:space="0"/>
              <w:right w:val="single" w:color="auto" w:sz="4" w:space="0"/>
            </w:tcBorders>
            <w:vAlign w:val="center"/>
          </w:tcPr>
          <w:p>
            <w:pPr>
              <w:rPr>
                <w:sz w:val="18"/>
                <w:szCs w:val="18"/>
              </w:rPr>
            </w:pPr>
            <w:r>
              <w:rPr>
                <w:rFonts w:hint="eastAsia"/>
                <w:sz w:val="18"/>
                <w:szCs w:val="18"/>
              </w:rPr>
              <w:t>综合性</w:t>
            </w:r>
          </w:p>
        </w:tc>
        <w:tc>
          <w:tcPr>
            <w:tcW w:w="1330" w:type="dxa"/>
            <w:tcBorders>
              <w:top w:val="single" w:color="auto" w:sz="4" w:space="0"/>
              <w:left w:val="single" w:color="auto" w:sz="4" w:space="0"/>
              <w:bottom w:val="single" w:color="auto" w:sz="4" w:space="0"/>
              <w:right w:val="single" w:color="auto" w:sz="4" w:space="0"/>
            </w:tcBorders>
            <w:vAlign w:val="center"/>
          </w:tcPr>
          <w:p>
            <w:pPr>
              <w:ind w:firstLine="360"/>
              <w:jc w:val="center"/>
              <w:rPr>
                <w:sz w:val="18"/>
                <w:szCs w:val="18"/>
              </w:rPr>
            </w:pPr>
            <w:r>
              <w:rPr>
                <w:rFonts w:hint="eastAsia"/>
                <w:sz w:val="18"/>
                <w:szCs w:val="18"/>
              </w:rPr>
              <w:t>必做</w:t>
            </w:r>
          </w:p>
        </w:tc>
        <w:tc>
          <w:tcPr>
            <w:tcW w:w="1203" w:type="dxa"/>
            <w:tcBorders>
              <w:top w:val="single" w:color="auto" w:sz="4" w:space="0"/>
              <w:left w:val="single" w:color="auto" w:sz="4" w:space="0"/>
              <w:bottom w:val="single" w:color="auto" w:sz="4" w:space="0"/>
              <w:right w:val="single" w:color="auto" w:sz="4" w:space="0"/>
            </w:tcBorders>
          </w:tcPr>
          <w:p>
            <w:pPr>
              <w:ind w:firstLine="360"/>
              <w:jc w:val="center"/>
              <w:rPr>
                <w:sz w:val="18"/>
                <w:szCs w:val="18"/>
              </w:rPr>
            </w:pPr>
            <w:r>
              <w:rPr>
                <w:sz w:val="18"/>
                <w:szCs w:val="18"/>
              </w:rPr>
              <w:t>1</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szCs w:val="21"/>
        </w:rPr>
      </w:pPr>
      <w:r>
        <w:rPr>
          <w:rFonts w:hint="eastAsia" w:ascii="宋体" w:hAnsi="宋体"/>
          <w:szCs w:val="21"/>
        </w:rPr>
        <w:t>日光温室的结构参数、结构构件设计合理，配套设备完备，所选材料技术参数准确，符合实际需要，施工图图面清晰，符合施工图绘制借本原则和要求，设计内容完整。</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rPr>
          <w:b/>
          <w:sz w:val="21"/>
          <w:szCs w:val="21"/>
        </w:rPr>
      </w:pPr>
      <w:r>
        <w:rPr>
          <w:rFonts w:hint="eastAsia"/>
          <w:b/>
          <w:sz w:val="21"/>
          <w:szCs w:val="21"/>
        </w:rPr>
        <w:t>【实验一】日光温室方案设计</w:t>
      </w:r>
    </w:p>
    <w:p>
      <w:pPr>
        <w:snapToGrid w:val="0"/>
        <w:spacing w:line="360" w:lineRule="auto"/>
        <w:ind w:firstLine="422" w:firstLineChars="200"/>
      </w:pPr>
      <w:r>
        <w:rPr>
          <w:b/>
          <w:szCs w:val="21"/>
        </w:rPr>
        <w:t>1.</w:t>
      </w:r>
      <w:r>
        <w:rPr>
          <w:rFonts w:hint="eastAsia"/>
          <w:b/>
          <w:szCs w:val="21"/>
        </w:rPr>
        <w:t>实验学时：</w:t>
      </w:r>
      <w:r>
        <w:rPr>
          <w:rFonts w:hint="eastAsia" w:ascii="宋体" w:hAnsi="宋体"/>
          <w:bCs/>
        </w:rPr>
        <w:t>4学时</w:t>
      </w:r>
    </w:p>
    <w:p>
      <w:pPr>
        <w:snapToGrid w:val="0"/>
        <w:spacing w:line="360" w:lineRule="auto"/>
        <w:ind w:firstLine="422" w:firstLineChars="200"/>
      </w:pPr>
      <w:r>
        <w:rPr>
          <w:b/>
          <w:szCs w:val="21"/>
        </w:rPr>
        <w:t>2.</w:t>
      </w:r>
      <w:r>
        <w:rPr>
          <w:rFonts w:hint="eastAsia"/>
          <w:b/>
          <w:szCs w:val="21"/>
        </w:rPr>
        <w:t>实验目的：</w:t>
      </w:r>
      <w:r>
        <w:rPr>
          <w:rFonts w:hint="eastAsia"/>
          <w:bCs/>
          <w:szCs w:val="21"/>
        </w:rPr>
        <w:t>通过</w:t>
      </w:r>
      <w:r>
        <w:rPr>
          <w:rFonts w:hint="eastAsia"/>
          <w:bCs/>
        </w:rPr>
        <w:t>设</w:t>
      </w:r>
      <w:r>
        <w:rPr>
          <w:rFonts w:hint="eastAsia"/>
        </w:rPr>
        <w:t>计日光温室的方案，深入理解日光温室的设计理论和方法，为绘制日光温室施工图做准备。</w:t>
      </w:r>
    </w:p>
    <w:p>
      <w:pPr>
        <w:snapToGrid w:val="0"/>
        <w:spacing w:line="360" w:lineRule="auto"/>
        <w:ind w:firstLine="422" w:firstLineChars="200"/>
        <w:rPr>
          <w:rFonts w:ascii="宋体" w:hAnsi="宋体"/>
          <w:bCs/>
          <w:szCs w:val="21"/>
        </w:rPr>
      </w:pPr>
      <w:r>
        <w:rPr>
          <w:b/>
          <w:szCs w:val="21"/>
        </w:rPr>
        <w:t>3.</w:t>
      </w:r>
      <w:r>
        <w:rPr>
          <w:rFonts w:hint="eastAsia"/>
          <w:b/>
          <w:szCs w:val="21"/>
        </w:rPr>
        <w:t>实验内容：</w:t>
      </w:r>
      <w:r>
        <w:rPr>
          <w:rFonts w:hint="eastAsia"/>
        </w:rPr>
        <w:t>设计日光温室的结构参数、结构构件和配套设施，完成日光温室的设计方案。</w:t>
      </w:r>
    </w:p>
    <w:p>
      <w:pPr>
        <w:snapToGrid w:val="0"/>
        <w:spacing w:line="360" w:lineRule="auto"/>
        <w:ind w:firstLine="422" w:firstLineChars="200"/>
        <w:rPr>
          <w:rFonts w:ascii="宋体" w:hAnsi="宋体"/>
          <w:bCs/>
          <w:szCs w:val="21"/>
        </w:rPr>
      </w:pPr>
      <w:r>
        <w:rPr>
          <w:b/>
          <w:szCs w:val="21"/>
        </w:rPr>
        <w:t>4.</w:t>
      </w:r>
      <w:r>
        <w:rPr>
          <w:rFonts w:hint="eastAsia"/>
          <w:b/>
          <w:szCs w:val="21"/>
        </w:rPr>
        <w:t>实验要求：</w:t>
      </w:r>
      <w:r>
        <w:rPr>
          <w:rFonts w:hint="eastAsia"/>
          <w:bCs/>
          <w:szCs w:val="21"/>
        </w:rPr>
        <w:t>每位同学</w:t>
      </w:r>
      <w:r>
        <w:rPr>
          <w:rFonts w:hint="eastAsia"/>
        </w:rPr>
        <w:t>运用所</w:t>
      </w:r>
      <w:r>
        <w:rPr>
          <w:rFonts w:hint="eastAsia" w:ascii="宋体" w:hAnsi="宋体"/>
          <w:bCs/>
        </w:rPr>
        <w:t>学</w:t>
      </w:r>
      <w:r>
        <w:rPr>
          <w:rFonts w:hint="eastAsia"/>
        </w:rPr>
        <w:t>日光温室的设计理论和方法，完成日光温室的方案方案，包括确定日光温室结构参数、结构构件、配套设备，选用合适的材料，给出相应的技术参数。同学之间进行互评。</w:t>
      </w:r>
    </w:p>
    <w:p>
      <w:pPr>
        <w:snapToGrid w:val="0"/>
        <w:spacing w:line="360" w:lineRule="auto"/>
        <w:ind w:firstLine="422" w:firstLineChars="200"/>
        <w:rPr>
          <w:rFonts w:ascii="宋体" w:hAnsi="宋体"/>
          <w:bCs/>
          <w:szCs w:val="21"/>
        </w:rPr>
      </w:pPr>
      <w:r>
        <w:rPr>
          <w:b/>
          <w:szCs w:val="21"/>
        </w:rPr>
        <w:t>5.</w:t>
      </w:r>
      <w:r>
        <w:rPr>
          <w:rFonts w:hint="eastAsia"/>
          <w:b/>
          <w:szCs w:val="21"/>
        </w:rPr>
        <w:t>实验设备及器材：</w:t>
      </w:r>
      <w:r>
        <w:rPr>
          <w:rFonts w:hint="eastAsia"/>
          <w:bCs/>
          <w:szCs w:val="21"/>
        </w:rPr>
        <w:t>无</w:t>
      </w:r>
    </w:p>
    <w:p>
      <w:pPr>
        <w:pStyle w:val="20"/>
        <w:snapToGrid w:val="0"/>
        <w:spacing w:before="0" w:beforeAutospacing="0" w:after="0" w:afterAutospacing="0" w:line="360" w:lineRule="auto"/>
        <w:rPr>
          <w:b/>
          <w:sz w:val="21"/>
          <w:szCs w:val="21"/>
        </w:rPr>
      </w:pPr>
      <w:r>
        <w:rPr>
          <w:rFonts w:hint="eastAsia"/>
          <w:b/>
          <w:sz w:val="21"/>
          <w:szCs w:val="21"/>
        </w:rPr>
        <w:t>【实验二】</w:t>
      </w:r>
      <w:r>
        <w:rPr>
          <w:rFonts w:hint="eastAsia" w:eastAsia="宋体"/>
          <w:b/>
          <w:sz w:val="21"/>
          <w:szCs w:val="21"/>
        </w:rPr>
        <w:t>日光温室施工图</w:t>
      </w:r>
      <w:r>
        <w:rPr>
          <w:rFonts w:hint="eastAsia"/>
          <w:b/>
          <w:sz w:val="21"/>
          <w:szCs w:val="21"/>
        </w:rPr>
        <w:t>设计</w:t>
      </w:r>
    </w:p>
    <w:p>
      <w:pPr>
        <w:snapToGrid w:val="0"/>
        <w:spacing w:line="360" w:lineRule="auto"/>
        <w:ind w:firstLine="422" w:firstLineChars="200"/>
      </w:pPr>
      <w:r>
        <w:rPr>
          <w:b/>
          <w:szCs w:val="21"/>
        </w:rPr>
        <w:t>1.</w:t>
      </w:r>
      <w:r>
        <w:rPr>
          <w:rFonts w:hint="eastAsia"/>
          <w:b/>
          <w:szCs w:val="21"/>
        </w:rPr>
        <w:t>实验学时：</w:t>
      </w:r>
      <w:r>
        <w:rPr>
          <w:rFonts w:hint="eastAsia" w:ascii="宋体" w:hAnsi="宋体"/>
          <w:bCs/>
        </w:rPr>
        <w:t>4学时</w:t>
      </w:r>
    </w:p>
    <w:p>
      <w:pPr>
        <w:snapToGrid w:val="0"/>
        <w:spacing w:line="360" w:lineRule="auto"/>
        <w:ind w:firstLine="422" w:firstLineChars="200"/>
        <w:rPr>
          <w:rFonts w:ascii="宋体" w:hAnsi="宋体"/>
          <w:bCs/>
          <w:szCs w:val="21"/>
        </w:rPr>
      </w:pPr>
      <w:r>
        <w:rPr>
          <w:b/>
          <w:szCs w:val="21"/>
        </w:rPr>
        <w:t>2.</w:t>
      </w:r>
      <w:r>
        <w:rPr>
          <w:rFonts w:hint="eastAsia"/>
          <w:b/>
          <w:szCs w:val="21"/>
        </w:rPr>
        <w:t>实验目的：</w:t>
      </w:r>
      <w:r>
        <w:rPr>
          <w:rFonts w:hint="eastAsia"/>
          <w:bCs/>
          <w:szCs w:val="21"/>
        </w:rPr>
        <w:t>通过绘制日光温室施工图，学生进一步掌握日光温室施工图的绘制要求和设计要点，独立完成日光温室施工图绘制。</w:t>
      </w:r>
    </w:p>
    <w:p>
      <w:pPr>
        <w:snapToGrid w:val="0"/>
        <w:spacing w:line="360" w:lineRule="auto"/>
        <w:ind w:firstLine="422" w:firstLineChars="200"/>
        <w:rPr>
          <w:rFonts w:ascii="宋体" w:hAnsi="宋体"/>
          <w:bCs/>
          <w:szCs w:val="21"/>
        </w:rPr>
      </w:pPr>
      <w:r>
        <w:rPr>
          <w:b/>
          <w:szCs w:val="21"/>
        </w:rPr>
        <w:t>3.</w:t>
      </w:r>
      <w:r>
        <w:rPr>
          <w:rFonts w:hint="eastAsia"/>
          <w:b/>
          <w:szCs w:val="21"/>
        </w:rPr>
        <w:t>实验内容：</w:t>
      </w:r>
      <w:r>
        <w:rPr>
          <w:rFonts w:hint="eastAsia"/>
        </w:rPr>
        <w:t>按施工图绘制基本原则和要求，根据前期已完成的设计方案，绘制日光温室的施工图，指导工程施工。</w:t>
      </w:r>
    </w:p>
    <w:p>
      <w:pPr>
        <w:snapToGrid w:val="0"/>
        <w:spacing w:line="360" w:lineRule="auto"/>
        <w:ind w:firstLine="422" w:firstLineChars="200"/>
        <w:rPr>
          <w:rFonts w:ascii="宋体" w:hAnsi="宋体"/>
          <w:bCs/>
          <w:szCs w:val="21"/>
        </w:rPr>
      </w:pPr>
      <w:r>
        <w:rPr>
          <w:b/>
          <w:szCs w:val="21"/>
        </w:rPr>
        <w:t>4.</w:t>
      </w:r>
      <w:r>
        <w:rPr>
          <w:rFonts w:hint="eastAsia"/>
          <w:b/>
          <w:szCs w:val="21"/>
        </w:rPr>
        <w:t>实验要求：</w:t>
      </w:r>
      <w:r>
        <w:rPr>
          <w:rFonts w:hint="eastAsia"/>
          <w:bCs/>
          <w:szCs w:val="21"/>
        </w:rPr>
        <w:t>每位同学利用绘图工具或</w:t>
      </w:r>
      <w:r>
        <w:rPr>
          <w:bCs/>
          <w:szCs w:val="21"/>
        </w:rPr>
        <w:t>AutoCAD</w:t>
      </w:r>
      <w:r>
        <w:rPr>
          <w:rFonts w:hint="eastAsia"/>
          <w:bCs/>
          <w:szCs w:val="21"/>
        </w:rPr>
        <w:t>软件，</w:t>
      </w:r>
      <w:r>
        <w:rPr>
          <w:rFonts w:hint="eastAsia"/>
        </w:rPr>
        <w:t>按施工图绘制基本原则和要求，绘制一套日光温室施工图，包括平面图、立面图、剖面图和详图，详细展示自己的设计方案。</w:t>
      </w:r>
      <w:r>
        <w:rPr>
          <w:rFonts w:hint="eastAsia" w:ascii="宋体" w:hAnsi="宋体"/>
          <w:szCs w:val="21"/>
        </w:rPr>
        <w:t>要求图面清晰，符合施工图绘制基本原则和要求，设计内容完整。</w:t>
      </w:r>
    </w:p>
    <w:p>
      <w:pPr>
        <w:snapToGrid w:val="0"/>
        <w:spacing w:line="360" w:lineRule="auto"/>
        <w:ind w:firstLine="422" w:firstLineChars="200"/>
        <w:rPr>
          <w:szCs w:val="21"/>
        </w:rPr>
      </w:pPr>
      <w:r>
        <w:rPr>
          <w:b/>
          <w:szCs w:val="21"/>
        </w:rPr>
        <w:t>5.</w:t>
      </w:r>
      <w:r>
        <w:rPr>
          <w:rFonts w:hint="eastAsia"/>
          <w:b/>
          <w:szCs w:val="21"/>
        </w:rPr>
        <w:t>实验设备及器材：无</w:t>
      </w:r>
    </w:p>
    <w:p>
      <w:pPr>
        <w:snapToGrid w:val="0"/>
        <w:spacing w:line="360" w:lineRule="auto"/>
        <w:rPr>
          <w:rFonts w:ascii="宋体" w:hAnsi="宋体"/>
          <w:bCs/>
          <w:color w:val="0000FF"/>
          <w:szCs w:val="21"/>
        </w:rPr>
      </w:pPr>
      <w:r>
        <w:rPr>
          <w:rFonts w:hint="eastAsia" w:ascii="宋体" w:hAnsi="宋体"/>
          <w:b/>
          <w:szCs w:val="21"/>
        </w:rPr>
        <w:t>(七)</w:t>
      </w:r>
      <w:r>
        <w:rPr>
          <w:rFonts w:hint="eastAsia" w:ascii="宋体" w:hAnsi="宋体"/>
          <w:b/>
          <w:bCs/>
          <w:szCs w:val="21"/>
        </w:rPr>
        <w:t>考核方式及成绩评定</w:t>
      </w:r>
    </w:p>
    <w:p>
      <w:pPr>
        <w:snapToGrid w:val="0"/>
        <w:spacing w:line="360" w:lineRule="auto"/>
        <w:ind w:firstLine="420" w:firstLineChars="200"/>
      </w:pPr>
      <w:r>
        <w:rPr>
          <w:rFonts w:hint="eastAsia" w:hAnsi="宋体"/>
          <w:kern w:val="0"/>
          <w:szCs w:val="21"/>
        </w:rPr>
        <w:t>学生互评和教师评价共同评定成绩</w:t>
      </w:r>
      <w:r>
        <w:rPr>
          <w:rFonts w:hint="eastAsia" w:eastAsiaTheme="majorEastAsia"/>
          <w:szCs w:val="21"/>
        </w:rPr>
        <w:t>。</w:t>
      </w:r>
    </w:p>
    <w:p>
      <w:pPr>
        <w:rPr>
          <w:rFonts w:ascii="宋体" w:hAnsi="宋体"/>
          <w:b/>
          <w:bCs/>
          <w:color w:val="000000" w:themeColor="text1"/>
          <w:kern w:val="0"/>
          <w:szCs w:val="21"/>
          <w14:textFill>
            <w14:solidFill>
              <w14:schemeClr w14:val="tx1"/>
            </w14:solidFill>
          </w14:textFill>
        </w:rPr>
      </w:pPr>
      <w:r>
        <w:rPr>
          <w:rFonts w:hint="eastAsia" w:ascii="宋体" w:hAnsi="宋体"/>
          <w:b/>
          <w:bCs/>
          <w:color w:val="000000" w:themeColor="text1"/>
          <w:kern w:val="0"/>
          <w:szCs w:val="21"/>
          <w14:textFill>
            <w14:solidFill>
              <w14:schemeClr w14:val="tx1"/>
            </w14:solidFill>
          </w14:textFill>
        </w:rPr>
        <w:t>六、课程思政</w:t>
      </w:r>
    </w:p>
    <w:p>
      <w:pPr>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根据该课程的特点，结合设施农业装备与信息化的主要内容，在理论和实验教学的各个环节，融入思政教育元素，培养适应国家、中原地区和河南地方经济发展需要，具备扎实的自然科学、人文社会科学知识的新时代高级复合型人才。具体目标如下：</w:t>
      </w:r>
    </w:p>
    <w:p>
      <w:pPr>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1</w:t>
      </w:r>
      <w:r>
        <w:rPr>
          <w:rFonts w:hint="eastAsia"/>
          <w:bCs/>
          <w:color w:val="000000" w:themeColor="text1"/>
          <w:kern w:val="0"/>
          <w:szCs w:val="21"/>
          <w14:textFill>
            <w14:solidFill>
              <w14:schemeClr w14:val="tx1"/>
            </w14:solidFill>
          </w14:textFill>
        </w:rPr>
        <w:t>）了解设施园艺在国民经济和人民生活中的重要地位和作用，掌握国内设施农业装备与信息化的发展历史、现状及未来前景，引导学生厚植爱国主义情怀，增强学生服务农业农村现代化和服务乡村振兴的使命感和责任感，通过科技与技术、信息与计算机技术振兴农业发展。</w:t>
      </w:r>
    </w:p>
    <w:p>
      <w:pPr>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2</w:t>
      </w:r>
      <w:r>
        <w:rPr>
          <w:rFonts w:hint="eastAsia"/>
          <w:bCs/>
          <w:color w:val="000000" w:themeColor="text1"/>
          <w:kern w:val="0"/>
          <w:szCs w:val="21"/>
          <w14:textFill>
            <w14:solidFill>
              <w14:schemeClr w14:val="tx1"/>
            </w14:solidFill>
          </w14:textFill>
        </w:rPr>
        <w:t>）通过对设施农业装备与信息化的悠久历史和新中国成立以来中国设施园艺产业取得巨大成就的介绍，培养学生对</w:t>
      </w:r>
      <w:r>
        <w:rPr>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四个自信</w:t>
      </w:r>
      <w:r>
        <w:rPr>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的认知，即使同学们坚信在中国共产党领导下，中国设施园艺产业将会更加迈向智慧化、智能化、信息化、自动化、机械化、绿色化、高效化发展，繁荣，人民生活也会更加美好。</w:t>
      </w:r>
    </w:p>
    <w:p>
      <w:pPr>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3</w:t>
      </w:r>
      <w:r>
        <w:rPr>
          <w:rFonts w:hint="eastAsia"/>
          <w:bCs/>
          <w:color w:val="000000" w:themeColor="text1"/>
          <w:kern w:val="0"/>
          <w:szCs w:val="21"/>
          <w14:textFill>
            <w14:solidFill>
              <w14:schemeClr w14:val="tx1"/>
            </w14:solidFill>
          </w14:textFill>
        </w:rPr>
        <w:t>）了解设施农业装备从无到有、从简单到复杂、从初级到高级，种类越来越丰富，功能越来越齐全的发展规律，引导学生养成求真崇实、敢于探索、勇于创新、多与交叉学科相融合，坚定执着的科学精神和精益求精的大国工匠精神。</w:t>
      </w:r>
    </w:p>
    <w:p>
      <w:pPr>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4</w:t>
      </w:r>
      <w:r>
        <w:rPr>
          <w:rFonts w:hint="eastAsia"/>
          <w:bCs/>
          <w:color w:val="000000" w:themeColor="text1"/>
          <w:kern w:val="0"/>
          <w:szCs w:val="21"/>
          <w14:textFill>
            <w14:solidFill>
              <w14:schemeClr w14:val="tx1"/>
            </w14:solidFill>
          </w14:textFill>
        </w:rPr>
        <w:t>）设施农业装备与信息化的学习，理论与小组讨论、案例分析、视频、</w:t>
      </w:r>
      <w:r>
        <w:rPr>
          <w:bCs/>
          <w:color w:val="000000" w:themeColor="text1"/>
          <w:kern w:val="0"/>
          <w:szCs w:val="21"/>
          <w14:textFill>
            <w14:solidFill>
              <w14:schemeClr w14:val="tx1"/>
            </w14:solidFill>
          </w14:textFill>
        </w:rPr>
        <w:t>PPT</w:t>
      </w:r>
      <w:r>
        <w:rPr>
          <w:rFonts w:hint="eastAsia"/>
          <w:bCs/>
          <w:color w:val="000000" w:themeColor="text1"/>
          <w:kern w:val="0"/>
          <w:szCs w:val="21"/>
          <w14:textFill>
            <w14:solidFill>
              <w14:schemeClr w14:val="tx1"/>
            </w14:solidFill>
          </w14:textFill>
        </w:rPr>
        <w:t>等相融合，分组讨论章节以小组为单元、合作形式展开，注重学生沟通表达和协调能力、组织协调能力、团队合作精神的培养，使学生在实操过程中体会专业精神、团队精神、创新意识、纪律意识和集体荣誉感。</w:t>
      </w:r>
    </w:p>
    <w:p>
      <w:pPr>
        <w:ind w:firstLine="420" w:firstLineChars="200"/>
        <w:rPr>
          <w:bCs/>
          <w:color w:val="000000" w:themeColor="text1"/>
          <w:kern w:val="0"/>
          <w:szCs w:val="21"/>
          <w14:textFill>
            <w14:solidFill>
              <w14:schemeClr w14:val="tx1"/>
            </w14:solidFill>
          </w14:textFill>
        </w:rPr>
      </w:pPr>
    </w:p>
    <w:p>
      <w:pPr>
        <w:rPr>
          <w:color w:val="000000" w:themeColor="text1"/>
          <w:szCs w:val="21"/>
          <w14:textFill>
            <w14:solidFill>
              <w14:schemeClr w14:val="tx1"/>
            </w14:solidFill>
          </w14:textFill>
        </w:rPr>
      </w:pPr>
      <w:r>
        <w:rPr>
          <w:rFonts w:hint="eastAsia" w:ascii="宋体" w:hAnsi="宋体"/>
          <w:b/>
          <w:bCs/>
          <w:color w:val="000000" w:themeColor="text1"/>
          <w:kern w:val="0"/>
          <w:szCs w:val="21"/>
          <w14:textFill>
            <w14:solidFill>
              <w14:schemeClr w14:val="tx1"/>
            </w14:solidFill>
          </w14:textFill>
        </w:rPr>
        <w:t>七、使用教材</w:t>
      </w:r>
      <w:r>
        <w:rPr>
          <w:rFonts w:hint="eastAsia" w:ascii="宋体" w:hAnsi="宋体"/>
          <w:color w:val="000000" w:themeColor="text1"/>
          <w:szCs w:val="21"/>
          <w14:textFill>
            <w14:solidFill>
              <w14:schemeClr w14:val="tx1"/>
            </w14:solidFill>
          </w14:textFill>
        </w:rPr>
        <w:t>（教材的选用应符合教育部和学校教材选用规定，教学资源丰富多样，体现思想性、科学性与时代性）</w:t>
      </w:r>
    </w:p>
    <w:p>
      <w:pPr>
        <w:widowControl/>
        <w:snapToGrid w:val="0"/>
        <w:spacing w:line="360" w:lineRule="auto"/>
        <w:ind w:firstLine="422" w:firstLineChars="200"/>
        <w:jc w:val="left"/>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w:t>
      </w:r>
      <w:r>
        <w:rPr>
          <w:rFonts w:hint="eastAsia"/>
          <w:b/>
          <w:bCs/>
          <w:color w:val="000000" w:themeColor="text1"/>
          <w:kern w:val="0"/>
          <w:szCs w:val="21"/>
          <w14:textFill>
            <w14:solidFill>
              <w14:schemeClr w14:val="tx1"/>
            </w14:solidFill>
          </w14:textFill>
        </w:rPr>
        <w:t>选用教材：</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1</w:t>
      </w:r>
      <w:r>
        <w:rPr>
          <w:rFonts w:hint="eastAsia"/>
          <w:kern w:val="0"/>
          <w:szCs w:val="21"/>
        </w:rPr>
        <w:t>）理论课教材：设施农业装备，王双喜主编，中国农业出版社，</w:t>
      </w:r>
      <w:r>
        <w:rPr>
          <w:kern w:val="0"/>
          <w:szCs w:val="21"/>
        </w:rPr>
        <w:t>2010</w:t>
      </w:r>
      <w:r>
        <w:rPr>
          <w:rFonts w:hint="eastAsia"/>
          <w:kern w:val="0"/>
          <w:szCs w:val="21"/>
        </w:rPr>
        <w:t>年。</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2</w:t>
      </w:r>
      <w:r>
        <w:rPr>
          <w:rFonts w:hint="eastAsia"/>
          <w:kern w:val="0"/>
          <w:szCs w:val="21"/>
        </w:rPr>
        <w:t>）理论课教材：中国农业农村信息化发展报告（</w:t>
      </w:r>
      <w:r>
        <w:rPr>
          <w:kern w:val="0"/>
          <w:szCs w:val="21"/>
        </w:rPr>
        <w:t>2020</w:t>
      </w:r>
      <w:r>
        <w:rPr>
          <w:rFonts w:hint="eastAsia"/>
          <w:kern w:val="0"/>
          <w:szCs w:val="21"/>
        </w:rPr>
        <w:t>），李道亮主编，机械工业出版社，</w:t>
      </w:r>
      <w:r>
        <w:rPr>
          <w:kern w:val="0"/>
          <w:szCs w:val="21"/>
        </w:rPr>
        <w:t>2010</w:t>
      </w:r>
      <w:r>
        <w:rPr>
          <w:rFonts w:hint="eastAsia"/>
          <w:kern w:val="0"/>
          <w:szCs w:val="21"/>
        </w:rPr>
        <w:t>年。</w:t>
      </w:r>
    </w:p>
    <w:p>
      <w:pPr>
        <w:widowControl/>
        <w:snapToGrid w:val="0"/>
        <w:spacing w:line="360" w:lineRule="auto"/>
        <w:ind w:firstLine="422" w:firstLineChars="200"/>
        <w:jc w:val="left"/>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w:t>
      </w:r>
      <w:r>
        <w:rPr>
          <w:rFonts w:hint="eastAsia"/>
          <w:b/>
          <w:bCs/>
          <w:color w:val="000000" w:themeColor="text1"/>
          <w:kern w:val="0"/>
          <w:szCs w:val="21"/>
          <w14:textFill>
            <w14:solidFill>
              <w14:schemeClr w14:val="tx1"/>
            </w14:solidFill>
          </w14:textFill>
        </w:rPr>
        <w:t>参考书：</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1</w:t>
      </w:r>
      <w:r>
        <w:rPr>
          <w:rFonts w:hint="eastAsia"/>
          <w:kern w:val="0"/>
          <w:szCs w:val="21"/>
        </w:rPr>
        <w:t>）园艺设施学，邹志荣主编，中国农业出版社，</w:t>
      </w:r>
      <w:r>
        <w:rPr>
          <w:kern w:val="0"/>
          <w:szCs w:val="21"/>
        </w:rPr>
        <w:t>2001</w:t>
      </w:r>
      <w:r>
        <w:rPr>
          <w:rFonts w:hint="eastAsia"/>
          <w:kern w:val="0"/>
          <w:szCs w:val="21"/>
        </w:rPr>
        <w:t>年。</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2</w:t>
      </w:r>
      <w:r>
        <w:rPr>
          <w:rFonts w:hint="eastAsia"/>
          <w:kern w:val="0"/>
          <w:szCs w:val="21"/>
        </w:rPr>
        <w:t>）设施农业装备，王双喜主编，中国农业大学出版社，</w:t>
      </w:r>
      <w:r>
        <w:rPr>
          <w:kern w:val="0"/>
          <w:szCs w:val="21"/>
        </w:rPr>
        <w:t>2010</w:t>
      </w:r>
      <w:r>
        <w:rPr>
          <w:rFonts w:hint="eastAsia"/>
          <w:kern w:val="0"/>
          <w:szCs w:val="21"/>
        </w:rPr>
        <w:t>年。</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3</w:t>
      </w:r>
      <w:r>
        <w:rPr>
          <w:rFonts w:hint="eastAsia"/>
          <w:kern w:val="0"/>
          <w:szCs w:val="21"/>
        </w:rPr>
        <w:t>）设施农业环境工程学，邹志荣</w:t>
      </w:r>
      <w:r>
        <w:rPr>
          <w:kern w:val="0"/>
          <w:szCs w:val="21"/>
        </w:rPr>
        <w:t xml:space="preserve"> </w:t>
      </w:r>
      <w:r>
        <w:rPr>
          <w:rFonts w:hint="eastAsia"/>
          <w:kern w:val="0"/>
          <w:szCs w:val="21"/>
        </w:rPr>
        <w:t>邵孝侯主编，中国农业出版社，</w:t>
      </w:r>
      <w:r>
        <w:rPr>
          <w:kern w:val="0"/>
          <w:szCs w:val="21"/>
        </w:rPr>
        <w:t>2008</w:t>
      </w:r>
      <w:r>
        <w:rPr>
          <w:rFonts w:hint="eastAsia"/>
          <w:kern w:val="0"/>
          <w:szCs w:val="21"/>
        </w:rPr>
        <w:t>年。</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4</w:t>
      </w:r>
      <w:r>
        <w:rPr>
          <w:rFonts w:hint="eastAsia"/>
          <w:kern w:val="0"/>
          <w:szCs w:val="21"/>
        </w:rPr>
        <w:t>）农业装备智能控制系统发展动态研究，应向伟主编，科学技术文献出版社，</w:t>
      </w:r>
      <w:r>
        <w:rPr>
          <w:kern w:val="0"/>
          <w:szCs w:val="21"/>
        </w:rPr>
        <w:t>2017</w:t>
      </w:r>
      <w:r>
        <w:rPr>
          <w:rFonts w:hint="eastAsia"/>
          <w:kern w:val="0"/>
          <w:szCs w:val="21"/>
        </w:rPr>
        <w:t>年。</w:t>
      </w:r>
    </w:p>
    <w:p>
      <w:pPr>
        <w:widowControl/>
        <w:snapToGrid w:val="0"/>
        <w:spacing w:line="360" w:lineRule="auto"/>
        <w:ind w:firstLine="420" w:firstLineChars="200"/>
        <w:jc w:val="left"/>
        <w:rPr>
          <w:kern w:val="0"/>
          <w:szCs w:val="21"/>
        </w:rPr>
      </w:pPr>
      <w:r>
        <w:rPr>
          <w:kern w:val="0"/>
          <w:szCs w:val="21"/>
        </w:rPr>
        <w:t>3</w:t>
      </w:r>
      <w:r>
        <w:rPr>
          <w:rFonts w:hint="eastAsia"/>
          <w:kern w:val="0"/>
          <w:szCs w:val="21"/>
        </w:rPr>
        <w:t>．推荐网站：</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1</w:t>
      </w:r>
      <w:r>
        <w:rPr>
          <w:rFonts w:hint="eastAsia"/>
          <w:kern w:val="0"/>
          <w:szCs w:val="21"/>
        </w:rPr>
        <w:t>）</w:t>
      </w:r>
      <w:r>
        <w:rPr>
          <w:kern w:val="0"/>
          <w:szCs w:val="21"/>
        </w:rPr>
        <w:t>http://www.wenshiyuanyi.com:81/CN/volumn/home.shtml</w:t>
      </w:r>
    </w:p>
    <w:p>
      <w:pPr>
        <w:widowControl/>
        <w:snapToGrid w:val="0"/>
        <w:spacing w:line="360" w:lineRule="auto"/>
        <w:ind w:firstLine="420" w:firstLineChars="200"/>
        <w:jc w:val="left"/>
        <w:rPr>
          <w:kern w:val="0"/>
          <w:szCs w:val="21"/>
        </w:rPr>
      </w:pPr>
      <w:r>
        <w:rPr>
          <w:rFonts w:hint="eastAsia"/>
          <w:kern w:val="0"/>
          <w:szCs w:val="21"/>
        </w:rPr>
        <w:t>温室园艺、设施园艺学、设施园艺信息学公众号</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2</w:t>
      </w:r>
      <w:r>
        <w:rPr>
          <w:rFonts w:hint="eastAsia"/>
          <w:kern w:val="0"/>
          <w:szCs w:val="21"/>
        </w:rPr>
        <w:t>）园艺设施学精品课程网，</w:t>
      </w:r>
      <w:r>
        <w:rPr>
          <w:kern w:val="0"/>
          <w:szCs w:val="21"/>
        </w:rPr>
        <w:t>http://netc.nwsuaf.edu.cn/yuanyi</w:t>
      </w:r>
    </w:p>
    <w:p>
      <w:pPr>
        <w:widowControl/>
        <w:snapToGrid w:val="0"/>
        <w:spacing w:line="360" w:lineRule="auto"/>
        <w:ind w:firstLine="420" w:firstLineChars="200"/>
        <w:jc w:val="left"/>
        <w:rPr>
          <w:kern w:val="0"/>
          <w:szCs w:val="21"/>
        </w:rPr>
      </w:pPr>
      <w:r>
        <w:rPr>
          <w:rFonts w:hint="eastAsia"/>
          <w:kern w:val="0"/>
          <w:szCs w:val="21"/>
        </w:rPr>
        <w:t>（</w:t>
      </w:r>
      <w:r>
        <w:rPr>
          <w:kern w:val="0"/>
          <w:szCs w:val="21"/>
        </w:rPr>
        <w:t>3</w:t>
      </w:r>
      <w:r>
        <w:rPr>
          <w:rFonts w:hint="eastAsia"/>
          <w:kern w:val="0"/>
          <w:szCs w:val="21"/>
        </w:rPr>
        <w:t>）中国温室网，</w:t>
      </w:r>
      <w:r>
        <w:rPr>
          <w:kern w:val="0"/>
          <w:szCs w:val="21"/>
        </w:rPr>
        <w:t>http://chinagreenhouse.com</w:t>
      </w:r>
    </w:p>
    <w:p>
      <w:pPr>
        <w:widowControl/>
        <w:snapToGrid w:val="0"/>
        <w:spacing w:line="360" w:lineRule="auto"/>
        <w:ind w:firstLine="420" w:firstLineChars="200"/>
        <w:jc w:val="left"/>
        <w:rPr>
          <w:color w:val="FF0000"/>
          <w:kern w:val="0"/>
          <w:szCs w:val="21"/>
        </w:rPr>
      </w:pPr>
    </w:p>
    <w:p>
      <w:pPr>
        <w:widowControl/>
        <w:snapToGrid w:val="0"/>
        <w:spacing w:line="360" w:lineRule="auto"/>
        <w:jc w:val="left"/>
        <w:rPr>
          <w:rFonts w:hAnsi="宋体"/>
          <w:b/>
          <w:bCs/>
          <w:kern w:val="0"/>
          <w:szCs w:val="21"/>
        </w:rPr>
      </w:pPr>
      <w:r>
        <w:rPr>
          <w:rFonts w:hint="eastAsia" w:ascii="宋体" w:hAnsi="宋体"/>
          <w:b/>
          <w:bCs/>
          <w:kern w:val="0"/>
          <w:szCs w:val="21"/>
        </w:rPr>
        <w:t>八、教学条件</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施装备与智能化》课程一直采用“理论教学、案例分析、视频演示、分组汇报、交流讨论”的教学模式。通过理论教学让同学们充分了解我国设施农业装备与智能化的现状和发展特点及发展路径和发展趋势；通过案例分析、视频演示让同学们更加直观地学习到我国设施农业先进装备的类型和技术特点；通过文献查阅、调查与分组汇报和交流讨论，使学生系统掌握课程理论知识，培养学生系统分析问题、交流合作、开拓创新、发现问题和解决问题的能力。</w:t>
      </w:r>
    </w:p>
    <w:p>
      <w:pPr>
        <w:widowControl/>
        <w:snapToGrid w:val="0"/>
        <w:spacing w:line="360" w:lineRule="auto"/>
        <w:jc w:val="left"/>
        <w:rPr>
          <w:rFonts w:hAnsi="宋体"/>
          <w:b/>
          <w:bCs/>
          <w:color w:val="000000" w:themeColor="text1"/>
          <w:kern w:val="0"/>
          <w:szCs w:val="21"/>
          <w14:textFill>
            <w14:solidFill>
              <w14:schemeClr w14:val="tx1"/>
            </w14:solidFill>
          </w14:textFill>
        </w:rPr>
      </w:pPr>
      <w:r>
        <w:rPr>
          <w:rFonts w:hint="eastAsia" w:ascii="宋体" w:hAnsi="宋体"/>
          <w:b/>
          <w:bCs/>
          <w:color w:val="000000" w:themeColor="text1"/>
          <w:kern w:val="0"/>
          <w:szCs w:val="21"/>
          <w14:textFill>
            <w14:solidFill>
              <w14:schemeClr w14:val="tx1"/>
            </w14:solidFill>
          </w14:textFill>
        </w:rPr>
        <w:t>九、教学考核评价</w:t>
      </w:r>
    </w:p>
    <w:p>
      <w:pPr>
        <w:widowControl/>
        <w:snapToGrid w:val="0"/>
        <w:spacing w:line="360" w:lineRule="auto"/>
        <w:ind w:firstLine="420"/>
        <w:jc w:val="left"/>
        <w:rPr>
          <w:rFonts w:ascii="宋体" w:hAnsi="宋体"/>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w:t>
      </w:r>
      <w:r>
        <w:rPr>
          <w:rFonts w:hint="eastAsia" w:ascii="宋体" w:hAnsi="宋体"/>
          <w:b/>
          <w:bCs/>
          <w:color w:val="000000" w:themeColor="text1"/>
          <w:kern w:val="0"/>
          <w:szCs w:val="21"/>
          <w14:textFill>
            <w14:solidFill>
              <w14:schemeClr w14:val="tx1"/>
            </w14:solidFill>
          </w14:textFill>
        </w:rPr>
        <w:t>过程性评价：</w:t>
      </w:r>
    </w:p>
    <w:p>
      <w:pPr>
        <w:widowControl/>
        <w:snapToGrid w:val="0"/>
        <w:spacing w:line="360" w:lineRule="auto"/>
        <w:ind w:firstLine="42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平时成绩（40%）：含课堂表现、实验报告、小组交流讨论、考勤、课后作业等</w:t>
      </w:r>
    </w:p>
    <w:p>
      <w:pPr>
        <w:widowControl/>
        <w:snapToGrid w:val="0"/>
        <w:spacing w:line="360" w:lineRule="auto"/>
        <w:ind w:firstLine="420"/>
        <w:jc w:val="left"/>
        <w:rPr>
          <w:rFonts w:hAnsi="宋体"/>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w:t>
      </w:r>
      <w:r>
        <w:rPr>
          <w:rFonts w:hint="eastAsia" w:ascii="宋体" w:hAnsi="宋体"/>
          <w:b/>
          <w:bCs/>
          <w:color w:val="000000" w:themeColor="text1"/>
          <w:kern w:val="0"/>
          <w:szCs w:val="21"/>
          <w14:textFill>
            <w14:solidFill>
              <w14:schemeClr w14:val="tx1"/>
            </w14:solidFill>
          </w14:textFill>
        </w:rPr>
        <w:t>终结性评价：</w:t>
      </w:r>
      <w:r>
        <w:rPr>
          <w:rFonts w:hint="eastAsia" w:ascii="宋体" w:hAnsi="宋体"/>
        </w:rPr>
        <w:t>笔试闭卷；占总成绩</w:t>
      </w:r>
      <w:r>
        <w:rPr>
          <w:rFonts w:hint="eastAsia" w:ascii="宋体" w:hAnsi="宋体"/>
          <w:bCs/>
          <w:color w:val="000000" w:themeColor="text1"/>
          <w:kern w:val="0"/>
          <w:szCs w:val="21"/>
          <w14:textFill>
            <w14:solidFill>
              <w14:schemeClr w14:val="tx1"/>
            </w14:solidFill>
          </w14:textFill>
        </w:rPr>
        <w:t>60%。</w:t>
      </w:r>
    </w:p>
    <w:p>
      <w:pPr>
        <w:widowControl/>
        <w:snapToGrid w:val="0"/>
        <w:spacing w:line="360" w:lineRule="auto"/>
        <w:ind w:firstLine="420"/>
        <w:jc w:val="left"/>
        <w:rPr>
          <w:rFonts w:ascii="宋体" w:hAnsi="宋体"/>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3.</w:t>
      </w:r>
      <w:r>
        <w:rPr>
          <w:rFonts w:hint="eastAsia" w:ascii="宋体" w:hAnsi="宋体"/>
          <w:b/>
          <w:bCs/>
          <w:color w:val="000000" w:themeColor="text1"/>
          <w:kern w:val="0"/>
          <w:szCs w:val="21"/>
          <w14:textFill>
            <w14:solidFill>
              <w14:schemeClr w14:val="tx1"/>
            </w14:solidFill>
          </w14:textFill>
        </w:rPr>
        <w:t>课程综合评价：</w:t>
      </w:r>
      <w:r>
        <w:rPr>
          <w:rFonts w:hint="eastAsia" w:ascii="宋体" w:hAnsi="宋体"/>
          <w:color w:val="000000" w:themeColor="text1"/>
          <w:szCs w:val="21"/>
          <w14:textFill>
            <w14:solidFill>
              <w14:schemeClr w14:val="tx1"/>
            </w14:solidFill>
          </w14:textFill>
        </w:rPr>
        <w:t>平时成绩（40%）+期末成绩（60%）</w:t>
      </w:r>
    </w:p>
    <w:p>
      <w:pPr>
        <w:pStyle w:val="21"/>
        <w:rPr>
          <w:bCs w:val="0"/>
          <w:sz w:val="28"/>
          <w:szCs w:val="28"/>
        </w:rPr>
      </w:pPr>
      <w:bookmarkStart w:id="264" w:name="_Toc138070705"/>
      <w:bookmarkStart w:id="265" w:name="_Toc138076075"/>
      <w:bookmarkStart w:id="266" w:name="_Toc138068805"/>
      <w:bookmarkStart w:id="267" w:name="_Toc138076324"/>
      <w:bookmarkStart w:id="268" w:name="_Toc138070435"/>
      <w:bookmarkStart w:id="269" w:name="_Toc138076619"/>
    </w:p>
    <w:p>
      <w:pPr>
        <w:pStyle w:val="21"/>
        <w:rPr>
          <w:bCs w:val="0"/>
          <w:sz w:val="28"/>
          <w:szCs w:val="28"/>
        </w:rPr>
      </w:pPr>
    </w:p>
    <w:p>
      <w:pPr>
        <w:pStyle w:val="21"/>
        <w:rPr>
          <w:bCs w:val="0"/>
          <w:sz w:val="28"/>
          <w:szCs w:val="28"/>
        </w:rPr>
      </w:pPr>
    </w:p>
    <w:p>
      <w:pPr>
        <w:rPr>
          <w:sz w:val="28"/>
          <w:szCs w:val="28"/>
        </w:rPr>
      </w:pPr>
    </w:p>
    <w:p>
      <w:pPr>
        <w:rPr>
          <w:sz w:val="28"/>
          <w:szCs w:val="28"/>
        </w:rPr>
      </w:pPr>
    </w:p>
    <w:p>
      <w:pPr>
        <w:rPr>
          <w:sz w:val="28"/>
          <w:szCs w:val="28"/>
        </w:rPr>
      </w:pPr>
    </w:p>
    <w:p>
      <w:pPr>
        <w:rPr>
          <w:sz w:val="28"/>
          <w:szCs w:val="28"/>
        </w:rPr>
      </w:pPr>
    </w:p>
    <w:p>
      <w:pPr>
        <w:rPr>
          <w:rFonts w:hint="eastAsia"/>
          <w:sz w:val="28"/>
          <w:szCs w:val="28"/>
        </w:rPr>
      </w:pPr>
    </w:p>
    <w:p>
      <w:pPr>
        <w:rPr>
          <w:sz w:val="28"/>
          <w:szCs w:val="28"/>
        </w:rPr>
      </w:pPr>
    </w:p>
    <w:p>
      <w:pPr>
        <w:pStyle w:val="21"/>
        <w:rPr>
          <w:sz w:val="24"/>
          <w:szCs w:val="28"/>
        </w:rPr>
      </w:pPr>
      <w:bookmarkStart w:id="270" w:name="_Toc14223"/>
      <w:r>
        <w:rPr>
          <w:rFonts w:hint="eastAsia"/>
          <w:bCs w:val="0"/>
          <w:sz w:val="28"/>
          <w:szCs w:val="28"/>
        </w:rPr>
        <w:t>智慧园艺</w:t>
      </w:r>
      <w:bookmarkEnd w:id="264"/>
      <w:bookmarkEnd w:id="265"/>
      <w:bookmarkEnd w:id="266"/>
      <w:bookmarkEnd w:id="267"/>
      <w:bookmarkEnd w:id="268"/>
      <w:bookmarkEnd w:id="269"/>
      <w:bookmarkEnd w:id="270"/>
    </w:p>
    <w:p>
      <w:pPr>
        <w:shd w:val="solid" w:color="FFFFFF" w:fill="auto"/>
        <w:autoSpaceDN w:val="0"/>
        <w:spacing w:line="360" w:lineRule="auto"/>
        <w:ind w:right="369"/>
        <w:jc w:val="center"/>
        <w:rPr>
          <w:bCs/>
          <w:iCs/>
          <w:sz w:val="24"/>
          <w:shd w:val="clear" w:color="auto" w:fill="FFFFFF"/>
        </w:rPr>
      </w:pPr>
      <w:r>
        <w:rPr>
          <w:bCs/>
          <w:iCs/>
          <w:sz w:val="24"/>
        </w:rPr>
        <w:t>（</w:t>
      </w:r>
      <w:r>
        <w:rPr>
          <w:rFonts w:hint="eastAsia"/>
          <w:sz w:val="24"/>
          <w:shd w:val="clear" w:color="auto" w:fill="FFFFFF"/>
        </w:rPr>
        <w:t>Intelligent Horticulture</w:t>
      </w:r>
      <w:r>
        <w:rPr>
          <w:bCs/>
          <w:iCs/>
          <w:sz w:val="24"/>
          <w:shd w:val="clear" w:color="auto" w:fill="FFFFFF"/>
        </w:rPr>
        <w:t>)</w:t>
      </w:r>
    </w:p>
    <w:p>
      <w:pPr>
        <w:snapToGrid w:val="0"/>
        <w:spacing w:line="360" w:lineRule="auto"/>
        <w:jc w:val="center"/>
        <w:rPr>
          <w:b/>
          <w:szCs w:val="21"/>
        </w:rPr>
      </w:pPr>
    </w:p>
    <w:p>
      <w:pPr>
        <w:snapToGrid w:val="0"/>
        <w:spacing w:line="360" w:lineRule="auto"/>
        <w:jc w:val="center"/>
        <w:rPr>
          <w:b/>
          <w:szCs w:val="21"/>
        </w:rPr>
      </w:pPr>
      <w:r>
        <w:rPr>
          <w:b/>
          <w:szCs w:val="21"/>
        </w:rPr>
        <w:t>课程基本信息</w:t>
      </w:r>
    </w:p>
    <w:tbl>
      <w:tblPr>
        <w:tblStyle w:val="22"/>
        <w:tblW w:w="0" w:type="auto"/>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spacing w:line="300" w:lineRule="auto"/>
              <w:rPr>
                <w:b/>
                <w:bCs/>
                <w:szCs w:val="21"/>
              </w:rPr>
            </w:pPr>
            <w:r>
              <w:rPr>
                <w:b/>
                <w:bCs/>
                <w:szCs w:val="21"/>
              </w:rPr>
              <w:t>课程编号：</w:t>
            </w:r>
            <w:r>
              <w:rPr>
                <w:rFonts w:hint="eastAsia"/>
                <w:b/>
                <w:bCs/>
                <w:szCs w:val="21"/>
              </w:rPr>
              <w:t xml:space="preserve">19011121 </w:t>
            </w:r>
          </w:p>
        </w:tc>
        <w:tc>
          <w:tcPr>
            <w:tcW w:w="2649" w:type="dxa"/>
          </w:tcPr>
          <w:p>
            <w:pPr>
              <w:spacing w:line="300" w:lineRule="auto"/>
              <w:rPr>
                <w:b/>
                <w:bCs/>
                <w:szCs w:val="21"/>
              </w:rPr>
            </w:pPr>
            <w:r>
              <w:rPr>
                <w:b/>
                <w:bCs/>
                <w:szCs w:val="21"/>
              </w:rPr>
              <w:t>课程总学时：32</w:t>
            </w:r>
          </w:p>
        </w:tc>
        <w:tc>
          <w:tcPr>
            <w:tcW w:w="3429" w:type="dxa"/>
          </w:tcPr>
          <w:p>
            <w:pPr>
              <w:spacing w:line="300" w:lineRule="auto"/>
              <w:rPr>
                <w:b/>
                <w:bCs/>
                <w:szCs w:val="21"/>
              </w:rPr>
            </w:pPr>
            <w:r>
              <w:rPr>
                <w:b/>
                <w:bCs/>
                <w:szCs w:val="21"/>
              </w:rPr>
              <w:t>实验学时：</w:t>
            </w:r>
            <w:r>
              <w:rPr>
                <w:rFonts w:hint="eastAsia"/>
                <w:b/>
                <w:bCs/>
                <w:szCs w:val="21"/>
              </w:rPr>
              <w:t>8</w:t>
            </w:r>
          </w:p>
        </w:tc>
      </w:tr>
      <w:tr>
        <w:tblPrEx>
          <w:tblCellMar>
            <w:top w:w="0" w:type="dxa"/>
            <w:left w:w="108" w:type="dxa"/>
            <w:bottom w:w="0" w:type="dxa"/>
            <w:right w:w="108" w:type="dxa"/>
          </w:tblCellMar>
        </w:tblPrEx>
        <w:tc>
          <w:tcPr>
            <w:tcW w:w="3038" w:type="dxa"/>
          </w:tcPr>
          <w:p>
            <w:pPr>
              <w:spacing w:line="300" w:lineRule="auto"/>
              <w:rPr>
                <w:b/>
                <w:bCs/>
                <w:color w:val="FF0000"/>
                <w:szCs w:val="21"/>
              </w:rPr>
            </w:pPr>
            <w:r>
              <w:rPr>
                <w:b/>
                <w:bCs/>
                <w:szCs w:val="21"/>
              </w:rPr>
              <w:t>课程性质：</w:t>
            </w:r>
            <w:r>
              <w:rPr>
                <w:rFonts w:hint="eastAsia"/>
                <w:b/>
                <w:szCs w:val="21"/>
              </w:rPr>
              <w:t>选修</w:t>
            </w:r>
          </w:p>
        </w:tc>
        <w:tc>
          <w:tcPr>
            <w:tcW w:w="2649" w:type="dxa"/>
          </w:tcPr>
          <w:p>
            <w:pPr>
              <w:spacing w:line="300" w:lineRule="auto"/>
              <w:rPr>
                <w:b/>
                <w:bCs/>
                <w:color w:val="FF0000"/>
                <w:szCs w:val="21"/>
              </w:rPr>
            </w:pPr>
            <w:r>
              <w:rPr>
                <w:b/>
                <w:szCs w:val="21"/>
              </w:rPr>
              <w:t xml:space="preserve">课程属性: </w:t>
            </w:r>
            <w:r>
              <w:rPr>
                <w:rFonts w:hint="eastAsia"/>
                <w:b/>
                <w:bCs/>
                <w:szCs w:val="21"/>
              </w:rPr>
              <w:t>专业</w:t>
            </w:r>
            <w:r>
              <w:rPr>
                <w:b/>
                <w:bCs/>
                <w:szCs w:val="21"/>
              </w:rPr>
              <w:t>拓展类</w:t>
            </w:r>
          </w:p>
        </w:tc>
        <w:tc>
          <w:tcPr>
            <w:tcW w:w="3429" w:type="dxa"/>
          </w:tcPr>
          <w:p>
            <w:pPr>
              <w:spacing w:line="300" w:lineRule="auto"/>
              <w:rPr>
                <w:b/>
                <w:bCs/>
                <w:szCs w:val="21"/>
              </w:rPr>
            </w:pPr>
            <w:r>
              <w:rPr>
                <w:b/>
                <w:bCs/>
                <w:szCs w:val="21"/>
              </w:rPr>
              <w:t>开设学期：第</w:t>
            </w:r>
            <w:r>
              <w:rPr>
                <w:rFonts w:hint="eastAsia"/>
                <w:b/>
                <w:bCs/>
                <w:szCs w:val="21"/>
              </w:rPr>
              <w:t>7</w:t>
            </w:r>
            <w:r>
              <w:rPr>
                <w:b/>
                <w:bCs/>
                <w:szCs w:val="21"/>
              </w:rPr>
              <w:t>学期</w:t>
            </w:r>
          </w:p>
        </w:tc>
      </w:tr>
    </w:tbl>
    <w:p>
      <w:pPr>
        <w:rPr>
          <w:vanish/>
        </w:rPr>
      </w:pPr>
    </w:p>
    <w:tbl>
      <w:tblPr>
        <w:tblStyle w:val="22"/>
        <w:tblW w:w="9116"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8" w:type="dxa"/>
            <w:tcBorders>
              <w:top w:val="nil"/>
              <w:left w:val="nil"/>
              <w:bottom w:val="nil"/>
              <w:right w:val="nil"/>
            </w:tcBorders>
          </w:tcPr>
          <w:p>
            <w:pPr>
              <w:spacing w:line="300" w:lineRule="auto"/>
              <w:rPr>
                <w:rFonts w:ascii="宋体" w:hAnsi="宋体"/>
                <w:b/>
                <w:bCs/>
                <w:szCs w:val="21"/>
              </w:rPr>
            </w:pPr>
            <w:r>
              <w:rPr>
                <w:rFonts w:hint="eastAsia" w:ascii="宋体" w:hAnsi="宋体" w:eastAsia="Times New Roman"/>
                <w:b/>
                <w:bCs/>
              </w:rPr>
              <w:t>课程负责人：</w:t>
            </w:r>
            <w:r>
              <w:rPr>
                <w:rFonts w:hint="eastAsia" w:ascii="宋体" w:hAnsi="宋体"/>
                <w:b/>
                <w:bCs/>
                <w:szCs w:val="21"/>
              </w:rPr>
              <w:t>张涛</w:t>
            </w:r>
          </w:p>
        </w:tc>
        <w:tc>
          <w:tcPr>
            <w:tcW w:w="2649" w:type="dxa"/>
            <w:tcBorders>
              <w:top w:val="nil"/>
              <w:left w:val="nil"/>
              <w:bottom w:val="nil"/>
              <w:right w:val="nil"/>
            </w:tcBorders>
          </w:tcPr>
          <w:p>
            <w:pPr>
              <w:spacing w:line="300" w:lineRule="auto"/>
              <w:jc w:val="left"/>
              <w:rPr>
                <w:rFonts w:ascii="宋体" w:hAnsi="宋体"/>
                <w:b/>
                <w:bCs/>
              </w:rPr>
            </w:pPr>
            <w:r>
              <w:rPr>
                <w:rFonts w:hint="eastAsia" w:ascii="宋体" w:hAnsi="宋体" w:eastAsia="Times New Roman"/>
                <w:b/>
                <w:bCs/>
              </w:rPr>
              <w:t>课程团队：</w:t>
            </w:r>
            <w:r>
              <w:rPr>
                <w:rFonts w:hint="eastAsia" w:ascii="宋体" w:hAnsi="宋体"/>
                <w:b/>
                <w:bCs/>
                <w:szCs w:val="21"/>
              </w:rPr>
              <w:t>董韩、</w:t>
            </w:r>
            <w:r>
              <w:rPr>
                <w:rFonts w:ascii="宋体" w:hAnsi="宋体"/>
                <w:b/>
                <w:bCs/>
                <w:szCs w:val="21"/>
              </w:rPr>
              <w:t>李阳、</w:t>
            </w:r>
            <w:r>
              <w:rPr>
                <w:rFonts w:hint="eastAsia" w:ascii="宋体" w:hAnsi="宋体"/>
                <w:b/>
                <w:bCs/>
                <w:szCs w:val="21"/>
              </w:rPr>
              <w:t>张坤玺、王永、安光辉</w:t>
            </w:r>
          </w:p>
        </w:tc>
        <w:tc>
          <w:tcPr>
            <w:tcW w:w="3429" w:type="dxa"/>
            <w:tcBorders>
              <w:top w:val="nil"/>
              <w:left w:val="nil"/>
              <w:bottom w:val="nil"/>
              <w:right w:val="nil"/>
            </w:tcBorders>
          </w:tcPr>
          <w:p>
            <w:pPr>
              <w:spacing w:line="300" w:lineRule="auto"/>
              <w:jc w:val="left"/>
              <w:rPr>
                <w:rFonts w:ascii="宋体" w:hAnsi="宋体" w:eastAsia="Times New Roman"/>
                <w:b/>
                <w:bCs/>
              </w:rPr>
            </w:pPr>
            <w:r>
              <w:rPr>
                <w:rFonts w:hint="eastAsia" w:ascii="宋体" w:hAnsi="宋体" w:eastAsia="Times New Roman"/>
                <w:b/>
                <w:bCs/>
              </w:rPr>
              <w:t>授课语言：</w:t>
            </w:r>
            <w:r>
              <w:rPr>
                <w:rFonts w:hint="eastAsia" w:ascii="等线" w:hAnsi="等线" w:eastAsia="等线"/>
                <w:b/>
                <w:bCs/>
              </w:rPr>
              <w:t>中文</w:t>
            </w:r>
          </w:p>
        </w:tc>
      </w:tr>
    </w:tbl>
    <w:p>
      <w:pPr>
        <w:rPr>
          <w:vanish/>
        </w:rPr>
      </w:pPr>
    </w:p>
    <w:tbl>
      <w:tblPr>
        <w:tblStyle w:val="22"/>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9116" w:type="dxa"/>
            <w:gridSpan w:val="3"/>
          </w:tcPr>
          <w:p>
            <w:pPr>
              <w:spacing w:line="300" w:lineRule="auto"/>
              <w:rPr>
                <w:b/>
                <w:bCs/>
                <w:szCs w:val="21"/>
              </w:rPr>
            </w:pPr>
            <w:r>
              <w:rPr>
                <w:b/>
                <w:bCs/>
                <w:szCs w:val="21"/>
              </w:rPr>
              <w:t>适用专业：</w:t>
            </w:r>
            <w:r>
              <w:rPr>
                <w:rFonts w:hint="eastAsia"/>
                <w:b/>
                <w:bCs/>
                <w:szCs w:val="21"/>
              </w:rPr>
              <w:t>园艺</w:t>
            </w:r>
          </w:p>
        </w:tc>
      </w:tr>
      <w:tr>
        <w:tblPrEx>
          <w:tblCellMar>
            <w:top w:w="0" w:type="dxa"/>
            <w:left w:w="108" w:type="dxa"/>
            <w:bottom w:w="0" w:type="dxa"/>
            <w:right w:w="108" w:type="dxa"/>
          </w:tblCellMar>
        </w:tblPrEx>
        <w:tc>
          <w:tcPr>
            <w:tcW w:w="9116" w:type="dxa"/>
            <w:gridSpan w:val="3"/>
          </w:tcPr>
          <w:p>
            <w:pPr>
              <w:rPr>
                <w:b/>
                <w:bCs/>
                <w:szCs w:val="21"/>
              </w:rPr>
            </w:pPr>
            <w:r>
              <w:rPr>
                <w:rFonts w:hint="eastAsia" w:ascii="宋体" w:hAnsi="宋体"/>
                <w:b/>
                <w:bCs/>
              </w:rPr>
              <w:t>对先修的要求：</w:t>
            </w:r>
            <w:r>
              <w:rPr>
                <w:rFonts w:hint="eastAsia"/>
                <w:b/>
                <w:bCs/>
                <w:szCs w:val="21"/>
              </w:rPr>
              <w:t>设施园艺</w:t>
            </w:r>
            <w:r>
              <w:rPr>
                <w:b/>
                <w:bCs/>
                <w:szCs w:val="21"/>
              </w:rPr>
              <w:t>学、</w:t>
            </w:r>
            <w:r>
              <w:rPr>
                <w:rFonts w:hint="eastAsia"/>
                <w:b/>
                <w:bCs/>
                <w:szCs w:val="21"/>
              </w:rPr>
              <w:t>园艺植物栽培</w:t>
            </w:r>
            <w:r>
              <w:rPr>
                <w:b/>
                <w:bCs/>
                <w:szCs w:val="21"/>
              </w:rPr>
              <w:t>学</w:t>
            </w:r>
          </w:p>
          <w:p>
            <w:pPr>
              <w:spacing w:line="300" w:lineRule="auto"/>
              <w:rPr>
                <w:b/>
                <w:bCs/>
                <w:szCs w:val="21"/>
              </w:rPr>
            </w:pPr>
            <w:r>
              <w:rPr>
                <w:rFonts w:hint="eastAsia"/>
                <w:b/>
                <w:bCs/>
                <w:szCs w:val="21"/>
              </w:rPr>
              <w:t>对后续的支撑： 对后续的《农业园区设计与管理》、《农业信息技术》等选修课程中的园艺休闲旅游、园艺信息服务等方面的内容提供理论和技术支撑。</w:t>
            </w:r>
          </w:p>
        </w:tc>
      </w:tr>
      <w:tr>
        <w:tblPrEx>
          <w:tblCellMar>
            <w:top w:w="0" w:type="dxa"/>
            <w:left w:w="108" w:type="dxa"/>
            <w:bottom w:w="0" w:type="dxa"/>
            <w:right w:w="108" w:type="dxa"/>
          </w:tblCellMar>
        </w:tblPrEx>
        <w:tc>
          <w:tcPr>
            <w:tcW w:w="3038" w:type="dxa"/>
          </w:tcPr>
          <w:p>
            <w:pPr>
              <w:spacing w:line="300" w:lineRule="auto"/>
              <w:rPr>
                <w:b/>
                <w:bCs/>
                <w:szCs w:val="21"/>
              </w:rPr>
            </w:pPr>
            <w:r>
              <w:rPr>
                <w:b/>
                <w:bCs/>
                <w:szCs w:val="21"/>
              </w:rPr>
              <w:t>主撰人：</w:t>
            </w:r>
            <w:r>
              <w:rPr>
                <w:rFonts w:hint="eastAsia"/>
                <w:b/>
                <w:bCs/>
                <w:szCs w:val="21"/>
              </w:rPr>
              <w:t>张涛</w:t>
            </w:r>
          </w:p>
        </w:tc>
        <w:tc>
          <w:tcPr>
            <w:tcW w:w="2649" w:type="dxa"/>
          </w:tcPr>
          <w:p>
            <w:pPr>
              <w:spacing w:line="300" w:lineRule="auto"/>
              <w:rPr>
                <w:b/>
                <w:bCs/>
                <w:szCs w:val="21"/>
              </w:rPr>
            </w:pPr>
            <w:r>
              <w:rPr>
                <w:b/>
                <w:bCs/>
                <w:szCs w:val="21"/>
              </w:rPr>
              <w:t>审核人：</w:t>
            </w:r>
            <w:r>
              <w:rPr>
                <w:rFonts w:hint="eastAsia"/>
                <w:b/>
                <w:bCs/>
                <w:szCs w:val="21"/>
              </w:rPr>
              <w:t>董韩</w:t>
            </w:r>
          </w:p>
        </w:tc>
        <w:tc>
          <w:tcPr>
            <w:tcW w:w="3429" w:type="dxa"/>
          </w:tcPr>
          <w:p>
            <w:pPr>
              <w:spacing w:line="300" w:lineRule="auto"/>
              <w:rPr>
                <w:b/>
                <w:bCs/>
                <w:szCs w:val="21"/>
              </w:rPr>
            </w:pPr>
            <w:r>
              <w:rPr>
                <w:b/>
                <w:bCs/>
                <w:szCs w:val="21"/>
              </w:rPr>
              <w:t>大纲制定（修订）日期</w:t>
            </w:r>
            <w:r>
              <w:rPr>
                <w:rFonts w:hint="eastAsia"/>
                <w:b/>
                <w:bCs/>
                <w:szCs w:val="21"/>
              </w:rPr>
              <w:t>：2023.05</w:t>
            </w:r>
          </w:p>
        </w:tc>
      </w:tr>
    </w:tbl>
    <w:p>
      <w:pPr>
        <w:widowControl/>
        <w:snapToGrid w:val="0"/>
        <w:spacing w:line="360" w:lineRule="auto"/>
        <w:jc w:val="left"/>
        <w:rPr>
          <w:b/>
          <w:bCs/>
          <w:kern w:val="0"/>
          <w:szCs w:val="21"/>
        </w:rPr>
      </w:pPr>
    </w:p>
    <w:p>
      <w:pPr>
        <w:widowControl/>
        <w:snapToGrid w:val="0"/>
        <w:spacing w:line="360" w:lineRule="auto"/>
        <w:jc w:val="left"/>
        <w:rPr>
          <w:kern w:val="0"/>
          <w:szCs w:val="21"/>
        </w:rPr>
      </w:pPr>
      <w:r>
        <w:rPr>
          <w:b/>
          <w:bCs/>
          <w:kern w:val="0"/>
          <w:szCs w:val="21"/>
        </w:rPr>
        <w:t>一、</w:t>
      </w:r>
      <w:r>
        <w:rPr>
          <w:rFonts w:hint="eastAsia"/>
          <w:b/>
          <w:bCs/>
          <w:kern w:val="0"/>
          <w:szCs w:val="21"/>
        </w:rPr>
        <w:t>课程的教学理念、性质、目标和任务</w:t>
      </w:r>
    </w:p>
    <w:p>
      <w:pPr>
        <w:snapToGrid w:val="0"/>
        <w:spacing w:line="360" w:lineRule="auto"/>
        <w:ind w:firstLine="420" w:firstLineChars="200"/>
        <w:rPr>
          <w:rFonts w:ascii="宋体" w:hAnsi="宋体"/>
          <w:szCs w:val="21"/>
        </w:rPr>
      </w:pPr>
      <w:r>
        <w:rPr>
          <w:rFonts w:hint="eastAsia" w:ascii="宋体" w:hAnsi="宋体"/>
          <w:szCs w:val="21"/>
        </w:rPr>
        <w:t>《智慧园艺》是园艺专业选修课程之一，就是将</w:t>
      </w:r>
      <w:r>
        <w:fldChar w:fldCharType="begin"/>
      </w:r>
      <w:r>
        <w:instrText xml:space="preserve"> HYPERLINK "https://baike.baidu.com/item/%E7%89%A9%E8%81%94%E7%BD%91" \t "https://baike.baidu.com/item/%E6%99%BA%E6%85%A7%E5%86%9C%E4%B8%9A/_blank" </w:instrText>
      </w:r>
      <w:r>
        <w:fldChar w:fldCharType="separate"/>
      </w:r>
      <w:r>
        <w:rPr>
          <w:rFonts w:hint="eastAsia" w:ascii="宋体" w:hAnsi="宋体"/>
          <w:szCs w:val="21"/>
        </w:rPr>
        <w:t>物联网</w:t>
      </w:r>
      <w:r>
        <w:rPr>
          <w:rFonts w:hint="eastAsia" w:ascii="宋体" w:hAnsi="宋体"/>
          <w:szCs w:val="21"/>
        </w:rPr>
        <w:fldChar w:fldCharType="end"/>
      </w:r>
      <w:r>
        <w:rPr>
          <w:rFonts w:hint="eastAsia" w:ascii="宋体" w:hAnsi="宋体"/>
          <w:szCs w:val="21"/>
        </w:rPr>
        <w:t>技术运用到传统园艺产业中去，运用传感器和软件通过移动平台或者电脑平台对园艺生产进行控制，使传统园艺产业更具有“智慧”，主要内容包括智慧园艺概况、智慧园艺育种、园艺大数据、园艺物联网、园艺植物智慧生产技术、园艺信息服务及智能化装备，为学生将从事园艺作物现代化栽培生产实践打下基础。通过本课程的学习，让学生充分了解大数据、物联网等相关技术与园艺生产的结合，培养学生通过现代化技术分析园艺产业问题、解决产业问题的能力；提升学生对智慧园艺的认知水平，掌握利用现代园艺产业信息技术，推动园艺产业现代化发展；使学生掌握园艺产业模拟模型基本概念、作用、原理和方法，园艺物联网概念及其基本技术，了解运用物联网技术进行作物精确化管理、建立农产品质量追溯体系的一般方法；使学生掌握大数据概念及其技术特征，了解运用大数据技术进行农情分析、作物精细化管理的一般方法；掌握农机农艺和信息技术融合的技术途径，了解园艺智能化装备在园艺产业现代化生产中的应用现状及其发展前景。</w:t>
      </w:r>
    </w:p>
    <w:p>
      <w:pPr>
        <w:snapToGrid w:val="0"/>
        <w:spacing w:line="360" w:lineRule="auto"/>
        <w:ind w:firstLine="420" w:firstLineChars="200"/>
        <w:rPr>
          <w:rFonts w:ascii="宋体" w:hAnsi="宋体"/>
          <w:szCs w:val="21"/>
        </w:rPr>
      </w:pPr>
      <w:r>
        <w:rPr>
          <w:rFonts w:hint="eastAsia" w:ascii="宋体" w:hAnsi="宋体"/>
          <w:szCs w:val="21"/>
        </w:rPr>
        <w:t>本课程立足“乡村振兴”举措和“科教兴国”战略，迫踪智慧园艺产业发展重点，面向智慧园艺生产与管理领域，坚持立德树人根本任务，德、智、体、美、劳全面发展，培养一批具备“政治素质、职业道德、爱农情怀、工匠精神”，有较强的专业应用能力、就业能力和可持续发展能力，掌握智慧园艺专业知识和技术技能，培养既有园艺专业背景又懂得生物技术、信息技术等高新科技的复合型、创新型人才，可为园艺作物智慧育种、生产环境与智能调控、园艺智能化装备技术体系等领域输送优质人才，为我国现代农业建设的发展贡献力量。</w:t>
      </w:r>
    </w:p>
    <w:p>
      <w:pPr>
        <w:widowControl/>
        <w:snapToGrid w:val="0"/>
        <w:spacing w:line="360" w:lineRule="auto"/>
        <w:jc w:val="left"/>
        <w:rPr>
          <w:rFonts w:ascii="宋体" w:hAnsi="宋体"/>
          <w:b/>
          <w:bCs/>
          <w:kern w:val="0"/>
          <w:szCs w:val="21"/>
        </w:rPr>
      </w:pPr>
      <w:r>
        <w:rPr>
          <w:rFonts w:ascii="宋体" w:hAnsi="宋体"/>
          <w:b/>
          <w:bCs/>
          <w:kern w:val="0"/>
          <w:szCs w:val="21"/>
        </w:rPr>
        <w:t>二、课程教学的基本要求</w:t>
      </w:r>
    </w:p>
    <w:p>
      <w:pPr>
        <w:autoSpaceDE w:val="0"/>
        <w:spacing w:line="360" w:lineRule="auto"/>
        <w:ind w:firstLine="420" w:firstLineChars="200"/>
        <w:rPr>
          <w:rFonts w:ascii="宋体" w:hAnsi="宋体"/>
          <w:bCs/>
          <w:kern w:val="0"/>
          <w:szCs w:val="21"/>
        </w:rPr>
      </w:pPr>
      <w:r>
        <w:rPr>
          <w:rFonts w:hint="eastAsia" w:ascii="宋体" w:hAnsi="宋体"/>
          <w:bCs/>
          <w:kern w:val="0"/>
          <w:szCs w:val="21"/>
        </w:rPr>
        <w:t>1、理论知识方面：</w:t>
      </w:r>
    </w:p>
    <w:p>
      <w:pPr>
        <w:snapToGrid w:val="0"/>
        <w:spacing w:line="360" w:lineRule="auto"/>
        <w:ind w:firstLine="420" w:firstLineChars="200"/>
        <w:rPr>
          <w:rFonts w:ascii="宋体" w:hAnsi="宋体"/>
          <w:szCs w:val="21"/>
        </w:rPr>
      </w:pPr>
      <w:r>
        <w:rPr>
          <w:rFonts w:hint="eastAsia" w:ascii="宋体" w:hAnsi="宋体"/>
          <w:szCs w:val="21"/>
        </w:rPr>
        <w:t>（1）了解智慧园艺的基本概念、特点，智慧园艺在农业及农业现代化中的地位及作用，了解国内外智慧园艺发展概况和趋势，提升学生对智慧园艺的认知水平，掌握利用现代园艺产业信息技术，推动园艺产业现代化发展。</w:t>
      </w:r>
    </w:p>
    <w:p>
      <w:pPr>
        <w:snapToGrid w:val="0"/>
        <w:spacing w:line="360" w:lineRule="auto"/>
        <w:ind w:firstLine="420" w:firstLineChars="200"/>
        <w:rPr>
          <w:rFonts w:ascii="宋体" w:hAnsi="宋体"/>
          <w:szCs w:val="21"/>
        </w:rPr>
      </w:pPr>
      <w:r>
        <w:rPr>
          <w:rFonts w:hint="eastAsia" w:ascii="宋体" w:hAnsi="宋体"/>
          <w:szCs w:val="21"/>
        </w:rPr>
        <w:t>（2）了解智慧园艺育种的方法，掌握园艺物联网概念及其基本技术，了解运用物联网技术进行作物精确化管理、建立农产品质量追溯体系的一般方法。</w:t>
      </w:r>
    </w:p>
    <w:p>
      <w:pPr>
        <w:snapToGrid w:val="0"/>
        <w:spacing w:line="360" w:lineRule="auto"/>
        <w:ind w:firstLine="420" w:firstLineChars="200"/>
        <w:rPr>
          <w:rFonts w:ascii="宋体" w:hAnsi="宋体"/>
          <w:szCs w:val="21"/>
        </w:rPr>
      </w:pPr>
      <w:r>
        <w:rPr>
          <w:rFonts w:hint="eastAsia" w:ascii="宋体" w:hAnsi="宋体"/>
          <w:szCs w:val="21"/>
        </w:rPr>
        <w:t>（3）掌握大数据概念及其技术特征，了解运用大数据技术进行农情分析、作物精细化管理的一般方法；掌握农机农艺和信息技术融合的技术途径，了解园艺智能化装备在园艺产业现代化生产中的应用现状及其发展前景。</w:t>
      </w:r>
    </w:p>
    <w:p>
      <w:pPr>
        <w:spacing w:line="360" w:lineRule="auto"/>
        <w:ind w:firstLine="420" w:firstLineChars="200"/>
        <w:rPr>
          <w:color w:val="262600"/>
          <w:szCs w:val="21"/>
        </w:rPr>
      </w:pPr>
      <w:r>
        <w:rPr>
          <w:color w:val="262600"/>
          <w:szCs w:val="21"/>
        </w:rPr>
        <w:t>2</w:t>
      </w:r>
      <w:r>
        <w:rPr>
          <w:rFonts w:ascii="宋体" w:hAnsi="宋体"/>
          <w:color w:val="262600"/>
          <w:szCs w:val="21"/>
        </w:rPr>
        <w:t>、实验技能方面：</w:t>
      </w:r>
    </w:p>
    <w:p>
      <w:pPr>
        <w:spacing w:line="360" w:lineRule="auto"/>
        <w:ind w:firstLine="420" w:firstLineChars="200"/>
        <w:rPr>
          <w:color w:val="262600"/>
          <w:szCs w:val="21"/>
        </w:rPr>
      </w:pPr>
      <w:r>
        <w:rPr>
          <w:rFonts w:ascii="宋体" w:hAnsi="宋体"/>
          <w:color w:val="262600"/>
          <w:szCs w:val="21"/>
        </w:rPr>
        <w:t>通过</w:t>
      </w:r>
      <w:r>
        <w:rPr>
          <w:rFonts w:hint="eastAsia" w:ascii="宋体" w:hAnsi="宋体"/>
          <w:color w:val="262600"/>
          <w:szCs w:val="21"/>
        </w:rPr>
        <w:t>智慧</w:t>
      </w:r>
      <w:r>
        <w:rPr>
          <w:rFonts w:ascii="宋体" w:hAnsi="宋体"/>
          <w:color w:val="262600"/>
          <w:szCs w:val="21"/>
        </w:rPr>
        <w:t>园艺</w:t>
      </w:r>
      <w:r>
        <w:rPr>
          <w:rFonts w:hint="eastAsia" w:ascii="宋体" w:hAnsi="宋体"/>
          <w:color w:val="262600"/>
          <w:szCs w:val="21"/>
        </w:rPr>
        <w:t>相关产业</w:t>
      </w:r>
      <w:r>
        <w:rPr>
          <w:rFonts w:ascii="宋体" w:hAnsi="宋体"/>
          <w:color w:val="262600"/>
          <w:szCs w:val="21"/>
        </w:rPr>
        <w:t>的参观调查，使学生对</w:t>
      </w:r>
      <w:r>
        <w:rPr>
          <w:rFonts w:hint="eastAsia" w:ascii="宋体" w:hAnsi="宋体"/>
          <w:color w:val="262600"/>
          <w:szCs w:val="21"/>
        </w:rPr>
        <w:t>智慧</w:t>
      </w:r>
      <w:r>
        <w:rPr>
          <w:rFonts w:ascii="宋体" w:hAnsi="宋体"/>
          <w:color w:val="262600"/>
          <w:szCs w:val="21"/>
        </w:rPr>
        <w:t>园艺的类型、</w:t>
      </w:r>
      <w:r>
        <w:rPr>
          <w:rFonts w:hint="eastAsia" w:ascii="宋体" w:hAnsi="宋体"/>
          <w:color w:val="262600"/>
          <w:szCs w:val="21"/>
        </w:rPr>
        <w:t>信息技术</w:t>
      </w:r>
      <w:r>
        <w:rPr>
          <w:rFonts w:ascii="宋体" w:hAnsi="宋体"/>
          <w:color w:val="262600"/>
          <w:szCs w:val="21"/>
        </w:rPr>
        <w:t>、</w:t>
      </w:r>
      <w:r>
        <w:rPr>
          <w:rFonts w:hint="eastAsia" w:ascii="宋体" w:hAnsi="宋体"/>
          <w:color w:val="262600"/>
          <w:szCs w:val="21"/>
        </w:rPr>
        <w:t>物联网</w:t>
      </w:r>
      <w:r>
        <w:rPr>
          <w:rFonts w:ascii="宋体" w:hAnsi="宋体"/>
          <w:color w:val="262600"/>
          <w:szCs w:val="21"/>
        </w:rPr>
        <w:t>和应用有一个全面、具体、直观的了解；通过</w:t>
      </w:r>
      <w:r>
        <w:rPr>
          <w:rFonts w:hint="eastAsia" w:ascii="宋体" w:hAnsi="宋体"/>
          <w:color w:val="262600"/>
          <w:szCs w:val="21"/>
        </w:rPr>
        <w:t>智慧</w:t>
      </w:r>
      <w:r>
        <w:rPr>
          <w:rFonts w:ascii="宋体" w:hAnsi="宋体"/>
          <w:color w:val="262600"/>
          <w:szCs w:val="21"/>
        </w:rPr>
        <w:t>设施内</w:t>
      </w:r>
      <w:r>
        <w:rPr>
          <w:rFonts w:hint="eastAsia" w:ascii="宋体" w:hAnsi="宋体"/>
          <w:color w:val="262600"/>
          <w:szCs w:val="21"/>
        </w:rPr>
        <w:t>物联网、大数据等对作物生长的影响</w:t>
      </w:r>
      <w:r>
        <w:rPr>
          <w:rFonts w:ascii="宋体" w:hAnsi="宋体"/>
          <w:color w:val="262600"/>
          <w:szCs w:val="21"/>
        </w:rPr>
        <w:t>，</w:t>
      </w:r>
      <w:r>
        <w:rPr>
          <w:rFonts w:hint="eastAsia" w:ascii="宋体" w:hAnsi="宋体"/>
          <w:color w:val="262600"/>
          <w:szCs w:val="21"/>
        </w:rPr>
        <w:t>培养</w:t>
      </w:r>
      <w:r>
        <w:rPr>
          <w:rFonts w:ascii="宋体" w:hAnsi="宋体"/>
          <w:color w:val="262600"/>
          <w:szCs w:val="21"/>
        </w:rPr>
        <w:t>学生掌握</w:t>
      </w:r>
      <w:r>
        <w:rPr>
          <w:rFonts w:hint="eastAsia" w:ascii="宋体" w:hAnsi="宋体"/>
          <w:szCs w:val="21"/>
        </w:rPr>
        <w:t>利用现代园艺产业信息技术推动园艺产业现代化发展</w:t>
      </w:r>
      <w:r>
        <w:rPr>
          <w:rFonts w:ascii="宋体" w:hAnsi="宋体"/>
          <w:color w:val="262600"/>
          <w:szCs w:val="21"/>
        </w:rPr>
        <w:t>，为进一步</w:t>
      </w:r>
      <w:r>
        <w:rPr>
          <w:rFonts w:hint="eastAsia" w:ascii="宋体" w:hAnsi="宋体"/>
          <w:color w:val="262600"/>
          <w:szCs w:val="21"/>
        </w:rPr>
        <w:t>学习农业园区规划设计以及农业信息技术</w:t>
      </w:r>
      <w:r>
        <w:rPr>
          <w:rFonts w:ascii="宋体" w:hAnsi="宋体"/>
          <w:color w:val="262600"/>
          <w:szCs w:val="21"/>
        </w:rPr>
        <w:t>打下基础。</w:t>
      </w:r>
    </w:p>
    <w:p>
      <w:pPr>
        <w:widowControl/>
        <w:snapToGrid w:val="0"/>
        <w:spacing w:line="360" w:lineRule="auto"/>
        <w:jc w:val="left"/>
        <w:rPr>
          <w:rFonts w:hAnsi="宋体"/>
          <w:b/>
          <w:bCs/>
          <w:kern w:val="0"/>
          <w:szCs w:val="21"/>
        </w:rPr>
      </w:pPr>
      <w:r>
        <w:rPr>
          <w:rFonts w:ascii="宋体" w:hAnsi="宋体"/>
          <w:b/>
          <w:bCs/>
          <w:kern w:val="0"/>
          <w:szCs w:val="21"/>
        </w:rPr>
        <w:t>三、</w:t>
      </w:r>
      <w:r>
        <w:rPr>
          <w:rFonts w:hint="eastAsia" w:ascii="宋体" w:hAnsi="宋体"/>
          <w:b/>
          <w:bCs/>
          <w:kern w:val="0"/>
          <w:szCs w:val="21"/>
        </w:rPr>
        <w:t>课程的教学设计</w:t>
      </w:r>
    </w:p>
    <w:p>
      <w:pPr>
        <w:autoSpaceDE w:val="0"/>
        <w:spacing w:line="360" w:lineRule="auto"/>
        <w:ind w:firstLine="420" w:firstLineChars="200"/>
        <w:rPr>
          <w:rFonts w:hAnsi="宋体"/>
          <w:bCs/>
          <w:kern w:val="0"/>
          <w:szCs w:val="21"/>
        </w:rPr>
      </w:pPr>
      <w:r>
        <w:rPr>
          <w:rFonts w:hint="eastAsia"/>
          <w:bCs/>
          <w:kern w:val="0"/>
          <w:szCs w:val="21"/>
        </w:rPr>
        <w:t>1.</w:t>
      </w:r>
      <w:r>
        <w:rPr>
          <w:rFonts w:hint="eastAsia" w:ascii="宋体" w:hAnsi="宋体"/>
          <w:bCs/>
          <w:kern w:val="0"/>
          <w:szCs w:val="21"/>
        </w:rPr>
        <w:t>教学设计说明</w:t>
      </w:r>
    </w:p>
    <w:p>
      <w:pPr>
        <w:spacing w:line="360" w:lineRule="auto"/>
        <w:ind w:firstLine="420" w:firstLineChars="200"/>
        <w:rPr>
          <w:color w:val="262600"/>
        </w:rPr>
      </w:pPr>
      <w:r>
        <w:rPr>
          <w:rFonts w:hint="eastAsia"/>
          <w:color w:val="262600"/>
        </w:rPr>
        <w:t>课程组按照课程实验教学大纲要求，建立完善的课堂教学体系、实验教学体系以及课程教学实习体系。采用“教学实验、参观学习和生产实习一体化”的实践教学模式，使学生系统掌握课程理论知识，培养学生系统分析问题的能力。</w:t>
      </w:r>
      <w:r>
        <w:rPr>
          <w:rFonts w:hint="eastAsia" w:ascii="宋体" w:hAnsi="宋体"/>
          <w:color w:val="262600"/>
        </w:rPr>
        <w:t>通过理论教学让同学们充分了解</w:t>
      </w:r>
      <w:r>
        <w:rPr>
          <w:rFonts w:hint="eastAsia" w:ascii="宋体" w:hAnsi="宋体"/>
          <w:szCs w:val="21"/>
        </w:rPr>
        <w:t>智慧园艺概况、智慧园艺育种、园艺大数据、园艺物联网、园艺植物智慧生产技术、园艺信息服务及智能化装备</w:t>
      </w:r>
      <w:r>
        <w:rPr>
          <w:rFonts w:hint="eastAsia" w:ascii="宋体" w:hAnsi="宋体"/>
          <w:color w:val="262600"/>
        </w:rPr>
        <w:t>，使学生系统掌握课程理论知识，培养学生系统分析问题的能力；通过案例分析、视频演示让同学们更加直观地学习到智慧园艺的类型和技术特点；</w:t>
      </w:r>
      <w:r>
        <w:rPr>
          <w:rFonts w:hint="eastAsia"/>
          <w:color w:val="262600"/>
        </w:rPr>
        <w:t>通过到校内外基地进行生产实习，学生将理论运用到智慧园艺产业生产实践中，培养学生发现问题，解决问题的能力。在保证实现培养目标的前提下，突破以知识传授为中心的教学模式，探索以能力培养为主线的教学模式，采用精讲多实践、教学基地现场教学、实践中教学的理念和方法，形成大班集中讲授，小班分组实验实习的课程讲授体系，注重提高学生专业学习兴趣，全面培养学生独立获取知识的能力、观察问题、发现问题、思考问题、解决问题的能力。科学制定实践教学方案，规范设置实践教学环节，高质量开展课内实践教学和校外实习实训，实验实训课程开课率及学生覆盖率高；创新创业教育改革成效显著。</w:t>
      </w:r>
    </w:p>
    <w:p>
      <w:pPr>
        <w:spacing w:line="360" w:lineRule="auto"/>
        <w:ind w:firstLine="420" w:firstLineChars="200"/>
      </w:pPr>
      <w:r>
        <w:rPr>
          <w:rFonts w:hint="eastAsia"/>
        </w:rPr>
        <w:t>2.课程目标及对毕业要求的支撑</w:t>
      </w:r>
    </w:p>
    <w:tbl>
      <w:tblPr>
        <w:tblStyle w:val="22"/>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6337"/>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60" w:lineRule="auto"/>
              <w:rPr>
                <w:b/>
                <w:bCs/>
                <w:sz w:val="18"/>
                <w:szCs w:val="18"/>
              </w:rPr>
            </w:pPr>
            <w:r>
              <w:rPr>
                <w:rFonts w:hint="eastAsia"/>
                <w:b/>
                <w:bCs/>
                <w:sz w:val="18"/>
                <w:szCs w:val="18"/>
              </w:rPr>
              <w:t>序号</w:t>
            </w:r>
          </w:p>
        </w:tc>
        <w:tc>
          <w:tcPr>
            <w:tcW w:w="6337" w:type="dxa"/>
            <w:tcBorders>
              <w:top w:val="single" w:color="auto" w:sz="4" w:space="0"/>
              <w:left w:val="nil"/>
              <w:bottom w:val="single" w:color="auto" w:sz="4" w:space="0"/>
              <w:right w:val="single" w:color="auto" w:sz="4" w:space="0"/>
            </w:tcBorders>
            <w:shd w:val="clear" w:color="auto" w:fill="EEECE1"/>
            <w:vAlign w:val="center"/>
          </w:tcPr>
          <w:p>
            <w:pPr>
              <w:spacing w:line="360" w:lineRule="auto"/>
              <w:ind w:firstLine="361" w:firstLineChars="200"/>
              <w:jc w:val="center"/>
              <w:rPr>
                <w:b/>
                <w:bCs/>
                <w:sz w:val="18"/>
                <w:szCs w:val="18"/>
              </w:rPr>
            </w:pPr>
            <w:r>
              <w:rPr>
                <w:rFonts w:hint="eastAsia"/>
                <w:b/>
                <w:bCs/>
                <w:sz w:val="18"/>
                <w:szCs w:val="18"/>
              </w:rPr>
              <w:t>课程目标</w:t>
            </w:r>
          </w:p>
        </w:tc>
        <w:tc>
          <w:tcPr>
            <w:tcW w:w="1561" w:type="dxa"/>
            <w:tcBorders>
              <w:top w:val="single" w:color="auto" w:sz="4" w:space="0"/>
              <w:left w:val="nil"/>
              <w:bottom w:val="single" w:color="auto" w:sz="4" w:space="0"/>
              <w:right w:val="single" w:color="auto" w:sz="4" w:space="0"/>
            </w:tcBorders>
            <w:shd w:val="clear" w:color="auto" w:fill="EEECE1"/>
            <w:vAlign w:val="center"/>
          </w:tcPr>
          <w:p>
            <w:pPr>
              <w:spacing w:line="360" w:lineRule="auto"/>
              <w:jc w:val="center"/>
              <w:rPr>
                <w:b/>
                <w:bCs/>
                <w:sz w:val="18"/>
                <w:szCs w:val="18"/>
              </w:rPr>
            </w:pPr>
            <w:r>
              <w:rPr>
                <w:rFonts w:hint="eastAsia"/>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rPr>
                <w:sz w:val="18"/>
                <w:szCs w:val="18"/>
              </w:rPr>
            </w:pPr>
            <w:r>
              <w:rPr>
                <w:sz w:val="18"/>
                <w:szCs w:val="18"/>
              </w:rPr>
              <w:t>1</w:t>
            </w:r>
          </w:p>
        </w:tc>
        <w:tc>
          <w:tcPr>
            <w:tcW w:w="63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rFonts w:hint="eastAsia"/>
                <w:sz w:val="18"/>
                <w:szCs w:val="18"/>
              </w:rPr>
              <w:t>课程目标 1：掌握智慧园艺基本涵义及作用、智慧园艺育种、物联网和大数据等智慧园艺关键技术；了解智慧园艺现状及发展趋势，提升学生智慧园艺的认知水平。</w:t>
            </w:r>
          </w:p>
        </w:tc>
        <w:tc>
          <w:tcPr>
            <w:tcW w:w="1561" w:type="dxa"/>
            <w:tcBorders>
              <w:top w:val="single" w:color="auto" w:sz="4" w:space="0"/>
              <w:left w:val="nil"/>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rPr>
                <w:sz w:val="18"/>
                <w:szCs w:val="18"/>
              </w:rPr>
            </w:pPr>
            <w:r>
              <w:rPr>
                <w:sz w:val="18"/>
                <w:szCs w:val="18"/>
              </w:rPr>
              <w:t>2</w:t>
            </w:r>
          </w:p>
        </w:tc>
        <w:tc>
          <w:tcPr>
            <w:tcW w:w="63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highlight w:val="yellow"/>
              </w:rPr>
            </w:pPr>
            <w:r>
              <w:rPr>
                <w:rFonts w:hint="eastAsia"/>
                <w:sz w:val="18"/>
                <w:szCs w:val="18"/>
              </w:rPr>
              <w:t>课程目标 2：掌握互联网、物联网、人工智能等现代信息技术及装备在园艺产业中的应用，使学生能够应用现代信息技术解决现代农业生产中的问题，提升学生利用信息技术改造传统农业能力。</w:t>
            </w:r>
          </w:p>
        </w:tc>
        <w:tc>
          <w:tcPr>
            <w:tcW w:w="1561" w:type="dxa"/>
            <w:tcBorders>
              <w:top w:val="single" w:color="auto" w:sz="4" w:space="0"/>
              <w:left w:val="nil"/>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rPr>
                <w:sz w:val="18"/>
                <w:szCs w:val="18"/>
              </w:rPr>
            </w:pPr>
            <w:r>
              <w:rPr>
                <w:sz w:val="18"/>
                <w:szCs w:val="18"/>
              </w:rPr>
              <w:t>3</w:t>
            </w:r>
          </w:p>
        </w:tc>
        <w:tc>
          <w:tcPr>
            <w:tcW w:w="6337"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rFonts w:hint="eastAsia"/>
                <w:sz w:val="18"/>
                <w:szCs w:val="18"/>
              </w:rPr>
              <w:t>课程目标 3：培养学生自主学习能力，通过课程学习使学生能够不断更新自身知识体系，持续提升个人专业素养。</w:t>
            </w:r>
          </w:p>
        </w:tc>
        <w:tc>
          <w:tcPr>
            <w:tcW w:w="1561" w:type="dxa"/>
            <w:tcBorders>
              <w:top w:val="single" w:color="auto" w:sz="4" w:space="0"/>
              <w:left w:val="nil"/>
              <w:bottom w:val="single" w:color="auto" w:sz="4" w:space="0"/>
              <w:right w:val="single" w:color="auto" w:sz="4" w:space="0"/>
            </w:tcBorders>
            <w:vAlign w:val="center"/>
          </w:tcPr>
          <w:p>
            <w:pPr>
              <w:spacing w:line="320" w:lineRule="exact"/>
              <w:jc w:val="center"/>
              <w:rPr>
                <w:rFonts w:eastAsia="等线"/>
                <w:sz w:val="18"/>
                <w:szCs w:val="18"/>
              </w:rPr>
            </w:pPr>
            <w:r>
              <w:rPr>
                <w:rFonts w:eastAsia="等线"/>
                <w:sz w:val="18"/>
                <w:szCs w:val="18"/>
              </w:rPr>
              <w:t>6</w:t>
            </w:r>
          </w:p>
        </w:tc>
      </w:tr>
    </w:tbl>
    <w:p>
      <w:pPr>
        <w:spacing w:line="360" w:lineRule="auto"/>
        <w:rPr>
          <w:color w:val="262600"/>
        </w:rPr>
      </w:pPr>
      <w:r>
        <w:rPr>
          <w:rFonts w:hint="eastAsia"/>
          <w:b/>
          <w:bCs/>
          <w:color w:val="262600"/>
        </w:rPr>
        <w:t>四</w:t>
      </w:r>
      <w:r>
        <w:rPr>
          <w:b/>
          <w:bCs/>
          <w:color w:val="262600"/>
        </w:rPr>
        <w:t>、理论教学内容及学时分配（2</w:t>
      </w:r>
      <w:r>
        <w:rPr>
          <w:rFonts w:hint="eastAsia"/>
          <w:b/>
          <w:bCs/>
          <w:color w:val="262600"/>
        </w:rPr>
        <w:t>4</w:t>
      </w:r>
      <w:r>
        <w:rPr>
          <w:b/>
          <w:bCs/>
          <w:color w:val="262600"/>
        </w:rPr>
        <w:t>学时）</w:t>
      </w:r>
      <w:r>
        <w:rPr>
          <w:color w:val="262600"/>
        </w:rPr>
        <w:t></w:t>
      </w:r>
    </w:p>
    <w:p>
      <w:pPr>
        <w:keepNext w:val="0"/>
        <w:keepLines w:val="0"/>
        <w:pageBreakBefore w:val="0"/>
        <w:kinsoku/>
        <w:wordWrap/>
        <w:overflowPunct/>
        <w:topLinePunct w:val="0"/>
        <w:autoSpaceDE/>
        <w:autoSpaceDN/>
        <w:bidi w:val="0"/>
        <w:spacing w:line="360" w:lineRule="auto"/>
        <w:ind w:firstLine="3162" w:firstLineChars="1500"/>
        <w:jc w:val="right"/>
        <w:textAlignment w:val="auto"/>
        <w:rPr>
          <w:b/>
          <w:bCs/>
        </w:rPr>
      </w:pPr>
      <w:r>
        <w:rPr>
          <w:b/>
          <w:bCs/>
        </w:rPr>
        <w:t>第一章</w:t>
      </w:r>
      <w:r>
        <w:rPr>
          <w:rFonts w:hint="eastAsia"/>
          <w:b/>
          <w:bCs/>
        </w:rPr>
        <w:t xml:space="preserve">  </w:t>
      </w:r>
      <w:r>
        <w:rPr>
          <w:b/>
          <w:bCs/>
        </w:rPr>
        <w:t>绪  论</w:t>
      </w:r>
      <w:r>
        <w:rPr>
          <w:rFonts w:hint="eastAsia"/>
          <w:b/>
          <w:bCs/>
        </w:rPr>
        <w:t xml:space="preserve"> </w:t>
      </w:r>
      <w:r>
        <w:rPr>
          <w:b/>
          <w:bCs/>
        </w:rPr>
        <w:t xml:space="preserve">                          学时数</w:t>
      </w:r>
      <w:r>
        <w:rPr>
          <w:rFonts w:hint="eastAsia"/>
          <w:b/>
          <w:bCs/>
        </w:rPr>
        <w:t>：2</w:t>
      </w:r>
    </w:p>
    <w:p>
      <w:pPr>
        <w:keepNext w:val="0"/>
        <w:keepLines w:val="0"/>
        <w:pageBreakBefore w:val="0"/>
        <w:widowControl/>
        <w:kinsoku/>
        <w:wordWrap/>
        <w:overflowPunct/>
        <w:topLinePunct w:val="0"/>
        <w:autoSpaceDE/>
        <w:autoSpaceDN/>
        <w:bidi w:val="0"/>
        <w:spacing w:line="360" w:lineRule="auto"/>
        <w:jc w:val="left"/>
        <w:textAlignment w:val="auto"/>
        <w:rPr>
          <w:color w:val="262600"/>
        </w:rPr>
      </w:pPr>
      <w:r>
        <w:rPr>
          <w:b/>
          <w:bCs/>
        </w:rPr>
        <w:t>教学</w:t>
      </w:r>
      <w:r>
        <w:rPr>
          <w:rFonts w:hint="eastAsia"/>
          <w:b/>
          <w:bCs/>
        </w:rPr>
        <w:t>目标</w:t>
      </w:r>
      <w:r>
        <w:rPr>
          <w:color w:val="262600"/>
        </w:rPr>
        <w:t>：</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1.掌握智慧园艺的概念，与传统农业的区别；</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2.了解智慧园艺关键技术内容及特点；</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 xml:space="preserve">3.了解智慧园艺国内外发展现状与未来发展趋势。 </w:t>
      </w:r>
    </w:p>
    <w:p>
      <w:pPr>
        <w:keepNext w:val="0"/>
        <w:keepLines w:val="0"/>
        <w:pageBreakBefore w:val="0"/>
        <w:kinsoku/>
        <w:wordWrap/>
        <w:overflowPunct/>
        <w:topLinePunct w:val="0"/>
        <w:autoSpaceDE/>
        <w:autoSpaceDN/>
        <w:bidi w:val="0"/>
        <w:spacing w:line="360" w:lineRule="auto"/>
        <w:textAlignment w:val="auto"/>
      </w:pPr>
      <w:r>
        <w:rPr>
          <w:rFonts w:hint="eastAsia"/>
          <w:b/>
          <w:bCs/>
        </w:rPr>
        <w:t>教学重点和难点</w:t>
      </w:r>
      <w:r>
        <w:rPr>
          <w:rFonts w:hint="eastAsia"/>
        </w:rPr>
        <w:t>：</w:t>
      </w:r>
    </w:p>
    <w:p>
      <w:pPr>
        <w:keepNext w:val="0"/>
        <w:keepLines w:val="0"/>
        <w:pageBreakBefore w:val="0"/>
        <w:kinsoku/>
        <w:wordWrap/>
        <w:overflowPunct/>
        <w:topLinePunct w:val="0"/>
        <w:autoSpaceDE/>
        <w:autoSpaceDN/>
        <w:bidi w:val="0"/>
        <w:spacing w:line="360" w:lineRule="auto"/>
        <w:textAlignment w:val="auto"/>
        <w:rPr>
          <w:rFonts w:ascii="宋体" w:hAnsi="宋体" w:cs="宋体"/>
          <w:color w:val="000000"/>
          <w:kern w:val="0"/>
          <w:szCs w:val="21"/>
          <w:lang w:bidi="ar"/>
        </w:rPr>
      </w:pPr>
      <w:r>
        <w:rPr>
          <w:rFonts w:hint="eastAsia" w:ascii="宋体" w:hAnsi="宋体" w:cs="宋体"/>
          <w:color w:val="000000"/>
          <w:kern w:val="0"/>
          <w:szCs w:val="21"/>
          <w:lang w:bidi="ar"/>
        </w:rPr>
        <w:t>掌握智慧园艺的概念，了解智慧园艺关键技术内容及特点。</w:t>
      </w:r>
    </w:p>
    <w:p>
      <w:pPr>
        <w:keepNext w:val="0"/>
        <w:keepLines w:val="0"/>
        <w:pageBreakBefore w:val="0"/>
        <w:kinsoku/>
        <w:wordWrap/>
        <w:overflowPunct/>
        <w:topLinePunct w:val="0"/>
        <w:autoSpaceDE/>
        <w:autoSpaceDN/>
        <w:bidi w:val="0"/>
        <w:spacing w:line="360" w:lineRule="auto"/>
        <w:textAlignment w:val="auto"/>
      </w:pPr>
      <w:r>
        <w:rPr>
          <w:rFonts w:hint="eastAsia"/>
          <w:b/>
          <w:bCs/>
        </w:rPr>
        <w:t>主要教学内容及要求</w:t>
      </w:r>
      <w:r>
        <w:rPr>
          <w:rFonts w:hint="eastAsia"/>
        </w:rPr>
        <w:t>：</w:t>
      </w:r>
    </w:p>
    <w:p>
      <w:pPr>
        <w:keepNext w:val="0"/>
        <w:keepLines w:val="0"/>
        <w:pageBreakBefore w:val="0"/>
        <w:kinsoku/>
        <w:wordWrap/>
        <w:overflowPunct/>
        <w:topLinePunct w:val="0"/>
        <w:autoSpaceDE/>
        <w:autoSpaceDN/>
        <w:bidi w:val="0"/>
        <w:spacing w:line="360" w:lineRule="auto"/>
        <w:textAlignment w:val="auto"/>
        <w:rPr>
          <w:color w:val="262600"/>
        </w:rPr>
      </w:pPr>
      <w:r>
        <w:rPr>
          <w:rFonts w:hint="eastAsia"/>
        </w:rPr>
        <w:t>了解</w:t>
      </w:r>
      <w:r>
        <w:rPr>
          <w:rFonts w:hint="eastAsia" w:ascii="宋体" w:hAnsi="宋体" w:cs="宋体"/>
          <w:color w:val="000000"/>
          <w:kern w:val="0"/>
          <w:szCs w:val="21"/>
          <w:lang w:bidi="ar"/>
        </w:rPr>
        <w:t>智慧园艺关键技术内容及特点，国内外发展现状与未来发展趋势</w:t>
      </w:r>
      <w:r>
        <w:rPr>
          <w:rFonts w:hint="eastAsia"/>
          <w:color w:val="262600"/>
        </w:rPr>
        <w:t>；掌握</w:t>
      </w:r>
      <w:r>
        <w:rPr>
          <w:rFonts w:hint="eastAsia" w:ascii="宋体" w:hAnsi="宋体" w:cs="宋体"/>
          <w:color w:val="000000"/>
          <w:kern w:val="0"/>
          <w:szCs w:val="21"/>
          <w:lang w:bidi="ar"/>
        </w:rPr>
        <w:t>智慧园艺的概念，与传统农业的区别</w:t>
      </w:r>
      <w:r>
        <w:rPr>
          <w:color w:val="262600"/>
        </w:rPr>
        <w:t>等。</w:t>
      </w:r>
    </w:p>
    <w:p>
      <w:pPr>
        <w:keepNext w:val="0"/>
        <w:keepLines w:val="0"/>
        <w:pageBreakBefore w:val="0"/>
        <w:widowControl/>
        <w:kinsoku/>
        <w:wordWrap/>
        <w:overflowPunct/>
        <w:topLinePunct w:val="0"/>
        <w:autoSpaceDE/>
        <w:autoSpaceDN/>
        <w:bidi w:val="0"/>
        <w:spacing w:line="360" w:lineRule="auto"/>
        <w:jc w:val="left"/>
        <w:textAlignment w:val="auto"/>
        <w:rPr>
          <w:rFonts w:ascii="宋体" w:hAnsi="宋体" w:cs="宋体"/>
          <w:b/>
          <w:bCs/>
          <w:kern w:val="0"/>
          <w:szCs w:val="21"/>
          <w:lang w:bidi="ar"/>
        </w:rPr>
      </w:pPr>
      <w:r>
        <w:rPr>
          <w:rFonts w:hint="eastAsia" w:ascii="宋体" w:hAnsi="宋体" w:cs="宋体"/>
          <w:b/>
          <w:bCs/>
          <w:kern w:val="0"/>
          <w:szCs w:val="21"/>
          <w:lang w:bidi="ar"/>
        </w:rPr>
        <w:t>第一章 绪论</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一、智慧园艺概念和特征</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 xml:space="preserve">二、智慧园艺关键技术介绍 </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三、智慧园艺发展趋势与展望</w:t>
      </w:r>
    </w:p>
    <w:p>
      <w:pPr>
        <w:keepNext w:val="0"/>
        <w:keepLines w:val="0"/>
        <w:pageBreakBefore w:val="0"/>
        <w:widowControl/>
        <w:kinsoku/>
        <w:wordWrap/>
        <w:overflowPunct/>
        <w:topLinePunct w:val="0"/>
        <w:autoSpaceDE/>
        <w:autoSpaceDN/>
        <w:bidi w:val="0"/>
        <w:spacing w:line="360" w:lineRule="auto"/>
        <w:jc w:val="left"/>
        <w:textAlignment w:val="auto"/>
        <w:rPr>
          <w:rFonts w:ascii="宋体" w:hAnsi="宋体" w:cs="宋体"/>
          <w:color w:val="000000"/>
          <w:kern w:val="0"/>
          <w:szCs w:val="21"/>
          <w:lang w:bidi="ar"/>
        </w:rPr>
      </w:pPr>
    </w:p>
    <w:p>
      <w:pPr>
        <w:keepNext w:val="0"/>
        <w:keepLines w:val="0"/>
        <w:pageBreakBefore w:val="0"/>
        <w:kinsoku/>
        <w:wordWrap/>
        <w:overflowPunct/>
        <w:topLinePunct w:val="0"/>
        <w:autoSpaceDE/>
        <w:autoSpaceDN/>
        <w:bidi w:val="0"/>
        <w:spacing w:line="360" w:lineRule="auto"/>
        <w:textAlignment w:val="auto"/>
        <w:rPr>
          <w:szCs w:val="21"/>
        </w:rPr>
      </w:pPr>
      <w:r>
        <w:rPr>
          <w:rFonts w:hint="eastAsia" w:ascii="宋体" w:hAnsi="宋体"/>
          <w:b/>
          <w:bCs/>
          <w:szCs w:val="21"/>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color w:val="262600"/>
        </w:rPr>
      </w:pPr>
      <w:r>
        <w:rPr>
          <w:rFonts w:hint="eastAsia"/>
          <w:color w:val="262600"/>
        </w:rPr>
        <w:t>以案例分析、</w:t>
      </w:r>
      <w:r>
        <w:rPr>
          <w:color w:val="262600"/>
        </w:rPr>
        <w:t>数据图例分析</w:t>
      </w:r>
      <w:r>
        <w:rPr>
          <w:rFonts w:hint="eastAsia"/>
          <w:color w:val="262600"/>
        </w:rPr>
        <w:t>法为主；采用图文并茂并</w:t>
      </w:r>
      <w:r>
        <w:rPr>
          <w:color w:val="262600"/>
        </w:rPr>
        <w:t>结合教学视频</w:t>
      </w:r>
      <w:r>
        <w:rPr>
          <w:rFonts w:hint="eastAsia"/>
          <w:color w:val="262600"/>
        </w:rPr>
        <w:t>的方式展示智慧园艺</w:t>
      </w:r>
      <w:r>
        <w:rPr>
          <w:color w:val="262600"/>
        </w:rPr>
        <w:t>的发展历史及研究进展</w:t>
      </w:r>
      <w:r>
        <w:rPr>
          <w:rFonts w:hint="eastAsia"/>
          <w:color w:val="262600"/>
        </w:rPr>
        <w:t>；综合考虑学生前期</w:t>
      </w:r>
      <w:r>
        <w:rPr>
          <w:color w:val="262600"/>
        </w:rPr>
        <w:t>的</w:t>
      </w:r>
      <w:r>
        <w:rPr>
          <w:rFonts w:hint="eastAsia"/>
          <w:color w:val="262600"/>
        </w:rPr>
        <w:t>学习基础</w:t>
      </w:r>
      <w:r>
        <w:rPr>
          <w:color w:val="262600"/>
        </w:rPr>
        <w:t>，</w:t>
      </w:r>
      <w:r>
        <w:rPr>
          <w:szCs w:val="21"/>
        </w:rPr>
        <w:t>课堂讨论智慧园艺生产的优势</w:t>
      </w:r>
      <w:r>
        <w:rPr>
          <w:rFonts w:hint="eastAsia"/>
          <w:szCs w:val="21"/>
        </w:rPr>
        <w:t>，</w:t>
      </w:r>
      <w:r>
        <w:rPr>
          <w:rFonts w:hint="eastAsia"/>
          <w:color w:val="262600"/>
        </w:rPr>
        <w:t>分析智慧</w:t>
      </w:r>
      <w:r>
        <w:rPr>
          <w:color w:val="262600"/>
        </w:rPr>
        <w:t>园艺的发展前景和特点</w:t>
      </w:r>
      <w:r>
        <w:rPr>
          <w:rFonts w:hint="eastAsia"/>
          <w:color w:val="262600"/>
        </w:rPr>
        <w:t>；同时注重通过学生亲眼观察、亲身的体会，后期课程</w:t>
      </w:r>
      <w:r>
        <w:rPr>
          <w:color w:val="262600"/>
        </w:rPr>
        <w:t>实习过程中</w:t>
      </w:r>
      <w:r>
        <w:rPr>
          <w:rFonts w:hint="eastAsia"/>
          <w:color w:val="262600"/>
        </w:rPr>
        <w:t>安排学生进行基地调研。</w:t>
      </w:r>
    </w:p>
    <w:p>
      <w:pPr>
        <w:keepNext w:val="0"/>
        <w:keepLines w:val="0"/>
        <w:pageBreakBefore w:val="0"/>
        <w:kinsoku/>
        <w:wordWrap/>
        <w:overflowPunct/>
        <w:topLinePunct w:val="0"/>
        <w:autoSpaceDE/>
        <w:autoSpaceDN/>
        <w:bidi w:val="0"/>
        <w:spacing w:line="360" w:lineRule="auto"/>
        <w:ind w:firstLine="3162" w:firstLineChars="1500"/>
        <w:jc w:val="right"/>
        <w:textAlignment w:val="auto"/>
        <w:rPr>
          <w:b/>
          <w:bCs/>
        </w:rPr>
      </w:pPr>
    </w:p>
    <w:p>
      <w:pPr>
        <w:keepNext w:val="0"/>
        <w:keepLines w:val="0"/>
        <w:pageBreakBefore w:val="0"/>
        <w:kinsoku/>
        <w:wordWrap/>
        <w:overflowPunct/>
        <w:topLinePunct w:val="0"/>
        <w:autoSpaceDE/>
        <w:autoSpaceDN/>
        <w:bidi w:val="0"/>
        <w:spacing w:line="360" w:lineRule="auto"/>
        <w:ind w:firstLine="3162" w:firstLineChars="1500"/>
        <w:textAlignment w:val="auto"/>
        <w:rPr>
          <w:b/>
          <w:bCs/>
          <w:color w:val="262600"/>
        </w:rPr>
      </w:pPr>
      <w:r>
        <w:rPr>
          <w:b/>
          <w:bCs/>
        </w:rPr>
        <w:t>第二章</w:t>
      </w:r>
      <w:r>
        <w:rPr>
          <w:b/>
          <w:bCs/>
          <w:color w:val="FF0000"/>
        </w:rPr>
        <w:t xml:space="preserve">  </w:t>
      </w:r>
      <w:r>
        <w:rPr>
          <w:rFonts w:hint="eastAsia"/>
          <w:b/>
          <w:bCs/>
        </w:rPr>
        <w:t xml:space="preserve">园艺产业模拟模型技术及其应用  </w:t>
      </w:r>
      <w:r>
        <w:rPr>
          <w:rFonts w:hint="eastAsia"/>
          <w:b/>
          <w:bCs/>
          <w:color w:val="262600"/>
        </w:rPr>
        <w:t xml:space="preserve">   </w:t>
      </w:r>
      <w:r>
        <w:rPr>
          <w:b/>
          <w:bCs/>
          <w:color w:val="262600"/>
        </w:rPr>
        <w:t>学时数</w:t>
      </w:r>
      <w:r>
        <w:rPr>
          <w:rFonts w:hint="eastAsia"/>
          <w:b/>
          <w:bCs/>
          <w:color w:val="262600"/>
        </w:rPr>
        <w:t>：2</w:t>
      </w:r>
    </w:p>
    <w:p>
      <w:pPr>
        <w:keepNext w:val="0"/>
        <w:keepLines w:val="0"/>
        <w:pageBreakBefore w:val="0"/>
        <w:kinsoku/>
        <w:wordWrap/>
        <w:overflowPunct/>
        <w:topLinePunct w:val="0"/>
        <w:autoSpaceDE/>
        <w:autoSpaceDN/>
        <w:bidi w:val="0"/>
        <w:spacing w:line="360" w:lineRule="auto"/>
        <w:textAlignment w:val="auto"/>
        <w:rPr>
          <w:color w:val="262600"/>
        </w:rPr>
      </w:pPr>
      <w:r>
        <w:rPr>
          <w:rFonts w:hint="eastAsia"/>
          <w:b/>
          <w:bCs/>
          <w:color w:val="262600"/>
        </w:rPr>
        <w:t>教学目标：</w:t>
      </w:r>
      <w:r>
        <w:rPr>
          <w:rFonts w:hint="eastAsia"/>
          <w:color w:val="262600"/>
        </w:rPr>
        <w:t>通过学习，使学生掌握园艺产业模拟模型基本概念、作用、原理和方法，学会在园艺产业科学研究与生产中运用模拟模型技术。</w:t>
      </w:r>
    </w:p>
    <w:p>
      <w:pPr>
        <w:keepNext w:val="0"/>
        <w:keepLines w:val="0"/>
        <w:pageBreakBefore w:val="0"/>
        <w:kinsoku/>
        <w:wordWrap/>
        <w:overflowPunct/>
        <w:topLinePunct w:val="0"/>
        <w:autoSpaceDE/>
        <w:autoSpaceDN/>
        <w:bidi w:val="0"/>
        <w:spacing w:line="360" w:lineRule="auto"/>
        <w:textAlignment w:val="auto"/>
        <w:rPr>
          <w:color w:val="262600"/>
        </w:rPr>
      </w:pPr>
      <w:r>
        <w:rPr>
          <w:b/>
          <w:bCs/>
        </w:rPr>
        <w:t>教学重点和难点</w:t>
      </w:r>
      <w:r>
        <w:rPr>
          <w:color w:val="262600"/>
        </w:rPr>
        <w:t>：</w:t>
      </w:r>
      <w:r>
        <w:rPr>
          <w:szCs w:val="21"/>
        </w:rPr>
        <w:t>园艺产业模拟模型基本概念、作用、原理和方法</w:t>
      </w:r>
      <w:r>
        <w:rPr>
          <w:rFonts w:hint="eastAsia"/>
          <w:color w:val="262600"/>
        </w:rPr>
        <w:t>。</w:t>
      </w:r>
    </w:p>
    <w:p>
      <w:pPr>
        <w:keepNext w:val="0"/>
        <w:keepLines w:val="0"/>
        <w:pageBreakBefore w:val="0"/>
        <w:kinsoku/>
        <w:wordWrap/>
        <w:overflowPunct/>
        <w:topLinePunct w:val="0"/>
        <w:autoSpaceDE/>
        <w:autoSpaceDN/>
        <w:bidi w:val="0"/>
        <w:spacing w:line="360" w:lineRule="auto"/>
        <w:textAlignment w:val="auto"/>
        <w:rPr>
          <w:color w:val="262600"/>
        </w:rPr>
      </w:pPr>
      <w:r>
        <w:rPr>
          <w:b/>
          <w:bCs/>
        </w:rPr>
        <w:t>主要教学内容及要求</w:t>
      </w:r>
      <w:r>
        <w:rPr>
          <w:color w:val="262600"/>
        </w:rPr>
        <w:t>：</w:t>
      </w:r>
      <w:r>
        <w:rPr>
          <w:szCs w:val="21"/>
        </w:rPr>
        <w:t>掌握园艺产业模拟模型基本概念、作用、原理和方法，学会在园艺产业科学研究与生产中运用模拟模型技术</w:t>
      </w:r>
      <w:r>
        <w:rPr>
          <w:rFonts w:hint="eastAsia"/>
          <w:color w:val="262600"/>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szCs w:val="21"/>
        </w:rPr>
      </w:pPr>
      <w:r>
        <w:rPr>
          <w:b/>
          <w:bCs/>
        </w:rPr>
        <w:t>第二章</w:t>
      </w:r>
      <w:r>
        <w:rPr>
          <w:b/>
          <w:bCs/>
          <w:color w:val="FF0000"/>
        </w:rPr>
        <w:t xml:space="preserve">  </w:t>
      </w:r>
      <w:r>
        <w:rPr>
          <w:rFonts w:hint="eastAsia"/>
          <w:b/>
          <w:bCs/>
        </w:rPr>
        <w:t>园艺产业模拟模型技术及其应用</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一、模拟模型基本概念</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二、作物生长模型及其分类</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三、作物模拟原理与技术</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四、作物模拟模型应用举例</w:t>
      </w:r>
    </w:p>
    <w:p>
      <w:pPr>
        <w:keepNext w:val="0"/>
        <w:keepLines w:val="0"/>
        <w:pageBreakBefore w:val="0"/>
        <w:kinsoku/>
        <w:wordWrap/>
        <w:overflowPunct/>
        <w:topLinePunct w:val="0"/>
        <w:autoSpaceDE/>
        <w:autoSpaceDN/>
        <w:bidi w:val="0"/>
        <w:spacing w:line="360" w:lineRule="auto"/>
        <w:textAlignment w:val="auto"/>
        <w:rPr>
          <w:szCs w:val="21"/>
        </w:rPr>
      </w:pPr>
      <w:r>
        <w:rPr>
          <w:rFonts w:hint="eastAsia" w:ascii="宋体" w:hAnsi="宋体"/>
          <w:b/>
          <w:bCs/>
          <w:szCs w:val="21"/>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color w:val="262600"/>
        </w:rPr>
      </w:pPr>
      <w:r>
        <w:rPr>
          <w:rFonts w:hint="eastAsia"/>
          <w:color w:val="262600"/>
        </w:rPr>
        <w:t>根据</w:t>
      </w:r>
      <w:r>
        <w:rPr>
          <w:color w:val="262600"/>
        </w:rPr>
        <w:t>学生认知规律和接受特点，</w:t>
      </w:r>
      <w:r>
        <w:rPr>
          <w:rFonts w:hint="eastAsia"/>
          <w:color w:val="262600"/>
        </w:rPr>
        <w:t>采用图文并茂的形式并</w:t>
      </w:r>
      <w:r>
        <w:rPr>
          <w:color w:val="262600"/>
        </w:rPr>
        <w:t>结合教学视频</w:t>
      </w:r>
      <w:r>
        <w:rPr>
          <w:rFonts w:hint="eastAsia"/>
          <w:color w:val="262600"/>
        </w:rPr>
        <w:t>的方式展示</w:t>
      </w:r>
      <w:r>
        <w:rPr>
          <w:rFonts w:hint="eastAsia" w:ascii="宋体" w:hAnsi="宋体"/>
          <w:color w:val="262600"/>
        </w:rPr>
        <w:t>模拟模型基本概念、作物生长模型及其分类、作物模拟原理与技术，</w:t>
      </w:r>
      <w:r>
        <w:rPr>
          <w:color w:val="262600"/>
        </w:rPr>
        <w:t>最终掌握</w:t>
      </w:r>
      <w:r>
        <w:rPr>
          <w:rFonts w:hint="eastAsia"/>
          <w:color w:val="262600"/>
        </w:rPr>
        <w:t>园艺产业模拟模型技术及其应用；结合课堂提问</w:t>
      </w:r>
      <w:r>
        <w:rPr>
          <w:color w:val="262600"/>
        </w:rPr>
        <w:t>互动</w:t>
      </w:r>
      <w:r>
        <w:rPr>
          <w:rFonts w:hint="eastAsia"/>
          <w:color w:val="262600"/>
        </w:rPr>
        <w:t>培养</w:t>
      </w:r>
      <w:r>
        <w:rPr>
          <w:color w:val="262600"/>
        </w:rPr>
        <w:t>学生专业学习兴趣。</w:t>
      </w:r>
    </w:p>
    <w:p>
      <w:pPr>
        <w:keepNext w:val="0"/>
        <w:keepLines w:val="0"/>
        <w:pageBreakBefore w:val="0"/>
        <w:kinsoku/>
        <w:wordWrap/>
        <w:overflowPunct/>
        <w:topLinePunct w:val="0"/>
        <w:autoSpaceDE/>
        <w:autoSpaceDN/>
        <w:bidi w:val="0"/>
        <w:spacing w:line="360" w:lineRule="auto"/>
        <w:ind w:firstLine="3162" w:firstLineChars="1500"/>
        <w:textAlignment w:val="auto"/>
        <w:rPr>
          <w:b/>
          <w:bCs/>
          <w:color w:val="262600"/>
        </w:rPr>
      </w:pPr>
      <w:r>
        <w:rPr>
          <w:b/>
          <w:bCs/>
          <w:color w:val="262600"/>
        </w:rPr>
        <w:t>第</w:t>
      </w:r>
      <w:r>
        <w:rPr>
          <w:rFonts w:hint="eastAsia"/>
          <w:b/>
          <w:bCs/>
        </w:rPr>
        <w:t>三</w:t>
      </w:r>
      <w:r>
        <w:rPr>
          <w:b/>
          <w:bCs/>
          <w:color w:val="262600"/>
        </w:rPr>
        <w:t xml:space="preserve">章  </w:t>
      </w:r>
      <w:r>
        <w:rPr>
          <w:rFonts w:hint="eastAsia"/>
          <w:b/>
          <w:bCs/>
          <w:color w:val="262600"/>
        </w:rPr>
        <w:t xml:space="preserve">园艺产业决策支持系统       </w:t>
      </w:r>
      <w:r>
        <w:rPr>
          <w:b/>
          <w:bCs/>
          <w:color w:val="262600"/>
        </w:rPr>
        <w:t xml:space="preserve">      学时数</w:t>
      </w:r>
      <w:r>
        <w:rPr>
          <w:rFonts w:hint="eastAsia"/>
          <w:b/>
          <w:bCs/>
          <w:color w:val="262600"/>
        </w:rPr>
        <w:t>：</w:t>
      </w:r>
      <w:r>
        <w:rPr>
          <w:b/>
          <w:bCs/>
          <w:color w:val="262600"/>
        </w:rPr>
        <w:t>2</w:t>
      </w:r>
    </w:p>
    <w:p>
      <w:pPr>
        <w:keepNext w:val="0"/>
        <w:keepLines w:val="0"/>
        <w:pageBreakBefore w:val="0"/>
        <w:kinsoku/>
        <w:wordWrap/>
        <w:overflowPunct/>
        <w:topLinePunct w:val="0"/>
        <w:autoSpaceDE/>
        <w:autoSpaceDN/>
        <w:bidi w:val="0"/>
        <w:spacing w:line="360" w:lineRule="auto"/>
        <w:textAlignment w:val="auto"/>
        <w:rPr>
          <w:color w:val="262600"/>
        </w:rPr>
      </w:pPr>
      <w:r>
        <w:rPr>
          <w:rFonts w:hint="eastAsia"/>
          <w:b/>
          <w:bCs/>
          <w:color w:val="262600"/>
        </w:rPr>
        <w:t>教学目标：</w:t>
      </w:r>
      <w:r>
        <w:rPr>
          <w:rFonts w:hint="eastAsia"/>
          <w:color w:val="262600"/>
        </w:rPr>
        <w:t>通过学习，使学生掌握园艺产业专家系统、园艺产业决策支持系统的基本概念与作用、构建方法，园艺产业模拟模型与专家系统耦合的方法。</w:t>
      </w:r>
    </w:p>
    <w:p>
      <w:pPr>
        <w:keepNext w:val="0"/>
        <w:keepLines w:val="0"/>
        <w:pageBreakBefore w:val="0"/>
        <w:kinsoku/>
        <w:wordWrap/>
        <w:overflowPunct/>
        <w:topLinePunct w:val="0"/>
        <w:autoSpaceDE/>
        <w:autoSpaceDN/>
        <w:bidi w:val="0"/>
        <w:spacing w:line="360" w:lineRule="auto"/>
        <w:textAlignment w:val="auto"/>
        <w:rPr>
          <w:color w:val="262600"/>
        </w:rPr>
      </w:pPr>
      <w:r>
        <w:rPr>
          <w:b/>
          <w:bCs/>
        </w:rPr>
        <w:t>教学重点和难点</w:t>
      </w:r>
      <w:r>
        <w:rPr>
          <w:color w:val="262600"/>
        </w:rPr>
        <w:t>：</w:t>
      </w:r>
      <w:r>
        <w:rPr>
          <w:rFonts w:hint="eastAsia"/>
          <w:color w:val="262600"/>
        </w:rPr>
        <w:t>园艺产业专家系统、园艺产业决策支持系统的基本概念与作用。</w:t>
      </w:r>
    </w:p>
    <w:p>
      <w:pPr>
        <w:keepNext w:val="0"/>
        <w:keepLines w:val="0"/>
        <w:pageBreakBefore w:val="0"/>
        <w:kinsoku/>
        <w:wordWrap/>
        <w:overflowPunct/>
        <w:topLinePunct w:val="0"/>
        <w:autoSpaceDE/>
        <w:autoSpaceDN/>
        <w:bidi w:val="0"/>
        <w:spacing w:line="360" w:lineRule="auto"/>
        <w:textAlignment w:val="auto"/>
        <w:rPr>
          <w:color w:val="262600"/>
        </w:rPr>
      </w:pPr>
      <w:r>
        <w:rPr>
          <w:b/>
          <w:bCs/>
        </w:rPr>
        <w:t>主要教学内容及要求</w:t>
      </w:r>
      <w:r>
        <w:rPr>
          <w:color w:val="262600"/>
        </w:rPr>
        <w:t>：</w:t>
      </w:r>
      <w:r>
        <w:rPr>
          <w:rFonts w:hint="eastAsia"/>
          <w:color w:val="262600"/>
        </w:rPr>
        <w:t>掌握园艺产业专家系统、园艺产业决策支持系统的基本概念，了解园艺产业专家系统、园艺产业决策支持系统的作用、构建方法，园艺产业模拟模型与专家系统耦合的方法。</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b/>
          <w:bCs/>
          <w:color w:val="262600"/>
        </w:rPr>
        <w:t>第</w:t>
      </w:r>
      <w:r>
        <w:rPr>
          <w:rFonts w:hint="eastAsia"/>
          <w:b/>
          <w:bCs/>
        </w:rPr>
        <w:t>三</w:t>
      </w:r>
      <w:r>
        <w:rPr>
          <w:b/>
          <w:bCs/>
          <w:color w:val="262600"/>
        </w:rPr>
        <w:t xml:space="preserve">章  </w:t>
      </w:r>
      <w:r>
        <w:rPr>
          <w:rFonts w:hint="eastAsia"/>
          <w:b/>
          <w:bCs/>
          <w:color w:val="262600"/>
        </w:rPr>
        <w:t>园艺产业决策支持系统</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一、园艺产业专家系统及其作用</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二、园艺产业模拟模型与园艺产业决策支持系统耦合</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三、园艺产业决策支持系统构建方法</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四、园艺产业决策支持系统应用举例</w:t>
      </w:r>
    </w:p>
    <w:p>
      <w:pPr>
        <w:keepNext w:val="0"/>
        <w:keepLines w:val="0"/>
        <w:pageBreakBefore w:val="0"/>
        <w:kinsoku/>
        <w:wordWrap/>
        <w:overflowPunct/>
        <w:topLinePunct w:val="0"/>
        <w:autoSpaceDE/>
        <w:autoSpaceDN/>
        <w:bidi w:val="0"/>
        <w:spacing w:line="360" w:lineRule="auto"/>
        <w:textAlignment w:val="auto"/>
        <w:rPr>
          <w:szCs w:val="21"/>
        </w:rPr>
      </w:pPr>
      <w:r>
        <w:rPr>
          <w:rFonts w:hint="eastAsia" w:ascii="宋体" w:hAnsi="宋体"/>
          <w:b/>
          <w:bCs/>
          <w:szCs w:val="21"/>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color w:val="262600"/>
        </w:rPr>
      </w:pPr>
      <w:r>
        <w:rPr>
          <w:rFonts w:hint="eastAsia"/>
          <w:color w:val="262600"/>
        </w:rPr>
        <w:t>以讲解法、案例分析法为主；采用图文并茂并</w:t>
      </w:r>
      <w:r>
        <w:rPr>
          <w:color w:val="262600"/>
        </w:rPr>
        <w:t>结合教学视频</w:t>
      </w:r>
      <w:r>
        <w:rPr>
          <w:rFonts w:hint="eastAsia"/>
          <w:color w:val="262600"/>
        </w:rPr>
        <w:t>的方式展示园艺产业专家系统、园艺产业决策支持系统概念与作用、构建方法；结合课堂提问</w:t>
      </w:r>
      <w:r>
        <w:rPr>
          <w:color w:val="262600"/>
        </w:rPr>
        <w:t>互动</w:t>
      </w:r>
      <w:r>
        <w:rPr>
          <w:rFonts w:hint="eastAsia"/>
          <w:color w:val="262600"/>
        </w:rPr>
        <w:t>讨论</w:t>
      </w:r>
      <w:r>
        <w:rPr>
          <w:rFonts w:hint="eastAsia"/>
          <w:szCs w:val="21"/>
        </w:rPr>
        <w:t>专家决策系统如何在我省园艺生产中实现，</w:t>
      </w:r>
      <w:r>
        <w:rPr>
          <w:rFonts w:hint="eastAsia"/>
          <w:color w:val="262600"/>
        </w:rPr>
        <w:t>培养</w:t>
      </w:r>
      <w:r>
        <w:rPr>
          <w:color w:val="262600"/>
        </w:rPr>
        <w:t>学生专业学习兴趣。</w:t>
      </w:r>
    </w:p>
    <w:p>
      <w:pPr>
        <w:keepNext w:val="0"/>
        <w:keepLines w:val="0"/>
        <w:pageBreakBefore w:val="0"/>
        <w:kinsoku/>
        <w:wordWrap/>
        <w:overflowPunct/>
        <w:topLinePunct w:val="0"/>
        <w:autoSpaceDE/>
        <w:autoSpaceDN/>
        <w:bidi w:val="0"/>
        <w:spacing w:line="360" w:lineRule="auto"/>
        <w:ind w:firstLine="2530" w:firstLineChars="1200"/>
        <w:jc w:val="center"/>
        <w:textAlignment w:val="auto"/>
        <w:rPr>
          <w:b/>
          <w:color w:val="262600"/>
        </w:rPr>
      </w:pPr>
      <w:r>
        <w:rPr>
          <w:rFonts w:hint="eastAsia"/>
          <w:b/>
          <w:color w:val="262600"/>
        </w:rPr>
        <w:t xml:space="preserve">       </w:t>
      </w:r>
      <w:r>
        <w:rPr>
          <w:b/>
          <w:color w:val="262600"/>
        </w:rPr>
        <w:t>第</w:t>
      </w:r>
      <w:r>
        <w:rPr>
          <w:rFonts w:hint="eastAsia"/>
          <w:b/>
        </w:rPr>
        <w:t>四</w:t>
      </w:r>
      <w:r>
        <w:rPr>
          <w:b/>
          <w:color w:val="262600"/>
        </w:rPr>
        <w:t xml:space="preserve">章  </w:t>
      </w:r>
      <w:r>
        <w:rPr>
          <w:rFonts w:hint="eastAsia"/>
          <w:b/>
          <w:color w:val="262600"/>
        </w:rPr>
        <w:t>智慧园艺育种</w:t>
      </w:r>
      <w:r>
        <w:rPr>
          <w:b/>
          <w:color w:val="262600"/>
        </w:rPr>
        <w:t>技术</w:t>
      </w:r>
      <w:r>
        <w:rPr>
          <w:rFonts w:hint="eastAsia"/>
          <w:b/>
          <w:color w:val="262600"/>
        </w:rPr>
        <w:t xml:space="preserve">       </w:t>
      </w:r>
      <w:r>
        <w:rPr>
          <w:b/>
          <w:color w:val="262600"/>
        </w:rPr>
        <w:t xml:space="preserve"> </w:t>
      </w:r>
      <w:r>
        <w:rPr>
          <w:rFonts w:hint="eastAsia"/>
          <w:b/>
          <w:color w:val="262600"/>
        </w:rPr>
        <w:t xml:space="preserve">       </w:t>
      </w:r>
      <w:r>
        <w:rPr>
          <w:b/>
          <w:bCs/>
          <w:color w:val="262600"/>
        </w:rPr>
        <w:t>学时数</w:t>
      </w:r>
      <w:r>
        <w:rPr>
          <w:rFonts w:hint="eastAsia"/>
          <w:b/>
          <w:bCs/>
          <w:color w:val="262600"/>
        </w:rPr>
        <w:t>：4</w:t>
      </w:r>
    </w:p>
    <w:p>
      <w:pPr>
        <w:keepNext w:val="0"/>
        <w:keepLines w:val="0"/>
        <w:pageBreakBefore w:val="0"/>
        <w:kinsoku/>
        <w:wordWrap/>
        <w:overflowPunct/>
        <w:topLinePunct w:val="0"/>
        <w:autoSpaceDE/>
        <w:autoSpaceDN/>
        <w:bidi w:val="0"/>
        <w:spacing w:line="360" w:lineRule="auto"/>
        <w:textAlignment w:val="auto"/>
        <w:rPr>
          <w:color w:val="262600"/>
        </w:rPr>
      </w:pPr>
      <w:r>
        <w:rPr>
          <w:b/>
          <w:bCs/>
        </w:rPr>
        <w:t>教学目</w:t>
      </w:r>
      <w:r>
        <w:rPr>
          <w:rFonts w:hint="eastAsia"/>
          <w:b/>
          <w:bCs/>
        </w:rPr>
        <w:t>标</w:t>
      </w:r>
      <w:r>
        <w:rPr>
          <w:color w:val="262600"/>
        </w:rPr>
        <w:t>：要求掌握</w:t>
      </w:r>
      <w:r>
        <w:rPr>
          <w:rFonts w:hint="eastAsia"/>
          <w:color w:val="262600"/>
        </w:rPr>
        <w:t>智慧园艺育种技术</w:t>
      </w:r>
      <w:r>
        <w:rPr>
          <w:color w:val="262600"/>
        </w:rPr>
        <w:t>措施</w:t>
      </w:r>
      <w:r>
        <w:rPr>
          <w:rFonts w:hint="eastAsia"/>
          <w:color w:val="262600"/>
        </w:rPr>
        <w:t>。</w:t>
      </w:r>
    </w:p>
    <w:p>
      <w:pPr>
        <w:keepNext w:val="0"/>
        <w:keepLines w:val="0"/>
        <w:pageBreakBefore w:val="0"/>
        <w:kinsoku/>
        <w:wordWrap/>
        <w:overflowPunct/>
        <w:topLinePunct w:val="0"/>
        <w:autoSpaceDE/>
        <w:autoSpaceDN/>
        <w:bidi w:val="0"/>
        <w:spacing w:line="360" w:lineRule="auto"/>
        <w:textAlignment w:val="auto"/>
        <w:rPr>
          <w:color w:val="262600"/>
        </w:rPr>
      </w:pPr>
      <w:r>
        <w:rPr>
          <w:b/>
          <w:bCs/>
        </w:rPr>
        <w:t>教学重点和难点</w:t>
      </w:r>
      <w:r>
        <w:rPr>
          <w:color w:val="262600"/>
        </w:rPr>
        <w:t>：</w:t>
      </w:r>
      <w:r>
        <w:rPr>
          <w:rFonts w:hint="eastAsia"/>
          <w:color w:val="262600"/>
        </w:rPr>
        <w:t>遗传信息的智能化育种手段和方法。</w:t>
      </w:r>
    </w:p>
    <w:p>
      <w:pPr>
        <w:keepNext w:val="0"/>
        <w:keepLines w:val="0"/>
        <w:pageBreakBefore w:val="0"/>
        <w:kinsoku/>
        <w:wordWrap/>
        <w:overflowPunct/>
        <w:topLinePunct w:val="0"/>
        <w:autoSpaceDE/>
        <w:autoSpaceDN/>
        <w:bidi w:val="0"/>
        <w:spacing w:line="360" w:lineRule="auto"/>
        <w:textAlignment w:val="auto"/>
        <w:rPr>
          <w:color w:val="262600"/>
        </w:rPr>
      </w:pPr>
      <w:r>
        <w:rPr>
          <w:b/>
          <w:bCs/>
        </w:rPr>
        <w:t>主要教学内容及要求</w:t>
      </w:r>
      <w:r>
        <w:rPr>
          <w:color w:val="262600"/>
        </w:rPr>
        <w:t>：</w:t>
      </w:r>
      <w:r>
        <w:rPr>
          <w:rFonts w:hint="eastAsia"/>
          <w:color w:val="262600"/>
        </w:rPr>
        <w:t>掌握遗传信息的智能化育种手段；了解智慧园艺育种采用的分子标记、基因工程以及云计算技术等。</w:t>
      </w:r>
    </w:p>
    <w:p>
      <w:pPr>
        <w:keepNext w:val="0"/>
        <w:keepLines w:val="0"/>
        <w:pageBreakBefore w:val="0"/>
        <w:kinsoku/>
        <w:wordWrap/>
        <w:overflowPunct/>
        <w:topLinePunct w:val="0"/>
        <w:autoSpaceDE/>
        <w:autoSpaceDN/>
        <w:bidi w:val="0"/>
        <w:spacing w:line="360" w:lineRule="auto"/>
        <w:textAlignment w:val="auto"/>
        <w:rPr>
          <w:b/>
          <w:color w:val="262600"/>
        </w:rPr>
      </w:pPr>
      <w:r>
        <w:rPr>
          <w:b/>
          <w:color w:val="262600"/>
        </w:rPr>
        <w:t>第</w:t>
      </w:r>
      <w:r>
        <w:rPr>
          <w:rFonts w:hint="eastAsia"/>
          <w:b/>
        </w:rPr>
        <w:t>四</w:t>
      </w:r>
      <w:r>
        <w:rPr>
          <w:b/>
          <w:color w:val="262600"/>
        </w:rPr>
        <w:t xml:space="preserve">章  </w:t>
      </w:r>
      <w:r>
        <w:rPr>
          <w:rFonts w:hint="eastAsia"/>
          <w:b/>
          <w:color w:val="262600"/>
        </w:rPr>
        <w:t>智慧园艺育种</w:t>
      </w:r>
      <w:r>
        <w:rPr>
          <w:b/>
          <w:color w:val="262600"/>
        </w:rPr>
        <w:t>技术</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一、智慧园艺育种概念及其作用</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二、智慧园艺育种关键技术</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三、基因工程和分子标记在园艺植物育种中的应用</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四、智慧园艺育种发展趋势与展望</w:t>
      </w:r>
    </w:p>
    <w:p>
      <w:pPr>
        <w:keepNext w:val="0"/>
        <w:keepLines w:val="0"/>
        <w:pageBreakBefore w:val="0"/>
        <w:kinsoku/>
        <w:wordWrap/>
        <w:overflowPunct/>
        <w:topLinePunct w:val="0"/>
        <w:autoSpaceDE/>
        <w:autoSpaceDN/>
        <w:bidi w:val="0"/>
        <w:spacing w:line="360" w:lineRule="auto"/>
        <w:textAlignment w:val="auto"/>
        <w:rPr>
          <w:szCs w:val="21"/>
        </w:rPr>
      </w:pPr>
      <w:r>
        <w:rPr>
          <w:rFonts w:hint="eastAsia" w:ascii="宋体" w:hAnsi="宋体"/>
          <w:b/>
          <w:bCs/>
          <w:szCs w:val="21"/>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color w:val="262600"/>
        </w:rPr>
      </w:pPr>
      <w:r>
        <w:rPr>
          <w:rFonts w:hint="eastAsia"/>
          <w:color w:val="262600"/>
        </w:rPr>
        <w:t>本章</w:t>
      </w:r>
      <w:r>
        <w:rPr>
          <w:color w:val="262600"/>
        </w:rPr>
        <w:t>为该课程的重点内容，</w:t>
      </w:r>
      <w:r>
        <w:rPr>
          <w:rFonts w:hint="eastAsia"/>
          <w:color w:val="262600"/>
        </w:rPr>
        <w:t>根据学生</w:t>
      </w:r>
      <w:r>
        <w:rPr>
          <w:color w:val="262600"/>
        </w:rPr>
        <w:t>前期的学习</w:t>
      </w:r>
      <w:r>
        <w:rPr>
          <w:rFonts w:hint="eastAsia"/>
          <w:color w:val="262600"/>
        </w:rPr>
        <w:t>园艺植物育种学</w:t>
      </w:r>
      <w:r>
        <w:rPr>
          <w:color w:val="262600"/>
        </w:rPr>
        <w:t>基础，从</w:t>
      </w:r>
      <w:r>
        <w:rPr>
          <w:rFonts w:hint="eastAsia"/>
          <w:color w:val="262600"/>
        </w:rPr>
        <w:t>生物技术、信息技术和智能技术与传统园艺育种深度融合</w:t>
      </w:r>
      <w:r>
        <w:rPr>
          <w:color w:val="262600"/>
        </w:rPr>
        <w:t>，</w:t>
      </w:r>
      <w:r>
        <w:rPr>
          <w:rFonts w:hint="eastAsia"/>
          <w:color w:val="262600"/>
        </w:rPr>
        <w:t>通过</w:t>
      </w:r>
      <w:r>
        <w:rPr>
          <w:color w:val="262600"/>
        </w:rPr>
        <w:t>课堂讲解，</w:t>
      </w:r>
      <w:r>
        <w:rPr>
          <w:rFonts w:hint="eastAsia"/>
          <w:color w:val="262600"/>
        </w:rPr>
        <w:t>视频</w:t>
      </w:r>
      <w:r>
        <w:rPr>
          <w:color w:val="262600"/>
        </w:rPr>
        <w:t>资料，以及结合后期教学基地实地实验</w:t>
      </w:r>
      <w:r>
        <w:rPr>
          <w:rFonts w:hint="eastAsia"/>
          <w:color w:val="262600"/>
        </w:rPr>
        <w:t>教学</w:t>
      </w:r>
      <w:r>
        <w:rPr>
          <w:color w:val="262600"/>
        </w:rPr>
        <w:t>，</w:t>
      </w:r>
      <w:r>
        <w:rPr>
          <w:rFonts w:hint="eastAsia"/>
          <w:color w:val="262600"/>
        </w:rPr>
        <w:t>形成大班集中讲授，小班分组实验实习的课程讲授体系，让</w:t>
      </w:r>
      <w:r>
        <w:rPr>
          <w:color w:val="262600"/>
        </w:rPr>
        <w:t>学生们系统全面的</w:t>
      </w:r>
      <w:r>
        <w:rPr>
          <w:rFonts w:hint="eastAsia"/>
          <w:color w:val="262600"/>
        </w:rPr>
        <w:t>掌握</w:t>
      </w:r>
      <w:r>
        <w:rPr>
          <w:color w:val="262600"/>
        </w:rPr>
        <w:t>本章内容</w:t>
      </w:r>
      <w:r>
        <w:rPr>
          <w:rFonts w:hint="eastAsia"/>
          <w:color w:val="262600"/>
        </w:rPr>
        <w:t>。</w:t>
      </w:r>
    </w:p>
    <w:p>
      <w:pPr>
        <w:keepNext w:val="0"/>
        <w:keepLines w:val="0"/>
        <w:pageBreakBefore w:val="0"/>
        <w:kinsoku/>
        <w:wordWrap/>
        <w:overflowPunct/>
        <w:topLinePunct w:val="0"/>
        <w:autoSpaceDE/>
        <w:autoSpaceDN/>
        <w:bidi w:val="0"/>
        <w:spacing w:line="360" w:lineRule="auto"/>
        <w:jc w:val="center"/>
        <w:textAlignment w:val="auto"/>
        <w:rPr>
          <w:b/>
          <w:bCs/>
        </w:rPr>
      </w:pPr>
      <w:r>
        <w:rPr>
          <w:rFonts w:hint="eastAsia"/>
          <w:b/>
          <w:bCs/>
          <w:color w:val="262600"/>
        </w:rPr>
        <w:t xml:space="preserve">                          </w:t>
      </w:r>
      <w:r>
        <w:rPr>
          <w:b/>
          <w:bCs/>
          <w:color w:val="262600"/>
        </w:rPr>
        <w:t>第</w:t>
      </w:r>
      <w:r>
        <w:rPr>
          <w:rFonts w:hint="eastAsia"/>
          <w:b/>
          <w:bCs/>
        </w:rPr>
        <w:t>五</w:t>
      </w:r>
      <w:r>
        <w:rPr>
          <w:b/>
          <w:bCs/>
          <w:color w:val="262600"/>
        </w:rPr>
        <w:t xml:space="preserve">章  </w:t>
      </w:r>
      <w:r>
        <w:rPr>
          <w:rFonts w:hint="eastAsia"/>
          <w:b/>
          <w:bCs/>
          <w:color w:val="262600"/>
        </w:rPr>
        <w:t>园艺产业物联网及其应用</w:t>
      </w:r>
      <w:r>
        <w:rPr>
          <w:rFonts w:hint="eastAsia"/>
          <w:b/>
          <w:bCs/>
        </w:rPr>
        <w:t xml:space="preserve">           </w:t>
      </w:r>
      <w:r>
        <w:rPr>
          <w:b/>
          <w:bCs/>
        </w:rPr>
        <w:t xml:space="preserve"> </w:t>
      </w:r>
      <w:r>
        <w:rPr>
          <w:b/>
          <w:bCs/>
          <w:color w:val="262600"/>
        </w:rPr>
        <w:t>学时数</w:t>
      </w:r>
      <w:r>
        <w:rPr>
          <w:rFonts w:hint="eastAsia"/>
          <w:b/>
          <w:bCs/>
          <w:color w:val="262600"/>
        </w:rPr>
        <w:t>：4</w:t>
      </w:r>
    </w:p>
    <w:p>
      <w:pPr>
        <w:keepNext w:val="0"/>
        <w:keepLines w:val="0"/>
        <w:pageBreakBefore w:val="0"/>
        <w:kinsoku/>
        <w:wordWrap/>
        <w:overflowPunct/>
        <w:topLinePunct w:val="0"/>
        <w:autoSpaceDE/>
        <w:autoSpaceDN/>
        <w:bidi w:val="0"/>
        <w:spacing w:line="360" w:lineRule="auto"/>
        <w:textAlignment w:val="auto"/>
      </w:pPr>
      <w:r>
        <w:rPr>
          <w:b/>
          <w:bCs/>
        </w:rPr>
        <w:t>教学</w:t>
      </w:r>
      <w:r>
        <w:rPr>
          <w:rFonts w:hint="eastAsia"/>
          <w:b/>
          <w:bCs/>
        </w:rPr>
        <w:t>目标</w:t>
      </w:r>
      <w:r>
        <w:t>：要求掌</w:t>
      </w:r>
      <w:r>
        <w:rPr>
          <w:rFonts w:hint="eastAsia"/>
        </w:rPr>
        <w:t>握园艺产业物联网概念及其基本技术，了解运用物联网技术进行作物精确化管理、建立农产品质量追溯体系的一般方法。</w:t>
      </w:r>
    </w:p>
    <w:p>
      <w:pPr>
        <w:keepNext w:val="0"/>
        <w:keepLines w:val="0"/>
        <w:pageBreakBefore w:val="0"/>
        <w:kinsoku/>
        <w:wordWrap/>
        <w:overflowPunct/>
        <w:topLinePunct w:val="0"/>
        <w:autoSpaceDE/>
        <w:autoSpaceDN/>
        <w:bidi w:val="0"/>
        <w:spacing w:line="360" w:lineRule="auto"/>
        <w:textAlignment w:val="auto"/>
      </w:pPr>
      <w:r>
        <w:rPr>
          <w:b/>
          <w:bCs/>
        </w:rPr>
        <w:t>教学重点和难点</w:t>
      </w:r>
      <w:r>
        <w:t>：</w:t>
      </w:r>
      <w:r>
        <w:rPr>
          <w:rFonts w:hint="eastAsia"/>
        </w:rPr>
        <w:t>园艺产业物联网概念及其基本</w:t>
      </w:r>
      <w:r>
        <w:t>技术（</w:t>
      </w:r>
      <w:r>
        <w:rPr>
          <w:rFonts w:hint="eastAsia"/>
        </w:rPr>
        <w:t>数据采集</w:t>
      </w:r>
      <w:r>
        <w:t>、</w:t>
      </w:r>
      <w:r>
        <w:rPr>
          <w:rFonts w:hint="eastAsia"/>
        </w:rPr>
        <w:t>数据传输</w:t>
      </w:r>
      <w:r>
        <w:t>、</w:t>
      </w:r>
      <w:r>
        <w:rPr>
          <w:rFonts w:hint="eastAsia"/>
        </w:rPr>
        <w:t>云计算平台、数据中心和数据处理</w:t>
      </w:r>
      <w:r>
        <w:t>等</w:t>
      </w:r>
      <w:r>
        <w:rPr>
          <w:rFonts w:hint="eastAsia"/>
        </w:rPr>
        <w:t>）</w:t>
      </w:r>
      <w:r>
        <w:t>。</w:t>
      </w:r>
    </w:p>
    <w:p>
      <w:pPr>
        <w:keepNext w:val="0"/>
        <w:keepLines w:val="0"/>
        <w:pageBreakBefore w:val="0"/>
        <w:kinsoku/>
        <w:wordWrap/>
        <w:overflowPunct/>
        <w:topLinePunct w:val="0"/>
        <w:autoSpaceDE/>
        <w:autoSpaceDN/>
        <w:bidi w:val="0"/>
        <w:spacing w:line="360" w:lineRule="auto"/>
        <w:textAlignment w:val="auto"/>
      </w:pPr>
      <w:r>
        <w:rPr>
          <w:b/>
          <w:bCs/>
        </w:rPr>
        <w:t>主要教学内容及要求</w:t>
      </w:r>
      <w:r>
        <w:t>：</w:t>
      </w:r>
      <w:r>
        <w:rPr>
          <w:rFonts w:hint="eastAsia"/>
        </w:rPr>
        <w:t>了解物联网技术进行作物精确化管理、建立农产品质量追溯体系的一般方法及其设施园艺物联网技术与应用进展</w:t>
      </w:r>
      <w:r>
        <w:t>，掌握</w:t>
      </w:r>
      <w:r>
        <w:rPr>
          <w:rFonts w:hint="eastAsia"/>
        </w:rPr>
        <w:t>园艺产业物联网概念及其基本技术。</w:t>
      </w:r>
    </w:p>
    <w:p>
      <w:pPr>
        <w:keepNext w:val="0"/>
        <w:keepLines w:val="0"/>
        <w:pageBreakBefore w:val="0"/>
        <w:kinsoku/>
        <w:wordWrap/>
        <w:overflowPunct/>
        <w:topLinePunct w:val="0"/>
        <w:autoSpaceDE/>
        <w:autoSpaceDN/>
        <w:bidi w:val="0"/>
        <w:spacing w:line="360" w:lineRule="auto"/>
        <w:textAlignment w:val="auto"/>
        <w:rPr>
          <w:b/>
          <w:bCs/>
          <w:color w:val="262600"/>
        </w:rPr>
      </w:pPr>
      <w:r>
        <w:rPr>
          <w:b/>
          <w:bCs/>
          <w:color w:val="262600"/>
        </w:rPr>
        <w:t>第</w:t>
      </w:r>
      <w:r>
        <w:rPr>
          <w:rFonts w:hint="eastAsia"/>
          <w:b/>
          <w:bCs/>
        </w:rPr>
        <w:t>五</w:t>
      </w:r>
      <w:r>
        <w:rPr>
          <w:b/>
          <w:bCs/>
          <w:color w:val="262600"/>
        </w:rPr>
        <w:t xml:space="preserve">章  </w:t>
      </w:r>
      <w:r>
        <w:rPr>
          <w:rFonts w:hint="eastAsia"/>
          <w:b/>
          <w:bCs/>
          <w:color w:val="262600"/>
        </w:rPr>
        <w:t>园艺产业物联网及其应用</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一、园艺物联网概念及其特征</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二、园艺物联网在作物精准化管理中的应用</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三、园艺物联网与农产品质量追溯体系</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四、园艺物联网应用举例</w:t>
      </w:r>
    </w:p>
    <w:p>
      <w:pPr>
        <w:keepNext w:val="0"/>
        <w:keepLines w:val="0"/>
        <w:pageBreakBefore w:val="0"/>
        <w:kinsoku/>
        <w:wordWrap/>
        <w:overflowPunct/>
        <w:topLinePunct w:val="0"/>
        <w:autoSpaceDE/>
        <w:autoSpaceDN/>
        <w:bidi w:val="0"/>
        <w:spacing w:line="360" w:lineRule="auto"/>
        <w:textAlignment w:val="auto"/>
        <w:rPr>
          <w:szCs w:val="21"/>
        </w:rPr>
      </w:pPr>
      <w:r>
        <w:rPr>
          <w:rFonts w:hint="eastAsia" w:ascii="宋体" w:hAnsi="宋体"/>
          <w:b/>
          <w:bCs/>
          <w:szCs w:val="21"/>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color w:val="262600"/>
        </w:rPr>
      </w:pPr>
      <w:r>
        <w:rPr>
          <w:rFonts w:hint="eastAsia"/>
          <w:color w:val="262600"/>
        </w:rPr>
        <w:t>以讲解法、案例分析法为主；采用图文并茂并</w:t>
      </w:r>
      <w:r>
        <w:rPr>
          <w:color w:val="262600"/>
        </w:rPr>
        <w:t>结合教学视频</w:t>
      </w:r>
      <w:r>
        <w:rPr>
          <w:rFonts w:hint="eastAsia"/>
          <w:color w:val="262600"/>
        </w:rPr>
        <w:t>的方式展示园艺产业物联网</w:t>
      </w:r>
      <w:r>
        <w:rPr>
          <w:color w:val="262600"/>
        </w:rPr>
        <w:t>技术要点</w:t>
      </w:r>
      <w:r>
        <w:rPr>
          <w:rFonts w:hint="eastAsia"/>
          <w:color w:val="262600"/>
        </w:rPr>
        <w:t>及其应用范围；结合课堂提问</w:t>
      </w:r>
      <w:r>
        <w:rPr>
          <w:color w:val="262600"/>
        </w:rPr>
        <w:t>互动</w:t>
      </w:r>
      <w:r>
        <w:rPr>
          <w:rFonts w:hint="eastAsia"/>
          <w:color w:val="262600"/>
        </w:rPr>
        <w:t>培养</w:t>
      </w:r>
      <w:r>
        <w:rPr>
          <w:color w:val="262600"/>
        </w:rPr>
        <w:t>学生专业学习兴趣</w:t>
      </w:r>
      <w:r>
        <w:rPr>
          <w:rFonts w:hint="eastAsia"/>
          <w:color w:val="262600"/>
        </w:rPr>
        <w:t>，</w:t>
      </w:r>
      <w:r>
        <w:rPr>
          <w:szCs w:val="21"/>
        </w:rPr>
        <w:t>课堂讨论</w:t>
      </w:r>
      <w:r>
        <w:rPr>
          <w:rFonts w:hint="eastAsia"/>
          <w:szCs w:val="21"/>
        </w:rPr>
        <w:t>物联网技术在河南温室大棚中有哪些应用</w:t>
      </w:r>
      <w:r>
        <w:rPr>
          <w:color w:val="262600"/>
        </w:rPr>
        <w:t>。</w:t>
      </w:r>
      <w:r>
        <w:rPr>
          <w:rFonts w:hint="eastAsia"/>
          <w:color w:val="262600"/>
        </w:rPr>
        <w:t>并结合</w:t>
      </w:r>
      <w:r>
        <w:rPr>
          <w:color w:val="262600"/>
        </w:rPr>
        <w:t>后期实验实地教学让学生熟练掌握</w:t>
      </w:r>
      <w:r>
        <w:rPr>
          <w:rFonts w:hint="eastAsia"/>
          <w:color w:val="262600"/>
        </w:rPr>
        <w:t>园艺产业物联网技术</w:t>
      </w:r>
      <w:r>
        <w:rPr>
          <w:color w:val="262600"/>
        </w:rPr>
        <w:t>。</w:t>
      </w:r>
    </w:p>
    <w:p>
      <w:pPr>
        <w:keepNext w:val="0"/>
        <w:keepLines w:val="0"/>
        <w:pageBreakBefore w:val="0"/>
        <w:kinsoku/>
        <w:wordWrap/>
        <w:overflowPunct/>
        <w:topLinePunct w:val="0"/>
        <w:autoSpaceDE/>
        <w:autoSpaceDN/>
        <w:bidi w:val="0"/>
        <w:spacing w:line="360" w:lineRule="auto"/>
        <w:jc w:val="right"/>
        <w:textAlignment w:val="auto"/>
        <w:rPr>
          <w:b/>
          <w:bCs/>
          <w:color w:val="262600"/>
        </w:rPr>
      </w:pPr>
      <w:r>
        <w:rPr>
          <w:b/>
          <w:bCs/>
          <w:color w:val="262600"/>
        </w:rPr>
        <w:t>第</w:t>
      </w:r>
      <w:r>
        <w:rPr>
          <w:rFonts w:hint="eastAsia"/>
          <w:b/>
          <w:bCs/>
        </w:rPr>
        <w:t>六</w:t>
      </w:r>
      <w:r>
        <w:rPr>
          <w:b/>
          <w:bCs/>
          <w:color w:val="262600"/>
        </w:rPr>
        <w:t xml:space="preserve">章  </w:t>
      </w:r>
      <w:r>
        <w:rPr>
          <w:rFonts w:hint="eastAsia"/>
          <w:b/>
          <w:bCs/>
          <w:color w:val="262600"/>
        </w:rPr>
        <w:t xml:space="preserve">大数据技术及其园艺产业应用           </w:t>
      </w:r>
      <w:r>
        <w:rPr>
          <w:b/>
          <w:bCs/>
          <w:color w:val="262600"/>
        </w:rPr>
        <w:t xml:space="preserve"> 学时数</w:t>
      </w:r>
      <w:r>
        <w:rPr>
          <w:rFonts w:hint="eastAsia"/>
          <w:b/>
          <w:bCs/>
          <w:color w:val="262600"/>
        </w:rPr>
        <w:t>：4</w:t>
      </w:r>
    </w:p>
    <w:p>
      <w:pPr>
        <w:keepNext w:val="0"/>
        <w:keepLines w:val="0"/>
        <w:pageBreakBefore w:val="0"/>
        <w:tabs>
          <w:tab w:val="left" w:pos="4770"/>
        </w:tabs>
        <w:kinsoku/>
        <w:wordWrap/>
        <w:overflowPunct/>
        <w:topLinePunct w:val="0"/>
        <w:autoSpaceDE/>
        <w:autoSpaceDN/>
        <w:bidi w:val="0"/>
        <w:spacing w:line="360" w:lineRule="auto"/>
        <w:textAlignment w:val="auto"/>
        <w:rPr>
          <w:color w:val="262600"/>
        </w:rPr>
      </w:pPr>
      <w:r>
        <w:rPr>
          <w:b/>
          <w:bCs/>
        </w:rPr>
        <w:t>教学目</w:t>
      </w:r>
      <w:r>
        <w:rPr>
          <w:rFonts w:hint="eastAsia"/>
          <w:b/>
          <w:bCs/>
        </w:rPr>
        <w:t>标</w:t>
      </w:r>
      <w:r>
        <w:rPr>
          <w:color w:val="262600"/>
        </w:rPr>
        <w:t>：</w:t>
      </w:r>
      <w:r>
        <w:rPr>
          <w:rFonts w:hint="eastAsia"/>
          <w:color w:val="262600"/>
        </w:rPr>
        <w:t>掌握大数据概念及其技术特征，了解运用大数据技术进行农情分析、作物精细化管理的一般方法及其在产业链中的应用。</w:t>
      </w:r>
    </w:p>
    <w:p>
      <w:pPr>
        <w:keepNext w:val="0"/>
        <w:keepLines w:val="0"/>
        <w:pageBreakBefore w:val="0"/>
        <w:tabs>
          <w:tab w:val="left" w:pos="4770"/>
        </w:tabs>
        <w:kinsoku/>
        <w:wordWrap/>
        <w:overflowPunct/>
        <w:topLinePunct w:val="0"/>
        <w:autoSpaceDE/>
        <w:autoSpaceDN/>
        <w:bidi w:val="0"/>
        <w:spacing w:line="360" w:lineRule="auto"/>
        <w:textAlignment w:val="auto"/>
        <w:rPr>
          <w:color w:val="262600"/>
        </w:rPr>
      </w:pPr>
      <w:r>
        <w:rPr>
          <w:b/>
          <w:bCs/>
        </w:rPr>
        <w:t>教学重点和难点</w:t>
      </w:r>
      <w:r>
        <w:rPr>
          <w:color w:val="262600"/>
        </w:rPr>
        <w:t xml:space="preserve">: </w:t>
      </w:r>
      <w:r>
        <w:rPr>
          <w:rFonts w:hint="eastAsia"/>
          <w:color w:val="262600"/>
        </w:rPr>
        <w:t>大数据概念及其技术特征。</w:t>
      </w:r>
      <w:r>
        <w:rPr>
          <w:color w:val="262600"/>
        </w:rPr>
        <w:tab/>
      </w:r>
    </w:p>
    <w:p>
      <w:pPr>
        <w:keepNext w:val="0"/>
        <w:keepLines w:val="0"/>
        <w:pageBreakBefore w:val="0"/>
        <w:kinsoku/>
        <w:wordWrap/>
        <w:overflowPunct/>
        <w:topLinePunct w:val="0"/>
        <w:autoSpaceDE/>
        <w:autoSpaceDN/>
        <w:bidi w:val="0"/>
        <w:spacing w:line="360" w:lineRule="auto"/>
        <w:textAlignment w:val="auto"/>
        <w:rPr>
          <w:color w:val="262600"/>
        </w:rPr>
      </w:pPr>
      <w:r>
        <w:rPr>
          <w:b/>
          <w:bCs/>
        </w:rPr>
        <w:t>主要教学内容及要求</w:t>
      </w:r>
      <w:r>
        <w:rPr>
          <w:color w:val="262600"/>
        </w:rPr>
        <w:t>：</w:t>
      </w:r>
      <w:r>
        <w:rPr>
          <w:rFonts w:hint="eastAsia"/>
          <w:color w:val="262600"/>
        </w:rPr>
        <w:t>了解运用大数据技术进行农情分析、作物精细化管理的一般方法</w:t>
      </w:r>
      <w:r>
        <w:rPr>
          <w:color w:val="262600"/>
        </w:rPr>
        <w:t>，</w:t>
      </w:r>
      <w:r>
        <w:rPr>
          <w:rFonts w:hint="eastAsia"/>
          <w:color w:val="262600"/>
        </w:rPr>
        <w:t>了解大数据在园艺产业链中的应用</w:t>
      </w:r>
      <w:r>
        <w:rPr>
          <w:color w:val="262600"/>
        </w:rPr>
        <w:t>，掌握</w:t>
      </w:r>
      <w:r>
        <w:rPr>
          <w:rFonts w:hint="eastAsia"/>
          <w:color w:val="262600"/>
        </w:rPr>
        <w:t>大数据概念及其技术特征</w:t>
      </w:r>
      <w:r>
        <w:rPr>
          <w:color w:val="262600"/>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szCs w:val="21"/>
        </w:rPr>
      </w:pPr>
      <w:r>
        <w:rPr>
          <w:b/>
          <w:bCs/>
          <w:color w:val="262600"/>
        </w:rPr>
        <w:t>第</w:t>
      </w:r>
      <w:r>
        <w:rPr>
          <w:rFonts w:hint="eastAsia"/>
          <w:b/>
          <w:bCs/>
        </w:rPr>
        <w:t>六</w:t>
      </w:r>
      <w:r>
        <w:rPr>
          <w:b/>
          <w:bCs/>
          <w:color w:val="262600"/>
        </w:rPr>
        <w:t xml:space="preserve">章  </w:t>
      </w:r>
      <w:r>
        <w:rPr>
          <w:rFonts w:hint="eastAsia"/>
          <w:b/>
          <w:bCs/>
          <w:color w:val="262600"/>
        </w:rPr>
        <w:t xml:space="preserve">大数据技术及其园艺产业应用 </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一、大数据概述</w:t>
      </w:r>
    </w:p>
    <w:p>
      <w:pPr>
        <w:keepNext w:val="0"/>
        <w:keepLines w:val="0"/>
        <w:pageBreakBefore w:val="0"/>
        <w:kinsoku/>
        <w:wordWrap/>
        <w:overflowPunct/>
        <w:topLinePunct w:val="0"/>
        <w:autoSpaceDE/>
        <w:autoSpaceDN/>
        <w:bidi w:val="0"/>
        <w:spacing w:line="360" w:lineRule="auto"/>
        <w:textAlignment w:val="auto"/>
        <w:rPr>
          <w:rFonts w:ascii="宋体" w:hAnsi="宋体" w:cs="宋体"/>
          <w:color w:val="000000"/>
          <w:kern w:val="0"/>
          <w:szCs w:val="21"/>
          <w:lang w:bidi="ar"/>
        </w:rPr>
      </w:pPr>
      <w:r>
        <w:rPr>
          <w:rFonts w:hint="eastAsia" w:ascii="宋体" w:hAnsi="宋体"/>
          <w:color w:val="262600"/>
        </w:rPr>
        <w:t>二、</w:t>
      </w:r>
      <w:r>
        <w:rPr>
          <w:rFonts w:hint="eastAsia" w:ascii="宋体" w:hAnsi="宋体" w:cs="宋体"/>
          <w:color w:val="000000"/>
          <w:kern w:val="0"/>
          <w:szCs w:val="21"/>
          <w:lang w:bidi="ar"/>
        </w:rPr>
        <w:t>大数据采集技术介绍</w:t>
      </w:r>
    </w:p>
    <w:p>
      <w:pPr>
        <w:keepNext w:val="0"/>
        <w:keepLines w:val="0"/>
        <w:pageBreakBefore w:val="0"/>
        <w:kinsoku/>
        <w:wordWrap/>
        <w:overflowPunct/>
        <w:topLinePunct w:val="0"/>
        <w:autoSpaceDE/>
        <w:autoSpaceDN/>
        <w:bidi w:val="0"/>
        <w:spacing w:line="360" w:lineRule="auto"/>
        <w:textAlignment w:val="auto"/>
        <w:rPr>
          <w:rFonts w:ascii="宋体" w:hAnsi="宋体" w:cs="宋体"/>
          <w:color w:val="000000"/>
          <w:kern w:val="0"/>
          <w:szCs w:val="21"/>
          <w:lang w:bidi="ar"/>
        </w:rPr>
      </w:pPr>
      <w:r>
        <w:rPr>
          <w:rFonts w:hint="eastAsia" w:ascii="宋体" w:hAnsi="宋体" w:cs="宋体"/>
          <w:color w:val="000000"/>
          <w:kern w:val="0"/>
          <w:szCs w:val="21"/>
          <w:lang w:bidi="ar"/>
        </w:rPr>
        <w:t>三、大数据处理技术-Hadoop介绍</w:t>
      </w:r>
    </w:p>
    <w:p>
      <w:pPr>
        <w:keepNext w:val="0"/>
        <w:keepLines w:val="0"/>
        <w:pageBreakBefore w:val="0"/>
        <w:kinsoku/>
        <w:wordWrap/>
        <w:overflowPunct/>
        <w:topLinePunct w:val="0"/>
        <w:autoSpaceDE/>
        <w:autoSpaceDN/>
        <w:bidi w:val="0"/>
        <w:spacing w:line="360" w:lineRule="auto"/>
        <w:textAlignment w:val="auto"/>
        <w:rPr>
          <w:rFonts w:ascii="宋体" w:hAnsi="宋体" w:cs="宋体"/>
          <w:color w:val="000000"/>
          <w:kern w:val="0"/>
          <w:szCs w:val="21"/>
          <w:lang w:bidi="ar"/>
        </w:rPr>
      </w:pPr>
      <w:r>
        <w:rPr>
          <w:rFonts w:hint="eastAsia" w:ascii="宋体" w:hAnsi="宋体" w:cs="宋体"/>
          <w:color w:val="000000"/>
          <w:kern w:val="0"/>
          <w:szCs w:val="21"/>
          <w:lang w:bidi="ar"/>
        </w:rPr>
        <w:t>四、大数据处理技术-分析与决策</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s="宋体"/>
          <w:color w:val="000000"/>
          <w:kern w:val="0"/>
          <w:szCs w:val="21"/>
          <w:lang w:bidi="ar"/>
        </w:rPr>
        <w:t>五、</w:t>
      </w:r>
      <w:r>
        <w:rPr>
          <w:rFonts w:hint="eastAsia" w:ascii="宋体" w:hAnsi="宋体"/>
          <w:color w:val="262600"/>
        </w:rPr>
        <w:t>大数据技术在园艺产业链</w:t>
      </w:r>
      <w:r>
        <w:rPr>
          <w:rFonts w:hint="eastAsia" w:ascii="宋体" w:hAnsi="宋体" w:cs="宋体"/>
          <w:color w:val="000000"/>
          <w:kern w:val="0"/>
          <w:szCs w:val="21"/>
          <w:lang w:bidi="ar"/>
        </w:rPr>
        <w:t>中的应用</w:t>
      </w:r>
    </w:p>
    <w:p>
      <w:pPr>
        <w:keepNext w:val="0"/>
        <w:keepLines w:val="0"/>
        <w:pageBreakBefore w:val="0"/>
        <w:kinsoku/>
        <w:wordWrap/>
        <w:overflowPunct/>
        <w:topLinePunct w:val="0"/>
        <w:autoSpaceDE/>
        <w:autoSpaceDN/>
        <w:bidi w:val="0"/>
        <w:spacing w:line="360" w:lineRule="auto"/>
        <w:textAlignment w:val="auto"/>
        <w:rPr>
          <w:rFonts w:ascii="宋体" w:hAnsi="宋体"/>
          <w:color w:val="262600"/>
        </w:rPr>
      </w:pPr>
      <w:r>
        <w:rPr>
          <w:rFonts w:hint="eastAsia" w:ascii="宋体" w:hAnsi="宋体"/>
          <w:color w:val="262600"/>
        </w:rPr>
        <w:t>六、</w:t>
      </w:r>
      <w:r>
        <w:rPr>
          <w:rFonts w:hint="eastAsia" w:ascii="宋体" w:hAnsi="宋体" w:cs="宋体"/>
          <w:color w:val="000000"/>
          <w:kern w:val="0"/>
          <w:szCs w:val="21"/>
          <w:lang w:bidi="ar"/>
        </w:rPr>
        <w:t>大数据的问题及其发展</w:t>
      </w:r>
    </w:p>
    <w:p>
      <w:pPr>
        <w:keepNext w:val="0"/>
        <w:keepLines w:val="0"/>
        <w:pageBreakBefore w:val="0"/>
        <w:widowControl/>
        <w:kinsoku/>
        <w:wordWrap/>
        <w:overflowPunct/>
        <w:topLinePunct w:val="0"/>
        <w:autoSpaceDE/>
        <w:autoSpaceDN/>
        <w:bidi w:val="0"/>
        <w:snapToGrid w:val="0"/>
        <w:spacing w:line="360" w:lineRule="auto"/>
        <w:textAlignment w:val="auto"/>
        <w:rPr>
          <w:rFonts w:ascii="宋体" w:hAnsi="宋体"/>
          <w:b/>
          <w:bCs/>
          <w:szCs w:val="21"/>
        </w:rPr>
      </w:pPr>
      <w:r>
        <w:rPr>
          <w:rFonts w:hint="eastAsia" w:ascii="宋体" w:hAnsi="宋体"/>
          <w:b/>
          <w:bCs/>
          <w:szCs w:val="21"/>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color w:val="262600"/>
        </w:rPr>
      </w:pPr>
      <w:r>
        <w:rPr>
          <w:rFonts w:hint="eastAsia"/>
          <w:color w:val="262600"/>
        </w:rPr>
        <w:t>以讲解法、案例分析法为主；采用图文并茂并</w:t>
      </w:r>
      <w:r>
        <w:rPr>
          <w:color w:val="262600"/>
        </w:rPr>
        <w:t>结合教学视频</w:t>
      </w:r>
      <w:r>
        <w:rPr>
          <w:rFonts w:hint="eastAsia"/>
          <w:color w:val="262600"/>
        </w:rPr>
        <w:t>的方式展示大数据采集技术、大数据处理技术（术-Hadoop 技术介绍、分析与决策）；结合课堂提问</w:t>
      </w:r>
      <w:r>
        <w:rPr>
          <w:color w:val="262600"/>
        </w:rPr>
        <w:t>互动</w:t>
      </w:r>
      <w:r>
        <w:rPr>
          <w:rFonts w:hint="eastAsia"/>
          <w:color w:val="262600"/>
        </w:rPr>
        <w:t>讨论如何利用大数据技术在我省实现提升优质园艺产品价格，培养</w:t>
      </w:r>
      <w:r>
        <w:rPr>
          <w:color w:val="262600"/>
        </w:rPr>
        <w:t>学生专业学习兴趣。</w:t>
      </w:r>
    </w:p>
    <w:p>
      <w:pPr>
        <w:keepNext w:val="0"/>
        <w:keepLines w:val="0"/>
        <w:pageBreakBefore w:val="0"/>
        <w:kinsoku/>
        <w:wordWrap/>
        <w:overflowPunct/>
        <w:topLinePunct w:val="0"/>
        <w:autoSpaceDE/>
        <w:autoSpaceDN/>
        <w:bidi w:val="0"/>
        <w:spacing w:line="360" w:lineRule="auto"/>
        <w:jc w:val="right"/>
        <w:textAlignment w:val="auto"/>
        <w:rPr>
          <w:b/>
          <w:bCs/>
          <w:color w:val="262600"/>
        </w:rPr>
      </w:pPr>
      <w:r>
        <w:rPr>
          <w:b/>
          <w:bCs/>
          <w:color w:val="262600"/>
        </w:rPr>
        <w:t>第</w:t>
      </w:r>
      <w:r>
        <w:rPr>
          <w:rFonts w:hint="eastAsia"/>
          <w:b/>
          <w:bCs/>
        </w:rPr>
        <w:t>七</w:t>
      </w:r>
      <w:r>
        <w:rPr>
          <w:b/>
          <w:bCs/>
          <w:color w:val="262600"/>
        </w:rPr>
        <w:t xml:space="preserve">章  </w:t>
      </w:r>
      <w:r>
        <w:rPr>
          <w:rFonts w:hint="eastAsia"/>
          <w:b/>
          <w:bCs/>
          <w:color w:val="262600"/>
        </w:rPr>
        <w:t xml:space="preserve">园艺信息化服务与智能化装备           </w:t>
      </w:r>
      <w:r>
        <w:rPr>
          <w:b/>
          <w:bCs/>
          <w:color w:val="262600"/>
        </w:rPr>
        <w:t xml:space="preserve"> 学时数</w:t>
      </w:r>
      <w:r>
        <w:rPr>
          <w:rFonts w:hint="eastAsia"/>
          <w:b/>
          <w:bCs/>
          <w:color w:val="262600"/>
        </w:rPr>
        <w:t>：6</w:t>
      </w:r>
    </w:p>
    <w:p>
      <w:pPr>
        <w:keepNext w:val="0"/>
        <w:keepLines w:val="0"/>
        <w:pageBreakBefore w:val="0"/>
        <w:tabs>
          <w:tab w:val="left" w:pos="4770"/>
        </w:tabs>
        <w:kinsoku/>
        <w:wordWrap/>
        <w:overflowPunct/>
        <w:topLinePunct w:val="0"/>
        <w:autoSpaceDE/>
        <w:autoSpaceDN/>
        <w:bidi w:val="0"/>
        <w:spacing w:line="360" w:lineRule="auto"/>
        <w:textAlignment w:val="auto"/>
        <w:rPr>
          <w:color w:val="262600"/>
        </w:rPr>
      </w:pPr>
      <w:r>
        <w:rPr>
          <w:b/>
          <w:bCs/>
        </w:rPr>
        <w:t>教学目</w:t>
      </w:r>
      <w:r>
        <w:rPr>
          <w:rFonts w:hint="eastAsia"/>
          <w:b/>
          <w:bCs/>
        </w:rPr>
        <w:t>标</w:t>
      </w:r>
      <w:r>
        <w:rPr>
          <w:color w:val="262600"/>
        </w:rPr>
        <w:t>：</w:t>
      </w:r>
      <w:r>
        <w:rPr>
          <w:szCs w:val="21"/>
        </w:rPr>
        <w:t>掌握农机农艺和信息技术融合的技术途径，了解园艺产业智能化装备在园艺产业现代化生产中的应用现状及其发展前景</w:t>
      </w:r>
      <w:r>
        <w:rPr>
          <w:rFonts w:hint="eastAsia"/>
          <w:color w:val="262600"/>
        </w:rPr>
        <w:t>。</w:t>
      </w:r>
    </w:p>
    <w:p>
      <w:pPr>
        <w:keepNext w:val="0"/>
        <w:keepLines w:val="0"/>
        <w:pageBreakBefore w:val="0"/>
        <w:tabs>
          <w:tab w:val="left" w:pos="4770"/>
        </w:tabs>
        <w:kinsoku/>
        <w:wordWrap/>
        <w:overflowPunct/>
        <w:topLinePunct w:val="0"/>
        <w:autoSpaceDE/>
        <w:autoSpaceDN/>
        <w:bidi w:val="0"/>
        <w:spacing w:line="360" w:lineRule="auto"/>
        <w:textAlignment w:val="auto"/>
        <w:rPr>
          <w:color w:val="262600"/>
        </w:rPr>
      </w:pPr>
      <w:r>
        <w:rPr>
          <w:b/>
          <w:bCs/>
        </w:rPr>
        <w:t>教学重点和难点</w:t>
      </w:r>
      <w:r>
        <w:rPr>
          <w:color w:val="262600"/>
        </w:rPr>
        <w:t xml:space="preserve">: </w:t>
      </w:r>
      <w:r>
        <w:rPr>
          <w:szCs w:val="21"/>
        </w:rPr>
        <w:t>农机农艺和信息技术融合的技术途径</w:t>
      </w:r>
      <w:r>
        <w:rPr>
          <w:rFonts w:hint="eastAsia"/>
          <w:szCs w:val="21"/>
        </w:rPr>
        <w:t>。</w:t>
      </w:r>
      <w:r>
        <w:rPr>
          <w:color w:val="262600"/>
        </w:rPr>
        <w:tab/>
      </w:r>
    </w:p>
    <w:p>
      <w:pPr>
        <w:keepNext w:val="0"/>
        <w:keepLines w:val="0"/>
        <w:pageBreakBefore w:val="0"/>
        <w:kinsoku/>
        <w:wordWrap/>
        <w:overflowPunct/>
        <w:topLinePunct w:val="0"/>
        <w:autoSpaceDE/>
        <w:autoSpaceDN/>
        <w:bidi w:val="0"/>
        <w:spacing w:line="360" w:lineRule="auto"/>
        <w:textAlignment w:val="auto"/>
        <w:rPr>
          <w:color w:val="262600"/>
        </w:rPr>
      </w:pPr>
      <w:r>
        <w:rPr>
          <w:b/>
          <w:bCs/>
        </w:rPr>
        <w:t>主要教学内容及要求</w:t>
      </w:r>
      <w:r>
        <w:rPr>
          <w:color w:val="262600"/>
        </w:rPr>
        <w:t>：</w:t>
      </w:r>
      <w:r>
        <w:rPr>
          <w:rFonts w:hint="eastAsia"/>
          <w:color w:val="262600"/>
        </w:rPr>
        <w:t>了解</w:t>
      </w:r>
      <w:r>
        <w:rPr>
          <w:szCs w:val="21"/>
        </w:rPr>
        <w:t>园艺产业智能化装备在园艺产业现代化生产中的应用现状及其发展前景</w:t>
      </w:r>
      <w:r>
        <w:rPr>
          <w:color w:val="262600"/>
        </w:rPr>
        <w:t>，掌握</w:t>
      </w:r>
      <w:r>
        <w:rPr>
          <w:szCs w:val="21"/>
        </w:rPr>
        <w:t>园艺信息服务、农机、农艺和信息技术融合的必要性及其技术途径</w:t>
      </w:r>
      <w:r>
        <w:rPr>
          <w:color w:val="262600"/>
        </w:rPr>
        <w:t>。</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szCs w:val="21"/>
        </w:rPr>
      </w:pPr>
      <w:r>
        <w:rPr>
          <w:b/>
          <w:bCs/>
          <w:color w:val="262600"/>
        </w:rPr>
        <w:t>第</w:t>
      </w:r>
      <w:r>
        <w:rPr>
          <w:rFonts w:hint="eastAsia"/>
          <w:b/>
          <w:bCs/>
        </w:rPr>
        <w:t>七</w:t>
      </w:r>
      <w:r>
        <w:rPr>
          <w:b/>
          <w:bCs/>
          <w:color w:val="262600"/>
        </w:rPr>
        <w:t xml:space="preserve">章  </w:t>
      </w:r>
      <w:r>
        <w:rPr>
          <w:rFonts w:hint="eastAsia"/>
          <w:b/>
          <w:bCs/>
          <w:color w:val="262600"/>
        </w:rPr>
        <w:t xml:space="preserve">园艺信息化服务与智能化装备 </w:t>
      </w:r>
    </w:p>
    <w:p>
      <w:pPr>
        <w:keepNext w:val="0"/>
        <w:keepLines w:val="0"/>
        <w:pageBreakBefore w:val="0"/>
        <w:kinsoku/>
        <w:wordWrap/>
        <w:overflowPunct/>
        <w:topLinePunct w:val="0"/>
        <w:autoSpaceDE/>
        <w:autoSpaceDN/>
        <w:bidi w:val="0"/>
        <w:spacing w:line="360" w:lineRule="auto"/>
        <w:textAlignment w:val="auto"/>
        <w:rPr>
          <w:rFonts w:ascii="宋体" w:hAnsi="宋体" w:cs="宋体"/>
          <w:color w:val="000000"/>
          <w:kern w:val="0"/>
          <w:szCs w:val="21"/>
          <w:lang w:bidi="ar"/>
        </w:rPr>
      </w:pPr>
      <w:r>
        <w:rPr>
          <w:rFonts w:hint="eastAsia" w:ascii="宋体" w:hAnsi="宋体" w:cs="宋体"/>
          <w:color w:val="000000"/>
          <w:kern w:val="0"/>
          <w:szCs w:val="21"/>
          <w:lang w:bidi="ar"/>
        </w:rPr>
        <w:t>一、园艺信息化服务、农机与农艺融合的现状及存在的问题</w:t>
      </w:r>
    </w:p>
    <w:p>
      <w:pPr>
        <w:keepNext w:val="0"/>
        <w:keepLines w:val="0"/>
        <w:pageBreakBefore w:val="0"/>
        <w:kinsoku/>
        <w:wordWrap/>
        <w:overflowPunct/>
        <w:topLinePunct w:val="0"/>
        <w:autoSpaceDE/>
        <w:autoSpaceDN/>
        <w:bidi w:val="0"/>
        <w:spacing w:line="360" w:lineRule="auto"/>
        <w:textAlignment w:val="auto"/>
        <w:rPr>
          <w:rFonts w:ascii="宋体" w:hAnsi="宋体" w:cs="宋体"/>
          <w:color w:val="000000"/>
          <w:kern w:val="0"/>
          <w:szCs w:val="21"/>
          <w:lang w:bidi="ar"/>
        </w:rPr>
      </w:pPr>
      <w:r>
        <w:rPr>
          <w:rFonts w:hint="eastAsia" w:ascii="宋体" w:hAnsi="宋体" w:cs="宋体"/>
          <w:color w:val="000000"/>
          <w:kern w:val="0"/>
          <w:szCs w:val="21"/>
          <w:lang w:bidi="ar"/>
        </w:rPr>
        <w:t>二、园艺信息服务、农机、农艺和信息技术融合的必要性及其技术途径</w:t>
      </w:r>
    </w:p>
    <w:p>
      <w:pPr>
        <w:keepNext w:val="0"/>
        <w:keepLines w:val="0"/>
        <w:pageBreakBefore w:val="0"/>
        <w:kinsoku/>
        <w:wordWrap/>
        <w:overflowPunct/>
        <w:topLinePunct w:val="0"/>
        <w:autoSpaceDE/>
        <w:autoSpaceDN/>
        <w:bidi w:val="0"/>
        <w:spacing w:line="360" w:lineRule="auto"/>
        <w:textAlignment w:val="auto"/>
        <w:rPr>
          <w:rFonts w:ascii="宋体" w:hAnsi="宋体" w:cs="宋体"/>
          <w:color w:val="000000"/>
          <w:kern w:val="0"/>
          <w:szCs w:val="21"/>
          <w:lang w:bidi="ar"/>
        </w:rPr>
      </w:pPr>
      <w:r>
        <w:rPr>
          <w:rFonts w:hint="eastAsia" w:ascii="宋体" w:hAnsi="宋体" w:cs="宋体"/>
          <w:color w:val="000000"/>
          <w:kern w:val="0"/>
          <w:szCs w:val="21"/>
          <w:lang w:bidi="ar"/>
        </w:rPr>
        <w:t>三、智能化园艺技术装备在园艺产业现代化生产中的应用</w:t>
      </w:r>
    </w:p>
    <w:p>
      <w:pPr>
        <w:keepNext w:val="0"/>
        <w:keepLines w:val="0"/>
        <w:pageBreakBefore w:val="0"/>
        <w:kinsoku/>
        <w:wordWrap/>
        <w:overflowPunct/>
        <w:topLinePunct w:val="0"/>
        <w:autoSpaceDE/>
        <w:autoSpaceDN/>
        <w:bidi w:val="0"/>
        <w:spacing w:line="360" w:lineRule="auto"/>
        <w:textAlignment w:val="auto"/>
        <w:rPr>
          <w:rFonts w:ascii="宋体" w:hAnsi="宋体"/>
          <w:b/>
          <w:bCs/>
          <w:szCs w:val="21"/>
        </w:rPr>
      </w:pPr>
      <w:r>
        <w:rPr>
          <w:rFonts w:hint="eastAsia" w:ascii="宋体" w:hAnsi="宋体" w:cs="宋体"/>
          <w:color w:val="000000"/>
          <w:kern w:val="0"/>
          <w:szCs w:val="21"/>
          <w:lang w:bidi="ar"/>
        </w:rPr>
        <w:t>四、园艺信息化服务与智能化园艺技术装备发展方向</w:t>
      </w:r>
    </w:p>
    <w:p>
      <w:pPr>
        <w:keepNext w:val="0"/>
        <w:keepLines w:val="0"/>
        <w:pageBreakBefore w:val="0"/>
        <w:widowControl/>
        <w:kinsoku/>
        <w:wordWrap/>
        <w:overflowPunct/>
        <w:topLinePunct w:val="0"/>
        <w:autoSpaceDE/>
        <w:autoSpaceDN/>
        <w:bidi w:val="0"/>
        <w:snapToGrid w:val="0"/>
        <w:spacing w:line="360" w:lineRule="auto"/>
        <w:textAlignment w:val="auto"/>
        <w:rPr>
          <w:rFonts w:ascii="宋体" w:hAnsi="宋体"/>
          <w:b/>
          <w:bCs/>
          <w:szCs w:val="21"/>
        </w:rPr>
      </w:pPr>
      <w:r>
        <w:rPr>
          <w:rFonts w:hint="eastAsia" w:ascii="宋体" w:hAnsi="宋体"/>
          <w:b/>
          <w:bCs/>
          <w:szCs w:val="21"/>
        </w:rPr>
        <w:t>教学组织与实施：</w:t>
      </w:r>
    </w:p>
    <w:p>
      <w:pPr>
        <w:keepNext w:val="0"/>
        <w:keepLines w:val="0"/>
        <w:pageBreakBefore w:val="0"/>
        <w:kinsoku/>
        <w:wordWrap/>
        <w:overflowPunct/>
        <w:topLinePunct w:val="0"/>
        <w:autoSpaceDE/>
        <w:autoSpaceDN/>
        <w:bidi w:val="0"/>
        <w:spacing w:line="360" w:lineRule="auto"/>
        <w:ind w:firstLine="420" w:firstLineChars="200"/>
        <w:textAlignment w:val="auto"/>
        <w:rPr>
          <w:color w:val="262600"/>
        </w:rPr>
      </w:pPr>
      <w:r>
        <w:rPr>
          <w:rFonts w:hint="eastAsia"/>
          <w:color w:val="262600"/>
        </w:rPr>
        <w:t>以讲解法、案例分析法为主；采用图文并茂并</w:t>
      </w:r>
      <w:r>
        <w:rPr>
          <w:color w:val="262600"/>
        </w:rPr>
        <w:t>结合教学视频</w:t>
      </w:r>
      <w:r>
        <w:rPr>
          <w:rFonts w:hint="eastAsia"/>
          <w:color w:val="262600"/>
        </w:rPr>
        <w:t>的方式展示</w:t>
      </w:r>
      <w:r>
        <w:rPr>
          <w:rFonts w:hint="eastAsia" w:ascii="宋体" w:hAnsi="宋体" w:cs="宋体"/>
          <w:color w:val="000000"/>
          <w:kern w:val="0"/>
          <w:szCs w:val="21"/>
          <w:lang w:bidi="ar"/>
        </w:rPr>
        <w:t>园艺信息化服务、农机与农艺融合的现状，园艺信息服务、农机、农艺和信息技术融合的必要性及其技术途径</w:t>
      </w:r>
      <w:r>
        <w:rPr>
          <w:rFonts w:hint="eastAsia"/>
          <w:color w:val="262600"/>
        </w:rPr>
        <w:t>；结合课堂提问</w:t>
      </w:r>
      <w:r>
        <w:rPr>
          <w:color w:val="262600"/>
        </w:rPr>
        <w:t>互动</w:t>
      </w:r>
      <w:r>
        <w:rPr>
          <w:rFonts w:hint="eastAsia"/>
          <w:color w:val="262600"/>
        </w:rPr>
        <w:t>讨论自己家乡设施农业园区</w:t>
      </w:r>
      <w:r>
        <w:rPr>
          <w:rFonts w:hint="eastAsia"/>
          <w:szCs w:val="21"/>
        </w:rPr>
        <w:t>在哪些方面需要园艺信息化服务</w:t>
      </w:r>
      <w:r>
        <w:rPr>
          <w:rFonts w:hint="eastAsia"/>
          <w:color w:val="262600"/>
        </w:rPr>
        <w:t>，培养</w:t>
      </w:r>
      <w:r>
        <w:rPr>
          <w:color w:val="262600"/>
        </w:rPr>
        <w:t>学生专业学习兴趣。</w:t>
      </w:r>
    </w:p>
    <w:p>
      <w:pPr>
        <w:rPr>
          <w:b/>
          <w:bCs/>
          <w:kern w:val="0"/>
          <w:szCs w:val="21"/>
        </w:rPr>
      </w:pPr>
      <w:r>
        <w:rPr>
          <w:rFonts w:hint="eastAsia" w:ascii="宋体" w:hAnsi="宋体"/>
          <w:b/>
          <w:bCs/>
          <w:kern w:val="0"/>
          <w:szCs w:val="21"/>
        </w:rPr>
        <w:t>五</w:t>
      </w:r>
      <w:r>
        <w:rPr>
          <w:rFonts w:ascii="宋体" w:hAnsi="宋体"/>
          <w:b/>
          <w:bCs/>
          <w:kern w:val="0"/>
          <w:szCs w:val="21"/>
        </w:rPr>
        <w:t>、实验教学内容及学时分配</w:t>
      </w:r>
      <w:r>
        <w:rPr>
          <w:b/>
          <w:bCs/>
          <w:kern w:val="0"/>
          <w:szCs w:val="21"/>
        </w:rPr>
        <w:t xml:space="preserve"> （</w:t>
      </w:r>
      <w:r>
        <w:rPr>
          <w:rFonts w:hint="eastAsia"/>
          <w:b/>
          <w:bCs/>
          <w:kern w:val="0"/>
          <w:szCs w:val="21"/>
        </w:rPr>
        <w:t>8</w:t>
      </w:r>
      <w:r>
        <w:rPr>
          <w:b/>
          <w:bCs/>
          <w:kern w:val="0"/>
          <w:szCs w:val="21"/>
        </w:rPr>
        <w:t>学时）</w:t>
      </w:r>
    </w:p>
    <w:p>
      <w:pPr>
        <w:snapToGrid w:val="0"/>
        <w:spacing w:before="156" w:beforeLines="50" w:line="360" w:lineRule="auto"/>
        <w:rPr>
          <w:rFonts w:ascii="宋体" w:hAnsi="宋体"/>
          <w:b/>
          <w:bCs/>
          <w:szCs w:val="21"/>
        </w:rPr>
      </w:pPr>
      <w:r>
        <w:rPr>
          <w:rFonts w:hint="eastAsia" w:ascii="宋体" w:hAnsi="宋体"/>
          <w:b/>
          <w:bCs/>
          <w:szCs w:val="21"/>
        </w:rPr>
        <w:t>（一）实验课程简介</w:t>
      </w:r>
    </w:p>
    <w:p>
      <w:pPr>
        <w:snapToGrid w:val="0"/>
        <w:spacing w:line="360" w:lineRule="auto"/>
        <w:ind w:firstLine="420" w:firstLineChars="200"/>
        <w:rPr>
          <w:szCs w:val="21"/>
        </w:rPr>
      </w:pPr>
      <w:r>
        <w:rPr>
          <w:rFonts w:ascii="宋体" w:hAnsi="宋体"/>
          <w:szCs w:val="21"/>
        </w:rPr>
        <w:t>该课程是《</w:t>
      </w:r>
      <w:r>
        <w:rPr>
          <w:rFonts w:hint="eastAsia" w:ascii="宋体" w:hAnsi="宋体"/>
          <w:szCs w:val="21"/>
        </w:rPr>
        <w:t>智慧园艺</w:t>
      </w:r>
      <w:r>
        <w:rPr>
          <w:rFonts w:ascii="宋体" w:hAnsi="宋体"/>
          <w:szCs w:val="21"/>
        </w:rPr>
        <w:t>》课程的重要组成部分，共</w:t>
      </w:r>
      <w:r>
        <w:rPr>
          <w:rFonts w:hint="eastAsia"/>
          <w:szCs w:val="21"/>
        </w:rPr>
        <w:t>8</w:t>
      </w:r>
      <w:r>
        <w:rPr>
          <w:rFonts w:ascii="宋体" w:hAnsi="宋体"/>
          <w:szCs w:val="21"/>
        </w:rPr>
        <w:t>学时，</w:t>
      </w:r>
      <w:r>
        <w:rPr>
          <w:rFonts w:hint="eastAsia" w:ascii="宋体" w:hAnsi="宋体"/>
          <w:szCs w:val="21"/>
        </w:rPr>
        <w:t>通过智慧园艺育种、智慧菜园、智慧育苗、智慧果园等应用场景参观、调研及讨论，让学生们掌握智慧园艺技术在园艺产业的使用情况及发展前景，</w:t>
      </w:r>
      <w:r>
        <w:rPr>
          <w:rFonts w:ascii="宋体" w:hAnsi="宋体"/>
          <w:szCs w:val="21"/>
        </w:rPr>
        <w:t>是提高教学质量的重要环节。</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rPr>
          <w:rFonts w:ascii="宋体" w:hAnsi="宋体"/>
          <w:szCs w:val="21"/>
        </w:rPr>
      </w:pPr>
      <w:r>
        <w:rPr>
          <w:rFonts w:hint="eastAsia" w:ascii="宋体" w:hAnsi="宋体"/>
          <w:szCs w:val="21"/>
        </w:rPr>
        <w:t>通过实验课的学习，使学生验证所学理论基础和知识。要求全体学生参加，根据实验内容进行分组进行。</w:t>
      </w:r>
      <w:r>
        <w:rPr>
          <w:rFonts w:ascii="宋体" w:hAnsi="宋体"/>
          <w:szCs w:val="21"/>
        </w:rPr>
        <w:t>要求学生必须掌握</w:t>
      </w:r>
      <w:r>
        <w:rPr>
          <w:rFonts w:hint="eastAsia" w:ascii="宋体" w:hAnsi="宋体"/>
          <w:szCs w:val="21"/>
        </w:rPr>
        <w:t>智慧园艺育种、智慧菜园、智慧育苗、智慧果园</w:t>
      </w:r>
      <w:r>
        <w:rPr>
          <w:rFonts w:ascii="宋体" w:hAnsi="宋体"/>
          <w:szCs w:val="21"/>
        </w:rPr>
        <w:t>的调查，掌握</w:t>
      </w:r>
      <w:r>
        <w:rPr>
          <w:rFonts w:hint="eastAsia" w:ascii="宋体" w:hAnsi="宋体"/>
          <w:szCs w:val="21"/>
        </w:rPr>
        <w:t>智慧园艺育种、物联网、大数据等技术在园艺产业中的应用</w:t>
      </w:r>
      <w:r>
        <w:rPr>
          <w:rFonts w:ascii="宋体" w:hAnsi="宋体"/>
          <w:szCs w:val="21"/>
        </w:rPr>
        <w:t>，</w:t>
      </w:r>
      <w:r>
        <w:rPr>
          <w:rFonts w:hint="eastAsia" w:ascii="宋体" w:hAnsi="宋体"/>
          <w:szCs w:val="21"/>
        </w:rPr>
        <w:t>了解</w:t>
      </w:r>
      <w:r>
        <w:rPr>
          <w:rFonts w:hint="eastAsia"/>
          <w:szCs w:val="21"/>
        </w:rPr>
        <w:t>园艺产业模拟模型技术、园艺产业决策支持系统、</w:t>
      </w:r>
      <w:r>
        <w:rPr>
          <w:szCs w:val="21"/>
        </w:rPr>
        <w:t>园艺产业智能化装备</w:t>
      </w:r>
      <w:r>
        <w:rPr>
          <w:rFonts w:hint="eastAsia"/>
          <w:szCs w:val="21"/>
        </w:rPr>
        <w:t>类型</w:t>
      </w:r>
      <w:r>
        <w:rPr>
          <w:rFonts w:ascii="宋体" w:hAnsi="宋体"/>
          <w:szCs w:val="21"/>
        </w:rPr>
        <w:t>，并能应用到生产实践中去。</w:t>
      </w:r>
    </w:p>
    <w:p>
      <w:pPr>
        <w:autoSpaceDE w:val="0"/>
        <w:snapToGrid w:val="0"/>
        <w:spacing w:line="360" w:lineRule="auto"/>
        <w:rPr>
          <w:b/>
          <w:szCs w:val="21"/>
        </w:rPr>
      </w:pPr>
      <w:r>
        <w:rPr>
          <w:rFonts w:hint="eastAsia" w:ascii="宋体" w:hAnsi="宋体"/>
          <w:b/>
          <w:szCs w:val="21"/>
        </w:rPr>
        <w:t>（三）实验安全操作规范</w:t>
      </w:r>
    </w:p>
    <w:p>
      <w:pPr>
        <w:snapToGrid w:val="0"/>
        <w:spacing w:line="360" w:lineRule="auto"/>
        <w:ind w:firstLine="420" w:firstLineChars="200"/>
        <w:rPr>
          <w:szCs w:val="21"/>
        </w:rPr>
      </w:pPr>
      <w:r>
        <w:rPr>
          <w:rFonts w:hint="eastAsia"/>
          <w:szCs w:val="21"/>
        </w:rPr>
        <w:t>实验前，学生应认真预习实验册及课本有关内容，充分了解实验目的、内容和方法，并事前检查相关实验器材、设备是否齐全完好。实验中必须听从老师的指导，步骤科学、严肃认真。实验结束并认真清理实验台，归返相关仪器设备；认真、独立分析实验结果，完成相关实验报告。</w:t>
      </w:r>
    </w:p>
    <w:p>
      <w:pPr>
        <w:snapToGrid w:val="0"/>
        <w:spacing w:after="156" w:afterLines="50" w:line="360" w:lineRule="auto"/>
        <w:rPr>
          <w:rFonts w:ascii="宋体" w:hAnsi="宋体"/>
          <w:b/>
          <w:bCs/>
          <w:szCs w:val="21"/>
        </w:rPr>
      </w:pPr>
      <w:r>
        <w:rPr>
          <w:rFonts w:hint="eastAsia" w:ascii="宋体" w:hAnsi="宋体"/>
          <w:b/>
          <w:bCs/>
          <w:szCs w:val="21"/>
        </w:rPr>
        <w:t>（四）实验项目名称与学时分配</w:t>
      </w:r>
    </w:p>
    <w:tbl>
      <w:tblPr>
        <w:tblStyle w:val="22"/>
        <w:tblW w:w="864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551"/>
        <w:gridCol w:w="709"/>
        <w:gridCol w:w="1134"/>
        <w:gridCol w:w="141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spacing w:line="360" w:lineRule="auto"/>
              <w:jc w:val="center"/>
              <w:rPr>
                <w:b/>
                <w:bCs/>
                <w:sz w:val="18"/>
                <w:szCs w:val="18"/>
              </w:rPr>
            </w:pPr>
            <w:r>
              <w:rPr>
                <w:b/>
                <w:bCs/>
                <w:sz w:val="18"/>
                <w:szCs w:val="18"/>
              </w:rPr>
              <w:t>序号</w:t>
            </w:r>
          </w:p>
        </w:tc>
        <w:tc>
          <w:tcPr>
            <w:tcW w:w="2551" w:type="dxa"/>
            <w:vAlign w:val="center"/>
          </w:tcPr>
          <w:p>
            <w:pPr>
              <w:spacing w:line="360" w:lineRule="auto"/>
              <w:jc w:val="center"/>
              <w:rPr>
                <w:b/>
                <w:bCs/>
                <w:sz w:val="18"/>
                <w:szCs w:val="18"/>
              </w:rPr>
            </w:pPr>
            <w:r>
              <w:rPr>
                <w:b/>
                <w:bCs/>
                <w:sz w:val="18"/>
                <w:szCs w:val="18"/>
              </w:rPr>
              <w:t>实验名称</w:t>
            </w:r>
          </w:p>
        </w:tc>
        <w:tc>
          <w:tcPr>
            <w:tcW w:w="709" w:type="dxa"/>
            <w:vAlign w:val="center"/>
          </w:tcPr>
          <w:p>
            <w:pPr>
              <w:spacing w:line="360" w:lineRule="auto"/>
              <w:jc w:val="center"/>
              <w:rPr>
                <w:b/>
                <w:bCs/>
                <w:sz w:val="18"/>
                <w:szCs w:val="18"/>
              </w:rPr>
            </w:pPr>
            <w:r>
              <w:rPr>
                <w:b/>
                <w:bCs/>
                <w:sz w:val="18"/>
                <w:szCs w:val="18"/>
              </w:rPr>
              <w:t>学时</w:t>
            </w:r>
          </w:p>
        </w:tc>
        <w:tc>
          <w:tcPr>
            <w:tcW w:w="1134" w:type="dxa"/>
            <w:vAlign w:val="center"/>
          </w:tcPr>
          <w:p>
            <w:pPr>
              <w:spacing w:line="360" w:lineRule="auto"/>
              <w:jc w:val="center"/>
              <w:rPr>
                <w:b/>
                <w:bCs/>
                <w:sz w:val="18"/>
                <w:szCs w:val="18"/>
              </w:rPr>
            </w:pPr>
            <w:r>
              <w:rPr>
                <w:b/>
                <w:bCs/>
                <w:sz w:val="18"/>
                <w:szCs w:val="18"/>
              </w:rPr>
              <w:t>类型</w:t>
            </w:r>
          </w:p>
        </w:tc>
        <w:tc>
          <w:tcPr>
            <w:tcW w:w="1418" w:type="dxa"/>
            <w:vAlign w:val="center"/>
          </w:tcPr>
          <w:p>
            <w:pPr>
              <w:spacing w:line="360" w:lineRule="auto"/>
              <w:jc w:val="center"/>
              <w:rPr>
                <w:b/>
                <w:bCs/>
                <w:sz w:val="18"/>
                <w:szCs w:val="18"/>
              </w:rPr>
            </w:pPr>
            <w:r>
              <w:rPr>
                <w:b/>
                <w:bCs/>
                <w:sz w:val="18"/>
                <w:szCs w:val="18"/>
              </w:rPr>
              <w:t>实验要求</w:t>
            </w:r>
          </w:p>
        </w:tc>
        <w:tc>
          <w:tcPr>
            <w:tcW w:w="1134" w:type="dxa"/>
          </w:tcPr>
          <w:p>
            <w:pPr>
              <w:spacing w:line="360" w:lineRule="auto"/>
              <w:jc w:val="center"/>
              <w:rPr>
                <w:b/>
                <w:bCs/>
                <w:sz w:val="18"/>
                <w:szCs w:val="18"/>
              </w:rPr>
            </w:pPr>
            <w:r>
              <w:rPr>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1" w:type="dxa"/>
            <w:vAlign w:val="center"/>
          </w:tcPr>
          <w:p>
            <w:pPr>
              <w:widowControl/>
              <w:jc w:val="center"/>
              <w:rPr>
                <w:color w:val="000000"/>
                <w:kern w:val="0"/>
                <w:sz w:val="18"/>
                <w:szCs w:val="18"/>
              </w:rPr>
            </w:pPr>
            <w:r>
              <w:rPr>
                <w:rFonts w:hint="eastAsia"/>
                <w:color w:val="000000"/>
                <w:sz w:val="18"/>
                <w:szCs w:val="18"/>
              </w:rPr>
              <w:t>19011121</w:t>
            </w:r>
            <w:r>
              <w:rPr>
                <w:color w:val="000000"/>
                <w:sz w:val="18"/>
                <w:szCs w:val="18"/>
              </w:rPr>
              <w:t>01</w:t>
            </w:r>
          </w:p>
        </w:tc>
        <w:tc>
          <w:tcPr>
            <w:tcW w:w="2551" w:type="dxa"/>
            <w:vAlign w:val="center"/>
          </w:tcPr>
          <w:p>
            <w:pPr>
              <w:spacing w:line="360" w:lineRule="auto"/>
              <w:jc w:val="center"/>
              <w:rPr>
                <w:kern w:val="0"/>
                <w:sz w:val="18"/>
                <w:szCs w:val="18"/>
              </w:rPr>
            </w:pPr>
            <w:r>
              <w:rPr>
                <w:rFonts w:hint="eastAsia"/>
                <w:kern w:val="0"/>
                <w:sz w:val="18"/>
                <w:szCs w:val="18"/>
              </w:rPr>
              <w:t>智慧园艺育种应用场景调研</w:t>
            </w:r>
          </w:p>
        </w:tc>
        <w:tc>
          <w:tcPr>
            <w:tcW w:w="709" w:type="dxa"/>
            <w:vAlign w:val="center"/>
          </w:tcPr>
          <w:p>
            <w:pPr>
              <w:spacing w:line="360" w:lineRule="auto"/>
              <w:jc w:val="center"/>
              <w:rPr>
                <w:kern w:val="0"/>
                <w:sz w:val="18"/>
                <w:szCs w:val="18"/>
              </w:rPr>
            </w:pPr>
            <w:r>
              <w:rPr>
                <w:kern w:val="0"/>
                <w:sz w:val="18"/>
                <w:szCs w:val="18"/>
              </w:rPr>
              <w:t>4</w:t>
            </w:r>
          </w:p>
        </w:tc>
        <w:tc>
          <w:tcPr>
            <w:tcW w:w="1134" w:type="dxa"/>
            <w:vAlign w:val="center"/>
          </w:tcPr>
          <w:p>
            <w:pPr>
              <w:spacing w:line="360" w:lineRule="auto"/>
              <w:jc w:val="center"/>
              <w:rPr>
                <w:kern w:val="0"/>
                <w:sz w:val="18"/>
                <w:szCs w:val="18"/>
              </w:rPr>
            </w:pPr>
            <w:r>
              <w:rPr>
                <w:kern w:val="0"/>
                <w:sz w:val="18"/>
                <w:szCs w:val="18"/>
              </w:rPr>
              <w:t>综合性</w:t>
            </w:r>
          </w:p>
        </w:tc>
        <w:tc>
          <w:tcPr>
            <w:tcW w:w="1418" w:type="dxa"/>
            <w:vAlign w:val="center"/>
          </w:tcPr>
          <w:p>
            <w:pPr>
              <w:spacing w:line="360" w:lineRule="auto"/>
              <w:jc w:val="center"/>
              <w:rPr>
                <w:kern w:val="0"/>
                <w:sz w:val="18"/>
                <w:szCs w:val="18"/>
              </w:rPr>
            </w:pPr>
            <w:r>
              <w:rPr>
                <w:kern w:val="0"/>
                <w:sz w:val="18"/>
                <w:szCs w:val="18"/>
              </w:rPr>
              <w:t>必做</w:t>
            </w:r>
          </w:p>
        </w:tc>
        <w:tc>
          <w:tcPr>
            <w:tcW w:w="1134" w:type="dxa"/>
          </w:tcPr>
          <w:p>
            <w:pPr>
              <w:spacing w:line="360" w:lineRule="auto"/>
              <w:jc w:val="center"/>
              <w:rPr>
                <w:kern w:val="0"/>
                <w:sz w:val="18"/>
                <w:szCs w:val="18"/>
              </w:rPr>
            </w:pPr>
            <w:r>
              <w:rPr>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jc w:val="center"/>
              <w:rPr>
                <w:color w:val="000000"/>
                <w:sz w:val="18"/>
                <w:szCs w:val="18"/>
              </w:rPr>
            </w:pPr>
            <w:r>
              <w:rPr>
                <w:rFonts w:hint="eastAsia"/>
                <w:color w:val="000000"/>
                <w:sz w:val="18"/>
                <w:szCs w:val="18"/>
              </w:rPr>
              <w:t>19011121</w:t>
            </w:r>
            <w:r>
              <w:rPr>
                <w:color w:val="000000"/>
                <w:sz w:val="18"/>
                <w:szCs w:val="18"/>
              </w:rPr>
              <w:t>02</w:t>
            </w:r>
          </w:p>
        </w:tc>
        <w:tc>
          <w:tcPr>
            <w:tcW w:w="2551" w:type="dxa"/>
            <w:vAlign w:val="center"/>
          </w:tcPr>
          <w:p>
            <w:pPr>
              <w:spacing w:line="360" w:lineRule="auto"/>
              <w:jc w:val="center"/>
              <w:rPr>
                <w:kern w:val="0"/>
                <w:sz w:val="18"/>
                <w:szCs w:val="18"/>
              </w:rPr>
            </w:pPr>
            <w:r>
              <w:rPr>
                <w:rFonts w:hint="eastAsia"/>
                <w:kern w:val="0"/>
                <w:sz w:val="18"/>
                <w:szCs w:val="18"/>
              </w:rPr>
              <w:t>智慧育苗应用场景调研</w:t>
            </w:r>
          </w:p>
        </w:tc>
        <w:tc>
          <w:tcPr>
            <w:tcW w:w="709" w:type="dxa"/>
            <w:vAlign w:val="center"/>
          </w:tcPr>
          <w:p>
            <w:pPr>
              <w:spacing w:line="360" w:lineRule="auto"/>
              <w:jc w:val="center"/>
              <w:rPr>
                <w:kern w:val="0"/>
                <w:sz w:val="18"/>
                <w:szCs w:val="18"/>
              </w:rPr>
            </w:pPr>
            <w:r>
              <w:rPr>
                <w:kern w:val="0"/>
                <w:sz w:val="18"/>
                <w:szCs w:val="18"/>
              </w:rPr>
              <w:t>2</w:t>
            </w:r>
          </w:p>
        </w:tc>
        <w:tc>
          <w:tcPr>
            <w:tcW w:w="1134" w:type="dxa"/>
            <w:vAlign w:val="center"/>
          </w:tcPr>
          <w:p>
            <w:pPr>
              <w:spacing w:line="360" w:lineRule="auto"/>
              <w:jc w:val="center"/>
              <w:rPr>
                <w:kern w:val="0"/>
                <w:sz w:val="18"/>
                <w:szCs w:val="18"/>
              </w:rPr>
            </w:pPr>
            <w:r>
              <w:rPr>
                <w:kern w:val="0"/>
                <w:sz w:val="18"/>
                <w:szCs w:val="18"/>
              </w:rPr>
              <w:t>综合性</w:t>
            </w:r>
          </w:p>
        </w:tc>
        <w:tc>
          <w:tcPr>
            <w:tcW w:w="1418" w:type="dxa"/>
            <w:vAlign w:val="center"/>
          </w:tcPr>
          <w:p>
            <w:pPr>
              <w:spacing w:line="360" w:lineRule="auto"/>
              <w:jc w:val="center"/>
              <w:rPr>
                <w:kern w:val="0"/>
                <w:sz w:val="18"/>
                <w:szCs w:val="18"/>
              </w:rPr>
            </w:pPr>
            <w:r>
              <w:rPr>
                <w:kern w:val="0"/>
                <w:sz w:val="18"/>
                <w:szCs w:val="18"/>
              </w:rPr>
              <w:t>必做</w:t>
            </w:r>
          </w:p>
        </w:tc>
        <w:tc>
          <w:tcPr>
            <w:tcW w:w="1134" w:type="dxa"/>
          </w:tcPr>
          <w:p>
            <w:pPr>
              <w:spacing w:line="360" w:lineRule="auto"/>
              <w:jc w:val="center"/>
              <w:rPr>
                <w:kern w:val="0"/>
                <w:sz w:val="18"/>
                <w:szCs w:val="18"/>
              </w:rPr>
            </w:pPr>
            <w:r>
              <w:rPr>
                <w:rFonts w:hint="eastAsia"/>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Align w:val="center"/>
          </w:tcPr>
          <w:p>
            <w:pPr>
              <w:jc w:val="center"/>
              <w:rPr>
                <w:color w:val="000000"/>
                <w:sz w:val="18"/>
                <w:szCs w:val="18"/>
              </w:rPr>
            </w:pPr>
            <w:r>
              <w:rPr>
                <w:rFonts w:hint="eastAsia"/>
                <w:color w:val="000000"/>
                <w:sz w:val="18"/>
                <w:szCs w:val="18"/>
              </w:rPr>
              <w:t>19011121</w:t>
            </w:r>
            <w:r>
              <w:rPr>
                <w:color w:val="000000"/>
                <w:sz w:val="18"/>
                <w:szCs w:val="18"/>
              </w:rPr>
              <w:t>03</w:t>
            </w:r>
          </w:p>
        </w:tc>
        <w:tc>
          <w:tcPr>
            <w:tcW w:w="2551" w:type="dxa"/>
            <w:vAlign w:val="center"/>
          </w:tcPr>
          <w:p>
            <w:pPr>
              <w:spacing w:line="360" w:lineRule="auto"/>
              <w:jc w:val="center"/>
              <w:rPr>
                <w:kern w:val="0"/>
                <w:sz w:val="18"/>
                <w:szCs w:val="18"/>
              </w:rPr>
            </w:pPr>
            <w:r>
              <w:rPr>
                <w:rFonts w:hint="eastAsia"/>
                <w:kern w:val="0"/>
                <w:sz w:val="18"/>
                <w:szCs w:val="18"/>
              </w:rPr>
              <w:t>智慧菜园应用场景调研</w:t>
            </w:r>
          </w:p>
        </w:tc>
        <w:tc>
          <w:tcPr>
            <w:tcW w:w="709" w:type="dxa"/>
            <w:vAlign w:val="center"/>
          </w:tcPr>
          <w:p>
            <w:pPr>
              <w:spacing w:line="360" w:lineRule="auto"/>
              <w:jc w:val="center"/>
              <w:rPr>
                <w:kern w:val="0"/>
                <w:sz w:val="18"/>
                <w:szCs w:val="18"/>
              </w:rPr>
            </w:pPr>
            <w:r>
              <w:rPr>
                <w:kern w:val="0"/>
                <w:sz w:val="18"/>
                <w:szCs w:val="18"/>
              </w:rPr>
              <w:t>2</w:t>
            </w:r>
          </w:p>
        </w:tc>
        <w:tc>
          <w:tcPr>
            <w:tcW w:w="1134" w:type="dxa"/>
            <w:vAlign w:val="center"/>
          </w:tcPr>
          <w:p>
            <w:pPr>
              <w:spacing w:line="360" w:lineRule="auto"/>
              <w:jc w:val="center"/>
              <w:rPr>
                <w:kern w:val="0"/>
                <w:sz w:val="18"/>
                <w:szCs w:val="18"/>
              </w:rPr>
            </w:pPr>
            <w:r>
              <w:rPr>
                <w:kern w:val="0"/>
                <w:sz w:val="18"/>
                <w:szCs w:val="18"/>
              </w:rPr>
              <w:t>综合性</w:t>
            </w:r>
          </w:p>
        </w:tc>
        <w:tc>
          <w:tcPr>
            <w:tcW w:w="1418" w:type="dxa"/>
            <w:vAlign w:val="center"/>
          </w:tcPr>
          <w:p>
            <w:pPr>
              <w:spacing w:line="360" w:lineRule="auto"/>
              <w:jc w:val="center"/>
              <w:rPr>
                <w:kern w:val="0"/>
                <w:sz w:val="18"/>
                <w:szCs w:val="18"/>
              </w:rPr>
            </w:pPr>
            <w:r>
              <w:rPr>
                <w:kern w:val="0"/>
                <w:sz w:val="18"/>
                <w:szCs w:val="18"/>
              </w:rPr>
              <w:t>必做</w:t>
            </w:r>
          </w:p>
        </w:tc>
        <w:tc>
          <w:tcPr>
            <w:tcW w:w="1134" w:type="dxa"/>
          </w:tcPr>
          <w:p>
            <w:pPr>
              <w:spacing w:line="360" w:lineRule="auto"/>
              <w:jc w:val="center"/>
              <w:rPr>
                <w:kern w:val="0"/>
                <w:sz w:val="18"/>
                <w:szCs w:val="18"/>
              </w:rPr>
            </w:pPr>
            <w:r>
              <w:rPr>
                <w:kern w:val="0"/>
                <w:sz w:val="18"/>
                <w:szCs w:val="18"/>
              </w:rPr>
              <w:t>5</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pacing w:line="360" w:lineRule="auto"/>
        <w:ind w:firstLine="420" w:firstLineChars="200"/>
        <w:rPr>
          <w:color w:val="000000"/>
          <w:kern w:val="0"/>
          <w:szCs w:val="21"/>
        </w:rPr>
      </w:pPr>
      <w:r>
        <w:rPr>
          <w:rFonts w:hint="eastAsia" w:ascii="宋体" w:hAnsi="宋体"/>
          <w:szCs w:val="21"/>
        </w:rPr>
        <w:t>根据实验内容安排具体方式，综合性实验需要学生深入基地进行，每次试验后要写出实验报告。</w:t>
      </w:r>
    </w:p>
    <w:p>
      <w:pPr>
        <w:snapToGrid w:val="0"/>
        <w:spacing w:line="360" w:lineRule="auto"/>
        <w:rPr>
          <w:rFonts w:ascii="宋体" w:hAnsi="宋体"/>
          <w:b/>
          <w:bCs/>
          <w:szCs w:val="21"/>
        </w:rPr>
      </w:pPr>
      <w:r>
        <w:rPr>
          <w:rFonts w:hint="eastAsia" w:ascii="宋体" w:hAnsi="宋体"/>
          <w:b/>
          <w:bCs/>
          <w:szCs w:val="21"/>
        </w:rPr>
        <w:t>（六）实验内容安排</w:t>
      </w:r>
    </w:p>
    <w:p>
      <w:pPr>
        <w:widowControl/>
        <w:snapToGrid w:val="0"/>
        <w:spacing w:line="360" w:lineRule="auto"/>
        <w:jc w:val="left"/>
        <w:rPr>
          <w:kern w:val="0"/>
          <w:szCs w:val="21"/>
        </w:rPr>
      </w:pPr>
      <w:r>
        <w:rPr>
          <w:rFonts w:ascii="宋体" w:hAnsi="宋体"/>
          <w:b/>
          <w:bCs/>
          <w:szCs w:val="21"/>
        </w:rPr>
        <w:t>【实验一】</w:t>
      </w:r>
      <w:r>
        <w:rPr>
          <w:rFonts w:hint="eastAsia" w:ascii="宋体" w:hAnsi="宋体"/>
          <w:b/>
          <w:bCs/>
          <w:szCs w:val="21"/>
        </w:rPr>
        <w:t>智慧园艺育种应用场景调研</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4</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ascii="宋体" w:hAnsi="宋体"/>
          <w:szCs w:val="21"/>
        </w:rPr>
        <w:t>了解目前</w:t>
      </w:r>
      <w:r>
        <w:rPr>
          <w:rFonts w:hint="eastAsia" w:ascii="宋体" w:hAnsi="宋体"/>
          <w:szCs w:val="21"/>
        </w:rPr>
        <w:t>育种企业</w:t>
      </w:r>
      <w:r>
        <w:rPr>
          <w:rFonts w:ascii="宋体" w:hAnsi="宋体"/>
          <w:szCs w:val="21"/>
        </w:rPr>
        <w:t>中常用的</w:t>
      </w:r>
      <w:r>
        <w:rPr>
          <w:rFonts w:hint="eastAsia" w:ascii="宋体" w:hAnsi="宋体"/>
          <w:szCs w:val="21"/>
        </w:rPr>
        <w:t>智慧园艺育种技术。</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到郑州市近郊县</w:t>
      </w:r>
      <w:r>
        <w:rPr>
          <w:rFonts w:hint="eastAsia" w:ascii="宋体" w:hAnsi="宋体"/>
          <w:szCs w:val="21"/>
        </w:rPr>
        <w:t>育种企业</w:t>
      </w:r>
      <w:r>
        <w:rPr>
          <w:rFonts w:ascii="宋体" w:hAnsi="宋体"/>
          <w:szCs w:val="21"/>
        </w:rPr>
        <w:t>进行</w:t>
      </w:r>
      <w:r>
        <w:rPr>
          <w:rFonts w:hint="eastAsia" w:ascii="宋体" w:hAnsi="宋体"/>
          <w:szCs w:val="21"/>
        </w:rPr>
        <w:t>智慧园艺育种技术</w:t>
      </w:r>
      <w:r>
        <w:rPr>
          <w:rFonts w:ascii="宋体" w:hAnsi="宋体"/>
          <w:szCs w:val="21"/>
        </w:rPr>
        <w:t>的调查</w:t>
      </w:r>
      <w:r>
        <w:rPr>
          <w:rFonts w:hint="eastAsia" w:ascii="宋体" w:hAnsi="宋体"/>
          <w:szCs w:val="21"/>
        </w:rPr>
        <w:t>。</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每个调查</w:t>
      </w:r>
      <w:r>
        <w:rPr>
          <w:rFonts w:hint="eastAsia" w:ascii="宋体" w:hAnsi="宋体"/>
          <w:szCs w:val="21"/>
        </w:rPr>
        <w:t>学生都要参与，重点调查园艺育种过程中使用哪些</w:t>
      </w:r>
      <w:r>
        <w:rPr>
          <w:rFonts w:hint="eastAsia"/>
          <w:color w:val="262600"/>
        </w:rPr>
        <w:t>遗传信息的智能化育种手段，如分子标记、基因工程以及云计算技术等，</w:t>
      </w:r>
      <w:r>
        <w:rPr>
          <w:rFonts w:ascii="宋体" w:hAnsi="宋体"/>
          <w:szCs w:val="21"/>
        </w:rPr>
        <w:t>调查结束写出实验报告。</w:t>
      </w:r>
    </w:p>
    <w:p>
      <w:pPr>
        <w:widowControl/>
        <w:snapToGrid w:val="0"/>
        <w:spacing w:line="360" w:lineRule="auto"/>
        <w:jc w:val="left"/>
        <w:rPr>
          <w:kern w:val="0"/>
          <w:szCs w:val="21"/>
        </w:rPr>
      </w:pPr>
      <w:r>
        <w:rPr>
          <w:rFonts w:ascii="宋体" w:hAnsi="宋体"/>
          <w:b/>
          <w:bCs/>
          <w:szCs w:val="21"/>
        </w:rPr>
        <w:t>【实验二】</w:t>
      </w:r>
      <w:r>
        <w:rPr>
          <w:rFonts w:hint="eastAsia" w:ascii="宋体" w:hAnsi="宋体"/>
          <w:b/>
          <w:bCs/>
          <w:szCs w:val="21"/>
        </w:rPr>
        <w:t>智慧育苗应用场景调研</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2</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hint="eastAsia" w:ascii="宋体" w:hAnsi="宋体"/>
          <w:szCs w:val="21"/>
        </w:rPr>
        <w:t>了解目前我省育苗企业运用智慧园艺的技术情况。</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到郑州市近郊县</w:t>
      </w:r>
      <w:r>
        <w:rPr>
          <w:rFonts w:hint="eastAsia" w:ascii="宋体" w:hAnsi="宋体"/>
          <w:szCs w:val="21"/>
        </w:rPr>
        <w:t>育苗企业</w:t>
      </w:r>
      <w:r>
        <w:rPr>
          <w:rFonts w:ascii="宋体" w:hAnsi="宋体"/>
          <w:szCs w:val="21"/>
        </w:rPr>
        <w:t>进行</w:t>
      </w:r>
      <w:r>
        <w:rPr>
          <w:rFonts w:hint="eastAsia" w:ascii="宋体" w:hAnsi="宋体"/>
          <w:szCs w:val="21"/>
        </w:rPr>
        <w:t>智慧园艺技术</w:t>
      </w:r>
      <w:r>
        <w:rPr>
          <w:rFonts w:ascii="宋体" w:hAnsi="宋体"/>
          <w:szCs w:val="21"/>
        </w:rPr>
        <w:t>的调查</w:t>
      </w:r>
      <w:r>
        <w:rPr>
          <w:rFonts w:hint="eastAsia" w:ascii="宋体" w:hAnsi="宋体"/>
          <w:szCs w:val="21"/>
        </w:rPr>
        <w:t>，重点考察智慧园艺生产过程管理、水肥管理、智慧农机装备等，了解其系统设计、运行状态及增效情况。</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每个学生都要参与，</w:t>
      </w:r>
      <w:r>
        <w:rPr>
          <w:rFonts w:hint="eastAsia" w:ascii="宋体" w:hAnsi="宋体"/>
          <w:szCs w:val="21"/>
        </w:rPr>
        <w:t>提出园区改善智慧园艺技术措施，</w:t>
      </w:r>
      <w:r>
        <w:rPr>
          <w:rFonts w:ascii="宋体" w:hAnsi="宋体"/>
          <w:szCs w:val="21"/>
        </w:rPr>
        <w:t>结束后写出实验报告。</w:t>
      </w:r>
    </w:p>
    <w:p>
      <w:pPr>
        <w:widowControl/>
        <w:snapToGrid w:val="0"/>
        <w:spacing w:line="360" w:lineRule="auto"/>
        <w:jc w:val="left"/>
        <w:rPr>
          <w:kern w:val="0"/>
          <w:szCs w:val="21"/>
        </w:rPr>
      </w:pPr>
      <w:r>
        <w:rPr>
          <w:rFonts w:ascii="宋体" w:hAnsi="宋体"/>
          <w:b/>
          <w:bCs/>
          <w:szCs w:val="21"/>
        </w:rPr>
        <w:t>【实验三】</w:t>
      </w:r>
      <w:r>
        <w:rPr>
          <w:rFonts w:hint="eastAsia" w:ascii="宋体" w:hAnsi="宋体"/>
          <w:b/>
          <w:bCs/>
          <w:szCs w:val="21"/>
        </w:rPr>
        <w:t>智慧菜园应用场景调研</w:t>
      </w:r>
    </w:p>
    <w:p>
      <w:pPr>
        <w:widowControl/>
        <w:snapToGrid w:val="0"/>
        <w:spacing w:line="360" w:lineRule="auto"/>
        <w:jc w:val="left"/>
        <w:rPr>
          <w:b/>
          <w:bCs/>
          <w:kern w:val="0"/>
          <w:szCs w:val="21"/>
        </w:rPr>
      </w:pPr>
      <w:r>
        <w:rPr>
          <w:rFonts w:ascii="宋体" w:hAnsi="宋体"/>
          <w:b/>
          <w:bCs/>
          <w:kern w:val="0"/>
          <w:szCs w:val="21"/>
        </w:rPr>
        <w:t>实验基本知识与操作</w:t>
      </w:r>
    </w:p>
    <w:p>
      <w:pPr>
        <w:snapToGrid w:val="0"/>
        <w:spacing w:line="360" w:lineRule="auto"/>
        <w:ind w:firstLine="413" w:firstLineChars="196"/>
        <w:rPr>
          <w:szCs w:val="21"/>
        </w:rPr>
      </w:pPr>
      <w:r>
        <w:rPr>
          <w:b/>
          <w:bCs/>
          <w:szCs w:val="21"/>
        </w:rPr>
        <w:t>1.</w:t>
      </w:r>
      <w:r>
        <w:rPr>
          <w:rFonts w:ascii="宋体" w:hAnsi="宋体"/>
          <w:b/>
          <w:bCs/>
          <w:szCs w:val="21"/>
        </w:rPr>
        <w:t>实验学时：</w:t>
      </w:r>
      <w:r>
        <w:rPr>
          <w:szCs w:val="21"/>
        </w:rPr>
        <w:t>2</w:t>
      </w:r>
    </w:p>
    <w:p>
      <w:pPr>
        <w:snapToGrid w:val="0"/>
        <w:spacing w:line="360" w:lineRule="auto"/>
        <w:ind w:firstLine="422" w:firstLineChars="200"/>
        <w:rPr>
          <w:szCs w:val="21"/>
        </w:rPr>
      </w:pPr>
      <w:r>
        <w:rPr>
          <w:b/>
          <w:bCs/>
          <w:szCs w:val="21"/>
        </w:rPr>
        <w:t>2.</w:t>
      </w:r>
      <w:r>
        <w:rPr>
          <w:rFonts w:ascii="宋体" w:hAnsi="宋体"/>
          <w:b/>
          <w:bCs/>
          <w:szCs w:val="21"/>
        </w:rPr>
        <w:t>实验目的：</w:t>
      </w:r>
      <w:r>
        <w:rPr>
          <w:rFonts w:hint="eastAsia" w:ascii="宋体" w:hAnsi="宋体"/>
          <w:szCs w:val="21"/>
        </w:rPr>
        <w:t>了解目前我省设施蔬菜种植企业运用智慧园艺的技术情况</w:t>
      </w:r>
      <w:r>
        <w:rPr>
          <w:rFonts w:ascii="宋体" w:hAnsi="宋体"/>
          <w:szCs w:val="21"/>
        </w:rPr>
        <w:t>。</w:t>
      </w:r>
    </w:p>
    <w:p>
      <w:pPr>
        <w:snapToGrid w:val="0"/>
        <w:spacing w:line="360" w:lineRule="auto"/>
        <w:ind w:firstLine="422" w:firstLineChars="200"/>
        <w:rPr>
          <w:szCs w:val="21"/>
        </w:rPr>
      </w:pPr>
      <w:r>
        <w:rPr>
          <w:b/>
          <w:bCs/>
          <w:szCs w:val="21"/>
        </w:rPr>
        <w:t>3.</w:t>
      </w:r>
      <w:r>
        <w:rPr>
          <w:rFonts w:ascii="宋体" w:hAnsi="宋体"/>
          <w:b/>
          <w:bCs/>
          <w:szCs w:val="21"/>
        </w:rPr>
        <w:t>实验内容：</w:t>
      </w:r>
      <w:r>
        <w:rPr>
          <w:rFonts w:ascii="宋体" w:hAnsi="宋体"/>
          <w:szCs w:val="21"/>
        </w:rPr>
        <w:t>到郑州市近郊县</w:t>
      </w:r>
      <w:r>
        <w:rPr>
          <w:rFonts w:hint="eastAsia" w:ascii="宋体" w:hAnsi="宋体"/>
          <w:szCs w:val="21"/>
        </w:rPr>
        <w:t>设施蔬菜企业</w:t>
      </w:r>
      <w:r>
        <w:rPr>
          <w:rFonts w:ascii="宋体" w:hAnsi="宋体"/>
          <w:szCs w:val="21"/>
        </w:rPr>
        <w:t>进行</w:t>
      </w:r>
      <w:r>
        <w:rPr>
          <w:rFonts w:hint="eastAsia" w:ascii="宋体" w:hAnsi="宋体"/>
          <w:szCs w:val="21"/>
        </w:rPr>
        <w:t>智慧园艺技术</w:t>
      </w:r>
      <w:r>
        <w:rPr>
          <w:rFonts w:ascii="宋体" w:hAnsi="宋体"/>
          <w:szCs w:val="21"/>
        </w:rPr>
        <w:t>的调查</w:t>
      </w:r>
      <w:r>
        <w:rPr>
          <w:rFonts w:hint="eastAsia" w:ascii="宋体" w:hAnsi="宋体"/>
          <w:szCs w:val="21"/>
        </w:rPr>
        <w:t>，重点考察智慧园艺生产过程管理、水肥管理、智慧农机装备等，了解其系统设计、运行状态及增效情况。</w:t>
      </w:r>
    </w:p>
    <w:p>
      <w:pPr>
        <w:snapToGrid w:val="0"/>
        <w:spacing w:line="360" w:lineRule="auto"/>
        <w:ind w:firstLine="422" w:firstLineChars="200"/>
        <w:rPr>
          <w:szCs w:val="21"/>
        </w:rPr>
      </w:pPr>
      <w:r>
        <w:rPr>
          <w:b/>
          <w:bCs/>
          <w:szCs w:val="21"/>
        </w:rPr>
        <w:t>4.</w:t>
      </w:r>
      <w:r>
        <w:rPr>
          <w:rFonts w:ascii="宋体" w:hAnsi="宋体"/>
          <w:b/>
          <w:bCs/>
          <w:szCs w:val="21"/>
        </w:rPr>
        <w:t>实验要求：</w:t>
      </w:r>
      <w:r>
        <w:rPr>
          <w:rFonts w:ascii="宋体" w:hAnsi="宋体"/>
          <w:szCs w:val="21"/>
        </w:rPr>
        <w:t>每个学生都要参与，</w:t>
      </w:r>
      <w:r>
        <w:rPr>
          <w:rFonts w:hint="eastAsia" w:ascii="宋体" w:hAnsi="宋体"/>
          <w:szCs w:val="21"/>
        </w:rPr>
        <w:t>提出园区改善智慧园艺技术措施，</w:t>
      </w:r>
      <w:r>
        <w:rPr>
          <w:rFonts w:ascii="宋体" w:hAnsi="宋体"/>
          <w:szCs w:val="21"/>
        </w:rPr>
        <w:t>结束后写出实验报告。</w:t>
      </w:r>
    </w:p>
    <w:p>
      <w:pPr>
        <w:snapToGrid w:val="0"/>
        <w:spacing w:line="360" w:lineRule="auto"/>
        <w:rPr>
          <w:rFonts w:ascii="宋体" w:hAnsi="宋体"/>
          <w:b/>
          <w:bCs/>
          <w:szCs w:val="21"/>
        </w:rPr>
      </w:pPr>
      <w:r>
        <w:rPr>
          <w:rFonts w:hint="eastAsia" w:ascii="宋体" w:hAnsi="宋体"/>
          <w:b/>
          <w:bCs/>
          <w:szCs w:val="21"/>
        </w:rPr>
        <w:t xml:space="preserve"> (七)考核方式及成绩评定</w:t>
      </w:r>
    </w:p>
    <w:p>
      <w:pPr>
        <w:widowControl/>
        <w:snapToGrid w:val="0"/>
        <w:spacing w:line="360" w:lineRule="auto"/>
        <w:ind w:firstLine="420" w:firstLineChars="200"/>
        <w:jc w:val="left"/>
        <w:rPr>
          <w:rFonts w:ascii="宋体" w:hAnsi="宋体"/>
          <w:szCs w:val="21"/>
        </w:rPr>
      </w:pPr>
      <w:r>
        <w:rPr>
          <w:rFonts w:ascii="宋体" w:hAnsi="宋体"/>
          <w:szCs w:val="21"/>
        </w:rPr>
        <w:t>教师对每次的实验根据学生参与度和实验报告撰写情况进行考核，分为优秀、良好、及格和不及格四个档次。实验总成绩占该门课程成绩的20%。</w:t>
      </w:r>
    </w:p>
    <w:p>
      <w:pPr>
        <w:spacing w:line="360" w:lineRule="auto"/>
        <w:rPr>
          <w:rFonts w:ascii="宋体" w:hAnsi="宋体"/>
          <w:b/>
          <w:bCs/>
          <w:kern w:val="0"/>
          <w:szCs w:val="21"/>
        </w:rPr>
      </w:pPr>
      <w:r>
        <w:rPr>
          <w:rFonts w:hint="eastAsia" w:ascii="宋体" w:hAnsi="宋体"/>
          <w:b/>
          <w:bCs/>
          <w:kern w:val="0"/>
          <w:szCs w:val="21"/>
        </w:rPr>
        <w:t>六、课程思政</w:t>
      </w:r>
    </w:p>
    <w:p>
      <w:pPr>
        <w:snapToGrid w:val="0"/>
        <w:spacing w:line="360" w:lineRule="auto"/>
        <w:ind w:firstLine="420" w:firstLineChars="200"/>
        <w:rPr>
          <w:rFonts w:ascii="宋体" w:hAnsi="宋体"/>
          <w:szCs w:val="21"/>
        </w:rPr>
      </w:pPr>
      <w:r>
        <w:rPr>
          <w:rFonts w:hint="eastAsia" w:ascii="宋体" w:hAnsi="宋体"/>
          <w:szCs w:val="21"/>
        </w:rPr>
        <w:t>根据该课程的特点，结合智慧园艺的主要内容，在理论和实验教学的各个环节，融入思政教育元素，培养适应国家、中原地区和河南地方经济发展需要，具备扎实的自然科学、人文社会科学知识的新时代高级复合型人才。具体目标如下：</w:t>
      </w:r>
    </w:p>
    <w:p>
      <w:pPr>
        <w:snapToGrid w:val="0"/>
        <w:spacing w:line="360" w:lineRule="auto"/>
        <w:ind w:firstLine="420" w:firstLineChars="200"/>
        <w:rPr>
          <w:rFonts w:ascii="宋体" w:hAnsi="宋体"/>
          <w:szCs w:val="21"/>
        </w:rPr>
      </w:pPr>
      <w:r>
        <w:rPr>
          <w:rFonts w:hint="eastAsia" w:ascii="宋体" w:hAnsi="宋体"/>
          <w:szCs w:val="21"/>
        </w:rPr>
        <w:t xml:space="preserve">（1）了解智慧园艺在国民经济和人民生活中的重要地位和作用，了解国内外智慧园艺的发展历史、现状及未来前景，培养新时代学生现代农业背景下的“三农”情怀，增强学生服务农业农村现代化和服务乡村振兴的使命感和责任感。 </w:t>
      </w:r>
    </w:p>
    <w:p>
      <w:pPr>
        <w:snapToGrid w:val="0"/>
        <w:spacing w:line="360" w:lineRule="auto"/>
        <w:ind w:firstLine="420" w:firstLineChars="200"/>
        <w:rPr>
          <w:rFonts w:ascii="宋体" w:hAnsi="宋体"/>
          <w:szCs w:val="21"/>
        </w:rPr>
      </w:pPr>
      <w:r>
        <w:rPr>
          <w:rFonts w:hint="eastAsia" w:ascii="宋体" w:hAnsi="宋体"/>
          <w:szCs w:val="21"/>
        </w:rPr>
        <w:t>（2）通过对我国智慧园艺的悠久历史和新中国成立以来中国智慧园艺产业取得巨大成就的介绍，培养学生对“四个自信”的认知，即使同学们坚信在中国共产党领导下，中国智慧园艺产业将会更加繁荣，人民生活也会更加美好。</w:t>
      </w:r>
    </w:p>
    <w:p>
      <w:pPr>
        <w:snapToGrid w:val="0"/>
        <w:spacing w:line="360" w:lineRule="auto"/>
        <w:ind w:firstLine="420" w:firstLineChars="200"/>
        <w:rPr>
          <w:rFonts w:ascii="宋体" w:hAnsi="宋体"/>
          <w:szCs w:val="21"/>
        </w:rPr>
      </w:pPr>
      <w:r>
        <w:rPr>
          <w:rFonts w:hint="eastAsia" w:ascii="宋体" w:hAnsi="宋体"/>
          <w:szCs w:val="21"/>
        </w:rPr>
        <w:t>（3）了解智慧园艺技术和手段，从简单到复杂、从初级到高级，种类越来越丰富，功能越来越齐全的发展规律，引导学生养成求真崇实、敢于探索、坚定执着的科学精神和精益求精的大国工匠精神。</w:t>
      </w:r>
    </w:p>
    <w:p>
      <w:pPr>
        <w:snapToGrid w:val="0"/>
        <w:spacing w:line="360" w:lineRule="auto"/>
        <w:ind w:firstLine="420" w:firstLineChars="200"/>
        <w:rPr>
          <w:rFonts w:ascii="宋体" w:hAnsi="宋体"/>
          <w:szCs w:val="21"/>
        </w:rPr>
      </w:pPr>
      <w:r>
        <w:rPr>
          <w:rFonts w:hint="eastAsia" w:ascii="宋体" w:hAnsi="宋体"/>
          <w:szCs w:val="21"/>
        </w:rPr>
        <w:t>（4）智慧园艺学理论和实践教学紧密结合，实验教学过程中以小组分工、合作形式展开，注重学生沟通表达和协调能力、组织协调能力、团队合作精神的培养，使学生在实操过程中体会专业精神、团队精神、创新意识、纪律意识和集体荣誉感。</w:t>
      </w:r>
    </w:p>
    <w:p>
      <w:pPr>
        <w:ind w:firstLine="420" w:firstLineChars="200"/>
        <w:rPr>
          <w:rFonts w:ascii="宋体" w:hAnsi="宋体"/>
          <w:bCs/>
          <w:color w:val="FF0000"/>
          <w:kern w:val="0"/>
          <w:szCs w:val="21"/>
        </w:rPr>
      </w:pPr>
    </w:p>
    <w:p>
      <w:pPr>
        <w:spacing w:line="360" w:lineRule="auto"/>
        <w:rPr>
          <w:szCs w:val="21"/>
        </w:rPr>
      </w:pPr>
      <w:r>
        <w:rPr>
          <w:rFonts w:hint="eastAsia" w:ascii="宋体" w:hAnsi="宋体"/>
          <w:b/>
          <w:bCs/>
          <w:kern w:val="0"/>
          <w:szCs w:val="21"/>
        </w:rPr>
        <w:t>七</w:t>
      </w:r>
      <w:r>
        <w:rPr>
          <w:rFonts w:ascii="宋体" w:hAnsi="宋体"/>
          <w:b/>
          <w:bCs/>
          <w:kern w:val="0"/>
          <w:szCs w:val="21"/>
        </w:rPr>
        <w:t>、使用教材</w:t>
      </w:r>
      <w:r>
        <w:rPr>
          <w:rFonts w:hint="eastAsia" w:ascii="宋体" w:hAnsi="宋体"/>
          <w:szCs w:val="21"/>
        </w:rPr>
        <w:t>（教材的选用应符合教育部和学校教材选用规定，教学资源丰富多样，体现思想性、科学性与时代性）</w:t>
      </w:r>
    </w:p>
    <w:p>
      <w:pPr>
        <w:snapToGrid w:val="0"/>
        <w:spacing w:line="360" w:lineRule="auto"/>
        <w:ind w:firstLine="413" w:firstLineChars="196"/>
        <w:rPr>
          <w:rFonts w:ascii="宋体" w:hAnsi="宋体"/>
          <w:b/>
          <w:bCs/>
          <w:szCs w:val="21"/>
        </w:rPr>
      </w:pPr>
      <w:r>
        <w:rPr>
          <w:rFonts w:ascii="宋体" w:hAnsi="宋体"/>
          <w:b/>
          <w:bCs/>
          <w:szCs w:val="21"/>
        </w:rPr>
        <w:t>1</w:t>
      </w:r>
      <w:r>
        <w:rPr>
          <w:rFonts w:hint="eastAsia" w:ascii="宋体" w:hAnsi="宋体"/>
          <w:b/>
          <w:bCs/>
          <w:szCs w:val="21"/>
        </w:rPr>
        <w:t>.选用</w:t>
      </w:r>
      <w:r>
        <w:rPr>
          <w:rFonts w:ascii="宋体" w:hAnsi="宋体"/>
          <w:b/>
          <w:bCs/>
          <w:szCs w:val="21"/>
        </w:rPr>
        <w:t>教材：</w:t>
      </w:r>
    </w:p>
    <w:p>
      <w:pPr>
        <w:snapToGrid w:val="0"/>
        <w:spacing w:line="360" w:lineRule="auto"/>
        <w:ind w:firstLine="420" w:firstLineChars="200"/>
        <w:rPr>
          <w:rFonts w:ascii="宋体" w:hAnsi="宋体"/>
          <w:szCs w:val="21"/>
        </w:rPr>
      </w:pPr>
      <w:r>
        <w:rPr>
          <w:rFonts w:hint="eastAsia" w:ascii="宋体" w:hAnsi="宋体"/>
          <w:szCs w:val="21"/>
        </w:rPr>
        <w:t>（1）智慧农业理论与实践，自编教材。</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ascii="宋体" w:hAnsi="宋体"/>
          <w:b/>
          <w:bCs/>
          <w:kern w:val="0"/>
          <w:szCs w:val="21"/>
        </w:rPr>
        <w:t>参考书：</w:t>
      </w:r>
    </w:p>
    <w:p>
      <w:pPr>
        <w:snapToGrid w:val="0"/>
        <w:spacing w:line="360" w:lineRule="auto"/>
        <w:ind w:firstLine="420" w:firstLineChars="200"/>
        <w:rPr>
          <w:rFonts w:ascii="宋体" w:hAnsi="宋体"/>
          <w:szCs w:val="21"/>
        </w:rPr>
      </w:pPr>
      <w:r>
        <w:rPr>
          <w:rFonts w:hint="eastAsia" w:ascii="宋体" w:hAnsi="宋体"/>
          <w:szCs w:val="21"/>
        </w:rPr>
        <w:t>（1）孙红敏，贾银江编</w:t>
      </w:r>
      <w:r>
        <w:rPr>
          <w:rFonts w:ascii="宋体" w:hAnsi="宋体"/>
          <w:szCs w:val="21"/>
        </w:rPr>
        <w:t>.</w:t>
      </w:r>
      <w:r>
        <w:rPr>
          <w:rFonts w:hint="eastAsia" w:ascii="宋体" w:hAnsi="宋体"/>
          <w:szCs w:val="21"/>
        </w:rPr>
        <w:t>数字农业技术及应用</w:t>
      </w:r>
      <w:r>
        <w:rPr>
          <w:rFonts w:ascii="宋体" w:hAnsi="宋体"/>
          <w:szCs w:val="21"/>
        </w:rPr>
        <w:t>.</w:t>
      </w:r>
      <w:r>
        <w:rPr>
          <w:rFonts w:hint="eastAsia" w:ascii="宋体" w:hAnsi="宋体"/>
          <w:szCs w:val="21"/>
        </w:rPr>
        <w:t>中国农业出版社，</w:t>
      </w:r>
      <w:r>
        <w:rPr>
          <w:rFonts w:ascii="宋体" w:hAnsi="宋体"/>
          <w:szCs w:val="21"/>
        </w:rPr>
        <w:t>2020.</w:t>
      </w:r>
    </w:p>
    <w:p>
      <w:pPr>
        <w:snapToGrid w:val="0"/>
        <w:spacing w:line="360" w:lineRule="auto"/>
        <w:ind w:firstLine="420" w:firstLineChars="200"/>
        <w:rPr>
          <w:rFonts w:ascii="宋体" w:hAnsi="宋体"/>
          <w:szCs w:val="21"/>
        </w:rPr>
      </w:pPr>
      <w:r>
        <w:rPr>
          <w:rFonts w:hint="eastAsia" w:ascii="宋体" w:hAnsi="宋体"/>
          <w:szCs w:val="21"/>
        </w:rPr>
        <w:t>（2）李军，《农业信息技术（第二版）》，科学出版社，2017.</w:t>
      </w:r>
    </w:p>
    <w:p>
      <w:pPr>
        <w:snapToGrid w:val="0"/>
        <w:spacing w:line="360" w:lineRule="auto"/>
        <w:ind w:firstLine="420" w:firstLineChars="200"/>
        <w:rPr>
          <w:rFonts w:ascii="宋体" w:hAnsi="宋体"/>
          <w:szCs w:val="21"/>
        </w:rPr>
      </w:pPr>
      <w:r>
        <w:rPr>
          <w:rFonts w:hint="eastAsia" w:ascii="宋体" w:hAnsi="宋体"/>
          <w:szCs w:val="21"/>
        </w:rPr>
        <w:t>（3）江洪</w:t>
      </w:r>
      <w:r>
        <w:rPr>
          <w:rFonts w:ascii="宋体" w:hAnsi="宋体"/>
          <w:szCs w:val="21"/>
        </w:rPr>
        <w:t>.</w:t>
      </w:r>
      <w:r>
        <w:rPr>
          <w:rFonts w:hint="eastAsia" w:ascii="宋体" w:hAnsi="宋体"/>
          <w:szCs w:val="21"/>
        </w:rPr>
        <w:t>智慧农业导论 理论、技术和应用</w:t>
      </w:r>
      <w:r>
        <w:rPr>
          <w:rFonts w:ascii="宋体" w:hAnsi="宋体"/>
          <w:szCs w:val="21"/>
        </w:rPr>
        <w:t>.</w:t>
      </w:r>
      <w:r>
        <w:rPr>
          <w:rFonts w:hint="eastAsia" w:ascii="宋体" w:hAnsi="宋体"/>
          <w:szCs w:val="21"/>
        </w:rPr>
        <w:t>上海：上海交通大学出版社，</w:t>
      </w:r>
      <w:r>
        <w:rPr>
          <w:rFonts w:ascii="宋体" w:hAnsi="宋体"/>
          <w:szCs w:val="21"/>
        </w:rPr>
        <w:t>2015.</w:t>
      </w:r>
    </w:p>
    <w:p>
      <w:pPr>
        <w:widowControl/>
        <w:snapToGrid w:val="0"/>
        <w:spacing w:line="360" w:lineRule="auto"/>
        <w:ind w:firstLine="422" w:firstLineChars="200"/>
        <w:jc w:val="left"/>
        <w:rPr>
          <w:b/>
          <w:bCs/>
          <w:kern w:val="0"/>
          <w:szCs w:val="21"/>
        </w:rPr>
      </w:pPr>
      <w:r>
        <w:rPr>
          <w:rFonts w:hint="eastAsia"/>
          <w:b/>
          <w:bCs/>
          <w:kern w:val="0"/>
          <w:szCs w:val="21"/>
        </w:rPr>
        <w:t>3.</w:t>
      </w:r>
      <w:r>
        <w:rPr>
          <w:rFonts w:hint="eastAsia" w:ascii="宋体" w:hAnsi="宋体"/>
          <w:b/>
          <w:bCs/>
          <w:kern w:val="0"/>
          <w:szCs w:val="21"/>
        </w:rPr>
        <w:t>推荐网站：</w:t>
      </w:r>
    </w:p>
    <w:p>
      <w:pPr>
        <w:snapToGrid w:val="0"/>
        <w:spacing w:line="360" w:lineRule="auto"/>
        <w:ind w:firstLine="420" w:firstLineChars="200"/>
        <w:rPr>
          <w:szCs w:val="21"/>
        </w:rPr>
      </w:pPr>
      <w:r>
        <w:rPr>
          <w:szCs w:val="21"/>
        </w:rPr>
        <w:t>（1）智能装备网，http://www.znzbw.cn/</w:t>
      </w:r>
    </w:p>
    <w:p>
      <w:pPr>
        <w:snapToGrid w:val="0"/>
        <w:spacing w:line="360" w:lineRule="auto"/>
        <w:ind w:firstLine="420" w:firstLineChars="200"/>
        <w:rPr>
          <w:szCs w:val="21"/>
        </w:rPr>
      </w:pPr>
      <w:r>
        <w:rPr>
          <w:szCs w:val="21"/>
        </w:rPr>
        <w:t>（2）园艺设施学精品课程网，</w:t>
      </w:r>
      <w:r>
        <w:fldChar w:fldCharType="begin"/>
      </w:r>
      <w:r>
        <w:instrText xml:space="preserve"> HYPERLINK "http://netc.nwsuaf.edu.cn/yuanyi" </w:instrText>
      </w:r>
      <w:r>
        <w:fldChar w:fldCharType="separate"/>
      </w:r>
      <w:r>
        <w:rPr>
          <w:szCs w:val="21"/>
        </w:rPr>
        <w:t>http://netc.nwsuaf.edu.cn/yuanyi</w:t>
      </w:r>
      <w:r>
        <w:rPr>
          <w:szCs w:val="21"/>
        </w:rPr>
        <w:fldChar w:fldCharType="end"/>
      </w:r>
    </w:p>
    <w:p>
      <w:pPr>
        <w:snapToGrid w:val="0"/>
        <w:spacing w:line="360" w:lineRule="auto"/>
        <w:ind w:firstLine="420" w:firstLineChars="200"/>
        <w:rPr>
          <w:szCs w:val="21"/>
        </w:rPr>
      </w:pPr>
      <w:r>
        <w:rPr>
          <w:szCs w:val="21"/>
        </w:rPr>
        <w:t>（3）中国温室网，</w:t>
      </w:r>
      <w:r>
        <w:fldChar w:fldCharType="begin"/>
      </w:r>
      <w:r>
        <w:instrText xml:space="preserve"> HYPERLINK "http://chinagreenhouse.com" </w:instrText>
      </w:r>
      <w:r>
        <w:fldChar w:fldCharType="separate"/>
      </w:r>
      <w:r>
        <w:rPr>
          <w:szCs w:val="21"/>
        </w:rPr>
        <w:t>http://chinagreenhouse.com</w:t>
      </w:r>
      <w:r>
        <w:rPr>
          <w:szCs w:val="21"/>
        </w:rPr>
        <w:fldChar w:fldCharType="end"/>
      </w:r>
    </w:p>
    <w:p>
      <w:pPr>
        <w:spacing w:line="360" w:lineRule="auto"/>
        <w:rPr>
          <w:rFonts w:ascii="宋体" w:hAnsi="宋体"/>
          <w:b/>
          <w:bCs/>
          <w:kern w:val="0"/>
          <w:szCs w:val="21"/>
        </w:rPr>
      </w:pPr>
      <w:r>
        <w:rPr>
          <w:rFonts w:hint="eastAsia" w:ascii="宋体" w:hAnsi="宋体"/>
          <w:b/>
          <w:bCs/>
          <w:kern w:val="0"/>
          <w:szCs w:val="21"/>
        </w:rPr>
        <w:t>八</w:t>
      </w:r>
      <w:r>
        <w:rPr>
          <w:rFonts w:ascii="宋体" w:hAnsi="宋体"/>
          <w:b/>
          <w:bCs/>
          <w:kern w:val="0"/>
          <w:szCs w:val="21"/>
        </w:rPr>
        <w:t>、</w:t>
      </w:r>
      <w:r>
        <w:rPr>
          <w:rFonts w:hint="eastAsia" w:ascii="宋体" w:hAnsi="宋体"/>
          <w:b/>
          <w:bCs/>
          <w:kern w:val="0"/>
          <w:szCs w:val="21"/>
        </w:rPr>
        <w:t>教学条件</w:t>
      </w:r>
    </w:p>
    <w:p>
      <w:pPr>
        <w:snapToGrid w:val="0"/>
        <w:spacing w:line="360" w:lineRule="auto"/>
        <w:ind w:firstLine="420" w:firstLineChars="200"/>
        <w:rPr>
          <w:rFonts w:ascii="宋体" w:hAnsi="宋体"/>
          <w:color w:val="0000FF"/>
          <w:szCs w:val="21"/>
        </w:rPr>
      </w:pPr>
      <w:r>
        <w:rPr>
          <w:rFonts w:hint="eastAsia" w:ascii="宋体" w:hAnsi="宋体"/>
          <w:szCs w:val="21"/>
        </w:rPr>
        <w:t>《智慧园艺》课程</w:t>
      </w:r>
      <w:r>
        <w:rPr>
          <w:rFonts w:ascii="宋体" w:hAnsi="宋体"/>
          <w:szCs w:val="21"/>
        </w:rPr>
        <w:t>一直</w:t>
      </w:r>
      <w:r>
        <w:rPr>
          <w:rFonts w:hint="eastAsia" w:ascii="宋体" w:hAnsi="宋体"/>
          <w:szCs w:val="21"/>
        </w:rPr>
        <w:t>采用“教学实验、参观学习和生产实习一体化”的实践教学模式。</w:t>
      </w:r>
      <w:r>
        <w:rPr>
          <w:rFonts w:hint="eastAsia" w:ascii="宋体" w:hAnsi="宋体"/>
          <w:color w:val="000000"/>
          <w:szCs w:val="21"/>
        </w:rPr>
        <w:t>通过理论教学让同学们充分了解我国智慧园艺的现状和发展特点及发展路径和发展趋势；通过案例分析、视频演示让同学们更加直观地学习到我国智慧园艺技术特点；通过文献查阅、调查与分组汇报和交流讨论，使学生系统掌握课程理论知识，培养学生系统分析问题、交流合作、开拓创新、发现问题和解决问题的能力。</w:t>
      </w:r>
      <w:r>
        <w:rPr>
          <w:rFonts w:hint="eastAsia" w:ascii="宋体" w:hAnsi="宋体"/>
          <w:szCs w:val="21"/>
        </w:rPr>
        <w:t>目前</w:t>
      </w:r>
      <w:r>
        <w:rPr>
          <w:rFonts w:ascii="宋体" w:hAnsi="宋体"/>
          <w:szCs w:val="21"/>
        </w:rPr>
        <w:t>拥有</w:t>
      </w:r>
      <w:r>
        <w:rPr>
          <w:rFonts w:hint="eastAsia" w:ascii="宋体" w:hAnsi="宋体"/>
          <w:szCs w:val="21"/>
        </w:rPr>
        <w:t>三区科教园区、毛庄科教园区、扶沟蔬菜研究院等校内实习基地、鄢陵建业绿色基地、焦作市马村区优质果蔬研究院、农科院原阳基地等校外基地，并与校外多个基地合作，保证学生实验实训和创新教育的顺利完成。</w:t>
      </w:r>
    </w:p>
    <w:p>
      <w:pPr>
        <w:widowControl/>
        <w:snapToGrid w:val="0"/>
        <w:spacing w:line="360" w:lineRule="auto"/>
        <w:jc w:val="left"/>
        <w:rPr>
          <w:rFonts w:hAnsi="宋体"/>
          <w:b/>
          <w:bCs/>
          <w:kern w:val="0"/>
          <w:szCs w:val="21"/>
        </w:rPr>
      </w:pPr>
      <w:r>
        <w:rPr>
          <w:rFonts w:hint="eastAsia" w:ascii="宋体" w:hAnsi="宋体"/>
          <w:b/>
          <w:bCs/>
          <w:kern w:val="0"/>
          <w:szCs w:val="21"/>
        </w:rPr>
        <w:t>九、教学考核评价</w:t>
      </w:r>
    </w:p>
    <w:p>
      <w:pPr>
        <w:widowControl/>
        <w:snapToGrid w:val="0"/>
        <w:spacing w:line="360" w:lineRule="auto"/>
        <w:ind w:firstLine="420"/>
        <w:jc w:val="left"/>
        <w:rPr>
          <w:rFonts w:ascii="宋体" w:hAnsi="宋体"/>
          <w:b/>
          <w:bCs/>
          <w:kern w:val="0"/>
          <w:szCs w:val="21"/>
        </w:rPr>
      </w:pPr>
      <w:r>
        <w:rPr>
          <w:rFonts w:hint="eastAsia"/>
          <w:b/>
          <w:bCs/>
          <w:kern w:val="0"/>
          <w:szCs w:val="21"/>
        </w:rPr>
        <w:t>1.</w:t>
      </w:r>
      <w:r>
        <w:rPr>
          <w:rFonts w:hint="eastAsia" w:ascii="宋体" w:hAnsi="宋体"/>
          <w:b/>
          <w:bCs/>
          <w:kern w:val="0"/>
          <w:szCs w:val="21"/>
        </w:rPr>
        <w:t>过程性评价：</w:t>
      </w:r>
    </w:p>
    <w:p>
      <w:pPr>
        <w:widowControl/>
        <w:snapToGrid w:val="0"/>
        <w:spacing w:line="360" w:lineRule="auto"/>
        <w:ind w:firstLine="420"/>
        <w:jc w:val="left"/>
        <w:rPr>
          <w:rFonts w:ascii="宋体" w:hAnsi="宋体"/>
          <w:szCs w:val="21"/>
        </w:rPr>
      </w:pPr>
      <w:r>
        <w:rPr>
          <w:rFonts w:hint="eastAsia" w:ascii="宋体" w:hAnsi="宋体"/>
          <w:szCs w:val="21"/>
        </w:rPr>
        <w:t>平时成绩（</w:t>
      </w:r>
      <w:r>
        <w:rPr>
          <w:rFonts w:ascii="宋体" w:hAnsi="宋体"/>
          <w:szCs w:val="21"/>
        </w:rPr>
        <w:t>20</w:t>
      </w:r>
      <w:r>
        <w:rPr>
          <w:rFonts w:hint="eastAsia" w:ascii="宋体" w:hAnsi="宋体"/>
          <w:szCs w:val="21"/>
        </w:rPr>
        <w:t>%）：含课堂表现、小组学习讨论、课后作业等</w:t>
      </w:r>
    </w:p>
    <w:p>
      <w:pPr>
        <w:widowControl/>
        <w:snapToGrid w:val="0"/>
        <w:spacing w:line="360" w:lineRule="auto"/>
        <w:ind w:firstLine="420"/>
        <w:jc w:val="left"/>
        <w:rPr>
          <w:rFonts w:ascii="宋体" w:hAnsi="宋体"/>
          <w:szCs w:val="21"/>
        </w:rPr>
      </w:pPr>
      <w:r>
        <w:rPr>
          <w:rFonts w:hint="eastAsia" w:ascii="宋体" w:hAnsi="宋体"/>
          <w:szCs w:val="21"/>
        </w:rPr>
        <w:t>实验课成绩（</w:t>
      </w:r>
      <w:r>
        <w:rPr>
          <w:rFonts w:ascii="宋体" w:hAnsi="宋体"/>
          <w:szCs w:val="21"/>
        </w:rPr>
        <w:t>20</w:t>
      </w:r>
      <w:r>
        <w:rPr>
          <w:rFonts w:hint="eastAsia" w:ascii="宋体" w:hAnsi="宋体"/>
          <w:szCs w:val="21"/>
        </w:rPr>
        <w:t>%）：实验</w:t>
      </w:r>
      <w:r>
        <w:rPr>
          <w:rFonts w:ascii="宋体" w:hAnsi="宋体"/>
          <w:szCs w:val="21"/>
        </w:rPr>
        <w:t>报告</w:t>
      </w:r>
      <w:r>
        <w:rPr>
          <w:rFonts w:hint="eastAsia" w:ascii="宋体" w:hAnsi="宋体"/>
          <w:szCs w:val="21"/>
        </w:rPr>
        <w:t>及实验</w:t>
      </w:r>
      <w:r>
        <w:rPr>
          <w:rFonts w:ascii="宋体" w:hAnsi="宋体"/>
          <w:szCs w:val="21"/>
        </w:rPr>
        <w:t>参与度</w:t>
      </w:r>
    </w:p>
    <w:p>
      <w:pPr>
        <w:widowControl/>
        <w:snapToGrid w:val="0"/>
        <w:spacing w:line="360" w:lineRule="auto"/>
        <w:ind w:firstLine="420"/>
        <w:jc w:val="left"/>
        <w:rPr>
          <w:rFonts w:hAnsi="宋体"/>
          <w:b/>
          <w:bCs/>
          <w:kern w:val="0"/>
          <w:szCs w:val="21"/>
        </w:rPr>
      </w:pPr>
      <w:r>
        <w:rPr>
          <w:rFonts w:hint="eastAsia"/>
          <w:b/>
          <w:bCs/>
          <w:kern w:val="0"/>
          <w:szCs w:val="21"/>
        </w:rPr>
        <w:t>2.</w:t>
      </w:r>
      <w:r>
        <w:rPr>
          <w:rFonts w:hint="eastAsia" w:ascii="宋体" w:hAnsi="宋体"/>
          <w:b/>
          <w:bCs/>
          <w:kern w:val="0"/>
          <w:szCs w:val="21"/>
        </w:rPr>
        <w:t>终结性评价：</w:t>
      </w:r>
      <w:r>
        <w:rPr>
          <w:rFonts w:hint="eastAsia" w:ascii="宋体" w:hAnsi="宋体"/>
          <w:kern w:val="0"/>
          <w:szCs w:val="21"/>
        </w:rPr>
        <w:t>期末成绩以</w:t>
      </w:r>
      <w:r>
        <w:rPr>
          <w:rFonts w:hint="eastAsia" w:ascii="宋体" w:hAnsi="宋体"/>
          <w:bCs/>
          <w:kern w:val="0"/>
          <w:szCs w:val="21"/>
        </w:rPr>
        <w:t>课程论文形式考核（6</w:t>
      </w:r>
      <w:r>
        <w:rPr>
          <w:rFonts w:ascii="宋体" w:hAnsi="宋体"/>
          <w:bCs/>
          <w:kern w:val="0"/>
          <w:szCs w:val="21"/>
        </w:rPr>
        <w:t>0%</w:t>
      </w:r>
      <w:r>
        <w:rPr>
          <w:rFonts w:hint="eastAsia" w:ascii="宋体" w:hAnsi="宋体"/>
          <w:bCs/>
          <w:kern w:val="0"/>
          <w:szCs w:val="21"/>
        </w:rPr>
        <w:t>）</w:t>
      </w:r>
    </w:p>
    <w:p>
      <w:pPr>
        <w:widowControl/>
        <w:snapToGrid w:val="0"/>
        <w:spacing w:line="360" w:lineRule="auto"/>
        <w:ind w:firstLine="420"/>
        <w:jc w:val="left"/>
        <w:rPr>
          <w:rFonts w:ascii="宋体" w:hAnsi="宋体"/>
          <w:color w:val="FF0000"/>
          <w:szCs w:val="21"/>
        </w:rPr>
      </w:pPr>
      <w:r>
        <w:rPr>
          <w:rFonts w:hint="eastAsia"/>
          <w:b/>
          <w:bCs/>
          <w:kern w:val="0"/>
          <w:szCs w:val="21"/>
        </w:rPr>
        <w:t>3.</w:t>
      </w:r>
      <w:r>
        <w:rPr>
          <w:rFonts w:hint="eastAsia" w:ascii="宋体" w:hAnsi="宋体"/>
          <w:b/>
          <w:bCs/>
          <w:kern w:val="0"/>
          <w:szCs w:val="21"/>
        </w:rPr>
        <w:t>课程综合评价：</w:t>
      </w:r>
      <w:r>
        <w:rPr>
          <w:rFonts w:hint="eastAsia" w:ascii="宋体" w:hAnsi="宋体"/>
          <w:szCs w:val="21"/>
        </w:rPr>
        <w:t>平时成绩（</w:t>
      </w:r>
      <w:r>
        <w:rPr>
          <w:rFonts w:ascii="宋体" w:hAnsi="宋体"/>
          <w:szCs w:val="21"/>
        </w:rPr>
        <w:t>20</w:t>
      </w:r>
      <w:r>
        <w:rPr>
          <w:rFonts w:hint="eastAsia" w:ascii="宋体" w:hAnsi="宋体"/>
          <w:szCs w:val="21"/>
        </w:rPr>
        <w:t>%）+实验课成绩（</w:t>
      </w:r>
      <w:r>
        <w:rPr>
          <w:rFonts w:ascii="宋体" w:hAnsi="宋体"/>
          <w:szCs w:val="21"/>
        </w:rPr>
        <w:t>20</w:t>
      </w:r>
      <w:r>
        <w:rPr>
          <w:rFonts w:hint="eastAsia" w:ascii="宋体" w:hAnsi="宋体"/>
          <w:szCs w:val="21"/>
        </w:rPr>
        <w:t>%）+期末成绩（</w:t>
      </w:r>
      <w:r>
        <w:rPr>
          <w:rFonts w:ascii="宋体" w:hAnsi="宋体"/>
          <w:szCs w:val="21"/>
        </w:rPr>
        <w:t>60</w:t>
      </w:r>
      <w:r>
        <w:rPr>
          <w:rFonts w:hint="eastAsia" w:ascii="宋体" w:hAnsi="宋体"/>
          <w:szCs w:val="21"/>
        </w:rPr>
        <w:t>%）</w:t>
      </w:r>
    </w:p>
    <w:p>
      <w:pPr>
        <w:pStyle w:val="21"/>
        <w:rPr>
          <w:sz w:val="28"/>
          <w:szCs w:val="28"/>
        </w:rPr>
      </w:pPr>
      <w:bookmarkStart w:id="271" w:name="_Toc138076325"/>
      <w:bookmarkStart w:id="272" w:name="_Toc138070436"/>
      <w:bookmarkStart w:id="273" w:name="_Toc138076620"/>
      <w:bookmarkStart w:id="274" w:name="_Toc19059"/>
      <w:bookmarkStart w:id="275" w:name="_Toc138076076"/>
      <w:bookmarkStart w:id="276" w:name="_Toc138070706"/>
      <w:bookmarkStart w:id="277" w:name="_Toc138068806"/>
      <w:r>
        <w:rPr>
          <w:sz w:val="28"/>
          <w:szCs w:val="28"/>
        </w:rPr>
        <w:t>创意农业</w:t>
      </w:r>
      <w:bookmarkEnd w:id="271"/>
      <w:bookmarkEnd w:id="272"/>
      <w:bookmarkEnd w:id="273"/>
      <w:bookmarkEnd w:id="274"/>
      <w:bookmarkEnd w:id="275"/>
      <w:bookmarkEnd w:id="276"/>
      <w:bookmarkEnd w:id="277"/>
    </w:p>
    <w:p>
      <w:pPr>
        <w:snapToGrid w:val="0"/>
        <w:spacing w:line="360" w:lineRule="auto"/>
        <w:jc w:val="center"/>
        <w:rPr>
          <w:sz w:val="24"/>
        </w:rPr>
      </w:pPr>
      <w:r>
        <w:rPr>
          <w:rFonts w:hint="eastAsia"/>
          <w:sz w:val="24"/>
          <w:lang w:eastAsia="zh-CN"/>
        </w:rPr>
        <w:t>（</w:t>
      </w:r>
      <w:r>
        <w:rPr>
          <w:sz w:val="24"/>
        </w:rPr>
        <w:t>Creative Agriculture</w:t>
      </w:r>
      <w:r>
        <w:rPr>
          <w:rFonts w:hint="eastAsia"/>
          <w:sz w:val="24"/>
          <w:lang w:eastAsia="zh-CN"/>
        </w:rPr>
        <w:t>）</w:t>
      </w:r>
    </w:p>
    <w:p>
      <w:pPr>
        <w:snapToGrid w:val="0"/>
        <w:spacing w:line="360" w:lineRule="auto"/>
        <w:jc w:val="center"/>
        <w:rPr>
          <w:b/>
          <w:szCs w:val="21"/>
        </w:rPr>
      </w:pPr>
    </w:p>
    <w:p>
      <w:pPr>
        <w:snapToGrid w:val="0"/>
        <w:spacing w:line="360" w:lineRule="auto"/>
        <w:jc w:val="center"/>
        <w:rPr>
          <w:b/>
          <w:szCs w:val="21"/>
        </w:rPr>
      </w:pPr>
      <w:r>
        <w:rPr>
          <w:b/>
          <w:szCs w:val="21"/>
        </w:rPr>
        <w:t>课程基本信息</w:t>
      </w:r>
    </w:p>
    <w:tbl>
      <w:tblPr>
        <w:tblStyle w:val="22"/>
        <w:tblW w:w="5063" w:type="pct"/>
        <w:tblInd w:w="0" w:type="dxa"/>
        <w:tblLayout w:type="autofit"/>
        <w:tblCellMar>
          <w:top w:w="0" w:type="dxa"/>
          <w:left w:w="108" w:type="dxa"/>
          <w:bottom w:w="0" w:type="dxa"/>
          <w:right w:w="108" w:type="dxa"/>
        </w:tblCellMar>
      </w:tblPr>
      <w:tblGrid>
        <w:gridCol w:w="2402"/>
        <w:gridCol w:w="3587"/>
        <w:gridCol w:w="3242"/>
      </w:tblGrid>
      <w:tr>
        <w:tblPrEx>
          <w:tblCellMar>
            <w:top w:w="0" w:type="dxa"/>
            <w:left w:w="108" w:type="dxa"/>
            <w:bottom w:w="0" w:type="dxa"/>
            <w:right w:w="108" w:type="dxa"/>
          </w:tblCellMar>
        </w:tblPrEx>
        <w:trPr>
          <w:trHeight w:val="498" w:hRule="atLeast"/>
        </w:trPr>
        <w:tc>
          <w:tcPr>
            <w:tcW w:w="1301" w:type="pct"/>
            <w:vAlign w:val="center"/>
          </w:tcPr>
          <w:p>
            <w:pPr>
              <w:spacing w:line="300" w:lineRule="auto"/>
              <w:ind w:right="-1212" w:rightChars="-577"/>
              <w:rPr>
                <w:b/>
                <w:bCs/>
                <w:szCs w:val="21"/>
              </w:rPr>
            </w:pPr>
            <w:r>
              <w:rPr>
                <w:b/>
                <w:bCs/>
                <w:szCs w:val="21"/>
              </w:rPr>
              <w:t>课程编号：19011122</w:t>
            </w:r>
          </w:p>
        </w:tc>
        <w:tc>
          <w:tcPr>
            <w:tcW w:w="1943" w:type="pct"/>
            <w:vAlign w:val="center"/>
          </w:tcPr>
          <w:p>
            <w:pPr>
              <w:spacing w:line="300" w:lineRule="auto"/>
              <w:rPr>
                <w:b/>
                <w:bCs/>
                <w:szCs w:val="21"/>
              </w:rPr>
            </w:pPr>
            <w:r>
              <w:rPr>
                <w:b/>
                <w:bCs/>
                <w:szCs w:val="21"/>
              </w:rPr>
              <w:t>课程总学时：24</w:t>
            </w:r>
          </w:p>
        </w:tc>
        <w:tc>
          <w:tcPr>
            <w:tcW w:w="1754" w:type="pct"/>
            <w:vAlign w:val="center"/>
          </w:tcPr>
          <w:p>
            <w:pPr>
              <w:spacing w:line="300" w:lineRule="auto"/>
              <w:ind w:left="-578" w:leftChars="-275" w:firstLine="555"/>
              <w:rPr>
                <w:b/>
                <w:bCs/>
                <w:szCs w:val="21"/>
              </w:rPr>
            </w:pPr>
            <w:r>
              <w:rPr>
                <w:b/>
                <w:bCs/>
                <w:szCs w:val="21"/>
              </w:rPr>
              <w:t>实验学时：8学时</w:t>
            </w:r>
          </w:p>
        </w:tc>
      </w:tr>
      <w:tr>
        <w:tblPrEx>
          <w:tblCellMar>
            <w:top w:w="0" w:type="dxa"/>
            <w:left w:w="108" w:type="dxa"/>
            <w:bottom w:w="0" w:type="dxa"/>
            <w:right w:w="108" w:type="dxa"/>
          </w:tblCellMar>
        </w:tblPrEx>
        <w:trPr>
          <w:trHeight w:val="498" w:hRule="atLeast"/>
        </w:trPr>
        <w:tc>
          <w:tcPr>
            <w:tcW w:w="1301" w:type="pct"/>
            <w:vAlign w:val="center"/>
          </w:tcPr>
          <w:p>
            <w:pPr>
              <w:spacing w:line="300" w:lineRule="auto"/>
              <w:rPr>
                <w:b/>
                <w:bCs/>
                <w:szCs w:val="21"/>
              </w:rPr>
            </w:pPr>
            <w:r>
              <w:rPr>
                <w:b/>
                <w:bCs/>
                <w:szCs w:val="21"/>
              </w:rPr>
              <w:t>课程性质：</w:t>
            </w:r>
            <w:r>
              <w:rPr>
                <w:b/>
                <w:bCs/>
                <w:color w:val="353535"/>
                <w:szCs w:val="21"/>
              </w:rPr>
              <w:t>选修</w:t>
            </w:r>
          </w:p>
        </w:tc>
        <w:tc>
          <w:tcPr>
            <w:tcW w:w="1943" w:type="pct"/>
            <w:vAlign w:val="center"/>
          </w:tcPr>
          <w:p>
            <w:pPr>
              <w:spacing w:line="300" w:lineRule="auto"/>
              <w:rPr>
                <w:b/>
                <w:bCs/>
                <w:szCs w:val="21"/>
              </w:rPr>
            </w:pPr>
            <w:r>
              <w:rPr>
                <w:b/>
                <w:bCs/>
                <w:szCs w:val="21"/>
              </w:rPr>
              <w:t>课程属性:</w:t>
            </w:r>
            <w:r>
              <w:rPr>
                <w:b/>
                <w:bCs/>
              </w:rPr>
              <w:t xml:space="preserve"> </w:t>
            </w:r>
            <w:r>
              <w:rPr>
                <w:b/>
                <w:bCs/>
                <w:szCs w:val="21"/>
              </w:rPr>
              <w:t>创业教育类</w:t>
            </w:r>
          </w:p>
        </w:tc>
        <w:tc>
          <w:tcPr>
            <w:tcW w:w="1754" w:type="pct"/>
            <w:vAlign w:val="center"/>
          </w:tcPr>
          <w:p>
            <w:pPr>
              <w:spacing w:line="300" w:lineRule="auto"/>
              <w:rPr>
                <w:b/>
                <w:bCs/>
                <w:szCs w:val="21"/>
              </w:rPr>
            </w:pPr>
            <w:r>
              <w:rPr>
                <w:b/>
                <w:bCs/>
                <w:szCs w:val="21"/>
              </w:rPr>
              <w:t>开设学期：第7学期</w:t>
            </w:r>
          </w:p>
        </w:tc>
      </w:tr>
      <w:tr>
        <w:tblPrEx>
          <w:tblCellMar>
            <w:top w:w="0" w:type="dxa"/>
            <w:left w:w="108" w:type="dxa"/>
            <w:bottom w:w="0" w:type="dxa"/>
            <w:right w:w="108" w:type="dxa"/>
          </w:tblCellMar>
        </w:tblPrEx>
        <w:trPr>
          <w:trHeight w:val="498" w:hRule="atLeast"/>
        </w:trPr>
        <w:tc>
          <w:tcPr>
            <w:tcW w:w="1301" w:type="pct"/>
            <w:vAlign w:val="center"/>
          </w:tcPr>
          <w:p>
            <w:pPr>
              <w:spacing w:line="300" w:lineRule="auto"/>
              <w:rPr>
                <w:b/>
                <w:bCs/>
                <w:szCs w:val="21"/>
              </w:rPr>
            </w:pPr>
            <w:r>
              <w:rPr>
                <w:b/>
                <w:bCs/>
                <w:szCs w:val="21"/>
              </w:rPr>
              <w:t>课程负责人：王吉庆</w:t>
            </w:r>
          </w:p>
        </w:tc>
        <w:tc>
          <w:tcPr>
            <w:tcW w:w="1943" w:type="pct"/>
            <w:vAlign w:val="center"/>
          </w:tcPr>
          <w:p>
            <w:pPr>
              <w:spacing w:line="300" w:lineRule="auto"/>
              <w:rPr>
                <w:b/>
                <w:bCs/>
                <w:szCs w:val="21"/>
              </w:rPr>
            </w:pPr>
            <w:r>
              <w:rPr>
                <w:b/>
                <w:bCs/>
                <w:szCs w:val="21"/>
              </w:rPr>
              <w:t>课程团队：</w:t>
            </w:r>
            <w:r>
              <w:rPr>
                <w:b/>
                <w:bCs/>
                <w:color w:val="353535"/>
                <w:szCs w:val="21"/>
              </w:rPr>
              <w:t>杜清洁、李娟起、肖怀娟</w:t>
            </w:r>
          </w:p>
        </w:tc>
        <w:tc>
          <w:tcPr>
            <w:tcW w:w="1754" w:type="pct"/>
            <w:vAlign w:val="center"/>
          </w:tcPr>
          <w:p>
            <w:pPr>
              <w:spacing w:line="300" w:lineRule="auto"/>
              <w:rPr>
                <w:b/>
                <w:bCs/>
                <w:szCs w:val="21"/>
              </w:rPr>
            </w:pPr>
            <w:r>
              <w:rPr>
                <w:b/>
                <w:bCs/>
                <w:szCs w:val="21"/>
              </w:rPr>
              <w:t>授课语言：中文</w:t>
            </w:r>
          </w:p>
        </w:tc>
      </w:tr>
      <w:tr>
        <w:tblPrEx>
          <w:tblCellMar>
            <w:top w:w="0" w:type="dxa"/>
            <w:left w:w="108" w:type="dxa"/>
            <w:bottom w:w="0" w:type="dxa"/>
            <w:right w:w="108" w:type="dxa"/>
          </w:tblCellMar>
        </w:tblPrEx>
        <w:trPr>
          <w:trHeight w:val="498" w:hRule="atLeast"/>
        </w:trPr>
        <w:tc>
          <w:tcPr>
            <w:tcW w:w="5000" w:type="pct"/>
            <w:gridSpan w:val="3"/>
            <w:vAlign w:val="center"/>
          </w:tcPr>
          <w:p>
            <w:pPr>
              <w:spacing w:line="300" w:lineRule="auto"/>
              <w:ind w:right="-170" w:rightChars="-81"/>
              <w:rPr>
                <w:b/>
                <w:bCs/>
                <w:color w:val="0000FF"/>
                <w:szCs w:val="21"/>
              </w:rPr>
            </w:pPr>
            <w:r>
              <w:rPr>
                <w:b/>
                <w:bCs/>
                <w:szCs w:val="21"/>
              </w:rPr>
              <w:t>适用专业：</w:t>
            </w:r>
            <w:r>
              <w:rPr>
                <w:b/>
                <w:bCs/>
                <w:color w:val="353535"/>
                <w:szCs w:val="21"/>
              </w:rPr>
              <w:t>设施农业科学与工程、园艺、茶学</w:t>
            </w:r>
          </w:p>
        </w:tc>
      </w:tr>
      <w:tr>
        <w:tblPrEx>
          <w:tblCellMar>
            <w:top w:w="0" w:type="dxa"/>
            <w:left w:w="108" w:type="dxa"/>
            <w:bottom w:w="0" w:type="dxa"/>
            <w:right w:w="108" w:type="dxa"/>
          </w:tblCellMar>
        </w:tblPrEx>
        <w:trPr>
          <w:trHeight w:val="997" w:hRule="atLeast"/>
        </w:trPr>
        <w:tc>
          <w:tcPr>
            <w:tcW w:w="5000" w:type="pct"/>
            <w:gridSpan w:val="3"/>
            <w:vAlign w:val="center"/>
          </w:tcPr>
          <w:p>
            <w:pPr>
              <w:spacing w:line="300" w:lineRule="auto"/>
              <w:rPr>
                <w:b/>
                <w:bCs/>
                <w:szCs w:val="21"/>
              </w:rPr>
            </w:pPr>
            <w:r>
              <w:rPr>
                <w:b/>
                <w:bCs/>
                <w:szCs w:val="21"/>
              </w:rPr>
              <w:t>对先修的要求：</w:t>
            </w:r>
            <w:r>
              <w:rPr>
                <w:b/>
                <w:bCs/>
                <w:color w:val="353535"/>
                <w:szCs w:val="21"/>
              </w:rPr>
              <w:t>先修园艺植物栽培学、农产品贮藏加工学、农产品市场营销学，具备园林景观设计知识</w:t>
            </w:r>
          </w:p>
        </w:tc>
      </w:tr>
      <w:tr>
        <w:tblPrEx>
          <w:tblCellMar>
            <w:top w:w="0" w:type="dxa"/>
            <w:left w:w="108" w:type="dxa"/>
            <w:bottom w:w="0" w:type="dxa"/>
            <w:right w:w="108" w:type="dxa"/>
          </w:tblCellMar>
        </w:tblPrEx>
        <w:trPr>
          <w:trHeight w:val="498" w:hRule="atLeast"/>
        </w:trPr>
        <w:tc>
          <w:tcPr>
            <w:tcW w:w="5000" w:type="pct"/>
            <w:gridSpan w:val="3"/>
            <w:vAlign w:val="center"/>
          </w:tcPr>
          <w:p>
            <w:pPr>
              <w:spacing w:line="300" w:lineRule="auto"/>
              <w:rPr>
                <w:b/>
                <w:bCs/>
                <w:szCs w:val="21"/>
              </w:rPr>
            </w:pPr>
            <w:r>
              <w:rPr>
                <w:b/>
                <w:bCs/>
                <w:szCs w:val="21"/>
              </w:rPr>
              <w:t>对后续的支撑：</w:t>
            </w:r>
            <w:r>
              <w:rPr>
                <w:b/>
                <w:bCs/>
                <w:color w:val="353535"/>
                <w:szCs w:val="21"/>
              </w:rPr>
              <w:t>无后续课程</w:t>
            </w:r>
          </w:p>
        </w:tc>
      </w:tr>
      <w:tr>
        <w:tblPrEx>
          <w:tblCellMar>
            <w:top w:w="0" w:type="dxa"/>
            <w:left w:w="108" w:type="dxa"/>
            <w:bottom w:w="0" w:type="dxa"/>
            <w:right w:w="108" w:type="dxa"/>
          </w:tblCellMar>
        </w:tblPrEx>
        <w:trPr>
          <w:trHeight w:val="498" w:hRule="atLeast"/>
        </w:trPr>
        <w:tc>
          <w:tcPr>
            <w:tcW w:w="1301" w:type="pct"/>
            <w:vAlign w:val="center"/>
          </w:tcPr>
          <w:p>
            <w:pPr>
              <w:spacing w:line="300" w:lineRule="auto"/>
              <w:rPr>
                <w:b/>
                <w:bCs/>
                <w:szCs w:val="21"/>
              </w:rPr>
            </w:pPr>
            <w:r>
              <w:rPr>
                <w:b/>
                <w:bCs/>
                <w:szCs w:val="21"/>
              </w:rPr>
              <w:t>主撰人：</w:t>
            </w:r>
            <w:r>
              <w:rPr>
                <w:rFonts w:hint="eastAsia"/>
                <w:b/>
                <w:bCs/>
                <w:szCs w:val="21"/>
              </w:rPr>
              <w:t>王吉庆</w:t>
            </w:r>
          </w:p>
        </w:tc>
        <w:tc>
          <w:tcPr>
            <w:tcW w:w="1943" w:type="pct"/>
            <w:vAlign w:val="center"/>
          </w:tcPr>
          <w:p>
            <w:pPr>
              <w:spacing w:line="300" w:lineRule="auto"/>
              <w:ind w:firstLine="422"/>
              <w:rPr>
                <w:b/>
                <w:bCs/>
                <w:szCs w:val="21"/>
              </w:rPr>
            </w:pPr>
            <w:r>
              <w:rPr>
                <w:b/>
                <w:bCs/>
                <w:szCs w:val="21"/>
              </w:rPr>
              <w:t>审核人：肖</w:t>
            </w:r>
            <w:r>
              <w:rPr>
                <w:b/>
                <w:bCs/>
                <w:color w:val="353535"/>
                <w:szCs w:val="21"/>
              </w:rPr>
              <w:t>怀娟</w:t>
            </w:r>
          </w:p>
        </w:tc>
        <w:tc>
          <w:tcPr>
            <w:tcW w:w="1754" w:type="pct"/>
            <w:vAlign w:val="center"/>
          </w:tcPr>
          <w:p>
            <w:pPr>
              <w:spacing w:line="300" w:lineRule="auto"/>
              <w:rPr>
                <w:b/>
                <w:bCs/>
                <w:szCs w:val="21"/>
              </w:rPr>
            </w:pPr>
            <w:r>
              <w:rPr>
                <w:b/>
                <w:bCs/>
                <w:szCs w:val="21"/>
              </w:rPr>
              <w:t>大纲制定（修订）日期：</w:t>
            </w:r>
            <w:r>
              <w:rPr>
                <w:rFonts w:hint="eastAsia"/>
                <w:b/>
                <w:bCs/>
                <w:szCs w:val="21"/>
              </w:rPr>
              <w:t>2023.05</w:t>
            </w:r>
          </w:p>
        </w:tc>
      </w:tr>
    </w:tbl>
    <w:p>
      <w:pPr>
        <w:widowControl/>
        <w:snapToGrid w:val="0"/>
        <w:spacing w:line="360" w:lineRule="auto"/>
        <w:jc w:val="left"/>
        <w:rPr>
          <w:b/>
          <w:bCs/>
          <w:kern w:val="0"/>
          <w:szCs w:val="21"/>
        </w:rPr>
      </w:pPr>
    </w:p>
    <w:p>
      <w:pPr>
        <w:widowControl/>
        <w:snapToGrid w:val="0"/>
        <w:spacing w:line="360" w:lineRule="auto"/>
        <w:jc w:val="left"/>
        <w:rPr>
          <w:kern w:val="0"/>
          <w:szCs w:val="21"/>
        </w:rPr>
      </w:pPr>
      <w:r>
        <w:rPr>
          <w:b/>
          <w:bCs/>
          <w:kern w:val="0"/>
          <w:szCs w:val="21"/>
        </w:rPr>
        <w:t>一、课程的教学理念、性质、目标和任务</w:t>
      </w:r>
    </w:p>
    <w:p>
      <w:pPr>
        <w:snapToGrid w:val="0"/>
        <w:spacing w:line="360" w:lineRule="auto"/>
        <w:ind w:firstLine="420" w:firstLineChars="200"/>
        <w:rPr>
          <w:color w:val="353535"/>
          <w:kern w:val="0"/>
          <w:szCs w:val="21"/>
        </w:rPr>
      </w:pPr>
      <w:r>
        <w:rPr>
          <w:color w:val="353535"/>
          <w:kern w:val="0"/>
          <w:szCs w:val="21"/>
        </w:rPr>
        <w:t>《创意农业》以附加价值理论、美学经济理论、价值链理论为指导，以园艺植物栽培学、农产品贮藏加工学、农产品市场营销学、园林景观设计等知识为基础，通过讲授创意农业设计的基本理论、基本方法，分析创意农业的典型案例，使学生了解创意农业、初步具备对农业产业链各环节进行创意加工，将农产品与文化、艺术等创意结合的知识和能力，具备通过创意农业进一步提升农业产值和效益的方法和技能。同时，注重理论与生产实践紧密联系，培养学生综合性思维和创新性思维。</w:t>
      </w:r>
    </w:p>
    <w:p>
      <w:pPr>
        <w:widowControl/>
        <w:snapToGrid w:val="0"/>
        <w:spacing w:line="360" w:lineRule="auto"/>
        <w:jc w:val="left"/>
        <w:rPr>
          <w:b/>
          <w:bCs/>
          <w:kern w:val="0"/>
          <w:szCs w:val="21"/>
        </w:rPr>
      </w:pPr>
      <w:r>
        <w:rPr>
          <w:b/>
          <w:bCs/>
          <w:kern w:val="0"/>
          <w:szCs w:val="21"/>
        </w:rPr>
        <w:t>二、课程教学的基本要求</w:t>
      </w:r>
    </w:p>
    <w:p>
      <w:pPr>
        <w:snapToGrid w:val="0"/>
        <w:spacing w:line="360" w:lineRule="auto"/>
        <w:ind w:firstLine="420" w:firstLineChars="200"/>
        <w:rPr>
          <w:kern w:val="0"/>
          <w:szCs w:val="21"/>
        </w:rPr>
      </w:pPr>
      <w:r>
        <w:rPr>
          <w:kern w:val="0"/>
          <w:szCs w:val="21"/>
        </w:rPr>
        <w:t>1. 理论知识方面：</w:t>
      </w:r>
      <w:r>
        <w:rPr>
          <w:color w:val="353535"/>
          <w:kern w:val="0"/>
          <w:szCs w:val="21"/>
        </w:rPr>
        <w:t>了解创意农业的附加价值理论、美学经济理论、价值链理论等基本理论，理解相关理论对创意农业的指导意义；了解农业产业链各环节在创意农业中增加附加值的地位，了解创意农业的基本类型和主类型，掌握创意农业进行产品深度开发必需的生物学理论。</w:t>
      </w:r>
    </w:p>
    <w:p>
      <w:pPr>
        <w:snapToGrid w:val="0"/>
        <w:spacing w:line="360" w:lineRule="auto"/>
        <w:ind w:firstLine="420" w:firstLineChars="200"/>
        <w:rPr>
          <w:bCs/>
          <w:color w:val="0000FF"/>
          <w:kern w:val="0"/>
          <w:szCs w:val="21"/>
        </w:rPr>
      </w:pPr>
      <w:r>
        <w:rPr>
          <w:kern w:val="0"/>
          <w:szCs w:val="21"/>
        </w:rPr>
        <w:t>2. 实验技能方面：</w:t>
      </w:r>
      <w:r>
        <w:rPr>
          <w:color w:val="353535"/>
          <w:kern w:val="0"/>
          <w:szCs w:val="21"/>
        </w:rPr>
        <w:t>了解创意农业设计方法和途径，能够进行创意农业单一模式、复合模式和全产业链模式的简单设计。</w:t>
      </w:r>
    </w:p>
    <w:p>
      <w:pPr>
        <w:widowControl/>
        <w:snapToGrid w:val="0"/>
        <w:spacing w:line="360" w:lineRule="auto"/>
        <w:jc w:val="left"/>
        <w:rPr>
          <w:b/>
          <w:bCs/>
          <w:kern w:val="0"/>
          <w:szCs w:val="21"/>
        </w:rPr>
      </w:pPr>
      <w:r>
        <w:rPr>
          <w:b/>
          <w:bCs/>
          <w:kern w:val="0"/>
          <w:szCs w:val="21"/>
        </w:rPr>
        <w:t>三、课程的教学设计</w:t>
      </w:r>
    </w:p>
    <w:p>
      <w:pPr>
        <w:snapToGrid w:val="0"/>
        <w:spacing w:line="360" w:lineRule="auto"/>
        <w:ind w:firstLine="420" w:firstLineChars="200"/>
        <w:rPr>
          <w:bCs/>
          <w:kern w:val="0"/>
          <w:szCs w:val="21"/>
        </w:rPr>
      </w:pPr>
      <w:r>
        <w:rPr>
          <w:bCs/>
          <w:kern w:val="0"/>
          <w:szCs w:val="21"/>
        </w:rPr>
        <w:t>1. 教学设计说明</w:t>
      </w:r>
    </w:p>
    <w:p>
      <w:pPr>
        <w:snapToGrid w:val="0"/>
        <w:spacing w:line="360" w:lineRule="auto"/>
        <w:ind w:firstLine="420" w:firstLineChars="200"/>
        <w:rPr>
          <w:color w:val="353535"/>
          <w:kern w:val="0"/>
          <w:szCs w:val="21"/>
        </w:rPr>
      </w:pPr>
      <w:r>
        <w:rPr>
          <w:color w:val="353535"/>
          <w:kern w:val="0"/>
          <w:szCs w:val="21"/>
        </w:rPr>
        <w:t>本课程采用启发式教学、翻转课堂、自主探究等教学方法。理论教学采用“学生自学”、“教师课堂讲授”、“课堂讨论”等途径进行；实践教学采用学生设计、讲解创意农业报告、设计创意农业产品的方式完成。</w:t>
      </w:r>
    </w:p>
    <w:p>
      <w:pPr>
        <w:snapToGrid w:val="0"/>
        <w:spacing w:line="360" w:lineRule="auto"/>
        <w:ind w:firstLine="420" w:firstLineChars="200"/>
        <w:rPr>
          <w:bCs/>
          <w:color w:val="0000FF"/>
          <w:kern w:val="0"/>
          <w:szCs w:val="21"/>
        </w:rPr>
      </w:pPr>
      <w:r>
        <w:rPr>
          <w:bCs/>
          <w:kern w:val="0"/>
          <w:szCs w:val="21"/>
        </w:rPr>
        <w:t>2. 课程目标及对毕业要求的支撑</w:t>
      </w:r>
    </w:p>
    <w:tbl>
      <w:tblPr>
        <w:tblStyle w:val="22"/>
        <w:tblW w:w="8954" w:type="dxa"/>
        <w:jc w:val="center"/>
        <w:tblLayout w:type="autofit"/>
        <w:tblCellMar>
          <w:top w:w="0" w:type="dxa"/>
          <w:left w:w="108" w:type="dxa"/>
          <w:bottom w:w="0" w:type="dxa"/>
          <w:right w:w="108" w:type="dxa"/>
        </w:tblCellMar>
      </w:tblPr>
      <w:tblGrid>
        <w:gridCol w:w="1005"/>
        <w:gridCol w:w="6891"/>
        <w:gridCol w:w="1058"/>
      </w:tblGrid>
      <w:tr>
        <w:tblPrEx>
          <w:tblCellMar>
            <w:top w:w="0" w:type="dxa"/>
            <w:left w:w="108" w:type="dxa"/>
            <w:bottom w:w="0" w:type="dxa"/>
            <w:right w:w="108" w:type="dxa"/>
          </w:tblCellMar>
        </w:tblPrEx>
        <w:trPr>
          <w:trHeight w:val="323"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napToGrid w:val="0"/>
              <w:spacing w:line="300" w:lineRule="auto"/>
              <w:ind w:firstLine="361"/>
              <w:jc w:val="center"/>
              <w:rPr>
                <w:b/>
                <w:bCs/>
                <w:sz w:val="18"/>
                <w:szCs w:val="18"/>
              </w:rPr>
            </w:pPr>
            <w:r>
              <w:rPr>
                <w:b/>
                <w:bCs/>
                <w:sz w:val="18"/>
                <w:szCs w:val="18"/>
              </w:rPr>
              <w:t>序号</w:t>
            </w:r>
          </w:p>
        </w:tc>
        <w:tc>
          <w:tcPr>
            <w:tcW w:w="689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napToGrid w:val="0"/>
              <w:spacing w:line="300" w:lineRule="auto"/>
              <w:ind w:firstLine="361"/>
              <w:jc w:val="center"/>
              <w:rPr>
                <w:b/>
                <w:bCs/>
                <w:sz w:val="18"/>
                <w:szCs w:val="18"/>
              </w:rPr>
            </w:pPr>
            <w:r>
              <w:rPr>
                <w:b/>
                <w:bCs/>
                <w:sz w:val="18"/>
                <w:szCs w:val="18"/>
              </w:rPr>
              <w:t>课程目标</w:t>
            </w:r>
          </w:p>
        </w:tc>
        <w:tc>
          <w:tcPr>
            <w:tcW w:w="105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napToGrid w:val="0"/>
              <w:spacing w:line="300" w:lineRule="auto"/>
              <w:rPr>
                <w:b/>
                <w:bCs/>
                <w:sz w:val="18"/>
                <w:szCs w:val="18"/>
              </w:rPr>
            </w:pPr>
            <w:r>
              <w:rPr>
                <w:b/>
                <w:bCs/>
                <w:sz w:val="18"/>
                <w:szCs w:val="18"/>
              </w:rPr>
              <w:t>毕业要求</w:t>
            </w:r>
          </w:p>
        </w:tc>
      </w:tr>
      <w:tr>
        <w:tblPrEx>
          <w:tblCellMar>
            <w:top w:w="0" w:type="dxa"/>
            <w:left w:w="108" w:type="dxa"/>
            <w:bottom w:w="0" w:type="dxa"/>
            <w:right w:w="108" w:type="dxa"/>
          </w:tblCellMar>
        </w:tblPrEx>
        <w:trPr>
          <w:trHeight w:val="77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center"/>
              <w:rPr>
                <w:rFonts w:eastAsiaTheme="minorEastAsia"/>
                <w:sz w:val="18"/>
                <w:szCs w:val="18"/>
              </w:rPr>
            </w:pPr>
            <w:r>
              <w:rPr>
                <w:rFonts w:eastAsiaTheme="minorEastAsia"/>
                <w:sz w:val="18"/>
                <w:szCs w:val="18"/>
              </w:rPr>
              <w:t>1</w:t>
            </w:r>
          </w:p>
        </w:tc>
        <w:tc>
          <w:tcPr>
            <w:tcW w:w="689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left"/>
              <w:rPr>
                <w:rFonts w:eastAsiaTheme="minorEastAsia"/>
                <w:sz w:val="18"/>
                <w:szCs w:val="18"/>
              </w:rPr>
            </w:pPr>
            <w:r>
              <w:rPr>
                <w:rFonts w:eastAsiaTheme="minorEastAsia"/>
                <w:sz w:val="18"/>
                <w:szCs w:val="18"/>
              </w:rPr>
              <w:t>掌握创意农业相关基本知识理论和模式等。</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both"/>
              <w:rPr>
                <w:rFonts w:eastAsiaTheme="minorEastAsia"/>
                <w:sz w:val="18"/>
                <w:szCs w:val="18"/>
              </w:rPr>
            </w:pPr>
            <w:r>
              <w:rPr>
                <w:rFonts w:eastAsiaTheme="minorEastAsia"/>
                <w:sz w:val="18"/>
                <w:szCs w:val="18"/>
              </w:rPr>
              <w:t>3</w:t>
            </w:r>
          </w:p>
          <w:p>
            <w:pPr>
              <w:snapToGrid w:val="0"/>
              <w:spacing w:line="300" w:lineRule="auto"/>
              <w:ind w:firstLine="360"/>
              <w:jc w:val="both"/>
              <w:rPr>
                <w:rFonts w:eastAsiaTheme="minorEastAsia"/>
                <w:sz w:val="18"/>
                <w:szCs w:val="18"/>
              </w:rPr>
            </w:pPr>
            <w:r>
              <w:rPr>
                <w:rFonts w:eastAsiaTheme="minorEastAsia"/>
                <w:sz w:val="18"/>
                <w:szCs w:val="18"/>
              </w:rPr>
              <w:t>5</w:t>
            </w:r>
          </w:p>
        </w:tc>
      </w:tr>
      <w:tr>
        <w:tblPrEx>
          <w:tblCellMar>
            <w:top w:w="0" w:type="dxa"/>
            <w:left w:w="108" w:type="dxa"/>
            <w:bottom w:w="0" w:type="dxa"/>
            <w:right w:w="108" w:type="dxa"/>
          </w:tblCellMar>
        </w:tblPrEx>
        <w:trPr>
          <w:trHeight w:val="77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center"/>
              <w:rPr>
                <w:rFonts w:eastAsiaTheme="minorEastAsia"/>
                <w:sz w:val="18"/>
                <w:szCs w:val="18"/>
              </w:rPr>
            </w:pPr>
            <w:r>
              <w:rPr>
                <w:rFonts w:eastAsiaTheme="minorEastAsia"/>
                <w:sz w:val="18"/>
                <w:szCs w:val="18"/>
              </w:rPr>
              <w:t>2</w:t>
            </w:r>
          </w:p>
        </w:tc>
        <w:tc>
          <w:tcPr>
            <w:tcW w:w="689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left"/>
              <w:rPr>
                <w:rFonts w:eastAsiaTheme="minorEastAsia"/>
                <w:sz w:val="18"/>
                <w:szCs w:val="18"/>
                <w:highlight w:val="yellow"/>
              </w:rPr>
            </w:pPr>
            <w:r>
              <w:rPr>
                <w:rFonts w:eastAsiaTheme="minorEastAsia"/>
                <w:sz w:val="18"/>
                <w:szCs w:val="18"/>
              </w:rPr>
              <w:t>培养学生的创新性思维，使学生具备创意农业相关产品开发的能力。</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both"/>
              <w:rPr>
                <w:rFonts w:eastAsiaTheme="minorEastAsia"/>
                <w:sz w:val="18"/>
                <w:szCs w:val="18"/>
              </w:rPr>
            </w:pPr>
            <w:r>
              <w:rPr>
                <w:rFonts w:eastAsiaTheme="minorEastAsia"/>
                <w:sz w:val="18"/>
                <w:szCs w:val="18"/>
              </w:rPr>
              <w:t>5</w:t>
            </w:r>
          </w:p>
          <w:p>
            <w:pPr>
              <w:snapToGrid w:val="0"/>
              <w:spacing w:line="300" w:lineRule="auto"/>
              <w:ind w:firstLine="360"/>
              <w:jc w:val="both"/>
              <w:rPr>
                <w:rFonts w:eastAsiaTheme="minorEastAsia"/>
                <w:sz w:val="18"/>
                <w:szCs w:val="18"/>
              </w:rPr>
            </w:pPr>
            <w:r>
              <w:rPr>
                <w:rFonts w:eastAsiaTheme="minorEastAsia"/>
                <w:sz w:val="18"/>
                <w:szCs w:val="18"/>
              </w:rPr>
              <w:t>6</w:t>
            </w:r>
          </w:p>
        </w:tc>
      </w:tr>
      <w:tr>
        <w:tblPrEx>
          <w:tblCellMar>
            <w:top w:w="0" w:type="dxa"/>
            <w:left w:w="108" w:type="dxa"/>
            <w:bottom w:w="0" w:type="dxa"/>
            <w:right w:w="108" w:type="dxa"/>
          </w:tblCellMar>
        </w:tblPrEx>
        <w:trPr>
          <w:trHeight w:val="77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center"/>
              <w:rPr>
                <w:rFonts w:eastAsiaTheme="minorEastAsia"/>
                <w:sz w:val="18"/>
                <w:szCs w:val="18"/>
              </w:rPr>
            </w:pPr>
            <w:r>
              <w:rPr>
                <w:rFonts w:eastAsiaTheme="minorEastAsia"/>
                <w:sz w:val="18"/>
                <w:szCs w:val="18"/>
              </w:rPr>
              <w:t>3</w:t>
            </w:r>
          </w:p>
        </w:tc>
        <w:tc>
          <w:tcPr>
            <w:tcW w:w="689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left"/>
              <w:rPr>
                <w:rFonts w:eastAsiaTheme="minorEastAsia"/>
                <w:sz w:val="18"/>
                <w:szCs w:val="18"/>
              </w:rPr>
            </w:pPr>
            <w:r>
              <w:rPr>
                <w:rFonts w:eastAsiaTheme="minorEastAsia"/>
                <w:sz w:val="18"/>
                <w:szCs w:val="18"/>
              </w:rPr>
              <w:t>具备通过创意农业提升农业产值和效益的方法和技能</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both"/>
              <w:rPr>
                <w:rFonts w:eastAsiaTheme="minorEastAsia"/>
                <w:sz w:val="18"/>
                <w:szCs w:val="18"/>
              </w:rPr>
            </w:pPr>
            <w:r>
              <w:rPr>
                <w:rFonts w:eastAsiaTheme="minorEastAsia"/>
                <w:sz w:val="18"/>
                <w:szCs w:val="18"/>
              </w:rPr>
              <w:t>2</w:t>
            </w:r>
          </w:p>
          <w:p>
            <w:pPr>
              <w:snapToGrid w:val="0"/>
              <w:spacing w:line="300" w:lineRule="auto"/>
              <w:ind w:firstLine="360"/>
              <w:jc w:val="both"/>
              <w:rPr>
                <w:rFonts w:eastAsiaTheme="minorEastAsia"/>
                <w:sz w:val="18"/>
                <w:szCs w:val="18"/>
              </w:rPr>
            </w:pPr>
            <w:r>
              <w:rPr>
                <w:rFonts w:eastAsiaTheme="minorEastAsia"/>
                <w:sz w:val="18"/>
                <w:szCs w:val="18"/>
              </w:rPr>
              <w:t>4</w:t>
            </w:r>
          </w:p>
        </w:tc>
      </w:tr>
    </w:tbl>
    <w:p>
      <w:pPr>
        <w:widowControl/>
        <w:snapToGrid w:val="0"/>
        <w:spacing w:line="360" w:lineRule="auto"/>
        <w:jc w:val="left"/>
        <w:rPr>
          <w:b/>
          <w:bCs/>
          <w:kern w:val="0"/>
          <w:szCs w:val="21"/>
        </w:rPr>
      </w:pPr>
      <w:r>
        <w:rPr>
          <w:b/>
          <w:bCs/>
          <w:kern w:val="0"/>
          <w:szCs w:val="21"/>
        </w:rPr>
        <w:t>四、理论教学内容及学时分配（16学时）</w:t>
      </w:r>
    </w:p>
    <w:p>
      <w:pPr>
        <w:widowControl/>
        <w:snapToGrid w:val="0"/>
        <w:spacing w:line="360" w:lineRule="auto"/>
        <w:jc w:val="right"/>
        <w:rPr>
          <w:bCs/>
          <w:color w:val="0000FF"/>
          <w:kern w:val="0"/>
          <w:szCs w:val="21"/>
        </w:rPr>
      </w:pPr>
      <w:r>
        <w:rPr>
          <w:b/>
          <w:bCs/>
          <w:kern w:val="0"/>
          <w:szCs w:val="21"/>
        </w:rPr>
        <w:t>绪论                               学时数：2</w:t>
      </w:r>
    </w:p>
    <w:p>
      <w:pPr>
        <w:snapToGrid w:val="0"/>
        <w:spacing w:line="360" w:lineRule="auto"/>
        <w:rPr>
          <w:color w:val="353535"/>
          <w:kern w:val="0"/>
          <w:szCs w:val="21"/>
        </w:rPr>
      </w:pPr>
      <w:r>
        <w:rPr>
          <w:b/>
          <w:bCs/>
          <w:color w:val="353535"/>
          <w:kern w:val="0"/>
          <w:szCs w:val="21"/>
        </w:rPr>
        <w:t>教学目标</w:t>
      </w:r>
      <w:r>
        <w:rPr>
          <w:color w:val="353535"/>
          <w:kern w:val="0"/>
          <w:szCs w:val="21"/>
        </w:rPr>
        <w:t>：使学生认识到创意农业对增加农业产值和效益、增加社会就业的意义，激发对本课程学习的兴趣。</w:t>
      </w:r>
    </w:p>
    <w:p>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：创意农业的概念、创意农业的特点；我国创意农业发展的现状、发展趋势、在问题及解决对策。</w:t>
      </w:r>
    </w:p>
    <w:p>
      <w:pPr>
        <w:widowControl/>
        <w:snapToGrid w:val="0"/>
        <w:spacing w:line="360" w:lineRule="auto"/>
        <w:jc w:val="left"/>
        <w:rPr>
          <w:color w:val="353535"/>
          <w:kern w:val="0"/>
          <w:szCs w:val="21"/>
        </w:rPr>
      </w:pPr>
      <w:r>
        <w:rPr>
          <w:b/>
          <w:bCs/>
          <w:szCs w:val="21"/>
        </w:rPr>
        <w:t>主要教学内容及要求：</w:t>
      </w:r>
      <w:r>
        <w:rPr>
          <w:color w:val="353535"/>
          <w:kern w:val="0"/>
          <w:szCs w:val="21"/>
        </w:rPr>
        <w:t>熟记创意农业的概念，了解创意农业的发展历程、创意农业兴起的原因。理解创意农业在农村经济中的作用，掌握创意农业的特点，了解创意农业发展面临的问题及解决对策。</w:t>
      </w:r>
    </w:p>
    <w:p>
      <w:pPr>
        <w:widowControl/>
        <w:snapToGrid w:val="0"/>
        <w:spacing w:line="360" w:lineRule="auto"/>
        <w:jc w:val="left"/>
        <w:rPr>
          <w:color w:val="353535"/>
          <w:kern w:val="0"/>
          <w:szCs w:val="21"/>
        </w:rPr>
      </w:pPr>
      <w:r>
        <w:rPr>
          <w:b/>
          <w:bCs/>
          <w:szCs w:val="21"/>
        </w:rPr>
        <w:t>教学组织与实施：</w:t>
      </w:r>
      <w:r>
        <w:rPr>
          <w:color w:val="353535"/>
          <w:kern w:val="0"/>
          <w:szCs w:val="21"/>
        </w:rPr>
        <w:t>提前向学生布置本节讲课内容，提出课外阅读要求和课堂提问内容。利用多媒体设备进行讲解，课堂上就本课程的重要性、国内外发展概况进行提问。</w:t>
      </w:r>
    </w:p>
    <w:p>
      <w:pPr>
        <w:widowControl/>
        <w:snapToGrid w:val="0"/>
        <w:spacing w:line="360" w:lineRule="auto"/>
        <w:jc w:val="right"/>
        <w:rPr>
          <w:bCs/>
          <w:color w:val="0000FF"/>
          <w:kern w:val="0"/>
          <w:szCs w:val="21"/>
        </w:rPr>
      </w:pPr>
      <w:r>
        <w:rPr>
          <w:b/>
          <w:bCs/>
          <w:kern w:val="0"/>
          <w:szCs w:val="21"/>
        </w:rPr>
        <w:t>第一章  创意农业的基本理论与模式                 学时数：4</w:t>
      </w:r>
    </w:p>
    <w:p>
      <w:pPr>
        <w:widowControl/>
        <w:snapToGrid w:val="0"/>
        <w:spacing w:line="360" w:lineRule="auto"/>
        <w:jc w:val="left"/>
        <w:rPr>
          <w:color w:val="353535"/>
          <w:kern w:val="0"/>
          <w:szCs w:val="21"/>
        </w:rPr>
      </w:pPr>
      <w:r>
        <w:rPr>
          <w:b/>
          <w:bCs/>
          <w:color w:val="353535"/>
          <w:kern w:val="0"/>
          <w:szCs w:val="21"/>
        </w:rPr>
        <w:t>教学目标：</w:t>
      </w:r>
      <w:r>
        <w:rPr>
          <w:color w:val="353535"/>
          <w:kern w:val="0"/>
          <w:szCs w:val="21"/>
        </w:rPr>
        <w:t>了解附加价值理论、美学经济理论、价值链理论的内容，理解创意农业理论的指导意义，掌握通过价值链分析方法设计创意农业的基本途径。</w:t>
      </w:r>
    </w:p>
    <w:p>
      <w:pPr>
        <w:widowControl/>
        <w:snapToGrid w:val="0"/>
        <w:spacing w:line="360" w:lineRule="auto"/>
        <w:jc w:val="left"/>
        <w:rPr>
          <w:color w:val="353535"/>
          <w:kern w:val="0"/>
          <w:szCs w:val="21"/>
        </w:rPr>
      </w:pPr>
      <w:r>
        <w:rPr>
          <w:b/>
          <w:bCs/>
          <w:color w:val="353535"/>
          <w:kern w:val="0"/>
          <w:szCs w:val="21"/>
        </w:rPr>
        <w:t>教学重点和难点：</w:t>
      </w:r>
      <w:r>
        <w:rPr>
          <w:color w:val="353535"/>
          <w:kern w:val="0"/>
          <w:szCs w:val="21"/>
        </w:rPr>
        <w:t>本章重点内容为创意农业的基本理论，难点内容是通过价值链分析设计创意农业的途径。</w:t>
      </w:r>
    </w:p>
    <w:p>
      <w:pPr>
        <w:widowControl/>
        <w:snapToGrid w:val="0"/>
        <w:spacing w:line="360" w:lineRule="auto"/>
        <w:jc w:val="left"/>
        <w:rPr>
          <w:b/>
          <w:bCs/>
          <w:szCs w:val="21"/>
        </w:rPr>
      </w:pPr>
      <w:r>
        <w:rPr>
          <w:b/>
          <w:bCs/>
          <w:szCs w:val="21"/>
        </w:rPr>
        <w:t>主要教学内容及要求：</w:t>
      </w:r>
    </w:p>
    <w:p>
      <w:pPr>
        <w:widowControl/>
        <w:adjustRightInd w:val="0"/>
        <w:snapToGrid w:val="0"/>
        <w:spacing w:line="360" w:lineRule="auto"/>
        <w:rPr>
          <w:b/>
          <w:bCs/>
          <w:kern w:val="0"/>
          <w:szCs w:val="21"/>
        </w:rPr>
      </w:pPr>
      <w:r>
        <w:rPr>
          <w:b/>
          <w:bCs/>
          <w:kern w:val="0"/>
          <w:szCs w:val="21"/>
        </w:rPr>
        <w:t>第一节  创意农业的有关理论（1学时）</w:t>
      </w:r>
    </w:p>
    <w:p>
      <w:pPr>
        <w:widowControl/>
        <w:snapToGrid w:val="0"/>
        <w:spacing w:line="360" w:lineRule="auto"/>
        <w:ind w:firstLine="420" w:firstLineChars="200"/>
        <w:jc w:val="left"/>
        <w:rPr>
          <w:color w:val="353535"/>
          <w:kern w:val="0"/>
          <w:szCs w:val="21"/>
        </w:rPr>
      </w:pPr>
      <w:r>
        <w:rPr>
          <w:color w:val="353535"/>
          <w:kern w:val="0"/>
          <w:szCs w:val="21"/>
        </w:rPr>
        <w:t>了解附加价值理论、美学经济理论、价值链理论的内容。</w:t>
      </w:r>
    </w:p>
    <w:p>
      <w:pPr>
        <w:widowControl/>
        <w:snapToGrid w:val="0"/>
        <w:spacing w:line="360" w:lineRule="auto"/>
        <w:ind w:firstLine="420" w:firstLineChars="200"/>
        <w:jc w:val="left"/>
        <w:rPr>
          <w:color w:val="353535"/>
          <w:kern w:val="0"/>
          <w:szCs w:val="21"/>
        </w:rPr>
      </w:pPr>
      <w:r>
        <w:rPr>
          <w:color w:val="353535"/>
          <w:kern w:val="0"/>
          <w:szCs w:val="21"/>
        </w:rPr>
        <w:t>理解附加价值理论、美学经济理论、价值链理论对创意农业的指导作用。</w:t>
      </w:r>
    </w:p>
    <w:p>
      <w:pPr>
        <w:widowControl/>
        <w:snapToGrid w:val="0"/>
        <w:spacing w:line="360" w:lineRule="auto"/>
        <w:ind w:firstLine="420" w:firstLineChars="200"/>
        <w:jc w:val="left"/>
        <w:rPr>
          <w:color w:val="353535"/>
          <w:kern w:val="0"/>
          <w:szCs w:val="21"/>
        </w:rPr>
      </w:pPr>
      <w:r>
        <w:rPr>
          <w:color w:val="353535"/>
          <w:kern w:val="0"/>
          <w:szCs w:val="21"/>
        </w:rPr>
        <w:t>掌握附加价值理论、美学经济理论、价值链理论指导创意农业方法。</w:t>
      </w:r>
    </w:p>
    <w:p>
      <w:pPr>
        <w:widowControl/>
        <w:adjustRightInd w:val="0"/>
        <w:snapToGrid w:val="0"/>
        <w:spacing w:line="360" w:lineRule="auto"/>
        <w:rPr>
          <w:b/>
          <w:bCs/>
          <w:kern w:val="0"/>
          <w:szCs w:val="21"/>
        </w:rPr>
      </w:pPr>
      <w:r>
        <w:rPr>
          <w:b/>
          <w:bCs/>
          <w:kern w:val="0"/>
          <w:szCs w:val="21"/>
        </w:rPr>
        <w:t>第二节 创意农业产业链分析（1学时）</w:t>
      </w:r>
    </w:p>
    <w:p>
      <w:pPr>
        <w:widowControl/>
        <w:snapToGrid w:val="0"/>
        <w:spacing w:line="360" w:lineRule="auto"/>
        <w:ind w:firstLine="420" w:firstLineChars="200"/>
        <w:jc w:val="left"/>
        <w:rPr>
          <w:color w:val="353535"/>
          <w:kern w:val="0"/>
          <w:szCs w:val="21"/>
        </w:rPr>
      </w:pPr>
      <w:r>
        <w:rPr>
          <w:color w:val="353535"/>
          <w:kern w:val="0"/>
          <w:szCs w:val="21"/>
        </w:rPr>
        <w:t>了解价值链理论包含的的基本活动环节和支持性活动环节内容。</w:t>
      </w:r>
    </w:p>
    <w:p>
      <w:pPr>
        <w:widowControl/>
        <w:snapToGrid w:val="0"/>
        <w:spacing w:line="360" w:lineRule="auto"/>
        <w:ind w:firstLine="420" w:firstLineChars="200"/>
        <w:jc w:val="left"/>
        <w:rPr>
          <w:color w:val="353535"/>
          <w:kern w:val="0"/>
          <w:szCs w:val="21"/>
        </w:rPr>
      </w:pPr>
      <w:r>
        <w:rPr>
          <w:color w:val="353535"/>
          <w:kern w:val="0"/>
          <w:szCs w:val="21"/>
        </w:rPr>
        <w:t>理解基本活动环节和支持性活动环节对增加农业附加值的重要性。</w:t>
      </w:r>
    </w:p>
    <w:p>
      <w:pPr>
        <w:widowControl/>
        <w:snapToGrid w:val="0"/>
        <w:spacing w:line="360" w:lineRule="auto"/>
        <w:ind w:firstLine="420" w:firstLineChars="200"/>
        <w:jc w:val="left"/>
        <w:rPr>
          <w:color w:val="353535"/>
          <w:kern w:val="0"/>
          <w:szCs w:val="21"/>
        </w:rPr>
      </w:pPr>
      <w:r>
        <w:rPr>
          <w:color w:val="353535"/>
          <w:kern w:val="0"/>
          <w:szCs w:val="21"/>
        </w:rPr>
        <w:t>理解支持性活动环节中农业资源基础、地理空间、技术环境、政策环境对发展创意农业的重要性。</w:t>
      </w:r>
    </w:p>
    <w:p>
      <w:pPr>
        <w:widowControl/>
        <w:snapToGrid w:val="0"/>
        <w:spacing w:line="360" w:lineRule="auto"/>
        <w:ind w:firstLine="420" w:firstLineChars="200"/>
        <w:jc w:val="left"/>
        <w:rPr>
          <w:color w:val="353535"/>
          <w:kern w:val="0"/>
          <w:szCs w:val="21"/>
        </w:rPr>
      </w:pPr>
      <w:r>
        <w:rPr>
          <w:color w:val="353535"/>
          <w:kern w:val="0"/>
          <w:szCs w:val="21"/>
        </w:rPr>
        <w:t>掌握通过创意提高基本活动环节中研发、生产、加工、销售环节附加值的方法。</w:t>
      </w:r>
    </w:p>
    <w:p>
      <w:pPr>
        <w:widowControl/>
        <w:adjustRightInd w:val="0"/>
        <w:snapToGrid w:val="0"/>
        <w:spacing w:line="360" w:lineRule="auto"/>
        <w:rPr>
          <w:b/>
          <w:bCs/>
          <w:kern w:val="0"/>
          <w:szCs w:val="21"/>
        </w:rPr>
      </w:pPr>
      <w:r>
        <w:rPr>
          <w:b/>
          <w:bCs/>
          <w:kern w:val="0"/>
          <w:szCs w:val="21"/>
        </w:rPr>
        <w:t>第三节 创意农业基本模式（2学时）</w:t>
      </w:r>
    </w:p>
    <w:p>
      <w:pPr>
        <w:snapToGrid w:val="0"/>
        <w:spacing w:line="360" w:lineRule="auto"/>
        <w:ind w:firstLine="420" w:firstLineChars="200"/>
        <w:rPr>
          <w:color w:val="262600"/>
        </w:rPr>
      </w:pPr>
      <w:r>
        <w:rPr>
          <w:color w:val="353535"/>
          <w:kern w:val="0"/>
          <w:szCs w:val="21"/>
        </w:rPr>
        <w:t>了解研发环节的创意农业模式</w:t>
      </w:r>
      <w:r>
        <w:rPr>
          <w:sz w:val="28"/>
          <w:szCs w:val="28"/>
        </w:rPr>
        <w:t>。</w:t>
      </w:r>
    </w:p>
    <w:p>
      <w:pPr>
        <w:snapToGrid w:val="0"/>
        <w:spacing w:line="360" w:lineRule="auto"/>
        <w:ind w:firstLine="420" w:firstLineChars="200"/>
        <w:rPr>
          <w:color w:val="353535"/>
          <w:kern w:val="0"/>
          <w:szCs w:val="21"/>
        </w:rPr>
      </w:pPr>
      <w:r>
        <w:rPr>
          <w:color w:val="353535"/>
          <w:kern w:val="0"/>
          <w:szCs w:val="21"/>
        </w:rPr>
        <w:t>了解生产环节的创意农业模式。</w:t>
      </w:r>
    </w:p>
    <w:p>
      <w:pPr>
        <w:snapToGrid w:val="0"/>
        <w:spacing w:line="360" w:lineRule="auto"/>
        <w:ind w:firstLine="420" w:firstLineChars="200"/>
        <w:rPr>
          <w:color w:val="353535"/>
          <w:kern w:val="0"/>
          <w:szCs w:val="21"/>
        </w:rPr>
      </w:pPr>
      <w:r>
        <w:rPr>
          <w:color w:val="353535"/>
          <w:kern w:val="0"/>
          <w:szCs w:val="21"/>
        </w:rPr>
        <w:t>了解加工环节的创意农业模式。</w:t>
      </w:r>
    </w:p>
    <w:p>
      <w:pPr>
        <w:snapToGrid w:val="0"/>
        <w:spacing w:line="360" w:lineRule="auto"/>
        <w:ind w:firstLine="420" w:firstLineChars="200"/>
        <w:rPr>
          <w:color w:val="353535"/>
          <w:kern w:val="0"/>
          <w:szCs w:val="21"/>
        </w:rPr>
      </w:pPr>
      <w:r>
        <w:rPr>
          <w:color w:val="353535"/>
          <w:kern w:val="0"/>
          <w:szCs w:val="21"/>
        </w:rPr>
        <w:t>了解销售环节的创意农业模式。</w:t>
      </w:r>
    </w:p>
    <w:p>
      <w:pPr>
        <w:widowControl/>
        <w:snapToGrid w:val="0"/>
        <w:spacing w:line="360" w:lineRule="auto"/>
        <w:jc w:val="left"/>
        <w:rPr>
          <w:color w:val="353535"/>
          <w:kern w:val="0"/>
          <w:szCs w:val="21"/>
        </w:rPr>
      </w:pPr>
      <w:r>
        <w:rPr>
          <w:b/>
          <w:bCs/>
          <w:szCs w:val="21"/>
        </w:rPr>
        <w:t>教学组织与实施：</w:t>
      </w:r>
      <w:r>
        <w:rPr>
          <w:color w:val="353535"/>
          <w:kern w:val="0"/>
          <w:szCs w:val="21"/>
        </w:rPr>
        <w:t>安排学生课前查阅材料、预习本节内容；利用多媒体设备进行讲解，课堂上对预留问题提问。</w:t>
      </w:r>
    </w:p>
    <w:p>
      <w:pPr>
        <w:widowControl/>
        <w:snapToGrid w:val="0"/>
        <w:spacing w:line="360" w:lineRule="auto"/>
        <w:ind w:firstLine="1033" w:firstLineChars="490"/>
        <w:jc w:val="right"/>
        <w:rPr>
          <w:b/>
          <w:bCs/>
          <w:color w:val="353535"/>
          <w:kern w:val="0"/>
          <w:szCs w:val="21"/>
        </w:rPr>
      </w:pPr>
      <w:r>
        <w:rPr>
          <w:b/>
          <w:bCs/>
          <w:kern w:val="0"/>
          <w:szCs w:val="21"/>
        </w:rPr>
        <w:t>第二章  创意农业开发途径与方法                    学时数：6</w:t>
      </w:r>
    </w:p>
    <w:p>
      <w:pPr>
        <w:widowControl/>
        <w:snapToGrid w:val="0"/>
        <w:spacing w:line="360" w:lineRule="auto"/>
        <w:jc w:val="left"/>
        <w:rPr>
          <w:color w:val="353535"/>
          <w:kern w:val="0"/>
          <w:szCs w:val="21"/>
        </w:rPr>
      </w:pPr>
      <w:r>
        <w:rPr>
          <w:b/>
          <w:bCs/>
          <w:color w:val="353535"/>
          <w:kern w:val="0"/>
          <w:szCs w:val="21"/>
        </w:rPr>
        <w:t>教学目标：</w:t>
      </w:r>
      <w:r>
        <w:rPr>
          <w:color w:val="353535"/>
          <w:kern w:val="0"/>
          <w:szCs w:val="21"/>
        </w:rPr>
        <w:t>使学生了解创意农业设计的有关环节，了解不同环节创意的内容，掌握有关产品创意、栽培创意的原理、技术和方法。</w:t>
      </w:r>
    </w:p>
    <w:p>
      <w:pPr>
        <w:widowControl/>
        <w:snapToGrid w:val="0"/>
        <w:spacing w:line="360" w:lineRule="auto"/>
        <w:jc w:val="left"/>
        <w:rPr>
          <w:color w:val="353535"/>
          <w:kern w:val="0"/>
          <w:szCs w:val="21"/>
        </w:rPr>
      </w:pPr>
      <w:r>
        <w:rPr>
          <w:b/>
          <w:bCs/>
          <w:color w:val="353535"/>
          <w:kern w:val="0"/>
          <w:szCs w:val="21"/>
        </w:rPr>
        <w:t>教学重点和难点：</w:t>
      </w:r>
      <w:r>
        <w:rPr>
          <w:color w:val="353535"/>
          <w:kern w:val="0"/>
          <w:szCs w:val="21"/>
        </w:rPr>
        <w:t>本章重点是景观创意、产品创意、栽培创意的原理、技术和方法。难点内容为景观创意的设计。</w:t>
      </w:r>
    </w:p>
    <w:p>
      <w:pPr>
        <w:widowControl/>
        <w:adjustRightInd w:val="0"/>
        <w:snapToGrid w:val="0"/>
        <w:spacing w:line="360" w:lineRule="auto"/>
        <w:rPr>
          <w:b/>
          <w:bCs/>
          <w:color w:val="353535"/>
          <w:kern w:val="0"/>
          <w:szCs w:val="21"/>
        </w:rPr>
      </w:pPr>
      <w:r>
        <w:rPr>
          <w:b/>
          <w:bCs/>
          <w:szCs w:val="21"/>
        </w:rPr>
        <w:t>主要教学内容及要求：</w:t>
      </w:r>
    </w:p>
    <w:p>
      <w:pPr>
        <w:widowControl/>
        <w:adjustRightInd w:val="0"/>
        <w:snapToGrid w:val="0"/>
        <w:spacing w:line="360" w:lineRule="auto"/>
        <w:jc w:val="left"/>
        <w:rPr>
          <w:b/>
          <w:bCs/>
          <w:kern w:val="0"/>
          <w:szCs w:val="21"/>
        </w:rPr>
      </w:pPr>
      <w:r>
        <w:rPr>
          <w:b/>
          <w:kern w:val="0"/>
          <w:szCs w:val="21"/>
        </w:rPr>
        <w:t xml:space="preserve">第一节 </w:t>
      </w:r>
      <w:r>
        <w:rPr>
          <w:b/>
          <w:szCs w:val="21"/>
        </w:rPr>
        <w:t>研发环节创意设计（</w:t>
      </w:r>
      <w:r>
        <w:rPr>
          <w:b/>
          <w:bCs/>
          <w:kern w:val="0"/>
          <w:szCs w:val="21"/>
        </w:rPr>
        <w:t>2学时）</w:t>
      </w:r>
    </w:p>
    <w:p>
      <w:pPr>
        <w:snapToGrid w:val="0"/>
        <w:spacing w:line="360" w:lineRule="auto"/>
        <w:ind w:firstLine="420" w:firstLineChars="200"/>
        <w:rPr>
          <w:color w:val="353535"/>
          <w:kern w:val="0"/>
          <w:szCs w:val="21"/>
        </w:rPr>
      </w:pPr>
      <w:r>
        <w:rPr>
          <w:color w:val="353535"/>
          <w:kern w:val="0"/>
          <w:szCs w:val="21"/>
        </w:rPr>
        <w:t>了解研发环节创意农业设计的内涵。</w:t>
      </w:r>
    </w:p>
    <w:p>
      <w:pPr>
        <w:snapToGrid w:val="0"/>
        <w:spacing w:line="360" w:lineRule="auto"/>
        <w:ind w:firstLine="420" w:firstLineChars="200"/>
        <w:rPr>
          <w:color w:val="353535"/>
          <w:kern w:val="0"/>
          <w:szCs w:val="21"/>
        </w:rPr>
      </w:pPr>
      <w:r>
        <w:rPr>
          <w:color w:val="353535"/>
          <w:kern w:val="0"/>
          <w:szCs w:val="21"/>
        </w:rPr>
        <w:t>了解农业主题公园、农业节庆开发创意农业设计的要素。</w:t>
      </w:r>
    </w:p>
    <w:p>
      <w:pPr>
        <w:snapToGrid w:val="0"/>
        <w:spacing w:line="360" w:lineRule="auto"/>
        <w:ind w:firstLine="420" w:firstLineChars="200"/>
        <w:rPr>
          <w:color w:val="353535"/>
          <w:kern w:val="0"/>
          <w:szCs w:val="21"/>
        </w:rPr>
      </w:pPr>
      <w:r>
        <w:rPr>
          <w:color w:val="353535"/>
          <w:kern w:val="0"/>
          <w:szCs w:val="21"/>
        </w:rPr>
        <w:t>掌握科技创意设计的类别。</w:t>
      </w:r>
    </w:p>
    <w:p>
      <w:pPr>
        <w:snapToGrid w:val="0"/>
        <w:spacing w:line="360" w:lineRule="auto"/>
        <w:ind w:firstLine="420" w:firstLineChars="200"/>
        <w:rPr>
          <w:color w:val="353535"/>
          <w:kern w:val="0"/>
          <w:szCs w:val="21"/>
        </w:rPr>
      </w:pPr>
      <w:r>
        <w:rPr>
          <w:color w:val="353535"/>
          <w:kern w:val="0"/>
          <w:szCs w:val="21"/>
        </w:rPr>
        <w:t>熟练掌握大地景观设计的生物学原则。</w:t>
      </w:r>
    </w:p>
    <w:p>
      <w:pPr>
        <w:widowControl/>
        <w:adjustRightInd w:val="0"/>
        <w:snapToGrid w:val="0"/>
        <w:spacing w:line="360" w:lineRule="auto"/>
        <w:jc w:val="left"/>
        <w:rPr>
          <w:b/>
          <w:szCs w:val="21"/>
        </w:rPr>
      </w:pPr>
      <w:r>
        <w:rPr>
          <w:b/>
          <w:szCs w:val="21"/>
        </w:rPr>
        <w:t>第二节 生产环节创意类型（2学时）</w:t>
      </w:r>
    </w:p>
    <w:p>
      <w:pPr>
        <w:snapToGrid w:val="0"/>
        <w:spacing w:line="360" w:lineRule="auto"/>
        <w:ind w:firstLine="420" w:firstLineChars="200"/>
        <w:rPr>
          <w:color w:val="353535"/>
          <w:kern w:val="0"/>
          <w:szCs w:val="21"/>
        </w:rPr>
      </w:pPr>
      <w:r>
        <w:rPr>
          <w:color w:val="353535"/>
          <w:kern w:val="0"/>
          <w:szCs w:val="21"/>
        </w:rPr>
        <w:t>了解亲情创意、寓意祝福设计的类型和途径。</w:t>
      </w:r>
    </w:p>
    <w:p>
      <w:pPr>
        <w:snapToGrid w:val="0"/>
        <w:spacing w:line="360" w:lineRule="auto"/>
        <w:ind w:firstLine="420" w:firstLineChars="200"/>
        <w:rPr>
          <w:color w:val="353535"/>
          <w:kern w:val="0"/>
          <w:szCs w:val="21"/>
        </w:rPr>
      </w:pPr>
      <w:r>
        <w:rPr>
          <w:color w:val="353535"/>
          <w:kern w:val="0"/>
          <w:szCs w:val="21"/>
        </w:rPr>
        <w:t>理解巨型园艺产品创意设计的生物学原理。</w:t>
      </w:r>
    </w:p>
    <w:p>
      <w:pPr>
        <w:snapToGrid w:val="0"/>
        <w:spacing w:line="360" w:lineRule="auto"/>
        <w:ind w:firstLine="420" w:firstLineChars="200"/>
        <w:rPr>
          <w:color w:val="353535"/>
          <w:kern w:val="0"/>
          <w:szCs w:val="21"/>
        </w:rPr>
      </w:pPr>
      <w:r>
        <w:rPr>
          <w:color w:val="353535"/>
          <w:kern w:val="0"/>
          <w:szCs w:val="21"/>
        </w:rPr>
        <w:t>掌握农产品形色创意、用途创意设计的类型和途径。</w:t>
      </w:r>
    </w:p>
    <w:p>
      <w:pPr>
        <w:snapToGrid w:val="0"/>
        <w:spacing w:line="360" w:lineRule="auto"/>
        <w:ind w:firstLine="420" w:firstLineChars="200"/>
        <w:rPr>
          <w:color w:val="353535"/>
          <w:kern w:val="0"/>
          <w:szCs w:val="21"/>
        </w:rPr>
      </w:pPr>
      <w:r>
        <w:rPr>
          <w:color w:val="353535"/>
          <w:kern w:val="0"/>
          <w:szCs w:val="21"/>
        </w:rPr>
        <w:t>熟练掌握栽培创意设计的原理和方法。</w:t>
      </w:r>
    </w:p>
    <w:p>
      <w:pPr>
        <w:widowControl/>
        <w:adjustRightInd w:val="0"/>
        <w:snapToGrid w:val="0"/>
        <w:spacing w:line="360" w:lineRule="auto"/>
        <w:jc w:val="left"/>
        <w:rPr>
          <w:b/>
          <w:szCs w:val="21"/>
        </w:rPr>
      </w:pPr>
      <w:r>
        <w:rPr>
          <w:b/>
          <w:szCs w:val="21"/>
        </w:rPr>
        <w:t>第三节 加工环节创意类型（1学时）</w:t>
      </w:r>
    </w:p>
    <w:p>
      <w:pPr>
        <w:snapToGrid w:val="0"/>
        <w:spacing w:line="360" w:lineRule="auto"/>
        <w:ind w:firstLine="420" w:firstLineChars="200"/>
        <w:rPr>
          <w:color w:val="353535"/>
          <w:kern w:val="0"/>
          <w:szCs w:val="21"/>
        </w:rPr>
      </w:pPr>
      <w:r>
        <w:rPr>
          <w:color w:val="353535"/>
          <w:kern w:val="0"/>
          <w:szCs w:val="21"/>
        </w:rPr>
        <w:t>了解农产品传统加工方式、代加工方式。</w:t>
      </w:r>
    </w:p>
    <w:p>
      <w:pPr>
        <w:snapToGrid w:val="0"/>
        <w:spacing w:line="360" w:lineRule="auto"/>
        <w:ind w:firstLine="420" w:firstLineChars="200"/>
        <w:rPr>
          <w:color w:val="353535"/>
          <w:kern w:val="0"/>
          <w:szCs w:val="21"/>
        </w:rPr>
      </w:pPr>
      <w:r>
        <w:rPr>
          <w:color w:val="353535"/>
          <w:kern w:val="0"/>
          <w:szCs w:val="21"/>
        </w:rPr>
        <w:t>了解资源循环利用创意类型</w:t>
      </w:r>
    </w:p>
    <w:p>
      <w:pPr>
        <w:snapToGrid w:val="0"/>
        <w:spacing w:line="360" w:lineRule="auto"/>
        <w:ind w:firstLine="420" w:firstLineChars="200"/>
        <w:rPr>
          <w:color w:val="353535"/>
          <w:kern w:val="0"/>
          <w:szCs w:val="21"/>
        </w:rPr>
      </w:pPr>
      <w:r>
        <w:rPr>
          <w:color w:val="353535"/>
          <w:kern w:val="0"/>
          <w:szCs w:val="21"/>
        </w:rPr>
        <w:t>了解包装创意的类型和途径</w:t>
      </w:r>
    </w:p>
    <w:p>
      <w:pPr>
        <w:widowControl/>
        <w:adjustRightInd w:val="0"/>
        <w:snapToGrid w:val="0"/>
        <w:spacing w:line="360" w:lineRule="auto"/>
        <w:jc w:val="left"/>
        <w:rPr>
          <w:b/>
          <w:szCs w:val="21"/>
        </w:rPr>
      </w:pPr>
      <w:r>
        <w:rPr>
          <w:b/>
          <w:szCs w:val="21"/>
        </w:rPr>
        <w:t>第四节 销售环节创意设计（1学时）</w:t>
      </w:r>
    </w:p>
    <w:p>
      <w:pPr>
        <w:snapToGrid w:val="0"/>
        <w:spacing w:line="360" w:lineRule="auto"/>
        <w:ind w:firstLine="420" w:firstLineChars="200"/>
        <w:rPr>
          <w:color w:val="353535"/>
          <w:kern w:val="0"/>
          <w:szCs w:val="21"/>
        </w:rPr>
      </w:pPr>
      <w:r>
        <w:rPr>
          <w:color w:val="353535"/>
          <w:kern w:val="0"/>
          <w:szCs w:val="21"/>
        </w:rPr>
        <w:t>了解参观销售、节庆销售、线上销售、个性化需求销售的方法。</w:t>
      </w:r>
    </w:p>
    <w:p>
      <w:pPr>
        <w:snapToGrid w:val="0"/>
        <w:spacing w:line="360" w:lineRule="auto"/>
        <w:ind w:firstLine="420" w:firstLineChars="200"/>
        <w:rPr>
          <w:color w:val="353535"/>
          <w:kern w:val="0"/>
          <w:szCs w:val="21"/>
        </w:rPr>
      </w:pPr>
      <w:r>
        <w:rPr>
          <w:color w:val="353535"/>
          <w:kern w:val="0"/>
          <w:szCs w:val="21"/>
        </w:rPr>
        <w:t>掌握品牌创建的途径和方法。</w:t>
      </w:r>
    </w:p>
    <w:p>
      <w:pPr>
        <w:widowControl/>
        <w:snapToGrid w:val="0"/>
        <w:spacing w:line="360" w:lineRule="auto"/>
        <w:jc w:val="left"/>
        <w:rPr>
          <w:color w:val="353535"/>
          <w:kern w:val="0"/>
          <w:szCs w:val="21"/>
        </w:rPr>
      </w:pPr>
      <w:r>
        <w:rPr>
          <w:b/>
          <w:bCs/>
          <w:szCs w:val="21"/>
        </w:rPr>
        <w:t>教学组织与实施：</w:t>
      </w:r>
      <w:r>
        <w:rPr>
          <w:color w:val="353535"/>
          <w:kern w:val="0"/>
          <w:szCs w:val="21"/>
        </w:rPr>
        <w:t>安排学生课前网上查阅创意农业的有关创意、预习本节内容；利用多媒体进行课堂讲解，课堂上对预留问题提问、讨论培育二年生巨型园艺植物产品的技术。</w:t>
      </w:r>
    </w:p>
    <w:p>
      <w:pPr>
        <w:widowControl/>
        <w:snapToGrid w:val="0"/>
        <w:spacing w:line="360" w:lineRule="auto"/>
        <w:ind w:right="315" w:firstLine="1033" w:firstLineChars="490"/>
        <w:jc w:val="right"/>
        <w:rPr>
          <w:b/>
          <w:bCs/>
          <w:color w:val="353535"/>
          <w:kern w:val="0"/>
          <w:szCs w:val="21"/>
        </w:rPr>
      </w:pPr>
      <w:r>
        <w:rPr>
          <w:b/>
          <w:bCs/>
          <w:kern w:val="0"/>
          <w:szCs w:val="21"/>
        </w:rPr>
        <w:t>第三章  创意农业案例分析                    学时数：4</w:t>
      </w:r>
    </w:p>
    <w:p>
      <w:pPr>
        <w:widowControl/>
        <w:snapToGrid w:val="0"/>
        <w:spacing w:line="360" w:lineRule="auto"/>
        <w:jc w:val="left"/>
        <w:rPr>
          <w:color w:val="353535"/>
          <w:kern w:val="0"/>
          <w:szCs w:val="21"/>
        </w:rPr>
      </w:pPr>
      <w:r>
        <w:rPr>
          <w:b/>
          <w:bCs/>
          <w:color w:val="353535"/>
          <w:kern w:val="0"/>
          <w:szCs w:val="21"/>
        </w:rPr>
        <w:t>教学目标：</w:t>
      </w:r>
      <w:r>
        <w:rPr>
          <w:color w:val="353535"/>
          <w:kern w:val="0"/>
          <w:szCs w:val="21"/>
        </w:rPr>
        <w:t>使学生了解不同单一模式创意农业案例的特点、不同创意农业组合模式案例的特点，比较不同类别、不同层次创意农业的优缺点，明确创意农业的发展方向。</w:t>
      </w:r>
    </w:p>
    <w:p>
      <w:pPr>
        <w:widowControl/>
        <w:adjustRightInd w:val="0"/>
        <w:snapToGrid w:val="0"/>
        <w:spacing w:line="360" w:lineRule="auto"/>
        <w:jc w:val="left"/>
        <w:rPr>
          <w:color w:val="353535"/>
          <w:kern w:val="0"/>
          <w:szCs w:val="21"/>
        </w:rPr>
      </w:pPr>
      <w:r>
        <w:rPr>
          <w:b/>
          <w:bCs/>
          <w:color w:val="353535"/>
          <w:kern w:val="0"/>
          <w:szCs w:val="21"/>
        </w:rPr>
        <w:t>教学重点和难点：</w:t>
      </w:r>
      <w:r>
        <w:rPr>
          <w:color w:val="353535"/>
          <w:kern w:val="0"/>
          <w:szCs w:val="21"/>
        </w:rPr>
        <w:t>本章重点是不同层次确创意农业案例的特色设计。难点内容为创意农业的组合设计。</w:t>
      </w:r>
    </w:p>
    <w:p>
      <w:pPr>
        <w:widowControl/>
        <w:adjustRightInd w:val="0"/>
        <w:snapToGrid w:val="0"/>
        <w:spacing w:line="360" w:lineRule="auto"/>
        <w:rPr>
          <w:b/>
          <w:bCs/>
          <w:color w:val="353535"/>
          <w:kern w:val="0"/>
          <w:szCs w:val="21"/>
        </w:rPr>
      </w:pPr>
      <w:r>
        <w:rPr>
          <w:b/>
          <w:bCs/>
          <w:szCs w:val="21"/>
        </w:rPr>
        <w:t>主要教学内容及要求：</w:t>
      </w:r>
    </w:p>
    <w:p>
      <w:pPr>
        <w:widowControl/>
        <w:adjustRightInd w:val="0"/>
        <w:snapToGrid w:val="0"/>
        <w:spacing w:line="360" w:lineRule="auto"/>
        <w:jc w:val="left"/>
        <w:rPr>
          <w:b/>
          <w:bCs/>
          <w:kern w:val="0"/>
          <w:szCs w:val="21"/>
        </w:rPr>
      </w:pPr>
      <w:r>
        <w:rPr>
          <w:b/>
          <w:kern w:val="0"/>
          <w:szCs w:val="21"/>
        </w:rPr>
        <w:t xml:space="preserve">第一节 </w:t>
      </w:r>
      <w:r>
        <w:rPr>
          <w:b/>
          <w:szCs w:val="21"/>
        </w:rPr>
        <w:t>单一模式创意农业案例分析（</w:t>
      </w:r>
      <w:r>
        <w:rPr>
          <w:b/>
          <w:bCs/>
          <w:kern w:val="0"/>
          <w:szCs w:val="21"/>
        </w:rPr>
        <w:t>2学时）</w:t>
      </w:r>
    </w:p>
    <w:p>
      <w:pPr>
        <w:snapToGrid w:val="0"/>
        <w:spacing w:line="360" w:lineRule="auto"/>
        <w:ind w:firstLine="420" w:firstLineChars="200"/>
        <w:rPr>
          <w:color w:val="353535"/>
          <w:kern w:val="0"/>
          <w:szCs w:val="21"/>
        </w:rPr>
      </w:pPr>
      <w:r>
        <w:rPr>
          <w:color w:val="353535"/>
          <w:kern w:val="0"/>
          <w:szCs w:val="21"/>
        </w:rPr>
        <w:t>了解“京承碧园”创意农业模式（研发环节创意模式案例）</w:t>
      </w:r>
    </w:p>
    <w:p>
      <w:pPr>
        <w:snapToGrid w:val="0"/>
        <w:spacing w:line="360" w:lineRule="auto"/>
        <w:ind w:firstLine="420" w:firstLineChars="200"/>
        <w:rPr>
          <w:color w:val="353535"/>
          <w:kern w:val="0"/>
          <w:szCs w:val="21"/>
        </w:rPr>
      </w:pPr>
      <w:r>
        <w:rPr>
          <w:color w:val="353535"/>
          <w:kern w:val="0"/>
          <w:szCs w:val="21"/>
        </w:rPr>
        <w:t>了解“波龙堡酒庄”创意农业模式（生产环节创意模式案例）</w:t>
      </w:r>
    </w:p>
    <w:p>
      <w:pPr>
        <w:snapToGrid w:val="0"/>
        <w:spacing w:line="360" w:lineRule="auto"/>
        <w:ind w:firstLine="420" w:firstLineChars="200"/>
        <w:rPr>
          <w:color w:val="353535"/>
          <w:kern w:val="0"/>
          <w:szCs w:val="21"/>
        </w:rPr>
      </w:pPr>
      <w:r>
        <w:rPr>
          <w:color w:val="353535"/>
          <w:kern w:val="0"/>
          <w:szCs w:val="21"/>
        </w:rPr>
        <w:t>了解“大兴农业”创意农业模式（生产环节创意模式案例）</w:t>
      </w:r>
    </w:p>
    <w:p>
      <w:pPr>
        <w:snapToGrid w:val="0"/>
        <w:spacing w:line="360" w:lineRule="auto"/>
        <w:ind w:firstLine="420" w:firstLineChars="200"/>
        <w:rPr>
          <w:color w:val="353535"/>
          <w:kern w:val="0"/>
          <w:szCs w:val="21"/>
        </w:rPr>
      </w:pPr>
      <w:r>
        <w:rPr>
          <w:color w:val="353535"/>
          <w:kern w:val="0"/>
          <w:szCs w:val="21"/>
        </w:rPr>
        <w:t>了解“故乡农园”创意农业模式（销售环节创意模式案例）</w:t>
      </w:r>
    </w:p>
    <w:p>
      <w:pPr>
        <w:snapToGrid w:val="0"/>
        <w:spacing w:line="360" w:lineRule="auto"/>
        <w:ind w:firstLine="420" w:firstLineChars="200"/>
        <w:rPr>
          <w:color w:val="353535"/>
          <w:kern w:val="0"/>
          <w:szCs w:val="21"/>
        </w:rPr>
      </w:pPr>
      <w:r>
        <w:rPr>
          <w:color w:val="353535"/>
          <w:kern w:val="0"/>
          <w:szCs w:val="21"/>
        </w:rPr>
        <w:t>掌握突出优势设计单一模式创意农业的方法</w:t>
      </w:r>
    </w:p>
    <w:p>
      <w:pPr>
        <w:widowControl/>
        <w:adjustRightInd w:val="0"/>
        <w:snapToGrid w:val="0"/>
        <w:spacing w:line="360" w:lineRule="auto"/>
        <w:jc w:val="left"/>
        <w:rPr>
          <w:b/>
          <w:szCs w:val="21"/>
        </w:rPr>
      </w:pPr>
      <w:r>
        <w:rPr>
          <w:b/>
          <w:szCs w:val="21"/>
        </w:rPr>
        <w:t>第二节  创意农业组合模式案例分析（2学时）</w:t>
      </w:r>
    </w:p>
    <w:p>
      <w:pPr>
        <w:snapToGrid w:val="0"/>
        <w:spacing w:line="360" w:lineRule="auto"/>
        <w:ind w:firstLine="420" w:firstLineChars="200"/>
        <w:rPr>
          <w:color w:val="353535"/>
          <w:kern w:val="0"/>
          <w:szCs w:val="21"/>
        </w:rPr>
      </w:pPr>
      <w:r>
        <w:rPr>
          <w:color w:val="353535"/>
          <w:kern w:val="0"/>
          <w:szCs w:val="21"/>
        </w:rPr>
        <w:t>了解“日本‘健康村’创意农业模式”（生产环节+销售环节案例）</w:t>
      </w:r>
    </w:p>
    <w:p>
      <w:pPr>
        <w:snapToGrid w:val="0"/>
        <w:spacing w:line="360" w:lineRule="auto"/>
        <w:ind w:firstLine="420" w:firstLineChars="200"/>
        <w:rPr>
          <w:color w:val="353535"/>
          <w:kern w:val="0"/>
          <w:szCs w:val="21"/>
        </w:rPr>
      </w:pPr>
      <w:r>
        <w:rPr>
          <w:color w:val="353535"/>
          <w:kern w:val="0"/>
          <w:szCs w:val="21"/>
        </w:rPr>
        <w:t>了解“北京‘紫海香堤’模式”（研发环节+生产环节+销售环节案例）</w:t>
      </w:r>
    </w:p>
    <w:p>
      <w:pPr>
        <w:snapToGrid w:val="0"/>
        <w:spacing w:line="360" w:lineRule="auto"/>
        <w:ind w:firstLine="420" w:firstLineChars="200"/>
        <w:rPr>
          <w:color w:val="353535"/>
          <w:kern w:val="0"/>
          <w:szCs w:val="21"/>
        </w:rPr>
      </w:pPr>
      <w:r>
        <w:rPr>
          <w:color w:val="353535"/>
          <w:kern w:val="0"/>
          <w:szCs w:val="21"/>
        </w:rPr>
        <w:t>了解岭南陈村模式：（研发环节+生产环节+销售环节案例）</w:t>
      </w:r>
    </w:p>
    <w:p>
      <w:pPr>
        <w:snapToGrid w:val="0"/>
        <w:spacing w:line="360" w:lineRule="auto"/>
        <w:ind w:firstLine="420" w:firstLineChars="200"/>
        <w:rPr>
          <w:color w:val="353535"/>
          <w:kern w:val="0"/>
          <w:szCs w:val="21"/>
        </w:rPr>
      </w:pPr>
      <w:r>
        <w:rPr>
          <w:color w:val="353535"/>
          <w:kern w:val="0"/>
          <w:szCs w:val="21"/>
        </w:rPr>
        <w:t>了解“普罗旺斯薰衣草模式”（全产业链案例）</w:t>
      </w:r>
    </w:p>
    <w:p>
      <w:pPr>
        <w:snapToGrid w:val="0"/>
        <w:spacing w:line="360" w:lineRule="auto"/>
        <w:ind w:firstLine="420" w:firstLineChars="200"/>
        <w:rPr>
          <w:color w:val="353535"/>
          <w:kern w:val="0"/>
          <w:szCs w:val="21"/>
        </w:rPr>
      </w:pPr>
      <w:r>
        <w:rPr>
          <w:color w:val="353535"/>
          <w:kern w:val="0"/>
          <w:szCs w:val="21"/>
        </w:rPr>
        <w:t>理解创意农业组合模式要素间的关系</w:t>
      </w:r>
    </w:p>
    <w:p>
      <w:pPr>
        <w:snapToGrid w:val="0"/>
        <w:spacing w:line="360" w:lineRule="auto"/>
        <w:ind w:firstLine="420" w:firstLineChars="200"/>
        <w:rPr>
          <w:color w:val="353535"/>
          <w:kern w:val="0"/>
          <w:szCs w:val="21"/>
        </w:rPr>
      </w:pPr>
      <w:r>
        <w:rPr>
          <w:color w:val="353535"/>
          <w:kern w:val="0"/>
          <w:szCs w:val="21"/>
        </w:rPr>
        <w:t>掌握突出优势设计创意农业组合模式的方法</w:t>
      </w:r>
    </w:p>
    <w:p>
      <w:pPr>
        <w:widowControl/>
        <w:snapToGrid w:val="0"/>
        <w:spacing w:line="360" w:lineRule="auto"/>
        <w:jc w:val="left"/>
        <w:rPr>
          <w:color w:val="353535"/>
          <w:kern w:val="0"/>
          <w:szCs w:val="21"/>
        </w:rPr>
      </w:pPr>
      <w:r>
        <w:rPr>
          <w:b/>
          <w:szCs w:val="21"/>
        </w:rPr>
        <w:t>教学组织与实施：</w:t>
      </w:r>
      <w:r>
        <w:rPr>
          <w:color w:val="353535"/>
          <w:kern w:val="0"/>
          <w:szCs w:val="21"/>
        </w:rPr>
        <w:t>课前要求学生网上查阅有关创意农业模式，准备课堂汇报PPT，教师利用多媒体讲解部分模式，安排学生讲解部分模式，教师点评。</w:t>
      </w:r>
    </w:p>
    <w:p>
      <w:pPr>
        <w:widowControl/>
        <w:snapToGrid w:val="0"/>
        <w:spacing w:line="360" w:lineRule="auto"/>
        <w:jc w:val="left"/>
        <w:rPr>
          <w:b/>
          <w:bCs/>
          <w:kern w:val="0"/>
          <w:szCs w:val="21"/>
        </w:rPr>
      </w:pPr>
      <w:r>
        <w:rPr>
          <w:b/>
          <w:bCs/>
          <w:kern w:val="0"/>
          <w:szCs w:val="21"/>
        </w:rPr>
        <w:t>五、实验教学内容及学时分配（8学时）</w:t>
      </w:r>
    </w:p>
    <w:p>
      <w:pPr>
        <w:snapToGrid w:val="0"/>
        <w:spacing w:line="360" w:lineRule="auto"/>
        <w:rPr>
          <w:b/>
          <w:bCs/>
          <w:szCs w:val="21"/>
        </w:rPr>
      </w:pPr>
      <w:r>
        <w:rPr>
          <w:b/>
          <w:szCs w:val="21"/>
        </w:rPr>
        <w:t>（一）</w:t>
      </w:r>
      <w:r>
        <w:rPr>
          <w:b/>
          <w:bCs/>
          <w:szCs w:val="21"/>
        </w:rPr>
        <w:t>实验课程简介</w:t>
      </w:r>
    </w:p>
    <w:p>
      <w:pPr>
        <w:snapToGrid w:val="0"/>
        <w:spacing w:line="360" w:lineRule="auto"/>
        <w:ind w:firstLine="420" w:firstLineChars="200"/>
        <w:rPr>
          <w:bCs/>
          <w:color w:val="0000FF"/>
          <w:szCs w:val="21"/>
        </w:rPr>
      </w:pPr>
      <w:r>
        <w:rPr>
          <w:szCs w:val="21"/>
        </w:rPr>
        <w:t>本课程实验是《创意农业》课程重要的实践教学内容，设立了4个实验项目，包括：多种（或多品种）嫁接培育景观植物的实际操作实验；利用园艺生物学知识，设计培育二年生巨型园艺蔬菜的技术方案设计；根据蔬菜生长特性，进行景观蔬菜设施栽培设计；综合运用本课程知识设计一个组合模式的创意农业设计。设计的实验能培养学生的实际动手能力、理论联系实际能、综合运用知识能力，从产业链角度了解创意农业与创意产业的关系，为掌握创意农业及其产品的创意途径和创意方向等打下实践基础。</w:t>
      </w:r>
    </w:p>
    <w:p>
      <w:pPr>
        <w:snapToGrid w:val="0"/>
        <w:spacing w:line="360" w:lineRule="auto"/>
        <w:rPr>
          <w:b/>
          <w:bCs/>
          <w:szCs w:val="21"/>
        </w:rPr>
      </w:pPr>
      <w:r>
        <w:rPr>
          <w:b/>
          <w:bCs/>
          <w:szCs w:val="21"/>
        </w:rPr>
        <w:t>（二）实验教学目的和基本要求</w:t>
      </w:r>
    </w:p>
    <w:p>
      <w:pPr>
        <w:snapToGrid w:val="0"/>
        <w:spacing w:line="360" w:lineRule="auto"/>
        <w:ind w:firstLine="457" w:firstLineChars="218"/>
        <w:rPr>
          <w:color w:val="0000FF"/>
        </w:rPr>
      </w:pPr>
      <w:r>
        <w:rPr>
          <w:szCs w:val="21"/>
        </w:rPr>
        <w:t>通过本实验课教学，使学生具备创意产品开发的实际动手能力，具备创意产品研发的设计能力，掌握设计组合式模式创意农业的技术和方法。通过实验教学与训练，培养学生综合运用基础课、专业基础课知识的能力，培养学生自主探求知识、独立分析问题和解决问题的能力。</w:t>
      </w:r>
    </w:p>
    <w:p>
      <w:pPr>
        <w:snapToGrid w:val="0"/>
        <w:spacing w:line="360" w:lineRule="auto"/>
        <w:rPr>
          <w:b/>
        </w:rPr>
      </w:pPr>
      <w:r>
        <w:rPr>
          <w:b/>
        </w:rPr>
        <w:t>（三）实验安全操作规范</w:t>
      </w:r>
    </w:p>
    <w:p>
      <w:pPr>
        <w:snapToGrid w:val="0"/>
        <w:spacing w:line="360" w:lineRule="auto"/>
        <w:ind w:firstLine="420" w:firstLineChars="200"/>
        <w:rPr>
          <w:color w:val="0000FF"/>
        </w:rPr>
      </w:pPr>
      <w:r>
        <w:rPr>
          <w:szCs w:val="21"/>
        </w:rPr>
        <w:t>学生提前预习课程相关内容，教师课前针对操作内容进行详细讲解，并进行操作示范，实验过程中要求学生严格遵照操作规程，正确进行操作，做好相关仪器设备使用登记。</w:t>
      </w:r>
    </w:p>
    <w:p>
      <w:pPr>
        <w:snapToGrid w:val="0"/>
        <w:spacing w:line="360" w:lineRule="auto"/>
        <w:rPr>
          <w:b/>
          <w:bCs/>
          <w:szCs w:val="21"/>
        </w:rPr>
      </w:pPr>
      <w:r>
        <w:rPr>
          <w:b/>
          <w:bCs/>
          <w:szCs w:val="21"/>
        </w:rPr>
        <w:t>（四）实验项目名称与学时分配</w:t>
      </w:r>
    </w:p>
    <w:tbl>
      <w:tblPr>
        <w:tblStyle w:val="22"/>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478"/>
        <w:gridCol w:w="574"/>
        <w:gridCol w:w="1141"/>
        <w:gridCol w:w="1500"/>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08" w:type="dxa"/>
            <w:tcBorders>
              <w:tl2br w:val="nil"/>
              <w:tr2bl w:val="nil"/>
            </w:tcBorders>
            <w:shd w:val="clear" w:color="auto" w:fill="EEECE1" w:themeFill="background2"/>
            <w:vAlign w:val="center"/>
          </w:tcPr>
          <w:p>
            <w:pPr>
              <w:snapToGrid w:val="0"/>
              <w:ind w:firstLine="361"/>
              <w:jc w:val="center"/>
              <w:rPr>
                <w:b/>
                <w:bCs/>
                <w:sz w:val="18"/>
                <w:szCs w:val="18"/>
              </w:rPr>
            </w:pPr>
            <w:r>
              <w:rPr>
                <w:b/>
                <w:bCs/>
                <w:sz w:val="18"/>
                <w:szCs w:val="18"/>
              </w:rPr>
              <w:t>序号</w:t>
            </w:r>
          </w:p>
        </w:tc>
        <w:tc>
          <w:tcPr>
            <w:tcW w:w="3478" w:type="dxa"/>
            <w:tcBorders>
              <w:tl2br w:val="nil"/>
              <w:tr2bl w:val="nil"/>
            </w:tcBorders>
            <w:shd w:val="clear" w:color="auto" w:fill="EEECE1" w:themeFill="background2"/>
            <w:vAlign w:val="center"/>
          </w:tcPr>
          <w:p>
            <w:pPr>
              <w:snapToGrid w:val="0"/>
              <w:ind w:firstLine="361"/>
              <w:jc w:val="center"/>
              <w:rPr>
                <w:b/>
                <w:bCs/>
                <w:sz w:val="18"/>
                <w:szCs w:val="18"/>
              </w:rPr>
            </w:pPr>
            <w:r>
              <w:rPr>
                <w:b/>
                <w:bCs/>
                <w:sz w:val="18"/>
                <w:szCs w:val="18"/>
              </w:rPr>
              <w:t>实验名称</w:t>
            </w:r>
          </w:p>
        </w:tc>
        <w:tc>
          <w:tcPr>
            <w:tcW w:w="574" w:type="dxa"/>
            <w:tcBorders>
              <w:tl2br w:val="nil"/>
              <w:tr2bl w:val="nil"/>
            </w:tcBorders>
            <w:shd w:val="clear" w:color="auto" w:fill="EEECE1" w:themeFill="background2"/>
            <w:vAlign w:val="center"/>
          </w:tcPr>
          <w:p>
            <w:pPr>
              <w:snapToGrid w:val="0"/>
              <w:jc w:val="both"/>
              <w:rPr>
                <w:b/>
                <w:bCs/>
                <w:sz w:val="18"/>
                <w:szCs w:val="18"/>
              </w:rPr>
            </w:pPr>
            <w:r>
              <w:rPr>
                <w:b/>
                <w:bCs/>
                <w:sz w:val="18"/>
                <w:szCs w:val="18"/>
              </w:rPr>
              <w:t>学时</w:t>
            </w:r>
          </w:p>
        </w:tc>
        <w:tc>
          <w:tcPr>
            <w:tcW w:w="1141" w:type="dxa"/>
            <w:tcBorders>
              <w:tl2br w:val="nil"/>
              <w:tr2bl w:val="nil"/>
            </w:tcBorders>
            <w:shd w:val="clear" w:color="auto" w:fill="EEECE1" w:themeFill="background2"/>
            <w:vAlign w:val="center"/>
          </w:tcPr>
          <w:p>
            <w:pPr>
              <w:snapToGrid w:val="0"/>
              <w:ind w:firstLine="361"/>
              <w:jc w:val="center"/>
              <w:rPr>
                <w:b/>
                <w:bCs/>
                <w:sz w:val="18"/>
                <w:szCs w:val="18"/>
              </w:rPr>
            </w:pPr>
            <w:r>
              <w:rPr>
                <w:b/>
                <w:bCs/>
                <w:sz w:val="18"/>
                <w:szCs w:val="18"/>
              </w:rPr>
              <w:t>类型</w:t>
            </w:r>
          </w:p>
        </w:tc>
        <w:tc>
          <w:tcPr>
            <w:tcW w:w="1500" w:type="dxa"/>
            <w:tcBorders>
              <w:tl2br w:val="nil"/>
              <w:tr2bl w:val="nil"/>
            </w:tcBorders>
            <w:shd w:val="clear" w:color="auto" w:fill="EEECE1" w:themeFill="background2"/>
            <w:vAlign w:val="center"/>
          </w:tcPr>
          <w:p>
            <w:pPr>
              <w:snapToGrid w:val="0"/>
              <w:ind w:firstLine="361"/>
              <w:jc w:val="center"/>
              <w:rPr>
                <w:b/>
                <w:bCs/>
                <w:sz w:val="18"/>
                <w:szCs w:val="18"/>
              </w:rPr>
            </w:pPr>
            <w:r>
              <w:rPr>
                <w:b/>
                <w:bCs/>
                <w:sz w:val="18"/>
                <w:szCs w:val="18"/>
              </w:rPr>
              <w:t>实验要求</w:t>
            </w:r>
          </w:p>
        </w:tc>
        <w:tc>
          <w:tcPr>
            <w:tcW w:w="1351" w:type="dxa"/>
            <w:tcBorders>
              <w:tl2br w:val="nil"/>
              <w:tr2bl w:val="nil"/>
            </w:tcBorders>
            <w:shd w:val="clear" w:color="auto" w:fill="EEECE1" w:themeFill="background2"/>
            <w:vAlign w:val="center"/>
          </w:tcPr>
          <w:p>
            <w:pPr>
              <w:snapToGrid w:val="0"/>
              <w:ind w:firstLine="361"/>
              <w:jc w:val="center"/>
              <w:rPr>
                <w:b/>
                <w:bCs/>
                <w:sz w:val="18"/>
                <w:szCs w:val="18"/>
              </w:rPr>
            </w:pPr>
            <w:r>
              <w:rPr>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08" w:type="dxa"/>
            <w:tcBorders>
              <w:tl2br w:val="nil"/>
              <w:tr2bl w:val="nil"/>
            </w:tcBorders>
            <w:vAlign w:val="center"/>
          </w:tcPr>
          <w:p>
            <w:pPr>
              <w:snapToGrid w:val="0"/>
              <w:rPr>
                <w:sz w:val="18"/>
                <w:szCs w:val="18"/>
              </w:rPr>
            </w:pPr>
            <w:r>
              <w:rPr>
                <w:bCs/>
                <w:szCs w:val="21"/>
              </w:rPr>
              <w:t>19011122</w:t>
            </w:r>
            <w:r>
              <w:rPr>
                <w:sz w:val="18"/>
                <w:szCs w:val="18"/>
              </w:rPr>
              <w:t>01</w:t>
            </w:r>
          </w:p>
        </w:tc>
        <w:tc>
          <w:tcPr>
            <w:tcW w:w="3478" w:type="dxa"/>
            <w:tcBorders>
              <w:tl2br w:val="nil"/>
              <w:tr2bl w:val="nil"/>
            </w:tcBorders>
            <w:vAlign w:val="center"/>
          </w:tcPr>
          <w:p>
            <w:pPr>
              <w:snapToGrid w:val="0"/>
              <w:ind w:firstLine="360"/>
              <w:rPr>
                <w:sz w:val="18"/>
                <w:szCs w:val="18"/>
              </w:rPr>
            </w:pPr>
            <w:r>
              <w:rPr>
                <w:sz w:val="18"/>
                <w:szCs w:val="18"/>
              </w:rPr>
              <w:t>同科多种园艺植物嫁接培育景观植物</w:t>
            </w:r>
          </w:p>
        </w:tc>
        <w:tc>
          <w:tcPr>
            <w:tcW w:w="574" w:type="dxa"/>
            <w:tcBorders>
              <w:tl2br w:val="nil"/>
              <w:tr2bl w:val="nil"/>
            </w:tcBorders>
            <w:vAlign w:val="center"/>
          </w:tcPr>
          <w:p>
            <w:pPr>
              <w:snapToGrid w:val="0"/>
              <w:ind w:firstLine="360"/>
              <w:jc w:val="center"/>
              <w:rPr>
                <w:sz w:val="18"/>
                <w:szCs w:val="18"/>
              </w:rPr>
            </w:pPr>
            <w:r>
              <w:rPr>
                <w:sz w:val="18"/>
                <w:szCs w:val="18"/>
              </w:rPr>
              <w:t>2</w:t>
            </w:r>
          </w:p>
        </w:tc>
        <w:tc>
          <w:tcPr>
            <w:tcW w:w="1141" w:type="dxa"/>
            <w:tcBorders>
              <w:tl2br w:val="nil"/>
              <w:tr2bl w:val="nil"/>
            </w:tcBorders>
            <w:vAlign w:val="center"/>
          </w:tcPr>
          <w:p>
            <w:pPr>
              <w:snapToGrid w:val="0"/>
              <w:ind w:firstLine="360"/>
              <w:jc w:val="center"/>
              <w:rPr>
                <w:sz w:val="18"/>
                <w:szCs w:val="18"/>
              </w:rPr>
            </w:pPr>
            <w:r>
              <w:rPr>
                <w:sz w:val="18"/>
                <w:szCs w:val="18"/>
              </w:rPr>
              <w:t>综合性</w:t>
            </w:r>
          </w:p>
        </w:tc>
        <w:tc>
          <w:tcPr>
            <w:tcW w:w="1500" w:type="dxa"/>
            <w:tcBorders>
              <w:tl2br w:val="nil"/>
              <w:tr2bl w:val="nil"/>
            </w:tcBorders>
            <w:vAlign w:val="center"/>
          </w:tcPr>
          <w:p>
            <w:pPr>
              <w:snapToGrid w:val="0"/>
              <w:ind w:firstLine="360"/>
              <w:jc w:val="center"/>
              <w:rPr>
                <w:sz w:val="18"/>
                <w:szCs w:val="18"/>
              </w:rPr>
            </w:pPr>
            <w:r>
              <w:rPr>
                <w:sz w:val="18"/>
                <w:szCs w:val="18"/>
              </w:rPr>
              <w:t>必做</w:t>
            </w:r>
          </w:p>
        </w:tc>
        <w:tc>
          <w:tcPr>
            <w:tcW w:w="1351" w:type="dxa"/>
            <w:tcBorders>
              <w:tl2br w:val="nil"/>
              <w:tr2bl w:val="nil"/>
            </w:tcBorders>
            <w:vAlign w:val="center"/>
          </w:tcPr>
          <w:p>
            <w:pPr>
              <w:snapToGrid w:val="0"/>
              <w:ind w:firstLine="360"/>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08" w:type="dxa"/>
            <w:tcBorders>
              <w:tl2br w:val="nil"/>
              <w:tr2bl w:val="nil"/>
            </w:tcBorders>
            <w:vAlign w:val="center"/>
          </w:tcPr>
          <w:p>
            <w:pPr>
              <w:snapToGrid w:val="0"/>
              <w:rPr>
                <w:sz w:val="18"/>
                <w:szCs w:val="18"/>
              </w:rPr>
            </w:pPr>
            <w:r>
              <w:rPr>
                <w:bCs/>
                <w:szCs w:val="21"/>
              </w:rPr>
              <w:t>1901112202</w:t>
            </w:r>
          </w:p>
        </w:tc>
        <w:tc>
          <w:tcPr>
            <w:tcW w:w="3478" w:type="dxa"/>
            <w:tcBorders>
              <w:tl2br w:val="nil"/>
              <w:tr2bl w:val="nil"/>
            </w:tcBorders>
            <w:vAlign w:val="center"/>
          </w:tcPr>
          <w:p>
            <w:pPr>
              <w:snapToGrid w:val="0"/>
              <w:ind w:firstLine="360"/>
              <w:rPr>
                <w:sz w:val="18"/>
                <w:szCs w:val="18"/>
              </w:rPr>
            </w:pPr>
            <w:r>
              <w:rPr>
                <w:sz w:val="18"/>
                <w:szCs w:val="18"/>
              </w:rPr>
              <w:t>培育二年生巨型蔬菜创意农业设计</w:t>
            </w:r>
          </w:p>
        </w:tc>
        <w:tc>
          <w:tcPr>
            <w:tcW w:w="574" w:type="dxa"/>
            <w:tcBorders>
              <w:tl2br w:val="nil"/>
              <w:tr2bl w:val="nil"/>
            </w:tcBorders>
            <w:vAlign w:val="center"/>
          </w:tcPr>
          <w:p>
            <w:pPr>
              <w:snapToGrid w:val="0"/>
              <w:ind w:firstLine="360"/>
              <w:jc w:val="center"/>
              <w:rPr>
                <w:sz w:val="18"/>
                <w:szCs w:val="18"/>
              </w:rPr>
            </w:pPr>
            <w:r>
              <w:rPr>
                <w:sz w:val="18"/>
                <w:szCs w:val="18"/>
              </w:rPr>
              <w:t>2</w:t>
            </w:r>
          </w:p>
        </w:tc>
        <w:tc>
          <w:tcPr>
            <w:tcW w:w="1141" w:type="dxa"/>
            <w:tcBorders>
              <w:tl2br w:val="nil"/>
              <w:tr2bl w:val="nil"/>
            </w:tcBorders>
            <w:vAlign w:val="center"/>
          </w:tcPr>
          <w:p>
            <w:pPr>
              <w:snapToGrid w:val="0"/>
              <w:ind w:firstLine="360"/>
              <w:jc w:val="center"/>
              <w:rPr>
                <w:sz w:val="18"/>
                <w:szCs w:val="18"/>
              </w:rPr>
            </w:pPr>
            <w:r>
              <w:rPr>
                <w:sz w:val="18"/>
                <w:szCs w:val="18"/>
              </w:rPr>
              <w:t>设计性</w:t>
            </w:r>
          </w:p>
        </w:tc>
        <w:tc>
          <w:tcPr>
            <w:tcW w:w="1500" w:type="dxa"/>
            <w:tcBorders>
              <w:tl2br w:val="nil"/>
              <w:tr2bl w:val="nil"/>
            </w:tcBorders>
            <w:vAlign w:val="center"/>
          </w:tcPr>
          <w:p>
            <w:pPr>
              <w:snapToGrid w:val="0"/>
              <w:ind w:firstLine="360"/>
              <w:jc w:val="center"/>
              <w:rPr>
                <w:sz w:val="18"/>
                <w:szCs w:val="18"/>
              </w:rPr>
            </w:pPr>
            <w:r>
              <w:rPr>
                <w:sz w:val="18"/>
                <w:szCs w:val="18"/>
              </w:rPr>
              <w:t>必做</w:t>
            </w:r>
          </w:p>
        </w:tc>
        <w:tc>
          <w:tcPr>
            <w:tcW w:w="1351" w:type="dxa"/>
            <w:tcBorders>
              <w:tl2br w:val="nil"/>
              <w:tr2bl w:val="nil"/>
            </w:tcBorders>
            <w:vAlign w:val="center"/>
          </w:tcPr>
          <w:p>
            <w:pPr>
              <w:snapToGrid w:val="0"/>
              <w:ind w:firstLine="360"/>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08" w:type="dxa"/>
            <w:tcBorders>
              <w:tl2br w:val="nil"/>
              <w:tr2bl w:val="nil"/>
            </w:tcBorders>
            <w:vAlign w:val="center"/>
          </w:tcPr>
          <w:p>
            <w:pPr>
              <w:snapToGrid w:val="0"/>
              <w:rPr>
                <w:bCs/>
                <w:szCs w:val="21"/>
              </w:rPr>
            </w:pPr>
            <w:r>
              <w:rPr>
                <w:bCs/>
                <w:szCs w:val="21"/>
              </w:rPr>
              <w:t>1901112203</w:t>
            </w:r>
          </w:p>
        </w:tc>
        <w:tc>
          <w:tcPr>
            <w:tcW w:w="3478" w:type="dxa"/>
            <w:tcBorders>
              <w:tl2br w:val="nil"/>
              <w:tr2bl w:val="nil"/>
            </w:tcBorders>
            <w:vAlign w:val="center"/>
          </w:tcPr>
          <w:p>
            <w:pPr>
              <w:snapToGrid w:val="0"/>
              <w:ind w:firstLine="360"/>
              <w:rPr>
                <w:sz w:val="18"/>
                <w:szCs w:val="18"/>
              </w:rPr>
            </w:pPr>
            <w:r>
              <w:rPr>
                <w:sz w:val="18"/>
                <w:szCs w:val="18"/>
              </w:rPr>
              <w:t>景观蔬菜设施栽培设计</w:t>
            </w:r>
          </w:p>
        </w:tc>
        <w:tc>
          <w:tcPr>
            <w:tcW w:w="574" w:type="dxa"/>
            <w:tcBorders>
              <w:tl2br w:val="nil"/>
              <w:tr2bl w:val="nil"/>
            </w:tcBorders>
            <w:vAlign w:val="center"/>
          </w:tcPr>
          <w:p>
            <w:pPr>
              <w:snapToGrid w:val="0"/>
              <w:ind w:firstLine="360"/>
              <w:jc w:val="center"/>
              <w:rPr>
                <w:sz w:val="18"/>
                <w:szCs w:val="18"/>
              </w:rPr>
            </w:pPr>
            <w:r>
              <w:rPr>
                <w:sz w:val="18"/>
                <w:szCs w:val="18"/>
              </w:rPr>
              <w:t>2</w:t>
            </w:r>
          </w:p>
        </w:tc>
        <w:tc>
          <w:tcPr>
            <w:tcW w:w="1141" w:type="dxa"/>
            <w:tcBorders>
              <w:tl2br w:val="nil"/>
              <w:tr2bl w:val="nil"/>
            </w:tcBorders>
            <w:vAlign w:val="center"/>
          </w:tcPr>
          <w:p>
            <w:pPr>
              <w:snapToGrid w:val="0"/>
              <w:ind w:firstLine="360"/>
              <w:jc w:val="center"/>
              <w:rPr>
                <w:sz w:val="18"/>
                <w:szCs w:val="18"/>
              </w:rPr>
            </w:pPr>
            <w:r>
              <w:rPr>
                <w:sz w:val="18"/>
                <w:szCs w:val="18"/>
              </w:rPr>
              <w:t>设计性</w:t>
            </w:r>
          </w:p>
        </w:tc>
        <w:tc>
          <w:tcPr>
            <w:tcW w:w="1500" w:type="dxa"/>
            <w:tcBorders>
              <w:tl2br w:val="nil"/>
              <w:tr2bl w:val="nil"/>
            </w:tcBorders>
            <w:vAlign w:val="center"/>
          </w:tcPr>
          <w:p>
            <w:pPr>
              <w:snapToGrid w:val="0"/>
              <w:ind w:firstLine="360"/>
              <w:jc w:val="center"/>
              <w:rPr>
                <w:sz w:val="18"/>
                <w:szCs w:val="18"/>
              </w:rPr>
            </w:pPr>
            <w:r>
              <w:rPr>
                <w:sz w:val="18"/>
                <w:szCs w:val="18"/>
              </w:rPr>
              <w:t>必做</w:t>
            </w:r>
          </w:p>
        </w:tc>
        <w:tc>
          <w:tcPr>
            <w:tcW w:w="1351" w:type="dxa"/>
            <w:tcBorders>
              <w:tl2br w:val="nil"/>
              <w:tr2bl w:val="nil"/>
            </w:tcBorders>
            <w:vAlign w:val="center"/>
          </w:tcPr>
          <w:p>
            <w:pPr>
              <w:snapToGrid w:val="0"/>
              <w:ind w:firstLine="360"/>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308" w:type="dxa"/>
            <w:tcBorders>
              <w:tl2br w:val="nil"/>
              <w:tr2bl w:val="nil"/>
            </w:tcBorders>
            <w:vAlign w:val="center"/>
          </w:tcPr>
          <w:p>
            <w:pPr>
              <w:snapToGrid w:val="0"/>
              <w:rPr>
                <w:sz w:val="18"/>
                <w:szCs w:val="18"/>
              </w:rPr>
            </w:pPr>
            <w:r>
              <w:rPr>
                <w:bCs/>
                <w:szCs w:val="21"/>
              </w:rPr>
              <w:t>1901112204</w:t>
            </w:r>
          </w:p>
        </w:tc>
        <w:tc>
          <w:tcPr>
            <w:tcW w:w="3478" w:type="dxa"/>
            <w:tcBorders>
              <w:tl2br w:val="nil"/>
              <w:tr2bl w:val="nil"/>
            </w:tcBorders>
            <w:vAlign w:val="center"/>
          </w:tcPr>
          <w:p>
            <w:pPr>
              <w:snapToGrid w:val="0"/>
              <w:ind w:firstLine="360"/>
              <w:rPr>
                <w:sz w:val="18"/>
                <w:szCs w:val="18"/>
              </w:rPr>
            </w:pPr>
            <w:r>
              <w:rPr>
                <w:sz w:val="18"/>
                <w:szCs w:val="18"/>
              </w:rPr>
              <w:t>组合模式创意农业设计</w:t>
            </w:r>
          </w:p>
        </w:tc>
        <w:tc>
          <w:tcPr>
            <w:tcW w:w="574" w:type="dxa"/>
            <w:tcBorders>
              <w:tl2br w:val="nil"/>
              <w:tr2bl w:val="nil"/>
            </w:tcBorders>
            <w:vAlign w:val="center"/>
          </w:tcPr>
          <w:p>
            <w:pPr>
              <w:snapToGrid w:val="0"/>
              <w:ind w:firstLine="360"/>
              <w:jc w:val="center"/>
              <w:rPr>
                <w:sz w:val="18"/>
                <w:szCs w:val="18"/>
              </w:rPr>
            </w:pPr>
            <w:r>
              <w:rPr>
                <w:sz w:val="18"/>
                <w:szCs w:val="18"/>
              </w:rPr>
              <w:t>2</w:t>
            </w:r>
          </w:p>
        </w:tc>
        <w:tc>
          <w:tcPr>
            <w:tcW w:w="1141" w:type="dxa"/>
            <w:tcBorders>
              <w:tl2br w:val="nil"/>
              <w:tr2bl w:val="nil"/>
            </w:tcBorders>
            <w:vAlign w:val="center"/>
          </w:tcPr>
          <w:p>
            <w:pPr>
              <w:snapToGrid w:val="0"/>
              <w:ind w:firstLine="360"/>
              <w:jc w:val="center"/>
              <w:rPr>
                <w:sz w:val="18"/>
                <w:szCs w:val="18"/>
              </w:rPr>
            </w:pPr>
            <w:r>
              <w:rPr>
                <w:sz w:val="18"/>
                <w:szCs w:val="18"/>
              </w:rPr>
              <w:t>设计性</w:t>
            </w:r>
          </w:p>
        </w:tc>
        <w:tc>
          <w:tcPr>
            <w:tcW w:w="1500" w:type="dxa"/>
            <w:tcBorders>
              <w:tl2br w:val="nil"/>
              <w:tr2bl w:val="nil"/>
            </w:tcBorders>
            <w:vAlign w:val="center"/>
          </w:tcPr>
          <w:p>
            <w:pPr>
              <w:snapToGrid w:val="0"/>
              <w:ind w:firstLine="360"/>
              <w:jc w:val="center"/>
              <w:rPr>
                <w:sz w:val="18"/>
                <w:szCs w:val="18"/>
              </w:rPr>
            </w:pPr>
            <w:r>
              <w:rPr>
                <w:sz w:val="18"/>
                <w:szCs w:val="18"/>
              </w:rPr>
              <w:t>必做</w:t>
            </w:r>
          </w:p>
        </w:tc>
        <w:tc>
          <w:tcPr>
            <w:tcW w:w="1351" w:type="dxa"/>
            <w:tcBorders>
              <w:tl2br w:val="nil"/>
              <w:tr2bl w:val="nil"/>
            </w:tcBorders>
            <w:vAlign w:val="center"/>
          </w:tcPr>
          <w:p>
            <w:pPr>
              <w:snapToGrid w:val="0"/>
              <w:ind w:firstLine="360"/>
              <w:jc w:val="center"/>
              <w:rPr>
                <w:sz w:val="18"/>
                <w:szCs w:val="18"/>
              </w:rPr>
            </w:pPr>
            <w:r>
              <w:rPr>
                <w:sz w:val="18"/>
                <w:szCs w:val="18"/>
              </w:rPr>
              <w:t>5</w:t>
            </w:r>
          </w:p>
        </w:tc>
      </w:tr>
    </w:tbl>
    <w:p>
      <w:pPr>
        <w:snapToGrid w:val="0"/>
        <w:spacing w:line="360" w:lineRule="auto"/>
        <w:rPr>
          <w:b/>
          <w:bCs/>
          <w:szCs w:val="21"/>
        </w:rPr>
      </w:pPr>
      <w:r>
        <w:rPr>
          <w:b/>
          <w:bCs/>
          <w:szCs w:val="21"/>
        </w:rPr>
        <w:t>（五）实验方式及基本要求</w:t>
      </w:r>
    </w:p>
    <w:p>
      <w:pPr>
        <w:snapToGrid w:val="0"/>
        <w:spacing w:line="360" w:lineRule="auto"/>
        <w:ind w:firstLine="420" w:firstLineChars="200"/>
        <w:rPr>
          <w:b/>
          <w:bCs/>
          <w:color w:val="0000FF"/>
          <w:szCs w:val="21"/>
        </w:rPr>
      </w:pPr>
      <w:r>
        <w:rPr>
          <w:szCs w:val="21"/>
        </w:rPr>
        <w:t>试验采用分组的方式进行，每5人1组。景观植物培育实验，以小组为单位培育嫁接砧木，培育接穗，学生亲自动手嫁接，以小组为单位上交2～3株嫁接景观植物。设计性实验，以小组为单位，每小组共同完成1份报告，并进行讲评。要求掌握嫁接技术、掌握产品创意设计技术</w:t>
      </w:r>
      <w:r>
        <w:rPr>
          <w:kern w:val="0"/>
          <w:sz w:val="20"/>
          <w:szCs w:val="21"/>
        </w:rPr>
        <w:t>，</w:t>
      </w:r>
      <w:r>
        <w:rPr>
          <w:szCs w:val="21"/>
        </w:rPr>
        <w:t>掌握创意农业模式设计的方法。</w:t>
      </w:r>
    </w:p>
    <w:p>
      <w:pPr>
        <w:snapToGrid w:val="0"/>
        <w:spacing w:line="360" w:lineRule="auto"/>
        <w:rPr>
          <w:b/>
          <w:szCs w:val="21"/>
        </w:rPr>
      </w:pPr>
      <w:r>
        <w:rPr>
          <w:b/>
          <w:bCs/>
          <w:szCs w:val="21"/>
        </w:rPr>
        <w:t>（六）</w:t>
      </w:r>
      <w:r>
        <w:rPr>
          <w:b/>
          <w:szCs w:val="21"/>
        </w:rPr>
        <w:t>实验内容安排</w:t>
      </w:r>
    </w:p>
    <w:p>
      <w:pPr>
        <w:adjustRightInd w:val="0"/>
        <w:snapToGrid w:val="0"/>
        <w:spacing w:line="360" w:lineRule="auto"/>
        <w:jc w:val="left"/>
        <w:rPr>
          <w:szCs w:val="21"/>
        </w:rPr>
      </w:pPr>
      <w:r>
        <w:rPr>
          <w:b/>
          <w:bCs/>
          <w:szCs w:val="21"/>
        </w:rPr>
        <w:t>【实验一】</w:t>
      </w:r>
      <w:r>
        <w:rPr>
          <w:szCs w:val="21"/>
        </w:rPr>
        <w:t>同科多种园艺植物嫁接培育景观植物</w:t>
      </w:r>
    </w:p>
    <w:p>
      <w:pPr>
        <w:adjustRightInd w:val="0"/>
        <w:snapToGrid w:val="0"/>
        <w:spacing w:line="360" w:lineRule="auto"/>
        <w:ind w:firstLine="422" w:firstLineChars="200"/>
      </w:pPr>
      <w:r>
        <w:rPr>
          <w:b/>
          <w:szCs w:val="21"/>
        </w:rPr>
        <w:t>1. 实验学时：</w:t>
      </w:r>
      <w:r>
        <w:rPr>
          <w:bCs/>
        </w:rPr>
        <w:t>2学时</w:t>
      </w:r>
    </w:p>
    <w:p>
      <w:pPr>
        <w:adjustRightInd w:val="0"/>
        <w:snapToGrid w:val="0"/>
        <w:spacing w:line="360" w:lineRule="auto"/>
        <w:ind w:firstLine="422" w:firstLineChars="200"/>
        <w:rPr>
          <w:bCs/>
          <w:szCs w:val="21"/>
        </w:rPr>
      </w:pPr>
      <w:r>
        <w:rPr>
          <w:b/>
          <w:szCs w:val="21"/>
        </w:rPr>
        <w:t>2. 实验目的：</w:t>
      </w:r>
      <w:r>
        <w:rPr>
          <w:bCs/>
          <w:szCs w:val="21"/>
        </w:rPr>
        <w:t>掌握同科不同种或同种不同品种嫁接开发景观植物的设计和嫁接培育方法。</w:t>
      </w:r>
    </w:p>
    <w:p>
      <w:pPr>
        <w:adjustRightInd w:val="0"/>
        <w:snapToGrid w:val="0"/>
        <w:spacing w:line="360" w:lineRule="auto"/>
        <w:ind w:firstLine="422" w:firstLineChars="200"/>
        <w:rPr>
          <w:szCs w:val="21"/>
        </w:rPr>
      </w:pPr>
      <w:r>
        <w:rPr>
          <w:b/>
          <w:szCs w:val="21"/>
        </w:rPr>
        <w:t>3. 实验内容：</w:t>
      </w:r>
      <w:r>
        <w:rPr>
          <w:bCs/>
          <w:kern w:val="0"/>
          <w:szCs w:val="21"/>
        </w:rPr>
        <w:t>培育嫁接砧木、接穗，在一个砧木上嫁接同科多种植物接穗，形成多种植物同株的景观植物，或在同一砧木上嫁接同种不同品种的接穗，形成1株多花色、多果型景观植物</w:t>
      </w:r>
      <w:r>
        <w:rPr>
          <w:szCs w:val="21"/>
        </w:rPr>
        <w:t>。</w:t>
      </w:r>
    </w:p>
    <w:p>
      <w:pPr>
        <w:adjustRightInd w:val="0"/>
        <w:snapToGrid w:val="0"/>
        <w:spacing w:line="360" w:lineRule="auto"/>
        <w:ind w:firstLine="422" w:firstLineChars="200"/>
        <w:rPr>
          <w:bCs/>
          <w:szCs w:val="21"/>
        </w:rPr>
      </w:pPr>
      <w:r>
        <w:rPr>
          <w:b/>
          <w:szCs w:val="21"/>
        </w:rPr>
        <w:t>4. 实验要求：</w:t>
      </w:r>
      <w:r>
        <w:rPr>
          <w:bCs/>
          <w:szCs w:val="21"/>
        </w:rPr>
        <w:t>掌握</w:t>
      </w:r>
      <w:r>
        <w:rPr>
          <w:bCs/>
          <w:kern w:val="0"/>
          <w:szCs w:val="21"/>
        </w:rPr>
        <w:t>多种植物同株、同株多花色、多果型景观植物的设计技术</w:t>
      </w:r>
      <w:r>
        <w:rPr>
          <w:bCs/>
          <w:szCs w:val="21"/>
        </w:rPr>
        <w:t>；掌握相关砧木、接穗播种、确定、嫁接时期的确定、嫁接愈合条件创造、嫁接植物培育管理的技术</w:t>
      </w:r>
      <w:r>
        <w:rPr>
          <w:bCs/>
          <w:kern w:val="0"/>
          <w:szCs w:val="21"/>
        </w:rPr>
        <w:t>。</w:t>
      </w:r>
    </w:p>
    <w:p>
      <w:pPr>
        <w:adjustRightInd w:val="0"/>
        <w:snapToGrid w:val="0"/>
        <w:spacing w:line="360" w:lineRule="auto"/>
        <w:ind w:firstLine="422" w:firstLineChars="200"/>
        <w:rPr>
          <w:szCs w:val="21"/>
        </w:rPr>
      </w:pPr>
      <w:r>
        <w:rPr>
          <w:b/>
          <w:szCs w:val="21"/>
        </w:rPr>
        <w:t>5. 实验设备及器材：</w:t>
      </w:r>
      <w:r>
        <w:rPr>
          <w:bCs/>
          <w:szCs w:val="21"/>
        </w:rPr>
        <w:t>茄果类种子、不同花色菊花接穗，嫁接刀、嫁接套管，栽培盆、基质。</w:t>
      </w:r>
    </w:p>
    <w:p>
      <w:pPr>
        <w:adjustRightInd w:val="0"/>
        <w:snapToGrid w:val="0"/>
        <w:spacing w:line="360" w:lineRule="auto"/>
        <w:jc w:val="left"/>
        <w:rPr>
          <w:szCs w:val="21"/>
        </w:rPr>
      </w:pPr>
      <w:r>
        <w:rPr>
          <w:b/>
          <w:bCs/>
          <w:szCs w:val="21"/>
        </w:rPr>
        <w:t>【实验二】</w:t>
      </w:r>
      <w:r>
        <w:rPr>
          <w:szCs w:val="21"/>
        </w:rPr>
        <w:t>培育二年生巨型蔬菜创意农业设计</w:t>
      </w:r>
    </w:p>
    <w:p>
      <w:pPr>
        <w:adjustRightInd w:val="0"/>
        <w:snapToGrid w:val="0"/>
        <w:spacing w:line="360" w:lineRule="auto"/>
        <w:ind w:firstLine="422" w:firstLineChars="200"/>
      </w:pPr>
      <w:r>
        <w:rPr>
          <w:b/>
          <w:szCs w:val="21"/>
        </w:rPr>
        <w:t>1. 实验学时：</w:t>
      </w:r>
      <w:r>
        <w:rPr>
          <w:bCs/>
        </w:rPr>
        <w:t>2学时</w:t>
      </w:r>
    </w:p>
    <w:p>
      <w:pPr>
        <w:adjustRightInd w:val="0"/>
        <w:snapToGrid w:val="0"/>
        <w:spacing w:line="360" w:lineRule="auto"/>
        <w:ind w:firstLine="422" w:firstLineChars="200"/>
        <w:rPr>
          <w:bCs/>
          <w:szCs w:val="21"/>
        </w:rPr>
      </w:pPr>
      <w:r>
        <w:rPr>
          <w:b/>
          <w:szCs w:val="21"/>
        </w:rPr>
        <w:t>2. 实验目的：</w:t>
      </w:r>
      <w:r>
        <w:rPr>
          <w:bCs/>
          <w:szCs w:val="21"/>
        </w:rPr>
        <w:t>练习春化作用理论在创意农业中的应用；掌握创意农业产品开发的设计方法。</w:t>
      </w:r>
    </w:p>
    <w:p>
      <w:pPr>
        <w:adjustRightInd w:val="0"/>
        <w:snapToGrid w:val="0"/>
        <w:spacing w:line="360" w:lineRule="auto"/>
        <w:ind w:firstLine="422" w:firstLineChars="200"/>
        <w:rPr>
          <w:szCs w:val="21"/>
        </w:rPr>
      </w:pPr>
      <w:r>
        <w:rPr>
          <w:b/>
          <w:szCs w:val="21"/>
        </w:rPr>
        <w:t>3. 实验内容：</w:t>
      </w:r>
      <w:r>
        <w:rPr>
          <w:bCs/>
          <w:kern w:val="0"/>
          <w:szCs w:val="21"/>
        </w:rPr>
        <w:t>以二年生蔬菜大白菜、结球甘蓝，球茎甘蓝、大葱、洋葱为实验材料，以绿体春化作用理论为指导，设计使二年生蔬菜不通过春化作用，一直进行营养生长，培育出巨型大白菜、巨型结球甘蓝，巨型球茎甘蓝、巨型大葱、巨型洋葱的技术方案</w:t>
      </w:r>
      <w:r>
        <w:rPr>
          <w:szCs w:val="21"/>
        </w:rPr>
        <w:t>。</w:t>
      </w:r>
    </w:p>
    <w:p>
      <w:pPr>
        <w:adjustRightInd w:val="0"/>
        <w:snapToGrid w:val="0"/>
        <w:spacing w:line="360" w:lineRule="auto"/>
        <w:ind w:firstLine="422" w:firstLineChars="200"/>
        <w:rPr>
          <w:bCs/>
          <w:kern w:val="0"/>
          <w:szCs w:val="21"/>
        </w:rPr>
      </w:pPr>
      <w:r>
        <w:rPr>
          <w:b/>
          <w:szCs w:val="21"/>
        </w:rPr>
        <w:t>4. 实验要求：</w:t>
      </w:r>
      <w:r>
        <w:rPr>
          <w:bCs/>
          <w:szCs w:val="21"/>
        </w:rPr>
        <w:t>制定包括品种选择、播期、种子处理，育苗条件、定植期、栽培场所、生长期间温湿度、光照、水、肥、气，病虫害、草害防治的全程技术方案，并对风险性进行评估，对设计进行讲评</w:t>
      </w:r>
      <w:r>
        <w:rPr>
          <w:bCs/>
          <w:kern w:val="0"/>
          <w:szCs w:val="21"/>
        </w:rPr>
        <w:t>。</w:t>
      </w:r>
    </w:p>
    <w:p>
      <w:pPr>
        <w:adjustRightInd w:val="0"/>
        <w:snapToGrid w:val="0"/>
        <w:spacing w:line="360" w:lineRule="auto"/>
        <w:jc w:val="left"/>
        <w:rPr>
          <w:szCs w:val="21"/>
        </w:rPr>
      </w:pPr>
      <w:r>
        <w:rPr>
          <w:b/>
          <w:bCs/>
          <w:szCs w:val="21"/>
        </w:rPr>
        <w:t>【实验三】</w:t>
      </w:r>
      <w:r>
        <w:rPr>
          <w:szCs w:val="21"/>
        </w:rPr>
        <w:t>景观蔬菜设施栽培设计</w:t>
      </w:r>
    </w:p>
    <w:p>
      <w:pPr>
        <w:adjustRightInd w:val="0"/>
        <w:snapToGrid w:val="0"/>
        <w:spacing w:line="360" w:lineRule="auto"/>
        <w:ind w:firstLine="422" w:firstLineChars="200"/>
        <w:jc w:val="left"/>
      </w:pPr>
      <w:r>
        <w:rPr>
          <w:b/>
          <w:szCs w:val="21"/>
        </w:rPr>
        <w:t>1. 实验学时：</w:t>
      </w:r>
      <w:r>
        <w:rPr>
          <w:bCs/>
        </w:rPr>
        <w:t>2学时</w:t>
      </w:r>
    </w:p>
    <w:p>
      <w:pPr>
        <w:adjustRightInd w:val="0"/>
        <w:snapToGrid w:val="0"/>
        <w:spacing w:line="360" w:lineRule="auto"/>
        <w:ind w:firstLine="422" w:firstLineChars="200"/>
        <w:rPr>
          <w:bCs/>
          <w:szCs w:val="21"/>
        </w:rPr>
      </w:pPr>
      <w:r>
        <w:rPr>
          <w:b/>
          <w:szCs w:val="21"/>
        </w:rPr>
        <w:t>2. 实验目的：</w:t>
      </w:r>
      <w:r>
        <w:rPr>
          <w:bCs/>
          <w:szCs w:val="21"/>
        </w:rPr>
        <w:t>练习景观蔬菜设施无土栽培设计的方法。</w:t>
      </w:r>
    </w:p>
    <w:p>
      <w:pPr>
        <w:adjustRightInd w:val="0"/>
        <w:snapToGrid w:val="0"/>
        <w:spacing w:line="360" w:lineRule="auto"/>
        <w:ind w:firstLine="422" w:firstLineChars="200"/>
        <w:rPr>
          <w:szCs w:val="21"/>
        </w:rPr>
      </w:pPr>
      <w:r>
        <w:rPr>
          <w:b/>
          <w:szCs w:val="21"/>
        </w:rPr>
        <w:t>3. 实验内容：</w:t>
      </w:r>
      <w:r>
        <w:rPr>
          <w:szCs w:val="21"/>
        </w:rPr>
        <w:t>无土栽培配套设施、蔬菜品种选择及栽培技术。</w:t>
      </w:r>
    </w:p>
    <w:p>
      <w:pPr>
        <w:adjustRightInd w:val="0"/>
        <w:snapToGrid w:val="0"/>
        <w:spacing w:line="360" w:lineRule="auto"/>
        <w:ind w:firstLine="422" w:firstLineChars="200"/>
        <w:rPr>
          <w:bCs/>
          <w:szCs w:val="21"/>
        </w:rPr>
      </w:pPr>
      <w:r>
        <w:rPr>
          <w:b/>
          <w:szCs w:val="21"/>
        </w:rPr>
        <w:t>4. 实验要求：</w:t>
      </w:r>
      <w:r>
        <w:rPr>
          <w:szCs w:val="21"/>
        </w:rPr>
        <w:t>掌握设施无土栽培中水培和基质栽培中常用的配套设施，环境条件调控技术</w:t>
      </w:r>
      <w:r>
        <w:rPr>
          <w:bCs/>
          <w:kern w:val="0"/>
          <w:szCs w:val="21"/>
        </w:rPr>
        <w:t>。</w:t>
      </w:r>
    </w:p>
    <w:p>
      <w:pPr>
        <w:adjustRightInd w:val="0"/>
        <w:snapToGrid w:val="0"/>
        <w:spacing w:line="360" w:lineRule="auto"/>
        <w:jc w:val="left"/>
        <w:rPr>
          <w:szCs w:val="21"/>
        </w:rPr>
      </w:pPr>
      <w:r>
        <w:rPr>
          <w:b/>
          <w:bCs/>
          <w:szCs w:val="21"/>
        </w:rPr>
        <w:t>【实验四】</w:t>
      </w:r>
      <w:r>
        <w:rPr>
          <w:szCs w:val="21"/>
        </w:rPr>
        <w:t>组合模式创意农业设计</w:t>
      </w:r>
    </w:p>
    <w:p>
      <w:pPr>
        <w:adjustRightInd w:val="0"/>
        <w:snapToGrid w:val="0"/>
        <w:spacing w:line="360" w:lineRule="auto"/>
        <w:ind w:firstLine="422" w:firstLineChars="200"/>
        <w:jc w:val="left"/>
      </w:pPr>
      <w:r>
        <w:rPr>
          <w:b/>
          <w:szCs w:val="21"/>
        </w:rPr>
        <w:t>1. 实验学时：</w:t>
      </w:r>
      <w:r>
        <w:rPr>
          <w:bCs/>
        </w:rPr>
        <w:t>2学时</w:t>
      </w:r>
    </w:p>
    <w:p>
      <w:pPr>
        <w:adjustRightInd w:val="0"/>
        <w:snapToGrid w:val="0"/>
        <w:spacing w:line="360" w:lineRule="auto"/>
        <w:ind w:firstLine="422" w:firstLineChars="200"/>
        <w:rPr>
          <w:bCs/>
          <w:szCs w:val="21"/>
        </w:rPr>
      </w:pPr>
      <w:r>
        <w:rPr>
          <w:b/>
          <w:szCs w:val="21"/>
        </w:rPr>
        <w:t>2. 实验目的：</w:t>
      </w:r>
      <w:r>
        <w:rPr>
          <w:bCs/>
          <w:szCs w:val="21"/>
        </w:rPr>
        <w:t>练习</w:t>
      </w:r>
      <w:r>
        <w:rPr>
          <w:szCs w:val="21"/>
        </w:rPr>
        <w:t>组合模式创意农业</w:t>
      </w:r>
      <w:r>
        <w:rPr>
          <w:bCs/>
          <w:szCs w:val="21"/>
        </w:rPr>
        <w:t>设计的方法。</w:t>
      </w:r>
    </w:p>
    <w:p>
      <w:pPr>
        <w:adjustRightInd w:val="0"/>
        <w:snapToGrid w:val="0"/>
        <w:spacing w:line="360" w:lineRule="auto"/>
        <w:ind w:firstLine="422" w:firstLineChars="200"/>
        <w:rPr>
          <w:szCs w:val="21"/>
        </w:rPr>
      </w:pPr>
      <w:r>
        <w:rPr>
          <w:b/>
          <w:szCs w:val="21"/>
        </w:rPr>
        <w:t>3. 实验内容：</w:t>
      </w:r>
      <w:r>
        <w:rPr>
          <w:bCs/>
          <w:kern w:val="0"/>
          <w:szCs w:val="21"/>
        </w:rPr>
        <w:t>包括对研发设计、生产环节、加工环节、销售环节，进行创意农业设计</w:t>
      </w:r>
      <w:r>
        <w:rPr>
          <w:szCs w:val="21"/>
        </w:rPr>
        <w:t>。</w:t>
      </w:r>
    </w:p>
    <w:p>
      <w:pPr>
        <w:adjustRightInd w:val="0"/>
        <w:snapToGrid w:val="0"/>
        <w:spacing w:line="360" w:lineRule="auto"/>
        <w:ind w:firstLine="422" w:firstLineChars="200"/>
        <w:rPr>
          <w:szCs w:val="21"/>
        </w:rPr>
      </w:pPr>
      <w:r>
        <w:rPr>
          <w:b/>
          <w:szCs w:val="21"/>
        </w:rPr>
        <w:t>4. 实验要求：</w:t>
      </w:r>
      <w:r>
        <w:rPr>
          <w:bCs/>
          <w:szCs w:val="21"/>
        </w:rPr>
        <w:t>要求有大地景观、产品开发、景观植物、产品加工、销售、乡村旅游、民宿等内容，并对规模和投资进行估算，对设计进行讲评</w:t>
      </w:r>
      <w:r>
        <w:rPr>
          <w:bCs/>
          <w:kern w:val="0"/>
          <w:szCs w:val="21"/>
        </w:rPr>
        <w:t>。</w:t>
      </w:r>
    </w:p>
    <w:p>
      <w:pPr>
        <w:snapToGrid w:val="0"/>
        <w:spacing w:line="360" w:lineRule="auto"/>
        <w:rPr>
          <w:bCs/>
          <w:color w:val="0000FF"/>
          <w:szCs w:val="21"/>
        </w:rPr>
      </w:pPr>
      <w:r>
        <w:rPr>
          <w:rFonts w:hint="eastAsia"/>
          <w:b/>
          <w:szCs w:val="21"/>
        </w:rPr>
        <w:t>（</w:t>
      </w:r>
      <w:r>
        <w:rPr>
          <w:b/>
          <w:szCs w:val="21"/>
        </w:rPr>
        <w:t>七</w:t>
      </w:r>
      <w:r>
        <w:rPr>
          <w:rFonts w:hint="eastAsia"/>
          <w:b/>
          <w:szCs w:val="21"/>
        </w:rPr>
        <w:t>）</w:t>
      </w:r>
      <w:r>
        <w:rPr>
          <w:b/>
          <w:bCs/>
          <w:szCs w:val="21"/>
        </w:rPr>
        <w:t>考核方式及成绩评定</w:t>
      </w:r>
    </w:p>
    <w:p>
      <w:pPr>
        <w:adjustRightInd w:val="0"/>
        <w:snapToGrid w:val="0"/>
        <w:spacing w:line="360" w:lineRule="auto"/>
        <w:ind w:firstLine="420" w:firstLineChars="200"/>
        <w:rPr>
          <w:bCs/>
          <w:color w:val="0000FF"/>
        </w:rPr>
      </w:pPr>
      <w:r>
        <w:rPr>
          <w:szCs w:val="21"/>
        </w:rPr>
        <w:t>本课程采用撰写课程论文的方式进行考核。综合成绩包括出勤、课堂提问、讨论、学习笔记、作业、实验报告成绩、小组汇报成绩等过程性评价成绩，以及期末撰写的课程论文成绩。</w:t>
      </w:r>
    </w:p>
    <w:p>
      <w:pPr>
        <w:widowControl/>
        <w:snapToGrid w:val="0"/>
        <w:spacing w:line="360" w:lineRule="auto"/>
        <w:jc w:val="left"/>
        <w:rPr>
          <w:b/>
          <w:bCs/>
          <w:kern w:val="0"/>
          <w:szCs w:val="21"/>
        </w:rPr>
      </w:pPr>
      <w:r>
        <w:rPr>
          <w:b/>
          <w:bCs/>
          <w:kern w:val="0"/>
          <w:szCs w:val="21"/>
        </w:rPr>
        <w:t>六、课程思政</w:t>
      </w:r>
    </w:p>
    <w:p>
      <w:pPr>
        <w:snapToGrid w:val="0"/>
        <w:spacing w:line="360" w:lineRule="auto"/>
        <w:ind w:firstLine="420" w:firstLineChars="200"/>
        <w:rPr>
          <w:color w:val="0000FF"/>
          <w:szCs w:val="21"/>
        </w:rPr>
      </w:pPr>
      <w:r>
        <w:rPr>
          <w:szCs w:val="21"/>
        </w:rPr>
        <w:t>创意农业是对传统农业、农产品等的进一步开发、利用和提升，在授课过程中充分挖掘传统农业文化中的美德元素，并将其作为课程思政因子贯穿专业教学实践的各个环节，通过教学资源和师资的统筹、教学模式和教学方法的革新，将文化育人理念渗透专业课堂教学全过程；积极创新教学组织模式和教学评价方式，完善专业课程思政的目标和要求，将思政目标嵌入学生评价范畴；同时，将农耕技艺、农业美学等传统农业文化作为教学元素融入全过程，让学生掌握专业综合技能、强化传统美德修养，增强探索传承和发扬传统文化的意识和能力、培养创新意识。</w:t>
      </w:r>
    </w:p>
    <w:p>
      <w:pPr>
        <w:widowControl/>
        <w:snapToGrid w:val="0"/>
        <w:spacing w:line="360" w:lineRule="auto"/>
        <w:jc w:val="left"/>
        <w:rPr>
          <w:b/>
          <w:bCs/>
          <w:kern w:val="0"/>
          <w:szCs w:val="21"/>
        </w:rPr>
      </w:pPr>
      <w:r>
        <w:rPr>
          <w:b/>
          <w:bCs/>
          <w:kern w:val="0"/>
          <w:szCs w:val="21"/>
        </w:rPr>
        <w:t>七、教材及教学参考书</w:t>
      </w:r>
    </w:p>
    <w:p>
      <w:pPr>
        <w:widowControl/>
        <w:adjustRightInd w:val="0"/>
        <w:snapToGrid w:val="0"/>
        <w:spacing w:line="360" w:lineRule="auto"/>
        <w:ind w:firstLine="316" w:firstLineChars="150"/>
        <w:jc w:val="left"/>
        <w:rPr>
          <w:b/>
          <w:bCs/>
          <w:kern w:val="0"/>
          <w:szCs w:val="21"/>
        </w:rPr>
      </w:pPr>
      <w:r>
        <w:rPr>
          <w:b/>
          <w:bCs/>
          <w:kern w:val="0"/>
          <w:szCs w:val="21"/>
        </w:rPr>
        <w:t>1. 选用教材：</w:t>
      </w:r>
    </w:p>
    <w:p>
      <w:pPr>
        <w:snapToGrid w:val="0"/>
        <w:spacing w:line="360" w:lineRule="auto"/>
        <w:ind w:firstLine="420" w:firstLineChars="200"/>
      </w:pPr>
      <w:r>
        <w:t>理论课教材： 《休闲农业创意》，张传伟、史佳林主编，中国农业出版社，2019年</w:t>
      </w:r>
    </w:p>
    <w:p>
      <w:pPr>
        <w:widowControl/>
        <w:adjustRightInd w:val="0"/>
        <w:snapToGrid w:val="0"/>
        <w:spacing w:line="360" w:lineRule="auto"/>
        <w:ind w:firstLine="316" w:firstLineChars="150"/>
        <w:jc w:val="left"/>
        <w:rPr>
          <w:kern w:val="0"/>
          <w:szCs w:val="21"/>
        </w:rPr>
      </w:pPr>
      <w:r>
        <w:rPr>
          <w:b/>
          <w:bCs/>
          <w:kern w:val="0"/>
          <w:szCs w:val="21"/>
        </w:rPr>
        <w:t>2. 参考书：</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（1）《观赏园艺学通论》. 陈发</w:t>
      </w:r>
      <w:r>
        <w:rPr>
          <w:rFonts w:ascii="Times New Roman" w:hAnsi="Times New Roman" w:cs="Times New Roman"/>
          <w:color w:val="000000"/>
        </w:rPr>
        <w:t>棣、车代弟</w:t>
      </w:r>
      <w:r>
        <w:rPr>
          <w:rFonts w:ascii="Times New Roman" w:hAnsi="Times New Roman" w:cs="Times New Roman"/>
        </w:rPr>
        <w:t>主编. 中国林业出版社，2009年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（2 《花卉装饰与应用》. 郑诚乐、金研铭主编. 中国林业出版社，2010年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（3）《观光园艺》. 成善汉等编. 中国科学技术大学出版社，2007年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（4）《农业观光园规划与经营》. 王浩等编著. 中国林业出版社，2003年</w:t>
      </w:r>
    </w:p>
    <w:p>
      <w:pPr>
        <w:pStyle w:val="52"/>
        <w:shd w:val="clear" w:color="auto" w:fill="FFFFFF"/>
        <w:autoSpaceDN w:val="0"/>
        <w:snapToGrid w:val="0"/>
        <w:spacing w:line="360" w:lineRule="auto"/>
        <w:ind w:firstLine="210" w:firstLineChars="100"/>
      </w:pPr>
      <w:r>
        <w:rPr>
          <w:kern w:val="2"/>
        </w:rPr>
        <w:t>（5）《观光农业项目与技术》</w:t>
      </w:r>
      <w:r>
        <w:t>. 史亚军等编著. 科学普及出版社，2008年</w:t>
      </w:r>
    </w:p>
    <w:p>
      <w:pPr>
        <w:pStyle w:val="52"/>
        <w:shd w:val="clear" w:color="auto" w:fill="FFFFFF"/>
        <w:autoSpaceDN w:val="0"/>
        <w:snapToGrid w:val="0"/>
        <w:spacing w:line="360" w:lineRule="auto"/>
        <w:ind w:firstLine="210" w:firstLineChars="100"/>
        <w:rPr>
          <w:color w:val="404040"/>
          <w:shd w:val="clear" w:color="auto" w:fill="FFFFFF"/>
        </w:rPr>
      </w:pPr>
      <w:r>
        <w:rPr>
          <w:kern w:val="2"/>
        </w:rPr>
        <w:t>（6）《观光农业园</w:t>
      </w:r>
      <w:r>
        <w:t>规划与经营》. 王树进编著。 中国社会出版社，2010年</w:t>
      </w:r>
    </w:p>
    <w:p>
      <w:pPr>
        <w:widowControl/>
        <w:snapToGrid w:val="0"/>
        <w:spacing w:line="360" w:lineRule="auto"/>
        <w:jc w:val="left"/>
        <w:rPr>
          <w:b/>
          <w:bCs/>
          <w:kern w:val="0"/>
          <w:szCs w:val="21"/>
        </w:rPr>
      </w:pPr>
      <w:r>
        <w:rPr>
          <w:b/>
          <w:bCs/>
          <w:kern w:val="0"/>
          <w:szCs w:val="21"/>
        </w:rPr>
        <w:t>八、教学条件</w:t>
      </w:r>
    </w:p>
    <w:p>
      <w:pPr>
        <w:snapToGrid w:val="0"/>
        <w:spacing w:line="360" w:lineRule="auto"/>
        <w:ind w:firstLine="420" w:firstLineChars="200"/>
        <w:rPr>
          <w:bCs/>
          <w:kern w:val="0"/>
          <w:szCs w:val="21"/>
        </w:rPr>
      </w:pPr>
      <w:r>
        <w:rPr>
          <w:bCs/>
          <w:kern w:val="0"/>
          <w:szCs w:val="21"/>
        </w:rPr>
        <w:t>本课程的教学实施采用教师授课+小组汇报+实践的模式进行，需要多媒体的教室，蔬菜种子、嫁接操作相关工具以及栽培种植场地。</w:t>
      </w:r>
    </w:p>
    <w:p>
      <w:pPr>
        <w:widowControl/>
        <w:snapToGrid w:val="0"/>
        <w:spacing w:line="360" w:lineRule="auto"/>
        <w:jc w:val="left"/>
        <w:rPr>
          <w:b/>
          <w:bCs/>
          <w:kern w:val="0"/>
          <w:szCs w:val="21"/>
        </w:rPr>
      </w:pPr>
      <w:r>
        <w:rPr>
          <w:b/>
          <w:bCs/>
          <w:kern w:val="0"/>
          <w:szCs w:val="21"/>
        </w:rPr>
        <w:t>九、教学考核评价</w:t>
      </w:r>
    </w:p>
    <w:p>
      <w:pPr>
        <w:widowControl/>
        <w:snapToGrid w:val="0"/>
        <w:spacing w:line="360" w:lineRule="auto"/>
        <w:ind w:firstLine="420"/>
        <w:jc w:val="left"/>
        <w:rPr>
          <w:szCs w:val="21"/>
        </w:rPr>
      </w:pPr>
      <w:r>
        <w:rPr>
          <w:b/>
          <w:bCs/>
          <w:kern w:val="0"/>
          <w:szCs w:val="21"/>
        </w:rPr>
        <w:t>1. 过程性评价：</w:t>
      </w:r>
      <w:r>
        <w:rPr>
          <w:bCs/>
          <w:kern w:val="0"/>
          <w:szCs w:val="21"/>
        </w:rPr>
        <w:t>根据学生出勤、课堂提问、讨论、学习笔记、作业、实验报告、小组汇报等进行过程性评价。其中：出勤10%、课堂提问10%、讨论10%、学习笔记10%、作业10%、创意设计课堂汇报30%、课程实验20%。过程性评价成绩占课程综合成绩40%。</w:t>
      </w:r>
    </w:p>
    <w:p>
      <w:pPr>
        <w:widowControl/>
        <w:snapToGrid w:val="0"/>
        <w:spacing w:line="360" w:lineRule="auto"/>
        <w:ind w:firstLine="420"/>
        <w:jc w:val="left"/>
        <w:rPr>
          <w:b/>
          <w:bCs/>
          <w:color w:val="0000FF"/>
          <w:kern w:val="0"/>
          <w:szCs w:val="21"/>
        </w:rPr>
      </w:pPr>
      <w:r>
        <w:rPr>
          <w:b/>
          <w:bCs/>
          <w:kern w:val="0"/>
          <w:szCs w:val="21"/>
        </w:rPr>
        <w:t>2. 终结性评价：</w:t>
      </w:r>
      <w:r>
        <w:rPr>
          <w:bCs/>
          <w:kern w:val="0"/>
          <w:szCs w:val="21"/>
        </w:rPr>
        <w:t>本课程采用撰写课程论文的方式进行考核，论文成绩占综合成绩60%。</w:t>
      </w:r>
    </w:p>
    <w:p>
      <w:pPr>
        <w:widowControl/>
        <w:snapToGrid w:val="0"/>
        <w:spacing w:line="360" w:lineRule="auto"/>
        <w:ind w:firstLine="420"/>
        <w:jc w:val="left"/>
        <w:rPr>
          <w:bCs/>
          <w:kern w:val="0"/>
          <w:szCs w:val="21"/>
        </w:rPr>
      </w:pPr>
      <w:r>
        <w:rPr>
          <w:b/>
          <w:bCs/>
          <w:kern w:val="0"/>
          <w:szCs w:val="21"/>
        </w:rPr>
        <w:t>3. 课程综合评价：</w:t>
      </w:r>
      <w:r>
        <w:rPr>
          <w:bCs/>
          <w:kern w:val="0"/>
          <w:szCs w:val="21"/>
        </w:rPr>
        <w:t>综合课程成绩 = 期末论文成绩×60%＋平时成绩×40%</w:t>
      </w:r>
    </w:p>
    <w:p>
      <w:pPr>
        <w:pStyle w:val="21"/>
        <w:rPr>
          <w:sz w:val="28"/>
          <w:szCs w:val="28"/>
        </w:rPr>
      </w:pPr>
      <w:bookmarkStart w:id="278" w:name="_Toc138076326"/>
      <w:bookmarkStart w:id="279" w:name="_Toc138070707"/>
      <w:bookmarkStart w:id="280" w:name="_Toc138070437"/>
      <w:bookmarkStart w:id="281" w:name="_Toc138076621"/>
      <w:bookmarkStart w:id="282" w:name="_Toc138076077"/>
      <w:bookmarkStart w:id="283" w:name="_Toc138068807"/>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widowControl/>
        <w:jc w:val="left"/>
        <w:rPr>
          <w:rFonts w:asciiTheme="majorHAnsi" w:hAnsiTheme="majorHAnsi" w:eastAsiaTheme="majorEastAsia" w:cstheme="majorBidi"/>
          <w:b/>
          <w:bCs/>
          <w:sz w:val="28"/>
          <w:szCs w:val="28"/>
        </w:rPr>
      </w:pPr>
      <w:bookmarkStart w:id="284" w:name="_Toc13610"/>
      <w:r>
        <w:rPr>
          <w:sz w:val="28"/>
          <w:szCs w:val="28"/>
        </w:rPr>
        <w:br w:type="page"/>
      </w:r>
    </w:p>
    <w:p>
      <w:pPr>
        <w:pStyle w:val="21"/>
        <w:rPr>
          <w:sz w:val="28"/>
          <w:szCs w:val="28"/>
        </w:rPr>
      </w:pPr>
      <w:r>
        <w:rPr>
          <w:sz w:val="28"/>
          <w:szCs w:val="28"/>
        </w:rPr>
        <w:t>葡萄酒鉴赏</w:t>
      </w:r>
      <w:bookmarkEnd w:id="278"/>
      <w:bookmarkEnd w:id="279"/>
      <w:bookmarkEnd w:id="280"/>
      <w:bookmarkEnd w:id="281"/>
      <w:bookmarkEnd w:id="282"/>
      <w:bookmarkEnd w:id="283"/>
      <w:bookmarkEnd w:id="284"/>
    </w:p>
    <w:p>
      <w:pPr>
        <w:spacing w:line="360" w:lineRule="auto"/>
        <w:ind w:firstLine="3570" w:firstLineChars="1700"/>
        <w:rPr>
          <w:rFonts w:asciiTheme="minorEastAsia" w:hAnsiTheme="minorEastAsia"/>
          <w:szCs w:val="21"/>
        </w:rPr>
      </w:pPr>
      <w:r>
        <w:rPr>
          <w:rFonts w:asciiTheme="minorEastAsia" w:hAnsiTheme="minorEastAsia"/>
          <w:szCs w:val="21"/>
        </w:rPr>
        <w:t>（</w:t>
      </w:r>
      <w:r>
        <w:rPr>
          <w:iCs/>
          <w:sz w:val="28"/>
          <w:szCs w:val="28"/>
        </w:rPr>
        <w:t>Wine Tasting</w:t>
      </w:r>
      <w:r>
        <w:rPr>
          <w:rFonts w:asciiTheme="minorEastAsia" w:hAnsiTheme="minorEastAsia"/>
          <w:szCs w:val="21"/>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168"/>
        <w:gridCol w:w="2520"/>
        <w:gridCol w:w="3428"/>
      </w:tblGrid>
      <w:tr>
        <w:tblPrEx>
          <w:tblCellMar>
            <w:top w:w="0" w:type="dxa"/>
            <w:left w:w="108" w:type="dxa"/>
            <w:bottom w:w="0" w:type="dxa"/>
            <w:right w:w="108" w:type="dxa"/>
          </w:tblCellMar>
        </w:tblPrEx>
        <w:tc>
          <w:tcPr>
            <w:tcW w:w="1738" w:type="pct"/>
          </w:tcPr>
          <w:p>
            <w:pPr>
              <w:spacing w:line="300" w:lineRule="auto"/>
              <w:rPr>
                <w:rFonts w:ascii="宋体" w:hAnsi="宋体"/>
                <w:b/>
                <w:bCs/>
                <w:szCs w:val="21"/>
              </w:rPr>
            </w:pPr>
            <w:r>
              <w:rPr>
                <w:rFonts w:hint="eastAsia" w:ascii="宋体" w:hAnsi="宋体"/>
                <w:b/>
                <w:bCs/>
                <w:szCs w:val="21"/>
              </w:rPr>
              <w:t>课程编号：</w:t>
            </w:r>
            <w:r>
              <w:rPr>
                <w:rFonts w:asciiTheme="minorEastAsia" w:hAnsiTheme="minorEastAsia" w:eastAsiaTheme="minorEastAsia"/>
                <w:b/>
                <w:szCs w:val="21"/>
              </w:rPr>
              <w:t>19011034</w:t>
            </w:r>
          </w:p>
        </w:tc>
        <w:tc>
          <w:tcPr>
            <w:tcW w:w="1382" w:type="pct"/>
          </w:tcPr>
          <w:p>
            <w:pPr>
              <w:spacing w:line="300" w:lineRule="auto"/>
              <w:rPr>
                <w:rFonts w:ascii="宋体" w:hAnsi="宋体"/>
                <w:b/>
                <w:bCs/>
                <w:szCs w:val="21"/>
              </w:rPr>
            </w:pPr>
            <w:r>
              <w:rPr>
                <w:rFonts w:hint="eastAsia" w:ascii="宋体" w:hAnsi="宋体"/>
                <w:b/>
                <w:bCs/>
                <w:szCs w:val="21"/>
              </w:rPr>
              <w:t>课程总学时：</w:t>
            </w:r>
            <w:r>
              <w:rPr>
                <w:rFonts w:ascii="宋体" w:hAnsi="宋体"/>
                <w:b/>
                <w:szCs w:val="21"/>
              </w:rPr>
              <w:t>16</w:t>
            </w:r>
          </w:p>
        </w:tc>
        <w:tc>
          <w:tcPr>
            <w:tcW w:w="1881" w:type="pct"/>
          </w:tcPr>
          <w:p>
            <w:pPr>
              <w:spacing w:line="300" w:lineRule="auto"/>
              <w:rPr>
                <w:rFonts w:ascii="宋体" w:hAnsi="宋体"/>
                <w:b/>
                <w:bCs/>
                <w:szCs w:val="21"/>
              </w:rPr>
            </w:pPr>
            <w:r>
              <w:rPr>
                <w:rFonts w:hint="eastAsia" w:ascii="宋体" w:hAnsi="宋体"/>
                <w:b/>
                <w:bCs/>
                <w:szCs w:val="21"/>
              </w:rPr>
              <w:t>实验学时：</w:t>
            </w:r>
            <w:r>
              <w:rPr>
                <w:rFonts w:hint="eastAsia" w:ascii="宋体" w:hAnsi="宋体"/>
                <w:b/>
                <w:szCs w:val="21"/>
              </w:rPr>
              <w:t xml:space="preserve">  </w:t>
            </w:r>
            <w:r>
              <w:rPr>
                <w:rFonts w:ascii="宋体" w:hAnsi="宋体"/>
                <w:b/>
                <w:szCs w:val="21"/>
              </w:rPr>
              <w:t>0</w:t>
            </w:r>
            <w:r>
              <w:rPr>
                <w:rFonts w:hint="eastAsia" w:ascii="宋体" w:hAnsi="宋体"/>
                <w:b/>
                <w:szCs w:val="21"/>
              </w:rPr>
              <w:t xml:space="preserve"> 学时</w:t>
            </w:r>
          </w:p>
        </w:tc>
      </w:tr>
      <w:tr>
        <w:tblPrEx>
          <w:tblCellMar>
            <w:top w:w="0" w:type="dxa"/>
            <w:left w:w="108" w:type="dxa"/>
            <w:bottom w:w="0" w:type="dxa"/>
            <w:right w:w="108" w:type="dxa"/>
          </w:tblCellMar>
        </w:tblPrEx>
        <w:tc>
          <w:tcPr>
            <w:tcW w:w="1738" w:type="pct"/>
          </w:tcPr>
          <w:p>
            <w:pPr>
              <w:spacing w:line="300" w:lineRule="auto"/>
              <w:rPr>
                <w:rFonts w:ascii="宋体" w:hAnsi="宋体"/>
                <w:b/>
                <w:bCs/>
                <w:szCs w:val="21"/>
              </w:rPr>
            </w:pPr>
            <w:r>
              <w:rPr>
                <w:rFonts w:hint="eastAsia" w:ascii="宋体" w:hAnsi="宋体"/>
                <w:b/>
                <w:bCs/>
                <w:szCs w:val="21"/>
              </w:rPr>
              <w:t>课程性质：</w:t>
            </w:r>
            <w:r>
              <w:rPr>
                <w:rFonts w:hint="eastAsia" w:ascii="宋体" w:hAnsi="宋体"/>
                <w:b/>
                <w:szCs w:val="21"/>
              </w:rPr>
              <w:t>选修</w:t>
            </w:r>
          </w:p>
        </w:tc>
        <w:tc>
          <w:tcPr>
            <w:tcW w:w="1382" w:type="pct"/>
          </w:tcPr>
          <w:p>
            <w:pPr>
              <w:spacing w:line="300" w:lineRule="auto"/>
              <w:rPr>
                <w:rFonts w:ascii="宋体" w:hAnsi="宋体"/>
                <w:b/>
                <w:bCs/>
                <w:szCs w:val="21"/>
              </w:rPr>
            </w:pPr>
            <w:r>
              <w:rPr>
                <w:rFonts w:hint="eastAsia" w:ascii="宋体" w:hAnsi="宋体"/>
                <w:b/>
                <w:szCs w:val="21"/>
              </w:rPr>
              <w:t>课程属性:</w:t>
            </w:r>
            <w:r>
              <w:rPr>
                <w:rFonts w:hint="eastAsia" w:ascii="宋体" w:hAnsi="宋体"/>
                <w:b/>
                <w:bCs/>
                <w:szCs w:val="21"/>
              </w:rPr>
              <w:t>创业教育类</w:t>
            </w:r>
          </w:p>
        </w:tc>
        <w:tc>
          <w:tcPr>
            <w:tcW w:w="1881" w:type="pct"/>
          </w:tcPr>
          <w:p>
            <w:pPr>
              <w:spacing w:line="300" w:lineRule="auto"/>
              <w:rPr>
                <w:rFonts w:ascii="宋体" w:hAnsi="宋体"/>
                <w:b/>
                <w:bCs/>
                <w:szCs w:val="21"/>
              </w:rPr>
            </w:pPr>
            <w:r>
              <w:rPr>
                <w:rFonts w:hint="eastAsia" w:ascii="宋体" w:hAnsi="宋体"/>
                <w:b/>
                <w:bCs/>
                <w:szCs w:val="21"/>
              </w:rPr>
              <w:t>开设学期：</w:t>
            </w:r>
            <w:r>
              <w:rPr>
                <w:rFonts w:hint="eastAsia" w:ascii="宋体" w:hAnsi="宋体"/>
                <w:b/>
                <w:szCs w:val="21"/>
              </w:rPr>
              <w:t>第</w:t>
            </w:r>
            <w:r>
              <w:rPr>
                <w:rFonts w:ascii="宋体" w:hAnsi="宋体"/>
                <w:b/>
                <w:szCs w:val="21"/>
              </w:rPr>
              <w:t>8</w:t>
            </w:r>
            <w:r>
              <w:rPr>
                <w:rFonts w:hint="eastAsia" w:ascii="宋体" w:hAnsi="宋体"/>
                <w:b/>
                <w:szCs w:val="21"/>
              </w:rPr>
              <w:t>学期</w:t>
            </w:r>
          </w:p>
        </w:tc>
      </w:tr>
      <w:tr>
        <w:tblPrEx>
          <w:tblCellMar>
            <w:top w:w="0" w:type="dxa"/>
            <w:left w:w="108" w:type="dxa"/>
            <w:bottom w:w="0" w:type="dxa"/>
            <w:right w:w="108" w:type="dxa"/>
          </w:tblCellMar>
        </w:tblPrEx>
        <w:tc>
          <w:tcPr>
            <w:tcW w:w="1738" w:type="pct"/>
          </w:tcPr>
          <w:p>
            <w:pPr>
              <w:spacing w:line="300" w:lineRule="auto"/>
              <w:rPr>
                <w:rFonts w:ascii="宋体" w:hAnsi="宋体"/>
                <w:b/>
                <w:bCs/>
                <w:szCs w:val="21"/>
              </w:rPr>
            </w:pPr>
            <w:r>
              <w:rPr>
                <w:rFonts w:hint="eastAsia" w:ascii="宋体" w:hAnsi="宋体"/>
                <w:b/>
                <w:bCs/>
                <w:szCs w:val="21"/>
              </w:rPr>
              <w:t>课程负责人：</w:t>
            </w:r>
            <w:r>
              <w:rPr>
                <w:rFonts w:hint="eastAsia" w:ascii="宋体" w:hAnsi="宋体"/>
                <w:b/>
                <w:szCs w:val="21"/>
              </w:rPr>
              <w:t>焦健</w:t>
            </w:r>
          </w:p>
        </w:tc>
        <w:tc>
          <w:tcPr>
            <w:tcW w:w="1382" w:type="pct"/>
          </w:tcPr>
          <w:p>
            <w:pPr>
              <w:spacing w:line="300" w:lineRule="auto"/>
              <w:rPr>
                <w:rFonts w:ascii="宋体" w:hAnsi="宋体"/>
                <w:b/>
                <w:bCs/>
                <w:szCs w:val="21"/>
              </w:rPr>
            </w:pPr>
            <w:r>
              <w:rPr>
                <w:rFonts w:hint="eastAsia" w:ascii="宋体" w:hAnsi="宋体"/>
                <w:b/>
                <w:bCs/>
                <w:szCs w:val="21"/>
              </w:rPr>
              <w:t>课程团队：</w:t>
            </w:r>
            <w:r>
              <w:rPr>
                <w:rFonts w:hint="eastAsia" w:ascii="宋体" w:hAnsi="宋体"/>
                <w:b/>
                <w:szCs w:val="21"/>
              </w:rPr>
              <w:t>葡萄栽培与利用团队</w:t>
            </w:r>
          </w:p>
        </w:tc>
        <w:tc>
          <w:tcPr>
            <w:tcW w:w="1881" w:type="pct"/>
          </w:tcPr>
          <w:p>
            <w:pPr>
              <w:spacing w:line="300" w:lineRule="auto"/>
              <w:rPr>
                <w:rFonts w:ascii="宋体" w:hAnsi="宋体"/>
                <w:b/>
                <w:bCs/>
                <w:szCs w:val="21"/>
              </w:rPr>
            </w:pPr>
            <w:r>
              <w:rPr>
                <w:rFonts w:hint="eastAsia" w:ascii="宋体" w:hAnsi="宋体"/>
                <w:b/>
                <w:bCs/>
                <w:szCs w:val="21"/>
              </w:rPr>
              <w:t>授课语言：</w:t>
            </w:r>
            <w:r>
              <w:rPr>
                <w:rFonts w:hint="eastAsia" w:ascii="宋体" w:hAnsi="宋体"/>
                <w:b/>
                <w:szCs w:val="21"/>
              </w:rPr>
              <w:t>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eastAsiaTheme="minorEastAsia"/>
                <w:b/>
                <w:bCs/>
                <w:color w:val="0000FF"/>
                <w:szCs w:val="21"/>
              </w:rPr>
            </w:pPr>
            <w:r>
              <w:rPr>
                <w:rFonts w:hint="eastAsia" w:ascii="宋体" w:hAnsi="宋体"/>
                <w:b/>
                <w:bCs/>
                <w:szCs w:val="21"/>
              </w:rPr>
              <w:t>适用专业：</w:t>
            </w:r>
            <w:r>
              <w:rPr>
                <w:rFonts w:asciiTheme="minorEastAsia" w:hAnsiTheme="minorEastAsia" w:eastAsiaTheme="minorEastAsia"/>
                <w:b/>
                <w:szCs w:val="21"/>
              </w:rPr>
              <w:t>园艺专业</w:t>
            </w:r>
          </w:p>
        </w:tc>
      </w:tr>
      <w:tr>
        <w:tblPrEx>
          <w:tblCellMar>
            <w:top w:w="0" w:type="dxa"/>
            <w:left w:w="108" w:type="dxa"/>
            <w:bottom w:w="0" w:type="dxa"/>
            <w:right w:w="108" w:type="dxa"/>
          </w:tblCellMar>
        </w:tblPrEx>
        <w:tc>
          <w:tcPr>
            <w:tcW w:w="5000" w:type="pct"/>
            <w:gridSpan w:val="3"/>
          </w:tcPr>
          <w:p>
            <w:pPr>
              <w:spacing w:line="300" w:lineRule="auto"/>
              <w:rPr>
                <w:rFonts w:ascii="宋体" w:hAnsi="宋体" w:eastAsiaTheme="minorEastAsia"/>
                <w:b/>
                <w:bCs/>
                <w:szCs w:val="21"/>
              </w:rPr>
            </w:pPr>
            <w:r>
              <w:rPr>
                <w:rFonts w:hint="eastAsia" w:ascii="宋体" w:hAnsi="宋体"/>
                <w:b/>
                <w:bCs/>
                <w:szCs w:val="21"/>
              </w:rPr>
              <w:t>对先修的要求：</w:t>
            </w:r>
            <w:r>
              <w:rPr>
                <w:rFonts w:hint="eastAsia" w:ascii="宋体" w:hAnsi="宋体"/>
                <w:b/>
                <w:szCs w:val="21"/>
              </w:rPr>
              <w:t>掌握基本的化学知识，了解常规的化学反应；了解葡萄的栽培与生理，掌握农产品加工方面的知识。对先修课程的要求：</w:t>
            </w:r>
            <w:r>
              <w:rPr>
                <w:rFonts w:hint="eastAsia" w:asciiTheme="minorEastAsia" w:hAnsiTheme="minorEastAsia" w:eastAsiaTheme="minorEastAsia"/>
                <w:b/>
                <w:szCs w:val="21"/>
              </w:rPr>
              <w:t>植物学</w:t>
            </w:r>
            <w:r>
              <w:rPr>
                <w:rFonts w:asciiTheme="minorEastAsia" w:hAnsiTheme="minorEastAsia" w:eastAsiaTheme="minorEastAsia"/>
                <w:b/>
                <w:szCs w:val="21"/>
              </w:rPr>
              <w:t>、</w:t>
            </w:r>
            <w:r>
              <w:rPr>
                <w:rFonts w:hint="eastAsia" w:asciiTheme="minorEastAsia" w:hAnsiTheme="minorEastAsia" w:eastAsiaTheme="minorEastAsia"/>
                <w:b/>
                <w:szCs w:val="21"/>
              </w:rPr>
              <w:t>果树栽培学，农产品加工与利用。</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w:t>
            </w:r>
            <w:r>
              <w:rPr>
                <w:rFonts w:hint="eastAsia" w:ascii="宋体" w:hAnsi="宋体"/>
                <w:b/>
                <w:szCs w:val="21"/>
              </w:rPr>
              <w:t>对后续《园艺产品营销学》中的园艺产品营销等起到引导学习和理论支撑。</w:t>
            </w:r>
          </w:p>
        </w:tc>
      </w:tr>
      <w:tr>
        <w:tblPrEx>
          <w:tblCellMar>
            <w:top w:w="0" w:type="dxa"/>
            <w:left w:w="108" w:type="dxa"/>
            <w:bottom w:w="0" w:type="dxa"/>
            <w:right w:w="108" w:type="dxa"/>
          </w:tblCellMar>
        </w:tblPrEx>
        <w:tc>
          <w:tcPr>
            <w:tcW w:w="1738" w:type="pct"/>
          </w:tcPr>
          <w:p>
            <w:pPr>
              <w:spacing w:line="300" w:lineRule="auto"/>
              <w:rPr>
                <w:rFonts w:ascii="宋体" w:hAnsi="宋体"/>
                <w:b/>
                <w:bCs/>
                <w:szCs w:val="21"/>
              </w:rPr>
            </w:pPr>
            <w:r>
              <w:rPr>
                <w:rFonts w:hint="eastAsia" w:ascii="宋体" w:hAnsi="宋体"/>
                <w:b/>
                <w:bCs/>
                <w:szCs w:val="21"/>
              </w:rPr>
              <w:t>主撰人：</w:t>
            </w:r>
            <w:r>
              <w:rPr>
                <w:rFonts w:hint="eastAsia" w:ascii="宋体" w:hAnsi="宋体"/>
                <w:b/>
                <w:szCs w:val="21"/>
              </w:rPr>
              <w:t>焦健</w:t>
            </w:r>
            <w:r>
              <w:rPr>
                <w:rFonts w:hint="eastAsia" w:ascii="宋体" w:hAnsi="宋体"/>
                <w:b/>
                <w:szCs w:val="21"/>
                <w:lang w:eastAsia="zh-CN"/>
              </w:rPr>
              <w:t>、</w:t>
            </w:r>
            <w:r>
              <w:rPr>
                <w:rFonts w:hint="eastAsia" w:ascii="宋体" w:hAnsi="宋体"/>
                <w:b/>
                <w:szCs w:val="21"/>
              </w:rPr>
              <w:t>万然</w:t>
            </w:r>
            <w:r>
              <w:rPr>
                <w:rFonts w:hint="eastAsia" w:ascii="宋体" w:hAnsi="宋体"/>
                <w:b/>
                <w:szCs w:val="21"/>
                <w:lang w:eastAsia="zh-CN"/>
              </w:rPr>
              <w:t>、</w:t>
            </w:r>
            <w:r>
              <w:rPr>
                <w:rFonts w:hint="eastAsia" w:ascii="宋体" w:hAnsi="宋体"/>
                <w:b/>
                <w:szCs w:val="21"/>
              </w:rPr>
              <w:t>王磊</w:t>
            </w:r>
          </w:p>
        </w:tc>
        <w:tc>
          <w:tcPr>
            <w:tcW w:w="1382" w:type="pct"/>
          </w:tcPr>
          <w:p>
            <w:pPr>
              <w:spacing w:line="300" w:lineRule="auto"/>
              <w:rPr>
                <w:rFonts w:ascii="宋体" w:hAnsi="宋体"/>
                <w:b/>
                <w:bCs/>
                <w:szCs w:val="21"/>
              </w:rPr>
            </w:pPr>
            <w:r>
              <w:rPr>
                <w:rFonts w:hint="eastAsia" w:ascii="宋体" w:hAnsi="宋体"/>
                <w:b/>
                <w:bCs/>
                <w:szCs w:val="21"/>
              </w:rPr>
              <w:t>审核人：</w:t>
            </w:r>
            <w:r>
              <w:rPr>
                <w:rFonts w:hint="eastAsia" w:asciiTheme="minorEastAsia" w:hAnsiTheme="minorEastAsia" w:eastAsiaTheme="minorEastAsia"/>
                <w:b/>
                <w:szCs w:val="21"/>
              </w:rPr>
              <w:t>吴国良</w:t>
            </w:r>
          </w:p>
        </w:tc>
        <w:tc>
          <w:tcPr>
            <w:tcW w:w="1881" w:type="pct"/>
          </w:tcPr>
          <w:p>
            <w:pPr>
              <w:spacing w:line="300" w:lineRule="auto"/>
              <w:rPr>
                <w:rFonts w:ascii="宋体" w:hAnsi="宋体"/>
                <w:b/>
                <w:bCs/>
                <w:szCs w:val="21"/>
              </w:rPr>
            </w:pPr>
            <w:r>
              <w:rPr>
                <w:rFonts w:hint="eastAsia" w:ascii="宋体" w:hAnsi="宋体"/>
                <w:b/>
                <w:bCs/>
                <w:szCs w:val="21"/>
              </w:rPr>
              <w:t>大纲制定（修订）日期：</w:t>
            </w:r>
            <w:r>
              <w:rPr>
                <w:rFonts w:hint="eastAsia" w:ascii="宋体" w:hAnsi="宋体"/>
                <w:b/>
                <w:szCs w:val="21"/>
              </w:rPr>
              <w:t>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pPr>
      <w:r>
        <w:t>《葡萄酒鉴赏》主要讲述葡萄酒品尝过程中所涉及的基本理论和技术，葡萄酒类型特点以及不同产区葡萄酒典型风格等，是园艺专业本科选修课之一。本门课程主要目的和任务是通过对葡萄酒起源、产区、文化内涵、饮用习惯的讲解，使学生能够掌握葡萄酒文化的基础知识；学习葡萄酒的外观、品种分类、等级、品酒技巧、菜肴搭配以及侍酒流程等品鉴过程，全面掌握葡萄酒鉴别和品酒的方法。通过对学生的各种感觉能力的训练，提高他们的感觉敏锐度，并采用葡萄酒品尝的基本理论和方法，去鉴别葡萄酒的品质，提高感知鉴赏能力，为学生进一步在各专业深造开拓知识。</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b/>
          <w:bCs/>
          <w:strike/>
          <w:color w:val="FF0000"/>
          <w:kern w:val="0"/>
          <w:szCs w:val="21"/>
        </w:rPr>
      </w:pPr>
      <w:r>
        <w:rPr>
          <w:rFonts w:hAnsi="宋体"/>
          <w:kern w:val="0"/>
          <w:szCs w:val="21"/>
        </w:rPr>
        <w:t>理论知识方面：</w:t>
      </w:r>
      <w:r>
        <w:t>通过本课程各个教学环节，要求学生</w:t>
      </w:r>
      <w:r>
        <w:rPr>
          <w:rFonts w:hAnsi="宋体"/>
          <w:color w:val="272C30"/>
        </w:rPr>
        <w:t>理解葡萄酒的历史与宗教的关系，以及新旧世界葡萄酒生产国概况；</w:t>
      </w:r>
      <w:r>
        <w:rPr>
          <w:rFonts w:hAnsi="宋体"/>
        </w:rPr>
        <w:t>熟练掌握酿酒葡萄品种的分类及其特性；了解</w:t>
      </w:r>
      <w:r>
        <w:rPr>
          <w:rFonts w:hAnsi="宋体"/>
          <w:color w:val="272C30"/>
        </w:rPr>
        <w:t>现代工业葡萄酒酿造工艺，发酵前的准备；理解干红、干白、甜型、气泡、加强葡萄酒的酿造工艺；掌握家庭葡萄酒酿造简单工艺；</w:t>
      </w:r>
      <w:r>
        <w:rPr>
          <w:rFonts w:hAnsi="宋体"/>
          <w:color w:val="000000"/>
        </w:rPr>
        <w:t>理解和掌握</w:t>
      </w:r>
      <w:r>
        <w:rPr>
          <w:rFonts w:hAnsi="宋体"/>
          <w:color w:val="272C30"/>
        </w:rPr>
        <w:t>产区的概念；掌握中国主要葡萄酒产区分布；熟练掌握新旧世界葡萄酒的风格差异；</w:t>
      </w:r>
      <w:r>
        <w:rPr>
          <w:rFonts w:hAnsi="宋体"/>
          <w:color w:val="000000"/>
        </w:rPr>
        <w:t>掌握国外</w:t>
      </w:r>
      <w:r>
        <w:rPr>
          <w:rFonts w:hAnsi="宋体"/>
          <w:color w:val="272C30"/>
        </w:rPr>
        <w:t>葡萄酒庄园文化、法律条例，法国葡萄酒主要产区、名庄、名品以及等级制度；理解意大利、西班牙葡萄酒等级制度；理解并掌握旧世界葡萄酒酒标；掌握葡萄酒的侍酒法；掌握葡萄酒的选购和餐饮搭配；掌握葡萄酒品评前的准备，外观分析，香气分析，口感分析等。</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widowControl/>
        <w:snapToGrid w:val="0"/>
        <w:spacing w:line="360" w:lineRule="auto"/>
        <w:ind w:firstLine="420" w:firstLineChars="200"/>
        <w:rPr>
          <w:rFonts w:asciiTheme="minorEastAsia" w:hAnsiTheme="minorEastAsia"/>
          <w:szCs w:val="21"/>
        </w:rPr>
      </w:pPr>
      <w:r>
        <w:rPr>
          <w:rFonts w:hint="eastAsia" w:asciiTheme="minorEastAsia" w:hAnsiTheme="minorEastAsia"/>
          <w:szCs w:val="21"/>
        </w:rPr>
        <w:t>在保证实现培养目标的前提下，借助现代多媒体教学工具，通过学习通、钉钉等教学软件实现线上线下结合式教学，充分发挥启发式教学，探究式教学、引导式教学、示范性教学等教学方法的优势。实践教学方面，积极创造条件，组织学生品酒，参观酒庄等，提升学生的创新精神和实践能力。根据不同教学目标，采用不同的考核方式进行教学评价，促进学生学习能力的全面发展。</w:t>
      </w:r>
    </w:p>
    <w:p>
      <w:pPr>
        <w:widowControl/>
        <w:snapToGrid w:val="0"/>
        <w:spacing w:line="360" w:lineRule="auto"/>
        <w:ind w:firstLine="420" w:firstLineChars="200"/>
        <w:rPr>
          <w:rFonts w:asciiTheme="minorEastAsia" w:hAnsiTheme="minorEastAsia"/>
          <w:szCs w:val="21"/>
        </w:rPr>
      </w:pPr>
      <w:r>
        <w:rPr>
          <w:rFonts w:hint="eastAsia" w:asciiTheme="minorEastAsia" w:hAnsiTheme="minorEastAsia"/>
          <w:szCs w:val="21"/>
        </w:rPr>
        <w:t>理论课（</w:t>
      </w:r>
      <w:r>
        <w:rPr>
          <w:rFonts w:asciiTheme="minorEastAsia" w:hAnsiTheme="minorEastAsia"/>
          <w:szCs w:val="21"/>
        </w:rPr>
        <w:t>16</w:t>
      </w:r>
      <w:r>
        <w:rPr>
          <w:rFonts w:hint="eastAsia" w:asciiTheme="minorEastAsia" w:hAnsiTheme="minorEastAsia"/>
          <w:szCs w:val="21"/>
        </w:rPr>
        <w:t>学时）：葡萄酒的起源和分类；红葡萄酒，白葡萄酒，起泡酒等不同酒种的品鉴方法；葡萄酒的酿造工艺；不同产区葡萄酒的特点。</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748"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rPr>
            </w:pPr>
            <w:r>
              <w:rPr>
                <w:rFonts w:hint="eastAsia" w:hAnsiTheme="minorEastAsia" w:eastAsiaTheme="minorEastAsia"/>
                <w:sz w:val="18"/>
                <w:szCs w:val="18"/>
              </w:rPr>
              <w:t>目标1：使学生熟练掌握酿酒葡萄品种的分类及其特性。</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4</w:t>
            </w:r>
          </w:p>
        </w:tc>
      </w:tr>
      <w:tr>
        <w:tblPrEx>
          <w:tblCellMar>
            <w:top w:w="0" w:type="dxa"/>
            <w:left w:w="108" w:type="dxa"/>
            <w:bottom w:w="0" w:type="dxa"/>
            <w:right w:w="108" w:type="dxa"/>
          </w:tblCellMar>
        </w:tblPrEx>
        <w:trPr>
          <w:trHeight w:val="635"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highlight w:val="yellow"/>
              </w:rPr>
            </w:pPr>
            <w:r>
              <w:rPr>
                <w:rFonts w:hint="eastAsia" w:hAnsiTheme="minorEastAsia" w:eastAsiaTheme="minorEastAsia"/>
                <w:sz w:val="18"/>
                <w:szCs w:val="18"/>
              </w:rPr>
              <w:t>目标2：使学生合理利用品酒技巧，对葡萄酒进行外观分析，香气分析，口感分析等。</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5</w:t>
            </w:r>
          </w:p>
        </w:tc>
      </w:tr>
      <w:tr>
        <w:tblPrEx>
          <w:tblCellMar>
            <w:top w:w="0" w:type="dxa"/>
            <w:left w:w="108" w:type="dxa"/>
            <w:bottom w:w="0" w:type="dxa"/>
            <w:right w:w="108" w:type="dxa"/>
          </w:tblCellMar>
        </w:tblPrEx>
        <w:trPr>
          <w:trHeight w:val="741"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int="eastAsia" w:eastAsiaTheme="minorEastAsia"/>
                <w:sz w:val="18"/>
                <w:szCs w:val="18"/>
              </w:rPr>
              <w:t>目标3：通过课程学习，使学生掌握不同类型葡萄酒的酿造方法，可以在家简单自酿葡萄酒。</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6</w:t>
            </w:r>
          </w:p>
        </w:tc>
      </w:tr>
    </w:tbl>
    <w:p>
      <w:pPr>
        <w:widowControl/>
        <w:snapToGrid w:val="0"/>
        <w:spacing w:line="360" w:lineRule="auto"/>
        <w:jc w:val="left"/>
        <w:rPr>
          <w:rFonts w:hAnsi="宋体"/>
          <w:bCs/>
          <w:color w:val="0000FF"/>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hAnsi="宋体"/>
          <w:b/>
          <w:bCs/>
          <w:kern w:val="0"/>
          <w:szCs w:val="21"/>
        </w:rPr>
        <w:t>16</w:t>
      </w:r>
      <w:r>
        <w:rPr>
          <w:rFonts w:hint="eastAsia" w:hAnsi="宋体"/>
          <w:b/>
          <w:bCs/>
          <w:kern w:val="0"/>
          <w:szCs w:val="21"/>
        </w:rPr>
        <w:t>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第一章</w:t>
            </w:r>
            <w:r>
              <w:rPr>
                <w:rFonts w:hint="eastAsia"/>
                <w:b/>
                <w:bCs/>
                <w:szCs w:val="21"/>
              </w:rPr>
              <w:t xml:space="preserve">  </w:t>
            </w:r>
            <w:r>
              <w:rPr>
                <w:b/>
                <w:bCs/>
                <w:szCs w:val="21"/>
              </w:rPr>
              <w:t>葡萄酒的起源和分类</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Theme="minorEastAsia" w:hAnsiTheme="minorEastAsia"/>
          <w:szCs w:val="21"/>
        </w:rPr>
      </w:pPr>
      <w:r>
        <w:rPr>
          <w:rFonts w:hint="eastAsia" w:ascii="宋体" w:hAnsi="宋体"/>
          <w:b/>
          <w:bCs/>
        </w:rPr>
        <w:t>教学目标：</w:t>
      </w:r>
      <w:r>
        <w:rPr>
          <w:rFonts w:hAnsi="宋体"/>
          <w:color w:val="272C30"/>
        </w:rPr>
        <w:t>本章以具体事例讲解葡萄酒的起源、传说和种类，通过学习葡萄酒发展状况，使学生对中外葡萄酒行业产生整体认识。</w:t>
      </w:r>
    </w:p>
    <w:p>
      <w:pPr>
        <w:widowControl/>
        <w:snapToGrid w:val="0"/>
        <w:spacing w:line="360" w:lineRule="auto"/>
        <w:rPr>
          <w:rFonts w:asciiTheme="minorEastAsia" w:hAnsiTheme="minorEastAsia"/>
          <w:szCs w:val="21"/>
        </w:rPr>
      </w:pPr>
      <w:r>
        <w:rPr>
          <w:rFonts w:hint="eastAsia" w:ascii="宋体" w:hAnsi="宋体"/>
          <w:b/>
          <w:bCs/>
        </w:rPr>
        <w:t>教学重点和难点：</w:t>
      </w:r>
      <w:r>
        <w:rPr>
          <w:rFonts w:hAnsi="宋体"/>
          <w:color w:val="272C30"/>
        </w:rPr>
        <w:t>葡萄酒的定义和分类标准，葡萄酒营养功能成分。</w:t>
      </w:r>
    </w:p>
    <w:p>
      <w:pPr>
        <w:spacing w:line="360" w:lineRule="auto"/>
        <w:rPr>
          <w:color w:val="272C30"/>
        </w:rPr>
      </w:pPr>
      <w:r>
        <w:rPr>
          <w:rFonts w:hint="eastAsia" w:ascii="宋体" w:hAnsi="宋体"/>
          <w:b/>
        </w:rPr>
        <w:t>主要教学内容及要求：</w:t>
      </w:r>
      <w:r>
        <w:rPr>
          <w:rFonts w:hAnsi="宋体"/>
          <w:color w:val="272C30"/>
        </w:rPr>
        <w:t>了解开设本课程的意义；理解葡萄酒的历史与宗教的关系，以及新旧世界葡萄酒生产国概况；掌握葡萄酒中主要的营养功能成分及作用；熟练掌握葡萄酒的定义和分类方法。</w:t>
      </w:r>
    </w:p>
    <w:p>
      <w:pPr>
        <w:widowControl/>
        <w:snapToGrid w:val="0"/>
        <w:spacing w:line="360" w:lineRule="auto"/>
        <w:rPr>
          <w:rFonts w:ascii="宋体" w:hAnsi="宋体"/>
          <w:bCs/>
        </w:rPr>
      </w:pPr>
      <w:r>
        <w:rPr>
          <w:rFonts w:hint="eastAsia" w:ascii="宋体" w:hAnsi="宋体"/>
          <w:bCs/>
        </w:rPr>
        <w:t>第一节  葡萄酒起源与历史</w:t>
      </w:r>
    </w:p>
    <w:p>
      <w:pPr>
        <w:widowControl/>
        <w:snapToGrid w:val="0"/>
        <w:spacing w:line="360" w:lineRule="auto"/>
        <w:rPr>
          <w:rFonts w:ascii="宋体" w:hAnsi="宋体"/>
          <w:bCs/>
        </w:rPr>
      </w:pPr>
      <w:r>
        <w:rPr>
          <w:rFonts w:hint="eastAsia" w:ascii="宋体" w:hAnsi="宋体"/>
          <w:bCs/>
        </w:rPr>
        <w:t xml:space="preserve">第二节  </w:t>
      </w:r>
      <w:r>
        <w:rPr>
          <w:rFonts w:ascii="宋体" w:hAnsi="宋体"/>
          <w:bCs/>
        </w:rPr>
        <w:t>葡萄酒定义和分类</w:t>
      </w:r>
    </w:p>
    <w:p>
      <w:pPr>
        <w:widowControl/>
        <w:snapToGrid w:val="0"/>
        <w:spacing w:line="360" w:lineRule="auto"/>
        <w:rPr>
          <w:rFonts w:hAnsi="宋体"/>
        </w:rPr>
      </w:pPr>
      <w:r>
        <w:rPr>
          <w:rFonts w:hint="eastAsia" w:ascii="宋体" w:hAnsi="宋体"/>
          <w:bCs/>
        </w:rPr>
        <w:t xml:space="preserve">第三节  </w:t>
      </w:r>
      <w:r>
        <w:rPr>
          <w:rFonts w:hAnsi="宋体"/>
        </w:rPr>
        <w:t>葡萄酒营养功能成分</w:t>
      </w:r>
    </w:p>
    <w:p>
      <w:pPr>
        <w:widowControl/>
        <w:snapToGrid w:val="0"/>
        <w:spacing w:line="360" w:lineRule="auto"/>
        <w:rPr>
          <w:rFonts w:ascii="宋体" w:hAnsi="宋体"/>
        </w:rPr>
      </w:pPr>
      <w:r>
        <w:rPr>
          <w:rFonts w:hint="eastAsia"/>
        </w:rPr>
        <w:t xml:space="preserve">第四节 </w:t>
      </w:r>
      <w:r>
        <w:rPr>
          <w:rFonts w:hAnsi="宋体"/>
        </w:rPr>
        <w:t>中外葡萄酒发展概况</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以PPT和线上教学为主，通过讲授、课堂提问、线上测试、多媒体课下交流等多种教学形式完成教学任务。</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bookmarkStart w:id="285" w:name="_Hlk137651464"/>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rFonts w:hint="eastAsia"/>
                <w:b/>
                <w:bCs/>
                <w:szCs w:val="21"/>
              </w:rPr>
              <w:t xml:space="preserve">  </w:t>
            </w:r>
            <w:r>
              <w:rPr>
                <w:b/>
                <w:bCs/>
                <w:szCs w:val="21"/>
              </w:rPr>
              <w:t>酿酒葡萄品种概况</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bookmarkEnd w:id="285"/>
    </w:tbl>
    <w:p>
      <w:pPr>
        <w:adjustRightInd w:val="0"/>
        <w:snapToGrid w:val="0"/>
        <w:spacing w:line="360" w:lineRule="auto"/>
        <w:rPr>
          <w:rFonts w:asciiTheme="minorEastAsia" w:hAnsiTheme="minorEastAsia"/>
          <w:bCs/>
          <w:szCs w:val="21"/>
        </w:rPr>
      </w:pPr>
      <w:r>
        <w:rPr>
          <w:rFonts w:hint="eastAsia" w:asciiTheme="minorEastAsia" w:hAnsiTheme="minorEastAsia"/>
          <w:b/>
          <w:szCs w:val="21"/>
        </w:rPr>
        <w:t>教学目标：</w:t>
      </w:r>
      <w:r>
        <w:rPr>
          <w:rFonts w:hAnsi="宋体"/>
        </w:rPr>
        <w:t>通过本章学习，使学生了解葡萄属植物的起源和分类，识记主要的酿酒葡萄品种分类和特性，初步学会葡萄园栽培管理措施，能通过葡萄品种对一款葡萄酒的特点进行初步预判</w:t>
      </w:r>
      <w:r>
        <w:rPr>
          <w:rFonts w:hint="eastAsia" w:asciiTheme="minorEastAsia" w:hAnsiTheme="minorEastAsia"/>
          <w:bCs/>
          <w:szCs w:val="21"/>
        </w:rPr>
        <w:t>。</w:t>
      </w:r>
    </w:p>
    <w:p>
      <w:pPr>
        <w:spacing w:line="360" w:lineRule="auto"/>
        <w:rPr>
          <w:rFonts w:asciiTheme="minorEastAsia" w:hAnsiTheme="minorEastAsia"/>
          <w:szCs w:val="21"/>
        </w:rPr>
      </w:pPr>
      <w:r>
        <w:rPr>
          <w:rFonts w:hint="eastAsia" w:asciiTheme="minorEastAsia" w:hAnsiTheme="minorEastAsia"/>
          <w:b/>
          <w:szCs w:val="21"/>
        </w:rPr>
        <w:t>教学重点和难点：</w:t>
      </w:r>
      <w:r>
        <w:rPr>
          <w:rFonts w:hAnsi="宋体"/>
          <w:color w:val="272C30"/>
        </w:rPr>
        <w:t>酿酒葡萄品种分类，栽培条件和葡萄园管理。</w:t>
      </w:r>
    </w:p>
    <w:p>
      <w:pPr>
        <w:pStyle w:val="6"/>
        <w:spacing w:after="0" w:line="360" w:lineRule="auto"/>
        <w:rPr>
          <w:rFonts w:asciiTheme="minorEastAsia" w:hAnsiTheme="minorEastAsia" w:eastAsiaTheme="minorEastAsia"/>
          <w:b/>
          <w:bCs/>
          <w:position w:val="-1"/>
          <w:szCs w:val="21"/>
        </w:rPr>
      </w:pPr>
      <w:r>
        <w:rPr>
          <w:rFonts w:hint="eastAsia" w:asciiTheme="minorEastAsia" w:hAnsiTheme="minorEastAsia" w:eastAsiaTheme="minorEastAsia"/>
          <w:b/>
          <w:bCs/>
          <w:position w:val="-1"/>
          <w:szCs w:val="21"/>
        </w:rPr>
        <w:t>主要教学内容和要求：</w:t>
      </w:r>
      <w:r>
        <w:rPr>
          <w:rFonts w:hAnsi="宋体"/>
        </w:rPr>
        <w:t>了解葡萄的起源和演化历程，酿酒葡萄在葡萄属植物中的地位；</w:t>
      </w:r>
      <w:bookmarkStart w:id="286" w:name="OLE_LINK14"/>
      <w:bookmarkStart w:id="287" w:name="OLE_LINK13"/>
      <w:r>
        <w:rPr>
          <w:rFonts w:hAnsi="宋体"/>
        </w:rPr>
        <w:t>理解葡萄园地点的选择和管理以及葡萄生长的影响因素；</w:t>
      </w:r>
      <w:bookmarkEnd w:id="286"/>
      <w:bookmarkEnd w:id="287"/>
      <w:r>
        <w:rPr>
          <w:rFonts w:hAnsi="宋体"/>
        </w:rPr>
        <w:t>掌握葡萄果粒的构造和成分；熟练掌握酿酒葡萄品种的分类及其特性。</w:t>
      </w:r>
    </w:p>
    <w:p>
      <w:pPr>
        <w:adjustRightInd w:val="0"/>
        <w:snapToGrid w:val="0"/>
        <w:spacing w:line="360" w:lineRule="auto"/>
        <w:rPr>
          <w:rFonts w:asciiTheme="minorEastAsia" w:hAnsiTheme="minorEastAsia"/>
          <w:bCs/>
          <w:szCs w:val="21"/>
        </w:rPr>
      </w:pPr>
      <w:r>
        <w:rPr>
          <w:rFonts w:hint="eastAsia" w:asciiTheme="minorEastAsia" w:hAnsiTheme="minorEastAsia"/>
          <w:bCs/>
          <w:szCs w:val="21"/>
        </w:rPr>
        <w:t xml:space="preserve">第一节 </w:t>
      </w:r>
      <w:r>
        <w:rPr>
          <w:rFonts w:hAnsi="宋体"/>
        </w:rPr>
        <w:t>葡萄的起源与进化</w:t>
      </w:r>
    </w:p>
    <w:p>
      <w:pPr>
        <w:adjustRightInd w:val="0"/>
        <w:snapToGrid w:val="0"/>
        <w:spacing w:line="360" w:lineRule="auto"/>
        <w:rPr>
          <w:rFonts w:asciiTheme="minorEastAsia" w:hAnsiTheme="minorEastAsia"/>
          <w:bCs/>
          <w:szCs w:val="21"/>
        </w:rPr>
      </w:pPr>
      <w:r>
        <w:rPr>
          <w:rFonts w:hint="eastAsia" w:asciiTheme="minorEastAsia" w:hAnsiTheme="minorEastAsia"/>
          <w:bCs/>
          <w:szCs w:val="21"/>
        </w:rPr>
        <w:t xml:space="preserve">第二节 </w:t>
      </w:r>
      <w:r>
        <w:rPr>
          <w:rFonts w:hAnsi="宋体"/>
        </w:rPr>
        <w:t>世界主流酿酒葡萄品种</w:t>
      </w:r>
    </w:p>
    <w:p>
      <w:pPr>
        <w:adjustRightInd w:val="0"/>
        <w:snapToGrid w:val="0"/>
        <w:spacing w:line="360" w:lineRule="auto"/>
        <w:rPr>
          <w:rFonts w:asciiTheme="minorEastAsia" w:hAnsiTheme="minorEastAsia"/>
          <w:bCs/>
          <w:szCs w:val="21"/>
        </w:rPr>
      </w:pPr>
      <w:r>
        <w:rPr>
          <w:rFonts w:hint="eastAsia" w:asciiTheme="minorEastAsia" w:hAnsiTheme="minorEastAsia"/>
          <w:bCs/>
          <w:szCs w:val="21"/>
        </w:rPr>
        <w:t>第三节</w:t>
      </w:r>
      <w:r>
        <w:rPr>
          <w:rFonts w:hint="eastAsia" w:asciiTheme="minorEastAsia" w:hAnsiTheme="minorEastAsia"/>
          <w:szCs w:val="21"/>
        </w:rPr>
        <w:t xml:space="preserve"> </w:t>
      </w:r>
      <w:r>
        <w:rPr>
          <w:rFonts w:hAnsi="宋体"/>
        </w:rPr>
        <w:t>酿酒葡萄栽培条件和管理</w:t>
      </w:r>
    </w:p>
    <w:p>
      <w:pPr>
        <w:adjustRightInd w:val="0"/>
        <w:snapToGrid w:val="0"/>
        <w:spacing w:line="360" w:lineRule="auto"/>
        <w:rPr>
          <w:rFonts w:asciiTheme="minorEastAsia" w:hAnsiTheme="minorEastAsia"/>
          <w:szCs w:val="21"/>
        </w:rPr>
      </w:pPr>
      <w:r>
        <w:rPr>
          <w:rFonts w:hint="eastAsia"/>
        </w:rPr>
        <w:t xml:space="preserve">第四节 </w:t>
      </w:r>
      <w:r>
        <w:rPr>
          <w:rFonts w:hAnsi="宋体"/>
        </w:rPr>
        <w:t>影响葡萄质量和葡萄酒风格的因素</w:t>
      </w:r>
    </w:p>
    <w:p>
      <w:pPr>
        <w:adjustRightInd w:val="0"/>
        <w:snapToGrid w:val="0"/>
        <w:spacing w:line="360" w:lineRule="auto"/>
        <w:rPr>
          <w:rFonts w:asciiTheme="minorEastAsia" w:hAnsiTheme="minorEastAsia"/>
          <w:szCs w:val="21"/>
        </w:rPr>
      </w:pPr>
      <w:r>
        <w:rPr>
          <w:rFonts w:hint="eastAsia" w:asciiTheme="minorEastAsia" w:hAnsiTheme="minorEastAsia"/>
          <w:b/>
          <w:bCs/>
          <w:szCs w:val="21"/>
        </w:rPr>
        <w:t>教学组织与实施：</w:t>
      </w:r>
      <w:r>
        <w:rPr>
          <w:rFonts w:hint="eastAsia" w:asciiTheme="minorEastAsia" w:hAnsiTheme="minorEastAsia"/>
          <w:bCs/>
          <w:szCs w:val="21"/>
        </w:rPr>
        <w:t>以P</w:t>
      </w:r>
      <w:r>
        <w:rPr>
          <w:rFonts w:asciiTheme="minorEastAsia" w:hAnsiTheme="minorEastAsia"/>
          <w:bCs/>
          <w:szCs w:val="21"/>
        </w:rPr>
        <w:t>PT</w:t>
      </w:r>
      <w:r>
        <w:rPr>
          <w:rFonts w:hint="eastAsia" w:asciiTheme="minorEastAsia" w:hAnsiTheme="minorEastAsia"/>
          <w:bCs/>
          <w:szCs w:val="21"/>
        </w:rPr>
        <w:t>和线上教学为主，通过多媒体展示葡萄产业发展状况，吸引学生的注意力，激发学习的兴趣，然后提出问题，让学生带着问题听课，并提出可行性方案。利用课堂提问、线上测试、多媒体课下交流等多种教学形式完成教学任务。</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bookmarkStart w:id="288" w:name="_Hlk137651620"/>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三</w:t>
            </w:r>
            <w:r>
              <w:rPr>
                <w:rFonts w:hAnsi="宋体"/>
                <w:b/>
                <w:bCs/>
                <w:szCs w:val="21"/>
              </w:rPr>
              <w:t>章</w:t>
            </w:r>
            <w:r>
              <w:rPr>
                <w:rFonts w:hint="eastAsia"/>
                <w:b/>
                <w:bCs/>
                <w:szCs w:val="21"/>
              </w:rPr>
              <w:t xml:space="preserve">  </w:t>
            </w:r>
            <w:r>
              <w:rPr>
                <w:b/>
                <w:bCs/>
                <w:szCs w:val="21"/>
              </w:rPr>
              <w:t>葡萄酒酿造工艺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bookmarkEnd w:id="288"/>
    </w:tbl>
    <w:p>
      <w:pPr>
        <w:snapToGrid w:val="0"/>
        <w:spacing w:line="360" w:lineRule="auto"/>
        <w:rPr>
          <w:rFonts w:asciiTheme="minorEastAsia" w:hAnsiTheme="minorEastAsia"/>
          <w:b/>
          <w:bCs/>
          <w:szCs w:val="21"/>
        </w:rPr>
      </w:pPr>
      <w:r>
        <w:rPr>
          <w:rFonts w:hint="eastAsia" w:asciiTheme="minorEastAsia" w:hAnsiTheme="minorEastAsia"/>
          <w:b/>
          <w:bCs/>
          <w:szCs w:val="21"/>
        </w:rPr>
        <w:t>教学目标：</w:t>
      </w:r>
      <w:r>
        <w:rPr>
          <w:rFonts w:hAnsi="宋体"/>
          <w:color w:val="272C30"/>
        </w:rPr>
        <w:t>通过本章学习，使学生掌握干红葡萄酒酿造工艺，识记不同类型葡萄酒的工艺特点、工程设备以及辅料选择，通过学习简易家庭葡萄酒发酵流程，能在生活中酿造健康美味的葡萄酒</w:t>
      </w:r>
      <w:r>
        <w:rPr>
          <w:rFonts w:hint="eastAsia" w:asciiTheme="minorEastAsia" w:hAnsiTheme="minorEastAsia"/>
          <w:szCs w:val="21"/>
        </w:rPr>
        <w:t>。</w:t>
      </w:r>
    </w:p>
    <w:p>
      <w:pPr>
        <w:adjustRightInd w:val="0"/>
        <w:snapToGrid w:val="0"/>
        <w:spacing w:line="360" w:lineRule="auto"/>
        <w:rPr>
          <w:rFonts w:asciiTheme="minorEastAsia" w:hAnsiTheme="minorEastAsia"/>
          <w:szCs w:val="21"/>
        </w:rPr>
      </w:pPr>
      <w:r>
        <w:rPr>
          <w:rFonts w:hint="eastAsia" w:asciiTheme="minorEastAsia" w:hAnsiTheme="minorEastAsia"/>
          <w:b/>
          <w:bCs/>
          <w:szCs w:val="21"/>
        </w:rPr>
        <w:t>教学重点和难点：</w:t>
      </w:r>
      <w:r>
        <w:rPr>
          <w:rFonts w:hAnsi="宋体"/>
          <w:color w:val="272C30"/>
        </w:rPr>
        <w:t>不同类型葡萄酒工艺，葡萄酒微生物和辅料的作用</w:t>
      </w:r>
      <w:r>
        <w:rPr>
          <w:rFonts w:asciiTheme="minorEastAsia" w:hAnsiTheme="minorEastAsia"/>
          <w:szCs w:val="21"/>
        </w:rPr>
        <w:t>。</w:t>
      </w:r>
    </w:p>
    <w:p>
      <w:pPr>
        <w:snapToGrid w:val="0"/>
        <w:spacing w:line="360" w:lineRule="auto"/>
        <w:rPr>
          <w:rFonts w:asciiTheme="minorEastAsia" w:hAnsiTheme="minorEastAsia"/>
          <w:szCs w:val="21"/>
        </w:rPr>
      </w:pPr>
      <w:r>
        <w:rPr>
          <w:rFonts w:hint="eastAsia" w:asciiTheme="minorEastAsia" w:hAnsiTheme="minorEastAsia"/>
          <w:b/>
          <w:bCs/>
          <w:szCs w:val="21"/>
        </w:rPr>
        <w:t>主要教学内容及要求：</w:t>
      </w:r>
      <w:r>
        <w:rPr>
          <w:rFonts w:hAnsi="宋体"/>
        </w:rPr>
        <w:t>了解</w:t>
      </w:r>
      <w:r>
        <w:rPr>
          <w:rFonts w:hAnsi="宋体"/>
          <w:color w:val="272C30"/>
        </w:rPr>
        <w:t>现代工业葡萄酒酿造工艺，发酵前的准备；理解干红、干白、甜型、气泡、加强葡萄酒的酿造工艺；掌握家庭葡萄酒酿造简单工艺；熟练掌握葡萄酒发酵微生物的种类及其作用；熟练掌握葡萄酒橡木桶陈放的作用。</w:t>
      </w:r>
    </w:p>
    <w:p>
      <w:pPr>
        <w:snapToGrid w:val="0"/>
        <w:spacing w:line="360" w:lineRule="auto"/>
        <w:rPr>
          <w:rFonts w:ascii="宋体" w:hAnsi="宋体"/>
        </w:rPr>
      </w:pPr>
      <w:r>
        <w:rPr>
          <w:rFonts w:hint="eastAsia" w:ascii="宋体" w:hAnsi="宋体"/>
        </w:rPr>
        <w:t xml:space="preserve">第一节 </w:t>
      </w:r>
      <w:r>
        <w:rPr>
          <w:rFonts w:hAnsi="宋体"/>
        </w:rPr>
        <w:t>干红葡萄酒酿造工艺</w:t>
      </w:r>
    </w:p>
    <w:p>
      <w:pPr>
        <w:snapToGrid w:val="0"/>
        <w:spacing w:line="360" w:lineRule="auto"/>
        <w:rPr>
          <w:rFonts w:ascii="宋体" w:hAnsi="宋体"/>
        </w:rPr>
      </w:pPr>
      <w:r>
        <w:rPr>
          <w:rFonts w:hint="eastAsia" w:ascii="宋体" w:hAnsi="宋体"/>
        </w:rPr>
        <w:t xml:space="preserve">第二节 </w:t>
      </w:r>
      <w:r>
        <w:rPr>
          <w:rFonts w:hAnsi="宋体"/>
        </w:rPr>
        <w:t>葡萄酒发酵工程设备</w:t>
      </w:r>
    </w:p>
    <w:p>
      <w:pPr>
        <w:snapToGrid w:val="0"/>
        <w:spacing w:line="360" w:lineRule="auto"/>
        <w:rPr>
          <w:rFonts w:ascii="宋体" w:hAnsi="宋体"/>
        </w:rPr>
      </w:pPr>
      <w:r>
        <w:rPr>
          <w:rFonts w:hint="eastAsia" w:ascii="宋体" w:hAnsi="宋体"/>
        </w:rPr>
        <w:t xml:space="preserve">第三节 </w:t>
      </w:r>
      <w:r>
        <w:rPr>
          <w:rFonts w:hAnsi="宋体"/>
        </w:rPr>
        <w:t>葡萄酒发酵微生物及其作用</w:t>
      </w:r>
    </w:p>
    <w:p>
      <w:pPr>
        <w:snapToGrid w:val="0"/>
        <w:spacing w:line="360" w:lineRule="auto"/>
        <w:rPr>
          <w:rFonts w:hAnsi="宋体"/>
        </w:rPr>
      </w:pPr>
      <w:r>
        <w:rPr>
          <w:rFonts w:hint="eastAsia" w:ascii="宋体" w:hAnsi="宋体"/>
        </w:rPr>
        <w:t xml:space="preserve">第四节 </w:t>
      </w:r>
      <w:r>
        <w:rPr>
          <w:rFonts w:hAnsi="宋体"/>
        </w:rPr>
        <w:t>甜型、气泡、加强葡萄酒酿造工艺</w:t>
      </w:r>
    </w:p>
    <w:p>
      <w:pPr>
        <w:snapToGrid w:val="0"/>
        <w:spacing w:line="360" w:lineRule="auto"/>
        <w:rPr>
          <w:rFonts w:ascii="宋体" w:hAnsi="宋体"/>
        </w:rPr>
      </w:pPr>
      <w:r>
        <w:rPr>
          <w:rFonts w:hint="eastAsia" w:hAnsi="宋体"/>
        </w:rPr>
        <w:t xml:space="preserve">第五节 </w:t>
      </w:r>
      <w:r>
        <w:rPr>
          <w:rFonts w:hAnsi="宋体"/>
        </w:rPr>
        <w:t>葡萄酒陈酿</w:t>
      </w:r>
    </w:p>
    <w:p>
      <w:pPr>
        <w:snapToGrid w:val="0"/>
        <w:spacing w:line="360" w:lineRule="auto"/>
        <w:rPr>
          <w:rFonts w:ascii="宋体" w:hAnsi="宋体"/>
        </w:rPr>
      </w:pPr>
      <w:r>
        <w:rPr>
          <w:rFonts w:hint="eastAsia" w:asciiTheme="minorEastAsia" w:hAnsiTheme="minorEastAsia"/>
          <w:b/>
          <w:bCs/>
          <w:szCs w:val="21"/>
        </w:rPr>
        <w:t>教学组织与实施：</w:t>
      </w:r>
      <w:r>
        <w:rPr>
          <w:rFonts w:hint="eastAsia" w:ascii="宋体" w:hAnsi="宋体"/>
        </w:rPr>
        <w:t>以PPT和线上教学为主，通过讲授、课堂提问、线上测试、多媒体课下交流等多种教学形式完成教学任务。</w:t>
      </w:r>
    </w:p>
    <w:tbl>
      <w:tblPr>
        <w:tblStyle w:val="22"/>
        <w:tblW w:w="0" w:type="auto"/>
        <w:tblInd w:w="4" w:type="dxa"/>
        <w:tblLayout w:type="autofit"/>
        <w:tblCellMar>
          <w:top w:w="0" w:type="dxa"/>
          <w:left w:w="0" w:type="dxa"/>
          <w:bottom w:w="0" w:type="dxa"/>
          <w:right w:w="0" w:type="dxa"/>
        </w:tblCellMar>
      </w:tblPr>
      <w:tblGrid>
        <w:gridCol w:w="2061"/>
        <w:gridCol w:w="4235"/>
        <w:gridCol w:w="2600"/>
      </w:tblGrid>
      <w:tr>
        <w:tblPrEx>
          <w:tblCellMar>
            <w:top w:w="0" w:type="dxa"/>
            <w:left w:w="0" w:type="dxa"/>
            <w:bottom w:w="0" w:type="dxa"/>
            <w:right w:w="0" w:type="dxa"/>
          </w:tblCellMar>
        </w:tblPrEx>
        <w:trPr>
          <w:trHeight w:val="270" w:hRule="atLeast"/>
        </w:trPr>
        <w:tc>
          <w:tcPr>
            <w:tcW w:w="206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23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四</w:t>
            </w:r>
            <w:r>
              <w:rPr>
                <w:rFonts w:hAnsi="宋体"/>
                <w:b/>
                <w:bCs/>
                <w:szCs w:val="21"/>
              </w:rPr>
              <w:t>章</w:t>
            </w:r>
            <w:r>
              <w:rPr>
                <w:rFonts w:hint="eastAsia"/>
                <w:b/>
                <w:bCs/>
                <w:szCs w:val="21"/>
              </w:rPr>
              <w:t xml:space="preserve">  </w:t>
            </w:r>
            <w:r>
              <w:rPr>
                <w:rFonts w:hAnsi="宋体"/>
                <w:b/>
                <w:color w:val="272C30"/>
              </w:rPr>
              <w:t>中外优质葡萄酒产区介绍</w:t>
            </w:r>
          </w:p>
        </w:tc>
        <w:tc>
          <w:tcPr>
            <w:tcW w:w="2600"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4</w:t>
            </w:r>
          </w:p>
        </w:tc>
      </w:tr>
    </w:tbl>
    <w:p>
      <w:pPr>
        <w:pStyle w:val="6"/>
        <w:spacing w:after="0" w:line="360" w:lineRule="auto"/>
        <w:rPr>
          <w:rFonts w:ascii="宋体" w:hAnsi="宋体"/>
        </w:rPr>
      </w:pPr>
      <w:r>
        <w:rPr>
          <w:rFonts w:hint="eastAsia" w:ascii="宋体" w:hAnsi="宋体"/>
          <w:b/>
          <w:bCs/>
        </w:rPr>
        <w:t>教学目标：</w:t>
      </w:r>
      <w:r>
        <w:rPr>
          <w:rFonts w:hAnsi="宋体"/>
          <w:color w:val="272C30"/>
        </w:rPr>
        <w:t>通过本章的学习，使学生初步认识葡萄酒风土的概念，</w:t>
      </w:r>
      <w:r>
        <w:rPr>
          <w:rFonts w:hAnsi="宋体"/>
          <w:color w:val="000000"/>
        </w:rPr>
        <w:t>识记国外</w:t>
      </w:r>
      <w:r>
        <w:rPr>
          <w:rFonts w:hAnsi="宋体"/>
          <w:color w:val="272C30"/>
        </w:rPr>
        <w:t>葡萄酒庄园文化和主要葡萄酒产区，通过概括性学习中外葡萄酒产区气候特点，理解环境因素对葡萄酒品质的影响。</w:t>
      </w:r>
    </w:p>
    <w:p>
      <w:pPr>
        <w:pStyle w:val="6"/>
        <w:spacing w:after="0" w:line="360" w:lineRule="auto"/>
        <w:rPr>
          <w:rFonts w:asciiTheme="minorEastAsia" w:hAnsiTheme="minorEastAsia" w:eastAsiaTheme="minorEastAsia"/>
          <w:szCs w:val="21"/>
        </w:rPr>
      </w:pPr>
      <w:r>
        <w:rPr>
          <w:rFonts w:hint="eastAsia" w:asciiTheme="minorEastAsia" w:hAnsiTheme="minorEastAsia" w:eastAsiaTheme="minorEastAsia"/>
          <w:b/>
          <w:bCs/>
          <w:szCs w:val="21"/>
        </w:rPr>
        <w:t>教学重点和难点：</w:t>
      </w:r>
      <w:r>
        <w:rPr>
          <w:rFonts w:hAnsi="宋体"/>
          <w:color w:val="272C30"/>
        </w:rPr>
        <w:t>新旧世界葡萄酒概况，法国、意大利、西班牙葡萄酒等级制度。</w:t>
      </w:r>
    </w:p>
    <w:p>
      <w:pPr>
        <w:snapToGrid w:val="0"/>
        <w:spacing w:line="360" w:lineRule="auto"/>
        <w:rPr>
          <w:rFonts w:ascii="宋体" w:hAnsi="宋体"/>
        </w:rPr>
      </w:pPr>
      <w:r>
        <w:rPr>
          <w:rFonts w:hint="eastAsia" w:ascii="宋体" w:hAnsi="宋体" w:cs="宋体"/>
          <w:b/>
          <w:bCs/>
          <w:kern w:val="0"/>
          <w:szCs w:val="21"/>
        </w:rPr>
        <w:t>主要教学内容和要求：</w:t>
      </w:r>
      <w:r>
        <w:rPr>
          <w:rFonts w:hAnsi="宋体"/>
          <w:color w:val="000000"/>
        </w:rPr>
        <w:t>理解和掌握</w:t>
      </w:r>
      <w:r>
        <w:rPr>
          <w:rFonts w:hAnsi="宋体"/>
          <w:color w:val="272C30"/>
        </w:rPr>
        <w:t>产区的概念；掌握中国主要葡萄酒产区分布；熟练掌握新旧世界葡萄酒的风格差异；</w:t>
      </w:r>
      <w:r>
        <w:rPr>
          <w:rFonts w:hAnsi="宋体"/>
          <w:color w:val="000000"/>
        </w:rPr>
        <w:t>掌握国外</w:t>
      </w:r>
      <w:r>
        <w:rPr>
          <w:rFonts w:hAnsi="宋体"/>
          <w:color w:val="272C30"/>
        </w:rPr>
        <w:t>葡萄酒庄园文化，法律条例，法国葡萄酒主要产区、名庄、名品以及等级制度；理解意大利、西班牙葡萄酒等级制度。</w:t>
      </w:r>
    </w:p>
    <w:p>
      <w:pPr>
        <w:snapToGrid w:val="0"/>
        <w:spacing w:line="360" w:lineRule="auto"/>
        <w:rPr>
          <w:rFonts w:ascii="宋体" w:hAnsi="宋体"/>
        </w:rPr>
      </w:pPr>
      <w:r>
        <w:rPr>
          <w:rFonts w:hint="eastAsia" w:ascii="宋体" w:hAnsi="宋体"/>
        </w:rPr>
        <w:t xml:space="preserve">第一节 </w:t>
      </w:r>
      <w:r>
        <w:rPr>
          <w:rFonts w:hAnsi="宋体"/>
        </w:rPr>
        <w:t>中国葡萄酒产区概况</w:t>
      </w:r>
    </w:p>
    <w:p>
      <w:pPr>
        <w:snapToGrid w:val="0"/>
        <w:spacing w:line="360" w:lineRule="auto"/>
        <w:rPr>
          <w:rFonts w:ascii="宋体" w:hAnsi="宋体"/>
        </w:rPr>
      </w:pPr>
      <w:r>
        <w:rPr>
          <w:rFonts w:hint="eastAsia" w:ascii="宋体" w:hAnsi="宋体"/>
        </w:rPr>
        <w:t xml:space="preserve">第二节 </w:t>
      </w:r>
      <w:r>
        <w:rPr>
          <w:rFonts w:hAnsi="宋体"/>
        </w:rPr>
        <w:t>新世界葡萄酒国家与产区介绍</w:t>
      </w:r>
    </w:p>
    <w:p>
      <w:pPr>
        <w:snapToGrid w:val="0"/>
        <w:spacing w:line="360" w:lineRule="auto"/>
        <w:rPr>
          <w:rFonts w:ascii="宋体" w:hAnsi="宋体"/>
        </w:rPr>
      </w:pPr>
      <w:r>
        <w:rPr>
          <w:rFonts w:hint="eastAsia" w:ascii="宋体" w:hAnsi="宋体"/>
        </w:rPr>
        <w:t xml:space="preserve">第三节 </w:t>
      </w:r>
      <w:r>
        <w:rPr>
          <w:rFonts w:hAnsi="宋体"/>
        </w:rPr>
        <w:t>旧世界葡萄酒国家与产区介绍</w:t>
      </w:r>
    </w:p>
    <w:p>
      <w:pPr>
        <w:snapToGrid w:val="0"/>
        <w:spacing w:line="360" w:lineRule="auto"/>
        <w:rPr>
          <w:rFonts w:ascii="宋体" w:hAnsi="宋体"/>
        </w:rPr>
      </w:pPr>
      <w:r>
        <w:rPr>
          <w:rFonts w:hint="eastAsia" w:ascii="宋体" w:hAnsi="宋体"/>
        </w:rPr>
        <w:t xml:space="preserve">第四节 </w:t>
      </w:r>
      <w:r>
        <w:rPr>
          <w:rFonts w:ascii="宋体" w:hAnsi="宋体"/>
          <w:szCs w:val="20"/>
        </w:rPr>
        <w:t>法国葡萄酒等级制度</w:t>
      </w:r>
    </w:p>
    <w:p>
      <w:pPr>
        <w:snapToGrid w:val="0"/>
        <w:spacing w:line="360" w:lineRule="auto"/>
        <w:rPr>
          <w:rFonts w:ascii="宋体" w:hAnsi="宋体"/>
        </w:rPr>
      </w:pPr>
      <w:r>
        <w:rPr>
          <w:rFonts w:hint="eastAsia" w:ascii="宋体" w:hAnsi="宋体"/>
        </w:rPr>
        <w:t xml:space="preserve">第五节 </w:t>
      </w:r>
      <w:r>
        <w:rPr>
          <w:rFonts w:hAnsi="宋体"/>
        </w:rPr>
        <w:t>意大利、西班牙葡萄酒等级制度</w:t>
      </w:r>
    </w:p>
    <w:p>
      <w:pPr>
        <w:snapToGrid w:val="0"/>
        <w:spacing w:line="360" w:lineRule="auto"/>
        <w:rPr>
          <w:rFonts w:ascii="宋体" w:hAnsi="宋体"/>
        </w:rPr>
      </w:pPr>
      <w:bookmarkStart w:id="289" w:name="_Hlk137808592"/>
      <w:r>
        <w:rPr>
          <w:rFonts w:hint="eastAsia" w:ascii="宋体" w:hAnsi="宋体"/>
          <w:b/>
          <w:bCs/>
        </w:rPr>
        <w:t>教学组织与实施：</w:t>
      </w:r>
      <w:r>
        <w:rPr>
          <w:rFonts w:hint="eastAsia" w:ascii="宋体" w:hAnsi="宋体"/>
        </w:rPr>
        <w:t>以PPT和线上教学为主，通过讲授、课堂提问、线上测试、多媒体课下交流等多种教学形式完成教学任务。</w:t>
      </w:r>
    </w:p>
    <w:tbl>
      <w:tblPr>
        <w:tblStyle w:val="22"/>
        <w:tblW w:w="0" w:type="auto"/>
        <w:tblInd w:w="4" w:type="dxa"/>
        <w:tblLayout w:type="autofit"/>
        <w:tblCellMar>
          <w:top w:w="0" w:type="dxa"/>
          <w:left w:w="0" w:type="dxa"/>
          <w:bottom w:w="0" w:type="dxa"/>
          <w:right w:w="0" w:type="dxa"/>
        </w:tblCellMar>
      </w:tblPr>
      <w:tblGrid>
        <w:gridCol w:w="2151"/>
        <w:gridCol w:w="3965"/>
        <w:gridCol w:w="2780"/>
      </w:tblGrid>
      <w:tr>
        <w:tblPrEx>
          <w:tblCellMar>
            <w:top w:w="0" w:type="dxa"/>
            <w:left w:w="0" w:type="dxa"/>
            <w:bottom w:w="0" w:type="dxa"/>
            <w:right w:w="0" w:type="dxa"/>
          </w:tblCellMar>
        </w:tblPrEx>
        <w:trPr>
          <w:trHeight w:val="270" w:hRule="atLeast"/>
        </w:trPr>
        <w:tc>
          <w:tcPr>
            <w:tcW w:w="215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五</w:t>
            </w:r>
            <w:r>
              <w:rPr>
                <w:rFonts w:hAnsi="宋体"/>
                <w:b/>
                <w:bCs/>
                <w:szCs w:val="21"/>
              </w:rPr>
              <w:t>章</w:t>
            </w:r>
            <w:r>
              <w:rPr>
                <w:rFonts w:hint="eastAsia"/>
                <w:b/>
                <w:bCs/>
                <w:szCs w:val="21"/>
              </w:rPr>
              <w:t xml:space="preserve">  </w:t>
            </w:r>
            <w:r>
              <w:rPr>
                <w:rFonts w:hAnsi="宋体"/>
                <w:b/>
                <w:color w:val="272C30"/>
              </w:rPr>
              <w:t>葡萄酒酒标及品酒专业术语</w:t>
            </w:r>
          </w:p>
        </w:tc>
        <w:tc>
          <w:tcPr>
            <w:tcW w:w="2780"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pStyle w:val="48"/>
        <w:adjustRightInd w:val="0"/>
        <w:snapToGrid w:val="0"/>
        <w:spacing w:line="360" w:lineRule="auto"/>
        <w:ind w:firstLine="0" w:firstLineChars="0"/>
        <w:jc w:val="left"/>
        <w:rPr>
          <w:rFonts w:ascii="宋体" w:hAnsi="宋体"/>
        </w:rPr>
      </w:pPr>
      <w:r>
        <w:rPr>
          <w:rFonts w:hint="eastAsia" w:ascii="宋体" w:hAnsi="宋体"/>
          <w:b/>
          <w:bCs/>
        </w:rPr>
        <w:t>教学目标：</w:t>
      </w:r>
      <w:r>
        <w:rPr>
          <w:rFonts w:hAnsi="宋体"/>
          <w:color w:val="272C30"/>
        </w:rPr>
        <w:t>通过本章学习，使学生初步认识葡萄酒相关的法律法规，识记新旧世界葡萄酒酒标特点，学会葡萄酒感官品质评价相关术语，能对葡萄酒的结构加以简单阐述，并认识葡萄酒感官品质的影响因素。</w:t>
      </w:r>
    </w:p>
    <w:p>
      <w:pPr>
        <w:pStyle w:val="48"/>
        <w:adjustRightInd w:val="0"/>
        <w:snapToGrid w:val="0"/>
        <w:spacing w:line="360" w:lineRule="auto"/>
        <w:ind w:firstLine="0" w:firstLineChars="0"/>
        <w:jc w:val="left"/>
        <w:rPr>
          <w:rFonts w:ascii="宋体" w:hAnsi="宋体"/>
        </w:rPr>
      </w:pPr>
      <w:r>
        <w:rPr>
          <w:rFonts w:hint="eastAsia" w:ascii="宋体" w:hAnsi="宋体"/>
          <w:b/>
          <w:bCs/>
        </w:rPr>
        <w:t>教学重点和难点：</w:t>
      </w:r>
      <w:r>
        <w:rPr>
          <w:rFonts w:hAnsi="宋体"/>
          <w:color w:val="272C30"/>
        </w:rPr>
        <w:t>旧世界葡萄酒酒标，葡萄酒感官品质评价相关术语</w:t>
      </w:r>
      <w:r>
        <w:rPr>
          <w:rFonts w:hint="eastAsia" w:ascii="宋体" w:hAnsi="宋体"/>
        </w:rPr>
        <w:t>。</w:t>
      </w:r>
    </w:p>
    <w:p>
      <w:pPr>
        <w:pStyle w:val="48"/>
        <w:adjustRightInd w:val="0"/>
        <w:snapToGrid w:val="0"/>
        <w:spacing w:line="360" w:lineRule="auto"/>
        <w:ind w:firstLine="0" w:firstLineChars="0"/>
        <w:jc w:val="left"/>
        <w:rPr>
          <w:rFonts w:ascii="宋体" w:hAnsi="宋体"/>
        </w:rPr>
      </w:pPr>
      <w:r>
        <w:rPr>
          <w:rFonts w:hint="eastAsia" w:ascii="宋体" w:hAnsi="宋体"/>
          <w:b/>
          <w:bCs/>
        </w:rPr>
        <w:t>主要教学内容及要求：</w:t>
      </w:r>
      <w:r>
        <w:rPr>
          <w:rFonts w:hAnsi="宋体"/>
          <w:color w:val="272C30"/>
        </w:rPr>
        <w:t>理解并掌握旧世界葡萄酒酒标；了解葡萄酒品评相关术语，掌握葡萄酒香气、葡萄酒结构和酒体的描述；掌握葡萄酒的感官特性；了解葡萄酒氧化和还原气味及气体异常气味；掌握葡萄酒品质的评判标准</w:t>
      </w:r>
      <w:r>
        <w:rPr>
          <w:rFonts w:hint="eastAsia" w:ascii="宋体" w:hAnsi="宋体"/>
        </w:rPr>
        <w:t>。</w:t>
      </w:r>
    </w:p>
    <w:p>
      <w:pPr>
        <w:pStyle w:val="48"/>
        <w:adjustRightInd w:val="0"/>
        <w:snapToGrid w:val="0"/>
        <w:spacing w:line="360" w:lineRule="auto"/>
        <w:ind w:firstLine="0" w:firstLineChars="0"/>
        <w:jc w:val="left"/>
        <w:rPr>
          <w:rFonts w:ascii="宋体" w:hAnsi="宋体"/>
        </w:rPr>
      </w:pPr>
      <w:r>
        <w:rPr>
          <w:rFonts w:hint="eastAsia" w:ascii="宋体" w:hAnsi="宋体"/>
        </w:rPr>
        <w:t xml:space="preserve">第一节 </w:t>
      </w:r>
      <w:r>
        <w:rPr>
          <w:rFonts w:hAnsi="宋体"/>
        </w:rPr>
        <w:t>新旧世界葡萄酒酒标</w:t>
      </w:r>
    </w:p>
    <w:p>
      <w:pPr>
        <w:pStyle w:val="48"/>
        <w:adjustRightInd w:val="0"/>
        <w:snapToGrid w:val="0"/>
        <w:spacing w:line="360" w:lineRule="auto"/>
        <w:ind w:firstLine="0" w:firstLineChars="0"/>
        <w:jc w:val="left"/>
        <w:rPr>
          <w:rFonts w:ascii="宋体" w:hAnsi="宋体"/>
        </w:rPr>
      </w:pPr>
      <w:r>
        <w:rPr>
          <w:rFonts w:hint="eastAsia" w:ascii="宋体" w:hAnsi="宋体"/>
        </w:rPr>
        <w:t xml:space="preserve">第二节 </w:t>
      </w:r>
      <w:r>
        <w:rPr>
          <w:rFonts w:hAnsi="宋体"/>
        </w:rPr>
        <w:t>葡萄酒生产相关法规</w:t>
      </w:r>
    </w:p>
    <w:p>
      <w:pPr>
        <w:pStyle w:val="48"/>
        <w:adjustRightInd w:val="0"/>
        <w:snapToGrid w:val="0"/>
        <w:spacing w:line="360" w:lineRule="auto"/>
        <w:ind w:firstLine="0" w:firstLineChars="0"/>
        <w:jc w:val="left"/>
        <w:rPr>
          <w:rFonts w:ascii="宋体" w:hAnsi="宋体"/>
        </w:rPr>
      </w:pPr>
      <w:r>
        <w:rPr>
          <w:rFonts w:hint="eastAsia" w:ascii="宋体" w:hAnsi="宋体"/>
        </w:rPr>
        <w:t xml:space="preserve">第三节 </w:t>
      </w:r>
      <w:r>
        <w:rPr>
          <w:rFonts w:hAnsi="宋体"/>
        </w:rPr>
        <w:t>葡萄酒的视觉、嗅觉和味觉等感官分析</w:t>
      </w:r>
    </w:p>
    <w:p>
      <w:pPr>
        <w:pStyle w:val="48"/>
        <w:adjustRightInd w:val="0"/>
        <w:snapToGrid w:val="0"/>
        <w:spacing w:line="360" w:lineRule="auto"/>
        <w:ind w:firstLine="0" w:firstLineChars="0"/>
        <w:jc w:val="left"/>
        <w:rPr>
          <w:rFonts w:ascii="宋体" w:hAnsi="宋体"/>
        </w:rPr>
      </w:pPr>
      <w:r>
        <w:rPr>
          <w:rFonts w:hint="eastAsia" w:ascii="宋体" w:hAnsi="宋体"/>
        </w:rPr>
        <w:t xml:space="preserve">第四节 </w:t>
      </w:r>
      <w:r>
        <w:rPr>
          <w:rFonts w:ascii="宋体" w:hAnsi="宋体"/>
        </w:rPr>
        <w:t>葡萄酒的平衡性</w:t>
      </w:r>
    </w:p>
    <w:p>
      <w:pPr>
        <w:pStyle w:val="48"/>
        <w:adjustRightInd w:val="0"/>
        <w:snapToGrid w:val="0"/>
        <w:spacing w:line="360" w:lineRule="auto"/>
        <w:ind w:firstLine="0" w:firstLineChars="0"/>
        <w:jc w:val="left"/>
        <w:rPr>
          <w:rFonts w:asciiTheme="minorEastAsia" w:hAnsiTheme="minorEastAsia" w:eastAsiaTheme="minorEastAsia"/>
          <w:color w:val="FF0000"/>
          <w:szCs w:val="21"/>
        </w:rPr>
      </w:pPr>
      <w:r>
        <w:rPr>
          <w:rFonts w:hint="eastAsia" w:ascii="宋体" w:hAnsi="宋体"/>
          <w:b/>
          <w:bCs/>
        </w:rPr>
        <w:t>教学组织与实施：</w:t>
      </w:r>
      <w:bookmarkEnd w:id="289"/>
      <w:r>
        <w:rPr>
          <w:rFonts w:hint="eastAsia" w:asciiTheme="minorEastAsia" w:hAnsiTheme="minorEastAsia" w:eastAsiaTheme="minorEastAsia"/>
          <w:szCs w:val="21"/>
        </w:rPr>
        <w:t>以PPT和线上教学为主，通过讲授、课堂提问、线上测试、多媒体课下交流等多种教学形式完成教学任务。</w:t>
      </w:r>
    </w:p>
    <w:tbl>
      <w:tblPr>
        <w:tblStyle w:val="22"/>
        <w:tblW w:w="0" w:type="auto"/>
        <w:tblInd w:w="4" w:type="dxa"/>
        <w:tblLayout w:type="autofit"/>
        <w:tblCellMar>
          <w:top w:w="0" w:type="dxa"/>
          <w:left w:w="0" w:type="dxa"/>
          <w:bottom w:w="0" w:type="dxa"/>
          <w:right w:w="0" w:type="dxa"/>
        </w:tblCellMar>
      </w:tblPr>
      <w:tblGrid>
        <w:gridCol w:w="2011"/>
        <w:gridCol w:w="4105"/>
        <w:gridCol w:w="2780"/>
      </w:tblGrid>
      <w:tr>
        <w:tblPrEx>
          <w:tblCellMar>
            <w:top w:w="0" w:type="dxa"/>
            <w:left w:w="0" w:type="dxa"/>
            <w:bottom w:w="0" w:type="dxa"/>
            <w:right w:w="0" w:type="dxa"/>
          </w:tblCellMar>
        </w:tblPrEx>
        <w:trPr>
          <w:trHeight w:val="270" w:hRule="atLeast"/>
        </w:trPr>
        <w:tc>
          <w:tcPr>
            <w:tcW w:w="201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10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六</w:t>
            </w:r>
            <w:r>
              <w:rPr>
                <w:rFonts w:hAnsi="宋体"/>
                <w:b/>
                <w:bCs/>
                <w:szCs w:val="21"/>
              </w:rPr>
              <w:t>章</w:t>
            </w:r>
            <w:r>
              <w:rPr>
                <w:rFonts w:hint="eastAsia"/>
                <w:b/>
                <w:bCs/>
                <w:szCs w:val="21"/>
              </w:rPr>
              <w:t xml:space="preserve">  </w:t>
            </w:r>
            <w:r>
              <w:rPr>
                <w:rFonts w:hAnsi="宋体"/>
                <w:b/>
                <w:color w:val="272C30"/>
              </w:rPr>
              <w:t>葡萄酒的品尝与餐饮搭配</w:t>
            </w:r>
          </w:p>
        </w:tc>
        <w:tc>
          <w:tcPr>
            <w:tcW w:w="2780"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4</w:t>
            </w:r>
          </w:p>
        </w:tc>
      </w:tr>
    </w:tbl>
    <w:p>
      <w:pPr>
        <w:pStyle w:val="48"/>
        <w:adjustRightInd w:val="0"/>
        <w:snapToGrid w:val="0"/>
        <w:spacing w:line="360" w:lineRule="auto"/>
        <w:ind w:firstLine="0" w:firstLineChars="0"/>
        <w:jc w:val="left"/>
        <w:rPr>
          <w:rFonts w:ascii="宋体" w:hAnsi="宋体"/>
        </w:rPr>
      </w:pPr>
      <w:r>
        <w:rPr>
          <w:rFonts w:hint="eastAsia" w:ascii="宋体" w:hAnsi="宋体"/>
          <w:b/>
          <w:bCs/>
        </w:rPr>
        <w:t>教学目标：</w:t>
      </w:r>
      <w:r>
        <w:rPr>
          <w:rFonts w:hAnsi="宋体"/>
          <w:color w:val="272C30"/>
        </w:rPr>
        <w:t>通过本章学习，使学生葡萄酒品饮前的准备及注意事项，如葡萄酒的开启，酒杯的选择，学习葡萄酒的侍酒法，通过器官对葡萄酒的品质进行分析和鉴赏，并用于指导葡萄酒的选购和美食搭配。</w:t>
      </w:r>
    </w:p>
    <w:p>
      <w:pPr>
        <w:pStyle w:val="48"/>
        <w:adjustRightInd w:val="0"/>
        <w:snapToGrid w:val="0"/>
        <w:spacing w:line="360" w:lineRule="auto"/>
        <w:ind w:firstLine="0" w:firstLineChars="0"/>
        <w:jc w:val="left"/>
        <w:rPr>
          <w:rFonts w:ascii="宋体" w:hAnsi="宋体"/>
        </w:rPr>
      </w:pPr>
      <w:r>
        <w:rPr>
          <w:rFonts w:hint="eastAsia" w:ascii="宋体" w:hAnsi="宋体"/>
          <w:b/>
          <w:bCs/>
        </w:rPr>
        <w:t>教学重点和难点：</w:t>
      </w:r>
      <w:r>
        <w:rPr>
          <w:rFonts w:hAnsi="宋体"/>
          <w:color w:val="272C30"/>
        </w:rPr>
        <w:t>葡萄酒品评鉴赏</w:t>
      </w:r>
      <w:r>
        <w:rPr>
          <w:rFonts w:hAnsi="宋体"/>
        </w:rPr>
        <w:t>，</w:t>
      </w:r>
      <w:r>
        <w:rPr>
          <w:rFonts w:hAnsi="宋体"/>
          <w:color w:val="272C30"/>
        </w:rPr>
        <w:t>葡萄酒品尝的感官描述</w:t>
      </w:r>
      <w:r>
        <w:rPr>
          <w:rFonts w:hint="eastAsia" w:ascii="宋体" w:hAnsi="宋体"/>
        </w:rPr>
        <w:t>。</w:t>
      </w:r>
    </w:p>
    <w:p>
      <w:pPr>
        <w:pStyle w:val="48"/>
        <w:adjustRightInd w:val="0"/>
        <w:snapToGrid w:val="0"/>
        <w:spacing w:line="360" w:lineRule="auto"/>
        <w:ind w:firstLine="0" w:firstLineChars="0"/>
        <w:jc w:val="left"/>
        <w:rPr>
          <w:rFonts w:ascii="宋体" w:hAnsi="宋体"/>
        </w:rPr>
      </w:pPr>
      <w:r>
        <w:rPr>
          <w:rFonts w:hint="eastAsia" w:ascii="宋体" w:hAnsi="宋体"/>
          <w:b/>
          <w:bCs/>
        </w:rPr>
        <w:t>主要教学内容及要求：</w:t>
      </w:r>
      <w:r>
        <w:rPr>
          <w:rFonts w:hAnsi="宋体"/>
          <w:color w:val="272C30"/>
        </w:rPr>
        <w:t>理解葡萄酒品尝的基本知识，品尝的定义、品酒的分类、品酒的要点、品酒的顺序、葡萄酒品尝的感官描述词汇；掌握葡萄酒的侍酒法：温酒、开瓶、换瓶、酒杯、礼仪、封瓶、配套用具等；掌握葡萄酒的选购和餐饮搭配；掌握葡萄酒品评前的准备，外观分析，香气分析，口感分析等</w:t>
      </w:r>
      <w:r>
        <w:rPr>
          <w:rFonts w:hint="eastAsia" w:ascii="宋体" w:hAnsi="宋体"/>
        </w:rPr>
        <w:t>。</w:t>
      </w:r>
    </w:p>
    <w:p>
      <w:pPr>
        <w:pStyle w:val="48"/>
        <w:adjustRightInd w:val="0"/>
        <w:snapToGrid w:val="0"/>
        <w:spacing w:line="360" w:lineRule="auto"/>
        <w:ind w:firstLine="0" w:firstLineChars="0"/>
        <w:jc w:val="left"/>
        <w:rPr>
          <w:rFonts w:ascii="宋体" w:hAnsi="宋体"/>
        </w:rPr>
      </w:pPr>
      <w:r>
        <w:rPr>
          <w:rFonts w:hint="eastAsia" w:ascii="宋体" w:hAnsi="宋体"/>
        </w:rPr>
        <w:t xml:space="preserve">第一节 </w:t>
      </w:r>
      <w:r>
        <w:rPr>
          <w:rFonts w:hAnsi="宋体"/>
        </w:rPr>
        <w:t>品酒活动准备</w:t>
      </w:r>
    </w:p>
    <w:p>
      <w:pPr>
        <w:pStyle w:val="48"/>
        <w:adjustRightInd w:val="0"/>
        <w:snapToGrid w:val="0"/>
        <w:spacing w:line="360" w:lineRule="auto"/>
        <w:ind w:firstLine="0" w:firstLineChars="0"/>
        <w:jc w:val="left"/>
        <w:rPr>
          <w:rFonts w:ascii="宋体" w:hAnsi="宋体"/>
        </w:rPr>
      </w:pPr>
      <w:r>
        <w:rPr>
          <w:rFonts w:hint="eastAsia" w:ascii="宋体" w:hAnsi="宋体"/>
        </w:rPr>
        <w:t xml:space="preserve">第二节 </w:t>
      </w:r>
      <w:r>
        <w:rPr>
          <w:rFonts w:hAnsi="宋体"/>
        </w:rPr>
        <w:t>品酒杯、开瓶器概况</w:t>
      </w:r>
    </w:p>
    <w:p>
      <w:pPr>
        <w:pStyle w:val="48"/>
        <w:adjustRightInd w:val="0"/>
        <w:snapToGrid w:val="0"/>
        <w:spacing w:line="360" w:lineRule="auto"/>
        <w:ind w:firstLine="0" w:firstLineChars="0"/>
        <w:jc w:val="left"/>
        <w:rPr>
          <w:rFonts w:ascii="宋体" w:hAnsi="宋体"/>
        </w:rPr>
      </w:pPr>
      <w:r>
        <w:rPr>
          <w:rFonts w:hint="eastAsia" w:ascii="宋体" w:hAnsi="宋体"/>
        </w:rPr>
        <w:t xml:space="preserve">第三节 </w:t>
      </w:r>
      <w:r>
        <w:rPr>
          <w:rFonts w:hAnsi="宋体"/>
        </w:rPr>
        <w:t>葡萄酒与餐饮搭配</w:t>
      </w:r>
    </w:p>
    <w:p>
      <w:pPr>
        <w:pStyle w:val="48"/>
        <w:adjustRightInd w:val="0"/>
        <w:snapToGrid w:val="0"/>
        <w:spacing w:line="360" w:lineRule="auto"/>
        <w:ind w:firstLine="0" w:firstLineChars="0"/>
        <w:jc w:val="left"/>
        <w:rPr>
          <w:rFonts w:hAnsi="宋体"/>
          <w:b/>
          <w:bCs/>
        </w:rPr>
      </w:pPr>
      <w:r>
        <w:rPr>
          <w:rFonts w:hint="eastAsia" w:ascii="宋体" w:hAnsi="宋体"/>
        </w:rPr>
        <w:t xml:space="preserve">第四节 </w:t>
      </w:r>
      <w:r>
        <w:rPr>
          <w:rFonts w:hAnsi="宋体"/>
        </w:rPr>
        <w:t>侍酒标准流程</w:t>
      </w:r>
    </w:p>
    <w:p>
      <w:pPr>
        <w:pStyle w:val="48"/>
        <w:adjustRightInd w:val="0"/>
        <w:snapToGrid w:val="0"/>
        <w:spacing w:line="360" w:lineRule="auto"/>
        <w:ind w:firstLine="0" w:firstLineChars="0"/>
        <w:jc w:val="left"/>
        <w:rPr>
          <w:rFonts w:hAnsi="宋体"/>
        </w:rPr>
      </w:pPr>
      <w:r>
        <w:rPr>
          <w:rFonts w:hint="eastAsia" w:hAnsi="宋体"/>
        </w:rPr>
        <w:t xml:space="preserve">第五节 </w:t>
      </w:r>
      <w:r>
        <w:rPr>
          <w:rFonts w:hAnsi="宋体"/>
        </w:rPr>
        <w:t>品尝记录表撰写</w:t>
      </w:r>
    </w:p>
    <w:p>
      <w:pPr>
        <w:pStyle w:val="48"/>
        <w:adjustRightInd w:val="0"/>
        <w:snapToGrid w:val="0"/>
        <w:spacing w:line="360" w:lineRule="auto"/>
        <w:ind w:firstLine="0" w:firstLineChars="0"/>
        <w:jc w:val="left"/>
        <w:rPr>
          <w:rFonts w:asciiTheme="minorEastAsia" w:hAnsiTheme="minorEastAsia" w:eastAsiaTheme="minorEastAsia"/>
          <w:color w:val="FF0000"/>
          <w:szCs w:val="21"/>
        </w:rPr>
      </w:pPr>
      <w:r>
        <w:rPr>
          <w:rFonts w:hint="eastAsia" w:ascii="宋体" w:hAnsi="宋体"/>
          <w:b/>
          <w:bCs/>
        </w:rPr>
        <w:t>教学组织与实施：</w:t>
      </w:r>
      <w:r>
        <w:rPr>
          <w:rFonts w:hint="eastAsia" w:asciiTheme="minorEastAsia" w:hAnsiTheme="minorEastAsia" w:eastAsiaTheme="minorEastAsia"/>
          <w:szCs w:val="21"/>
        </w:rPr>
        <w:t>以线下品酒为主，收集不同类型的葡萄酒，学生通过品尝，掌握不同类型葡萄酒的品鉴方法以及餐饮搭配。</w:t>
      </w:r>
    </w:p>
    <w:p>
      <w:pPr>
        <w:widowControl/>
        <w:snapToGrid w:val="0"/>
        <w:spacing w:line="360" w:lineRule="auto"/>
        <w:jc w:val="left"/>
        <w:rPr>
          <w:rFonts w:hAnsi="宋体"/>
          <w:b/>
          <w:bCs/>
          <w:kern w:val="0"/>
          <w:szCs w:val="21"/>
        </w:rPr>
      </w:pPr>
      <w:r>
        <w:rPr>
          <w:rFonts w:hint="eastAsia" w:hAnsi="宋体"/>
          <w:b/>
          <w:bCs/>
          <w:kern w:val="0"/>
          <w:szCs w:val="21"/>
        </w:rPr>
        <w:t>五</w:t>
      </w:r>
      <w:r>
        <w:rPr>
          <w:rFonts w:hAnsi="宋体"/>
          <w:b/>
          <w:bCs/>
          <w:kern w:val="0"/>
          <w:szCs w:val="21"/>
        </w:rPr>
        <w:t>、</w:t>
      </w:r>
      <w:r>
        <w:rPr>
          <w:rFonts w:hint="eastAsia" w:hAnsi="宋体"/>
          <w:b/>
          <w:bCs/>
          <w:kern w:val="0"/>
          <w:szCs w:val="21"/>
        </w:rPr>
        <w:t>实验教学内容及学时分配（0学时）</w:t>
      </w:r>
    </w:p>
    <w:p>
      <w:pPr>
        <w:snapToGrid w:val="0"/>
        <w:spacing w:line="360" w:lineRule="auto"/>
        <w:ind w:firstLine="420" w:firstLineChars="200"/>
        <w:rPr>
          <w:rFonts w:ascii="宋体" w:hAnsi="宋体"/>
          <w:bCs/>
          <w:szCs w:val="21"/>
        </w:rPr>
      </w:pPr>
      <w:r>
        <w:rPr>
          <w:rFonts w:hint="eastAsia" w:ascii="宋体" w:hAnsi="宋体"/>
          <w:bCs/>
          <w:szCs w:val="21"/>
        </w:rPr>
        <w:t>无</w:t>
      </w:r>
    </w:p>
    <w:p>
      <w:pPr>
        <w:widowControl/>
        <w:snapToGrid w:val="0"/>
        <w:spacing w:line="360" w:lineRule="auto"/>
        <w:jc w:val="left"/>
        <w:rPr>
          <w:b/>
          <w:bCs/>
          <w:kern w:val="0"/>
          <w:szCs w:val="21"/>
        </w:rPr>
      </w:pPr>
      <w:r>
        <w:rPr>
          <w:rFonts w:hint="eastAsia"/>
          <w:b/>
          <w:bCs/>
          <w:kern w:val="0"/>
          <w:szCs w:val="21"/>
        </w:rPr>
        <w:t>六、课程思政</w:t>
      </w:r>
    </w:p>
    <w:p>
      <w:pPr>
        <w:widowControl/>
        <w:snapToGrid w:val="0"/>
        <w:spacing w:line="360" w:lineRule="auto"/>
        <w:ind w:firstLine="420" w:firstLineChars="200"/>
        <w:jc w:val="left"/>
        <w:rPr>
          <w:rFonts w:hAnsi="宋体"/>
          <w:szCs w:val="21"/>
        </w:rPr>
      </w:pPr>
      <w:r>
        <w:rPr>
          <w:rFonts w:hint="eastAsia" w:hAnsi="宋体"/>
          <w:szCs w:val="21"/>
        </w:rPr>
        <w:t>《葡萄酒鉴赏》主要是使学生了解葡萄酒的历史、文化和制作过程，探讨葡萄酒的社会责任和文化意义，并培养学生的品鉴能力、审美意识和社会责任感。</w:t>
      </w:r>
    </w:p>
    <w:p>
      <w:pPr>
        <w:widowControl/>
        <w:snapToGrid w:val="0"/>
        <w:spacing w:line="360" w:lineRule="auto"/>
        <w:ind w:firstLine="420" w:firstLineChars="200"/>
        <w:jc w:val="left"/>
        <w:rPr>
          <w:rFonts w:hAnsi="宋体"/>
          <w:szCs w:val="21"/>
        </w:rPr>
      </w:pPr>
      <w:r>
        <w:rPr>
          <w:rFonts w:hint="eastAsia" w:hAnsi="宋体"/>
          <w:szCs w:val="21"/>
        </w:rPr>
        <w:t>在课堂思政方面可以按照一下事例进行：</w:t>
      </w:r>
    </w:p>
    <w:p>
      <w:pPr>
        <w:widowControl/>
        <w:snapToGrid w:val="0"/>
        <w:spacing w:line="360" w:lineRule="auto"/>
        <w:ind w:firstLine="420" w:firstLineChars="200"/>
        <w:jc w:val="left"/>
        <w:rPr>
          <w:rFonts w:hAnsi="宋体"/>
          <w:szCs w:val="21"/>
        </w:rPr>
      </w:pPr>
      <w:r>
        <w:rPr>
          <w:rFonts w:hint="eastAsia" w:hAnsi="宋体"/>
          <w:szCs w:val="21"/>
        </w:rPr>
        <w:t>第一步导入（约10分钟），引入葡萄酒的概念，介绍葡萄酒的历史和文化背景；引发学生对葡萄酒的兴趣，激发他们的探索欲望；</w:t>
      </w:r>
    </w:p>
    <w:p>
      <w:pPr>
        <w:widowControl/>
        <w:snapToGrid w:val="0"/>
        <w:spacing w:line="360" w:lineRule="auto"/>
        <w:ind w:firstLine="420" w:firstLineChars="200"/>
        <w:jc w:val="left"/>
        <w:rPr>
          <w:rFonts w:hAnsi="宋体"/>
          <w:szCs w:val="21"/>
        </w:rPr>
      </w:pPr>
      <w:r>
        <w:rPr>
          <w:rFonts w:hint="eastAsia" w:hAnsi="宋体"/>
          <w:szCs w:val="21"/>
        </w:rPr>
        <w:t>第二步：葡萄酒制作过程和品种介绍（约20分钟），讲解葡萄酒的制作过程，包括葡萄采摘、发酵、陈酿等环节。介绍不同类型的葡萄酒，如红葡萄酒、白葡萄酒和气泡酒等，讲解其特点和区别；</w:t>
      </w:r>
    </w:p>
    <w:p>
      <w:pPr>
        <w:widowControl/>
        <w:snapToGrid w:val="0"/>
        <w:spacing w:line="360" w:lineRule="auto"/>
        <w:ind w:firstLine="420" w:firstLineChars="200"/>
        <w:jc w:val="left"/>
        <w:rPr>
          <w:rFonts w:hAnsi="宋体"/>
          <w:szCs w:val="21"/>
        </w:rPr>
      </w:pPr>
      <w:r>
        <w:rPr>
          <w:rFonts w:hint="eastAsia" w:hAnsi="宋体"/>
          <w:szCs w:val="21"/>
        </w:rPr>
        <w:t>第三步：品鉴技巧与审美意识（约20分钟），分享葡萄酒品鉴的基本步骤，包括观察、嗅闻、品尝和评价。引导学生学习如何辨识葡萄酒的香气、口感和质地，培养他们的品鉴能力。探讨不同人对葡萄酒的喜好和审美标准的差异，引导学生思考审美的多样性和尊重他人选择的重要性；</w:t>
      </w:r>
    </w:p>
    <w:p>
      <w:pPr>
        <w:widowControl/>
        <w:snapToGrid w:val="0"/>
        <w:spacing w:line="360" w:lineRule="auto"/>
        <w:ind w:firstLine="420" w:firstLineChars="200"/>
        <w:jc w:val="left"/>
        <w:rPr>
          <w:rFonts w:hAnsi="宋体"/>
          <w:szCs w:val="21"/>
        </w:rPr>
      </w:pPr>
      <w:r>
        <w:rPr>
          <w:rFonts w:hint="eastAsia" w:hAnsi="宋体"/>
          <w:szCs w:val="21"/>
        </w:rPr>
        <w:t>第四步：葡萄酒的社会责任（约20分钟），分析葡萄酒行业对社会和环境的影响，包括经济效益、就业机会、文化传承和环境保护等方面。引导学生讨论葡萄酒企业应该承担的社会责任，包括推动可持续发展、参与公益事业和保护文化遗产等。引发学生思考个人在葡萄酒消费和品鉴中应该如何行使社会责任，提倡理性消费和文明品鉴。</w:t>
      </w:r>
    </w:p>
    <w:p>
      <w:pPr>
        <w:widowControl/>
        <w:snapToGrid w:val="0"/>
        <w:spacing w:line="360" w:lineRule="auto"/>
        <w:ind w:firstLine="420" w:firstLineChars="200"/>
        <w:jc w:val="left"/>
        <w:rPr>
          <w:rFonts w:hAnsi="宋体"/>
          <w:szCs w:val="21"/>
        </w:rPr>
      </w:pPr>
      <w:r>
        <w:rPr>
          <w:rFonts w:hint="eastAsia" w:hAnsi="宋体"/>
          <w:szCs w:val="21"/>
        </w:rPr>
        <w:t>第五步：总结与展望（约10分钟），总结葡萄酒品鉴与社会责任的重要性和意义。鼓励学生将所学知识与实际生活相结合，发展自己的品鉴能力和社会责任感。</w:t>
      </w: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bCs/>
          <w:kern w:val="0"/>
          <w:szCs w:val="21"/>
        </w:rPr>
      </w:pPr>
      <w:r>
        <w:rPr>
          <w:rFonts w:hint="eastAsia" w:ascii="宋体" w:hAnsi="宋体"/>
          <w:bCs/>
          <w:kern w:val="0"/>
          <w:szCs w:val="21"/>
        </w:rPr>
        <w:t>理论课教材：《</w:t>
      </w:r>
      <w:r>
        <w:rPr>
          <w:rFonts w:hAnsi="宋体"/>
          <w:bCs/>
          <w:kern w:val="0"/>
          <w:szCs w:val="21"/>
        </w:rPr>
        <w:t>葡萄酒品尝学</w:t>
      </w:r>
      <w:r>
        <w:rPr>
          <w:rFonts w:hint="eastAsia" w:hAnsi="宋体"/>
          <w:bCs/>
          <w:kern w:val="0"/>
          <w:szCs w:val="21"/>
        </w:rPr>
        <w:t>》</w:t>
      </w:r>
      <w:r>
        <w:rPr>
          <w:rFonts w:hAnsi="宋体"/>
          <w:bCs/>
          <w:kern w:val="0"/>
          <w:szCs w:val="21"/>
        </w:rPr>
        <w:t>，李华，科学出版社，</w:t>
      </w:r>
      <w:r>
        <w:rPr>
          <w:bCs/>
          <w:kern w:val="0"/>
          <w:szCs w:val="21"/>
        </w:rPr>
        <w:t>201</w:t>
      </w:r>
      <w:r>
        <w:rPr>
          <w:rFonts w:hint="eastAsia"/>
          <w:bCs/>
          <w:kern w:val="0"/>
          <w:szCs w:val="21"/>
        </w:rPr>
        <w:t>8</w:t>
      </w:r>
      <w:r>
        <w:rPr>
          <w:bCs/>
          <w:kern w:val="0"/>
          <w:szCs w:val="21"/>
        </w:rPr>
        <w:t xml:space="preserve"> </w:t>
      </w:r>
      <w:r>
        <w:rPr>
          <w:rFonts w:hint="eastAsia"/>
          <w:bCs/>
          <w:kern w:val="0"/>
          <w:szCs w:val="21"/>
        </w:rPr>
        <w:t>年</w:t>
      </w:r>
    </w:p>
    <w:p>
      <w:pPr>
        <w:widowControl/>
        <w:snapToGrid w:val="0"/>
        <w:spacing w:line="360" w:lineRule="auto"/>
        <w:ind w:firstLine="1680" w:firstLineChars="800"/>
        <w:jc w:val="left"/>
        <w:rPr>
          <w:bCs/>
          <w:kern w:val="0"/>
          <w:szCs w:val="21"/>
        </w:rPr>
      </w:pPr>
      <w:r>
        <w:rPr>
          <w:rFonts w:hint="eastAsia" w:hAnsi="宋体"/>
          <w:bCs/>
          <w:kern w:val="0"/>
          <w:szCs w:val="21"/>
        </w:rPr>
        <w:t>《</w:t>
      </w:r>
      <w:r>
        <w:rPr>
          <w:rFonts w:hAnsi="宋体"/>
          <w:bCs/>
          <w:kern w:val="0"/>
          <w:szCs w:val="21"/>
        </w:rPr>
        <w:t>酿酒葡萄品种学</w:t>
      </w:r>
      <w:r>
        <w:rPr>
          <w:rFonts w:hint="eastAsia" w:hAnsi="宋体"/>
          <w:bCs/>
          <w:kern w:val="0"/>
          <w:szCs w:val="21"/>
        </w:rPr>
        <w:t>》</w:t>
      </w:r>
      <w:r>
        <w:rPr>
          <w:rFonts w:hAnsi="宋体"/>
          <w:bCs/>
          <w:kern w:val="0"/>
          <w:szCs w:val="21"/>
        </w:rPr>
        <w:t>，战吉宬，中国农业大学出版社，</w:t>
      </w:r>
      <w:r>
        <w:rPr>
          <w:bCs/>
          <w:kern w:val="0"/>
          <w:szCs w:val="21"/>
        </w:rPr>
        <w:t>20</w:t>
      </w:r>
      <w:r>
        <w:rPr>
          <w:rFonts w:hint="eastAsia"/>
          <w:bCs/>
          <w:kern w:val="0"/>
          <w:szCs w:val="21"/>
        </w:rPr>
        <w:t>20</w:t>
      </w:r>
      <w:r>
        <w:rPr>
          <w:bCs/>
          <w:kern w:val="0"/>
          <w:szCs w:val="21"/>
        </w:rPr>
        <w:t xml:space="preserve"> </w:t>
      </w:r>
      <w:r>
        <w:rPr>
          <w:rFonts w:hint="eastAsia"/>
          <w:bCs/>
          <w:kern w:val="0"/>
          <w:szCs w:val="21"/>
        </w:rPr>
        <w:t>年</w:t>
      </w:r>
    </w:p>
    <w:p>
      <w:pPr>
        <w:widowControl/>
        <w:snapToGrid w:val="0"/>
        <w:spacing w:line="360" w:lineRule="auto"/>
        <w:ind w:firstLine="1680" w:firstLineChars="800"/>
        <w:jc w:val="left"/>
        <w:rPr>
          <w:bCs/>
          <w:kern w:val="0"/>
          <w:szCs w:val="21"/>
        </w:rPr>
      </w:pPr>
      <w:r>
        <w:rPr>
          <w:rFonts w:hint="eastAsia" w:hAnsi="宋体"/>
          <w:bCs/>
          <w:kern w:val="0"/>
          <w:szCs w:val="21"/>
        </w:rPr>
        <w:t>《</w:t>
      </w:r>
      <w:r>
        <w:rPr>
          <w:rFonts w:hAnsi="宋体"/>
          <w:bCs/>
          <w:kern w:val="0"/>
          <w:szCs w:val="21"/>
        </w:rPr>
        <w:t>葡萄酒工艺学</w:t>
      </w:r>
      <w:r>
        <w:rPr>
          <w:rFonts w:hint="eastAsia" w:hAnsi="宋体"/>
          <w:bCs/>
          <w:kern w:val="0"/>
          <w:szCs w:val="21"/>
        </w:rPr>
        <w:t>》</w:t>
      </w:r>
      <w:r>
        <w:rPr>
          <w:rFonts w:hAnsi="宋体"/>
          <w:bCs/>
          <w:kern w:val="0"/>
          <w:szCs w:val="21"/>
        </w:rPr>
        <w:t>，李华，科学出版社，</w:t>
      </w:r>
      <w:r>
        <w:rPr>
          <w:bCs/>
          <w:kern w:val="0"/>
          <w:szCs w:val="21"/>
        </w:rPr>
        <w:t>20</w:t>
      </w:r>
      <w:r>
        <w:rPr>
          <w:rFonts w:hint="eastAsia"/>
          <w:bCs/>
          <w:kern w:val="0"/>
          <w:szCs w:val="21"/>
        </w:rPr>
        <w:t>21</w:t>
      </w:r>
      <w:r>
        <w:rPr>
          <w:bCs/>
          <w:kern w:val="0"/>
          <w:szCs w:val="21"/>
        </w:rPr>
        <w:t xml:space="preserve"> </w:t>
      </w:r>
      <w:r>
        <w:rPr>
          <w:rFonts w:hint="eastAsia"/>
          <w:bCs/>
          <w:kern w:val="0"/>
          <w:szCs w:val="21"/>
        </w:rPr>
        <w:t>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widowControl/>
        <w:snapToGrid w:val="0"/>
        <w:spacing w:line="360" w:lineRule="auto"/>
        <w:ind w:firstLine="420" w:firstLineChars="200"/>
        <w:rPr>
          <w:rFonts w:ascii="宋体" w:hAnsi="宋体"/>
          <w:bCs/>
          <w:szCs w:val="21"/>
        </w:rPr>
      </w:pPr>
      <w:r>
        <w:rPr>
          <w:rFonts w:hint="eastAsia" w:ascii="宋体" w:hAnsi="宋体"/>
          <w:bCs/>
          <w:szCs w:val="21"/>
        </w:rPr>
        <w:t>（</w:t>
      </w:r>
      <w:r>
        <w:rPr>
          <w:rFonts w:ascii="宋体" w:hAnsi="宋体"/>
          <w:bCs/>
          <w:szCs w:val="21"/>
        </w:rPr>
        <w:t>1</w:t>
      </w:r>
      <w:r>
        <w:rPr>
          <w:rFonts w:hint="eastAsia" w:ascii="宋体" w:hAnsi="宋体"/>
          <w:bCs/>
          <w:szCs w:val="21"/>
        </w:rPr>
        <w:t>）《</w:t>
      </w:r>
      <w:r>
        <w:rPr>
          <w:rFonts w:hAnsi="宋体"/>
          <w:bCs/>
          <w:kern w:val="0"/>
          <w:szCs w:val="21"/>
        </w:rPr>
        <w:t>葡萄酒的品尝：一本专业的学习手册</w:t>
      </w:r>
      <w:r>
        <w:rPr>
          <w:rFonts w:hint="eastAsia" w:hAnsi="宋体"/>
          <w:bCs/>
          <w:kern w:val="0"/>
          <w:szCs w:val="21"/>
        </w:rPr>
        <w:t>》</w:t>
      </w:r>
      <w:r>
        <w:rPr>
          <w:rFonts w:hAnsi="宋体"/>
          <w:bCs/>
          <w:kern w:val="0"/>
          <w:szCs w:val="21"/>
        </w:rPr>
        <w:t>（</w:t>
      </w:r>
      <w:r>
        <w:rPr>
          <w:bCs/>
          <w:kern w:val="0"/>
          <w:szCs w:val="21"/>
        </w:rPr>
        <w:t>Wine Tasting A Professional Handbook</w:t>
      </w:r>
      <w:r>
        <w:rPr>
          <w:rFonts w:hAnsi="宋体"/>
          <w:bCs/>
          <w:kern w:val="0"/>
          <w:szCs w:val="21"/>
        </w:rPr>
        <w:t>），</w:t>
      </w:r>
      <w:r>
        <w:rPr>
          <w:bCs/>
          <w:kern w:val="0"/>
          <w:szCs w:val="21"/>
        </w:rPr>
        <w:t>Ronald S.Jackson</w:t>
      </w:r>
      <w:r>
        <w:rPr>
          <w:rFonts w:hAnsi="宋体"/>
          <w:bCs/>
          <w:kern w:val="0"/>
          <w:szCs w:val="21"/>
        </w:rPr>
        <w:t>，中国农业大学出版社，</w:t>
      </w:r>
      <w:r>
        <w:rPr>
          <w:bCs/>
          <w:kern w:val="0"/>
          <w:szCs w:val="21"/>
        </w:rPr>
        <w:t>2009</w:t>
      </w:r>
      <w:r>
        <w:rPr>
          <w:rFonts w:hint="eastAsia" w:ascii="宋体" w:hAnsi="宋体"/>
          <w:bCs/>
          <w:szCs w:val="21"/>
        </w:rPr>
        <w:t>年</w:t>
      </w:r>
    </w:p>
    <w:p>
      <w:pPr>
        <w:widowControl/>
        <w:snapToGrid w:val="0"/>
        <w:spacing w:line="360" w:lineRule="auto"/>
        <w:ind w:firstLine="420" w:firstLineChars="200"/>
        <w:rPr>
          <w:rFonts w:ascii="宋体" w:hAnsi="宋体"/>
          <w:bCs/>
          <w:szCs w:val="21"/>
        </w:rPr>
      </w:pPr>
      <w:r>
        <w:rPr>
          <w:rFonts w:hint="eastAsia" w:ascii="宋体" w:hAnsi="宋体"/>
          <w:bCs/>
          <w:szCs w:val="21"/>
        </w:rPr>
        <w:t>（2）《</w:t>
      </w:r>
      <w:r>
        <w:rPr>
          <w:rFonts w:hAnsi="宋体"/>
          <w:bCs/>
          <w:kern w:val="0"/>
          <w:szCs w:val="21"/>
        </w:rPr>
        <w:t>世界葡萄酒地图</w:t>
      </w:r>
      <w:r>
        <w:rPr>
          <w:rFonts w:hint="eastAsia" w:hAnsi="宋体"/>
          <w:bCs/>
          <w:kern w:val="0"/>
          <w:szCs w:val="21"/>
        </w:rPr>
        <w:t>》</w:t>
      </w:r>
      <w:r>
        <w:rPr>
          <w:rFonts w:hAnsi="宋体"/>
          <w:bCs/>
          <w:kern w:val="0"/>
          <w:szCs w:val="21"/>
        </w:rPr>
        <w:t>，</w:t>
      </w:r>
      <w:r>
        <w:rPr>
          <w:bCs/>
          <w:kern w:val="0"/>
          <w:szCs w:val="21"/>
        </w:rPr>
        <w:t>Hugh Johnson</w:t>
      </w:r>
      <w:r>
        <w:rPr>
          <w:rFonts w:hAnsi="宋体"/>
          <w:bCs/>
          <w:kern w:val="0"/>
          <w:szCs w:val="21"/>
        </w:rPr>
        <w:t>，中信出版社，</w:t>
      </w:r>
      <w:r>
        <w:rPr>
          <w:bCs/>
          <w:kern w:val="0"/>
          <w:szCs w:val="21"/>
        </w:rPr>
        <w:t>2014</w:t>
      </w:r>
      <w:r>
        <w:rPr>
          <w:rFonts w:hint="eastAsia" w:ascii="宋体" w:hAnsi="宋体"/>
          <w:bCs/>
          <w:szCs w:val="21"/>
        </w:rPr>
        <w:t>年</w:t>
      </w:r>
    </w:p>
    <w:p>
      <w:pPr>
        <w:snapToGrid w:val="0"/>
        <w:spacing w:line="360" w:lineRule="auto"/>
        <w:ind w:firstLine="420" w:firstLineChars="200"/>
        <w:rPr>
          <w:rFonts w:ascii="宋体" w:hAnsi="宋体"/>
          <w:bCs/>
          <w:color w:val="0000FF"/>
          <w:kern w:val="0"/>
          <w:szCs w:val="21"/>
        </w:rPr>
      </w:pPr>
      <w:r>
        <w:rPr>
          <w:rFonts w:hint="eastAsia" w:ascii="宋体" w:hAnsi="宋体"/>
          <w:bCs/>
          <w:szCs w:val="21"/>
        </w:rPr>
        <w:t>（3）《</w:t>
      </w:r>
      <w:r>
        <w:rPr>
          <w:rFonts w:hAnsi="宋体"/>
          <w:bCs/>
          <w:kern w:val="0"/>
          <w:szCs w:val="21"/>
        </w:rPr>
        <w:t>东品西酿</w:t>
      </w:r>
      <w:r>
        <w:rPr>
          <w:rFonts w:hint="eastAsia" w:hAnsi="宋体"/>
          <w:bCs/>
          <w:kern w:val="0"/>
          <w:szCs w:val="21"/>
        </w:rPr>
        <w:t>》</w:t>
      </w:r>
      <w:r>
        <w:rPr>
          <w:rFonts w:hAnsi="宋体"/>
          <w:bCs/>
          <w:kern w:val="0"/>
          <w:szCs w:val="21"/>
        </w:rPr>
        <w:t>，</w:t>
      </w:r>
      <w:r>
        <w:rPr>
          <w:rFonts w:hint="eastAsia"/>
          <w:bCs/>
          <w:kern w:val="0"/>
          <w:szCs w:val="21"/>
        </w:rPr>
        <w:t>（</w:t>
      </w:r>
      <w:r>
        <w:rPr>
          <w:rFonts w:hAnsi="宋体"/>
          <w:bCs/>
          <w:kern w:val="0"/>
          <w:szCs w:val="21"/>
        </w:rPr>
        <w:t>李志延</w:t>
      </w:r>
      <w:r>
        <w:rPr>
          <w:rFonts w:hint="eastAsia"/>
          <w:bCs/>
          <w:kern w:val="0"/>
          <w:szCs w:val="21"/>
        </w:rPr>
        <w:t>）</w:t>
      </w:r>
      <w:r>
        <w:rPr>
          <w:rFonts w:hAnsi="宋体"/>
          <w:bCs/>
          <w:kern w:val="0"/>
          <w:szCs w:val="21"/>
        </w:rPr>
        <w:t>韩，中信出版社，</w:t>
      </w:r>
      <w:r>
        <w:rPr>
          <w:bCs/>
          <w:kern w:val="0"/>
          <w:szCs w:val="21"/>
        </w:rPr>
        <w:t>2012</w:t>
      </w:r>
      <w:r>
        <w:rPr>
          <w:rFonts w:hint="eastAsia" w:ascii="宋体" w:hAnsi="宋体"/>
          <w:bCs/>
          <w:szCs w:val="21"/>
        </w:rPr>
        <w:t>年</w:t>
      </w: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widowControl/>
        <w:snapToGrid w:val="0"/>
        <w:spacing w:line="360" w:lineRule="auto"/>
        <w:ind w:firstLine="420" w:firstLineChars="200"/>
        <w:rPr>
          <w:rFonts w:ascii="宋体" w:hAnsi="宋体"/>
          <w:bCs/>
          <w:szCs w:val="21"/>
        </w:rPr>
      </w:pPr>
      <w:r>
        <w:rPr>
          <w:rFonts w:hint="eastAsia" w:ascii="宋体" w:hAnsi="宋体"/>
          <w:bCs/>
          <w:szCs w:val="21"/>
        </w:rPr>
        <w:t xml:space="preserve">（1） </w:t>
      </w:r>
      <w:r>
        <w:rPr>
          <w:rFonts w:ascii="宋体" w:hAnsi="宋体"/>
          <w:bCs/>
          <w:szCs w:val="21"/>
        </w:rPr>
        <w:t>世界红酒网，</w:t>
      </w:r>
      <w:r>
        <w:fldChar w:fldCharType="begin"/>
      </w:r>
      <w:r>
        <w:instrText xml:space="preserve"> HYPERLINK "http://www.wine-world.com/" </w:instrText>
      </w:r>
      <w:r>
        <w:fldChar w:fldCharType="separate"/>
      </w:r>
      <w:r>
        <w:rPr>
          <w:rStyle w:val="27"/>
          <w:rFonts w:ascii="宋体" w:hAnsi="宋体"/>
          <w:bCs/>
          <w:color w:val="000000" w:themeColor="text1"/>
          <w:szCs w:val="21"/>
          <w14:textFill>
            <w14:solidFill>
              <w14:schemeClr w14:val="tx1"/>
            </w14:solidFill>
          </w14:textFill>
        </w:rPr>
        <w:t>http://www.wine-world.com/</w:t>
      </w:r>
      <w:r>
        <w:rPr>
          <w:rStyle w:val="27"/>
          <w:rFonts w:ascii="宋体" w:hAnsi="宋体"/>
          <w:bCs/>
          <w:color w:val="000000" w:themeColor="text1"/>
          <w:szCs w:val="21"/>
          <w14:textFill>
            <w14:solidFill>
              <w14:schemeClr w14:val="tx1"/>
            </w14:solidFill>
          </w14:textFill>
        </w:rPr>
        <w:fldChar w:fldCharType="end"/>
      </w:r>
    </w:p>
    <w:p>
      <w:pPr>
        <w:widowControl/>
        <w:snapToGrid w:val="0"/>
        <w:spacing w:line="360" w:lineRule="auto"/>
        <w:ind w:firstLine="420" w:firstLineChars="200"/>
        <w:rPr>
          <w:rFonts w:ascii="宋体" w:hAnsi="宋体"/>
          <w:bCs/>
          <w:szCs w:val="21"/>
        </w:rPr>
      </w:pPr>
      <w:r>
        <w:rPr>
          <w:rFonts w:hint="eastAsia" w:ascii="宋体" w:hAnsi="宋体"/>
          <w:bCs/>
          <w:szCs w:val="21"/>
        </w:rPr>
        <w:t xml:space="preserve">（2） </w:t>
      </w:r>
      <w:r>
        <w:rPr>
          <w:rFonts w:ascii="宋体" w:hAnsi="宋体"/>
          <w:bCs/>
          <w:szCs w:val="21"/>
        </w:rPr>
        <w:t>中国葡萄酒资讯网，</w:t>
      </w:r>
      <w:r>
        <w:fldChar w:fldCharType="begin"/>
      </w:r>
      <w:r>
        <w:instrText xml:space="preserve"> HYPERLINK "http://www.wines-info.com/" </w:instrText>
      </w:r>
      <w:r>
        <w:fldChar w:fldCharType="separate"/>
      </w:r>
      <w:r>
        <w:rPr>
          <w:rStyle w:val="27"/>
          <w:rFonts w:ascii="宋体" w:hAnsi="宋体"/>
          <w:bCs/>
          <w:color w:val="000000" w:themeColor="text1"/>
          <w:szCs w:val="21"/>
          <w14:textFill>
            <w14:solidFill>
              <w14:schemeClr w14:val="tx1"/>
            </w14:solidFill>
          </w14:textFill>
        </w:rPr>
        <w:t>http://www.wines-info.com/</w:t>
      </w:r>
      <w:r>
        <w:rPr>
          <w:rStyle w:val="27"/>
          <w:rFonts w:ascii="宋体" w:hAnsi="宋体"/>
          <w:bCs/>
          <w:color w:val="000000" w:themeColor="text1"/>
          <w:szCs w:val="21"/>
          <w14:textFill>
            <w14:solidFill>
              <w14:schemeClr w14:val="tx1"/>
            </w14:solidFill>
          </w14:textFill>
        </w:rPr>
        <w:fldChar w:fldCharType="end"/>
      </w:r>
    </w:p>
    <w:p>
      <w:pPr>
        <w:widowControl/>
        <w:snapToGrid w:val="0"/>
        <w:spacing w:line="360" w:lineRule="auto"/>
        <w:ind w:firstLine="420" w:firstLineChars="200"/>
        <w:rPr>
          <w:rStyle w:val="27"/>
          <w:color w:val="000000" w:themeColor="text1"/>
          <w14:textFill>
            <w14:solidFill>
              <w14:schemeClr w14:val="tx1"/>
            </w14:solidFill>
          </w14:textFill>
        </w:rPr>
      </w:pPr>
      <w:r>
        <w:rPr>
          <w:rFonts w:hint="eastAsia" w:ascii="宋体" w:hAnsi="宋体"/>
          <w:bCs/>
          <w:szCs w:val="21"/>
        </w:rPr>
        <w:t xml:space="preserve">（3） </w:t>
      </w:r>
      <w:r>
        <w:rPr>
          <w:rStyle w:val="27"/>
          <w:rFonts w:ascii="宋体" w:hAnsi="宋体"/>
          <w:bCs/>
          <w:color w:val="000000" w:themeColor="text1"/>
          <w14:textFill>
            <w14:solidFill>
              <w14:schemeClr w14:val="tx1"/>
            </w14:solidFill>
          </w14:textFill>
        </w:rPr>
        <w:t>International Organization of Vine and Wine，http://www.oiv.int/</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szCs w:val="21"/>
        </w:rPr>
      </w:pPr>
      <w:r>
        <w:rPr>
          <w:rFonts w:hint="eastAsia" w:ascii="宋体" w:hAnsi="宋体"/>
          <w:bCs/>
          <w:szCs w:val="21"/>
        </w:rPr>
        <w:t>教学设施完备，教学条件优良，教师结构合理。目前河南农业大学龙子湖校区力行楼建立葡萄酒教学实验室，向企业定制了一批葡萄除梗破碎机、控温发酵罐、压榨机等葡萄酒发酵设备，同时也购买了恒温酒柜、冰箱、无菌操作台、葡萄酒灌装机、酒鼻子等全套教学设备，能够满足葡萄发酵和分析检测等本科教学任务。</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ascii="宋体" w:hAnsi="宋体"/>
          <w:color w:val="FF0000"/>
        </w:rPr>
      </w:pPr>
      <w:r>
        <w:rPr>
          <w:rFonts w:hint="eastAsia" w:hAnsi="宋体"/>
          <w:b/>
          <w:bCs/>
          <w:kern w:val="0"/>
          <w:szCs w:val="21"/>
        </w:rPr>
        <w:t>1.过程性评价：</w:t>
      </w:r>
    </w:p>
    <w:p>
      <w:pPr>
        <w:widowControl/>
        <w:snapToGrid w:val="0"/>
        <w:spacing w:line="360" w:lineRule="auto"/>
        <w:ind w:firstLine="420"/>
        <w:jc w:val="left"/>
      </w:pPr>
      <w:r>
        <w:rPr>
          <w:rFonts w:hint="eastAsia"/>
        </w:rPr>
        <w:t>教学评价不再唯分数论，以分数评价学生表现，综合考虑课堂表现、创新能力、动手能力等多重因素，更加注重过程性评价。利用现代信息技术手段，实施课堂教学动态评价，推进教学评价由结果评价向过程评价、硬性评价向弹性评价转变。建立学习效果多元评价机制，完善学业考核评价体系，鼓励学生通过参加竞赛活动、社会实践、科学研究、创新创业等获取学分。</w:t>
      </w:r>
    </w:p>
    <w:p>
      <w:pPr>
        <w:widowControl/>
        <w:snapToGrid w:val="0"/>
        <w:spacing w:line="360" w:lineRule="auto"/>
        <w:ind w:firstLine="420"/>
        <w:jc w:val="left"/>
      </w:pPr>
      <w:r>
        <w:rPr>
          <w:rFonts w:hint="eastAsia"/>
        </w:rPr>
        <w:t>结合课堂提问、课后作业、平时测验、案例分析、实际操作训练、考试情况综合评价学生成绩。具体考核方案为：平时成绩100分，包含出勤情况及课堂表现20%，课堂实训40%，课后作业论文40%；期末终结性考核（论文）100分。</w:t>
      </w:r>
    </w:p>
    <w:p>
      <w:pPr>
        <w:widowControl/>
        <w:tabs>
          <w:tab w:val="left" w:pos="7250"/>
        </w:tabs>
        <w:snapToGrid w:val="0"/>
        <w:spacing w:line="360" w:lineRule="auto"/>
        <w:ind w:firstLine="420"/>
        <w:jc w:val="left"/>
        <w:rPr>
          <w:rFonts w:hAnsi="宋体"/>
          <w:b/>
          <w:bCs/>
          <w:kern w:val="0"/>
          <w:szCs w:val="21"/>
        </w:rPr>
      </w:pPr>
      <w:r>
        <w:rPr>
          <w:rFonts w:hint="eastAsia" w:hAnsi="宋体"/>
          <w:b/>
          <w:bCs/>
          <w:kern w:val="0"/>
          <w:szCs w:val="21"/>
        </w:rPr>
        <w:t>2.终结性评价：</w:t>
      </w:r>
      <w:r>
        <w:rPr>
          <w:rFonts w:hint="eastAsia" w:ascii="宋体" w:hAnsi="宋体"/>
          <w:bCs/>
          <w:szCs w:val="21"/>
        </w:rPr>
        <w:t>本门课程考试方法为课程论文形式。包含课程过程中的3-4篇小论文，课程结束后的结课论文。</w:t>
      </w:r>
      <w:r>
        <w:rPr>
          <w:rFonts w:ascii="宋体" w:hAnsi="宋体"/>
        </w:rPr>
        <w:tab/>
      </w:r>
    </w:p>
    <w:p>
      <w:pPr>
        <w:widowControl/>
        <w:snapToGrid w:val="0"/>
        <w:spacing w:line="360" w:lineRule="auto"/>
        <w:ind w:firstLine="420"/>
        <w:jc w:val="left"/>
        <w:rPr>
          <w:rFonts w:asciiTheme="minorEastAsia" w:hAnsiTheme="minorEastAsia"/>
          <w:szCs w:val="21"/>
        </w:rPr>
      </w:pPr>
      <w:r>
        <w:rPr>
          <w:rFonts w:hint="eastAsia" w:hAnsi="宋体"/>
          <w:b/>
          <w:bCs/>
          <w:kern w:val="0"/>
          <w:szCs w:val="21"/>
        </w:rPr>
        <w:t>3.课程综合评价：</w:t>
      </w:r>
      <w:r>
        <w:rPr>
          <w:rFonts w:hint="eastAsia" w:ascii="宋体" w:hAnsi="宋体"/>
          <w:bCs/>
          <w:szCs w:val="21"/>
        </w:rPr>
        <w:t>总成绩=平时成绩 50％＋结课论文成绩 50％。过程性评价主要考核学生的学习态度、辩证思维、分析解决问题和实践操作能力。终结性评价主要考研学生对本科课程知识体系的掌握。</w:t>
      </w:r>
    </w:p>
    <w:p>
      <w:pPr>
        <w:pStyle w:val="21"/>
        <w:rPr>
          <w:sz w:val="28"/>
          <w:szCs w:val="28"/>
        </w:rPr>
      </w:pPr>
      <w:bookmarkStart w:id="290" w:name="_Toc138070708"/>
      <w:bookmarkStart w:id="291" w:name="_Toc138076078"/>
      <w:bookmarkStart w:id="292" w:name="_Toc138076622"/>
      <w:bookmarkStart w:id="293" w:name="_Toc138068808"/>
      <w:bookmarkStart w:id="294" w:name="_Toc138076327"/>
      <w:bookmarkStart w:id="295" w:name="_Toc138070438"/>
    </w:p>
    <w:p>
      <w:pPr>
        <w:pStyle w:val="21"/>
        <w:rPr>
          <w:sz w:val="28"/>
          <w:szCs w:val="28"/>
        </w:rPr>
      </w:pPr>
    </w:p>
    <w:p>
      <w:pPr>
        <w:pStyle w:val="21"/>
        <w:rPr>
          <w:sz w:val="28"/>
          <w:szCs w:val="28"/>
        </w:rPr>
      </w:pPr>
    </w:p>
    <w:p>
      <w:pPr>
        <w:rPr>
          <w:sz w:val="28"/>
          <w:szCs w:val="28"/>
        </w:rPr>
      </w:pPr>
    </w:p>
    <w:p>
      <w:pPr>
        <w:rPr>
          <w:sz w:val="28"/>
          <w:szCs w:val="28"/>
        </w:rPr>
      </w:pPr>
    </w:p>
    <w:p>
      <w:pPr>
        <w:widowControl/>
        <w:jc w:val="left"/>
        <w:rPr>
          <w:rFonts w:asciiTheme="majorHAnsi" w:hAnsiTheme="majorHAnsi" w:eastAsiaTheme="majorEastAsia" w:cstheme="majorBidi"/>
          <w:b/>
          <w:bCs/>
          <w:sz w:val="28"/>
          <w:szCs w:val="28"/>
        </w:rPr>
      </w:pPr>
      <w:bookmarkStart w:id="296" w:name="_Toc20880"/>
      <w:r>
        <w:rPr>
          <w:sz w:val="28"/>
          <w:szCs w:val="28"/>
        </w:rPr>
        <w:br w:type="page"/>
      </w:r>
    </w:p>
    <w:p>
      <w:pPr>
        <w:pStyle w:val="21"/>
        <w:rPr>
          <w:sz w:val="28"/>
          <w:szCs w:val="28"/>
        </w:rPr>
      </w:pPr>
      <w:r>
        <w:rPr>
          <w:rFonts w:hint="eastAsia"/>
          <w:sz w:val="28"/>
          <w:szCs w:val="28"/>
        </w:rPr>
        <w:t>园艺产业创业案例</w:t>
      </w:r>
      <w:bookmarkEnd w:id="290"/>
      <w:bookmarkEnd w:id="291"/>
      <w:bookmarkEnd w:id="292"/>
      <w:bookmarkEnd w:id="293"/>
      <w:bookmarkEnd w:id="294"/>
      <w:bookmarkEnd w:id="295"/>
      <w:bookmarkEnd w:id="296"/>
    </w:p>
    <w:p>
      <w:pPr>
        <w:snapToGrid w:val="0"/>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Horticultural industry entrepreneurship case</w:t>
      </w:r>
    </w:p>
    <w:p>
      <w:pPr>
        <w:snapToGrid w:val="0"/>
        <w:spacing w:line="360" w:lineRule="auto"/>
        <w:jc w:val="center"/>
        <w:rPr>
          <w:b/>
          <w:color w:val="000000" w:themeColor="text1"/>
          <w:szCs w:val="21"/>
          <w14:textFill>
            <w14:solidFill>
              <w14:schemeClr w14:val="tx1"/>
            </w14:solidFill>
          </w14:textFill>
        </w:rPr>
      </w:pPr>
    </w:p>
    <w:p>
      <w:pPr>
        <w:snapToGrid w:val="0"/>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课程基本信息</w:t>
      </w:r>
    </w:p>
    <w:tbl>
      <w:tblPr>
        <w:tblStyle w:val="22"/>
        <w:tblW w:w="5000" w:type="pct"/>
        <w:tblInd w:w="0" w:type="dxa"/>
        <w:tblLayout w:type="autofit"/>
        <w:tblCellMar>
          <w:top w:w="0" w:type="dxa"/>
          <w:left w:w="108" w:type="dxa"/>
          <w:bottom w:w="0" w:type="dxa"/>
          <w:right w:w="108" w:type="dxa"/>
        </w:tblCellMar>
      </w:tblPr>
      <w:tblGrid>
        <w:gridCol w:w="2912"/>
        <w:gridCol w:w="2782"/>
        <w:gridCol w:w="3422"/>
      </w:tblGrid>
      <w:tr>
        <w:tc>
          <w:tcPr>
            <w:tcW w:w="1597"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课程编号：</w:t>
            </w:r>
            <w:r>
              <w:rPr>
                <w:rFonts w:hint="eastAsia" w:ascii="宋体" w:hAnsi="宋体"/>
                <w:b/>
                <w:color w:val="000000" w:themeColor="text1"/>
                <w:szCs w:val="21"/>
                <w14:textFill>
                  <w14:solidFill>
                    <w14:schemeClr w14:val="tx1"/>
                  </w14:solidFill>
                </w14:textFill>
              </w:rPr>
              <w:t>19011037</w:t>
            </w:r>
          </w:p>
        </w:tc>
        <w:tc>
          <w:tcPr>
            <w:tcW w:w="1526"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课程总学时：</w:t>
            </w:r>
            <w:r>
              <w:rPr>
                <w:rFonts w:hint="eastAsia" w:ascii="宋体" w:hAnsi="宋体"/>
                <w:b/>
                <w:color w:val="000000" w:themeColor="text1"/>
                <w:szCs w:val="21"/>
                <w14:textFill>
                  <w14:solidFill>
                    <w14:schemeClr w14:val="tx1"/>
                  </w14:solidFill>
                </w14:textFill>
              </w:rPr>
              <w:t>24</w:t>
            </w:r>
          </w:p>
        </w:tc>
        <w:tc>
          <w:tcPr>
            <w:tcW w:w="1875"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 xml:space="preserve">实验学时：  </w:t>
            </w:r>
            <w:r>
              <w:rPr>
                <w:rFonts w:hint="eastAsia" w:ascii="宋体" w:hAnsi="宋体"/>
                <w:b/>
                <w:color w:val="000000" w:themeColor="text1"/>
                <w:szCs w:val="21"/>
                <w14:textFill>
                  <w14:solidFill>
                    <w14:schemeClr w14:val="tx1"/>
                  </w14:solidFill>
                </w14:textFill>
              </w:rPr>
              <w:t>0  学时</w:t>
            </w:r>
          </w:p>
        </w:tc>
      </w:tr>
      <w:tr>
        <w:tblPrEx>
          <w:tblCellMar>
            <w:top w:w="0" w:type="dxa"/>
            <w:left w:w="108" w:type="dxa"/>
            <w:bottom w:w="0" w:type="dxa"/>
            <w:right w:w="108" w:type="dxa"/>
          </w:tblCellMar>
        </w:tblPrEx>
        <w:tc>
          <w:tcPr>
            <w:tcW w:w="1597"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hAnsi="宋体"/>
                <w:b/>
                <w:bCs/>
                <w:color w:val="000000" w:themeColor="text1"/>
                <w:szCs w:val="21"/>
                <w14:textFill>
                  <w14:solidFill>
                    <w14:schemeClr w14:val="tx1"/>
                  </w14:solidFill>
                </w14:textFill>
              </w:rPr>
              <w:t>选修</w:t>
            </w:r>
          </w:p>
        </w:tc>
        <w:tc>
          <w:tcPr>
            <w:tcW w:w="1526"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课程属性:</w:t>
            </w:r>
            <w:r>
              <w:rPr>
                <w:rFonts w:hint="eastAsia" w:ascii="宋体" w:hAnsi="宋体"/>
                <w:b/>
                <w:bCs/>
                <w:szCs w:val="21"/>
              </w:rPr>
              <w:t>创业教育</w:t>
            </w:r>
            <w:r>
              <w:rPr>
                <w:rFonts w:hint="eastAsia" w:ascii="宋体" w:hAnsi="宋体"/>
                <w:b/>
                <w:color w:val="000000" w:themeColor="text1"/>
                <w:szCs w:val="21"/>
                <w14:textFill>
                  <w14:solidFill>
                    <w14:schemeClr w14:val="tx1"/>
                  </w14:solidFill>
                </w14:textFill>
              </w:rPr>
              <w:t>类</w:t>
            </w:r>
          </w:p>
        </w:tc>
        <w:tc>
          <w:tcPr>
            <w:tcW w:w="1875"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开设学期：</w:t>
            </w:r>
            <w:r>
              <w:rPr>
                <w:rFonts w:hint="eastAsia" w:ascii="宋体" w:hAnsi="宋体"/>
                <w:b/>
                <w:color w:val="000000" w:themeColor="text1"/>
                <w:szCs w:val="21"/>
                <w14:textFill>
                  <w14:solidFill>
                    <w14:schemeClr w14:val="tx1"/>
                  </w14:solidFill>
                </w14:textFill>
              </w:rPr>
              <w:t>第 8 学期</w:t>
            </w:r>
          </w:p>
        </w:tc>
      </w:tr>
      <w:tr>
        <w:tblPrEx>
          <w:tblCellMar>
            <w:top w:w="0" w:type="dxa"/>
            <w:left w:w="108" w:type="dxa"/>
            <w:bottom w:w="0" w:type="dxa"/>
            <w:right w:w="108" w:type="dxa"/>
          </w:tblCellMar>
        </w:tblPrEx>
        <w:tc>
          <w:tcPr>
            <w:tcW w:w="1597"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课程负责人：</w:t>
            </w:r>
            <w:r>
              <w:rPr>
                <w:rFonts w:hint="eastAsia" w:ascii="宋体" w:hAnsi="宋体"/>
                <w:b/>
                <w:color w:val="000000" w:themeColor="text1"/>
                <w:szCs w:val="21"/>
                <w14:textFill>
                  <w14:solidFill>
                    <w14:schemeClr w14:val="tx1"/>
                  </w14:solidFill>
                </w14:textFill>
              </w:rPr>
              <w:t>马长生</w:t>
            </w:r>
          </w:p>
        </w:tc>
        <w:tc>
          <w:tcPr>
            <w:tcW w:w="1526"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课程团队：</w:t>
            </w:r>
            <w:r>
              <w:rPr>
                <w:rFonts w:hint="eastAsia" w:ascii="宋体" w:hAnsi="宋体"/>
                <w:b/>
                <w:color w:val="000000" w:themeColor="text1"/>
                <w:szCs w:val="21"/>
                <w14:textFill>
                  <w14:solidFill>
                    <w14:schemeClr w14:val="tx1"/>
                  </w14:solidFill>
                </w14:textFill>
              </w:rPr>
              <w:t>王永，张涛</w:t>
            </w:r>
          </w:p>
        </w:tc>
        <w:tc>
          <w:tcPr>
            <w:tcW w:w="1875"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授课语言：</w:t>
            </w:r>
            <w:r>
              <w:rPr>
                <w:rFonts w:hint="eastAsia" w:ascii="宋体" w:hAnsi="宋体"/>
                <w:b/>
                <w:color w:val="000000" w:themeColor="text1"/>
                <w:szCs w:val="21"/>
                <w14:textFill>
                  <w14:solidFill>
                    <w14:schemeClr w14:val="tx1"/>
                  </w14:solidFill>
                </w14:textFill>
              </w:rPr>
              <w:t>中文</w:t>
            </w:r>
          </w:p>
        </w:tc>
      </w:tr>
      <w:tr>
        <w:tblPrEx>
          <w:tblCellMar>
            <w:top w:w="0" w:type="dxa"/>
            <w:left w:w="108" w:type="dxa"/>
            <w:bottom w:w="0" w:type="dxa"/>
            <w:right w:w="108" w:type="dxa"/>
          </w:tblCellMar>
        </w:tblPrEx>
        <w:tc>
          <w:tcPr>
            <w:tcW w:w="5000" w:type="pct"/>
            <w:gridSpan w:val="3"/>
          </w:tcPr>
          <w:p>
            <w:pPr>
              <w:spacing w:line="360" w:lineRule="auto"/>
              <w:ind w:right="-170" w:rightChars="-81"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适用专业：</w:t>
            </w:r>
            <w:r>
              <w:rPr>
                <w:rFonts w:hint="eastAsia" w:ascii="宋体" w:hAnsi="宋体"/>
                <w:b/>
                <w:color w:val="000000" w:themeColor="text1"/>
                <w:szCs w:val="21"/>
                <w14:textFill>
                  <w14:solidFill>
                    <w14:schemeClr w14:val="tx1"/>
                  </w14:solidFill>
                </w14:textFill>
              </w:rPr>
              <w:t>园艺本科、设施园艺</w:t>
            </w:r>
          </w:p>
        </w:tc>
      </w:tr>
      <w:tr>
        <w:tblPrEx>
          <w:tblCellMar>
            <w:top w:w="0" w:type="dxa"/>
            <w:left w:w="108" w:type="dxa"/>
            <w:bottom w:w="0" w:type="dxa"/>
            <w:right w:w="108" w:type="dxa"/>
          </w:tblCellMar>
        </w:tblPrEx>
        <w:tc>
          <w:tcPr>
            <w:tcW w:w="5000" w:type="pct"/>
            <w:gridSpan w:val="3"/>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对先修的要求：</w:t>
            </w:r>
            <w:r>
              <w:rPr>
                <w:rFonts w:hint="eastAsia" w:ascii="宋体" w:hAnsi="宋体"/>
                <w:b/>
                <w:color w:val="000000" w:themeColor="text1"/>
                <w:szCs w:val="21"/>
                <w14:textFill>
                  <w14:solidFill>
                    <w14:schemeClr w14:val="tx1"/>
                  </w14:solidFill>
                </w14:textFill>
              </w:rPr>
              <w:t>蔬菜栽培学、果树栽培学、花卉栽培学、园艺植物育种学</w:t>
            </w:r>
          </w:p>
        </w:tc>
      </w:tr>
      <w:tr>
        <w:tblPrEx>
          <w:tblCellMar>
            <w:top w:w="0" w:type="dxa"/>
            <w:left w:w="108" w:type="dxa"/>
            <w:bottom w:w="0" w:type="dxa"/>
            <w:right w:w="108" w:type="dxa"/>
          </w:tblCellMar>
        </w:tblPrEx>
        <w:tc>
          <w:tcPr>
            <w:tcW w:w="5000" w:type="pct"/>
            <w:gridSpan w:val="3"/>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对后续的支撑：无</w:t>
            </w:r>
          </w:p>
        </w:tc>
      </w:tr>
      <w:tr>
        <w:tblPrEx>
          <w:tblCellMar>
            <w:top w:w="0" w:type="dxa"/>
            <w:left w:w="108" w:type="dxa"/>
            <w:bottom w:w="0" w:type="dxa"/>
            <w:right w:w="108" w:type="dxa"/>
          </w:tblCellMar>
        </w:tblPrEx>
        <w:tc>
          <w:tcPr>
            <w:tcW w:w="1597"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主撰人：</w:t>
            </w:r>
            <w:r>
              <w:rPr>
                <w:rFonts w:hint="eastAsia" w:ascii="宋体" w:hAnsi="宋体"/>
                <w:b/>
                <w:color w:val="000000" w:themeColor="text1"/>
                <w:szCs w:val="21"/>
                <w14:textFill>
                  <w14:solidFill>
                    <w14:schemeClr w14:val="tx1"/>
                  </w14:solidFill>
                </w14:textFill>
              </w:rPr>
              <w:t>王永，张涛</w:t>
            </w:r>
          </w:p>
        </w:tc>
        <w:tc>
          <w:tcPr>
            <w:tcW w:w="1526"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审核人：</w:t>
            </w:r>
            <w:r>
              <w:rPr>
                <w:rFonts w:hint="eastAsia" w:ascii="宋体" w:hAnsi="宋体"/>
                <w:b/>
                <w:color w:val="000000" w:themeColor="text1"/>
                <w:szCs w:val="21"/>
                <w14:textFill>
                  <w14:solidFill>
                    <w14:schemeClr w14:val="tx1"/>
                  </w14:solidFill>
                </w14:textFill>
              </w:rPr>
              <w:t>马长生</w:t>
            </w:r>
          </w:p>
        </w:tc>
        <w:tc>
          <w:tcPr>
            <w:tcW w:w="1875" w:type="pct"/>
          </w:tcPr>
          <w:p>
            <w:pPr>
              <w:spacing w:line="36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大纲制定（修订）日期：</w:t>
            </w:r>
            <w:r>
              <w:rPr>
                <w:rFonts w:hint="eastAsia" w:ascii="宋体" w:hAnsi="宋体"/>
                <w:b/>
                <w:color w:val="000000" w:themeColor="text1"/>
                <w:szCs w:val="21"/>
                <w14:textFill>
                  <w14:solidFill>
                    <w14:schemeClr w14:val="tx1"/>
                  </w14:solidFill>
                </w14:textFill>
              </w:rPr>
              <w:t>2023.05</w:t>
            </w:r>
          </w:p>
        </w:tc>
      </w:tr>
    </w:tbl>
    <w:p>
      <w:pPr>
        <w:widowControl/>
        <w:snapToGrid w:val="0"/>
        <w:spacing w:line="360" w:lineRule="auto"/>
        <w:jc w:val="left"/>
        <w:rPr>
          <w:rFonts w:hAnsi="宋体"/>
          <w:b/>
          <w:bCs/>
          <w:color w:val="000000" w:themeColor="text1"/>
          <w:kern w:val="0"/>
          <w:szCs w:val="21"/>
          <w14:textFill>
            <w14:solidFill>
              <w14:schemeClr w14:val="tx1"/>
            </w14:solidFill>
          </w14:textFill>
        </w:rPr>
      </w:pPr>
    </w:p>
    <w:p>
      <w:pPr>
        <w:widowControl/>
        <w:snapToGrid w:val="0"/>
        <w:spacing w:line="360" w:lineRule="auto"/>
        <w:jc w:val="left"/>
        <w:rPr>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一、课程的</w:t>
      </w:r>
      <w:r>
        <w:rPr>
          <w:rFonts w:hint="eastAsia" w:hAnsi="宋体"/>
          <w:b/>
          <w:bCs/>
          <w:color w:val="000000" w:themeColor="text1"/>
          <w:kern w:val="0"/>
          <w:szCs w:val="21"/>
          <w14:textFill>
            <w14:solidFill>
              <w14:schemeClr w14:val="tx1"/>
            </w14:solidFill>
          </w14:textFill>
        </w:rPr>
        <w:t>教学理念、性质、目标和</w:t>
      </w:r>
      <w:r>
        <w:rPr>
          <w:rFonts w:hAnsi="宋体"/>
          <w:b/>
          <w:bCs/>
          <w:color w:val="000000" w:themeColor="text1"/>
          <w:kern w:val="0"/>
          <w:szCs w:val="21"/>
          <w14:textFill>
            <w14:solidFill>
              <w14:schemeClr w14:val="tx1"/>
            </w14:solidFill>
          </w14:textFill>
        </w:rPr>
        <w:t>任务</w:t>
      </w:r>
      <w:r>
        <w:rPr>
          <w:rFonts w:hint="eastAsia" w:hAnsi="宋体"/>
          <w:bCs/>
          <w:color w:val="000000" w:themeColor="text1"/>
          <w:kern w:val="0"/>
          <w:szCs w:val="21"/>
          <w14:textFill>
            <w14:solidFill>
              <w14:schemeClr w14:val="tx1"/>
            </w14:solidFill>
          </w14:textFill>
        </w:rPr>
        <w:t>（300-500字，一级标题统一宋体五号字加粗）</w:t>
      </w:r>
      <w:r>
        <w:rPr>
          <w:rFonts w:hint="eastAsia" w:ascii="宋体" w:hAnsi="宋体" w:cs="宋体"/>
          <w:b/>
          <w:bCs/>
          <w:color w:val="000000" w:themeColor="text1"/>
          <w:kern w:val="0"/>
          <w:szCs w:val="21"/>
          <w14:textFill>
            <w14:solidFill>
              <w14:schemeClr w14:val="tx1"/>
            </w14:solidFill>
          </w14:textFill>
        </w:rPr>
        <w:t></w:t>
      </w:r>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园艺产业创业案例》是园艺学专业选修课，是一门对园艺专业学生具有开发创业思维的非常重要的一门课程。本课程对我国园艺产业的规模、现状、存在的问题、发展潜力会有一个总体的概述；对农业（园艺）产业化、园艺产品营销、农产品品牌打造、农业园区实际创业案例等方面进行较多的阐述和分析。通过该课程的学习，将使学生们能较全面地了解园艺产业的整体情况，树立专业信心和行业自信，热爱园艺；同时，具有初步的园艺产业的概念、创业思路和认识，掌握基本的园艺产业的经营运作方法，提高在园艺行业的就业信心和能力；再者，为农业园区、农业企业、农业产业化等培养有高度、有格局的高级从业人才、管理人才和创业人才。</w:t>
      </w:r>
    </w:p>
    <w:p>
      <w:pPr>
        <w:widowControl/>
        <w:snapToGrid w:val="0"/>
        <w:spacing w:line="360" w:lineRule="auto"/>
        <w:jc w:val="left"/>
        <w:rPr>
          <w:color w:val="000000" w:themeColor="text1"/>
          <w:kern w:val="0"/>
          <w:szCs w:val="21"/>
          <w14:textFill>
            <w14:solidFill>
              <w14:schemeClr w14:val="tx1"/>
            </w14:solidFill>
          </w14:textFill>
        </w:rPr>
      </w:pPr>
      <w:r>
        <w:rPr>
          <w:rFonts w:hAnsi="宋体"/>
          <w:b/>
          <w:bCs/>
          <w:color w:val="000000" w:themeColor="text1"/>
          <w:kern w:val="0"/>
          <w:szCs w:val="21"/>
          <w14:textFill>
            <w14:solidFill>
              <w14:schemeClr w14:val="tx1"/>
            </w14:solidFill>
          </w14:textFill>
        </w:rPr>
        <w:t>二、课程教学的基本要求</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r>
        <w:rPr>
          <w:rFonts w:hAnsi="宋体"/>
          <w:color w:val="000000" w:themeColor="text1"/>
          <w:kern w:val="0"/>
          <w:szCs w:val="21"/>
          <w14:textFill>
            <w14:solidFill>
              <w14:schemeClr w14:val="tx1"/>
            </w14:solidFill>
          </w14:textFill>
        </w:rPr>
        <w:t>理论知识方面：</w:t>
      </w:r>
      <w:r>
        <w:rPr>
          <w:rFonts w:hint="eastAsia" w:hAnsi="宋体"/>
          <w:bCs/>
          <w:color w:val="000000" w:themeColor="text1"/>
          <w:kern w:val="0"/>
          <w:szCs w:val="21"/>
          <w14:textFill>
            <w14:solidFill>
              <w14:schemeClr w14:val="tx1"/>
            </w14:solidFill>
          </w14:textFill>
        </w:rPr>
        <w:t>本课程在教学中应注重理论联系实际，配合和落实好学院的“卓越园艺师培养计划”。通过本课程的学习，要打开学生们的思路，开阔学生们的视野，提高学生们学习园艺专业的兴趣，树立学生们的专业自信和行业信心，使学生们具备良好的职业素养和职业能力。</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w:t>
      </w:r>
      <w:r>
        <w:rPr>
          <w:rFonts w:hAnsi="宋体"/>
          <w:color w:val="000000" w:themeColor="text1"/>
          <w:kern w:val="0"/>
          <w:szCs w:val="21"/>
          <w14:textFill>
            <w14:solidFill>
              <w14:schemeClr w14:val="tx1"/>
            </w14:solidFill>
          </w14:textFill>
        </w:rPr>
        <w:t>实验技能方面：</w:t>
      </w:r>
      <w:r>
        <w:rPr>
          <w:rFonts w:hint="eastAsia" w:ascii="宋体" w:hAnsi="宋体"/>
          <w:bCs/>
          <w:color w:val="000000" w:themeColor="text1"/>
          <w:szCs w:val="21"/>
          <w14:textFill>
            <w14:solidFill>
              <w14:schemeClr w14:val="tx1"/>
            </w14:solidFill>
          </w14:textFill>
        </w:rPr>
        <w:t>无</w:t>
      </w:r>
    </w:p>
    <w:p>
      <w:pPr>
        <w:widowControl/>
        <w:snapToGrid w:val="0"/>
        <w:spacing w:line="360" w:lineRule="auto"/>
        <w:jc w:val="left"/>
        <w:rPr>
          <w:rFonts w:hAnsi="宋体"/>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三</w:t>
      </w:r>
      <w:r>
        <w:rPr>
          <w:b/>
          <w:bCs/>
          <w:color w:val="000000" w:themeColor="text1"/>
          <w:kern w:val="0"/>
          <w:szCs w:val="21"/>
          <w14:textFill>
            <w14:solidFill>
              <w14:schemeClr w14:val="tx1"/>
            </w14:solidFill>
          </w14:textFill>
        </w:rPr>
        <w:t>、</w:t>
      </w:r>
      <w:r>
        <w:rPr>
          <w:rFonts w:hint="eastAsia" w:hAnsi="宋体"/>
          <w:b/>
          <w:bCs/>
          <w:color w:val="000000" w:themeColor="text1"/>
          <w:kern w:val="0"/>
          <w:szCs w:val="21"/>
          <w14:textFill>
            <w14:solidFill>
              <w14:schemeClr w14:val="tx1"/>
            </w14:solidFill>
          </w14:textFill>
        </w:rPr>
        <w:t>课程的教学设计</w:t>
      </w:r>
    </w:p>
    <w:p>
      <w:pPr>
        <w:spacing w:line="360" w:lineRule="auto"/>
        <w:ind w:firstLine="420" w:firstLineChars="200"/>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1.教学设计说明</w:t>
      </w:r>
    </w:p>
    <w:p>
      <w:pPr>
        <w:spacing w:line="360" w:lineRule="auto"/>
        <w:ind w:firstLine="420" w:firstLineChars="200"/>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为了有效的完成课程主要目的，本课程主要围绕我国农业（园艺）产业化现状、问题、发展潜力及创业案例等内容，通过课堂讲授、课下拓展与问答（课程交流微信群和超星资源共享群）、小组讨论、个人试讲等方式组织教学活动，积极的提高学生的主动性，注重学生的个人创新和发现问题能力的培养，以平时成绩和最终课程论文成绩系统的评价学生的学习情况。</w:t>
      </w:r>
    </w:p>
    <w:p>
      <w:pPr>
        <w:spacing w:line="360" w:lineRule="auto"/>
        <w:ind w:firstLine="420" w:firstLineChars="200"/>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2.课程目标及对毕业要求的支撑（表格正文宋体小五号字体）</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color w:val="000000" w:themeColor="text1"/>
                <w:sz w:val="18"/>
                <w:szCs w:val="18"/>
                <w14:textFill>
                  <w14:solidFill>
                    <w14:schemeClr w14:val="tx1"/>
                  </w14:solidFill>
                </w14:textFill>
              </w:rPr>
            </w:pPr>
            <w:r>
              <w:rPr>
                <w:rFonts w:hint="eastAsia" w:ascii="宋体" w:hAnsi="宋体" w:cs="宋体"/>
                <w:b/>
                <w:bCs/>
                <w:color w:val="000000" w:themeColor="text1"/>
                <w:sz w:val="18"/>
                <w:szCs w:val="18"/>
                <w14:textFill>
                  <w14:solidFill>
                    <w14:schemeClr w14:val="tx1"/>
                  </w14:solidFill>
                </w14:textFill>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目标</w:t>
            </w:r>
            <w:r>
              <w:rPr>
                <w:rFonts w:eastAsiaTheme="minorEastAsia"/>
                <w:color w:val="000000" w:themeColor="text1"/>
                <w:sz w:val="18"/>
                <w:szCs w:val="18"/>
                <w14:textFill>
                  <w14:solidFill>
                    <w14:schemeClr w14:val="tx1"/>
                  </w14:solidFill>
                </w14:textFill>
              </w:rPr>
              <w:t>1</w:t>
            </w:r>
            <w:r>
              <w:rPr>
                <w:rFonts w:hint="eastAsia" w:eastAsiaTheme="minorEastAsia"/>
                <w:color w:val="000000" w:themeColor="text1"/>
                <w:sz w:val="18"/>
                <w:szCs w:val="18"/>
                <w14:textFill>
                  <w14:solidFill>
                    <w14:schemeClr w14:val="tx1"/>
                  </w14:solidFill>
                </w14:textFill>
              </w:rPr>
              <w:t>：使学生们能较全面地了解园艺产业的整体情况，树立专业信心和行业自信，热爱园艺。</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w:t>
            </w:r>
          </w:p>
        </w:tc>
      </w:tr>
      <w:tr>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highlight w:val="yellow"/>
                <w14:textFill>
                  <w14:solidFill>
                    <w14:schemeClr w14:val="tx1"/>
                  </w14:solidFill>
                </w14:textFill>
              </w:rPr>
            </w:pPr>
            <w:r>
              <w:rPr>
                <w:rFonts w:hAnsiTheme="minorEastAsia" w:eastAsiaTheme="minorEastAsia"/>
                <w:color w:val="000000" w:themeColor="text1"/>
                <w:sz w:val="18"/>
                <w:szCs w:val="18"/>
                <w14:textFill>
                  <w14:solidFill>
                    <w14:schemeClr w14:val="tx1"/>
                  </w14:solidFill>
                </w14:textFill>
              </w:rPr>
              <w:t>目标</w:t>
            </w:r>
            <w:r>
              <w:rPr>
                <w:rFonts w:eastAsiaTheme="minorEastAsia"/>
                <w:color w:val="000000" w:themeColor="text1"/>
                <w:sz w:val="18"/>
                <w:szCs w:val="18"/>
                <w14:textFill>
                  <w14:solidFill>
                    <w14:schemeClr w14:val="tx1"/>
                  </w14:solidFill>
                </w14:textFill>
              </w:rPr>
              <w:t>2</w:t>
            </w:r>
            <w:r>
              <w:rPr>
                <w:rFonts w:hAnsiTheme="minorEastAsia" w:eastAsiaTheme="minorEastAsia"/>
                <w:color w:val="000000" w:themeColor="text1"/>
                <w:sz w:val="18"/>
                <w:szCs w:val="18"/>
                <w14:textFill>
                  <w14:solidFill>
                    <w14:schemeClr w14:val="tx1"/>
                  </w14:solidFill>
                </w14:textFill>
              </w:rPr>
              <w:t>：</w:t>
            </w:r>
            <w:r>
              <w:rPr>
                <w:rFonts w:hint="eastAsia" w:eastAsiaTheme="minorEastAsia"/>
                <w:color w:val="000000" w:themeColor="text1"/>
                <w:sz w:val="18"/>
                <w:szCs w:val="18"/>
                <w14:textFill>
                  <w14:solidFill>
                    <w14:schemeClr w14:val="tx1"/>
                  </w14:solidFill>
                </w14:textFill>
              </w:rPr>
              <w:t>具有初步的园艺产业的概念、创业思路和认识，掌握基本的园艺产业的经营运作方法</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5</w:t>
            </w:r>
          </w:p>
        </w:tc>
      </w:tr>
      <w:tr>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color w:val="000000" w:themeColor="text1"/>
                <w:sz w:val="18"/>
                <w:szCs w:val="18"/>
                <w14:textFill>
                  <w14:solidFill>
                    <w14:schemeClr w14:val="tx1"/>
                  </w14:solidFill>
                </w14:textFill>
              </w:rPr>
            </w:pPr>
            <w:r>
              <w:rPr>
                <w:rFonts w:hAnsiTheme="minorEastAsia" w:eastAsiaTheme="minorEastAsia"/>
                <w:color w:val="000000" w:themeColor="text1"/>
                <w:sz w:val="18"/>
                <w:szCs w:val="18"/>
                <w14:textFill>
                  <w14:solidFill>
                    <w14:schemeClr w14:val="tx1"/>
                  </w14:solidFill>
                </w14:textFill>
              </w:rPr>
              <w:t>例：目标</w:t>
            </w:r>
            <w:r>
              <w:rPr>
                <w:rFonts w:eastAsiaTheme="minorEastAsia"/>
                <w:color w:val="000000" w:themeColor="text1"/>
                <w:sz w:val="18"/>
                <w:szCs w:val="18"/>
                <w14:textFill>
                  <w14:solidFill>
                    <w14:schemeClr w14:val="tx1"/>
                  </w14:solidFill>
                </w14:textFill>
              </w:rPr>
              <w:t>3</w:t>
            </w:r>
            <w:r>
              <w:rPr>
                <w:rFonts w:hAnsiTheme="minorEastAsia" w:eastAsiaTheme="minorEastAsia"/>
                <w:color w:val="000000" w:themeColor="text1"/>
                <w:sz w:val="18"/>
                <w:szCs w:val="18"/>
                <w14:textFill>
                  <w14:solidFill>
                    <w14:schemeClr w14:val="tx1"/>
                  </w14:solidFill>
                </w14:textFill>
              </w:rPr>
              <w:t>：</w:t>
            </w:r>
            <w:r>
              <w:rPr>
                <w:rFonts w:hint="eastAsia" w:eastAsiaTheme="minorEastAsia"/>
                <w:color w:val="000000" w:themeColor="text1"/>
                <w:sz w:val="18"/>
                <w:szCs w:val="18"/>
                <w14:textFill>
                  <w14:solidFill>
                    <w14:schemeClr w14:val="tx1"/>
                  </w14:solidFill>
                </w14:textFill>
              </w:rPr>
              <w:t>通过课程的学习，提高学生在园艺行业的就业信心和能力，为农业园区、农业企业、农业产业化等培养有高度、有格局的高级从业人才、管理人才和创业人才。</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hint="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2</w:t>
            </w:r>
          </w:p>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8</w:t>
            </w:r>
          </w:p>
        </w:tc>
      </w:tr>
    </w:tbl>
    <w:p>
      <w:pPr>
        <w:widowControl/>
        <w:snapToGrid w:val="0"/>
        <w:spacing w:line="360" w:lineRule="auto"/>
        <w:jc w:val="left"/>
        <w:rPr>
          <w:rFonts w:hAnsi="宋体"/>
          <w:bCs/>
          <w:color w:val="000000" w:themeColor="text1"/>
          <w:kern w:val="0"/>
          <w:szCs w:val="21"/>
          <w14:textFill>
            <w14:solidFill>
              <w14:schemeClr w14:val="tx1"/>
            </w14:solidFill>
          </w14:textFill>
        </w:rPr>
      </w:pPr>
      <w:r>
        <w:rPr>
          <w:rFonts w:hint="eastAsia" w:hAnsi="宋体"/>
          <w:b/>
          <w:bCs/>
          <w:color w:val="000000" w:themeColor="text1"/>
          <w:kern w:val="0"/>
          <w:szCs w:val="21"/>
          <w14:textFill>
            <w14:solidFill>
              <w14:schemeClr w14:val="tx1"/>
            </w14:solidFill>
          </w14:textFill>
        </w:rPr>
        <w:t>四</w:t>
      </w:r>
      <w:r>
        <w:rPr>
          <w:rFonts w:hAnsi="宋体"/>
          <w:b/>
          <w:bCs/>
          <w:color w:val="000000" w:themeColor="text1"/>
          <w:kern w:val="0"/>
          <w:szCs w:val="21"/>
          <w14:textFill>
            <w14:solidFill>
              <w14:schemeClr w14:val="tx1"/>
            </w14:solidFill>
          </w14:textFill>
        </w:rPr>
        <w:t>、理论教学内容及学时分配</w:t>
      </w:r>
      <w:r>
        <w:rPr>
          <w:rFonts w:hint="eastAsia" w:hAnsi="宋体"/>
          <w:b/>
          <w:bCs/>
          <w:color w:val="000000" w:themeColor="text1"/>
          <w:kern w:val="0"/>
          <w:szCs w:val="21"/>
          <w14:textFill>
            <w14:solidFill>
              <w14:schemeClr w14:val="tx1"/>
            </w14:solidFill>
          </w14:textFill>
        </w:rPr>
        <w:t>（24学时）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color w:val="000000" w:themeColor="text1"/>
                <w:szCs w:val="21"/>
                <w14:textFill>
                  <w14:solidFill>
                    <w14:schemeClr w14:val="tx1"/>
                  </w14:solidFill>
                </w14:textFill>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color w:val="000000" w:themeColor="text1"/>
                <w:szCs w:val="21"/>
                <w14:textFill>
                  <w14:solidFill>
                    <w14:schemeClr w14:val="tx1"/>
                  </w14:solidFill>
                </w14:textFill>
              </w:rPr>
            </w:pPr>
            <w:r>
              <w:rPr>
                <w:rFonts w:hint="eastAsia" w:hAnsi="宋体"/>
                <w:b/>
                <w:bCs/>
                <w:color w:val="000000" w:themeColor="text1"/>
                <w:szCs w:val="21"/>
                <w14:textFill>
                  <w14:solidFill>
                    <w14:schemeClr w14:val="tx1"/>
                  </w14:solidFill>
                </w14:textFill>
              </w:rPr>
              <w:t>绪论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学时</w:t>
            </w:r>
            <w:r>
              <w:rPr>
                <w:rFonts w:hint="eastAsia" w:hAnsi="宋体"/>
                <w:b/>
                <w:bCs/>
                <w:color w:val="000000" w:themeColor="text1"/>
                <w:szCs w:val="21"/>
                <w14:textFill>
                  <w14:solidFill>
                    <w14:schemeClr w14:val="tx1"/>
                  </w14:solidFill>
                </w14:textFill>
              </w:rPr>
              <w:t>数：2</w:t>
            </w:r>
          </w:p>
        </w:tc>
      </w:tr>
    </w:tbl>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bCs/>
          <w:color w:val="000000" w:themeColor="text1"/>
          <w14:textFill>
            <w14:solidFill>
              <w14:schemeClr w14:val="tx1"/>
            </w14:solidFill>
          </w14:textFill>
        </w:rPr>
        <w:t>明确本课程的学习目标及主要学习内容，掌握相关概念，了解我国园艺产业的现状和问题，以及发展方向，调动学生们的学习积极性，增强专业自信。</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r>
        <w:rPr>
          <w:rFonts w:hint="eastAsia" w:ascii="宋体" w:hAnsi="宋体"/>
          <w:bCs/>
          <w:color w:val="000000" w:themeColor="text1"/>
          <w14:textFill>
            <w14:solidFill>
              <w14:schemeClr w14:val="tx1"/>
            </w14:solidFill>
          </w14:textFill>
        </w:rPr>
        <w:t>掌握我国园艺产业的现状和问题，以及发展方向。</w:t>
      </w:r>
      <w:r>
        <w:rPr>
          <w:rFonts w:hint="eastAsia" w:ascii="宋体" w:hAnsi="宋体" w:cs="宋体"/>
          <w:color w:val="000000" w:themeColor="text1"/>
          <w:kern w:val="0"/>
          <w:szCs w:val="21"/>
          <w14:textFill>
            <w14:solidFill>
              <w14:schemeClr w14:val="tx1"/>
            </w14:solidFill>
          </w14:textFill>
        </w:rPr>
        <w:t></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了解：园艺产业是一个大产业，是一个充满活力的产业。园艺产业创业案例这门课的重要性，以及如何学习好这门课。</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掌握：我国园艺产业的现状和问题。</w:t>
      </w:r>
      <w:r>
        <w:rPr>
          <w:rFonts w:hint="eastAsia"/>
          <w:color w:val="000000" w:themeColor="text1"/>
          <w14:textFill>
            <w14:solidFill>
              <w14:schemeClr w14:val="tx1"/>
            </w14:solidFill>
          </w14:textFill>
        </w:rPr>
        <w:t>我国园艺产业的发展方向，以及在农业结构供给侧改革中的作用</w:t>
      </w:r>
      <w:r>
        <w:rPr>
          <w:rFonts w:hint="eastAsia" w:hAnsi="宋体"/>
          <w:bCs/>
          <w:color w:val="000000" w:themeColor="text1"/>
          <w14:textFill>
            <w14:solidFill>
              <w14:schemeClr w14:val="tx1"/>
            </w14:solidFill>
          </w14:textFill>
        </w:rPr>
        <w:t>。</w:t>
      </w:r>
    </w:p>
    <w:p>
      <w:pPr>
        <w:widowControl/>
        <w:snapToGrid w:val="0"/>
        <w:spacing w:line="360" w:lineRule="auto"/>
        <w:rPr>
          <w:rFonts w:ascii="宋体" w:hAnsi="宋体"/>
          <w:b/>
          <w:bCs/>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以学生为本，通过课堂讲授和课下拓展与问答等方式组织教学活动。</w:t>
      </w:r>
    </w:p>
    <w:tbl>
      <w:tblPr>
        <w:tblStyle w:val="22"/>
        <w:tblW w:w="0" w:type="auto"/>
        <w:tblInd w:w="4" w:type="dxa"/>
        <w:tblLayout w:type="autofit"/>
        <w:tblCellMar>
          <w:top w:w="0" w:type="dxa"/>
          <w:left w:w="0" w:type="dxa"/>
          <w:bottom w:w="0" w:type="dxa"/>
          <w:right w:w="0" w:type="dxa"/>
        </w:tblCellMar>
      </w:tblPr>
      <w:tblGrid>
        <w:gridCol w:w="2251"/>
        <w:gridCol w:w="3679"/>
        <w:gridCol w:w="2966"/>
      </w:tblGrid>
      <w:tr>
        <w:tblPrEx>
          <w:tblCellMar>
            <w:top w:w="0" w:type="dxa"/>
            <w:left w:w="0" w:type="dxa"/>
            <w:bottom w:w="0" w:type="dxa"/>
            <w:right w:w="0" w:type="dxa"/>
          </w:tblCellMar>
        </w:tblPrEx>
        <w:trPr>
          <w:trHeight w:val="270" w:hRule="atLeast"/>
        </w:trPr>
        <w:tc>
          <w:tcPr>
            <w:tcW w:w="2251" w:type="dxa"/>
            <w:tcBorders>
              <w:top w:val="nil"/>
              <w:left w:val="nil"/>
              <w:bottom w:val="nil"/>
              <w:right w:val="nil"/>
            </w:tcBorders>
            <w:vAlign w:val="center"/>
          </w:tcPr>
          <w:p>
            <w:pPr>
              <w:widowControl/>
              <w:snapToGrid w:val="0"/>
              <w:spacing w:line="360" w:lineRule="auto"/>
              <w:ind w:firstLine="422"/>
              <w:jc w:val="center"/>
              <w:rPr>
                <w:rFonts w:hAnsi="宋体"/>
                <w:b/>
                <w:bCs/>
                <w:color w:val="000000" w:themeColor="text1"/>
                <w:szCs w:val="21"/>
                <w14:textFill>
                  <w14:solidFill>
                    <w14:schemeClr w14:val="tx1"/>
                  </w14:solidFill>
                </w14:textFill>
              </w:rPr>
            </w:pPr>
          </w:p>
        </w:tc>
        <w:tc>
          <w:tcPr>
            <w:tcW w:w="3679" w:type="dxa"/>
            <w:tcBorders>
              <w:top w:val="nil"/>
              <w:left w:val="nil"/>
              <w:bottom w:val="nil"/>
              <w:right w:val="nil"/>
            </w:tcBorders>
            <w:vAlign w:val="center"/>
          </w:tcPr>
          <w:p>
            <w:pPr>
              <w:widowControl/>
              <w:snapToGrid w:val="0"/>
              <w:spacing w:line="360" w:lineRule="auto"/>
              <w:ind w:firstLine="422"/>
              <w:jc w:val="center"/>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第一章</w:t>
            </w:r>
            <w:r>
              <w:rPr>
                <w:rFonts w:hint="eastAsia"/>
                <w:b/>
                <w:bCs/>
                <w:color w:val="000000" w:themeColor="text1"/>
                <w:szCs w:val="21"/>
                <w14:textFill>
                  <w14:solidFill>
                    <w14:schemeClr w14:val="tx1"/>
                  </w14:solidFill>
                </w14:textFill>
              </w:rPr>
              <w:t xml:space="preserve">  </w:t>
            </w:r>
            <w:r>
              <w:rPr>
                <w:rFonts w:hint="eastAsia"/>
                <w:b/>
                <w:color w:val="000000" w:themeColor="text1"/>
                <w:szCs w:val="21"/>
                <w14:textFill>
                  <w14:solidFill>
                    <w14:schemeClr w14:val="tx1"/>
                  </w14:solidFill>
                </w14:textFill>
              </w:rPr>
              <w:t>农业（园艺）产业化</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学时</w:t>
            </w:r>
            <w:r>
              <w:rPr>
                <w:rFonts w:hint="eastAsia" w:hAnsi="宋体"/>
                <w:b/>
                <w:bCs/>
                <w:color w:val="000000" w:themeColor="text1"/>
                <w:szCs w:val="21"/>
                <w14:textFill>
                  <w14:solidFill>
                    <w14:schemeClr w14:val="tx1"/>
                  </w14:solidFill>
                </w14:textFill>
              </w:rPr>
              <w:t>数：8</w:t>
            </w:r>
          </w:p>
        </w:tc>
      </w:tr>
    </w:tbl>
    <w:p>
      <w:pPr>
        <w:snapToGrid w:val="0"/>
        <w:spacing w:line="360" w:lineRule="auto"/>
        <w:rPr>
          <w:rFonts w:ascii="宋体" w:hAnsi="宋体"/>
          <w:b/>
          <w:bCs/>
          <w:color w:val="000000" w:themeColor="text1"/>
          <w14:textFill>
            <w14:solidFill>
              <w14:schemeClr w14:val="tx1"/>
            </w14:solidFill>
          </w14:textFill>
        </w:rPr>
      </w:pPr>
      <w:r>
        <w:rPr>
          <w:rFonts w:ascii="宋体" w:hAnsi="宋体"/>
          <w:b/>
          <w:bCs/>
          <w:color w:val="000000" w:themeColor="text1"/>
          <w14:textFill>
            <w14:solidFill>
              <w14:schemeClr w14:val="tx1"/>
            </w14:solidFill>
          </w14:textFill>
        </w:rPr>
        <w:t>第一节</w:t>
      </w:r>
      <w:r>
        <w:rPr>
          <w:rFonts w:hint="eastAsia" w:ascii="宋体" w:hAnsi="宋体"/>
          <w:b/>
          <w:bCs/>
          <w:color w:val="000000" w:themeColor="text1"/>
          <w14:textFill>
            <w14:solidFill>
              <w14:schemeClr w14:val="tx1"/>
            </w14:solidFill>
          </w14:textFill>
        </w:rPr>
        <w:t xml:space="preserve">  农业产业化的基本概念（2</w:t>
      </w:r>
      <w:r>
        <w:rPr>
          <w:rFonts w:ascii="宋体" w:hAnsi="宋体"/>
          <w:b/>
          <w:bCs/>
          <w:color w:val="000000" w:themeColor="text1"/>
          <w14:textFill>
            <w14:solidFill>
              <w14:schemeClr w14:val="tx1"/>
            </w14:solidFill>
          </w14:textFill>
        </w:rPr>
        <w:t>学时</w:t>
      </w:r>
      <w:r>
        <w:rPr>
          <w:rFonts w:hint="eastAsia" w:ascii="宋体" w:hAnsi="宋体"/>
          <w:b/>
          <w:bCs/>
          <w:color w:val="000000" w:themeColor="text1"/>
          <w14:textFill>
            <w14:solidFill>
              <w14:schemeClr w14:val="tx1"/>
            </w14:solidFill>
          </w14:textFill>
        </w:rPr>
        <w:t>）</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学习和了解有关农业产业化的概念，要求掌握农业产业化其内涵，从思想上认识到农业产业化是加速农业现代化的有效途径。</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重点：现代农业六化：区域化布局，专业化生产，规模化建设，系列化加工，社会化服务，企业化管理。</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难点：对农业产业化概念的系统理解、领会。农业产业化是一个系统工程。</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w:t>
      </w:r>
      <w:r>
        <w:rPr>
          <w:rFonts w:hint="eastAsia" w:hAnsi="宋体"/>
          <w:color w:val="000000" w:themeColor="text1"/>
          <w14:textFill>
            <w14:solidFill>
              <w14:schemeClr w14:val="tx1"/>
            </w14:solidFill>
          </w14:textFill>
        </w:rPr>
        <w:t>区域化、专业化、规模化、系列化、社会化和企业化的概念和案例；如何以市场为导向、以经济效益为中心、以主导产业、主导产品为重点？产品和市场的定位问题。</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掌握：掌握不同概念之间的联系和意义。</w:t>
      </w:r>
    </w:p>
    <w:p>
      <w:pPr>
        <w:widowControl/>
        <w:snapToGrid w:val="0"/>
        <w:spacing w:line="360" w:lineRule="auto"/>
        <w:rPr>
          <w:rFonts w:ascii="宋体" w:hAnsi="宋体"/>
          <w:b/>
          <w:bCs/>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p>
      <w:pPr>
        <w:widowControl/>
        <w:snapToGrid w:val="0"/>
        <w:spacing w:line="360" w:lineRule="auto"/>
        <w:jc w:val="left"/>
        <w:rPr>
          <w:b/>
          <w:color w:val="000000" w:themeColor="text1"/>
          <w:kern w:val="0"/>
          <w:szCs w:val="21"/>
          <w14:textFill>
            <w14:solidFill>
              <w14:schemeClr w14:val="tx1"/>
            </w14:solidFill>
          </w14:textFill>
        </w:rPr>
      </w:pPr>
      <w:r>
        <w:rPr>
          <w:rFonts w:hAnsi="宋体"/>
          <w:b/>
          <w:color w:val="000000" w:themeColor="text1"/>
          <w:kern w:val="0"/>
          <w:szCs w:val="21"/>
          <w14:textFill>
            <w14:solidFill>
              <w14:schemeClr w14:val="tx1"/>
            </w14:solidFill>
          </w14:textFill>
        </w:rPr>
        <w:t>第</w:t>
      </w:r>
      <w:r>
        <w:rPr>
          <w:rFonts w:hint="eastAsia" w:hAnsi="宋体"/>
          <w:b/>
          <w:color w:val="000000" w:themeColor="text1"/>
          <w:kern w:val="0"/>
          <w:szCs w:val="21"/>
          <w14:textFill>
            <w14:solidFill>
              <w14:schemeClr w14:val="tx1"/>
            </w14:solidFill>
          </w14:textFill>
        </w:rPr>
        <w:t>二</w:t>
      </w:r>
      <w:r>
        <w:rPr>
          <w:rFonts w:hAnsi="宋体"/>
          <w:b/>
          <w:color w:val="000000" w:themeColor="text1"/>
          <w:kern w:val="0"/>
          <w:szCs w:val="21"/>
          <w14:textFill>
            <w14:solidFill>
              <w14:schemeClr w14:val="tx1"/>
            </w14:solidFill>
          </w14:textFill>
        </w:rPr>
        <w:t>节</w:t>
      </w:r>
      <w:r>
        <w:rPr>
          <w:rFonts w:hint="eastAsia" w:hAnsi="宋体"/>
          <w:b/>
          <w:color w:val="000000" w:themeColor="text1"/>
          <w:kern w:val="0"/>
          <w:szCs w:val="21"/>
          <w14:textFill>
            <w14:solidFill>
              <w14:schemeClr w14:val="tx1"/>
            </w14:solidFill>
          </w14:textFill>
        </w:rPr>
        <w:t xml:space="preserve">  </w:t>
      </w:r>
      <w:r>
        <w:rPr>
          <w:rFonts w:hint="eastAsia" w:hAnsi="宋体"/>
          <w:b/>
          <w:bCs/>
          <w:color w:val="000000" w:themeColor="text1"/>
          <w:kern w:val="0"/>
          <w:szCs w:val="21"/>
          <w14:textFill>
            <w14:solidFill>
              <w14:schemeClr w14:val="tx1"/>
            </w14:solidFill>
          </w14:textFill>
        </w:rPr>
        <w:t>农业产业化的基本思路</w:t>
      </w:r>
      <w:r>
        <w:rPr>
          <w:b/>
          <w:color w:val="000000" w:themeColor="text1"/>
          <w:kern w:val="0"/>
          <w:szCs w:val="21"/>
          <w14:textFill>
            <w14:solidFill>
              <w14:schemeClr w14:val="tx1"/>
            </w14:solidFill>
          </w14:textFill>
        </w:rPr>
        <w:t>     </w:t>
      </w:r>
      <w:r>
        <w:rPr>
          <w:rFonts w:hint="eastAsia"/>
          <w:b/>
          <w:color w:val="000000" w:themeColor="text1"/>
          <w:kern w:val="0"/>
          <w:szCs w:val="21"/>
          <w14:textFill>
            <w14:solidFill>
              <w14:schemeClr w14:val="tx1"/>
            </w14:solidFill>
          </w14:textFill>
        </w:rPr>
        <w:t>2</w:t>
      </w:r>
      <w:r>
        <w:rPr>
          <w:rFonts w:hAnsi="宋体"/>
          <w:b/>
          <w:color w:val="000000" w:themeColor="text1"/>
          <w:kern w:val="0"/>
          <w:szCs w:val="21"/>
          <w14:textFill>
            <w14:solidFill>
              <w14:schemeClr w14:val="tx1"/>
            </w14:solidFill>
          </w14:textFill>
        </w:rPr>
        <w:t>学时</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了解农业产业化的基本形式。</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重点：市场连接型，龙头企业带动型，农科教结合型，专业协会带动型。</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难点：主导产业的确定。</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w:t>
      </w:r>
      <w:r>
        <w:rPr>
          <w:rFonts w:hint="eastAsia" w:hAnsi="宋体"/>
          <w:color w:val="000000" w:themeColor="text1"/>
          <w14:textFill>
            <w14:solidFill>
              <w14:schemeClr w14:val="tx1"/>
            </w14:solidFill>
          </w14:textFill>
        </w:rPr>
        <w:t>了解农业产业化的基本类型及优选；龙头企业在农业产业化中的重要作用。</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掌握：农业产业化的基本类型，及各自的特点。</w:t>
      </w:r>
    </w:p>
    <w:p>
      <w:pPr>
        <w:widowControl/>
        <w:snapToGrid w:val="0"/>
        <w:spacing w:line="360" w:lineRule="auto"/>
        <w:rPr>
          <w:rFonts w:ascii="宋体" w:hAnsi="宋体"/>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p>
      <w:pPr>
        <w:widowControl/>
        <w:snapToGrid w:val="0"/>
        <w:spacing w:line="360" w:lineRule="auto"/>
        <w:jc w:val="left"/>
        <w:rPr>
          <w:b/>
          <w:color w:val="000000" w:themeColor="text1"/>
          <w:kern w:val="0"/>
          <w:szCs w:val="21"/>
          <w14:textFill>
            <w14:solidFill>
              <w14:schemeClr w14:val="tx1"/>
            </w14:solidFill>
          </w14:textFill>
        </w:rPr>
      </w:pPr>
      <w:r>
        <w:rPr>
          <w:rFonts w:hAnsi="宋体"/>
          <w:b/>
          <w:color w:val="000000" w:themeColor="text1"/>
          <w:kern w:val="0"/>
          <w:szCs w:val="21"/>
          <w14:textFill>
            <w14:solidFill>
              <w14:schemeClr w14:val="tx1"/>
            </w14:solidFill>
          </w14:textFill>
        </w:rPr>
        <w:t>第</w:t>
      </w:r>
      <w:r>
        <w:rPr>
          <w:rFonts w:hint="eastAsia" w:hAnsi="宋体"/>
          <w:b/>
          <w:color w:val="000000" w:themeColor="text1"/>
          <w:kern w:val="0"/>
          <w:szCs w:val="21"/>
          <w14:textFill>
            <w14:solidFill>
              <w14:schemeClr w14:val="tx1"/>
            </w14:solidFill>
          </w14:textFill>
        </w:rPr>
        <w:t>三</w:t>
      </w:r>
      <w:r>
        <w:rPr>
          <w:rFonts w:hAnsi="宋体"/>
          <w:b/>
          <w:color w:val="000000" w:themeColor="text1"/>
          <w:kern w:val="0"/>
          <w:szCs w:val="21"/>
          <w14:textFill>
            <w14:solidFill>
              <w14:schemeClr w14:val="tx1"/>
            </w14:solidFill>
          </w14:textFill>
        </w:rPr>
        <w:t>节</w:t>
      </w:r>
      <w:r>
        <w:rPr>
          <w:rFonts w:hint="eastAsia" w:hAnsi="宋体"/>
          <w:b/>
          <w:color w:val="000000" w:themeColor="text1"/>
          <w:kern w:val="0"/>
          <w:szCs w:val="21"/>
          <w14:textFill>
            <w14:solidFill>
              <w14:schemeClr w14:val="tx1"/>
            </w14:solidFill>
          </w14:textFill>
        </w:rPr>
        <w:t xml:space="preserve">  </w:t>
      </w:r>
      <w:r>
        <w:rPr>
          <w:rFonts w:hint="eastAsia" w:hAnsi="宋体"/>
          <w:b/>
          <w:bCs/>
          <w:color w:val="000000" w:themeColor="text1"/>
          <w:kern w:val="0"/>
          <w:szCs w:val="21"/>
          <w14:textFill>
            <w14:solidFill>
              <w14:schemeClr w14:val="tx1"/>
            </w14:solidFill>
          </w14:textFill>
        </w:rPr>
        <w:t>农业产业化的基本特征</w:t>
      </w:r>
      <w:r>
        <w:rPr>
          <w:b/>
          <w:color w:val="000000" w:themeColor="text1"/>
          <w:kern w:val="0"/>
          <w:szCs w:val="21"/>
          <w14:textFill>
            <w14:solidFill>
              <w14:schemeClr w14:val="tx1"/>
            </w14:solidFill>
          </w14:textFill>
        </w:rPr>
        <w:t>    </w:t>
      </w:r>
      <w:r>
        <w:rPr>
          <w:rFonts w:hint="eastAsia"/>
          <w:b/>
          <w:color w:val="000000" w:themeColor="text1"/>
          <w:kern w:val="0"/>
          <w:szCs w:val="21"/>
          <w14:textFill>
            <w14:solidFill>
              <w14:schemeClr w14:val="tx1"/>
            </w14:solidFill>
          </w14:textFill>
        </w:rPr>
        <w:t>4</w:t>
      </w:r>
      <w:r>
        <w:rPr>
          <w:rFonts w:hAnsi="宋体"/>
          <w:b/>
          <w:color w:val="000000" w:themeColor="text1"/>
          <w:kern w:val="0"/>
          <w:szCs w:val="21"/>
          <w14:textFill>
            <w14:solidFill>
              <w14:schemeClr w14:val="tx1"/>
            </w14:solidFill>
          </w14:textFill>
        </w:rPr>
        <w:t>学时</w:t>
      </w:r>
    </w:p>
    <w:p>
      <w:pPr>
        <w:widowControl/>
        <w:snapToGrid w:val="0"/>
        <w:spacing w:line="360" w:lineRule="auto"/>
        <w:rPr>
          <w:rFonts w:ascii="宋体" w:hAnsi="宋体"/>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学习了解农业产业化的八个特征，为园艺产业创业提供理论指导。</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重点：市场化是农业产业化的起点和归宿。</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难点：一体化是农业产业化的瓶颈，企业化管理是农业第一产业的必须。</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ascii="宋体" w:hAnsi="宋体" w:eastAsiaTheme="minorEastAsia"/>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w:t>
      </w:r>
      <w:r>
        <w:rPr>
          <w:rFonts w:hint="eastAsia" w:hAnsi="宋体"/>
          <w:color w:val="000000" w:themeColor="text1"/>
          <w14:textFill>
            <w14:solidFill>
              <w14:schemeClr w14:val="tx1"/>
            </w14:solidFill>
          </w14:textFill>
        </w:rPr>
        <w:t>了解农业产业化是一个系统工程。</w:t>
      </w:r>
      <w:r>
        <w:rPr>
          <w:rFonts w:hint="eastAsia" w:asciiTheme="minorEastAsia" w:hAnsiTheme="minorEastAsia" w:eastAsiaTheme="minorEastAsia" w:cstheme="minorEastAsia"/>
          <w:color w:val="000000" w:themeColor="text1"/>
          <w14:textFill>
            <w14:solidFill>
              <w14:schemeClr w14:val="tx1"/>
            </w14:solidFill>
          </w14:textFill>
        </w:rPr>
        <w:t>市场化是农业产业化的起点和归宿。</w:t>
      </w:r>
      <w:r>
        <w:rPr>
          <w:rFonts w:hint="eastAsia" w:asciiTheme="minorEastAsia" w:hAnsiTheme="minorEastAsia" w:eastAsiaTheme="minorEastAsia" w:cstheme="minorEastAsia"/>
          <w:color w:val="000000" w:themeColor="text1"/>
          <w:lang w:val="en-GB"/>
          <w14:textFill>
            <w14:solidFill>
              <w14:schemeClr w14:val="tx1"/>
            </w14:solidFill>
          </w14:textFill>
        </w:rPr>
        <w:t>认清</w:t>
      </w:r>
      <w:r>
        <w:rPr>
          <w:rFonts w:hint="eastAsia" w:asciiTheme="minorEastAsia" w:hAnsiTheme="minorEastAsia" w:eastAsiaTheme="minorEastAsia" w:cstheme="minorEastAsia"/>
          <w:color w:val="000000" w:themeColor="text1"/>
          <w14:textFill>
            <w14:solidFill>
              <w14:schemeClr w14:val="tx1"/>
            </w14:solidFill>
          </w14:textFill>
        </w:rPr>
        <w:t>一体化经营，是农业产业化的瓶颈。形成利益共同体，是农业产业化的实质所在</w:t>
      </w:r>
      <w:r>
        <w:rPr>
          <w:rFonts w:hint="eastAsia" w:asciiTheme="minorEastAsia" w:hAnsiTheme="minorEastAsia" w:eastAsiaTheme="minorEastAsia" w:cstheme="minorEastAsia"/>
          <w:color w:val="000000" w:themeColor="text1"/>
          <w:lang w:val="en-GB"/>
          <w14:textFill>
            <w14:solidFill>
              <w14:schemeClr w14:val="tx1"/>
            </w14:solidFill>
          </w14:textFill>
        </w:rPr>
        <w:t>。</w:t>
      </w:r>
      <w:r>
        <w:rPr>
          <w:rFonts w:hint="eastAsia" w:asciiTheme="minorEastAsia" w:hAnsiTheme="minorEastAsia" w:eastAsiaTheme="minorEastAsia" w:cstheme="minorEastAsia"/>
          <w:color w:val="000000" w:themeColor="text1"/>
          <w14:textFill>
            <w14:solidFill>
              <w14:schemeClr w14:val="tx1"/>
            </w14:solidFill>
          </w14:textFill>
        </w:rPr>
        <w:t>懂得企业化经营，是农业产业化成功的保证。</w:t>
      </w:r>
    </w:p>
    <w:p>
      <w:pPr>
        <w:pStyle w:val="7"/>
        <w:snapToGrid w:val="0"/>
        <w:spacing w:line="360" w:lineRule="auto"/>
        <w:rPr>
          <w:rFonts w:ascii="宋体" w:hAnsi="宋体" w:eastAsiaTheme="minorEastAsia"/>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掌握：农业产业化的八个特征及</w:t>
      </w:r>
      <w:r>
        <w:rPr>
          <w:rFonts w:hint="eastAsia" w:asciiTheme="minorEastAsia" w:hAnsiTheme="minorEastAsia" w:eastAsiaTheme="minorEastAsia" w:cstheme="minorEastAsia"/>
          <w:color w:val="000000" w:themeColor="text1"/>
          <w14:textFill>
            <w14:solidFill>
              <w14:schemeClr w14:val="tx1"/>
            </w14:solidFill>
          </w14:textFill>
        </w:rPr>
        <w:t>一体化经营方式</w:t>
      </w:r>
    </w:p>
    <w:p>
      <w:pPr>
        <w:widowControl/>
        <w:snapToGrid w:val="0"/>
        <w:spacing w:line="360" w:lineRule="auto"/>
        <w:rPr>
          <w:rFonts w:ascii="宋体" w:hAnsi="宋体"/>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tbl>
      <w:tblPr>
        <w:tblStyle w:val="22"/>
        <w:tblW w:w="0" w:type="auto"/>
        <w:tblInd w:w="4" w:type="dxa"/>
        <w:tblLayout w:type="autofit"/>
        <w:tblCellMar>
          <w:top w:w="0" w:type="dxa"/>
          <w:left w:w="0" w:type="dxa"/>
          <w:bottom w:w="0" w:type="dxa"/>
          <w:right w:w="0" w:type="dxa"/>
        </w:tblCellMar>
      </w:tblPr>
      <w:tblGrid>
        <w:gridCol w:w="2131"/>
        <w:gridCol w:w="3799"/>
        <w:gridCol w:w="2966"/>
      </w:tblGrid>
      <w:tr>
        <w:tblPrEx>
          <w:tblCellMar>
            <w:top w:w="0" w:type="dxa"/>
            <w:left w:w="0" w:type="dxa"/>
            <w:bottom w:w="0" w:type="dxa"/>
            <w:right w:w="0" w:type="dxa"/>
          </w:tblCellMar>
        </w:tblPrEx>
        <w:trPr>
          <w:trHeight w:val="270" w:hRule="atLeast"/>
        </w:trPr>
        <w:tc>
          <w:tcPr>
            <w:tcW w:w="2131" w:type="dxa"/>
            <w:tcBorders>
              <w:top w:val="nil"/>
              <w:left w:val="nil"/>
              <w:bottom w:val="nil"/>
              <w:right w:val="nil"/>
            </w:tcBorders>
            <w:vAlign w:val="center"/>
          </w:tcPr>
          <w:p>
            <w:pPr>
              <w:widowControl/>
              <w:snapToGrid w:val="0"/>
              <w:spacing w:line="360" w:lineRule="auto"/>
              <w:ind w:firstLine="422"/>
              <w:jc w:val="center"/>
              <w:rPr>
                <w:rFonts w:hAnsi="宋体"/>
                <w:b/>
                <w:bCs/>
                <w:color w:val="000000" w:themeColor="text1"/>
                <w:szCs w:val="21"/>
                <w14:textFill>
                  <w14:solidFill>
                    <w14:schemeClr w14:val="tx1"/>
                  </w14:solidFill>
                </w14:textFill>
              </w:rPr>
            </w:pPr>
          </w:p>
        </w:tc>
        <w:tc>
          <w:tcPr>
            <w:tcW w:w="3799" w:type="dxa"/>
            <w:tcBorders>
              <w:top w:val="nil"/>
              <w:left w:val="nil"/>
              <w:bottom w:val="nil"/>
              <w:right w:val="nil"/>
            </w:tcBorders>
            <w:vAlign w:val="center"/>
          </w:tcPr>
          <w:p>
            <w:pPr>
              <w:widowControl/>
              <w:snapToGrid w:val="0"/>
              <w:spacing w:line="360" w:lineRule="auto"/>
              <w:ind w:firstLine="422"/>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第</w:t>
            </w:r>
            <w:r>
              <w:rPr>
                <w:rFonts w:hint="eastAsia" w:hAnsi="宋体"/>
                <w:b/>
                <w:bCs/>
                <w:color w:val="000000" w:themeColor="text1"/>
                <w:szCs w:val="21"/>
                <w14:textFill>
                  <w14:solidFill>
                    <w14:schemeClr w14:val="tx1"/>
                  </w14:solidFill>
                </w14:textFill>
              </w:rPr>
              <w:t>二</w:t>
            </w:r>
            <w:r>
              <w:rPr>
                <w:rFonts w:hAnsi="宋体"/>
                <w:b/>
                <w:bCs/>
                <w:color w:val="000000" w:themeColor="text1"/>
                <w:szCs w:val="21"/>
                <w14:textFill>
                  <w14:solidFill>
                    <w14:schemeClr w14:val="tx1"/>
                  </w14:solidFill>
                </w14:textFill>
              </w:rPr>
              <w:t>章</w:t>
            </w:r>
            <w:r>
              <w:rPr>
                <w:rFonts w:hint="eastAsia"/>
                <w:b/>
                <w:bCs/>
                <w:color w:val="000000" w:themeColor="text1"/>
                <w:szCs w:val="21"/>
                <w14:textFill>
                  <w14:solidFill>
                    <w14:schemeClr w14:val="tx1"/>
                  </w14:solidFill>
                </w14:textFill>
              </w:rPr>
              <w:t xml:space="preserve">  园艺企业做大做强的机会</w:t>
            </w:r>
            <w:r>
              <w:rPr>
                <w:rFonts w:hint="eastAsia"/>
                <w:b/>
                <w:color w:val="000000" w:themeColor="text1"/>
                <w:szCs w:val="21"/>
                <w14:textFill>
                  <w14:solidFill>
                    <w14:schemeClr w14:val="tx1"/>
                  </w14:solidFill>
                </w14:textFill>
              </w:rPr>
              <w:t xml:space="preserve">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学时</w:t>
            </w:r>
            <w:r>
              <w:rPr>
                <w:rFonts w:hint="eastAsia" w:hAnsi="宋体"/>
                <w:b/>
                <w:bCs/>
                <w:color w:val="000000" w:themeColor="text1"/>
                <w:szCs w:val="21"/>
                <w14:textFill>
                  <w14:solidFill>
                    <w14:schemeClr w14:val="tx1"/>
                  </w14:solidFill>
                </w14:textFill>
              </w:rPr>
              <w:t>数：6</w:t>
            </w:r>
          </w:p>
        </w:tc>
      </w:tr>
    </w:tbl>
    <w:p>
      <w:pPr>
        <w:snapToGrid w:val="0"/>
        <w:spacing w:line="360" w:lineRule="auto"/>
        <w:rPr>
          <w:rFonts w:ascii="宋体" w:hAnsi="宋体"/>
          <w:b/>
          <w:bCs/>
          <w:color w:val="000000" w:themeColor="text1"/>
          <w14:textFill>
            <w14:solidFill>
              <w14:schemeClr w14:val="tx1"/>
            </w14:solidFill>
          </w14:textFill>
        </w:rPr>
      </w:pPr>
      <w:r>
        <w:rPr>
          <w:rFonts w:ascii="宋体" w:hAnsi="宋体"/>
          <w:b/>
          <w:bCs/>
          <w:color w:val="000000" w:themeColor="text1"/>
          <w14:textFill>
            <w14:solidFill>
              <w14:schemeClr w14:val="tx1"/>
            </w14:solidFill>
          </w14:textFill>
        </w:rPr>
        <w:t>第一节</w:t>
      </w:r>
      <w:r>
        <w:rPr>
          <w:rFonts w:hint="eastAsia" w:ascii="宋体" w:hAnsi="宋体"/>
          <w:b/>
          <w:bCs/>
          <w:color w:val="000000" w:themeColor="text1"/>
          <w14:textFill>
            <w14:solidFill>
              <w14:schemeClr w14:val="tx1"/>
            </w14:solidFill>
          </w14:textFill>
        </w:rPr>
        <w:t xml:space="preserve">  资源类机会 （2</w:t>
      </w:r>
      <w:r>
        <w:rPr>
          <w:rFonts w:ascii="宋体" w:hAnsi="宋体"/>
          <w:b/>
          <w:bCs/>
          <w:color w:val="000000" w:themeColor="text1"/>
          <w14:textFill>
            <w14:solidFill>
              <w14:schemeClr w14:val="tx1"/>
            </w14:solidFill>
          </w14:textFill>
        </w:rPr>
        <w:t>学时</w:t>
      </w:r>
      <w:r>
        <w:rPr>
          <w:rFonts w:hint="eastAsia" w:ascii="宋体" w:hAnsi="宋体"/>
          <w:b/>
          <w:bCs/>
          <w:color w:val="000000" w:themeColor="text1"/>
          <w14:textFill>
            <w14:solidFill>
              <w14:schemeClr w14:val="tx1"/>
            </w14:solidFill>
          </w14:textFill>
        </w:rPr>
        <w:t>）</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认识到资源在园艺产业中的重要性，使学生们学会合理利用资源。</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重点：园艺产业的三种资源及其作业。</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难点：合理利用资源，合理保护资源。</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了解：自然资源的珍贵和不可再生性。</w:t>
      </w:r>
      <w:r>
        <w:rPr>
          <w:rFonts w:hint="eastAsia" w:hAnsi="宋体"/>
          <w:color w:val="000000" w:themeColor="text1"/>
          <w14:textFill>
            <w14:solidFill>
              <w14:schemeClr w14:val="tx1"/>
            </w14:solidFill>
          </w14:textFill>
        </w:rPr>
        <w:t>园艺特色品种资源的重要作用。</w:t>
      </w:r>
      <w:r>
        <w:rPr>
          <w:rFonts w:hint="eastAsia" w:ascii="宋体" w:hAnsi="宋体"/>
          <w:color w:val="000000" w:themeColor="text1"/>
          <w14:textFill>
            <w14:solidFill>
              <w14:schemeClr w14:val="tx1"/>
            </w14:solidFill>
          </w14:textFill>
        </w:rPr>
        <w:t>产地品牌资源的价值和开发利用。</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w:t>
      </w:r>
      <w:r>
        <w:rPr>
          <w:rFonts w:hint="eastAsia" w:hAnsi="宋体"/>
          <w:color w:val="000000" w:themeColor="text1"/>
          <w14:textFill>
            <w14:solidFill>
              <w14:schemeClr w14:val="tx1"/>
            </w14:solidFill>
          </w14:textFill>
        </w:rPr>
        <w:t>园艺特色品种资源及不同</w:t>
      </w:r>
      <w:r>
        <w:rPr>
          <w:rFonts w:hint="eastAsia" w:ascii="宋体" w:hAnsi="宋体"/>
          <w:color w:val="000000" w:themeColor="text1"/>
          <w14:textFill>
            <w14:solidFill>
              <w14:schemeClr w14:val="tx1"/>
            </w14:solidFill>
          </w14:textFill>
        </w:rPr>
        <w:t>产地品牌资源。</w:t>
      </w:r>
    </w:p>
    <w:p>
      <w:pPr>
        <w:widowControl/>
        <w:snapToGrid w:val="0"/>
        <w:spacing w:line="360" w:lineRule="auto"/>
        <w:rPr>
          <w:rFonts w:ascii="宋体" w:hAnsi="宋体"/>
          <w:b/>
          <w:bCs/>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p>
      <w:pPr>
        <w:widowControl/>
        <w:snapToGrid w:val="0"/>
        <w:spacing w:line="360" w:lineRule="auto"/>
        <w:jc w:val="left"/>
        <w:rPr>
          <w:b/>
          <w:color w:val="000000" w:themeColor="text1"/>
          <w:kern w:val="0"/>
          <w:szCs w:val="21"/>
          <w14:textFill>
            <w14:solidFill>
              <w14:schemeClr w14:val="tx1"/>
            </w14:solidFill>
          </w14:textFill>
        </w:rPr>
      </w:pPr>
      <w:r>
        <w:rPr>
          <w:rFonts w:hAnsi="宋体"/>
          <w:b/>
          <w:color w:val="000000" w:themeColor="text1"/>
          <w:kern w:val="0"/>
          <w:szCs w:val="21"/>
          <w14:textFill>
            <w14:solidFill>
              <w14:schemeClr w14:val="tx1"/>
            </w14:solidFill>
          </w14:textFill>
        </w:rPr>
        <w:t>第</w:t>
      </w:r>
      <w:r>
        <w:rPr>
          <w:rFonts w:hint="eastAsia" w:hAnsi="宋体"/>
          <w:b/>
          <w:color w:val="000000" w:themeColor="text1"/>
          <w:kern w:val="0"/>
          <w:szCs w:val="21"/>
          <w14:textFill>
            <w14:solidFill>
              <w14:schemeClr w14:val="tx1"/>
            </w14:solidFill>
          </w14:textFill>
        </w:rPr>
        <w:t>二</w:t>
      </w:r>
      <w:r>
        <w:rPr>
          <w:rFonts w:hAnsi="宋体"/>
          <w:b/>
          <w:color w:val="000000" w:themeColor="text1"/>
          <w:kern w:val="0"/>
          <w:szCs w:val="21"/>
          <w14:textFill>
            <w14:solidFill>
              <w14:schemeClr w14:val="tx1"/>
            </w14:solidFill>
          </w14:textFill>
        </w:rPr>
        <w:t>节</w:t>
      </w:r>
      <w:r>
        <w:rPr>
          <w:rFonts w:hint="eastAsia" w:hAnsi="宋体"/>
          <w:b/>
          <w:color w:val="000000" w:themeColor="text1"/>
          <w:kern w:val="0"/>
          <w:szCs w:val="21"/>
          <w14:textFill>
            <w14:solidFill>
              <w14:schemeClr w14:val="tx1"/>
            </w14:solidFill>
          </w14:textFill>
        </w:rPr>
        <w:t xml:space="preserve">  </w:t>
      </w:r>
      <w:r>
        <w:rPr>
          <w:rFonts w:hint="eastAsia" w:hAnsi="宋体"/>
          <w:b/>
          <w:bCs/>
          <w:color w:val="000000" w:themeColor="text1"/>
          <w:kern w:val="0"/>
          <w:szCs w:val="21"/>
          <w14:textFill>
            <w14:solidFill>
              <w14:schemeClr w14:val="tx1"/>
            </w14:solidFill>
          </w14:textFill>
        </w:rPr>
        <w:t>产品类机会</w:t>
      </w:r>
      <w:r>
        <w:rPr>
          <w:b/>
          <w:color w:val="000000" w:themeColor="text1"/>
          <w:kern w:val="0"/>
          <w:szCs w:val="21"/>
          <w14:textFill>
            <w14:solidFill>
              <w14:schemeClr w14:val="tx1"/>
            </w14:solidFill>
          </w14:textFill>
        </w:rPr>
        <w:t>     </w:t>
      </w:r>
      <w:r>
        <w:rPr>
          <w:rFonts w:hint="eastAsia"/>
          <w:b/>
          <w:color w:val="000000" w:themeColor="text1"/>
          <w:kern w:val="0"/>
          <w:szCs w:val="21"/>
          <w14:textFill>
            <w14:solidFill>
              <w14:schemeClr w14:val="tx1"/>
            </w14:solidFill>
          </w14:textFill>
        </w:rPr>
        <w:t>2</w:t>
      </w:r>
      <w:r>
        <w:rPr>
          <w:rFonts w:hAnsi="宋体"/>
          <w:b/>
          <w:color w:val="000000" w:themeColor="text1"/>
          <w:kern w:val="0"/>
          <w:szCs w:val="21"/>
          <w14:textFill>
            <w14:solidFill>
              <w14:schemeClr w14:val="tx1"/>
            </w14:solidFill>
          </w14:textFill>
        </w:rPr>
        <w:t>学时</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介绍产品类的三种机会，使学生们懂得利用产品类机会。</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重点：三种机会的内容和意义。</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难点：商品意识，品牌意识。</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w:t>
      </w:r>
      <w:r>
        <w:rPr>
          <w:rFonts w:hint="eastAsia" w:hAnsi="宋体"/>
          <w:color w:val="000000" w:themeColor="text1"/>
          <w14:textFill>
            <w14:solidFill>
              <w14:schemeClr w14:val="tx1"/>
            </w14:solidFill>
          </w14:textFill>
        </w:rPr>
        <w:t>产品差异化机会。储存保鲜加工的机会。品牌机会。细化、细分市场。</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掌握：产品差异化的重要性。</w:t>
      </w:r>
    </w:p>
    <w:p>
      <w:pPr>
        <w:widowControl/>
        <w:snapToGrid w:val="0"/>
        <w:spacing w:line="360" w:lineRule="auto"/>
        <w:rPr>
          <w:rFonts w:ascii="宋体" w:hAnsi="宋体"/>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p>
      <w:pPr>
        <w:widowControl/>
        <w:snapToGrid w:val="0"/>
        <w:spacing w:line="360" w:lineRule="auto"/>
        <w:jc w:val="left"/>
        <w:rPr>
          <w:b/>
          <w:color w:val="000000" w:themeColor="text1"/>
          <w:kern w:val="0"/>
          <w:szCs w:val="21"/>
          <w14:textFill>
            <w14:solidFill>
              <w14:schemeClr w14:val="tx1"/>
            </w14:solidFill>
          </w14:textFill>
        </w:rPr>
      </w:pPr>
      <w:r>
        <w:rPr>
          <w:rFonts w:hAnsi="宋体"/>
          <w:b/>
          <w:color w:val="000000" w:themeColor="text1"/>
          <w:kern w:val="0"/>
          <w:szCs w:val="21"/>
          <w14:textFill>
            <w14:solidFill>
              <w14:schemeClr w14:val="tx1"/>
            </w14:solidFill>
          </w14:textFill>
        </w:rPr>
        <w:t>第</w:t>
      </w:r>
      <w:r>
        <w:rPr>
          <w:rFonts w:hint="eastAsia" w:hAnsi="宋体"/>
          <w:b/>
          <w:color w:val="000000" w:themeColor="text1"/>
          <w:kern w:val="0"/>
          <w:szCs w:val="21"/>
          <w14:textFill>
            <w14:solidFill>
              <w14:schemeClr w14:val="tx1"/>
            </w14:solidFill>
          </w14:textFill>
        </w:rPr>
        <w:t>三</w:t>
      </w:r>
      <w:r>
        <w:rPr>
          <w:rFonts w:hAnsi="宋体"/>
          <w:b/>
          <w:color w:val="000000" w:themeColor="text1"/>
          <w:kern w:val="0"/>
          <w:szCs w:val="21"/>
          <w14:textFill>
            <w14:solidFill>
              <w14:schemeClr w14:val="tx1"/>
            </w14:solidFill>
          </w14:textFill>
        </w:rPr>
        <w:t>节</w:t>
      </w:r>
      <w:r>
        <w:rPr>
          <w:rFonts w:hint="eastAsia" w:hAnsi="宋体"/>
          <w:b/>
          <w:color w:val="000000" w:themeColor="text1"/>
          <w:kern w:val="0"/>
          <w:szCs w:val="21"/>
          <w14:textFill>
            <w14:solidFill>
              <w14:schemeClr w14:val="tx1"/>
            </w14:solidFill>
          </w14:textFill>
        </w:rPr>
        <w:t xml:space="preserve">  </w:t>
      </w:r>
      <w:r>
        <w:rPr>
          <w:rFonts w:hint="eastAsia" w:hAnsi="宋体"/>
          <w:b/>
          <w:bCs/>
          <w:color w:val="000000" w:themeColor="text1"/>
          <w:kern w:val="0"/>
          <w:szCs w:val="21"/>
          <w14:textFill>
            <w14:solidFill>
              <w14:schemeClr w14:val="tx1"/>
            </w14:solidFill>
          </w14:textFill>
        </w:rPr>
        <w:t>市场类机会</w:t>
      </w:r>
      <w:r>
        <w:rPr>
          <w:b/>
          <w:color w:val="000000" w:themeColor="text1"/>
          <w:kern w:val="0"/>
          <w:szCs w:val="21"/>
          <w14:textFill>
            <w14:solidFill>
              <w14:schemeClr w14:val="tx1"/>
            </w14:solidFill>
          </w14:textFill>
        </w:rPr>
        <w:t>    </w:t>
      </w:r>
      <w:r>
        <w:rPr>
          <w:rFonts w:hint="eastAsia"/>
          <w:b/>
          <w:color w:val="000000" w:themeColor="text1"/>
          <w:kern w:val="0"/>
          <w:szCs w:val="21"/>
          <w14:textFill>
            <w14:solidFill>
              <w14:schemeClr w14:val="tx1"/>
            </w14:solidFill>
          </w14:textFill>
        </w:rPr>
        <w:t>2</w:t>
      </w:r>
      <w:r>
        <w:rPr>
          <w:rFonts w:hAnsi="宋体"/>
          <w:b/>
          <w:color w:val="000000" w:themeColor="text1"/>
          <w:kern w:val="0"/>
          <w:szCs w:val="21"/>
          <w14:textFill>
            <w14:solidFill>
              <w14:schemeClr w14:val="tx1"/>
            </w14:solidFill>
          </w14:textFill>
        </w:rPr>
        <w:t>学时</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学习和了解园艺产品在市场运作中存在的几种机会，学会市场运作。</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重点：园艺产品的区域市场机会，独特的客户和渠道机会；</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难点：市场意识的培养。</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w:t>
      </w:r>
      <w:r>
        <w:rPr>
          <w:rFonts w:hint="eastAsia" w:hAnsi="宋体"/>
          <w:color w:val="000000" w:themeColor="text1"/>
          <w14:textFill>
            <w14:solidFill>
              <w14:schemeClr w14:val="tx1"/>
            </w14:solidFill>
          </w14:textFill>
        </w:rPr>
        <w:t>园艺产品区域市场机会。独特的客户和渠道机会。</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掌握：开发市场的能力。</w:t>
      </w:r>
    </w:p>
    <w:p>
      <w:pPr>
        <w:widowControl/>
        <w:snapToGrid w:val="0"/>
        <w:spacing w:line="360" w:lineRule="auto"/>
        <w:rPr>
          <w:rFonts w:ascii="宋体" w:hAnsi="宋体"/>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tbl>
      <w:tblPr>
        <w:tblStyle w:val="22"/>
        <w:tblW w:w="0" w:type="auto"/>
        <w:tblInd w:w="4" w:type="dxa"/>
        <w:tblLayout w:type="autofit"/>
        <w:tblCellMar>
          <w:top w:w="0" w:type="dxa"/>
          <w:left w:w="0" w:type="dxa"/>
          <w:bottom w:w="0" w:type="dxa"/>
          <w:right w:w="0" w:type="dxa"/>
        </w:tblCellMar>
      </w:tblPr>
      <w:tblGrid>
        <w:gridCol w:w="2587"/>
        <w:gridCol w:w="3343"/>
        <w:gridCol w:w="2966"/>
      </w:tblGrid>
      <w:tr>
        <w:tblPrEx>
          <w:tblCellMar>
            <w:top w:w="0" w:type="dxa"/>
            <w:left w:w="0" w:type="dxa"/>
            <w:bottom w:w="0" w:type="dxa"/>
            <w:right w:w="0" w:type="dxa"/>
          </w:tblCellMar>
        </w:tblPrEx>
        <w:trPr>
          <w:trHeight w:val="270" w:hRule="atLeast"/>
        </w:trPr>
        <w:tc>
          <w:tcPr>
            <w:tcW w:w="2587" w:type="dxa"/>
            <w:tcBorders>
              <w:top w:val="nil"/>
              <w:left w:val="nil"/>
              <w:bottom w:val="nil"/>
              <w:right w:val="nil"/>
            </w:tcBorders>
            <w:vAlign w:val="center"/>
          </w:tcPr>
          <w:p>
            <w:pPr>
              <w:widowControl/>
              <w:snapToGrid w:val="0"/>
              <w:spacing w:line="360" w:lineRule="auto"/>
              <w:ind w:firstLine="422"/>
              <w:jc w:val="center"/>
              <w:rPr>
                <w:rFonts w:hAnsi="宋体"/>
                <w:b/>
                <w:bCs/>
                <w:color w:val="000000" w:themeColor="text1"/>
                <w:szCs w:val="21"/>
                <w14:textFill>
                  <w14:solidFill>
                    <w14:schemeClr w14:val="tx1"/>
                  </w14:solidFill>
                </w14:textFill>
              </w:rPr>
            </w:pPr>
          </w:p>
        </w:tc>
        <w:tc>
          <w:tcPr>
            <w:tcW w:w="3343" w:type="dxa"/>
            <w:tcBorders>
              <w:top w:val="nil"/>
              <w:left w:val="nil"/>
              <w:bottom w:val="nil"/>
              <w:right w:val="nil"/>
            </w:tcBorders>
            <w:vAlign w:val="center"/>
          </w:tcPr>
          <w:p>
            <w:pPr>
              <w:widowControl/>
              <w:snapToGrid w:val="0"/>
              <w:spacing w:line="360" w:lineRule="auto"/>
              <w:ind w:firstLine="422"/>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第</w:t>
            </w:r>
            <w:r>
              <w:rPr>
                <w:rFonts w:hint="eastAsia" w:hAnsi="宋体"/>
                <w:b/>
                <w:bCs/>
                <w:color w:val="000000" w:themeColor="text1"/>
                <w:szCs w:val="21"/>
                <w14:textFill>
                  <w14:solidFill>
                    <w14:schemeClr w14:val="tx1"/>
                  </w14:solidFill>
                </w14:textFill>
              </w:rPr>
              <w:t>三</w:t>
            </w:r>
            <w:r>
              <w:rPr>
                <w:rFonts w:hAnsi="宋体"/>
                <w:b/>
                <w:bCs/>
                <w:color w:val="000000" w:themeColor="text1"/>
                <w:szCs w:val="21"/>
                <w14:textFill>
                  <w14:solidFill>
                    <w14:schemeClr w14:val="tx1"/>
                  </w14:solidFill>
                </w14:textFill>
              </w:rPr>
              <w:t>章</w:t>
            </w:r>
            <w:r>
              <w:rPr>
                <w:rFonts w:hint="eastAsia"/>
                <w:b/>
                <w:bCs/>
                <w:color w:val="000000" w:themeColor="text1"/>
                <w:szCs w:val="21"/>
                <w14:textFill>
                  <w14:solidFill>
                    <w14:schemeClr w14:val="tx1"/>
                  </w14:solidFill>
                </w14:textFill>
              </w:rPr>
              <w:t xml:space="preserve">  农业园区的创业之路</w:t>
            </w:r>
            <w:r>
              <w:rPr>
                <w:rFonts w:hint="eastAsia"/>
                <w:b/>
                <w:color w:val="000000" w:themeColor="text1"/>
                <w:szCs w:val="21"/>
                <w14:textFill>
                  <w14:solidFill>
                    <w14:schemeClr w14:val="tx1"/>
                  </w14:solidFill>
                </w14:textFill>
              </w:rPr>
              <w:t xml:space="preserve">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学时</w:t>
            </w:r>
            <w:r>
              <w:rPr>
                <w:rFonts w:hint="eastAsia" w:hAnsi="宋体"/>
                <w:b/>
                <w:bCs/>
                <w:color w:val="000000" w:themeColor="text1"/>
                <w:szCs w:val="21"/>
                <w14:textFill>
                  <w14:solidFill>
                    <w14:schemeClr w14:val="tx1"/>
                  </w14:solidFill>
                </w14:textFill>
              </w:rPr>
              <w:t>数：6</w:t>
            </w:r>
          </w:p>
        </w:tc>
      </w:tr>
    </w:tbl>
    <w:p>
      <w:pPr>
        <w:snapToGrid w:val="0"/>
        <w:spacing w:line="360" w:lineRule="auto"/>
        <w:rPr>
          <w:rFonts w:ascii="宋体" w:hAnsi="宋体"/>
          <w:b/>
          <w:bCs/>
          <w:color w:val="000000" w:themeColor="text1"/>
          <w14:textFill>
            <w14:solidFill>
              <w14:schemeClr w14:val="tx1"/>
            </w14:solidFill>
          </w14:textFill>
        </w:rPr>
      </w:pPr>
      <w:r>
        <w:rPr>
          <w:rFonts w:ascii="宋体" w:hAnsi="宋体"/>
          <w:b/>
          <w:bCs/>
          <w:color w:val="000000" w:themeColor="text1"/>
          <w14:textFill>
            <w14:solidFill>
              <w14:schemeClr w14:val="tx1"/>
            </w14:solidFill>
          </w14:textFill>
        </w:rPr>
        <w:t>第一节</w:t>
      </w:r>
      <w:r>
        <w:rPr>
          <w:rFonts w:hint="eastAsia" w:ascii="宋体" w:hAnsi="宋体"/>
          <w:b/>
          <w:bCs/>
          <w:color w:val="000000" w:themeColor="text1"/>
          <w14:textFill>
            <w14:solidFill>
              <w14:schemeClr w14:val="tx1"/>
            </w14:solidFill>
          </w14:textFill>
        </w:rPr>
        <w:t xml:space="preserve">  农业园区的经营现状 （2</w:t>
      </w:r>
      <w:r>
        <w:rPr>
          <w:rFonts w:ascii="宋体" w:hAnsi="宋体"/>
          <w:b/>
          <w:bCs/>
          <w:color w:val="000000" w:themeColor="text1"/>
          <w14:textFill>
            <w14:solidFill>
              <w14:schemeClr w14:val="tx1"/>
            </w14:solidFill>
          </w14:textFill>
        </w:rPr>
        <w:t>学时</w:t>
      </w:r>
      <w:r>
        <w:rPr>
          <w:rFonts w:hint="eastAsia" w:ascii="宋体" w:hAnsi="宋体"/>
          <w:b/>
          <w:bCs/>
          <w:color w:val="000000" w:themeColor="text1"/>
          <w14:textFill>
            <w14:solidFill>
              <w14:schemeClr w14:val="tx1"/>
            </w14:solidFill>
          </w14:textFill>
        </w:rPr>
        <w:t>）</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了解农业园区目前的现状、问题。</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pStyle w:val="7"/>
        <w:snapToGrid w:val="0"/>
        <w:spacing w:line="360" w:lineRule="auto"/>
        <w:rPr>
          <w:rFonts w:hAnsi="宋体"/>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重点：了解农业园区目前的现状、问题和方向。</w:t>
      </w:r>
    </w:p>
    <w:p>
      <w:pPr>
        <w:pStyle w:val="7"/>
        <w:snapToGrid w:val="0"/>
        <w:spacing w:line="360" w:lineRule="auto"/>
        <w:rPr>
          <w:rFonts w:hAnsi="宋体"/>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难点：问题的原因和分析</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了解：土地流转的现状，正确认识农业园区存在的问题与土地流转政策的关系。</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w:t>
      </w:r>
      <w:r>
        <w:rPr>
          <w:rFonts w:hint="eastAsia" w:hAnsi="宋体"/>
          <w:color w:val="000000" w:themeColor="text1"/>
          <w14:textFill>
            <w14:solidFill>
              <w14:schemeClr w14:val="tx1"/>
            </w14:solidFill>
          </w14:textFill>
        </w:rPr>
        <w:t>农业园区的健康发展之路。</w:t>
      </w:r>
    </w:p>
    <w:p>
      <w:pPr>
        <w:widowControl/>
        <w:snapToGrid w:val="0"/>
        <w:spacing w:line="360" w:lineRule="auto"/>
        <w:rPr>
          <w:rFonts w:ascii="宋体" w:hAnsi="宋体"/>
          <w:b/>
          <w:bCs/>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p>
      <w:pPr>
        <w:widowControl/>
        <w:snapToGrid w:val="0"/>
        <w:spacing w:line="360" w:lineRule="auto"/>
        <w:jc w:val="left"/>
        <w:rPr>
          <w:b/>
          <w:color w:val="000000" w:themeColor="text1"/>
          <w:kern w:val="0"/>
          <w:szCs w:val="21"/>
          <w14:textFill>
            <w14:solidFill>
              <w14:schemeClr w14:val="tx1"/>
            </w14:solidFill>
          </w14:textFill>
        </w:rPr>
      </w:pPr>
      <w:r>
        <w:rPr>
          <w:rFonts w:hAnsi="宋体"/>
          <w:b/>
          <w:color w:val="000000" w:themeColor="text1"/>
          <w:kern w:val="0"/>
          <w:szCs w:val="21"/>
          <w14:textFill>
            <w14:solidFill>
              <w14:schemeClr w14:val="tx1"/>
            </w14:solidFill>
          </w14:textFill>
        </w:rPr>
        <w:t>第</w:t>
      </w:r>
      <w:r>
        <w:rPr>
          <w:rFonts w:hint="eastAsia" w:hAnsi="宋体"/>
          <w:b/>
          <w:color w:val="000000" w:themeColor="text1"/>
          <w:kern w:val="0"/>
          <w:szCs w:val="21"/>
          <w14:textFill>
            <w14:solidFill>
              <w14:schemeClr w14:val="tx1"/>
            </w14:solidFill>
          </w14:textFill>
        </w:rPr>
        <w:t>二</w:t>
      </w:r>
      <w:r>
        <w:rPr>
          <w:rFonts w:hAnsi="宋体"/>
          <w:b/>
          <w:color w:val="000000" w:themeColor="text1"/>
          <w:kern w:val="0"/>
          <w:szCs w:val="21"/>
          <w14:textFill>
            <w14:solidFill>
              <w14:schemeClr w14:val="tx1"/>
            </w14:solidFill>
          </w14:textFill>
        </w:rPr>
        <w:t>节</w:t>
      </w:r>
      <w:r>
        <w:rPr>
          <w:rFonts w:hint="eastAsia" w:hAnsi="宋体"/>
          <w:b/>
          <w:color w:val="000000" w:themeColor="text1"/>
          <w:kern w:val="0"/>
          <w:szCs w:val="21"/>
          <w14:textFill>
            <w14:solidFill>
              <w14:schemeClr w14:val="tx1"/>
            </w14:solidFill>
          </w14:textFill>
        </w:rPr>
        <w:t xml:space="preserve">  </w:t>
      </w:r>
      <w:r>
        <w:rPr>
          <w:rFonts w:hint="eastAsia" w:hAnsi="宋体"/>
          <w:b/>
          <w:bCs/>
          <w:color w:val="000000" w:themeColor="text1"/>
          <w:kern w:val="0"/>
          <w:szCs w:val="21"/>
          <w14:textFill>
            <w14:solidFill>
              <w14:schemeClr w14:val="tx1"/>
            </w14:solidFill>
          </w14:textFill>
        </w:rPr>
        <w:t>有关农业园区经营的八点思考及创业要注意的问题</w:t>
      </w:r>
      <w:r>
        <w:rPr>
          <w:b/>
          <w:color w:val="000000" w:themeColor="text1"/>
          <w:kern w:val="0"/>
          <w:szCs w:val="21"/>
          <w14:textFill>
            <w14:solidFill>
              <w14:schemeClr w14:val="tx1"/>
            </w14:solidFill>
          </w14:textFill>
        </w:rPr>
        <w:t>     </w:t>
      </w:r>
      <w:r>
        <w:rPr>
          <w:rFonts w:hint="eastAsia"/>
          <w:b/>
          <w:color w:val="000000" w:themeColor="text1"/>
          <w:kern w:val="0"/>
          <w:szCs w:val="21"/>
          <w14:textFill>
            <w14:solidFill>
              <w14:schemeClr w14:val="tx1"/>
            </w14:solidFill>
          </w14:textFill>
        </w:rPr>
        <w:t>4</w:t>
      </w:r>
      <w:r>
        <w:rPr>
          <w:rFonts w:hAnsi="宋体"/>
          <w:b/>
          <w:color w:val="000000" w:themeColor="text1"/>
          <w:kern w:val="0"/>
          <w:szCs w:val="21"/>
          <w14:textFill>
            <w14:solidFill>
              <w14:schemeClr w14:val="tx1"/>
            </w14:solidFill>
          </w14:textFill>
        </w:rPr>
        <w:t>学时</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农业园区的经营和园艺产业创业是一个系统工程，需要优秀的综合型人才。</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重点：</w:t>
      </w:r>
      <w:r>
        <w:rPr>
          <w:rFonts w:hint="eastAsia" w:ascii="宋体" w:hAnsi="宋体"/>
          <w:color w:val="000000" w:themeColor="text1"/>
          <w14:textFill>
            <w14:solidFill>
              <w14:schemeClr w14:val="tx1"/>
            </w14:solidFill>
          </w14:textFill>
        </w:rPr>
        <w:t>八点思考及要注意的问题。</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w:t>
      </w:r>
      <w:r>
        <w:rPr>
          <w:rFonts w:hint="eastAsia" w:hAnsi="宋体"/>
          <w:color w:val="000000" w:themeColor="text1"/>
          <w:kern w:val="0"/>
          <w:szCs w:val="21"/>
          <w14:textFill>
            <w14:solidFill>
              <w14:schemeClr w14:val="tx1"/>
            </w14:solidFill>
          </w14:textFill>
        </w:rPr>
        <w:t>市场预测的困难和重要性。</w:t>
      </w:r>
      <w:r>
        <w:rPr>
          <w:rFonts w:hint="eastAsia" w:hAnsi="宋体"/>
          <w:color w:val="000000" w:themeColor="text1"/>
          <w14:textFill>
            <w14:solidFill>
              <w14:schemeClr w14:val="tx1"/>
            </w14:solidFill>
          </w14:textFill>
        </w:rPr>
        <w:t></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w:t>
      </w:r>
      <w:r>
        <w:rPr>
          <w:rFonts w:hint="eastAsia" w:hAnsi="宋体"/>
          <w:color w:val="000000" w:themeColor="text1"/>
          <w14:textFill>
            <w14:solidFill>
              <w14:schemeClr w14:val="tx1"/>
            </w14:solidFill>
          </w14:textFill>
        </w:rPr>
        <w:t>园区和园艺产业创业要注意的问题。园艺园区管理和创业是一个系统工程。</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掌握：优秀品种在园艺产业发展中的重要作用。</w:t>
      </w:r>
    </w:p>
    <w:p>
      <w:pPr>
        <w:pStyle w:val="20"/>
        <w:wordWrap w:val="0"/>
        <w:spacing w:before="0" w:beforeAutospacing="0" w:after="0" w:afterAutospacing="0" w:line="360" w:lineRule="auto"/>
        <w:ind w:firstLine="482" w:firstLineChars="200"/>
        <w:jc w:val="both"/>
        <w:rPr>
          <w:rFonts w:ascii="宋体" w:hAnsi="宋体" w:eastAsia="宋体" w:cs="Times New Roman"/>
          <w:color w:val="000000" w:themeColor="text1"/>
          <w:kern w:val="2"/>
          <w:sz w:val="2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eastAsia="宋体" w:cs="Times New Roman"/>
          <w:color w:val="000000" w:themeColor="text1"/>
          <w:kern w:val="2"/>
          <w:sz w:val="21"/>
          <w:szCs w:val="20"/>
          <w14:textFill>
            <w14:solidFill>
              <w14:schemeClr w14:val="tx1"/>
            </w14:solidFill>
          </w14:textFill>
        </w:rPr>
        <w:t>以PPT和视频为主，通过讲授、提问、课下拓展组织学生认知和接受课程内容，同时通过同学们自己收集资料，制作PPT，并上台讲授，其他同学对其进行提问、评价和答疑等，来完成课程主要相关的内容。</w:t>
      </w:r>
    </w:p>
    <w:tbl>
      <w:tblPr>
        <w:tblStyle w:val="22"/>
        <w:tblW w:w="0" w:type="auto"/>
        <w:tblInd w:w="4" w:type="dxa"/>
        <w:tblLayout w:type="autofit"/>
        <w:tblCellMar>
          <w:top w:w="0" w:type="dxa"/>
          <w:left w:w="0" w:type="dxa"/>
          <w:bottom w:w="0" w:type="dxa"/>
          <w:right w:w="0" w:type="dxa"/>
        </w:tblCellMar>
      </w:tblPr>
      <w:tblGrid>
        <w:gridCol w:w="912"/>
        <w:gridCol w:w="5850"/>
        <w:gridCol w:w="2134"/>
      </w:tblGrid>
      <w:tr>
        <w:tblPrEx>
          <w:tblCellMar>
            <w:top w:w="0" w:type="dxa"/>
            <w:left w:w="0" w:type="dxa"/>
            <w:bottom w:w="0" w:type="dxa"/>
            <w:right w:w="0" w:type="dxa"/>
          </w:tblCellMar>
        </w:tblPrEx>
        <w:trPr>
          <w:trHeight w:val="270" w:hRule="atLeast"/>
        </w:trPr>
        <w:tc>
          <w:tcPr>
            <w:tcW w:w="912" w:type="dxa"/>
            <w:tcBorders>
              <w:top w:val="nil"/>
              <w:left w:val="nil"/>
              <w:bottom w:val="nil"/>
              <w:right w:val="nil"/>
            </w:tcBorders>
            <w:vAlign w:val="center"/>
          </w:tcPr>
          <w:p>
            <w:pPr>
              <w:widowControl/>
              <w:snapToGrid w:val="0"/>
              <w:spacing w:line="360" w:lineRule="auto"/>
              <w:ind w:firstLine="422"/>
              <w:jc w:val="center"/>
              <w:rPr>
                <w:rFonts w:hAnsi="宋体"/>
                <w:b/>
                <w:bCs/>
                <w:color w:val="000000" w:themeColor="text1"/>
                <w:szCs w:val="21"/>
                <w14:textFill>
                  <w14:solidFill>
                    <w14:schemeClr w14:val="tx1"/>
                  </w14:solidFill>
                </w14:textFill>
              </w:rPr>
            </w:pPr>
          </w:p>
        </w:tc>
        <w:tc>
          <w:tcPr>
            <w:tcW w:w="5850" w:type="dxa"/>
            <w:tcBorders>
              <w:top w:val="nil"/>
              <w:left w:val="nil"/>
              <w:bottom w:val="nil"/>
              <w:right w:val="nil"/>
            </w:tcBorders>
            <w:vAlign w:val="center"/>
          </w:tcPr>
          <w:p>
            <w:pPr>
              <w:widowControl/>
              <w:snapToGrid w:val="0"/>
              <w:spacing w:line="360" w:lineRule="auto"/>
              <w:ind w:firstLine="843" w:firstLineChars="400"/>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第</w:t>
            </w:r>
            <w:r>
              <w:rPr>
                <w:rFonts w:hint="eastAsia" w:hAnsi="宋体"/>
                <w:b/>
                <w:bCs/>
                <w:color w:val="000000" w:themeColor="text1"/>
                <w:szCs w:val="21"/>
                <w14:textFill>
                  <w14:solidFill>
                    <w14:schemeClr w14:val="tx1"/>
                  </w14:solidFill>
                </w14:textFill>
              </w:rPr>
              <w:t>四</w:t>
            </w:r>
            <w:r>
              <w:rPr>
                <w:rFonts w:hAnsi="宋体"/>
                <w:b/>
                <w:bCs/>
                <w:color w:val="000000" w:themeColor="text1"/>
                <w:szCs w:val="21"/>
                <w14:textFill>
                  <w14:solidFill>
                    <w14:schemeClr w14:val="tx1"/>
                  </w14:solidFill>
                </w14:textFill>
              </w:rPr>
              <w:t>章</w:t>
            </w:r>
            <w:r>
              <w:rPr>
                <w:rFonts w:hint="eastAsia"/>
                <w:b/>
                <w:bCs/>
                <w:color w:val="000000" w:themeColor="text1"/>
                <w:szCs w:val="21"/>
                <w14:textFill>
                  <w14:solidFill>
                    <w14:schemeClr w14:val="tx1"/>
                  </w14:solidFill>
                </w14:textFill>
              </w:rPr>
              <w:t xml:space="preserve">  优质瓜菜品种、创品牌品种介绍及运作要点</w:t>
            </w:r>
            <w:r>
              <w:rPr>
                <w:rFonts w:hint="eastAsia"/>
                <w:b/>
                <w:color w:val="000000" w:themeColor="text1"/>
                <w:szCs w:val="21"/>
                <w14:textFill>
                  <w14:solidFill>
                    <w14:schemeClr w14:val="tx1"/>
                  </w14:solidFill>
                </w14:textFill>
              </w:rPr>
              <w:t xml:space="preserve">                       </w:t>
            </w:r>
          </w:p>
        </w:tc>
        <w:tc>
          <w:tcPr>
            <w:tcW w:w="2134" w:type="dxa"/>
            <w:tcBorders>
              <w:top w:val="nil"/>
              <w:left w:val="nil"/>
              <w:bottom w:val="nil"/>
              <w:right w:val="nil"/>
            </w:tcBorders>
            <w:vAlign w:val="center"/>
          </w:tcPr>
          <w:p>
            <w:pPr>
              <w:widowControl/>
              <w:snapToGrid w:val="0"/>
              <w:spacing w:line="360" w:lineRule="auto"/>
              <w:ind w:firstLine="422"/>
              <w:jc w:val="right"/>
              <w:rPr>
                <w:rFonts w:hAnsi="宋体"/>
                <w:b/>
                <w:bCs/>
                <w:color w:val="000000" w:themeColor="text1"/>
                <w:szCs w:val="21"/>
                <w14:textFill>
                  <w14:solidFill>
                    <w14:schemeClr w14:val="tx1"/>
                  </w14:solidFill>
                </w14:textFill>
              </w:rPr>
            </w:pPr>
            <w:r>
              <w:rPr>
                <w:rFonts w:hAnsi="宋体"/>
                <w:b/>
                <w:bCs/>
                <w:color w:val="000000" w:themeColor="text1"/>
                <w:szCs w:val="21"/>
                <w14:textFill>
                  <w14:solidFill>
                    <w14:schemeClr w14:val="tx1"/>
                  </w14:solidFill>
                </w14:textFill>
              </w:rPr>
              <w:t>学时</w:t>
            </w:r>
            <w:r>
              <w:rPr>
                <w:rFonts w:hint="eastAsia" w:hAnsi="宋体"/>
                <w:b/>
                <w:bCs/>
                <w:color w:val="000000" w:themeColor="text1"/>
                <w:szCs w:val="21"/>
                <w14:textFill>
                  <w14:solidFill>
                    <w14:schemeClr w14:val="tx1"/>
                  </w14:solidFill>
                </w14:textFill>
              </w:rPr>
              <w:t>数：2</w:t>
            </w:r>
          </w:p>
        </w:tc>
      </w:tr>
    </w:tbl>
    <w:p>
      <w:pPr>
        <w:snapToGrid w:val="0"/>
        <w:spacing w:line="360" w:lineRule="auto"/>
        <w:rPr>
          <w:rFonts w:ascii="宋体" w:hAnsi="宋体"/>
          <w:b/>
          <w:bCs/>
          <w:color w:val="000000" w:themeColor="text1"/>
          <w14:textFill>
            <w14:solidFill>
              <w14:schemeClr w14:val="tx1"/>
            </w14:solidFill>
          </w14:textFill>
        </w:rPr>
      </w:pPr>
      <w:r>
        <w:rPr>
          <w:rFonts w:ascii="宋体" w:hAnsi="宋体"/>
          <w:b/>
          <w:bCs/>
          <w:color w:val="000000" w:themeColor="text1"/>
          <w14:textFill>
            <w14:solidFill>
              <w14:schemeClr w14:val="tx1"/>
            </w14:solidFill>
          </w14:textFill>
        </w:rPr>
        <w:t>第一节</w:t>
      </w:r>
      <w:r>
        <w:rPr>
          <w:rFonts w:hint="eastAsia" w:ascii="宋体" w:hAnsi="宋体"/>
          <w:b/>
          <w:bCs/>
          <w:color w:val="000000" w:themeColor="text1"/>
          <w14:textFill>
            <w14:solidFill>
              <w14:schemeClr w14:val="tx1"/>
            </w14:solidFill>
          </w14:textFill>
        </w:rPr>
        <w:t xml:space="preserve">  西甜瓜瓜类品种（1</w:t>
      </w:r>
      <w:r>
        <w:rPr>
          <w:rFonts w:ascii="宋体" w:hAnsi="宋体"/>
          <w:b/>
          <w:bCs/>
          <w:color w:val="000000" w:themeColor="text1"/>
          <w14:textFill>
            <w14:solidFill>
              <w14:schemeClr w14:val="tx1"/>
            </w14:solidFill>
          </w14:textFill>
        </w:rPr>
        <w:t>学时</w:t>
      </w:r>
      <w:r>
        <w:rPr>
          <w:rFonts w:hint="eastAsia" w:ascii="宋体" w:hAnsi="宋体"/>
          <w:b/>
          <w:bCs/>
          <w:color w:val="000000" w:themeColor="text1"/>
          <w14:textFill>
            <w14:solidFill>
              <w14:schemeClr w14:val="tx1"/>
            </w14:solidFill>
          </w14:textFill>
        </w:rPr>
        <w:t>）</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了解目前适合农业园区种植和运作的优质西甜瓜类品种，从供给侧入手，做好创业工作。</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pStyle w:val="7"/>
        <w:snapToGrid w:val="0"/>
        <w:spacing w:line="360" w:lineRule="auto"/>
        <w:rPr>
          <w:rFonts w:hAnsi="宋体"/>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重点：目前市场上有特色的优质、有特色的几个西甜瓜品种，及其卖点。</w:t>
      </w:r>
    </w:p>
    <w:p>
      <w:pPr>
        <w:pStyle w:val="7"/>
        <w:snapToGrid w:val="0"/>
        <w:spacing w:line="360" w:lineRule="auto"/>
        <w:rPr>
          <w:rFonts w:hAnsi="宋体"/>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难点：差异化品种的差异化运作思路的形成。</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了解：市场上现有的优质品种及其特点。</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w:t>
      </w:r>
      <w:r>
        <w:rPr>
          <w:rFonts w:hint="eastAsia" w:hAnsi="宋体"/>
          <w:color w:val="000000" w:themeColor="text1"/>
          <w14:textFill>
            <w14:solidFill>
              <w14:schemeClr w14:val="tx1"/>
            </w14:solidFill>
          </w14:textFill>
        </w:rPr>
        <w:t>农业园区的品种差异化发展之路。</w:t>
      </w:r>
    </w:p>
    <w:p>
      <w:pPr>
        <w:widowControl/>
        <w:snapToGrid w:val="0"/>
        <w:spacing w:line="360" w:lineRule="auto"/>
        <w:rPr>
          <w:rFonts w:ascii="宋体" w:hAnsi="宋体"/>
          <w:b/>
          <w:bCs/>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p>
      <w:pPr>
        <w:widowControl/>
        <w:snapToGrid w:val="0"/>
        <w:spacing w:line="360" w:lineRule="auto"/>
        <w:jc w:val="left"/>
        <w:rPr>
          <w:b/>
          <w:color w:val="000000" w:themeColor="text1"/>
          <w:kern w:val="0"/>
          <w:szCs w:val="21"/>
          <w14:textFill>
            <w14:solidFill>
              <w14:schemeClr w14:val="tx1"/>
            </w14:solidFill>
          </w14:textFill>
        </w:rPr>
      </w:pPr>
      <w:r>
        <w:rPr>
          <w:rFonts w:hAnsi="宋体"/>
          <w:b/>
          <w:color w:val="000000" w:themeColor="text1"/>
          <w:kern w:val="0"/>
          <w:szCs w:val="21"/>
          <w14:textFill>
            <w14:solidFill>
              <w14:schemeClr w14:val="tx1"/>
            </w14:solidFill>
          </w14:textFill>
        </w:rPr>
        <w:t>第</w:t>
      </w:r>
      <w:r>
        <w:rPr>
          <w:rFonts w:hint="eastAsia" w:hAnsi="宋体"/>
          <w:b/>
          <w:color w:val="000000" w:themeColor="text1"/>
          <w:kern w:val="0"/>
          <w:szCs w:val="21"/>
          <w14:textFill>
            <w14:solidFill>
              <w14:schemeClr w14:val="tx1"/>
            </w14:solidFill>
          </w14:textFill>
        </w:rPr>
        <w:t>二</w:t>
      </w:r>
      <w:r>
        <w:rPr>
          <w:rFonts w:hAnsi="宋体"/>
          <w:b/>
          <w:color w:val="000000" w:themeColor="text1"/>
          <w:kern w:val="0"/>
          <w:szCs w:val="21"/>
          <w14:textFill>
            <w14:solidFill>
              <w14:schemeClr w14:val="tx1"/>
            </w14:solidFill>
          </w14:textFill>
        </w:rPr>
        <w:t>节</w:t>
      </w:r>
      <w:r>
        <w:rPr>
          <w:rFonts w:hint="eastAsia" w:hAnsi="宋体"/>
          <w:b/>
          <w:color w:val="000000" w:themeColor="text1"/>
          <w:kern w:val="0"/>
          <w:szCs w:val="21"/>
          <w14:textFill>
            <w14:solidFill>
              <w14:schemeClr w14:val="tx1"/>
            </w14:solidFill>
          </w14:textFill>
        </w:rPr>
        <w:t xml:space="preserve">  </w:t>
      </w:r>
      <w:r>
        <w:rPr>
          <w:rFonts w:hint="eastAsia" w:hAnsi="宋体"/>
          <w:b/>
          <w:bCs/>
          <w:color w:val="000000" w:themeColor="text1"/>
          <w:kern w:val="0"/>
          <w:szCs w:val="21"/>
          <w14:textFill>
            <w14:solidFill>
              <w14:schemeClr w14:val="tx1"/>
            </w14:solidFill>
          </w14:textFill>
        </w:rPr>
        <w:t>蔬菜类品种</w:t>
      </w:r>
      <w:r>
        <w:rPr>
          <w:b/>
          <w:color w:val="000000" w:themeColor="text1"/>
          <w:kern w:val="0"/>
          <w:szCs w:val="21"/>
          <w14:textFill>
            <w14:solidFill>
              <w14:schemeClr w14:val="tx1"/>
            </w14:solidFill>
          </w14:textFill>
        </w:rPr>
        <w:t> </w:t>
      </w:r>
      <w:r>
        <w:rPr>
          <w:rFonts w:hint="eastAsia" w:ascii="宋体" w:hAnsi="宋体"/>
          <w:b/>
          <w:bCs/>
          <w:color w:val="000000" w:themeColor="text1"/>
          <w14:textFill>
            <w14:solidFill>
              <w14:schemeClr w14:val="tx1"/>
            </w14:solidFill>
          </w14:textFill>
        </w:rPr>
        <w:t>（1</w:t>
      </w:r>
      <w:r>
        <w:rPr>
          <w:rFonts w:ascii="宋体" w:hAnsi="宋体"/>
          <w:b/>
          <w:bCs/>
          <w:color w:val="000000" w:themeColor="text1"/>
          <w14:textFill>
            <w14:solidFill>
              <w14:schemeClr w14:val="tx1"/>
            </w14:solidFill>
          </w14:textFill>
        </w:rPr>
        <w:t>学时</w:t>
      </w:r>
      <w:r>
        <w:rPr>
          <w:rFonts w:hint="eastAsia" w:ascii="宋体" w:hAnsi="宋体"/>
          <w:b/>
          <w:bCs/>
          <w:color w:val="000000" w:themeColor="text1"/>
          <w14:textFill>
            <w14:solidFill>
              <w14:schemeClr w14:val="tx1"/>
            </w14:solidFill>
          </w14:textFill>
        </w:rPr>
        <w:t>）</w:t>
      </w:r>
    </w:p>
    <w:p>
      <w:pPr>
        <w:widowControl/>
        <w:snapToGrid w:val="0"/>
        <w:spacing w:line="360" w:lineRule="auto"/>
        <w:rPr>
          <w:rFonts w:hAnsi="宋体"/>
          <w:b/>
          <w:bCs/>
          <w:color w:val="000000" w:themeColor="text1"/>
          <w:kern w:val="0"/>
          <w:szCs w:val="21"/>
          <w14:textFill>
            <w14:solidFill>
              <w14:schemeClr w14:val="tx1"/>
            </w14:solidFill>
          </w14:textFill>
        </w:rPr>
      </w:pPr>
      <w:r>
        <w:rPr>
          <w:rFonts w:hint="eastAsia" w:ascii="宋体" w:hAnsi="宋体"/>
          <w:b/>
          <w:bCs/>
          <w:color w:val="000000" w:themeColor="text1"/>
          <w14:textFill>
            <w14:solidFill>
              <w14:schemeClr w14:val="tx1"/>
            </w14:solidFill>
          </w14:textFill>
        </w:rPr>
        <w:t>教学目标：</w:t>
      </w:r>
      <w:r>
        <w:rPr>
          <w:rFonts w:hint="eastAsia" w:ascii="宋体" w:hAnsi="宋体"/>
          <w:color w:val="000000" w:themeColor="text1"/>
          <w14:textFill>
            <w14:solidFill>
              <w14:schemeClr w14:val="tx1"/>
            </w14:solidFill>
          </w14:textFill>
        </w:rPr>
        <w:t>了解目前市场上有特色的优质、有特色的几个蔬菜类品种及其卖点，从供给侧入手，做好创业工作。</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color w:val="000000" w:themeColor="text1"/>
          <w14:textFill>
            <w14:solidFill>
              <w14:schemeClr w14:val="tx1"/>
            </w14:solidFill>
          </w14:textFill>
        </w:rPr>
        <w:t>教学重点和难点：</w:t>
      </w:r>
    </w:p>
    <w:p>
      <w:pPr>
        <w:widowControl/>
        <w:snapToGrid w:val="0"/>
        <w:spacing w:line="360" w:lineRule="auto"/>
        <w:ind w:firstLine="420" w:firstLineChars="200"/>
        <w:rPr>
          <w:rFonts w:asciiTheme="minorEastAsia" w:hAnsiTheme="minorEastAsia" w:cstheme="minorEastAsia"/>
          <w:color w:val="000000" w:themeColor="text1"/>
          <w:kern w:val="0"/>
          <w:szCs w:val="21"/>
          <w14:textFill>
            <w14:solidFill>
              <w14:schemeClr w14:val="tx1"/>
            </w14:solidFill>
          </w14:textFill>
        </w:rPr>
      </w:pPr>
      <w:r>
        <w:rPr>
          <w:rFonts w:hint="eastAsia" w:hAnsi="宋体"/>
          <w:color w:val="000000" w:themeColor="text1"/>
          <w14:textFill>
            <w14:solidFill>
              <w14:schemeClr w14:val="tx1"/>
            </w14:solidFill>
          </w14:textFill>
        </w:rPr>
        <w:t>重点：</w:t>
      </w:r>
      <w:r>
        <w:rPr>
          <w:rFonts w:hint="eastAsia" w:asciiTheme="minorEastAsia" w:hAnsiTheme="minorEastAsia" w:cstheme="minorEastAsia"/>
          <w:color w:val="000000" w:themeColor="text1"/>
          <w:kern w:val="0"/>
          <w:szCs w:val="21"/>
          <w14:textFill>
            <w14:solidFill>
              <w14:schemeClr w14:val="tx1"/>
            </w14:solidFill>
          </w14:textFill>
        </w:rPr>
        <w:t>有特色的优质、有特色的几个品种及其卖点提炼。</w:t>
      </w:r>
    </w:p>
    <w:p>
      <w:pPr>
        <w:widowControl/>
        <w:snapToGrid w:val="0"/>
        <w:spacing w:line="360" w:lineRule="auto"/>
        <w:ind w:firstLine="420" w:firstLineChars="200"/>
        <w:rPr>
          <w:rFonts w:hAnsi="宋体"/>
          <w:b/>
          <w:bCs/>
          <w:color w:val="000000" w:themeColor="text1"/>
          <w:kern w:val="0"/>
          <w14:textFill>
            <w14:solidFill>
              <w14:schemeClr w14:val="tx1"/>
            </w14:solidFill>
          </w14:textFill>
        </w:rPr>
      </w:pPr>
      <w:r>
        <w:rPr>
          <w:rFonts w:hint="eastAsia" w:hAnsi="宋体"/>
          <w:color w:val="000000" w:themeColor="text1"/>
          <w14:textFill>
            <w14:solidFill>
              <w14:schemeClr w14:val="tx1"/>
            </w14:solidFill>
          </w14:textFill>
        </w:rPr>
        <w:t>难点：</w:t>
      </w:r>
      <w:r>
        <w:rPr>
          <w:rFonts w:hint="eastAsia" w:asciiTheme="minorEastAsia" w:hAnsiTheme="minorEastAsia" w:cstheme="minorEastAsia"/>
          <w:color w:val="000000" w:themeColor="text1"/>
          <w:kern w:val="0"/>
          <w:szCs w:val="21"/>
          <w14:textFill>
            <w14:solidFill>
              <w14:schemeClr w14:val="tx1"/>
            </w14:solidFill>
          </w14:textFill>
        </w:rPr>
        <w:t>差异化的运作思路和意识的培养。</w:t>
      </w:r>
      <w:r>
        <w:rPr>
          <w:rFonts w:hint="eastAsia" w:hAnsi="宋体"/>
          <w:color w:val="000000" w:themeColor="text1"/>
          <w14:textFill>
            <w14:solidFill>
              <w14:schemeClr w14:val="tx1"/>
            </w14:solidFill>
          </w14:textFill>
        </w:rPr>
        <w:t></w:t>
      </w:r>
    </w:p>
    <w:p>
      <w:pPr>
        <w:pStyle w:val="7"/>
        <w:snapToGrid w:val="0"/>
        <w:spacing w:line="360" w:lineRule="auto"/>
        <w:ind w:firstLine="0" w:firstLineChars="0"/>
        <w:rPr>
          <w:rFonts w:ascii="宋体" w:hAnsi="宋体"/>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主要教学内容及要求：</w:t>
      </w:r>
    </w:p>
    <w:p>
      <w:pPr>
        <w:pStyle w:val="7"/>
        <w:snapToGrid w:val="0"/>
        <w:spacing w:line="360" w:lineRule="auto"/>
        <w:rPr>
          <w:rFonts w:hAnsi="宋体" w:eastAsiaTheme="minorEastAsia"/>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了解：</w:t>
      </w:r>
      <w:r>
        <w:rPr>
          <w:rFonts w:hint="eastAsia" w:hAnsi="宋体"/>
          <w:color w:val="000000" w:themeColor="text1"/>
          <w14:textFill>
            <w14:solidFill>
              <w14:schemeClr w14:val="tx1"/>
            </w14:solidFill>
          </w14:textFill>
        </w:rPr>
        <w:t>市场上现有的优质品种及独特优势和</w:t>
      </w:r>
      <w:r>
        <w:rPr>
          <w:rFonts w:hint="eastAsia" w:asciiTheme="minorEastAsia" w:hAnsiTheme="minorEastAsia" w:eastAsiaTheme="minorEastAsia" w:cstheme="minorEastAsia"/>
          <w:color w:val="000000" w:themeColor="text1"/>
          <w:kern w:val="0"/>
          <w:szCs w:val="21"/>
          <w14:textFill>
            <w14:solidFill>
              <w14:schemeClr w14:val="tx1"/>
            </w14:solidFill>
          </w14:textFill>
        </w:rPr>
        <w:t>运作案例。</w:t>
      </w:r>
    </w:p>
    <w:p>
      <w:pPr>
        <w:pStyle w:val="7"/>
        <w:snapToGrid w:val="0"/>
        <w:spacing w:line="360" w:lineRule="auto"/>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掌握：</w:t>
      </w:r>
      <w:r>
        <w:rPr>
          <w:rFonts w:hint="eastAsia" w:asciiTheme="minorEastAsia" w:hAnsiTheme="minorEastAsia" w:eastAsiaTheme="minorEastAsia" w:cstheme="minorEastAsia"/>
          <w:color w:val="000000" w:themeColor="text1"/>
          <w:kern w:val="0"/>
          <w:szCs w:val="21"/>
          <w14:textFill>
            <w14:solidFill>
              <w14:schemeClr w14:val="tx1"/>
            </w14:solidFill>
          </w14:textFill>
        </w:rPr>
        <w:t>品种差异化的发展之路</w:t>
      </w:r>
      <w:r>
        <w:rPr>
          <w:rFonts w:hint="eastAsia" w:ascii="宋体" w:hAnsi="宋体"/>
          <w:color w:val="000000" w:themeColor="text1"/>
          <w14:textFill>
            <w14:solidFill>
              <w14:schemeClr w14:val="tx1"/>
            </w14:solidFill>
          </w14:textFill>
        </w:rPr>
        <w:t>。</w:t>
      </w:r>
    </w:p>
    <w:p>
      <w:pPr>
        <w:widowControl/>
        <w:snapToGrid w:val="0"/>
        <w:spacing w:line="360" w:lineRule="auto"/>
        <w:rPr>
          <w:rFonts w:ascii="宋体" w:hAnsi="宋体"/>
          <w:color w:val="000000" w:themeColor="text1"/>
          <w:szCs w:val="20"/>
          <w14:textFill>
            <w14:solidFill>
              <w14:schemeClr w14:val="tx1"/>
            </w14:solidFill>
          </w14:textFill>
        </w:rPr>
      </w:pPr>
      <w:r>
        <w:rPr>
          <w:rFonts w:hint="eastAsia" w:ascii="宋体" w:hAnsi="宋体"/>
          <w:b/>
          <w:bCs/>
          <w:color w:val="000000" w:themeColor="text1"/>
          <w14:textFill>
            <w14:solidFill>
              <w14:schemeClr w14:val="tx1"/>
            </w14:solidFill>
          </w14:textFill>
        </w:rPr>
        <w:t>教学组织与实施：</w:t>
      </w:r>
      <w:r>
        <w:rPr>
          <w:rFonts w:hint="eastAsia" w:ascii="宋体" w:hAnsi="宋体"/>
          <w:color w:val="000000" w:themeColor="text1"/>
          <w:szCs w:val="20"/>
          <w14:textFill>
            <w14:solidFill>
              <w14:schemeClr w14:val="tx1"/>
            </w14:solidFill>
          </w14:textFill>
        </w:rPr>
        <w:t>以PPT和视频为主，通过讲授、提问、课下拓展组织学生认知和接受课程内容。</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五</w:t>
      </w:r>
      <w:r>
        <w:rPr>
          <w:rFonts w:ascii="宋体" w:hAnsi="宋体"/>
          <w:b/>
          <w:color w:val="000000" w:themeColor="text1"/>
          <w:szCs w:val="21"/>
          <w14:textFill>
            <w14:solidFill>
              <w14:schemeClr w14:val="tx1"/>
            </w14:solidFill>
          </w14:textFill>
        </w:rPr>
        <w:t>、</w:t>
      </w:r>
      <w:r>
        <w:rPr>
          <w:rFonts w:hint="eastAsia" w:ascii="宋体" w:hAnsi="宋体"/>
          <w:b/>
          <w:color w:val="000000" w:themeColor="text1"/>
          <w:szCs w:val="21"/>
          <w14:textFill>
            <w14:solidFill>
              <w14:schemeClr w14:val="tx1"/>
            </w14:solidFill>
          </w14:textFill>
        </w:rPr>
        <w:t>课程思政</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（一）《园艺产业创业案例》课程思政建设主要有以下3个目标：</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目标 1：国家情怀，社会责任。具有坚定正确的政治方向，自觉践行社会主义核心价值观。</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目标 2：创新精神。以园艺产业创业案例引导学生的创新精神，提高创新能力和就业竞争能力。</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目标 3：科学创业观。主动适应国家经济社会发展和人的全面发展需求，正确理解创业与职业生涯发展的关系，自觉遵循创业规律，积极投身创业实践。</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（二）对应思政育人目标，本课程共设计3个案例融入课堂教学，具体如下：</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1）在讲解我国园艺产业的现状、问题及发展方向过程中，融入案例1：:我国园艺产业分类、产业生命周期和产业结构的构成，及当前产业变动趋势，引导学生关注社会现实。同时结合当前中国共产党领导下的园艺产业发展状况，，使学生认识到中国共产党领导人民取得的令世界惊叹的辉煌成就，书写的波澜壮阔的历史画卷，进而升华学生的爱党爱国热情。此外，结合深化供给侧结构性改革，讲解当前我国增强经济质量优势，加快建设农业强国，支持农业产业优化升级的方针，使学生认识到我国当前产业结构的变化与国家经济实力提升的关系，提升学生的国家情怀和社会责任。</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2）在讲解我国园艺产业案例时，融入案例2：江苏省新河镇沙河村“新村干”胡生振突发奇想“蔬菜不仅可以食用，也可以观赏”，进而跳出花卉盆景的“内卷”，开始培育各类蔬菜种苗，他请来农技专家，针对不同的蔬菜品种，采取相应的植株调整措施，使蔬菜盆景保持良好姿态，提高观赏效果。胡生振先后推出小番茄、七彩椒、羽衣甘蓝等10余种蔬菜盆景新产品，采取“展厅+基地”“线上+线下”相结合经营模式，依托位于山东的50亩代培代管育苗场，年产蔬菜苗百万株，年产值达1000万元。通过案例让学生感受到创新精神在园艺产业创业中的重要性。</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3）在讲解我国园艺产业案例时，融入案例3：安徽阜阳人方芹与先生在地产界打拼20余年后，为回报家乡父老，于2006年投资800万元在长丰县创办了一家有机农业科技有限公司。开发一个自己不熟悉的领域，方芹只能边摸索边前进。渐渐地，方芹大脑中形成了有机食品的轮廓。方芹给自己的蔬菜申请了商标――“振国”牌，寄寓提振国人体质与食品从业者诚信道德操守之意。按照2005年中国国家标准化管理委员会制定的《有机食品国家标准》，在有机农业种植中，土地、大气、水环境、选种、施用肥料、除虫方式等环节因素都须遵循严格的规定。方芹几经周折，在合肥市长丰县陶楼乡陶西村以一亩地年租金600元租下原南京农科院与安徽省农科院联手净化的156亩有机水稻实验种植土地。数十个蔬菜大棚建在一个四面丘陵环绕的洼地处，水库与基地受水塔有一定落差，水可自然流进调节池，然后分流至自动喷淋系统浇灌。外环水由于地表径流受化肥、农药等成分污染，必须从基地外围沟渠疏导流出。此外，基地对土地本身的要求也很严格。不过用辛勤汗水浇灌、培育出来的“有机蔬菜”最终能否流向市场，还得经过合法的认证机构“验明正身”。2006年底，方芹的基地与蔬菜顺利通过了一系列反复检测，终于获得了她梦寐以求的“有机蔬菜基地”和“有机蔬菜”头衔。通过案例让学生感受到不屈不挠的创业精神，并树立科学的创业观。</w:t>
      </w:r>
    </w:p>
    <w:p>
      <w:pPr>
        <w:widowControl/>
        <w:snapToGrid w:val="0"/>
        <w:spacing w:line="360" w:lineRule="auto"/>
        <w:jc w:val="left"/>
        <w:rPr>
          <w:color w:val="000000" w:themeColor="text1"/>
          <w:kern w:val="0"/>
          <w:szCs w:val="21"/>
          <w14:textFill>
            <w14:solidFill>
              <w14:schemeClr w14:val="tx1"/>
            </w14:solidFill>
          </w14:textFill>
        </w:rPr>
      </w:pPr>
      <w:r>
        <w:rPr>
          <w:rFonts w:hint="eastAsia" w:hAnsi="宋体"/>
          <w:b/>
          <w:bCs/>
          <w:color w:val="000000" w:themeColor="text1"/>
          <w:kern w:val="0"/>
          <w:szCs w:val="21"/>
          <w14:textFill>
            <w14:solidFill>
              <w14:schemeClr w14:val="tx1"/>
            </w14:solidFill>
          </w14:textFill>
        </w:rPr>
        <w:t>六</w:t>
      </w:r>
      <w:r>
        <w:rPr>
          <w:rFonts w:hAnsi="宋体"/>
          <w:b/>
          <w:bCs/>
          <w:color w:val="000000" w:themeColor="text1"/>
          <w:kern w:val="0"/>
          <w:szCs w:val="21"/>
          <w14:textFill>
            <w14:solidFill>
              <w14:schemeClr w14:val="tx1"/>
            </w14:solidFill>
          </w14:textFill>
        </w:rPr>
        <w:t>、教材</w:t>
      </w:r>
      <w:r>
        <w:rPr>
          <w:rFonts w:hint="eastAsia" w:hAnsi="宋体"/>
          <w:b/>
          <w:bCs/>
          <w:color w:val="000000" w:themeColor="text1"/>
          <w:kern w:val="0"/>
          <w:szCs w:val="21"/>
          <w14:textFill>
            <w14:solidFill>
              <w14:schemeClr w14:val="tx1"/>
            </w14:solidFill>
          </w14:textFill>
        </w:rPr>
        <w:t>及教学参考书</w:t>
      </w:r>
      <w:r>
        <w:rPr>
          <w:rFonts w:hint="eastAsia" w:ascii="宋体" w:hAnsi="宋体" w:cs="宋体"/>
          <w:b/>
          <w:bCs/>
          <w:color w:val="000000" w:themeColor="text1"/>
          <w:kern w:val="0"/>
          <w:szCs w:val="21"/>
          <w14:textFill>
            <w14:solidFill>
              <w14:schemeClr w14:val="tx1"/>
            </w14:solidFill>
          </w14:textFill>
        </w:rPr>
        <w:t></w:t>
      </w:r>
    </w:p>
    <w:p>
      <w:pPr>
        <w:widowControl/>
        <w:snapToGrid w:val="0"/>
        <w:spacing w:line="360" w:lineRule="auto"/>
        <w:ind w:firstLine="422" w:firstLineChars="200"/>
        <w:jc w:val="left"/>
        <w:rPr>
          <w:rFonts w:hAnsi="宋体"/>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w:t>
      </w:r>
      <w:r>
        <w:rPr>
          <w:rFonts w:hint="eastAsia" w:hAnsi="宋体"/>
          <w:b/>
          <w:bCs/>
          <w:color w:val="000000" w:themeColor="text1"/>
          <w:kern w:val="0"/>
          <w:szCs w:val="21"/>
          <w14:textFill>
            <w14:solidFill>
              <w14:schemeClr w14:val="tx1"/>
            </w14:solidFill>
          </w14:textFill>
        </w:rPr>
        <w:t>.选用</w:t>
      </w:r>
      <w:r>
        <w:rPr>
          <w:rFonts w:hAnsi="宋体"/>
          <w:b/>
          <w:bCs/>
          <w:color w:val="000000" w:themeColor="text1"/>
          <w:kern w:val="0"/>
          <w:szCs w:val="21"/>
          <w14:textFill>
            <w14:solidFill>
              <w14:schemeClr w14:val="tx1"/>
            </w14:solidFill>
          </w14:textFill>
        </w:rPr>
        <w:t>教材：</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理论课教材：</w:t>
      </w:r>
      <w:r>
        <w:rPr>
          <w:rFonts w:hint="eastAsia" w:hAnsi="宋体"/>
          <w:bCs/>
          <w:color w:val="000000" w:themeColor="text1"/>
          <w:kern w:val="0"/>
          <w:szCs w:val="21"/>
          <w14:textFill>
            <w14:solidFill>
              <w14:schemeClr w14:val="tx1"/>
            </w14:solidFill>
          </w14:textFill>
        </w:rPr>
        <w:t>农产品营销（第2版）</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林依倔</w:t>
      </w:r>
      <w:r>
        <w:rPr>
          <w:rFonts w:hAnsi="宋体"/>
          <w:bCs/>
          <w:color w:val="000000" w:themeColor="text1"/>
          <w:kern w:val="0"/>
          <w:szCs w:val="21"/>
          <w14:textFill>
            <w14:solidFill>
              <w14:schemeClr w14:val="tx1"/>
            </w14:solidFill>
          </w14:textFill>
        </w:rPr>
        <w:t>编著，</w:t>
      </w:r>
      <w:r>
        <w:rPr>
          <w:rFonts w:hint="eastAsia" w:hAnsi="宋体"/>
          <w:bCs/>
          <w:color w:val="000000" w:themeColor="text1"/>
          <w:kern w:val="0"/>
          <w:szCs w:val="21"/>
          <w14:textFill>
            <w14:solidFill>
              <w14:schemeClr w14:val="tx1"/>
            </w14:solidFill>
          </w14:textFill>
        </w:rPr>
        <w:t>西南交通大学出版社</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2022</w:t>
      </w:r>
      <w:r>
        <w:rPr>
          <w:rFonts w:hAnsi="宋体"/>
          <w:bCs/>
          <w:color w:val="000000" w:themeColor="text1"/>
          <w:kern w:val="0"/>
          <w:szCs w:val="21"/>
          <w14:textFill>
            <w14:solidFill>
              <w14:schemeClr w14:val="tx1"/>
            </w14:solidFill>
          </w14:textFill>
        </w:rPr>
        <w:t>年</w:t>
      </w:r>
    </w:p>
    <w:p>
      <w:pPr>
        <w:widowControl/>
        <w:snapToGrid w:val="0"/>
        <w:spacing w:line="360" w:lineRule="auto"/>
        <w:ind w:firstLine="422" w:firstLineChars="200"/>
        <w:jc w:val="left"/>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w:t>
      </w:r>
      <w:r>
        <w:rPr>
          <w:rFonts w:hint="eastAsia" w:hAnsi="宋体"/>
          <w:b/>
          <w:bCs/>
          <w:color w:val="000000" w:themeColor="text1"/>
          <w:kern w:val="0"/>
          <w:szCs w:val="21"/>
          <w14:textFill>
            <w14:solidFill>
              <w14:schemeClr w14:val="tx1"/>
            </w14:solidFill>
          </w14:textFill>
        </w:rPr>
        <w:t>.</w:t>
      </w:r>
      <w:r>
        <w:rPr>
          <w:rFonts w:hAnsi="宋体"/>
          <w:b/>
          <w:bCs/>
          <w:color w:val="000000" w:themeColor="text1"/>
          <w:kern w:val="0"/>
          <w:szCs w:val="21"/>
          <w14:textFill>
            <w14:solidFill>
              <w14:schemeClr w14:val="tx1"/>
            </w14:solidFill>
          </w14:textFill>
        </w:rPr>
        <w:t>参考书：</w:t>
      </w:r>
    </w:p>
    <w:p>
      <w:pPr>
        <w:snapToGrid w:val="0"/>
        <w:spacing w:line="360" w:lineRule="auto"/>
        <w:ind w:firstLine="420" w:firstLineChars="200"/>
        <w:rPr>
          <w:rFonts w:hAnsi="宋体"/>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1</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园艺技术专业创新创业指导与案例分析．申晓萍//傅秀红．中国农业大学</w:t>
      </w:r>
      <w:r>
        <w:rPr>
          <w:rFonts w:hint="eastAsia" w:asciiTheme="minorEastAsia" w:hAnsiTheme="minorEastAsia" w:cstheme="minorEastAsia"/>
          <w:bCs/>
          <w:color w:val="000000" w:themeColor="text1"/>
          <w:kern w:val="0"/>
          <w:szCs w:val="21"/>
          <w14:textFill>
            <w14:solidFill>
              <w14:schemeClr w14:val="tx1"/>
            </w14:solidFill>
          </w14:textFill>
        </w:rPr>
        <w:t>出版社</w:t>
      </w:r>
      <w:r>
        <w:rPr>
          <w:rFonts w:hint="eastAsia" w:hAnsi="宋体"/>
          <w:bCs/>
          <w:color w:val="000000" w:themeColor="text1"/>
          <w:kern w:val="0"/>
          <w:szCs w:val="21"/>
          <w14:textFill>
            <w14:solidFill>
              <w14:schemeClr w14:val="tx1"/>
            </w14:solidFill>
          </w14:textFill>
        </w:rPr>
        <w:t>, 2021</w:t>
      </w:r>
    </w:p>
    <w:p>
      <w:pPr>
        <w:snapToGrid w:val="0"/>
        <w:spacing w:line="360" w:lineRule="auto"/>
        <w:ind w:firstLine="420" w:firstLineChars="200"/>
        <w:rPr>
          <w:rFonts w:hAnsi="宋体"/>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2</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农产品营销实战第一书．胡浪球编著．企业管理出版社，2013</w:t>
      </w:r>
    </w:p>
    <w:p>
      <w:pPr>
        <w:snapToGrid w:val="0"/>
        <w:spacing w:line="360" w:lineRule="auto"/>
        <w:ind w:firstLine="420" w:firstLineChars="200"/>
        <w:rPr>
          <w:rFonts w:hAnsi="宋体"/>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3</w:t>
      </w:r>
      <w:r>
        <w:rPr>
          <w:rFonts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《蔬菜营养与健康》</w:t>
      </w:r>
      <w:r>
        <w:rPr>
          <w:rFonts w:hint="eastAsia"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张和义、李苏迎编著</w:t>
      </w:r>
      <w:r>
        <w:rPr>
          <w:rFonts w:hint="eastAsia"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西北农林科技大学出版社，2012</w:t>
      </w:r>
    </w:p>
    <w:p>
      <w:pPr>
        <w:snapToGrid w:val="0"/>
        <w:spacing w:line="360" w:lineRule="auto"/>
        <w:ind w:firstLine="420" w:firstLineChars="200"/>
        <w:rPr>
          <w:rFonts w:asciiTheme="minorEastAsia" w:hAnsiTheme="minorEastAsia" w:cstheme="minorEastAsia"/>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4</w:t>
      </w:r>
      <w:r>
        <w:rPr>
          <w:rFonts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农产品区域公用品牌建设路径研究</w:t>
      </w:r>
      <w:r>
        <w:rPr>
          <w:rFonts w:hint="eastAsia"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张竞.中国社会科学出版社，2021</w:t>
      </w:r>
    </w:p>
    <w:p>
      <w:pPr>
        <w:snapToGrid w:val="0"/>
        <w:spacing w:line="360" w:lineRule="auto"/>
        <w:ind w:firstLine="420" w:firstLineChars="200"/>
        <w:rPr>
          <w:rFonts w:asciiTheme="minorEastAsia" w:hAnsiTheme="minorEastAsia" w:cstheme="minorEastAsia"/>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5</w:t>
      </w:r>
      <w:r>
        <w:rPr>
          <w:rFonts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园艺产品营销</w:t>
      </w:r>
      <w:r>
        <w:rPr>
          <w:rFonts w:hint="eastAsia" w:hAnsi="宋体"/>
          <w:bCs/>
          <w:color w:val="000000" w:themeColor="text1"/>
          <w:kern w:val="0"/>
          <w:szCs w:val="21"/>
          <w14:textFill>
            <w14:solidFill>
              <w14:schemeClr w14:val="tx1"/>
            </w14:solidFill>
          </w14:textFill>
        </w:rPr>
        <w:t>．何钢．</w:t>
      </w:r>
      <w:r>
        <w:rPr>
          <w:rFonts w:hint="eastAsia" w:asciiTheme="minorEastAsia" w:hAnsiTheme="minorEastAsia" w:cstheme="minorEastAsia"/>
          <w:bCs/>
          <w:color w:val="000000" w:themeColor="text1"/>
          <w:kern w:val="0"/>
          <w:szCs w:val="21"/>
          <w14:textFill>
            <w14:solidFill>
              <w14:schemeClr w14:val="tx1"/>
            </w14:solidFill>
          </w14:textFill>
        </w:rPr>
        <w:t>中国农业大学出版社，2016</w:t>
      </w:r>
    </w:p>
    <w:p>
      <w:pPr>
        <w:snapToGrid w:val="0"/>
        <w:spacing w:line="360" w:lineRule="auto"/>
        <w:ind w:firstLine="420" w:firstLineChars="200"/>
        <w:rPr>
          <w:rFonts w:asciiTheme="minorEastAsia" w:hAnsiTheme="minorEastAsia" w:cstheme="minorEastAsia"/>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6</w:t>
      </w:r>
      <w:r>
        <w:rPr>
          <w:rFonts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园艺产品储运营销</w:t>
      </w:r>
      <w:r>
        <w:rPr>
          <w:rFonts w:hint="eastAsia"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刘军</w:t>
      </w:r>
      <w:r>
        <w:rPr>
          <w:rFonts w:hint="eastAsia" w:hAnsi="宋体"/>
          <w:bCs/>
          <w:color w:val="000000" w:themeColor="text1"/>
          <w:kern w:val="0"/>
          <w:szCs w:val="21"/>
          <w14:textFill>
            <w14:solidFill>
              <w14:schemeClr w14:val="tx1"/>
            </w14:solidFill>
          </w14:textFill>
        </w:rPr>
        <w:t>//</w:t>
      </w:r>
      <w:r>
        <w:rPr>
          <w:rFonts w:hint="eastAsia" w:asciiTheme="minorEastAsia" w:hAnsiTheme="minorEastAsia" w:cstheme="minorEastAsia"/>
          <w:bCs/>
          <w:color w:val="000000" w:themeColor="text1"/>
          <w:kern w:val="0"/>
          <w:szCs w:val="21"/>
          <w14:textFill>
            <w14:solidFill>
              <w14:schemeClr w14:val="tx1"/>
            </w14:solidFill>
          </w14:textFill>
        </w:rPr>
        <w:t>王维江.中国农业大学出版社，2014</w:t>
      </w:r>
    </w:p>
    <w:p>
      <w:pPr>
        <w:widowControl/>
        <w:snapToGrid w:val="0"/>
        <w:spacing w:line="360" w:lineRule="auto"/>
        <w:ind w:firstLine="422" w:firstLineChars="200"/>
        <w:jc w:val="left"/>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3.推荐网站</w:t>
      </w:r>
      <w:r>
        <w:rPr>
          <w:rFonts w:hint="eastAsia"/>
          <w:b/>
          <w:color w:val="000000" w:themeColor="text1"/>
          <w:kern w:val="0"/>
          <w:szCs w:val="21"/>
          <w14:textFill>
            <w14:solidFill>
              <w14:schemeClr w14:val="tx1"/>
            </w14:solidFill>
          </w14:textFill>
        </w:rPr>
        <w:t>（线上资源）</w:t>
      </w:r>
      <w:r>
        <w:rPr>
          <w:b/>
          <w:color w:val="000000" w:themeColor="text1"/>
          <w:kern w:val="0"/>
          <w:szCs w:val="21"/>
          <w14:textFill>
            <w14:solidFill>
              <w14:schemeClr w14:val="tx1"/>
            </w14:solidFill>
          </w14:textFill>
        </w:rPr>
        <w:t>：</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中国食品营养网，网址http://www.chinafcd.com/</w:t>
      </w:r>
    </w:p>
    <w:p>
      <w:pPr>
        <w:widowControl/>
        <w:snapToGrid w:val="0"/>
        <w:spacing w:line="360" w:lineRule="auto"/>
        <w:ind w:firstLine="420" w:firstLineChars="200"/>
        <w:jc w:val="left"/>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中国农业信息网，网址</w:t>
      </w:r>
      <w:r>
        <w:fldChar w:fldCharType="begin"/>
      </w:r>
      <w:r>
        <w:instrText xml:space="preserve"> HYPERLINK "http://eat.51ttyy.com/" </w:instrText>
      </w:r>
      <w:r>
        <w:fldChar w:fldCharType="separate"/>
      </w:r>
      <w:r>
        <w:rPr>
          <w:rStyle w:val="27"/>
          <w:rFonts w:hint="eastAsia" w:hAnsi="宋体"/>
          <w:color w:val="000000" w:themeColor="text1"/>
          <w:szCs w:val="21"/>
          <w14:textFill>
            <w14:solidFill>
              <w14:schemeClr w14:val="tx1"/>
            </w14:solidFill>
          </w14:textFill>
        </w:rPr>
        <w:t>http://eat.51ttyy.com/</w:t>
      </w:r>
      <w:r>
        <w:rPr>
          <w:rStyle w:val="27"/>
          <w:rFonts w:hint="eastAsia" w:hAnsi="宋体"/>
          <w:color w:val="000000" w:themeColor="text1"/>
          <w:szCs w:val="21"/>
          <w14:textFill>
            <w14:solidFill>
              <w14:schemeClr w14:val="tx1"/>
            </w14:solidFill>
          </w14:textFill>
        </w:rPr>
        <w:fldChar w:fldCharType="end"/>
      </w:r>
    </w:p>
    <w:p>
      <w:pPr>
        <w:widowControl/>
        <w:snapToGrid w:val="0"/>
        <w:spacing w:line="360" w:lineRule="auto"/>
        <w:jc w:val="left"/>
        <w:rPr>
          <w:rFonts w:hAnsi="宋体"/>
          <w:b/>
          <w:bCs/>
          <w:color w:val="000000" w:themeColor="text1"/>
          <w:kern w:val="0"/>
          <w:szCs w:val="21"/>
          <w14:textFill>
            <w14:solidFill>
              <w14:schemeClr w14:val="tx1"/>
            </w14:solidFill>
          </w14:textFill>
        </w:rPr>
      </w:pPr>
      <w:r>
        <w:rPr>
          <w:rFonts w:hint="eastAsia" w:hAnsi="宋体"/>
          <w:b/>
          <w:bCs/>
          <w:color w:val="000000" w:themeColor="text1"/>
          <w:kern w:val="0"/>
          <w:szCs w:val="21"/>
          <w14:textFill>
            <w14:solidFill>
              <w14:schemeClr w14:val="tx1"/>
            </w14:solidFill>
          </w14:textFill>
        </w:rPr>
        <w:t>八</w:t>
      </w:r>
      <w:r>
        <w:rPr>
          <w:rFonts w:hAnsi="宋体"/>
          <w:b/>
          <w:bCs/>
          <w:color w:val="000000" w:themeColor="text1"/>
          <w:kern w:val="0"/>
          <w:szCs w:val="21"/>
          <w14:textFill>
            <w14:solidFill>
              <w14:schemeClr w14:val="tx1"/>
            </w14:solidFill>
          </w14:textFill>
        </w:rPr>
        <w:t>、</w:t>
      </w:r>
      <w:r>
        <w:rPr>
          <w:rFonts w:hint="eastAsia" w:hAnsi="宋体"/>
          <w:b/>
          <w:bCs/>
          <w:color w:val="000000" w:themeColor="text1"/>
          <w:kern w:val="0"/>
          <w:szCs w:val="21"/>
          <w14:textFill>
            <w14:solidFill>
              <w14:schemeClr w14:val="tx1"/>
            </w14:solidFill>
          </w14:textFill>
        </w:rPr>
        <w:t>教学条件</w:t>
      </w:r>
    </w:p>
    <w:p>
      <w:pPr>
        <w:widowControl/>
        <w:snapToGrid w:val="0"/>
        <w:spacing w:line="360" w:lineRule="auto"/>
        <w:ind w:firstLine="420" w:firstLineChars="200"/>
        <w:jc w:val="left"/>
        <w:rPr>
          <w:rFonts w:hAnsi="宋体"/>
          <w:b/>
          <w:bCs/>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教学主要以讲授和讨论等形式开展，需要有多媒体教室，安装在线联网、超星教育系统等。</w:t>
      </w:r>
      <w:r>
        <w:rPr>
          <w:rFonts w:hint="eastAsia" w:hAnsi="宋体"/>
          <w:b/>
          <w:bCs/>
          <w:color w:val="000000" w:themeColor="text1"/>
          <w:kern w:val="0"/>
          <w:szCs w:val="21"/>
          <w14:textFill>
            <w14:solidFill>
              <w14:schemeClr w14:val="tx1"/>
            </w14:solidFill>
          </w14:textFill>
        </w:rPr>
        <w:t>九、教学考核评价</w:t>
      </w:r>
    </w:p>
    <w:p>
      <w:pPr>
        <w:widowControl/>
        <w:snapToGrid w:val="0"/>
        <w:spacing w:line="360" w:lineRule="auto"/>
        <w:ind w:firstLine="420"/>
        <w:jc w:val="left"/>
        <w:rPr>
          <w:rFonts w:ascii="宋体" w:hAnsi="宋体"/>
          <w:color w:val="000000" w:themeColor="text1"/>
          <w:szCs w:val="21"/>
          <w14:textFill>
            <w14:solidFill>
              <w14:schemeClr w14:val="tx1"/>
            </w14:solidFill>
          </w14:textFill>
        </w:rPr>
      </w:pPr>
      <w:r>
        <w:rPr>
          <w:rFonts w:hint="eastAsia" w:hAnsi="宋体"/>
          <w:b/>
          <w:bCs/>
          <w:color w:val="000000" w:themeColor="text1"/>
          <w:kern w:val="0"/>
          <w:szCs w:val="21"/>
          <w14:textFill>
            <w14:solidFill>
              <w14:schemeClr w14:val="tx1"/>
            </w14:solidFill>
          </w14:textFill>
        </w:rPr>
        <w:t>1.过程性评价：</w:t>
      </w:r>
      <w:r>
        <w:rPr>
          <w:rFonts w:hint="eastAsia" w:ascii="宋体" w:hAnsi="宋体"/>
          <w:color w:val="000000" w:themeColor="text1"/>
          <w:szCs w:val="21"/>
          <w14:textFill>
            <w14:solidFill>
              <w14:schemeClr w14:val="tx1"/>
            </w14:solidFill>
          </w14:textFill>
        </w:rPr>
        <w:t>考勤</w:t>
      </w:r>
      <w:r>
        <w:rPr>
          <w:rFonts w:ascii="宋体" w:hAnsi="宋体"/>
          <w:color w:val="000000" w:themeColor="text1"/>
          <w:szCs w:val="21"/>
          <w14:textFill>
            <w14:solidFill>
              <w14:schemeClr w14:val="tx1"/>
            </w14:solidFill>
          </w14:textFill>
        </w:rPr>
        <w:t>成绩</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课堂作业</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提问回答、上台演讲</w:t>
      </w:r>
      <w:r>
        <w:rPr>
          <w:rFonts w:hint="eastAsia" w:ascii="宋体" w:hAnsi="宋体"/>
          <w:color w:val="000000" w:themeColor="text1"/>
          <w:szCs w:val="21"/>
          <w14:textFill>
            <w14:solidFill>
              <w14:schemeClr w14:val="tx1"/>
            </w14:solidFill>
          </w14:textFill>
        </w:rPr>
        <w:t>、案例分析</w:t>
      </w:r>
      <w:r>
        <w:rPr>
          <w:rFonts w:ascii="宋体" w:hAnsi="宋体"/>
          <w:color w:val="000000" w:themeColor="text1"/>
          <w:szCs w:val="21"/>
          <w14:textFill>
            <w14:solidFill>
              <w14:schemeClr w14:val="tx1"/>
            </w14:solidFill>
          </w14:textFill>
        </w:rPr>
        <w:t>等均纳入平时成绩进行多元化考核</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该部分为平时成绩，占比为</w:t>
      </w:r>
      <w:r>
        <w:rPr>
          <w:rFonts w:hint="eastAsia" w:ascii="宋体" w:hAnsi="宋体"/>
          <w:color w:val="000000" w:themeColor="text1"/>
          <w:szCs w:val="21"/>
          <w14:textFill>
            <w14:solidFill>
              <w14:schemeClr w14:val="tx1"/>
            </w14:solidFill>
          </w14:textFill>
        </w:rPr>
        <w:t>30</w:t>
      </w:r>
      <w:r>
        <w:rPr>
          <w:rFonts w:ascii="宋体" w:hAnsi="宋体"/>
          <w:color w:val="000000" w:themeColor="text1"/>
          <w:szCs w:val="21"/>
          <w14:textFill>
            <w14:solidFill>
              <w14:schemeClr w14:val="tx1"/>
            </w14:solidFill>
          </w14:textFill>
        </w:rPr>
        <w:t>%。</w:t>
      </w:r>
    </w:p>
    <w:p>
      <w:pPr>
        <w:widowControl/>
        <w:snapToGrid w:val="0"/>
        <w:spacing w:line="360" w:lineRule="auto"/>
        <w:ind w:firstLine="420"/>
        <w:jc w:val="left"/>
        <w:rPr>
          <w:rFonts w:hAnsi="宋体"/>
          <w:b/>
          <w:bCs/>
          <w:color w:val="000000" w:themeColor="text1"/>
          <w:kern w:val="0"/>
          <w:szCs w:val="21"/>
          <w14:textFill>
            <w14:solidFill>
              <w14:schemeClr w14:val="tx1"/>
            </w14:solidFill>
          </w14:textFill>
        </w:rPr>
      </w:pPr>
      <w:r>
        <w:rPr>
          <w:rFonts w:hint="eastAsia" w:hAnsi="宋体"/>
          <w:b/>
          <w:bCs/>
          <w:color w:val="000000" w:themeColor="text1"/>
          <w:kern w:val="0"/>
          <w:szCs w:val="21"/>
          <w14:textFill>
            <w14:solidFill>
              <w14:schemeClr w14:val="tx1"/>
            </w14:solidFill>
          </w14:textFill>
        </w:rPr>
        <w:t>2.终结性评价：</w:t>
      </w:r>
    </w:p>
    <w:p>
      <w:pPr>
        <w:widowControl/>
        <w:snapToGrid w:val="0"/>
        <w:spacing w:line="360" w:lineRule="auto"/>
        <w:ind w:firstLine="420"/>
        <w:jc w:val="left"/>
        <w:rPr>
          <w:rFonts w:ascii="宋体" w:hAnsi="宋体"/>
          <w:color w:val="000000" w:themeColor="text1"/>
          <w14:textFill>
            <w14:solidFill>
              <w14:schemeClr w14:val="tx1"/>
            </w14:solidFill>
          </w14:textFill>
        </w:rPr>
      </w:pPr>
      <w:r>
        <w:rPr>
          <w:rFonts w:hint="eastAsia" w:hAnsi="宋体"/>
          <w:bCs/>
          <w:color w:val="000000" w:themeColor="text1"/>
          <w:kern w:val="0"/>
          <w:szCs w:val="21"/>
          <w14:textFill>
            <w14:solidFill>
              <w14:schemeClr w14:val="tx1"/>
            </w14:solidFill>
          </w14:textFill>
        </w:rPr>
        <w:t>采用</w:t>
      </w:r>
      <w:r>
        <w:rPr>
          <w:rFonts w:hint="eastAsia" w:ascii="宋体" w:hAnsi="宋体"/>
          <w:color w:val="000000" w:themeColor="text1"/>
          <w14:textFill>
            <w14:solidFill>
              <w14:schemeClr w14:val="tx1"/>
            </w14:solidFill>
          </w14:textFill>
        </w:rPr>
        <w:t>课程论文的</w:t>
      </w:r>
      <w:r>
        <w:rPr>
          <w:rFonts w:ascii="宋体" w:hAnsi="宋体"/>
          <w:color w:val="000000" w:themeColor="text1"/>
          <w14:textFill>
            <w14:solidFill>
              <w14:schemeClr w14:val="tx1"/>
            </w14:solidFill>
          </w14:textFill>
        </w:rPr>
        <w:t>形式进行考核</w:t>
      </w:r>
      <w:r>
        <w:rPr>
          <w:rFonts w:hint="eastAsia" w:ascii="宋体" w:hAnsi="宋体"/>
          <w:color w:val="000000" w:themeColor="text1"/>
          <w14:textFill>
            <w14:solidFill>
              <w14:schemeClr w14:val="tx1"/>
            </w14:solidFill>
          </w14:textFill>
        </w:rPr>
        <w:t>；占比</w:t>
      </w:r>
      <w:r>
        <w:rPr>
          <w:rFonts w:ascii="宋体" w:hAnsi="宋体"/>
          <w:color w:val="000000" w:themeColor="text1"/>
          <w14:textFill>
            <w14:solidFill>
              <w14:schemeClr w14:val="tx1"/>
            </w14:solidFill>
          </w14:textFill>
        </w:rPr>
        <w:t>为</w:t>
      </w:r>
      <w:r>
        <w:rPr>
          <w:rFonts w:hint="eastAsia" w:ascii="宋体" w:hAnsi="宋体"/>
          <w:color w:val="000000" w:themeColor="text1"/>
          <w14:textFill>
            <w14:solidFill>
              <w14:schemeClr w14:val="tx1"/>
            </w14:solidFill>
          </w14:textFill>
        </w:rPr>
        <w:t>70</w:t>
      </w:r>
      <w:r>
        <w:rPr>
          <w:rFonts w:ascii="宋体" w:hAnsi="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w:t>
      </w:r>
    </w:p>
    <w:p>
      <w:pPr>
        <w:pStyle w:val="21"/>
        <w:rPr>
          <w:sz w:val="28"/>
          <w:szCs w:val="28"/>
        </w:rPr>
      </w:pPr>
      <w:bookmarkStart w:id="297" w:name="_Toc138068809"/>
      <w:bookmarkStart w:id="298" w:name="_Toc138076623"/>
      <w:bookmarkStart w:id="299" w:name="_Toc31442"/>
      <w:bookmarkStart w:id="300" w:name="_Toc138076328"/>
      <w:bookmarkStart w:id="301" w:name="_Toc138070709"/>
      <w:bookmarkStart w:id="302" w:name="_Toc138076079"/>
      <w:bookmarkStart w:id="303" w:name="_Toc138070439"/>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pStyle w:val="21"/>
        <w:rPr>
          <w:sz w:val="28"/>
          <w:szCs w:val="28"/>
        </w:rPr>
      </w:pPr>
    </w:p>
    <w:p>
      <w:pPr>
        <w:rPr>
          <w:sz w:val="28"/>
          <w:szCs w:val="28"/>
        </w:rPr>
      </w:pPr>
    </w:p>
    <w:p>
      <w:pPr>
        <w:rPr>
          <w:sz w:val="28"/>
          <w:szCs w:val="28"/>
        </w:rPr>
      </w:pPr>
    </w:p>
    <w:p>
      <w:pPr>
        <w:pStyle w:val="21"/>
        <w:rPr>
          <w:sz w:val="28"/>
          <w:szCs w:val="28"/>
        </w:rPr>
      </w:pPr>
      <w:bookmarkStart w:id="304" w:name="_Toc21167"/>
      <w:r>
        <w:rPr>
          <w:rFonts w:hint="eastAsia"/>
          <w:sz w:val="28"/>
          <w:szCs w:val="28"/>
        </w:rPr>
        <w:t>农业园区设计与管理</w:t>
      </w:r>
      <w:bookmarkEnd w:id="297"/>
      <w:bookmarkEnd w:id="298"/>
      <w:bookmarkEnd w:id="299"/>
      <w:bookmarkEnd w:id="300"/>
      <w:bookmarkEnd w:id="301"/>
      <w:bookmarkEnd w:id="302"/>
      <w:bookmarkEnd w:id="303"/>
      <w:bookmarkEnd w:id="304"/>
    </w:p>
    <w:p>
      <w:pPr>
        <w:snapToGrid w:val="0"/>
        <w:spacing w:line="360" w:lineRule="auto"/>
        <w:jc w:val="center"/>
        <w:rPr>
          <w:i w:val="0"/>
          <w:iCs w:val="0"/>
          <w:sz w:val="24"/>
        </w:rPr>
      </w:pPr>
      <w:r>
        <w:rPr>
          <w:i w:val="0"/>
          <w:iCs w:val="0"/>
          <w:sz w:val="24"/>
        </w:rPr>
        <w:t>（</w:t>
      </w:r>
      <w:r>
        <w:rPr>
          <w:rFonts w:hint="eastAsia"/>
          <w:i w:val="0"/>
          <w:iCs w:val="0"/>
          <w:sz w:val="24"/>
        </w:rPr>
        <w:t>Planning</w:t>
      </w:r>
      <w:r>
        <w:rPr>
          <w:i w:val="0"/>
          <w:iCs w:val="0"/>
          <w:sz w:val="24"/>
        </w:rPr>
        <w:t xml:space="preserve"> and Management of Agricultur</w:t>
      </w:r>
      <w:r>
        <w:rPr>
          <w:rFonts w:hint="eastAsia"/>
          <w:i w:val="0"/>
          <w:iCs w:val="0"/>
          <w:sz w:val="24"/>
        </w:rPr>
        <w:t>al</w:t>
      </w:r>
      <w:r>
        <w:rPr>
          <w:i w:val="0"/>
          <w:iCs w:val="0"/>
          <w:sz w:val="24"/>
        </w:rPr>
        <w:t xml:space="preserve">  Garden）</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5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课程编号：</w:t>
            </w:r>
            <w:r>
              <w:rPr>
                <w:rFonts w:ascii="宋体" w:hAnsi="宋体"/>
                <w:b/>
                <w:bCs/>
                <w:szCs w:val="21"/>
              </w:rPr>
              <w:t>19011</w:t>
            </w:r>
            <w:r>
              <w:rPr>
                <w:rFonts w:hint="eastAsia" w:ascii="宋体" w:hAnsi="宋体"/>
                <w:b/>
                <w:bCs/>
                <w:szCs w:val="21"/>
              </w:rPr>
              <w:t>039</w:t>
            </w:r>
          </w:p>
        </w:tc>
        <w:tc>
          <w:tcPr>
            <w:tcW w:w="1453" w:type="pct"/>
          </w:tcPr>
          <w:p>
            <w:pPr>
              <w:spacing w:line="300" w:lineRule="auto"/>
              <w:rPr>
                <w:rFonts w:ascii="宋体" w:hAnsi="宋体"/>
                <w:b/>
                <w:bCs/>
                <w:szCs w:val="21"/>
              </w:rPr>
            </w:pPr>
            <w:r>
              <w:rPr>
                <w:rFonts w:hint="eastAsia" w:ascii="宋体" w:hAnsi="宋体"/>
                <w:b/>
                <w:bCs/>
                <w:szCs w:val="21"/>
              </w:rPr>
              <w:t>课程总学时：32</w:t>
            </w:r>
          </w:p>
        </w:tc>
        <w:tc>
          <w:tcPr>
            <w:tcW w:w="1881" w:type="pct"/>
          </w:tcPr>
          <w:p>
            <w:pPr>
              <w:spacing w:line="300" w:lineRule="auto"/>
              <w:rPr>
                <w:rFonts w:ascii="宋体" w:hAnsi="宋体"/>
                <w:b/>
                <w:bCs/>
                <w:szCs w:val="21"/>
              </w:rPr>
            </w:pPr>
            <w:r>
              <w:rPr>
                <w:rFonts w:hint="eastAsia" w:ascii="宋体" w:hAnsi="宋体"/>
                <w:b/>
                <w:bCs/>
                <w:szCs w:val="21"/>
              </w:rPr>
              <w:t xml:space="preserve">实验学时：  </w:t>
            </w:r>
            <w:r>
              <w:rPr>
                <w:rFonts w:ascii="宋体" w:hAnsi="宋体"/>
                <w:b/>
                <w:bCs/>
                <w:szCs w:val="21"/>
              </w:rPr>
              <w:t>8</w:t>
            </w:r>
            <w:r>
              <w:rPr>
                <w:rFonts w:hint="eastAsia" w:ascii="宋体" w:hAnsi="宋体"/>
                <w:b/>
                <w:bCs/>
                <w:szCs w:val="21"/>
              </w:rPr>
              <w:t xml:space="preserve">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课程性质：</w:t>
            </w:r>
            <w:r>
              <w:rPr>
                <w:rFonts w:hint="eastAsia" w:ascii="宋体" w:hAnsi="宋体" w:cs="宋体"/>
                <w:b/>
                <w:bCs/>
                <w:color w:val="000000"/>
                <w:szCs w:val="21"/>
              </w:rPr>
              <w:t>选修</w:t>
            </w:r>
          </w:p>
        </w:tc>
        <w:tc>
          <w:tcPr>
            <w:tcW w:w="1453" w:type="pct"/>
          </w:tcPr>
          <w:p>
            <w:pPr>
              <w:spacing w:line="300" w:lineRule="auto"/>
              <w:rPr>
                <w:rFonts w:ascii="宋体" w:hAnsi="宋体"/>
                <w:b/>
                <w:bCs/>
                <w:szCs w:val="21"/>
              </w:rPr>
            </w:pPr>
            <w:r>
              <w:rPr>
                <w:rFonts w:hint="eastAsia" w:ascii="宋体" w:hAnsi="宋体"/>
                <w:b/>
                <w:szCs w:val="21"/>
              </w:rPr>
              <w:t>课程属性:</w:t>
            </w:r>
            <w:r>
              <w:rPr>
                <w:rFonts w:hint="eastAsia" w:ascii="宋体" w:hAnsi="宋体" w:cs="宋体"/>
                <w:b/>
                <w:bCs/>
                <w:color w:val="000000"/>
                <w:szCs w:val="21"/>
              </w:rPr>
              <w:t xml:space="preserve"> 创业教育类</w:t>
            </w:r>
          </w:p>
        </w:tc>
        <w:tc>
          <w:tcPr>
            <w:tcW w:w="1881" w:type="pct"/>
          </w:tcPr>
          <w:p>
            <w:pPr>
              <w:spacing w:line="300" w:lineRule="auto"/>
              <w:rPr>
                <w:rFonts w:ascii="宋体" w:hAnsi="宋体"/>
                <w:b/>
                <w:bCs/>
                <w:szCs w:val="21"/>
              </w:rPr>
            </w:pPr>
            <w:r>
              <w:rPr>
                <w:rFonts w:hint="eastAsia" w:ascii="宋体" w:hAnsi="宋体"/>
                <w:b/>
                <w:bCs/>
                <w:szCs w:val="21"/>
              </w:rPr>
              <w:t>开设学期：第 8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课程负责人：李胜利</w:t>
            </w:r>
          </w:p>
        </w:tc>
        <w:tc>
          <w:tcPr>
            <w:tcW w:w="1453" w:type="pct"/>
          </w:tcPr>
          <w:p>
            <w:pPr>
              <w:spacing w:line="300" w:lineRule="auto"/>
              <w:rPr>
                <w:rFonts w:ascii="宋体" w:hAnsi="宋体"/>
                <w:b/>
                <w:bCs/>
                <w:szCs w:val="21"/>
              </w:rPr>
            </w:pPr>
            <w:r>
              <w:rPr>
                <w:rFonts w:hint="eastAsia" w:ascii="宋体" w:hAnsi="宋体"/>
                <w:b/>
                <w:bCs/>
                <w:szCs w:val="21"/>
              </w:rPr>
              <w:t>课程团队：李胜利、李阳</w:t>
            </w:r>
          </w:p>
        </w:tc>
        <w:tc>
          <w:tcPr>
            <w:tcW w:w="1881" w:type="pct"/>
          </w:tcPr>
          <w:p>
            <w:pPr>
              <w:spacing w:line="300" w:lineRule="auto"/>
              <w:rPr>
                <w:rFonts w:hint="eastAsia" w:ascii="宋体" w:hAnsi="宋体" w:eastAsia="宋体"/>
                <w:b/>
                <w:bCs/>
                <w:szCs w:val="21"/>
                <w:lang w:eastAsia="zh-CN"/>
              </w:rPr>
            </w:pPr>
            <w:r>
              <w:rPr>
                <w:rFonts w:hint="eastAsia" w:ascii="宋体" w:hAnsi="宋体"/>
                <w:b/>
                <w:bCs/>
                <w:szCs w:val="21"/>
              </w:rPr>
              <w:t>授课语言：</w:t>
            </w:r>
            <w:r>
              <w:rPr>
                <w:rFonts w:hint="eastAsia" w:ascii="宋体" w:hAnsi="宋体"/>
                <w:b/>
                <w:bCs/>
                <w:szCs w:val="21"/>
                <w:lang w:eastAsia="zh-CN"/>
              </w:rPr>
              <w:t>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ind w:right="-170" w:rightChars="-81"/>
              <w:rPr>
                <w:rFonts w:ascii="宋体" w:hAnsi="宋体"/>
                <w:bCs/>
                <w:color w:val="0000FF"/>
                <w:szCs w:val="21"/>
              </w:rPr>
            </w:pPr>
            <w:r>
              <w:rPr>
                <w:rFonts w:hint="eastAsia" w:ascii="宋体" w:hAnsi="宋体"/>
                <w:b/>
                <w:bCs/>
                <w:szCs w:val="21"/>
              </w:rPr>
              <w:t>适用专业：</w:t>
            </w:r>
            <w:r>
              <w:rPr>
                <w:rFonts w:hint="eastAsia" w:ascii="宋体" w:hAnsi="宋体" w:cs="宋体"/>
                <w:b/>
                <w:bCs/>
                <w:color w:val="000000"/>
                <w:szCs w:val="21"/>
              </w:rPr>
              <w:t>园艺</w:t>
            </w:r>
            <w:r>
              <w:rPr>
                <w:rFonts w:ascii="宋体" w:hAnsi="宋体"/>
                <w:bCs/>
                <w:color w:val="0000FF"/>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对先修的要求：对设施建造</w:t>
            </w:r>
            <w:r>
              <w:rPr>
                <w:rFonts w:ascii="宋体" w:hAnsi="宋体"/>
                <w:b/>
                <w:bCs/>
                <w:szCs w:val="21"/>
              </w:rPr>
              <w:t>结构及预算有基本的</w:t>
            </w:r>
            <w:r>
              <w:rPr>
                <w:rFonts w:hint="eastAsia" w:ascii="宋体" w:hAnsi="宋体"/>
                <w:b/>
                <w:bCs/>
                <w:szCs w:val="21"/>
              </w:rPr>
              <w:t>了解，对</w:t>
            </w:r>
            <w:r>
              <w:rPr>
                <w:rFonts w:ascii="宋体" w:hAnsi="宋体"/>
                <w:b/>
                <w:bCs/>
                <w:szCs w:val="21"/>
              </w:rPr>
              <w:t>园艺作物的分类、生长特性</w:t>
            </w:r>
            <w:r>
              <w:rPr>
                <w:rFonts w:hint="eastAsia" w:ascii="宋体" w:hAnsi="宋体"/>
                <w:b/>
                <w:bCs/>
                <w:szCs w:val="21"/>
              </w:rPr>
              <w:t>、</w:t>
            </w:r>
            <w:r>
              <w:rPr>
                <w:rFonts w:ascii="宋体" w:hAnsi="宋体"/>
                <w:b/>
                <w:bCs/>
                <w:szCs w:val="21"/>
              </w:rPr>
              <w:t>栽培基础</w:t>
            </w:r>
            <w:r>
              <w:rPr>
                <w:rFonts w:hint="eastAsia" w:ascii="宋体" w:hAnsi="宋体"/>
                <w:b/>
                <w:bCs/>
                <w:szCs w:val="21"/>
              </w:rPr>
              <w:t>、</w:t>
            </w:r>
            <w:r>
              <w:rPr>
                <w:rFonts w:ascii="宋体" w:hAnsi="宋体"/>
                <w:b/>
                <w:bCs/>
                <w:szCs w:val="21"/>
              </w:rPr>
              <w:t>设施结构有基本的了解</w:t>
            </w:r>
            <w:r>
              <w:rPr>
                <w:rFonts w:hint="eastAsia" w:ascii="宋体" w:hAnsi="宋体"/>
                <w:b/>
                <w:bCs/>
                <w:szCs w:val="21"/>
              </w:rPr>
              <w:t>。</w:t>
            </w:r>
          </w:p>
          <w:p>
            <w:pPr>
              <w:spacing w:line="300" w:lineRule="auto"/>
              <w:rPr>
                <w:rFonts w:ascii="宋体" w:hAnsi="宋体"/>
                <w:b/>
                <w:bCs/>
                <w:szCs w:val="21"/>
              </w:rPr>
            </w:pPr>
            <w:r>
              <w:rPr>
                <w:rFonts w:hint="eastAsia" w:ascii="宋体" w:hAnsi="宋体"/>
                <w:b/>
                <w:bCs/>
                <w:color w:val="000000"/>
                <w:szCs w:val="21"/>
              </w:rPr>
              <w:t>先修课程</w:t>
            </w:r>
            <w:r>
              <w:rPr>
                <w:rFonts w:hint="eastAsia" w:ascii="宋体" w:hAnsi="宋体" w:cs="宋体"/>
                <w:b/>
                <w:bCs/>
                <w:color w:val="000000"/>
                <w:szCs w:val="21"/>
              </w:rPr>
              <w:t>：</w:t>
            </w:r>
            <w:r>
              <w:rPr>
                <w:rFonts w:hint="eastAsia" w:ascii="宋体" w:hAnsi="宋体" w:cs="宋体"/>
                <w:b/>
                <w:bCs/>
                <w:szCs w:val="21"/>
              </w:rPr>
              <w:t>设施工程制图与预概算，园艺设施学， 设施蔬菜栽培学。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w:t>
            </w:r>
            <w:r>
              <w:rPr>
                <w:rFonts w:hint="eastAsia" w:ascii="宋体" w:hAnsi="宋体" w:cs="宋体"/>
                <w:b/>
                <w:bCs/>
                <w:szCs w:val="21"/>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主撰人：李胜利</w:t>
            </w:r>
          </w:p>
        </w:tc>
        <w:tc>
          <w:tcPr>
            <w:tcW w:w="1453" w:type="pct"/>
          </w:tcPr>
          <w:p>
            <w:pPr>
              <w:spacing w:line="300" w:lineRule="auto"/>
              <w:rPr>
                <w:rFonts w:ascii="宋体" w:hAnsi="宋体"/>
                <w:b/>
                <w:bCs/>
                <w:szCs w:val="21"/>
              </w:rPr>
            </w:pPr>
            <w:r>
              <w:rPr>
                <w:rFonts w:hint="eastAsia" w:ascii="宋体" w:hAnsi="宋体"/>
                <w:b/>
                <w:bCs/>
                <w:szCs w:val="21"/>
              </w:rPr>
              <w:t>审核人：</w:t>
            </w:r>
            <w:r>
              <w:rPr>
                <w:rFonts w:ascii="宋体" w:hAnsi="宋体"/>
                <w:b/>
                <w:bCs/>
                <w:szCs w:val="21"/>
              </w:rPr>
              <w:t xml:space="preserve"> </w:t>
            </w:r>
            <w:r>
              <w:rPr>
                <w:rFonts w:hint="eastAsia" w:ascii="宋体" w:hAnsi="宋体"/>
                <w:b/>
                <w:bCs/>
                <w:szCs w:val="21"/>
              </w:rPr>
              <w:t>李阳</w:t>
            </w:r>
          </w:p>
        </w:tc>
        <w:tc>
          <w:tcPr>
            <w:tcW w:w="1881"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一、课程的性质、</w:t>
      </w:r>
      <w:r>
        <w:rPr>
          <w:rFonts w:hint="eastAsia" w:hAnsi="宋体"/>
          <w:b/>
          <w:bCs/>
          <w:kern w:val="0"/>
          <w:szCs w:val="21"/>
        </w:rPr>
        <w:t>目的</w:t>
      </w:r>
      <w:r>
        <w:rPr>
          <w:rFonts w:hAnsi="宋体"/>
          <w:b/>
          <w:bCs/>
          <w:kern w:val="0"/>
          <w:szCs w:val="21"/>
        </w:rPr>
        <w:t>和任务</w:t>
      </w:r>
      <w:r>
        <w:rPr>
          <w:rFonts w:hint="eastAsia" w:ascii="宋体" w:hAnsi="宋体" w:cs="宋体"/>
          <w:b/>
          <w:bCs/>
          <w:kern w:val="0"/>
          <w:szCs w:val="21"/>
        </w:rPr>
        <w:t></w:t>
      </w:r>
    </w:p>
    <w:p>
      <w:pPr>
        <w:spacing w:line="360" w:lineRule="auto"/>
        <w:ind w:firstLine="420" w:firstLineChars="200"/>
        <w:rPr>
          <w:i/>
          <w:color w:val="FF0000"/>
          <w:szCs w:val="21"/>
        </w:rPr>
      </w:pPr>
      <w:r>
        <w:rPr>
          <w:rFonts w:hint="eastAsia"/>
          <w:szCs w:val="21"/>
        </w:rPr>
        <w:t>《农业园区规划与管理》是设施农业科学与工程专业的核心课程之一，是一门以课堂讲授为主结合案例分析的专业课程。该门课程以要求学生在掌握农业园区的内涵、类型和基本特征之外，规范农业园区的规划和管理，对指导现代农业园区的建设和发展具有重要的意义。</w:t>
      </w:r>
    </w:p>
    <w:p>
      <w:pPr>
        <w:widowControl/>
        <w:snapToGrid w:val="0"/>
        <w:spacing w:line="360" w:lineRule="auto"/>
        <w:jc w:val="left"/>
        <w:rPr>
          <w:kern w:val="0"/>
          <w:szCs w:val="21"/>
        </w:rPr>
      </w:pP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jc w:val="left"/>
        <w:rPr>
          <w:kern w:val="0"/>
          <w:szCs w:val="21"/>
        </w:rPr>
      </w:pPr>
      <w:r>
        <w:rPr>
          <w:kern w:val="0"/>
          <w:szCs w:val="21"/>
        </w:rPr>
        <w:t>    1</w:t>
      </w:r>
      <w:r>
        <w:rPr>
          <w:rFonts w:hAnsi="宋体"/>
          <w:kern w:val="0"/>
          <w:szCs w:val="21"/>
        </w:rPr>
        <w:t>、理论知识方面：</w:t>
      </w:r>
      <w:r>
        <w:rPr>
          <w:rFonts w:hint="eastAsia"/>
          <w:szCs w:val="21"/>
        </w:rPr>
        <w:t>该门课程要求学生在掌握相关的专业知识、农业园区的基本概念及其规划和管理的基本知识，了解现有的各类农业园区类型素材，掌握规划农业园区的方法及管理园区的基本内容。</w:t>
      </w:r>
    </w:p>
    <w:p>
      <w:pPr>
        <w:widowControl/>
        <w:snapToGrid w:val="0"/>
        <w:spacing w:line="360" w:lineRule="auto"/>
        <w:ind w:firstLine="260"/>
        <w:jc w:val="left"/>
        <w:rPr>
          <w:rFonts w:hAnsi="宋体"/>
          <w:kern w:val="0"/>
          <w:szCs w:val="21"/>
        </w:rPr>
      </w:pPr>
      <w:r>
        <w:rPr>
          <w:kern w:val="0"/>
          <w:szCs w:val="21"/>
        </w:rPr>
        <w:t>2</w:t>
      </w:r>
      <w:r>
        <w:rPr>
          <w:rFonts w:hAnsi="宋体"/>
          <w:kern w:val="0"/>
          <w:szCs w:val="21"/>
        </w:rPr>
        <w:t>、实验技能方面：掌握现代农业园区的调查方法</w:t>
      </w:r>
      <w:r>
        <w:rPr>
          <w:rFonts w:hint="eastAsia" w:hAnsi="宋体"/>
          <w:kern w:val="0"/>
          <w:szCs w:val="21"/>
        </w:rPr>
        <w:t>；</w:t>
      </w:r>
      <w:r>
        <w:rPr>
          <w:rFonts w:hAnsi="宋体"/>
          <w:kern w:val="0"/>
          <w:szCs w:val="21"/>
        </w:rPr>
        <w:t>掌握可行性研究报告的编写</w:t>
      </w:r>
      <w:r>
        <w:rPr>
          <w:rFonts w:hint="eastAsia" w:hAnsi="宋体"/>
          <w:kern w:val="0"/>
          <w:szCs w:val="21"/>
        </w:rPr>
        <w:t>；</w:t>
      </w:r>
      <w:r>
        <w:rPr>
          <w:rFonts w:hAnsi="宋体"/>
          <w:kern w:val="0"/>
          <w:szCs w:val="21"/>
        </w:rPr>
        <w:t>掌握设施园艺种植园区</w:t>
      </w:r>
      <w:r>
        <w:rPr>
          <w:rFonts w:hint="eastAsia" w:hAnsi="宋体"/>
          <w:kern w:val="0"/>
          <w:szCs w:val="21"/>
        </w:rPr>
        <w:t>、</w:t>
      </w:r>
      <w:r>
        <w:rPr>
          <w:rFonts w:hAnsi="宋体"/>
          <w:kern w:val="0"/>
          <w:szCs w:val="21"/>
        </w:rPr>
        <w:t>工厂化育苗场</w:t>
      </w:r>
      <w:r>
        <w:rPr>
          <w:rFonts w:hint="eastAsia" w:hAnsi="宋体"/>
          <w:kern w:val="0"/>
          <w:szCs w:val="21"/>
        </w:rPr>
        <w:t>、</w:t>
      </w:r>
      <w:r>
        <w:rPr>
          <w:rFonts w:hAnsi="宋体"/>
          <w:kern w:val="0"/>
          <w:szCs w:val="21"/>
        </w:rPr>
        <w:t>现代农产品物流园</w:t>
      </w:r>
      <w:r>
        <w:rPr>
          <w:rFonts w:hint="eastAsia" w:hAnsi="宋体"/>
          <w:kern w:val="0"/>
          <w:szCs w:val="21"/>
        </w:rPr>
        <w:t>、</w:t>
      </w:r>
      <w:r>
        <w:rPr>
          <w:rFonts w:hAnsi="宋体"/>
          <w:kern w:val="0"/>
          <w:szCs w:val="21"/>
        </w:rPr>
        <w:t>科普教育农园</w:t>
      </w:r>
      <w:r>
        <w:rPr>
          <w:rFonts w:hint="eastAsia" w:hAnsi="宋体"/>
          <w:kern w:val="0"/>
          <w:szCs w:val="21"/>
        </w:rPr>
        <w:t>和生态休闲采摘园的规划。</w:t>
      </w:r>
    </w:p>
    <w:p>
      <w:pPr>
        <w:widowControl/>
        <w:snapToGrid w:val="0"/>
        <w:spacing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widowControl/>
        <w:snapToGri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理论教学部分主要采用案例分析、讨论等方法进行教学。首先根据生产实际，引入需求，经过课程理论知识学习，能够满足生产所需。结合周边园区的案例分析，理论联系实际，培养学生思考、创新、解决问题的能力。课后留有思考题，有针对性的引导学生利用所学理论知识解决问题。</w:t>
      </w:r>
    </w:p>
    <w:p>
      <w:pPr>
        <w:widowControl/>
        <w:snapToGrid w:val="0"/>
        <w:spacing w:line="360" w:lineRule="auto"/>
        <w:ind w:firstLine="420" w:firstLineChars="200"/>
        <w:jc w:val="left"/>
        <w:rPr>
          <w:rFonts w:hAnsi="宋体"/>
          <w:color w:val="000000" w:themeColor="text1"/>
          <w:kern w:val="0"/>
          <w:szCs w:val="21"/>
          <w14:textFill>
            <w14:solidFill>
              <w14:schemeClr w14:val="tx1"/>
            </w14:solidFill>
          </w14:textFill>
        </w:rPr>
      </w:pPr>
      <w:r>
        <w:rPr>
          <w:rFonts w:hint="eastAsia" w:hAnsi="宋体"/>
          <w:color w:val="000000" w:themeColor="text1"/>
          <w:kern w:val="0"/>
          <w:szCs w:val="21"/>
          <w14:textFill>
            <w14:solidFill>
              <w14:schemeClr w14:val="tx1"/>
            </w14:solidFill>
          </w14:textFill>
        </w:rPr>
        <w:t>实验教学部分主要是利用“项目教学法”，通过团队合作的形式完成多种类型园区的设计与规划，培养学生思考、协作、创新的能力，将理论知识进行迁移，转化为实践应用能力。</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618" w:type="dxa"/>
        <w:jc w:val="center"/>
        <w:tblLayout w:type="autofit"/>
        <w:tblCellMar>
          <w:top w:w="0" w:type="dxa"/>
          <w:left w:w="108" w:type="dxa"/>
          <w:bottom w:w="0" w:type="dxa"/>
          <w:right w:w="108" w:type="dxa"/>
        </w:tblCellMar>
      </w:tblPr>
      <w:tblGrid>
        <w:gridCol w:w="720"/>
        <w:gridCol w:w="6584"/>
        <w:gridCol w:w="1314"/>
      </w:tblGrid>
      <w:tr>
        <w:tblPrEx>
          <w:tblCellMar>
            <w:top w:w="0" w:type="dxa"/>
            <w:left w:w="108" w:type="dxa"/>
            <w:bottom w:w="0" w:type="dxa"/>
            <w:right w:w="108" w:type="dxa"/>
          </w:tblCellMar>
        </w:tblPrEx>
        <w:trPr>
          <w:trHeight w:val="403"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rPr>
                <w:rFonts w:ascii="宋体" w:hAnsi="宋体" w:cs="宋体"/>
                <w:b/>
                <w:bCs/>
                <w:sz w:val="18"/>
                <w:szCs w:val="18"/>
              </w:rPr>
            </w:pPr>
            <w:r>
              <w:rPr>
                <w:rFonts w:hint="eastAsia" w:ascii="宋体" w:hAnsi="宋体" w:cs="宋体"/>
                <w:b/>
                <w:bCs/>
                <w:sz w:val="18"/>
                <w:szCs w:val="18"/>
              </w:rPr>
              <w:t>序号</w:t>
            </w:r>
          </w:p>
        </w:tc>
        <w:tc>
          <w:tcPr>
            <w:tcW w:w="6584"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ind w:firstLine="422"/>
              <w:jc w:val="center"/>
              <w:rPr>
                <w:rFonts w:ascii="宋体" w:hAnsi="宋体" w:cs="宋体"/>
                <w:b/>
                <w:bCs/>
                <w:sz w:val="18"/>
                <w:szCs w:val="18"/>
              </w:rPr>
            </w:pPr>
            <w:r>
              <w:rPr>
                <w:rFonts w:hint="eastAsia" w:ascii="宋体" w:hAnsi="宋体" w:cs="宋体"/>
                <w:b/>
                <w:bCs/>
                <w:sz w:val="18"/>
                <w:szCs w:val="18"/>
              </w:rPr>
              <w:t>课程目标</w:t>
            </w:r>
          </w:p>
        </w:tc>
        <w:tc>
          <w:tcPr>
            <w:tcW w:w="1314"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1</w:t>
            </w:r>
          </w:p>
        </w:tc>
        <w:tc>
          <w:tcPr>
            <w:tcW w:w="658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Ansi="宋体"/>
                <w:color w:val="000000"/>
                <w:sz w:val="18"/>
                <w:szCs w:val="18"/>
              </w:rPr>
            </w:pPr>
            <w:r>
              <w:rPr>
                <w:rFonts w:hint="eastAsia"/>
                <w:color w:val="000000"/>
                <w:sz w:val="18"/>
                <w:szCs w:val="18"/>
              </w:rPr>
              <w:t>培养学生独立进行各类型现代园区规划的能力</w:t>
            </w:r>
          </w:p>
        </w:tc>
        <w:tc>
          <w:tcPr>
            <w:tcW w:w="131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18"/>
                <w:szCs w:val="18"/>
              </w:rPr>
            </w:pPr>
            <w:r>
              <w:rPr>
                <w:rFonts w:hint="eastAsia"/>
                <w:color w:val="000000"/>
                <w:sz w:val="18"/>
                <w:szCs w:val="18"/>
              </w:rPr>
              <w:t>5</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2</w:t>
            </w:r>
          </w:p>
        </w:tc>
        <w:tc>
          <w:tcPr>
            <w:tcW w:w="658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hAnsi="宋体"/>
                <w:color w:val="000000"/>
                <w:sz w:val="18"/>
                <w:szCs w:val="18"/>
                <w:highlight w:val="yellow"/>
              </w:rPr>
            </w:pPr>
            <w:r>
              <w:rPr>
                <w:rFonts w:hint="eastAsia" w:hAnsi="宋体"/>
                <w:color w:val="000000"/>
                <w:sz w:val="18"/>
                <w:szCs w:val="18"/>
              </w:rPr>
              <w:t>增强学生服务农业农村现代化、服务乡村全面振兴的使命感和责任感，培养知农爱农创新人才</w:t>
            </w:r>
          </w:p>
        </w:tc>
        <w:tc>
          <w:tcPr>
            <w:tcW w:w="131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color w:val="000000"/>
                <w:sz w:val="18"/>
                <w:szCs w:val="18"/>
              </w:rPr>
            </w:pPr>
            <w:r>
              <w:rPr>
                <w:rFonts w:hint="eastAsia"/>
                <w:color w:val="000000"/>
                <w:sz w:val="18"/>
                <w:szCs w:val="18"/>
              </w:rPr>
              <w:t>2</w:t>
            </w:r>
          </w:p>
          <w:p>
            <w:pPr>
              <w:spacing w:line="320" w:lineRule="exact"/>
              <w:jc w:val="center"/>
              <w:rPr>
                <w:color w:val="000000"/>
                <w:sz w:val="18"/>
                <w:szCs w:val="18"/>
              </w:rPr>
            </w:pPr>
            <w:r>
              <w:rPr>
                <w:rFonts w:hint="eastAsia"/>
                <w:color w:val="000000"/>
                <w:sz w:val="18"/>
                <w:szCs w:val="18"/>
              </w:rPr>
              <w:t>4</w:t>
            </w:r>
          </w:p>
        </w:tc>
      </w:tr>
      <w:tr>
        <w:tblPrEx>
          <w:tblCellMar>
            <w:top w:w="0" w:type="dxa"/>
            <w:left w:w="108" w:type="dxa"/>
            <w:bottom w:w="0" w:type="dxa"/>
            <w:right w:w="108" w:type="dxa"/>
          </w:tblCellMar>
        </w:tblPrEx>
        <w:trPr>
          <w:trHeight w:val="963"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3</w:t>
            </w:r>
          </w:p>
        </w:tc>
        <w:tc>
          <w:tcPr>
            <w:tcW w:w="6584"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color w:val="000000"/>
                <w:sz w:val="18"/>
                <w:szCs w:val="18"/>
              </w:rPr>
            </w:pPr>
            <w:r>
              <w:rPr>
                <w:rFonts w:hint="eastAsia" w:hAnsi="宋体"/>
                <w:color w:val="000000"/>
                <w:sz w:val="18"/>
                <w:szCs w:val="18"/>
              </w:rPr>
              <w:t>善于发现生产中的问题，并培养</w:t>
            </w:r>
            <w:r>
              <w:rPr>
                <w:rFonts w:hAnsi="宋体"/>
                <w:color w:val="000000"/>
                <w:sz w:val="18"/>
                <w:szCs w:val="18"/>
              </w:rPr>
              <w:t>学生</w:t>
            </w:r>
            <w:r>
              <w:rPr>
                <w:rFonts w:hint="eastAsia" w:hAnsi="宋体"/>
                <w:color w:val="000000"/>
                <w:sz w:val="18"/>
                <w:szCs w:val="18"/>
              </w:rPr>
              <w:t>勇于探索与创新的素质</w:t>
            </w:r>
          </w:p>
        </w:tc>
        <w:tc>
          <w:tcPr>
            <w:tcW w:w="131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color w:val="000000"/>
                <w:sz w:val="18"/>
                <w:szCs w:val="18"/>
              </w:rPr>
            </w:pPr>
            <w:r>
              <w:rPr>
                <w:rFonts w:hint="eastAsia"/>
                <w:color w:val="000000"/>
                <w:sz w:val="18"/>
                <w:szCs w:val="18"/>
              </w:rPr>
              <w:t>7</w:t>
            </w:r>
          </w:p>
        </w:tc>
      </w:tr>
    </w:tbl>
    <w:p>
      <w:pPr>
        <w:widowControl/>
        <w:snapToGrid w:val="0"/>
        <w:spacing w:line="360" w:lineRule="auto"/>
        <w:jc w:val="left"/>
        <w:rPr>
          <w:rFonts w:hAnsi="宋体"/>
          <w:b/>
          <w:bCs/>
          <w:strike/>
          <w:color w:val="0000FF"/>
          <w:kern w:val="0"/>
          <w:szCs w:val="21"/>
        </w:rPr>
      </w:pPr>
    </w:p>
    <w:p>
      <w:pPr>
        <w:widowControl/>
        <w:numPr>
          <w:ilvl w:val="0"/>
          <w:numId w:val="26"/>
        </w:numPr>
        <w:snapToGrid w:val="0"/>
        <w:spacing w:line="360" w:lineRule="auto"/>
        <w:jc w:val="left"/>
        <w:rPr>
          <w:rFonts w:ascii="宋体" w:hAnsi="宋体" w:cs="宋体"/>
          <w:b/>
          <w:bCs/>
          <w:kern w:val="0"/>
          <w:szCs w:val="21"/>
        </w:rPr>
      </w:pPr>
      <w:r>
        <w:rPr>
          <w:rFonts w:hAnsi="宋体"/>
          <w:b/>
          <w:bCs/>
          <w:kern w:val="0"/>
          <w:szCs w:val="21"/>
        </w:rPr>
        <w:t>理论教学内容及学时分配</w:t>
      </w:r>
      <w:r>
        <w:rPr>
          <w:rFonts w:hint="eastAsia" w:hAnsi="宋体"/>
          <w:b/>
          <w:bCs/>
          <w:kern w:val="0"/>
          <w:szCs w:val="21"/>
        </w:rPr>
        <w:t>（</w:t>
      </w:r>
      <w:r>
        <w:rPr>
          <w:rFonts w:hint="eastAsia" w:hAnsi="宋体"/>
          <w:b/>
          <w:bCs/>
          <w:color w:val="000000" w:themeColor="text1"/>
          <w:kern w:val="0"/>
          <w:szCs w:val="21"/>
          <w14:textFill>
            <w14:solidFill>
              <w14:schemeClr w14:val="tx1"/>
            </w14:solidFill>
          </w14:textFill>
        </w:rPr>
        <w:t>24</w:t>
      </w:r>
      <w:r>
        <w:rPr>
          <w:rFonts w:hint="eastAsia" w:hAnsi="宋体"/>
          <w:b/>
          <w:bCs/>
          <w:kern w:val="0"/>
          <w:szCs w:val="21"/>
        </w:rPr>
        <w:t>学时）</w:t>
      </w:r>
      <w:r>
        <w:rPr>
          <w:rFonts w:hint="eastAsia" w:ascii="宋体" w:hAnsi="宋体" w:cs="宋体"/>
          <w:b/>
          <w:bCs/>
          <w:kern w:val="0"/>
          <w:szCs w:val="21"/>
        </w:rPr>
        <w:t></w:t>
      </w:r>
    </w:p>
    <w:tbl>
      <w:tblPr>
        <w:tblStyle w:val="22"/>
        <w:tblW w:w="0" w:type="auto"/>
        <w:tblInd w:w="4" w:type="dxa"/>
        <w:tblLayout w:type="autofit"/>
        <w:tblCellMar>
          <w:top w:w="0" w:type="dxa"/>
          <w:left w:w="0" w:type="dxa"/>
          <w:bottom w:w="0" w:type="dxa"/>
          <w:right w:w="0" w:type="dxa"/>
        </w:tblCellMar>
      </w:tblPr>
      <w:tblGrid>
        <w:gridCol w:w="1151"/>
        <w:gridCol w:w="4779"/>
        <w:gridCol w:w="2966"/>
      </w:tblGrid>
      <w:tr>
        <w:tblPrEx>
          <w:tblCellMar>
            <w:top w:w="0" w:type="dxa"/>
            <w:left w:w="0" w:type="dxa"/>
            <w:bottom w:w="0" w:type="dxa"/>
            <w:right w:w="0" w:type="dxa"/>
          </w:tblCellMar>
        </w:tblPrEx>
        <w:trPr>
          <w:trHeight w:val="270" w:hRule="atLeast"/>
        </w:trPr>
        <w:tc>
          <w:tcPr>
            <w:tcW w:w="115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77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第一章</w:t>
            </w:r>
            <w:r>
              <w:rPr>
                <w:b/>
                <w:bCs/>
                <w:szCs w:val="21"/>
              </w:rPr>
              <w:t>     </w:t>
            </w:r>
            <w:r>
              <w:rPr>
                <w:rFonts w:hint="eastAsia"/>
                <w:b/>
                <w:bCs/>
                <w:szCs w:val="21"/>
              </w:rPr>
              <w:t>农业园区的概念、作用和类型</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kern w:val="0"/>
          <w:szCs w:val="21"/>
        </w:rPr>
      </w:pPr>
      <w:r>
        <w:rPr>
          <w:b/>
          <w:bCs/>
          <w:kern w:val="0"/>
          <w:szCs w:val="21"/>
        </w:rPr>
        <w:t>                     </w:t>
      </w:r>
    </w:p>
    <w:p>
      <w:pPr>
        <w:snapToGrid w:val="0"/>
        <w:spacing w:line="360" w:lineRule="auto"/>
        <w:rPr>
          <w:rFonts w:ascii="宋体" w:hAnsi="宋体"/>
          <w:b/>
          <w:bCs/>
          <w:szCs w:val="21"/>
        </w:rPr>
      </w:pPr>
      <w:r>
        <w:rPr>
          <w:rFonts w:ascii="宋体" w:hAnsi="宋体"/>
          <w:szCs w:val="21"/>
        </w:rPr>
        <w:t>第一节</w:t>
      </w:r>
      <w:r>
        <w:rPr>
          <w:rFonts w:hint="eastAsia" w:ascii="宋体" w:hAnsi="宋体"/>
          <w:szCs w:val="21"/>
        </w:rPr>
        <w:t xml:space="preserve">  农业园区的概念和类型</w:t>
      </w:r>
      <w:r>
        <w:rPr>
          <w:rFonts w:ascii="宋体" w:hAnsi="宋体"/>
          <w:szCs w:val="21"/>
        </w:rPr>
        <w:t> </w:t>
      </w:r>
      <w:r>
        <w:rPr>
          <w:rFonts w:ascii="宋体" w:hAnsi="宋体"/>
          <w:b/>
          <w:bCs/>
          <w:szCs w:val="21"/>
        </w:rPr>
        <w:t>    1学时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了解农业园区的概念和特点</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农业园区的概念</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了解：农业园区的特点。</w:t>
      </w:r>
    </w:p>
    <w:p>
      <w:pPr>
        <w:pStyle w:val="7"/>
        <w:snapToGrid w:val="0"/>
        <w:spacing w:line="360" w:lineRule="auto"/>
        <w:ind w:right="2904" w:rightChars="1383"/>
        <w:jc w:val="left"/>
        <w:rPr>
          <w:rFonts w:ascii="宋体" w:hAnsi="宋体"/>
          <w:szCs w:val="21"/>
        </w:rPr>
      </w:pPr>
      <w:r>
        <w:rPr>
          <w:rFonts w:hint="eastAsia" w:ascii="宋体" w:hAnsi="宋体"/>
          <w:szCs w:val="21"/>
        </w:rPr>
        <w:t>理解：农业园区的基本功能和类型。</w:t>
      </w:r>
    </w:p>
    <w:p>
      <w:pPr>
        <w:pStyle w:val="7"/>
        <w:snapToGrid w:val="0"/>
        <w:spacing w:line="360" w:lineRule="auto"/>
        <w:ind w:right="2904" w:rightChars="1383"/>
        <w:jc w:val="left"/>
        <w:rPr>
          <w:rFonts w:ascii="宋体" w:hAnsi="宋体"/>
          <w:szCs w:val="21"/>
        </w:rPr>
      </w:pPr>
      <w:r>
        <w:rPr>
          <w:rFonts w:hint="eastAsia" w:ascii="宋体" w:hAnsi="宋体"/>
          <w:szCs w:val="21"/>
        </w:rPr>
        <w:t>掌握：农业园区的概念。</w:t>
      </w:r>
    </w:p>
    <w:p>
      <w:pPr>
        <w:widowControl/>
        <w:snapToGrid w:val="0"/>
        <w:spacing w:line="360" w:lineRule="auto"/>
        <w:jc w:val="left"/>
        <w:rPr>
          <w:b/>
          <w:kern w:val="0"/>
          <w:szCs w:val="21"/>
        </w:rPr>
      </w:pPr>
      <w:r>
        <w:rPr>
          <w:rFonts w:ascii="宋体" w:hAnsi="宋体"/>
          <w:szCs w:val="21"/>
        </w:rPr>
        <w:t>第</w:t>
      </w:r>
      <w:r>
        <w:rPr>
          <w:rFonts w:hint="eastAsia" w:ascii="宋体" w:hAnsi="宋体"/>
          <w:szCs w:val="21"/>
        </w:rPr>
        <w:t>二</w:t>
      </w:r>
      <w:r>
        <w:rPr>
          <w:rFonts w:ascii="宋体" w:hAnsi="宋体"/>
          <w:szCs w:val="21"/>
        </w:rPr>
        <w:t>节</w:t>
      </w:r>
      <w:r>
        <w:rPr>
          <w:rFonts w:hint="eastAsia" w:ascii="宋体" w:hAnsi="宋体"/>
          <w:szCs w:val="21"/>
        </w:rPr>
        <w:t xml:space="preserve">  农业园区的现状与发展趋势 </w:t>
      </w:r>
      <w:r>
        <w:rPr>
          <w:rFonts w:ascii="宋体" w:hAnsi="宋体"/>
          <w:szCs w:val="21"/>
        </w:rPr>
        <w:t>  </w:t>
      </w:r>
      <w:r>
        <w:rPr>
          <w:b/>
          <w:kern w:val="0"/>
          <w:szCs w:val="21"/>
        </w:rPr>
        <w:t xml:space="preserve">   1</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了解农业园区的现状与发展趋势</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农业园区建设与发展遇到的问题</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了解：世界农业园区的发展现状和趋势。</w:t>
      </w:r>
    </w:p>
    <w:p>
      <w:pPr>
        <w:pStyle w:val="7"/>
        <w:snapToGrid w:val="0"/>
        <w:spacing w:line="360" w:lineRule="auto"/>
        <w:ind w:right="2904" w:rightChars="1383"/>
        <w:jc w:val="left"/>
        <w:rPr>
          <w:rFonts w:ascii="宋体" w:hAnsi="宋体"/>
          <w:szCs w:val="21"/>
        </w:rPr>
      </w:pPr>
      <w:r>
        <w:rPr>
          <w:rFonts w:hint="eastAsia" w:ascii="宋体" w:hAnsi="宋体"/>
          <w:szCs w:val="21"/>
        </w:rPr>
        <w:t>理解：我国农业园区的发展现状。</w:t>
      </w:r>
    </w:p>
    <w:p>
      <w:pPr>
        <w:pStyle w:val="7"/>
        <w:snapToGrid w:val="0"/>
        <w:spacing w:line="360" w:lineRule="auto"/>
        <w:ind w:right="2904" w:rightChars="1383"/>
        <w:jc w:val="left"/>
        <w:rPr>
          <w:rFonts w:ascii="宋体" w:hAnsi="宋体"/>
          <w:szCs w:val="21"/>
        </w:rPr>
      </w:pPr>
      <w:r>
        <w:rPr>
          <w:rFonts w:hint="eastAsia" w:ascii="宋体" w:hAnsi="宋体"/>
          <w:szCs w:val="21"/>
        </w:rPr>
        <w:t>掌握：农业园区遇到的问题。</w:t>
      </w:r>
    </w:p>
    <w:p>
      <w:pPr>
        <w:pStyle w:val="7"/>
        <w:snapToGrid w:val="0"/>
        <w:spacing w:line="360" w:lineRule="auto"/>
        <w:ind w:right="2904" w:rightChars="1383"/>
        <w:jc w:val="left"/>
        <w:rPr>
          <w:rFonts w:ascii="宋体" w:hAnsi="宋体"/>
          <w:szCs w:val="21"/>
        </w:rPr>
      </w:pPr>
      <w:r>
        <w:rPr>
          <w:rFonts w:hint="eastAsia" w:ascii="宋体" w:hAnsi="宋体"/>
          <w:szCs w:val="21"/>
        </w:rPr>
        <w:t>熟练掌握：。</w:t>
      </w:r>
    </w:p>
    <w:p>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采用多媒体教学，利用视频导入法引入教学内容，结合生产实际分析生产中存在的问题，并以讨论、答疑的形式解决问题。</w:t>
      </w:r>
    </w:p>
    <w:tbl>
      <w:tblPr>
        <w:tblStyle w:val="22"/>
        <w:tblW w:w="0" w:type="auto"/>
        <w:tblInd w:w="4" w:type="dxa"/>
        <w:tblLayout w:type="autofit"/>
        <w:tblCellMar>
          <w:top w:w="0" w:type="dxa"/>
          <w:left w:w="0" w:type="dxa"/>
          <w:bottom w:w="0" w:type="dxa"/>
          <w:right w:w="0" w:type="dxa"/>
        </w:tblCellMar>
      </w:tblPr>
      <w:tblGrid>
        <w:gridCol w:w="1751"/>
        <w:gridCol w:w="4179"/>
        <w:gridCol w:w="2966"/>
      </w:tblGrid>
      <w:tr>
        <w:tblPrEx>
          <w:tblCellMar>
            <w:top w:w="0" w:type="dxa"/>
            <w:left w:w="0" w:type="dxa"/>
            <w:bottom w:w="0" w:type="dxa"/>
            <w:right w:w="0" w:type="dxa"/>
          </w:tblCellMar>
        </w:tblPrEx>
        <w:trPr>
          <w:trHeight w:val="270" w:hRule="atLeast"/>
        </w:trPr>
        <w:tc>
          <w:tcPr>
            <w:tcW w:w="175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17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b/>
                <w:bCs/>
                <w:szCs w:val="21"/>
              </w:rPr>
              <w:t>     </w:t>
            </w:r>
            <w:r>
              <w:rPr>
                <w:rFonts w:hint="eastAsia"/>
                <w:b/>
                <w:bCs/>
                <w:szCs w:val="21"/>
              </w:rPr>
              <w:t>农业园区的规划内容和布局</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数：3</w:t>
            </w:r>
          </w:p>
        </w:tc>
      </w:tr>
    </w:tbl>
    <w:p>
      <w:pPr>
        <w:widowControl/>
        <w:snapToGrid w:val="0"/>
        <w:spacing w:line="360" w:lineRule="auto"/>
        <w:jc w:val="right"/>
        <w:rPr>
          <w:rFonts w:hAnsi="宋体"/>
          <w:b/>
          <w:bCs/>
          <w:color w:val="000000" w:themeColor="text1"/>
          <w:kern w:val="0"/>
          <w:szCs w:val="21"/>
          <w14:textFill>
            <w14:solidFill>
              <w14:schemeClr w14:val="tx1"/>
            </w14:solidFill>
          </w14:textFill>
        </w:rPr>
      </w:pPr>
    </w:p>
    <w:p>
      <w:pPr>
        <w:snapToGrid w:val="0"/>
        <w:spacing w:line="360" w:lineRule="auto"/>
        <w:rPr>
          <w:rFonts w:ascii="宋体" w:hAnsi="宋体"/>
          <w:b/>
          <w:bCs/>
          <w:szCs w:val="21"/>
        </w:rPr>
      </w:pPr>
      <w:r>
        <w:rPr>
          <w:rFonts w:ascii="宋体" w:hAnsi="宋体"/>
          <w:szCs w:val="21"/>
        </w:rPr>
        <w:t>第一节</w:t>
      </w:r>
      <w:r>
        <w:rPr>
          <w:rFonts w:hint="eastAsia" w:ascii="宋体" w:hAnsi="宋体"/>
          <w:szCs w:val="21"/>
        </w:rPr>
        <w:t xml:space="preserve">  农业园区规划的任务、原则和内容</w:t>
      </w:r>
      <w:r>
        <w:rPr>
          <w:rFonts w:ascii="宋体" w:hAnsi="宋体"/>
          <w:b/>
          <w:bCs/>
          <w:szCs w:val="21"/>
        </w:rPr>
        <w:t>     </w:t>
      </w:r>
      <w:r>
        <w:rPr>
          <w:rFonts w:hint="eastAsia" w:ascii="宋体" w:hAnsi="宋体"/>
          <w:b/>
          <w:bCs/>
          <w:szCs w:val="21"/>
        </w:rPr>
        <w:t>1</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了解农业园区规划的任务、原则和内容</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农业园区规划的任务</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了解：农业园区规划的工作特点。</w:t>
      </w:r>
    </w:p>
    <w:p>
      <w:pPr>
        <w:pStyle w:val="7"/>
        <w:snapToGrid w:val="0"/>
        <w:spacing w:line="360" w:lineRule="auto"/>
        <w:ind w:right="2904" w:rightChars="1383"/>
        <w:jc w:val="left"/>
        <w:rPr>
          <w:rFonts w:ascii="宋体" w:hAnsi="宋体"/>
          <w:szCs w:val="21"/>
        </w:rPr>
      </w:pPr>
      <w:r>
        <w:rPr>
          <w:rFonts w:hint="eastAsia" w:ascii="宋体" w:hAnsi="宋体"/>
          <w:szCs w:val="21"/>
        </w:rPr>
        <w:t>理解：农业园区规划的原则。</w:t>
      </w:r>
    </w:p>
    <w:p>
      <w:pPr>
        <w:pStyle w:val="7"/>
        <w:snapToGrid w:val="0"/>
        <w:spacing w:line="360" w:lineRule="auto"/>
        <w:ind w:right="2904" w:rightChars="1383"/>
        <w:jc w:val="left"/>
        <w:rPr>
          <w:rFonts w:ascii="宋体" w:hAnsi="宋体"/>
          <w:szCs w:val="21"/>
        </w:rPr>
      </w:pPr>
      <w:r>
        <w:rPr>
          <w:rFonts w:hint="eastAsia" w:ascii="宋体" w:hAnsi="宋体"/>
          <w:szCs w:val="21"/>
        </w:rPr>
        <w:t>掌握：农业园区规划的内容。</w:t>
      </w:r>
    </w:p>
    <w:p>
      <w:pPr>
        <w:pStyle w:val="7"/>
        <w:snapToGrid w:val="0"/>
        <w:spacing w:line="360" w:lineRule="auto"/>
        <w:ind w:right="2904" w:rightChars="1383"/>
        <w:jc w:val="left"/>
        <w:rPr>
          <w:rFonts w:ascii="宋体" w:hAnsi="宋体"/>
          <w:szCs w:val="21"/>
        </w:rPr>
      </w:pPr>
      <w:r>
        <w:rPr>
          <w:rFonts w:hint="eastAsia" w:ascii="宋体" w:hAnsi="宋体"/>
          <w:szCs w:val="21"/>
        </w:rPr>
        <w:t>熟练掌握：农业园区规划的工作程序。</w:t>
      </w:r>
    </w:p>
    <w:p>
      <w:pPr>
        <w:widowControl/>
        <w:snapToGrid w:val="0"/>
        <w:spacing w:line="360" w:lineRule="auto"/>
        <w:jc w:val="left"/>
        <w:rPr>
          <w:b/>
          <w:kern w:val="0"/>
          <w:szCs w:val="21"/>
        </w:rPr>
      </w:pPr>
      <w:r>
        <w:rPr>
          <w:rFonts w:ascii="宋体" w:hAnsi="宋体"/>
          <w:szCs w:val="21"/>
        </w:rPr>
        <w:t>第</w:t>
      </w:r>
      <w:r>
        <w:rPr>
          <w:rFonts w:hint="eastAsia" w:ascii="宋体" w:hAnsi="宋体"/>
          <w:szCs w:val="21"/>
        </w:rPr>
        <w:t>二</w:t>
      </w:r>
      <w:r>
        <w:rPr>
          <w:rFonts w:ascii="宋体" w:hAnsi="宋体"/>
          <w:szCs w:val="21"/>
        </w:rPr>
        <w:t>节</w:t>
      </w:r>
      <w:r>
        <w:rPr>
          <w:rFonts w:hint="eastAsia" w:ascii="宋体" w:hAnsi="宋体"/>
          <w:szCs w:val="21"/>
        </w:rPr>
        <w:t xml:space="preserve">  农业园区区域规划的理论</w:t>
      </w:r>
      <w:r>
        <w:rPr>
          <w:rFonts w:hint="eastAsia" w:hAnsi="宋体"/>
          <w:b/>
          <w:kern w:val="0"/>
          <w:szCs w:val="21"/>
        </w:rPr>
        <w:t xml:space="preserve"> </w:t>
      </w:r>
      <w:r>
        <w:rPr>
          <w:b/>
          <w:kern w:val="0"/>
          <w:szCs w:val="21"/>
        </w:rPr>
        <w:t>    </w:t>
      </w:r>
      <w:r>
        <w:rPr>
          <w:rFonts w:hint="eastAsia"/>
          <w:b/>
          <w:kern w:val="0"/>
          <w:szCs w:val="21"/>
        </w:rPr>
        <w:t>1</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掌握农业园区区域规划的理论</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相关理论的理解与应用。</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掌握：区域差异与分工协作理论、产业空间布局的区位理论、都市农业理论、专业化及关联理论的概念。。</w:t>
      </w:r>
    </w:p>
    <w:p>
      <w:pPr>
        <w:pStyle w:val="7"/>
        <w:snapToGrid w:val="0"/>
        <w:spacing w:line="360" w:lineRule="auto"/>
        <w:ind w:right="2904" w:rightChars="1383"/>
        <w:jc w:val="left"/>
        <w:rPr>
          <w:rFonts w:ascii="宋体" w:hAnsi="宋体"/>
          <w:szCs w:val="21"/>
        </w:rPr>
      </w:pPr>
      <w:r>
        <w:rPr>
          <w:rFonts w:hint="eastAsia" w:ascii="宋体" w:hAnsi="宋体"/>
          <w:szCs w:val="21"/>
        </w:rPr>
        <w:t>熟练掌握：上述4个理论在园区规划中的应用。</w:t>
      </w:r>
    </w:p>
    <w:p>
      <w:pPr>
        <w:snapToGrid w:val="0"/>
        <w:spacing w:line="360" w:lineRule="auto"/>
        <w:rPr>
          <w:rFonts w:ascii="宋体" w:hAnsi="宋体"/>
          <w:b/>
          <w:bCs/>
          <w:szCs w:val="21"/>
        </w:rPr>
      </w:pPr>
      <w:r>
        <w:rPr>
          <w:rFonts w:ascii="宋体" w:hAnsi="宋体"/>
          <w:szCs w:val="21"/>
        </w:rPr>
        <w:t>第</w:t>
      </w:r>
      <w:r>
        <w:rPr>
          <w:rFonts w:hint="eastAsia" w:ascii="宋体" w:hAnsi="宋体"/>
          <w:szCs w:val="21"/>
        </w:rPr>
        <w:t>三</w:t>
      </w:r>
      <w:r>
        <w:rPr>
          <w:rFonts w:ascii="宋体" w:hAnsi="宋体"/>
          <w:szCs w:val="21"/>
        </w:rPr>
        <w:t>节</w:t>
      </w:r>
      <w:r>
        <w:rPr>
          <w:rFonts w:hint="eastAsia" w:ascii="宋体" w:hAnsi="宋体"/>
          <w:szCs w:val="21"/>
        </w:rPr>
        <w:t xml:space="preserve">  规划的调查研究与基础资料</w:t>
      </w:r>
      <w:r>
        <w:rPr>
          <w:rFonts w:ascii="宋体" w:hAnsi="宋体"/>
          <w:szCs w:val="21"/>
        </w:rPr>
        <w:t> </w:t>
      </w:r>
      <w:r>
        <w:rPr>
          <w:rFonts w:ascii="宋体" w:hAnsi="宋体"/>
          <w:b/>
          <w:bCs/>
          <w:szCs w:val="21"/>
        </w:rPr>
        <w:t>    </w:t>
      </w:r>
      <w:r>
        <w:rPr>
          <w:rFonts w:hint="eastAsia" w:ascii="宋体" w:hAnsi="宋体"/>
          <w:b/>
          <w:bCs/>
          <w:szCs w:val="21"/>
        </w:rPr>
        <w:t>1</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掌握园区调查研究和基础资料的分析方法</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基础资料的收集与分析</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了解：不同园区规划的层次及规划内容。</w:t>
      </w:r>
    </w:p>
    <w:p>
      <w:pPr>
        <w:pStyle w:val="7"/>
        <w:snapToGrid w:val="0"/>
        <w:spacing w:line="360" w:lineRule="auto"/>
        <w:ind w:right="2904" w:rightChars="1383"/>
        <w:jc w:val="left"/>
        <w:rPr>
          <w:rFonts w:ascii="宋体" w:hAnsi="宋体"/>
          <w:szCs w:val="21"/>
        </w:rPr>
      </w:pPr>
      <w:r>
        <w:rPr>
          <w:rFonts w:hint="eastAsia" w:ascii="宋体" w:hAnsi="宋体"/>
          <w:szCs w:val="21"/>
        </w:rPr>
        <w:t>理解：农业园区调查研究的工作方法。</w:t>
      </w:r>
    </w:p>
    <w:p>
      <w:pPr>
        <w:pStyle w:val="7"/>
        <w:snapToGrid w:val="0"/>
        <w:spacing w:line="360" w:lineRule="auto"/>
        <w:ind w:right="2904" w:rightChars="1383"/>
        <w:jc w:val="left"/>
        <w:rPr>
          <w:rFonts w:ascii="宋体" w:hAnsi="宋体"/>
          <w:szCs w:val="21"/>
        </w:rPr>
      </w:pPr>
      <w:r>
        <w:rPr>
          <w:rFonts w:hint="eastAsia" w:ascii="宋体" w:hAnsi="宋体"/>
          <w:szCs w:val="21"/>
        </w:rPr>
        <w:t>掌握：基础资料的收集。</w:t>
      </w:r>
    </w:p>
    <w:p>
      <w:pPr>
        <w:pStyle w:val="7"/>
        <w:snapToGrid w:val="0"/>
        <w:spacing w:line="360" w:lineRule="auto"/>
        <w:ind w:right="2904" w:rightChars="1383"/>
        <w:jc w:val="left"/>
        <w:rPr>
          <w:rFonts w:ascii="宋体" w:hAnsi="宋体"/>
          <w:szCs w:val="21"/>
        </w:rPr>
      </w:pPr>
      <w:r>
        <w:rPr>
          <w:rFonts w:hint="eastAsia" w:ascii="宋体" w:hAnsi="宋体"/>
          <w:szCs w:val="21"/>
        </w:rPr>
        <w:t>熟练掌握：基础资料的分析。</w:t>
      </w:r>
    </w:p>
    <w:p>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多媒体教学，首先总结上节课内容，并引入新的问题，明确学习目标，以案例分析及调查研究的形式讲授知识点，激发学生学习兴趣，并以提问及讨论的形式检验学习效果，培养学生的思考能力，最后总结归纳，并设置思考题引导学生预习新的内容。</w:t>
      </w:r>
    </w:p>
    <w:tbl>
      <w:tblPr>
        <w:tblStyle w:val="22"/>
        <w:tblW w:w="0" w:type="auto"/>
        <w:tblInd w:w="4" w:type="dxa"/>
        <w:tblLayout w:type="autofit"/>
        <w:tblCellMar>
          <w:top w:w="0" w:type="dxa"/>
          <w:left w:w="0" w:type="dxa"/>
          <w:bottom w:w="0" w:type="dxa"/>
          <w:right w:w="0" w:type="dxa"/>
        </w:tblCellMar>
      </w:tblPr>
      <w:tblGrid>
        <w:gridCol w:w="1311"/>
        <w:gridCol w:w="4619"/>
        <w:gridCol w:w="2966"/>
      </w:tblGrid>
      <w:tr>
        <w:tblPrEx>
          <w:tblCellMar>
            <w:top w:w="0" w:type="dxa"/>
            <w:left w:w="0" w:type="dxa"/>
            <w:bottom w:w="0" w:type="dxa"/>
            <w:right w:w="0" w:type="dxa"/>
          </w:tblCellMar>
        </w:tblPrEx>
        <w:trPr>
          <w:trHeight w:val="270" w:hRule="atLeast"/>
        </w:trPr>
        <w:tc>
          <w:tcPr>
            <w:tcW w:w="131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61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三</w:t>
            </w:r>
            <w:r>
              <w:rPr>
                <w:rFonts w:hAnsi="宋体"/>
                <w:b/>
                <w:bCs/>
                <w:szCs w:val="21"/>
              </w:rPr>
              <w:t>章</w:t>
            </w:r>
            <w:r>
              <w:rPr>
                <w:b/>
                <w:bCs/>
                <w:szCs w:val="21"/>
              </w:rPr>
              <w:t>     </w:t>
            </w:r>
            <w:r>
              <w:rPr>
                <w:rFonts w:hint="eastAsia"/>
                <w:b/>
                <w:bCs/>
                <w:szCs w:val="21"/>
              </w:rPr>
              <w:t>农业园区的总体规划</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数：6</w:t>
            </w:r>
          </w:p>
        </w:tc>
      </w:tr>
    </w:tbl>
    <w:p>
      <w:pPr>
        <w:widowControl/>
        <w:snapToGrid w:val="0"/>
        <w:spacing w:line="360" w:lineRule="auto"/>
        <w:ind w:firstLine="210"/>
        <w:jc w:val="right"/>
        <w:rPr>
          <w:rFonts w:hAnsi="宋体"/>
          <w:b/>
          <w:bCs/>
          <w:color w:val="000000" w:themeColor="text1"/>
          <w:kern w:val="0"/>
          <w:szCs w:val="21"/>
          <w14:textFill>
            <w14:solidFill>
              <w14:schemeClr w14:val="tx1"/>
            </w14:solidFill>
          </w14:textFill>
        </w:rPr>
      </w:pPr>
    </w:p>
    <w:p>
      <w:pPr>
        <w:snapToGrid w:val="0"/>
        <w:spacing w:line="360" w:lineRule="auto"/>
        <w:rPr>
          <w:rFonts w:ascii="宋体" w:hAnsi="宋体"/>
          <w:b/>
          <w:bCs/>
          <w:szCs w:val="21"/>
        </w:rPr>
      </w:pPr>
      <w:r>
        <w:rPr>
          <w:rFonts w:ascii="宋体" w:hAnsi="宋体"/>
          <w:szCs w:val="21"/>
        </w:rPr>
        <w:t>第一节</w:t>
      </w:r>
      <w:r>
        <w:rPr>
          <w:rFonts w:hint="eastAsia" w:ascii="宋体" w:hAnsi="宋体"/>
          <w:szCs w:val="21"/>
        </w:rPr>
        <w:t xml:space="preserve">  农业园区的现状分析与发展定位</w:t>
      </w:r>
      <w:r>
        <w:rPr>
          <w:rFonts w:ascii="宋体" w:hAnsi="宋体"/>
          <w:b/>
          <w:bCs/>
          <w:szCs w:val="21"/>
        </w:rPr>
        <w:t>     </w:t>
      </w:r>
      <w:r>
        <w:rPr>
          <w:rFonts w:hint="eastAsia" w:ascii="宋体" w:hAnsi="宋体"/>
          <w:b/>
          <w:bCs/>
          <w:szCs w:val="21"/>
        </w:rPr>
        <w:t>1</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掌握农业园区规划的现状分析和发展定位</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农业园区规划的</w:t>
      </w:r>
      <w:r>
        <w:rPr>
          <w:rFonts w:hint="eastAsia"/>
          <w:szCs w:val="21"/>
        </w:rPr>
        <w:t>功能设置及项目构成</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w:t>
      </w:r>
      <w:r>
        <w:rPr>
          <w:rFonts w:hint="eastAsia"/>
          <w:szCs w:val="21"/>
        </w:rPr>
        <w:t>优势和主要矛盾的分析</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理解：定位的原则。</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农业园区规划的</w:t>
      </w:r>
      <w:r>
        <w:rPr>
          <w:rFonts w:hint="eastAsia"/>
          <w:szCs w:val="21"/>
        </w:rPr>
        <w:t>功能设置及项目构成</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熟练掌握：农业园区规划的可行性分析。</w:t>
      </w:r>
    </w:p>
    <w:p>
      <w:pPr>
        <w:widowControl/>
        <w:snapToGrid w:val="0"/>
        <w:spacing w:line="360" w:lineRule="auto"/>
        <w:jc w:val="left"/>
        <w:rPr>
          <w:b/>
          <w:kern w:val="0"/>
          <w:szCs w:val="21"/>
        </w:rPr>
      </w:pPr>
      <w:r>
        <w:rPr>
          <w:rFonts w:hAnsi="宋体"/>
          <w:bCs/>
          <w:kern w:val="0"/>
          <w:szCs w:val="21"/>
        </w:rPr>
        <w:t>第</w:t>
      </w:r>
      <w:r>
        <w:rPr>
          <w:rFonts w:hint="eastAsia" w:hAnsi="宋体"/>
          <w:bCs/>
          <w:kern w:val="0"/>
          <w:szCs w:val="21"/>
        </w:rPr>
        <w:t>二</w:t>
      </w:r>
      <w:r>
        <w:rPr>
          <w:rFonts w:hAnsi="宋体"/>
          <w:bCs/>
          <w:kern w:val="0"/>
          <w:szCs w:val="21"/>
        </w:rPr>
        <w:t>节</w:t>
      </w:r>
      <w:r>
        <w:rPr>
          <w:rFonts w:hint="eastAsia" w:hAnsi="宋体"/>
          <w:bCs/>
          <w:kern w:val="0"/>
          <w:szCs w:val="21"/>
        </w:rPr>
        <w:t xml:space="preserve">  农业园区总体规划的主要内容 </w:t>
      </w:r>
      <w:r>
        <w:rPr>
          <w:b/>
          <w:kern w:val="0"/>
          <w:szCs w:val="21"/>
        </w:rPr>
        <w:t>     </w:t>
      </w:r>
      <w:r>
        <w:rPr>
          <w:rFonts w:hint="eastAsia"/>
          <w:b/>
          <w:kern w:val="0"/>
          <w:szCs w:val="21"/>
        </w:rPr>
        <w:t>2</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掌握农业园区的总体规划方法</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功能区的规划。</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w:t>
      </w:r>
      <w:r>
        <w:rPr>
          <w:rFonts w:hint="eastAsia"/>
          <w:szCs w:val="21"/>
        </w:rPr>
        <w:t>总体规划的原则</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理解：总体规划的概念。</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景观分区规划、土地规划、道路系统等的规划</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熟练掌握：功能分区的规划。</w:t>
      </w:r>
    </w:p>
    <w:p>
      <w:pPr>
        <w:snapToGrid w:val="0"/>
        <w:spacing w:line="360" w:lineRule="auto"/>
        <w:rPr>
          <w:rFonts w:ascii="宋体" w:hAnsi="宋体"/>
          <w:b/>
          <w:bCs/>
          <w:szCs w:val="21"/>
        </w:rPr>
      </w:pPr>
      <w:r>
        <w:rPr>
          <w:rFonts w:ascii="宋体" w:hAnsi="宋体"/>
          <w:szCs w:val="21"/>
        </w:rPr>
        <w:t>第</w:t>
      </w:r>
      <w:r>
        <w:rPr>
          <w:rFonts w:hint="eastAsia" w:ascii="宋体" w:hAnsi="宋体"/>
          <w:szCs w:val="21"/>
        </w:rPr>
        <w:t>三</w:t>
      </w:r>
      <w:r>
        <w:rPr>
          <w:rFonts w:ascii="宋体" w:hAnsi="宋体"/>
          <w:szCs w:val="21"/>
        </w:rPr>
        <w:t>节</w:t>
      </w:r>
      <w:r>
        <w:rPr>
          <w:rFonts w:hint="eastAsia" w:ascii="宋体" w:hAnsi="宋体"/>
          <w:szCs w:val="21"/>
        </w:rPr>
        <w:t xml:space="preserve">  可行性研究报告编制</w:t>
      </w:r>
      <w:r>
        <w:rPr>
          <w:rFonts w:ascii="宋体" w:hAnsi="宋体"/>
          <w:szCs w:val="21"/>
        </w:rPr>
        <w:t> </w:t>
      </w:r>
      <w:r>
        <w:rPr>
          <w:rFonts w:ascii="宋体" w:hAnsi="宋体"/>
          <w:b/>
          <w:bCs/>
          <w:szCs w:val="21"/>
        </w:rPr>
        <w:t>    </w:t>
      </w:r>
      <w:r>
        <w:rPr>
          <w:rFonts w:hint="eastAsia" w:ascii="宋体" w:hAnsi="宋体"/>
          <w:b/>
          <w:bCs/>
          <w:szCs w:val="21"/>
        </w:rPr>
        <w:t>1</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掌握可行性研究报告的编制方法</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可行性研究包括的格式</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w:t>
      </w:r>
      <w:r>
        <w:rPr>
          <w:rFonts w:hint="eastAsia" w:hAnsi="宋体"/>
          <w:kern w:val="0"/>
          <w:szCs w:val="21"/>
        </w:rPr>
        <w:t>可行性研究包括的用途</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理解：</w:t>
      </w:r>
      <w:r>
        <w:rPr>
          <w:rFonts w:hint="eastAsia" w:hAnsi="宋体"/>
          <w:kern w:val="0"/>
          <w:szCs w:val="21"/>
        </w:rPr>
        <w:t>可行性研究包括的概念</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可行性研究包括的规范文本</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w:t>
      </w:r>
      <w:r>
        <w:rPr>
          <w:rFonts w:hint="eastAsia" w:hAnsi="宋体"/>
          <w:kern w:val="0"/>
          <w:szCs w:val="21"/>
        </w:rPr>
        <w:t>可行性研究包括的编制方法</w:t>
      </w:r>
      <w:r>
        <w:rPr>
          <w:rFonts w:hint="eastAsia" w:ascii="宋体" w:hAnsi="宋体"/>
          <w:szCs w:val="21"/>
        </w:rPr>
        <w:t>。</w:t>
      </w:r>
    </w:p>
    <w:p>
      <w:pPr>
        <w:snapToGrid w:val="0"/>
        <w:spacing w:line="360" w:lineRule="auto"/>
        <w:rPr>
          <w:rFonts w:ascii="宋体" w:hAnsi="宋体"/>
          <w:b/>
          <w:bCs/>
          <w:szCs w:val="21"/>
        </w:rPr>
      </w:pPr>
      <w:r>
        <w:rPr>
          <w:rFonts w:ascii="宋体" w:hAnsi="宋体"/>
          <w:szCs w:val="21"/>
        </w:rPr>
        <w:t>第</w:t>
      </w:r>
      <w:r>
        <w:rPr>
          <w:rFonts w:hint="eastAsia" w:ascii="宋体" w:hAnsi="宋体"/>
          <w:szCs w:val="21"/>
        </w:rPr>
        <w:t>四</w:t>
      </w:r>
      <w:r>
        <w:rPr>
          <w:rFonts w:ascii="宋体" w:hAnsi="宋体"/>
          <w:szCs w:val="21"/>
        </w:rPr>
        <w:t>节</w:t>
      </w:r>
      <w:r>
        <w:rPr>
          <w:rFonts w:hint="eastAsia" w:ascii="宋体" w:hAnsi="宋体"/>
          <w:szCs w:val="21"/>
        </w:rPr>
        <w:t xml:space="preserve">  </w:t>
      </w:r>
      <w:r>
        <w:rPr>
          <w:rFonts w:hint="eastAsia"/>
          <w:szCs w:val="21"/>
        </w:rPr>
        <w:t>环境保护和保障体系规划</w:t>
      </w:r>
      <w:r>
        <w:rPr>
          <w:rFonts w:ascii="宋体" w:hAnsi="宋体"/>
          <w:szCs w:val="21"/>
        </w:rPr>
        <w:t>  </w:t>
      </w:r>
      <w:r>
        <w:rPr>
          <w:rFonts w:ascii="宋体" w:hAnsi="宋体"/>
          <w:b/>
          <w:bCs/>
          <w:szCs w:val="21"/>
        </w:rPr>
        <w:t xml:space="preserve">   </w:t>
      </w:r>
      <w:r>
        <w:rPr>
          <w:rFonts w:hint="eastAsia" w:ascii="宋体" w:hAnsi="宋体"/>
          <w:b/>
          <w:bCs/>
          <w:szCs w:val="21"/>
        </w:rPr>
        <w:t>1</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掌握环保和各种保障体系规划</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环境保护规划和风险保障体系规划</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了解：相关规划所包括的内容。</w:t>
      </w:r>
    </w:p>
    <w:p>
      <w:pPr>
        <w:pStyle w:val="7"/>
        <w:snapToGrid w:val="0"/>
        <w:spacing w:line="360" w:lineRule="auto"/>
        <w:ind w:right="2904" w:rightChars="1383"/>
        <w:jc w:val="left"/>
        <w:rPr>
          <w:rFonts w:ascii="宋体" w:hAnsi="宋体"/>
          <w:szCs w:val="21"/>
        </w:rPr>
      </w:pPr>
      <w:r>
        <w:rPr>
          <w:rFonts w:hint="eastAsia" w:ascii="宋体" w:hAnsi="宋体"/>
          <w:szCs w:val="21"/>
        </w:rPr>
        <w:t>理解：</w:t>
      </w:r>
      <w:r>
        <w:rPr>
          <w:rFonts w:hint="eastAsia" w:hAnsi="宋体"/>
          <w:kern w:val="0"/>
          <w:szCs w:val="21"/>
        </w:rPr>
        <w:t>相关规划的内涵</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环境保护规划</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w:t>
      </w:r>
      <w:r>
        <w:rPr>
          <w:rFonts w:hint="eastAsia" w:hAnsi="宋体"/>
          <w:kern w:val="0"/>
          <w:szCs w:val="21"/>
        </w:rPr>
        <w:t>风险保障体系规划</w:t>
      </w:r>
      <w:r>
        <w:rPr>
          <w:rFonts w:hint="eastAsia" w:ascii="宋体" w:hAnsi="宋体"/>
          <w:szCs w:val="21"/>
        </w:rPr>
        <w:t>。</w:t>
      </w:r>
    </w:p>
    <w:p>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采用翻转课堂，以学生为中心，进行本章内容的学习，以达到激发学习兴趣，提高学习效率的效果。学生课前学习，课上分组以p</w:t>
      </w:r>
      <w:r>
        <w:rPr>
          <w:kern w:val="0"/>
          <w:szCs w:val="21"/>
        </w:rPr>
        <w:t>pT</w:t>
      </w:r>
      <w:r>
        <w:rPr>
          <w:rFonts w:hint="eastAsia"/>
          <w:kern w:val="0"/>
          <w:szCs w:val="21"/>
        </w:rPr>
        <w:t>的形式讲授知识点，教师最后进行点评，同时进行重点、难点解析及归纳总结。</w:t>
      </w:r>
    </w:p>
    <w:tbl>
      <w:tblPr>
        <w:tblStyle w:val="22"/>
        <w:tblW w:w="0" w:type="auto"/>
        <w:tblInd w:w="4" w:type="dxa"/>
        <w:tblLayout w:type="autofit"/>
        <w:tblCellMar>
          <w:top w:w="0" w:type="dxa"/>
          <w:left w:w="0" w:type="dxa"/>
          <w:bottom w:w="0" w:type="dxa"/>
          <w:right w:w="0" w:type="dxa"/>
        </w:tblCellMar>
      </w:tblPr>
      <w:tblGrid>
        <w:gridCol w:w="1881"/>
        <w:gridCol w:w="4049"/>
        <w:gridCol w:w="2966"/>
      </w:tblGrid>
      <w:tr>
        <w:tblPrEx>
          <w:tblCellMar>
            <w:top w:w="0" w:type="dxa"/>
            <w:left w:w="0" w:type="dxa"/>
            <w:bottom w:w="0" w:type="dxa"/>
            <w:right w:w="0" w:type="dxa"/>
          </w:tblCellMar>
        </w:tblPrEx>
        <w:trPr>
          <w:trHeight w:val="270" w:hRule="atLeast"/>
        </w:trPr>
        <w:tc>
          <w:tcPr>
            <w:tcW w:w="188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04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四</w:t>
            </w:r>
            <w:r>
              <w:rPr>
                <w:rFonts w:hAnsi="宋体"/>
                <w:b/>
                <w:bCs/>
                <w:szCs w:val="21"/>
              </w:rPr>
              <w:t>章</w:t>
            </w:r>
            <w:r>
              <w:rPr>
                <w:b/>
                <w:bCs/>
                <w:szCs w:val="21"/>
              </w:rPr>
              <w:t>     </w:t>
            </w:r>
            <w:r>
              <w:rPr>
                <w:rFonts w:hint="eastAsia"/>
                <w:b/>
                <w:bCs/>
                <w:szCs w:val="21"/>
              </w:rPr>
              <w:t>农业园区的详细规划</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数：6</w:t>
            </w:r>
          </w:p>
        </w:tc>
      </w:tr>
    </w:tbl>
    <w:p>
      <w:pPr>
        <w:widowControl/>
        <w:snapToGrid w:val="0"/>
        <w:spacing w:line="360" w:lineRule="auto"/>
        <w:ind w:firstLine="210"/>
        <w:jc w:val="right"/>
        <w:rPr>
          <w:rFonts w:hAnsi="宋体"/>
          <w:b/>
          <w:bCs/>
          <w:color w:val="000000" w:themeColor="text1"/>
          <w:kern w:val="0"/>
          <w:szCs w:val="21"/>
          <w14:textFill>
            <w14:solidFill>
              <w14:schemeClr w14:val="tx1"/>
            </w14:solidFill>
          </w14:textFill>
        </w:rPr>
      </w:pPr>
    </w:p>
    <w:p>
      <w:pPr>
        <w:snapToGrid w:val="0"/>
        <w:spacing w:line="360" w:lineRule="auto"/>
        <w:rPr>
          <w:rFonts w:ascii="宋体" w:hAnsi="宋体"/>
          <w:b/>
          <w:bCs/>
          <w:szCs w:val="21"/>
        </w:rPr>
      </w:pPr>
      <w:r>
        <w:rPr>
          <w:rFonts w:ascii="宋体" w:hAnsi="宋体"/>
          <w:szCs w:val="21"/>
        </w:rPr>
        <w:t>第一节</w:t>
      </w:r>
      <w:r>
        <w:rPr>
          <w:rFonts w:hint="eastAsia" w:ascii="宋体" w:hAnsi="宋体"/>
          <w:szCs w:val="21"/>
        </w:rPr>
        <w:t xml:space="preserve">  农业园区的建设条件分析及技术经济论证</w:t>
      </w:r>
      <w:r>
        <w:rPr>
          <w:rFonts w:ascii="宋体" w:hAnsi="宋体"/>
          <w:szCs w:val="21"/>
        </w:rPr>
        <w:t> </w:t>
      </w:r>
      <w:r>
        <w:rPr>
          <w:rFonts w:ascii="宋体" w:hAnsi="宋体"/>
          <w:b/>
          <w:bCs/>
          <w:szCs w:val="21"/>
        </w:rPr>
        <w:t>    </w:t>
      </w:r>
      <w:r>
        <w:rPr>
          <w:rFonts w:hint="eastAsia" w:ascii="宋体" w:hAnsi="宋体"/>
          <w:b/>
          <w:bCs/>
          <w:szCs w:val="21"/>
        </w:rPr>
        <w:t>1</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掌握建设条件分析和技术经济论证方法</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技术经济论证的经济指标</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了解：园区建设的社会和经济条件。</w:t>
      </w:r>
    </w:p>
    <w:p>
      <w:pPr>
        <w:pStyle w:val="7"/>
        <w:snapToGrid w:val="0"/>
        <w:spacing w:line="360" w:lineRule="auto"/>
        <w:ind w:right="2904" w:rightChars="1383"/>
        <w:jc w:val="left"/>
        <w:rPr>
          <w:rFonts w:ascii="宋体" w:hAnsi="宋体"/>
          <w:szCs w:val="21"/>
        </w:rPr>
      </w:pPr>
      <w:r>
        <w:rPr>
          <w:rFonts w:hint="eastAsia" w:ascii="宋体" w:hAnsi="宋体"/>
          <w:szCs w:val="21"/>
        </w:rPr>
        <w:t>理解：经济论证的内容。</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技术经济指标</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熟练掌握：技术经济论文的关键环节。</w:t>
      </w:r>
    </w:p>
    <w:p>
      <w:pPr>
        <w:widowControl/>
        <w:snapToGrid w:val="0"/>
        <w:spacing w:line="360" w:lineRule="auto"/>
        <w:jc w:val="left"/>
        <w:rPr>
          <w:b/>
          <w:kern w:val="0"/>
          <w:szCs w:val="21"/>
        </w:rPr>
      </w:pPr>
      <w:r>
        <w:rPr>
          <w:rFonts w:ascii="宋体" w:hAnsi="宋体"/>
          <w:szCs w:val="21"/>
        </w:rPr>
        <w:t>第</w:t>
      </w:r>
      <w:r>
        <w:rPr>
          <w:rFonts w:hint="eastAsia" w:ascii="宋体" w:hAnsi="宋体"/>
          <w:szCs w:val="21"/>
        </w:rPr>
        <w:t>二</w:t>
      </w:r>
      <w:r>
        <w:rPr>
          <w:rFonts w:ascii="宋体" w:hAnsi="宋体"/>
          <w:szCs w:val="21"/>
        </w:rPr>
        <w:t>节</w:t>
      </w:r>
      <w:r>
        <w:rPr>
          <w:rFonts w:hint="eastAsia" w:ascii="宋体" w:hAnsi="宋体"/>
          <w:szCs w:val="21"/>
        </w:rPr>
        <w:t xml:space="preserve">  农业园区产业规划的内容与特点</w:t>
      </w:r>
      <w:r>
        <w:rPr>
          <w:rFonts w:hint="eastAsia" w:hAnsi="宋体"/>
          <w:b/>
          <w:kern w:val="0"/>
          <w:szCs w:val="21"/>
        </w:rPr>
        <w:t xml:space="preserve"> </w:t>
      </w:r>
      <w:r>
        <w:rPr>
          <w:b/>
          <w:kern w:val="0"/>
          <w:szCs w:val="21"/>
        </w:rPr>
        <w:t>     </w:t>
      </w:r>
      <w:r>
        <w:rPr>
          <w:rFonts w:hint="eastAsia"/>
          <w:b/>
          <w:kern w:val="0"/>
          <w:szCs w:val="21"/>
        </w:rPr>
        <w:t>1</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掌握农业园区产业规划的内容</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农业园区相关的产业及特点。</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w:t>
      </w:r>
      <w:r>
        <w:rPr>
          <w:rFonts w:hint="eastAsia"/>
          <w:szCs w:val="21"/>
        </w:rPr>
        <w:t>产业规划的原则</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理解：农业园区相关产业。</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相关产业的特点及用途</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熟练掌握：不同产业在农业园区规划中的科学应用。</w:t>
      </w:r>
    </w:p>
    <w:p>
      <w:pPr>
        <w:widowControl/>
        <w:snapToGrid w:val="0"/>
        <w:spacing w:line="360" w:lineRule="auto"/>
        <w:jc w:val="left"/>
        <w:rPr>
          <w:b/>
          <w:kern w:val="0"/>
          <w:szCs w:val="21"/>
        </w:rPr>
      </w:pPr>
      <w:r>
        <w:rPr>
          <w:rFonts w:ascii="宋体" w:hAnsi="宋体"/>
          <w:szCs w:val="21"/>
        </w:rPr>
        <w:t>第</w:t>
      </w:r>
      <w:r>
        <w:rPr>
          <w:rFonts w:hint="eastAsia" w:ascii="宋体" w:hAnsi="宋体"/>
          <w:szCs w:val="21"/>
        </w:rPr>
        <w:t>三</w:t>
      </w:r>
      <w:r>
        <w:rPr>
          <w:rFonts w:ascii="宋体" w:hAnsi="宋体"/>
          <w:szCs w:val="21"/>
        </w:rPr>
        <w:t>节</w:t>
      </w:r>
      <w:r>
        <w:rPr>
          <w:rFonts w:hint="eastAsia" w:ascii="宋体" w:hAnsi="宋体"/>
          <w:szCs w:val="21"/>
        </w:rPr>
        <w:t xml:space="preserve">  农业园区的产业详细规划</w:t>
      </w:r>
      <w:r>
        <w:rPr>
          <w:rFonts w:hint="eastAsia" w:hAnsi="宋体"/>
          <w:b/>
          <w:kern w:val="0"/>
          <w:szCs w:val="21"/>
        </w:rPr>
        <w:t xml:space="preserve"> </w:t>
      </w:r>
      <w:r>
        <w:rPr>
          <w:b/>
          <w:kern w:val="0"/>
          <w:szCs w:val="21"/>
        </w:rPr>
        <w:t>     </w:t>
      </w:r>
      <w:r>
        <w:rPr>
          <w:rFonts w:hint="eastAsia"/>
          <w:b/>
          <w:kern w:val="0"/>
          <w:szCs w:val="21"/>
        </w:rPr>
        <w:t xml:space="preserve">    3</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掌握各类产业园的详细规划</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各类产业园的功能分区。</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w:t>
      </w:r>
      <w:r>
        <w:rPr>
          <w:rFonts w:hint="eastAsia"/>
          <w:szCs w:val="21"/>
        </w:rPr>
        <w:t>服务设施规划设计方法</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理解：道路系统规划相关的原则。</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生态餐厅和果树标准园的详细规划</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熟练掌握：工厂化育苗中心、蔬菜标准园和物流配送中心的详细规划。</w:t>
      </w:r>
    </w:p>
    <w:p>
      <w:pPr>
        <w:snapToGrid w:val="0"/>
        <w:spacing w:line="360" w:lineRule="auto"/>
        <w:rPr>
          <w:rFonts w:ascii="宋体" w:hAnsi="宋体"/>
          <w:b/>
          <w:bCs/>
          <w:szCs w:val="21"/>
        </w:rPr>
      </w:pPr>
      <w:r>
        <w:rPr>
          <w:rFonts w:ascii="宋体" w:hAnsi="宋体"/>
          <w:szCs w:val="21"/>
        </w:rPr>
        <w:t>第</w:t>
      </w:r>
      <w:r>
        <w:rPr>
          <w:rFonts w:hint="eastAsia" w:ascii="宋体" w:hAnsi="宋体"/>
          <w:szCs w:val="21"/>
        </w:rPr>
        <w:t>四</w:t>
      </w:r>
      <w:r>
        <w:rPr>
          <w:rFonts w:ascii="宋体" w:hAnsi="宋体"/>
          <w:szCs w:val="21"/>
        </w:rPr>
        <w:t>节</w:t>
      </w:r>
      <w:r>
        <w:rPr>
          <w:rFonts w:hint="eastAsia" w:ascii="宋体" w:hAnsi="宋体"/>
          <w:szCs w:val="21"/>
        </w:rPr>
        <w:t xml:space="preserve">  投资估算及效益分析</w:t>
      </w:r>
      <w:r>
        <w:rPr>
          <w:rFonts w:ascii="宋体" w:hAnsi="宋体"/>
          <w:szCs w:val="21"/>
        </w:rPr>
        <w:t> </w:t>
      </w:r>
      <w:r>
        <w:rPr>
          <w:rFonts w:ascii="宋体" w:hAnsi="宋体"/>
          <w:b/>
          <w:bCs/>
          <w:szCs w:val="21"/>
        </w:rPr>
        <w:t>    </w:t>
      </w:r>
      <w:r>
        <w:rPr>
          <w:rFonts w:hint="eastAsia" w:ascii="宋体" w:hAnsi="宋体"/>
          <w:b/>
          <w:bCs/>
          <w:szCs w:val="21"/>
        </w:rPr>
        <w:t>0.5</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掌握园区投资估算及效益分析方法。</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投资估算及效益分析的依据。</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园区投资估算及效益分析方法</w:t>
      </w:r>
      <w:r>
        <w:rPr>
          <w:rFonts w:hint="eastAsia" w:ascii="宋体" w:hAnsi="宋体"/>
          <w:szCs w:val="21"/>
        </w:rPr>
        <w:t>。</w:t>
      </w:r>
    </w:p>
    <w:p>
      <w:pPr>
        <w:snapToGrid w:val="0"/>
        <w:spacing w:line="360" w:lineRule="auto"/>
        <w:rPr>
          <w:rFonts w:ascii="宋体" w:hAnsi="宋体"/>
          <w:b/>
          <w:bCs/>
          <w:szCs w:val="21"/>
        </w:rPr>
      </w:pPr>
      <w:r>
        <w:rPr>
          <w:rFonts w:ascii="宋体" w:hAnsi="宋体"/>
          <w:szCs w:val="21"/>
        </w:rPr>
        <w:t>第</w:t>
      </w:r>
      <w:r>
        <w:rPr>
          <w:rFonts w:hint="eastAsia" w:ascii="宋体" w:hAnsi="宋体"/>
          <w:szCs w:val="21"/>
        </w:rPr>
        <w:t>五</w:t>
      </w:r>
      <w:r>
        <w:rPr>
          <w:rFonts w:ascii="宋体" w:hAnsi="宋体"/>
          <w:szCs w:val="21"/>
        </w:rPr>
        <w:t>节</w:t>
      </w:r>
      <w:r>
        <w:rPr>
          <w:rFonts w:hint="eastAsia" w:ascii="宋体" w:hAnsi="宋体"/>
          <w:szCs w:val="21"/>
        </w:rPr>
        <w:t xml:space="preserve">  规划的文件和图纸</w:t>
      </w:r>
      <w:r>
        <w:rPr>
          <w:rFonts w:ascii="宋体" w:hAnsi="宋体"/>
          <w:szCs w:val="21"/>
        </w:rPr>
        <w:t> </w:t>
      </w:r>
      <w:r>
        <w:rPr>
          <w:rFonts w:ascii="宋体" w:hAnsi="宋体"/>
          <w:b/>
          <w:bCs/>
          <w:szCs w:val="21"/>
        </w:rPr>
        <w:t>    </w:t>
      </w:r>
      <w:r>
        <w:rPr>
          <w:rFonts w:hint="eastAsia" w:ascii="宋体" w:hAnsi="宋体"/>
          <w:b/>
          <w:bCs/>
          <w:szCs w:val="21"/>
        </w:rPr>
        <w:t>0.5</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掌握规划成果的表现形式</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规划图件的表达</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了解：规划成果所包含的内容。</w:t>
      </w:r>
    </w:p>
    <w:p>
      <w:pPr>
        <w:pStyle w:val="7"/>
        <w:snapToGrid w:val="0"/>
        <w:spacing w:line="360" w:lineRule="auto"/>
        <w:ind w:right="2904" w:rightChars="1383"/>
        <w:jc w:val="left"/>
        <w:rPr>
          <w:rFonts w:ascii="宋体" w:hAnsi="宋体"/>
          <w:szCs w:val="21"/>
        </w:rPr>
      </w:pPr>
      <w:r>
        <w:rPr>
          <w:rFonts w:hint="eastAsia" w:ascii="宋体" w:hAnsi="宋体"/>
          <w:szCs w:val="21"/>
        </w:rPr>
        <w:t>理解：</w:t>
      </w:r>
      <w:r>
        <w:rPr>
          <w:rFonts w:hint="eastAsia" w:hAnsi="宋体"/>
          <w:kern w:val="0"/>
          <w:szCs w:val="21"/>
        </w:rPr>
        <w:t>规划图件各种规划图的概念</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各种图件所表达的内容</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熟练掌握：功能分区图的设计。</w:t>
      </w:r>
    </w:p>
    <w:p>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采用案例教学法，针对产业园区的特征、需求、问题展开讨论及分析。不断提出生产中存在的问题引导学生思考、发散思维，指导学生独立设计规划产业园区，培养他们的创新能力。</w:t>
      </w:r>
    </w:p>
    <w:tbl>
      <w:tblPr>
        <w:tblStyle w:val="22"/>
        <w:tblW w:w="0" w:type="auto"/>
        <w:tblInd w:w="4" w:type="dxa"/>
        <w:tblLayout w:type="autofit"/>
        <w:tblCellMar>
          <w:top w:w="0" w:type="dxa"/>
          <w:left w:w="0" w:type="dxa"/>
          <w:bottom w:w="0" w:type="dxa"/>
          <w:right w:w="0" w:type="dxa"/>
        </w:tblCellMar>
      </w:tblPr>
      <w:tblGrid>
        <w:gridCol w:w="1141"/>
        <w:gridCol w:w="4789"/>
        <w:gridCol w:w="2966"/>
      </w:tblGrid>
      <w:tr>
        <w:tblPrEx>
          <w:tblCellMar>
            <w:top w:w="0" w:type="dxa"/>
            <w:left w:w="0" w:type="dxa"/>
            <w:bottom w:w="0" w:type="dxa"/>
            <w:right w:w="0" w:type="dxa"/>
          </w:tblCellMar>
        </w:tblPrEx>
        <w:trPr>
          <w:trHeight w:val="270" w:hRule="atLeast"/>
        </w:trPr>
        <w:tc>
          <w:tcPr>
            <w:tcW w:w="114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78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五</w:t>
            </w:r>
            <w:r>
              <w:rPr>
                <w:rFonts w:hAnsi="宋体"/>
                <w:b/>
                <w:bCs/>
                <w:szCs w:val="21"/>
              </w:rPr>
              <w:t>章</w:t>
            </w:r>
            <w:r>
              <w:rPr>
                <w:b/>
                <w:bCs/>
                <w:szCs w:val="21"/>
              </w:rPr>
              <w:t>     </w:t>
            </w:r>
            <w:r>
              <w:rPr>
                <w:rFonts w:hint="eastAsia"/>
                <w:b/>
                <w:bCs/>
                <w:szCs w:val="21"/>
              </w:rPr>
              <w:t>生态休闲类园区的详细规划</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数：5</w:t>
            </w:r>
          </w:p>
        </w:tc>
      </w:tr>
    </w:tbl>
    <w:p>
      <w:pPr>
        <w:widowControl/>
        <w:snapToGrid w:val="0"/>
        <w:spacing w:line="360" w:lineRule="auto"/>
        <w:ind w:firstLine="210"/>
        <w:jc w:val="right"/>
        <w:rPr>
          <w:rFonts w:hAnsi="宋体"/>
          <w:b/>
          <w:bCs/>
          <w:color w:val="000000" w:themeColor="text1"/>
          <w:kern w:val="0"/>
          <w:szCs w:val="21"/>
          <w14:textFill>
            <w14:solidFill>
              <w14:schemeClr w14:val="tx1"/>
            </w14:solidFill>
          </w14:textFill>
        </w:rPr>
      </w:pPr>
    </w:p>
    <w:p>
      <w:pPr>
        <w:snapToGrid w:val="0"/>
        <w:spacing w:line="360" w:lineRule="auto"/>
        <w:rPr>
          <w:rFonts w:ascii="宋体" w:hAnsi="宋体"/>
          <w:b/>
          <w:bCs/>
          <w:szCs w:val="21"/>
        </w:rPr>
      </w:pPr>
      <w:r>
        <w:rPr>
          <w:rFonts w:ascii="宋体" w:hAnsi="宋体"/>
          <w:szCs w:val="21"/>
        </w:rPr>
        <w:t>第一节</w:t>
      </w:r>
      <w:r>
        <w:rPr>
          <w:rFonts w:hint="eastAsia" w:ascii="宋体" w:hAnsi="宋体"/>
          <w:szCs w:val="21"/>
        </w:rPr>
        <w:t xml:space="preserve">  生态休闲农业园区的概念与类型</w:t>
      </w:r>
      <w:r>
        <w:rPr>
          <w:rFonts w:ascii="宋体" w:hAnsi="宋体"/>
          <w:szCs w:val="21"/>
        </w:rPr>
        <w:t> </w:t>
      </w:r>
      <w:r>
        <w:rPr>
          <w:rFonts w:ascii="宋体" w:hAnsi="宋体"/>
          <w:b/>
          <w:bCs/>
          <w:szCs w:val="21"/>
        </w:rPr>
        <w:t>    </w:t>
      </w:r>
      <w:r>
        <w:rPr>
          <w:rFonts w:hint="eastAsia" w:ascii="宋体" w:hAnsi="宋体"/>
          <w:b/>
          <w:bCs/>
          <w:szCs w:val="21"/>
        </w:rPr>
        <w:t>1</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掌握什么是生态休闲园区</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生态休闲园区的功能</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了解：生态休闲园区的类型。</w:t>
      </w:r>
    </w:p>
    <w:p>
      <w:pPr>
        <w:pStyle w:val="7"/>
        <w:snapToGrid w:val="0"/>
        <w:spacing w:line="360" w:lineRule="auto"/>
        <w:ind w:right="2904" w:rightChars="1383"/>
        <w:jc w:val="left"/>
        <w:rPr>
          <w:rFonts w:ascii="宋体" w:hAnsi="宋体"/>
          <w:szCs w:val="21"/>
        </w:rPr>
      </w:pPr>
      <w:r>
        <w:rPr>
          <w:rFonts w:hint="eastAsia" w:ascii="宋体" w:hAnsi="宋体"/>
          <w:szCs w:val="21"/>
        </w:rPr>
        <w:t>理解：生态休闲园区的相关概念。</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生态休闲园区的功能和规划原则</w:t>
      </w:r>
      <w:r>
        <w:rPr>
          <w:rFonts w:hint="eastAsia" w:ascii="宋体" w:hAnsi="宋体"/>
          <w:szCs w:val="21"/>
        </w:rPr>
        <w:t>。</w:t>
      </w:r>
    </w:p>
    <w:p>
      <w:pPr>
        <w:widowControl/>
        <w:snapToGrid w:val="0"/>
        <w:spacing w:line="360" w:lineRule="auto"/>
        <w:jc w:val="left"/>
        <w:rPr>
          <w:b/>
          <w:kern w:val="0"/>
          <w:szCs w:val="21"/>
        </w:rPr>
      </w:pPr>
      <w:r>
        <w:rPr>
          <w:rFonts w:ascii="宋体" w:hAnsi="宋体"/>
          <w:szCs w:val="21"/>
        </w:rPr>
        <w:t>第</w:t>
      </w:r>
      <w:r>
        <w:rPr>
          <w:rFonts w:hint="eastAsia" w:ascii="宋体" w:hAnsi="宋体"/>
          <w:szCs w:val="21"/>
        </w:rPr>
        <w:t>二</w:t>
      </w:r>
      <w:r>
        <w:rPr>
          <w:rFonts w:ascii="宋体" w:hAnsi="宋体"/>
          <w:szCs w:val="21"/>
        </w:rPr>
        <w:t>节</w:t>
      </w:r>
      <w:r>
        <w:rPr>
          <w:rFonts w:hint="eastAsia" w:ascii="宋体" w:hAnsi="宋体"/>
          <w:szCs w:val="21"/>
        </w:rPr>
        <w:t xml:space="preserve">  农业休闲农业园区规划的相关理论与要点 </w:t>
      </w:r>
      <w:r>
        <w:rPr>
          <w:b/>
          <w:kern w:val="0"/>
          <w:szCs w:val="21"/>
        </w:rPr>
        <w:t>     </w:t>
      </w:r>
      <w:r>
        <w:rPr>
          <w:rFonts w:hint="eastAsia"/>
          <w:b/>
          <w:kern w:val="0"/>
          <w:szCs w:val="21"/>
        </w:rPr>
        <w:t>1</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掌握相关理论</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生态休闲农业园区规划的相关理论。</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w:t>
      </w:r>
      <w:r>
        <w:rPr>
          <w:rFonts w:hint="eastAsia"/>
          <w:szCs w:val="21"/>
        </w:rPr>
        <w:t>生态休闲农业园区的呈现形式</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理解：生态休闲农业园区规划的要点。</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规划的相关理论</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熟练掌握：相关理论不同休闲农业园区规划中的科学应用。</w:t>
      </w:r>
    </w:p>
    <w:p>
      <w:pPr>
        <w:widowControl/>
        <w:snapToGrid w:val="0"/>
        <w:spacing w:line="360" w:lineRule="auto"/>
        <w:jc w:val="left"/>
        <w:rPr>
          <w:b/>
          <w:kern w:val="0"/>
          <w:szCs w:val="21"/>
        </w:rPr>
      </w:pPr>
      <w:r>
        <w:rPr>
          <w:rFonts w:hAnsi="宋体"/>
          <w:bCs/>
          <w:kern w:val="0"/>
          <w:szCs w:val="21"/>
        </w:rPr>
        <w:t>第</w:t>
      </w:r>
      <w:r>
        <w:rPr>
          <w:rFonts w:hint="eastAsia" w:hAnsi="宋体"/>
          <w:bCs/>
          <w:kern w:val="0"/>
          <w:szCs w:val="21"/>
        </w:rPr>
        <w:t>三</w:t>
      </w:r>
      <w:r>
        <w:rPr>
          <w:rFonts w:hAnsi="宋体"/>
          <w:bCs/>
          <w:kern w:val="0"/>
          <w:szCs w:val="21"/>
        </w:rPr>
        <w:t>节</w:t>
      </w:r>
      <w:r>
        <w:rPr>
          <w:rFonts w:hint="eastAsia" w:hAnsi="宋体"/>
          <w:bCs/>
          <w:kern w:val="0"/>
          <w:szCs w:val="21"/>
        </w:rPr>
        <w:t xml:space="preserve">  生态休闲农业园区的规划布局 </w:t>
      </w:r>
      <w:r>
        <w:rPr>
          <w:bCs/>
          <w:kern w:val="0"/>
          <w:szCs w:val="21"/>
        </w:rPr>
        <w:t> </w:t>
      </w:r>
      <w:r>
        <w:rPr>
          <w:b/>
          <w:kern w:val="0"/>
          <w:szCs w:val="21"/>
        </w:rPr>
        <w:t>   </w:t>
      </w:r>
      <w:r>
        <w:rPr>
          <w:rFonts w:hint="eastAsia"/>
          <w:b/>
          <w:kern w:val="0"/>
          <w:szCs w:val="21"/>
        </w:rPr>
        <w:t>3</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掌握生态休闲农业园区的规划布局</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生态休闲农园的规划方法。</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理解：生态休闲农业园区规划布局。</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不同类型生态休闲农园的规划侧重点</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熟练掌握：科普教育农园、采摘园等的规划要点。</w:t>
      </w:r>
    </w:p>
    <w:p>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采用案例教学法，针对休闲园区的特征、需求、问题展开讨论及分析。不断提出生产中存在的问题引导学生思考、发散思维，指导学生独立设计规划产业园区，培养他们的创新能力。</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六</w:t>
            </w:r>
            <w:r>
              <w:rPr>
                <w:rFonts w:hAnsi="宋体"/>
                <w:b/>
                <w:bCs/>
                <w:szCs w:val="21"/>
              </w:rPr>
              <w:t>章</w:t>
            </w:r>
            <w:r>
              <w:rPr>
                <w:b/>
                <w:bCs/>
                <w:szCs w:val="21"/>
              </w:rPr>
              <w:t>     </w:t>
            </w:r>
            <w:r>
              <w:rPr>
                <w:rFonts w:hint="eastAsia"/>
                <w:b/>
                <w:bCs/>
                <w:szCs w:val="21"/>
              </w:rPr>
              <w:t>农业园区的管理</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ind w:firstLine="210"/>
        <w:jc w:val="right"/>
        <w:rPr>
          <w:rFonts w:hAnsi="宋体"/>
          <w:b/>
          <w:bCs/>
          <w:color w:val="000000" w:themeColor="text1"/>
          <w:kern w:val="0"/>
          <w:szCs w:val="21"/>
          <w14:textFill>
            <w14:solidFill>
              <w14:schemeClr w14:val="tx1"/>
            </w14:solidFill>
          </w14:textFill>
        </w:rPr>
      </w:pPr>
    </w:p>
    <w:p>
      <w:pPr>
        <w:snapToGrid w:val="0"/>
        <w:spacing w:line="360" w:lineRule="auto"/>
        <w:rPr>
          <w:rFonts w:ascii="宋体" w:hAnsi="宋体"/>
          <w:b/>
          <w:bCs/>
          <w:szCs w:val="21"/>
        </w:rPr>
      </w:pPr>
      <w:r>
        <w:rPr>
          <w:rFonts w:ascii="宋体" w:hAnsi="宋体"/>
          <w:b/>
          <w:bCs/>
          <w:szCs w:val="21"/>
        </w:rPr>
        <w:t>第一节</w:t>
      </w:r>
      <w:r>
        <w:rPr>
          <w:rFonts w:hint="eastAsia" w:ascii="宋体" w:hAnsi="宋体"/>
          <w:b/>
          <w:bCs/>
          <w:szCs w:val="21"/>
        </w:rPr>
        <w:t xml:space="preserve">  农业园区的战略管理和组织领导</w:t>
      </w:r>
      <w:r>
        <w:rPr>
          <w:rFonts w:ascii="宋体" w:hAnsi="宋体"/>
          <w:b/>
          <w:bCs/>
          <w:szCs w:val="21"/>
        </w:rPr>
        <w:t>     </w:t>
      </w:r>
      <w:r>
        <w:rPr>
          <w:rFonts w:hint="eastAsia" w:ascii="宋体" w:hAnsi="宋体"/>
          <w:b/>
          <w:bCs/>
          <w:szCs w:val="21"/>
        </w:rPr>
        <w:t>0.5</w:t>
      </w:r>
      <w:r>
        <w:rPr>
          <w:rFonts w:ascii="宋体" w:hAnsi="宋体"/>
          <w:b/>
          <w:bCs/>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掌握农业园区的战略管理和组织领导</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农业园区的战略管理</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了解：农业园区的组织结构。</w:t>
      </w:r>
    </w:p>
    <w:p>
      <w:pPr>
        <w:pStyle w:val="7"/>
        <w:snapToGrid w:val="0"/>
        <w:spacing w:line="360" w:lineRule="auto"/>
        <w:ind w:right="2904" w:rightChars="1383"/>
        <w:jc w:val="left"/>
        <w:rPr>
          <w:rFonts w:ascii="宋体" w:hAnsi="宋体"/>
          <w:b/>
          <w:bCs/>
          <w:szCs w:val="21"/>
        </w:rPr>
      </w:pPr>
      <w:r>
        <w:rPr>
          <w:rFonts w:hint="eastAsia" w:ascii="宋体" w:hAnsi="宋体"/>
          <w:szCs w:val="21"/>
        </w:rPr>
        <w:t>理解：农业园区的战略管理。</w:t>
      </w:r>
    </w:p>
    <w:p>
      <w:pPr>
        <w:widowControl/>
        <w:snapToGrid w:val="0"/>
        <w:spacing w:line="360" w:lineRule="auto"/>
        <w:jc w:val="left"/>
        <w:rPr>
          <w:b/>
          <w:kern w:val="0"/>
          <w:szCs w:val="21"/>
        </w:rPr>
      </w:pPr>
      <w:r>
        <w:rPr>
          <w:rFonts w:hAnsi="宋体"/>
          <w:b/>
          <w:kern w:val="0"/>
          <w:szCs w:val="21"/>
        </w:rPr>
        <w:t>第</w:t>
      </w:r>
      <w:r>
        <w:rPr>
          <w:rFonts w:hint="eastAsia" w:hAnsi="宋体"/>
          <w:b/>
          <w:kern w:val="0"/>
          <w:szCs w:val="21"/>
        </w:rPr>
        <w:t>二</w:t>
      </w:r>
      <w:r>
        <w:rPr>
          <w:rFonts w:hAnsi="宋体"/>
          <w:b/>
          <w:kern w:val="0"/>
          <w:szCs w:val="21"/>
        </w:rPr>
        <w:t>节</w:t>
      </w:r>
      <w:r>
        <w:rPr>
          <w:rFonts w:hint="eastAsia" w:hAnsi="宋体"/>
          <w:b/>
          <w:kern w:val="0"/>
          <w:szCs w:val="21"/>
        </w:rPr>
        <w:t xml:space="preserve">  农业园区的管理 </w:t>
      </w:r>
      <w:r>
        <w:rPr>
          <w:b/>
          <w:kern w:val="0"/>
          <w:szCs w:val="21"/>
        </w:rPr>
        <w:t>     </w:t>
      </w:r>
      <w:r>
        <w:rPr>
          <w:rFonts w:hint="eastAsia"/>
          <w:b/>
          <w:kern w:val="0"/>
          <w:szCs w:val="21"/>
        </w:rPr>
        <w:t>1.5</w:t>
      </w:r>
      <w:r>
        <w:rPr>
          <w:rFonts w:hAnsi="宋体"/>
          <w:b/>
          <w:kern w:val="0"/>
          <w:szCs w:val="21"/>
        </w:rPr>
        <w:t>学时</w:t>
      </w:r>
    </w:p>
    <w:p>
      <w:pPr>
        <w:widowControl/>
        <w:snapToGrid w:val="0"/>
        <w:spacing w:line="360" w:lineRule="auto"/>
        <w:rPr>
          <w:rFonts w:hAnsi="宋体"/>
          <w:b/>
          <w:bCs/>
          <w:kern w:val="0"/>
          <w:szCs w:val="21"/>
        </w:rPr>
      </w:pPr>
      <w:r>
        <w:rPr>
          <w:rFonts w:hint="eastAsia" w:ascii="宋体" w:hAnsi="宋体"/>
          <w:b/>
          <w:bCs/>
          <w:szCs w:val="21"/>
        </w:rPr>
        <w:t>教学目的：</w:t>
      </w:r>
      <w:r>
        <w:rPr>
          <w:rFonts w:hint="eastAsia" w:hAnsi="宋体"/>
          <w:kern w:val="0"/>
          <w:szCs w:val="21"/>
        </w:rPr>
        <w:t>掌握农业园区的管理方法</w:t>
      </w:r>
    </w:p>
    <w:p>
      <w:pPr>
        <w:widowControl/>
        <w:snapToGrid w:val="0"/>
        <w:spacing w:line="360" w:lineRule="auto"/>
        <w:rPr>
          <w:rFonts w:hAnsi="宋体"/>
          <w:b/>
          <w:bCs/>
          <w:kern w:val="0"/>
          <w:szCs w:val="21"/>
        </w:rPr>
      </w:pPr>
      <w:r>
        <w:rPr>
          <w:rFonts w:hint="eastAsia" w:ascii="宋体" w:hAnsi="宋体"/>
          <w:b/>
          <w:bCs/>
          <w:szCs w:val="21"/>
        </w:rPr>
        <w:t>教学重点和难点：</w:t>
      </w:r>
      <w:r>
        <w:rPr>
          <w:rFonts w:hint="eastAsia" w:hAnsi="宋体"/>
          <w:kern w:val="0"/>
          <w:szCs w:val="21"/>
        </w:rPr>
        <w:t>农业园区的生产管理、技术管理和营销管理。</w:t>
      </w:r>
    </w:p>
    <w:p>
      <w:pPr>
        <w:widowControl/>
        <w:snapToGrid w:val="0"/>
        <w:spacing w:line="360" w:lineRule="auto"/>
        <w:rPr>
          <w:rFonts w:hAnsi="宋体"/>
          <w:kern w:val="0"/>
          <w:szCs w:val="21"/>
        </w:rPr>
      </w:pPr>
      <w:r>
        <w:rPr>
          <w:rFonts w:hint="eastAsia" w:ascii="宋体" w:hAnsi="宋体"/>
          <w:b/>
          <w:bCs/>
          <w:szCs w:val="21"/>
        </w:rPr>
        <w:t>主要教学内容及要求：</w:t>
      </w:r>
    </w:p>
    <w:p>
      <w:pPr>
        <w:pStyle w:val="7"/>
        <w:snapToGrid w:val="0"/>
        <w:spacing w:line="360" w:lineRule="auto"/>
        <w:ind w:right="2904" w:rightChars="1383"/>
        <w:jc w:val="left"/>
        <w:rPr>
          <w:rFonts w:ascii="宋体" w:hAnsi="宋体"/>
          <w:szCs w:val="21"/>
        </w:rPr>
      </w:pPr>
      <w:r>
        <w:rPr>
          <w:rFonts w:hint="eastAsia" w:ascii="宋体" w:hAnsi="宋体"/>
          <w:szCs w:val="21"/>
        </w:rPr>
        <w:t>了解：</w:t>
      </w:r>
      <w:r>
        <w:rPr>
          <w:rFonts w:hint="eastAsia"/>
          <w:szCs w:val="21"/>
        </w:rPr>
        <w:t>农业园区的管理方法</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理解：农业园区管理的重点。</w:t>
      </w:r>
    </w:p>
    <w:p>
      <w:pPr>
        <w:pStyle w:val="7"/>
        <w:snapToGrid w:val="0"/>
        <w:spacing w:line="360" w:lineRule="auto"/>
        <w:ind w:right="2904" w:rightChars="1383"/>
        <w:jc w:val="left"/>
        <w:rPr>
          <w:rFonts w:ascii="宋体" w:hAnsi="宋体"/>
          <w:szCs w:val="21"/>
        </w:rPr>
      </w:pPr>
      <w:r>
        <w:rPr>
          <w:rFonts w:hint="eastAsia" w:ascii="宋体" w:hAnsi="宋体"/>
          <w:szCs w:val="21"/>
        </w:rPr>
        <w:t>掌握：</w:t>
      </w:r>
      <w:r>
        <w:rPr>
          <w:rFonts w:hint="eastAsia" w:hAnsi="宋体"/>
          <w:kern w:val="0"/>
          <w:szCs w:val="21"/>
        </w:rPr>
        <w:t>农业园区的要素管理</w:t>
      </w:r>
      <w:r>
        <w:rPr>
          <w:rFonts w:hint="eastAsia" w:ascii="宋体" w:hAnsi="宋体"/>
          <w:szCs w:val="21"/>
        </w:rPr>
        <w:t>。</w:t>
      </w:r>
    </w:p>
    <w:p>
      <w:pPr>
        <w:pStyle w:val="7"/>
        <w:snapToGrid w:val="0"/>
        <w:spacing w:line="360" w:lineRule="auto"/>
        <w:ind w:right="2904" w:rightChars="1383"/>
        <w:jc w:val="left"/>
        <w:rPr>
          <w:rFonts w:ascii="宋体" w:hAnsi="宋体"/>
          <w:szCs w:val="21"/>
        </w:rPr>
      </w:pPr>
      <w:r>
        <w:rPr>
          <w:rFonts w:hint="eastAsia" w:ascii="宋体" w:hAnsi="宋体"/>
          <w:szCs w:val="21"/>
        </w:rPr>
        <w:t>熟练掌握：</w:t>
      </w:r>
      <w:r>
        <w:rPr>
          <w:rFonts w:hint="eastAsia" w:hAnsi="宋体"/>
          <w:kern w:val="0"/>
          <w:szCs w:val="21"/>
        </w:rPr>
        <w:t>生产管理、技术管理和营销管理方法</w:t>
      </w:r>
      <w:r>
        <w:rPr>
          <w:rFonts w:hint="eastAsia" w:ascii="宋体" w:hAnsi="宋体"/>
          <w:szCs w:val="21"/>
        </w:rPr>
        <w:t>。</w:t>
      </w:r>
    </w:p>
    <w:p>
      <w:pPr>
        <w:widowControl/>
        <w:wordWrap w:val="0"/>
        <w:snapToGrid w:val="0"/>
        <w:spacing w:line="360" w:lineRule="auto"/>
        <w:rPr>
          <w:kern w:val="0"/>
          <w:szCs w:val="21"/>
        </w:rPr>
      </w:pPr>
      <w:r>
        <w:rPr>
          <w:rFonts w:hint="eastAsia"/>
          <w:b/>
          <w:bCs/>
          <w:kern w:val="0"/>
          <w:szCs w:val="21"/>
        </w:rPr>
        <w:t>教学组织与实施：</w:t>
      </w:r>
      <w:r>
        <w:rPr>
          <w:rFonts w:hint="eastAsia"/>
          <w:kern w:val="0"/>
          <w:szCs w:val="21"/>
        </w:rPr>
        <w:t>采用案例教学法，强调园区管理的重要性，总结归纳管理要点，结合生产实际进行分析，使学生能够切身体会到关键所在，培养学生严谨、扎实的学习及工作态度。</w:t>
      </w:r>
    </w:p>
    <w:p>
      <w:pPr>
        <w:widowControl/>
        <w:snapToGrid w:val="0"/>
        <w:spacing w:line="360" w:lineRule="auto"/>
        <w:jc w:val="left"/>
        <w:rPr>
          <w:rFonts w:hAnsi="宋体"/>
          <w:b/>
          <w:bCs/>
          <w:kern w:val="0"/>
          <w:szCs w:val="21"/>
        </w:rPr>
      </w:pPr>
      <w:r>
        <w:rPr>
          <w:rFonts w:hint="eastAsia" w:hAnsi="宋体"/>
          <w:b/>
          <w:bCs/>
          <w:kern w:val="0"/>
          <w:szCs w:val="21"/>
        </w:rPr>
        <w:t>五</w:t>
      </w:r>
      <w:r>
        <w:rPr>
          <w:rFonts w:hAnsi="宋体"/>
          <w:b/>
          <w:bCs/>
          <w:kern w:val="0"/>
          <w:szCs w:val="21"/>
        </w:rPr>
        <w:t>、实验教学内容及学时分配</w:t>
      </w:r>
      <w:r>
        <w:rPr>
          <w:b/>
          <w:bCs/>
          <w:kern w:val="0"/>
          <w:szCs w:val="21"/>
        </w:rPr>
        <w:t> </w:t>
      </w:r>
      <w:r>
        <w:rPr>
          <w:rFonts w:hint="eastAsia" w:hAnsi="宋体"/>
          <w:b/>
          <w:bCs/>
          <w:kern w:val="0"/>
          <w:szCs w:val="21"/>
        </w:rPr>
        <w:t>（</w:t>
      </w:r>
      <w:r>
        <w:rPr>
          <w:rFonts w:hAnsi="宋体"/>
          <w:b/>
          <w:bCs/>
          <w:color w:val="000000" w:themeColor="text1"/>
          <w:kern w:val="0"/>
          <w:szCs w:val="21"/>
          <w14:textFill>
            <w14:solidFill>
              <w14:schemeClr w14:val="tx1"/>
            </w14:solidFill>
          </w14:textFill>
        </w:rPr>
        <w:t>8</w:t>
      </w:r>
      <w:r>
        <w:rPr>
          <w:rFonts w:hAnsi="宋体"/>
          <w:b/>
          <w:bCs/>
          <w:kern w:val="0"/>
          <w:szCs w:val="21"/>
        </w:rPr>
        <w:t>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rFonts w:ascii="宋体" w:hAnsi="宋体"/>
          <w:bCs/>
          <w:szCs w:val="21"/>
        </w:rPr>
      </w:pPr>
      <w:r>
        <w:rPr>
          <w:rFonts w:hint="eastAsia" w:ascii="宋体" w:hAnsi="宋体" w:cs="宋体"/>
          <w:color w:val="363636"/>
          <w:kern w:val="0"/>
          <w:szCs w:val="21"/>
        </w:rPr>
        <w:t>培养理论与实际结合的能力，学习现代农业产业园区规划编制过程与方法；培养不同类型现代农业园区规划设计的基本步骤和基本技能；培养写作能力和产业规划与项目的策划能力。</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rPr>
          <w:szCs w:val="21"/>
        </w:rPr>
      </w:pPr>
      <w:r>
        <w:rPr>
          <w:rFonts w:hint="eastAsia"/>
          <w:szCs w:val="21"/>
        </w:rPr>
        <w:t>1. 掌握农业园区设计书的编制方法；</w:t>
      </w:r>
    </w:p>
    <w:p>
      <w:pPr>
        <w:snapToGrid w:val="0"/>
        <w:spacing w:line="360" w:lineRule="auto"/>
        <w:ind w:firstLine="420" w:firstLineChars="200"/>
        <w:rPr>
          <w:szCs w:val="21"/>
        </w:rPr>
      </w:pPr>
      <w:r>
        <w:rPr>
          <w:rFonts w:hint="eastAsia"/>
          <w:szCs w:val="21"/>
        </w:rPr>
        <w:t>2. 能结合实际条件对不同类型现代农业园区进行规划。</w:t>
      </w:r>
    </w:p>
    <w:p>
      <w:pPr>
        <w:snapToGrid w:val="0"/>
        <w:spacing w:line="360" w:lineRule="auto"/>
        <w:rPr>
          <w:b/>
          <w:szCs w:val="21"/>
        </w:rPr>
      </w:pPr>
      <w:r>
        <w:rPr>
          <w:rFonts w:hint="eastAsia"/>
          <w:b/>
          <w:szCs w:val="21"/>
        </w:rPr>
        <w:t>（三）实验安全操作规范</w:t>
      </w:r>
    </w:p>
    <w:p>
      <w:pPr>
        <w:spacing w:line="360" w:lineRule="auto"/>
        <w:ind w:firstLine="420" w:firstLineChars="200"/>
        <w:rPr>
          <w:rFonts w:ascii="宋体" w:hAnsi="宋体"/>
          <w:szCs w:val="21"/>
        </w:rPr>
      </w:pPr>
      <w:r>
        <w:rPr>
          <w:rFonts w:hint="eastAsia" w:ascii="宋体" w:hAnsi="宋体"/>
          <w:szCs w:val="21"/>
        </w:rPr>
        <w:t>学生</w:t>
      </w:r>
      <w:r>
        <w:rPr>
          <w:rFonts w:ascii="宋体" w:hAnsi="宋体"/>
          <w:szCs w:val="21"/>
        </w:rPr>
        <w:t>严格遵守实验室安全管理规范，</w:t>
      </w:r>
      <w:r>
        <w:rPr>
          <w:rFonts w:hint="eastAsia" w:ascii="宋体" w:hAnsi="宋体"/>
          <w:szCs w:val="21"/>
        </w:rPr>
        <w:t>在</w:t>
      </w:r>
      <w:r>
        <w:rPr>
          <w:rFonts w:ascii="宋体" w:hAnsi="宋体"/>
          <w:szCs w:val="21"/>
        </w:rPr>
        <w:t>老师的监督下</w:t>
      </w:r>
      <w:r>
        <w:rPr>
          <w:rFonts w:hint="eastAsia" w:ascii="宋体" w:hAnsi="宋体"/>
          <w:szCs w:val="21"/>
        </w:rPr>
        <w:t>完成项目的设计及汇报，分工明确，团队协作。</w:t>
      </w:r>
    </w:p>
    <w:p>
      <w:pPr>
        <w:snapToGrid w:val="0"/>
        <w:spacing w:after="156" w:afterLines="50"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2709"/>
        <w:gridCol w:w="839"/>
        <w:gridCol w:w="1015"/>
        <w:gridCol w:w="1327"/>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tcBorders>
              <w:tl2br w:val="nil"/>
              <w:tr2bl w:val="nil"/>
            </w:tcBorders>
            <w:shd w:val="clear" w:color="auto" w:fill="EEECE1"/>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2709" w:type="dxa"/>
            <w:tcBorders>
              <w:tl2br w:val="nil"/>
              <w:tr2bl w:val="nil"/>
            </w:tcBorders>
            <w:shd w:val="clear" w:color="auto" w:fill="EEECE1"/>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839" w:type="dxa"/>
            <w:tcBorders>
              <w:tl2br w:val="nil"/>
              <w:tr2bl w:val="nil"/>
            </w:tcBorders>
            <w:shd w:val="clear" w:color="auto" w:fill="EEECE1"/>
            <w:vAlign w:val="center"/>
          </w:tcPr>
          <w:p>
            <w:pPr>
              <w:rPr>
                <w:rFonts w:ascii="宋体" w:hAnsi="宋体" w:cs="宋体"/>
                <w:b/>
                <w:bCs/>
                <w:sz w:val="18"/>
                <w:szCs w:val="18"/>
              </w:rPr>
            </w:pPr>
            <w:r>
              <w:rPr>
                <w:rFonts w:hint="eastAsia" w:ascii="宋体" w:hAnsi="宋体" w:cs="宋体"/>
                <w:b/>
                <w:bCs/>
                <w:sz w:val="18"/>
                <w:szCs w:val="18"/>
              </w:rPr>
              <w:t>学时</w:t>
            </w:r>
          </w:p>
        </w:tc>
        <w:tc>
          <w:tcPr>
            <w:tcW w:w="1015" w:type="dxa"/>
            <w:tcBorders>
              <w:tl2br w:val="nil"/>
              <w:tr2bl w:val="nil"/>
            </w:tcBorders>
            <w:shd w:val="clear" w:color="auto" w:fill="EEECE1"/>
            <w:vAlign w:val="center"/>
          </w:tcPr>
          <w:p>
            <w:pPr>
              <w:rPr>
                <w:rFonts w:ascii="宋体" w:hAnsi="宋体" w:cs="宋体"/>
                <w:b/>
                <w:bCs/>
                <w:sz w:val="18"/>
                <w:szCs w:val="18"/>
              </w:rPr>
            </w:pPr>
            <w:r>
              <w:rPr>
                <w:rFonts w:hint="eastAsia" w:ascii="宋体" w:hAnsi="宋体" w:cs="宋体"/>
                <w:b/>
                <w:bCs/>
                <w:sz w:val="18"/>
                <w:szCs w:val="18"/>
              </w:rPr>
              <w:t>类型</w:t>
            </w:r>
          </w:p>
        </w:tc>
        <w:tc>
          <w:tcPr>
            <w:tcW w:w="1327" w:type="dxa"/>
            <w:tcBorders>
              <w:tl2br w:val="nil"/>
              <w:tr2bl w:val="nil"/>
            </w:tcBorders>
            <w:shd w:val="clear" w:color="auto" w:fill="EEECE1"/>
            <w:vAlign w:val="center"/>
          </w:tcPr>
          <w:p>
            <w:pPr>
              <w:ind w:firstLine="361"/>
              <w:jc w:val="center"/>
              <w:rPr>
                <w:rFonts w:ascii="宋体" w:hAnsi="宋体" w:cs="宋体"/>
                <w:b/>
                <w:bCs/>
                <w:sz w:val="18"/>
                <w:szCs w:val="18"/>
              </w:rPr>
            </w:pPr>
            <w:r>
              <w:rPr>
                <w:rFonts w:hint="eastAsia" w:ascii="宋体" w:hAnsi="宋体" w:cs="宋体"/>
                <w:b/>
                <w:bCs/>
                <w:sz w:val="18"/>
                <w:szCs w:val="18"/>
              </w:rPr>
              <w:t>实验要求</w:t>
            </w:r>
          </w:p>
        </w:tc>
        <w:tc>
          <w:tcPr>
            <w:tcW w:w="1200" w:type="dxa"/>
            <w:tcBorders>
              <w:tl2br w:val="nil"/>
              <w:tr2bl w:val="nil"/>
            </w:tcBorders>
            <w:shd w:val="clear" w:color="auto" w:fill="EEECE1"/>
            <w:vAlign w:val="center"/>
          </w:tcPr>
          <w:p>
            <w:pP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tcBorders>
              <w:tl2br w:val="nil"/>
              <w:tr2bl w:val="nil"/>
            </w:tcBorders>
            <w:vAlign w:val="center"/>
          </w:tcPr>
          <w:p>
            <w:pPr>
              <w:ind w:firstLine="360"/>
              <w:jc w:val="center"/>
              <w:rPr>
                <w:sz w:val="18"/>
                <w:szCs w:val="18"/>
              </w:rPr>
            </w:pPr>
            <w:r>
              <w:rPr>
                <w:sz w:val="18"/>
                <w:szCs w:val="18"/>
              </w:rPr>
              <w:t>19011136h01</w:t>
            </w:r>
          </w:p>
        </w:tc>
        <w:tc>
          <w:tcPr>
            <w:tcW w:w="2709" w:type="dxa"/>
            <w:tcBorders>
              <w:tl2br w:val="nil"/>
              <w:tr2bl w:val="nil"/>
            </w:tcBorders>
            <w:vAlign w:val="center"/>
          </w:tcPr>
          <w:p>
            <w:pPr>
              <w:ind w:firstLine="36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设施蔬菜标准园的规划</w:t>
            </w:r>
          </w:p>
        </w:tc>
        <w:tc>
          <w:tcPr>
            <w:tcW w:w="839" w:type="dxa"/>
            <w:tcBorders>
              <w:tl2br w:val="nil"/>
              <w:tr2bl w:val="nil"/>
            </w:tcBorders>
            <w:vAlign w:val="center"/>
          </w:tcPr>
          <w:p>
            <w:pPr>
              <w:ind w:firstLine="360"/>
              <w:jc w:val="center"/>
              <w:rPr>
                <w:sz w:val="18"/>
                <w:szCs w:val="18"/>
              </w:rPr>
            </w:pPr>
            <w:r>
              <w:rPr>
                <w:sz w:val="18"/>
                <w:szCs w:val="18"/>
              </w:rPr>
              <w:t>2</w:t>
            </w:r>
          </w:p>
        </w:tc>
        <w:tc>
          <w:tcPr>
            <w:tcW w:w="1015" w:type="dxa"/>
            <w:tcBorders>
              <w:tl2br w:val="nil"/>
              <w:tr2bl w:val="nil"/>
            </w:tcBorders>
            <w:vAlign w:val="center"/>
          </w:tcPr>
          <w:p>
            <w:pPr>
              <w:rPr>
                <w:sz w:val="18"/>
                <w:szCs w:val="18"/>
              </w:rPr>
            </w:pPr>
            <w:r>
              <w:rPr>
                <w:rFonts w:hint="eastAsia"/>
                <w:sz w:val="18"/>
                <w:szCs w:val="18"/>
              </w:rPr>
              <w:t>综合性</w:t>
            </w:r>
          </w:p>
        </w:tc>
        <w:tc>
          <w:tcPr>
            <w:tcW w:w="1327" w:type="dxa"/>
            <w:tcBorders>
              <w:tl2br w:val="nil"/>
              <w:tr2bl w:val="nil"/>
            </w:tcBorders>
            <w:vAlign w:val="center"/>
          </w:tcPr>
          <w:p>
            <w:pPr>
              <w:ind w:firstLine="360"/>
              <w:jc w:val="center"/>
              <w:rPr>
                <w:sz w:val="18"/>
                <w:szCs w:val="18"/>
              </w:rPr>
            </w:pPr>
            <w:r>
              <w:rPr>
                <w:rFonts w:hint="eastAsia"/>
                <w:sz w:val="18"/>
                <w:szCs w:val="18"/>
              </w:rPr>
              <w:t>必做</w:t>
            </w:r>
          </w:p>
        </w:tc>
        <w:tc>
          <w:tcPr>
            <w:tcW w:w="1200" w:type="dxa"/>
            <w:tcBorders>
              <w:tl2br w:val="nil"/>
              <w:tr2bl w:val="nil"/>
            </w:tcBorders>
          </w:tcPr>
          <w:p>
            <w:pPr>
              <w:ind w:firstLine="360"/>
              <w:jc w:val="center"/>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tcBorders>
              <w:tl2br w:val="nil"/>
              <w:tr2bl w:val="nil"/>
            </w:tcBorders>
            <w:vAlign w:val="center"/>
          </w:tcPr>
          <w:p>
            <w:pPr>
              <w:ind w:firstLine="360"/>
              <w:rPr>
                <w:sz w:val="18"/>
                <w:szCs w:val="18"/>
              </w:rPr>
            </w:pPr>
            <w:r>
              <w:rPr>
                <w:sz w:val="18"/>
                <w:szCs w:val="18"/>
              </w:rPr>
              <w:t>19011136h02</w:t>
            </w:r>
          </w:p>
        </w:tc>
        <w:tc>
          <w:tcPr>
            <w:tcW w:w="2709" w:type="dxa"/>
            <w:tcBorders>
              <w:tl2br w:val="nil"/>
              <w:tr2bl w:val="nil"/>
            </w:tcBorders>
            <w:vAlign w:val="center"/>
          </w:tcPr>
          <w:p>
            <w:pPr>
              <w:ind w:firstLine="36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现代农产品物流园的规划</w:t>
            </w:r>
          </w:p>
        </w:tc>
        <w:tc>
          <w:tcPr>
            <w:tcW w:w="839" w:type="dxa"/>
            <w:tcBorders>
              <w:tl2br w:val="nil"/>
              <w:tr2bl w:val="nil"/>
            </w:tcBorders>
            <w:vAlign w:val="center"/>
          </w:tcPr>
          <w:p>
            <w:pPr>
              <w:ind w:firstLine="360"/>
              <w:jc w:val="center"/>
              <w:rPr>
                <w:sz w:val="18"/>
                <w:szCs w:val="18"/>
              </w:rPr>
            </w:pPr>
            <w:r>
              <w:rPr>
                <w:sz w:val="18"/>
                <w:szCs w:val="18"/>
              </w:rPr>
              <w:t>2</w:t>
            </w:r>
          </w:p>
        </w:tc>
        <w:tc>
          <w:tcPr>
            <w:tcW w:w="1015" w:type="dxa"/>
            <w:tcBorders>
              <w:tl2br w:val="nil"/>
              <w:tr2bl w:val="nil"/>
            </w:tcBorders>
            <w:vAlign w:val="center"/>
          </w:tcPr>
          <w:p>
            <w:pPr>
              <w:rPr>
                <w:sz w:val="18"/>
                <w:szCs w:val="18"/>
              </w:rPr>
            </w:pPr>
            <w:r>
              <w:rPr>
                <w:rFonts w:hint="eastAsia"/>
                <w:sz w:val="18"/>
                <w:szCs w:val="18"/>
              </w:rPr>
              <w:t>综合性</w:t>
            </w:r>
          </w:p>
        </w:tc>
        <w:tc>
          <w:tcPr>
            <w:tcW w:w="1327" w:type="dxa"/>
            <w:tcBorders>
              <w:tl2br w:val="nil"/>
              <w:tr2bl w:val="nil"/>
            </w:tcBorders>
            <w:vAlign w:val="center"/>
          </w:tcPr>
          <w:p>
            <w:pPr>
              <w:ind w:firstLine="360"/>
              <w:jc w:val="center"/>
              <w:rPr>
                <w:sz w:val="18"/>
                <w:szCs w:val="18"/>
              </w:rPr>
            </w:pPr>
            <w:r>
              <w:rPr>
                <w:rFonts w:hint="eastAsia"/>
                <w:sz w:val="18"/>
                <w:szCs w:val="18"/>
              </w:rPr>
              <w:t>必做</w:t>
            </w:r>
          </w:p>
        </w:tc>
        <w:tc>
          <w:tcPr>
            <w:tcW w:w="1200" w:type="dxa"/>
            <w:tcBorders>
              <w:tl2br w:val="nil"/>
              <w:tr2bl w:val="nil"/>
            </w:tcBorders>
          </w:tcPr>
          <w:p>
            <w:pPr>
              <w:ind w:firstLine="360"/>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6" w:type="dxa"/>
            <w:tcBorders>
              <w:tl2br w:val="nil"/>
              <w:tr2bl w:val="nil"/>
            </w:tcBorders>
            <w:vAlign w:val="center"/>
          </w:tcPr>
          <w:p>
            <w:pPr>
              <w:ind w:firstLine="360"/>
              <w:rPr>
                <w:sz w:val="18"/>
                <w:szCs w:val="18"/>
              </w:rPr>
            </w:pPr>
            <w:r>
              <w:rPr>
                <w:sz w:val="18"/>
                <w:szCs w:val="18"/>
              </w:rPr>
              <w:t>19011136h03</w:t>
            </w:r>
          </w:p>
        </w:tc>
        <w:tc>
          <w:tcPr>
            <w:tcW w:w="2709" w:type="dxa"/>
            <w:tcBorders>
              <w:tl2br w:val="nil"/>
              <w:tr2bl w:val="nil"/>
            </w:tcBorders>
            <w:vAlign w:val="center"/>
          </w:tcPr>
          <w:p>
            <w:pPr>
              <w:ind w:firstLine="36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生态休闲采摘园的规划</w:t>
            </w:r>
          </w:p>
        </w:tc>
        <w:tc>
          <w:tcPr>
            <w:tcW w:w="839" w:type="dxa"/>
            <w:tcBorders>
              <w:tl2br w:val="nil"/>
              <w:tr2bl w:val="nil"/>
            </w:tcBorders>
            <w:vAlign w:val="center"/>
          </w:tcPr>
          <w:p>
            <w:pPr>
              <w:ind w:firstLine="360"/>
              <w:jc w:val="center"/>
              <w:rPr>
                <w:sz w:val="18"/>
                <w:szCs w:val="18"/>
              </w:rPr>
            </w:pPr>
            <w:r>
              <w:rPr>
                <w:rFonts w:hint="eastAsia"/>
                <w:sz w:val="18"/>
                <w:szCs w:val="18"/>
              </w:rPr>
              <w:t>4</w:t>
            </w:r>
          </w:p>
        </w:tc>
        <w:tc>
          <w:tcPr>
            <w:tcW w:w="1015" w:type="dxa"/>
            <w:tcBorders>
              <w:tl2br w:val="nil"/>
              <w:tr2bl w:val="nil"/>
            </w:tcBorders>
            <w:vAlign w:val="center"/>
          </w:tcPr>
          <w:p>
            <w:pPr>
              <w:rPr>
                <w:sz w:val="18"/>
                <w:szCs w:val="18"/>
              </w:rPr>
            </w:pPr>
            <w:r>
              <w:rPr>
                <w:rFonts w:hint="eastAsia"/>
                <w:sz w:val="18"/>
                <w:szCs w:val="18"/>
              </w:rPr>
              <w:t>综合性</w:t>
            </w:r>
          </w:p>
        </w:tc>
        <w:tc>
          <w:tcPr>
            <w:tcW w:w="1327" w:type="dxa"/>
            <w:tcBorders>
              <w:tl2br w:val="nil"/>
              <w:tr2bl w:val="nil"/>
            </w:tcBorders>
            <w:vAlign w:val="center"/>
          </w:tcPr>
          <w:p>
            <w:pPr>
              <w:ind w:firstLine="360"/>
              <w:jc w:val="center"/>
              <w:rPr>
                <w:sz w:val="18"/>
                <w:szCs w:val="18"/>
              </w:rPr>
            </w:pPr>
            <w:r>
              <w:rPr>
                <w:rFonts w:hint="eastAsia"/>
                <w:sz w:val="18"/>
                <w:szCs w:val="18"/>
              </w:rPr>
              <w:t>必做</w:t>
            </w:r>
          </w:p>
        </w:tc>
        <w:tc>
          <w:tcPr>
            <w:tcW w:w="1200" w:type="dxa"/>
            <w:tcBorders>
              <w:tl2br w:val="nil"/>
              <w:tr2bl w:val="nil"/>
            </w:tcBorders>
          </w:tcPr>
          <w:p>
            <w:pPr>
              <w:ind w:firstLine="360"/>
              <w:jc w:val="center"/>
              <w:rPr>
                <w:sz w:val="18"/>
                <w:szCs w:val="18"/>
              </w:rPr>
            </w:pPr>
            <w:r>
              <w:rPr>
                <w:sz w:val="18"/>
                <w:szCs w:val="18"/>
              </w:rPr>
              <w:t>5</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b/>
          <w:bCs/>
          <w:szCs w:val="21"/>
        </w:rPr>
      </w:pPr>
      <w:r>
        <w:rPr>
          <w:rFonts w:hint="eastAsia" w:ascii="宋体" w:hAnsi="宋体"/>
          <w:bCs/>
          <w:szCs w:val="21"/>
        </w:rPr>
        <w:t>给出限制性条件，由学生自己收集素材，查阅资料，结合案例，完成规划及设计书的编制。</w:t>
      </w:r>
    </w:p>
    <w:p>
      <w:pPr>
        <w:snapToGrid w:val="0"/>
        <w:spacing w:line="360" w:lineRule="auto"/>
        <w:rPr>
          <w:rFonts w:ascii="宋体" w:hAnsi="宋体"/>
          <w:b/>
          <w:szCs w:val="21"/>
        </w:rPr>
      </w:pPr>
      <w:r>
        <w:rPr>
          <w:rFonts w:hint="eastAsia" w:ascii="宋体" w:hAnsi="宋体"/>
          <w:b/>
          <w:szCs w:val="21"/>
        </w:rPr>
        <w:t>(六)实验内容安排</w:t>
      </w:r>
    </w:p>
    <w:p>
      <w:pPr>
        <w:pStyle w:val="20"/>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ascii="宋体" w:hAnsi="宋体" w:eastAsia="宋体" w:cs="宋体"/>
          <w:b/>
          <w:sz w:val="21"/>
          <w:szCs w:val="21"/>
        </w:rPr>
        <w:t>一</w:t>
      </w:r>
      <w:r>
        <w:rPr>
          <w:rFonts w:hint="eastAsia"/>
          <w:b/>
          <w:sz w:val="21"/>
          <w:szCs w:val="21"/>
        </w:rPr>
        <w:t>】设施</w:t>
      </w:r>
      <w:r>
        <w:rPr>
          <w:b/>
          <w:sz w:val="21"/>
          <w:szCs w:val="21"/>
        </w:rPr>
        <w:t>蔬菜标准园的规划</w:t>
      </w:r>
    </w:p>
    <w:p>
      <w:pPr>
        <w:snapToGrid w:val="0"/>
        <w:spacing w:line="360" w:lineRule="auto"/>
        <w:ind w:firstLine="422" w:firstLineChars="200"/>
      </w:pPr>
      <w:r>
        <w:rPr>
          <w:rFonts w:hint="eastAsia"/>
          <w:b/>
          <w:szCs w:val="21"/>
        </w:rPr>
        <w:t>1.实验学时：</w:t>
      </w:r>
      <w:r>
        <w:rPr>
          <w:rFonts w:ascii="宋体" w:hAnsi="宋体"/>
          <w:bCs/>
        </w:rPr>
        <w:t>2</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cs="宋体"/>
          <w:color w:val="363636"/>
          <w:kern w:val="0"/>
          <w:szCs w:val="21"/>
        </w:rPr>
        <w:t>掌握设施蔬菜标准园功能分区和科学布局。并赋予功能区内具体内容，绘制出设施蔬菜标准园总平面图。要求规划内容具体，规划方案可行，可操作性强。达到产业发展与景观美观的目标要求。</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cs="宋体"/>
          <w:color w:val="363636"/>
          <w:kern w:val="0"/>
          <w:szCs w:val="21"/>
        </w:rPr>
        <w:t>借鉴某一具体的国家级蔬菜标准园（毛庄绿源现代农业生产基地），根据蔬菜标准园的特点与要求，进行整体布局的规划、功能分区及各功能区的具体规划与设计。</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cs="宋体"/>
          <w:color w:val="363636"/>
          <w:kern w:val="0"/>
          <w:szCs w:val="21"/>
        </w:rPr>
        <w:t>培养理论与实际结合的能力，以园区产业规划原理为指导，规划设施蔬菜标准园，培养规划设计的基本步骤和基本技能，培养规划能力与写作能力。</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电脑及相关软件，制图工具。</w:t>
      </w:r>
    </w:p>
    <w:p>
      <w:pPr>
        <w:pStyle w:val="20"/>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ascii="宋体" w:hAnsi="宋体" w:eastAsia="宋体" w:cs="宋体"/>
          <w:b/>
          <w:sz w:val="21"/>
          <w:szCs w:val="21"/>
        </w:rPr>
        <w:t>二</w:t>
      </w:r>
      <w:r>
        <w:rPr>
          <w:rFonts w:hint="eastAsia"/>
          <w:b/>
          <w:sz w:val="21"/>
          <w:szCs w:val="21"/>
        </w:rPr>
        <w:t>】</w:t>
      </w:r>
      <w:r>
        <w:rPr>
          <w:b/>
          <w:sz w:val="21"/>
          <w:szCs w:val="21"/>
        </w:rPr>
        <w:t>现代农产品物流园的规划</w:t>
      </w:r>
    </w:p>
    <w:p>
      <w:pPr>
        <w:snapToGrid w:val="0"/>
        <w:spacing w:line="360" w:lineRule="auto"/>
        <w:ind w:firstLine="422" w:firstLineChars="200"/>
      </w:pPr>
      <w:r>
        <w:rPr>
          <w:rFonts w:hint="eastAsia"/>
          <w:b/>
          <w:szCs w:val="21"/>
        </w:rPr>
        <w:t>1.实验学时：</w:t>
      </w:r>
      <w:r>
        <w:rPr>
          <w:rFonts w:ascii="宋体" w:hAnsi="宋体"/>
          <w:bCs/>
        </w:rPr>
        <w:t>2</w:t>
      </w:r>
      <w:r>
        <w:rPr>
          <w:rFonts w:hint="eastAsia" w:ascii="宋体" w:hAnsi="宋体"/>
          <w:bCs/>
        </w:rPr>
        <w:t>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cs="宋体"/>
          <w:color w:val="363636"/>
          <w:kern w:val="0"/>
          <w:szCs w:val="21"/>
        </w:rPr>
        <w:t>掌握现代农产品物流园的物流流程、功能分区和科学布局。并赋予功能区内具体内容，绘制出现代农产品物流园总平面图。要求规划内容具体，规划方案可行，可操作性强。达到物流便捷与景观美观的目标要求。</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cs="宋体"/>
          <w:color w:val="363636"/>
          <w:kern w:val="0"/>
          <w:szCs w:val="21"/>
        </w:rPr>
        <w:t>借鉴某一具体的农产品物流园（寿光农产品物流园），根据物流园的特点与要求，进行整体布局的规划、功能分区及各功能区的具体规划与设计。</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cs="宋体"/>
          <w:color w:val="363636"/>
          <w:kern w:val="0"/>
          <w:szCs w:val="21"/>
        </w:rPr>
        <w:t>培养理论与实际结合的能力，以园区规划原理为指导，规划现代农产品物流园，培养规划设计的基本步骤和基本技能，培养规划能力与写作能力。</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电脑及相关软件，制图工具。</w:t>
      </w:r>
    </w:p>
    <w:p>
      <w:pPr>
        <w:pStyle w:val="20"/>
        <w:snapToGrid w:val="0"/>
        <w:spacing w:before="0" w:beforeAutospacing="0" w:after="0" w:afterAutospacing="0" w:line="360" w:lineRule="auto"/>
        <w:rPr>
          <w:b/>
          <w:sz w:val="21"/>
          <w:szCs w:val="21"/>
        </w:rPr>
      </w:pPr>
      <w:r>
        <w:rPr>
          <w:rFonts w:hint="eastAsia"/>
          <w:b/>
          <w:sz w:val="21"/>
          <w:szCs w:val="21"/>
        </w:rPr>
        <w:t>【</w:t>
      </w:r>
      <w:r>
        <w:rPr>
          <w:b/>
          <w:sz w:val="21"/>
          <w:szCs w:val="21"/>
        </w:rPr>
        <w:t>实验</w:t>
      </w:r>
      <w:r>
        <w:rPr>
          <w:rFonts w:hint="eastAsia" w:ascii="宋体" w:hAnsi="宋体" w:eastAsia="宋体" w:cs="宋体"/>
          <w:b/>
          <w:sz w:val="21"/>
          <w:szCs w:val="21"/>
        </w:rPr>
        <w:t>三</w:t>
      </w:r>
      <w:r>
        <w:rPr>
          <w:rFonts w:hint="eastAsia"/>
          <w:b/>
          <w:sz w:val="21"/>
          <w:szCs w:val="21"/>
        </w:rPr>
        <w:t>】</w:t>
      </w:r>
      <w:r>
        <w:rPr>
          <w:rFonts w:hint="eastAsia" w:ascii="Times New Roman" w:hAnsi="Times New Roman" w:eastAsia="宋体" w:cs="Times New Roman"/>
          <w:b/>
          <w:kern w:val="2"/>
          <w:sz w:val="21"/>
          <w:szCs w:val="21"/>
        </w:rPr>
        <w:t>生态</w:t>
      </w:r>
      <w:r>
        <w:rPr>
          <w:rFonts w:ascii="Times New Roman" w:hAnsi="Times New Roman" w:eastAsia="宋体" w:cs="Times New Roman"/>
          <w:b/>
          <w:kern w:val="2"/>
          <w:sz w:val="21"/>
          <w:szCs w:val="21"/>
        </w:rPr>
        <w:t>休闲采摘园的规划</w:t>
      </w:r>
    </w:p>
    <w:p>
      <w:pPr>
        <w:snapToGrid w:val="0"/>
        <w:spacing w:line="360" w:lineRule="auto"/>
        <w:ind w:firstLine="422" w:firstLineChars="200"/>
      </w:pPr>
      <w:r>
        <w:rPr>
          <w:rFonts w:hint="eastAsia"/>
          <w:b/>
          <w:szCs w:val="21"/>
        </w:rPr>
        <w:t>1.实验学时：</w:t>
      </w:r>
      <w:r>
        <w:rPr>
          <w:rFonts w:hint="eastAsia" w:ascii="宋体" w:hAnsi="宋体"/>
          <w:bCs/>
        </w:rPr>
        <w:t>4学时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cs="宋体"/>
          <w:color w:val="363636"/>
          <w:kern w:val="0"/>
          <w:szCs w:val="21"/>
        </w:rPr>
        <w:t>掌握生态休闲采摘园的功能定位、功能分区和科学布局。并赋予功能区内具体内容，绘制出生态休闲采摘园总平面图。要求规划内容具体，规划方案可行，可操作性强。达到采摘体验、观光休闲与景观美观的目标要求。</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cs="宋体"/>
          <w:color w:val="363636"/>
          <w:kern w:val="0"/>
          <w:szCs w:val="21"/>
        </w:rPr>
        <w:t>借鉴某一具体的生态采摘园，根据采摘园的特点与要求，以瓜果或者蔬菜为主线进行整体布局的规划、功能分区及各功能区的具体规划与设计。</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cs="宋体"/>
          <w:color w:val="363636"/>
          <w:kern w:val="0"/>
          <w:szCs w:val="21"/>
        </w:rPr>
        <w:t>培养理论与实际结合的能力，以园区规划原理为指导，规划生态休闲采摘园，培养规划设计的基本步骤和基本技能，培养规划能力与写作能力。</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szCs w:val="21"/>
        </w:rPr>
        <w:t>电脑及相关软件，制图工具。</w:t>
      </w:r>
    </w:p>
    <w:p>
      <w:pPr>
        <w:snapToGrid w:val="0"/>
        <w:spacing w:line="360" w:lineRule="auto"/>
        <w:rPr>
          <w:rFonts w:ascii="宋体" w:hAnsi="宋体"/>
          <w:b/>
          <w:bCs/>
          <w:szCs w:val="21"/>
        </w:rPr>
      </w:pPr>
      <w:r>
        <w:rPr>
          <w:rFonts w:hint="eastAsia" w:ascii="宋体" w:hAnsi="宋体"/>
          <w:b/>
          <w:bCs/>
          <w:szCs w:val="21"/>
        </w:rPr>
        <w:t>（七）考核方式及成绩评定</w:t>
      </w:r>
    </w:p>
    <w:p>
      <w:pPr>
        <w:snapToGrid w:val="0"/>
        <w:spacing w:line="360" w:lineRule="auto"/>
        <w:ind w:firstLine="420" w:firstLineChars="200"/>
        <w:rPr>
          <w:rFonts w:ascii="宋体" w:hAnsi="宋体"/>
          <w:bCs/>
          <w:szCs w:val="21"/>
        </w:rPr>
      </w:pPr>
      <w:r>
        <w:rPr>
          <w:rFonts w:hint="eastAsia" w:ascii="宋体" w:hAnsi="宋体"/>
          <w:bCs/>
          <w:szCs w:val="21"/>
        </w:rPr>
        <w:t>根据编制的规划及设计书给出成绩。</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ascii="宋体" w:hAnsi="宋体"/>
          <w:szCs w:val="21"/>
        </w:rPr>
      </w:pPr>
      <w:r>
        <w:rPr>
          <w:rFonts w:hint="eastAsia" w:ascii="宋体" w:hAnsi="宋体"/>
          <w:szCs w:val="21"/>
        </w:rPr>
        <w:t>在课程思政教学中更要加强生态文明教育，引导学生树立和践行绿水青山就是金山银山的理念。要注重培养学生的“大国三农”情怀，引导学生以强农兴农为己任，“懂农业、爱农村、爱农民”，树立把论文写在祖国大地上的意识和信念，增强学生服务农业农村现代化、服务乡村全面振兴的使命感和责任感，培养知农爱农创新人才。如在进行园区规划设计及管理的过程中，就如同精心建造、呵护自己的家园，需要知识储备做支撑，并以严谨、科学的态度去完成，只有踏实付出了才能收获坚固不可摧的家园；利用所学知识建设家乡及其他需要发展的地区，设计建造符合当地区域发展的产业园区，响应国家政策，带动乡村振兴，为当地百姓带去更多的就业机会，将园艺技术应用于农业农村现代化，为国家发展贡献自己的力量。</w:t>
      </w:r>
    </w:p>
    <w:p>
      <w:pPr>
        <w:snapToGrid w:val="0"/>
        <w:spacing w:line="360" w:lineRule="auto"/>
        <w:rPr>
          <w:rFonts w:ascii="宋体" w:hAnsi="宋体"/>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p>
    <w:p>
      <w:pPr>
        <w:adjustRightInd w:val="0"/>
        <w:snapToGrid w:val="0"/>
        <w:spacing w:line="360" w:lineRule="auto"/>
        <w:rPr>
          <w:b/>
          <w:bCs/>
          <w:kern w:val="0"/>
        </w:rPr>
      </w:pPr>
      <w:r>
        <w:rPr>
          <w:rFonts w:hint="eastAsia"/>
          <w:b/>
          <w:bCs/>
          <w:kern w:val="0"/>
        </w:rPr>
        <w:t>1、选用教材：</w:t>
      </w:r>
    </w:p>
    <w:p>
      <w:pPr>
        <w:adjustRightInd w:val="0"/>
        <w:snapToGrid w:val="0"/>
        <w:spacing w:line="360" w:lineRule="auto"/>
        <w:rPr>
          <w:kern w:val="0"/>
        </w:rPr>
      </w:pPr>
      <w:r>
        <w:rPr>
          <w:rFonts w:hint="eastAsia"/>
          <w:kern w:val="0"/>
        </w:rPr>
        <w:t>（1）理论课教材：农业园区规划与管理. 邹志荣主编.  中国农业出版社. 2007.7</w:t>
      </w:r>
    </w:p>
    <w:p>
      <w:pPr>
        <w:adjustRightInd w:val="0"/>
        <w:snapToGrid w:val="0"/>
        <w:spacing w:line="360" w:lineRule="auto"/>
        <w:rPr>
          <w:kern w:val="0"/>
        </w:rPr>
      </w:pPr>
      <w:r>
        <w:rPr>
          <w:rFonts w:hint="eastAsia"/>
          <w:kern w:val="0"/>
        </w:rPr>
        <w:t>（2）实验课教材：农业园区规划与管理. 邹志荣主编.  中国农业出版社. 2007.7</w:t>
      </w:r>
    </w:p>
    <w:p>
      <w:pPr>
        <w:adjustRightInd w:val="0"/>
        <w:snapToGrid w:val="0"/>
        <w:spacing w:line="360" w:lineRule="auto"/>
        <w:rPr>
          <w:kern w:val="0"/>
        </w:rPr>
      </w:pPr>
      <w:r>
        <w:rPr>
          <w:rFonts w:hint="eastAsia"/>
          <w:kern w:val="0"/>
        </w:rPr>
        <w:t>（3）实习指导书：农业园区规划与管理. 邹志荣主编.  中国农业出版社. 2007.7</w:t>
      </w:r>
    </w:p>
    <w:p>
      <w:pPr>
        <w:adjustRightInd w:val="0"/>
        <w:snapToGrid w:val="0"/>
        <w:spacing w:line="360" w:lineRule="auto"/>
        <w:rPr>
          <w:b/>
          <w:bCs/>
          <w:kern w:val="0"/>
        </w:rPr>
      </w:pPr>
      <w:r>
        <w:rPr>
          <w:rFonts w:hint="eastAsia"/>
          <w:b/>
          <w:bCs/>
          <w:kern w:val="0"/>
        </w:rPr>
        <w:t>2、参考书：</w:t>
      </w:r>
    </w:p>
    <w:p>
      <w:pPr>
        <w:adjustRightInd w:val="0"/>
        <w:snapToGrid w:val="0"/>
        <w:spacing w:line="360" w:lineRule="auto"/>
        <w:rPr>
          <w:kern w:val="0"/>
        </w:rPr>
      </w:pPr>
      <w:r>
        <w:rPr>
          <w:rFonts w:hint="eastAsia"/>
          <w:kern w:val="0"/>
        </w:rPr>
        <w:t>（1）现代农业园区规划与案例分析.张天柱 主编.中国轻工业出版社.2008年</w:t>
      </w:r>
    </w:p>
    <w:p>
      <w:pPr>
        <w:adjustRightInd w:val="0"/>
        <w:snapToGrid w:val="0"/>
        <w:spacing w:line="360" w:lineRule="auto"/>
        <w:rPr>
          <w:kern w:val="0"/>
        </w:rPr>
      </w:pPr>
      <w:r>
        <w:rPr>
          <w:rFonts w:hint="eastAsia"/>
          <w:kern w:val="0"/>
        </w:rPr>
        <w:t xml:space="preserve">（2）休闲农业园区规划设计.郭焕成，吕明伟，任国柱 著.中国建筑工业出版社.2007年 </w:t>
      </w:r>
    </w:p>
    <w:p>
      <w:pPr>
        <w:adjustRightInd w:val="0"/>
        <w:snapToGrid w:val="0"/>
        <w:spacing w:line="360" w:lineRule="auto"/>
        <w:rPr>
          <w:kern w:val="0"/>
        </w:rPr>
      </w:pPr>
      <w:r>
        <w:rPr>
          <w:rFonts w:hint="eastAsia"/>
          <w:kern w:val="0"/>
        </w:rPr>
        <w:t>（3）农业园区规划设计.王树进 编著.科学出版社.2011年</w:t>
      </w:r>
    </w:p>
    <w:p>
      <w:pPr>
        <w:adjustRightInd w:val="0"/>
        <w:snapToGrid w:val="0"/>
        <w:spacing w:line="360" w:lineRule="auto"/>
        <w:rPr>
          <w:kern w:val="0"/>
        </w:rPr>
      </w:pPr>
      <w:r>
        <w:rPr>
          <w:rFonts w:hint="eastAsia"/>
          <w:kern w:val="0"/>
        </w:rPr>
        <w:t>（4）现代农业园区规划与管理.蔡 飞著.西北工业大学出版社.2015年</w:t>
      </w:r>
    </w:p>
    <w:p>
      <w:pPr>
        <w:adjustRightInd w:val="0"/>
        <w:snapToGrid w:val="0"/>
        <w:spacing w:line="360" w:lineRule="auto"/>
        <w:rPr>
          <w:b/>
          <w:bCs/>
          <w:kern w:val="0"/>
        </w:rPr>
      </w:pPr>
      <w:r>
        <w:rPr>
          <w:rFonts w:hint="eastAsia"/>
          <w:b/>
          <w:bCs/>
          <w:kern w:val="0"/>
        </w:rPr>
        <w:t>3、推荐网站：</w:t>
      </w:r>
    </w:p>
    <w:p>
      <w:pPr>
        <w:adjustRightInd w:val="0"/>
        <w:snapToGrid w:val="0"/>
        <w:spacing w:line="360" w:lineRule="auto"/>
        <w:rPr>
          <w:kern w:val="0"/>
        </w:rPr>
      </w:pPr>
      <w:r>
        <w:rPr>
          <w:rFonts w:hint="eastAsia"/>
          <w:kern w:val="0"/>
        </w:rPr>
        <w:t>（1）网站名，网址：优鲜农业保鲜规划，微信号cdufresh</w:t>
      </w:r>
    </w:p>
    <w:p>
      <w:pPr>
        <w:adjustRightInd w:val="0"/>
        <w:snapToGrid w:val="0"/>
        <w:spacing w:line="360" w:lineRule="auto"/>
        <w:rPr>
          <w:kern w:val="0"/>
        </w:rPr>
      </w:pPr>
      <w:r>
        <w:rPr>
          <w:rFonts w:hint="eastAsia"/>
          <w:kern w:val="0"/>
        </w:rPr>
        <w:t>（2）网站名，网址 ：南京休闲农业，微信号njxxny</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widowControl/>
        <w:snapToGrid w:val="0"/>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理论课及实验部分均</w:t>
      </w:r>
      <w:r>
        <w:rPr>
          <w:rFonts w:ascii="宋体" w:hAnsi="宋体"/>
          <w:color w:val="000000" w:themeColor="text1"/>
          <w:szCs w:val="21"/>
          <w14:textFill>
            <w14:solidFill>
              <w14:schemeClr w14:val="tx1"/>
            </w14:solidFill>
          </w14:textFill>
        </w:rPr>
        <w:t>需要多媒体</w:t>
      </w:r>
      <w:r>
        <w:rPr>
          <w:rFonts w:hint="eastAsia" w:ascii="宋体" w:hAnsi="宋体"/>
          <w:color w:val="000000" w:themeColor="text1"/>
          <w:szCs w:val="21"/>
          <w14:textFill>
            <w14:solidFill>
              <w14:schemeClr w14:val="tx1"/>
            </w14:solidFill>
          </w14:textFill>
        </w:rPr>
        <w:t>教室。</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ascii="宋体" w:hAnsi="宋体"/>
          <w:color w:val="0000FF"/>
        </w:rPr>
      </w:pPr>
      <w:r>
        <w:rPr>
          <w:rFonts w:hint="eastAsia" w:hAnsi="宋体"/>
          <w:b/>
          <w:bCs/>
          <w:kern w:val="0"/>
          <w:szCs w:val="21"/>
        </w:rPr>
        <w:t>1.过程性评价：</w:t>
      </w:r>
      <w:r>
        <w:rPr>
          <w:rFonts w:hAnsi="宋体"/>
          <w:bCs/>
          <w:kern w:val="0"/>
          <w:szCs w:val="21"/>
        </w:rPr>
        <w:t>课后作业、</w:t>
      </w:r>
      <w:r>
        <w:rPr>
          <w:rFonts w:hint="eastAsia" w:hAnsi="宋体"/>
          <w:bCs/>
          <w:kern w:val="0"/>
          <w:szCs w:val="21"/>
        </w:rPr>
        <w:t>课堂表现、</w:t>
      </w:r>
      <w:r>
        <w:rPr>
          <w:rFonts w:hAnsi="宋体"/>
          <w:bCs/>
          <w:kern w:val="0"/>
          <w:szCs w:val="21"/>
        </w:rPr>
        <w:t>实验报告、考勤等</w:t>
      </w:r>
      <w:r>
        <w:rPr>
          <w:rFonts w:hint="eastAsia" w:hAnsi="宋体"/>
          <w:bCs/>
          <w:kern w:val="0"/>
          <w:szCs w:val="21"/>
        </w:rPr>
        <w:t>，</w:t>
      </w:r>
      <w:r>
        <w:rPr>
          <w:rFonts w:hAnsi="宋体"/>
          <w:bCs/>
          <w:kern w:val="0"/>
          <w:szCs w:val="21"/>
        </w:rPr>
        <w:t>占</w:t>
      </w:r>
      <w:r>
        <w:rPr>
          <w:rFonts w:hint="eastAsia" w:hAnsi="宋体"/>
          <w:bCs/>
          <w:kern w:val="0"/>
          <w:szCs w:val="21"/>
        </w:rPr>
        <w:t>40</w:t>
      </w:r>
      <w:r>
        <w:rPr>
          <w:rFonts w:hAnsi="宋体"/>
          <w:bCs/>
          <w:kern w:val="0"/>
          <w:szCs w:val="21"/>
        </w:rPr>
        <w:t>%。</w:t>
      </w:r>
    </w:p>
    <w:p>
      <w:pPr>
        <w:widowControl/>
        <w:snapToGrid w:val="0"/>
        <w:spacing w:line="360" w:lineRule="auto"/>
        <w:ind w:firstLine="420"/>
        <w:jc w:val="left"/>
        <w:rPr>
          <w:b/>
          <w:bCs/>
          <w:color w:val="000000" w:themeColor="text1"/>
          <w:kern w:val="0"/>
          <w:szCs w:val="21"/>
          <w14:textFill>
            <w14:solidFill>
              <w14:schemeClr w14:val="tx1"/>
            </w14:solidFill>
          </w14:textFill>
        </w:rPr>
      </w:pPr>
      <w:r>
        <w:rPr>
          <w:rFonts w:hint="eastAsia" w:hAnsi="宋体"/>
          <w:b/>
          <w:bCs/>
          <w:kern w:val="0"/>
          <w:szCs w:val="21"/>
        </w:rPr>
        <w:t>2.终结性评价：</w:t>
      </w:r>
      <w:r>
        <w:rPr>
          <w:rFonts w:hint="eastAsia" w:ascii="宋体" w:hAnsi="宋体"/>
          <w:color w:val="000000" w:themeColor="text1"/>
          <w14:textFill>
            <w14:solidFill>
              <w14:schemeClr w14:val="tx1"/>
            </w14:solidFill>
          </w14:textFill>
        </w:rPr>
        <w:t>设计作品大赛，占</w:t>
      </w:r>
      <w:r>
        <w:rPr>
          <w:color w:val="000000" w:themeColor="text1"/>
          <w14:textFill>
            <w14:solidFill>
              <w14:schemeClr w14:val="tx1"/>
            </w14:solidFill>
          </w14:textFill>
        </w:rPr>
        <w:t>60%。</w:t>
      </w:r>
    </w:p>
    <w:p>
      <w:pPr>
        <w:widowControl/>
        <w:snapToGrid w:val="0"/>
        <w:spacing w:line="360" w:lineRule="auto"/>
        <w:ind w:firstLine="420"/>
        <w:jc w:val="left"/>
        <w:rPr>
          <w:rFonts w:hAnsi="宋体"/>
          <w:bCs/>
          <w:color w:val="000000"/>
          <w:kern w:val="0"/>
          <w:szCs w:val="21"/>
        </w:rPr>
      </w:pPr>
      <w:r>
        <w:rPr>
          <w:rFonts w:hint="eastAsia" w:hAnsi="宋体"/>
          <w:b/>
          <w:bCs/>
          <w:kern w:val="0"/>
          <w:szCs w:val="21"/>
        </w:rPr>
        <w:t>3.课程综合评价：</w:t>
      </w:r>
      <w:r>
        <w:rPr>
          <w:rFonts w:hint="eastAsia" w:hAnsi="宋体"/>
          <w:bCs/>
          <w:color w:val="000000"/>
          <w:kern w:val="0"/>
          <w:szCs w:val="21"/>
        </w:rPr>
        <w:t>综合成绩=期末成绩*60%+平时成绩*40%</w:t>
      </w:r>
    </w:p>
    <w:p>
      <w:pPr>
        <w:widowControl/>
        <w:snapToGrid w:val="0"/>
        <w:spacing w:line="360" w:lineRule="auto"/>
        <w:ind w:firstLine="420"/>
        <w:jc w:val="left"/>
        <w:rPr>
          <w:rFonts w:ascii="宋体" w:hAnsi="宋体"/>
          <w:color w:val="000000"/>
          <w:szCs w:val="21"/>
        </w:rPr>
      </w:pPr>
      <w:r>
        <w:rPr>
          <w:rFonts w:hint="eastAsia" w:hAnsi="宋体"/>
          <w:bCs/>
          <w:color w:val="000000"/>
          <w:kern w:val="0"/>
          <w:szCs w:val="21"/>
        </w:rPr>
        <w:t>掌握</w:t>
      </w:r>
      <w:r>
        <w:rPr>
          <w:rFonts w:hAnsi="宋体"/>
          <w:bCs/>
          <w:color w:val="000000"/>
          <w:kern w:val="0"/>
          <w:szCs w:val="21"/>
        </w:rPr>
        <w:t>基本理论知识，了解本领域发展前沿</w:t>
      </w:r>
      <w:r>
        <w:rPr>
          <w:rFonts w:hint="eastAsia" w:hAnsi="宋体"/>
          <w:bCs/>
          <w:color w:val="000000"/>
          <w:kern w:val="0"/>
          <w:szCs w:val="21"/>
        </w:rPr>
        <w:t>，</w:t>
      </w:r>
      <w:r>
        <w:rPr>
          <w:rFonts w:hAnsi="宋体"/>
          <w:bCs/>
          <w:color w:val="000000"/>
          <w:kern w:val="0"/>
          <w:szCs w:val="21"/>
        </w:rPr>
        <w:t>能够</w:t>
      </w:r>
      <w:r>
        <w:rPr>
          <w:rFonts w:hint="eastAsia" w:hAnsi="宋体"/>
          <w:bCs/>
          <w:color w:val="000000"/>
          <w:kern w:val="0"/>
          <w:szCs w:val="21"/>
        </w:rPr>
        <w:t>从事规划并管理农业园区的相关工作</w:t>
      </w:r>
      <w:r>
        <w:rPr>
          <w:rFonts w:hAnsi="宋体"/>
          <w:bCs/>
          <w:color w:val="000000"/>
          <w:kern w:val="0"/>
          <w:szCs w:val="21"/>
        </w:rPr>
        <w:t>，具有一定的</w:t>
      </w:r>
      <w:r>
        <w:rPr>
          <w:rFonts w:hint="eastAsia" w:hAnsi="宋体"/>
          <w:bCs/>
          <w:color w:val="000000"/>
          <w:kern w:val="0"/>
          <w:szCs w:val="21"/>
        </w:rPr>
        <w:t>独立思考、</w:t>
      </w:r>
      <w:r>
        <w:rPr>
          <w:rFonts w:hAnsi="宋体"/>
          <w:bCs/>
          <w:color w:val="000000"/>
          <w:kern w:val="0"/>
          <w:szCs w:val="21"/>
        </w:rPr>
        <w:t>创新创造能力</w:t>
      </w:r>
      <w:r>
        <w:rPr>
          <w:rFonts w:hint="eastAsia" w:hAnsi="宋体"/>
          <w:bCs/>
          <w:color w:val="000000"/>
          <w:kern w:val="0"/>
          <w:szCs w:val="21"/>
        </w:rPr>
        <w:t>。</w:t>
      </w:r>
    </w:p>
    <w:p>
      <w:pPr>
        <w:widowControl/>
        <w:snapToGrid w:val="0"/>
        <w:spacing w:line="360" w:lineRule="auto"/>
        <w:ind w:firstLine="420" w:firstLineChars="200"/>
        <w:jc w:val="left"/>
        <w:rPr>
          <w:rFonts w:ascii="宋体" w:hAnsi="宋体"/>
          <w:color w:val="000000" w:themeColor="text1"/>
          <w:szCs w:val="21"/>
          <w14:textFill>
            <w14:solidFill>
              <w14:schemeClr w14:val="tx1"/>
            </w14:solidFill>
          </w14:textFill>
        </w:rPr>
      </w:pPr>
    </w:p>
    <w:p>
      <w:pPr>
        <w:pStyle w:val="21"/>
        <w:rPr>
          <w:sz w:val="28"/>
          <w:szCs w:val="28"/>
        </w:rPr>
      </w:pPr>
      <w:bookmarkStart w:id="305" w:name="_Toc138068810"/>
      <w:bookmarkStart w:id="306" w:name="_Toc138070440"/>
      <w:bookmarkStart w:id="307" w:name="_Toc138070710"/>
    </w:p>
    <w:p>
      <w:pPr>
        <w:widowControl/>
        <w:jc w:val="left"/>
        <w:rPr>
          <w:rFonts w:asciiTheme="majorHAnsi" w:hAnsiTheme="majorHAnsi" w:eastAsiaTheme="majorEastAsia" w:cstheme="majorBidi"/>
          <w:b/>
          <w:bCs/>
          <w:sz w:val="28"/>
          <w:szCs w:val="28"/>
        </w:rPr>
      </w:pPr>
      <w:bookmarkStart w:id="308" w:name="_Toc138076329"/>
      <w:bookmarkStart w:id="309" w:name="_Toc18573"/>
      <w:bookmarkStart w:id="310" w:name="_Toc138076080"/>
      <w:bookmarkStart w:id="311" w:name="_Toc138076624"/>
      <w:r>
        <w:rPr>
          <w:sz w:val="28"/>
          <w:szCs w:val="28"/>
        </w:rPr>
        <w:br w:type="page"/>
      </w:r>
    </w:p>
    <w:p>
      <w:pPr>
        <w:pStyle w:val="21"/>
        <w:rPr>
          <w:sz w:val="28"/>
          <w:szCs w:val="28"/>
        </w:rPr>
      </w:pPr>
      <w:r>
        <w:rPr>
          <w:rFonts w:hint="eastAsia"/>
          <w:sz w:val="28"/>
          <w:szCs w:val="28"/>
        </w:rPr>
        <w:t>都市</w:t>
      </w:r>
      <w:r>
        <w:rPr>
          <w:sz w:val="28"/>
          <w:szCs w:val="28"/>
        </w:rPr>
        <w:t>园艺</w:t>
      </w:r>
      <w:bookmarkEnd w:id="305"/>
      <w:bookmarkEnd w:id="306"/>
      <w:bookmarkEnd w:id="307"/>
      <w:bookmarkEnd w:id="308"/>
      <w:bookmarkEnd w:id="309"/>
      <w:bookmarkEnd w:id="310"/>
      <w:bookmarkEnd w:id="311"/>
    </w:p>
    <w:p>
      <w:pPr>
        <w:snapToGrid w:val="0"/>
        <w:spacing w:line="360" w:lineRule="auto"/>
        <w:jc w:val="center"/>
        <w:rPr>
          <w:sz w:val="24"/>
        </w:rPr>
      </w:pPr>
      <w:r>
        <w:rPr>
          <w:sz w:val="24"/>
        </w:rPr>
        <w:t>C</w:t>
      </w:r>
      <w:r>
        <w:rPr>
          <w:rFonts w:hint="eastAsia"/>
          <w:sz w:val="24"/>
        </w:rPr>
        <w:t>ity</w:t>
      </w:r>
      <w:r>
        <w:rPr>
          <w:sz w:val="24"/>
        </w:rPr>
        <w:t xml:space="preserve"> Horticulture</w:t>
      </w:r>
    </w:p>
    <w:p>
      <w:pPr>
        <w:snapToGrid w:val="0"/>
        <w:spacing w:line="360" w:lineRule="auto"/>
        <w:jc w:val="center"/>
        <w:rPr>
          <w:b/>
          <w:szCs w:val="21"/>
        </w:rPr>
      </w:pPr>
    </w:p>
    <w:p>
      <w:pPr>
        <w:snapToGrid w:val="0"/>
        <w:spacing w:line="360" w:lineRule="auto"/>
        <w:jc w:val="center"/>
        <w:rPr>
          <w:b/>
          <w:szCs w:val="21"/>
        </w:rPr>
      </w:pPr>
      <w:r>
        <w:rPr>
          <w:b/>
          <w:szCs w:val="21"/>
        </w:rPr>
        <w:t>课程基本信息</w:t>
      </w:r>
    </w:p>
    <w:tbl>
      <w:tblPr>
        <w:tblStyle w:val="22"/>
        <w:tblW w:w="5065" w:type="pct"/>
        <w:tblInd w:w="0" w:type="dxa"/>
        <w:tblLayout w:type="autofit"/>
        <w:tblCellMar>
          <w:top w:w="0" w:type="dxa"/>
          <w:left w:w="108" w:type="dxa"/>
          <w:bottom w:w="0" w:type="dxa"/>
          <w:right w:w="108" w:type="dxa"/>
        </w:tblCellMar>
      </w:tblPr>
      <w:tblGrid>
        <w:gridCol w:w="2406"/>
        <w:gridCol w:w="3591"/>
        <w:gridCol w:w="3238"/>
      </w:tblGrid>
      <w:tr>
        <w:tblPrEx>
          <w:tblCellMar>
            <w:top w:w="0" w:type="dxa"/>
            <w:left w:w="108" w:type="dxa"/>
            <w:bottom w:w="0" w:type="dxa"/>
            <w:right w:w="108" w:type="dxa"/>
          </w:tblCellMar>
        </w:tblPrEx>
        <w:trPr>
          <w:trHeight w:val="498" w:hRule="atLeast"/>
        </w:trPr>
        <w:tc>
          <w:tcPr>
            <w:tcW w:w="1303" w:type="pct"/>
            <w:vAlign w:val="center"/>
          </w:tcPr>
          <w:p>
            <w:pPr>
              <w:spacing w:line="300" w:lineRule="auto"/>
              <w:ind w:firstLine="142"/>
              <w:rPr>
                <w:b/>
                <w:bCs/>
                <w:szCs w:val="21"/>
              </w:rPr>
            </w:pPr>
            <w:r>
              <w:rPr>
                <w:b/>
                <w:bCs/>
                <w:szCs w:val="21"/>
              </w:rPr>
              <w:t>课程编号：19011041</w:t>
            </w:r>
          </w:p>
        </w:tc>
        <w:tc>
          <w:tcPr>
            <w:tcW w:w="1944" w:type="pct"/>
            <w:vAlign w:val="center"/>
          </w:tcPr>
          <w:p>
            <w:pPr>
              <w:spacing w:line="300" w:lineRule="auto"/>
              <w:ind w:firstLine="422"/>
              <w:rPr>
                <w:b/>
                <w:bCs/>
                <w:szCs w:val="21"/>
              </w:rPr>
            </w:pPr>
            <w:r>
              <w:rPr>
                <w:b/>
                <w:bCs/>
                <w:szCs w:val="21"/>
              </w:rPr>
              <w:t>课程总学时：32</w:t>
            </w:r>
          </w:p>
        </w:tc>
        <w:tc>
          <w:tcPr>
            <w:tcW w:w="1753" w:type="pct"/>
            <w:vAlign w:val="center"/>
          </w:tcPr>
          <w:p>
            <w:pPr>
              <w:spacing w:line="300" w:lineRule="auto"/>
              <w:ind w:firstLine="422"/>
              <w:rPr>
                <w:b/>
                <w:bCs/>
                <w:szCs w:val="21"/>
              </w:rPr>
            </w:pPr>
            <w:r>
              <w:rPr>
                <w:b/>
                <w:bCs/>
                <w:szCs w:val="21"/>
              </w:rPr>
              <w:t>实验学时：</w:t>
            </w:r>
            <w:r>
              <w:rPr>
                <w:rFonts w:hint="eastAsia"/>
                <w:b/>
                <w:bCs/>
                <w:szCs w:val="21"/>
              </w:rPr>
              <w:t>0</w:t>
            </w:r>
            <w:r>
              <w:rPr>
                <w:b/>
                <w:bCs/>
                <w:szCs w:val="21"/>
              </w:rPr>
              <w:t xml:space="preserve"> 学时</w:t>
            </w:r>
          </w:p>
        </w:tc>
      </w:tr>
      <w:tr>
        <w:tblPrEx>
          <w:tblCellMar>
            <w:top w:w="0" w:type="dxa"/>
            <w:left w:w="108" w:type="dxa"/>
            <w:bottom w:w="0" w:type="dxa"/>
            <w:right w:w="108" w:type="dxa"/>
          </w:tblCellMar>
        </w:tblPrEx>
        <w:trPr>
          <w:trHeight w:val="498" w:hRule="atLeast"/>
        </w:trPr>
        <w:tc>
          <w:tcPr>
            <w:tcW w:w="1303" w:type="pct"/>
            <w:vAlign w:val="center"/>
          </w:tcPr>
          <w:p>
            <w:pPr>
              <w:spacing w:line="300" w:lineRule="auto"/>
              <w:ind w:firstLine="142"/>
              <w:rPr>
                <w:b/>
                <w:bCs/>
                <w:szCs w:val="21"/>
              </w:rPr>
            </w:pPr>
            <w:r>
              <w:rPr>
                <w:b/>
                <w:bCs/>
                <w:szCs w:val="21"/>
              </w:rPr>
              <w:t>课程性质：</w:t>
            </w:r>
            <w:r>
              <w:rPr>
                <w:b/>
                <w:color w:val="353535"/>
                <w:szCs w:val="21"/>
              </w:rPr>
              <w:t>选修</w:t>
            </w:r>
          </w:p>
        </w:tc>
        <w:tc>
          <w:tcPr>
            <w:tcW w:w="1944" w:type="pct"/>
            <w:vAlign w:val="center"/>
          </w:tcPr>
          <w:p>
            <w:pPr>
              <w:spacing w:line="300" w:lineRule="auto"/>
              <w:ind w:firstLine="422"/>
              <w:rPr>
                <w:b/>
                <w:bCs/>
                <w:szCs w:val="21"/>
              </w:rPr>
            </w:pPr>
            <w:r>
              <w:rPr>
                <w:b/>
                <w:szCs w:val="21"/>
              </w:rPr>
              <w:t>课程属性:</w:t>
            </w:r>
            <w:r>
              <w:rPr>
                <w:b/>
              </w:rPr>
              <w:t xml:space="preserve"> </w:t>
            </w:r>
            <w:r>
              <w:rPr>
                <w:b/>
                <w:szCs w:val="21"/>
              </w:rPr>
              <w:t>创业教育类</w:t>
            </w:r>
          </w:p>
        </w:tc>
        <w:tc>
          <w:tcPr>
            <w:tcW w:w="1753" w:type="pct"/>
            <w:vAlign w:val="center"/>
          </w:tcPr>
          <w:p>
            <w:pPr>
              <w:spacing w:line="300" w:lineRule="auto"/>
              <w:ind w:firstLine="422"/>
              <w:rPr>
                <w:b/>
                <w:bCs/>
                <w:szCs w:val="21"/>
              </w:rPr>
            </w:pPr>
            <w:r>
              <w:rPr>
                <w:b/>
                <w:bCs/>
                <w:szCs w:val="21"/>
              </w:rPr>
              <w:t>开设学期：第</w:t>
            </w:r>
            <w:r>
              <w:rPr>
                <w:rFonts w:hint="eastAsia"/>
                <w:b/>
                <w:bCs/>
                <w:szCs w:val="21"/>
              </w:rPr>
              <w:t>8</w:t>
            </w:r>
            <w:r>
              <w:rPr>
                <w:b/>
                <w:bCs/>
                <w:szCs w:val="21"/>
              </w:rPr>
              <w:t>学期</w:t>
            </w:r>
          </w:p>
        </w:tc>
      </w:tr>
      <w:tr>
        <w:tblPrEx>
          <w:tblCellMar>
            <w:top w:w="0" w:type="dxa"/>
            <w:left w:w="108" w:type="dxa"/>
            <w:bottom w:w="0" w:type="dxa"/>
            <w:right w:w="108" w:type="dxa"/>
          </w:tblCellMar>
        </w:tblPrEx>
        <w:trPr>
          <w:trHeight w:val="498" w:hRule="atLeast"/>
        </w:trPr>
        <w:tc>
          <w:tcPr>
            <w:tcW w:w="1303" w:type="pct"/>
            <w:vAlign w:val="center"/>
          </w:tcPr>
          <w:p>
            <w:pPr>
              <w:spacing w:line="300" w:lineRule="auto"/>
              <w:ind w:firstLine="142"/>
              <w:rPr>
                <w:b/>
                <w:bCs/>
                <w:szCs w:val="21"/>
              </w:rPr>
            </w:pPr>
            <w:r>
              <w:rPr>
                <w:b/>
                <w:bCs/>
                <w:szCs w:val="21"/>
              </w:rPr>
              <w:t>课程负责人：</w:t>
            </w:r>
            <w:r>
              <w:rPr>
                <w:rFonts w:hint="eastAsia"/>
                <w:b/>
                <w:bCs/>
                <w:szCs w:val="21"/>
              </w:rPr>
              <w:t>崔丹丹</w:t>
            </w:r>
          </w:p>
        </w:tc>
        <w:tc>
          <w:tcPr>
            <w:tcW w:w="1944" w:type="pct"/>
            <w:vAlign w:val="center"/>
          </w:tcPr>
          <w:p>
            <w:pPr>
              <w:spacing w:line="300" w:lineRule="auto"/>
              <w:ind w:firstLine="422"/>
              <w:rPr>
                <w:b/>
                <w:bCs/>
                <w:szCs w:val="21"/>
              </w:rPr>
            </w:pPr>
            <w:r>
              <w:rPr>
                <w:b/>
                <w:bCs/>
                <w:szCs w:val="21"/>
              </w:rPr>
              <w:t>课程团队：崔丹丹、</w:t>
            </w:r>
            <w:r>
              <w:rPr>
                <w:rFonts w:hint="eastAsia"/>
                <w:b/>
                <w:bCs/>
                <w:szCs w:val="21"/>
              </w:rPr>
              <w:t>李阳</w:t>
            </w:r>
          </w:p>
        </w:tc>
        <w:tc>
          <w:tcPr>
            <w:tcW w:w="1753" w:type="pct"/>
            <w:vAlign w:val="center"/>
          </w:tcPr>
          <w:p>
            <w:pPr>
              <w:spacing w:line="300" w:lineRule="auto"/>
              <w:ind w:firstLine="422"/>
              <w:rPr>
                <w:b/>
                <w:bCs/>
                <w:szCs w:val="21"/>
              </w:rPr>
            </w:pPr>
            <w:r>
              <w:rPr>
                <w:b/>
                <w:bCs/>
                <w:szCs w:val="21"/>
              </w:rPr>
              <w:t>授课语言：中文</w:t>
            </w:r>
          </w:p>
        </w:tc>
      </w:tr>
      <w:tr>
        <w:tblPrEx>
          <w:tblCellMar>
            <w:top w:w="0" w:type="dxa"/>
            <w:left w:w="108" w:type="dxa"/>
            <w:bottom w:w="0" w:type="dxa"/>
            <w:right w:w="108" w:type="dxa"/>
          </w:tblCellMar>
        </w:tblPrEx>
        <w:trPr>
          <w:trHeight w:val="498" w:hRule="atLeast"/>
        </w:trPr>
        <w:tc>
          <w:tcPr>
            <w:tcW w:w="5000" w:type="pct"/>
            <w:gridSpan w:val="3"/>
            <w:vAlign w:val="center"/>
          </w:tcPr>
          <w:p>
            <w:pPr>
              <w:spacing w:line="300" w:lineRule="auto"/>
              <w:ind w:right="-170" w:rightChars="-81" w:firstLine="422"/>
              <w:rPr>
                <w:b/>
                <w:bCs/>
                <w:color w:val="0000FF"/>
                <w:szCs w:val="21"/>
              </w:rPr>
            </w:pPr>
            <w:r>
              <w:rPr>
                <w:b/>
                <w:bCs/>
                <w:szCs w:val="21"/>
              </w:rPr>
              <w:t>适用专业：</w:t>
            </w:r>
            <w:r>
              <w:rPr>
                <w:b/>
                <w:color w:val="353535"/>
                <w:szCs w:val="21"/>
              </w:rPr>
              <w:t>园艺</w:t>
            </w:r>
          </w:p>
        </w:tc>
      </w:tr>
      <w:tr>
        <w:tblPrEx>
          <w:tblCellMar>
            <w:top w:w="0" w:type="dxa"/>
            <w:left w:w="108" w:type="dxa"/>
            <w:bottom w:w="0" w:type="dxa"/>
            <w:right w:w="108" w:type="dxa"/>
          </w:tblCellMar>
        </w:tblPrEx>
        <w:trPr>
          <w:trHeight w:val="997" w:hRule="atLeast"/>
        </w:trPr>
        <w:tc>
          <w:tcPr>
            <w:tcW w:w="5000" w:type="pct"/>
            <w:gridSpan w:val="3"/>
            <w:vAlign w:val="center"/>
          </w:tcPr>
          <w:p>
            <w:pPr>
              <w:spacing w:line="300" w:lineRule="auto"/>
              <w:ind w:firstLine="422"/>
              <w:rPr>
                <w:b/>
                <w:bCs/>
                <w:szCs w:val="21"/>
              </w:rPr>
            </w:pPr>
            <w:r>
              <w:rPr>
                <w:b/>
                <w:bCs/>
                <w:szCs w:val="21"/>
              </w:rPr>
              <w:t>对先修的要求：</w:t>
            </w:r>
            <w:r>
              <w:rPr>
                <w:b/>
                <w:color w:val="353535"/>
                <w:szCs w:val="21"/>
              </w:rPr>
              <w:t>先修园艺植物栽培学、设施园艺学、园艺植物病虫害防治、农产品贮藏加工学、农产品市场营销学，具备园林景观设计知识</w:t>
            </w:r>
          </w:p>
        </w:tc>
      </w:tr>
      <w:tr>
        <w:tblPrEx>
          <w:tblCellMar>
            <w:top w:w="0" w:type="dxa"/>
            <w:left w:w="108" w:type="dxa"/>
            <w:bottom w:w="0" w:type="dxa"/>
            <w:right w:w="108" w:type="dxa"/>
          </w:tblCellMar>
        </w:tblPrEx>
        <w:trPr>
          <w:trHeight w:val="498" w:hRule="atLeast"/>
        </w:trPr>
        <w:tc>
          <w:tcPr>
            <w:tcW w:w="5000" w:type="pct"/>
            <w:gridSpan w:val="3"/>
            <w:vAlign w:val="center"/>
          </w:tcPr>
          <w:p>
            <w:pPr>
              <w:spacing w:line="300" w:lineRule="auto"/>
              <w:ind w:firstLine="422"/>
              <w:rPr>
                <w:b/>
                <w:bCs/>
                <w:szCs w:val="21"/>
              </w:rPr>
            </w:pPr>
            <w:r>
              <w:rPr>
                <w:b/>
                <w:bCs/>
                <w:szCs w:val="21"/>
              </w:rPr>
              <w:t>对后续的支撑：</w:t>
            </w:r>
            <w:r>
              <w:rPr>
                <w:b/>
                <w:color w:val="353535"/>
                <w:szCs w:val="21"/>
              </w:rPr>
              <w:t>无后续课程</w:t>
            </w:r>
          </w:p>
        </w:tc>
      </w:tr>
      <w:tr>
        <w:tblPrEx>
          <w:tblCellMar>
            <w:top w:w="0" w:type="dxa"/>
            <w:left w:w="108" w:type="dxa"/>
            <w:bottom w:w="0" w:type="dxa"/>
            <w:right w:w="108" w:type="dxa"/>
          </w:tblCellMar>
        </w:tblPrEx>
        <w:trPr>
          <w:trHeight w:val="498" w:hRule="atLeast"/>
        </w:trPr>
        <w:tc>
          <w:tcPr>
            <w:tcW w:w="1303" w:type="pct"/>
            <w:vAlign w:val="center"/>
          </w:tcPr>
          <w:p>
            <w:pPr>
              <w:spacing w:line="300" w:lineRule="auto"/>
              <w:ind w:firstLine="422"/>
              <w:rPr>
                <w:b/>
                <w:bCs/>
                <w:szCs w:val="21"/>
              </w:rPr>
            </w:pPr>
            <w:r>
              <w:rPr>
                <w:b/>
                <w:bCs/>
                <w:szCs w:val="21"/>
              </w:rPr>
              <w:t>主撰人：</w:t>
            </w:r>
            <w:r>
              <w:rPr>
                <w:rFonts w:hint="eastAsia"/>
                <w:b/>
                <w:bCs/>
                <w:szCs w:val="21"/>
              </w:rPr>
              <w:t>崔丹丹</w:t>
            </w:r>
          </w:p>
        </w:tc>
        <w:tc>
          <w:tcPr>
            <w:tcW w:w="1944" w:type="pct"/>
            <w:vAlign w:val="center"/>
          </w:tcPr>
          <w:p>
            <w:pPr>
              <w:spacing w:line="300" w:lineRule="auto"/>
              <w:ind w:firstLine="422"/>
              <w:rPr>
                <w:b/>
                <w:bCs/>
                <w:szCs w:val="21"/>
              </w:rPr>
            </w:pPr>
            <w:r>
              <w:rPr>
                <w:b/>
                <w:bCs/>
                <w:szCs w:val="21"/>
              </w:rPr>
              <w:t>审核人：李阳</w:t>
            </w:r>
          </w:p>
        </w:tc>
        <w:tc>
          <w:tcPr>
            <w:tcW w:w="1753" w:type="pct"/>
            <w:vAlign w:val="center"/>
          </w:tcPr>
          <w:p>
            <w:pPr>
              <w:spacing w:line="300" w:lineRule="auto"/>
              <w:ind w:firstLine="422"/>
              <w:rPr>
                <w:b/>
                <w:bCs/>
                <w:szCs w:val="21"/>
              </w:rPr>
            </w:pPr>
            <w:r>
              <w:rPr>
                <w:b/>
                <w:bCs/>
                <w:szCs w:val="21"/>
              </w:rPr>
              <w:t>大纲制定（修订）日期：</w:t>
            </w:r>
            <w:r>
              <w:rPr>
                <w:rFonts w:hint="eastAsia"/>
                <w:b/>
                <w:bCs/>
                <w:szCs w:val="21"/>
              </w:rPr>
              <w:t>2</w:t>
            </w:r>
            <w:r>
              <w:rPr>
                <w:b/>
                <w:bCs/>
                <w:szCs w:val="21"/>
              </w:rPr>
              <w:t>023</w:t>
            </w:r>
            <w:r>
              <w:rPr>
                <w:rFonts w:hint="eastAsia"/>
                <w:b/>
                <w:bCs/>
                <w:szCs w:val="21"/>
              </w:rPr>
              <w:t>.05</w:t>
            </w:r>
          </w:p>
        </w:tc>
      </w:tr>
    </w:tbl>
    <w:p>
      <w:pPr>
        <w:widowControl/>
        <w:snapToGrid w:val="0"/>
        <w:spacing w:line="360" w:lineRule="auto"/>
        <w:jc w:val="left"/>
        <w:rPr>
          <w:kern w:val="0"/>
          <w:szCs w:val="21"/>
        </w:rPr>
      </w:pPr>
      <w:r>
        <w:rPr>
          <w:b/>
          <w:bCs/>
          <w:kern w:val="0"/>
          <w:szCs w:val="21"/>
        </w:rPr>
        <w:t>一、课程的教学理念、性质、目标和任务</w:t>
      </w:r>
    </w:p>
    <w:p>
      <w:pPr>
        <w:snapToGrid w:val="0"/>
        <w:spacing w:line="360" w:lineRule="auto"/>
        <w:ind w:firstLine="420" w:firstLineChars="200"/>
        <w:rPr>
          <w:color w:val="353535"/>
          <w:kern w:val="0"/>
          <w:szCs w:val="21"/>
        </w:rPr>
      </w:pPr>
      <w:r>
        <w:rPr>
          <w:color w:val="353535"/>
          <w:kern w:val="0"/>
          <w:szCs w:val="21"/>
        </w:rPr>
        <w:t>《</w:t>
      </w:r>
      <w:r>
        <w:rPr>
          <w:rFonts w:hint="eastAsia"/>
          <w:color w:val="353535"/>
          <w:kern w:val="0"/>
          <w:szCs w:val="21"/>
        </w:rPr>
        <w:t>都市</w:t>
      </w:r>
      <w:r>
        <w:rPr>
          <w:color w:val="353535"/>
          <w:kern w:val="0"/>
          <w:szCs w:val="21"/>
        </w:rPr>
        <w:t>园艺》</w:t>
      </w:r>
      <w:r>
        <w:rPr>
          <w:rFonts w:hint="eastAsia"/>
          <w:color w:val="353535"/>
          <w:kern w:val="0"/>
          <w:szCs w:val="21"/>
        </w:rPr>
        <w:t>是</w:t>
      </w:r>
      <w:r>
        <w:rPr>
          <w:color w:val="353535"/>
          <w:kern w:val="0"/>
          <w:szCs w:val="21"/>
        </w:rPr>
        <w:t>园艺和园林相融合的一门课程，以园艺植物栽培学、设施园艺学、园艺植物病虫害防治、园林景观设计等知识为基础，通过讲授都市园艺设计的基本理论、基本方法，分析</w:t>
      </w:r>
      <w:r>
        <w:rPr>
          <w:rFonts w:hint="eastAsia"/>
          <w:color w:val="353535"/>
          <w:kern w:val="0"/>
          <w:szCs w:val="21"/>
        </w:rPr>
        <w:t>家庭</w:t>
      </w:r>
      <w:r>
        <w:rPr>
          <w:color w:val="353535"/>
          <w:kern w:val="0"/>
          <w:szCs w:val="21"/>
        </w:rPr>
        <w:t>园艺、</w:t>
      </w:r>
      <w:r>
        <w:rPr>
          <w:rFonts w:hint="eastAsia"/>
          <w:color w:val="353535"/>
          <w:kern w:val="0"/>
          <w:szCs w:val="21"/>
        </w:rPr>
        <w:t>花艺、</w:t>
      </w:r>
      <w:r>
        <w:rPr>
          <w:color w:val="353535"/>
          <w:kern w:val="0"/>
          <w:szCs w:val="21"/>
        </w:rPr>
        <w:t>都市生态观光旅游规划与设计的案例，使学生初步具备阳台与屋顶花园的园艺植物制作、插花艺术设计与制作、压花艺术设计与制作、盆景艺术设计、造景设计、无土栽培等方面的能力。使学生能够将园艺与生活、文化、艺术等紧密结合，具备通过都市园艺进一步提升农业产值和效益的方法和技能。同时，注重理论与生产实践紧密联系，培养学生的创新性思维和综合性思维。</w:t>
      </w:r>
    </w:p>
    <w:p>
      <w:pPr>
        <w:widowControl/>
        <w:snapToGrid w:val="0"/>
        <w:spacing w:line="360" w:lineRule="auto"/>
        <w:jc w:val="left"/>
        <w:rPr>
          <w:b/>
          <w:bCs/>
          <w:kern w:val="0"/>
          <w:szCs w:val="21"/>
        </w:rPr>
      </w:pPr>
      <w:r>
        <w:rPr>
          <w:b/>
          <w:bCs/>
          <w:kern w:val="0"/>
          <w:szCs w:val="21"/>
        </w:rPr>
        <w:t>二、课程教学的基本要求</w:t>
      </w:r>
    </w:p>
    <w:p>
      <w:pPr>
        <w:snapToGrid w:val="0"/>
        <w:spacing w:line="360" w:lineRule="auto"/>
        <w:ind w:firstLine="420" w:firstLineChars="200"/>
        <w:rPr>
          <w:kern w:val="0"/>
          <w:szCs w:val="21"/>
        </w:rPr>
      </w:pPr>
      <w:r>
        <w:rPr>
          <w:kern w:val="0"/>
          <w:szCs w:val="21"/>
        </w:rPr>
        <w:t>1. 理论知识方面：了解都市园艺的功能、美学原理、设计</w:t>
      </w:r>
      <w:r>
        <w:rPr>
          <w:rFonts w:hint="eastAsia"/>
          <w:kern w:val="0"/>
          <w:szCs w:val="21"/>
        </w:rPr>
        <w:t>原则</w:t>
      </w:r>
      <w:r>
        <w:rPr>
          <w:kern w:val="0"/>
          <w:szCs w:val="21"/>
        </w:rPr>
        <w:t>等，理解都市园艺对人们生活的重要性；</w:t>
      </w:r>
      <w:r>
        <w:rPr>
          <w:rFonts w:hint="eastAsia"/>
          <w:kern w:val="0"/>
          <w:szCs w:val="21"/>
        </w:rPr>
        <w:t>了解室内</w:t>
      </w:r>
      <w:r>
        <w:rPr>
          <w:kern w:val="0"/>
          <w:szCs w:val="21"/>
        </w:rPr>
        <w:t>园艺、庭院园艺、休闲观光园区的规划设计与管理、园艺造景等基础知识；了解插花和压花技术；了解园艺疗法的特点和疗效；掌握园艺植物栽培管理相关的基础知识及病虫害的鉴别和防治技术。</w:t>
      </w:r>
    </w:p>
    <w:p>
      <w:pPr>
        <w:snapToGrid w:val="0"/>
        <w:spacing w:line="360" w:lineRule="auto"/>
        <w:ind w:firstLine="420" w:firstLineChars="200"/>
        <w:rPr>
          <w:bCs/>
          <w:color w:val="0000FF"/>
          <w:kern w:val="0"/>
          <w:szCs w:val="21"/>
        </w:rPr>
      </w:pPr>
      <w:r>
        <w:rPr>
          <w:kern w:val="0"/>
          <w:szCs w:val="21"/>
        </w:rPr>
        <w:t>2. 实验技能方面：</w:t>
      </w:r>
      <w:r>
        <w:rPr>
          <w:rFonts w:hint="eastAsia"/>
          <w:color w:val="353535"/>
          <w:kern w:val="0"/>
          <w:szCs w:val="21"/>
        </w:rPr>
        <w:t>课程</w:t>
      </w:r>
      <w:r>
        <w:rPr>
          <w:color w:val="353535"/>
          <w:kern w:val="0"/>
          <w:szCs w:val="21"/>
        </w:rPr>
        <w:t>未设置实验内容。</w:t>
      </w:r>
    </w:p>
    <w:p>
      <w:pPr>
        <w:widowControl/>
        <w:snapToGrid w:val="0"/>
        <w:spacing w:line="360" w:lineRule="auto"/>
        <w:jc w:val="left"/>
        <w:rPr>
          <w:b/>
          <w:bCs/>
          <w:kern w:val="0"/>
          <w:szCs w:val="21"/>
        </w:rPr>
      </w:pPr>
      <w:r>
        <w:rPr>
          <w:b/>
          <w:bCs/>
          <w:kern w:val="0"/>
          <w:szCs w:val="21"/>
        </w:rPr>
        <w:t>三、课程的教学设计</w:t>
      </w:r>
    </w:p>
    <w:p>
      <w:pPr>
        <w:snapToGrid w:val="0"/>
        <w:spacing w:line="360" w:lineRule="auto"/>
        <w:ind w:firstLine="420" w:firstLineChars="200"/>
        <w:rPr>
          <w:bCs/>
          <w:kern w:val="0"/>
          <w:szCs w:val="21"/>
        </w:rPr>
      </w:pPr>
      <w:r>
        <w:rPr>
          <w:bCs/>
          <w:kern w:val="0"/>
          <w:szCs w:val="21"/>
        </w:rPr>
        <w:t>1. 教学设计说明</w:t>
      </w:r>
    </w:p>
    <w:p>
      <w:pPr>
        <w:snapToGrid w:val="0"/>
        <w:spacing w:line="360" w:lineRule="auto"/>
        <w:ind w:firstLine="420" w:firstLineChars="200"/>
        <w:rPr>
          <w:color w:val="353535"/>
          <w:kern w:val="0"/>
          <w:szCs w:val="21"/>
        </w:rPr>
      </w:pPr>
      <w:r>
        <w:rPr>
          <w:color w:val="353535"/>
          <w:kern w:val="0"/>
          <w:szCs w:val="21"/>
        </w:rPr>
        <w:t>本课程采用启发式教学、翻转课堂、自主探究等教学方法。理论教学采用“学生自学”、“教师课堂讲授”、“课堂讨论”、“学生分享”等途径</w:t>
      </w:r>
      <w:r>
        <w:rPr>
          <w:rFonts w:hint="eastAsia"/>
          <w:color w:val="353535"/>
          <w:kern w:val="0"/>
          <w:szCs w:val="21"/>
        </w:rPr>
        <w:t>进行</w:t>
      </w:r>
      <w:r>
        <w:rPr>
          <w:color w:val="353535"/>
          <w:kern w:val="0"/>
          <w:szCs w:val="21"/>
        </w:rPr>
        <w:t>。</w:t>
      </w:r>
    </w:p>
    <w:p>
      <w:pPr>
        <w:snapToGrid w:val="0"/>
        <w:spacing w:line="360" w:lineRule="auto"/>
        <w:ind w:firstLine="420" w:firstLineChars="200"/>
        <w:rPr>
          <w:bCs/>
          <w:color w:val="0000FF"/>
          <w:kern w:val="0"/>
          <w:szCs w:val="21"/>
        </w:rPr>
      </w:pPr>
      <w:r>
        <w:rPr>
          <w:bCs/>
          <w:kern w:val="0"/>
          <w:szCs w:val="21"/>
        </w:rPr>
        <w:t>2. 课程目标及对毕业要求的支撑</w:t>
      </w:r>
    </w:p>
    <w:tbl>
      <w:tblPr>
        <w:tblStyle w:val="22"/>
        <w:tblW w:w="8954" w:type="dxa"/>
        <w:jc w:val="center"/>
        <w:tblLayout w:type="autofit"/>
        <w:tblCellMar>
          <w:top w:w="0" w:type="dxa"/>
          <w:left w:w="108" w:type="dxa"/>
          <w:bottom w:w="0" w:type="dxa"/>
          <w:right w:w="108" w:type="dxa"/>
        </w:tblCellMar>
      </w:tblPr>
      <w:tblGrid>
        <w:gridCol w:w="1005"/>
        <w:gridCol w:w="6891"/>
        <w:gridCol w:w="1058"/>
      </w:tblGrid>
      <w:tr>
        <w:tblPrEx>
          <w:tblCellMar>
            <w:top w:w="0" w:type="dxa"/>
            <w:left w:w="108" w:type="dxa"/>
            <w:bottom w:w="0" w:type="dxa"/>
            <w:right w:w="108" w:type="dxa"/>
          </w:tblCellMar>
        </w:tblPrEx>
        <w:trPr>
          <w:trHeight w:val="323" w:hRule="atLeast"/>
          <w:jc w:val="center"/>
        </w:trPr>
        <w:tc>
          <w:tcPr>
            <w:tcW w:w="100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napToGrid w:val="0"/>
              <w:spacing w:line="300" w:lineRule="auto"/>
              <w:ind w:firstLine="361"/>
              <w:jc w:val="center"/>
              <w:rPr>
                <w:b/>
                <w:bCs/>
                <w:sz w:val="18"/>
                <w:szCs w:val="18"/>
              </w:rPr>
            </w:pPr>
            <w:r>
              <w:rPr>
                <w:b/>
                <w:bCs/>
                <w:sz w:val="18"/>
                <w:szCs w:val="18"/>
              </w:rPr>
              <w:t>序号</w:t>
            </w:r>
          </w:p>
        </w:tc>
        <w:tc>
          <w:tcPr>
            <w:tcW w:w="689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napToGrid w:val="0"/>
              <w:spacing w:line="300" w:lineRule="auto"/>
              <w:ind w:firstLine="361"/>
              <w:jc w:val="center"/>
              <w:rPr>
                <w:b/>
                <w:bCs/>
                <w:sz w:val="18"/>
                <w:szCs w:val="18"/>
              </w:rPr>
            </w:pPr>
            <w:r>
              <w:rPr>
                <w:b/>
                <w:bCs/>
                <w:sz w:val="18"/>
                <w:szCs w:val="18"/>
              </w:rPr>
              <w:t>课程目标</w:t>
            </w:r>
          </w:p>
        </w:tc>
        <w:tc>
          <w:tcPr>
            <w:tcW w:w="105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napToGrid w:val="0"/>
              <w:spacing w:line="300" w:lineRule="auto"/>
              <w:jc w:val="center"/>
              <w:rPr>
                <w:b/>
                <w:bCs/>
                <w:sz w:val="18"/>
                <w:szCs w:val="18"/>
              </w:rPr>
            </w:pPr>
            <w:r>
              <w:rPr>
                <w:b/>
                <w:bCs/>
                <w:sz w:val="18"/>
                <w:szCs w:val="18"/>
              </w:rPr>
              <w:t>毕业要求</w:t>
            </w:r>
          </w:p>
        </w:tc>
      </w:tr>
      <w:tr>
        <w:tblPrEx>
          <w:tblCellMar>
            <w:top w:w="0" w:type="dxa"/>
            <w:left w:w="108" w:type="dxa"/>
            <w:bottom w:w="0" w:type="dxa"/>
            <w:right w:w="108" w:type="dxa"/>
          </w:tblCellMar>
        </w:tblPrEx>
        <w:trPr>
          <w:trHeight w:val="77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center"/>
              <w:rPr>
                <w:rFonts w:eastAsiaTheme="minorEastAsia"/>
                <w:sz w:val="18"/>
                <w:szCs w:val="18"/>
              </w:rPr>
            </w:pPr>
            <w:r>
              <w:rPr>
                <w:rFonts w:eastAsiaTheme="minorEastAsia"/>
                <w:sz w:val="18"/>
                <w:szCs w:val="18"/>
              </w:rPr>
              <w:t>1</w:t>
            </w:r>
          </w:p>
        </w:tc>
        <w:tc>
          <w:tcPr>
            <w:tcW w:w="689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left"/>
              <w:rPr>
                <w:rFonts w:eastAsiaTheme="minorEastAsia"/>
                <w:sz w:val="18"/>
                <w:szCs w:val="18"/>
              </w:rPr>
            </w:pPr>
            <w:r>
              <w:rPr>
                <w:rFonts w:hint="eastAsia" w:eastAsiaTheme="minorEastAsia"/>
                <w:sz w:val="18"/>
                <w:szCs w:val="18"/>
              </w:rPr>
              <w:t>培养</w:t>
            </w:r>
            <w:r>
              <w:rPr>
                <w:rFonts w:eastAsiaTheme="minorEastAsia"/>
                <w:sz w:val="18"/>
                <w:szCs w:val="18"/>
              </w:rPr>
              <w:t>学生的人文素养和终身学习的能力，提升审美意识，增强专业认同感等。</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both"/>
              <w:rPr>
                <w:rFonts w:eastAsiaTheme="minorEastAsia"/>
                <w:sz w:val="18"/>
                <w:szCs w:val="18"/>
              </w:rPr>
            </w:pPr>
            <w:r>
              <w:rPr>
                <w:rFonts w:eastAsiaTheme="minorEastAsia"/>
                <w:sz w:val="18"/>
                <w:szCs w:val="18"/>
              </w:rPr>
              <w:t>2</w:t>
            </w:r>
          </w:p>
          <w:p>
            <w:pPr>
              <w:snapToGrid w:val="0"/>
              <w:spacing w:line="300" w:lineRule="auto"/>
              <w:ind w:firstLine="360"/>
              <w:jc w:val="both"/>
              <w:rPr>
                <w:rFonts w:eastAsiaTheme="minorEastAsia"/>
                <w:sz w:val="18"/>
                <w:szCs w:val="18"/>
              </w:rPr>
            </w:pPr>
            <w:r>
              <w:rPr>
                <w:rFonts w:eastAsiaTheme="minorEastAsia"/>
                <w:sz w:val="18"/>
                <w:szCs w:val="18"/>
              </w:rPr>
              <w:t>10</w:t>
            </w:r>
          </w:p>
        </w:tc>
      </w:tr>
      <w:tr>
        <w:tblPrEx>
          <w:tblCellMar>
            <w:top w:w="0" w:type="dxa"/>
            <w:left w:w="108" w:type="dxa"/>
            <w:bottom w:w="0" w:type="dxa"/>
            <w:right w:w="108" w:type="dxa"/>
          </w:tblCellMar>
        </w:tblPrEx>
        <w:trPr>
          <w:trHeight w:val="77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center"/>
              <w:rPr>
                <w:rFonts w:eastAsiaTheme="minorEastAsia"/>
                <w:sz w:val="18"/>
                <w:szCs w:val="18"/>
              </w:rPr>
            </w:pPr>
            <w:r>
              <w:rPr>
                <w:rFonts w:eastAsiaTheme="minorEastAsia"/>
                <w:sz w:val="18"/>
                <w:szCs w:val="18"/>
              </w:rPr>
              <w:t>2</w:t>
            </w:r>
          </w:p>
        </w:tc>
        <w:tc>
          <w:tcPr>
            <w:tcW w:w="689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left"/>
              <w:rPr>
                <w:rFonts w:eastAsiaTheme="minorEastAsia"/>
                <w:sz w:val="18"/>
                <w:szCs w:val="18"/>
                <w:highlight w:val="yellow"/>
              </w:rPr>
            </w:pPr>
            <w:r>
              <w:rPr>
                <w:rFonts w:eastAsiaTheme="minorEastAsia"/>
                <w:sz w:val="18"/>
                <w:szCs w:val="18"/>
              </w:rPr>
              <w:t>培养学生的创新性思维，使学生具备</w:t>
            </w:r>
            <w:r>
              <w:rPr>
                <w:rFonts w:hint="eastAsia" w:eastAsiaTheme="minorEastAsia"/>
                <w:sz w:val="18"/>
                <w:szCs w:val="18"/>
              </w:rPr>
              <w:t>都市</w:t>
            </w:r>
            <w:r>
              <w:rPr>
                <w:rFonts w:eastAsiaTheme="minorEastAsia"/>
                <w:sz w:val="18"/>
                <w:szCs w:val="18"/>
              </w:rPr>
              <w:t>园艺相关产品开发的能力。</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both"/>
              <w:rPr>
                <w:rFonts w:eastAsiaTheme="minorEastAsia"/>
                <w:sz w:val="18"/>
                <w:szCs w:val="18"/>
              </w:rPr>
            </w:pPr>
            <w:r>
              <w:rPr>
                <w:rFonts w:eastAsiaTheme="minorEastAsia"/>
                <w:sz w:val="18"/>
                <w:szCs w:val="18"/>
              </w:rPr>
              <w:t>5</w:t>
            </w:r>
          </w:p>
          <w:p>
            <w:pPr>
              <w:snapToGrid w:val="0"/>
              <w:spacing w:line="300" w:lineRule="auto"/>
              <w:ind w:firstLine="360"/>
              <w:jc w:val="both"/>
              <w:rPr>
                <w:rFonts w:eastAsiaTheme="minorEastAsia"/>
                <w:sz w:val="18"/>
                <w:szCs w:val="18"/>
              </w:rPr>
            </w:pPr>
            <w:r>
              <w:rPr>
                <w:rFonts w:eastAsiaTheme="minorEastAsia"/>
                <w:sz w:val="18"/>
                <w:szCs w:val="18"/>
              </w:rPr>
              <w:t>7</w:t>
            </w:r>
          </w:p>
        </w:tc>
      </w:tr>
      <w:tr>
        <w:tblPrEx>
          <w:tblCellMar>
            <w:top w:w="0" w:type="dxa"/>
            <w:left w:w="108" w:type="dxa"/>
            <w:bottom w:w="0" w:type="dxa"/>
            <w:right w:w="108" w:type="dxa"/>
          </w:tblCellMar>
        </w:tblPrEx>
        <w:trPr>
          <w:trHeight w:val="77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center"/>
              <w:rPr>
                <w:rFonts w:eastAsiaTheme="minorEastAsia"/>
                <w:sz w:val="18"/>
                <w:szCs w:val="18"/>
              </w:rPr>
            </w:pPr>
            <w:r>
              <w:rPr>
                <w:rFonts w:eastAsiaTheme="minorEastAsia"/>
                <w:sz w:val="18"/>
                <w:szCs w:val="18"/>
              </w:rPr>
              <w:t>3</w:t>
            </w:r>
          </w:p>
        </w:tc>
        <w:tc>
          <w:tcPr>
            <w:tcW w:w="6891"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left"/>
              <w:rPr>
                <w:rFonts w:eastAsiaTheme="minorEastAsia"/>
                <w:sz w:val="18"/>
                <w:szCs w:val="18"/>
              </w:rPr>
            </w:pPr>
            <w:r>
              <w:rPr>
                <w:rFonts w:eastAsiaTheme="minorEastAsia"/>
                <w:sz w:val="18"/>
                <w:szCs w:val="18"/>
              </w:rPr>
              <w:t>具备通过</w:t>
            </w:r>
            <w:r>
              <w:rPr>
                <w:rFonts w:hint="eastAsia" w:eastAsiaTheme="minorEastAsia"/>
                <w:sz w:val="18"/>
                <w:szCs w:val="18"/>
              </w:rPr>
              <w:t>都市园艺</w:t>
            </w:r>
            <w:r>
              <w:rPr>
                <w:rFonts w:eastAsiaTheme="minorEastAsia"/>
                <w:sz w:val="18"/>
                <w:szCs w:val="18"/>
              </w:rPr>
              <w:t>提升农业产值和效益的方法和技能。</w:t>
            </w:r>
          </w:p>
        </w:tc>
        <w:tc>
          <w:tcPr>
            <w:tcW w:w="105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ind w:firstLine="360"/>
              <w:jc w:val="both"/>
              <w:rPr>
                <w:rFonts w:eastAsiaTheme="minorEastAsia"/>
                <w:sz w:val="18"/>
                <w:szCs w:val="18"/>
              </w:rPr>
            </w:pPr>
            <w:r>
              <w:rPr>
                <w:rFonts w:eastAsiaTheme="minorEastAsia"/>
                <w:sz w:val="18"/>
                <w:szCs w:val="18"/>
              </w:rPr>
              <w:t>5</w:t>
            </w:r>
          </w:p>
          <w:p>
            <w:pPr>
              <w:snapToGrid w:val="0"/>
              <w:spacing w:line="300" w:lineRule="auto"/>
              <w:ind w:firstLine="360"/>
              <w:jc w:val="both"/>
              <w:rPr>
                <w:rFonts w:eastAsiaTheme="minorEastAsia"/>
                <w:sz w:val="18"/>
                <w:szCs w:val="18"/>
              </w:rPr>
            </w:pPr>
            <w:r>
              <w:rPr>
                <w:rFonts w:eastAsiaTheme="minorEastAsia"/>
                <w:sz w:val="18"/>
                <w:szCs w:val="18"/>
              </w:rPr>
              <w:t>6</w:t>
            </w:r>
          </w:p>
        </w:tc>
      </w:tr>
    </w:tbl>
    <w:p>
      <w:pPr>
        <w:snapToGrid w:val="0"/>
        <w:spacing w:line="360" w:lineRule="auto"/>
        <w:ind w:firstLine="420" w:firstLineChars="200"/>
        <w:rPr>
          <w:bCs/>
          <w:color w:val="0000FF"/>
          <w:kern w:val="0"/>
          <w:szCs w:val="21"/>
        </w:rPr>
      </w:pPr>
    </w:p>
    <w:p>
      <w:pPr>
        <w:widowControl/>
        <w:snapToGrid w:val="0"/>
        <w:spacing w:line="360" w:lineRule="auto"/>
        <w:jc w:val="left"/>
        <w:rPr>
          <w:b/>
          <w:bCs/>
          <w:kern w:val="0"/>
          <w:szCs w:val="21"/>
        </w:rPr>
      </w:pPr>
      <w:r>
        <w:rPr>
          <w:b/>
          <w:bCs/>
          <w:kern w:val="0"/>
          <w:szCs w:val="21"/>
        </w:rPr>
        <w:t>四、理论教学内容及学时分配（32学时）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b/>
                <w:bCs/>
                <w:szCs w:val="21"/>
              </w:rPr>
              <w:t>绪论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：使学生认识到园艺对人们都市生活的重要性和意义，增强专业认同感，激发对本课程学习的兴趣。</w:t>
      </w:r>
    </w:p>
    <w:p>
      <w:pPr>
        <w:widowControl/>
        <w:snapToGrid w:val="0"/>
        <w:spacing w:line="360" w:lineRule="auto"/>
        <w:rPr>
          <w:color w:val="353535"/>
          <w:kern w:val="0"/>
          <w:szCs w:val="21"/>
        </w:rPr>
      </w:pPr>
      <w:r>
        <w:rPr>
          <w:b/>
          <w:bCs/>
          <w:color w:val="353535"/>
          <w:kern w:val="0"/>
          <w:szCs w:val="21"/>
        </w:rPr>
        <w:t>教学难点和重点</w:t>
      </w:r>
      <w:r>
        <w:rPr>
          <w:color w:val="353535"/>
          <w:kern w:val="0"/>
          <w:szCs w:val="21"/>
        </w:rPr>
        <w:t>：</w:t>
      </w:r>
      <w:r>
        <w:rPr>
          <w:rFonts w:hint="eastAsia"/>
          <w:color w:val="353535"/>
          <w:kern w:val="0"/>
          <w:szCs w:val="21"/>
        </w:rPr>
        <w:t>都市</w:t>
      </w:r>
      <w:r>
        <w:rPr>
          <w:color w:val="353535"/>
          <w:kern w:val="0"/>
          <w:szCs w:val="21"/>
        </w:rPr>
        <w:t>园艺的概念、都市园艺的特点；</w:t>
      </w:r>
      <w:r>
        <w:rPr>
          <w:rFonts w:hint="eastAsia"/>
          <w:color w:val="353535"/>
          <w:kern w:val="0"/>
          <w:szCs w:val="21"/>
        </w:rPr>
        <w:t>都市</w:t>
      </w:r>
      <w:r>
        <w:rPr>
          <w:color w:val="353535"/>
          <w:kern w:val="0"/>
          <w:szCs w:val="21"/>
        </w:rPr>
        <w:t>园艺的现状</w:t>
      </w:r>
      <w:r>
        <w:rPr>
          <w:rFonts w:hint="eastAsia"/>
          <w:color w:val="353535"/>
          <w:kern w:val="0"/>
          <w:szCs w:val="21"/>
        </w:rPr>
        <w:t>和</w:t>
      </w:r>
      <w:r>
        <w:rPr>
          <w:color w:val="353535"/>
          <w:kern w:val="0"/>
          <w:szCs w:val="21"/>
        </w:rPr>
        <w:t>发展趋势。</w:t>
      </w:r>
    </w:p>
    <w:p>
      <w:pPr>
        <w:widowControl/>
        <w:snapToGrid w:val="0"/>
        <w:spacing w:line="360" w:lineRule="auto"/>
        <w:rPr>
          <w:color w:val="353535"/>
          <w:kern w:val="0"/>
          <w:szCs w:val="21"/>
        </w:rPr>
      </w:pPr>
      <w:r>
        <w:rPr>
          <w:b/>
          <w:bCs/>
          <w:szCs w:val="21"/>
        </w:rPr>
        <w:t>主要教学内容及要求：</w:t>
      </w:r>
      <w:r>
        <w:rPr>
          <w:color w:val="353535"/>
          <w:kern w:val="0"/>
          <w:szCs w:val="21"/>
        </w:rPr>
        <w:t>熟记</w:t>
      </w:r>
      <w:r>
        <w:rPr>
          <w:rFonts w:hint="eastAsia"/>
          <w:color w:val="353535"/>
          <w:kern w:val="0"/>
          <w:szCs w:val="21"/>
        </w:rPr>
        <w:t>都市</w:t>
      </w:r>
      <w:r>
        <w:rPr>
          <w:color w:val="353535"/>
          <w:kern w:val="0"/>
          <w:szCs w:val="21"/>
        </w:rPr>
        <w:t>园艺的概念、特点和意义，了解</w:t>
      </w:r>
      <w:r>
        <w:rPr>
          <w:rFonts w:hint="eastAsia"/>
          <w:color w:val="353535"/>
          <w:kern w:val="0"/>
          <w:szCs w:val="21"/>
        </w:rPr>
        <w:t>都市</w:t>
      </w:r>
      <w:r>
        <w:rPr>
          <w:color w:val="353535"/>
          <w:kern w:val="0"/>
          <w:szCs w:val="21"/>
        </w:rPr>
        <w:t>园艺的发展缘由和历程。理解</w:t>
      </w:r>
      <w:r>
        <w:rPr>
          <w:rFonts w:hint="eastAsia"/>
          <w:color w:val="353535"/>
          <w:kern w:val="0"/>
          <w:szCs w:val="21"/>
        </w:rPr>
        <w:t>都市</w:t>
      </w:r>
      <w:r>
        <w:rPr>
          <w:color w:val="353535"/>
          <w:kern w:val="0"/>
          <w:szCs w:val="21"/>
        </w:rPr>
        <w:t>园艺的作用</w:t>
      </w:r>
      <w:r>
        <w:rPr>
          <w:rFonts w:hint="eastAsia"/>
          <w:color w:val="353535"/>
          <w:kern w:val="0"/>
          <w:szCs w:val="21"/>
        </w:rPr>
        <w:t>。</w:t>
      </w:r>
    </w:p>
    <w:p>
      <w:pPr>
        <w:widowControl/>
        <w:snapToGrid w:val="0"/>
        <w:spacing w:line="360" w:lineRule="auto"/>
        <w:rPr>
          <w:color w:val="353535"/>
          <w:kern w:val="0"/>
          <w:szCs w:val="21"/>
        </w:rPr>
      </w:pPr>
      <w:r>
        <w:rPr>
          <w:b/>
          <w:bCs/>
          <w:szCs w:val="21"/>
        </w:rPr>
        <w:t>教学组织与实施：</w:t>
      </w:r>
      <w:r>
        <w:rPr>
          <w:color w:val="353535"/>
          <w:kern w:val="0"/>
          <w:szCs w:val="21"/>
        </w:rPr>
        <w:t>提前向学生布置本节讲课内容，提出课外阅读要求和课堂提问内容。利用多媒体设备进行讲解，课堂上就本课程的重要性、国内外发展概况进行提问。</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b/>
                <w:bCs/>
                <w:szCs w:val="21"/>
              </w:rPr>
              <w:t xml:space="preserve">第一章 </w:t>
            </w:r>
            <w:r>
              <w:rPr>
                <w:b/>
                <w:bCs/>
                <w:szCs w:val="21"/>
              </w:rPr>
              <w:t xml:space="preserve"> </w:t>
            </w:r>
            <w:r>
              <w:rPr>
                <w:rFonts w:hint="eastAsia"/>
                <w:b/>
                <w:bCs/>
                <w:szCs w:val="21"/>
              </w:rPr>
              <w:t>室内园艺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8</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w:t>
      </w:r>
      <w:r>
        <w:rPr>
          <w:rFonts w:hint="eastAsia"/>
          <w:color w:val="353535"/>
          <w:kern w:val="0"/>
          <w:szCs w:val="21"/>
        </w:rPr>
        <w:t>了解</w:t>
      </w:r>
      <w:r>
        <w:rPr>
          <w:color w:val="353535"/>
          <w:kern w:val="0"/>
          <w:szCs w:val="21"/>
        </w:rPr>
        <w:t>室内园艺植物的栽培方法，理解其种植管理技术</w:t>
      </w:r>
      <w:r>
        <w:rPr>
          <w:rFonts w:hint="eastAsia"/>
          <w:color w:val="353535"/>
          <w:kern w:val="0"/>
          <w:szCs w:val="21"/>
        </w:rPr>
        <w:t>；</w:t>
      </w:r>
      <w:r>
        <w:rPr>
          <w:color w:val="353535"/>
          <w:kern w:val="0"/>
          <w:szCs w:val="21"/>
        </w:rPr>
        <w:t>理解无土栽培和种苗繁育的关键技术</w:t>
      </w:r>
      <w:r>
        <w:rPr>
          <w:rFonts w:hint="eastAsia"/>
          <w:color w:val="353535"/>
          <w:kern w:val="0"/>
          <w:szCs w:val="21"/>
        </w:rPr>
        <w:t>；</w:t>
      </w:r>
      <w:r>
        <w:rPr>
          <w:color w:val="353535"/>
          <w:kern w:val="0"/>
          <w:szCs w:val="21"/>
        </w:rPr>
        <w:t>了解阳台园艺的种类、栽培过程和管理措施</w:t>
      </w:r>
      <w:r>
        <w:rPr>
          <w:rFonts w:hint="eastAsia"/>
          <w:color w:val="353535"/>
          <w:kern w:val="0"/>
          <w:szCs w:val="21"/>
        </w:rPr>
        <w:t>，</w:t>
      </w:r>
      <w:r>
        <w:rPr>
          <w:color w:val="353535"/>
          <w:kern w:val="0"/>
          <w:szCs w:val="21"/>
        </w:rPr>
        <w:t>掌握阳台园艺的特点。</w:t>
      </w:r>
    </w:p>
    <w:p>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：本章重点为</w:t>
      </w:r>
      <w:r>
        <w:rPr>
          <w:rFonts w:hint="eastAsia"/>
          <w:color w:val="353535"/>
          <w:kern w:val="0"/>
          <w:szCs w:val="21"/>
        </w:rPr>
        <w:t>室内园艺植物的栽培管理技术，室内园艺植物的无土栽培技术，常见园艺植物的种苗繁育方法，阳台园艺植物的病虫害防治。难点为园艺植物的病虫害防治。</w:t>
      </w:r>
    </w:p>
    <w:p>
      <w:pPr>
        <w:widowControl/>
        <w:snapToGrid w:val="0"/>
        <w:spacing w:line="360" w:lineRule="auto"/>
        <w:jc w:val="left"/>
        <w:rPr>
          <w:color w:val="353535"/>
          <w:kern w:val="0"/>
          <w:szCs w:val="21"/>
        </w:rPr>
      </w:pPr>
      <w:r>
        <w:rPr>
          <w:b/>
          <w:bCs/>
          <w:szCs w:val="21"/>
        </w:rPr>
        <w:t>主要教学内容及要求：</w:t>
      </w:r>
      <w:r>
        <w:rPr>
          <w:color w:val="353535"/>
          <w:kern w:val="0"/>
          <w:szCs w:val="21"/>
        </w:rPr>
        <w:t xml:space="preserve"> </w:t>
      </w:r>
    </w:p>
    <w:p>
      <w:pPr>
        <w:widowControl/>
        <w:snapToGrid w:val="0"/>
        <w:spacing w:line="360" w:lineRule="auto"/>
        <w:jc w:val="left"/>
        <w:rPr>
          <w:b/>
          <w:color w:val="353535"/>
          <w:kern w:val="0"/>
          <w:szCs w:val="21"/>
        </w:rPr>
      </w:pPr>
      <w:r>
        <w:rPr>
          <w:b/>
          <w:color w:val="353535"/>
          <w:kern w:val="0"/>
          <w:szCs w:val="21"/>
        </w:rPr>
        <w:t>第一节</w:t>
      </w:r>
      <w:r>
        <w:rPr>
          <w:rFonts w:hint="eastAsia"/>
          <w:b/>
          <w:color w:val="353535"/>
          <w:kern w:val="0"/>
          <w:szCs w:val="21"/>
        </w:rPr>
        <w:t xml:space="preserve"> 园艺作物的室内种植与管理</w:t>
      </w:r>
    </w:p>
    <w:p>
      <w:pPr>
        <w:widowControl/>
        <w:snapToGrid w:val="0"/>
        <w:spacing w:line="360" w:lineRule="auto"/>
        <w:jc w:val="left"/>
        <w:rPr>
          <w:color w:val="353535"/>
          <w:kern w:val="0"/>
          <w:szCs w:val="21"/>
        </w:rPr>
      </w:pPr>
      <w:r>
        <w:rPr>
          <w:rFonts w:hint="eastAsia"/>
          <w:color w:val="353535"/>
          <w:kern w:val="0"/>
          <w:szCs w:val="21"/>
        </w:rPr>
        <w:t>了解室内种植常见的果树、蔬菜、花卉品种的习性；</w:t>
      </w:r>
    </w:p>
    <w:p>
      <w:pPr>
        <w:widowControl/>
        <w:snapToGrid w:val="0"/>
        <w:spacing w:line="360" w:lineRule="auto"/>
        <w:jc w:val="left"/>
        <w:rPr>
          <w:color w:val="353535"/>
          <w:kern w:val="0"/>
          <w:szCs w:val="21"/>
        </w:rPr>
      </w:pPr>
      <w:r>
        <w:rPr>
          <w:color w:val="353535"/>
          <w:kern w:val="0"/>
          <w:szCs w:val="21"/>
        </w:rPr>
        <w:t>了解室内园艺植物的栽培容器与基质；</w:t>
      </w:r>
    </w:p>
    <w:p>
      <w:pPr>
        <w:widowControl/>
        <w:snapToGrid w:val="0"/>
        <w:spacing w:line="360" w:lineRule="auto"/>
        <w:jc w:val="left"/>
        <w:rPr>
          <w:color w:val="353535"/>
          <w:kern w:val="0"/>
          <w:szCs w:val="21"/>
        </w:rPr>
      </w:pPr>
      <w:r>
        <w:rPr>
          <w:color w:val="353535"/>
          <w:kern w:val="0"/>
          <w:szCs w:val="21"/>
        </w:rPr>
        <w:t>了解常见</w:t>
      </w:r>
      <w:r>
        <w:rPr>
          <w:rFonts w:hint="eastAsia"/>
          <w:color w:val="353535"/>
          <w:kern w:val="0"/>
          <w:szCs w:val="21"/>
        </w:rPr>
        <w:t>园艺植物的</w:t>
      </w:r>
      <w:r>
        <w:rPr>
          <w:color w:val="353535"/>
          <w:kern w:val="0"/>
          <w:szCs w:val="21"/>
        </w:rPr>
        <w:t>病虫害防治技术；</w:t>
      </w:r>
    </w:p>
    <w:p>
      <w:pPr>
        <w:widowControl/>
        <w:snapToGrid w:val="0"/>
        <w:spacing w:line="360" w:lineRule="auto"/>
        <w:jc w:val="left"/>
        <w:rPr>
          <w:color w:val="353535"/>
          <w:kern w:val="0"/>
          <w:szCs w:val="21"/>
        </w:rPr>
      </w:pPr>
      <w:r>
        <w:rPr>
          <w:color w:val="353535"/>
          <w:kern w:val="0"/>
          <w:szCs w:val="21"/>
        </w:rPr>
        <w:t>掌握室内园艺植物的种植管理技术；</w:t>
      </w:r>
    </w:p>
    <w:p>
      <w:pPr>
        <w:widowControl/>
        <w:snapToGrid w:val="0"/>
        <w:spacing w:line="360" w:lineRule="auto"/>
        <w:jc w:val="left"/>
        <w:rPr>
          <w:color w:val="353535"/>
          <w:kern w:val="0"/>
          <w:szCs w:val="21"/>
        </w:rPr>
      </w:pPr>
      <w:r>
        <w:rPr>
          <w:color w:val="353535"/>
          <w:kern w:val="0"/>
          <w:szCs w:val="21"/>
        </w:rPr>
        <w:t>熟练掌握室内园艺植物所需环境条件。</w:t>
      </w:r>
    </w:p>
    <w:p>
      <w:pPr>
        <w:widowControl/>
        <w:snapToGrid w:val="0"/>
        <w:spacing w:line="360" w:lineRule="auto"/>
        <w:jc w:val="left"/>
        <w:rPr>
          <w:b/>
          <w:color w:val="353535"/>
          <w:kern w:val="0"/>
          <w:szCs w:val="21"/>
        </w:rPr>
      </w:pPr>
      <w:r>
        <w:rPr>
          <w:b/>
          <w:color w:val="353535"/>
          <w:kern w:val="0"/>
          <w:szCs w:val="21"/>
        </w:rPr>
        <w:t>第二节</w:t>
      </w:r>
      <w:r>
        <w:rPr>
          <w:rFonts w:hint="eastAsia"/>
          <w:b/>
          <w:color w:val="353535"/>
          <w:kern w:val="0"/>
          <w:szCs w:val="21"/>
        </w:rPr>
        <w:t xml:space="preserve"> 无土栽培</w:t>
      </w:r>
    </w:p>
    <w:p>
      <w:pPr>
        <w:widowControl/>
        <w:snapToGrid w:val="0"/>
        <w:spacing w:line="360" w:lineRule="auto"/>
        <w:jc w:val="left"/>
        <w:rPr>
          <w:color w:val="353535"/>
          <w:kern w:val="0"/>
          <w:szCs w:val="21"/>
        </w:rPr>
      </w:pPr>
      <w:r>
        <w:rPr>
          <w:color w:val="353535"/>
          <w:kern w:val="0"/>
          <w:szCs w:val="21"/>
        </w:rPr>
        <w:t>了解无土栽培的国内外发展概况；</w:t>
      </w:r>
    </w:p>
    <w:p>
      <w:pPr>
        <w:widowControl/>
        <w:snapToGrid w:val="0"/>
        <w:spacing w:line="360" w:lineRule="auto"/>
        <w:jc w:val="left"/>
        <w:rPr>
          <w:color w:val="353535"/>
          <w:kern w:val="0"/>
          <w:szCs w:val="21"/>
        </w:rPr>
      </w:pPr>
      <w:r>
        <w:rPr>
          <w:color w:val="353535"/>
          <w:kern w:val="0"/>
          <w:szCs w:val="21"/>
        </w:rPr>
        <w:t>了解室内无土栽培生产技术的原理和方法；</w:t>
      </w:r>
    </w:p>
    <w:p>
      <w:pPr>
        <w:widowControl/>
        <w:snapToGrid w:val="0"/>
        <w:spacing w:line="360" w:lineRule="auto"/>
        <w:jc w:val="left"/>
        <w:rPr>
          <w:color w:val="353535"/>
          <w:kern w:val="0"/>
          <w:szCs w:val="21"/>
        </w:rPr>
      </w:pPr>
      <w:r>
        <w:rPr>
          <w:color w:val="353535"/>
          <w:kern w:val="0"/>
          <w:szCs w:val="21"/>
        </w:rPr>
        <w:t>了解植物在无土栽培条件下养分、水分和氧气等需求规律；</w:t>
      </w:r>
    </w:p>
    <w:p>
      <w:pPr>
        <w:widowControl/>
        <w:snapToGrid w:val="0"/>
        <w:spacing w:line="360" w:lineRule="auto"/>
        <w:jc w:val="left"/>
        <w:rPr>
          <w:color w:val="353535"/>
          <w:kern w:val="0"/>
          <w:szCs w:val="21"/>
        </w:rPr>
      </w:pPr>
      <w:r>
        <w:rPr>
          <w:color w:val="353535"/>
          <w:kern w:val="0"/>
          <w:szCs w:val="21"/>
        </w:rPr>
        <w:t>了解无土栽培基质的性能、作用和选用原则；</w:t>
      </w:r>
    </w:p>
    <w:p>
      <w:pPr>
        <w:widowControl/>
        <w:snapToGrid w:val="0"/>
        <w:spacing w:line="360" w:lineRule="auto"/>
        <w:jc w:val="left"/>
        <w:rPr>
          <w:color w:val="353535"/>
          <w:kern w:val="0"/>
          <w:szCs w:val="21"/>
        </w:rPr>
      </w:pPr>
      <w:r>
        <w:rPr>
          <w:color w:val="353535"/>
          <w:kern w:val="0"/>
          <w:szCs w:val="21"/>
        </w:rPr>
        <w:t>熟悉无土栽培的环境控制技术；</w:t>
      </w:r>
    </w:p>
    <w:p>
      <w:pPr>
        <w:widowControl/>
        <w:snapToGrid w:val="0"/>
        <w:spacing w:line="360" w:lineRule="auto"/>
        <w:jc w:val="left"/>
        <w:rPr>
          <w:color w:val="353535"/>
          <w:kern w:val="0"/>
          <w:szCs w:val="21"/>
        </w:rPr>
      </w:pPr>
      <w:r>
        <w:rPr>
          <w:color w:val="353535"/>
          <w:kern w:val="0"/>
          <w:szCs w:val="21"/>
        </w:rPr>
        <w:t>掌握无土栽培的定义与分类。</w:t>
      </w:r>
    </w:p>
    <w:p>
      <w:pPr>
        <w:widowControl/>
        <w:snapToGrid w:val="0"/>
        <w:spacing w:line="360" w:lineRule="auto"/>
        <w:jc w:val="left"/>
        <w:rPr>
          <w:b/>
          <w:color w:val="353535"/>
          <w:kern w:val="0"/>
          <w:szCs w:val="21"/>
        </w:rPr>
      </w:pPr>
      <w:r>
        <w:rPr>
          <w:b/>
          <w:color w:val="353535"/>
          <w:kern w:val="0"/>
          <w:szCs w:val="21"/>
        </w:rPr>
        <w:t>第三节</w:t>
      </w:r>
      <w:r>
        <w:rPr>
          <w:rFonts w:hint="eastAsia"/>
          <w:b/>
          <w:color w:val="353535"/>
          <w:kern w:val="0"/>
          <w:szCs w:val="21"/>
        </w:rPr>
        <w:t xml:space="preserve"> 种苗繁育</w:t>
      </w:r>
    </w:p>
    <w:p>
      <w:pPr>
        <w:widowControl/>
        <w:snapToGrid w:val="0"/>
        <w:spacing w:line="360" w:lineRule="auto"/>
        <w:jc w:val="left"/>
        <w:rPr>
          <w:color w:val="353535"/>
          <w:kern w:val="0"/>
          <w:szCs w:val="21"/>
        </w:rPr>
      </w:pPr>
      <w:r>
        <w:rPr>
          <w:rFonts w:hint="eastAsia"/>
          <w:color w:val="353535"/>
          <w:kern w:val="0"/>
          <w:szCs w:val="21"/>
        </w:rPr>
        <w:t>了解植物育苗繁殖的基质及设施；</w:t>
      </w:r>
    </w:p>
    <w:p>
      <w:pPr>
        <w:widowControl/>
        <w:snapToGrid w:val="0"/>
        <w:spacing w:line="360" w:lineRule="auto"/>
        <w:jc w:val="left"/>
        <w:rPr>
          <w:color w:val="353535"/>
          <w:kern w:val="0"/>
          <w:szCs w:val="21"/>
        </w:rPr>
      </w:pPr>
      <w:r>
        <w:rPr>
          <w:rFonts w:hint="eastAsia"/>
          <w:color w:val="353535"/>
          <w:kern w:val="0"/>
          <w:szCs w:val="21"/>
        </w:rPr>
        <w:t>熟悉</w:t>
      </w:r>
      <w:r>
        <w:rPr>
          <w:color w:val="353535"/>
          <w:kern w:val="0"/>
          <w:szCs w:val="21"/>
        </w:rPr>
        <w:t>育苗常用的容器类型与特点；</w:t>
      </w:r>
    </w:p>
    <w:p>
      <w:pPr>
        <w:widowControl/>
        <w:snapToGrid w:val="0"/>
        <w:spacing w:line="360" w:lineRule="auto"/>
        <w:jc w:val="left"/>
        <w:rPr>
          <w:color w:val="353535"/>
          <w:kern w:val="0"/>
          <w:szCs w:val="21"/>
        </w:rPr>
      </w:pPr>
      <w:r>
        <w:rPr>
          <w:color w:val="353535"/>
          <w:kern w:val="0"/>
          <w:szCs w:val="21"/>
        </w:rPr>
        <w:t>掌握苗床基质准备及消毒技术；</w:t>
      </w:r>
    </w:p>
    <w:p>
      <w:pPr>
        <w:widowControl/>
        <w:snapToGrid w:val="0"/>
        <w:spacing w:line="360" w:lineRule="auto"/>
        <w:jc w:val="left"/>
        <w:rPr>
          <w:color w:val="353535"/>
          <w:kern w:val="0"/>
          <w:szCs w:val="21"/>
        </w:rPr>
      </w:pPr>
      <w:r>
        <w:rPr>
          <w:color w:val="353535"/>
          <w:kern w:val="0"/>
          <w:szCs w:val="21"/>
        </w:rPr>
        <w:t>掌握嫁接育苗、扦插育苗、分枝育苗、压条繁殖等技术。</w:t>
      </w:r>
    </w:p>
    <w:p>
      <w:pPr>
        <w:widowControl/>
        <w:snapToGrid w:val="0"/>
        <w:spacing w:line="360" w:lineRule="auto"/>
        <w:jc w:val="left"/>
        <w:rPr>
          <w:b/>
          <w:color w:val="353535"/>
          <w:kern w:val="0"/>
          <w:szCs w:val="21"/>
        </w:rPr>
      </w:pPr>
      <w:r>
        <w:rPr>
          <w:b/>
          <w:color w:val="353535"/>
          <w:kern w:val="0"/>
          <w:szCs w:val="21"/>
        </w:rPr>
        <w:t>第四节</w:t>
      </w:r>
      <w:r>
        <w:rPr>
          <w:rFonts w:hint="eastAsia"/>
          <w:b/>
          <w:color w:val="353535"/>
          <w:kern w:val="0"/>
          <w:szCs w:val="21"/>
        </w:rPr>
        <w:t xml:space="preserve"> 阳台园艺</w:t>
      </w:r>
    </w:p>
    <w:p>
      <w:pPr>
        <w:widowControl/>
        <w:snapToGrid w:val="0"/>
        <w:spacing w:line="360" w:lineRule="auto"/>
        <w:jc w:val="left"/>
        <w:rPr>
          <w:color w:val="353535"/>
          <w:kern w:val="0"/>
          <w:szCs w:val="21"/>
        </w:rPr>
      </w:pPr>
      <w:r>
        <w:rPr>
          <w:color w:val="353535"/>
          <w:kern w:val="0"/>
          <w:szCs w:val="21"/>
        </w:rPr>
        <w:t>了解阳台园艺的设施工具和栽培基质；</w:t>
      </w:r>
    </w:p>
    <w:p>
      <w:pPr>
        <w:widowControl/>
        <w:snapToGrid w:val="0"/>
        <w:spacing w:line="360" w:lineRule="auto"/>
        <w:jc w:val="left"/>
        <w:rPr>
          <w:color w:val="353535"/>
          <w:kern w:val="0"/>
          <w:szCs w:val="21"/>
        </w:rPr>
      </w:pPr>
      <w:r>
        <w:rPr>
          <w:rFonts w:hint="eastAsia"/>
          <w:color w:val="353535"/>
          <w:kern w:val="0"/>
          <w:szCs w:val="21"/>
        </w:rPr>
        <w:t>了解</w:t>
      </w:r>
      <w:r>
        <w:rPr>
          <w:color w:val="353535"/>
          <w:kern w:val="0"/>
          <w:szCs w:val="21"/>
        </w:rPr>
        <w:t>阳台园艺的种植流程；</w:t>
      </w:r>
    </w:p>
    <w:p>
      <w:pPr>
        <w:widowControl/>
        <w:snapToGrid w:val="0"/>
        <w:spacing w:line="360" w:lineRule="auto"/>
        <w:jc w:val="left"/>
        <w:rPr>
          <w:color w:val="353535"/>
          <w:kern w:val="0"/>
          <w:szCs w:val="21"/>
        </w:rPr>
      </w:pPr>
      <w:r>
        <w:rPr>
          <w:color w:val="353535"/>
          <w:kern w:val="0"/>
          <w:szCs w:val="21"/>
        </w:rPr>
        <w:t>了解阳台植物常见病虫害防治技术。</w:t>
      </w:r>
    </w:p>
    <w:p>
      <w:pPr>
        <w:widowControl/>
        <w:snapToGrid w:val="0"/>
        <w:spacing w:line="360" w:lineRule="auto"/>
        <w:rPr>
          <w:color w:val="353535"/>
          <w:kern w:val="0"/>
          <w:szCs w:val="21"/>
        </w:rPr>
      </w:pPr>
      <w:r>
        <w:rPr>
          <w:b/>
          <w:bCs/>
          <w:szCs w:val="21"/>
        </w:rPr>
        <w:t>教学组织与实施：</w:t>
      </w:r>
      <w:r>
        <w:rPr>
          <w:bCs/>
          <w:szCs w:val="21"/>
        </w:rPr>
        <w:t>采用图文结合的方式，</w:t>
      </w:r>
      <w:r>
        <w:rPr>
          <w:color w:val="353535"/>
          <w:kern w:val="0"/>
          <w:szCs w:val="21"/>
        </w:rPr>
        <w:t>利用多媒体设备进行讲解</w:t>
      </w:r>
      <w:r>
        <w:rPr>
          <w:rFonts w:hint="eastAsia"/>
          <w:color w:val="353535"/>
          <w:kern w:val="0"/>
          <w:szCs w:val="21"/>
        </w:rPr>
        <w:t>。</w:t>
      </w:r>
      <w:r>
        <w:rPr>
          <w:color w:val="353535"/>
          <w:kern w:val="0"/>
          <w:szCs w:val="21"/>
        </w:rPr>
        <w:t>课堂上鼓励学生发散思维，进行互动讨论，拓宽专业与生活的结合度。</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b/>
                <w:bCs/>
                <w:szCs w:val="21"/>
              </w:rPr>
              <w:t xml:space="preserve">第二章 </w:t>
            </w:r>
            <w:r>
              <w:rPr>
                <w:b/>
                <w:bCs/>
                <w:szCs w:val="21"/>
              </w:rPr>
              <w:t xml:space="preserve"> 庭院绿化</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4</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：通过对常见的生活案例进行分析讲解，增加学生学习兴趣，</w:t>
      </w:r>
      <w:r>
        <w:rPr>
          <w:rFonts w:hint="eastAsia"/>
          <w:color w:val="353535"/>
          <w:kern w:val="0"/>
          <w:szCs w:val="21"/>
        </w:rPr>
        <w:t>培养</w:t>
      </w:r>
      <w:r>
        <w:rPr>
          <w:color w:val="353535"/>
          <w:kern w:val="0"/>
          <w:szCs w:val="21"/>
        </w:rPr>
        <w:t>学生的创新思维。</w:t>
      </w:r>
    </w:p>
    <w:p>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：本章重点内容为民宿庭院和屋顶花园的设计、绿化及管理，难点为</w:t>
      </w:r>
      <w:r>
        <w:rPr>
          <w:rFonts w:hint="eastAsia"/>
          <w:color w:val="353535"/>
          <w:kern w:val="0"/>
          <w:szCs w:val="21"/>
        </w:rPr>
        <w:t>设计与管理</w:t>
      </w:r>
      <w:r>
        <w:rPr>
          <w:color w:val="353535"/>
          <w:kern w:val="0"/>
          <w:szCs w:val="21"/>
        </w:rPr>
        <w:t>。</w:t>
      </w:r>
    </w:p>
    <w:p>
      <w:pPr>
        <w:widowControl/>
        <w:snapToGrid w:val="0"/>
        <w:spacing w:line="360" w:lineRule="auto"/>
        <w:jc w:val="left"/>
        <w:rPr>
          <w:color w:val="353535"/>
          <w:kern w:val="0"/>
          <w:szCs w:val="21"/>
        </w:rPr>
      </w:pPr>
      <w:r>
        <w:rPr>
          <w:b/>
          <w:bCs/>
          <w:szCs w:val="21"/>
        </w:rPr>
        <w:t>主要教学内容及要求：</w:t>
      </w:r>
      <w:r>
        <w:rPr>
          <w:color w:val="353535"/>
          <w:kern w:val="0"/>
          <w:szCs w:val="21"/>
        </w:rPr>
        <w:t xml:space="preserve"> </w:t>
      </w:r>
    </w:p>
    <w:p>
      <w:pPr>
        <w:widowControl/>
        <w:snapToGrid w:val="0"/>
        <w:spacing w:line="360" w:lineRule="auto"/>
        <w:jc w:val="left"/>
        <w:rPr>
          <w:b/>
          <w:color w:val="353535"/>
          <w:kern w:val="0"/>
          <w:szCs w:val="21"/>
        </w:rPr>
      </w:pPr>
      <w:r>
        <w:rPr>
          <w:b/>
          <w:color w:val="353535"/>
          <w:kern w:val="0"/>
          <w:szCs w:val="21"/>
        </w:rPr>
        <w:t>第一节</w:t>
      </w:r>
      <w:r>
        <w:rPr>
          <w:rFonts w:hint="eastAsia"/>
          <w:b/>
          <w:color w:val="353535"/>
          <w:kern w:val="0"/>
          <w:szCs w:val="21"/>
        </w:rPr>
        <w:t xml:space="preserve"> 民宿庭院绿化及管理</w:t>
      </w:r>
    </w:p>
    <w:p>
      <w:pPr>
        <w:widowControl/>
        <w:snapToGrid w:val="0"/>
        <w:spacing w:line="360" w:lineRule="auto"/>
        <w:jc w:val="left"/>
        <w:rPr>
          <w:color w:val="353535"/>
          <w:kern w:val="0"/>
          <w:szCs w:val="21"/>
        </w:rPr>
      </w:pPr>
      <w:r>
        <w:rPr>
          <w:rFonts w:hint="eastAsia"/>
          <w:color w:val="353535"/>
          <w:kern w:val="0"/>
          <w:szCs w:val="21"/>
        </w:rPr>
        <w:t>了解民宿庭院的设计理念；</w:t>
      </w:r>
    </w:p>
    <w:p>
      <w:pPr>
        <w:widowControl/>
        <w:snapToGrid w:val="0"/>
        <w:spacing w:line="360" w:lineRule="auto"/>
        <w:jc w:val="left"/>
        <w:rPr>
          <w:color w:val="353535"/>
          <w:kern w:val="0"/>
          <w:szCs w:val="21"/>
        </w:rPr>
      </w:pPr>
      <w:r>
        <w:rPr>
          <w:rFonts w:hint="eastAsia"/>
          <w:color w:val="353535"/>
          <w:kern w:val="0"/>
          <w:szCs w:val="21"/>
        </w:rPr>
        <w:t>了解庭院设计的要素及原则；</w:t>
      </w:r>
    </w:p>
    <w:p>
      <w:pPr>
        <w:widowControl/>
        <w:snapToGrid w:val="0"/>
        <w:spacing w:line="360" w:lineRule="auto"/>
        <w:jc w:val="left"/>
        <w:rPr>
          <w:color w:val="353535"/>
          <w:kern w:val="0"/>
          <w:szCs w:val="21"/>
        </w:rPr>
      </w:pPr>
      <w:r>
        <w:rPr>
          <w:color w:val="353535"/>
          <w:kern w:val="0"/>
          <w:szCs w:val="21"/>
        </w:rPr>
        <w:t>了解庭院的设计风格和搭配技巧；</w:t>
      </w:r>
    </w:p>
    <w:p>
      <w:pPr>
        <w:widowControl/>
        <w:snapToGrid w:val="0"/>
        <w:spacing w:line="360" w:lineRule="auto"/>
        <w:jc w:val="left"/>
        <w:rPr>
          <w:color w:val="353535"/>
          <w:kern w:val="0"/>
          <w:szCs w:val="21"/>
        </w:rPr>
      </w:pPr>
      <w:r>
        <w:rPr>
          <w:rFonts w:hint="eastAsia"/>
          <w:color w:val="353535"/>
          <w:kern w:val="0"/>
          <w:szCs w:val="21"/>
        </w:rPr>
        <w:t>掌握</w:t>
      </w:r>
      <w:r>
        <w:rPr>
          <w:color w:val="353535"/>
          <w:kern w:val="0"/>
          <w:szCs w:val="21"/>
        </w:rPr>
        <w:t>民宿庭院的绿化及管理技术。</w:t>
      </w:r>
    </w:p>
    <w:p>
      <w:pPr>
        <w:widowControl/>
        <w:snapToGrid w:val="0"/>
        <w:spacing w:line="360" w:lineRule="auto"/>
        <w:jc w:val="left"/>
        <w:rPr>
          <w:b/>
          <w:color w:val="353535"/>
          <w:kern w:val="0"/>
          <w:szCs w:val="21"/>
        </w:rPr>
      </w:pPr>
      <w:r>
        <w:rPr>
          <w:b/>
          <w:color w:val="353535"/>
          <w:kern w:val="0"/>
          <w:szCs w:val="21"/>
        </w:rPr>
        <w:t>第</w:t>
      </w:r>
      <w:r>
        <w:rPr>
          <w:rFonts w:hint="eastAsia"/>
          <w:b/>
          <w:color w:val="353535"/>
          <w:kern w:val="0"/>
          <w:szCs w:val="21"/>
        </w:rPr>
        <w:t>二</w:t>
      </w:r>
      <w:r>
        <w:rPr>
          <w:b/>
          <w:color w:val="353535"/>
          <w:kern w:val="0"/>
          <w:szCs w:val="21"/>
        </w:rPr>
        <w:t>节</w:t>
      </w:r>
      <w:r>
        <w:rPr>
          <w:rFonts w:hint="eastAsia"/>
          <w:b/>
          <w:color w:val="353535"/>
          <w:kern w:val="0"/>
          <w:szCs w:val="21"/>
        </w:rPr>
        <w:t xml:space="preserve"> 屋顶花园</w:t>
      </w:r>
      <w:r>
        <w:rPr>
          <w:b/>
          <w:color w:val="353535"/>
          <w:kern w:val="0"/>
          <w:szCs w:val="21"/>
        </w:rPr>
        <w:t>设计与管理</w:t>
      </w:r>
    </w:p>
    <w:p>
      <w:pPr>
        <w:widowControl/>
        <w:snapToGrid w:val="0"/>
        <w:spacing w:line="360" w:lineRule="auto"/>
        <w:jc w:val="left"/>
        <w:rPr>
          <w:color w:val="353535"/>
          <w:kern w:val="0"/>
          <w:szCs w:val="21"/>
        </w:rPr>
      </w:pPr>
      <w:r>
        <w:rPr>
          <w:rFonts w:hint="eastAsia"/>
          <w:color w:val="353535"/>
          <w:kern w:val="0"/>
          <w:szCs w:val="21"/>
        </w:rPr>
        <w:t>熟悉屋顶花园的功能和效益；</w:t>
      </w:r>
    </w:p>
    <w:p>
      <w:pPr>
        <w:widowControl/>
        <w:snapToGrid w:val="0"/>
        <w:spacing w:line="360" w:lineRule="auto"/>
        <w:jc w:val="left"/>
        <w:rPr>
          <w:color w:val="353535"/>
          <w:kern w:val="0"/>
          <w:szCs w:val="21"/>
        </w:rPr>
      </w:pPr>
      <w:r>
        <w:rPr>
          <w:color w:val="353535"/>
          <w:kern w:val="0"/>
          <w:szCs w:val="21"/>
        </w:rPr>
        <w:t>熟悉屋顶花园的设计要点；</w:t>
      </w:r>
    </w:p>
    <w:p>
      <w:pPr>
        <w:widowControl/>
        <w:snapToGrid w:val="0"/>
        <w:spacing w:line="360" w:lineRule="auto"/>
        <w:jc w:val="left"/>
        <w:rPr>
          <w:color w:val="353535"/>
          <w:kern w:val="0"/>
          <w:szCs w:val="21"/>
        </w:rPr>
      </w:pPr>
      <w:r>
        <w:rPr>
          <w:color w:val="353535"/>
          <w:kern w:val="0"/>
          <w:szCs w:val="21"/>
        </w:rPr>
        <w:t>了解屋顶花园的植物搭配；</w:t>
      </w:r>
    </w:p>
    <w:p>
      <w:pPr>
        <w:widowControl/>
        <w:snapToGrid w:val="0"/>
        <w:spacing w:line="360" w:lineRule="auto"/>
        <w:jc w:val="left"/>
        <w:rPr>
          <w:color w:val="353535"/>
          <w:kern w:val="0"/>
          <w:szCs w:val="21"/>
        </w:rPr>
      </w:pPr>
      <w:r>
        <w:rPr>
          <w:color w:val="353535"/>
          <w:kern w:val="0"/>
          <w:szCs w:val="21"/>
        </w:rPr>
        <w:t>了解屋顶花园的植物种植管理技术。</w:t>
      </w:r>
    </w:p>
    <w:p>
      <w:pPr>
        <w:widowControl/>
        <w:snapToGrid w:val="0"/>
        <w:spacing w:line="360" w:lineRule="auto"/>
        <w:rPr>
          <w:color w:val="353535"/>
          <w:kern w:val="0"/>
          <w:szCs w:val="21"/>
        </w:rPr>
      </w:pPr>
      <w:r>
        <w:rPr>
          <w:b/>
          <w:bCs/>
          <w:szCs w:val="21"/>
        </w:rPr>
        <w:t>教学组织与实施：</w:t>
      </w:r>
      <w:r>
        <w:rPr>
          <w:rFonts w:hint="eastAsia"/>
          <w:color w:val="353535"/>
          <w:kern w:val="0"/>
          <w:szCs w:val="21"/>
        </w:rPr>
        <w:t>利用多媒体进行课堂讲解；安排学生课前网上查阅民宿庭院或屋顶花园与园艺相关的创意或理念，在课堂上进行案例分享，对案例中民宿或屋顶花园的优缺点或管理的便利度进行讨论。</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第三章</w:t>
            </w:r>
            <w:r>
              <w:rPr>
                <w:rFonts w:hint="eastAsia" w:hAnsi="宋体"/>
                <w:b/>
                <w:bCs/>
                <w:szCs w:val="21"/>
              </w:rPr>
              <w:t xml:space="preserve"> </w:t>
            </w:r>
            <w:r>
              <w:rPr>
                <w:rFonts w:hAnsi="宋体"/>
                <w:b/>
                <w:bCs/>
                <w:szCs w:val="21"/>
              </w:rPr>
              <w:t xml:space="preserve"> 街头景观</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：结合生活实例进行讲解，旨在培养学生提高洞察力，不断增强自身人文素养，保持终身学习的能力。</w:t>
      </w:r>
    </w:p>
    <w:p>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w:t>
      </w:r>
      <w:r>
        <w:rPr>
          <w:rFonts w:hint="eastAsia"/>
          <w:color w:val="353535"/>
          <w:kern w:val="0"/>
          <w:szCs w:val="21"/>
        </w:rPr>
        <w:t>本章重点为城市绿地的功能、规划原则和布局，难点为绿地的规划布局形式。</w:t>
      </w:r>
    </w:p>
    <w:p>
      <w:pPr>
        <w:widowControl/>
        <w:snapToGrid w:val="0"/>
        <w:spacing w:line="360" w:lineRule="auto"/>
        <w:jc w:val="left"/>
        <w:rPr>
          <w:color w:val="353535"/>
          <w:kern w:val="0"/>
          <w:szCs w:val="21"/>
        </w:rPr>
      </w:pPr>
      <w:r>
        <w:rPr>
          <w:b/>
          <w:bCs/>
          <w:szCs w:val="21"/>
        </w:rPr>
        <w:t>主要教学内容及要求：</w:t>
      </w:r>
      <w:r>
        <w:rPr>
          <w:color w:val="353535"/>
          <w:kern w:val="0"/>
          <w:szCs w:val="21"/>
        </w:rPr>
        <w:t xml:space="preserve"> </w:t>
      </w:r>
    </w:p>
    <w:p>
      <w:pPr>
        <w:widowControl/>
        <w:snapToGrid w:val="0"/>
        <w:spacing w:line="360" w:lineRule="auto"/>
        <w:jc w:val="left"/>
        <w:rPr>
          <w:b/>
          <w:color w:val="353535"/>
          <w:kern w:val="0"/>
          <w:szCs w:val="21"/>
        </w:rPr>
      </w:pPr>
      <w:r>
        <w:rPr>
          <w:b/>
          <w:color w:val="353535"/>
          <w:kern w:val="0"/>
          <w:szCs w:val="21"/>
        </w:rPr>
        <w:t>第一节</w:t>
      </w:r>
      <w:r>
        <w:rPr>
          <w:rFonts w:hint="eastAsia"/>
          <w:b/>
          <w:color w:val="353535"/>
          <w:kern w:val="0"/>
          <w:szCs w:val="21"/>
        </w:rPr>
        <w:t xml:space="preserve"> 城市绿化</w:t>
      </w:r>
    </w:p>
    <w:p>
      <w:pPr>
        <w:widowControl/>
        <w:snapToGrid w:val="0"/>
        <w:spacing w:line="360" w:lineRule="auto"/>
        <w:jc w:val="left"/>
        <w:rPr>
          <w:color w:val="353535"/>
          <w:kern w:val="0"/>
          <w:szCs w:val="21"/>
        </w:rPr>
      </w:pPr>
      <w:r>
        <w:rPr>
          <w:rFonts w:hint="eastAsia"/>
          <w:color w:val="353535"/>
          <w:kern w:val="0"/>
          <w:szCs w:val="21"/>
        </w:rPr>
        <w:t>了解城市园林绿地的生态、社会和经济效益；</w:t>
      </w:r>
    </w:p>
    <w:p>
      <w:pPr>
        <w:widowControl/>
        <w:snapToGrid w:val="0"/>
        <w:spacing w:line="360" w:lineRule="auto"/>
        <w:jc w:val="left"/>
        <w:rPr>
          <w:color w:val="353535"/>
          <w:kern w:val="0"/>
          <w:szCs w:val="21"/>
        </w:rPr>
      </w:pPr>
      <w:r>
        <w:rPr>
          <w:color w:val="353535"/>
          <w:kern w:val="0"/>
          <w:szCs w:val="21"/>
        </w:rPr>
        <w:t>了解城市绿地规划的原则；</w:t>
      </w:r>
    </w:p>
    <w:p>
      <w:pPr>
        <w:widowControl/>
        <w:snapToGrid w:val="0"/>
        <w:spacing w:line="360" w:lineRule="auto"/>
        <w:jc w:val="left"/>
        <w:rPr>
          <w:color w:val="353535"/>
          <w:kern w:val="0"/>
          <w:szCs w:val="21"/>
        </w:rPr>
      </w:pPr>
      <w:r>
        <w:rPr>
          <w:color w:val="353535"/>
          <w:kern w:val="0"/>
          <w:szCs w:val="21"/>
        </w:rPr>
        <w:t>熟悉城市绿地的类型与布局形式。</w:t>
      </w:r>
    </w:p>
    <w:p>
      <w:pPr>
        <w:widowControl/>
        <w:snapToGrid w:val="0"/>
        <w:spacing w:line="360" w:lineRule="auto"/>
        <w:jc w:val="left"/>
        <w:rPr>
          <w:b/>
          <w:color w:val="353535"/>
          <w:kern w:val="0"/>
          <w:szCs w:val="21"/>
        </w:rPr>
      </w:pPr>
      <w:r>
        <w:rPr>
          <w:b/>
          <w:color w:val="353535"/>
          <w:kern w:val="0"/>
          <w:szCs w:val="21"/>
        </w:rPr>
        <w:t>第二节</w:t>
      </w:r>
      <w:r>
        <w:rPr>
          <w:rFonts w:hint="eastAsia"/>
          <w:b/>
          <w:color w:val="353535"/>
          <w:kern w:val="0"/>
          <w:szCs w:val="21"/>
        </w:rPr>
        <w:t xml:space="preserve"> “园艺-商业”融合</w:t>
      </w:r>
    </w:p>
    <w:p>
      <w:pPr>
        <w:widowControl/>
        <w:snapToGrid w:val="0"/>
        <w:spacing w:line="360" w:lineRule="auto"/>
        <w:jc w:val="left"/>
        <w:rPr>
          <w:color w:val="353535"/>
          <w:kern w:val="0"/>
          <w:szCs w:val="21"/>
        </w:rPr>
      </w:pPr>
      <w:r>
        <w:rPr>
          <w:rFonts w:hint="eastAsia"/>
          <w:color w:val="353535"/>
          <w:kern w:val="0"/>
          <w:szCs w:val="21"/>
        </w:rPr>
        <w:t>了解都市商业中园艺的重要性；</w:t>
      </w:r>
    </w:p>
    <w:p>
      <w:pPr>
        <w:widowControl/>
        <w:snapToGrid w:val="0"/>
        <w:spacing w:line="360" w:lineRule="auto"/>
        <w:jc w:val="left"/>
        <w:rPr>
          <w:color w:val="353535"/>
          <w:kern w:val="0"/>
          <w:szCs w:val="21"/>
        </w:rPr>
      </w:pPr>
      <w:r>
        <w:rPr>
          <w:rFonts w:hint="eastAsia"/>
          <w:color w:val="353535"/>
          <w:kern w:val="0"/>
          <w:szCs w:val="21"/>
        </w:rPr>
        <w:t>了解都市商业中的园艺要素；</w:t>
      </w:r>
    </w:p>
    <w:p>
      <w:pPr>
        <w:widowControl/>
        <w:snapToGrid w:val="0"/>
        <w:spacing w:line="360" w:lineRule="auto"/>
        <w:jc w:val="left"/>
        <w:rPr>
          <w:color w:val="353535"/>
          <w:kern w:val="0"/>
          <w:szCs w:val="21"/>
        </w:rPr>
      </w:pPr>
      <w:r>
        <w:rPr>
          <w:rFonts w:hint="eastAsia"/>
          <w:color w:val="353535"/>
          <w:kern w:val="0"/>
          <w:szCs w:val="21"/>
        </w:rPr>
        <w:t>了解城市发展与园艺文化传承。</w:t>
      </w:r>
    </w:p>
    <w:p>
      <w:pPr>
        <w:widowControl/>
        <w:snapToGrid w:val="0"/>
        <w:spacing w:line="360" w:lineRule="auto"/>
        <w:rPr>
          <w:color w:val="353535"/>
          <w:kern w:val="0"/>
          <w:szCs w:val="21"/>
        </w:rPr>
      </w:pPr>
      <w:r>
        <w:rPr>
          <w:b/>
          <w:bCs/>
          <w:szCs w:val="21"/>
        </w:rPr>
        <w:t>教学组织与实施：</w:t>
      </w:r>
      <w:r>
        <w:rPr>
          <w:rFonts w:hint="eastAsia"/>
          <w:color w:val="353535"/>
          <w:kern w:val="0"/>
          <w:szCs w:val="21"/>
        </w:rPr>
        <w:t>从</w:t>
      </w:r>
      <w:r>
        <w:rPr>
          <w:color w:val="353535"/>
          <w:kern w:val="0"/>
          <w:szCs w:val="21"/>
        </w:rPr>
        <w:t>生活中收集教学素材，结合具体实例进行剖析讲解，采用图文、视频等方式进行</w:t>
      </w:r>
      <w:r>
        <w:rPr>
          <w:rFonts w:hint="eastAsia"/>
          <w:color w:val="353535"/>
          <w:kern w:val="0"/>
          <w:szCs w:val="21"/>
        </w:rPr>
        <w:t>授课</w:t>
      </w:r>
      <w:r>
        <w:rPr>
          <w:color w:val="353535"/>
          <w:kern w:val="0"/>
          <w:szCs w:val="21"/>
        </w:rPr>
        <w:t>。</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b/>
                <w:bCs/>
                <w:szCs w:val="21"/>
              </w:rPr>
              <w:t xml:space="preserve">第四章 </w:t>
            </w:r>
            <w:r>
              <w:rPr>
                <w:b/>
                <w:bCs/>
                <w:szCs w:val="21"/>
              </w:rPr>
              <w:t xml:space="preserve"> 都市</w:t>
            </w:r>
            <w:r>
              <w:rPr>
                <w:rFonts w:hint="eastAsia"/>
                <w:b/>
                <w:bCs/>
                <w:szCs w:val="21"/>
              </w:rPr>
              <w:t xml:space="preserve">花艺 </w:t>
            </w:r>
            <w:r>
              <w:rPr>
                <w:b/>
                <w:bCs/>
                <w:szCs w:val="21"/>
              </w:rPr>
              <w:t xml:space="preserve">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6</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w:t>
      </w:r>
      <w:r>
        <w:rPr>
          <w:rFonts w:hint="eastAsia"/>
          <w:color w:val="353535"/>
          <w:kern w:val="0"/>
          <w:szCs w:val="21"/>
        </w:rPr>
        <w:t>提高学生的基本专业技能和艺术修养，拓展学生就业渠道，培养学生对花卉艺术品的鉴赏能力。</w:t>
      </w:r>
    </w:p>
    <w:p>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：本章教学重点为插花和压花技术，难点为压花作品的制作和保存。</w:t>
      </w:r>
    </w:p>
    <w:p>
      <w:pPr>
        <w:widowControl/>
        <w:snapToGrid w:val="0"/>
        <w:spacing w:line="360" w:lineRule="auto"/>
        <w:jc w:val="left"/>
        <w:rPr>
          <w:color w:val="353535"/>
          <w:kern w:val="0"/>
          <w:szCs w:val="21"/>
        </w:rPr>
      </w:pPr>
      <w:r>
        <w:rPr>
          <w:b/>
          <w:bCs/>
          <w:szCs w:val="21"/>
        </w:rPr>
        <w:t>主要教学内容及要求：</w:t>
      </w:r>
      <w:r>
        <w:rPr>
          <w:color w:val="353535"/>
          <w:kern w:val="0"/>
          <w:szCs w:val="21"/>
        </w:rPr>
        <w:t xml:space="preserve"> </w:t>
      </w:r>
    </w:p>
    <w:p>
      <w:pPr>
        <w:widowControl/>
        <w:snapToGrid w:val="0"/>
        <w:spacing w:line="360" w:lineRule="auto"/>
        <w:jc w:val="left"/>
        <w:rPr>
          <w:b/>
          <w:color w:val="353535"/>
          <w:kern w:val="0"/>
          <w:szCs w:val="21"/>
        </w:rPr>
      </w:pPr>
      <w:r>
        <w:rPr>
          <w:b/>
          <w:color w:val="353535"/>
          <w:kern w:val="0"/>
          <w:szCs w:val="21"/>
        </w:rPr>
        <w:t>第一节</w:t>
      </w:r>
      <w:r>
        <w:rPr>
          <w:rFonts w:hint="eastAsia"/>
          <w:b/>
          <w:color w:val="353535"/>
          <w:kern w:val="0"/>
          <w:szCs w:val="21"/>
        </w:rPr>
        <w:t xml:space="preserve"> 插花艺术</w:t>
      </w:r>
    </w:p>
    <w:p>
      <w:pPr>
        <w:widowControl/>
        <w:snapToGrid w:val="0"/>
        <w:spacing w:line="360" w:lineRule="auto"/>
        <w:jc w:val="left"/>
        <w:rPr>
          <w:color w:val="353535"/>
          <w:kern w:val="0"/>
          <w:szCs w:val="21"/>
        </w:rPr>
      </w:pPr>
      <w:r>
        <w:rPr>
          <w:rFonts w:hint="eastAsia"/>
          <w:color w:val="353535"/>
          <w:kern w:val="0"/>
          <w:szCs w:val="21"/>
        </w:rPr>
        <w:t>了解插花艺术的概念和范畴</w:t>
      </w:r>
      <w:r>
        <w:rPr>
          <w:color w:val="353535"/>
          <w:kern w:val="0"/>
          <w:szCs w:val="21"/>
        </w:rPr>
        <w:t>；</w:t>
      </w:r>
    </w:p>
    <w:p>
      <w:pPr>
        <w:widowControl/>
        <w:snapToGrid w:val="0"/>
        <w:spacing w:line="360" w:lineRule="auto"/>
        <w:jc w:val="left"/>
        <w:rPr>
          <w:color w:val="353535"/>
          <w:kern w:val="0"/>
          <w:szCs w:val="21"/>
        </w:rPr>
      </w:pPr>
      <w:r>
        <w:rPr>
          <w:color w:val="353535"/>
          <w:kern w:val="0"/>
          <w:szCs w:val="21"/>
        </w:rPr>
        <w:t>熟悉插花艺术的特点与作用；</w:t>
      </w:r>
    </w:p>
    <w:p>
      <w:pPr>
        <w:widowControl/>
        <w:snapToGrid w:val="0"/>
        <w:spacing w:line="360" w:lineRule="auto"/>
        <w:jc w:val="left"/>
        <w:rPr>
          <w:color w:val="353535"/>
          <w:kern w:val="0"/>
          <w:szCs w:val="21"/>
        </w:rPr>
      </w:pPr>
      <w:r>
        <w:rPr>
          <w:color w:val="353535"/>
          <w:kern w:val="0"/>
          <w:szCs w:val="21"/>
        </w:rPr>
        <w:t>了解插花艺术的分类与应用；</w:t>
      </w:r>
    </w:p>
    <w:p>
      <w:pPr>
        <w:widowControl/>
        <w:snapToGrid w:val="0"/>
        <w:spacing w:line="360" w:lineRule="auto"/>
        <w:jc w:val="left"/>
        <w:rPr>
          <w:color w:val="353535"/>
          <w:kern w:val="0"/>
          <w:szCs w:val="21"/>
        </w:rPr>
      </w:pPr>
      <w:r>
        <w:rPr>
          <w:color w:val="353535"/>
          <w:kern w:val="0"/>
          <w:szCs w:val="21"/>
        </w:rPr>
        <w:t>熟悉插花的构图</w:t>
      </w:r>
      <w:r>
        <w:rPr>
          <w:rFonts w:hint="eastAsia"/>
          <w:color w:val="353535"/>
          <w:kern w:val="0"/>
          <w:szCs w:val="21"/>
        </w:rPr>
        <w:t>、</w:t>
      </w:r>
      <w:r>
        <w:rPr>
          <w:color w:val="353535"/>
          <w:kern w:val="0"/>
          <w:szCs w:val="21"/>
        </w:rPr>
        <w:t>造型法则和色彩配置；</w:t>
      </w:r>
    </w:p>
    <w:p>
      <w:pPr>
        <w:widowControl/>
        <w:snapToGrid w:val="0"/>
        <w:spacing w:line="360" w:lineRule="auto"/>
        <w:jc w:val="left"/>
        <w:rPr>
          <w:color w:val="353535"/>
          <w:kern w:val="0"/>
          <w:szCs w:val="21"/>
        </w:rPr>
      </w:pPr>
      <w:r>
        <w:rPr>
          <w:rFonts w:hint="eastAsia"/>
          <w:color w:val="353535"/>
          <w:kern w:val="0"/>
          <w:szCs w:val="21"/>
        </w:rPr>
        <w:t>了解插花的步骤、技巧与方法。</w:t>
      </w:r>
    </w:p>
    <w:p>
      <w:pPr>
        <w:widowControl/>
        <w:snapToGrid w:val="0"/>
        <w:spacing w:line="360" w:lineRule="auto"/>
        <w:jc w:val="left"/>
        <w:rPr>
          <w:b/>
          <w:color w:val="353535"/>
          <w:kern w:val="0"/>
          <w:szCs w:val="21"/>
        </w:rPr>
      </w:pPr>
      <w:r>
        <w:rPr>
          <w:b/>
          <w:color w:val="353535"/>
          <w:kern w:val="0"/>
          <w:szCs w:val="21"/>
        </w:rPr>
        <w:t>第二节</w:t>
      </w:r>
      <w:r>
        <w:rPr>
          <w:rFonts w:hint="eastAsia"/>
          <w:b/>
          <w:color w:val="353535"/>
          <w:kern w:val="0"/>
          <w:szCs w:val="21"/>
        </w:rPr>
        <w:t xml:space="preserve"> 压花艺术</w:t>
      </w:r>
    </w:p>
    <w:p>
      <w:pPr>
        <w:widowControl/>
        <w:snapToGrid w:val="0"/>
        <w:spacing w:line="360" w:lineRule="auto"/>
        <w:jc w:val="left"/>
        <w:rPr>
          <w:color w:val="353535"/>
          <w:kern w:val="0"/>
          <w:szCs w:val="21"/>
        </w:rPr>
      </w:pPr>
      <w:r>
        <w:rPr>
          <w:rFonts w:hint="eastAsia"/>
          <w:color w:val="353535"/>
          <w:kern w:val="0"/>
          <w:szCs w:val="21"/>
        </w:rPr>
        <w:t>了解压花艺术的定义、特点及作用；</w:t>
      </w:r>
    </w:p>
    <w:p>
      <w:pPr>
        <w:widowControl/>
        <w:snapToGrid w:val="0"/>
        <w:spacing w:line="360" w:lineRule="auto"/>
        <w:jc w:val="left"/>
        <w:rPr>
          <w:color w:val="353535"/>
          <w:kern w:val="0"/>
          <w:szCs w:val="21"/>
        </w:rPr>
      </w:pPr>
      <w:r>
        <w:rPr>
          <w:color w:val="353535"/>
          <w:kern w:val="0"/>
          <w:szCs w:val="21"/>
        </w:rPr>
        <w:t>了解</w:t>
      </w:r>
      <w:r>
        <w:rPr>
          <w:rFonts w:hint="eastAsia"/>
          <w:color w:val="353535"/>
          <w:kern w:val="0"/>
          <w:szCs w:val="21"/>
        </w:rPr>
        <w:t>压花</w:t>
      </w:r>
      <w:r>
        <w:rPr>
          <w:color w:val="353535"/>
          <w:kern w:val="0"/>
          <w:szCs w:val="21"/>
        </w:rPr>
        <w:t>用具</w:t>
      </w:r>
      <w:r>
        <w:rPr>
          <w:rFonts w:hint="eastAsia"/>
          <w:color w:val="353535"/>
          <w:kern w:val="0"/>
          <w:szCs w:val="21"/>
        </w:rPr>
        <w:t>及</w:t>
      </w:r>
      <w:r>
        <w:rPr>
          <w:color w:val="353535"/>
          <w:kern w:val="0"/>
          <w:szCs w:val="21"/>
        </w:rPr>
        <w:t>花材的选择方法；</w:t>
      </w:r>
    </w:p>
    <w:p>
      <w:pPr>
        <w:widowControl/>
        <w:snapToGrid w:val="0"/>
        <w:spacing w:line="360" w:lineRule="auto"/>
        <w:jc w:val="left"/>
        <w:rPr>
          <w:color w:val="353535"/>
          <w:kern w:val="0"/>
          <w:szCs w:val="21"/>
        </w:rPr>
      </w:pPr>
      <w:r>
        <w:rPr>
          <w:color w:val="353535"/>
          <w:kern w:val="0"/>
          <w:szCs w:val="21"/>
        </w:rPr>
        <w:t>熟悉各类花材的分解、压制和保存方法；</w:t>
      </w:r>
    </w:p>
    <w:p>
      <w:pPr>
        <w:widowControl/>
        <w:snapToGrid w:val="0"/>
        <w:spacing w:line="360" w:lineRule="auto"/>
        <w:jc w:val="left"/>
        <w:rPr>
          <w:color w:val="353535"/>
          <w:kern w:val="0"/>
          <w:szCs w:val="21"/>
        </w:rPr>
      </w:pPr>
      <w:r>
        <w:rPr>
          <w:rFonts w:hint="eastAsia"/>
          <w:color w:val="353535"/>
          <w:kern w:val="0"/>
          <w:szCs w:val="21"/>
        </w:rPr>
        <w:t>了解花材变色的影响因素；</w:t>
      </w:r>
    </w:p>
    <w:p>
      <w:pPr>
        <w:widowControl/>
        <w:snapToGrid w:val="0"/>
        <w:spacing w:line="360" w:lineRule="auto"/>
        <w:jc w:val="left"/>
        <w:rPr>
          <w:color w:val="353535"/>
          <w:kern w:val="0"/>
          <w:szCs w:val="21"/>
        </w:rPr>
      </w:pPr>
      <w:r>
        <w:rPr>
          <w:color w:val="353535"/>
          <w:kern w:val="0"/>
          <w:szCs w:val="21"/>
        </w:rPr>
        <w:t>掌握花材的保色技术；</w:t>
      </w:r>
    </w:p>
    <w:p>
      <w:pPr>
        <w:widowControl/>
        <w:snapToGrid w:val="0"/>
        <w:spacing w:line="360" w:lineRule="auto"/>
        <w:jc w:val="left"/>
        <w:rPr>
          <w:color w:val="353535"/>
          <w:kern w:val="0"/>
          <w:szCs w:val="21"/>
        </w:rPr>
      </w:pPr>
      <w:r>
        <w:rPr>
          <w:color w:val="353535"/>
          <w:kern w:val="0"/>
          <w:szCs w:val="21"/>
        </w:rPr>
        <w:t>了解压花的染色原理与技术；</w:t>
      </w:r>
    </w:p>
    <w:p>
      <w:pPr>
        <w:widowControl/>
        <w:snapToGrid w:val="0"/>
        <w:spacing w:line="360" w:lineRule="auto"/>
        <w:jc w:val="left"/>
        <w:rPr>
          <w:color w:val="353535"/>
          <w:kern w:val="0"/>
          <w:szCs w:val="21"/>
        </w:rPr>
      </w:pPr>
      <w:r>
        <w:rPr>
          <w:color w:val="353535"/>
          <w:kern w:val="0"/>
          <w:szCs w:val="21"/>
        </w:rPr>
        <w:t>掌握压花作品的制作过程；</w:t>
      </w:r>
    </w:p>
    <w:p>
      <w:pPr>
        <w:widowControl/>
        <w:snapToGrid w:val="0"/>
        <w:spacing w:line="360" w:lineRule="auto"/>
        <w:jc w:val="left"/>
        <w:rPr>
          <w:color w:val="353535"/>
          <w:kern w:val="0"/>
          <w:szCs w:val="21"/>
        </w:rPr>
      </w:pPr>
      <w:r>
        <w:rPr>
          <w:color w:val="353535"/>
          <w:kern w:val="0"/>
          <w:szCs w:val="21"/>
        </w:rPr>
        <w:t>了解压花艺术构图的基本理论。</w:t>
      </w:r>
    </w:p>
    <w:p>
      <w:pPr>
        <w:widowControl/>
        <w:snapToGrid w:val="0"/>
        <w:spacing w:line="360" w:lineRule="auto"/>
        <w:rPr>
          <w:color w:val="353535"/>
          <w:kern w:val="0"/>
          <w:szCs w:val="21"/>
        </w:rPr>
      </w:pPr>
      <w:r>
        <w:rPr>
          <w:b/>
          <w:bCs/>
          <w:szCs w:val="21"/>
        </w:rPr>
        <w:t>教学组织与实施：</w:t>
      </w:r>
      <w:r>
        <w:rPr>
          <w:rFonts w:hint="eastAsia"/>
          <w:color w:val="353535"/>
          <w:kern w:val="0"/>
          <w:szCs w:val="21"/>
        </w:rPr>
        <w:t>提前</w:t>
      </w:r>
      <w:r>
        <w:rPr>
          <w:color w:val="353535"/>
          <w:kern w:val="0"/>
          <w:szCs w:val="21"/>
        </w:rPr>
        <w:t>发布资料让学生预习压花技术，利用生活中常见的工具和花材，制作压花作品上交。通过图文、视频等方式进行讲解，结合课堂所学内容对压花作业进行评价。</w:t>
      </w:r>
    </w:p>
    <w:p>
      <w:pPr>
        <w:widowControl/>
        <w:snapToGrid w:val="0"/>
        <w:spacing w:line="360" w:lineRule="auto"/>
        <w:jc w:val="left"/>
        <w:rPr>
          <w:color w:val="0000FF"/>
          <w:kern w:val="0"/>
          <w:szCs w:val="21"/>
        </w:rPr>
      </w:pP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b/>
                <w:bCs/>
                <w:szCs w:val="21"/>
              </w:rPr>
              <w:t xml:space="preserve">第五章 </w:t>
            </w:r>
            <w:r>
              <w:rPr>
                <w:b/>
                <w:bCs/>
                <w:szCs w:val="21"/>
              </w:rPr>
              <w:t xml:space="preserve"> 园艺疗法</w:t>
            </w:r>
            <w:r>
              <w:rPr>
                <w:rFonts w:hint="eastAsia"/>
                <w:b/>
                <w:bCs/>
                <w:szCs w:val="21"/>
              </w:rPr>
              <w:t xml:space="preserve"> </w:t>
            </w:r>
            <w:r>
              <w:rPr>
                <w:b/>
                <w:bCs/>
                <w:szCs w:val="21"/>
              </w:rPr>
              <w:t xml:space="preserve">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4</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w:t>
      </w:r>
      <w:r>
        <w:rPr>
          <w:rFonts w:hint="eastAsia"/>
          <w:color w:val="353535"/>
          <w:kern w:val="0"/>
          <w:szCs w:val="21"/>
        </w:rPr>
        <w:t>通过本章学习能够使学生基本了解园艺治疗的方法和技能，拓宽对专业的认知度。</w:t>
      </w:r>
    </w:p>
    <w:p>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w:t>
      </w:r>
      <w:r>
        <w:rPr>
          <w:rFonts w:hint="eastAsia"/>
          <w:color w:val="353535"/>
          <w:kern w:val="0"/>
          <w:szCs w:val="21"/>
        </w:rPr>
        <w:t>本章重点为园艺疗法的应用范围，园艺植物的保健功能；难点为园艺疗法的疗效。</w:t>
      </w:r>
    </w:p>
    <w:p>
      <w:pPr>
        <w:widowControl/>
        <w:snapToGrid w:val="0"/>
        <w:spacing w:line="360" w:lineRule="auto"/>
        <w:jc w:val="left"/>
        <w:rPr>
          <w:color w:val="353535"/>
          <w:kern w:val="0"/>
          <w:szCs w:val="21"/>
        </w:rPr>
      </w:pPr>
      <w:r>
        <w:rPr>
          <w:b/>
          <w:bCs/>
          <w:szCs w:val="21"/>
        </w:rPr>
        <w:t>主要教学内容及要求：</w:t>
      </w:r>
      <w:r>
        <w:rPr>
          <w:color w:val="353535"/>
          <w:kern w:val="0"/>
          <w:szCs w:val="21"/>
        </w:rPr>
        <w:t xml:space="preserve"> </w:t>
      </w:r>
    </w:p>
    <w:p>
      <w:pPr>
        <w:widowControl/>
        <w:snapToGrid w:val="0"/>
        <w:spacing w:line="360" w:lineRule="auto"/>
        <w:jc w:val="left"/>
        <w:rPr>
          <w:b/>
          <w:color w:val="353535"/>
          <w:kern w:val="0"/>
          <w:szCs w:val="21"/>
        </w:rPr>
      </w:pPr>
      <w:r>
        <w:rPr>
          <w:b/>
          <w:color w:val="353535"/>
          <w:kern w:val="0"/>
          <w:szCs w:val="21"/>
        </w:rPr>
        <w:t>第一节</w:t>
      </w:r>
      <w:r>
        <w:rPr>
          <w:rFonts w:hint="eastAsia"/>
          <w:b/>
          <w:color w:val="353535"/>
          <w:kern w:val="0"/>
          <w:szCs w:val="21"/>
        </w:rPr>
        <w:t xml:space="preserve"> 园艺疗法概述</w:t>
      </w:r>
    </w:p>
    <w:p>
      <w:pPr>
        <w:widowControl/>
        <w:snapToGrid w:val="0"/>
        <w:spacing w:line="360" w:lineRule="auto"/>
        <w:jc w:val="left"/>
        <w:rPr>
          <w:color w:val="353535"/>
          <w:kern w:val="0"/>
          <w:szCs w:val="21"/>
        </w:rPr>
      </w:pPr>
      <w:r>
        <w:rPr>
          <w:color w:val="353535"/>
          <w:kern w:val="0"/>
          <w:szCs w:val="21"/>
        </w:rPr>
        <w:t>了解园艺疗法的定义；</w:t>
      </w:r>
    </w:p>
    <w:p>
      <w:pPr>
        <w:widowControl/>
        <w:snapToGrid w:val="0"/>
        <w:spacing w:line="360" w:lineRule="auto"/>
        <w:jc w:val="left"/>
        <w:rPr>
          <w:color w:val="353535"/>
          <w:kern w:val="0"/>
          <w:szCs w:val="21"/>
        </w:rPr>
      </w:pPr>
      <w:r>
        <w:rPr>
          <w:color w:val="353535"/>
          <w:kern w:val="0"/>
          <w:szCs w:val="21"/>
        </w:rPr>
        <w:t>理解园艺疗法的应用范围；</w:t>
      </w:r>
    </w:p>
    <w:p>
      <w:pPr>
        <w:widowControl/>
        <w:snapToGrid w:val="0"/>
        <w:spacing w:line="360" w:lineRule="auto"/>
        <w:jc w:val="left"/>
        <w:rPr>
          <w:color w:val="353535"/>
          <w:kern w:val="0"/>
          <w:szCs w:val="21"/>
        </w:rPr>
      </w:pPr>
      <w:r>
        <w:rPr>
          <w:color w:val="353535"/>
          <w:kern w:val="0"/>
          <w:szCs w:val="21"/>
        </w:rPr>
        <w:t>了解园艺疗法和心理疗法的异同。</w:t>
      </w:r>
    </w:p>
    <w:p>
      <w:pPr>
        <w:widowControl/>
        <w:snapToGrid w:val="0"/>
        <w:spacing w:line="360" w:lineRule="auto"/>
        <w:jc w:val="left"/>
        <w:rPr>
          <w:b/>
          <w:color w:val="353535"/>
          <w:kern w:val="0"/>
          <w:szCs w:val="21"/>
        </w:rPr>
      </w:pPr>
      <w:r>
        <w:rPr>
          <w:b/>
          <w:color w:val="353535"/>
          <w:kern w:val="0"/>
          <w:szCs w:val="21"/>
        </w:rPr>
        <w:t>第二节</w:t>
      </w:r>
      <w:r>
        <w:rPr>
          <w:rFonts w:hint="eastAsia"/>
          <w:b/>
          <w:color w:val="353535"/>
          <w:kern w:val="0"/>
          <w:szCs w:val="21"/>
        </w:rPr>
        <w:t xml:space="preserve"> 园艺植物的保健功能</w:t>
      </w:r>
    </w:p>
    <w:p>
      <w:pPr>
        <w:widowControl/>
        <w:snapToGrid w:val="0"/>
        <w:spacing w:line="360" w:lineRule="auto"/>
        <w:jc w:val="left"/>
        <w:rPr>
          <w:color w:val="353535"/>
          <w:kern w:val="0"/>
          <w:szCs w:val="21"/>
        </w:rPr>
      </w:pPr>
      <w:r>
        <w:rPr>
          <w:color w:val="353535"/>
          <w:kern w:val="0"/>
          <w:szCs w:val="21"/>
        </w:rPr>
        <w:t>熟悉果品的保健功能；</w:t>
      </w:r>
    </w:p>
    <w:p>
      <w:pPr>
        <w:widowControl/>
        <w:snapToGrid w:val="0"/>
        <w:spacing w:line="360" w:lineRule="auto"/>
        <w:jc w:val="left"/>
        <w:rPr>
          <w:color w:val="353535"/>
          <w:kern w:val="0"/>
          <w:szCs w:val="21"/>
        </w:rPr>
      </w:pPr>
      <w:r>
        <w:rPr>
          <w:color w:val="353535"/>
          <w:kern w:val="0"/>
          <w:szCs w:val="21"/>
        </w:rPr>
        <w:t>熟悉蔬菜的保健功能；</w:t>
      </w:r>
    </w:p>
    <w:p>
      <w:pPr>
        <w:widowControl/>
        <w:snapToGrid w:val="0"/>
        <w:spacing w:line="360" w:lineRule="auto"/>
        <w:jc w:val="left"/>
        <w:rPr>
          <w:color w:val="353535"/>
          <w:kern w:val="0"/>
          <w:szCs w:val="21"/>
        </w:rPr>
      </w:pPr>
      <w:r>
        <w:rPr>
          <w:color w:val="353535"/>
          <w:kern w:val="0"/>
          <w:szCs w:val="21"/>
        </w:rPr>
        <w:t>熟悉花卉的保健功能。</w:t>
      </w:r>
    </w:p>
    <w:p>
      <w:pPr>
        <w:widowControl/>
        <w:snapToGrid w:val="0"/>
        <w:spacing w:line="360" w:lineRule="auto"/>
        <w:jc w:val="left"/>
        <w:rPr>
          <w:b/>
          <w:color w:val="353535"/>
          <w:kern w:val="0"/>
          <w:szCs w:val="21"/>
        </w:rPr>
      </w:pPr>
      <w:r>
        <w:rPr>
          <w:b/>
          <w:color w:val="353535"/>
          <w:kern w:val="0"/>
          <w:szCs w:val="21"/>
        </w:rPr>
        <w:t>第三节</w:t>
      </w:r>
      <w:r>
        <w:rPr>
          <w:rFonts w:hint="eastAsia"/>
          <w:b/>
          <w:color w:val="353535"/>
          <w:kern w:val="0"/>
          <w:szCs w:val="21"/>
        </w:rPr>
        <w:t xml:space="preserve"> 园艺疗法的特征与功效</w:t>
      </w:r>
    </w:p>
    <w:p>
      <w:pPr>
        <w:widowControl/>
        <w:snapToGrid w:val="0"/>
        <w:spacing w:line="360" w:lineRule="auto"/>
        <w:jc w:val="left"/>
        <w:rPr>
          <w:color w:val="353535"/>
          <w:kern w:val="0"/>
          <w:szCs w:val="21"/>
        </w:rPr>
      </w:pPr>
      <w:r>
        <w:rPr>
          <w:rFonts w:hint="eastAsia"/>
          <w:color w:val="353535"/>
          <w:kern w:val="0"/>
          <w:szCs w:val="21"/>
        </w:rPr>
        <w:t>理解园艺疗法的特点和目的；</w:t>
      </w:r>
    </w:p>
    <w:p>
      <w:pPr>
        <w:widowControl/>
        <w:snapToGrid w:val="0"/>
        <w:spacing w:line="360" w:lineRule="auto"/>
        <w:jc w:val="left"/>
        <w:rPr>
          <w:color w:val="353535"/>
          <w:kern w:val="0"/>
          <w:szCs w:val="21"/>
        </w:rPr>
      </w:pPr>
      <w:r>
        <w:rPr>
          <w:color w:val="353535"/>
          <w:kern w:val="0"/>
          <w:szCs w:val="21"/>
        </w:rPr>
        <w:t>了解园艺疗法的功效；</w:t>
      </w:r>
    </w:p>
    <w:p>
      <w:pPr>
        <w:widowControl/>
        <w:snapToGrid w:val="0"/>
        <w:spacing w:line="360" w:lineRule="auto"/>
        <w:jc w:val="left"/>
        <w:rPr>
          <w:color w:val="353535"/>
          <w:kern w:val="0"/>
          <w:szCs w:val="21"/>
        </w:rPr>
      </w:pPr>
      <w:r>
        <w:rPr>
          <w:color w:val="353535"/>
          <w:kern w:val="0"/>
          <w:szCs w:val="21"/>
        </w:rPr>
        <w:t>了解园艺疗法的研究进展。</w:t>
      </w:r>
    </w:p>
    <w:p>
      <w:pPr>
        <w:widowControl/>
        <w:snapToGrid w:val="0"/>
        <w:spacing w:line="360" w:lineRule="auto"/>
        <w:rPr>
          <w:color w:val="353535"/>
          <w:kern w:val="0"/>
          <w:szCs w:val="21"/>
        </w:rPr>
      </w:pPr>
      <w:r>
        <w:rPr>
          <w:b/>
          <w:bCs/>
          <w:szCs w:val="21"/>
        </w:rPr>
        <w:t>教学组织与实施：</w:t>
      </w:r>
      <w:r>
        <w:rPr>
          <w:rFonts w:hint="eastAsia"/>
          <w:color w:val="353535"/>
          <w:kern w:val="0"/>
          <w:szCs w:val="21"/>
        </w:rPr>
        <w:t>通过</w:t>
      </w:r>
      <w:r>
        <w:rPr>
          <w:color w:val="353535"/>
          <w:kern w:val="0"/>
          <w:szCs w:val="21"/>
        </w:rPr>
        <w:t>讲授和课堂案例讨论相结合的方式，提高学生的学习兴趣，加深对园艺疗法理论知识的理解。</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b/>
                <w:bCs/>
                <w:szCs w:val="21"/>
              </w:rPr>
              <w:t xml:space="preserve">第六章 </w:t>
            </w:r>
            <w:r>
              <w:rPr>
                <w:b/>
                <w:bCs/>
                <w:szCs w:val="21"/>
              </w:rPr>
              <w:t xml:space="preserve"> 园艺造景</w:t>
            </w:r>
            <w:r>
              <w:rPr>
                <w:rFonts w:hint="eastAsia"/>
                <w:b/>
                <w:bCs/>
                <w:szCs w:val="21"/>
              </w:rPr>
              <w:t xml:space="preserve"> </w:t>
            </w:r>
            <w:r>
              <w:rPr>
                <w:b/>
                <w:bCs/>
                <w:szCs w:val="21"/>
              </w:rPr>
              <w:t xml:space="preserve">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4</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w:t>
      </w:r>
      <w:r>
        <w:rPr>
          <w:rFonts w:hint="eastAsia"/>
          <w:color w:val="353535"/>
          <w:kern w:val="0"/>
          <w:szCs w:val="21"/>
        </w:rPr>
        <w:t>使</w:t>
      </w:r>
      <w:r>
        <w:rPr>
          <w:color w:val="353535"/>
          <w:kern w:val="0"/>
          <w:szCs w:val="21"/>
        </w:rPr>
        <w:t>学生初步掌握盆景养护、微盆景制作等内容，提升审美意识，加强动手实践能力。</w:t>
      </w:r>
    </w:p>
    <w:p>
      <w:pPr>
        <w:widowControl/>
        <w:snapToGrid w:val="0"/>
        <w:spacing w:line="360" w:lineRule="auto"/>
        <w:jc w:val="left"/>
        <w:rPr>
          <w:color w:val="353535"/>
          <w:kern w:val="0"/>
          <w:szCs w:val="21"/>
        </w:rPr>
      </w:pPr>
      <w:r>
        <w:rPr>
          <w:b/>
          <w:bCs/>
          <w:color w:val="353535"/>
          <w:kern w:val="0"/>
          <w:szCs w:val="21"/>
        </w:rPr>
        <w:t>教学难点和重点</w:t>
      </w:r>
      <w:r>
        <w:rPr>
          <w:color w:val="353535"/>
          <w:kern w:val="0"/>
          <w:szCs w:val="21"/>
        </w:rPr>
        <w:t>：</w:t>
      </w:r>
      <w:r>
        <w:rPr>
          <w:rFonts w:hint="eastAsia"/>
          <w:color w:val="353535"/>
          <w:kern w:val="0"/>
          <w:szCs w:val="21"/>
        </w:rPr>
        <w:t>教学重点为盆景、微盆景和植物造景的相关内容；难点为盆景的风格和植物造景的美学原理和艺术手法。</w:t>
      </w:r>
    </w:p>
    <w:p>
      <w:pPr>
        <w:widowControl/>
        <w:snapToGrid w:val="0"/>
        <w:spacing w:line="360" w:lineRule="auto"/>
        <w:jc w:val="left"/>
        <w:rPr>
          <w:color w:val="353535"/>
          <w:kern w:val="0"/>
          <w:szCs w:val="21"/>
        </w:rPr>
      </w:pPr>
      <w:r>
        <w:rPr>
          <w:b/>
          <w:bCs/>
          <w:szCs w:val="21"/>
        </w:rPr>
        <w:t>主要教学内容及要求：</w:t>
      </w:r>
      <w:r>
        <w:rPr>
          <w:color w:val="353535"/>
          <w:kern w:val="0"/>
          <w:szCs w:val="21"/>
        </w:rPr>
        <w:t xml:space="preserve"> </w:t>
      </w:r>
    </w:p>
    <w:p>
      <w:pPr>
        <w:widowControl/>
        <w:snapToGrid w:val="0"/>
        <w:spacing w:line="360" w:lineRule="auto"/>
        <w:jc w:val="left"/>
        <w:rPr>
          <w:b/>
          <w:color w:val="353535"/>
          <w:kern w:val="0"/>
          <w:szCs w:val="21"/>
        </w:rPr>
      </w:pPr>
      <w:r>
        <w:rPr>
          <w:b/>
          <w:color w:val="353535"/>
          <w:kern w:val="0"/>
          <w:szCs w:val="21"/>
        </w:rPr>
        <w:t>第一节</w:t>
      </w:r>
      <w:r>
        <w:rPr>
          <w:rFonts w:hint="eastAsia"/>
          <w:b/>
          <w:color w:val="353535"/>
          <w:kern w:val="0"/>
          <w:szCs w:val="21"/>
        </w:rPr>
        <w:t xml:space="preserve"> 盆景</w:t>
      </w:r>
    </w:p>
    <w:p>
      <w:pPr>
        <w:widowControl/>
        <w:snapToGrid w:val="0"/>
        <w:spacing w:line="360" w:lineRule="auto"/>
        <w:jc w:val="left"/>
        <w:rPr>
          <w:color w:val="353535"/>
          <w:kern w:val="0"/>
          <w:szCs w:val="21"/>
        </w:rPr>
      </w:pPr>
      <w:r>
        <w:rPr>
          <w:rFonts w:hint="eastAsia"/>
          <w:color w:val="353535"/>
          <w:kern w:val="0"/>
          <w:szCs w:val="21"/>
        </w:rPr>
        <w:t>掌握盆景的定义；</w:t>
      </w:r>
    </w:p>
    <w:p>
      <w:pPr>
        <w:widowControl/>
        <w:snapToGrid w:val="0"/>
        <w:spacing w:line="360" w:lineRule="auto"/>
        <w:jc w:val="left"/>
        <w:rPr>
          <w:color w:val="353535"/>
          <w:kern w:val="0"/>
          <w:szCs w:val="21"/>
        </w:rPr>
      </w:pPr>
      <w:r>
        <w:rPr>
          <w:color w:val="353535"/>
          <w:kern w:val="0"/>
          <w:szCs w:val="21"/>
        </w:rPr>
        <w:t>了解盆景的艺术特点和效益；</w:t>
      </w:r>
    </w:p>
    <w:p>
      <w:pPr>
        <w:widowControl/>
        <w:snapToGrid w:val="0"/>
        <w:spacing w:line="360" w:lineRule="auto"/>
        <w:jc w:val="left"/>
        <w:rPr>
          <w:color w:val="353535"/>
          <w:kern w:val="0"/>
          <w:szCs w:val="21"/>
        </w:rPr>
      </w:pPr>
      <w:r>
        <w:rPr>
          <w:color w:val="353535"/>
          <w:kern w:val="0"/>
          <w:szCs w:val="21"/>
        </w:rPr>
        <w:t>了解盆景的分类和风格；</w:t>
      </w:r>
    </w:p>
    <w:p>
      <w:pPr>
        <w:widowControl/>
        <w:snapToGrid w:val="0"/>
        <w:spacing w:line="360" w:lineRule="auto"/>
        <w:jc w:val="left"/>
        <w:rPr>
          <w:color w:val="353535"/>
          <w:kern w:val="0"/>
          <w:szCs w:val="21"/>
        </w:rPr>
      </w:pPr>
      <w:r>
        <w:rPr>
          <w:color w:val="353535"/>
          <w:kern w:val="0"/>
          <w:szCs w:val="21"/>
        </w:rPr>
        <w:t>了解盆景的养护。</w:t>
      </w:r>
    </w:p>
    <w:p>
      <w:pPr>
        <w:widowControl/>
        <w:snapToGrid w:val="0"/>
        <w:spacing w:line="360" w:lineRule="auto"/>
        <w:jc w:val="left"/>
        <w:rPr>
          <w:b/>
          <w:color w:val="353535"/>
          <w:kern w:val="0"/>
          <w:szCs w:val="21"/>
        </w:rPr>
      </w:pPr>
      <w:r>
        <w:rPr>
          <w:b/>
          <w:color w:val="353535"/>
          <w:kern w:val="0"/>
          <w:szCs w:val="21"/>
        </w:rPr>
        <w:t>第二节</w:t>
      </w:r>
      <w:r>
        <w:rPr>
          <w:rFonts w:hint="eastAsia"/>
          <w:b/>
          <w:color w:val="353535"/>
          <w:kern w:val="0"/>
          <w:szCs w:val="21"/>
        </w:rPr>
        <w:t xml:space="preserve"> 植物造景</w:t>
      </w:r>
    </w:p>
    <w:p>
      <w:pPr>
        <w:widowControl/>
        <w:snapToGrid w:val="0"/>
        <w:spacing w:line="360" w:lineRule="auto"/>
        <w:jc w:val="left"/>
        <w:rPr>
          <w:color w:val="353535"/>
          <w:kern w:val="0"/>
          <w:szCs w:val="21"/>
        </w:rPr>
      </w:pPr>
      <w:r>
        <w:rPr>
          <w:color w:val="353535"/>
          <w:kern w:val="0"/>
          <w:szCs w:val="21"/>
        </w:rPr>
        <w:t>了解植物造景的基本原理、生态学原理和美学原理；</w:t>
      </w:r>
    </w:p>
    <w:p>
      <w:pPr>
        <w:widowControl/>
        <w:snapToGrid w:val="0"/>
        <w:spacing w:line="360" w:lineRule="auto"/>
        <w:jc w:val="left"/>
        <w:rPr>
          <w:color w:val="353535"/>
          <w:kern w:val="0"/>
          <w:szCs w:val="21"/>
        </w:rPr>
      </w:pPr>
      <w:r>
        <w:rPr>
          <w:color w:val="353535"/>
          <w:kern w:val="0"/>
          <w:szCs w:val="21"/>
        </w:rPr>
        <w:t>了解植物造景的植物配置与艺术手法。</w:t>
      </w:r>
    </w:p>
    <w:p>
      <w:pPr>
        <w:widowControl/>
        <w:snapToGrid w:val="0"/>
        <w:spacing w:line="360" w:lineRule="auto"/>
        <w:jc w:val="left"/>
        <w:rPr>
          <w:b/>
          <w:color w:val="353535"/>
          <w:kern w:val="0"/>
          <w:szCs w:val="21"/>
        </w:rPr>
      </w:pPr>
      <w:r>
        <w:rPr>
          <w:b/>
          <w:color w:val="353535"/>
          <w:kern w:val="0"/>
          <w:szCs w:val="21"/>
        </w:rPr>
        <w:t>第三节</w:t>
      </w:r>
      <w:r>
        <w:rPr>
          <w:rFonts w:hint="eastAsia"/>
          <w:b/>
          <w:color w:val="353535"/>
          <w:kern w:val="0"/>
          <w:szCs w:val="21"/>
        </w:rPr>
        <w:t xml:space="preserve"> 微景观</w:t>
      </w:r>
    </w:p>
    <w:p>
      <w:pPr>
        <w:widowControl/>
        <w:snapToGrid w:val="0"/>
        <w:spacing w:line="360" w:lineRule="auto"/>
        <w:jc w:val="left"/>
        <w:rPr>
          <w:color w:val="353535"/>
          <w:kern w:val="0"/>
          <w:szCs w:val="21"/>
        </w:rPr>
      </w:pPr>
      <w:r>
        <w:rPr>
          <w:rFonts w:hint="eastAsia"/>
          <w:color w:val="353535"/>
          <w:kern w:val="0"/>
          <w:szCs w:val="21"/>
        </w:rPr>
        <w:t>了解微景观的功能；</w:t>
      </w:r>
    </w:p>
    <w:p>
      <w:pPr>
        <w:widowControl/>
        <w:snapToGrid w:val="0"/>
        <w:spacing w:line="360" w:lineRule="auto"/>
        <w:jc w:val="left"/>
        <w:rPr>
          <w:color w:val="353535"/>
          <w:kern w:val="0"/>
          <w:szCs w:val="21"/>
        </w:rPr>
      </w:pPr>
      <w:r>
        <w:rPr>
          <w:color w:val="353535"/>
          <w:kern w:val="0"/>
          <w:szCs w:val="21"/>
        </w:rPr>
        <w:t>熟悉微景观的</w:t>
      </w:r>
      <w:r>
        <w:rPr>
          <w:rFonts w:hint="eastAsia"/>
          <w:color w:val="353535"/>
          <w:kern w:val="0"/>
          <w:szCs w:val="21"/>
        </w:rPr>
        <w:t>制作流程。</w:t>
      </w:r>
    </w:p>
    <w:p>
      <w:pPr>
        <w:widowControl/>
        <w:snapToGrid w:val="0"/>
        <w:spacing w:line="360" w:lineRule="auto"/>
        <w:rPr>
          <w:color w:val="353535"/>
          <w:kern w:val="0"/>
          <w:szCs w:val="21"/>
        </w:rPr>
      </w:pPr>
      <w:r>
        <w:rPr>
          <w:b/>
          <w:bCs/>
          <w:szCs w:val="21"/>
        </w:rPr>
        <w:t>教学组织与实施：</w:t>
      </w:r>
      <w:r>
        <w:rPr>
          <w:rFonts w:hint="eastAsia"/>
          <w:color w:val="353535"/>
          <w:kern w:val="0"/>
          <w:szCs w:val="21"/>
        </w:rPr>
        <w:t>采用</w:t>
      </w:r>
      <w:r>
        <w:rPr>
          <w:color w:val="353535"/>
          <w:kern w:val="0"/>
          <w:szCs w:val="21"/>
        </w:rPr>
        <w:t>图文和视频相结合的方式进行课堂</w:t>
      </w:r>
      <w:r>
        <w:rPr>
          <w:rFonts w:hint="eastAsia"/>
          <w:color w:val="353535"/>
          <w:kern w:val="0"/>
          <w:szCs w:val="21"/>
        </w:rPr>
        <w:t>授课</w:t>
      </w:r>
      <w:r>
        <w:rPr>
          <w:color w:val="353535"/>
          <w:kern w:val="0"/>
          <w:szCs w:val="21"/>
        </w:rPr>
        <w:t>。提前布置小组微景观制作作业，进行课堂分享，讨论制作过程中遇到的问题和解决方法，通过实践反馈</w:t>
      </w:r>
      <w:r>
        <w:rPr>
          <w:rFonts w:hint="eastAsia"/>
          <w:color w:val="353535"/>
          <w:kern w:val="0"/>
          <w:szCs w:val="21"/>
        </w:rPr>
        <w:t>强化</w:t>
      </w:r>
      <w:r>
        <w:rPr>
          <w:color w:val="353535"/>
          <w:kern w:val="0"/>
          <w:szCs w:val="21"/>
        </w:rPr>
        <w:t>学生对理论知识的记忆。</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b/>
                <w:bCs/>
                <w:szCs w:val="21"/>
              </w:rPr>
              <w:t xml:space="preserve">第七章 </w:t>
            </w:r>
            <w:r>
              <w:rPr>
                <w:b/>
                <w:bCs/>
                <w:szCs w:val="21"/>
              </w:rPr>
              <w:t xml:space="preserve"> 都市休闲农业园区</w:t>
            </w:r>
            <w:r>
              <w:rPr>
                <w:rFonts w:hint="eastAsia"/>
                <w:b/>
                <w:bCs/>
                <w:szCs w:val="21"/>
              </w:rPr>
              <w:t xml:space="preserve"> </w:t>
            </w:r>
            <w:r>
              <w:rPr>
                <w:b/>
                <w:bCs/>
                <w:szCs w:val="21"/>
              </w:rPr>
              <w:t xml:space="preserve"> </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napToGrid w:val="0"/>
        <w:spacing w:line="360" w:lineRule="auto"/>
        <w:rPr>
          <w:color w:val="353535"/>
          <w:kern w:val="0"/>
          <w:szCs w:val="21"/>
        </w:rPr>
      </w:pPr>
      <w:r>
        <w:rPr>
          <w:b/>
          <w:bCs/>
          <w:color w:val="353535"/>
          <w:kern w:val="0"/>
          <w:szCs w:val="21"/>
        </w:rPr>
        <w:t>教学目标</w:t>
      </w:r>
      <w:r>
        <w:rPr>
          <w:color w:val="353535"/>
          <w:kern w:val="0"/>
          <w:szCs w:val="21"/>
        </w:rPr>
        <w:t>：</w:t>
      </w:r>
      <w:r>
        <w:rPr>
          <w:rFonts w:hint="eastAsia"/>
          <w:color w:val="353535"/>
          <w:kern w:val="0"/>
          <w:szCs w:val="21"/>
        </w:rPr>
        <w:t xml:space="preserve">培养学生将理论知识与实践相结合的能力，增强学生的专业能力，同时锻炼学生的终身学习能力。 </w:t>
      </w:r>
    </w:p>
    <w:p>
      <w:pPr>
        <w:widowControl/>
        <w:snapToGrid w:val="0"/>
        <w:spacing w:line="360" w:lineRule="auto"/>
        <w:rPr>
          <w:color w:val="353535"/>
          <w:kern w:val="0"/>
          <w:szCs w:val="21"/>
        </w:rPr>
      </w:pPr>
      <w:r>
        <w:rPr>
          <w:b/>
          <w:bCs/>
          <w:color w:val="353535"/>
          <w:kern w:val="0"/>
          <w:szCs w:val="21"/>
        </w:rPr>
        <w:t>教学难点和重点</w:t>
      </w:r>
      <w:r>
        <w:rPr>
          <w:color w:val="353535"/>
          <w:kern w:val="0"/>
          <w:szCs w:val="21"/>
        </w:rPr>
        <w:t>：本章重点为都市休闲园区的规划设计原则、方法和步骤；难点为设计过程。</w:t>
      </w:r>
    </w:p>
    <w:p>
      <w:pPr>
        <w:widowControl/>
        <w:snapToGrid w:val="0"/>
        <w:spacing w:line="360" w:lineRule="auto"/>
        <w:jc w:val="left"/>
        <w:rPr>
          <w:color w:val="353535"/>
          <w:kern w:val="0"/>
          <w:szCs w:val="21"/>
        </w:rPr>
      </w:pPr>
      <w:r>
        <w:rPr>
          <w:b/>
          <w:bCs/>
          <w:szCs w:val="21"/>
        </w:rPr>
        <w:t>主要教学内容及要求：</w:t>
      </w:r>
    </w:p>
    <w:p>
      <w:pPr>
        <w:widowControl/>
        <w:snapToGrid w:val="0"/>
        <w:spacing w:line="360" w:lineRule="auto"/>
        <w:jc w:val="left"/>
        <w:rPr>
          <w:b/>
          <w:color w:val="353535"/>
          <w:kern w:val="0"/>
          <w:szCs w:val="21"/>
        </w:rPr>
      </w:pPr>
      <w:r>
        <w:rPr>
          <w:b/>
          <w:color w:val="353535"/>
          <w:kern w:val="0"/>
          <w:szCs w:val="21"/>
        </w:rPr>
        <w:t>第一节</w:t>
      </w:r>
      <w:r>
        <w:rPr>
          <w:rFonts w:hint="eastAsia"/>
          <w:b/>
          <w:color w:val="353535"/>
          <w:kern w:val="0"/>
          <w:szCs w:val="21"/>
        </w:rPr>
        <w:t xml:space="preserve"> 休闲农业园区概述</w:t>
      </w:r>
    </w:p>
    <w:p>
      <w:pPr>
        <w:widowControl/>
        <w:snapToGrid w:val="0"/>
        <w:spacing w:line="360" w:lineRule="auto"/>
        <w:jc w:val="left"/>
        <w:rPr>
          <w:color w:val="353535"/>
          <w:kern w:val="0"/>
          <w:szCs w:val="21"/>
        </w:rPr>
      </w:pPr>
      <w:r>
        <w:rPr>
          <w:rFonts w:hint="eastAsia"/>
          <w:color w:val="353535"/>
          <w:kern w:val="0"/>
          <w:szCs w:val="21"/>
        </w:rPr>
        <w:t>了解休闲农业园区的特征；</w:t>
      </w:r>
    </w:p>
    <w:p>
      <w:pPr>
        <w:widowControl/>
        <w:snapToGrid w:val="0"/>
        <w:spacing w:line="360" w:lineRule="auto"/>
        <w:jc w:val="left"/>
        <w:rPr>
          <w:color w:val="353535"/>
          <w:kern w:val="0"/>
          <w:szCs w:val="21"/>
        </w:rPr>
      </w:pPr>
      <w:r>
        <w:rPr>
          <w:color w:val="353535"/>
          <w:kern w:val="0"/>
          <w:szCs w:val="21"/>
        </w:rPr>
        <w:t>了解休闲农业园区的类型。</w:t>
      </w:r>
    </w:p>
    <w:p>
      <w:pPr>
        <w:widowControl/>
        <w:snapToGrid w:val="0"/>
        <w:spacing w:line="360" w:lineRule="auto"/>
        <w:jc w:val="left"/>
        <w:rPr>
          <w:b/>
          <w:color w:val="353535"/>
          <w:kern w:val="0"/>
          <w:szCs w:val="21"/>
        </w:rPr>
      </w:pPr>
      <w:r>
        <w:rPr>
          <w:b/>
          <w:color w:val="353535"/>
          <w:kern w:val="0"/>
          <w:szCs w:val="21"/>
        </w:rPr>
        <w:t>第二节</w:t>
      </w:r>
      <w:r>
        <w:rPr>
          <w:rFonts w:hint="eastAsia"/>
          <w:b/>
          <w:color w:val="353535"/>
          <w:kern w:val="0"/>
          <w:szCs w:val="21"/>
        </w:rPr>
        <w:t xml:space="preserve"> 休闲农业园区规划设计的原则、方法和步骤</w:t>
      </w:r>
    </w:p>
    <w:p>
      <w:pPr>
        <w:widowControl/>
        <w:snapToGrid w:val="0"/>
        <w:spacing w:line="360" w:lineRule="auto"/>
        <w:jc w:val="left"/>
        <w:rPr>
          <w:color w:val="353535"/>
          <w:kern w:val="0"/>
          <w:szCs w:val="21"/>
        </w:rPr>
      </w:pPr>
      <w:r>
        <w:rPr>
          <w:rFonts w:hint="eastAsia"/>
          <w:color w:val="353535"/>
          <w:kern w:val="0"/>
          <w:szCs w:val="21"/>
        </w:rPr>
        <w:t>了解休闲农业园区规划设计的原则；</w:t>
      </w:r>
    </w:p>
    <w:p>
      <w:pPr>
        <w:widowControl/>
        <w:snapToGrid w:val="0"/>
        <w:spacing w:line="360" w:lineRule="auto"/>
        <w:jc w:val="left"/>
        <w:rPr>
          <w:color w:val="353535"/>
          <w:kern w:val="0"/>
          <w:szCs w:val="21"/>
        </w:rPr>
      </w:pPr>
      <w:r>
        <w:rPr>
          <w:color w:val="353535"/>
          <w:kern w:val="0"/>
          <w:szCs w:val="21"/>
        </w:rPr>
        <w:t>了解休闲农业园区规划设计的要素；</w:t>
      </w:r>
    </w:p>
    <w:p>
      <w:pPr>
        <w:widowControl/>
        <w:snapToGrid w:val="0"/>
        <w:spacing w:line="360" w:lineRule="auto"/>
        <w:jc w:val="left"/>
        <w:rPr>
          <w:color w:val="353535"/>
          <w:kern w:val="0"/>
          <w:szCs w:val="21"/>
        </w:rPr>
      </w:pPr>
      <w:r>
        <w:rPr>
          <w:color w:val="353535"/>
          <w:kern w:val="0"/>
          <w:szCs w:val="21"/>
        </w:rPr>
        <w:t>了解休闲农业园区的规划设计步骤。</w:t>
      </w:r>
    </w:p>
    <w:p>
      <w:pPr>
        <w:widowControl/>
        <w:snapToGrid w:val="0"/>
        <w:spacing w:line="360" w:lineRule="auto"/>
        <w:jc w:val="left"/>
        <w:rPr>
          <w:b/>
          <w:color w:val="353535"/>
          <w:kern w:val="0"/>
          <w:szCs w:val="21"/>
        </w:rPr>
      </w:pPr>
      <w:r>
        <w:rPr>
          <w:b/>
          <w:color w:val="353535"/>
          <w:kern w:val="0"/>
          <w:szCs w:val="21"/>
        </w:rPr>
        <w:t>第三节</w:t>
      </w:r>
      <w:r>
        <w:rPr>
          <w:rFonts w:hint="eastAsia"/>
          <w:b/>
          <w:color w:val="353535"/>
          <w:kern w:val="0"/>
          <w:szCs w:val="21"/>
        </w:rPr>
        <w:t xml:space="preserve"> 休闲农业园区规划设计</w:t>
      </w:r>
    </w:p>
    <w:p>
      <w:pPr>
        <w:widowControl/>
        <w:snapToGrid w:val="0"/>
        <w:spacing w:line="360" w:lineRule="auto"/>
        <w:jc w:val="left"/>
        <w:rPr>
          <w:color w:val="353535"/>
          <w:kern w:val="0"/>
          <w:szCs w:val="21"/>
        </w:rPr>
      </w:pPr>
      <w:r>
        <w:rPr>
          <w:rFonts w:hint="eastAsia"/>
          <w:color w:val="353535"/>
          <w:kern w:val="0"/>
          <w:szCs w:val="21"/>
        </w:rPr>
        <w:t>了解休闲农业园区的选址；</w:t>
      </w:r>
    </w:p>
    <w:p>
      <w:pPr>
        <w:widowControl/>
        <w:snapToGrid w:val="0"/>
        <w:spacing w:line="360" w:lineRule="auto"/>
        <w:jc w:val="left"/>
        <w:rPr>
          <w:color w:val="353535"/>
          <w:kern w:val="0"/>
          <w:szCs w:val="21"/>
        </w:rPr>
      </w:pPr>
      <w:r>
        <w:rPr>
          <w:color w:val="353535"/>
          <w:kern w:val="0"/>
          <w:szCs w:val="21"/>
        </w:rPr>
        <w:t>了解常见休闲农业园区的布局形式；</w:t>
      </w:r>
    </w:p>
    <w:p>
      <w:pPr>
        <w:widowControl/>
        <w:snapToGrid w:val="0"/>
        <w:spacing w:line="360" w:lineRule="auto"/>
        <w:jc w:val="left"/>
        <w:rPr>
          <w:color w:val="353535"/>
          <w:kern w:val="0"/>
          <w:szCs w:val="21"/>
        </w:rPr>
      </w:pPr>
      <w:r>
        <w:rPr>
          <w:color w:val="353535"/>
          <w:kern w:val="0"/>
          <w:szCs w:val="21"/>
        </w:rPr>
        <w:t>了解休闲农业园区的分区规划；</w:t>
      </w:r>
    </w:p>
    <w:p>
      <w:pPr>
        <w:widowControl/>
        <w:snapToGrid w:val="0"/>
        <w:spacing w:line="360" w:lineRule="auto"/>
        <w:jc w:val="left"/>
        <w:rPr>
          <w:color w:val="353535"/>
          <w:kern w:val="0"/>
          <w:szCs w:val="21"/>
        </w:rPr>
      </w:pPr>
      <w:r>
        <w:rPr>
          <w:color w:val="353535"/>
          <w:kern w:val="0"/>
          <w:szCs w:val="21"/>
        </w:rPr>
        <w:t>了解休闲农业园区的景观规划；</w:t>
      </w:r>
    </w:p>
    <w:p>
      <w:pPr>
        <w:widowControl/>
        <w:snapToGrid w:val="0"/>
        <w:spacing w:line="360" w:lineRule="auto"/>
        <w:jc w:val="left"/>
        <w:rPr>
          <w:color w:val="353535"/>
          <w:kern w:val="0"/>
          <w:szCs w:val="21"/>
        </w:rPr>
      </w:pPr>
      <w:r>
        <w:rPr>
          <w:color w:val="353535"/>
          <w:kern w:val="0"/>
          <w:szCs w:val="21"/>
        </w:rPr>
        <w:t>了解休闲农业园区的道路交通规划；</w:t>
      </w:r>
    </w:p>
    <w:p>
      <w:pPr>
        <w:widowControl/>
        <w:snapToGrid w:val="0"/>
        <w:spacing w:line="360" w:lineRule="auto"/>
        <w:jc w:val="left"/>
        <w:rPr>
          <w:color w:val="353535"/>
          <w:kern w:val="0"/>
          <w:szCs w:val="21"/>
        </w:rPr>
      </w:pPr>
      <w:r>
        <w:rPr>
          <w:color w:val="353535"/>
          <w:kern w:val="0"/>
          <w:szCs w:val="21"/>
        </w:rPr>
        <w:t>熟悉</w:t>
      </w:r>
      <w:r>
        <w:rPr>
          <w:rFonts w:hint="eastAsia"/>
          <w:color w:val="353535"/>
          <w:kern w:val="0"/>
          <w:szCs w:val="21"/>
        </w:rPr>
        <w:t>休闲</w:t>
      </w:r>
      <w:r>
        <w:rPr>
          <w:color w:val="353535"/>
          <w:kern w:val="0"/>
          <w:szCs w:val="21"/>
        </w:rPr>
        <w:t>农业园区的绿化设计；</w:t>
      </w:r>
    </w:p>
    <w:p>
      <w:pPr>
        <w:widowControl/>
        <w:snapToGrid w:val="0"/>
        <w:spacing w:line="360" w:lineRule="auto"/>
        <w:jc w:val="left"/>
        <w:rPr>
          <w:color w:val="353535"/>
          <w:kern w:val="0"/>
          <w:szCs w:val="21"/>
        </w:rPr>
      </w:pPr>
      <w:r>
        <w:rPr>
          <w:color w:val="353535"/>
          <w:kern w:val="0"/>
          <w:szCs w:val="21"/>
        </w:rPr>
        <w:t>熟悉休闲农业园区的植被规划。</w:t>
      </w:r>
    </w:p>
    <w:p>
      <w:pPr>
        <w:widowControl/>
        <w:snapToGrid w:val="0"/>
        <w:spacing w:line="360" w:lineRule="auto"/>
        <w:jc w:val="left"/>
        <w:rPr>
          <w:color w:val="353535"/>
          <w:kern w:val="0"/>
          <w:szCs w:val="21"/>
        </w:rPr>
      </w:pPr>
      <w:r>
        <w:rPr>
          <w:b/>
          <w:bCs/>
          <w:szCs w:val="21"/>
        </w:rPr>
        <w:t>教学组织与实施：</w:t>
      </w:r>
      <w:r>
        <w:rPr>
          <w:rFonts w:hint="eastAsia"/>
          <w:color w:val="353535"/>
          <w:kern w:val="0"/>
          <w:szCs w:val="21"/>
        </w:rPr>
        <w:t>采用</w:t>
      </w:r>
      <w:r>
        <w:rPr>
          <w:color w:val="353535"/>
          <w:kern w:val="0"/>
          <w:szCs w:val="21"/>
        </w:rPr>
        <w:t>图文结合的形式，通过多媒体进行课堂讲解。结合学生专业课程实习参观的休闲农业园区进行课堂讨论。</w:t>
      </w:r>
    </w:p>
    <w:p>
      <w:pPr>
        <w:widowControl/>
        <w:snapToGrid w:val="0"/>
        <w:spacing w:line="360" w:lineRule="auto"/>
        <w:jc w:val="left"/>
        <w:rPr>
          <w:b/>
          <w:bCs/>
          <w:kern w:val="0"/>
          <w:szCs w:val="21"/>
        </w:rPr>
      </w:pPr>
      <w:r>
        <w:rPr>
          <w:rFonts w:hint="eastAsia"/>
          <w:b/>
          <w:bCs/>
          <w:kern w:val="0"/>
          <w:szCs w:val="21"/>
        </w:rPr>
        <w:t>五</w:t>
      </w:r>
      <w:r>
        <w:rPr>
          <w:b/>
          <w:bCs/>
          <w:kern w:val="0"/>
          <w:szCs w:val="21"/>
        </w:rPr>
        <w:t>、课程思政</w:t>
      </w:r>
    </w:p>
    <w:p>
      <w:pPr>
        <w:snapToGrid w:val="0"/>
        <w:spacing w:line="360" w:lineRule="auto"/>
        <w:ind w:firstLine="420" w:firstLineChars="200"/>
        <w:rPr>
          <w:szCs w:val="21"/>
        </w:rPr>
      </w:pPr>
      <w:r>
        <w:rPr>
          <w:szCs w:val="21"/>
        </w:rPr>
        <w:t>都市园艺涵盖了园艺和园林等多方面的内容，在授课过程中充分挖掘其</w:t>
      </w:r>
      <w:r>
        <w:rPr>
          <w:rFonts w:hint="eastAsia"/>
          <w:szCs w:val="21"/>
        </w:rPr>
        <w:t>蕴藏</w:t>
      </w:r>
      <w:r>
        <w:rPr>
          <w:szCs w:val="21"/>
        </w:rPr>
        <w:t>的园艺文化，将弘扬传统文化、三农情怀融入教学中，一方面增强学生对专业的认同感，另一方面拓宽学生的就业渠道。在庭院绿化、都市花艺、园艺植物造景等章节，讲授美学设计和搭配技巧时，将保护自然环境、人人有责，传承中华民族传统文化等课程思政因子贯穿其中，让学生学习专业技能，增强创新意识的同时，不忘本心。在园艺疗法的章节，引导学生相信科学，不盲目信从，培养其认识自我，提高服务意识等能力。</w:t>
      </w:r>
    </w:p>
    <w:p>
      <w:pPr>
        <w:snapToGrid w:val="0"/>
        <w:spacing w:line="360" w:lineRule="auto"/>
        <w:rPr>
          <w:szCs w:val="21"/>
        </w:rPr>
      </w:pPr>
    </w:p>
    <w:p>
      <w:pPr>
        <w:widowControl/>
        <w:snapToGrid w:val="0"/>
        <w:spacing w:line="360" w:lineRule="auto"/>
        <w:jc w:val="left"/>
        <w:rPr>
          <w:b/>
          <w:bCs/>
          <w:kern w:val="0"/>
          <w:szCs w:val="21"/>
        </w:rPr>
      </w:pPr>
      <w:r>
        <w:rPr>
          <w:rFonts w:hint="eastAsia"/>
          <w:b/>
          <w:bCs/>
          <w:kern w:val="0"/>
          <w:szCs w:val="21"/>
        </w:rPr>
        <w:t>六</w:t>
      </w:r>
      <w:r>
        <w:rPr>
          <w:b/>
          <w:bCs/>
          <w:kern w:val="0"/>
          <w:szCs w:val="21"/>
        </w:rPr>
        <w:t>、教材及教学参考书</w:t>
      </w:r>
    </w:p>
    <w:p>
      <w:pPr>
        <w:widowControl/>
        <w:adjustRightInd w:val="0"/>
        <w:snapToGrid w:val="0"/>
        <w:spacing w:line="360" w:lineRule="auto"/>
        <w:ind w:firstLine="316" w:firstLineChars="150"/>
        <w:jc w:val="left"/>
        <w:rPr>
          <w:b/>
          <w:bCs/>
          <w:kern w:val="0"/>
          <w:szCs w:val="21"/>
        </w:rPr>
      </w:pPr>
      <w:r>
        <w:rPr>
          <w:b/>
          <w:bCs/>
          <w:kern w:val="0"/>
          <w:szCs w:val="21"/>
        </w:rPr>
        <w:t>1. 选用教材：</w:t>
      </w:r>
    </w:p>
    <w:p>
      <w:pPr>
        <w:snapToGrid w:val="0"/>
        <w:spacing w:line="360" w:lineRule="auto"/>
        <w:ind w:firstLine="420" w:firstLineChars="200"/>
      </w:pPr>
      <w:r>
        <w:rPr>
          <w:rFonts w:hint="eastAsia"/>
        </w:rPr>
        <w:t>无</w:t>
      </w:r>
    </w:p>
    <w:p>
      <w:pPr>
        <w:widowControl/>
        <w:adjustRightInd w:val="0"/>
        <w:snapToGrid w:val="0"/>
        <w:spacing w:line="360" w:lineRule="auto"/>
        <w:ind w:firstLine="316" w:firstLineChars="150"/>
        <w:jc w:val="left"/>
        <w:rPr>
          <w:kern w:val="0"/>
          <w:szCs w:val="21"/>
        </w:rPr>
      </w:pPr>
      <w:r>
        <w:rPr>
          <w:b/>
          <w:bCs/>
          <w:kern w:val="0"/>
          <w:szCs w:val="21"/>
        </w:rPr>
        <w:t>2. 参考书：</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（1）《室内园艺》</w:t>
      </w:r>
      <w:r>
        <w:rPr>
          <w:rFonts w:hint="eastAsia" w:ascii="Times New Roman" w:hAnsi="Times New Roman" w:cs="Times New Roman"/>
        </w:rPr>
        <w:t>.</w:t>
      </w:r>
      <w:r>
        <w:rPr>
          <w:rFonts w:ascii="Times New Roman" w:hAnsi="Times New Roman" w:cs="Times New Roman"/>
        </w:rPr>
        <w:t xml:space="preserve"> 金波主编</w:t>
      </w:r>
      <w:r>
        <w:rPr>
          <w:rFonts w:hint="eastAsia" w:ascii="Times New Roman" w:hAnsi="Times New Roman" w:cs="Times New Roman"/>
        </w:rPr>
        <w:t>.</w:t>
      </w:r>
      <w:r>
        <w:rPr>
          <w:rFonts w:ascii="Times New Roman" w:hAnsi="Times New Roman" w:cs="Times New Roman"/>
        </w:rPr>
        <w:t xml:space="preserve"> 化学工业出版社，</w:t>
      </w:r>
      <w:r>
        <w:rPr>
          <w:rFonts w:hint="eastAsia" w:ascii="Times New Roman" w:hAnsi="Times New Roman" w:cs="Times New Roman"/>
        </w:rPr>
        <w:t>2</w:t>
      </w:r>
      <w:r>
        <w:rPr>
          <w:rFonts w:ascii="Times New Roman" w:hAnsi="Times New Roman" w:cs="Times New Roman"/>
        </w:rPr>
        <w:t>004年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）《观赏园艺学》</w:t>
      </w:r>
      <w:r>
        <w:rPr>
          <w:rFonts w:hint="eastAsia" w:ascii="Times New Roman" w:hAnsi="Times New Roman" w:cs="Times New Roman"/>
        </w:rPr>
        <w:t>.</w:t>
      </w:r>
      <w:r>
        <w:rPr>
          <w:rFonts w:ascii="Times New Roman" w:hAnsi="Times New Roman" w:cs="Times New Roman"/>
        </w:rPr>
        <w:t xml:space="preserve"> 姚允聪主编</w:t>
      </w:r>
      <w:r>
        <w:rPr>
          <w:rFonts w:hint="eastAsia" w:ascii="Times New Roman" w:hAnsi="Times New Roman" w:cs="Times New Roman"/>
        </w:rPr>
        <w:t>.</w:t>
      </w:r>
      <w:r>
        <w:rPr>
          <w:rFonts w:ascii="Times New Roman" w:hAnsi="Times New Roman" w:cs="Times New Roman"/>
        </w:rPr>
        <w:t xml:space="preserve"> 中国农业出版社，</w:t>
      </w:r>
      <w:r>
        <w:rPr>
          <w:rFonts w:hint="eastAsia" w:ascii="Times New Roman" w:hAnsi="Times New Roman" w:cs="Times New Roman"/>
        </w:rPr>
        <w:t>2</w:t>
      </w:r>
      <w:r>
        <w:rPr>
          <w:rFonts w:ascii="Times New Roman" w:hAnsi="Times New Roman" w:cs="Times New Roman"/>
        </w:rPr>
        <w:t>013年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）《园林植物造景》</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尹</w:t>
      </w:r>
      <w:r>
        <w:rPr>
          <w:rFonts w:ascii="Times New Roman" w:hAnsi="Times New Roman" w:cs="Times New Roman"/>
        </w:rPr>
        <w:t>金华主编</w:t>
      </w:r>
      <w:r>
        <w:rPr>
          <w:rFonts w:hint="eastAsia" w:ascii="Times New Roman" w:hAnsi="Times New Roman" w:cs="Times New Roman"/>
        </w:rPr>
        <w:t>.</w:t>
      </w:r>
      <w:r>
        <w:rPr>
          <w:rFonts w:ascii="Times New Roman" w:hAnsi="Times New Roman" w:cs="Times New Roman"/>
        </w:rPr>
        <w:t xml:space="preserve"> 中国轻工业出版社，</w:t>
      </w:r>
      <w:r>
        <w:rPr>
          <w:rFonts w:hint="eastAsia" w:ascii="Times New Roman" w:hAnsi="Times New Roman" w:cs="Times New Roman"/>
        </w:rPr>
        <w:t>2</w:t>
      </w:r>
      <w:r>
        <w:rPr>
          <w:rFonts w:ascii="Times New Roman" w:hAnsi="Times New Roman" w:cs="Times New Roman"/>
        </w:rPr>
        <w:t>020年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4</w:t>
      </w:r>
      <w:r>
        <w:rPr>
          <w:rFonts w:ascii="Times New Roman" w:hAnsi="Times New Roman" w:cs="Times New Roman"/>
        </w:rPr>
        <w:t>）《园艺疗法基础》</w:t>
      </w:r>
      <w:r>
        <w:rPr>
          <w:rFonts w:hint="eastAsia" w:ascii="Times New Roman" w:hAnsi="Times New Roman" w:cs="Times New Roman"/>
        </w:rPr>
        <w:t>.</w:t>
      </w:r>
      <w:r>
        <w:rPr>
          <w:rFonts w:ascii="Times New Roman" w:hAnsi="Times New Roman" w:cs="Times New Roman"/>
        </w:rPr>
        <w:t xml:space="preserve"> 黄淑燕主编</w:t>
      </w:r>
      <w:r>
        <w:rPr>
          <w:rFonts w:hint="eastAsia" w:ascii="Times New Roman" w:hAnsi="Times New Roman" w:cs="Times New Roman"/>
        </w:rPr>
        <w:t>.</w:t>
      </w:r>
      <w:r>
        <w:rPr>
          <w:rFonts w:ascii="Times New Roman" w:hAnsi="Times New Roman" w:cs="Times New Roman"/>
        </w:rPr>
        <w:t xml:space="preserve"> 中国林业出版社，</w:t>
      </w:r>
      <w:r>
        <w:rPr>
          <w:rFonts w:hint="eastAsia" w:ascii="Times New Roman" w:hAnsi="Times New Roman" w:cs="Times New Roman"/>
        </w:rPr>
        <w:t>2</w:t>
      </w:r>
      <w:r>
        <w:rPr>
          <w:rFonts w:ascii="Times New Roman" w:hAnsi="Times New Roman" w:cs="Times New Roman"/>
        </w:rPr>
        <w:t>020年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）《庭院绿化与室内植物装饰》</w:t>
      </w:r>
      <w:r>
        <w:rPr>
          <w:rFonts w:hint="eastAsia" w:ascii="Times New Roman" w:hAnsi="Times New Roman" w:cs="Times New Roman"/>
        </w:rPr>
        <w:t>.</w:t>
      </w:r>
      <w:r>
        <w:rPr>
          <w:rFonts w:ascii="Times New Roman" w:hAnsi="Times New Roman" w:cs="Times New Roman"/>
        </w:rPr>
        <w:t xml:space="preserve"> 孙德政主编</w:t>
      </w:r>
      <w:r>
        <w:rPr>
          <w:rFonts w:hint="eastAsia" w:ascii="Times New Roman" w:hAnsi="Times New Roman" w:cs="Times New Roman"/>
        </w:rPr>
        <w:t>.</w:t>
      </w:r>
      <w:r>
        <w:rPr>
          <w:rFonts w:ascii="Times New Roman" w:hAnsi="Times New Roman" w:cs="Times New Roman"/>
        </w:rPr>
        <w:t xml:space="preserve"> 中国水利水电出版社，</w:t>
      </w:r>
      <w:r>
        <w:rPr>
          <w:rFonts w:hint="eastAsia" w:ascii="Times New Roman" w:hAnsi="Times New Roman" w:cs="Times New Roman"/>
        </w:rPr>
        <w:t>2</w:t>
      </w:r>
      <w:r>
        <w:rPr>
          <w:rFonts w:ascii="Times New Roman" w:hAnsi="Times New Roman" w:cs="Times New Roman"/>
        </w:rPr>
        <w:t>014年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6</w:t>
      </w:r>
      <w:r>
        <w:rPr>
          <w:rFonts w:ascii="Times New Roman" w:hAnsi="Times New Roman" w:cs="Times New Roman"/>
        </w:rPr>
        <w:t>）《插花</w:t>
      </w:r>
      <w:r>
        <w:rPr>
          <w:rFonts w:hint="eastAsia" w:ascii="Times New Roman" w:hAnsi="Times New Roman" w:cs="Times New Roman"/>
        </w:rPr>
        <w:t>艺术</w:t>
      </w:r>
      <w:r>
        <w:rPr>
          <w:rFonts w:ascii="Times New Roman" w:hAnsi="Times New Roman" w:cs="Times New Roman"/>
        </w:rPr>
        <w:t>》</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曾</w:t>
      </w:r>
      <w:r>
        <w:rPr>
          <w:rFonts w:ascii="Times New Roman" w:hAnsi="Times New Roman" w:cs="Times New Roman"/>
        </w:rPr>
        <w:t>端香主编</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重庆大学</w:t>
      </w:r>
      <w:r>
        <w:rPr>
          <w:rFonts w:ascii="Times New Roman" w:hAnsi="Times New Roman" w:cs="Times New Roman"/>
        </w:rPr>
        <w:t>出版社，</w:t>
      </w:r>
      <w:r>
        <w:rPr>
          <w:rFonts w:hint="eastAsia" w:ascii="Times New Roman" w:hAnsi="Times New Roman" w:cs="Times New Roman"/>
        </w:rPr>
        <w:t>2</w:t>
      </w:r>
      <w:r>
        <w:rPr>
          <w:rFonts w:ascii="Times New Roman" w:hAnsi="Times New Roman" w:cs="Times New Roman"/>
        </w:rPr>
        <w:t>023年</w:t>
      </w:r>
    </w:p>
    <w:p>
      <w:pPr>
        <w:pStyle w:val="10"/>
        <w:snapToGrid w:val="0"/>
        <w:spacing w:line="360" w:lineRule="auto"/>
        <w:ind w:firstLine="210" w:firstLineChars="10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7</w:t>
      </w:r>
      <w:r>
        <w:rPr>
          <w:rFonts w:ascii="Times New Roman" w:hAnsi="Times New Roman" w:cs="Times New Roman"/>
        </w:rPr>
        <w:t>）《压花艺术》</w:t>
      </w:r>
      <w:r>
        <w:rPr>
          <w:rFonts w:hint="eastAsia" w:ascii="Times New Roman" w:hAnsi="Times New Roman" w:cs="Times New Roman"/>
        </w:rPr>
        <w:t>.</w:t>
      </w:r>
      <w:r>
        <w:rPr>
          <w:rFonts w:ascii="Times New Roman" w:hAnsi="Times New Roman" w:cs="Times New Roman"/>
        </w:rPr>
        <w:t xml:space="preserve"> 陈国菊、赵国防主编</w:t>
      </w:r>
      <w:r>
        <w:rPr>
          <w:rFonts w:hint="eastAsia" w:ascii="Times New Roman" w:hAnsi="Times New Roman" w:cs="Times New Roman"/>
        </w:rPr>
        <w:t>.</w:t>
      </w:r>
      <w:r>
        <w:rPr>
          <w:rFonts w:ascii="Times New Roman" w:hAnsi="Times New Roman" w:cs="Times New Roman"/>
        </w:rPr>
        <w:t xml:space="preserve"> 中国农业出版社，2009年</w:t>
      </w:r>
    </w:p>
    <w:p>
      <w:pPr>
        <w:widowControl/>
        <w:snapToGrid w:val="0"/>
        <w:spacing w:line="360" w:lineRule="auto"/>
        <w:jc w:val="left"/>
        <w:rPr>
          <w:b/>
          <w:bCs/>
          <w:kern w:val="0"/>
          <w:szCs w:val="21"/>
        </w:rPr>
      </w:pPr>
      <w:r>
        <w:rPr>
          <w:rFonts w:hint="eastAsia"/>
          <w:b/>
          <w:bCs/>
          <w:kern w:val="0"/>
          <w:szCs w:val="21"/>
        </w:rPr>
        <w:t>七</w:t>
      </w:r>
      <w:r>
        <w:rPr>
          <w:b/>
          <w:bCs/>
          <w:kern w:val="0"/>
          <w:szCs w:val="21"/>
        </w:rPr>
        <w:t>、教学条件</w:t>
      </w:r>
    </w:p>
    <w:p>
      <w:pPr>
        <w:snapToGrid w:val="0"/>
        <w:spacing w:line="360" w:lineRule="auto"/>
        <w:ind w:firstLine="420" w:firstLineChars="200"/>
        <w:rPr>
          <w:bCs/>
          <w:kern w:val="0"/>
          <w:szCs w:val="21"/>
        </w:rPr>
      </w:pPr>
      <w:r>
        <w:rPr>
          <w:bCs/>
          <w:kern w:val="0"/>
          <w:szCs w:val="21"/>
        </w:rPr>
        <w:t>本课程的教学实施采用教师授课+小组汇报分享模式进行。</w:t>
      </w:r>
    </w:p>
    <w:p>
      <w:pPr>
        <w:widowControl/>
        <w:snapToGrid w:val="0"/>
        <w:spacing w:line="360" w:lineRule="auto"/>
        <w:jc w:val="left"/>
        <w:rPr>
          <w:b/>
          <w:bCs/>
          <w:kern w:val="0"/>
          <w:szCs w:val="21"/>
        </w:rPr>
      </w:pPr>
      <w:r>
        <w:rPr>
          <w:rFonts w:hint="eastAsia"/>
          <w:b/>
          <w:bCs/>
          <w:kern w:val="0"/>
          <w:szCs w:val="21"/>
        </w:rPr>
        <w:t>八</w:t>
      </w:r>
      <w:r>
        <w:rPr>
          <w:b/>
          <w:bCs/>
          <w:kern w:val="0"/>
          <w:szCs w:val="21"/>
        </w:rPr>
        <w:t>、教学考核评价</w:t>
      </w:r>
    </w:p>
    <w:p>
      <w:pPr>
        <w:widowControl/>
        <w:snapToGrid w:val="0"/>
        <w:spacing w:line="360" w:lineRule="auto"/>
        <w:ind w:firstLine="420"/>
        <w:jc w:val="left"/>
        <w:rPr>
          <w:szCs w:val="21"/>
        </w:rPr>
      </w:pPr>
      <w:r>
        <w:rPr>
          <w:b/>
          <w:bCs/>
          <w:kern w:val="0"/>
          <w:szCs w:val="21"/>
        </w:rPr>
        <w:t>1. 过程性评价：</w:t>
      </w:r>
      <w:r>
        <w:rPr>
          <w:rFonts w:hint="eastAsia"/>
          <w:bCs/>
          <w:kern w:val="0"/>
          <w:szCs w:val="21"/>
        </w:rPr>
        <w:t>平时成绩占比50%，由考勤、课堂表现、小组讨论和分组展示组成。</w:t>
      </w:r>
    </w:p>
    <w:p>
      <w:pPr>
        <w:widowControl/>
        <w:snapToGrid w:val="0"/>
        <w:spacing w:line="360" w:lineRule="auto"/>
        <w:ind w:firstLine="420"/>
        <w:jc w:val="left"/>
        <w:rPr>
          <w:b/>
          <w:bCs/>
          <w:color w:val="0000FF"/>
          <w:kern w:val="0"/>
          <w:szCs w:val="21"/>
        </w:rPr>
      </w:pPr>
      <w:r>
        <w:rPr>
          <w:b/>
          <w:bCs/>
          <w:kern w:val="0"/>
          <w:szCs w:val="21"/>
        </w:rPr>
        <w:t>2. 终结性评价：</w:t>
      </w:r>
      <w:r>
        <w:rPr>
          <w:bCs/>
          <w:kern w:val="0"/>
          <w:szCs w:val="21"/>
        </w:rPr>
        <w:t>本课程采用撰写课程论文的方式进行考核，论文成绩占综合成绩50%。</w:t>
      </w:r>
    </w:p>
    <w:p>
      <w:pPr>
        <w:widowControl/>
        <w:snapToGrid w:val="0"/>
        <w:spacing w:line="360" w:lineRule="auto"/>
        <w:ind w:firstLine="420"/>
        <w:jc w:val="left"/>
        <w:rPr>
          <w:bCs/>
          <w:kern w:val="0"/>
          <w:szCs w:val="21"/>
        </w:rPr>
      </w:pPr>
      <w:r>
        <w:rPr>
          <w:b/>
          <w:bCs/>
          <w:kern w:val="0"/>
          <w:szCs w:val="21"/>
        </w:rPr>
        <w:t>3. 课程综合评价：</w:t>
      </w:r>
      <w:r>
        <w:rPr>
          <w:bCs/>
          <w:kern w:val="0"/>
          <w:szCs w:val="21"/>
        </w:rPr>
        <w:t>综合课程成绩 = 期末论文成绩×50%＋平时成绩×50%</w:t>
      </w:r>
    </w:p>
    <w:p>
      <w:pPr>
        <w:pStyle w:val="21"/>
        <w:rPr>
          <w:bCs w:val="0"/>
          <w:szCs w:val="28"/>
        </w:rPr>
      </w:pPr>
      <w:bookmarkStart w:id="312" w:name="_Toc138076330"/>
      <w:bookmarkStart w:id="313" w:name="_Toc138070711"/>
      <w:bookmarkStart w:id="314" w:name="_Toc138070441"/>
      <w:bookmarkStart w:id="315" w:name="_Toc138068811"/>
      <w:bookmarkStart w:id="316" w:name="_Toc138076081"/>
      <w:bookmarkStart w:id="317" w:name="_Toc138076625"/>
    </w:p>
    <w:p>
      <w:pPr>
        <w:pStyle w:val="21"/>
        <w:rPr>
          <w:bCs w:val="0"/>
          <w:szCs w:val="28"/>
        </w:rPr>
      </w:pPr>
    </w:p>
    <w:p>
      <w:pPr>
        <w:pStyle w:val="21"/>
        <w:rPr>
          <w:bCs w:val="0"/>
          <w:szCs w:val="28"/>
        </w:rPr>
      </w:pPr>
    </w:p>
    <w:p>
      <w:pPr>
        <w:pStyle w:val="21"/>
        <w:rPr>
          <w:bCs w:val="0"/>
          <w:szCs w:val="28"/>
        </w:rPr>
      </w:pPr>
    </w:p>
    <w:p>
      <w:pPr>
        <w:widowControl/>
        <w:jc w:val="left"/>
        <w:rPr>
          <w:rFonts w:asciiTheme="majorHAnsi" w:hAnsiTheme="majorHAnsi" w:eastAsiaTheme="majorEastAsia" w:cstheme="majorBidi"/>
          <w:b/>
          <w:sz w:val="32"/>
          <w:szCs w:val="28"/>
        </w:rPr>
      </w:pPr>
      <w:bookmarkStart w:id="318" w:name="_Toc18096"/>
      <w:r>
        <w:rPr>
          <w:bCs/>
          <w:szCs w:val="28"/>
        </w:rPr>
        <w:br w:type="page"/>
      </w:r>
    </w:p>
    <w:p>
      <w:pPr>
        <w:pStyle w:val="21"/>
        <w:rPr>
          <w:sz w:val="28"/>
          <w:szCs w:val="28"/>
        </w:rPr>
      </w:pPr>
      <w:r>
        <w:rPr>
          <w:bCs w:val="0"/>
          <w:sz w:val="28"/>
          <w:szCs w:val="28"/>
        </w:rPr>
        <w:t>果蔬产品加工</w:t>
      </w:r>
      <w:bookmarkEnd w:id="312"/>
      <w:bookmarkEnd w:id="313"/>
      <w:bookmarkEnd w:id="314"/>
      <w:bookmarkEnd w:id="315"/>
      <w:bookmarkEnd w:id="316"/>
      <w:bookmarkEnd w:id="317"/>
      <w:bookmarkEnd w:id="318"/>
    </w:p>
    <w:p>
      <w:pPr>
        <w:snapToGrid w:val="0"/>
        <w:spacing w:line="360" w:lineRule="auto"/>
        <w:jc w:val="center"/>
        <w:rPr>
          <w:sz w:val="28"/>
        </w:rPr>
      </w:pPr>
      <w:r>
        <w:rPr>
          <w:sz w:val="24"/>
          <w:szCs w:val="24"/>
        </w:rPr>
        <w:t>（Fruits and Vegetable Processing）</w:t>
      </w:r>
    </w:p>
    <w:p>
      <w:pPr>
        <w:snapToGrid w:val="0"/>
        <w:spacing w:line="360" w:lineRule="auto"/>
        <w:jc w:val="center"/>
        <w:rPr>
          <w:b/>
          <w:szCs w:val="21"/>
        </w:rPr>
      </w:pPr>
      <w:r>
        <w:rPr>
          <w:b/>
          <w:szCs w:val="21"/>
        </w:rPr>
        <w:t>课程基本信息</w:t>
      </w:r>
    </w:p>
    <w:tbl>
      <w:tblPr>
        <w:tblStyle w:val="22"/>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3038" w:type="dxa"/>
          </w:tcPr>
          <w:p>
            <w:pPr>
              <w:spacing w:line="300" w:lineRule="auto"/>
              <w:ind w:firstLine="422"/>
              <w:rPr>
                <w:b/>
                <w:bCs/>
                <w:szCs w:val="21"/>
              </w:rPr>
            </w:pPr>
            <w:r>
              <w:rPr>
                <w:b/>
                <w:bCs/>
                <w:szCs w:val="21"/>
              </w:rPr>
              <w:t>课程编号：</w:t>
            </w:r>
            <w:r>
              <w:rPr>
                <w:rFonts w:eastAsiaTheme="minorEastAsia"/>
                <w:b/>
                <w:szCs w:val="21"/>
              </w:rPr>
              <w:t>19011</w:t>
            </w:r>
            <w:r>
              <w:rPr>
                <w:rFonts w:hint="eastAsia" w:eastAsiaTheme="minorEastAsia"/>
                <w:b/>
                <w:szCs w:val="21"/>
              </w:rPr>
              <w:t>123</w:t>
            </w:r>
          </w:p>
        </w:tc>
        <w:tc>
          <w:tcPr>
            <w:tcW w:w="2649" w:type="dxa"/>
          </w:tcPr>
          <w:p>
            <w:pPr>
              <w:spacing w:line="300" w:lineRule="auto"/>
              <w:ind w:firstLine="422"/>
              <w:rPr>
                <w:b/>
                <w:bCs/>
                <w:szCs w:val="21"/>
              </w:rPr>
            </w:pPr>
            <w:r>
              <w:rPr>
                <w:b/>
                <w:bCs/>
                <w:szCs w:val="21"/>
              </w:rPr>
              <w:t>课程总学时：</w:t>
            </w:r>
            <w:r>
              <w:rPr>
                <w:rFonts w:hint="eastAsia" w:eastAsiaTheme="minorEastAsia"/>
                <w:b/>
                <w:szCs w:val="21"/>
              </w:rPr>
              <w:t>32</w:t>
            </w:r>
          </w:p>
        </w:tc>
        <w:tc>
          <w:tcPr>
            <w:tcW w:w="3429" w:type="dxa"/>
          </w:tcPr>
          <w:p>
            <w:pPr>
              <w:spacing w:line="300" w:lineRule="auto"/>
              <w:ind w:firstLine="422"/>
              <w:rPr>
                <w:b/>
                <w:bCs/>
                <w:szCs w:val="21"/>
              </w:rPr>
            </w:pPr>
            <w:r>
              <w:rPr>
                <w:b/>
                <w:bCs/>
                <w:szCs w:val="21"/>
              </w:rPr>
              <w:t xml:space="preserve">实验学时： </w:t>
            </w:r>
            <w:r>
              <w:rPr>
                <w:rFonts w:hint="eastAsia" w:eastAsiaTheme="minorEastAsia"/>
                <w:b/>
                <w:szCs w:val="21"/>
              </w:rPr>
              <w:t>12</w:t>
            </w:r>
            <w:r>
              <w:rPr>
                <w:b/>
                <w:bCs/>
                <w:szCs w:val="21"/>
              </w:rPr>
              <w:t xml:space="preserve"> 学时</w:t>
            </w:r>
          </w:p>
        </w:tc>
      </w:tr>
      <w:tr>
        <w:tblPrEx>
          <w:tblCellMar>
            <w:top w:w="0" w:type="dxa"/>
            <w:left w:w="108" w:type="dxa"/>
            <w:bottom w:w="0" w:type="dxa"/>
            <w:right w:w="108" w:type="dxa"/>
          </w:tblCellMar>
        </w:tblPrEx>
        <w:tc>
          <w:tcPr>
            <w:tcW w:w="3038" w:type="dxa"/>
          </w:tcPr>
          <w:p>
            <w:pPr>
              <w:spacing w:line="300" w:lineRule="auto"/>
              <w:ind w:firstLine="422"/>
              <w:rPr>
                <w:b/>
                <w:bCs/>
                <w:szCs w:val="21"/>
              </w:rPr>
            </w:pPr>
            <w:r>
              <w:rPr>
                <w:b/>
                <w:bCs/>
                <w:szCs w:val="21"/>
              </w:rPr>
              <w:t>课程性质：</w:t>
            </w:r>
            <w:r>
              <w:rPr>
                <w:rFonts w:eastAsiaTheme="minorEastAsia"/>
                <w:b/>
                <w:szCs w:val="21"/>
              </w:rPr>
              <w:t>选修</w:t>
            </w:r>
          </w:p>
        </w:tc>
        <w:tc>
          <w:tcPr>
            <w:tcW w:w="2649" w:type="dxa"/>
          </w:tcPr>
          <w:p>
            <w:pPr>
              <w:spacing w:line="300" w:lineRule="auto"/>
              <w:ind w:firstLine="422"/>
              <w:rPr>
                <w:b/>
                <w:bCs/>
                <w:szCs w:val="21"/>
              </w:rPr>
            </w:pPr>
            <w:r>
              <w:rPr>
                <w:b/>
                <w:szCs w:val="21"/>
              </w:rPr>
              <w:t>课程属性</w:t>
            </w:r>
            <w:r>
              <w:rPr>
                <w:b/>
                <w:bCs/>
                <w:szCs w:val="21"/>
              </w:rPr>
              <w:t>：</w:t>
            </w:r>
            <w:r>
              <w:rPr>
                <w:rFonts w:eastAsiaTheme="minorEastAsia"/>
                <w:b/>
                <w:szCs w:val="21"/>
              </w:rPr>
              <w:t>专业类</w:t>
            </w:r>
          </w:p>
        </w:tc>
        <w:tc>
          <w:tcPr>
            <w:tcW w:w="3429" w:type="dxa"/>
          </w:tcPr>
          <w:p>
            <w:pPr>
              <w:spacing w:line="300" w:lineRule="auto"/>
              <w:ind w:firstLine="422"/>
              <w:rPr>
                <w:b/>
                <w:bCs/>
                <w:szCs w:val="21"/>
              </w:rPr>
            </w:pPr>
            <w:r>
              <w:rPr>
                <w:b/>
                <w:bCs/>
                <w:szCs w:val="21"/>
              </w:rPr>
              <w:t>开设学期：第</w:t>
            </w:r>
            <w:r>
              <w:rPr>
                <w:rFonts w:eastAsiaTheme="minorEastAsia"/>
                <w:b/>
                <w:szCs w:val="21"/>
              </w:rPr>
              <w:t>8</w:t>
            </w:r>
            <w:r>
              <w:rPr>
                <w:b/>
                <w:bCs/>
                <w:szCs w:val="21"/>
              </w:rPr>
              <w:t>学期</w:t>
            </w:r>
          </w:p>
        </w:tc>
      </w:tr>
      <w:tr>
        <w:tblPrEx>
          <w:tblCellMar>
            <w:top w:w="0" w:type="dxa"/>
            <w:left w:w="108" w:type="dxa"/>
            <w:bottom w:w="0" w:type="dxa"/>
            <w:right w:w="108" w:type="dxa"/>
          </w:tblCellMar>
        </w:tblPrEx>
        <w:tc>
          <w:tcPr>
            <w:tcW w:w="3038" w:type="dxa"/>
          </w:tcPr>
          <w:p>
            <w:pPr>
              <w:spacing w:line="300" w:lineRule="auto"/>
              <w:ind w:firstLine="422"/>
              <w:rPr>
                <w:b/>
                <w:bCs/>
                <w:szCs w:val="21"/>
              </w:rPr>
            </w:pPr>
            <w:r>
              <w:rPr>
                <w:b/>
                <w:bCs/>
                <w:szCs w:val="21"/>
              </w:rPr>
              <w:t>课程负责人：王兰菊</w:t>
            </w:r>
          </w:p>
        </w:tc>
        <w:tc>
          <w:tcPr>
            <w:tcW w:w="2649" w:type="dxa"/>
          </w:tcPr>
          <w:p>
            <w:pPr>
              <w:spacing w:line="300" w:lineRule="auto"/>
              <w:ind w:firstLine="422"/>
              <w:rPr>
                <w:b/>
                <w:bCs/>
                <w:szCs w:val="21"/>
              </w:rPr>
            </w:pPr>
            <w:r>
              <w:rPr>
                <w:b/>
                <w:bCs/>
                <w:szCs w:val="21"/>
              </w:rPr>
              <w:t>课程团队：</w:t>
            </w:r>
            <w:r>
              <w:rPr>
                <w:rFonts w:eastAsiaTheme="minorEastAsia"/>
                <w:b/>
                <w:szCs w:val="21"/>
              </w:rPr>
              <w:t>王兰菊、胡青霞、叶霞、王伟、侯娟、李营、何畅</w:t>
            </w:r>
          </w:p>
        </w:tc>
        <w:tc>
          <w:tcPr>
            <w:tcW w:w="3429" w:type="dxa"/>
          </w:tcPr>
          <w:p>
            <w:pPr>
              <w:spacing w:line="300" w:lineRule="auto"/>
              <w:ind w:firstLine="422"/>
              <w:rPr>
                <w:b/>
                <w:bCs/>
                <w:szCs w:val="21"/>
              </w:rPr>
            </w:pPr>
            <w:r>
              <w:rPr>
                <w:b/>
                <w:bCs/>
                <w:szCs w:val="21"/>
              </w:rPr>
              <w:t>授课语言：中文</w:t>
            </w:r>
          </w:p>
        </w:tc>
      </w:tr>
      <w:tr>
        <w:tblPrEx>
          <w:tblCellMar>
            <w:top w:w="0" w:type="dxa"/>
            <w:left w:w="108" w:type="dxa"/>
            <w:bottom w:w="0" w:type="dxa"/>
            <w:right w:w="108" w:type="dxa"/>
          </w:tblCellMar>
        </w:tblPrEx>
        <w:tc>
          <w:tcPr>
            <w:tcW w:w="9116" w:type="dxa"/>
            <w:gridSpan w:val="3"/>
          </w:tcPr>
          <w:p>
            <w:pPr>
              <w:spacing w:line="300" w:lineRule="auto"/>
              <w:ind w:right="-170" w:rightChars="-81" w:firstLine="422"/>
              <w:rPr>
                <w:bCs/>
                <w:szCs w:val="21"/>
              </w:rPr>
            </w:pPr>
            <w:r>
              <w:rPr>
                <w:b/>
                <w:bCs/>
                <w:szCs w:val="21"/>
              </w:rPr>
              <w:t>适用专业：</w:t>
            </w:r>
            <w:r>
              <w:rPr>
                <w:rFonts w:eastAsiaTheme="minorEastAsia"/>
                <w:b/>
                <w:bCs/>
                <w:szCs w:val="21"/>
              </w:rPr>
              <w:t>园艺、茶学、设施农业科学与工程</w:t>
            </w:r>
            <w:r>
              <w:rPr>
                <w:rFonts w:hint="eastAsia" w:eastAsiaTheme="minorEastAsia"/>
                <w:b/>
                <w:bCs/>
                <w:szCs w:val="21"/>
              </w:rPr>
              <w:t>。</w:t>
            </w:r>
          </w:p>
        </w:tc>
      </w:tr>
      <w:tr>
        <w:tblPrEx>
          <w:tblCellMar>
            <w:top w:w="0" w:type="dxa"/>
            <w:left w:w="108" w:type="dxa"/>
            <w:bottom w:w="0" w:type="dxa"/>
            <w:right w:w="108" w:type="dxa"/>
          </w:tblCellMar>
        </w:tblPrEx>
        <w:tc>
          <w:tcPr>
            <w:tcW w:w="9116" w:type="dxa"/>
            <w:gridSpan w:val="3"/>
          </w:tcPr>
          <w:p>
            <w:pPr>
              <w:spacing w:line="300" w:lineRule="auto"/>
              <w:ind w:firstLine="422"/>
              <w:rPr>
                <w:b/>
                <w:bCs/>
                <w:szCs w:val="21"/>
              </w:rPr>
            </w:pPr>
            <w:r>
              <w:rPr>
                <w:b/>
                <w:bCs/>
                <w:szCs w:val="21"/>
              </w:rPr>
              <w:t>对先修的要求：</w:t>
            </w:r>
            <w:r>
              <w:rPr>
                <w:rFonts w:eastAsiaTheme="minorEastAsia"/>
                <w:b/>
                <w:szCs w:val="21"/>
              </w:rPr>
              <w:t>植物生理学、基础生物化学、果树栽培学、蔬菜栽培学、园艺植物病虫害防治</w:t>
            </w:r>
          </w:p>
        </w:tc>
      </w:tr>
      <w:tr>
        <w:tblPrEx>
          <w:tblCellMar>
            <w:top w:w="0" w:type="dxa"/>
            <w:left w:w="108" w:type="dxa"/>
            <w:bottom w:w="0" w:type="dxa"/>
            <w:right w:w="108" w:type="dxa"/>
          </w:tblCellMar>
        </w:tblPrEx>
        <w:tc>
          <w:tcPr>
            <w:tcW w:w="9116" w:type="dxa"/>
            <w:gridSpan w:val="3"/>
          </w:tcPr>
          <w:p>
            <w:pPr>
              <w:spacing w:line="300" w:lineRule="auto"/>
              <w:ind w:firstLine="422"/>
              <w:rPr>
                <w:b/>
                <w:bCs/>
                <w:szCs w:val="21"/>
              </w:rPr>
            </w:pPr>
            <w:r>
              <w:rPr>
                <w:b/>
                <w:bCs/>
                <w:szCs w:val="21"/>
              </w:rPr>
              <w:t>对后续的支撑：为园艺产品采后处理进行补充、加深对园艺产品加工的认知。</w:t>
            </w:r>
          </w:p>
        </w:tc>
      </w:tr>
      <w:tr>
        <w:tblPrEx>
          <w:tblCellMar>
            <w:top w:w="0" w:type="dxa"/>
            <w:left w:w="108" w:type="dxa"/>
            <w:bottom w:w="0" w:type="dxa"/>
            <w:right w:w="108" w:type="dxa"/>
          </w:tblCellMar>
        </w:tblPrEx>
        <w:tc>
          <w:tcPr>
            <w:tcW w:w="3038" w:type="dxa"/>
          </w:tcPr>
          <w:p>
            <w:pPr>
              <w:spacing w:line="300" w:lineRule="auto"/>
              <w:ind w:left="843" w:hanging="843" w:hangingChars="400"/>
              <w:rPr>
                <w:b/>
                <w:bCs/>
                <w:szCs w:val="21"/>
              </w:rPr>
            </w:pPr>
            <w:r>
              <w:rPr>
                <w:b/>
                <w:bCs/>
                <w:szCs w:val="21"/>
              </w:rPr>
              <w:t>主撰人：</w:t>
            </w:r>
            <w:r>
              <w:rPr>
                <w:rFonts w:eastAsiaTheme="minorEastAsia"/>
                <w:b/>
                <w:szCs w:val="21"/>
              </w:rPr>
              <w:t>胡青霞、叶霞、王伟、侯娟、李营、何畅</w:t>
            </w:r>
          </w:p>
        </w:tc>
        <w:tc>
          <w:tcPr>
            <w:tcW w:w="2649" w:type="dxa"/>
          </w:tcPr>
          <w:p>
            <w:pPr>
              <w:spacing w:line="300" w:lineRule="auto"/>
              <w:ind w:firstLine="422"/>
              <w:rPr>
                <w:b/>
                <w:bCs/>
                <w:szCs w:val="21"/>
              </w:rPr>
            </w:pPr>
            <w:r>
              <w:rPr>
                <w:b/>
                <w:bCs/>
                <w:szCs w:val="21"/>
              </w:rPr>
              <w:t>审核人：</w:t>
            </w:r>
            <w:r>
              <w:rPr>
                <w:rFonts w:hint="eastAsia"/>
                <w:b/>
                <w:bCs/>
                <w:szCs w:val="21"/>
              </w:rPr>
              <w:t>王兰菊</w:t>
            </w:r>
          </w:p>
        </w:tc>
        <w:tc>
          <w:tcPr>
            <w:tcW w:w="3429" w:type="dxa"/>
          </w:tcPr>
          <w:p>
            <w:pPr>
              <w:spacing w:line="300" w:lineRule="auto"/>
              <w:ind w:firstLine="422"/>
              <w:rPr>
                <w:b/>
                <w:bCs/>
                <w:szCs w:val="21"/>
              </w:rPr>
            </w:pPr>
            <w:r>
              <w:rPr>
                <w:b/>
                <w:bCs/>
                <w:szCs w:val="21"/>
              </w:rPr>
              <w:t>大纲制定（修订）日期：</w:t>
            </w:r>
            <w:r>
              <w:rPr>
                <w:rFonts w:hint="eastAsia"/>
                <w:b/>
                <w:bCs/>
                <w:szCs w:val="21"/>
              </w:rPr>
              <w:t>2023.05</w:t>
            </w:r>
          </w:p>
        </w:tc>
      </w:tr>
    </w:tbl>
    <w:p>
      <w:pPr>
        <w:widowControl/>
        <w:snapToGrid w:val="0"/>
        <w:spacing w:line="360" w:lineRule="auto"/>
        <w:jc w:val="left"/>
        <w:rPr>
          <w:b/>
          <w:bCs/>
          <w:kern w:val="0"/>
          <w:szCs w:val="21"/>
        </w:rPr>
      </w:pPr>
    </w:p>
    <w:p>
      <w:pPr>
        <w:widowControl/>
        <w:snapToGrid w:val="0"/>
        <w:spacing w:line="360" w:lineRule="auto"/>
        <w:jc w:val="left"/>
        <w:rPr>
          <w:kern w:val="0"/>
          <w:szCs w:val="21"/>
        </w:rPr>
      </w:pPr>
      <w:r>
        <w:rPr>
          <w:b/>
          <w:bCs/>
          <w:kern w:val="0"/>
          <w:szCs w:val="21"/>
        </w:rPr>
        <w:t>一、课程的教学理念、性质、目标和任务</w:t>
      </w:r>
    </w:p>
    <w:p>
      <w:pPr>
        <w:widowControl/>
        <w:snapToGrid w:val="0"/>
        <w:spacing w:line="360" w:lineRule="auto"/>
        <w:ind w:left="210" w:firstLine="418"/>
        <w:jc w:val="left"/>
      </w:pPr>
      <w:r>
        <w:t>《果蔬产品加工》属于园艺、茶学、设施农业科学与工程专业的专业选修课，主要讲述果品蔬菜加工的基本原理、加工原料的预处理、各种常见的加工品的加工工艺流程等。本课程最重要的教学理念就是以学生为本，一切为了学生的发展，采用教-学-做一体化的教学方法，关注学生的进步和发展，突出学生的主体地位，同时将专业知识教学要与思政育人紧密结合，真正体现教书育人；紧扣课程特点，《果蔬产品加工》课程具有较强的应用性，在教学过程中做到理论联系实践，理论教学与实践环节相互衔接，让同学们在实践教学中理解和掌握理论知识，学以致用。通过课程学习，使同学们明确果蔬产品加工在果蔬生产这一产业链中的位置，掌握果蔬产品加工的基本原理及常见的加工品制作的加工工艺流程和注意事项，为园艺产品的增产增收准备储备丰厚的知识。</w:t>
      </w:r>
    </w:p>
    <w:p>
      <w:pPr>
        <w:widowControl/>
        <w:snapToGrid w:val="0"/>
        <w:spacing w:line="360" w:lineRule="auto"/>
        <w:ind w:left="210" w:firstLine="418"/>
        <w:jc w:val="left"/>
        <w:rPr>
          <w:bCs/>
          <w:szCs w:val="21"/>
        </w:rPr>
      </w:pPr>
    </w:p>
    <w:p>
      <w:pPr>
        <w:widowControl/>
        <w:snapToGrid w:val="0"/>
        <w:spacing w:line="360" w:lineRule="auto"/>
        <w:jc w:val="left"/>
        <w:rPr>
          <w:kern w:val="0"/>
          <w:szCs w:val="21"/>
        </w:rPr>
      </w:pPr>
      <w:r>
        <w:rPr>
          <w:b/>
          <w:bCs/>
          <w:kern w:val="0"/>
          <w:szCs w:val="21"/>
        </w:rPr>
        <w:t>二、课程教学的基本要求</w:t>
      </w:r>
    </w:p>
    <w:p>
      <w:pPr>
        <w:widowControl/>
        <w:snapToGrid w:val="0"/>
        <w:spacing w:line="360" w:lineRule="auto"/>
        <w:ind w:firstLine="420"/>
        <w:jc w:val="left"/>
      </w:pPr>
      <w:r>
        <w:rPr>
          <w:kern w:val="0"/>
        </w:rPr>
        <w:t>1、</w:t>
      </w:r>
      <w:r>
        <w:t>理论知识方面</w:t>
      </w:r>
    </w:p>
    <w:p>
      <w:pPr>
        <w:widowControl/>
        <w:snapToGrid w:val="0"/>
        <w:spacing w:line="360" w:lineRule="auto"/>
        <w:ind w:firstLine="420"/>
        <w:jc w:val="left"/>
      </w:pPr>
      <w:r>
        <w:t>了解果蔬产品加工发展的历史，明确果蔬产品加工在果蔬生产这一产业链中的位置，了解与其他学科的关系；了解果蔬产品的化学组成特性及其与加工品质的关系、食品保藏的原理，掌握果蔬产品加工的基本原理及加工原料预处理的方法；了解果蔬常见的加工制品的种类，并掌握各种加工制品关键的加工工艺流程。</w:t>
      </w:r>
    </w:p>
    <w:p>
      <w:pPr>
        <w:widowControl/>
        <w:snapToGrid w:val="0"/>
        <w:spacing w:line="360" w:lineRule="auto"/>
        <w:jc w:val="left"/>
      </w:pPr>
    </w:p>
    <w:p>
      <w:pPr>
        <w:widowControl/>
        <w:snapToGrid w:val="0"/>
        <w:spacing w:line="360" w:lineRule="auto"/>
        <w:jc w:val="left"/>
      </w:pPr>
    </w:p>
    <w:p>
      <w:pPr>
        <w:widowControl/>
        <w:snapToGrid w:val="0"/>
        <w:spacing w:line="360" w:lineRule="auto"/>
        <w:jc w:val="left"/>
      </w:pPr>
    </w:p>
    <w:p>
      <w:pPr>
        <w:widowControl/>
        <w:snapToGrid w:val="0"/>
        <w:spacing w:line="360" w:lineRule="auto"/>
        <w:ind w:firstLine="420" w:firstLineChars="200"/>
        <w:jc w:val="left"/>
      </w:pPr>
      <w:r>
        <w:rPr>
          <w:kern w:val="0"/>
        </w:rPr>
        <w:t>2、实验技能方面</w:t>
      </w:r>
    </w:p>
    <w:p>
      <w:pPr>
        <w:widowControl/>
        <w:snapToGrid w:val="0"/>
        <w:spacing w:line="360" w:lineRule="auto"/>
        <w:ind w:firstLine="420"/>
        <w:jc w:val="left"/>
        <w:rPr>
          <w:kern w:val="0"/>
        </w:rPr>
      </w:pPr>
      <w:r>
        <w:rPr>
          <w:kern w:val="0"/>
        </w:rPr>
        <w:t>可掌握简单的加工制品的制作方法，判断产品的优劣；可根据所学的知识，借助一些仪器评价各种常见加工制品的品质；可结合所学的研究法中的相关内容，自行设计简单的实验以确定单元操作中的关键技术参数。</w:t>
      </w:r>
    </w:p>
    <w:p>
      <w:pPr>
        <w:widowControl/>
        <w:snapToGrid w:val="0"/>
        <w:spacing w:line="360" w:lineRule="auto"/>
        <w:jc w:val="left"/>
        <w:rPr>
          <w:b/>
          <w:bCs/>
          <w:kern w:val="0"/>
          <w:szCs w:val="21"/>
        </w:rPr>
      </w:pPr>
      <w:r>
        <w:rPr>
          <w:b/>
          <w:bCs/>
          <w:kern w:val="0"/>
          <w:szCs w:val="21"/>
        </w:rPr>
        <w:t>三、课程的教学设计</w:t>
      </w:r>
    </w:p>
    <w:p>
      <w:pPr>
        <w:widowControl/>
        <w:snapToGrid w:val="0"/>
        <w:spacing w:line="360" w:lineRule="auto"/>
        <w:ind w:firstLine="420"/>
        <w:jc w:val="left"/>
        <w:rPr>
          <w:kern w:val="0"/>
          <w:szCs w:val="21"/>
        </w:rPr>
      </w:pPr>
      <w:r>
        <w:rPr>
          <w:kern w:val="0"/>
          <w:szCs w:val="21"/>
        </w:rPr>
        <w:t>1.教学设计说明</w:t>
      </w:r>
    </w:p>
    <w:p>
      <w:pPr>
        <w:pStyle w:val="10"/>
        <w:snapToGrid w:val="0"/>
        <w:spacing w:line="360" w:lineRule="auto"/>
        <w:ind w:right="-290" w:rightChars="-138" w:firstLine="420" w:firstLineChars="200"/>
        <w:rPr>
          <w:rFonts w:ascii="Times New Roman" w:hAnsi="Times New Roman" w:cs="Times New Roman"/>
          <w:bCs/>
          <w:kern w:val="0"/>
        </w:rPr>
      </w:pPr>
      <w:r>
        <w:rPr>
          <w:rFonts w:ascii="Times New Roman" w:hAnsi="Times New Roman" w:cs="Times New Roman"/>
          <w:bCs/>
          <w:kern w:val="0"/>
        </w:rPr>
        <w:t>本课程总体上采取“教—学—做”的教学策略，理论课以教师为主导、学生为主体的方式，实验课以学生为主导、老师辅助的方式，理论与实践相结合、穿插进行进而开展教学工作。主要采用以下教学方法：成立课程团队，结合教学大纲，课程团队教师将章节内容系统化，突出重难点、考核目标，让学生明确考核内容和要求，更有方向地学习本课程；理论课大班授课，以教师为主导、学生为主体，部分教学内容以学生为主、学生讲解，采用课堂讲授、实例讲解、视频教学、与学生互动，鼓励学生积极参与教学中等多种教学方法，最大程度地激发学生的主观能动性；实验课小班授课，让学生动手操作，对课堂理论知识进行巩固和深化，加强动手操作能力培养；教学考核采用多种方式，课堂到课率、回答问题、实验课操作过程、实验结果等方面纳入过程性评价，促使学生更好的掌握相关知识。</w:t>
      </w:r>
    </w:p>
    <w:p>
      <w:pPr>
        <w:widowControl/>
        <w:snapToGrid w:val="0"/>
        <w:spacing w:line="360" w:lineRule="auto"/>
        <w:ind w:firstLine="420"/>
        <w:jc w:val="left"/>
        <w:rPr>
          <w:kern w:val="0"/>
          <w:szCs w:val="21"/>
        </w:rPr>
      </w:pPr>
      <w:r>
        <w:rPr>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b/>
                <w:bCs/>
                <w:sz w:val="18"/>
                <w:szCs w:val="18"/>
              </w:rPr>
            </w:pPr>
            <w:r>
              <w:rPr>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b/>
                <w:bCs/>
                <w:sz w:val="18"/>
                <w:szCs w:val="18"/>
              </w:rPr>
            </w:pPr>
            <w:r>
              <w:rPr>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b/>
                <w:bCs/>
                <w:sz w:val="18"/>
                <w:szCs w:val="18"/>
              </w:rPr>
            </w:pPr>
            <w:r>
              <w:rPr>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21"/>
              </w:rPr>
            </w:pPr>
            <w:r>
              <w:rPr>
                <w:rFonts w:eastAsiaTheme="minorEastAsia"/>
                <w:sz w:val="18"/>
                <w:szCs w:val="21"/>
              </w:rPr>
              <w:t>目标1：通过课程的学习，培养学生爱党、爱国、爱社会主义、爱人民、爱集体的情怀，拥护中国共产党的领导。引导学生自觉践行社会主义核心价值观，识大局、尊法治、修美德，在学习与实践中自觉践行使命担当。</w:t>
            </w:r>
          </w:p>
          <w:p>
            <w:pPr>
              <w:spacing w:line="320" w:lineRule="exact"/>
              <w:ind w:firstLine="360"/>
              <w:jc w:val="left"/>
              <w:rPr>
                <w:rFonts w:eastAsiaTheme="minorEastAsia"/>
                <w:sz w:val="18"/>
                <w:szCs w:val="18"/>
              </w:rPr>
            </w:pP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eastAsiaTheme="minorEastAsia"/>
                <w:sz w:val="18"/>
                <w:szCs w:val="18"/>
              </w:rPr>
              <w:t>1</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21"/>
              </w:rPr>
            </w:pPr>
            <w:r>
              <w:rPr>
                <w:rFonts w:eastAsiaTheme="minorEastAsia"/>
                <w:sz w:val="18"/>
                <w:szCs w:val="18"/>
              </w:rPr>
              <w:t>目标2：通过本课程的学习，学生应该了解果蔬产品贮藏保鲜的基本概念、特点、内容和分类；在理解各种贮藏保鲜原理的基础上，掌握各种贮藏保鲜技术，能够解决实际工作中的问题和需求，满足生产生活需要，解决园艺产品贮、运、销环节出现的问题，达到提高商品质量、降低产品的采后损耗，满足园艺产品贮运生产和相关管理的需要；同时，在</w:t>
            </w:r>
            <w:r>
              <w:rPr>
                <w:rFonts w:eastAsiaTheme="minorEastAsia"/>
                <w:sz w:val="18"/>
                <w:szCs w:val="21"/>
              </w:rPr>
              <w:t>科学工作态度、采后生物学相关实验技能及创新思维等方面获得初步的训练。</w:t>
            </w:r>
          </w:p>
          <w:p>
            <w:pPr>
              <w:spacing w:line="320" w:lineRule="exact"/>
              <w:ind w:firstLine="360"/>
              <w:jc w:val="left"/>
              <w:rPr>
                <w:rFonts w:eastAsiaTheme="minorEastAsia"/>
                <w:sz w:val="18"/>
                <w:szCs w:val="18"/>
                <w:highlight w:val="yellow"/>
              </w:rPr>
            </w:pP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eastAsiaTheme="minorEastAsia"/>
                <w:sz w:val="18"/>
                <w:szCs w:val="18"/>
              </w:rPr>
              <w:t>5</w:t>
            </w:r>
          </w:p>
          <w:p>
            <w:pPr>
              <w:spacing w:line="320" w:lineRule="exact"/>
              <w:ind w:firstLine="360"/>
              <w:jc w:val="both"/>
              <w:rPr>
                <w:rFonts w:eastAsiaTheme="minorEastAsia"/>
                <w:sz w:val="18"/>
                <w:szCs w:val="18"/>
              </w:rPr>
            </w:pPr>
            <w:r>
              <w:rPr>
                <w:rFonts w:eastAsiaTheme="minorEastAsia"/>
                <w:sz w:val="18"/>
                <w:szCs w:val="18"/>
              </w:rPr>
              <w:t>7</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21"/>
              </w:rPr>
            </w:pPr>
            <w:r>
              <w:rPr>
                <w:rFonts w:eastAsiaTheme="minorEastAsia"/>
                <w:sz w:val="18"/>
                <w:szCs w:val="21"/>
              </w:rPr>
              <w:t>目标3：本课程强调技术应用性，理论联系实际，培养学生动手操作的能力，独立思考和分析的能力；使学生具备较强的工作岗位适应能力、分析和解决实际问题的能力以及创新意识和职业道德意识，推动我国园艺产品采后生物学的科学研究和采后处理产业的发展。</w:t>
            </w:r>
          </w:p>
          <w:p>
            <w:pPr>
              <w:spacing w:line="320" w:lineRule="exact"/>
              <w:ind w:firstLine="360"/>
              <w:jc w:val="left"/>
              <w:rPr>
                <w:rFonts w:eastAsiaTheme="minorEastAsia"/>
                <w:sz w:val="18"/>
                <w:szCs w:val="18"/>
              </w:rPr>
            </w:pP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eastAsiaTheme="minorEastAsia"/>
                <w:sz w:val="18"/>
                <w:szCs w:val="18"/>
              </w:rPr>
              <w:t>4</w:t>
            </w:r>
          </w:p>
        </w:tc>
      </w:tr>
    </w:tbl>
    <w:p>
      <w:pPr>
        <w:widowControl/>
        <w:snapToGrid w:val="0"/>
        <w:spacing w:line="360" w:lineRule="auto"/>
        <w:jc w:val="left"/>
        <w:rPr>
          <w:b/>
          <w:bCs/>
          <w:kern w:val="0"/>
          <w:szCs w:val="21"/>
        </w:rPr>
      </w:pPr>
      <w:r>
        <w:rPr>
          <w:b/>
          <w:bCs/>
          <w:kern w:val="0"/>
          <w:szCs w:val="21"/>
        </w:rPr>
        <w:t>四、理论教学内容及学时分配（</w:t>
      </w:r>
      <w:r>
        <w:rPr>
          <w:rFonts w:hint="eastAsia"/>
          <w:b/>
          <w:bCs/>
          <w:kern w:val="0"/>
          <w:szCs w:val="21"/>
          <w:lang w:val="en-US" w:eastAsia="zh-CN"/>
        </w:rPr>
        <w:t>20</w:t>
      </w:r>
      <w:r>
        <w:rPr>
          <w:b/>
          <w:bCs/>
          <w:kern w:val="0"/>
          <w:szCs w:val="21"/>
        </w:rPr>
        <w:t>学时）</w:t>
      </w:r>
    </w:p>
    <w:p>
      <w:pPr>
        <w:widowControl/>
        <w:snapToGrid w:val="0"/>
        <w:spacing w:before="156" w:beforeLines="50" w:after="156" w:afterLines="50" w:line="360" w:lineRule="auto"/>
        <w:ind w:right="420"/>
        <w:jc w:val="right"/>
        <w:outlineLvl w:val="3"/>
        <w:rPr>
          <w:rFonts w:hint="eastAsia" w:eastAsia="宋体"/>
          <w:b/>
          <w:kern w:val="0"/>
          <w:sz w:val="24"/>
          <w:lang w:eastAsia="zh-CN"/>
        </w:rPr>
      </w:pPr>
      <w:r>
        <w:rPr>
          <w:b/>
          <w:kern w:val="0"/>
        </w:rPr>
        <w:t>绪论                           学时数：</w:t>
      </w:r>
      <w:r>
        <w:rPr>
          <w:rFonts w:hint="eastAsia"/>
          <w:b/>
          <w:kern w:val="0"/>
          <w:lang w:val="en-US" w:eastAsia="zh-CN"/>
        </w:rPr>
        <w:t>2</w:t>
      </w:r>
    </w:p>
    <w:p>
      <w:pPr>
        <w:widowControl/>
        <w:snapToGrid w:val="0"/>
        <w:spacing w:line="360" w:lineRule="auto"/>
        <w:jc w:val="left"/>
        <w:rPr>
          <w:b/>
        </w:rPr>
      </w:pPr>
      <w:r>
        <w:rPr>
          <w:b/>
        </w:rPr>
        <w:t>教学目</w:t>
      </w:r>
      <w:r>
        <w:rPr>
          <w:b/>
          <w:bCs/>
        </w:rPr>
        <w:t>标</w:t>
      </w:r>
      <w:r>
        <w:rPr>
          <w:b/>
        </w:rPr>
        <w:t>：</w:t>
      </w:r>
    </w:p>
    <w:p>
      <w:pPr>
        <w:widowControl/>
        <w:snapToGrid w:val="0"/>
        <w:spacing w:line="360" w:lineRule="auto"/>
        <w:ind w:firstLine="420" w:firstLineChars="200"/>
        <w:jc w:val="left"/>
        <w:rPr>
          <w:b/>
          <w:kern w:val="0"/>
        </w:rPr>
      </w:pPr>
      <w:r>
        <w:rPr>
          <w:kern w:val="0"/>
        </w:rPr>
        <w:t>了解果品蔬菜加工的定义及特点，我国果蔬产品加工发展现状、意义及注意事项。</w:t>
      </w:r>
    </w:p>
    <w:p>
      <w:pPr>
        <w:widowControl/>
        <w:snapToGrid w:val="0"/>
        <w:spacing w:line="360" w:lineRule="auto"/>
        <w:jc w:val="left"/>
        <w:rPr>
          <w:b/>
        </w:rPr>
      </w:pPr>
      <w:r>
        <w:rPr>
          <w:b/>
        </w:rPr>
        <w:t>教学重点和难点：</w:t>
      </w:r>
    </w:p>
    <w:p>
      <w:pPr>
        <w:widowControl/>
        <w:snapToGrid w:val="0"/>
        <w:spacing w:line="360" w:lineRule="auto"/>
        <w:ind w:firstLine="420" w:firstLineChars="200"/>
        <w:jc w:val="left"/>
        <w:rPr>
          <w:kern w:val="0"/>
        </w:rPr>
      </w:pPr>
      <w:r>
        <w:rPr>
          <w:kern w:val="0"/>
        </w:rPr>
        <w:t>重点：果蔬产品的化学组成特性及其与加工品质的关系，果蔬产品加工的基本原理，常见的加工制品的种类，各种加工制品关键的工艺流程。难点：一些单元操作的技术参数的确定依据。</w:t>
      </w:r>
    </w:p>
    <w:p>
      <w:pPr>
        <w:widowControl/>
        <w:adjustRightInd w:val="0"/>
        <w:snapToGrid w:val="0"/>
        <w:spacing w:line="360" w:lineRule="auto"/>
        <w:jc w:val="left"/>
        <w:rPr>
          <w:kern w:val="0"/>
        </w:rPr>
      </w:pPr>
      <w:r>
        <w:rPr>
          <w:b/>
        </w:rPr>
        <w:t>主要教学内容及要求：</w:t>
      </w:r>
    </w:p>
    <w:p>
      <w:pPr>
        <w:widowControl/>
        <w:adjustRightInd w:val="0"/>
        <w:snapToGrid w:val="0"/>
        <w:spacing w:line="360" w:lineRule="auto"/>
        <w:ind w:firstLine="420" w:firstLineChars="200"/>
        <w:jc w:val="left"/>
        <w:rPr>
          <w:kern w:val="0"/>
        </w:rPr>
      </w:pPr>
      <w:r>
        <w:rPr>
          <w:kern w:val="0"/>
        </w:rPr>
        <w:t>了解：果蔬产品加工品的定义及其特点；我国果蔬产品加工发展的现状。</w:t>
      </w:r>
    </w:p>
    <w:p>
      <w:pPr>
        <w:widowControl/>
        <w:adjustRightInd w:val="0"/>
        <w:snapToGrid w:val="0"/>
        <w:spacing w:line="360" w:lineRule="auto"/>
        <w:ind w:firstLine="420" w:firstLineChars="200"/>
        <w:jc w:val="left"/>
        <w:rPr>
          <w:kern w:val="0"/>
        </w:rPr>
      </w:pPr>
      <w:r>
        <w:rPr>
          <w:kern w:val="0"/>
        </w:rPr>
        <w:t>理解：发展果蔬产品加工业的意义。</w:t>
      </w:r>
    </w:p>
    <w:p>
      <w:pPr>
        <w:widowControl/>
        <w:adjustRightInd w:val="0"/>
        <w:snapToGrid w:val="0"/>
        <w:spacing w:line="360" w:lineRule="auto"/>
        <w:ind w:firstLine="420" w:firstLineChars="200"/>
        <w:jc w:val="left"/>
        <w:rPr>
          <w:kern w:val="0"/>
        </w:rPr>
      </w:pPr>
      <w:r>
        <w:rPr>
          <w:kern w:val="0"/>
        </w:rPr>
        <w:t>掌握：发展果蔬产品加工业的注意事项。</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kern w:val="0"/>
          <w:szCs w:val="21"/>
        </w:rPr>
        <w:t>以课堂讲授的方式结合大量实例、相关图片和视频</w:t>
      </w:r>
      <w:r>
        <w:rPr>
          <w:rFonts w:hint="eastAsia"/>
          <w:kern w:val="0"/>
          <w:szCs w:val="21"/>
        </w:rPr>
        <w:t>，</w:t>
      </w:r>
      <w:r>
        <w:rPr>
          <w:kern w:val="0"/>
          <w:szCs w:val="21"/>
        </w:rPr>
        <w:t>讲述果蔬产品加工发展现状、意义及存在问题，让学生对果蔬加工有一定的直观理解（</w:t>
      </w:r>
      <w:r>
        <w:rPr>
          <w:rFonts w:hint="eastAsia"/>
          <w:kern w:val="0"/>
          <w:szCs w:val="21"/>
          <w:lang w:val="en-US" w:eastAsia="zh-CN"/>
        </w:rPr>
        <w:t>2</w:t>
      </w:r>
      <w:r>
        <w:rPr>
          <w:kern w:val="0"/>
          <w:szCs w:val="21"/>
        </w:rPr>
        <w:t>学时）。</w:t>
      </w:r>
    </w:p>
    <w:p>
      <w:pPr>
        <w:widowControl/>
        <w:snapToGrid w:val="0"/>
        <w:spacing w:before="156" w:beforeLines="50" w:after="156" w:afterLines="50" w:line="360" w:lineRule="auto"/>
        <w:ind w:right="420"/>
        <w:jc w:val="right"/>
        <w:outlineLvl w:val="3"/>
        <w:rPr>
          <w:b/>
          <w:kern w:val="0"/>
          <w:sz w:val="24"/>
        </w:rPr>
      </w:pPr>
      <w:r>
        <w:rPr>
          <w:b/>
          <w:kern w:val="0"/>
        </w:rPr>
        <w:t>第一章</w:t>
      </w:r>
      <w:r>
        <w:rPr>
          <w:rFonts w:hint="eastAsia"/>
          <w:b/>
          <w:kern w:val="0"/>
          <w:lang w:val="en-US" w:eastAsia="zh-CN"/>
        </w:rPr>
        <w:t xml:space="preserve"> </w:t>
      </w:r>
      <w:r>
        <w:rPr>
          <w:b/>
          <w:kern w:val="0"/>
        </w:rPr>
        <w:t>果蔬产品加工基本原理及加工原料的预处理         学时数：2</w:t>
      </w:r>
    </w:p>
    <w:p>
      <w:pPr>
        <w:widowControl/>
        <w:snapToGrid w:val="0"/>
        <w:spacing w:line="360" w:lineRule="auto"/>
        <w:jc w:val="left"/>
        <w:textAlignment w:val="baseline"/>
        <w:rPr>
          <w:b/>
        </w:rPr>
      </w:pPr>
      <w:r>
        <w:rPr>
          <w:b/>
        </w:rPr>
        <w:t>教学目</w:t>
      </w:r>
      <w:r>
        <w:rPr>
          <w:b/>
          <w:bCs/>
        </w:rPr>
        <w:t>标</w:t>
      </w:r>
      <w:r>
        <w:rPr>
          <w:b/>
        </w:rPr>
        <w:t>：</w:t>
      </w:r>
    </w:p>
    <w:p>
      <w:pPr>
        <w:widowControl/>
        <w:snapToGrid w:val="0"/>
        <w:spacing w:line="360" w:lineRule="auto"/>
        <w:ind w:firstLine="420" w:firstLineChars="200"/>
        <w:jc w:val="left"/>
        <w:textAlignment w:val="baseline"/>
        <w:rPr>
          <w:b/>
          <w:kern w:val="0"/>
        </w:rPr>
      </w:pPr>
      <w:r>
        <w:rPr>
          <w:kern w:val="0"/>
        </w:rPr>
        <w:t>掌握果蔬产品加工保藏的基本原理，了解果蔬产品加工品的种类及原料预处理的方法。</w:t>
      </w:r>
    </w:p>
    <w:p>
      <w:pPr>
        <w:widowControl/>
        <w:snapToGrid w:val="0"/>
        <w:spacing w:line="360" w:lineRule="auto"/>
        <w:jc w:val="left"/>
        <w:textAlignment w:val="baseline"/>
        <w:rPr>
          <w:b/>
        </w:rPr>
      </w:pPr>
      <w:r>
        <w:rPr>
          <w:b/>
        </w:rPr>
        <w:t>教学重点和难点：</w:t>
      </w:r>
    </w:p>
    <w:p>
      <w:pPr>
        <w:widowControl/>
        <w:snapToGrid w:val="0"/>
        <w:spacing w:line="360" w:lineRule="auto"/>
        <w:ind w:firstLine="420" w:firstLineChars="200"/>
        <w:jc w:val="left"/>
        <w:textAlignment w:val="baseline"/>
        <w:rPr>
          <w:kern w:val="0"/>
        </w:rPr>
      </w:pPr>
      <w:r>
        <w:rPr>
          <w:bCs/>
        </w:rPr>
        <w:t>重点：</w:t>
      </w:r>
      <w:r>
        <w:rPr>
          <w:kern w:val="0"/>
        </w:rPr>
        <w:t>果蔬产品的化学组成特性及其与加工品质的关系，果蔬产品加工的基本原理。难点：果蔬产品预处理的方法及其原理。</w:t>
      </w:r>
    </w:p>
    <w:p>
      <w:pPr>
        <w:widowControl/>
        <w:snapToGrid w:val="0"/>
        <w:spacing w:line="360" w:lineRule="auto"/>
        <w:jc w:val="left"/>
        <w:textAlignment w:val="baseline"/>
        <w:rPr>
          <w:b/>
        </w:rPr>
      </w:pPr>
      <w:r>
        <w:rPr>
          <w:b/>
        </w:rPr>
        <w:t>主要教学内容及要求：</w:t>
      </w:r>
    </w:p>
    <w:p>
      <w:pPr>
        <w:widowControl/>
        <w:snapToGrid w:val="0"/>
        <w:spacing w:line="360" w:lineRule="auto"/>
        <w:ind w:firstLine="420" w:firstLineChars="200"/>
        <w:jc w:val="left"/>
        <w:textAlignment w:val="baseline"/>
      </w:pPr>
      <w:r>
        <w:t>了解：</w:t>
      </w:r>
      <w:r>
        <w:rPr>
          <w:kern w:val="0"/>
        </w:rPr>
        <w:t>果蔬的品质与加工的关系</w:t>
      </w:r>
      <w:r>
        <w:t>。</w:t>
      </w:r>
    </w:p>
    <w:p>
      <w:pPr>
        <w:widowControl/>
        <w:snapToGrid w:val="0"/>
        <w:spacing w:line="360" w:lineRule="auto"/>
        <w:ind w:firstLine="420" w:firstLineChars="200"/>
        <w:jc w:val="left"/>
        <w:textAlignment w:val="baseline"/>
        <w:rPr>
          <w:kern w:val="0"/>
        </w:rPr>
      </w:pPr>
      <w:r>
        <w:rPr>
          <w:kern w:val="0"/>
        </w:rPr>
        <w:t>理解：果蔬产品加工基本原理。</w:t>
      </w:r>
    </w:p>
    <w:p>
      <w:pPr>
        <w:widowControl/>
        <w:snapToGrid w:val="0"/>
        <w:spacing w:line="360" w:lineRule="auto"/>
        <w:ind w:firstLine="420" w:firstLineChars="200"/>
        <w:jc w:val="left"/>
        <w:textAlignment w:val="baseline"/>
        <w:rPr>
          <w:kern w:val="0"/>
        </w:rPr>
      </w:pPr>
      <w:r>
        <w:rPr>
          <w:kern w:val="0"/>
        </w:rPr>
        <w:t>掌握：</w:t>
      </w:r>
      <w:r>
        <w:t>果蔬产品加工原料的预处理</w:t>
      </w:r>
      <w:r>
        <w:rPr>
          <w:kern w:val="0"/>
        </w:rPr>
        <w:t>。</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kern w:val="0"/>
          <w:szCs w:val="21"/>
        </w:rPr>
        <w:t>以课堂授课的形式，讲述果蔬产品加工的基本原理和加工原料的预处理，同时在授课过程中加入相关案例的图片和视频，让学生们掌握果蔬产品加工的基本原理及如何对加工原料进行预处理（2学时）。</w:t>
      </w:r>
    </w:p>
    <w:p>
      <w:pPr>
        <w:widowControl/>
        <w:snapToGrid w:val="0"/>
        <w:spacing w:before="156" w:beforeLines="50" w:after="156" w:afterLines="50" w:line="360" w:lineRule="auto"/>
        <w:jc w:val="right"/>
        <w:outlineLvl w:val="3"/>
        <w:rPr>
          <w:b/>
          <w:kern w:val="0"/>
        </w:rPr>
      </w:pPr>
      <w:r>
        <w:rPr>
          <w:b/>
          <w:kern w:val="0"/>
        </w:rPr>
        <w:t>第二章</w:t>
      </w:r>
      <w:r>
        <w:rPr>
          <w:rFonts w:hint="eastAsia"/>
          <w:b/>
          <w:kern w:val="0"/>
          <w:lang w:val="en-US" w:eastAsia="zh-CN"/>
        </w:rPr>
        <w:t xml:space="preserve"> </w:t>
      </w:r>
      <w:r>
        <w:rPr>
          <w:b/>
          <w:kern w:val="0"/>
        </w:rPr>
        <w:t>果蔬的罐藏                         学时数：2</w:t>
      </w:r>
    </w:p>
    <w:p>
      <w:pPr>
        <w:widowControl/>
        <w:tabs>
          <w:tab w:val="left" w:pos="1260"/>
        </w:tabs>
        <w:snapToGrid w:val="0"/>
        <w:spacing w:line="360" w:lineRule="auto"/>
        <w:textAlignment w:val="baseline"/>
        <w:rPr>
          <w:b/>
        </w:rPr>
      </w:pPr>
      <w:r>
        <w:rPr>
          <w:b/>
        </w:rPr>
        <w:t>教学目</w:t>
      </w:r>
      <w:r>
        <w:rPr>
          <w:b/>
          <w:bCs/>
        </w:rPr>
        <w:t>标</w:t>
      </w:r>
      <w:r>
        <w:rPr>
          <w:b/>
        </w:rPr>
        <w:t>：</w:t>
      </w:r>
    </w:p>
    <w:p>
      <w:pPr>
        <w:widowControl/>
        <w:tabs>
          <w:tab w:val="left" w:pos="1260"/>
        </w:tabs>
        <w:snapToGrid w:val="0"/>
        <w:spacing w:line="360" w:lineRule="auto"/>
        <w:ind w:firstLine="420" w:firstLineChars="200"/>
        <w:textAlignment w:val="baseline"/>
        <w:rPr>
          <w:kern w:val="0"/>
        </w:rPr>
      </w:pPr>
      <w:r>
        <w:rPr>
          <w:kern w:val="0"/>
        </w:rPr>
        <w:t>掌握罐藏的基本加工原理、工艺流程及技术操作关键。</w:t>
      </w:r>
    </w:p>
    <w:p>
      <w:pPr>
        <w:widowControl/>
        <w:tabs>
          <w:tab w:val="left" w:pos="1260"/>
        </w:tabs>
        <w:snapToGrid w:val="0"/>
        <w:spacing w:line="360" w:lineRule="auto"/>
        <w:textAlignment w:val="baseline"/>
        <w:rPr>
          <w:b/>
        </w:rPr>
      </w:pPr>
      <w:r>
        <w:rPr>
          <w:b/>
        </w:rPr>
        <w:t>教学重点和难点：</w:t>
      </w:r>
    </w:p>
    <w:p>
      <w:pPr>
        <w:widowControl/>
        <w:tabs>
          <w:tab w:val="left" w:pos="1260"/>
        </w:tabs>
        <w:snapToGrid w:val="0"/>
        <w:spacing w:line="360" w:lineRule="auto"/>
        <w:ind w:firstLine="420" w:firstLineChars="200"/>
        <w:textAlignment w:val="baseline"/>
        <w:rPr>
          <w:kern w:val="0"/>
        </w:rPr>
      </w:pPr>
      <w:r>
        <w:rPr>
          <w:kern w:val="0"/>
        </w:rPr>
        <w:t>重点：罐藏的加工工艺流程。难点：罐藏原理及杀菌F值的确定。</w:t>
      </w:r>
    </w:p>
    <w:p>
      <w:pPr>
        <w:widowControl/>
        <w:adjustRightInd w:val="0"/>
        <w:snapToGrid w:val="0"/>
        <w:spacing w:line="360" w:lineRule="auto"/>
        <w:jc w:val="left"/>
        <w:rPr>
          <w:b/>
        </w:rPr>
      </w:pPr>
      <w:r>
        <w:rPr>
          <w:b/>
        </w:rPr>
        <w:t>主要教学内容及要求：</w:t>
      </w:r>
    </w:p>
    <w:p>
      <w:pPr>
        <w:widowControl/>
        <w:adjustRightInd w:val="0"/>
        <w:snapToGrid w:val="0"/>
        <w:spacing w:line="360" w:lineRule="auto"/>
        <w:ind w:firstLine="420" w:firstLineChars="200"/>
        <w:jc w:val="left"/>
        <w:rPr>
          <w:kern w:val="0"/>
        </w:rPr>
      </w:pPr>
      <w:r>
        <w:rPr>
          <w:kern w:val="0"/>
        </w:rPr>
        <w:t>了解：罐藏的基本加工原理、罐头食品与微生物的关系，F值计算的依据。</w:t>
      </w:r>
    </w:p>
    <w:p>
      <w:pPr>
        <w:widowControl/>
        <w:adjustRightInd w:val="0"/>
        <w:snapToGrid w:val="0"/>
        <w:spacing w:line="360" w:lineRule="auto"/>
        <w:ind w:firstLine="420" w:firstLineChars="200"/>
        <w:jc w:val="left"/>
        <w:rPr>
          <w:kern w:val="0"/>
        </w:rPr>
      </w:pPr>
      <w:r>
        <w:rPr>
          <w:kern w:val="0"/>
        </w:rPr>
        <w:t>掌握：果蔬罐藏对原料的品质要求，罐藏工艺流程各工序的作用、使用设备及操作要点，罐头败坏种类及引起原因。</w:t>
      </w:r>
    </w:p>
    <w:p>
      <w:pPr>
        <w:widowControl/>
        <w:adjustRightInd w:val="0"/>
        <w:snapToGrid w:val="0"/>
        <w:spacing w:line="360" w:lineRule="auto"/>
        <w:ind w:firstLine="420" w:firstLineChars="200"/>
        <w:jc w:val="left"/>
        <w:rPr>
          <w:kern w:val="0"/>
        </w:rPr>
      </w:pPr>
      <w:r>
        <w:rPr>
          <w:kern w:val="0"/>
        </w:rPr>
        <w:t>掌握：糖水桃、清水蘑菇罐头的加工工艺及操作要点。会针对某一种果蔬提出罐藏技术操作规程。</w:t>
      </w:r>
    </w:p>
    <w:p>
      <w:pPr>
        <w:widowControl/>
        <w:snapToGrid w:val="0"/>
        <w:spacing w:line="360" w:lineRule="auto"/>
        <w:rPr>
          <w:b/>
          <w:bCs/>
        </w:rPr>
      </w:pPr>
      <w:r>
        <w:rPr>
          <w:b/>
          <w:bCs/>
        </w:rPr>
        <w:t>教学组织与实施：</w:t>
      </w:r>
    </w:p>
    <w:p>
      <w:pPr>
        <w:widowControl/>
        <w:snapToGrid w:val="0"/>
        <w:spacing w:line="360" w:lineRule="auto"/>
        <w:ind w:firstLine="420" w:firstLineChars="200"/>
        <w:rPr>
          <w:kern w:val="0"/>
        </w:rPr>
      </w:pPr>
      <w:r>
        <w:rPr>
          <w:kern w:val="0"/>
          <w:szCs w:val="21"/>
        </w:rPr>
        <w:t>以课堂讲授的方式，同时结合大量图片和视频等多媒体资源，讲述果蔬的罐藏。另外，理论课程教学要与实验教学紧密结合，本章理论课讲授完成后及时安排相关实验，让同学们通过实验加深对理论教学内容的理解和掌握（2学时）</w:t>
      </w:r>
      <w:r>
        <w:rPr>
          <w:kern w:val="0"/>
        </w:rPr>
        <w:t>。</w:t>
      </w:r>
    </w:p>
    <w:p>
      <w:pPr>
        <w:widowControl/>
        <w:snapToGrid w:val="0"/>
        <w:spacing w:before="156" w:beforeLines="50" w:after="156" w:afterLines="50" w:line="360" w:lineRule="auto"/>
        <w:jc w:val="right"/>
        <w:outlineLvl w:val="3"/>
        <w:rPr>
          <w:b/>
          <w:kern w:val="0"/>
          <w:sz w:val="24"/>
        </w:rPr>
      </w:pPr>
      <w:r>
        <w:rPr>
          <w:b/>
          <w:kern w:val="0"/>
        </w:rPr>
        <w:t>第三章</w:t>
      </w:r>
      <w:r>
        <w:rPr>
          <w:rFonts w:hint="eastAsia"/>
          <w:b/>
          <w:kern w:val="0"/>
          <w:lang w:val="en-US" w:eastAsia="zh-CN"/>
        </w:rPr>
        <w:t xml:space="preserve"> </w:t>
      </w:r>
      <w:r>
        <w:rPr>
          <w:b/>
          <w:kern w:val="0"/>
        </w:rPr>
        <w:t>果汁菜汁的加工                       学时数：2</w:t>
      </w:r>
    </w:p>
    <w:p>
      <w:pPr>
        <w:widowControl/>
        <w:snapToGrid w:val="0"/>
        <w:spacing w:line="360" w:lineRule="auto"/>
        <w:jc w:val="left"/>
        <w:textAlignment w:val="baseline"/>
        <w:rPr>
          <w:b/>
        </w:rPr>
      </w:pPr>
      <w:r>
        <w:rPr>
          <w:b/>
        </w:rPr>
        <w:t>教学目</w:t>
      </w:r>
      <w:r>
        <w:rPr>
          <w:b/>
          <w:bCs/>
        </w:rPr>
        <w:t>标</w:t>
      </w:r>
      <w:r>
        <w:rPr>
          <w:b/>
        </w:rPr>
        <w:t>：</w:t>
      </w:r>
    </w:p>
    <w:p>
      <w:pPr>
        <w:widowControl/>
        <w:snapToGrid w:val="0"/>
        <w:spacing w:line="360" w:lineRule="auto"/>
        <w:ind w:firstLine="420" w:firstLineChars="200"/>
        <w:jc w:val="left"/>
        <w:textAlignment w:val="baseline"/>
        <w:rPr>
          <w:b/>
          <w:kern w:val="0"/>
        </w:rPr>
      </w:pPr>
      <w:r>
        <w:rPr>
          <w:kern w:val="0"/>
        </w:rPr>
        <w:t>了解果菜汁发展方向，掌握果汁菜汁的种类，制作的基本工艺流程。</w:t>
      </w:r>
    </w:p>
    <w:p>
      <w:pPr>
        <w:widowControl/>
        <w:snapToGrid w:val="0"/>
        <w:spacing w:line="360" w:lineRule="auto"/>
        <w:jc w:val="left"/>
        <w:textAlignment w:val="baseline"/>
        <w:rPr>
          <w:b/>
        </w:rPr>
      </w:pPr>
      <w:r>
        <w:rPr>
          <w:b/>
        </w:rPr>
        <w:t>教学重点和难点：</w:t>
      </w:r>
    </w:p>
    <w:p>
      <w:pPr>
        <w:widowControl/>
        <w:snapToGrid w:val="0"/>
        <w:spacing w:line="360" w:lineRule="auto"/>
        <w:ind w:firstLine="420" w:firstLineChars="200"/>
        <w:jc w:val="left"/>
        <w:textAlignment w:val="baseline"/>
        <w:rPr>
          <w:kern w:val="0"/>
        </w:rPr>
      </w:pPr>
      <w:r>
        <w:rPr>
          <w:kern w:val="0"/>
        </w:rPr>
        <w:t>重点：果汁菜汁的种类及其基本加工工艺流程。难点：果汁、菜汁加工中各单元操作中所用的设备，加工中常见的问题。</w:t>
      </w:r>
    </w:p>
    <w:p>
      <w:pPr>
        <w:widowControl/>
        <w:snapToGrid w:val="0"/>
        <w:spacing w:line="360" w:lineRule="auto"/>
        <w:jc w:val="left"/>
        <w:textAlignment w:val="baseline"/>
        <w:rPr>
          <w:b/>
        </w:rPr>
      </w:pPr>
      <w:r>
        <w:rPr>
          <w:b/>
        </w:rPr>
        <w:t>主要教学内容及要求：</w:t>
      </w:r>
    </w:p>
    <w:p>
      <w:pPr>
        <w:widowControl/>
        <w:snapToGrid w:val="0"/>
        <w:spacing w:line="360" w:lineRule="auto"/>
        <w:ind w:firstLine="420" w:firstLineChars="200"/>
        <w:jc w:val="left"/>
        <w:textAlignment w:val="baseline"/>
        <w:rPr>
          <w:kern w:val="0"/>
          <w:szCs w:val="21"/>
        </w:rPr>
      </w:pPr>
      <w:r>
        <w:rPr>
          <w:kern w:val="0"/>
          <w:szCs w:val="21"/>
        </w:rPr>
        <w:t>了解：了解果菜汁加工技术新进展。</w:t>
      </w:r>
    </w:p>
    <w:p>
      <w:pPr>
        <w:widowControl/>
        <w:snapToGrid w:val="0"/>
        <w:spacing w:line="360" w:lineRule="auto"/>
        <w:ind w:firstLine="420" w:firstLineChars="200"/>
        <w:jc w:val="left"/>
        <w:textAlignment w:val="baseline"/>
        <w:rPr>
          <w:kern w:val="0"/>
        </w:rPr>
      </w:pPr>
      <w:r>
        <w:rPr>
          <w:kern w:val="0"/>
          <w:szCs w:val="21"/>
        </w:rPr>
        <w:t>理解：果、菜汁加工中常见的问题及解决措施。</w:t>
      </w:r>
    </w:p>
    <w:p>
      <w:pPr>
        <w:widowControl/>
        <w:snapToGrid w:val="0"/>
        <w:spacing w:line="360" w:lineRule="auto"/>
        <w:ind w:firstLine="420" w:firstLineChars="200"/>
        <w:jc w:val="left"/>
        <w:textAlignment w:val="baseline"/>
        <w:rPr>
          <w:kern w:val="0"/>
        </w:rPr>
      </w:pPr>
      <w:r>
        <w:rPr>
          <w:kern w:val="0"/>
          <w:szCs w:val="21"/>
        </w:rPr>
        <w:t>掌握：果汁菜汁的种类，果汁菜汁加工对原料的要求，果汁菜汁加工工艺流程中各工序的作用、加工设备及操作要点。</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kern w:val="0"/>
          <w:szCs w:val="21"/>
        </w:rPr>
        <w:t>以课堂讲授的方式，同时结合大量图片和视频等多媒体资源，讲述果汁菜汁的加工工艺，让学生掌握果汁、菜汁的加工工艺（2学时）。</w:t>
      </w:r>
    </w:p>
    <w:p>
      <w:pPr>
        <w:widowControl/>
        <w:wordWrap w:val="0"/>
        <w:snapToGrid w:val="0"/>
        <w:spacing w:before="156" w:beforeLines="50" w:after="156" w:afterLines="50" w:line="360" w:lineRule="auto"/>
        <w:jc w:val="right"/>
        <w:outlineLvl w:val="3"/>
        <w:rPr>
          <w:rFonts w:hint="eastAsia" w:eastAsia="宋体"/>
          <w:b/>
          <w:kern w:val="0"/>
          <w:sz w:val="24"/>
          <w:lang w:eastAsia="zh-CN"/>
        </w:rPr>
      </w:pPr>
      <w:r>
        <w:rPr>
          <w:b/>
          <w:kern w:val="0"/>
        </w:rPr>
        <w:t>第四章</w:t>
      </w:r>
      <w:r>
        <w:rPr>
          <w:rFonts w:hint="eastAsia"/>
          <w:b/>
          <w:kern w:val="0"/>
          <w:lang w:val="en-US" w:eastAsia="zh-CN"/>
        </w:rPr>
        <w:t xml:space="preserve"> </w:t>
      </w:r>
      <w:r>
        <w:rPr>
          <w:b/>
          <w:kern w:val="0"/>
        </w:rPr>
        <w:t>果酒的加工                         学时数：</w:t>
      </w:r>
      <w:r>
        <w:rPr>
          <w:rFonts w:hint="eastAsia"/>
          <w:b/>
          <w:kern w:val="0"/>
          <w:lang w:val="en-US" w:eastAsia="zh-CN"/>
        </w:rPr>
        <w:t>4</w:t>
      </w:r>
    </w:p>
    <w:p>
      <w:pPr>
        <w:widowControl/>
        <w:snapToGrid w:val="0"/>
        <w:spacing w:line="360" w:lineRule="auto"/>
        <w:textAlignment w:val="baseline"/>
        <w:rPr>
          <w:b/>
        </w:rPr>
      </w:pPr>
      <w:r>
        <w:rPr>
          <w:b/>
        </w:rPr>
        <w:t>教学目</w:t>
      </w:r>
      <w:r>
        <w:rPr>
          <w:b/>
          <w:bCs/>
        </w:rPr>
        <w:t>标</w:t>
      </w:r>
      <w:r>
        <w:rPr>
          <w:b/>
        </w:rPr>
        <w:t>：</w:t>
      </w:r>
    </w:p>
    <w:p>
      <w:pPr>
        <w:widowControl/>
        <w:snapToGrid w:val="0"/>
        <w:spacing w:line="360" w:lineRule="auto"/>
        <w:ind w:firstLine="420" w:firstLineChars="200"/>
        <w:textAlignment w:val="baseline"/>
        <w:rPr>
          <w:kern w:val="0"/>
        </w:rPr>
      </w:pPr>
      <w:r>
        <w:rPr>
          <w:kern w:val="0"/>
        </w:rPr>
        <w:t>掌握果酒的种类及果酒加工的基本工艺流程，了解果酒加工的关键工艺。</w:t>
      </w:r>
    </w:p>
    <w:p>
      <w:pPr>
        <w:widowControl/>
        <w:snapToGrid w:val="0"/>
        <w:spacing w:line="360" w:lineRule="auto"/>
        <w:textAlignment w:val="baseline"/>
        <w:rPr>
          <w:b/>
        </w:rPr>
      </w:pPr>
      <w:r>
        <w:rPr>
          <w:b/>
        </w:rPr>
        <w:t>教学重点和难点：</w:t>
      </w:r>
    </w:p>
    <w:p>
      <w:pPr>
        <w:widowControl/>
        <w:snapToGrid w:val="0"/>
        <w:spacing w:line="360" w:lineRule="auto"/>
        <w:ind w:firstLine="420" w:firstLineChars="200"/>
        <w:textAlignment w:val="baseline"/>
        <w:rPr>
          <w:kern w:val="0"/>
        </w:rPr>
      </w:pPr>
      <w:r>
        <w:rPr>
          <w:kern w:val="0"/>
        </w:rPr>
        <w:t>重点：果酒的种类及基本加工工艺流程。难点：酵母的培养、添加及SO</w:t>
      </w:r>
      <w:r>
        <w:rPr>
          <w:kern w:val="0"/>
          <w:vertAlign w:val="subscript"/>
        </w:rPr>
        <w:t>2</w:t>
      </w:r>
      <w:r>
        <w:rPr>
          <w:kern w:val="0"/>
        </w:rPr>
        <w:t>在果酒加工中的作用。</w:t>
      </w:r>
    </w:p>
    <w:p>
      <w:pPr>
        <w:widowControl/>
        <w:snapToGrid w:val="0"/>
        <w:spacing w:line="360" w:lineRule="auto"/>
        <w:textAlignment w:val="baseline"/>
        <w:rPr>
          <w:b/>
        </w:rPr>
      </w:pPr>
      <w:r>
        <w:rPr>
          <w:b/>
        </w:rPr>
        <w:t>主要教学内容及要求：</w:t>
      </w:r>
    </w:p>
    <w:p>
      <w:pPr>
        <w:widowControl/>
        <w:snapToGrid w:val="0"/>
        <w:spacing w:line="360" w:lineRule="auto"/>
        <w:ind w:firstLine="420" w:firstLineChars="200"/>
        <w:textAlignment w:val="baseline"/>
        <w:rPr>
          <w:kern w:val="0"/>
        </w:rPr>
      </w:pPr>
      <w:r>
        <w:rPr>
          <w:kern w:val="0"/>
        </w:rPr>
        <w:t>了解：果酒的种类。</w:t>
      </w:r>
    </w:p>
    <w:p>
      <w:pPr>
        <w:widowControl/>
        <w:snapToGrid w:val="0"/>
        <w:spacing w:line="360" w:lineRule="auto"/>
        <w:ind w:firstLine="420" w:firstLineChars="200"/>
        <w:textAlignment w:val="baseline"/>
        <w:rPr>
          <w:kern w:val="0"/>
        </w:rPr>
      </w:pPr>
      <w:r>
        <w:rPr>
          <w:kern w:val="0"/>
        </w:rPr>
        <w:t>理解：SO</w:t>
      </w:r>
      <w:r>
        <w:rPr>
          <w:kern w:val="0"/>
          <w:vertAlign w:val="subscript"/>
        </w:rPr>
        <w:t>2</w:t>
      </w:r>
      <w:r>
        <w:rPr>
          <w:kern w:val="0"/>
        </w:rPr>
        <w:t>在果酒加工的作用，新方法在果酒加工中的应用。</w:t>
      </w:r>
    </w:p>
    <w:p>
      <w:pPr>
        <w:widowControl/>
        <w:snapToGrid w:val="0"/>
        <w:spacing w:line="360" w:lineRule="auto"/>
        <w:ind w:firstLine="420" w:firstLineChars="200"/>
        <w:textAlignment w:val="baseline"/>
        <w:rPr>
          <w:kern w:val="0"/>
        </w:rPr>
      </w:pPr>
      <w:r>
        <w:rPr>
          <w:kern w:val="0"/>
        </w:rPr>
        <w:t>掌握：果酒加工的基本工艺流程，葡萄酒酵母的扩大培养及发酵条件。</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kern w:val="0"/>
          <w:szCs w:val="21"/>
        </w:rPr>
        <w:t>以课堂讲授的方式，同时结合大量图片和视频等多媒体资源，讲述果酒的加工工艺，让学生掌握果酒的加工工艺。另外，理论课程教学要与实验教学紧密结合，本章理论课讲授完成后及时安排相关实验，让同学们通过实验加深对理论教学内容的理解和掌握（</w:t>
      </w:r>
      <w:r>
        <w:rPr>
          <w:rFonts w:hint="eastAsia"/>
          <w:kern w:val="0"/>
          <w:szCs w:val="21"/>
          <w:lang w:val="en-US" w:eastAsia="zh-CN"/>
        </w:rPr>
        <w:t>4</w:t>
      </w:r>
      <w:r>
        <w:rPr>
          <w:kern w:val="0"/>
          <w:szCs w:val="21"/>
        </w:rPr>
        <w:t>学时）。</w:t>
      </w:r>
    </w:p>
    <w:p>
      <w:pPr>
        <w:widowControl/>
        <w:snapToGrid w:val="0"/>
        <w:spacing w:before="156" w:beforeLines="50" w:after="156" w:afterLines="50" w:line="360" w:lineRule="auto"/>
        <w:jc w:val="right"/>
        <w:outlineLvl w:val="3"/>
        <w:rPr>
          <w:b/>
          <w:kern w:val="0"/>
        </w:rPr>
      </w:pPr>
      <w:r>
        <w:rPr>
          <w:b/>
          <w:kern w:val="0"/>
        </w:rPr>
        <w:t>第五章</w:t>
      </w:r>
      <w:r>
        <w:rPr>
          <w:rFonts w:hint="eastAsia"/>
          <w:b/>
          <w:kern w:val="0"/>
          <w:lang w:val="en-US" w:eastAsia="zh-CN"/>
        </w:rPr>
        <w:t xml:space="preserve"> </w:t>
      </w:r>
      <w:r>
        <w:rPr>
          <w:b/>
          <w:kern w:val="0"/>
        </w:rPr>
        <w:t>速冻保藏加工技术                      学时数：2</w:t>
      </w:r>
    </w:p>
    <w:p>
      <w:pPr>
        <w:widowControl/>
        <w:snapToGrid w:val="0"/>
        <w:spacing w:line="360" w:lineRule="auto"/>
        <w:rPr>
          <w:b/>
          <w:bCs/>
        </w:rPr>
      </w:pPr>
      <w:r>
        <w:rPr>
          <w:b/>
          <w:bCs/>
        </w:rPr>
        <w:t>教学目标：</w:t>
      </w:r>
    </w:p>
    <w:p>
      <w:pPr>
        <w:widowControl/>
        <w:snapToGrid w:val="0"/>
        <w:spacing w:line="360" w:lineRule="auto"/>
        <w:ind w:firstLine="420" w:firstLineChars="200"/>
        <w:rPr>
          <w:kern w:val="0"/>
        </w:rPr>
      </w:pPr>
      <w:r>
        <w:rPr>
          <w:kern w:val="0"/>
        </w:rPr>
        <w:t>掌握速冻的原理，重点掌握速冻的方法和工艺流程，了解果蔬的冻藏与解冻。</w:t>
      </w:r>
    </w:p>
    <w:p>
      <w:pPr>
        <w:widowControl/>
        <w:snapToGrid w:val="0"/>
        <w:spacing w:line="360" w:lineRule="auto"/>
        <w:textAlignment w:val="baseline"/>
        <w:rPr>
          <w:b/>
        </w:rPr>
      </w:pPr>
      <w:r>
        <w:rPr>
          <w:b/>
        </w:rPr>
        <w:t>教学重点和难点：</w:t>
      </w:r>
    </w:p>
    <w:p>
      <w:pPr>
        <w:widowControl/>
        <w:snapToGrid w:val="0"/>
        <w:spacing w:line="360" w:lineRule="auto"/>
        <w:ind w:firstLine="420" w:firstLineChars="200"/>
        <w:textAlignment w:val="baseline"/>
        <w:rPr>
          <w:kern w:val="0"/>
        </w:rPr>
      </w:pPr>
      <w:r>
        <w:rPr>
          <w:kern w:val="0"/>
        </w:rPr>
        <w:t>重点：速冻原理及其加工工艺流程。难点：速冻对果蔬品质的影响。</w:t>
      </w:r>
    </w:p>
    <w:p>
      <w:pPr>
        <w:widowControl/>
        <w:adjustRightInd w:val="0"/>
        <w:snapToGrid w:val="0"/>
        <w:spacing w:line="360" w:lineRule="auto"/>
        <w:rPr>
          <w:b/>
        </w:rPr>
      </w:pPr>
      <w:r>
        <w:rPr>
          <w:b/>
        </w:rPr>
        <w:t>主要教学内容及要求：</w:t>
      </w:r>
    </w:p>
    <w:p>
      <w:pPr>
        <w:widowControl/>
        <w:adjustRightInd w:val="0"/>
        <w:snapToGrid w:val="0"/>
        <w:spacing w:line="360" w:lineRule="auto"/>
        <w:ind w:firstLine="420" w:firstLineChars="200"/>
        <w:rPr>
          <w:kern w:val="0"/>
        </w:rPr>
      </w:pPr>
      <w:r>
        <w:rPr>
          <w:kern w:val="0"/>
        </w:rPr>
        <w:t>了解：常见的速冻果蔬制品的种类。</w:t>
      </w:r>
    </w:p>
    <w:p>
      <w:pPr>
        <w:widowControl/>
        <w:adjustRightInd w:val="0"/>
        <w:snapToGrid w:val="0"/>
        <w:spacing w:line="360" w:lineRule="auto"/>
        <w:ind w:firstLine="420" w:firstLineChars="200"/>
        <w:rPr>
          <w:kern w:val="0"/>
        </w:rPr>
      </w:pPr>
      <w:r>
        <w:rPr>
          <w:kern w:val="0"/>
        </w:rPr>
        <w:t>理解：速冻的原理和加工工艺流程。</w:t>
      </w:r>
    </w:p>
    <w:p>
      <w:pPr>
        <w:widowControl/>
        <w:adjustRightInd w:val="0"/>
        <w:snapToGrid w:val="0"/>
        <w:spacing w:line="360" w:lineRule="auto"/>
        <w:ind w:firstLine="420" w:firstLineChars="200"/>
        <w:rPr>
          <w:kern w:val="0"/>
        </w:rPr>
      </w:pPr>
      <w:r>
        <w:rPr>
          <w:kern w:val="0"/>
        </w:rPr>
        <w:t>掌握：解冻方法。</w:t>
      </w:r>
    </w:p>
    <w:p>
      <w:pPr>
        <w:widowControl/>
        <w:snapToGrid w:val="0"/>
        <w:spacing w:line="360" w:lineRule="auto"/>
        <w:rPr>
          <w:szCs w:val="20"/>
        </w:rPr>
      </w:pPr>
      <w:r>
        <w:rPr>
          <w:b/>
          <w:bCs/>
        </w:rPr>
        <w:t>教学组织与实施：</w:t>
      </w:r>
    </w:p>
    <w:p>
      <w:pPr>
        <w:widowControl/>
        <w:snapToGrid w:val="0"/>
        <w:spacing w:line="360" w:lineRule="auto"/>
        <w:ind w:firstLine="420" w:firstLineChars="200"/>
        <w:rPr>
          <w:kern w:val="0"/>
          <w:szCs w:val="21"/>
        </w:rPr>
      </w:pPr>
      <w:r>
        <w:rPr>
          <w:kern w:val="0"/>
          <w:szCs w:val="21"/>
        </w:rPr>
        <w:t>以课堂讲授的方式，同时结合大量图片、生产实例和视频等多媒体资源，讲述速冻工艺流程和速冻方法，让学生掌握速冻产品的冻藏、解冻（2学时）。</w:t>
      </w:r>
    </w:p>
    <w:p>
      <w:pPr>
        <w:widowControl/>
        <w:snapToGrid w:val="0"/>
        <w:spacing w:before="156" w:beforeLines="50" w:after="156" w:afterLines="50" w:line="360" w:lineRule="auto"/>
        <w:ind w:left="843" w:hanging="843" w:hangingChars="400"/>
        <w:jc w:val="right"/>
        <w:textAlignment w:val="baseline"/>
        <w:outlineLvl w:val="3"/>
        <w:rPr>
          <w:kern w:val="0"/>
          <w:sz w:val="24"/>
        </w:rPr>
      </w:pPr>
      <w:r>
        <w:rPr>
          <w:b/>
          <w:kern w:val="0"/>
        </w:rPr>
        <w:t>第六章</w:t>
      </w:r>
      <w:r>
        <w:rPr>
          <w:rFonts w:hint="eastAsia"/>
          <w:b/>
          <w:kern w:val="0"/>
          <w:lang w:val="en-US" w:eastAsia="zh-CN"/>
        </w:rPr>
        <w:t xml:space="preserve"> </w:t>
      </w:r>
      <w:r>
        <w:rPr>
          <w:b/>
          <w:kern w:val="0"/>
        </w:rPr>
        <w:t>果品蔬菜干制                        学时数：2</w:t>
      </w:r>
    </w:p>
    <w:p>
      <w:pPr>
        <w:widowControl/>
        <w:snapToGrid w:val="0"/>
        <w:spacing w:line="360" w:lineRule="auto"/>
        <w:jc w:val="left"/>
        <w:textAlignment w:val="baseline"/>
        <w:rPr>
          <w:b/>
        </w:rPr>
      </w:pPr>
      <w:r>
        <w:rPr>
          <w:b/>
        </w:rPr>
        <w:t>教学目</w:t>
      </w:r>
      <w:r>
        <w:rPr>
          <w:b/>
          <w:bCs/>
        </w:rPr>
        <w:t>标</w:t>
      </w:r>
      <w:r>
        <w:rPr>
          <w:b/>
        </w:rPr>
        <w:t>：</w:t>
      </w:r>
    </w:p>
    <w:p>
      <w:pPr>
        <w:widowControl/>
        <w:snapToGrid w:val="0"/>
        <w:spacing w:line="360" w:lineRule="auto"/>
        <w:ind w:firstLine="420" w:firstLineChars="200"/>
        <w:jc w:val="left"/>
        <w:textAlignment w:val="baseline"/>
        <w:rPr>
          <w:b/>
        </w:rPr>
      </w:pPr>
      <w:r>
        <w:rPr>
          <w:kern w:val="0"/>
        </w:rPr>
        <w:t>了解干制原料的选择及处理，干制的方法与设备，掌握干制的原理、干制的加工工艺流程。</w:t>
      </w:r>
    </w:p>
    <w:p>
      <w:pPr>
        <w:widowControl/>
        <w:snapToGrid w:val="0"/>
        <w:spacing w:line="360" w:lineRule="auto"/>
        <w:jc w:val="left"/>
        <w:textAlignment w:val="baseline"/>
        <w:rPr>
          <w:kern w:val="0"/>
        </w:rPr>
      </w:pPr>
      <w:r>
        <w:rPr>
          <w:b/>
        </w:rPr>
        <w:t>教学重点和难点</w:t>
      </w:r>
      <w:r>
        <w:rPr>
          <w:kern w:val="0"/>
        </w:rPr>
        <w:t>：</w:t>
      </w:r>
    </w:p>
    <w:p>
      <w:pPr>
        <w:widowControl/>
        <w:snapToGrid w:val="0"/>
        <w:spacing w:line="360" w:lineRule="auto"/>
        <w:ind w:firstLine="420" w:firstLineChars="200"/>
        <w:jc w:val="left"/>
        <w:textAlignment w:val="baseline"/>
        <w:rPr>
          <w:b/>
        </w:rPr>
      </w:pPr>
      <w:r>
        <w:rPr>
          <w:kern w:val="0"/>
        </w:rPr>
        <w:t>重点：果蔬干制的加工工艺流程、设备。难点：果蔬干制的原理。</w:t>
      </w:r>
    </w:p>
    <w:p>
      <w:pPr>
        <w:widowControl/>
        <w:snapToGrid w:val="0"/>
        <w:spacing w:line="360" w:lineRule="auto"/>
        <w:jc w:val="left"/>
        <w:textAlignment w:val="baseline"/>
        <w:rPr>
          <w:kern w:val="0"/>
        </w:rPr>
      </w:pPr>
      <w:r>
        <w:rPr>
          <w:b/>
        </w:rPr>
        <w:t>主要教学内容及要求</w:t>
      </w:r>
      <w:r>
        <w:rPr>
          <w:kern w:val="0"/>
        </w:rPr>
        <w:t>：</w:t>
      </w:r>
    </w:p>
    <w:p>
      <w:pPr>
        <w:widowControl/>
        <w:snapToGrid w:val="0"/>
        <w:spacing w:line="360" w:lineRule="auto"/>
        <w:ind w:firstLine="420"/>
        <w:jc w:val="left"/>
        <w:textAlignment w:val="baseline"/>
        <w:rPr>
          <w:kern w:val="0"/>
        </w:rPr>
      </w:pPr>
      <w:r>
        <w:rPr>
          <w:kern w:val="0"/>
        </w:rPr>
        <w:t>了解：干制原料的选择、处理以及干制的方法与设备以及注意事项。</w:t>
      </w:r>
    </w:p>
    <w:p>
      <w:pPr>
        <w:widowControl/>
        <w:snapToGrid w:val="0"/>
        <w:spacing w:line="360" w:lineRule="auto"/>
        <w:ind w:firstLine="420"/>
        <w:jc w:val="left"/>
        <w:textAlignment w:val="baseline"/>
        <w:rPr>
          <w:kern w:val="0"/>
        </w:rPr>
      </w:pPr>
      <w:r>
        <w:rPr>
          <w:kern w:val="0"/>
        </w:rPr>
        <w:t>理解：干制的基本原理。</w:t>
      </w:r>
    </w:p>
    <w:p>
      <w:pPr>
        <w:widowControl/>
        <w:snapToGrid w:val="0"/>
        <w:spacing w:line="360" w:lineRule="auto"/>
        <w:ind w:firstLine="420"/>
        <w:jc w:val="left"/>
        <w:textAlignment w:val="baseline"/>
        <w:rPr>
          <w:bCs/>
          <w:kern w:val="0"/>
        </w:rPr>
      </w:pPr>
      <w:r>
        <w:rPr>
          <w:kern w:val="0"/>
        </w:rPr>
        <w:t>掌握：干制的原理及加工工艺流程。</w:t>
      </w:r>
    </w:p>
    <w:p>
      <w:pPr>
        <w:widowControl/>
        <w:snapToGrid w:val="0"/>
        <w:spacing w:line="360" w:lineRule="auto"/>
        <w:rPr>
          <w:b/>
          <w:bCs/>
        </w:rPr>
      </w:pPr>
      <w:r>
        <w:rPr>
          <w:b/>
          <w:bCs/>
        </w:rPr>
        <w:t>教学组织与实施：</w:t>
      </w:r>
    </w:p>
    <w:p>
      <w:pPr>
        <w:widowControl/>
        <w:snapToGrid w:val="0"/>
        <w:spacing w:line="360" w:lineRule="auto"/>
        <w:ind w:firstLine="420" w:firstLineChars="200"/>
      </w:pPr>
      <w:r>
        <w:t>以课堂讲授的方式，同时结合大量图片、生产实例和视频等多媒体资源，讲述果蔬干制原理、干制方法与设备、干制的加工工艺流程，让学生掌握干制的加工工艺（2学时）。</w:t>
      </w:r>
    </w:p>
    <w:p>
      <w:pPr>
        <w:widowControl/>
        <w:snapToGrid w:val="0"/>
        <w:spacing w:before="156" w:beforeLines="50" w:after="156" w:afterLines="50" w:line="360" w:lineRule="auto"/>
        <w:jc w:val="right"/>
        <w:rPr>
          <w:rFonts w:hint="eastAsia" w:eastAsia="宋体"/>
          <w:b/>
          <w:kern w:val="0"/>
          <w:sz w:val="24"/>
          <w:lang w:eastAsia="zh-CN"/>
        </w:rPr>
      </w:pPr>
      <w:r>
        <w:rPr>
          <w:b/>
          <w:kern w:val="0"/>
        </w:rPr>
        <w:t>第七章</w:t>
      </w:r>
      <w:r>
        <w:rPr>
          <w:rFonts w:hint="eastAsia"/>
          <w:b/>
          <w:kern w:val="0"/>
          <w:lang w:val="en-US" w:eastAsia="zh-CN"/>
        </w:rPr>
        <w:t xml:space="preserve"> </w:t>
      </w:r>
      <w:r>
        <w:rPr>
          <w:b/>
          <w:kern w:val="0"/>
        </w:rPr>
        <w:t>果蔬糖制                         学时数：</w:t>
      </w:r>
      <w:r>
        <w:rPr>
          <w:rFonts w:hint="eastAsia"/>
          <w:b/>
          <w:kern w:val="0"/>
          <w:lang w:val="en-US" w:eastAsia="zh-CN"/>
        </w:rPr>
        <w:t>2</w:t>
      </w:r>
    </w:p>
    <w:p>
      <w:pPr>
        <w:widowControl/>
        <w:snapToGrid w:val="0"/>
        <w:spacing w:line="360" w:lineRule="auto"/>
        <w:textAlignment w:val="baseline"/>
        <w:rPr>
          <w:b/>
        </w:rPr>
      </w:pPr>
      <w:r>
        <w:rPr>
          <w:b/>
        </w:rPr>
        <w:t>教学目</w:t>
      </w:r>
      <w:r>
        <w:rPr>
          <w:b/>
          <w:bCs/>
        </w:rPr>
        <w:t>标</w:t>
      </w:r>
      <w:r>
        <w:rPr>
          <w:b/>
        </w:rPr>
        <w:t>：</w:t>
      </w:r>
    </w:p>
    <w:p>
      <w:pPr>
        <w:widowControl/>
        <w:snapToGrid w:val="0"/>
        <w:spacing w:line="360" w:lineRule="auto"/>
        <w:ind w:firstLine="420" w:firstLineChars="200"/>
        <w:textAlignment w:val="baseline"/>
        <w:rPr>
          <w:kern w:val="0"/>
        </w:rPr>
      </w:pPr>
      <w:r>
        <w:rPr>
          <w:kern w:val="0"/>
        </w:rPr>
        <w:t>掌握糖制品的种类、基本原理及制作方法，了解其关键步骤，了解其发展趋势。</w:t>
      </w:r>
    </w:p>
    <w:p>
      <w:pPr>
        <w:widowControl/>
        <w:snapToGrid w:val="0"/>
        <w:spacing w:line="360" w:lineRule="auto"/>
        <w:textAlignment w:val="baseline"/>
        <w:rPr>
          <w:kern w:val="0"/>
        </w:rPr>
      </w:pPr>
      <w:r>
        <w:rPr>
          <w:b/>
        </w:rPr>
        <w:t>教学重点和难点</w:t>
      </w:r>
      <w:r>
        <w:rPr>
          <w:kern w:val="0"/>
        </w:rPr>
        <w:t>：</w:t>
      </w:r>
    </w:p>
    <w:p>
      <w:pPr>
        <w:widowControl/>
        <w:snapToGrid w:val="0"/>
        <w:spacing w:line="360" w:lineRule="auto"/>
        <w:ind w:firstLine="420" w:firstLineChars="200"/>
        <w:textAlignment w:val="baseline"/>
        <w:rPr>
          <w:kern w:val="0"/>
        </w:rPr>
      </w:pPr>
      <w:r>
        <w:rPr>
          <w:kern w:val="0"/>
        </w:rPr>
        <w:t>重点：果蔬糖制品种类及其加工工艺流程。难点：糖制品加工的基本原理。</w:t>
      </w:r>
    </w:p>
    <w:p>
      <w:pPr>
        <w:widowControl/>
        <w:snapToGrid w:val="0"/>
        <w:spacing w:line="360" w:lineRule="auto"/>
        <w:textAlignment w:val="baseline"/>
        <w:rPr>
          <w:kern w:val="0"/>
        </w:rPr>
      </w:pPr>
      <w:r>
        <w:rPr>
          <w:b/>
        </w:rPr>
        <w:t>主要教学内容及要求</w:t>
      </w:r>
      <w:r>
        <w:rPr>
          <w:kern w:val="0"/>
        </w:rPr>
        <w:t>：</w:t>
      </w:r>
    </w:p>
    <w:p>
      <w:pPr>
        <w:widowControl/>
        <w:snapToGrid w:val="0"/>
        <w:spacing w:line="360" w:lineRule="auto"/>
        <w:ind w:firstLine="420" w:firstLineChars="200"/>
        <w:textAlignment w:val="baseline"/>
        <w:rPr>
          <w:kern w:val="0"/>
          <w:szCs w:val="21"/>
        </w:rPr>
      </w:pPr>
      <w:r>
        <w:rPr>
          <w:kern w:val="0"/>
          <w:szCs w:val="21"/>
        </w:rPr>
        <w:t>了解：果蔬糖制品分类，蜜饯类加工工艺要点，果酱类加工工艺要点，几种糖制品加工的关键技术及参数。</w:t>
      </w:r>
    </w:p>
    <w:p>
      <w:pPr>
        <w:widowControl/>
        <w:snapToGrid w:val="0"/>
        <w:spacing w:line="360" w:lineRule="auto"/>
        <w:ind w:firstLine="420" w:firstLineChars="200"/>
        <w:textAlignment w:val="baseline"/>
        <w:rPr>
          <w:kern w:val="0"/>
          <w:szCs w:val="21"/>
        </w:rPr>
      </w:pPr>
      <w:r>
        <w:rPr>
          <w:kern w:val="0"/>
          <w:szCs w:val="21"/>
        </w:rPr>
        <w:t>理解：糖制品的种类，高甲氧基果胶，低甲氧基果胶，糖制的基本原理。</w:t>
      </w:r>
    </w:p>
    <w:p>
      <w:pPr>
        <w:widowControl/>
        <w:snapToGrid w:val="0"/>
        <w:spacing w:line="360" w:lineRule="auto"/>
        <w:ind w:firstLine="420" w:firstLineChars="200"/>
        <w:textAlignment w:val="baseline"/>
        <w:rPr>
          <w:kern w:val="0"/>
        </w:rPr>
      </w:pPr>
      <w:r>
        <w:rPr>
          <w:kern w:val="0"/>
          <w:szCs w:val="21"/>
        </w:rPr>
        <w:t>掌握：判断糖制品熬制终点的方法，影响胶凝的因素</w:t>
      </w:r>
      <w:r>
        <w:rPr>
          <w:kern w:val="0"/>
        </w:rPr>
        <w:t>。</w:t>
      </w:r>
    </w:p>
    <w:p>
      <w:pPr>
        <w:widowControl/>
        <w:adjustRightInd w:val="0"/>
        <w:snapToGrid w:val="0"/>
        <w:spacing w:line="360" w:lineRule="auto"/>
        <w:rPr>
          <w:b/>
          <w:bCs/>
        </w:rPr>
      </w:pPr>
      <w:r>
        <w:rPr>
          <w:b/>
          <w:bCs/>
        </w:rPr>
        <w:t>教学组织与实施：</w:t>
      </w:r>
    </w:p>
    <w:p>
      <w:pPr>
        <w:widowControl/>
        <w:adjustRightInd w:val="0"/>
        <w:snapToGrid w:val="0"/>
        <w:spacing w:line="360" w:lineRule="auto"/>
        <w:ind w:firstLine="420" w:firstLineChars="200"/>
      </w:pPr>
      <w:r>
        <w:t>以课堂讲授的方式，同时结合大量的图片、生产实例和视频等多媒体资源，讲述果蔬糖制原理、及加工工艺流程，让学生掌握糖制的加工工艺。另外，理论课程教学要与实验教学紧密结合，本章理论课讲授完成后及时安排相关实验，让同学们通过实验加深对理论教学内容的理解和掌握（2学时）。</w:t>
      </w:r>
    </w:p>
    <w:p>
      <w:pPr>
        <w:widowControl/>
        <w:wordWrap w:val="0"/>
        <w:snapToGrid w:val="0"/>
        <w:spacing w:before="156" w:beforeLines="50" w:after="156" w:afterLines="50" w:line="360" w:lineRule="auto"/>
        <w:jc w:val="right"/>
        <w:outlineLvl w:val="3"/>
        <w:rPr>
          <w:rFonts w:hint="eastAsia" w:eastAsia="宋体"/>
          <w:b/>
          <w:lang w:eastAsia="zh-CN"/>
        </w:rPr>
      </w:pPr>
      <w:r>
        <w:rPr>
          <w:b/>
          <w:kern w:val="0"/>
        </w:rPr>
        <w:t>第八章</w:t>
      </w:r>
      <w:r>
        <w:rPr>
          <w:rFonts w:hint="eastAsia"/>
          <w:b/>
          <w:kern w:val="0"/>
          <w:lang w:val="en-US" w:eastAsia="zh-CN"/>
        </w:rPr>
        <w:t xml:space="preserve"> </w:t>
      </w:r>
      <w:r>
        <w:rPr>
          <w:b/>
          <w:kern w:val="0"/>
        </w:rPr>
        <w:t>果品蔬菜的腌制                   学时数：</w:t>
      </w:r>
      <w:r>
        <w:rPr>
          <w:rFonts w:hint="eastAsia"/>
          <w:b/>
          <w:kern w:val="0"/>
          <w:lang w:val="en-US" w:eastAsia="zh-CN"/>
        </w:rPr>
        <w:t>2</w:t>
      </w:r>
    </w:p>
    <w:p>
      <w:pPr>
        <w:widowControl/>
        <w:snapToGrid w:val="0"/>
        <w:spacing w:line="360" w:lineRule="auto"/>
        <w:textAlignment w:val="baseline"/>
        <w:rPr>
          <w:b/>
        </w:rPr>
      </w:pPr>
      <w:r>
        <w:rPr>
          <w:b/>
        </w:rPr>
        <w:t>教学目</w:t>
      </w:r>
      <w:r>
        <w:rPr>
          <w:b/>
          <w:bCs/>
        </w:rPr>
        <w:t>标</w:t>
      </w:r>
      <w:r>
        <w:rPr>
          <w:b/>
        </w:rPr>
        <w:t>：</w:t>
      </w:r>
    </w:p>
    <w:p>
      <w:pPr>
        <w:widowControl/>
        <w:snapToGrid w:val="0"/>
        <w:spacing w:line="360" w:lineRule="auto"/>
        <w:ind w:firstLine="420" w:firstLineChars="200"/>
        <w:textAlignment w:val="baseline"/>
        <w:rPr>
          <w:kern w:val="0"/>
        </w:rPr>
      </w:pPr>
      <w:r>
        <w:rPr>
          <w:kern w:val="0"/>
        </w:rPr>
        <w:t>掌握蔬菜腌制品的保藏原理，了解蔬菜腌制品的分类和各种腌制品的特点，理解蔬菜腌制过程中微生物的发酵作用及蛋白质的分解对腌制品质量的影响，掌握蔬菜腌制品原料选择及不同制品的加工工艺。</w:t>
      </w:r>
    </w:p>
    <w:p>
      <w:pPr>
        <w:widowControl/>
        <w:snapToGrid w:val="0"/>
        <w:spacing w:line="360" w:lineRule="auto"/>
        <w:textAlignment w:val="baseline"/>
        <w:rPr>
          <w:kern w:val="0"/>
        </w:rPr>
      </w:pPr>
      <w:r>
        <w:rPr>
          <w:b/>
        </w:rPr>
        <w:t>教学重点和难点</w:t>
      </w:r>
      <w:r>
        <w:rPr>
          <w:kern w:val="0"/>
        </w:rPr>
        <w:t>：</w:t>
      </w:r>
    </w:p>
    <w:p>
      <w:pPr>
        <w:widowControl/>
        <w:snapToGrid w:val="0"/>
        <w:spacing w:line="360" w:lineRule="auto"/>
        <w:ind w:firstLine="420" w:firstLineChars="200"/>
        <w:textAlignment w:val="baseline"/>
        <w:rPr>
          <w:kern w:val="0"/>
        </w:rPr>
      </w:pPr>
      <w:r>
        <w:rPr>
          <w:kern w:val="0"/>
        </w:rPr>
        <w:t>重点：果蔬腌制品种类、特点及其加工工艺流程。难点：腌制的原理，以及与加工制品品质的关系。</w:t>
      </w:r>
    </w:p>
    <w:p>
      <w:pPr>
        <w:widowControl/>
        <w:snapToGrid w:val="0"/>
        <w:spacing w:line="360" w:lineRule="auto"/>
        <w:textAlignment w:val="baseline"/>
        <w:rPr>
          <w:kern w:val="0"/>
        </w:rPr>
      </w:pPr>
      <w:r>
        <w:rPr>
          <w:b/>
        </w:rPr>
        <w:t>主要教学内容及要求</w:t>
      </w:r>
      <w:r>
        <w:rPr>
          <w:kern w:val="0"/>
        </w:rPr>
        <w:t>：</w:t>
      </w:r>
    </w:p>
    <w:p>
      <w:pPr>
        <w:widowControl/>
        <w:snapToGrid w:val="0"/>
        <w:spacing w:line="360" w:lineRule="auto"/>
        <w:ind w:firstLine="420" w:firstLineChars="200"/>
        <w:textAlignment w:val="baseline"/>
        <w:rPr>
          <w:kern w:val="0"/>
        </w:rPr>
      </w:pPr>
      <w:r>
        <w:rPr>
          <w:kern w:val="0"/>
        </w:rPr>
        <w:t>了解：蔬菜腌制品的分类和各种腌制品的特点。</w:t>
      </w:r>
    </w:p>
    <w:p>
      <w:pPr>
        <w:widowControl/>
        <w:snapToGrid w:val="0"/>
        <w:spacing w:line="360" w:lineRule="auto"/>
        <w:ind w:firstLine="420" w:firstLineChars="200"/>
        <w:textAlignment w:val="baseline"/>
        <w:rPr>
          <w:kern w:val="0"/>
        </w:rPr>
      </w:pPr>
      <w:r>
        <w:rPr>
          <w:kern w:val="0"/>
        </w:rPr>
        <w:t>理解：蔬菜腌制过程中微生物的发酵作用及蛋白质的分解对腌制品质量的影响。</w:t>
      </w:r>
    </w:p>
    <w:p>
      <w:pPr>
        <w:widowControl/>
        <w:snapToGrid w:val="0"/>
        <w:spacing w:line="360" w:lineRule="auto"/>
        <w:ind w:firstLine="420" w:firstLineChars="200"/>
        <w:textAlignment w:val="baseline"/>
        <w:rPr>
          <w:kern w:val="0"/>
        </w:rPr>
      </w:pPr>
      <w:r>
        <w:rPr>
          <w:kern w:val="0"/>
        </w:rPr>
        <w:t>掌握：蔬菜腌制品原料选择及不同制品的加工工艺。</w:t>
      </w:r>
    </w:p>
    <w:p>
      <w:pPr>
        <w:widowControl/>
        <w:adjustRightInd w:val="0"/>
        <w:snapToGrid w:val="0"/>
        <w:spacing w:line="360" w:lineRule="auto"/>
        <w:rPr>
          <w:b/>
          <w:bCs/>
        </w:rPr>
      </w:pPr>
      <w:r>
        <w:rPr>
          <w:b/>
          <w:bCs/>
        </w:rPr>
        <w:t>教学组织与实施：</w:t>
      </w:r>
    </w:p>
    <w:p>
      <w:pPr>
        <w:widowControl/>
        <w:adjustRightInd w:val="0"/>
        <w:snapToGrid w:val="0"/>
        <w:spacing w:line="360" w:lineRule="auto"/>
        <w:ind w:firstLine="420" w:firstLineChars="200"/>
        <w:rPr>
          <w:kern w:val="0"/>
        </w:rPr>
      </w:pPr>
      <w:r>
        <w:rPr>
          <w:kern w:val="0"/>
        </w:rPr>
        <w:t>以课堂讲授的方式，同时结合大量图片、生产实例和视频等多媒体资源，讲述果蔬糖制原理、及加工工艺流程，让学生掌握糖制的加工工艺。另外，理论课程教学要与实验教学紧密结合，本章理论课讲授完成后及时安排相关实验，让同学们通过实验加深对理论教学内容的理解和掌握（2学时）。</w:t>
      </w:r>
    </w:p>
    <w:p>
      <w:pPr>
        <w:widowControl/>
        <w:adjustRightInd w:val="0"/>
        <w:snapToGrid w:val="0"/>
        <w:spacing w:line="360" w:lineRule="auto"/>
        <w:ind w:firstLine="420" w:firstLineChars="200"/>
        <w:rPr>
          <w:kern w:val="0"/>
          <w:szCs w:val="21"/>
        </w:rPr>
      </w:pPr>
    </w:p>
    <w:p>
      <w:pPr>
        <w:widowControl/>
        <w:snapToGrid w:val="0"/>
        <w:spacing w:line="360" w:lineRule="auto"/>
        <w:jc w:val="left"/>
        <w:rPr>
          <w:bCs/>
          <w:kern w:val="0"/>
          <w:szCs w:val="21"/>
        </w:rPr>
      </w:pPr>
      <w:r>
        <w:rPr>
          <w:b/>
          <w:bCs/>
          <w:kern w:val="0"/>
          <w:szCs w:val="21"/>
        </w:rPr>
        <w:t>五、实验教学内容及学时分配（8学时）</w:t>
      </w:r>
    </w:p>
    <w:p>
      <w:pPr>
        <w:snapToGrid w:val="0"/>
        <w:spacing w:line="360" w:lineRule="auto"/>
        <w:rPr>
          <w:b/>
          <w:bCs/>
          <w:szCs w:val="21"/>
        </w:rPr>
      </w:pPr>
      <w:r>
        <w:rPr>
          <w:b/>
          <w:szCs w:val="21"/>
        </w:rPr>
        <w:t>（一）</w:t>
      </w:r>
      <w:r>
        <w:rPr>
          <w:b/>
          <w:bCs/>
          <w:szCs w:val="21"/>
        </w:rPr>
        <w:t>实验课程简介</w:t>
      </w:r>
    </w:p>
    <w:p>
      <w:pPr>
        <w:snapToGrid w:val="0"/>
        <w:spacing w:line="360" w:lineRule="auto"/>
        <w:ind w:firstLine="420" w:firstLineChars="200"/>
      </w:pPr>
      <w:r>
        <w:t>《果蔬产品加工》是一门与科研、生产密切相关的专业选修课，是园艺产品生产必不可少的环节，其主要任务是实现果品采后的加工增值。本课程主要讲述果品加工保藏的基本原理、各种果品加工品的制作原理及制作方法，加工的关键步骤和主要技术环节及国内外果品加工的新进展。主要通过课堂讲授、实验等环节使同学们掌握这门专业课程。</w:t>
      </w:r>
    </w:p>
    <w:p>
      <w:pPr>
        <w:snapToGrid w:val="0"/>
        <w:spacing w:line="360" w:lineRule="auto"/>
        <w:rPr>
          <w:b/>
          <w:bCs/>
          <w:szCs w:val="21"/>
        </w:rPr>
      </w:pPr>
      <w:r>
        <w:rPr>
          <w:b/>
          <w:bCs/>
          <w:szCs w:val="21"/>
        </w:rPr>
        <w:t>（二）实验教学目的和基本要求</w:t>
      </w:r>
    </w:p>
    <w:p>
      <w:pPr>
        <w:snapToGrid w:val="0"/>
        <w:spacing w:after="156" w:line="360" w:lineRule="auto"/>
        <w:ind w:firstLine="420" w:firstLineChars="200"/>
      </w:pPr>
      <w:r>
        <w:t>通过该门课程的学习使同学们能够了解国内外果品加工的新进展，掌握各种果品加工保藏的原理及加工方法，熟悉其关键步骤和主要技术环节。可以分析解决加工生产中存在的问题，具有从事本学科科研、教学、技术推广等方面的创新和创业能力。通过实验，使学生掌握果品加工的基本操作规程及注意事项，了解加工中容易出现的问题，应该考虑的因素等，掌握试验的设计步骤、操作规程及合理的分析方法。</w:t>
      </w:r>
    </w:p>
    <w:p>
      <w:pPr>
        <w:snapToGrid w:val="0"/>
        <w:spacing w:line="360" w:lineRule="auto"/>
        <w:rPr>
          <w:b/>
        </w:rPr>
      </w:pPr>
      <w:r>
        <w:rPr>
          <w:b/>
        </w:rPr>
        <w:t>（三）实验安全操作规范</w:t>
      </w:r>
    </w:p>
    <w:p>
      <w:pPr>
        <w:snapToGrid w:val="0"/>
        <w:spacing w:line="360" w:lineRule="auto"/>
        <w:ind w:firstLine="420" w:firstLineChars="200"/>
      </w:pPr>
      <w:r>
        <w:t>1、实验室守则</w:t>
      </w:r>
    </w:p>
    <w:p>
      <w:pPr>
        <w:snapToGrid w:val="0"/>
        <w:spacing w:line="360" w:lineRule="auto"/>
        <w:ind w:firstLine="420" w:firstLineChars="200"/>
      </w:pPr>
      <w:r>
        <w:t>学生进行课程实验时，应遵从以下守则：</w:t>
      </w:r>
    </w:p>
    <w:p>
      <w:pPr>
        <w:snapToGrid w:val="0"/>
        <w:spacing w:line="360" w:lineRule="auto"/>
        <w:ind w:firstLine="420" w:firstLineChars="200"/>
      </w:pPr>
      <w:r>
        <w:t>（1）进入园艺学院本科实验室工作时，必须穿工作服，离开实验室时应脱下。工作服应经常保持整洁，禁止穿工作服进入公共场所。在进行任何有可能碰伤、刺激或烧伤眼睛的工作时，必须戴防护眼镜。</w:t>
      </w:r>
    </w:p>
    <w:p>
      <w:pPr>
        <w:snapToGrid w:val="0"/>
        <w:spacing w:line="360" w:lineRule="auto"/>
        <w:ind w:firstLine="420" w:firstLineChars="200"/>
      </w:pPr>
      <w:r>
        <w:t>（2）禁止在实验室内吸烟及吃东西。不准使用试验器皿作茶杯或餐具，不得用嘴巴品尝味道的方法来鉴别未知物。</w:t>
      </w:r>
    </w:p>
    <w:p>
      <w:pPr>
        <w:snapToGrid w:val="0"/>
        <w:spacing w:line="360" w:lineRule="auto"/>
        <w:ind w:firstLine="420" w:firstLineChars="200"/>
      </w:pPr>
      <w:r>
        <w:t>（3）工作完毕后离开实验室时应用肥皂洗手。</w:t>
      </w:r>
    </w:p>
    <w:p>
      <w:pPr>
        <w:snapToGrid w:val="0"/>
        <w:spacing w:line="360" w:lineRule="auto"/>
        <w:ind w:firstLine="420" w:firstLineChars="200"/>
      </w:pPr>
      <w:r>
        <w:t>（4）实验室停止供电、供水时应将水源、电源开关全部关上，以防恢复供电、供水时由于开关未关而发生事故。离开实验室时应检查门、窗、水、电、气是否安全及关闭。</w:t>
      </w:r>
    </w:p>
    <w:p>
      <w:pPr>
        <w:snapToGrid w:val="0"/>
        <w:spacing w:line="360" w:lineRule="auto"/>
        <w:ind w:firstLine="420" w:firstLineChars="200"/>
      </w:pPr>
      <w:r>
        <w:t>（5）实验室内的每瓶试剂必须贴有明显的与试剂相符的标签、并标明试剂名称、浓度及配制日期或标定日期。</w:t>
      </w:r>
    </w:p>
    <w:p>
      <w:pPr>
        <w:snapToGrid w:val="0"/>
        <w:spacing w:line="360" w:lineRule="auto"/>
        <w:ind w:firstLine="420" w:firstLineChars="200"/>
      </w:pPr>
      <w:r>
        <w:t>（6）开启园艺产品采后处理学课程涉及到的试剂，如盐酸、氢氧化钠等时，一定要注意安全。</w:t>
      </w:r>
    </w:p>
    <w:p>
      <w:pPr>
        <w:snapToGrid w:val="0"/>
        <w:spacing w:line="360" w:lineRule="auto"/>
        <w:ind w:firstLine="420" w:firstLineChars="200"/>
      </w:pPr>
      <w:r>
        <w:t>（7）取下正在加热至近沸的水或溶夜时，应用玻璃棒进行搅拌，驱除气泡，或用烧杯夹将其轻轻摇动后方可取下,防止突然产生大气泡并飞溅伤人。煮沸有大量沉淀的液体时应用玻璃棒不断搅拌,以免发生爆沸。</w:t>
      </w:r>
    </w:p>
    <w:p>
      <w:pPr>
        <w:snapToGrid w:val="0"/>
        <w:spacing w:line="360" w:lineRule="auto"/>
        <w:ind w:firstLine="420" w:firstLineChars="200"/>
      </w:pPr>
      <w:r>
        <w:t>（8）园艺产品采后处理学实验室的仪器在未掌握安全操作规程前不得随意动用。</w:t>
      </w:r>
    </w:p>
    <w:p>
      <w:pPr>
        <w:snapToGrid w:val="0"/>
        <w:spacing w:line="360" w:lineRule="auto"/>
        <w:ind w:firstLine="420" w:firstLineChars="200"/>
        <w:rPr>
          <w:shd w:val="clear" w:color="auto" w:fill="FFFFFF"/>
        </w:rPr>
      </w:pPr>
      <w:r>
        <w:t>2、</w:t>
      </w:r>
      <w:r>
        <w:rPr>
          <w:shd w:val="clear" w:color="auto" w:fill="FFFFFF"/>
        </w:rPr>
        <w:t>电器、易燃、易爆、有毒有害试剂</w:t>
      </w:r>
    </w:p>
    <w:p>
      <w:pPr>
        <w:snapToGrid w:val="0"/>
        <w:spacing w:line="360" w:lineRule="auto"/>
        <w:ind w:firstLine="420" w:firstLineChars="200"/>
      </w:pPr>
      <w:r>
        <w:t>（1）电器安全操作规程</w:t>
      </w:r>
    </w:p>
    <w:p>
      <w:pPr>
        <w:snapToGrid w:val="0"/>
        <w:spacing w:line="360" w:lineRule="auto"/>
        <w:ind w:firstLine="420" w:firstLineChars="200"/>
      </w:pPr>
      <w:r>
        <w:t>1.1 实验室内不得有裸露的电线、闸刀开关应完全合上或断开，以防止接触不好产生火花进而引起易燃物的爆炸，拔下插头时应用手捏住插头再拔，不得只拉电线。</w:t>
      </w:r>
    </w:p>
    <w:p>
      <w:pPr>
        <w:snapToGrid w:val="0"/>
        <w:spacing w:line="360" w:lineRule="auto"/>
        <w:ind w:firstLine="420" w:firstLineChars="200"/>
      </w:pPr>
      <w:r>
        <w:t>1.2 各种电器设备及电线应始终保持干燥，不得浸湿，以防短路引起火灾或烧坏电器设备。</w:t>
      </w:r>
    </w:p>
    <w:p>
      <w:pPr>
        <w:snapToGrid w:val="0"/>
        <w:spacing w:line="360" w:lineRule="auto"/>
        <w:ind w:firstLine="420" w:firstLineChars="200"/>
      </w:pPr>
      <w:r>
        <w:t>1.3 各类电器设备发生异常或故障时，应及时断电，由专业人员检修。</w:t>
      </w:r>
    </w:p>
    <w:p>
      <w:pPr>
        <w:snapToGrid w:val="0"/>
        <w:spacing w:line="360" w:lineRule="auto"/>
        <w:ind w:firstLine="420" w:firstLineChars="200"/>
      </w:pPr>
      <w:r>
        <w:t>1.4 保险丝熔断时，应查清原因，不得任意增加或加粗保险丝，更不得以铜丝代替。</w:t>
      </w:r>
    </w:p>
    <w:p>
      <w:pPr>
        <w:snapToGrid w:val="0"/>
        <w:spacing w:line="360" w:lineRule="auto"/>
        <w:ind w:firstLine="420" w:firstLineChars="200"/>
      </w:pPr>
      <w:r>
        <w:t>（2）化学药品的安全操作规程</w:t>
      </w:r>
    </w:p>
    <w:p>
      <w:pPr>
        <w:snapToGrid w:val="0"/>
        <w:spacing w:line="360" w:lineRule="auto"/>
        <w:ind w:firstLine="420" w:firstLineChars="200"/>
      </w:pPr>
      <w:r>
        <w:t>2.1浓硫酸与水混合时，必须边搅拌边将硫酸徐徐注入存有冷却水的耐热玻璃杯中，不得将水倒入硫酸中。否则将引起爆炸与烧伤事故。凡是在稀释能放出大量热的酸、碱时都应按此规定操作。</w:t>
      </w:r>
    </w:p>
    <w:p>
      <w:pPr>
        <w:snapToGrid w:val="0"/>
        <w:spacing w:line="360" w:lineRule="auto"/>
        <w:ind w:firstLine="420" w:firstLineChars="200"/>
      </w:pPr>
      <w:r>
        <w:t>2.2 搬运大瓶（或坛装）酸、碱或腐蚀性液体时，应特别小心，注意容器有无裂纹，外包装是否牢固，搬运时最好用手推车。从大容器中分装时应用虹吸管移取，不得将10公斤以上的玻璃器皿用手来倾倒。</w:t>
      </w:r>
    </w:p>
    <w:p>
      <w:pPr>
        <w:snapToGrid w:val="0"/>
        <w:spacing w:line="360" w:lineRule="auto"/>
        <w:ind w:firstLine="420" w:firstLineChars="200"/>
      </w:pPr>
      <w:r>
        <w:t>2.3 实验室不得存放大量易燃药品和废液，例如：乙醇、甲醇、丙酮、及其他易燃有机溶剂等，对少量易燃药品应放在远离热源的地方。注意其盛装容器的密封性，以防挥发后的气体与空气混合形成爆炸性气体。使用易燃药品时，附近不得有明火、电炉及电源开关，更不得在明火或炉上直接加热。</w:t>
      </w:r>
    </w:p>
    <w:p>
      <w:pPr>
        <w:snapToGrid w:val="0"/>
        <w:spacing w:line="360" w:lineRule="auto"/>
        <w:ind w:firstLine="420" w:firstLineChars="200"/>
      </w:pPr>
      <w:r>
        <w:t>2.4废液、废物的处理</w:t>
      </w:r>
    </w:p>
    <w:p>
      <w:pPr>
        <w:snapToGrid w:val="0"/>
        <w:spacing w:line="360" w:lineRule="auto"/>
        <w:ind w:firstLine="420" w:firstLineChars="200"/>
      </w:pPr>
      <w:r>
        <w:t>2.4.1一切不溶固体或衣酸、浓碱溶液严禁到入水池，以防堵塞和腐蚀水管,浓酸、浓碱应经稀释后才能放入水池。</w:t>
      </w:r>
    </w:p>
    <w:p>
      <w:pPr>
        <w:snapToGrid w:val="0"/>
        <w:spacing w:line="360" w:lineRule="auto"/>
        <w:ind w:firstLine="420" w:firstLineChars="200"/>
      </w:pPr>
      <w:r>
        <w:t>2.4.2大量有机溶剂废液不得放入下水道，应回收至废液桶中集中处理。</w:t>
      </w:r>
    </w:p>
    <w:p>
      <w:pPr>
        <w:snapToGrid w:val="0"/>
        <w:spacing w:line="360" w:lineRule="auto"/>
        <w:ind w:firstLine="420" w:firstLineChars="200"/>
      </w:pPr>
      <w:r>
        <w:t>3、灭火与急救</w:t>
      </w:r>
    </w:p>
    <w:p>
      <w:pPr>
        <w:snapToGrid w:val="0"/>
        <w:spacing w:line="360" w:lineRule="auto"/>
        <w:ind w:firstLine="420" w:firstLineChars="200"/>
      </w:pPr>
      <w:r>
        <w:t>（1）灭火</w:t>
      </w:r>
    </w:p>
    <w:p>
      <w:pPr>
        <w:snapToGrid w:val="0"/>
        <w:spacing w:line="360" w:lineRule="auto"/>
        <w:ind w:firstLine="420" w:firstLineChars="200"/>
      </w:pPr>
      <w:r>
        <w:t>1.1实验室失火后，一定要沉着、不要惊慌，要根据起火原因与火势大小，及时采取以下措施：</w:t>
      </w:r>
    </w:p>
    <w:p>
      <w:pPr>
        <w:snapToGrid w:val="0"/>
        <w:spacing w:line="360" w:lineRule="auto"/>
        <w:ind w:firstLine="420" w:firstLineChars="200"/>
      </w:pPr>
      <w:r>
        <w:t>1.1.1立即关掉电源、气源及通风机</w:t>
      </w:r>
    </w:p>
    <w:p>
      <w:pPr>
        <w:snapToGrid w:val="0"/>
        <w:spacing w:line="360" w:lineRule="auto"/>
        <w:ind w:firstLine="420" w:firstLineChars="200"/>
      </w:pPr>
      <w:r>
        <w:t>1.1.2将室内易燃、易爆物(例如压缩气瓶)小心搬离火源，注意搬动时切不可碰撞，以免引起更大火灾。</w:t>
      </w:r>
    </w:p>
    <w:p>
      <w:pPr>
        <w:snapToGrid w:val="0"/>
        <w:spacing w:line="360" w:lineRule="auto"/>
        <w:ind w:firstLine="420" w:firstLineChars="200"/>
      </w:pPr>
      <w:r>
        <w:t>1.1.3迅速选用适当的灭火器，将刚起的火扑灭。注意不要用水来扑灭不溶于水的油类以及其他有机溶剂等可燃物。</w:t>
      </w:r>
    </w:p>
    <w:p>
      <w:pPr>
        <w:snapToGrid w:val="0"/>
        <w:spacing w:line="360" w:lineRule="auto"/>
        <w:ind w:firstLine="420" w:firstLineChars="200"/>
      </w:pPr>
      <w:r>
        <w:t>1.1.4及时报警：火警电话119。</w:t>
      </w:r>
    </w:p>
    <w:p>
      <w:pPr>
        <w:snapToGrid w:val="0"/>
        <w:spacing w:line="360" w:lineRule="auto"/>
        <w:ind w:firstLine="420" w:firstLineChars="200"/>
      </w:pPr>
      <w:r>
        <w:t>1.2身上衣服着火时，切不可任意跑动。应用石棉毯裹在身，以隔绝空气而灭火。如无石棉毯或薄毯时，可就地躺下打滚以灭火。</w:t>
      </w:r>
    </w:p>
    <w:p>
      <w:pPr>
        <w:snapToGrid w:val="0"/>
        <w:spacing w:line="360" w:lineRule="auto"/>
        <w:ind w:firstLine="420" w:firstLineChars="200"/>
      </w:pPr>
      <w:r>
        <w:t>1.3实验室应装备必要的灭火设备。</w:t>
      </w:r>
    </w:p>
    <w:p>
      <w:pPr>
        <w:snapToGrid w:val="0"/>
        <w:spacing w:line="360" w:lineRule="auto"/>
        <w:ind w:firstLine="420" w:firstLineChars="200"/>
      </w:pPr>
      <w:r>
        <w:t>（2）急救</w:t>
      </w:r>
    </w:p>
    <w:p>
      <w:pPr>
        <w:snapToGrid w:val="0"/>
        <w:spacing w:line="360" w:lineRule="auto"/>
        <w:ind w:firstLine="420" w:firstLineChars="200"/>
      </w:pPr>
      <w:r>
        <w:t>2.1实验室应备有急救箱，并经常检查，保证齐备无缺。</w:t>
      </w:r>
    </w:p>
    <w:p>
      <w:pPr>
        <w:snapToGrid w:val="0"/>
        <w:spacing w:line="360" w:lineRule="auto"/>
        <w:ind w:firstLine="420" w:firstLineChars="200"/>
      </w:pPr>
      <w:r>
        <w:t>2.2当眼睛里溅入腐蚀性药品时:应立即用实验室配备的洗眼器冲洗，但应注意水压不可太大，以免眼球受伤，待药物被充分洗净后，再到医务室就医。</w:t>
      </w:r>
    </w:p>
    <w:p>
      <w:pPr>
        <w:snapToGrid w:val="0"/>
        <w:spacing w:line="360" w:lineRule="auto"/>
        <w:ind w:firstLine="420" w:firstLineChars="200"/>
      </w:pPr>
      <w:r>
        <w:t>2.3当眼睛里进入碎玻璃或其他异物时，应闭上眼睛。不要转动，立即到医务室就医，切记不可用手揉眼睛，以免引起更严重的擦伤。</w:t>
      </w:r>
    </w:p>
    <w:p>
      <w:pPr>
        <w:snapToGrid w:val="0"/>
        <w:spacing w:line="360" w:lineRule="auto"/>
        <w:ind w:firstLine="420" w:firstLineChars="200"/>
      </w:pPr>
      <w:r>
        <w:t>2.4 浓酸或碱洒在衣服上，或沾在皮肤上，应立即用大量水冲洗，随后分别用碳酸氢钠溶液（2%）或乙酸溶液（3-4%）轻轻擦洗，必要时去医务室就医。</w:t>
      </w:r>
    </w:p>
    <w:p>
      <w:pPr>
        <w:snapToGrid w:val="0"/>
        <w:spacing w:line="360" w:lineRule="auto"/>
        <w:ind w:firstLine="420" w:firstLineChars="200"/>
      </w:pPr>
      <w:r>
        <w:t>2.5人员触电后，应立即切断电源，或用非导电体将电线从触电者身上移开。如果触电者已经休克，应迅速将其移到新鲜空气处，立即进行人工呼吸，并请医务人员到现场抢救。</w:t>
      </w:r>
    </w:p>
    <w:p>
      <w:pPr>
        <w:snapToGrid w:val="0"/>
        <w:spacing w:after="156" w:afterLines="50" w:line="360" w:lineRule="auto"/>
        <w:rPr>
          <w:b/>
          <w:bCs/>
          <w:szCs w:val="21"/>
        </w:rPr>
      </w:pPr>
      <w:r>
        <w:rPr>
          <w:b/>
          <w:bCs/>
          <w:szCs w:val="21"/>
        </w:rPr>
        <w:t>（四）实验项目名称与学时分配</w:t>
      </w:r>
    </w:p>
    <w:tbl>
      <w:tblPr>
        <w:tblStyle w:val="22"/>
        <w:tblW w:w="9116" w:type="dxa"/>
        <w:jc w:val="center"/>
        <w:tblLayout w:type="fixed"/>
        <w:tblCellMar>
          <w:top w:w="0" w:type="dxa"/>
          <w:left w:w="108" w:type="dxa"/>
          <w:bottom w:w="0" w:type="dxa"/>
          <w:right w:w="108" w:type="dxa"/>
        </w:tblCellMar>
      </w:tblPr>
      <w:tblGrid>
        <w:gridCol w:w="1980"/>
        <w:gridCol w:w="3118"/>
        <w:gridCol w:w="707"/>
        <w:gridCol w:w="958"/>
        <w:gridCol w:w="1225"/>
        <w:gridCol w:w="1128"/>
      </w:tblGrid>
      <w:tr>
        <w:tblPrEx>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ind w:firstLine="361"/>
              <w:jc w:val="center"/>
              <w:rPr>
                <w:b/>
                <w:bCs/>
                <w:sz w:val="18"/>
                <w:szCs w:val="18"/>
              </w:rPr>
            </w:pPr>
            <w:r>
              <w:rPr>
                <w:b/>
                <w:bCs/>
                <w:sz w:val="18"/>
                <w:szCs w:val="18"/>
              </w:rPr>
              <w:t>序号</w:t>
            </w:r>
          </w:p>
        </w:tc>
        <w:tc>
          <w:tcPr>
            <w:tcW w:w="311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ind w:firstLine="361"/>
              <w:jc w:val="center"/>
              <w:rPr>
                <w:b/>
                <w:bCs/>
                <w:sz w:val="18"/>
                <w:szCs w:val="18"/>
              </w:rPr>
            </w:pPr>
            <w:r>
              <w:rPr>
                <w:b/>
                <w:bCs/>
                <w:sz w:val="18"/>
                <w:szCs w:val="18"/>
              </w:rPr>
              <w:t>实验名称</w:t>
            </w:r>
          </w:p>
        </w:tc>
        <w:tc>
          <w:tcPr>
            <w:tcW w:w="70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jc w:val="center"/>
              <w:rPr>
                <w:b/>
                <w:bCs/>
                <w:sz w:val="18"/>
                <w:szCs w:val="18"/>
              </w:rPr>
            </w:pPr>
            <w:r>
              <w:rPr>
                <w:b/>
                <w:bCs/>
                <w:sz w:val="18"/>
                <w:szCs w:val="18"/>
              </w:rPr>
              <w:t>学时</w:t>
            </w:r>
          </w:p>
        </w:tc>
        <w:tc>
          <w:tcPr>
            <w:tcW w:w="95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ind w:firstLine="361"/>
              <w:jc w:val="center"/>
              <w:rPr>
                <w:b/>
                <w:bCs/>
                <w:sz w:val="18"/>
                <w:szCs w:val="18"/>
              </w:rPr>
            </w:pPr>
            <w:r>
              <w:rPr>
                <w:b/>
                <w:bCs/>
                <w:sz w:val="18"/>
                <w:szCs w:val="18"/>
              </w:rPr>
              <w:t>类型</w:t>
            </w:r>
          </w:p>
        </w:tc>
        <w:tc>
          <w:tcPr>
            <w:tcW w:w="1225"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jc w:val="center"/>
              <w:rPr>
                <w:b/>
                <w:bCs/>
                <w:sz w:val="18"/>
                <w:szCs w:val="18"/>
              </w:rPr>
            </w:pPr>
            <w:r>
              <w:rPr>
                <w:b/>
                <w:bCs/>
                <w:sz w:val="18"/>
                <w:szCs w:val="18"/>
              </w:rPr>
              <w:t>实验要求</w:t>
            </w:r>
          </w:p>
        </w:tc>
        <w:tc>
          <w:tcPr>
            <w:tcW w:w="1128"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jc w:val="center"/>
              <w:rPr>
                <w:b/>
                <w:bCs/>
                <w:sz w:val="18"/>
                <w:szCs w:val="18"/>
              </w:rPr>
            </w:pPr>
            <w:r>
              <w:rPr>
                <w:b/>
                <w:bCs/>
                <w:sz w:val="18"/>
                <w:szCs w:val="18"/>
              </w:rPr>
              <w:t>每组人数</w:t>
            </w:r>
          </w:p>
        </w:tc>
      </w:tr>
      <w:tr>
        <w:tblPrEx>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123</w:t>
            </w:r>
            <w:r>
              <w:rPr>
                <w:b w:val="0"/>
                <w:bCs/>
                <w:sz w:val="18"/>
                <w:szCs w:val="18"/>
              </w:rPr>
              <w:t>01</w:t>
            </w:r>
          </w:p>
        </w:tc>
        <w:tc>
          <w:tcPr>
            <w:tcW w:w="311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果蔬去皮试验</w:t>
            </w:r>
          </w:p>
        </w:tc>
        <w:tc>
          <w:tcPr>
            <w:tcW w:w="707"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3</w:t>
            </w:r>
          </w:p>
        </w:tc>
        <w:tc>
          <w:tcPr>
            <w:tcW w:w="95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必做</w:t>
            </w:r>
          </w:p>
        </w:tc>
        <w:tc>
          <w:tcPr>
            <w:tcW w:w="1225"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研究性</w:t>
            </w:r>
          </w:p>
        </w:tc>
        <w:tc>
          <w:tcPr>
            <w:tcW w:w="112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4</w:t>
            </w:r>
          </w:p>
        </w:tc>
      </w:tr>
      <w:tr>
        <w:tblPrEx>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123</w:t>
            </w:r>
            <w:r>
              <w:rPr>
                <w:b w:val="0"/>
                <w:bCs/>
                <w:sz w:val="18"/>
                <w:szCs w:val="18"/>
              </w:rPr>
              <w:t>02</w:t>
            </w:r>
          </w:p>
        </w:tc>
        <w:tc>
          <w:tcPr>
            <w:tcW w:w="311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果酱的加工工艺</w:t>
            </w:r>
          </w:p>
        </w:tc>
        <w:tc>
          <w:tcPr>
            <w:tcW w:w="707"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 xml:space="preserve">3 </w:t>
            </w:r>
          </w:p>
        </w:tc>
        <w:tc>
          <w:tcPr>
            <w:tcW w:w="958" w:type="dxa"/>
            <w:tcBorders>
              <w:top w:val="single" w:color="auto" w:sz="4" w:space="0"/>
              <w:left w:val="single" w:color="auto" w:sz="4" w:space="0"/>
              <w:bottom w:val="single" w:color="auto" w:sz="4" w:space="0"/>
              <w:right w:val="single" w:color="auto" w:sz="4" w:space="0"/>
            </w:tcBorders>
          </w:tcPr>
          <w:p>
            <w:pPr>
              <w:jc w:val="center"/>
              <w:rPr>
                <w:rFonts w:eastAsiaTheme="minorEastAsia"/>
                <w:sz w:val="18"/>
                <w:szCs w:val="18"/>
              </w:rPr>
            </w:pPr>
            <w:r>
              <w:rPr>
                <w:sz w:val="18"/>
                <w:szCs w:val="18"/>
              </w:rPr>
              <w:t xml:space="preserve">必做 </w:t>
            </w:r>
          </w:p>
        </w:tc>
        <w:tc>
          <w:tcPr>
            <w:tcW w:w="1225"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 xml:space="preserve"> 综合性</w:t>
            </w:r>
          </w:p>
        </w:tc>
        <w:tc>
          <w:tcPr>
            <w:tcW w:w="112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4</w:t>
            </w:r>
          </w:p>
        </w:tc>
      </w:tr>
      <w:tr>
        <w:tblPrEx>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tcPr>
          <w:p>
            <w:pPr>
              <w:jc w:val="center"/>
              <w:rPr>
                <w:rFonts w:eastAsiaTheme="minorEastAsia"/>
                <w:b w:val="0"/>
                <w:bCs/>
                <w:sz w:val="18"/>
                <w:szCs w:val="18"/>
              </w:rPr>
            </w:pPr>
            <w:r>
              <w:rPr>
                <w:rFonts w:eastAsiaTheme="minorEastAsia"/>
                <w:b w:val="0"/>
                <w:bCs/>
                <w:sz w:val="18"/>
                <w:szCs w:val="18"/>
              </w:rPr>
              <w:t>19011</w:t>
            </w:r>
            <w:r>
              <w:rPr>
                <w:rFonts w:hint="eastAsia" w:eastAsiaTheme="minorEastAsia"/>
                <w:b w:val="0"/>
                <w:bCs/>
                <w:sz w:val="18"/>
                <w:szCs w:val="18"/>
              </w:rPr>
              <w:t>123</w:t>
            </w:r>
            <w:r>
              <w:rPr>
                <w:b w:val="0"/>
                <w:bCs/>
                <w:sz w:val="18"/>
                <w:szCs w:val="18"/>
              </w:rPr>
              <w:t>03</w:t>
            </w:r>
          </w:p>
        </w:tc>
        <w:tc>
          <w:tcPr>
            <w:tcW w:w="311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果蔬制品的品质鉴定</w:t>
            </w:r>
          </w:p>
        </w:tc>
        <w:tc>
          <w:tcPr>
            <w:tcW w:w="707"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hint="eastAsia" w:eastAsiaTheme="minorEastAsia"/>
                <w:bCs/>
                <w:sz w:val="18"/>
                <w:szCs w:val="18"/>
                <w:lang w:eastAsia="zh-CN"/>
              </w:rPr>
            </w:pPr>
            <w:r>
              <w:rPr>
                <w:rFonts w:hint="eastAsia" w:eastAsiaTheme="minorEastAsia"/>
                <w:sz w:val="18"/>
                <w:szCs w:val="18"/>
                <w:lang w:val="en-US" w:eastAsia="zh-CN"/>
              </w:rPr>
              <w:t>3</w:t>
            </w:r>
          </w:p>
        </w:tc>
        <w:tc>
          <w:tcPr>
            <w:tcW w:w="958" w:type="dxa"/>
            <w:tcBorders>
              <w:top w:val="single" w:color="auto" w:sz="4" w:space="0"/>
              <w:left w:val="single" w:color="auto" w:sz="4" w:space="0"/>
              <w:bottom w:val="single" w:color="auto" w:sz="4" w:space="0"/>
              <w:right w:val="single" w:color="auto" w:sz="4" w:space="0"/>
            </w:tcBorders>
          </w:tcPr>
          <w:p>
            <w:pPr>
              <w:jc w:val="center"/>
              <w:rPr>
                <w:rFonts w:eastAsiaTheme="minorEastAsia"/>
                <w:sz w:val="18"/>
                <w:szCs w:val="18"/>
              </w:rPr>
            </w:pPr>
            <w:r>
              <w:rPr>
                <w:sz w:val="18"/>
                <w:szCs w:val="18"/>
              </w:rPr>
              <w:t>必做</w:t>
            </w:r>
          </w:p>
        </w:tc>
        <w:tc>
          <w:tcPr>
            <w:tcW w:w="1225"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基本性</w:t>
            </w:r>
          </w:p>
        </w:tc>
        <w:tc>
          <w:tcPr>
            <w:tcW w:w="112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rFonts w:eastAsiaTheme="minorEastAsia"/>
                <w:bCs/>
                <w:sz w:val="18"/>
                <w:szCs w:val="18"/>
              </w:rPr>
            </w:pPr>
            <w:r>
              <w:rPr>
                <w:sz w:val="18"/>
                <w:szCs w:val="18"/>
              </w:rPr>
              <w:t>4</w:t>
            </w:r>
          </w:p>
        </w:tc>
      </w:tr>
      <w:tr>
        <w:tblPrEx>
          <w:tblCellMar>
            <w:top w:w="0" w:type="dxa"/>
            <w:left w:w="108" w:type="dxa"/>
            <w:bottom w:w="0" w:type="dxa"/>
            <w:right w:w="108" w:type="dxa"/>
          </w:tblCellMar>
        </w:tblPrEx>
        <w:trPr>
          <w:jc w:val="center"/>
        </w:trPr>
        <w:tc>
          <w:tcPr>
            <w:tcW w:w="1980" w:type="dxa"/>
            <w:tcBorders>
              <w:top w:val="single" w:color="auto" w:sz="4" w:space="0"/>
              <w:left w:val="single" w:color="auto" w:sz="4" w:space="0"/>
              <w:bottom w:val="single" w:color="auto" w:sz="4" w:space="0"/>
              <w:right w:val="single" w:color="auto" w:sz="4" w:space="0"/>
            </w:tcBorders>
          </w:tcPr>
          <w:p>
            <w:pPr>
              <w:jc w:val="center"/>
              <w:rPr>
                <w:b w:val="0"/>
                <w:bCs/>
                <w:sz w:val="18"/>
                <w:szCs w:val="18"/>
              </w:rPr>
            </w:pPr>
            <w:r>
              <w:rPr>
                <w:rFonts w:eastAsiaTheme="minorEastAsia"/>
                <w:b w:val="0"/>
                <w:bCs/>
                <w:sz w:val="18"/>
                <w:szCs w:val="18"/>
              </w:rPr>
              <w:t>19011</w:t>
            </w:r>
            <w:r>
              <w:rPr>
                <w:rFonts w:hint="eastAsia" w:eastAsiaTheme="minorEastAsia"/>
                <w:b w:val="0"/>
                <w:bCs/>
                <w:sz w:val="18"/>
                <w:szCs w:val="18"/>
              </w:rPr>
              <w:t>123</w:t>
            </w:r>
            <w:r>
              <w:rPr>
                <w:rFonts w:hint="eastAsia"/>
                <w:b w:val="0"/>
                <w:bCs/>
                <w:sz w:val="18"/>
                <w:szCs w:val="18"/>
              </w:rPr>
              <w:t>04</w:t>
            </w:r>
          </w:p>
        </w:tc>
        <w:tc>
          <w:tcPr>
            <w:tcW w:w="311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sz w:val="18"/>
                <w:szCs w:val="18"/>
              </w:rPr>
            </w:pPr>
            <w:r>
              <w:rPr>
                <w:rFonts w:hint="eastAsia"/>
                <w:sz w:val="18"/>
                <w:szCs w:val="18"/>
              </w:rPr>
              <w:tab/>
            </w:r>
            <w:r>
              <w:rPr>
                <w:rFonts w:hint="eastAsia"/>
                <w:sz w:val="18"/>
                <w:szCs w:val="18"/>
              </w:rPr>
              <w:t>果蔬制品的感官鉴定</w:t>
            </w:r>
            <w:r>
              <w:rPr>
                <w:rFonts w:hint="eastAsia"/>
                <w:sz w:val="18"/>
                <w:szCs w:val="18"/>
              </w:rPr>
              <w:tab/>
            </w:r>
            <w:r>
              <w:rPr>
                <w:rFonts w:hint="eastAsia"/>
                <w:sz w:val="18"/>
                <w:szCs w:val="18"/>
              </w:rPr>
              <w:tab/>
            </w:r>
          </w:p>
        </w:tc>
        <w:tc>
          <w:tcPr>
            <w:tcW w:w="707"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sz w:val="18"/>
                <w:szCs w:val="18"/>
              </w:rPr>
            </w:pPr>
            <w:r>
              <w:rPr>
                <w:rFonts w:hint="eastAsia"/>
                <w:sz w:val="18"/>
                <w:szCs w:val="18"/>
              </w:rPr>
              <w:t>3</w:t>
            </w:r>
          </w:p>
        </w:tc>
        <w:tc>
          <w:tcPr>
            <w:tcW w:w="958" w:type="dxa"/>
            <w:tcBorders>
              <w:top w:val="single" w:color="auto" w:sz="4" w:space="0"/>
              <w:left w:val="single" w:color="auto" w:sz="4" w:space="0"/>
              <w:bottom w:val="single" w:color="auto" w:sz="4" w:space="0"/>
              <w:right w:val="single" w:color="auto" w:sz="4" w:space="0"/>
            </w:tcBorders>
          </w:tcPr>
          <w:p>
            <w:pPr>
              <w:jc w:val="center"/>
              <w:rPr>
                <w:sz w:val="18"/>
                <w:szCs w:val="18"/>
              </w:rPr>
            </w:pPr>
            <w:r>
              <w:rPr>
                <w:rFonts w:hint="eastAsia"/>
                <w:sz w:val="18"/>
                <w:szCs w:val="18"/>
              </w:rPr>
              <w:t>必做</w:t>
            </w:r>
          </w:p>
        </w:tc>
        <w:tc>
          <w:tcPr>
            <w:tcW w:w="1225"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sz w:val="18"/>
                <w:szCs w:val="18"/>
              </w:rPr>
            </w:pPr>
            <w:r>
              <w:rPr>
                <w:rFonts w:hint="eastAsia"/>
                <w:sz w:val="18"/>
                <w:szCs w:val="18"/>
              </w:rPr>
              <w:t>基本性</w:t>
            </w:r>
          </w:p>
        </w:tc>
        <w:tc>
          <w:tcPr>
            <w:tcW w:w="1128" w:type="dxa"/>
            <w:tcBorders>
              <w:top w:val="single" w:color="auto" w:sz="4" w:space="0"/>
              <w:left w:val="single" w:color="auto" w:sz="4" w:space="0"/>
              <w:bottom w:val="single" w:color="auto" w:sz="4" w:space="0"/>
              <w:right w:val="single" w:color="auto" w:sz="4" w:space="0"/>
            </w:tcBorders>
          </w:tcPr>
          <w:p>
            <w:pPr>
              <w:widowControl/>
              <w:snapToGrid w:val="0"/>
              <w:spacing w:line="312" w:lineRule="auto"/>
              <w:jc w:val="center"/>
              <w:rPr>
                <w:sz w:val="18"/>
                <w:szCs w:val="18"/>
              </w:rPr>
            </w:pPr>
            <w:r>
              <w:rPr>
                <w:rFonts w:hint="eastAsia"/>
                <w:sz w:val="18"/>
                <w:szCs w:val="18"/>
              </w:rPr>
              <w:t>4</w:t>
            </w:r>
          </w:p>
        </w:tc>
      </w:tr>
    </w:tbl>
    <w:p>
      <w:pPr>
        <w:snapToGrid w:val="0"/>
        <w:spacing w:line="360" w:lineRule="auto"/>
        <w:rPr>
          <w:b/>
          <w:bCs/>
          <w:szCs w:val="21"/>
        </w:rPr>
      </w:pPr>
      <w:r>
        <w:rPr>
          <w:b/>
          <w:bCs/>
          <w:szCs w:val="21"/>
        </w:rPr>
        <w:t>（五）实验方式及基本要求</w:t>
      </w:r>
    </w:p>
    <w:p>
      <w:pPr>
        <w:spacing w:line="360" w:lineRule="auto"/>
        <w:ind w:left="183" w:leftChars="87" w:firstLine="420" w:firstLineChars="200"/>
        <w:jc w:val="left"/>
      </w:pPr>
      <w:r>
        <w:t>4人一组，以组为单位，团结协调，共同完成一个实验，因为学时有限，有的综合性实验需要各组独立完成试验的某一部分，全班同学的试验结果综合在一起，方是一个完整的试验，所以要求同学们独立完成单元操作，严格按照试验的要求进行操作，如果品去皮试验，共设9个处理，并根据这9个处理进行去皮效果的综合评价，最终确定适宜的去皮温度、适宜的碱液的浓度、适宜的处理时间。</w:t>
      </w:r>
    </w:p>
    <w:p>
      <w:pPr>
        <w:snapToGrid w:val="0"/>
        <w:spacing w:line="360" w:lineRule="auto"/>
        <w:rPr>
          <w:b/>
          <w:szCs w:val="21"/>
        </w:rPr>
      </w:pPr>
      <w:r>
        <w:rPr>
          <w:b/>
          <w:bCs/>
          <w:szCs w:val="21"/>
        </w:rPr>
        <w:t>（六）</w:t>
      </w:r>
      <w:r>
        <w:rPr>
          <w:b/>
          <w:szCs w:val="21"/>
        </w:rPr>
        <w:t>实验内容安排</w:t>
      </w:r>
    </w:p>
    <w:p>
      <w:pPr>
        <w:spacing w:line="360" w:lineRule="auto"/>
        <w:ind w:left="183" w:leftChars="87" w:firstLine="422" w:firstLineChars="200"/>
        <w:jc w:val="left"/>
        <w:rPr>
          <w:b/>
          <w:szCs w:val="21"/>
        </w:rPr>
      </w:pPr>
      <w:r>
        <w:rPr>
          <w:b/>
          <w:szCs w:val="21"/>
        </w:rPr>
        <w:t>【实验一】果蔬去皮试验</w:t>
      </w:r>
    </w:p>
    <w:p>
      <w:pPr>
        <w:spacing w:line="360" w:lineRule="auto"/>
        <w:ind w:left="183" w:leftChars="87" w:firstLine="422" w:firstLineChars="200"/>
        <w:jc w:val="left"/>
      </w:pPr>
      <w:r>
        <w:rPr>
          <w:b/>
          <w:bCs/>
        </w:rPr>
        <w:t>1</w:t>
      </w:r>
      <w:r>
        <w:t>、</w:t>
      </w:r>
      <w:r>
        <w:rPr>
          <w:b/>
          <w:bCs/>
        </w:rPr>
        <w:t>实验学时：</w:t>
      </w:r>
      <w:r>
        <w:t>3学时</w:t>
      </w:r>
    </w:p>
    <w:p>
      <w:pPr>
        <w:spacing w:line="360" w:lineRule="auto"/>
        <w:ind w:left="183" w:leftChars="87" w:firstLine="422" w:firstLineChars="200"/>
        <w:jc w:val="left"/>
      </w:pPr>
      <w:r>
        <w:rPr>
          <w:b/>
        </w:rPr>
        <w:t>2</w:t>
      </w:r>
      <w:r>
        <w:t>、</w:t>
      </w:r>
      <w:r>
        <w:rPr>
          <w:b/>
        </w:rPr>
        <w:t>实验目的：</w:t>
      </w:r>
      <w:r>
        <w:t>果蔬在加工的预处理中，去除果皮是许多加工品要进行的工序。果蔬去皮的方法很多，本试验以碱液去皮法为引子，使同学们了解加工中不同原料各种参数的由来，有关试验设计及统计的方法。</w:t>
      </w:r>
    </w:p>
    <w:p>
      <w:pPr>
        <w:spacing w:line="360" w:lineRule="auto"/>
        <w:ind w:left="183" w:leftChars="87" w:firstLine="422" w:firstLineChars="200"/>
        <w:jc w:val="left"/>
      </w:pPr>
      <w:r>
        <w:rPr>
          <w:b/>
        </w:rPr>
        <w:t>3</w:t>
      </w:r>
      <w:r>
        <w:t>、</w:t>
      </w:r>
      <w:r>
        <w:rPr>
          <w:b/>
        </w:rPr>
        <w:t>实验内容：</w:t>
      </w:r>
      <w:r>
        <w:t>以梨、番茄或苹果为试材，用NaOH溶液浸蘸的方法去除果皮。</w:t>
      </w:r>
    </w:p>
    <w:p>
      <w:pPr>
        <w:spacing w:line="360" w:lineRule="auto"/>
        <w:ind w:left="183" w:leftChars="87" w:firstLine="420" w:firstLineChars="200"/>
        <w:jc w:val="left"/>
      </w:pPr>
      <w:r>
        <w:t>操作要点：按三因素三水平进行正交设计，试验设计完后进行具体的操作。</w:t>
      </w:r>
    </w:p>
    <w:p>
      <w:pPr>
        <w:spacing w:line="360" w:lineRule="auto"/>
        <w:ind w:left="183" w:leftChars="87" w:firstLine="420" w:firstLineChars="200"/>
        <w:jc w:val="left"/>
      </w:pPr>
      <w:r>
        <w:t>挑选相对一致的果蔬为样品→配制不同浓度的NaOH溶液→加热至一定温度→样品处理时间→流水轻擦去除表面的果皮→用一定浓度的柠檬酸溶液处理→去皮并经柠檬酸处理后的果品放置在托盘内按一定顺序摆放好→按去皮率和去皮后果实表面的光滑度评分→根据园艺植物研究法中的研究方法对结果作以分析，得出结论，找到针对特定果品最适宜的NaOH浓度、处理温度及处理时间。</w:t>
      </w:r>
    </w:p>
    <w:p>
      <w:pPr>
        <w:spacing w:line="360" w:lineRule="auto"/>
        <w:ind w:left="183" w:leftChars="87" w:firstLine="420" w:firstLineChars="200"/>
        <w:jc w:val="left"/>
      </w:pPr>
      <w:r>
        <w:t>注意事项：</w:t>
      </w:r>
    </w:p>
    <w:p>
      <w:pPr>
        <w:spacing w:line="360" w:lineRule="auto"/>
        <w:ind w:left="183" w:leftChars="87" w:firstLine="420" w:firstLineChars="200"/>
        <w:jc w:val="left"/>
      </w:pPr>
      <w:r>
        <w:t>（1）样品要求相对一致，以免造成个体间的差异。</w:t>
      </w:r>
    </w:p>
    <w:p>
      <w:pPr>
        <w:spacing w:line="360" w:lineRule="auto"/>
        <w:ind w:left="183" w:leftChars="87" w:firstLine="420" w:firstLineChars="200"/>
        <w:jc w:val="left"/>
      </w:pPr>
      <w:r>
        <w:t>（2）流水清洗果蔬后还要用柠檬酸溶液处理，以免去皮后的果品受到残留NaOH的进一步腐蚀。</w:t>
      </w:r>
    </w:p>
    <w:p>
      <w:pPr>
        <w:spacing w:line="360" w:lineRule="auto"/>
        <w:ind w:left="183" w:leftChars="87" w:firstLine="420" w:firstLineChars="200"/>
        <w:jc w:val="left"/>
      </w:pPr>
      <w:r>
        <w:t>（3）滴定时，要随时振荡三角瓶，避免局部饱和。</w:t>
      </w:r>
    </w:p>
    <w:p>
      <w:pPr>
        <w:spacing w:line="360" w:lineRule="auto"/>
        <w:ind w:left="183" w:leftChars="87" w:firstLine="420" w:firstLineChars="200"/>
        <w:jc w:val="left"/>
      </w:pPr>
      <w:r>
        <w:t>（4）每次滴定不超过3分钟。</w:t>
      </w:r>
    </w:p>
    <w:p>
      <w:pPr>
        <w:spacing w:line="360" w:lineRule="auto"/>
        <w:ind w:left="183" w:leftChars="87" w:firstLine="422" w:firstLineChars="200"/>
        <w:jc w:val="left"/>
      </w:pPr>
      <w:r>
        <w:rPr>
          <w:b/>
        </w:rPr>
        <w:t>4</w:t>
      </w:r>
      <w:r>
        <w:t>、</w:t>
      </w:r>
      <w:r>
        <w:rPr>
          <w:b/>
        </w:rPr>
        <w:t>实验要求：</w:t>
      </w:r>
      <w:r>
        <w:t>要求同学们掌握试验设计的方法、依据，熟悉基本操作。</w:t>
      </w:r>
    </w:p>
    <w:p>
      <w:pPr>
        <w:spacing w:line="360" w:lineRule="auto"/>
        <w:ind w:left="183" w:leftChars="87" w:firstLine="422" w:firstLineChars="200"/>
        <w:jc w:val="left"/>
      </w:pPr>
      <w:r>
        <w:rPr>
          <w:b/>
        </w:rPr>
        <w:t>5</w:t>
      </w:r>
      <w:r>
        <w:t>、</w:t>
      </w:r>
      <w:r>
        <w:rPr>
          <w:b/>
        </w:rPr>
        <w:t>实验设备及器材：</w:t>
      </w:r>
      <w:r>
        <w:t>水浴锅、温度计、1000ml烧杯、托盘、玻璃棒。</w:t>
      </w:r>
    </w:p>
    <w:p>
      <w:pPr>
        <w:spacing w:line="360" w:lineRule="auto"/>
        <w:rPr>
          <w:rFonts w:eastAsia="Arial Unicode MS"/>
          <w:b/>
          <w:kern w:val="0"/>
          <w:szCs w:val="21"/>
        </w:rPr>
      </w:pPr>
      <w:r>
        <w:rPr>
          <w:rFonts w:hint="eastAsia" w:ascii="宋体" w:hAnsi="宋体" w:cs="宋体"/>
          <w:b/>
          <w:kern w:val="0"/>
          <w:szCs w:val="21"/>
        </w:rPr>
        <w:t>【实验二】</w:t>
      </w:r>
      <w:r>
        <w:rPr>
          <w:b/>
          <w:kern w:val="0"/>
          <w:szCs w:val="21"/>
        </w:rPr>
        <w:t>果酱的加工工艺</w:t>
      </w:r>
    </w:p>
    <w:p>
      <w:pPr>
        <w:spacing w:line="360" w:lineRule="auto"/>
        <w:ind w:firstLine="422" w:firstLineChars="200"/>
      </w:pPr>
      <w:r>
        <w:rPr>
          <w:b/>
          <w:bCs/>
        </w:rPr>
        <w:t>1</w:t>
      </w:r>
      <w:r>
        <w:t>、</w:t>
      </w:r>
      <w:r>
        <w:rPr>
          <w:b/>
          <w:bCs/>
        </w:rPr>
        <w:t>实验学时：</w:t>
      </w:r>
      <w:r>
        <w:t>3学时</w:t>
      </w:r>
    </w:p>
    <w:p>
      <w:pPr>
        <w:spacing w:line="360" w:lineRule="auto"/>
        <w:ind w:firstLine="422" w:firstLineChars="200"/>
      </w:pPr>
      <w:r>
        <w:rPr>
          <w:b/>
          <w:bCs/>
        </w:rPr>
        <w:t>2</w:t>
      </w:r>
      <w:r>
        <w:t>、</w:t>
      </w:r>
      <w:r>
        <w:rPr>
          <w:b/>
          <w:bCs/>
        </w:rPr>
        <w:t>实验目的：</w:t>
      </w:r>
      <w:r>
        <w:t>使同学们了解果蔬加工品的制作原理，掌握果蔬在加工中应注意的事项、关键步骤及加工制品加工完成的判断依据。</w:t>
      </w:r>
    </w:p>
    <w:p>
      <w:pPr>
        <w:spacing w:line="360" w:lineRule="auto"/>
        <w:ind w:firstLine="420"/>
        <w:rPr>
          <w:b/>
        </w:rPr>
      </w:pPr>
      <w:r>
        <w:rPr>
          <w:b/>
        </w:rPr>
        <w:t>3</w:t>
      </w:r>
      <w:r>
        <w:t>、</w:t>
      </w:r>
      <w:r>
        <w:rPr>
          <w:b/>
        </w:rPr>
        <w:t>实验内容：</w:t>
      </w:r>
    </w:p>
    <w:p>
      <w:pPr>
        <w:spacing w:line="360" w:lineRule="auto"/>
        <w:ind w:firstLine="420" w:firstLineChars="200"/>
      </w:pPr>
      <w:r>
        <w:rPr>
          <w:bCs/>
          <w:kern w:val="0"/>
          <w:szCs w:val="21"/>
        </w:rPr>
        <w:t>以猕猴桃、番茄或苹果为试材制作。操作要点：原料挑选，果蔬及添加剂的配比、添加的顺序，果酱的熬制终点</w:t>
      </w:r>
      <w: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rPr>
        <w:t>4、实验要求：</w:t>
      </w:r>
      <w:r>
        <w:t>要求同学们了解目前果酱加工的趋势，掌握关键步骤，熟悉基本操作。</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b/>
        </w:rPr>
      </w:pPr>
      <w:r>
        <w:rPr>
          <w:b/>
        </w:rPr>
        <w:t>5、实验设备及器材：</w:t>
      </w:r>
      <w:r>
        <w:t>打浆机、不锈钢锅、铲子、电炉、温度计、烧杯、天平、玻璃棒。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Arial Unicode MS"/>
          <w:b/>
          <w:kern w:val="0"/>
          <w:szCs w:val="21"/>
        </w:rPr>
      </w:pPr>
      <w:r>
        <w:rPr>
          <w:rFonts w:hint="eastAsia" w:ascii="宋体" w:hAnsi="宋体" w:cs="宋体"/>
          <w:b/>
          <w:kern w:val="0"/>
          <w:szCs w:val="21"/>
        </w:rPr>
        <w:t>【实验三】</w:t>
      </w:r>
      <w:r>
        <w:rPr>
          <w:b/>
          <w:kern w:val="0"/>
          <w:szCs w:val="21"/>
        </w:rPr>
        <w:t>果蔬制品的品质鉴定</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bCs/>
        </w:rPr>
        <w:t>1、实验学</w:t>
      </w:r>
      <w:r>
        <w:rPr>
          <w:b/>
        </w:rPr>
        <w:t>时：</w:t>
      </w:r>
      <w:r>
        <w:t>2学时</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rPr>
        <w:t>2、实验目的：</w:t>
      </w:r>
      <w:r>
        <w:t>使同学们了解各种果蔬加工制品的特点，掌握各种加工制品品质鉴定的方法和操作的步骤。</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rPr>
        <w:t>3、实验内容</w:t>
      </w:r>
      <w:r>
        <w:rPr>
          <w:b/>
          <w:bCs/>
        </w:rPr>
        <w:t>：</w:t>
      </w:r>
      <w:r>
        <w:t>以2种糖制品（果脯、果酱）、2种果酒（红葡萄酒中的干红和甜红）、2种果汁（澄清果汁和混浊果汁）等作为试材进行评价。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操作要点：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（1）了解各种加工制品的品质特点。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（2）掌握果蔬制品品质评价前的准备工作。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（3）掌握果蔬加工制品品质评价的四步骤：看、闻、尝，同时了解品尝中对后味的感知。</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spacing w:val="15"/>
          <w:kern w:val="0"/>
        </w:rPr>
      </w:pPr>
      <w:r>
        <w:rPr>
          <w:b/>
        </w:rPr>
        <w:t>4、实验要求：</w:t>
      </w:r>
      <w:r>
        <w:rPr>
          <w:spacing w:val="15"/>
          <w:kern w:val="0"/>
        </w:rPr>
        <w:t>要求同学们了解目前果酱加工的趋势，掌握关键步骤，熟悉相关的基本操作方法。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rPr>
        <w:t>5、实验设备及器材：</w:t>
      </w:r>
      <w:r>
        <w:t>白瓷盘、一次性小勺、透明玻璃杯、盘子、打浆机、不锈钢锅、铲子、电炉、温度计、烧杯、天平、玻璃棒。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Arial Unicode MS"/>
          <w:b/>
          <w:kern w:val="0"/>
          <w:szCs w:val="21"/>
        </w:rPr>
      </w:pPr>
      <w:r>
        <w:rPr>
          <w:rFonts w:hint="eastAsia" w:ascii="宋体" w:hAnsi="宋体" w:cs="宋体"/>
          <w:b/>
          <w:kern w:val="0"/>
          <w:szCs w:val="21"/>
        </w:rPr>
        <w:t>【实验四】</w:t>
      </w:r>
      <w:r>
        <w:rPr>
          <w:b/>
          <w:kern w:val="0"/>
          <w:szCs w:val="21"/>
        </w:rPr>
        <w:t>果蔬制品的</w:t>
      </w:r>
      <w:r>
        <w:rPr>
          <w:rFonts w:hint="eastAsia"/>
          <w:b/>
          <w:kern w:val="0"/>
          <w:szCs w:val="21"/>
        </w:rPr>
        <w:t>感官</w:t>
      </w:r>
      <w:r>
        <w:rPr>
          <w:b/>
          <w:kern w:val="0"/>
          <w:szCs w:val="21"/>
        </w:rPr>
        <w:t>鉴定</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bCs/>
        </w:rPr>
        <w:t>1、实验学</w:t>
      </w:r>
      <w:r>
        <w:rPr>
          <w:b/>
        </w:rPr>
        <w:t>时：</w:t>
      </w:r>
      <w:r>
        <w:rPr>
          <w:rFonts w:hint="eastAsia"/>
        </w:rPr>
        <w:t>3</w:t>
      </w:r>
      <w:r>
        <w:t>学时</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rPr>
        <w:t>2、实验目的：</w:t>
      </w:r>
      <w:r>
        <w:t>使同学们了解各种果蔬加工制品的特点，掌握各种加工制品品质鉴定的方法和操作的步骤。</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rPr>
        <w:t>3、实验内容</w:t>
      </w:r>
      <w:r>
        <w:rPr>
          <w:b/>
          <w:bCs/>
        </w:rPr>
        <w:t>：</w:t>
      </w:r>
      <w:r>
        <w:t>以2种糖制品（果脯、果酱）、2种果酒（红葡萄酒中的干红和甜红）、2种果汁（澄清果汁和混浊果汁）等作为试材进行评价。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操作要点：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（1）了解各种加工制品的品质特点。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（2）掌握果蔬制品品质评价前的准备工作。</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（3）掌握果蔬加工制品品质评价的四步骤：看、闻、尝，同时了解品尝中对后味的感知。</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spacing w:val="15"/>
          <w:kern w:val="0"/>
        </w:rPr>
      </w:pPr>
      <w:r>
        <w:rPr>
          <w:b/>
        </w:rPr>
        <w:t>4、实验要求：</w:t>
      </w:r>
      <w:r>
        <w:rPr>
          <w:spacing w:val="15"/>
          <w:kern w:val="0"/>
        </w:rPr>
        <w:t>要求同学们了解目前果酱加工的趋势，掌握关键步骤，熟悉相关的基本操作方法。</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pPr>
      <w:r>
        <w:rPr>
          <w:b/>
        </w:rPr>
        <w:t>5、实验设备及器材：</w:t>
      </w:r>
      <w:r>
        <w:t>白瓷盘、一次性小勺、透明玻璃杯、盘子、打浆机、不锈钢锅、铲子、电炉、温度计、烧杯、天平、玻璃棒。</w:t>
      </w:r>
    </w:p>
    <w:p>
      <w:pPr>
        <w:widowControl/>
        <w:jc w:val="left"/>
        <w:rPr>
          <w:b/>
          <w:szCs w:val="21"/>
        </w:rPr>
      </w:pPr>
      <w:r>
        <w:rPr>
          <w:b/>
          <w:szCs w:val="21"/>
        </w:rPr>
        <w:t>六、课程思政</w:t>
      </w:r>
    </w:p>
    <w:p>
      <w:pPr>
        <w:snapToGrid w:val="0"/>
        <w:spacing w:line="360" w:lineRule="auto"/>
        <w:ind w:firstLine="420" w:firstLineChars="200"/>
      </w:pPr>
      <w:r>
        <w:t>坚持“实现立德树人根本任务”的大思政综合教育理念，在课程教学过程中将政治认同、家国情怀、文化素养、法治意识、道德修养等思想政治元素融入专业教育，隐性和显性教育相融合，知识育才和精神育才相结合。例如，绪论部分通过介绍园艺产品在人们生活中的地位、采后调控在园艺产业链中的重要作用，使学生潜移默化的了解本门课程的重要性，树立专业自信及三农情怀；在讲解园艺产品的采后生理章节时，有效融入我国园艺产品采后生理调控的最新研究进展，让学生更直观的了解我国的园艺产品采后分子生物学调控基础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国意识、专业自信和三农情怀等，实现高校“立德树人”的人才培养目标。</w:t>
      </w:r>
    </w:p>
    <w:p>
      <w:pPr>
        <w:widowControl/>
        <w:snapToGrid w:val="0"/>
        <w:spacing w:line="360" w:lineRule="auto"/>
        <w:jc w:val="left"/>
        <w:rPr>
          <w:kern w:val="0"/>
          <w:szCs w:val="21"/>
        </w:rPr>
      </w:pPr>
      <w:r>
        <w:rPr>
          <w:b/>
          <w:bCs/>
          <w:kern w:val="0"/>
          <w:szCs w:val="21"/>
        </w:rPr>
        <w:t>七、教材及教学参考书</w:t>
      </w:r>
    </w:p>
    <w:p>
      <w:pPr>
        <w:widowControl/>
        <w:snapToGrid w:val="0"/>
        <w:spacing w:line="360" w:lineRule="auto"/>
        <w:ind w:firstLine="422" w:firstLineChars="200"/>
        <w:jc w:val="left"/>
        <w:rPr>
          <w:b/>
          <w:bCs/>
          <w:kern w:val="0"/>
          <w:szCs w:val="21"/>
        </w:rPr>
      </w:pPr>
      <w:r>
        <w:rPr>
          <w:b/>
          <w:bCs/>
          <w:kern w:val="0"/>
          <w:szCs w:val="21"/>
        </w:rPr>
        <w:t>1、选用教材：</w:t>
      </w:r>
    </w:p>
    <w:p>
      <w:pPr>
        <w:widowControl/>
        <w:snapToGrid w:val="0"/>
        <w:spacing w:line="360" w:lineRule="auto"/>
        <w:ind w:firstLine="420" w:firstLineChars="200"/>
        <w:jc w:val="left"/>
        <w:rPr>
          <w:bCs/>
          <w:kern w:val="0"/>
          <w:szCs w:val="21"/>
        </w:rPr>
      </w:pPr>
      <w:r>
        <w:rPr>
          <w:bCs/>
          <w:kern w:val="0"/>
          <w:szCs w:val="21"/>
        </w:rPr>
        <w:t>（1）理论课教材：</w:t>
      </w:r>
    </w:p>
    <w:p>
      <w:pPr>
        <w:widowControl/>
        <w:snapToGrid w:val="0"/>
        <w:spacing w:line="360" w:lineRule="auto"/>
        <w:ind w:firstLine="420" w:firstLineChars="200"/>
        <w:jc w:val="left"/>
        <w:rPr>
          <w:bCs/>
          <w:kern w:val="0"/>
          <w:szCs w:val="21"/>
        </w:rPr>
      </w:pPr>
      <w:r>
        <w:rPr>
          <w:bCs/>
          <w:kern w:val="0"/>
          <w:szCs w:val="21"/>
        </w:rPr>
        <w:t>果品蔬菜加工工艺学．叶兴乾主编．中国农业出版社，北京，2003年</w:t>
      </w:r>
    </w:p>
    <w:p>
      <w:pPr>
        <w:widowControl/>
        <w:snapToGrid w:val="0"/>
        <w:spacing w:line="360" w:lineRule="auto"/>
        <w:ind w:firstLine="420" w:firstLineChars="200"/>
        <w:jc w:val="left"/>
        <w:rPr>
          <w:bCs/>
          <w:kern w:val="0"/>
          <w:szCs w:val="21"/>
        </w:rPr>
      </w:pPr>
      <w:r>
        <w:rPr>
          <w:bCs/>
          <w:kern w:val="0"/>
          <w:szCs w:val="21"/>
        </w:rPr>
        <w:t>（2）实验课教材：</w:t>
      </w:r>
    </w:p>
    <w:p>
      <w:pPr>
        <w:widowControl/>
        <w:snapToGrid w:val="0"/>
        <w:spacing w:line="360" w:lineRule="auto"/>
        <w:ind w:firstLine="420" w:firstLineChars="200"/>
        <w:jc w:val="left"/>
        <w:rPr>
          <w:bCs/>
          <w:kern w:val="0"/>
          <w:szCs w:val="21"/>
        </w:rPr>
      </w:pPr>
      <w:r>
        <w:rPr>
          <w:bCs/>
          <w:kern w:val="0"/>
          <w:szCs w:val="21"/>
        </w:rPr>
        <w:t>园艺产品采后处理实验指导．王兰菊、胡青霞、张惠梅编．（自编）</w:t>
      </w:r>
    </w:p>
    <w:p>
      <w:pPr>
        <w:widowControl/>
        <w:snapToGrid w:val="0"/>
        <w:spacing w:line="360" w:lineRule="auto"/>
        <w:ind w:firstLine="422" w:firstLineChars="200"/>
        <w:jc w:val="left"/>
        <w:rPr>
          <w:kern w:val="0"/>
          <w:szCs w:val="21"/>
        </w:rPr>
      </w:pPr>
      <w:r>
        <w:rPr>
          <w:b/>
          <w:bCs/>
          <w:kern w:val="0"/>
          <w:szCs w:val="21"/>
        </w:rPr>
        <w:t>2、参考书：</w:t>
      </w:r>
    </w:p>
    <w:p>
      <w:pPr>
        <w:widowControl/>
        <w:snapToGrid w:val="0"/>
        <w:spacing w:line="360" w:lineRule="auto"/>
        <w:ind w:firstLine="420" w:firstLineChars="200"/>
        <w:jc w:val="left"/>
        <w:rPr>
          <w:kern w:val="0"/>
        </w:rPr>
      </w:pPr>
      <w:r>
        <w:rPr>
          <w:kern w:val="0"/>
        </w:rPr>
        <w:t>（1）园艺产品贮藏加工学加工篇．罗云波、蔡同一主编．中国农业大学出版社，2001年</w:t>
      </w:r>
    </w:p>
    <w:p>
      <w:pPr>
        <w:widowControl/>
        <w:snapToGrid w:val="0"/>
        <w:spacing w:line="360" w:lineRule="auto"/>
        <w:ind w:firstLine="420" w:firstLineChars="200"/>
        <w:jc w:val="left"/>
        <w:rPr>
          <w:kern w:val="0"/>
        </w:rPr>
      </w:pPr>
      <w:r>
        <w:rPr>
          <w:kern w:val="0"/>
        </w:rPr>
        <w:t>（2）食品化学实验指导．韩雅珊主编．北京农业大学出版社，1992年</w:t>
      </w:r>
    </w:p>
    <w:p>
      <w:pPr>
        <w:widowControl/>
        <w:snapToGrid w:val="0"/>
        <w:spacing w:line="360" w:lineRule="auto"/>
        <w:ind w:firstLine="420" w:firstLineChars="200"/>
        <w:jc w:val="left"/>
        <w:rPr>
          <w:kern w:val="0"/>
        </w:rPr>
      </w:pPr>
      <w:r>
        <w:rPr>
          <w:kern w:val="0"/>
        </w:rPr>
        <w:t>（3）果蔬贮藏加工实验实训教程．赵晨霞主编．科学出版社，2010年</w:t>
      </w:r>
    </w:p>
    <w:p>
      <w:pPr>
        <w:widowControl/>
        <w:snapToGrid w:val="0"/>
        <w:spacing w:line="360" w:lineRule="auto"/>
        <w:ind w:firstLine="422" w:firstLineChars="200"/>
        <w:jc w:val="left"/>
        <w:rPr>
          <w:b/>
          <w:kern w:val="0"/>
          <w:szCs w:val="21"/>
        </w:rPr>
      </w:pPr>
      <w:r>
        <w:rPr>
          <w:b/>
          <w:kern w:val="0"/>
          <w:szCs w:val="21"/>
        </w:rPr>
        <w:t>3.推荐网站：</w:t>
      </w:r>
    </w:p>
    <w:p>
      <w:pPr>
        <w:widowControl/>
        <w:snapToGrid w:val="0"/>
        <w:spacing w:line="360" w:lineRule="auto"/>
        <w:ind w:left="420" w:leftChars="200"/>
        <w:jc w:val="left"/>
        <w:rPr>
          <w:kern w:val="0"/>
        </w:rPr>
      </w:pPr>
      <w:r>
        <w:t>（1）国家农产品保鲜工程技术研究中心（天津）网站，网址</w:t>
      </w:r>
      <w:r>
        <w:rPr>
          <w:kern w:val="0"/>
        </w:rPr>
        <w:t> </w:t>
      </w:r>
      <w:r>
        <w:rPr>
          <w:color w:val="auto"/>
          <w:kern w:val="0"/>
          <w:u w:val="none"/>
        </w:rPr>
        <w:t>http://www.luda.com.cn</w:t>
      </w:r>
      <w:r>
        <w:rPr>
          <w:kern w:val="0"/>
        </w:rPr>
        <w:br w:type="textWrapping"/>
      </w:r>
      <w:r>
        <w:rPr>
          <w:kern w:val="0"/>
        </w:rPr>
        <w:t xml:space="preserve">（2）食品伙伴网，网址http://down.foodmate.net </w:t>
      </w:r>
    </w:p>
    <w:p>
      <w:pPr>
        <w:widowControl/>
        <w:snapToGrid w:val="0"/>
        <w:spacing w:line="360" w:lineRule="auto"/>
        <w:ind w:left="420" w:leftChars="200"/>
        <w:jc w:val="left"/>
        <w:rPr>
          <w:kern w:val="0"/>
          <w:u w:val="single"/>
        </w:rPr>
      </w:pPr>
      <w:r>
        <w:rPr>
          <w:kern w:val="0"/>
        </w:rPr>
        <w:t>（3）中国农产品保鲜网，网址http://www.cnbaoxian.com</w:t>
      </w:r>
    </w:p>
    <w:p>
      <w:pPr>
        <w:widowControl/>
        <w:snapToGrid w:val="0"/>
        <w:spacing w:line="360" w:lineRule="auto"/>
        <w:jc w:val="left"/>
        <w:rPr>
          <w:b/>
          <w:bCs/>
          <w:kern w:val="0"/>
          <w:szCs w:val="21"/>
        </w:rPr>
      </w:pPr>
      <w:r>
        <w:rPr>
          <w:b/>
          <w:bCs/>
          <w:kern w:val="0"/>
          <w:szCs w:val="21"/>
        </w:rPr>
        <w:t>八、教学条件</w:t>
      </w:r>
    </w:p>
    <w:p>
      <w:pPr>
        <w:widowControl/>
        <w:snapToGrid w:val="0"/>
        <w:spacing w:line="360" w:lineRule="auto"/>
        <w:ind w:left="105" w:leftChars="50" w:firstLine="419"/>
        <w:jc w:val="left"/>
        <w:rPr>
          <w:szCs w:val="21"/>
        </w:rPr>
      </w:pPr>
      <w:r>
        <w:rPr>
          <w:szCs w:val="21"/>
        </w:rPr>
        <w:t>该课程开展依托果蔬产品采后处理及加工教学团队，授课教师具备相关知识背景，其中理论课开展需要多媒体教室，实验课程开展需要园艺产品加工处理实验室，并配备各种满足开设实验课程的各种仪器设备和实验管理员。</w:t>
      </w:r>
    </w:p>
    <w:p>
      <w:pPr>
        <w:widowControl/>
        <w:snapToGrid w:val="0"/>
        <w:spacing w:line="360" w:lineRule="auto"/>
        <w:jc w:val="left"/>
        <w:rPr>
          <w:b/>
          <w:bCs/>
          <w:kern w:val="0"/>
          <w:szCs w:val="21"/>
        </w:rPr>
      </w:pPr>
      <w:r>
        <w:rPr>
          <w:b/>
          <w:bCs/>
          <w:kern w:val="0"/>
          <w:szCs w:val="21"/>
        </w:rPr>
        <w:t>九、教学考核评价</w:t>
      </w:r>
    </w:p>
    <w:p>
      <w:pPr>
        <w:snapToGrid w:val="0"/>
        <w:spacing w:line="360" w:lineRule="auto"/>
        <w:ind w:firstLine="420"/>
        <w:rPr>
          <w:szCs w:val="21"/>
        </w:rPr>
      </w:pPr>
      <w:r>
        <w:rPr>
          <w:b/>
          <w:bCs/>
          <w:kern w:val="0"/>
          <w:szCs w:val="21"/>
        </w:rPr>
        <w:t>1、过程性评价：</w:t>
      </w:r>
    </w:p>
    <w:p>
      <w:pPr>
        <w:widowControl/>
        <w:spacing w:line="360" w:lineRule="auto"/>
        <w:ind w:firstLine="420" w:firstLineChars="200"/>
        <w:jc w:val="left"/>
        <w:rPr>
          <w:szCs w:val="21"/>
        </w:rPr>
      </w:pPr>
      <w:r>
        <w:rPr>
          <w:szCs w:val="21"/>
        </w:rPr>
        <w:t>本课程的过程性考核分为平时成绩和实验成绩两个环节，总占比30%。其中平时成绩包括平时学习情况、课堂提问、线上学习、小组讨论表现、作业、考勤等，占比10%；实验成绩包括实验操作和实验报告，占比20%。</w:t>
      </w:r>
    </w:p>
    <w:p>
      <w:pPr>
        <w:widowControl/>
        <w:spacing w:line="360" w:lineRule="auto"/>
        <w:ind w:firstLine="420" w:firstLineChars="200"/>
        <w:jc w:val="left"/>
        <w:rPr>
          <w:szCs w:val="21"/>
        </w:rPr>
      </w:pPr>
      <w:r>
        <w:rPr>
          <w:szCs w:val="21"/>
        </w:rPr>
        <w:t>在教学过程中使用各种评价方法应有利于教学活动的开展，有利于学生综合能力的提高，应简单易行，既要避免使用过于繁琐的程序而干扰日常教学，又要防止评价流于形式。</w:t>
      </w:r>
    </w:p>
    <w:p>
      <w:pPr>
        <w:widowControl/>
        <w:spacing w:line="360" w:lineRule="auto"/>
        <w:ind w:firstLine="420" w:firstLineChars="200"/>
        <w:jc w:val="left"/>
        <w:rPr>
          <w:szCs w:val="21"/>
        </w:rPr>
      </w:pPr>
      <w:r>
        <w:rPr>
          <w:szCs w:val="21"/>
        </w:rPr>
        <w:t>a.</w:t>
      </w:r>
      <w:r>
        <w:rPr>
          <w:szCs w:val="21"/>
        </w:rPr>
        <w:tab/>
      </w:r>
      <w:r>
        <w:rPr>
          <w:szCs w:val="21"/>
        </w:rPr>
        <w:t>定量评价与定性评价相结合</w:t>
      </w:r>
    </w:p>
    <w:p>
      <w:pPr>
        <w:widowControl/>
        <w:spacing w:line="360" w:lineRule="auto"/>
        <w:ind w:firstLine="420" w:firstLineChars="200"/>
        <w:jc w:val="left"/>
        <w:rPr>
          <w:szCs w:val="21"/>
        </w:rPr>
      </w:pPr>
      <w:r>
        <w:rPr>
          <w:szCs w:val="21"/>
        </w:rPr>
        <w:t>定量评价可采用百分制或等级制的方式。定量评价的形式有标准化作业、开放性作业等。定性评价可以采取问卷调查、表现性评价等方法，使用激励性语言全面、客观地描述学生的状况。</w:t>
      </w:r>
    </w:p>
    <w:p>
      <w:pPr>
        <w:widowControl/>
        <w:spacing w:line="360" w:lineRule="auto"/>
        <w:ind w:firstLine="420" w:firstLineChars="200"/>
        <w:jc w:val="left"/>
        <w:rPr>
          <w:szCs w:val="21"/>
        </w:rPr>
      </w:pPr>
      <w:r>
        <w:rPr>
          <w:szCs w:val="21"/>
        </w:rPr>
        <w:t>b.</w:t>
      </w:r>
      <w:r>
        <w:rPr>
          <w:szCs w:val="21"/>
        </w:rPr>
        <w:tab/>
      </w:r>
      <w:r>
        <w:rPr>
          <w:szCs w:val="21"/>
        </w:rPr>
        <w:t>书面测试与试验操作技能测试相结合</w:t>
      </w:r>
    </w:p>
    <w:p>
      <w:pPr>
        <w:widowControl/>
        <w:spacing w:line="360" w:lineRule="auto"/>
        <w:ind w:firstLine="420" w:firstLineChars="200"/>
        <w:jc w:val="left"/>
        <w:rPr>
          <w:szCs w:val="21"/>
        </w:rPr>
      </w:pPr>
      <w:r>
        <w:rPr>
          <w:szCs w:val="21"/>
        </w:rPr>
        <w:t>根据不同学习内容模块的目标要求，书面测试与试验操作技能测试应结合实施。试验操作技能测试应着重强调学生的操作能力、动手能力，不过分强调数量。书面测试应适当减少客观题，增加有助于学生思维表达的主观题，以检测学生的综合知识运用能力。</w:t>
      </w:r>
    </w:p>
    <w:p>
      <w:pPr>
        <w:widowControl/>
        <w:spacing w:line="360" w:lineRule="auto"/>
        <w:ind w:firstLine="420" w:firstLineChars="200"/>
        <w:jc w:val="left"/>
        <w:rPr>
          <w:szCs w:val="21"/>
        </w:rPr>
      </w:pPr>
      <w:r>
        <w:rPr>
          <w:szCs w:val="21"/>
        </w:rPr>
        <w:t>c.</w:t>
      </w:r>
      <w:r>
        <w:rPr>
          <w:szCs w:val="21"/>
        </w:rPr>
        <w:tab/>
      </w:r>
      <w:r>
        <w:rPr>
          <w:szCs w:val="21"/>
        </w:rPr>
        <w:t>课内与课外相结合</w:t>
      </w:r>
    </w:p>
    <w:p>
      <w:pPr>
        <w:widowControl/>
        <w:spacing w:line="360" w:lineRule="auto"/>
        <w:ind w:firstLine="420" w:firstLineChars="200"/>
        <w:jc w:val="left"/>
        <w:rPr>
          <w:szCs w:val="21"/>
        </w:rPr>
      </w:pPr>
      <w:r>
        <w:rPr>
          <w:szCs w:val="21"/>
        </w:rPr>
        <w:t>课内与课外评价相结合，引导学生利用课余时间进行进一步的学习、巩固和提高专业知识。</w:t>
      </w:r>
    </w:p>
    <w:p>
      <w:pPr>
        <w:widowControl/>
        <w:snapToGrid w:val="0"/>
        <w:spacing w:line="360" w:lineRule="auto"/>
        <w:ind w:firstLine="420"/>
        <w:jc w:val="left"/>
        <w:rPr>
          <w:b/>
          <w:bCs/>
          <w:kern w:val="0"/>
          <w:szCs w:val="21"/>
        </w:rPr>
      </w:pPr>
      <w:r>
        <w:rPr>
          <w:b/>
          <w:bCs/>
          <w:kern w:val="0"/>
          <w:szCs w:val="21"/>
        </w:rPr>
        <w:t>2、终结性评价：</w:t>
      </w:r>
      <w:r>
        <w:t>闭卷考试</w:t>
      </w:r>
      <w:r>
        <w:rPr>
          <w:kern w:val="0"/>
          <w:szCs w:val="21"/>
        </w:rPr>
        <w:t>，占比70%。</w:t>
      </w:r>
    </w:p>
    <w:p>
      <w:pPr>
        <w:widowControl/>
        <w:snapToGrid w:val="0"/>
        <w:spacing w:line="360" w:lineRule="auto"/>
        <w:ind w:firstLine="420"/>
        <w:jc w:val="left"/>
        <w:rPr>
          <w:szCs w:val="21"/>
        </w:rPr>
      </w:pPr>
      <w:r>
        <w:rPr>
          <w:b/>
          <w:bCs/>
          <w:kern w:val="0"/>
          <w:szCs w:val="21"/>
        </w:rPr>
        <w:t>3、课程综合评价：</w:t>
      </w:r>
      <w:r>
        <w:rPr>
          <w:szCs w:val="21"/>
        </w:rPr>
        <w:t>本课程综合评价采用过程性考核与终结性考核相结合的方式，</w:t>
      </w:r>
      <w:r>
        <w:rPr>
          <w:kern w:val="0"/>
          <w:szCs w:val="21"/>
        </w:rPr>
        <w:t>过程性评价50%+终结性评价50%。</w:t>
      </w:r>
    </w:p>
    <w:p>
      <w:pPr>
        <w:pStyle w:val="21"/>
        <w:rPr>
          <w:bCs w:val="0"/>
          <w:sz w:val="28"/>
          <w:szCs w:val="28"/>
        </w:rPr>
      </w:pPr>
      <w:bookmarkStart w:id="319" w:name="_Toc138076082"/>
      <w:bookmarkStart w:id="320" w:name="_Toc138070712"/>
      <w:bookmarkStart w:id="321" w:name="_Toc138070442"/>
      <w:bookmarkStart w:id="322" w:name="_Toc138068812"/>
      <w:bookmarkStart w:id="323" w:name="_Toc138076626"/>
      <w:bookmarkStart w:id="324" w:name="_Toc138076331"/>
    </w:p>
    <w:p>
      <w:pPr>
        <w:widowControl/>
        <w:jc w:val="left"/>
        <w:rPr>
          <w:rFonts w:asciiTheme="majorHAnsi" w:hAnsiTheme="majorHAnsi" w:eastAsiaTheme="majorEastAsia" w:cstheme="majorBidi"/>
          <w:b/>
          <w:sz w:val="28"/>
          <w:szCs w:val="28"/>
        </w:rPr>
      </w:pPr>
      <w:bookmarkStart w:id="325" w:name="_Toc2756"/>
      <w:r>
        <w:rPr>
          <w:bCs/>
          <w:sz w:val="28"/>
          <w:szCs w:val="28"/>
        </w:rPr>
        <w:br w:type="page"/>
      </w:r>
    </w:p>
    <w:p>
      <w:pPr>
        <w:pStyle w:val="21"/>
        <w:rPr>
          <w:bCs w:val="0"/>
          <w:sz w:val="28"/>
          <w:szCs w:val="28"/>
        </w:rPr>
      </w:pPr>
      <w:r>
        <w:rPr>
          <w:rFonts w:hint="eastAsia"/>
          <w:bCs w:val="0"/>
          <w:sz w:val="28"/>
          <w:szCs w:val="28"/>
        </w:rPr>
        <w:t>工厂化育苗原理与技术</w:t>
      </w:r>
      <w:bookmarkEnd w:id="319"/>
      <w:bookmarkEnd w:id="320"/>
      <w:bookmarkEnd w:id="321"/>
      <w:bookmarkEnd w:id="322"/>
      <w:bookmarkEnd w:id="323"/>
      <w:bookmarkEnd w:id="324"/>
      <w:bookmarkEnd w:id="325"/>
    </w:p>
    <w:p>
      <w:pPr>
        <w:snapToGrid w:val="0"/>
        <w:spacing w:line="360" w:lineRule="auto"/>
        <w:jc w:val="center"/>
        <w:rPr>
          <w:color w:val="000000" w:themeColor="text1"/>
          <w:sz w:val="24"/>
          <w14:textFill>
            <w14:solidFill>
              <w14:schemeClr w14:val="tx1"/>
            </w14:solidFill>
          </w14:textFill>
        </w:rPr>
      </w:pPr>
      <w:r>
        <w:rPr>
          <w:bCs/>
          <w:color w:val="000000" w:themeColor="text1"/>
          <w:sz w:val="24"/>
          <w14:textFill>
            <w14:solidFill>
              <w14:schemeClr w14:val="tx1"/>
            </w14:solidFill>
          </w14:textFill>
        </w:rPr>
        <w:t>Principles and Technologies for Industrialized Seedling Production</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2582"/>
        <w:gridCol w:w="3413"/>
        <w:gridCol w:w="3121"/>
      </w:tblGrid>
      <w:tr>
        <w:tblPrEx>
          <w:tblCellMar>
            <w:top w:w="0" w:type="dxa"/>
            <w:left w:w="108" w:type="dxa"/>
            <w:bottom w:w="0" w:type="dxa"/>
            <w:right w:w="108" w:type="dxa"/>
          </w:tblCellMar>
        </w:tblPrEx>
        <w:tc>
          <w:tcPr>
            <w:tcW w:w="1416"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课程编号：</w:t>
            </w:r>
            <w:r>
              <w:rPr>
                <w:rFonts w:hint="eastAsia" w:ascii="宋体" w:hAnsi="宋体"/>
                <w:b/>
                <w:color w:val="000000" w:themeColor="text1"/>
                <w:szCs w:val="21"/>
                <w14:textFill>
                  <w14:solidFill>
                    <w14:schemeClr w14:val="tx1"/>
                  </w14:solidFill>
                </w14:textFill>
              </w:rPr>
              <w:t>1</w:t>
            </w:r>
            <w:r>
              <w:rPr>
                <w:rFonts w:ascii="宋体" w:hAnsi="宋体"/>
                <w:b/>
                <w:color w:val="000000" w:themeColor="text1"/>
                <w:szCs w:val="21"/>
                <w14:textFill>
                  <w14:solidFill>
                    <w14:schemeClr w14:val="tx1"/>
                  </w14:solidFill>
                </w14:textFill>
              </w:rPr>
              <w:t>9011042</w:t>
            </w:r>
          </w:p>
        </w:tc>
        <w:tc>
          <w:tcPr>
            <w:tcW w:w="1872"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课程总学时：</w:t>
            </w:r>
            <w:r>
              <w:rPr>
                <w:rFonts w:ascii="宋体" w:hAnsi="宋体"/>
                <w:b/>
                <w:color w:val="000000" w:themeColor="text1"/>
                <w:szCs w:val="21"/>
                <w14:textFill>
                  <w14:solidFill>
                    <w14:schemeClr w14:val="tx1"/>
                  </w14:solidFill>
                </w14:textFill>
              </w:rPr>
              <w:t>32</w:t>
            </w:r>
            <w:r>
              <w:rPr>
                <w:rFonts w:hint="eastAsia" w:ascii="宋体" w:hAnsi="宋体"/>
                <w:b/>
                <w:color w:val="000000" w:themeColor="text1"/>
                <w:szCs w:val="21"/>
                <w14:textFill>
                  <w14:solidFill>
                    <w14:schemeClr w14:val="tx1"/>
                  </w14:solidFill>
                </w14:textFill>
              </w:rPr>
              <w:t>学时</w:t>
            </w:r>
          </w:p>
        </w:tc>
        <w:tc>
          <w:tcPr>
            <w:tcW w:w="1710" w:type="pct"/>
          </w:tcPr>
          <w:p>
            <w:pPr>
              <w:spacing w:line="30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实验学时：</w:t>
            </w:r>
            <w:r>
              <w:rPr>
                <w:rFonts w:ascii="宋体" w:hAnsi="宋体"/>
                <w:b/>
                <w:color w:val="000000" w:themeColor="text1"/>
                <w:szCs w:val="21"/>
                <w14:textFill>
                  <w14:solidFill>
                    <w14:schemeClr w14:val="tx1"/>
                  </w14:solidFill>
                </w14:textFill>
              </w:rPr>
              <w:t>12</w:t>
            </w:r>
            <w:r>
              <w:rPr>
                <w:rFonts w:hint="eastAsia" w:ascii="宋体" w:hAnsi="宋体"/>
                <w:b/>
                <w:color w:val="000000" w:themeColor="text1"/>
                <w:szCs w:val="21"/>
                <w14:textFill>
                  <w14:solidFill>
                    <w14:schemeClr w14:val="tx1"/>
                  </w14:solidFill>
                </w14:textFill>
              </w:rPr>
              <w:t>学时</w:t>
            </w:r>
          </w:p>
        </w:tc>
      </w:tr>
      <w:tr>
        <w:tblPrEx>
          <w:tblCellMar>
            <w:top w:w="0" w:type="dxa"/>
            <w:left w:w="108" w:type="dxa"/>
            <w:bottom w:w="0" w:type="dxa"/>
            <w:right w:w="108" w:type="dxa"/>
          </w:tblCellMar>
        </w:tblPrEx>
        <w:tc>
          <w:tcPr>
            <w:tcW w:w="1416"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课程性质：</w:t>
            </w:r>
            <w:r>
              <w:rPr>
                <w:rFonts w:hint="eastAsia" w:hAnsi="宋体"/>
                <w:b/>
                <w:bCs/>
                <w:color w:val="000000" w:themeColor="text1"/>
                <w:szCs w:val="21"/>
                <w14:textFill>
                  <w14:solidFill>
                    <w14:schemeClr w14:val="tx1"/>
                  </w14:solidFill>
                </w14:textFill>
              </w:rPr>
              <w:t>选修</w:t>
            </w:r>
          </w:p>
        </w:tc>
        <w:tc>
          <w:tcPr>
            <w:tcW w:w="1872"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课程属性:专业类</w:t>
            </w:r>
          </w:p>
        </w:tc>
        <w:tc>
          <w:tcPr>
            <w:tcW w:w="1710" w:type="pct"/>
          </w:tcPr>
          <w:p>
            <w:pPr>
              <w:spacing w:line="30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开设学期：</w:t>
            </w:r>
            <w:r>
              <w:rPr>
                <w:rFonts w:hint="eastAsia" w:ascii="宋体" w:hAnsi="宋体"/>
                <w:b/>
                <w:color w:val="000000" w:themeColor="text1"/>
                <w:szCs w:val="21"/>
                <w14:textFill>
                  <w14:solidFill>
                    <w14:schemeClr w14:val="tx1"/>
                  </w14:solidFill>
                </w14:textFill>
              </w:rPr>
              <w:t>第</w:t>
            </w:r>
            <w:r>
              <w:rPr>
                <w:rFonts w:ascii="宋体" w:hAnsi="宋体"/>
                <w:b/>
                <w:color w:val="000000" w:themeColor="text1"/>
                <w:szCs w:val="21"/>
                <w14:textFill>
                  <w14:solidFill>
                    <w14:schemeClr w14:val="tx1"/>
                  </w14:solidFill>
                </w14:textFill>
              </w:rPr>
              <w:t>5</w:t>
            </w:r>
            <w:r>
              <w:rPr>
                <w:rFonts w:hint="eastAsia" w:ascii="宋体" w:hAnsi="宋体"/>
                <w:b/>
                <w:color w:val="000000" w:themeColor="text1"/>
                <w:szCs w:val="21"/>
                <w14:textFill>
                  <w14:solidFill>
                    <w14:schemeClr w14:val="tx1"/>
                  </w14:solidFill>
                </w14:textFill>
              </w:rPr>
              <w:t>学期</w:t>
            </w:r>
          </w:p>
        </w:tc>
      </w:tr>
      <w:tr>
        <w:tblPrEx>
          <w:tblCellMar>
            <w:top w:w="0" w:type="dxa"/>
            <w:left w:w="108" w:type="dxa"/>
            <w:bottom w:w="0" w:type="dxa"/>
            <w:right w:w="108" w:type="dxa"/>
          </w:tblCellMar>
        </w:tblPrEx>
        <w:tc>
          <w:tcPr>
            <w:tcW w:w="1416"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课程负责人：</w:t>
            </w:r>
            <w:r>
              <w:rPr>
                <w:rFonts w:hint="eastAsia" w:ascii="宋体" w:hAnsi="宋体"/>
                <w:b/>
                <w:color w:val="000000" w:themeColor="text1"/>
                <w:szCs w:val="21"/>
                <w14:textFill>
                  <w14:solidFill>
                    <w14:schemeClr w14:val="tx1"/>
                  </w14:solidFill>
                </w14:textFill>
              </w:rPr>
              <w:t>李阳</w:t>
            </w:r>
          </w:p>
        </w:tc>
        <w:tc>
          <w:tcPr>
            <w:tcW w:w="1872"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课程团队：</w:t>
            </w:r>
            <w:r>
              <w:rPr>
                <w:rFonts w:hint="eastAsia" w:ascii="宋体" w:hAnsi="宋体"/>
                <w:b/>
                <w:color w:val="000000" w:themeColor="text1"/>
                <w:szCs w:val="21"/>
                <w14:textFill>
                  <w14:solidFill>
                    <w14:schemeClr w14:val="tx1"/>
                  </w14:solidFill>
                </w14:textFill>
              </w:rPr>
              <w:t>李胜利</w:t>
            </w:r>
            <w:r>
              <w:rPr>
                <w:rFonts w:hint="eastAsia" w:ascii="宋体" w:hAnsi="宋体"/>
                <w:b/>
                <w:color w:val="000000" w:themeColor="text1"/>
                <w:szCs w:val="21"/>
                <w:lang w:eastAsia="zh-CN"/>
                <w14:textFill>
                  <w14:solidFill>
                    <w14:schemeClr w14:val="tx1"/>
                  </w14:solidFill>
                </w14:textFill>
              </w:rPr>
              <w:t>、</w:t>
            </w:r>
            <w:r>
              <w:rPr>
                <w:rFonts w:hint="eastAsia" w:ascii="宋体" w:hAnsi="宋体"/>
                <w:b/>
                <w:color w:val="000000" w:themeColor="text1"/>
                <w:szCs w:val="21"/>
                <w14:textFill>
                  <w14:solidFill>
                    <w14:schemeClr w14:val="tx1"/>
                  </w14:solidFill>
                </w14:textFill>
              </w:rPr>
              <w:t>李猛</w:t>
            </w:r>
            <w:r>
              <w:rPr>
                <w:rFonts w:hint="eastAsia" w:ascii="宋体" w:hAnsi="宋体"/>
                <w:b/>
                <w:color w:val="000000" w:themeColor="text1"/>
                <w:szCs w:val="21"/>
                <w:lang w:eastAsia="zh-CN"/>
                <w14:textFill>
                  <w14:solidFill>
                    <w14:schemeClr w14:val="tx1"/>
                  </w14:solidFill>
                </w14:textFill>
              </w:rPr>
              <w:t>、</w:t>
            </w:r>
            <w:r>
              <w:rPr>
                <w:rFonts w:hint="eastAsia" w:ascii="宋体" w:hAnsi="宋体"/>
                <w:b/>
                <w:color w:val="000000" w:themeColor="text1"/>
                <w:szCs w:val="21"/>
                <w14:textFill>
                  <w14:solidFill>
                    <w14:schemeClr w14:val="tx1"/>
                  </w14:solidFill>
                </w14:textFill>
              </w:rPr>
              <w:t>吴帼秀</w:t>
            </w:r>
          </w:p>
        </w:tc>
        <w:tc>
          <w:tcPr>
            <w:tcW w:w="1710" w:type="pct"/>
          </w:tcPr>
          <w:p>
            <w:pPr>
              <w:spacing w:line="300" w:lineRule="auto"/>
              <w:ind w:firstLine="422"/>
              <w:rPr>
                <w:rFonts w:hint="eastAsia" w:ascii="宋体" w:hAnsi="宋体" w:eastAsia="宋体"/>
                <w:b/>
                <w:bCs/>
                <w:color w:val="000000" w:themeColor="text1"/>
                <w:szCs w:val="21"/>
                <w:lang w:eastAsia="zh-CN"/>
                <w14:textFill>
                  <w14:solidFill>
                    <w14:schemeClr w14:val="tx1"/>
                  </w14:solidFill>
                </w14:textFill>
              </w:rPr>
            </w:pPr>
            <w:r>
              <w:rPr>
                <w:rFonts w:hint="eastAsia" w:ascii="宋体" w:hAnsi="宋体"/>
                <w:b/>
                <w:bCs/>
                <w:color w:val="000000" w:themeColor="text1"/>
                <w:szCs w:val="21"/>
                <w14:textFill>
                  <w14:solidFill>
                    <w14:schemeClr w14:val="tx1"/>
                  </w14:solidFill>
                </w14:textFill>
              </w:rPr>
              <w:t>授课语言：</w:t>
            </w:r>
            <w:r>
              <w:rPr>
                <w:rFonts w:hint="eastAsia" w:ascii="宋体" w:hAnsi="宋体"/>
                <w:b/>
                <w:color w:val="000000" w:themeColor="text1"/>
                <w:szCs w:val="21"/>
                <w:lang w:eastAsia="zh-CN"/>
                <w14:textFill>
                  <w14:solidFill>
                    <w14:schemeClr w14:val="tx1"/>
                  </w14:solidFill>
                </w14:textFill>
              </w:rPr>
              <w:t>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适用专业：设施农业科学与工程；核心</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对先修的要求：（掌握基本的化学知识，了解常规的化学反应；了解植物对营养物质的吸收、运输、转化和利用等方面相关知识；掌握植物细胞、种子和植物组织的基本概念；掌握植物水分生理、矿质营养、光合作用和植物生长物质相关知识。对先修课程的要求：《分析化学》，《土壤肥料学》，《植物学》，《植物生理学》。</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对后续的支撑：（对后续《农业园区规划与管理》中育苗场的规划提供理论支撑，对《设施花卉栽培学》和《设施果树栽培学》中育苗技术方面起到引导学习作用。</w:t>
            </w:r>
          </w:p>
        </w:tc>
      </w:tr>
      <w:tr>
        <w:tblPrEx>
          <w:tblCellMar>
            <w:top w:w="0" w:type="dxa"/>
            <w:left w:w="108" w:type="dxa"/>
            <w:bottom w:w="0" w:type="dxa"/>
            <w:right w:w="108" w:type="dxa"/>
          </w:tblCellMar>
        </w:tblPrEx>
        <w:tc>
          <w:tcPr>
            <w:tcW w:w="1416"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主撰人：李阳</w:t>
            </w:r>
          </w:p>
        </w:tc>
        <w:tc>
          <w:tcPr>
            <w:tcW w:w="1872"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审核人：李胜利</w:t>
            </w:r>
          </w:p>
        </w:tc>
        <w:tc>
          <w:tcPr>
            <w:tcW w:w="1710"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《工厂化育苗原理与技术》是园艺专业的选修课程，全学程共计</w:t>
      </w:r>
      <w:r>
        <w:rPr>
          <w:color w:val="000000" w:themeColor="text1"/>
          <w:kern w:val="0"/>
          <w:szCs w:val="21"/>
          <w14:textFill>
            <w14:solidFill>
              <w14:schemeClr w14:val="tx1"/>
            </w14:solidFill>
          </w14:textFill>
        </w:rPr>
        <w:t>32</w:t>
      </w:r>
      <w:r>
        <w:rPr>
          <w:rFonts w:hint="eastAsia"/>
          <w:color w:val="000000" w:themeColor="text1"/>
          <w:kern w:val="0"/>
          <w:szCs w:val="21"/>
          <w14:textFill>
            <w14:solidFill>
              <w14:schemeClr w14:val="tx1"/>
            </w14:solidFill>
          </w14:textFill>
        </w:rPr>
        <w:t>学时，</w:t>
      </w:r>
      <w:r>
        <w:rPr>
          <w:color w:val="000000" w:themeColor="text1"/>
          <w:kern w:val="0"/>
          <w:szCs w:val="21"/>
          <w14:textFill>
            <w14:solidFill>
              <w14:schemeClr w14:val="tx1"/>
            </w14:solidFill>
          </w14:textFill>
        </w:rPr>
        <w:t>2</w:t>
      </w:r>
      <w:r>
        <w:rPr>
          <w:rFonts w:hint="eastAsia"/>
          <w:color w:val="000000" w:themeColor="text1"/>
          <w:kern w:val="0"/>
          <w:szCs w:val="21"/>
          <w14:textFill>
            <w14:solidFill>
              <w14:schemeClr w14:val="tx1"/>
            </w14:solidFill>
          </w14:textFill>
        </w:rPr>
        <w:t>学分。近年来以蔬菜和花卉穴盘育苗为代表的工厂化育苗技术发展迅速，所形成的种苗产业是我国设施农业应用的主要领域，工厂化育苗已成为我国园艺作物实现标准化生产的重要组成部分。本门课程主要讲授育苗基础知识、育苗设施与设备、育苗基质、育苗方式、育苗质量控制、主要园艺作物工厂化育苗技术、种苗的经营与管理等内容，培养适应现代种苗产业需要的专业素质和基本技能。课程重在拓宽学生的专业视野，强化园艺植物育苗方面的知识与技能，满足现代种苗产业兴起和快速发展对高素质专门人才的需求，实现宽口径培养人才的目标。</w:t>
      </w:r>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课程的核心学习结果目标基于产业需求及行业研究进展，核心目标是培养学生具备能够胜任园艺作物育苗企业工作的基本素质，也为学生的进一步深造打下坚实理论基础。课程采用“学、教、互动、实践、过程性考核”的教学模式，引导学生自主学习并提出思考，教师学生互动共同学习，实践环节通过技能竞赛形式进行考察，理论与实践相结合强化学习效果，并培养学生创新思维。</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rPr>
          <w:kern w:val="0"/>
          <w:szCs w:val="21"/>
        </w:rPr>
      </w:pPr>
      <w:r>
        <w:rPr>
          <w:rFonts w:hint="eastAsia"/>
          <w:kern w:val="0"/>
          <w:szCs w:val="21"/>
        </w:rPr>
        <w:t>1.</w:t>
      </w:r>
      <w:r>
        <w:rPr>
          <w:rFonts w:hAnsi="宋体"/>
          <w:kern w:val="0"/>
          <w:szCs w:val="21"/>
        </w:rPr>
        <w:t>理论知识方面：</w:t>
      </w:r>
      <w:r>
        <w:rPr>
          <w:rFonts w:hint="eastAsia" w:hAnsi="宋体"/>
          <w:kern w:val="0"/>
          <w:szCs w:val="21"/>
        </w:rPr>
        <w:t>了解工厂化育苗的国内外最新研究进展和育苗产业发展态势，了解工厂化育苗的设施与设备，育苗基质；掌握工厂化育苗方式、育苗质量控制、主要园艺作物工厂化育苗技术、种苗的经营与管理等，使学生系统掌握集约化、工厂化育苗的相关理论和技术。</w:t>
      </w:r>
    </w:p>
    <w:p>
      <w:pPr>
        <w:widowControl/>
        <w:snapToGrid w:val="0"/>
        <w:spacing w:line="360" w:lineRule="auto"/>
        <w:ind w:firstLine="420" w:firstLineChars="200"/>
        <w:jc w:val="left"/>
        <w:rPr>
          <w:rFonts w:hAnsi="宋体"/>
          <w:bCs/>
          <w:color w:val="0000FF"/>
          <w:kern w:val="0"/>
          <w:szCs w:val="21"/>
        </w:rPr>
      </w:pPr>
      <w:r>
        <w:rPr>
          <w:rFonts w:hint="eastAsia"/>
          <w:kern w:val="0"/>
          <w:szCs w:val="21"/>
        </w:rPr>
        <w:t>2.</w:t>
      </w:r>
      <w:r>
        <w:rPr>
          <w:rFonts w:hAnsi="宋体"/>
          <w:kern w:val="0"/>
          <w:szCs w:val="21"/>
        </w:rPr>
        <w:t>实验技能方面：</w:t>
      </w:r>
      <w:r>
        <w:rPr>
          <w:rFonts w:hint="eastAsia" w:hAnsi="宋体"/>
          <w:kern w:val="0"/>
          <w:szCs w:val="21"/>
        </w:rPr>
        <w:t>掌握识别不同种子形态特征及分类的方法；掌握种子质量检验技术；掌握不同种类育苗基质理化性质的测定；了解穴盘规格对蔬菜秧苗质量的影响；熟练掌握秧苗质量检验技术和果菜类蔬菜嫁接育苗技能。</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spacing w:line="360" w:lineRule="auto"/>
        <w:ind w:firstLine="420" w:firstLineChars="200"/>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与传统育苗相比，工厂化育苗在育苗方式、育苗技术、育苗环境控制、育苗设施上都有很大差异。基于本课程特点，学生不仅需要掌握传统农艺学知识外，还应对组织培养、园艺设施、环境控制设备及经营管理知识有较为深入的了解。作为一门交叉性课程，工厂化育苗原理与技术知识点范围广、知识点多，与前导课程内容前后关联性强。同时本门课程对实际操作能力有较高的要求，在熟练掌握基本理论知识的基础上，本门课程设置了多个实验环节，锻炼学生的动手操作能力。根据本课程特点，教学方法以讲授法为主，在课程实施中穿插进行小组讨论、具体案例分析、实地调研、嫁接技能竞赛等环节，使学生能够完成从理论到实践，以实践经验再重新巩固理论的教学过程。最后，课程将从实验成绩、技能竞赛和闭卷考试等环节多远评价学生对知识的掌握情况。</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目标1：使学生具备根据作物类型设计培养基的能力。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3</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highlight w:val="yellow"/>
                <w14:textFill>
                  <w14:solidFill>
                    <w14:schemeClr w14:val="tx1"/>
                  </w14:solidFill>
                </w14:textFill>
              </w:rPr>
            </w:pPr>
            <w:r>
              <w:rPr>
                <w:rFonts w:hAnsiTheme="minorEastAsia" w:eastAsiaTheme="minorEastAsia"/>
                <w:color w:val="000000" w:themeColor="text1"/>
                <w:sz w:val="18"/>
                <w:szCs w:val="18"/>
                <w14:textFill>
                  <w14:solidFill>
                    <w14:schemeClr w14:val="tx1"/>
                  </w14:solidFill>
                </w14:textFill>
              </w:rPr>
              <w:t>目标</w:t>
            </w:r>
            <w:r>
              <w:rPr>
                <w:rFonts w:eastAsiaTheme="minorEastAsia"/>
                <w:color w:val="000000" w:themeColor="text1"/>
                <w:sz w:val="18"/>
                <w:szCs w:val="18"/>
                <w14:textFill>
                  <w14:solidFill>
                    <w14:schemeClr w14:val="tx1"/>
                  </w14:solidFill>
                </w14:textFill>
              </w:rPr>
              <w:t>2</w:t>
            </w:r>
            <w:r>
              <w:rPr>
                <w:rFonts w:hAnsiTheme="minorEastAsia" w:eastAsiaTheme="minorEastAsia"/>
                <w:color w:val="000000" w:themeColor="text1"/>
                <w:sz w:val="18"/>
                <w:szCs w:val="18"/>
                <w14:textFill>
                  <w14:solidFill>
                    <w14:schemeClr w14:val="tx1"/>
                  </w14:solidFill>
                </w14:textFill>
              </w:rPr>
              <w:t>：</w:t>
            </w:r>
            <w:r>
              <w:rPr>
                <w:rFonts w:hint="eastAsia" w:eastAsiaTheme="minorEastAsia"/>
                <w:color w:val="000000" w:themeColor="text1"/>
                <w:sz w:val="18"/>
                <w:szCs w:val="18"/>
                <w14:textFill>
                  <w14:solidFill>
                    <w14:schemeClr w14:val="tx1"/>
                  </w14:solidFill>
                </w14:textFill>
              </w:rPr>
              <w:t>使学生具备工厂化育苗园区的基本规划设计能力。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5</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color w:val="000000" w:themeColor="text1"/>
                <w:sz w:val="18"/>
                <w:szCs w:val="18"/>
                <w14:textFill>
                  <w14:solidFill>
                    <w14:schemeClr w14:val="tx1"/>
                  </w14:solidFill>
                </w14:textFill>
              </w:rPr>
            </w:pPr>
            <w:r>
              <w:rPr>
                <w:rFonts w:hint="eastAsia" w:hAnsiTheme="minorEastAsia" w:eastAsiaTheme="minorEastAsia"/>
                <w:color w:val="000000" w:themeColor="text1"/>
                <w:sz w:val="18"/>
                <w:szCs w:val="18"/>
                <w14:textFill>
                  <w14:solidFill>
                    <w14:schemeClr w14:val="tx1"/>
                  </w14:solidFill>
                </w14:textFill>
              </w:rPr>
              <w:t>目标3：使学生掌握不同作物嫁接育的技术和嫁接设备的设计能力。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eastAsiaTheme="minorEastAsia"/>
                <w:color w:val="000000" w:themeColor="text1"/>
                <w:sz w:val="18"/>
                <w:szCs w:val="18"/>
                <w14:textFill>
                  <w14:solidFill>
                    <w14:schemeClr w14:val="tx1"/>
                  </w14:solidFill>
                </w14:textFill>
              </w:rPr>
              <w:t>6</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4</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color w:val="000000" w:themeColor="text1"/>
                <w:sz w:val="18"/>
                <w:szCs w:val="18"/>
                <w14:textFill>
                  <w14:solidFill>
                    <w14:schemeClr w14:val="tx1"/>
                  </w14:solidFill>
                </w14:textFill>
              </w:rPr>
            </w:pPr>
            <w:r>
              <w:rPr>
                <w:rFonts w:hint="eastAsia" w:hAnsi="宋体"/>
                <w:bCs/>
                <w:color w:val="000000" w:themeColor="text1"/>
                <w:sz w:val="18"/>
                <w:szCs w:val="18"/>
                <w14:textFill>
                  <w14:solidFill>
                    <w14:schemeClr w14:val="tx1"/>
                  </w14:solidFill>
                </w14:textFill>
              </w:rPr>
              <w:t>目标4：使学生具备开发新型节能环保型育苗基质的能力。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1</w:t>
            </w:r>
            <w:r>
              <w:rPr>
                <w:rFonts w:eastAsiaTheme="minorEastAsia"/>
                <w:color w:val="000000" w:themeColor="text1"/>
                <w:sz w:val="18"/>
                <w:szCs w:val="18"/>
                <w14:textFill>
                  <w14:solidFill>
                    <w14:schemeClr w14:val="tx1"/>
                  </w14:solidFill>
                </w14:textFill>
              </w:rPr>
              <w:t>0</w:t>
            </w:r>
          </w:p>
        </w:tc>
      </w:tr>
    </w:tbl>
    <w:p>
      <w:pPr>
        <w:widowControl/>
        <w:snapToGrid w:val="0"/>
        <w:spacing w:line="360" w:lineRule="auto"/>
        <w:jc w:val="left"/>
        <w:rPr>
          <w:rFonts w:hAnsi="宋体"/>
          <w:bCs/>
          <w:color w:val="0000FF"/>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hAnsi="宋体"/>
          <w:b/>
          <w:bCs/>
          <w:kern w:val="0"/>
          <w:szCs w:val="21"/>
        </w:rPr>
        <w:t>32</w:t>
      </w:r>
      <w:r>
        <w:rPr>
          <w:rFonts w:hint="eastAsia" w:hAnsi="宋体"/>
          <w:b/>
          <w:bCs/>
          <w:kern w:val="0"/>
          <w:szCs w:val="21"/>
        </w:rPr>
        <w:t>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绪论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rPr>
        <w:t>使学生初步了解工厂化育苗原理与技术的概念、任务；了解工厂化育苗在农业栽培生产中的重要地位；了解国内外工厂化育苗的发展现状及科研进展，明确工厂化育苗今后的发展趋势。</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rPr>
        <w:t>工厂化育苗与传统育苗的区别；与农业发达国家相比，我国工厂化育苗行业发展的现状、存在的问题及发展趋势。</w:t>
      </w:r>
      <w:r>
        <w:rPr>
          <w:rFonts w:hint="eastAsia" w:ascii="宋体" w:hAnsi="宋体" w:cs="宋体"/>
          <w:kern w:val="0"/>
          <w:szCs w:val="21"/>
        </w:rPr>
        <w:t></w:t>
      </w:r>
    </w:p>
    <w:p>
      <w:pPr>
        <w:widowControl/>
        <w:snapToGrid w:val="0"/>
        <w:spacing w:line="360" w:lineRule="auto"/>
        <w:rPr>
          <w:rFonts w:ascii="宋体" w:hAnsi="宋体"/>
          <w:b/>
        </w:rPr>
      </w:pPr>
      <w:r>
        <w:rPr>
          <w:rFonts w:hint="eastAsia" w:ascii="宋体" w:hAnsi="宋体"/>
          <w:b/>
        </w:rPr>
        <w:t>主要教学内容及要求：</w:t>
      </w:r>
      <w:r>
        <w:rPr>
          <w:rFonts w:hint="eastAsia" w:ascii="宋体" w:hAnsi="宋体"/>
          <w:bCs/>
        </w:rPr>
        <w:t>了解工厂化育苗的基本概念，与传统育苗的区别；了解国外工厂化育苗的历史与发展现状；掌握国内工厂化育苗的发展现状与不足；掌握国内工厂化育苗产业的发展趋势。</w:t>
      </w:r>
    </w:p>
    <w:p>
      <w:pPr>
        <w:widowControl/>
        <w:snapToGrid w:val="0"/>
        <w:spacing w:line="360" w:lineRule="auto"/>
        <w:rPr>
          <w:rFonts w:hAnsi="宋体"/>
          <w:b/>
          <w:bCs/>
          <w:kern w:val="0"/>
          <w:szCs w:val="21"/>
        </w:rPr>
      </w:pPr>
      <w:r>
        <w:rPr>
          <w:rFonts w:hint="eastAsia" w:ascii="宋体" w:hAnsi="宋体"/>
          <w:b/>
          <w:bCs/>
        </w:rPr>
        <w:t>教学组织与实施：</w:t>
      </w:r>
      <w:r>
        <w:rPr>
          <w:rFonts w:hint="eastAsia" w:ascii="宋体" w:hAnsi="宋体"/>
        </w:rPr>
        <w:t>教师先带领学生回顾一下我国育苗方式的历史沿革，提出问题：以前传统的育苗方式存在什么问题，如何来解决这些问题？通过小组讨论让学生提出自己的想法，激发学生兴趣；然后教师向学生介绍工厂化育苗出现的背景及发展，介绍工厂化育苗技术的优势；最后，强调种苗在园艺生产中的重要性以及我国种苗市场的广阔前景，使学生对本门课程产生兴趣。</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第一章</w:t>
            </w:r>
            <w:r>
              <w:rPr>
                <w:rFonts w:hint="eastAsia"/>
                <w:b/>
                <w:bCs/>
                <w:szCs w:val="21"/>
              </w:rPr>
              <w:t xml:space="preserve">  育苗基础知识</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了解种子结构与萌发，掌握种子质量检验和质量控制技术；了解种子萌发的条件，掌</w:t>
      </w:r>
    </w:p>
    <w:p>
      <w:pPr>
        <w:widowControl/>
        <w:snapToGrid w:val="0"/>
        <w:spacing w:line="360" w:lineRule="auto"/>
        <w:rPr>
          <w:rFonts w:hAnsi="宋体"/>
          <w:b/>
          <w:bCs/>
          <w:kern w:val="0"/>
          <w:szCs w:val="21"/>
        </w:rPr>
      </w:pPr>
      <w:r>
        <w:rPr>
          <w:rFonts w:hint="eastAsia" w:ascii="宋体" w:hAnsi="宋体"/>
          <w:bCs/>
        </w:rPr>
        <w:t>握种子播前处理技术和播种育苗技术。</w:t>
      </w:r>
      <w:r>
        <w:rPr>
          <w:rFonts w:hint="eastAsia" w:ascii="宋体" w:hAnsi="宋体" w:cs="宋体"/>
          <w:kern w:val="0"/>
          <w:szCs w:val="21"/>
        </w:rPr>
        <w:t></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本章重点内容为种子质量与播前处理技术、播种育苗关键技术。难点为种子质</w:t>
      </w:r>
    </w:p>
    <w:p>
      <w:pPr>
        <w:widowControl/>
        <w:snapToGrid w:val="0"/>
        <w:spacing w:line="360" w:lineRule="auto"/>
        <w:rPr>
          <w:rFonts w:hAnsi="宋体"/>
          <w:b/>
          <w:bCs/>
          <w:kern w:val="0"/>
          <w:szCs w:val="21"/>
        </w:rPr>
      </w:pPr>
      <w:r>
        <w:rPr>
          <w:rFonts w:hint="eastAsia" w:ascii="宋体" w:hAnsi="宋体"/>
          <w:bCs/>
        </w:rPr>
        <w:t>量控制技术。</w:t>
      </w:r>
    </w:p>
    <w:p>
      <w:pPr>
        <w:widowControl/>
        <w:snapToGrid w:val="0"/>
        <w:spacing w:line="360" w:lineRule="auto"/>
        <w:rPr>
          <w:rFonts w:ascii="宋体" w:hAnsi="宋体"/>
          <w:bCs/>
        </w:rPr>
      </w:pPr>
      <w:r>
        <w:rPr>
          <w:rFonts w:hint="eastAsia" w:ascii="宋体" w:hAnsi="宋体"/>
          <w:b/>
        </w:rPr>
        <w:t>主要教学内容及要求：</w:t>
      </w:r>
      <w:r>
        <w:rPr>
          <w:rFonts w:hint="eastAsia" w:ascii="宋体" w:hAnsi="宋体"/>
          <w:bCs/>
        </w:rPr>
        <w:t>了解种子的发育结构和发育成熟过程，理解种子萌发所需要的环境条件，掌握种子质量检验和质量控制技术，熟练掌握种子播前处理技术和播种育苗关键技术。</w:t>
      </w:r>
    </w:p>
    <w:p>
      <w:pPr>
        <w:widowControl/>
        <w:snapToGrid w:val="0"/>
        <w:spacing w:line="360" w:lineRule="auto"/>
        <w:rPr>
          <w:rFonts w:ascii="宋体" w:hAnsi="宋体"/>
          <w:bCs/>
        </w:rPr>
      </w:pPr>
      <w:r>
        <w:rPr>
          <w:rFonts w:hint="eastAsia" w:ascii="宋体" w:hAnsi="宋体"/>
          <w:bCs/>
        </w:rPr>
        <w:t>第一节 种子结构与萌发</w:t>
      </w:r>
    </w:p>
    <w:p>
      <w:pPr>
        <w:widowControl/>
        <w:snapToGrid w:val="0"/>
        <w:spacing w:line="360" w:lineRule="auto"/>
        <w:rPr>
          <w:rFonts w:ascii="宋体" w:hAnsi="宋体"/>
          <w:bCs/>
        </w:rPr>
      </w:pPr>
      <w:r>
        <w:rPr>
          <w:rFonts w:hint="eastAsia" w:ascii="宋体" w:hAnsi="宋体"/>
          <w:bCs/>
        </w:rPr>
        <w:t>第二节 种子质量和种子处理</w:t>
      </w:r>
    </w:p>
    <w:p>
      <w:pPr>
        <w:snapToGrid w:val="0"/>
        <w:spacing w:line="360" w:lineRule="auto"/>
        <w:rPr>
          <w:rFonts w:ascii="宋体" w:hAnsi="宋体"/>
          <w:bCs/>
        </w:rPr>
      </w:pPr>
      <w:r>
        <w:rPr>
          <w:rFonts w:hint="eastAsia" w:ascii="宋体" w:hAnsi="宋体"/>
          <w:b/>
          <w:bCs/>
        </w:rPr>
        <w:t>教学组织与实施：</w:t>
      </w:r>
      <w:r>
        <w:rPr>
          <w:rFonts w:hint="eastAsia" w:ascii="宋体" w:hAnsi="宋体"/>
          <w:bCs/>
        </w:rPr>
        <w:t>首先带领学生回顾植物学课程中种子发育的相关知识，在回顾的过程中提出问题：如何判断种子是否成熟？什么样的种子是质量好的种子？利用延时拍摄视频向学生展示一粒种子如何发育成一株幼苗，使学生了解种子如何克服各种困境破土而出，引导学生领悟到人生也许克服重重困难。披荆斩棘才能成长。通过讲解种子筛选、种子播前处理、种子引发和催芽等技术手段提高工厂化育苗生产中种子的发芽率，使学生领会到只有勤于思考、掌握正确的方法才能获得成功。</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rFonts w:hint="eastAsia"/>
                <w:b/>
                <w:bCs/>
                <w:szCs w:val="21"/>
              </w:rPr>
              <w:t xml:space="preserve">  植物组织培养</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了解植物组织培养的概念、发展简史与趋势和基础设备；掌握植物组织培养的理论技</w:t>
      </w:r>
    </w:p>
    <w:p>
      <w:pPr>
        <w:widowControl/>
        <w:snapToGrid w:val="0"/>
        <w:spacing w:line="360" w:lineRule="auto"/>
        <w:rPr>
          <w:rFonts w:hAnsi="宋体"/>
          <w:b/>
          <w:bCs/>
          <w:kern w:val="0"/>
          <w:szCs w:val="21"/>
        </w:rPr>
      </w:pPr>
      <w:r>
        <w:rPr>
          <w:rFonts w:hint="eastAsia" w:ascii="宋体" w:hAnsi="宋体"/>
          <w:bCs/>
        </w:rPr>
        <w:t>术、基本方法与技术及其在农业中的应用。</w:t>
      </w:r>
      <w:r>
        <w:rPr>
          <w:rFonts w:hint="eastAsia" w:ascii="宋体" w:hAnsi="宋体" w:cs="宋体"/>
          <w:kern w:val="0"/>
          <w:szCs w:val="21"/>
        </w:rPr>
        <w:t></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本章重点内容为植物组织培养的基本方法与技术；难点为细胞全能性与器官发</w:t>
      </w:r>
    </w:p>
    <w:p>
      <w:pPr>
        <w:widowControl/>
        <w:snapToGrid w:val="0"/>
        <w:spacing w:line="360" w:lineRule="auto"/>
        <w:rPr>
          <w:rFonts w:hAnsi="宋体"/>
          <w:b/>
          <w:bCs/>
          <w:kern w:val="0"/>
          <w:szCs w:val="21"/>
        </w:rPr>
      </w:pPr>
      <w:r>
        <w:rPr>
          <w:rFonts w:hint="eastAsia" w:ascii="宋体" w:hAnsi="宋体"/>
          <w:bCs/>
        </w:rPr>
        <w:t>生原理。</w:t>
      </w:r>
    </w:p>
    <w:p>
      <w:pPr>
        <w:widowControl/>
        <w:snapToGrid w:val="0"/>
        <w:spacing w:line="360" w:lineRule="auto"/>
        <w:rPr>
          <w:rFonts w:ascii="宋体" w:hAnsi="宋体"/>
          <w:bCs/>
        </w:rPr>
      </w:pPr>
      <w:r>
        <w:rPr>
          <w:rFonts w:hint="eastAsia" w:ascii="宋体" w:hAnsi="宋体"/>
          <w:b/>
        </w:rPr>
        <w:t>主要教学内容及要求：</w:t>
      </w:r>
      <w:r>
        <w:rPr>
          <w:rFonts w:hint="eastAsia" w:ascii="宋体" w:hAnsi="宋体"/>
          <w:bCs/>
        </w:rPr>
        <w:t>了解植物组织培养的概念、发展简史与趋势和基础设备，理解细胞全能性</w:t>
      </w:r>
    </w:p>
    <w:p>
      <w:pPr>
        <w:widowControl/>
        <w:snapToGrid w:val="0"/>
        <w:spacing w:line="360" w:lineRule="auto"/>
        <w:rPr>
          <w:rFonts w:ascii="宋体" w:hAnsi="宋体"/>
          <w:bCs/>
        </w:rPr>
      </w:pPr>
      <w:r>
        <w:rPr>
          <w:rFonts w:hint="eastAsia" w:ascii="宋体" w:hAnsi="宋体"/>
          <w:bCs/>
        </w:rPr>
        <w:t>与器官发生，掌握植物组织培养在农业中的应用，熟练掌握植物组织培养的基本方法与技术。</w:t>
      </w:r>
    </w:p>
    <w:p>
      <w:pPr>
        <w:widowControl/>
        <w:snapToGrid w:val="0"/>
        <w:spacing w:line="360" w:lineRule="auto"/>
        <w:rPr>
          <w:rFonts w:ascii="宋体" w:hAnsi="宋体"/>
          <w:bCs/>
        </w:rPr>
      </w:pPr>
      <w:r>
        <w:rPr>
          <w:rFonts w:hint="eastAsia" w:ascii="宋体" w:hAnsi="宋体"/>
          <w:bCs/>
        </w:rPr>
        <w:t xml:space="preserve">第一节 </w:t>
      </w:r>
      <w:bookmarkStart w:id="326" w:name="_Hlk135149115"/>
      <w:r>
        <w:rPr>
          <w:rFonts w:hint="eastAsia" w:ascii="宋体" w:hAnsi="宋体"/>
          <w:bCs/>
        </w:rPr>
        <w:t>植物组织培养概述与发展趋势</w:t>
      </w:r>
      <w:bookmarkEnd w:id="326"/>
    </w:p>
    <w:p>
      <w:pPr>
        <w:widowControl/>
        <w:snapToGrid w:val="0"/>
        <w:spacing w:line="360" w:lineRule="auto"/>
        <w:rPr>
          <w:rFonts w:ascii="宋体" w:hAnsi="宋体"/>
          <w:bCs/>
        </w:rPr>
      </w:pPr>
      <w:r>
        <w:rPr>
          <w:rFonts w:hint="eastAsia" w:ascii="宋体" w:hAnsi="宋体"/>
          <w:bCs/>
        </w:rPr>
        <w:t>第二节 细胞的全能性与器官发生</w:t>
      </w:r>
    </w:p>
    <w:p>
      <w:pPr>
        <w:widowControl/>
        <w:snapToGrid w:val="0"/>
        <w:spacing w:line="360" w:lineRule="auto"/>
        <w:rPr>
          <w:rFonts w:ascii="宋体" w:hAnsi="宋体"/>
          <w:bCs/>
        </w:rPr>
      </w:pPr>
      <w:r>
        <w:rPr>
          <w:rFonts w:hint="eastAsia" w:ascii="宋体" w:hAnsi="宋体"/>
          <w:bCs/>
        </w:rPr>
        <w:t>第三节 植物组织培养的实验室与基本设备</w:t>
      </w:r>
    </w:p>
    <w:p>
      <w:pPr>
        <w:widowControl/>
        <w:snapToGrid w:val="0"/>
        <w:spacing w:line="360" w:lineRule="auto"/>
        <w:rPr>
          <w:rFonts w:ascii="宋体" w:hAnsi="宋体"/>
          <w:bCs/>
        </w:rPr>
      </w:pPr>
      <w:r>
        <w:rPr>
          <w:rFonts w:hint="eastAsia" w:ascii="宋体" w:hAnsi="宋体"/>
          <w:bCs/>
        </w:rPr>
        <w:t>第四节 植物组织培养的基本方法与技术</w:t>
      </w:r>
    </w:p>
    <w:p>
      <w:pPr>
        <w:widowControl/>
        <w:snapToGrid w:val="0"/>
        <w:spacing w:line="360" w:lineRule="auto"/>
        <w:rPr>
          <w:rFonts w:ascii="宋体" w:hAnsi="宋体"/>
          <w:bCs/>
        </w:rPr>
      </w:pPr>
      <w:r>
        <w:rPr>
          <w:rFonts w:hint="eastAsia" w:ascii="宋体" w:hAnsi="宋体"/>
          <w:bCs/>
        </w:rPr>
        <w:t>第五节 植物组织培养在农业中的应用</w:t>
      </w:r>
    </w:p>
    <w:p>
      <w:pPr>
        <w:snapToGrid w:val="0"/>
        <w:spacing w:line="360" w:lineRule="auto"/>
        <w:rPr>
          <w:rFonts w:ascii="宋体" w:hAnsi="宋体"/>
          <w:bCs/>
        </w:rPr>
      </w:pPr>
      <w:r>
        <w:rPr>
          <w:rFonts w:hint="eastAsia" w:ascii="宋体" w:hAnsi="宋体"/>
          <w:b/>
          <w:bCs/>
        </w:rPr>
        <w:t>教学组织与实施：</w:t>
      </w:r>
      <w:r>
        <w:rPr>
          <w:rFonts w:hint="eastAsia" w:ascii="宋体" w:hAnsi="宋体"/>
        </w:rPr>
        <w:t>以高中生物胡萝卜组织培养相关知识引入，以香蕉、草莓、马铃薯、人参、蝴蝶兰等为例，抛出问题：无种子或难以获得种子的作物如何实现工厂化育苗？</w:t>
      </w:r>
      <w:r>
        <w:rPr>
          <w:rFonts w:hint="eastAsia" w:ascii="宋体" w:hAnsi="宋体"/>
          <w:bCs/>
        </w:rPr>
        <w:t>在学生思考问题的基础上，提出实现的路径即为植物组织培养技术。随后简要概述植物组织培养的含义和发展趋势，以细胞学说和细胞全能性学说的形成过程贯穿其中，引导学生认识科学发展的一般规律和关于人生选择的重要性。通过最新的文献实例讲述细胞的全能性与器官发生的路径。在理论学习基础上，向学生介绍工厂化组织培养育苗所需要的设施与设备。通过图片对比的形式分别展示组织培养操作中正确和错误示例，提高学生对组织培养技术的掌握。最后，以翻转课堂的形式让学生分组汇报植物组织培养在农业中的应用。</w:t>
      </w:r>
    </w:p>
    <w:tbl>
      <w:tblPr>
        <w:tblStyle w:val="22"/>
        <w:tblW w:w="0" w:type="auto"/>
        <w:tblInd w:w="4" w:type="dxa"/>
        <w:tblLayout w:type="autofit"/>
        <w:tblCellMar>
          <w:top w:w="0" w:type="dxa"/>
          <w:left w:w="0" w:type="dxa"/>
          <w:bottom w:w="0" w:type="dxa"/>
          <w:right w:w="0" w:type="dxa"/>
        </w:tblCellMar>
      </w:tblPr>
      <w:tblGrid>
        <w:gridCol w:w="1771"/>
        <w:gridCol w:w="4159"/>
        <w:gridCol w:w="2966"/>
      </w:tblGrid>
      <w:tr>
        <w:tblPrEx>
          <w:tblCellMar>
            <w:top w:w="0" w:type="dxa"/>
            <w:left w:w="0" w:type="dxa"/>
            <w:bottom w:w="0" w:type="dxa"/>
            <w:right w:w="0" w:type="dxa"/>
          </w:tblCellMar>
        </w:tblPrEx>
        <w:trPr>
          <w:trHeight w:val="270" w:hRule="atLeast"/>
        </w:trPr>
        <w:tc>
          <w:tcPr>
            <w:tcW w:w="177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15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三</w:t>
            </w:r>
            <w:r>
              <w:rPr>
                <w:rFonts w:hAnsi="宋体"/>
                <w:b/>
                <w:bCs/>
                <w:szCs w:val="21"/>
              </w:rPr>
              <w:t>章</w:t>
            </w:r>
            <w:r>
              <w:rPr>
                <w:rFonts w:hint="eastAsia"/>
                <w:b/>
                <w:bCs/>
                <w:szCs w:val="21"/>
              </w:rPr>
              <w:t xml:space="preserve">  工厂化育苗设施与设备</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掌握工厂化育苗的设施与设备及其应用，工厂化育苗的工艺流程。</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本章重点内容为工厂化育苗的设施设备及其作用；难点为工厂化育苗工艺流程。</w:t>
      </w:r>
    </w:p>
    <w:p>
      <w:pPr>
        <w:widowControl/>
        <w:snapToGrid w:val="0"/>
        <w:spacing w:line="360" w:lineRule="auto"/>
        <w:rPr>
          <w:rFonts w:ascii="宋体" w:hAnsi="宋体"/>
          <w:bCs/>
        </w:rPr>
      </w:pPr>
      <w:r>
        <w:rPr>
          <w:rFonts w:hint="eastAsia" w:ascii="宋体" w:hAnsi="宋体"/>
          <w:b/>
          <w:bCs/>
        </w:rPr>
        <w:t>主要教学内容及要求：</w:t>
      </w:r>
      <w:r>
        <w:rPr>
          <w:rFonts w:hint="eastAsia" w:ascii="宋体" w:hAnsi="宋体"/>
          <w:bCs/>
        </w:rPr>
        <w:t>了解工厂化育苗的主要设施；理解育苗温室环境控制系统；掌握育苗的生产设备和辅助设备；熟练掌握工厂化育苗的工艺流程。</w:t>
      </w:r>
    </w:p>
    <w:p>
      <w:pPr>
        <w:widowControl/>
        <w:snapToGrid w:val="0"/>
        <w:spacing w:line="360" w:lineRule="auto"/>
        <w:rPr>
          <w:rFonts w:ascii="宋体" w:hAnsi="宋体"/>
          <w:bCs/>
        </w:rPr>
      </w:pPr>
      <w:r>
        <w:rPr>
          <w:rFonts w:hint="eastAsia" w:ascii="宋体" w:hAnsi="宋体"/>
          <w:bCs/>
        </w:rPr>
        <w:t>第一节 工厂化育苗工艺流程</w:t>
      </w:r>
    </w:p>
    <w:p>
      <w:pPr>
        <w:widowControl/>
        <w:snapToGrid w:val="0"/>
        <w:spacing w:line="360" w:lineRule="auto"/>
        <w:rPr>
          <w:rFonts w:ascii="宋体" w:hAnsi="宋体"/>
          <w:bCs/>
        </w:rPr>
      </w:pPr>
      <w:r>
        <w:rPr>
          <w:rFonts w:hint="eastAsia" w:ascii="宋体" w:hAnsi="宋体"/>
          <w:bCs/>
        </w:rPr>
        <w:t>第二节 工厂化育苗设施</w:t>
      </w:r>
    </w:p>
    <w:p>
      <w:pPr>
        <w:widowControl/>
        <w:snapToGrid w:val="0"/>
        <w:spacing w:line="360" w:lineRule="auto"/>
        <w:rPr>
          <w:rFonts w:ascii="宋体" w:hAnsi="宋体"/>
          <w:bCs/>
        </w:rPr>
      </w:pPr>
      <w:r>
        <w:rPr>
          <w:rFonts w:hint="eastAsia" w:ascii="宋体" w:hAnsi="宋体"/>
          <w:bCs/>
        </w:rPr>
        <w:t>第三节 工厂化育苗设备</w:t>
      </w:r>
    </w:p>
    <w:p>
      <w:pPr>
        <w:widowControl/>
        <w:snapToGrid w:val="0"/>
        <w:spacing w:line="360" w:lineRule="auto"/>
        <w:rPr>
          <w:rFonts w:ascii="宋体" w:hAnsi="宋体"/>
          <w:bCs/>
        </w:rPr>
      </w:pPr>
      <w:r>
        <w:rPr>
          <w:rFonts w:hint="eastAsia" w:ascii="宋体" w:hAnsi="宋体"/>
          <w:bCs/>
        </w:rPr>
        <w:t>第四节 育苗辅助设备</w:t>
      </w:r>
    </w:p>
    <w:p>
      <w:pPr>
        <w:widowControl/>
        <w:snapToGrid w:val="0"/>
        <w:spacing w:line="360" w:lineRule="auto"/>
        <w:rPr>
          <w:rFonts w:ascii="宋体" w:hAnsi="宋体"/>
          <w:bCs/>
        </w:rPr>
      </w:pPr>
      <w:r>
        <w:rPr>
          <w:rFonts w:hint="eastAsia" w:ascii="宋体" w:hAnsi="宋体"/>
          <w:b/>
          <w:bCs/>
        </w:rPr>
        <w:t>教学组织与实施：</w:t>
      </w:r>
      <w:r>
        <w:rPr>
          <w:rFonts w:hint="eastAsia" w:ascii="宋体" w:hAnsi="宋体"/>
        </w:rPr>
        <w:t>以服装厂和食品厂等与育苗工厂类比，引入工厂化育苗也需要厂房（设施）和机器（设备）。以传统育苗和工厂化育苗进行对比介绍</w:t>
      </w:r>
      <w:r>
        <w:rPr>
          <w:rFonts w:hint="eastAsia" w:ascii="宋体" w:hAnsi="宋体"/>
          <w:bCs/>
        </w:rPr>
        <w:t>工厂化育苗生产工艺流程，突出工厂化育苗的先进性。将流程图按照育苗生产节点分类，提出问题：每个生产节点哪些设备和设备能够减低劳动强度并加快育苗进程？在此问题基础上，引出本节主要内容：育苗设施、育苗设备。育苗设施方面，以同期课程《农业设施工程学》为基础，从低级到高级介绍不同的育苗设施，强化专业教育，突出设工特色；育苗设备方面，分别从温、光、水、气、肥五方面讲述如何通过选择合适的设备对育苗设施内环境进行调控，讲述过程中可融入“科技强国”“环境与成才”等思政元素以及荀子《劝学》和《孟母三迁》等优秀国学文化。</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四</w:t>
            </w:r>
            <w:r>
              <w:rPr>
                <w:rFonts w:hAnsi="宋体"/>
                <w:b/>
                <w:bCs/>
                <w:szCs w:val="21"/>
              </w:rPr>
              <w:t>章</w:t>
            </w:r>
            <w:r>
              <w:rPr>
                <w:rFonts w:hint="eastAsia"/>
                <w:b/>
                <w:bCs/>
                <w:szCs w:val="21"/>
              </w:rPr>
              <w:t xml:space="preserve">  工厂化育苗方式</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了解不用育苗方式的定义和设施与设备；掌握不同方式育苗技术。</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本章重点内容为不同育苗方式及其特点；难点为不同方式育苗技术。</w:t>
      </w:r>
    </w:p>
    <w:p>
      <w:pPr>
        <w:widowControl/>
        <w:snapToGrid w:val="0"/>
        <w:spacing w:line="360" w:lineRule="auto"/>
        <w:rPr>
          <w:rFonts w:ascii="宋体" w:hAnsi="宋体"/>
          <w:bCs/>
        </w:rPr>
      </w:pPr>
      <w:r>
        <w:rPr>
          <w:rFonts w:hint="eastAsia" w:ascii="宋体" w:hAnsi="宋体"/>
          <w:b/>
          <w:bCs/>
        </w:rPr>
        <w:t>主要教学内容及要求：</w:t>
      </w:r>
      <w:r>
        <w:rPr>
          <w:rFonts w:hint="eastAsia" w:ascii="宋体" w:hAnsi="宋体"/>
          <w:bCs/>
        </w:rPr>
        <w:t>了解不同育苗方式设施与设备；掌握不同方式育苗技术流程；掌握不同育苗方式特点；重点掌握不同方式育苗技术要点。</w:t>
      </w:r>
    </w:p>
    <w:p>
      <w:pPr>
        <w:widowControl/>
        <w:snapToGrid w:val="0"/>
        <w:spacing w:line="360" w:lineRule="auto"/>
        <w:rPr>
          <w:rFonts w:ascii="宋体" w:hAnsi="宋体"/>
          <w:bCs/>
        </w:rPr>
      </w:pPr>
      <w:r>
        <w:rPr>
          <w:rFonts w:hint="eastAsia" w:ascii="宋体" w:hAnsi="宋体"/>
          <w:bCs/>
        </w:rPr>
        <w:t>第一节 穴盘育苗</w:t>
      </w:r>
    </w:p>
    <w:p>
      <w:pPr>
        <w:widowControl/>
        <w:snapToGrid w:val="0"/>
        <w:spacing w:line="360" w:lineRule="auto"/>
        <w:rPr>
          <w:rFonts w:ascii="宋体" w:hAnsi="宋体"/>
          <w:bCs/>
        </w:rPr>
      </w:pPr>
      <w:r>
        <w:rPr>
          <w:rFonts w:hint="eastAsia" w:ascii="宋体" w:hAnsi="宋体"/>
          <w:bCs/>
        </w:rPr>
        <w:t>第二节 水培育苗</w:t>
      </w:r>
    </w:p>
    <w:p>
      <w:pPr>
        <w:widowControl/>
        <w:snapToGrid w:val="0"/>
        <w:spacing w:line="360" w:lineRule="auto"/>
        <w:rPr>
          <w:rFonts w:ascii="宋体" w:hAnsi="宋体"/>
          <w:bCs/>
        </w:rPr>
      </w:pPr>
      <w:r>
        <w:rPr>
          <w:rFonts w:hint="eastAsia" w:ascii="宋体" w:hAnsi="宋体"/>
          <w:bCs/>
        </w:rPr>
        <w:t>第三节 容器育苗</w:t>
      </w:r>
    </w:p>
    <w:p>
      <w:pPr>
        <w:widowControl/>
        <w:snapToGrid w:val="0"/>
        <w:spacing w:line="360" w:lineRule="auto"/>
        <w:rPr>
          <w:rFonts w:ascii="宋体" w:hAnsi="宋体"/>
          <w:bCs/>
        </w:rPr>
      </w:pPr>
      <w:r>
        <w:rPr>
          <w:rFonts w:hint="eastAsia" w:ascii="宋体" w:hAnsi="宋体"/>
          <w:bCs/>
        </w:rPr>
        <w:t>第四节 其他育苗方式</w:t>
      </w:r>
    </w:p>
    <w:p>
      <w:pPr>
        <w:widowControl/>
        <w:snapToGrid w:val="0"/>
        <w:spacing w:line="360" w:lineRule="auto"/>
        <w:rPr>
          <w:rFonts w:ascii="宋体" w:hAnsi="宋体"/>
          <w:b/>
          <w:bCs/>
          <w:color w:val="000000" w:themeColor="text1"/>
          <w14:textFill>
            <w14:solidFill>
              <w14:schemeClr w14:val="tx1"/>
            </w14:solidFill>
          </w14:textFill>
        </w:rPr>
      </w:pPr>
      <w:r>
        <w:rPr>
          <w:rFonts w:hint="eastAsia" w:ascii="宋体" w:hAnsi="宋体"/>
          <w:b/>
          <w:bCs/>
        </w:rPr>
        <w:t>教学组织与实施：</w:t>
      </w:r>
      <w:r>
        <w:rPr>
          <w:rFonts w:hint="eastAsia" w:ascii="宋体" w:hAnsi="宋体"/>
        </w:rPr>
        <w:t>以中国儒家经典典籍《春秋公羊传》引入传统农业生产以土地为基础的种植为引，再到中国南极科考中山站种出新鲜蔬菜为落脚点，启发学生思考农业种植是否具有不同的种植方式。再以图片的形式向学生展示数千年前国内外古人以水为介质种植农作物的模式，引申出基质栽培，水培，岩棉栽培等新型栽培模式，通过对图片的浏览提出问题：各种新型栽培模式是否能够应用与工厂化育苗？随后以应用的广泛程度分别讲解穴盘育苗、水培育苗、容器育苗、岩棉育苗、营养块育苗如何进行，各种育苗方式的优缺点及其适用场景。通过课程的学习启发学生打破惯性思维，创新育苗方式。</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五</w:t>
            </w:r>
            <w:r>
              <w:rPr>
                <w:rFonts w:hAnsi="宋体"/>
                <w:b/>
                <w:bCs/>
                <w:szCs w:val="21"/>
              </w:rPr>
              <w:t>章</w:t>
            </w:r>
            <w:r>
              <w:rPr>
                <w:rFonts w:hint="eastAsia"/>
                <w:b/>
                <w:bCs/>
                <w:szCs w:val="21"/>
              </w:rPr>
              <w:t xml:space="preserve">  育苗基质与营养</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了解基质的种类和理化性状指标；掌握育苗对基质要求及不同基质特性，育苗基质理化性状检测及复合基质组配。</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本章重点内容为育苗对基质要求及不同基质特性，育苗养分供应方式；难点为育苗基质理化性状检测及复合基质组配。</w:t>
      </w:r>
    </w:p>
    <w:p>
      <w:pPr>
        <w:widowControl/>
        <w:snapToGrid w:val="0"/>
        <w:spacing w:line="360" w:lineRule="auto"/>
        <w:rPr>
          <w:rFonts w:ascii="宋体" w:hAnsi="宋体"/>
          <w:bCs/>
        </w:rPr>
      </w:pPr>
      <w:r>
        <w:rPr>
          <w:rFonts w:hint="eastAsia" w:ascii="宋体" w:hAnsi="宋体"/>
          <w:b/>
          <w:bCs/>
        </w:rPr>
        <w:t>主要教学内容及要求：</w:t>
      </w:r>
      <w:r>
        <w:rPr>
          <w:rFonts w:hint="eastAsia" w:ascii="宋体" w:hAnsi="宋体"/>
          <w:bCs/>
        </w:rPr>
        <w:t>了解基质的种类和理化性状指标；理解育苗养分供应方式；掌握育苗对基质要求及不同基质特性；熟练掌握育苗基质理化性状检测及复合基质组配。</w:t>
      </w:r>
    </w:p>
    <w:p>
      <w:pPr>
        <w:widowControl/>
        <w:snapToGrid w:val="0"/>
        <w:spacing w:line="360" w:lineRule="auto"/>
        <w:rPr>
          <w:rFonts w:ascii="宋体" w:hAnsi="宋体"/>
          <w:bCs/>
        </w:rPr>
      </w:pPr>
      <w:r>
        <w:rPr>
          <w:rFonts w:hint="eastAsia" w:ascii="宋体" w:hAnsi="宋体"/>
          <w:bCs/>
        </w:rPr>
        <w:t>第一节 育苗基质</w:t>
      </w:r>
    </w:p>
    <w:p>
      <w:pPr>
        <w:widowControl/>
        <w:snapToGrid w:val="0"/>
        <w:spacing w:line="360" w:lineRule="auto"/>
        <w:ind w:firstLine="420" w:firstLineChars="200"/>
        <w:rPr>
          <w:bCs/>
        </w:rPr>
      </w:pPr>
      <w:r>
        <w:rPr>
          <w:bCs/>
        </w:rPr>
        <w:t>1. 育苗对基质理化性质的要求</w:t>
      </w:r>
    </w:p>
    <w:p>
      <w:pPr>
        <w:widowControl/>
        <w:snapToGrid w:val="0"/>
        <w:spacing w:line="360" w:lineRule="auto"/>
        <w:ind w:firstLine="420" w:firstLineChars="200"/>
        <w:rPr>
          <w:bCs/>
        </w:rPr>
      </w:pPr>
      <w:r>
        <w:rPr>
          <w:bCs/>
        </w:rPr>
        <w:t>2. 育苗基质的种类</w:t>
      </w:r>
    </w:p>
    <w:p>
      <w:pPr>
        <w:widowControl/>
        <w:snapToGrid w:val="0"/>
        <w:spacing w:line="360" w:lineRule="auto"/>
        <w:ind w:firstLine="420" w:firstLineChars="200"/>
        <w:rPr>
          <w:bCs/>
        </w:rPr>
      </w:pPr>
      <w:r>
        <w:rPr>
          <w:bCs/>
        </w:rPr>
        <w:t>3．育苗基质的配制</w:t>
      </w:r>
    </w:p>
    <w:p>
      <w:pPr>
        <w:widowControl/>
        <w:snapToGrid w:val="0"/>
        <w:spacing w:line="360" w:lineRule="auto"/>
        <w:ind w:firstLine="420" w:firstLineChars="200"/>
        <w:rPr>
          <w:bCs/>
        </w:rPr>
      </w:pPr>
      <w:r>
        <w:rPr>
          <w:bCs/>
        </w:rPr>
        <w:t>4. 育苗基质的消毒</w:t>
      </w:r>
    </w:p>
    <w:p>
      <w:pPr>
        <w:widowControl/>
        <w:snapToGrid w:val="0"/>
        <w:spacing w:line="360" w:lineRule="auto"/>
        <w:rPr>
          <w:rFonts w:ascii="宋体" w:hAnsi="宋体"/>
          <w:bCs/>
        </w:rPr>
      </w:pPr>
      <w:r>
        <w:rPr>
          <w:rFonts w:hint="eastAsia" w:ascii="宋体" w:hAnsi="宋体"/>
          <w:bCs/>
        </w:rPr>
        <w:t>第二节 育苗营养的供应</w:t>
      </w:r>
    </w:p>
    <w:p>
      <w:pPr>
        <w:widowControl/>
        <w:snapToGrid w:val="0"/>
        <w:spacing w:line="360" w:lineRule="auto"/>
        <w:ind w:firstLine="420" w:firstLineChars="200"/>
        <w:rPr>
          <w:bCs/>
        </w:rPr>
      </w:pPr>
      <w:r>
        <w:rPr>
          <w:bCs/>
        </w:rPr>
        <w:t>1. 幼苗对营养的需求特性</w:t>
      </w:r>
    </w:p>
    <w:p>
      <w:pPr>
        <w:widowControl/>
        <w:snapToGrid w:val="0"/>
        <w:spacing w:line="360" w:lineRule="auto"/>
        <w:ind w:firstLine="420" w:firstLineChars="200"/>
        <w:rPr>
          <w:bCs/>
        </w:rPr>
      </w:pPr>
      <w:r>
        <w:rPr>
          <w:bCs/>
        </w:rPr>
        <w:t>2. 育苗过程中的营养供应方式</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color w:val="000000" w:themeColor="text1"/>
          <w:szCs w:val="20"/>
          <w14:textFill>
            <w14:solidFill>
              <w14:schemeClr w14:val="tx1"/>
            </w14:solidFill>
          </w14:textFill>
        </w:rPr>
        <w:t>教师首先向学生提出问题：传统作物栽培都在土壤中进行，为什么工厂化育苗不使用土壤作为栽培基质？通过这一问题，引导学生思考：土壤作为栽培基质在工厂化育苗中存在哪些限制性因素？针对这些因素如何克服？在学生思考的基础上，讲解工厂化育苗对育苗基质理化性质的特殊要求，哪些基质能够满足这些要求。此外，从环境保护和可持续发展的角度出发，介绍新型工厂化育苗基质在产业中的应用及最新的科学研究进展，如何通过技术手段将农业废弃物加工后作为育苗基质进行再利用，激发学生对科研的兴趣。</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六</w:t>
            </w:r>
            <w:r>
              <w:rPr>
                <w:rFonts w:hAnsi="宋体"/>
                <w:b/>
                <w:bCs/>
                <w:szCs w:val="21"/>
              </w:rPr>
              <w:t>章</w:t>
            </w:r>
            <w:r>
              <w:rPr>
                <w:rFonts w:hint="eastAsia"/>
                <w:b/>
                <w:bCs/>
                <w:szCs w:val="21"/>
              </w:rPr>
              <w:t xml:space="preserve">  工厂化嫁接育苗</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了解嫁接育苗的意义与应用；掌握影响幼苗嫁接成活的因素和嫁接方法。</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：本章重点内容为影响幼苗嫁接成活的因素和嫁接方法；难点为提高嫁接成活率</w:t>
      </w:r>
    </w:p>
    <w:p>
      <w:pPr>
        <w:widowControl/>
        <w:snapToGrid w:val="0"/>
        <w:spacing w:line="360" w:lineRule="auto"/>
        <w:rPr>
          <w:rFonts w:ascii="宋体" w:hAnsi="宋体"/>
          <w:bCs/>
        </w:rPr>
      </w:pPr>
      <w:r>
        <w:rPr>
          <w:rFonts w:hint="eastAsia" w:ascii="宋体" w:hAnsi="宋体"/>
          <w:bCs/>
        </w:rPr>
        <w:t>的途径和方法。</w:t>
      </w:r>
    </w:p>
    <w:p>
      <w:pPr>
        <w:widowControl/>
        <w:snapToGrid w:val="0"/>
        <w:spacing w:line="360" w:lineRule="auto"/>
        <w:rPr>
          <w:rFonts w:ascii="宋体" w:hAnsi="宋体"/>
          <w:bCs/>
        </w:rPr>
      </w:pPr>
      <w:r>
        <w:rPr>
          <w:rFonts w:hint="eastAsia" w:ascii="宋体" w:hAnsi="宋体"/>
          <w:b/>
          <w:bCs/>
        </w:rPr>
        <w:t>主要教学内容及要求：</w:t>
      </w:r>
      <w:r>
        <w:rPr>
          <w:rFonts w:hint="eastAsia" w:ascii="宋体" w:hAnsi="宋体"/>
          <w:bCs/>
        </w:rPr>
        <w:t>了解园艺植物嫁接育苗的意义与应用；理解嫁接育苗砧木选择的原则和条</w:t>
      </w:r>
    </w:p>
    <w:p>
      <w:pPr>
        <w:widowControl/>
        <w:snapToGrid w:val="0"/>
        <w:spacing w:line="360" w:lineRule="auto"/>
        <w:rPr>
          <w:rFonts w:ascii="宋体" w:hAnsi="宋体"/>
          <w:bCs/>
        </w:rPr>
      </w:pPr>
      <w:r>
        <w:rPr>
          <w:rFonts w:hint="eastAsia" w:ascii="宋体" w:hAnsi="宋体"/>
          <w:bCs/>
        </w:rPr>
        <w:t>件；掌握影响幼苗嫁接成活的因素；熟练掌握嫁接方法。</w:t>
      </w:r>
    </w:p>
    <w:p>
      <w:pPr>
        <w:widowControl/>
        <w:snapToGrid w:val="0"/>
        <w:spacing w:line="360" w:lineRule="auto"/>
        <w:rPr>
          <w:rFonts w:ascii="宋体" w:hAnsi="宋体"/>
          <w:bCs/>
        </w:rPr>
      </w:pPr>
      <w:r>
        <w:rPr>
          <w:rFonts w:hint="eastAsia" w:ascii="宋体" w:hAnsi="宋体"/>
          <w:bCs/>
        </w:rPr>
        <w:t>第一节 嫁接育苗的意义和作用</w:t>
      </w:r>
    </w:p>
    <w:p>
      <w:pPr>
        <w:widowControl/>
        <w:snapToGrid w:val="0"/>
        <w:spacing w:line="360" w:lineRule="auto"/>
        <w:rPr>
          <w:rFonts w:ascii="宋体" w:hAnsi="宋体"/>
          <w:bCs/>
        </w:rPr>
      </w:pPr>
      <w:r>
        <w:rPr>
          <w:rFonts w:hint="eastAsia" w:ascii="宋体" w:hAnsi="宋体"/>
          <w:bCs/>
        </w:rPr>
        <w:t>第二节 嫁接成活机理及其影响因素</w:t>
      </w:r>
    </w:p>
    <w:p>
      <w:pPr>
        <w:widowControl/>
        <w:snapToGrid w:val="0"/>
        <w:spacing w:line="360" w:lineRule="auto"/>
        <w:rPr>
          <w:rFonts w:ascii="宋体" w:hAnsi="宋体"/>
          <w:bCs/>
        </w:rPr>
      </w:pPr>
      <w:r>
        <w:rPr>
          <w:rFonts w:hint="eastAsia" w:ascii="宋体" w:hAnsi="宋体"/>
          <w:bCs/>
        </w:rPr>
        <w:t>第三节 蔬菜嫁接育苗方法</w:t>
      </w:r>
    </w:p>
    <w:p>
      <w:pPr>
        <w:widowControl/>
        <w:snapToGrid w:val="0"/>
        <w:spacing w:line="360" w:lineRule="auto"/>
        <w:rPr>
          <w:rFonts w:ascii="宋体" w:hAnsi="宋体"/>
          <w:bCs/>
        </w:rPr>
      </w:pPr>
      <w:r>
        <w:rPr>
          <w:rFonts w:hint="eastAsia" w:ascii="宋体" w:hAnsi="宋体"/>
          <w:bCs/>
        </w:rPr>
        <w:t>第四节 果树与花卉嫁接育苗方法</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教师首先引用《周记》、《尔雅》、《氾胜之术》和《齐民要术》等中国古籍中对嫁接的记载描述，使学生对嫁接有初步的认识，同时也激发了学生的民族自豪感；随后抛出问题：为什么要花费看似多余的精力进行嫁接工作？随后讲述嫁接在园艺作物栽培种的具体作用与意义。最后通过视频演示的方式详细分解各种嫁接方式的操作要领及方法，结合嫁接育苗实验课程，使学生熟练掌握嫁接技术。</w:t>
      </w:r>
    </w:p>
    <w:tbl>
      <w:tblPr>
        <w:tblStyle w:val="22"/>
        <w:tblW w:w="0" w:type="auto"/>
        <w:tblInd w:w="4" w:type="dxa"/>
        <w:tblLayout w:type="autofit"/>
        <w:tblCellMar>
          <w:top w:w="0" w:type="dxa"/>
          <w:left w:w="0" w:type="dxa"/>
          <w:bottom w:w="0" w:type="dxa"/>
          <w:right w:w="0" w:type="dxa"/>
        </w:tblCellMar>
      </w:tblPr>
      <w:tblGrid>
        <w:gridCol w:w="2371"/>
        <w:gridCol w:w="3559"/>
        <w:gridCol w:w="2966"/>
      </w:tblGrid>
      <w:tr>
        <w:tblPrEx>
          <w:tblCellMar>
            <w:top w:w="0" w:type="dxa"/>
            <w:left w:w="0" w:type="dxa"/>
            <w:bottom w:w="0" w:type="dxa"/>
            <w:right w:w="0" w:type="dxa"/>
          </w:tblCellMar>
        </w:tblPrEx>
        <w:trPr>
          <w:trHeight w:val="270" w:hRule="atLeast"/>
        </w:trPr>
        <w:tc>
          <w:tcPr>
            <w:tcW w:w="237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55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七</w:t>
            </w:r>
            <w:r>
              <w:rPr>
                <w:rFonts w:hAnsi="宋体"/>
                <w:b/>
                <w:bCs/>
                <w:szCs w:val="21"/>
              </w:rPr>
              <w:t>章</w:t>
            </w:r>
            <w:r>
              <w:rPr>
                <w:rFonts w:hint="eastAsia"/>
                <w:b/>
                <w:bCs/>
                <w:szCs w:val="21"/>
              </w:rPr>
              <w:t xml:space="preserve">  工厂化育苗质量控制</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了解秧苗质量的概念及其控制的意义；掌握影响育苗质量的因素及其调控。</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本章重点内容为影响育苗质量的因素及其调控；难点为壮苗质量标准及其控制技术。</w:t>
      </w:r>
    </w:p>
    <w:p>
      <w:pPr>
        <w:widowControl/>
        <w:snapToGrid w:val="0"/>
        <w:spacing w:line="360" w:lineRule="auto"/>
        <w:rPr>
          <w:rFonts w:ascii="宋体" w:hAnsi="宋体"/>
          <w:bCs/>
        </w:rPr>
      </w:pPr>
      <w:r>
        <w:rPr>
          <w:rFonts w:hint="eastAsia" w:ascii="宋体" w:hAnsi="宋体"/>
          <w:b/>
          <w:bCs/>
        </w:rPr>
        <w:t>主要教学内容及要求</w:t>
      </w:r>
      <w:r>
        <w:rPr>
          <w:rFonts w:hint="eastAsia" w:ascii="宋体" w:hAnsi="宋体"/>
          <w:bCs/>
        </w:rPr>
        <w:t>：了解影响育苗质量的环境条件和育苗过程中的病虫害控制；理解育苗质量标准；掌握影响育苗质量的因素和调控；熟练掌握秧苗质量控制关键技术。</w:t>
      </w:r>
    </w:p>
    <w:p>
      <w:pPr>
        <w:widowControl/>
        <w:snapToGrid w:val="0"/>
        <w:spacing w:line="360" w:lineRule="auto"/>
        <w:rPr>
          <w:rFonts w:ascii="宋体" w:hAnsi="宋体"/>
          <w:bCs/>
        </w:rPr>
      </w:pPr>
      <w:r>
        <w:rPr>
          <w:rFonts w:hint="eastAsia" w:ascii="宋体" w:hAnsi="宋体"/>
          <w:bCs/>
        </w:rPr>
        <w:t xml:space="preserve">第一节 </w:t>
      </w:r>
      <w:bookmarkStart w:id="327" w:name="_Hlk135233195"/>
      <w:r>
        <w:rPr>
          <w:rFonts w:hint="eastAsia" w:ascii="宋体" w:hAnsi="宋体"/>
          <w:bCs/>
        </w:rPr>
        <w:t>工厂化育苗的质量标准</w:t>
      </w:r>
      <w:bookmarkEnd w:id="327"/>
    </w:p>
    <w:p>
      <w:pPr>
        <w:widowControl/>
        <w:snapToGrid w:val="0"/>
        <w:spacing w:line="360" w:lineRule="auto"/>
        <w:rPr>
          <w:rFonts w:ascii="宋体" w:hAnsi="宋体"/>
          <w:bCs/>
        </w:rPr>
      </w:pPr>
      <w:r>
        <w:rPr>
          <w:rFonts w:hint="eastAsia" w:ascii="宋体" w:hAnsi="宋体"/>
          <w:bCs/>
        </w:rPr>
        <w:t>第二节 环境条件对幼苗质量的影响及调控措施</w:t>
      </w:r>
    </w:p>
    <w:p>
      <w:pPr>
        <w:widowControl/>
        <w:snapToGrid w:val="0"/>
        <w:spacing w:line="360" w:lineRule="auto"/>
        <w:rPr>
          <w:rFonts w:ascii="宋体" w:hAnsi="宋体"/>
          <w:bCs/>
        </w:rPr>
      </w:pPr>
      <w:r>
        <w:rPr>
          <w:rFonts w:hint="eastAsia" w:ascii="宋体" w:hAnsi="宋体"/>
          <w:bCs/>
        </w:rPr>
        <w:t xml:space="preserve">第三节 </w:t>
      </w:r>
      <w:bookmarkStart w:id="328" w:name="_Hlk135233841"/>
      <w:r>
        <w:rPr>
          <w:rFonts w:hint="eastAsia" w:ascii="宋体" w:hAnsi="宋体"/>
          <w:bCs/>
        </w:rPr>
        <w:t>育苗过程病虫害控制</w:t>
      </w:r>
      <w:bookmarkEnd w:id="328"/>
    </w:p>
    <w:p>
      <w:pPr>
        <w:widowControl/>
        <w:snapToGrid w:val="0"/>
        <w:spacing w:line="360" w:lineRule="auto"/>
        <w:rPr>
          <w:rFonts w:ascii="宋体" w:hAnsi="宋体"/>
          <w:bCs/>
        </w:rPr>
      </w:pPr>
      <w:r>
        <w:rPr>
          <w:rFonts w:hint="eastAsia" w:ascii="宋体" w:hAnsi="宋体"/>
          <w:bCs/>
        </w:rPr>
        <w:t>第四节 种苗的贮藏与运输</w:t>
      </w:r>
    </w:p>
    <w:p>
      <w:pPr>
        <w:widowControl/>
        <w:snapToGrid w:val="0"/>
        <w:spacing w:line="360" w:lineRule="auto"/>
        <w:rPr>
          <w:rFonts w:ascii="宋体" w:hAnsi="宋体"/>
        </w:rPr>
      </w:pPr>
      <w:r>
        <w:rPr>
          <w:rFonts w:hint="eastAsia" w:ascii="宋体" w:hAnsi="宋体"/>
          <w:b/>
          <w:bCs/>
        </w:rPr>
        <w:t>教学组织与实施：</w:t>
      </w:r>
      <w:r>
        <w:rPr>
          <w:rFonts w:hint="eastAsia" w:ascii="宋体" w:hAnsi="宋体"/>
        </w:rPr>
        <w:t>本章内容是本门课程的核心部分。首先向同学们展示优质苗和劣质苗的图片，通过观察二者的差异，引入工厂化育苗的优劣评判需要统一的质量标准，进而详细介绍工厂化育苗质量标准的详细内容，此处引入“牢固树立规矩意识”的思政元素。随后分别讲解营养面积、温度、光照、水分、气体和营养元素对秧苗发育的影响，在此基础之上，引导学生回顾第四章内容，根据秧苗对环境因子的需求，如何利用工厂化育苗的相关设备调整设施内环境条件以适应秧苗的生长。育苗过程病虫害控制部分可设置为自学部分，以翻转课堂的形式进行小组汇报。最后，重点介绍</w:t>
      </w:r>
      <w:r>
        <w:rPr>
          <w:rFonts w:hint="eastAsia" w:ascii="宋体" w:hAnsi="宋体"/>
          <w:bCs/>
        </w:rPr>
        <w:t>种苗贮运过程中防止低温、伤热和风干的具体措施。</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八</w:t>
            </w:r>
            <w:r>
              <w:rPr>
                <w:rFonts w:hAnsi="宋体"/>
                <w:b/>
                <w:bCs/>
                <w:szCs w:val="21"/>
              </w:rPr>
              <w:t>章</w:t>
            </w:r>
            <w:r>
              <w:rPr>
                <w:rFonts w:hint="eastAsia"/>
                <w:b/>
                <w:bCs/>
                <w:szCs w:val="21"/>
              </w:rPr>
              <w:t xml:space="preserve">  蔬菜工厂化育苗</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了解蔬菜幼苗对环境条件的要求；掌握不同蔬菜的工厂化育苗技术。</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本章重点内容为不同蔬菜的穴盘育苗技术；难点为壮苗培育技术。</w:t>
      </w:r>
    </w:p>
    <w:p>
      <w:pPr>
        <w:widowControl/>
        <w:snapToGrid w:val="0"/>
        <w:spacing w:line="360" w:lineRule="auto"/>
        <w:rPr>
          <w:rFonts w:ascii="宋体" w:hAnsi="宋体"/>
          <w:b/>
          <w:bCs/>
        </w:rPr>
      </w:pPr>
      <w:r>
        <w:rPr>
          <w:rFonts w:hint="eastAsia" w:ascii="宋体" w:hAnsi="宋体"/>
          <w:b/>
          <w:bCs/>
        </w:rPr>
        <w:t>主要教学内容及要求：</w:t>
      </w:r>
      <w:r>
        <w:rPr>
          <w:rFonts w:hint="eastAsia" w:ascii="宋体" w:hAnsi="宋体"/>
          <w:bCs/>
        </w:rPr>
        <w:t>了解不同蔬菜幼苗对环境条件的要求；理解不同蔬菜工厂化育苗技术；掌握壮苗培育技术；熟练掌握不同蔬菜幼苗的穴盘育苗和嫁接育苗技术。</w:t>
      </w:r>
    </w:p>
    <w:p>
      <w:pPr>
        <w:widowControl/>
        <w:snapToGrid w:val="0"/>
        <w:spacing w:line="360" w:lineRule="auto"/>
        <w:rPr>
          <w:rFonts w:ascii="宋体" w:hAnsi="宋体"/>
          <w:bCs/>
        </w:rPr>
      </w:pPr>
      <w:r>
        <w:rPr>
          <w:rFonts w:hint="eastAsia" w:ascii="宋体" w:hAnsi="宋体"/>
          <w:bCs/>
        </w:rPr>
        <w:t>第一节 瓜类蔬菜育苗技术</w:t>
      </w:r>
    </w:p>
    <w:p>
      <w:pPr>
        <w:widowControl/>
        <w:snapToGrid w:val="0"/>
        <w:spacing w:line="360" w:lineRule="auto"/>
        <w:rPr>
          <w:rFonts w:ascii="宋体" w:hAnsi="宋体"/>
          <w:bCs/>
        </w:rPr>
      </w:pPr>
      <w:r>
        <w:rPr>
          <w:rFonts w:hint="eastAsia" w:ascii="宋体" w:hAnsi="宋体"/>
          <w:bCs/>
        </w:rPr>
        <w:t>第二节 茄果类蔬菜育苗技术</w:t>
      </w:r>
    </w:p>
    <w:p>
      <w:pPr>
        <w:widowControl/>
        <w:snapToGrid w:val="0"/>
        <w:spacing w:line="360" w:lineRule="auto"/>
        <w:rPr>
          <w:rFonts w:ascii="宋体" w:hAnsi="宋体"/>
          <w:bCs/>
        </w:rPr>
      </w:pPr>
      <w:r>
        <w:rPr>
          <w:rFonts w:hint="eastAsia" w:ascii="宋体" w:hAnsi="宋体"/>
          <w:bCs/>
        </w:rPr>
        <w:t>第三节 其它蔬菜育苗技术</w:t>
      </w:r>
    </w:p>
    <w:p>
      <w:pPr>
        <w:widowControl/>
        <w:snapToGrid w:val="0"/>
        <w:spacing w:line="360" w:lineRule="auto"/>
        <w:rPr>
          <w:rFonts w:ascii="宋体" w:hAnsi="宋体"/>
          <w:color w:val="000000" w:themeColor="text1"/>
          <w:szCs w:val="20"/>
          <w14:textFill>
            <w14:solidFill>
              <w14:schemeClr w14:val="tx1"/>
            </w14:solidFill>
          </w14:textFill>
        </w:rPr>
      </w:pPr>
      <w:r>
        <w:rPr>
          <w:rFonts w:hint="eastAsia" w:ascii="宋体" w:hAnsi="宋体"/>
          <w:b/>
          <w:bCs/>
        </w:rPr>
        <w:t>教学组织与实施</w:t>
      </w:r>
      <w:r>
        <w:rPr>
          <w:rFonts w:hint="eastAsia" w:ascii="宋体" w:hAnsi="宋体"/>
          <w:b/>
          <w:bCs/>
          <w:color w:val="000000" w:themeColor="text1"/>
          <w14:textFill>
            <w14:solidFill>
              <w14:schemeClr w14:val="tx1"/>
            </w14:solidFill>
          </w14:textFill>
        </w:rPr>
        <w:t>：</w:t>
      </w:r>
      <w:r>
        <w:rPr>
          <w:rFonts w:hint="eastAsia" w:ascii="宋体" w:hAnsi="宋体"/>
          <w:color w:val="000000" w:themeColor="text1"/>
          <w:szCs w:val="20"/>
          <w14:textFill>
            <w14:solidFill>
              <w14:schemeClr w14:val="tx1"/>
            </w14:solidFill>
          </w14:textFill>
        </w:rPr>
        <w:t>教师首先以统计数据的形式向学生展示我国各种蔬菜的栽培面积及总产量，以此为据引出我国蔬菜工厂化育苗中需求量较大的蔬菜秧苗种类。随后以植物学分类为基础，分别介绍瓜类蔬菜、茄果类蔬菜和叶菜类蔬菜的工厂化育苗技术。以黄瓜、番茄这两种需求量较大的秧苗为例，详细讲解瓜类蔬菜和茄果类蔬菜育苗的穴盘育苗技术，包括播种技术、嫁接技术、水分管理、养分管理、病虫害防治及贮藏运输技术。设置翻转课堂，让同学们分组汇报其他蔬菜的育苗关键技术。</w:t>
      </w:r>
    </w:p>
    <w:tbl>
      <w:tblPr>
        <w:tblStyle w:val="22"/>
        <w:tblW w:w="0" w:type="auto"/>
        <w:tblInd w:w="4" w:type="dxa"/>
        <w:tblLayout w:type="autofit"/>
        <w:tblCellMar>
          <w:top w:w="0" w:type="dxa"/>
          <w:left w:w="0" w:type="dxa"/>
          <w:bottom w:w="0" w:type="dxa"/>
          <w:right w:w="0" w:type="dxa"/>
        </w:tblCellMar>
      </w:tblPr>
      <w:tblGrid>
        <w:gridCol w:w="1201"/>
        <w:gridCol w:w="5316"/>
        <w:gridCol w:w="2379"/>
      </w:tblGrid>
      <w:tr>
        <w:tblPrEx>
          <w:tblCellMar>
            <w:top w:w="0" w:type="dxa"/>
            <w:left w:w="0" w:type="dxa"/>
            <w:bottom w:w="0" w:type="dxa"/>
            <w:right w:w="0" w:type="dxa"/>
          </w:tblCellMar>
        </w:tblPrEx>
        <w:trPr>
          <w:trHeight w:val="270" w:hRule="atLeast"/>
        </w:trPr>
        <w:tc>
          <w:tcPr>
            <w:tcW w:w="120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5316"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Ansi="宋体"/>
                <w:b/>
                <w:bCs/>
                <w:szCs w:val="21"/>
              </w:rPr>
              <w:t>第</w:t>
            </w:r>
            <w:r>
              <w:rPr>
                <w:rFonts w:hint="eastAsia" w:hAnsi="宋体"/>
                <w:b/>
                <w:bCs/>
                <w:szCs w:val="21"/>
              </w:rPr>
              <w:t>九</w:t>
            </w:r>
            <w:r>
              <w:rPr>
                <w:rFonts w:hAnsi="宋体"/>
                <w:b/>
                <w:bCs/>
                <w:szCs w:val="21"/>
              </w:rPr>
              <w:t>章</w:t>
            </w:r>
            <w:r>
              <w:rPr>
                <w:rFonts w:hint="eastAsia"/>
                <w:b/>
                <w:bCs/>
                <w:szCs w:val="21"/>
              </w:rPr>
              <w:t xml:space="preserve">  闭锁型育苗系统的科学原理与应用</w:t>
            </w:r>
          </w:p>
        </w:tc>
        <w:tc>
          <w:tcPr>
            <w:tcW w:w="2379"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使学生了解现存的工厂化育苗生产模式存在的问题，学习根据植物生长对环境的需求设计更加合理的育苗模式。</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本章重点内容为闭锁型育苗系统的硬件组成；难点为闭锁型育苗系统的运行模式。</w:t>
      </w:r>
    </w:p>
    <w:p>
      <w:pPr>
        <w:widowControl/>
        <w:snapToGrid w:val="0"/>
        <w:spacing w:line="360" w:lineRule="auto"/>
        <w:rPr>
          <w:rFonts w:ascii="宋体" w:hAnsi="宋体"/>
          <w:b/>
          <w:bCs/>
        </w:rPr>
      </w:pPr>
      <w:r>
        <w:rPr>
          <w:rFonts w:hint="eastAsia" w:ascii="宋体" w:hAnsi="宋体"/>
          <w:b/>
          <w:bCs/>
        </w:rPr>
        <w:t>主要教学内容及要求：</w:t>
      </w:r>
      <w:r>
        <w:rPr>
          <w:rFonts w:hint="eastAsia" w:ascii="宋体" w:hAnsi="宋体"/>
          <w:bCs/>
        </w:rPr>
        <w:t>了解闭锁型育苗系统的起源及发展历程，掌握闭锁型育苗系统的硬件构成，掌握闭锁型育苗系统的运行模式，了解闭锁型育苗系统的运行成本。</w:t>
      </w:r>
    </w:p>
    <w:p>
      <w:pPr>
        <w:widowControl/>
        <w:snapToGrid w:val="0"/>
        <w:spacing w:line="360" w:lineRule="auto"/>
        <w:rPr>
          <w:rFonts w:ascii="宋体" w:hAnsi="宋体"/>
          <w:bCs/>
        </w:rPr>
      </w:pPr>
      <w:r>
        <w:rPr>
          <w:rFonts w:hint="eastAsia" w:ascii="宋体" w:hAnsi="宋体"/>
          <w:bCs/>
        </w:rPr>
        <w:t>第一节 闭锁型育苗生产系统研究开发的背景</w:t>
      </w:r>
    </w:p>
    <w:p>
      <w:pPr>
        <w:widowControl/>
        <w:snapToGrid w:val="0"/>
        <w:spacing w:line="360" w:lineRule="auto"/>
        <w:rPr>
          <w:rFonts w:ascii="宋体" w:hAnsi="宋体"/>
          <w:bCs/>
        </w:rPr>
      </w:pPr>
      <w:r>
        <w:rPr>
          <w:rFonts w:hint="eastAsia" w:ascii="宋体" w:hAnsi="宋体"/>
          <w:bCs/>
        </w:rPr>
        <w:t>第二节 闭锁型育苗生产系统的构成及原理</w:t>
      </w:r>
    </w:p>
    <w:p>
      <w:pPr>
        <w:widowControl/>
        <w:snapToGrid w:val="0"/>
        <w:spacing w:line="360" w:lineRule="auto"/>
        <w:rPr>
          <w:rFonts w:ascii="宋体" w:hAnsi="宋体"/>
          <w:bCs/>
        </w:rPr>
      </w:pPr>
      <w:r>
        <w:rPr>
          <w:rFonts w:hint="eastAsia" w:ascii="宋体" w:hAnsi="宋体"/>
          <w:bCs/>
        </w:rPr>
        <w:t>第三节 闭锁型育苗生产系统的优势</w:t>
      </w:r>
    </w:p>
    <w:p>
      <w:pPr>
        <w:widowControl/>
        <w:snapToGrid w:val="0"/>
        <w:spacing w:line="360" w:lineRule="auto"/>
        <w:rPr>
          <w:rFonts w:ascii="宋体" w:hAnsi="宋体"/>
          <w:bCs/>
        </w:rPr>
      </w:pPr>
      <w:r>
        <w:rPr>
          <w:rFonts w:hint="eastAsia" w:ascii="宋体" w:hAnsi="宋体"/>
          <w:bCs/>
        </w:rPr>
        <w:t>第四节 闭锁型育苗生产系统的经济性</w:t>
      </w:r>
    </w:p>
    <w:p>
      <w:pPr>
        <w:widowControl/>
        <w:snapToGrid w:val="0"/>
        <w:spacing w:line="360" w:lineRule="auto"/>
        <w:rPr>
          <w:rFonts w:ascii="宋体" w:hAnsi="宋体"/>
          <w:bCs/>
        </w:rPr>
      </w:pPr>
      <w:r>
        <w:rPr>
          <w:rFonts w:hint="eastAsia" w:ascii="宋体" w:hAnsi="宋体"/>
          <w:bCs/>
        </w:rPr>
        <w:t>第五节 闭锁型育苗生产系统的创新思维及应用展望</w:t>
      </w:r>
    </w:p>
    <w:p>
      <w:pPr>
        <w:widowControl/>
        <w:snapToGrid w:val="0"/>
        <w:spacing w:line="360" w:lineRule="auto"/>
        <w:rPr>
          <w:rFonts w:ascii="宋体" w:hAnsi="宋体"/>
          <w:bCs/>
        </w:rPr>
      </w:pPr>
      <w:r>
        <w:rPr>
          <w:rFonts w:hint="eastAsia" w:ascii="宋体" w:hAnsi="宋体"/>
          <w:b/>
          <w:bCs/>
        </w:rPr>
        <w:t>教学组织与实施</w:t>
      </w:r>
      <w:r>
        <w:rPr>
          <w:rFonts w:hint="eastAsia" w:ascii="宋体" w:hAnsi="宋体"/>
          <w:b/>
          <w:bCs/>
          <w:color w:val="000000" w:themeColor="text1"/>
          <w14:textFill>
            <w14:solidFill>
              <w14:schemeClr w14:val="tx1"/>
            </w14:solidFill>
          </w14:textFill>
        </w:rPr>
        <w:t>：</w:t>
      </w:r>
      <w:r>
        <w:rPr>
          <w:rFonts w:hint="eastAsia" w:ascii="宋体" w:hAnsi="宋体"/>
          <w:color w:val="000000" w:themeColor="text1"/>
          <w:szCs w:val="20"/>
          <w14:textFill>
            <w14:solidFill>
              <w14:schemeClr w14:val="tx1"/>
            </w14:solidFill>
          </w14:textFill>
        </w:rPr>
        <w:t>教师首先以思维导图的形式带领学生回顾绪论和第1</w:t>
      </w:r>
      <w:r>
        <w:rPr>
          <w:rFonts w:ascii="宋体" w:hAnsi="宋体"/>
          <w:color w:val="000000" w:themeColor="text1"/>
          <w:szCs w:val="20"/>
          <w14:textFill>
            <w14:solidFill>
              <w14:schemeClr w14:val="tx1"/>
            </w14:solidFill>
          </w14:textFill>
        </w:rPr>
        <w:t>-8</w:t>
      </w:r>
      <w:r>
        <w:rPr>
          <w:rFonts w:hint="eastAsia" w:ascii="宋体" w:hAnsi="宋体"/>
          <w:color w:val="000000" w:themeColor="text1"/>
          <w:szCs w:val="20"/>
          <w14:textFill>
            <w14:solidFill>
              <w14:schemeClr w14:val="tx1"/>
            </w14:solidFill>
          </w14:textFill>
        </w:rPr>
        <w:t>章课程内容，一方面起到复习巩固的目的，另一方面也引导学生思考现行的工厂化种苗生产模式是否还有需要改进的方向。随后，将植物工厂的生产模式图和生产理念进行初步讲解，引导学生思考植物工厂与工厂化育苗的关系，是否有可借鉴的地方，通过学习通在线发帖的形式汇总学生思考结果，再有针对性的引入闭锁型育苗系统的概念。最后从满足植物生长所需要的温、光、水、肥、气五个方面有序讲解闭锁型育苗系统所必须的硬件以及该系统如何运行，使学生条例清晰的学习基本概念。通过与塑料大棚、日光温室和连栋温室这几种现存生产设施做成本对比，提出闭锁型育苗系统的优势。课程讲授结束后，要求学生根据本章学习内容拓展思维，开发闭锁型育苗系统在其他方面的应用，并以P</w:t>
      </w:r>
      <w:r>
        <w:rPr>
          <w:rFonts w:ascii="宋体" w:hAnsi="宋体"/>
          <w:color w:val="000000" w:themeColor="text1"/>
          <w:szCs w:val="20"/>
          <w14:textFill>
            <w14:solidFill>
              <w14:schemeClr w14:val="tx1"/>
            </w14:solidFill>
          </w14:textFill>
        </w:rPr>
        <w:t>PT</w:t>
      </w:r>
      <w:r>
        <w:rPr>
          <w:rFonts w:hint="eastAsia" w:ascii="宋体" w:hAnsi="宋体"/>
          <w:color w:val="000000" w:themeColor="text1"/>
          <w:szCs w:val="20"/>
          <w14:textFill>
            <w14:solidFill>
              <w14:schemeClr w14:val="tx1"/>
            </w14:solidFill>
          </w14:textFill>
        </w:rPr>
        <w:t>的形式完成作业。</w:t>
      </w:r>
    </w:p>
    <w:p>
      <w:pPr>
        <w:widowControl/>
        <w:snapToGrid w:val="0"/>
        <w:spacing w:line="360" w:lineRule="auto"/>
        <w:jc w:val="left"/>
        <w:rPr>
          <w:rFonts w:hAnsi="宋体"/>
          <w:bCs/>
          <w:kern w:val="0"/>
          <w:szCs w:val="21"/>
        </w:rPr>
      </w:pPr>
      <w:r>
        <w:rPr>
          <w:rFonts w:hint="eastAsia" w:hAnsi="宋体"/>
          <w:b/>
          <w:bCs/>
          <w:kern w:val="0"/>
          <w:szCs w:val="21"/>
        </w:rPr>
        <w:t>五</w:t>
      </w:r>
      <w:r>
        <w:rPr>
          <w:rFonts w:hAnsi="宋体"/>
          <w:b/>
          <w:bCs/>
          <w:kern w:val="0"/>
          <w:szCs w:val="21"/>
        </w:rPr>
        <w:t>、实验教学内容及学时分配</w:t>
      </w:r>
      <w:r>
        <w:rPr>
          <w:rFonts w:hint="eastAsia" w:hAnsi="宋体"/>
          <w:b/>
          <w:bCs/>
          <w:kern w:val="0"/>
          <w:szCs w:val="21"/>
        </w:rPr>
        <w:t>（</w:t>
      </w:r>
      <w:r>
        <w:rPr>
          <w:rFonts w:hAnsi="宋体"/>
          <w:b/>
          <w:bCs/>
          <w:kern w:val="0"/>
          <w:szCs w:val="21"/>
        </w:rPr>
        <w:t>12学时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《工厂化育苗原理与技术实验》是设施农业科学与工程专业实践教学体系的重要组成部分，该课程针对《工厂化育苗原理与技术》课程内容体系，设立了</w:t>
      </w:r>
      <w:r>
        <w:rPr>
          <w:rFonts w:ascii="宋体" w:hAnsi="宋体"/>
          <w:bCs/>
          <w:color w:val="000000" w:themeColor="text1"/>
          <w:szCs w:val="21"/>
          <w14:textFill>
            <w14:solidFill>
              <w14:schemeClr w14:val="tx1"/>
            </w14:solidFill>
          </w14:textFill>
        </w:rPr>
        <w:t>5</w:t>
      </w:r>
      <w:r>
        <w:rPr>
          <w:rFonts w:hint="eastAsia" w:ascii="宋体" w:hAnsi="宋体"/>
          <w:bCs/>
          <w:color w:val="000000" w:themeColor="text1"/>
          <w:szCs w:val="21"/>
          <w14:textFill>
            <w14:solidFill>
              <w14:schemeClr w14:val="tx1"/>
            </w14:solidFill>
          </w14:textFill>
        </w:rPr>
        <w:t>个实验项目（其中</w:t>
      </w:r>
      <w:r>
        <w:rPr>
          <w:rFonts w:ascii="宋体" w:hAnsi="宋体"/>
          <w:bCs/>
          <w:color w:val="000000" w:themeColor="text1"/>
          <w:szCs w:val="21"/>
          <w14:textFill>
            <w14:solidFill>
              <w14:schemeClr w14:val="tx1"/>
            </w14:solidFill>
          </w14:textFill>
        </w:rPr>
        <w:t>1</w:t>
      </w:r>
      <w:r>
        <w:rPr>
          <w:rFonts w:hint="eastAsia" w:ascii="宋体" w:hAnsi="宋体"/>
          <w:bCs/>
          <w:color w:val="000000" w:themeColor="text1"/>
          <w:szCs w:val="21"/>
          <w14:textFill>
            <w14:solidFill>
              <w14:schemeClr w14:val="tx1"/>
            </w14:solidFill>
          </w14:textFill>
        </w:rPr>
        <w:t>个选做实验）包括：种子形态识别与测量、穴盘规格对蔬菜幼苗素质的影响、植物生长调节剂在工厂化育苗中的应用、瓜类蔬菜嫁接育苗技术、芽苗菜工厂化生产技术。每个实验之间环环相扣，学生在开展最后的种苗质量评价之前，要对不同种子适宜的发芽条件有基本的理论认知，之后按照嫁接育苗的要求播种砧木和接穗，再进行瓜类的不同嫁接方法实验，通过改变嫁接愈合环境和成活后的环境条件观察对种苗生长的影响，每次实验后学生都需要加强管理，才能和下一次的实验衔接，学生利用下课后的时间和周末时间到校内基地管理种苗并做好观察记录，全程参与种苗生产的全部环节。为了激发学生的实验参与积极性，由教师列出评分标准，再由学生推选学生代表相互打分，改变了以往实验考核单纯注重实验报告的局面，而以实验结果作为评分的主要依据，教师们最后对实验进行点评和总结，通过这种方式，激发了学生对育苗课程实验的热情和兴趣。设计的实验内容具有系统性、针对性、实用性强的特点，对培养学生理论与实践相结合、提高实际动手能力有重要作用。</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本课程实验教学，使学生掌握工厂化育苗过程中基本实践操作技能，掌握工厂化育苗研究必备的调查和测定方法，掌握种子基本的识别和判断能力。要求学生熟练掌握穴盘育苗、种子处理、种苗生长环境控制、蔬菜种苗嫁接和生长调节剂在种苗生产中应用的基本操作方法，熟悉试验材料的处理方法、常用育苗相关仪器设备的调试和使用、常见药剂（品）的配制和育苗设施的管理等基本实验操作方法；通过实验教学与训练，培养学生综合运用基础课、专业基础课知识的能力，培养学生自主探求知识、独立分析问题和解决问题的能力。</w:t>
      </w:r>
    </w:p>
    <w:p>
      <w:pPr>
        <w:snapToGrid w:val="0"/>
        <w:spacing w:line="360" w:lineRule="auto"/>
        <w:rPr>
          <w:b/>
        </w:rPr>
      </w:pPr>
      <w:r>
        <w:rPr>
          <w:rFonts w:hint="eastAsia"/>
          <w:b/>
        </w:rPr>
        <w:t>（三）实验安全操作规范</w:t>
      </w:r>
    </w:p>
    <w:p>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实验室不允许带食品和饮料；学生严格遵照实验安全规程操作；实验结束后，学生要正确关闭实验设备，并将设备摆放整齐，检查水、电、气等安全措施完善后才能离开实验室；要求学生清理实验设置附近的垃圾方可离开实验室。</w:t>
      </w:r>
    </w:p>
    <w:p>
      <w:pPr>
        <w:snapToGrid w:val="0"/>
        <w:spacing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3783"/>
        <w:gridCol w:w="770"/>
        <w:gridCol w:w="900"/>
        <w:gridCol w:w="1220"/>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3783"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770"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学时</w:t>
            </w:r>
          </w:p>
        </w:tc>
        <w:tc>
          <w:tcPr>
            <w:tcW w:w="900"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类型</w:t>
            </w:r>
          </w:p>
        </w:tc>
        <w:tc>
          <w:tcPr>
            <w:tcW w:w="1220"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实验要求</w:t>
            </w:r>
          </w:p>
        </w:tc>
        <w:tc>
          <w:tcPr>
            <w:tcW w:w="973"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vAlign w:val="center"/>
          </w:tcPr>
          <w:p>
            <w:pPr>
              <w:ind w:firstLine="360"/>
              <w:jc w:val="center"/>
              <w:rPr>
                <w:sz w:val="18"/>
                <w:szCs w:val="18"/>
              </w:rPr>
            </w:pPr>
            <w:r>
              <w:rPr>
                <w:sz w:val="18"/>
                <w:szCs w:val="18"/>
              </w:rPr>
              <w:t>19011042</w:t>
            </w:r>
            <w:r>
              <w:rPr>
                <w:rFonts w:hint="eastAsia"/>
                <w:sz w:val="18"/>
                <w:szCs w:val="18"/>
              </w:rPr>
              <w:t>01</w:t>
            </w:r>
          </w:p>
        </w:tc>
        <w:tc>
          <w:tcPr>
            <w:tcW w:w="3783" w:type="dxa"/>
            <w:tcBorders>
              <w:tl2br w:val="nil"/>
              <w:tr2bl w:val="nil"/>
            </w:tcBorders>
            <w:vAlign w:val="center"/>
          </w:tcPr>
          <w:p>
            <w:pPr>
              <w:ind w:firstLine="360"/>
              <w:rPr>
                <w:sz w:val="18"/>
                <w:szCs w:val="18"/>
              </w:rPr>
            </w:pPr>
            <w:r>
              <w:rPr>
                <w:rFonts w:hint="eastAsia"/>
                <w:sz w:val="18"/>
                <w:szCs w:val="18"/>
              </w:rPr>
              <w:t>种子形态识别与测量</w:t>
            </w:r>
          </w:p>
        </w:tc>
        <w:tc>
          <w:tcPr>
            <w:tcW w:w="770" w:type="dxa"/>
            <w:tcBorders>
              <w:tl2br w:val="nil"/>
              <w:tr2bl w:val="nil"/>
            </w:tcBorders>
            <w:vAlign w:val="center"/>
          </w:tcPr>
          <w:p>
            <w:pPr>
              <w:ind w:firstLine="360"/>
              <w:jc w:val="center"/>
              <w:rPr>
                <w:sz w:val="18"/>
                <w:szCs w:val="18"/>
              </w:rPr>
            </w:pPr>
            <w:r>
              <w:rPr>
                <w:rFonts w:hint="eastAsia"/>
                <w:sz w:val="18"/>
                <w:szCs w:val="18"/>
              </w:rPr>
              <w:t>2</w:t>
            </w:r>
          </w:p>
        </w:tc>
        <w:tc>
          <w:tcPr>
            <w:tcW w:w="900" w:type="dxa"/>
            <w:tcBorders>
              <w:tl2br w:val="nil"/>
              <w:tr2bl w:val="nil"/>
            </w:tcBorders>
            <w:vAlign w:val="center"/>
          </w:tcPr>
          <w:p>
            <w:pPr>
              <w:rPr>
                <w:sz w:val="18"/>
                <w:szCs w:val="18"/>
              </w:rPr>
            </w:pPr>
            <w:r>
              <w:rPr>
                <w:rFonts w:hint="eastAsia"/>
                <w:sz w:val="18"/>
                <w:szCs w:val="18"/>
              </w:rPr>
              <w:t>基础性</w:t>
            </w:r>
          </w:p>
        </w:tc>
        <w:tc>
          <w:tcPr>
            <w:tcW w:w="1220" w:type="dxa"/>
            <w:tcBorders>
              <w:tl2br w:val="nil"/>
              <w:tr2bl w:val="nil"/>
            </w:tcBorders>
            <w:vAlign w:val="center"/>
          </w:tcPr>
          <w:p>
            <w:pPr>
              <w:ind w:firstLine="360"/>
              <w:jc w:val="center"/>
              <w:rPr>
                <w:sz w:val="18"/>
                <w:szCs w:val="18"/>
              </w:rPr>
            </w:pPr>
            <w:r>
              <w:rPr>
                <w:rFonts w:hint="eastAsia"/>
                <w:sz w:val="18"/>
                <w:szCs w:val="18"/>
              </w:rPr>
              <w:t>必做</w:t>
            </w:r>
          </w:p>
        </w:tc>
        <w:tc>
          <w:tcPr>
            <w:tcW w:w="973" w:type="dxa"/>
            <w:tcBorders>
              <w:tl2br w:val="nil"/>
              <w:tr2bl w:val="nil"/>
            </w:tcBorders>
          </w:tcPr>
          <w:p>
            <w:pPr>
              <w:ind w:firstLine="360"/>
              <w:jc w:val="center"/>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vAlign w:val="center"/>
          </w:tcPr>
          <w:p>
            <w:pPr>
              <w:ind w:firstLine="360"/>
              <w:rPr>
                <w:sz w:val="18"/>
                <w:szCs w:val="18"/>
              </w:rPr>
            </w:pPr>
            <w:r>
              <w:rPr>
                <w:sz w:val="18"/>
                <w:szCs w:val="18"/>
              </w:rPr>
              <w:t>19011042</w:t>
            </w:r>
            <w:r>
              <w:rPr>
                <w:rFonts w:hint="eastAsia"/>
                <w:sz w:val="18"/>
                <w:szCs w:val="18"/>
              </w:rPr>
              <w:t>0</w:t>
            </w:r>
            <w:r>
              <w:rPr>
                <w:sz w:val="18"/>
                <w:szCs w:val="18"/>
              </w:rPr>
              <w:t>2</w:t>
            </w:r>
          </w:p>
        </w:tc>
        <w:tc>
          <w:tcPr>
            <w:tcW w:w="3783" w:type="dxa"/>
            <w:tcBorders>
              <w:tl2br w:val="nil"/>
              <w:tr2bl w:val="nil"/>
            </w:tcBorders>
            <w:vAlign w:val="center"/>
          </w:tcPr>
          <w:p>
            <w:pPr>
              <w:ind w:firstLine="360"/>
              <w:rPr>
                <w:color w:val="0000FF"/>
                <w:sz w:val="18"/>
                <w:szCs w:val="18"/>
              </w:rPr>
            </w:pPr>
            <w:r>
              <w:rPr>
                <w:rFonts w:hint="eastAsia"/>
                <w:sz w:val="18"/>
                <w:szCs w:val="18"/>
              </w:rPr>
              <w:t>穴盘规格对蔬菜幼苗素质的影响</w:t>
            </w:r>
          </w:p>
        </w:tc>
        <w:tc>
          <w:tcPr>
            <w:tcW w:w="770" w:type="dxa"/>
            <w:tcBorders>
              <w:tl2br w:val="nil"/>
              <w:tr2bl w:val="nil"/>
            </w:tcBorders>
            <w:vAlign w:val="center"/>
          </w:tcPr>
          <w:p>
            <w:pPr>
              <w:ind w:firstLine="360"/>
              <w:jc w:val="center"/>
              <w:rPr>
                <w:sz w:val="18"/>
                <w:szCs w:val="18"/>
              </w:rPr>
            </w:pPr>
            <w:r>
              <w:rPr>
                <w:rFonts w:hint="eastAsia"/>
                <w:sz w:val="18"/>
                <w:szCs w:val="18"/>
              </w:rPr>
              <w:t>2</w:t>
            </w:r>
          </w:p>
        </w:tc>
        <w:tc>
          <w:tcPr>
            <w:tcW w:w="900" w:type="dxa"/>
            <w:tcBorders>
              <w:tl2br w:val="nil"/>
              <w:tr2bl w:val="nil"/>
            </w:tcBorders>
            <w:vAlign w:val="center"/>
          </w:tcPr>
          <w:p>
            <w:pPr>
              <w:rPr>
                <w:sz w:val="18"/>
                <w:szCs w:val="18"/>
              </w:rPr>
            </w:pPr>
            <w:r>
              <w:rPr>
                <w:rFonts w:hint="eastAsia"/>
                <w:sz w:val="18"/>
                <w:szCs w:val="18"/>
              </w:rPr>
              <w:t>综合性</w:t>
            </w:r>
          </w:p>
        </w:tc>
        <w:tc>
          <w:tcPr>
            <w:tcW w:w="1220" w:type="dxa"/>
            <w:tcBorders>
              <w:tl2br w:val="nil"/>
              <w:tr2bl w:val="nil"/>
            </w:tcBorders>
            <w:vAlign w:val="center"/>
          </w:tcPr>
          <w:p>
            <w:pPr>
              <w:ind w:firstLine="360"/>
              <w:jc w:val="center"/>
              <w:rPr>
                <w:sz w:val="18"/>
                <w:szCs w:val="18"/>
              </w:rPr>
            </w:pPr>
            <w:r>
              <w:rPr>
                <w:rFonts w:hint="eastAsia"/>
                <w:sz w:val="18"/>
                <w:szCs w:val="18"/>
              </w:rPr>
              <w:t>必做</w:t>
            </w:r>
          </w:p>
        </w:tc>
        <w:tc>
          <w:tcPr>
            <w:tcW w:w="973" w:type="dxa"/>
            <w:tcBorders>
              <w:tl2br w:val="nil"/>
              <w:tr2bl w:val="nil"/>
            </w:tcBorders>
          </w:tcPr>
          <w:p>
            <w:pPr>
              <w:ind w:firstLine="360"/>
              <w:jc w:val="center"/>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vAlign w:val="center"/>
          </w:tcPr>
          <w:p>
            <w:pPr>
              <w:ind w:firstLine="360"/>
              <w:rPr>
                <w:sz w:val="18"/>
                <w:szCs w:val="18"/>
              </w:rPr>
            </w:pPr>
            <w:r>
              <w:rPr>
                <w:sz w:val="18"/>
                <w:szCs w:val="18"/>
              </w:rPr>
              <w:t>19011042</w:t>
            </w:r>
            <w:r>
              <w:rPr>
                <w:rFonts w:hint="eastAsia"/>
                <w:sz w:val="18"/>
                <w:szCs w:val="18"/>
              </w:rPr>
              <w:t>0</w:t>
            </w:r>
            <w:r>
              <w:rPr>
                <w:sz w:val="18"/>
                <w:szCs w:val="18"/>
              </w:rPr>
              <w:t>3</w:t>
            </w:r>
          </w:p>
        </w:tc>
        <w:tc>
          <w:tcPr>
            <w:tcW w:w="3783" w:type="dxa"/>
            <w:tcBorders>
              <w:tl2br w:val="nil"/>
              <w:tr2bl w:val="nil"/>
            </w:tcBorders>
            <w:vAlign w:val="center"/>
          </w:tcPr>
          <w:p>
            <w:pPr>
              <w:ind w:firstLine="360"/>
              <w:rPr>
                <w:sz w:val="18"/>
                <w:szCs w:val="18"/>
              </w:rPr>
            </w:pPr>
            <w:r>
              <w:rPr>
                <w:rFonts w:hint="eastAsia"/>
                <w:sz w:val="18"/>
                <w:szCs w:val="18"/>
              </w:rPr>
              <w:t>植物生长调节剂在工厂化育苗中的应用</w:t>
            </w:r>
          </w:p>
        </w:tc>
        <w:tc>
          <w:tcPr>
            <w:tcW w:w="770" w:type="dxa"/>
            <w:tcBorders>
              <w:tl2br w:val="nil"/>
              <w:tr2bl w:val="nil"/>
            </w:tcBorders>
            <w:vAlign w:val="center"/>
          </w:tcPr>
          <w:p>
            <w:pPr>
              <w:ind w:firstLine="360"/>
              <w:jc w:val="center"/>
              <w:rPr>
                <w:sz w:val="18"/>
                <w:szCs w:val="18"/>
              </w:rPr>
            </w:pPr>
            <w:r>
              <w:rPr>
                <w:rFonts w:hint="eastAsia"/>
                <w:sz w:val="18"/>
                <w:szCs w:val="18"/>
              </w:rPr>
              <w:t>2</w:t>
            </w:r>
          </w:p>
        </w:tc>
        <w:tc>
          <w:tcPr>
            <w:tcW w:w="900" w:type="dxa"/>
            <w:tcBorders>
              <w:tl2br w:val="nil"/>
              <w:tr2bl w:val="nil"/>
            </w:tcBorders>
            <w:vAlign w:val="center"/>
          </w:tcPr>
          <w:p>
            <w:pPr>
              <w:rPr>
                <w:sz w:val="18"/>
                <w:szCs w:val="18"/>
              </w:rPr>
            </w:pPr>
            <w:r>
              <w:rPr>
                <w:rFonts w:hint="eastAsia"/>
                <w:sz w:val="18"/>
                <w:szCs w:val="18"/>
              </w:rPr>
              <w:t>设计性</w:t>
            </w:r>
          </w:p>
        </w:tc>
        <w:tc>
          <w:tcPr>
            <w:tcW w:w="1220" w:type="dxa"/>
            <w:tcBorders>
              <w:tl2br w:val="nil"/>
              <w:tr2bl w:val="nil"/>
            </w:tcBorders>
            <w:vAlign w:val="center"/>
          </w:tcPr>
          <w:p>
            <w:pPr>
              <w:ind w:firstLine="360"/>
              <w:jc w:val="center"/>
              <w:rPr>
                <w:sz w:val="18"/>
                <w:szCs w:val="18"/>
              </w:rPr>
            </w:pPr>
            <w:r>
              <w:rPr>
                <w:rFonts w:hint="eastAsia"/>
                <w:sz w:val="18"/>
                <w:szCs w:val="18"/>
              </w:rPr>
              <w:t>必做</w:t>
            </w:r>
          </w:p>
        </w:tc>
        <w:tc>
          <w:tcPr>
            <w:tcW w:w="973" w:type="dxa"/>
            <w:tcBorders>
              <w:tl2br w:val="nil"/>
              <w:tr2bl w:val="nil"/>
            </w:tcBorders>
            <w:vAlign w:val="center"/>
          </w:tcPr>
          <w:p>
            <w:pPr>
              <w:ind w:firstLine="360"/>
              <w:jc w:val="center"/>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vAlign w:val="center"/>
          </w:tcPr>
          <w:p>
            <w:pPr>
              <w:ind w:firstLine="360"/>
              <w:rPr>
                <w:sz w:val="18"/>
                <w:szCs w:val="18"/>
              </w:rPr>
            </w:pPr>
            <w:r>
              <w:rPr>
                <w:sz w:val="18"/>
                <w:szCs w:val="18"/>
              </w:rPr>
              <w:t>1901104204</w:t>
            </w:r>
          </w:p>
        </w:tc>
        <w:tc>
          <w:tcPr>
            <w:tcW w:w="3783" w:type="dxa"/>
            <w:tcBorders>
              <w:tl2br w:val="nil"/>
              <w:tr2bl w:val="nil"/>
            </w:tcBorders>
            <w:vAlign w:val="center"/>
          </w:tcPr>
          <w:p>
            <w:pPr>
              <w:ind w:firstLine="360"/>
              <w:rPr>
                <w:sz w:val="18"/>
                <w:szCs w:val="18"/>
              </w:rPr>
            </w:pPr>
            <w:r>
              <w:rPr>
                <w:rFonts w:hint="eastAsia"/>
                <w:sz w:val="18"/>
                <w:szCs w:val="18"/>
              </w:rPr>
              <w:t>工厂化育苗基质主要理化性状的测定</w:t>
            </w:r>
          </w:p>
        </w:tc>
        <w:tc>
          <w:tcPr>
            <w:tcW w:w="770" w:type="dxa"/>
            <w:tcBorders>
              <w:tl2br w:val="nil"/>
              <w:tr2bl w:val="nil"/>
            </w:tcBorders>
            <w:vAlign w:val="center"/>
          </w:tcPr>
          <w:p>
            <w:pPr>
              <w:ind w:firstLine="360"/>
              <w:jc w:val="center"/>
              <w:rPr>
                <w:sz w:val="18"/>
                <w:szCs w:val="18"/>
              </w:rPr>
            </w:pPr>
            <w:r>
              <w:rPr>
                <w:rFonts w:hint="eastAsia"/>
                <w:sz w:val="18"/>
                <w:szCs w:val="18"/>
              </w:rPr>
              <w:t>2</w:t>
            </w:r>
          </w:p>
        </w:tc>
        <w:tc>
          <w:tcPr>
            <w:tcW w:w="900" w:type="dxa"/>
            <w:tcBorders>
              <w:tl2br w:val="nil"/>
              <w:tr2bl w:val="nil"/>
            </w:tcBorders>
            <w:vAlign w:val="center"/>
          </w:tcPr>
          <w:p>
            <w:pPr>
              <w:rPr>
                <w:sz w:val="18"/>
                <w:szCs w:val="18"/>
              </w:rPr>
            </w:pPr>
            <w:r>
              <w:rPr>
                <w:rFonts w:hint="eastAsia"/>
                <w:sz w:val="18"/>
                <w:szCs w:val="18"/>
              </w:rPr>
              <w:t>综合性</w:t>
            </w:r>
          </w:p>
        </w:tc>
        <w:tc>
          <w:tcPr>
            <w:tcW w:w="1220" w:type="dxa"/>
            <w:tcBorders>
              <w:tl2br w:val="nil"/>
              <w:tr2bl w:val="nil"/>
            </w:tcBorders>
            <w:vAlign w:val="center"/>
          </w:tcPr>
          <w:p>
            <w:pPr>
              <w:ind w:firstLine="360"/>
              <w:jc w:val="center"/>
              <w:rPr>
                <w:sz w:val="18"/>
                <w:szCs w:val="18"/>
              </w:rPr>
            </w:pPr>
            <w:r>
              <w:rPr>
                <w:rFonts w:hint="eastAsia"/>
                <w:sz w:val="18"/>
                <w:szCs w:val="18"/>
              </w:rPr>
              <w:t>必做</w:t>
            </w:r>
          </w:p>
        </w:tc>
        <w:tc>
          <w:tcPr>
            <w:tcW w:w="973" w:type="dxa"/>
            <w:tcBorders>
              <w:tl2br w:val="nil"/>
              <w:tr2bl w:val="nil"/>
            </w:tcBorders>
          </w:tcPr>
          <w:p>
            <w:pPr>
              <w:ind w:firstLine="360"/>
              <w:jc w:val="center"/>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vAlign w:val="center"/>
          </w:tcPr>
          <w:p>
            <w:pPr>
              <w:ind w:firstLine="360"/>
              <w:rPr>
                <w:sz w:val="18"/>
                <w:szCs w:val="18"/>
              </w:rPr>
            </w:pPr>
            <w:r>
              <w:rPr>
                <w:sz w:val="18"/>
                <w:szCs w:val="18"/>
              </w:rPr>
              <w:t>19011042</w:t>
            </w:r>
            <w:r>
              <w:rPr>
                <w:rFonts w:hint="eastAsia"/>
                <w:sz w:val="18"/>
                <w:szCs w:val="18"/>
              </w:rPr>
              <w:t>0</w:t>
            </w:r>
            <w:r>
              <w:rPr>
                <w:sz w:val="18"/>
                <w:szCs w:val="18"/>
              </w:rPr>
              <w:t>5</w:t>
            </w:r>
          </w:p>
        </w:tc>
        <w:tc>
          <w:tcPr>
            <w:tcW w:w="3783" w:type="dxa"/>
            <w:tcBorders>
              <w:tl2br w:val="nil"/>
              <w:tr2bl w:val="nil"/>
            </w:tcBorders>
            <w:vAlign w:val="center"/>
          </w:tcPr>
          <w:p>
            <w:pPr>
              <w:ind w:firstLine="360"/>
              <w:rPr>
                <w:sz w:val="18"/>
                <w:szCs w:val="18"/>
              </w:rPr>
            </w:pPr>
            <w:r>
              <w:rPr>
                <w:rFonts w:hint="eastAsia"/>
                <w:sz w:val="18"/>
                <w:szCs w:val="18"/>
              </w:rPr>
              <w:t>瓜类蔬菜嫁接育苗技术</w:t>
            </w:r>
          </w:p>
        </w:tc>
        <w:tc>
          <w:tcPr>
            <w:tcW w:w="770" w:type="dxa"/>
            <w:tcBorders>
              <w:tl2br w:val="nil"/>
              <w:tr2bl w:val="nil"/>
            </w:tcBorders>
            <w:vAlign w:val="center"/>
          </w:tcPr>
          <w:p>
            <w:pPr>
              <w:ind w:firstLine="360"/>
              <w:jc w:val="center"/>
              <w:rPr>
                <w:sz w:val="18"/>
                <w:szCs w:val="18"/>
              </w:rPr>
            </w:pPr>
            <w:r>
              <w:rPr>
                <w:rFonts w:hint="eastAsia"/>
                <w:sz w:val="18"/>
                <w:szCs w:val="18"/>
              </w:rPr>
              <w:t>2</w:t>
            </w:r>
          </w:p>
        </w:tc>
        <w:tc>
          <w:tcPr>
            <w:tcW w:w="900" w:type="dxa"/>
            <w:tcBorders>
              <w:tl2br w:val="nil"/>
              <w:tr2bl w:val="nil"/>
            </w:tcBorders>
            <w:vAlign w:val="center"/>
          </w:tcPr>
          <w:p>
            <w:pPr>
              <w:rPr>
                <w:sz w:val="18"/>
                <w:szCs w:val="18"/>
              </w:rPr>
            </w:pPr>
            <w:r>
              <w:rPr>
                <w:rFonts w:hint="eastAsia"/>
                <w:sz w:val="18"/>
                <w:szCs w:val="18"/>
              </w:rPr>
              <w:t>基础性</w:t>
            </w:r>
          </w:p>
        </w:tc>
        <w:tc>
          <w:tcPr>
            <w:tcW w:w="1220" w:type="dxa"/>
            <w:tcBorders>
              <w:tl2br w:val="nil"/>
              <w:tr2bl w:val="nil"/>
            </w:tcBorders>
            <w:vAlign w:val="center"/>
          </w:tcPr>
          <w:p>
            <w:pPr>
              <w:ind w:firstLine="360"/>
              <w:jc w:val="center"/>
              <w:rPr>
                <w:sz w:val="18"/>
                <w:szCs w:val="18"/>
              </w:rPr>
            </w:pPr>
            <w:r>
              <w:rPr>
                <w:rFonts w:hint="eastAsia"/>
                <w:sz w:val="18"/>
                <w:szCs w:val="18"/>
              </w:rPr>
              <w:t>必做</w:t>
            </w:r>
          </w:p>
        </w:tc>
        <w:tc>
          <w:tcPr>
            <w:tcW w:w="973" w:type="dxa"/>
            <w:tcBorders>
              <w:tl2br w:val="nil"/>
              <w:tr2bl w:val="nil"/>
            </w:tcBorders>
          </w:tcPr>
          <w:p>
            <w:pPr>
              <w:ind w:firstLine="360"/>
              <w:jc w:val="center"/>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0" w:type="dxa"/>
            <w:tcBorders>
              <w:tl2br w:val="nil"/>
              <w:tr2bl w:val="nil"/>
            </w:tcBorders>
            <w:vAlign w:val="center"/>
          </w:tcPr>
          <w:p>
            <w:pPr>
              <w:ind w:firstLine="360"/>
              <w:rPr>
                <w:sz w:val="18"/>
                <w:szCs w:val="18"/>
              </w:rPr>
            </w:pPr>
            <w:r>
              <w:rPr>
                <w:sz w:val="18"/>
                <w:szCs w:val="18"/>
              </w:rPr>
              <w:t>19011042</w:t>
            </w:r>
            <w:r>
              <w:rPr>
                <w:rFonts w:hint="eastAsia"/>
                <w:sz w:val="18"/>
                <w:szCs w:val="18"/>
              </w:rPr>
              <w:t>0</w:t>
            </w:r>
            <w:r>
              <w:rPr>
                <w:sz w:val="18"/>
                <w:szCs w:val="18"/>
              </w:rPr>
              <w:t>6</w:t>
            </w:r>
          </w:p>
        </w:tc>
        <w:tc>
          <w:tcPr>
            <w:tcW w:w="3783" w:type="dxa"/>
            <w:tcBorders>
              <w:tl2br w:val="nil"/>
              <w:tr2bl w:val="nil"/>
            </w:tcBorders>
            <w:vAlign w:val="center"/>
          </w:tcPr>
          <w:p>
            <w:pPr>
              <w:ind w:firstLine="360"/>
              <w:rPr>
                <w:sz w:val="18"/>
                <w:szCs w:val="18"/>
              </w:rPr>
            </w:pPr>
            <w:r>
              <w:rPr>
                <w:rFonts w:hint="eastAsia"/>
                <w:sz w:val="18"/>
                <w:szCs w:val="18"/>
              </w:rPr>
              <w:t>芽苗菜工厂化生产技术</w:t>
            </w:r>
          </w:p>
        </w:tc>
        <w:tc>
          <w:tcPr>
            <w:tcW w:w="770" w:type="dxa"/>
            <w:tcBorders>
              <w:tl2br w:val="nil"/>
              <w:tr2bl w:val="nil"/>
            </w:tcBorders>
            <w:vAlign w:val="center"/>
          </w:tcPr>
          <w:p>
            <w:pPr>
              <w:ind w:firstLine="360"/>
              <w:jc w:val="center"/>
              <w:rPr>
                <w:sz w:val="18"/>
                <w:szCs w:val="18"/>
              </w:rPr>
            </w:pPr>
            <w:r>
              <w:rPr>
                <w:rFonts w:hint="eastAsia"/>
                <w:sz w:val="18"/>
                <w:szCs w:val="18"/>
              </w:rPr>
              <w:t>2</w:t>
            </w:r>
          </w:p>
        </w:tc>
        <w:tc>
          <w:tcPr>
            <w:tcW w:w="900" w:type="dxa"/>
            <w:tcBorders>
              <w:tl2br w:val="nil"/>
              <w:tr2bl w:val="nil"/>
            </w:tcBorders>
            <w:vAlign w:val="center"/>
          </w:tcPr>
          <w:p>
            <w:pPr>
              <w:rPr>
                <w:sz w:val="18"/>
                <w:szCs w:val="18"/>
              </w:rPr>
            </w:pPr>
            <w:r>
              <w:rPr>
                <w:rFonts w:hint="eastAsia"/>
                <w:sz w:val="18"/>
                <w:szCs w:val="18"/>
              </w:rPr>
              <w:t>基础性</w:t>
            </w:r>
          </w:p>
        </w:tc>
        <w:tc>
          <w:tcPr>
            <w:tcW w:w="1220" w:type="dxa"/>
            <w:tcBorders>
              <w:tl2br w:val="nil"/>
              <w:tr2bl w:val="nil"/>
            </w:tcBorders>
            <w:vAlign w:val="center"/>
          </w:tcPr>
          <w:p>
            <w:pPr>
              <w:ind w:firstLine="360"/>
              <w:jc w:val="center"/>
              <w:rPr>
                <w:sz w:val="18"/>
                <w:szCs w:val="18"/>
              </w:rPr>
            </w:pPr>
            <w:r>
              <w:rPr>
                <w:rFonts w:hint="eastAsia"/>
                <w:sz w:val="18"/>
                <w:szCs w:val="18"/>
              </w:rPr>
              <w:t>必做</w:t>
            </w:r>
          </w:p>
        </w:tc>
        <w:tc>
          <w:tcPr>
            <w:tcW w:w="973" w:type="dxa"/>
            <w:tcBorders>
              <w:tl2br w:val="nil"/>
              <w:tr2bl w:val="nil"/>
            </w:tcBorders>
          </w:tcPr>
          <w:p>
            <w:pPr>
              <w:ind w:firstLine="360"/>
              <w:jc w:val="center"/>
              <w:rPr>
                <w:sz w:val="18"/>
                <w:szCs w:val="18"/>
              </w:rPr>
            </w:pPr>
            <w:r>
              <w:rPr>
                <w:rFonts w:hint="eastAsia"/>
                <w:sz w:val="18"/>
                <w:szCs w:val="18"/>
              </w:rPr>
              <w:t>5</w:t>
            </w:r>
          </w:p>
        </w:tc>
      </w:tr>
    </w:tbl>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实验分为室内试验和室外实验。室内实验种子观察方式为游标卡尺和显微镜的使用，要求具备合理使用仪器进行基本的测量和描述。室外试验为育苗和嫁接，要求能够掌握生长调节剂基本的配制和使用方法；嫁接实验要求掌握基本的嫁接技术，包括砧木和接穗的切削操作、砧木和接穗的固定以及嫁接后对光照、水分的管理。</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ind w:firstLine="422"/>
        <w:rPr>
          <w:b/>
          <w:sz w:val="21"/>
          <w:szCs w:val="21"/>
        </w:rPr>
      </w:pPr>
      <w:r>
        <w:rPr>
          <w:rFonts w:hint="eastAsia"/>
          <w:b/>
          <w:sz w:val="21"/>
          <w:szCs w:val="21"/>
        </w:rPr>
        <w:t>【</w:t>
      </w:r>
      <w:r>
        <w:rPr>
          <w:b/>
          <w:sz w:val="21"/>
          <w:szCs w:val="21"/>
        </w:rPr>
        <w:t>实验一</w:t>
      </w:r>
      <w:r>
        <w:rPr>
          <w:rFonts w:hint="eastAsia"/>
          <w:b/>
          <w:sz w:val="21"/>
          <w:szCs w:val="21"/>
        </w:rPr>
        <w:t>】种子形态识别与测量</w:t>
      </w:r>
    </w:p>
    <w:p>
      <w:pPr>
        <w:snapToGrid w:val="0"/>
        <w:spacing w:line="360" w:lineRule="auto"/>
        <w:ind w:firstLine="422" w:firstLineChars="200"/>
      </w:pPr>
      <w:r>
        <w:rPr>
          <w:rFonts w:hint="eastAsia"/>
          <w:b/>
          <w:szCs w:val="21"/>
        </w:rPr>
        <w:t>1.实验学时：</w:t>
      </w:r>
      <w:r>
        <w:rPr>
          <w:rFonts w:hint="eastAsia" w:ascii="宋体" w:hAnsi="宋体"/>
          <w:bCs/>
          <w:color w:val="000000" w:themeColor="text1"/>
          <w14:textFill>
            <w14:solidFill>
              <w14:schemeClr w14:val="tx1"/>
            </w14:solidFill>
          </w14:textFill>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color w:val="000000" w:themeColor="text1"/>
          <w14:textFill>
            <w14:solidFill>
              <w14:schemeClr w14:val="tx1"/>
            </w14:solidFill>
          </w14:textFill>
        </w:rPr>
        <w:t>掌握种子形态特征的统计及描述</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color w:val="000000" w:themeColor="text1"/>
          <w14:textFill>
            <w14:solidFill>
              <w14:schemeClr w14:val="tx1"/>
            </w14:solidFill>
          </w14:textFill>
        </w:rPr>
        <w:t>通过观察不同科、属、中的蔬菜种子，对不同形态的种子进行测量和形态描绘，能够识别和判断种子的类型，掌握判断种子新、旧的基本能力。</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color w:val="000000" w:themeColor="text1"/>
          <w14:textFill>
            <w14:solidFill>
              <w14:schemeClr w14:val="tx1"/>
            </w14:solidFill>
          </w14:textFill>
        </w:rPr>
        <w:t>学生掌握分析天平、游标卡尺和体视显微镜的使用方法，并利用仪器对种子的形态和基本特征进行数据和图形的描述统计，成绩评定以实验报告呈现。</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color w:val="000000" w:themeColor="text1"/>
          <w14:textFill>
            <w14:solidFill>
              <w14:schemeClr w14:val="tx1"/>
            </w14:solidFill>
          </w14:textFill>
        </w:rPr>
        <w:t>分析天平，游标卡尺，体视显微镜。</w:t>
      </w:r>
    </w:p>
    <w:p>
      <w:pPr>
        <w:pStyle w:val="20"/>
        <w:snapToGrid w:val="0"/>
        <w:spacing w:before="0" w:beforeAutospacing="0" w:after="0" w:afterAutospacing="0" w:line="360" w:lineRule="auto"/>
        <w:ind w:firstLine="422"/>
        <w:rPr>
          <w:rFonts w:eastAsiaTheme="minorEastAsia"/>
          <w:b/>
          <w:sz w:val="21"/>
          <w:szCs w:val="21"/>
        </w:rPr>
      </w:pPr>
      <w:r>
        <w:rPr>
          <w:rFonts w:hint="eastAsia"/>
          <w:b/>
          <w:sz w:val="21"/>
          <w:szCs w:val="21"/>
        </w:rPr>
        <w:t>【</w:t>
      </w:r>
      <w:r>
        <w:rPr>
          <w:b/>
          <w:sz w:val="21"/>
          <w:szCs w:val="21"/>
        </w:rPr>
        <w:t>实验</w:t>
      </w:r>
      <w:r>
        <w:rPr>
          <w:rFonts w:hint="eastAsia"/>
          <w:b/>
          <w:sz w:val="21"/>
          <w:szCs w:val="21"/>
        </w:rPr>
        <w:t>二】穴盘规格对蔬菜幼苗素质的影响</w:t>
      </w:r>
    </w:p>
    <w:p>
      <w:pPr>
        <w:snapToGrid w:val="0"/>
        <w:spacing w:line="360" w:lineRule="auto"/>
        <w:ind w:firstLine="422" w:firstLineChars="200"/>
      </w:pPr>
      <w:r>
        <w:rPr>
          <w:rFonts w:hint="eastAsia"/>
          <w:b/>
          <w:szCs w:val="21"/>
        </w:rPr>
        <w:t>1.实验学时：</w:t>
      </w:r>
      <w:r>
        <w:rPr>
          <w:rFonts w:hint="eastAsia" w:ascii="宋体" w:hAnsi="宋体"/>
          <w:bCs/>
          <w:color w:val="000000" w:themeColor="text1"/>
          <w14:textFill>
            <w14:solidFill>
              <w14:schemeClr w14:val="tx1"/>
            </w14:solidFill>
          </w14:textFill>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color w:val="000000" w:themeColor="text1"/>
          <w14:textFill>
            <w14:solidFill>
              <w14:schemeClr w14:val="tx1"/>
            </w14:solidFill>
          </w14:textFill>
        </w:rPr>
        <w:t>学习和掌握主要蔬菜的穴盘斚技术，了解规格穴盘规格对不同蔬菜及不同苗龄种苗生长的影响。</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color w:val="000000" w:themeColor="text1"/>
          <w14:textFill>
            <w14:solidFill>
              <w14:schemeClr w14:val="tx1"/>
            </w14:solidFill>
          </w14:textFill>
        </w:rPr>
        <w:t>选择三种不同科的蔬菜作物，并分别利用不同规格的穴盘进行育苗试验，测定每种作物在不同穴盘培育出的种苗的形态特征。</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color w:val="000000" w:themeColor="text1"/>
          <w14:textFill>
            <w14:solidFill>
              <w14:schemeClr w14:val="tx1"/>
            </w14:solidFill>
          </w14:textFill>
        </w:rPr>
        <w:t>了解目前市面常见穴盘的规格，通过实验观察穴盘规格对种苗生长的影响，具备根据不同类型蔬菜的形态特征及栽培目的对种苗形态和苗龄的需求，选择适宜穴盘进行育苗的基本能力。实验成绩是实验报告进行呈现。</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color w:val="000000" w:themeColor="text1"/>
          <w14:textFill>
            <w14:solidFill>
              <w14:schemeClr w14:val="tx1"/>
            </w14:solidFill>
          </w14:textFill>
        </w:rPr>
        <w:t>3</w:t>
      </w:r>
      <w:r>
        <w:rPr>
          <w:rFonts w:ascii="宋体" w:hAnsi="宋体"/>
          <w:bCs/>
          <w:color w:val="000000" w:themeColor="text1"/>
          <w14:textFill>
            <w14:solidFill>
              <w14:schemeClr w14:val="tx1"/>
            </w14:solidFill>
          </w14:textFill>
        </w:rPr>
        <w:t>2</w:t>
      </w:r>
      <w:r>
        <w:rPr>
          <w:rFonts w:hint="eastAsia" w:ascii="宋体" w:hAnsi="宋体"/>
          <w:bCs/>
          <w:color w:val="000000" w:themeColor="text1"/>
          <w14:textFill>
            <w14:solidFill>
              <w14:schemeClr w14:val="tx1"/>
            </w14:solidFill>
          </w14:textFill>
        </w:rPr>
        <w:t>孔、5</w:t>
      </w:r>
      <w:r>
        <w:rPr>
          <w:rFonts w:ascii="宋体" w:hAnsi="宋体"/>
          <w:bCs/>
          <w:color w:val="000000" w:themeColor="text1"/>
          <w14:textFill>
            <w14:solidFill>
              <w14:schemeClr w14:val="tx1"/>
            </w14:solidFill>
          </w14:textFill>
        </w:rPr>
        <w:t>0</w:t>
      </w:r>
      <w:r>
        <w:rPr>
          <w:rFonts w:hint="eastAsia" w:ascii="宋体" w:hAnsi="宋体"/>
          <w:bCs/>
          <w:color w:val="000000" w:themeColor="text1"/>
          <w14:textFill>
            <w14:solidFill>
              <w14:schemeClr w14:val="tx1"/>
            </w14:solidFill>
          </w14:textFill>
        </w:rPr>
        <w:t>孔、7</w:t>
      </w:r>
      <w:r>
        <w:rPr>
          <w:rFonts w:ascii="宋体" w:hAnsi="宋体"/>
          <w:bCs/>
          <w:color w:val="000000" w:themeColor="text1"/>
          <w14:textFill>
            <w14:solidFill>
              <w14:schemeClr w14:val="tx1"/>
            </w14:solidFill>
          </w14:textFill>
        </w:rPr>
        <w:t>2</w:t>
      </w:r>
      <w:r>
        <w:rPr>
          <w:rFonts w:hint="eastAsia" w:ascii="宋体" w:hAnsi="宋体"/>
          <w:bCs/>
          <w:color w:val="000000" w:themeColor="text1"/>
          <w14:textFill>
            <w14:solidFill>
              <w14:schemeClr w14:val="tx1"/>
            </w14:solidFill>
          </w14:textFill>
        </w:rPr>
        <w:t>孔、1</w:t>
      </w:r>
      <w:r>
        <w:rPr>
          <w:rFonts w:ascii="宋体" w:hAnsi="宋体"/>
          <w:bCs/>
          <w:color w:val="000000" w:themeColor="text1"/>
          <w14:textFill>
            <w14:solidFill>
              <w14:schemeClr w14:val="tx1"/>
            </w14:solidFill>
          </w14:textFill>
        </w:rPr>
        <w:t>28</w:t>
      </w:r>
      <w:r>
        <w:rPr>
          <w:rFonts w:hint="eastAsia" w:ascii="宋体" w:hAnsi="宋体"/>
          <w:bCs/>
          <w:color w:val="000000" w:themeColor="text1"/>
          <w14:textFill>
            <w14:solidFill>
              <w14:schemeClr w14:val="tx1"/>
            </w14:solidFill>
          </w14:textFill>
        </w:rPr>
        <w:t>孔、1</w:t>
      </w:r>
      <w:r>
        <w:rPr>
          <w:rFonts w:ascii="宋体" w:hAnsi="宋体"/>
          <w:bCs/>
          <w:color w:val="000000" w:themeColor="text1"/>
          <w14:textFill>
            <w14:solidFill>
              <w14:schemeClr w14:val="tx1"/>
            </w14:solidFill>
          </w14:textFill>
        </w:rPr>
        <w:t>44</w:t>
      </w:r>
      <w:r>
        <w:rPr>
          <w:rFonts w:hint="eastAsia" w:ascii="宋体" w:hAnsi="宋体"/>
          <w:bCs/>
          <w:color w:val="000000" w:themeColor="text1"/>
          <w14:textFill>
            <w14:solidFill>
              <w14:schemeClr w14:val="tx1"/>
            </w14:solidFill>
          </w14:textFill>
        </w:rPr>
        <w:t>孔、2</w:t>
      </w:r>
      <w:r>
        <w:rPr>
          <w:rFonts w:ascii="宋体" w:hAnsi="宋体"/>
          <w:bCs/>
          <w:color w:val="000000" w:themeColor="text1"/>
          <w14:textFill>
            <w14:solidFill>
              <w14:schemeClr w14:val="tx1"/>
            </w14:solidFill>
          </w14:textFill>
        </w:rPr>
        <w:t>88</w:t>
      </w:r>
      <w:r>
        <w:rPr>
          <w:rFonts w:hint="eastAsia" w:ascii="宋体" w:hAnsi="宋体"/>
          <w:bCs/>
          <w:color w:val="000000" w:themeColor="text1"/>
          <w14:textFill>
            <w14:solidFill>
              <w14:schemeClr w14:val="tx1"/>
            </w14:solidFill>
          </w14:textFill>
        </w:rPr>
        <w:t>孔穴盘，直尺，游标卡尺，叶绿素分析仪，叶面积仪，根系分析仪。</w:t>
      </w:r>
    </w:p>
    <w:p>
      <w:pPr>
        <w:pStyle w:val="20"/>
        <w:snapToGrid w:val="0"/>
        <w:spacing w:before="0" w:beforeAutospacing="0" w:after="0" w:afterAutospacing="0" w:line="360" w:lineRule="auto"/>
        <w:ind w:firstLine="422"/>
        <w:rPr>
          <w:b/>
          <w:sz w:val="21"/>
          <w:szCs w:val="21"/>
        </w:rPr>
      </w:pPr>
      <w:r>
        <w:rPr>
          <w:rFonts w:hint="eastAsia"/>
          <w:b/>
          <w:sz w:val="21"/>
          <w:szCs w:val="21"/>
        </w:rPr>
        <w:t>【</w:t>
      </w:r>
      <w:r>
        <w:rPr>
          <w:b/>
          <w:sz w:val="21"/>
          <w:szCs w:val="21"/>
        </w:rPr>
        <w:t>实验</w:t>
      </w:r>
      <w:r>
        <w:rPr>
          <w:rFonts w:hint="eastAsia"/>
          <w:b/>
          <w:sz w:val="21"/>
          <w:szCs w:val="21"/>
        </w:rPr>
        <w:t>三】植物生长调节剂在工厂化育苗中的应用</w:t>
      </w:r>
    </w:p>
    <w:p>
      <w:pPr>
        <w:snapToGrid w:val="0"/>
        <w:spacing w:line="360" w:lineRule="auto"/>
        <w:ind w:firstLine="422" w:firstLineChars="200"/>
      </w:pPr>
      <w:r>
        <w:rPr>
          <w:rFonts w:hint="eastAsia"/>
          <w:b/>
          <w:szCs w:val="21"/>
        </w:rPr>
        <w:t>1.实验学时：</w:t>
      </w:r>
      <w:r>
        <w:rPr>
          <w:rFonts w:hint="eastAsia" w:ascii="宋体" w:hAnsi="宋体"/>
          <w:bCs/>
          <w:color w:val="000000" w:themeColor="text1"/>
          <w14:textFill>
            <w14:solidFill>
              <w14:schemeClr w14:val="tx1"/>
            </w14:solidFill>
          </w14:textFill>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color w:val="000000" w:themeColor="text1"/>
          <w14:textFill>
            <w14:solidFill>
              <w14:schemeClr w14:val="tx1"/>
            </w14:solidFill>
          </w14:textFill>
        </w:rPr>
        <w:t>植物生长调节剂的种类和剂型多样，作用效果不同，在工厂化育苗中经常用于调整种苗发育。本实验要求学生了解生长调节剂的种类的作用效果，掌握正确的使用方法。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color w:val="000000" w:themeColor="text1"/>
          <w14:textFill>
            <w14:solidFill>
              <w14:schemeClr w14:val="tx1"/>
            </w14:solidFill>
          </w14:textFill>
        </w:rPr>
        <w:t>以番茄和黄瓜为例，将其在穴盘培育至子叶展平后，开始用不同浓度的多效唑、缩节胺、赤霉素喷洒叶片，以清水为对照，观察生长调节剂对植株形态生长的影响。配置并分别利用不同规格的穴盘进行育苗试验，测定每种作物在不同穴盘培育出的种苗的形态特征。</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color w:val="000000" w:themeColor="text1"/>
          <w14:textFill>
            <w14:solidFill>
              <w14:schemeClr w14:val="tx1"/>
            </w14:solidFill>
          </w14:textFill>
        </w:rPr>
        <w:t>了解不同类型植物生长调节剂的作用效果，掌握其配制方法；掌握蔬菜幼苗形态的测定方法及相应的数据分析能力。实验成绩是实验报告和教师现在打分的形式呈现。</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color w:val="000000" w:themeColor="text1"/>
          <w14:textFill>
            <w14:solidFill>
              <w14:schemeClr w14:val="tx1"/>
            </w14:solidFill>
          </w14:textFill>
        </w:rPr>
        <w:t>穴盘，喷壶，草炭，蛭石，珍珠岩，直尺，游标卡尺，电子天平，叶面积仪，烧杯，容量瓶，烘箱。</w:t>
      </w:r>
    </w:p>
    <w:p>
      <w:pPr>
        <w:pStyle w:val="20"/>
        <w:snapToGrid w:val="0"/>
        <w:spacing w:before="0" w:beforeAutospacing="0" w:after="0" w:afterAutospacing="0" w:line="360" w:lineRule="auto"/>
        <w:ind w:firstLine="422"/>
        <w:rPr>
          <w:b/>
          <w:sz w:val="21"/>
          <w:szCs w:val="21"/>
        </w:rPr>
      </w:pPr>
      <w:r>
        <w:rPr>
          <w:rFonts w:hint="eastAsia"/>
          <w:b/>
          <w:sz w:val="21"/>
          <w:szCs w:val="21"/>
        </w:rPr>
        <w:t>【</w:t>
      </w:r>
      <w:r>
        <w:rPr>
          <w:b/>
          <w:sz w:val="21"/>
          <w:szCs w:val="21"/>
        </w:rPr>
        <w:t>实验</w:t>
      </w:r>
      <w:r>
        <w:rPr>
          <w:rFonts w:hint="eastAsia" w:ascii="宋体" w:hAnsi="宋体" w:eastAsia="宋体" w:cs="宋体"/>
          <w:b/>
          <w:sz w:val="21"/>
          <w:szCs w:val="21"/>
        </w:rPr>
        <w:t>四</w:t>
      </w:r>
      <w:r>
        <w:rPr>
          <w:rFonts w:hint="eastAsia"/>
          <w:b/>
          <w:sz w:val="21"/>
          <w:szCs w:val="21"/>
        </w:rPr>
        <w:t>】</w:t>
      </w:r>
      <w:r>
        <w:rPr>
          <w:rFonts w:hint="eastAsia" w:ascii="宋体" w:hAnsi="宋体" w:eastAsia="宋体" w:cs="宋体"/>
          <w:b/>
          <w:sz w:val="21"/>
          <w:szCs w:val="21"/>
        </w:rPr>
        <w:t>工厂化育苗基质主要理化形状的测定</w:t>
      </w:r>
    </w:p>
    <w:p>
      <w:pPr>
        <w:snapToGrid w:val="0"/>
        <w:spacing w:line="360" w:lineRule="auto"/>
        <w:ind w:firstLine="422" w:firstLineChars="200"/>
      </w:pPr>
      <w:r>
        <w:rPr>
          <w:rFonts w:hint="eastAsia"/>
          <w:b/>
          <w:szCs w:val="21"/>
        </w:rPr>
        <w:t>1.实验学时：</w:t>
      </w:r>
      <w:r>
        <w:rPr>
          <w:rFonts w:hint="eastAsia" w:ascii="宋体" w:hAnsi="宋体"/>
          <w:bCs/>
          <w:color w:val="000000" w:themeColor="text1"/>
          <w14:textFill>
            <w14:solidFill>
              <w14:schemeClr w14:val="tx1"/>
            </w14:solidFill>
          </w14:textFill>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color w:val="000000" w:themeColor="text1"/>
          <w14:textFill>
            <w14:solidFill>
              <w14:schemeClr w14:val="tx1"/>
            </w14:solidFill>
          </w14:textFill>
        </w:rPr>
        <w:t>学习和掌握基质主要理化性质的测定方法，了解不同基质的理化特性，对所测基质给出客观评价，并提出克服单一基质理化性质不佳的技术途径。</w:t>
      </w:r>
    </w:p>
    <w:p>
      <w:pPr>
        <w:snapToGrid w:val="0"/>
        <w:spacing w:line="360" w:lineRule="auto"/>
        <w:ind w:firstLine="422" w:firstLineChars="200"/>
        <w:rPr>
          <w:b/>
          <w:szCs w:val="21"/>
        </w:rPr>
      </w:pPr>
      <w:r>
        <w:rPr>
          <w:rFonts w:hint="eastAsia"/>
          <w:b/>
          <w:szCs w:val="21"/>
        </w:rPr>
        <w:t>3.实验内容：</w:t>
      </w:r>
    </w:p>
    <w:p>
      <w:pPr>
        <w:snapToGrid w:val="0"/>
        <w:spacing w:line="360" w:lineRule="auto"/>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（一）不同基质的物理基质测定：相对密度，容重，总孔隙度，空气孔隙和持水孔隙；</w:t>
      </w:r>
    </w:p>
    <w:p>
      <w:pPr>
        <w:snapToGrid w:val="0"/>
        <w:spacing w:line="360" w:lineRule="auto"/>
        <w:ind w:firstLine="420" w:firstLineChars="200"/>
        <w:rPr>
          <w:rFonts w:ascii="宋体" w:hAnsi="宋体"/>
          <w:bCs/>
          <w:szCs w:val="21"/>
        </w:rPr>
      </w:pPr>
      <w:r>
        <w:rPr>
          <w:rFonts w:hint="eastAsia" w:ascii="宋体" w:hAnsi="宋体"/>
          <w:bCs/>
          <w:color w:val="000000" w:themeColor="text1"/>
          <w14:textFill>
            <w14:solidFill>
              <w14:schemeClr w14:val="tx1"/>
            </w14:solidFill>
          </w14:textFill>
        </w:rPr>
        <w:t>（二）不同基质的化学性质测定：取风干基质，与去离子水按照体积比1∶</w:t>
      </w:r>
      <w:r>
        <w:rPr>
          <w:rFonts w:ascii="宋体" w:hAnsi="宋体"/>
          <w:bCs/>
          <w:color w:val="000000" w:themeColor="text1"/>
          <w14:textFill>
            <w14:solidFill>
              <w14:schemeClr w14:val="tx1"/>
            </w14:solidFill>
          </w14:textFill>
        </w:rPr>
        <w:t>5</w:t>
      </w:r>
      <w:r>
        <w:rPr>
          <w:rFonts w:hint="eastAsia" w:ascii="宋体" w:hAnsi="宋体"/>
          <w:bCs/>
          <w:color w:val="000000" w:themeColor="text1"/>
          <w14:textFill>
            <w14:solidFill>
              <w14:schemeClr w14:val="tx1"/>
            </w14:solidFill>
          </w14:textFill>
        </w:rPr>
        <w:t>混合，2</w:t>
      </w:r>
      <w:r>
        <w:rPr>
          <w:rFonts w:ascii="宋体" w:hAnsi="宋体"/>
          <w:bCs/>
          <w:color w:val="000000" w:themeColor="text1"/>
          <w14:textFill>
            <w14:solidFill>
              <w14:schemeClr w14:val="tx1"/>
            </w14:solidFill>
          </w14:textFill>
        </w:rPr>
        <w:t>4</w:t>
      </w:r>
      <w:r>
        <w:rPr>
          <w:rFonts w:hint="eastAsia" w:ascii="宋体" w:hAnsi="宋体"/>
          <w:bCs/>
          <w:color w:val="000000" w:themeColor="text1"/>
          <w14:textFill>
            <w14:solidFill>
              <w14:schemeClr w14:val="tx1"/>
            </w14:solidFill>
          </w14:textFill>
        </w:rPr>
        <w:t>小时候取滤液测定p</w:t>
      </w:r>
      <w:r>
        <w:rPr>
          <w:rFonts w:ascii="宋体" w:hAnsi="宋体"/>
          <w:bCs/>
          <w:color w:val="000000" w:themeColor="text1"/>
          <w14:textFill>
            <w14:solidFill>
              <w14:schemeClr w14:val="tx1"/>
            </w14:solidFill>
          </w14:textFill>
        </w:rPr>
        <w:t>H</w:t>
      </w:r>
      <w:r>
        <w:rPr>
          <w:rFonts w:hint="eastAsia" w:ascii="宋体" w:hAnsi="宋体"/>
          <w:bCs/>
          <w:color w:val="000000" w:themeColor="text1"/>
          <w14:textFill>
            <w14:solidFill>
              <w14:schemeClr w14:val="tx1"/>
            </w14:solidFill>
          </w14:textFill>
        </w:rPr>
        <w:t>和E</w:t>
      </w:r>
      <w:r>
        <w:rPr>
          <w:rFonts w:ascii="宋体" w:hAnsi="宋体"/>
          <w:bCs/>
          <w:color w:val="000000" w:themeColor="text1"/>
          <w14:textFill>
            <w14:solidFill>
              <w14:schemeClr w14:val="tx1"/>
            </w14:solidFill>
          </w14:textFill>
        </w:rPr>
        <w:t>C</w:t>
      </w:r>
      <w:r>
        <w:rPr>
          <w:rFonts w:hint="eastAsia" w:ascii="宋体" w:hAnsi="宋体"/>
          <w:bCs/>
          <w:color w:val="000000" w:themeColor="text1"/>
          <w14:textFill>
            <w14:solidFill>
              <w14:schemeClr w14:val="tx1"/>
            </w14:solidFill>
          </w14:textFill>
        </w:rPr>
        <w:t>值。</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color w:val="000000" w:themeColor="text1"/>
          <w14:textFill>
            <w14:solidFill>
              <w14:schemeClr w14:val="tx1"/>
            </w14:solidFill>
          </w14:textFill>
        </w:rPr>
        <w:t>了解基质物理性质和化学性质的测定原理与方法，掌握复合基质配制的方法。</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color w:val="000000" w:themeColor="text1"/>
          <w14:textFill>
            <w14:solidFill>
              <w14:schemeClr w14:val="tx1"/>
            </w14:solidFill>
          </w14:textFill>
        </w:rPr>
        <w:t>草炭，蛭石，珍珠岩，沙子，菜园土，电子天平，比重瓶，纱布，电导率仪，p</w:t>
      </w:r>
      <w:r>
        <w:rPr>
          <w:rFonts w:ascii="宋体" w:hAnsi="宋体"/>
          <w:bCs/>
          <w:color w:val="000000" w:themeColor="text1"/>
          <w14:textFill>
            <w14:solidFill>
              <w14:schemeClr w14:val="tx1"/>
            </w14:solidFill>
          </w14:textFill>
        </w:rPr>
        <w:t>H</w:t>
      </w:r>
      <w:r>
        <w:rPr>
          <w:rFonts w:hint="eastAsia" w:ascii="宋体" w:hAnsi="宋体"/>
          <w:bCs/>
          <w:color w:val="000000" w:themeColor="text1"/>
          <w14:textFill>
            <w14:solidFill>
              <w14:schemeClr w14:val="tx1"/>
            </w14:solidFill>
          </w14:textFill>
        </w:rPr>
        <w:t>计。</w:t>
      </w:r>
    </w:p>
    <w:p>
      <w:pPr>
        <w:pStyle w:val="20"/>
        <w:snapToGrid w:val="0"/>
        <w:spacing w:before="0" w:beforeAutospacing="0" w:after="0" w:afterAutospacing="0" w:line="360" w:lineRule="auto"/>
        <w:ind w:firstLine="422"/>
        <w:rPr>
          <w:b/>
          <w:sz w:val="21"/>
          <w:szCs w:val="21"/>
        </w:rPr>
      </w:pPr>
      <w:r>
        <w:rPr>
          <w:rFonts w:hint="eastAsia" w:ascii="宋体" w:hAnsi="宋体" w:eastAsia="宋体" w:cs="宋体"/>
          <w:b/>
          <w:sz w:val="21"/>
          <w:szCs w:val="21"/>
        </w:rPr>
        <w:t>【</w:t>
      </w:r>
      <w:r>
        <w:rPr>
          <w:b/>
          <w:sz w:val="21"/>
          <w:szCs w:val="21"/>
        </w:rPr>
        <w:t>实验</w:t>
      </w:r>
      <w:r>
        <w:rPr>
          <w:rFonts w:hint="eastAsia" w:ascii="宋体" w:hAnsi="宋体" w:eastAsia="宋体" w:cs="宋体"/>
          <w:b/>
          <w:sz w:val="21"/>
          <w:szCs w:val="21"/>
        </w:rPr>
        <w:t>五</w:t>
      </w:r>
      <w:r>
        <w:rPr>
          <w:rFonts w:hint="eastAsia"/>
          <w:b/>
          <w:sz w:val="21"/>
          <w:szCs w:val="21"/>
        </w:rPr>
        <w:t>】瓜类蔬菜嫁接育苗技术</w:t>
      </w:r>
    </w:p>
    <w:p>
      <w:pPr>
        <w:snapToGrid w:val="0"/>
        <w:spacing w:line="360" w:lineRule="auto"/>
        <w:ind w:firstLine="422" w:firstLineChars="200"/>
      </w:pPr>
      <w:r>
        <w:rPr>
          <w:rFonts w:hint="eastAsia"/>
          <w:b/>
          <w:szCs w:val="21"/>
        </w:rPr>
        <w:t>1.实验学时：</w:t>
      </w:r>
      <w:r>
        <w:rPr>
          <w:rFonts w:hint="eastAsia" w:ascii="宋体" w:hAnsi="宋体"/>
          <w:bCs/>
          <w:color w:val="000000" w:themeColor="text1"/>
          <w14:textFill>
            <w14:solidFill>
              <w14:schemeClr w14:val="tx1"/>
            </w14:solidFill>
          </w14:textFill>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color w:val="000000" w:themeColor="text1"/>
          <w14:textFill>
            <w14:solidFill>
              <w14:schemeClr w14:val="tx1"/>
            </w14:solidFill>
          </w14:textFill>
        </w:rPr>
        <w:t>本实验通过具体操作，使学生掌握瓜类蔬菜的常用嫁接技术，提高应用技能。</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color w:val="000000" w:themeColor="text1"/>
          <w14:textFill>
            <w14:solidFill>
              <w14:schemeClr w14:val="tx1"/>
            </w14:solidFill>
          </w14:textFill>
        </w:rPr>
        <w:t>以黄瓜和南瓜为实验材料，南瓜种子播种2天后播种黄瓜种子，待接穗（黄瓜）子叶展平，砧木第一片真叶显露时开始嫁接。学生可选包括贴接、插接和双断根嫁接的方法进行嫁接，也可根据自己所学理论创新嫁接方法。嫁接完成后学生以小组为单位进行嫁接后管理，最终以成活率计算实验成绩。实验成绩以嫁接成活率及学生互评的形式呈现。</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color w:val="000000" w:themeColor="text1"/>
          <w14:textFill>
            <w14:solidFill>
              <w14:schemeClr w14:val="tx1"/>
            </w14:solidFill>
          </w14:textFill>
        </w:rPr>
        <w:t>掌握瓜类蔬菜嫁接的基本方法及操作技能，了解嫁接后种苗的管理。</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color w:val="000000" w:themeColor="text1"/>
          <w14:textFill>
            <w14:solidFill>
              <w14:schemeClr w14:val="tx1"/>
            </w14:solidFill>
          </w14:textFill>
        </w:rPr>
        <w:t>穴盘，喷壶，嫁接刀，嫁接针，嫁接夹，遮阳网，塑料薄膜。</w:t>
      </w:r>
    </w:p>
    <w:p>
      <w:pPr>
        <w:pStyle w:val="20"/>
        <w:snapToGrid w:val="0"/>
        <w:spacing w:before="0" w:beforeAutospacing="0" w:after="0" w:afterAutospacing="0" w:line="360" w:lineRule="auto"/>
        <w:ind w:firstLine="422"/>
        <w:rPr>
          <w:b/>
          <w:sz w:val="21"/>
          <w:szCs w:val="21"/>
        </w:rPr>
      </w:pPr>
      <w:r>
        <w:rPr>
          <w:rFonts w:hint="eastAsia"/>
          <w:b/>
          <w:sz w:val="21"/>
          <w:szCs w:val="21"/>
        </w:rPr>
        <w:t>【</w:t>
      </w:r>
      <w:r>
        <w:rPr>
          <w:b/>
          <w:sz w:val="21"/>
          <w:szCs w:val="21"/>
        </w:rPr>
        <w:t>实验</w:t>
      </w:r>
      <w:r>
        <w:rPr>
          <w:rFonts w:hint="eastAsia" w:asciiTheme="minorEastAsia" w:hAnsiTheme="minorEastAsia" w:eastAsiaTheme="minorEastAsia"/>
          <w:b/>
          <w:sz w:val="21"/>
          <w:szCs w:val="21"/>
        </w:rPr>
        <w:t>六</w:t>
      </w:r>
      <w:r>
        <w:rPr>
          <w:rFonts w:hint="eastAsia"/>
          <w:b/>
          <w:sz w:val="21"/>
          <w:szCs w:val="21"/>
        </w:rPr>
        <w:t>】芽苗菜工厂化生产技术</w:t>
      </w:r>
    </w:p>
    <w:p>
      <w:pPr>
        <w:snapToGrid w:val="0"/>
        <w:spacing w:line="360" w:lineRule="auto"/>
        <w:ind w:firstLine="422" w:firstLineChars="200"/>
      </w:pPr>
      <w:r>
        <w:rPr>
          <w:rFonts w:hint="eastAsia"/>
          <w:b/>
          <w:szCs w:val="21"/>
        </w:rPr>
        <w:t>1.实验学时：</w:t>
      </w:r>
      <w:r>
        <w:rPr>
          <w:rFonts w:hint="eastAsia" w:ascii="宋体" w:hAnsi="宋体"/>
          <w:bCs/>
          <w:color w:val="000000" w:themeColor="text1"/>
          <w14:textFill>
            <w14:solidFill>
              <w14:schemeClr w14:val="tx1"/>
            </w14:solidFill>
          </w14:textFill>
        </w:rPr>
        <w:t>2学时</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color w:val="000000" w:themeColor="text1"/>
          <w14:textFill>
            <w14:solidFill>
              <w14:schemeClr w14:val="tx1"/>
            </w14:solidFill>
          </w14:textFill>
        </w:rPr>
        <w:t>通过实验了解以种子为材料、依靠种子本身贮藏营养生产芽苗菜的工艺流程和栽培技术。</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color w:val="000000" w:themeColor="text1"/>
          <w14:textFill>
            <w14:solidFill>
              <w14:schemeClr w14:val="tx1"/>
            </w14:solidFill>
          </w14:textFill>
        </w:rPr>
        <w:t>选取市面常见的芽苗菜豌豆、萝卜、荞麦等为实验材料，首先筛选种子，去除虫蛀、破残、畸形、霉烂、不成熟种子和杂质。温水浸泡后捞出沥干，注意浸种容易不可用铁器，不能有油渍。选取底部具有排水孔的黑色塑料苗盘，底部铺设一层无纺布，将浸种后的种子播在苗盘上，随后覆盖湿润无纺布，待发芽后常规管理，没填喷水2</w:t>
      </w:r>
      <w:r>
        <w:rPr>
          <w:bCs/>
          <w:color w:val="000000" w:themeColor="text1"/>
          <w14:textFill>
            <w14:solidFill>
              <w14:schemeClr w14:val="tx1"/>
            </w14:solidFill>
          </w14:textFill>
        </w:rPr>
        <w:t>~</w:t>
      </w:r>
      <w:r>
        <w:rPr>
          <w:rFonts w:ascii="宋体" w:hAnsi="宋体"/>
          <w:bCs/>
          <w:color w:val="000000" w:themeColor="text1"/>
          <w14:textFill>
            <w14:solidFill>
              <w14:schemeClr w14:val="tx1"/>
            </w14:solidFill>
          </w14:textFill>
        </w:rPr>
        <w:t>3</w:t>
      </w:r>
      <w:r>
        <w:rPr>
          <w:rFonts w:hint="eastAsia" w:ascii="宋体" w:hAnsi="宋体"/>
          <w:bCs/>
          <w:color w:val="000000" w:themeColor="text1"/>
          <w14:textFill>
            <w14:solidFill>
              <w14:schemeClr w14:val="tx1"/>
            </w14:solidFill>
          </w14:textFill>
        </w:rPr>
        <w:t>次，根据不同种类芽苗菜出售标准及时采收。</w:t>
      </w:r>
    </w:p>
    <w:p>
      <w:pPr>
        <w:snapToGrid w:val="0"/>
        <w:spacing w:line="360" w:lineRule="auto"/>
        <w:ind w:firstLine="422" w:firstLineChars="200"/>
        <w:rPr>
          <w:rFonts w:ascii="宋体" w:hAnsi="宋体"/>
          <w:bCs/>
          <w:szCs w:val="21"/>
        </w:rPr>
      </w:pPr>
      <w:r>
        <w:rPr>
          <w:rFonts w:hint="eastAsia"/>
          <w:b/>
          <w:szCs w:val="21"/>
        </w:rPr>
        <w:t>4.实验要求：</w:t>
      </w:r>
      <w:r>
        <w:rPr>
          <w:rFonts w:hint="eastAsia" w:ascii="宋体" w:hAnsi="宋体"/>
          <w:bCs/>
          <w:color w:val="000000" w:themeColor="text1"/>
          <w14:textFill>
            <w14:solidFill>
              <w14:schemeClr w14:val="tx1"/>
            </w14:solidFill>
          </w14:textFill>
        </w:rPr>
        <w:t>掌握芽苗菜生产的工艺，了解市售芽苗菜的商品标准</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color w:val="000000" w:themeColor="text1"/>
          <w14:textFill>
            <w14:solidFill>
              <w14:schemeClr w14:val="tx1"/>
            </w14:solidFill>
          </w14:textFill>
        </w:rPr>
        <w:t>豌豆、萝卜、荞麦种子，无纺布，黑色塑料苗盘。</w:t>
      </w:r>
    </w:p>
    <w:p>
      <w:pPr>
        <w:snapToGrid w:val="0"/>
        <w:spacing w:line="360" w:lineRule="auto"/>
        <w:rPr>
          <w:rFonts w:ascii="宋体" w:hAnsi="宋体"/>
          <w:bCs/>
          <w:color w:val="0000FF"/>
          <w:szCs w:val="21"/>
        </w:rPr>
      </w:pPr>
      <w:r>
        <w:rPr>
          <w:rFonts w:hint="eastAsia" w:ascii="宋体" w:hAnsi="宋体"/>
          <w:b/>
          <w:szCs w:val="21"/>
        </w:rPr>
        <w:t>(七)</w:t>
      </w:r>
      <w:r>
        <w:rPr>
          <w:rFonts w:hint="eastAsia" w:ascii="宋体" w:hAnsi="宋体"/>
          <w:b/>
          <w:bCs/>
          <w:szCs w:val="21"/>
        </w:rPr>
        <w:t>考核方式及成绩评定</w:t>
      </w:r>
    </w:p>
    <w:p>
      <w:pPr>
        <w:snapToGrid w:val="0"/>
        <w:spacing w:line="360" w:lineRule="auto"/>
        <w:ind w:firstLine="420" w:firstLineChars="200"/>
        <w:rPr>
          <w:rFonts w:ascii="宋体" w:hAnsi="宋体"/>
          <w:bCs/>
          <w:color w:val="000000" w:themeColor="text1"/>
          <w14:textFill>
            <w14:solidFill>
              <w14:schemeClr w14:val="tx1"/>
            </w14:solidFill>
          </w14:textFill>
        </w:rPr>
      </w:pPr>
      <w:r>
        <w:rPr>
          <w:rFonts w:hint="eastAsia" w:ascii="宋体" w:hAnsi="宋体"/>
          <w:bCs/>
          <w:color w:val="000000" w:themeColor="text1"/>
          <w14:textFill>
            <w14:solidFill>
              <w14:schemeClr w14:val="tx1"/>
            </w14:solidFill>
          </w14:textFill>
        </w:rPr>
        <w:t>成绩评定由实验报告成绩和实验成效两部分构成，其中实验成效部分由学生育苗出苗率和嫁接成活率决定。</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工厂化育苗原理与技术课程从以提高中国农业现代化水平为己任这一理想和目标为切入点，在回顾工厂化育苗发展史的基础上，介绍了国内工作者几十年经过奋斗如何完成国内育苗产业从无到有、从有到优的过程，又通过分析国内外育苗产业形势，激发学生为实现乡村振兴、促进农民收入，直至实现中国农业现代化奋斗的激情和热情。</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工厂化育苗作为一门应用性学科，涉及园艺、历史、生态、经济、政治多方面。因此从历史重要时间、科学家故事、时代楷模、国家政策、法律法规等方面与客户层内容结合，以思政元素为引，阐述课程的科学理论。培养学生“大国三农”情怀，树立学生懂农、爱农、助农的理想。分别从课程的不同章节挖掘思政元素，开展课程思政。</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工厂化育苗的概念，引入辩证思维，人与自然和谐相处，现代化的育苗产业能够抵御传统育苗生产中常遇到的灾害性气候和不利环境因素，通过主动控制环境条件提高育苗的机械化、智能化水平，同时介绍我国工厂化育苗短短几十年内的快速发展，加强理想信念教育，树立学生的民族自信心，培养爱国主义精神，使学生认识到自己所学所知可以在目前乡村振兴阶段可以在农业发展和农民致富方面大有所为。在育苗基础设施设备和工厂化育苗方式章节，以</w:t>
      </w:r>
      <w:r>
        <w:rPr>
          <w:rFonts w:hint="eastAsia" w:ascii="宋体" w:hAnsi="宋体"/>
          <w:bCs/>
        </w:rPr>
        <w:t>荀子《劝学》和《孟母三迁》等优秀国学文化为引，向学生阐明选择正确的道路是获得成功的前提，进而讲述</w:t>
      </w:r>
      <w:r>
        <w:rPr>
          <w:rFonts w:hint="eastAsia" w:hAnsi="宋体"/>
          <w:color w:val="000000" w:themeColor="text1"/>
          <w:szCs w:val="21"/>
          <w14:textFill>
            <w14:solidFill>
              <w14:schemeClr w14:val="tx1"/>
            </w14:solidFill>
          </w14:textFill>
        </w:rPr>
        <w:t>从温、光、水、气、肥五方面如何通过选择适宜的设备和育苗方式才能获得育苗的成功。在育苗基质与营养章节，强调我国科研工作者在新型环保型育苗基质研发所取得成就，向学生传到现代农业需要以环境保护为前提，尽可能的将农林废弃物变废为宝，以实现农业生产的生态可循环发展，并以此为自身的研究目标和奋斗方向，引导学生树立和践行“绿水青山就是金山银山”的理念。在嫁接育苗章节，首先引用中国汉代典籍中《氾胜之书》所描述的嫁接记载，向学生展示中国古人智慧，并树立民族自信心和自豪感，领略中国传统文化的博大精深，又利用“三人行必有我师”和“它山之石可以攻玉”这些受到广泛认知的中国智慧，将嫁接的意义传递给学生，引发学习兴趣。在工厂化育苗的经营与管理章节，通过讲述国内优秀育苗企业案例，培养其职业素养、科学精神和工匠精神，完成理论与实践的相结合，使学生认识到育苗在行业中的广阔前景，激发其投身农业事业的热情。</w:t>
      </w: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ascii="宋体" w:hAnsi="宋体"/>
          <w:bCs/>
          <w:color w:val="000000" w:themeColor="text1"/>
          <w:kern w:val="0"/>
          <w:szCs w:val="21"/>
          <w14:textFill>
            <w14:solidFill>
              <w14:schemeClr w14:val="tx1"/>
            </w14:solidFill>
          </w14:textFill>
        </w:rPr>
        <w:t>（1）理论课教材：</w:t>
      </w:r>
      <w:r>
        <w:rPr>
          <w:rFonts w:hint="eastAsia" w:hAnsi="宋体"/>
          <w:bCs/>
          <w:color w:val="000000" w:themeColor="text1"/>
          <w:kern w:val="0"/>
          <w:szCs w:val="21"/>
          <w14:textFill>
            <w14:solidFill>
              <w14:schemeClr w14:val="tx1"/>
            </w14:solidFill>
          </w14:textFill>
        </w:rPr>
        <w:t>工厂化育苗原理与技术</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别之龙，黄丹枫主编</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中国农业</w:t>
      </w:r>
      <w:r>
        <w:rPr>
          <w:rFonts w:hAnsi="宋体"/>
          <w:bCs/>
          <w:color w:val="000000" w:themeColor="text1"/>
          <w:kern w:val="0"/>
          <w:szCs w:val="21"/>
          <w14:textFill>
            <w14:solidFill>
              <w14:schemeClr w14:val="tx1"/>
            </w14:solidFill>
          </w14:textFill>
        </w:rPr>
        <w:t>出版社，2019年</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ascii="宋体" w:hAnsi="宋体"/>
          <w:color w:val="000000" w:themeColor="text1"/>
          <w14:textFill>
            <w14:solidFill>
              <w14:schemeClr w14:val="tx1"/>
            </w14:solidFill>
          </w14:textFill>
        </w:rPr>
        <w:t>（2）实验课教材：</w:t>
      </w:r>
      <w:r>
        <w:rPr>
          <w:rFonts w:hint="eastAsia" w:hAnsi="宋体"/>
          <w:bCs/>
          <w:color w:val="000000" w:themeColor="text1"/>
          <w:kern w:val="0"/>
          <w:szCs w:val="21"/>
          <w14:textFill>
            <w14:solidFill>
              <w14:schemeClr w14:val="tx1"/>
            </w14:solidFill>
          </w14:textFill>
        </w:rPr>
        <w:t>工厂化育苗原理与技术</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别之龙，黄丹枫主编</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中国农业</w:t>
      </w:r>
      <w:r>
        <w:rPr>
          <w:rFonts w:hAnsi="宋体"/>
          <w:bCs/>
          <w:color w:val="000000" w:themeColor="text1"/>
          <w:kern w:val="0"/>
          <w:szCs w:val="21"/>
          <w14:textFill>
            <w14:solidFill>
              <w14:schemeClr w14:val="tx1"/>
            </w14:solidFill>
          </w14:textFill>
        </w:rPr>
        <w:t>出版社，2019年</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ascii="宋体" w:hAnsi="宋体"/>
          <w:color w:val="000000" w:themeColor="text1"/>
          <w14:textFill>
            <w14:solidFill>
              <w14:schemeClr w14:val="tx1"/>
            </w14:solidFill>
          </w14:textFill>
        </w:rPr>
        <w:t>（3）实习指导书：</w:t>
      </w:r>
      <w:r>
        <w:rPr>
          <w:rFonts w:hint="eastAsia" w:hAnsi="宋体"/>
          <w:bCs/>
          <w:color w:val="000000" w:themeColor="text1"/>
          <w:kern w:val="0"/>
          <w:szCs w:val="21"/>
          <w14:textFill>
            <w14:solidFill>
              <w14:schemeClr w14:val="tx1"/>
            </w14:solidFill>
          </w14:textFill>
        </w:rPr>
        <w:t>工厂化育苗原理与技术</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别之龙，黄丹枫主编</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中国农业</w:t>
      </w:r>
      <w:r>
        <w:rPr>
          <w:rFonts w:hAnsi="宋体"/>
          <w:bCs/>
          <w:color w:val="000000" w:themeColor="text1"/>
          <w:kern w:val="0"/>
          <w:szCs w:val="21"/>
          <w14:textFill>
            <w14:solidFill>
              <w14:schemeClr w14:val="tx1"/>
            </w14:solidFill>
          </w14:textFill>
        </w:rPr>
        <w:t>出版社，2019年</w:t>
      </w:r>
    </w:p>
    <w:p>
      <w:pPr>
        <w:widowControl/>
        <w:snapToGrid w:val="0"/>
        <w:spacing w:line="360" w:lineRule="auto"/>
        <w:ind w:firstLine="422" w:firstLineChars="200"/>
        <w:jc w:val="left"/>
        <w:rPr>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w:t>
      </w:r>
      <w:r>
        <w:rPr>
          <w:rFonts w:hint="eastAsia" w:hAnsi="宋体"/>
          <w:b/>
          <w:bCs/>
          <w:color w:val="000000" w:themeColor="text1"/>
          <w:kern w:val="0"/>
          <w:szCs w:val="21"/>
          <w14:textFill>
            <w14:solidFill>
              <w14:schemeClr w14:val="tx1"/>
            </w14:solidFill>
          </w14:textFill>
        </w:rPr>
        <w:t>.</w:t>
      </w:r>
      <w:r>
        <w:rPr>
          <w:rFonts w:hAnsi="宋体"/>
          <w:b/>
          <w:bCs/>
          <w:color w:val="000000" w:themeColor="text1"/>
          <w:kern w:val="0"/>
          <w:szCs w:val="21"/>
          <w14:textFill>
            <w14:solidFill>
              <w14:schemeClr w14:val="tx1"/>
            </w14:solidFill>
          </w14:textFill>
        </w:rPr>
        <w:t>参考书：</w:t>
      </w:r>
    </w:p>
    <w:p>
      <w:pPr>
        <w:snapToGrid w:val="0"/>
        <w:spacing w:line="360" w:lineRule="auto"/>
        <w:ind w:firstLine="420" w:firstLineChars="200"/>
        <w:rPr>
          <w:rFonts w:hAnsi="宋体"/>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1</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工厂化育苗．武春成，狄文伟主编．科学出版社,</w:t>
      </w:r>
      <w:r>
        <w:rPr>
          <w:rFonts w:hAnsi="宋体"/>
          <w:bCs/>
          <w:color w:val="000000" w:themeColor="text1"/>
          <w:kern w:val="0"/>
          <w:szCs w:val="21"/>
          <w14:textFill>
            <w14:solidFill>
              <w14:schemeClr w14:val="tx1"/>
            </w14:solidFill>
          </w14:textFill>
        </w:rPr>
        <w:t xml:space="preserve"> 2016</w:t>
      </w:r>
      <w:r>
        <w:rPr>
          <w:rFonts w:hint="eastAsia" w:hAnsi="宋体"/>
          <w:bCs/>
          <w:color w:val="000000" w:themeColor="text1"/>
          <w:kern w:val="0"/>
          <w:szCs w:val="21"/>
          <w14:textFill>
            <w14:solidFill>
              <w14:schemeClr w14:val="tx1"/>
            </w14:solidFill>
          </w14:textFill>
        </w:rPr>
        <w:t>年</w:t>
      </w:r>
    </w:p>
    <w:p>
      <w:pPr>
        <w:snapToGrid w:val="0"/>
        <w:spacing w:line="360" w:lineRule="auto"/>
        <w:ind w:firstLine="420" w:firstLineChars="200"/>
        <w:rPr>
          <w:rFonts w:hAnsi="宋体"/>
          <w:bCs/>
          <w:color w:val="000000" w:themeColor="text1"/>
          <w:kern w:val="0"/>
          <w:szCs w:val="21"/>
          <w14:textFill>
            <w14:solidFill>
              <w14:schemeClr w14:val="tx1"/>
            </w14:solidFill>
          </w14:textFill>
        </w:rPr>
      </w:pPr>
      <w:r>
        <w:rPr>
          <w:rFonts w:hAnsi="宋体"/>
          <w:bCs/>
          <w:color w:val="000000" w:themeColor="text1"/>
          <w:kern w:val="0"/>
          <w:szCs w:val="21"/>
          <w14:textFill>
            <w14:solidFill>
              <w14:schemeClr w14:val="tx1"/>
            </w14:solidFill>
          </w14:textFill>
        </w:rPr>
        <w:t>（</w:t>
      </w:r>
      <w:r>
        <w:rPr>
          <w:bCs/>
          <w:color w:val="000000" w:themeColor="text1"/>
          <w:kern w:val="0"/>
          <w:szCs w:val="21"/>
          <w14:textFill>
            <w14:solidFill>
              <w14:schemeClr w14:val="tx1"/>
            </w14:solidFill>
          </w14:textFill>
        </w:rPr>
        <w:t>2</w:t>
      </w:r>
      <w:r>
        <w:rPr>
          <w:rFonts w:hAnsi="宋体"/>
          <w:bCs/>
          <w:color w:val="000000" w:themeColor="text1"/>
          <w:kern w:val="0"/>
          <w:szCs w:val="21"/>
          <w14:textFill>
            <w14:solidFill>
              <w14:schemeClr w14:val="tx1"/>
            </w14:solidFill>
          </w14:textFill>
        </w:rPr>
        <w:t>）</w:t>
      </w:r>
      <w:r>
        <w:rPr>
          <w:rFonts w:hint="eastAsia" w:hAnsi="宋体"/>
          <w:bCs/>
          <w:color w:val="000000" w:themeColor="text1"/>
          <w:kern w:val="0"/>
          <w:szCs w:val="21"/>
          <w14:textFill>
            <w14:solidFill>
              <w14:schemeClr w14:val="tx1"/>
            </w14:solidFill>
          </w14:textFill>
        </w:rPr>
        <w:t>蔬菜工厂化嫁接育苗生产装备与技术．辜松主编．中国农业出版社, 2</w:t>
      </w:r>
      <w:r>
        <w:rPr>
          <w:rFonts w:hAnsi="宋体"/>
          <w:bCs/>
          <w:color w:val="000000" w:themeColor="text1"/>
          <w:kern w:val="0"/>
          <w:szCs w:val="21"/>
          <w14:textFill>
            <w14:solidFill>
              <w14:schemeClr w14:val="tx1"/>
            </w14:solidFill>
          </w14:textFill>
        </w:rPr>
        <w:t>006</w:t>
      </w:r>
      <w:r>
        <w:rPr>
          <w:rFonts w:hint="eastAsia" w:hAnsi="宋体"/>
          <w:bCs/>
          <w:color w:val="000000" w:themeColor="text1"/>
          <w:kern w:val="0"/>
          <w:szCs w:val="21"/>
          <w14:textFill>
            <w14:solidFill>
              <w14:schemeClr w14:val="tx1"/>
            </w14:solidFill>
          </w14:textFill>
        </w:rPr>
        <w:t>年</w:t>
      </w:r>
    </w:p>
    <w:p>
      <w:pPr>
        <w:snapToGrid w:val="0"/>
        <w:spacing w:line="360" w:lineRule="auto"/>
        <w:ind w:firstLine="420" w:firstLineChars="200"/>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（3）设施园艺学．高丽红主编．中国农业大学出版社, 2</w:t>
      </w:r>
      <w:r>
        <w:rPr>
          <w:rFonts w:hAnsi="宋体"/>
          <w:bCs/>
          <w:color w:val="000000" w:themeColor="text1"/>
          <w:kern w:val="0"/>
          <w:szCs w:val="21"/>
          <w14:textFill>
            <w14:solidFill>
              <w14:schemeClr w14:val="tx1"/>
            </w14:solidFill>
          </w14:textFill>
        </w:rPr>
        <w:t>021</w:t>
      </w:r>
      <w:r>
        <w:rPr>
          <w:rFonts w:hint="eastAsia" w:hAnsi="宋体"/>
          <w:bCs/>
          <w:color w:val="000000" w:themeColor="text1"/>
          <w:kern w:val="0"/>
          <w:szCs w:val="21"/>
          <w14:textFill>
            <w14:solidFill>
              <w14:schemeClr w14:val="tx1"/>
            </w14:solidFill>
          </w14:textFill>
        </w:rPr>
        <w:t>年</w:t>
      </w:r>
    </w:p>
    <w:p>
      <w:pPr>
        <w:widowControl/>
        <w:snapToGrid w:val="0"/>
        <w:spacing w:line="360" w:lineRule="auto"/>
        <w:ind w:firstLine="422" w:firstLineChars="200"/>
        <w:jc w:val="left"/>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3.推荐网站</w:t>
      </w:r>
      <w:r>
        <w:rPr>
          <w:rFonts w:hint="eastAsia"/>
          <w:b/>
          <w:color w:val="000000" w:themeColor="text1"/>
          <w:kern w:val="0"/>
          <w:szCs w:val="21"/>
          <w14:textFill>
            <w14:solidFill>
              <w14:schemeClr w14:val="tx1"/>
            </w14:solidFill>
          </w14:textFill>
        </w:rPr>
        <w:t>（线上资源）</w:t>
      </w:r>
      <w:r>
        <w:rPr>
          <w:b/>
          <w:color w:val="000000" w:themeColor="text1"/>
          <w:kern w:val="0"/>
          <w:szCs w:val="21"/>
          <w14:textFill>
            <w14:solidFill>
              <w14:schemeClr w14:val="tx1"/>
            </w14:solidFill>
          </w14:textFill>
        </w:rPr>
        <w:t>：</w:t>
      </w:r>
    </w:p>
    <w:p>
      <w:pPr>
        <w:snapToGrid w:val="0"/>
        <w:spacing w:line="360" w:lineRule="auto"/>
        <w:ind w:firstLine="420" w:firstLineChars="200"/>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中国大学MOOC，https://www.icourse163.org/</w:t>
      </w:r>
    </w:p>
    <w:p>
      <w:pPr>
        <w:widowControl/>
        <w:snapToGrid w:val="0"/>
        <w:spacing w:line="360" w:lineRule="auto"/>
        <w:ind w:firstLine="420" w:firstLineChars="200"/>
        <w:jc w:val="left"/>
        <w:rPr>
          <w:color w:val="000000" w:themeColor="text1"/>
          <w:kern w:val="0"/>
          <w14:textFill>
            <w14:solidFill>
              <w14:schemeClr w14:val="tx1"/>
            </w14:solidFill>
          </w14:textFill>
        </w:rPr>
      </w:pP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中国设施园艺信息网，http://www.sheshiyuanyi.com/</w:t>
      </w:r>
    </w:p>
    <w:p>
      <w:pPr>
        <w:widowControl/>
        <w:snapToGrid w:val="0"/>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kern w:val="0"/>
          <w14:textFill>
            <w14:solidFill>
              <w14:schemeClr w14:val="tx1"/>
            </w14:solidFill>
          </w14:textFill>
        </w:rPr>
        <w:t>（3）</w:t>
      </w:r>
      <w:r>
        <w:rPr>
          <w:color w:val="000000" w:themeColor="text1"/>
          <w:szCs w:val="21"/>
          <w14:textFill>
            <w14:solidFill>
              <w14:schemeClr w14:val="tx1"/>
            </w14:solidFill>
          </w14:textFill>
        </w:rPr>
        <w:t>PlantTape，</w:t>
      </w:r>
      <w:r>
        <w:fldChar w:fldCharType="begin"/>
      </w:r>
      <w:r>
        <w:instrText xml:space="preserve"> HYPERLINK "https://www.planttape.com/" </w:instrText>
      </w:r>
      <w:r>
        <w:fldChar w:fldCharType="separate"/>
      </w:r>
      <w:r>
        <w:rPr>
          <w:rStyle w:val="27"/>
          <w:color w:val="000000" w:themeColor="text1"/>
          <w:szCs w:val="21"/>
          <w14:textFill>
            <w14:solidFill>
              <w14:schemeClr w14:val="tx1"/>
            </w14:solidFill>
          </w14:textFill>
        </w:rPr>
        <w:t>https://www.planttape.com/</w:t>
      </w:r>
      <w:r>
        <w:rPr>
          <w:rStyle w:val="27"/>
          <w:color w:val="000000" w:themeColor="text1"/>
          <w:szCs w:val="21"/>
          <w14:textFill>
            <w14:solidFill>
              <w14:schemeClr w14:val="tx1"/>
            </w14:solidFill>
          </w14:textFill>
        </w:rPr>
        <w:fldChar w:fldCharType="end"/>
      </w:r>
    </w:p>
    <w:p>
      <w:pPr>
        <w:widowControl/>
        <w:snapToGrid w:val="0"/>
        <w:spacing w:line="360" w:lineRule="auto"/>
        <w:ind w:firstLine="420" w:firstLineChars="200"/>
        <w:jc w:val="left"/>
        <w:rPr>
          <w:kern w:val="0"/>
        </w:rPr>
      </w:pPr>
      <w:r>
        <w:rPr>
          <w:rFonts w:hint="eastAsia"/>
          <w:szCs w:val="21"/>
        </w:rPr>
        <w:t>（4）美国维生种苗有限公司，http://www.speedling.com/</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工厂化育苗原理与技术》课程综合利用课堂实验、参观学习和生产实习为一体的综合教学方案。利用校内三区科教园区的日光温室和设施农业科学与工程实验室进行种子识别与处理、播种育苗、育苗基质测定和蔬菜嫁接育苗等综合性实验。校内实验完成后，以参观的形式分别到河南省农业科学院原阳育苗基地、郑州市蔬菜所和许昌鄢陵建业绿色基地学习，观摩学习省内大型育苗企业的种植技术与经营管理，充分培养学生从事工厂化育苗行业的兴趣。课程结束后，通过校企合作的方式，将一部分对工厂化育苗感兴趣的学生送至山东安信种苗股份有限公司，山东济南伟丽种苗、南街村豫禾种苗及三门峡思瑞达农业等优秀育苗企业进行生产实习，使学生充分掌握工厂化育苗技术，为我国工厂化育苗行业培养相关人才。</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ascii="宋体" w:hAnsi="宋体"/>
          <w:szCs w:val="21"/>
        </w:rPr>
      </w:pPr>
      <w:r>
        <w:rPr>
          <w:rFonts w:hint="eastAsia" w:hAnsi="宋体"/>
          <w:b/>
          <w:bCs/>
          <w:kern w:val="0"/>
          <w:szCs w:val="21"/>
        </w:rPr>
        <w:t>1.过程性评价：</w:t>
      </w:r>
      <w:r>
        <w:rPr>
          <w:rFonts w:hint="eastAsia" w:hAnsi="宋体"/>
          <w:kern w:val="0"/>
          <w:szCs w:val="21"/>
        </w:rPr>
        <w:t>本门课程采取多元化过程性考核评价方法，包括课前预习、课程表现、考勤、课后作业、阶段测评及讨论、实验报告等考评环节及内容，这些共同组成过程性评价成绩，占总成绩的40%。</w:t>
      </w:r>
    </w:p>
    <w:p>
      <w:pPr>
        <w:widowControl/>
        <w:snapToGrid w:val="0"/>
        <w:spacing w:line="360" w:lineRule="auto"/>
        <w:ind w:firstLine="420"/>
        <w:jc w:val="left"/>
        <w:rPr>
          <w:rFonts w:hAnsi="宋体"/>
          <w:b/>
          <w:bCs/>
          <w:color w:val="0000FF"/>
          <w:kern w:val="0"/>
          <w:szCs w:val="21"/>
        </w:rPr>
      </w:pPr>
      <w:r>
        <w:rPr>
          <w:rFonts w:hint="eastAsia" w:hAnsi="宋体"/>
          <w:b/>
          <w:bCs/>
          <w:kern w:val="0"/>
          <w:szCs w:val="21"/>
        </w:rPr>
        <w:t>2.终结性评价：</w:t>
      </w:r>
      <w:r>
        <w:rPr>
          <w:rFonts w:hint="eastAsia" w:ascii="宋体" w:hAnsi="宋体"/>
          <w:color w:val="000000" w:themeColor="text1"/>
          <w14:textFill>
            <w14:solidFill>
              <w14:schemeClr w14:val="tx1"/>
            </w14:solidFill>
          </w14:textFill>
        </w:rPr>
        <w:t>本门课程考试方法调查研究性论文，占总成绩的60%。</w:t>
      </w:r>
    </w:p>
    <w:p>
      <w:pPr>
        <w:widowControl/>
        <w:snapToGrid w:val="0"/>
        <w:spacing w:line="360" w:lineRule="auto"/>
        <w:ind w:firstLine="420"/>
        <w:jc w:val="left"/>
        <w:rPr>
          <w:rFonts w:ascii="宋体" w:hAnsi="宋体"/>
        </w:rPr>
      </w:pPr>
      <w:r>
        <w:rPr>
          <w:rFonts w:hint="eastAsia" w:hAnsi="宋体"/>
          <w:b/>
          <w:bCs/>
          <w:kern w:val="0"/>
          <w:szCs w:val="21"/>
        </w:rPr>
        <w:t>3.课程综合评价：</w:t>
      </w:r>
      <w:r>
        <w:rPr>
          <w:rFonts w:hint="eastAsia" w:hAnsi="宋体"/>
          <w:bCs/>
          <w:color w:val="000000" w:themeColor="text1"/>
          <w:kern w:val="0"/>
          <w:szCs w:val="21"/>
          <w14:textFill>
            <w14:solidFill>
              <w14:schemeClr w14:val="tx1"/>
            </w14:solidFill>
          </w14:textFill>
        </w:rPr>
        <w:t>过程性评价主要考核学生的学习态度、辩证思维、分析解决问题和实践操作能力。终结性评价主要考研学生对本科课程知识体系的掌握。</w:t>
      </w:r>
    </w:p>
    <w:p>
      <w:pPr>
        <w:pStyle w:val="21"/>
        <w:rPr>
          <w:bCs w:val="0"/>
          <w:sz w:val="28"/>
          <w:szCs w:val="28"/>
        </w:rPr>
      </w:pPr>
      <w:bookmarkStart w:id="329" w:name="_Toc138068813"/>
      <w:bookmarkStart w:id="330" w:name="_Toc138076627"/>
      <w:bookmarkStart w:id="331" w:name="_Toc138076332"/>
      <w:bookmarkStart w:id="332" w:name="_Toc138076083"/>
      <w:bookmarkStart w:id="333" w:name="_Toc138070713"/>
      <w:bookmarkStart w:id="334" w:name="_Toc138070443"/>
    </w:p>
    <w:p>
      <w:pPr>
        <w:pStyle w:val="21"/>
        <w:rPr>
          <w:bCs w:val="0"/>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hint="eastAsia"/>
          <w:bCs w:val="0"/>
          <w:sz w:val="28"/>
          <w:szCs w:val="28"/>
        </w:rPr>
      </w:pPr>
      <w:bookmarkStart w:id="335" w:name="_Toc10754"/>
      <w:r>
        <w:rPr>
          <w:rFonts w:hint="eastAsia"/>
          <w:bCs w:val="0"/>
          <w:sz w:val="28"/>
          <w:szCs w:val="28"/>
        </w:rPr>
        <w:br w:type="page"/>
      </w:r>
    </w:p>
    <w:p>
      <w:pPr>
        <w:pStyle w:val="21"/>
        <w:rPr>
          <w:bCs w:val="0"/>
          <w:sz w:val="28"/>
          <w:szCs w:val="28"/>
        </w:rPr>
      </w:pPr>
      <w:r>
        <w:rPr>
          <w:rFonts w:hint="eastAsia"/>
          <w:bCs w:val="0"/>
          <w:sz w:val="28"/>
          <w:szCs w:val="28"/>
        </w:rPr>
        <w:t>盆景学</w:t>
      </w:r>
      <w:bookmarkEnd w:id="329"/>
      <w:bookmarkEnd w:id="330"/>
      <w:bookmarkEnd w:id="331"/>
      <w:bookmarkEnd w:id="332"/>
      <w:bookmarkEnd w:id="333"/>
      <w:bookmarkEnd w:id="334"/>
      <w:bookmarkEnd w:id="335"/>
    </w:p>
    <w:p>
      <w:pPr>
        <w:snapToGrid w:val="0"/>
        <w:spacing w:line="360" w:lineRule="auto"/>
        <w:jc w:val="center"/>
        <w:rPr>
          <w:sz w:val="24"/>
        </w:rPr>
      </w:pPr>
      <w:r>
        <w:rPr>
          <w:rFonts w:hint="eastAsia"/>
          <w:sz w:val="24"/>
        </w:rPr>
        <w:t>（</w:t>
      </w:r>
      <w:r>
        <w:rPr>
          <w:rFonts w:hint="eastAsia"/>
          <w:sz w:val="24"/>
          <w:lang w:val="en-US" w:eastAsia="zh-CN"/>
        </w:rPr>
        <w:t>Penfing</w:t>
      </w:r>
      <w:r>
        <w:rPr>
          <w:rFonts w:hint="eastAsia"/>
          <w:sz w:val="24"/>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c>
          <w:tcPr>
            <w:tcW w:w="1666" w:type="pct"/>
          </w:tcPr>
          <w:p>
            <w:pPr>
              <w:spacing w:line="360" w:lineRule="auto"/>
              <w:ind w:firstLine="422"/>
              <w:rPr>
                <w:rFonts w:ascii="宋体" w:hAnsi="宋体"/>
                <w:b/>
                <w:bCs/>
                <w:szCs w:val="21"/>
              </w:rPr>
            </w:pPr>
            <w:r>
              <w:rPr>
                <w:rFonts w:hint="eastAsia" w:ascii="宋体" w:hAnsi="宋体"/>
                <w:b/>
                <w:bCs/>
                <w:szCs w:val="21"/>
              </w:rPr>
              <w:t>课程编号：</w:t>
            </w:r>
            <w:r>
              <w:rPr>
                <w:rFonts w:ascii="宋体" w:hAnsi="宋体"/>
                <w:b/>
                <w:szCs w:val="21"/>
              </w:rPr>
              <w:t>19011124</w:t>
            </w:r>
          </w:p>
        </w:tc>
        <w:tc>
          <w:tcPr>
            <w:tcW w:w="1453" w:type="pct"/>
          </w:tcPr>
          <w:p>
            <w:pPr>
              <w:spacing w:line="360" w:lineRule="auto"/>
              <w:ind w:firstLine="422"/>
              <w:rPr>
                <w:rFonts w:ascii="宋体" w:hAnsi="宋体"/>
                <w:b/>
                <w:bCs/>
                <w:szCs w:val="21"/>
              </w:rPr>
            </w:pPr>
            <w:r>
              <w:rPr>
                <w:rFonts w:hint="eastAsia" w:ascii="宋体" w:hAnsi="宋体"/>
                <w:b/>
                <w:bCs/>
                <w:szCs w:val="21"/>
              </w:rPr>
              <w:t>课程总学时：</w:t>
            </w:r>
            <w:r>
              <w:rPr>
                <w:rFonts w:hint="eastAsia" w:ascii="宋体" w:hAnsi="宋体"/>
                <w:b/>
                <w:szCs w:val="21"/>
              </w:rPr>
              <w:t>32</w:t>
            </w:r>
          </w:p>
        </w:tc>
        <w:tc>
          <w:tcPr>
            <w:tcW w:w="1881" w:type="pct"/>
          </w:tcPr>
          <w:p>
            <w:pPr>
              <w:spacing w:line="360" w:lineRule="auto"/>
              <w:ind w:firstLine="422"/>
              <w:rPr>
                <w:rFonts w:ascii="宋体" w:hAnsi="宋体"/>
                <w:b/>
                <w:bCs/>
                <w:szCs w:val="21"/>
              </w:rPr>
            </w:pPr>
            <w:r>
              <w:rPr>
                <w:rFonts w:hint="eastAsia" w:ascii="宋体" w:hAnsi="宋体"/>
                <w:b/>
                <w:bCs/>
                <w:szCs w:val="21"/>
              </w:rPr>
              <w:t>实验学时：</w:t>
            </w:r>
            <w:r>
              <w:rPr>
                <w:rFonts w:ascii="宋体" w:hAnsi="宋体"/>
                <w:b/>
                <w:szCs w:val="21"/>
              </w:rPr>
              <w:t>12</w:t>
            </w:r>
            <w:r>
              <w:rPr>
                <w:rFonts w:hint="eastAsia" w:ascii="宋体" w:hAnsi="宋体"/>
                <w:b/>
                <w:szCs w:val="21"/>
              </w:rPr>
              <w:t>学时</w:t>
            </w:r>
          </w:p>
        </w:tc>
      </w:tr>
      <w:tr>
        <w:tblPrEx>
          <w:tblCellMar>
            <w:top w:w="0" w:type="dxa"/>
            <w:left w:w="108" w:type="dxa"/>
            <w:bottom w:w="0" w:type="dxa"/>
            <w:right w:w="108" w:type="dxa"/>
          </w:tblCellMar>
        </w:tblPrEx>
        <w:tc>
          <w:tcPr>
            <w:tcW w:w="1666" w:type="pct"/>
          </w:tcPr>
          <w:p>
            <w:pPr>
              <w:spacing w:line="360" w:lineRule="auto"/>
              <w:ind w:firstLine="422"/>
              <w:rPr>
                <w:rFonts w:ascii="宋体" w:hAnsi="宋体"/>
                <w:b/>
                <w:bCs/>
                <w:szCs w:val="21"/>
              </w:rPr>
            </w:pPr>
            <w:r>
              <w:rPr>
                <w:rFonts w:hint="eastAsia" w:ascii="宋体" w:hAnsi="宋体"/>
                <w:b/>
                <w:bCs/>
                <w:szCs w:val="21"/>
              </w:rPr>
              <w:t>课程性质：</w:t>
            </w:r>
            <w:r>
              <w:rPr>
                <w:rFonts w:hint="eastAsia" w:hAnsi="宋体"/>
                <w:b/>
                <w:bCs/>
                <w:szCs w:val="21"/>
              </w:rPr>
              <w:t>选修</w:t>
            </w:r>
          </w:p>
        </w:tc>
        <w:tc>
          <w:tcPr>
            <w:tcW w:w="1453" w:type="pct"/>
          </w:tcPr>
          <w:p>
            <w:pPr>
              <w:spacing w:line="360" w:lineRule="auto"/>
              <w:ind w:firstLine="422"/>
              <w:rPr>
                <w:rFonts w:ascii="宋体" w:hAnsi="宋体"/>
                <w:b/>
                <w:bCs/>
                <w:szCs w:val="21"/>
              </w:rPr>
            </w:pPr>
            <w:r>
              <w:rPr>
                <w:rFonts w:hint="eastAsia" w:ascii="宋体" w:hAnsi="宋体"/>
                <w:b/>
                <w:szCs w:val="21"/>
              </w:rPr>
              <w:t>课程属性:</w:t>
            </w:r>
            <w:r>
              <w:rPr>
                <w:rFonts w:hint="eastAsia" w:ascii="宋体" w:hAnsi="宋体"/>
                <w:b/>
                <w:bCs/>
                <w:szCs w:val="21"/>
              </w:rPr>
              <w:t>创业教育类</w:t>
            </w:r>
          </w:p>
        </w:tc>
        <w:tc>
          <w:tcPr>
            <w:tcW w:w="1881" w:type="pct"/>
          </w:tcPr>
          <w:p>
            <w:pPr>
              <w:spacing w:line="360" w:lineRule="auto"/>
              <w:ind w:firstLine="422"/>
              <w:rPr>
                <w:rFonts w:ascii="宋体" w:hAnsi="宋体"/>
                <w:b/>
                <w:bCs/>
                <w:szCs w:val="21"/>
              </w:rPr>
            </w:pPr>
            <w:r>
              <w:rPr>
                <w:rFonts w:hint="eastAsia" w:ascii="宋体" w:hAnsi="宋体"/>
                <w:b/>
                <w:bCs/>
                <w:szCs w:val="21"/>
              </w:rPr>
              <w:t>开设学期：</w:t>
            </w:r>
            <w:r>
              <w:rPr>
                <w:rFonts w:hint="eastAsia" w:ascii="宋体" w:hAnsi="宋体"/>
                <w:b/>
                <w:szCs w:val="21"/>
              </w:rPr>
              <w:t>第8学期</w:t>
            </w:r>
          </w:p>
        </w:tc>
      </w:tr>
      <w:tr>
        <w:tblPrEx>
          <w:tblCellMar>
            <w:top w:w="0" w:type="dxa"/>
            <w:left w:w="108" w:type="dxa"/>
            <w:bottom w:w="0" w:type="dxa"/>
            <w:right w:w="108" w:type="dxa"/>
          </w:tblCellMar>
        </w:tblPrEx>
        <w:tc>
          <w:tcPr>
            <w:tcW w:w="1666" w:type="pct"/>
          </w:tcPr>
          <w:p>
            <w:pPr>
              <w:spacing w:line="360" w:lineRule="auto"/>
              <w:ind w:firstLine="422"/>
              <w:rPr>
                <w:rFonts w:ascii="宋体" w:hAnsi="宋体"/>
                <w:b/>
                <w:bCs/>
                <w:szCs w:val="21"/>
              </w:rPr>
            </w:pPr>
            <w:r>
              <w:rPr>
                <w:rFonts w:hint="eastAsia" w:ascii="宋体" w:hAnsi="宋体"/>
                <w:b/>
                <w:bCs/>
                <w:szCs w:val="21"/>
              </w:rPr>
              <w:t>课程负责人：</w:t>
            </w:r>
            <w:r>
              <w:rPr>
                <w:rFonts w:hint="eastAsia" w:ascii="宋体" w:hAnsi="宋体"/>
                <w:b/>
                <w:szCs w:val="21"/>
              </w:rPr>
              <w:t>薛东齐</w:t>
            </w:r>
          </w:p>
        </w:tc>
        <w:tc>
          <w:tcPr>
            <w:tcW w:w="1453" w:type="pct"/>
          </w:tcPr>
          <w:p>
            <w:pPr>
              <w:spacing w:line="360" w:lineRule="auto"/>
              <w:ind w:firstLine="422"/>
              <w:rPr>
                <w:rFonts w:ascii="宋体" w:hAnsi="宋体"/>
                <w:b/>
                <w:bCs/>
                <w:szCs w:val="21"/>
              </w:rPr>
            </w:pPr>
            <w:r>
              <w:rPr>
                <w:rFonts w:hint="eastAsia" w:ascii="宋体" w:hAnsi="宋体"/>
                <w:b/>
                <w:bCs/>
                <w:szCs w:val="21"/>
              </w:rPr>
              <w:t>课程团队：高艳娜、</w:t>
            </w:r>
            <w:r>
              <w:rPr>
                <w:rFonts w:hint="eastAsia" w:ascii="宋体" w:hAnsi="宋体"/>
                <w:b/>
                <w:szCs w:val="21"/>
              </w:rPr>
              <w:t>孟更、王永、郭鑫、娄雪源</w:t>
            </w:r>
          </w:p>
        </w:tc>
        <w:tc>
          <w:tcPr>
            <w:tcW w:w="1881" w:type="pct"/>
          </w:tcPr>
          <w:p>
            <w:pPr>
              <w:spacing w:line="360" w:lineRule="auto"/>
              <w:ind w:firstLine="422"/>
              <w:rPr>
                <w:rFonts w:ascii="宋体" w:hAnsi="宋体"/>
                <w:b/>
                <w:bCs/>
                <w:szCs w:val="21"/>
              </w:rPr>
            </w:pPr>
            <w:r>
              <w:rPr>
                <w:rFonts w:hint="eastAsia" w:ascii="宋体" w:hAnsi="宋体"/>
                <w:b/>
                <w:bCs/>
                <w:szCs w:val="21"/>
              </w:rPr>
              <w:t>授课语言：</w:t>
            </w:r>
            <w:r>
              <w:rPr>
                <w:rFonts w:hint="eastAsia" w:ascii="宋体" w:hAnsi="宋体"/>
                <w:b/>
                <w:szCs w:val="21"/>
              </w:rPr>
              <w:t>中文</w:t>
            </w:r>
          </w:p>
        </w:tc>
      </w:tr>
      <w:tr>
        <w:tblPrEx>
          <w:tblCellMar>
            <w:top w:w="0" w:type="dxa"/>
            <w:left w:w="108" w:type="dxa"/>
            <w:bottom w:w="0" w:type="dxa"/>
            <w:right w:w="108" w:type="dxa"/>
          </w:tblCellMar>
        </w:tblPrEx>
        <w:tc>
          <w:tcPr>
            <w:tcW w:w="5000" w:type="pct"/>
            <w:gridSpan w:val="3"/>
          </w:tcPr>
          <w:p>
            <w:pPr>
              <w:spacing w:line="300" w:lineRule="auto"/>
              <w:ind w:right="-170" w:rightChars="-81" w:firstLine="422"/>
              <w:rPr>
                <w:rFonts w:ascii="宋体" w:hAnsi="宋体"/>
                <w:b/>
                <w:bCs/>
                <w:szCs w:val="21"/>
              </w:rPr>
            </w:pPr>
            <w:r>
              <w:rPr>
                <w:rFonts w:hint="eastAsia" w:ascii="宋体" w:hAnsi="宋体"/>
                <w:b/>
                <w:bCs/>
                <w:szCs w:val="21"/>
              </w:rPr>
              <w:t xml:space="preserve">适用专业：园艺专业、设施农业科学与工程专业、茶学专业 </w:t>
            </w:r>
          </w:p>
        </w:tc>
      </w:tr>
      <w:tr>
        <w:tblPrEx>
          <w:tblCellMar>
            <w:top w:w="0" w:type="dxa"/>
            <w:left w:w="108" w:type="dxa"/>
            <w:bottom w:w="0" w:type="dxa"/>
            <w:right w:w="108" w:type="dxa"/>
          </w:tblCellMar>
        </w:tblPrEx>
        <w:trPr>
          <w:trHeight w:val="90" w:hRule="atLeast"/>
        </w:trPr>
        <w:tc>
          <w:tcPr>
            <w:tcW w:w="5000" w:type="pct"/>
            <w:gridSpan w:val="3"/>
          </w:tcPr>
          <w:p>
            <w:pPr>
              <w:spacing w:line="300" w:lineRule="auto"/>
              <w:ind w:firstLine="422"/>
              <w:rPr>
                <w:rFonts w:ascii="宋体" w:hAnsi="宋体"/>
                <w:b/>
                <w:bCs/>
                <w:szCs w:val="21"/>
              </w:rPr>
            </w:pPr>
            <w:r>
              <w:rPr>
                <w:rFonts w:hint="eastAsia" w:ascii="宋体" w:hAnsi="宋体"/>
                <w:b/>
                <w:bCs/>
                <w:szCs w:val="21"/>
              </w:rPr>
              <w:t>对后续的支撑：本课程讲授的</w:t>
            </w:r>
            <w:r>
              <w:rPr>
                <w:rFonts w:ascii="宋体" w:hAnsi="宋体"/>
                <w:b/>
                <w:bCs/>
                <w:szCs w:val="21"/>
              </w:rPr>
              <w:t>花卉的生态习性及花卉生长发育基本规律；花卉繁殖、栽培的原理；花卉应用的基本原则</w:t>
            </w:r>
            <w:r>
              <w:rPr>
                <w:rFonts w:hint="eastAsia" w:ascii="宋体" w:hAnsi="宋体"/>
                <w:b/>
                <w:bCs/>
                <w:szCs w:val="21"/>
              </w:rPr>
              <w:t>等内容对第6学期开展的为期19周的毕业（生产）实习奠定技术基础。</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对后续的支撑：本课程的教学使学生了解中国盆景的发展历史、中国盆景的流派及其艺术风格，熟悉盆景的创作过程，为毕业后从事观赏园艺方面的工作奠定就业基础。</w:t>
            </w:r>
          </w:p>
        </w:tc>
      </w:tr>
      <w:tr>
        <w:tblPrEx>
          <w:tblCellMar>
            <w:top w:w="0" w:type="dxa"/>
            <w:left w:w="108" w:type="dxa"/>
            <w:bottom w:w="0" w:type="dxa"/>
            <w:right w:w="108" w:type="dxa"/>
          </w:tblCellMar>
        </w:tblPrEx>
        <w:tc>
          <w:tcPr>
            <w:tcW w:w="1666" w:type="pct"/>
          </w:tcPr>
          <w:p>
            <w:pPr>
              <w:spacing w:line="360" w:lineRule="auto"/>
              <w:ind w:firstLine="422"/>
              <w:rPr>
                <w:rFonts w:ascii="宋体" w:hAnsi="宋体"/>
                <w:b/>
                <w:bCs/>
                <w:szCs w:val="21"/>
              </w:rPr>
            </w:pPr>
            <w:r>
              <w:rPr>
                <w:rFonts w:hint="eastAsia" w:ascii="宋体" w:hAnsi="宋体"/>
                <w:b/>
                <w:bCs/>
                <w:szCs w:val="21"/>
              </w:rPr>
              <w:t>主撰人：花卉栽培学课程组</w:t>
            </w:r>
          </w:p>
        </w:tc>
        <w:tc>
          <w:tcPr>
            <w:tcW w:w="1453" w:type="pct"/>
          </w:tcPr>
          <w:p>
            <w:pPr>
              <w:spacing w:line="360" w:lineRule="auto"/>
              <w:ind w:firstLine="422"/>
              <w:rPr>
                <w:rFonts w:ascii="宋体" w:hAnsi="宋体"/>
                <w:b/>
                <w:bCs/>
                <w:szCs w:val="21"/>
              </w:rPr>
            </w:pPr>
            <w:r>
              <w:rPr>
                <w:rFonts w:hint="eastAsia" w:ascii="宋体" w:hAnsi="宋体"/>
                <w:b/>
                <w:bCs/>
                <w:szCs w:val="21"/>
              </w:rPr>
              <w:t>审核人：薛东齐</w:t>
            </w:r>
          </w:p>
        </w:tc>
        <w:tc>
          <w:tcPr>
            <w:tcW w:w="1881" w:type="pct"/>
          </w:tcPr>
          <w:p>
            <w:pPr>
              <w:spacing w:line="360" w:lineRule="auto"/>
              <w:ind w:firstLine="422"/>
              <w:rPr>
                <w:rFonts w:hint="eastAsia" w:ascii="宋体" w:hAnsi="宋体" w:eastAsia="宋体"/>
                <w:b/>
                <w:bCs/>
                <w:szCs w:val="21"/>
                <w:lang w:eastAsia="zh-CN"/>
              </w:rPr>
            </w:pPr>
            <w:r>
              <w:rPr>
                <w:rFonts w:hint="eastAsia" w:ascii="宋体" w:hAnsi="宋体"/>
                <w:b/>
                <w:bCs/>
                <w:szCs w:val="21"/>
              </w:rPr>
              <w:t>大纲制定（修订）日期：</w:t>
            </w:r>
            <w:r>
              <w:rPr>
                <w:rFonts w:hint="eastAsia" w:ascii="宋体" w:hAnsi="宋体"/>
                <w:b/>
                <w:bCs/>
                <w:szCs w:val="21"/>
                <w:lang w:eastAsia="zh-CN"/>
              </w:rPr>
              <w:t>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rPr>
          <w:rFonts w:ascii="宋体" w:hAnsi="宋体"/>
          <w:bCs/>
          <w:szCs w:val="21"/>
        </w:rPr>
      </w:pPr>
      <w:r>
        <w:rPr>
          <w:rFonts w:hint="eastAsia" w:hAnsi="宋体"/>
          <w:bCs/>
          <w:kern w:val="0"/>
          <w:szCs w:val="21"/>
        </w:rPr>
        <w:t>本课程为园艺、设工、茶学等专业学生的选修课程，重点在于培养学生热爱自然的兴趣，拓宽专业视野，利用学习的知识为社会服务。盆景即在盆中表现自然景观的艺术品，是在盆栽和赏石基础上发展起来的，据考据这一园艺艺术的珍宝，起源于我国，它在为国争光，搞好经济，丰富文化生活，美化环境等方面都起着一起的作用，随着物质文明和精神文明建设的不断提高，盆景艺术也不断向前发展。教学任务是让学生了解盆景起源、流派与发展历史，国内外现状及发展趋势，系统地掌握树桩盆景和山水盆景的制作方法及艺术表现技艺的基本理论和技术。通过学习本课程，使学生掌握盆景艺术的基本理论及基本技法,并能利用基本知识指导实际操作。</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kern w:val="0"/>
          <w:szCs w:val="21"/>
        </w:rPr>
      </w:pPr>
      <w:r>
        <w:rPr>
          <w:rFonts w:hint="eastAsia"/>
          <w:kern w:val="0"/>
          <w:szCs w:val="21"/>
        </w:rPr>
        <w:t>1.</w:t>
      </w:r>
      <w:r>
        <w:rPr>
          <w:rFonts w:hAnsi="宋体"/>
          <w:kern w:val="0"/>
          <w:szCs w:val="21"/>
        </w:rPr>
        <w:t>理论知识方面：</w:t>
      </w:r>
      <w:r>
        <w:rPr>
          <w:rFonts w:hint="eastAsia" w:ascii="宋体" w:hAnsi="宋体"/>
          <w:szCs w:val="21"/>
        </w:rPr>
        <w:t>通过系统的教学使学生能够掌握盆景的制作原理及制作技艺，盆景的养护及管理方式及方法。内容尽可能反映出该学科的国内外最新发展态势。</w:t>
      </w:r>
    </w:p>
    <w:p>
      <w:pPr>
        <w:spacing w:line="360" w:lineRule="auto"/>
        <w:ind w:firstLine="420" w:firstLineChars="200"/>
        <w:rPr>
          <w:rFonts w:ascii="宋体" w:hAnsi="宋体"/>
          <w:szCs w:val="21"/>
        </w:rPr>
      </w:pPr>
      <w:r>
        <w:rPr>
          <w:rFonts w:hint="eastAsia"/>
          <w:kern w:val="0"/>
          <w:szCs w:val="21"/>
        </w:rPr>
        <w:t>2.</w:t>
      </w:r>
      <w:r>
        <w:rPr>
          <w:rFonts w:hAnsi="宋体"/>
          <w:kern w:val="0"/>
          <w:szCs w:val="21"/>
        </w:rPr>
        <w:t>实验技能方面：</w:t>
      </w:r>
      <w:r>
        <w:rPr>
          <w:rFonts w:hint="eastAsia" w:ascii="宋体" w:hAnsi="宋体"/>
          <w:szCs w:val="21"/>
        </w:rPr>
        <w:t>该课程是一门实践性较强的课程，要求在传授理论基础的同时尽可能与实践相结合，给学生动手实践的机会，促进对能学过知识的消化和吸收。</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spacing w:line="360" w:lineRule="auto"/>
        <w:ind w:firstLine="420" w:firstLineChars="200"/>
        <w:rPr>
          <w:rFonts w:ascii="宋体" w:hAnsi="宋体" w:cs="宋体"/>
          <w:bCs/>
          <w:kern w:val="0"/>
          <w:szCs w:val="21"/>
        </w:rPr>
      </w:pPr>
      <w:r>
        <w:rPr>
          <w:rFonts w:hint="eastAsia" w:ascii="宋体" w:hAnsi="宋体" w:cs="宋体"/>
          <w:bCs/>
          <w:kern w:val="0"/>
          <w:szCs w:val="21"/>
        </w:rPr>
        <w:t>按照课程安排，与前导相关课程紧密结合，采用课堂讲解、示范、学生实物操作、市场调查、课程作业、项目任务等多元的教学方法，通过教学、社会实践等环节、多种方式培养学生的盆景欣赏能力及技艺水平。</w:t>
      </w:r>
    </w:p>
    <w:p>
      <w:pPr>
        <w:spacing w:line="360" w:lineRule="auto"/>
        <w:ind w:firstLine="420" w:firstLineChars="200"/>
        <w:rPr>
          <w:rFonts w:hAnsi="宋体"/>
          <w:bCs/>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427"/>
        <w:gridCol w:w="1471"/>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60" w:lineRule="auto"/>
              <w:ind w:firstLine="361"/>
              <w:jc w:val="center"/>
              <w:rPr>
                <w:rFonts w:ascii="宋体" w:hAnsi="宋体" w:cs="宋体"/>
                <w:b/>
                <w:bCs/>
                <w:sz w:val="18"/>
                <w:szCs w:val="18"/>
              </w:rPr>
            </w:pPr>
            <w:r>
              <w:rPr>
                <w:rFonts w:hint="eastAsia" w:ascii="宋体" w:hAnsi="宋体" w:cs="宋体"/>
                <w:b/>
                <w:bCs/>
                <w:sz w:val="18"/>
                <w:szCs w:val="18"/>
              </w:rPr>
              <w:t>序号</w:t>
            </w:r>
          </w:p>
        </w:tc>
        <w:tc>
          <w:tcPr>
            <w:tcW w:w="6427"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60" w:lineRule="auto"/>
              <w:ind w:firstLine="361"/>
              <w:jc w:val="center"/>
              <w:rPr>
                <w:rFonts w:ascii="宋体" w:hAnsi="宋体" w:cs="宋体"/>
                <w:b/>
                <w:bCs/>
                <w:sz w:val="18"/>
                <w:szCs w:val="18"/>
              </w:rPr>
            </w:pPr>
            <w:r>
              <w:rPr>
                <w:rFonts w:hint="eastAsia" w:ascii="宋体" w:hAnsi="宋体" w:cs="宋体"/>
                <w:b/>
                <w:bCs/>
                <w:sz w:val="18"/>
                <w:szCs w:val="18"/>
              </w:rPr>
              <w:t>课程目标</w:t>
            </w:r>
          </w:p>
        </w:tc>
        <w:tc>
          <w:tcPr>
            <w:tcW w:w="1471"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60" w:lineRule="auto"/>
              <w:ind w:firstLine="361"/>
              <w:jc w:val="both"/>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485"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427"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rPr>
            </w:pPr>
            <w:r>
              <w:rPr>
                <w:rFonts w:hAnsiTheme="minorEastAsia" w:eastAsiaTheme="minorEastAsia"/>
                <w:sz w:val="18"/>
                <w:szCs w:val="18"/>
              </w:rPr>
              <w:t>目标</w:t>
            </w:r>
            <w:r>
              <w:rPr>
                <w:rFonts w:hint="eastAsia" w:eastAsiaTheme="minorEastAsia"/>
                <w:sz w:val="18"/>
                <w:szCs w:val="18"/>
              </w:rPr>
              <w:t>1：</w:t>
            </w:r>
            <w:r>
              <w:rPr>
                <w:rFonts w:hint="eastAsia" w:hAnsiTheme="minorEastAsia" w:eastAsiaTheme="minorEastAsia"/>
                <w:sz w:val="18"/>
                <w:szCs w:val="18"/>
              </w:rPr>
              <w:t>使学生理解盆景文化史。</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1</w:t>
            </w:r>
          </w:p>
          <w:p>
            <w:pPr>
              <w:spacing w:line="320" w:lineRule="exact"/>
              <w:ind w:firstLine="360"/>
              <w:jc w:val="center"/>
              <w:rPr>
                <w:rFonts w:eastAsiaTheme="minorEastAsia"/>
                <w:sz w:val="18"/>
                <w:szCs w:val="18"/>
              </w:rPr>
            </w:pPr>
            <w:r>
              <w:rPr>
                <w:rFonts w:hint="eastAsia"/>
                <w:sz w:val="18"/>
                <w:szCs w:val="18"/>
              </w:rPr>
              <w:t>3</w:t>
            </w:r>
          </w:p>
        </w:tc>
      </w:tr>
      <w:tr>
        <w:tblPrEx>
          <w:tblCellMar>
            <w:top w:w="0" w:type="dxa"/>
            <w:left w:w="108" w:type="dxa"/>
            <w:bottom w:w="0" w:type="dxa"/>
            <w:right w:w="108" w:type="dxa"/>
          </w:tblCellMar>
        </w:tblPrEx>
        <w:trPr>
          <w:trHeight w:val="726"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427"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rPr>
            </w:pPr>
            <w:r>
              <w:rPr>
                <w:rFonts w:hAnsiTheme="minorEastAsia" w:eastAsiaTheme="minorEastAsia"/>
                <w:sz w:val="18"/>
                <w:szCs w:val="18"/>
              </w:rPr>
              <w:t>目标</w:t>
            </w:r>
            <w:r>
              <w:rPr>
                <w:rFonts w:eastAsiaTheme="minorEastAsia"/>
                <w:sz w:val="18"/>
                <w:szCs w:val="18"/>
              </w:rPr>
              <w:t>2</w:t>
            </w:r>
            <w:r>
              <w:rPr>
                <w:rFonts w:hAnsiTheme="minorEastAsia" w:eastAsiaTheme="minorEastAsia"/>
                <w:sz w:val="18"/>
                <w:szCs w:val="18"/>
              </w:rPr>
              <w:t>：</w:t>
            </w:r>
            <w:r>
              <w:rPr>
                <w:rFonts w:hint="eastAsia" w:eastAsiaTheme="minorEastAsia"/>
                <w:sz w:val="18"/>
                <w:szCs w:val="18"/>
              </w:rPr>
              <w:t>使学生具备盆景的基本设计制作能力。</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1</w:t>
            </w:r>
          </w:p>
          <w:p>
            <w:pPr>
              <w:spacing w:line="320" w:lineRule="exact"/>
              <w:ind w:firstLine="360"/>
              <w:jc w:val="center"/>
              <w:rPr>
                <w:rFonts w:eastAsiaTheme="minorEastAsia"/>
                <w:sz w:val="18"/>
                <w:szCs w:val="18"/>
              </w:rPr>
            </w:pPr>
            <w:r>
              <w:rPr>
                <w:rFonts w:hint="eastAsia"/>
                <w:sz w:val="18"/>
                <w:szCs w:val="18"/>
              </w:rPr>
              <w:t>3</w:t>
            </w:r>
          </w:p>
        </w:tc>
      </w:tr>
      <w:tr>
        <w:tblPrEx>
          <w:tblCellMar>
            <w:top w:w="0" w:type="dxa"/>
            <w:left w:w="108" w:type="dxa"/>
            <w:bottom w:w="0" w:type="dxa"/>
            <w:right w:w="108" w:type="dxa"/>
          </w:tblCellMar>
        </w:tblPrEx>
        <w:trPr>
          <w:trHeight w:val="698"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427"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AnsiTheme="minorEastAsia" w:eastAsiaTheme="minorEastAsia"/>
                <w:sz w:val="18"/>
                <w:szCs w:val="18"/>
              </w:rPr>
              <w:t>目标</w:t>
            </w:r>
            <w:r>
              <w:rPr>
                <w:rFonts w:eastAsiaTheme="minorEastAsia"/>
                <w:sz w:val="18"/>
                <w:szCs w:val="18"/>
              </w:rPr>
              <w:t>3</w:t>
            </w:r>
            <w:r>
              <w:rPr>
                <w:rFonts w:hAnsiTheme="minorEastAsia" w:eastAsiaTheme="minorEastAsia"/>
                <w:sz w:val="18"/>
                <w:szCs w:val="18"/>
              </w:rPr>
              <w:t>：</w:t>
            </w:r>
            <w:r>
              <w:rPr>
                <w:rFonts w:hint="eastAsia" w:eastAsiaTheme="minorEastAsia"/>
                <w:sz w:val="18"/>
                <w:szCs w:val="18"/>
              </w:rPr>
              <w:t>通过课程的学习，使学生对盆景行业现状有一定的了解，并且具备在该行业创业的素养。</w:t>
            </w:r>
          </w:p>
        </w:tc>
        <w:tc>
          <w:tcPr>
            <w:tcW w:w="1471"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8</w:t>
            </w:r>
          </w:p>
          <w:p>
            <w:pPr>
              <w:spacing w:line="320" w:lineRule="exact"/>
              <w:ind w:firstLine="360"/>
              <w:jc w:val="center"/>
              <w:rPr>
                <w:rFonts w:eastAsiaTheme="minorEastAsia"/>
                <w:sz w:val="18"/>
                <w:szCs w:val="18"/>
              </w:rPr>
            </w:pPr>
            <w:r>
              <w:rPr>
                <w:rFonts w:hint="eastAsia"/>
                <w:sz w:val="18"/>
                <w:szCs w:val="18"/>
              </w:rPr>
              <w:t>9</w:t>
            </w:r>
          </w:p>
        </w:tc>
      </w:tr>
    </w:tbl>
    <w:p>
      <w:pPr>
        <w:widowControl/>
        <w:snapToGrid w:val="0"/>
        <w:spacing w:line="360" w:lineRule="auto"/>
        <w:jc w:val="left"/>
        <w:rPr>
          <w:rFonts w:hAnsi="宋体"/>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（24学时）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0" w:firstLineChars="200"/>
              <w:rPr>
                <w:rFonts w:hAnsi="宋体"/>
                <w:b/>
                <w:bCs/>
                <w:szCs w:val="21"/>
              </w:rPr>
            </w:pPr>
            <w:r>
              <w:rPr>
                <w:rFonts w:hint="eastAsia" w:ascii="宋体" w:hAnsi="宋体" w:cs="宋体"/>
                <w:szCs w:val="21"/>
              </w:rPr>
              <w:t></w:t>
            </w:r>
          </w:p>
        </w:tc>
        <w:tc>
          <w:tcPr>
            <w:tcW w:w="2965" w:type="dxa"/>
            <w:tcBorders>
              <w:top w:val="nil"/>
              <w:left w:val="nil"/>
              <w:bottom w:val="nil"/>
              <w:right w:val="nil"/>
            </w:tcBorders>
            <w:vAlign w:val="center"/>
          </w:tcPr>
          <w:p>
            <w:pPr>
              <w:widowControl/>
              <w:snapToGrid w:val="0"/>
              <w:spacing w:before="156" w:beforeLines="50" w:line="360" w:lineRule="auto"/>
              <w:ind w:firstLine="422"/>
              <w:jc w:val="center"/>
              <w:rPr>
                <w:rFonts w:hAnsi="宋体"/>
                <w:b/>
                <w:bCs/>
                <w:szCs w:val="21"/>
              </w:rPr>
            </w:pPr>
            <w:r>
              <w:rPr>
                <w:rFonts w:hAnsi="宋体"/>
                <w:b/>
                <w:bCs/>
                <w:szCs w:val="21"/>
              </w:rPr>
              <w:t>第一章</w:t>
            </w:r>
            <w:r>
              <w:rPr>
                <w:rFonts w:hint="eastAsia" w:hAnsi="宋体"/>
                <w:b/>
                <w:bCs/>
                <w:szCs w:val="21"/>
              </w:rPr>
              <w:t xml:space="preserve">  </w:t>
            </w:r>
            <w:r>
              <w:rPr>
                <w:rFonts w:hint="eastAsia"/>
                <w:b/>
                <w:bCs/>
              </w:rPr>
              <w:t>中国盆景史</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rPr>
        <w:t>学习盆景起源与发展历史，培养学生的学习兴趣及自豪感。</w:t>
      </w:r>
      <w:r>
        <w:rPr>
          <w:rFonts w:hint="eastAsia" w:ascii="宋体" w:hAnsi="宋体" w:cs="宋体"/>
          <w:kern w:val="0"/>
          <w:szCs w:val="21"/>
        </w:rPr>
        <w:t></w:t>
      </w:r>
    </w:p>
    <w:p>
      <w:pPr>
        <w:spacing w:line="360" w:lineRule="auto"/>
      </w:pPr>
      <w:r>
        <w:rPr>
          <w:rFonts w:hint="eastAsia" w:ascii="宋体" w:hAnsi="宋体"/>
          <w:b/>
          <w:bCs/>
        </w:rPr>
        <w:t>教学重点和难点：</w:t>
      </w:r>
      <w:r>
        <w:rPr>
          <w:rFonts w:hint="eastAsia"/>
        </w:rPr>
        <w:t>重大历史时期的盆景特点，四个飞跃时期的盆景发展的标志。</w:t>
      </w:r>
    </w:p>
    <w:p>
      <w:pPr>
        <w:spacing w:line="360" w:lineRule="auto"/>
        <w:rPr>
          <w:rFonts w:ascii="宋体" w:hAnsi="宋体"/>
          <w:b/>
        </w:rPr>
      </w:pPr>
      <w:r>
        <w:rPr>
          <w:rFonts w:hint="eastAsia" w:ascii="宋体" w:hAnsi="宋体"/>
          <w:b/>
        </w:rPr>
        <w:t xml:space="preserve">主要教学内容及要求： </w:t>
      </w:r>
    </w:p>
    <w:p>
      <w:pPr>
        <w:spacing w:line="360" w:lineRule="auto"/>
        <w:ind w:firstLine="420" w:firstLineChars="200"/>
      </w:pPr>
      <w:r>
        <w:rPr>
          <w:rFonts w:hint="eastAsia"/>
        </w:rPr>
        <w:t>了解：中国盆景史，了解中国盆景通过日本传向西方的途径。</w:t>
      </w:r>
    </w:p>
    <w:p>
      <w:pPr>
        <w:spacing w:line="360" w:lineRule="auto"/>
        <w:ind w:firstLine="420" w:firstLineChars="200"/>
      </w:pPr>
      <w:r>
        <w:rPr>
          <w:rFonts w:hint="eastAsia"/>
        </w:rPr>
        <w:t>掌握：关于盆景起源的几种学说，掌握唐代盆栽、盆池、小滩及赏石，掌握宋代盆景、盆玩、盆山，掌握明清盆景及近代盆景史。</w:t>
      </w:r>
    </w:p>
    <w:p>
      <w:pPr>
        <w:spacing w:line="360" w:lineRule="auto"/>
        <w:ind w:firstLine="420" w:firstLineChars="200"/>
      </w:pPr>
      <w:r>
        <w:rPr>
          <w:rFonts w:hint="eastAsia"/>
        </w:rPr>
        <w:t>熟练掌握：新石器时期草本盆栽，熟练掌握汉代木本盆栽，熟练掌握魏晋南北朝盆景艺术形式，熟练掌握元代盆景的艺术特点。</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本次教学过程中，实践与理论相结合。理论讲解后，进行课堂演示（或者视频演示）。组织学生进行进一步分享讨论，分享与盆景相关的经历。</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before="156" w:beforeLines="50" w:line="360" w:lineRule="auto"/>
              <w:ind w:firstLine="422"/>
              <w:jc w:val="center"/>
              <w:rPr>
                <w:rFonts w:hAnsi="宋体"/>
                <w:b/>
                <w:bCs/>
                <w:szCs w:val="21"/>
              </w:rPr>
            </w:pPr>
            <w:r>
              <w:rPr>
                <w:rFonts w:hAnsi="宋体"/>
                <w:b/>
                <w:bCs/>
                <w:szCs w:val="21"/>
              </w:rPr>
              <w:t>第</w:t>
            </w:r>
            <w:r>
              <w:rPr>
                <w:rFonts w:hint="eastAsia" w:hAnsi="宋体"/>
                <w:b/>
                <w:bCs/>
                <w:szCs w:val="21"/>
              </w:rPr>
              <w:t>二</w:t>
            </w:r>
            <w:r>
              <w:rPr>
                <w:rFonts w:hAnsi="宋体"/>
                <w:b/>
                <w:bCs/>
                <w:szCs w:val="21"/>
              </w:rPr>
              <w:t>章</w:t>
            </w:r>
            <w:r>
              <w:rPr>
                <w:rFonts w:hint="eastAsia" w:hAnsi="宋体"/>
                <w:b/>
                <w:bCs/>
                <w:szCs w:val="21"/>
              </w:rPr>
              <w:t xml:space="preserve">  </w:t>
            </w:r>
            <w:r>
              <w:rPr>
                <w:rFonts w:hint="eastAsia"/>
                <w:b/>
                <w:bCs/>
              </w:rPr>
              <w:t>中国盆景分类</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pacing w:line="360" w:lineRule="auto"/>
        <w:rPr>
          <w:rFonts w:hAnsi="宋体"/>
          <w:b/>
          <w:bCs/>
          <w:kern w:val="0"/>
          <w:szCs w:val="21"/>
        </w:rPr>
      </w:pPr>
      <w:r>
        <w:rPr>
          <w:rFonts w:hint="eastAsia" w:ascii="宋体" w:hAnsi="宋体"/>
          <w:b/>
          <w:bCs/>
        </w:rPr>
        <w:t>教学目标：</w:t>
      </w:r>
      <w:r>
        <w:rPr>
          <w:rFonts w:hint="eastAsia"/>
        </w:rPr>
        <w:t>学习盆景的分类，为盆景的欣赏与制作奠定理论基础。</w:t>
      </w:r>
    </w:p>
    <w:p>
      <w:pPr>
        <w:spacing w:line="360" w:lineRule="auto"/>
      </w:pPr>
      <w:r>
        <w:rPr>
          <w:rFonts w:hint="eastAsia" w:ascii="宋体" w:hAnsi="宋体"/>
          <w:b/>
          <w:bCs/>
        </w:rPr>
        <w:t>教学重点和难点：</w:t>
      </w:r>
      <w:r>
        <w:rPr>
          <w:rFonts w:hint="eastAsia"/>
        </w:rPr>
        <w:t>盆景系统分类的方法，每类盆景的特点。</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了解：中国盆景的各种分类方法。</w:t>
      </w:r>
    </w:p>
    <w:p>
      <w:pPr>
        <w:spacing w:line="360" w:lineRule="auto"/>
        <w:ind w:firstLine="420" w:firstLineChars="200"/>
      </w:pPr>
      <w:r>
        <w:rPr>
          <w:rFonts w:hint="eastAsia"/>
        </w:rPr>
        <w:t>熟练掌握：系统分类的方法及系统分类中各类型盆景的特点。</w:t>
      </w:r>
    </w:p>
    <w:p>
      <w:pPr>
        <w:widowControl/>
        <w:snapToGrid w:val="0"/>
        <w:spacing w:line="360" w:lineRule="auto"/>
        <w:jc w:val="left"/>
        <w:rPr>
          <w:rFonts w:ascii="宋体" w:hAnsi="宋体"/>
          <w:szCs w:val="20"/>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tbl>
      <w:tblPr>
        <w:tblStyle w:val="22"/>
        <w:tblW w:w="0" w:type="auto"/>
        <w:tblInd w:w="4" w:type="dxa"/>
        <w:tblLayout w:type="autofit"/>
        <w:tblCellMar>
          <w:top w:w="0" w:type="dxa"/>
          <w:left w:w="0" w:type="dxa"/>
          <w:bottom w:w="0" w:type="dxa"/>
          <w:right w:w="0" w:type="dxa"/>
        </w:tblCellMar>
      </w:tblPr>
      <w:tblGrid>
        <w:gridCol w:w="1971"/>
        <w:gridCol w:w="4262"/>
        <w:gridCol w:w="2663"/>
      </w:tblGrid>
      <w:tr>
        <w:tblPrEx>
          <w:tblCellMar>
            <w:top w:w="0" w:type="dxa"/>
            <w:left w:w="0" w:type="dxa"/>
            <w:bottom w:w="0" w:type="dxa"/>
            <w:right w:w="0" w:type="dxa"/>
          </w:tblCellMar>
        </w:tblPrEx>
        <w:trPr>
          <w:trHeight w:val="270" w:hRule="atLeast"/>
        </w:trPr>
        <w:tc>
          <w:tcPr>
            <w:tcW w:w="197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262" w:type="dxa"/>
            <w:tcBorders>
              <w:top w:val="nil"/>
              <w:left w:val="nil"/>
              <w:bottom w:val="nil"/>
              <w:right w:val="nil"/>
            </w:tcBorders>
            <w:vAlign w:val="center"/>
          </w:tcPr>
          <w:p>
            <w:pPr>
              <w:widowControl/>
              <w:snapToGrid w:val="0"/>
              <w:spacing w:before="156" w:beforeLines="50" w:line="360" w:lineRule="auto"/>
              <w:ind w:firstLine="422"/>
              <w:rPr>
                <w:rFonts w:hAnsi="宋体"/>
                <w:b/>
                <w:bCs/>
                <w:szCs w:val="21"/>
              </w:rPr>
            </w:pPr>
            <w:r>
              <w:rPr>
                <w:rFonts w:hAnsi="宋体"/>
                <w:b/>
                <w:bCs/>
                <w:szCs w:val="21"/>
              </w:rPr>
              <w:t>第</w:t>
            </w:r>
            <w:r>
              <w:rPr>
                <w:rFonts w:hint="eastAsia" w:hAnsi="宋体"/>
                <w:b/>
                <w:bCs/>
                <w:szCs w:val="21"/>
              </w:rPr>
              <w:t>三</w:t>
            </w:r>
            <w:r>
              <w:rPr>
                <w:rFonts w:hAnsi="宋体"/>
                <w:b/>
                <w:bCs/>
                <w:szCs w:val="21"/>
              </w:rPr>
              <w:t>章</w:t>
            </w:r>
            <w:r>
              <w:rPr>
                <w:rFonts w:hint="eastAsia" w:hAnsi="宋体"/>
                <w:b/>
                <w:bCs/>
                <w:szCs w:val="21"/>
              </w:rPr>
              <w:t xml:space="preserve">  </w:t>
            </w:r>
            <w:r>
              <w:rPr>
                <w:rFonts w:hint="eastAsia"/>
                <w:b/>
                <w:bCs/>
              </w:rPr>
              <w:t>盆景风格及风格类型和流派</w:t>
            </w:r>
          </w:p>
        </w:tc>
        <w:tc>
          <w:tcPr>
            <w:tcW w:w="2663"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pacing w:line="360" w:lineRule="auto"/>
      </w:pPr>
      <w:r>
        <w:rPr>
          <w:rFonts w:hint="eastAsia" w:ascii="宋体" w:hAnsi="宋体"/>
          <w:b/>
          <w:bCs/>
        </w:rPr>
        <w:t>教学目标：</w:t>
      </w:r>
      <w:r>
        <w:rPr>
          <w:rFonts w:hint="eastAsia"/>
        </w:rPr>
        <w:t>学习盆景的风格与流派，借鉴我国各大流派的制作理论与实践。</w:t>
      </w:r>
    </w:p>
    <w:p>
      <w:pPr>
        <w:spacing w:line="360" w:lineRule="auto"/>
      </w:pPr>
      <w:r>
        <w:rPr>
          <w:rFonts w:hint="eastAsia" w:ascii="宋体" w:hAnsi="宋体"/>
          <w:b/>
          <w:bCs/>
        </w:rPr>
        <w:t>教学重点和难点：</w:t>
      </w:r>
      <w:r>
        <w:rPr>
          <w:rFonts w:hint="eastAsia"/>
        </w:rPr>
        <w:t>盆景风格流派的形成，我国各大盆景流派的特点。</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了解：中国盆景流派概念、划分及属性。</w:t>
      </w:r>
    </w:p>
    <w:p>
      <w:pPr>
        <w:spacing w:line="360" w:lineRule="auto"/>
        <w:ind w:firstLine="420" w:firstLineChars="200"/>
      </w:pPr>
      <w:r>
        <w:rPr>
          <w:rFonts w:hint="eastAsia"/>
        </w:rPr>
        <w:t>熟练掌握：盆景流派的形成与发展，熟练掌握我国各大盆景流派的特点。</w:t>
      </w:r>
    </w:p>
    <w:p>
      <w:pPr>
        <w:widowControl/>
        <w:snapToGrid w:val="0"/>
        <w:spacing w:line="360" w:lineRule="auto"/>
        <w:jc w:val="left"/>
        <w:rPr>
          <w:rFonts w:hAnsi="宋体"/>
          <w:kern w:val="0"/>
          <w:szCs w:val="21"/>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before="156" w:beforeLines="50" w:line="360" w:lineRule="auto"/>
              <w:ind w:firstLine="422"/>
              <w:rPr>
                <w:rFonts w:hAnsi="宋体"/>
                <w:b/>
                <w:bCs/>
                <w:szCs w:val="21"/>
              </w:rPr>
            </w:pPr>
            <w:r>
              <w:rPr>
                <w:rFonts w:hAnsi="宋体"/>
                <w:b/>
                <w:bCs/>
                <w:szCs w:val="21"/>
              </w:rPr>
              <w:t>第</w:t>
            </w:r>
            <w:r>
              <w:rPr>
                <w:rFonts w:hint="eastAsia" w:hAnsi="宋体"/>
                <w:b/>
                <w:bCs/>
                <w:szCs w:val="21"/>
              </w:rPr>
              <w:t>四</w:t>
            </w:r>
            <w:r>
              <w:rPr>
                <w:rFonts w:hAnsi="宋体"/>
                <w:b/>
                <w:bCs/>
                <w:szCs w:val="21"/>
              </w:rPr>
              <w:t>章</w:t>
            </w:r>
            <w:r>
              <w:rPr>
                <w:rFonts w:hint="eastAsia" w:hAnsi="宋体"/>
                <w:b/>
                <w:bCs/>
                <w:szCs w:val="21"/>
              </w:rPr>
              <w:t xml:space="preserve">  </w:t>
            </w:r>
            <w:r>
              <w:rPr>
                <w:rFonts w:hint="eastAsia"/>
                <w:b/>
                <w:bCs/>
              </w:rPr>
              <w:t>盆景美学</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pacing w:line="360" w:lineRule="auto"/>
      </w:pPr>
      <w:r>
        <w:rPr>
          <w:rFonts w:hint="eastAsia" w:ascii="宋体" w:hAnsi="宋体"/>
          <w:b/>
          <w:bCs/>
        </w:rPr>
        <w:t>教学目标：</w:t>
      </w:r>
      <w:r>
        <w:rPr>
          <w:rFonts w:hint="eastAsia"/>
        </w:rPr>
        <w:t>学习盆景的美学理论，奠定盆景欣赏的理论基础。</w:t>
      </w:r>
    </w:p>
    <w:p>
      <w:pPr>
        <w:spacing w:line="360" w:lineRule="auto"/>
      </w:pPr>
      <w:r>
        <w:rPr>
          <w:rFonts w:hint="eastAsia" w:ascii="宋体" w:hAnsi="宋体"/>
          <w:b/>
          <w:bCs/>
        </w:rPr>
        <w:t>教学重点和难点：</w:t>
      </w:r>
      <w:r>
        <w:rPr>
          <w:rFonts w:hint="eastAsia"/>
        </w:rPr>
        <w:t>盆景美的形态与法则，我国盆景美与其他艺术形式的关系。</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了解：中国盆景艺术活动概观。</w:t>
      </w:r>
    </w:p>
    <w:p>
      <w:pPr>
        <w:spacing w:line="360" w:lineRule="auto"/>
        <w:ind w:firstLine="420" w:firstLineChars="200"/>
      </w:pPr>
      <w:r>
        <w:rPr>
          <w:rFonts w:hint="eastAsia"/>
        </w:rPr>
        <w:t>掌握：盆景意境美原则，掌握盆景美与画论、盆景美与诗词的关系。</w:t>
      </w:r>
    </w:p>
    <w:p>
      <w:pPr>
        <w:spacing w:line="360" w:lineRule="auto"/>
        <w:ind w:firstLine="420" w:firstLineChars="200"/>
      </w:pPr>
      <w:r>
        <w:rPr>
          <w:rFonts w:hint="eastAsia"/>
        </w:rPr>
        <w:t>熟练掌握：盆景美的形态与盆景形式美法则，</w:t>
      </w:r>
    </w:p>
    <w:p>
      <w:pPr>
        <w:widowControl/>
        <w:snapToGrid w:val="0"/>
        <w:spacing w:line="360" w:lineRule="auto"/>
        <w:jc w:val="left"/>
        <w:rPr>
          <w:rFonts w:hAnsi="宋体"/>
          <w:kern w:val="0"/>
          <w:szCs w:val="21"/>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before="156" w:beforeLines="50" w:line="360" w:lineRule="auto"/>
              <w:ind w:firstLine="422"/>
              <w:rPr>
                <w:rFonts w:hAnsi="宋体"/>
                <w:b/>
                <w:bCs/>
                <w:szCs w:val="21"/>
              </w:rPr>
            </w:pPr>
            <w:r>
              <w:rPr>
                <w:rFonts w:hAnsi="宋体"/>
                <w:b/>
                <w:bCs/>
                <w:szCs w:val="21"/>
              </w:rPr>
              <w:t>第</w:t>
            </w:r>
            <w:r>
              <w:rPr>
                <w:rFonts w:hint="eastAsia" w:hAnsi="宋体"/>
                <w:b/>
                <w:bCs/>
                <w:szCs w:val="21"/>
              </w:rPr>
              <w:t>五</w:t>
            </w:r>
            <w:r>
              <w:rPr>
                <w:rFonts w:hAnsi="宋体"/>
                <w:b/>
                <w:bCs/>
                <w:szCs w:val="21"/>
              </w:rPr>
              <w:t>章</w:t>
            </w:r>
            <w:r>
              <w:rPr>
                <w:rFonts w:hint="eastAsia" w:hAnsi="宋体"/>
                <w:b/>
                <w:bCs/>
                <w:szCs w:val="21"/>
              </w:rPr>
              <w:t xml:space="preserve">  </w:t>
            </w:r>
            <w:r>
              <w:rPr>
                <w:rFonts w:hint="eastAsia"/>
                <w:b/>
                <w:bCs/>
              </w:rPr>
              <w:t>桩景创作</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2</w:t>
            </w:r>
          </w:p>
        </w:tc>
      </w:tr>
    </w:tbl>
    <w:p>
      <w:pPr>
        <w:spacing w:line="360" w:lineRule="auto"/>
        <w:rPr>
          <w:rFonts w:hAnsi="宋体"/>
          <w:b/>
          <w:bCs/>
          <w:kern w:val="0"/>
          <w:szCs w:val="21"/>
        </w:rPr>
      </w:pPr>
      <w:r>
        <w:rPr>
          <w:rFonts w:hint="eastAsia" w:ascii="宋体" w:hAnsi="宋体"/>
          <w:b/>
          <w:bCs/>
        </w:rPr>
        <w:t>教学目标：</w:t>
      </w:r>
      <w:r>
        <w:rPr>
          <w:rFonts w:hint="eastAsia"/>
        </w:rPr>
        <w:t>学习树木盆景的制作理论与实践，综合应用各种树木盆景要素制作盆景。</w:t>
      </w:r>
    </w:p>
    <w:p>
      <w:pPr>
        <w:spacing w:line="360" w:lineRule="auto"/>
      </w:pPr>
      <w:r>
        <w:rPr>
          <w:rFonts w:hint="eastAsia" w:ascii="宋体" w:hAnsi="宋体"/>
          <w:b/>
          <w:bCs/>
        </w:rPr>
        <w:t>教学重点和难点：</w:t>
      </w:r>
      <w:r>
        <w:rPr>
          <w:rFonts w:hint="eastAsia"/>
        </w:rPr>
        <w:t>树木盆景的制作理论与实践，综合应用各种树木盆景要素的能力。</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了解：中国盆景的基本技艺。</w:t>
      </w:r>
    </w:p>
    <w:p>
      <w:pPr>
        <w:spacing w:line="360" w:lineRule="auto"/>
        <w:ind w:firstLine="420" w:firstLineChars="200"/>
      </w:pPr>
      <w:r>
        <w:rPr>
          <w:rFonts w:hint="eastAsia"/>
        </w:rPr>
        <w:t>掌握：各流派造型技艺的特点。</w:t>
      </w:r>
    </w:p>
    <w:p>
      <w:pPr>
        <w:spacing w:line="360" w:lineRule="auto"/>
        <w:ind w:firstLine="420" w:firstLineChars="200"/>
      </w:pPr>
      <w:r>
        <w:rPr>
          <w:rFonts w:hint="eastAsia"/>
        </w:rPr>
        <w:t>熟练掌握：树木盆景造型制作技艺。</w:t>
      </w:r>
    </w:p>
    <w:p>
      <w:pPr>
        <w:widowControl/>
        <w:snapToGrid w:val="0"/>
        <w:spacing w:line="360" w:lineRule="auto"/>
        <w:jc w:val="left"/>
        <w:rPr>
          <w:rFonts w:hAnsi="宋体"/>
          <w:kern w:val="0"/>
          <w:szCs w:val="21"/>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before="156" w:beforeLines="50" w:line="360" w:lineRule="auto"/>
              <w:ind w:firstLine="422"/>
              <w:rPr>
                <w:rFonts w:hAnsi="宋体"/>
                <w:b/>
                <w:bCs/>
                <w:szCs w:val="21"/>
              </w:rPr>
            </w:pPr>
            <w:r>
              <w:rPr>
                <w:rFonts w:hAnsi="宋体"/>
                <w:b/>
                <w:bCs/>
                <w:szCs w:val="21"/>
              </w:rPr>
              <w:t>第</w:t>
            </w:r>
            <w:r>
              <w:rPr>
                <w:rFonts w:hint="eastAsia" w:hAnsi="宋体"/>
                <w:b/>
                <w:bCs/>
                <w:szCs w:val="21"/>
              </w:rPr>
              <w:t>六</w:t>
            </w:r>
            <w:r>
              <w:rPr>
                <w:rFonts w:hAnsi="宋体"/>
                <w:b/>
                <w:bCs/>
                <w:szCs w:val="21"/>
              </w:rPr>
              <w:t>章</w:t>
            </w:r>
            <w:r>
              <w:rPr>
                <w:rFonts w:hint="eastAsia" w:hAnsi="宋体"/>
                <w:b/>
                <w:bCs/>
                <w:szCs w:val="21"/>
              </w:rPr>
              <w:t xml:space="preserve">  </w:t>
            </w:r>
            <w:r>
              <w:rPr>
                <w:rFonts w:hint="eastAsia"/>
                <w:b/>
                <w:bCs/>
              </w:rPr>
              <w:t>山水盆景创作</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spacing w:line="360" w:lineRule="auto"/>
        <w:rPr>
          <w:rFonts w:hAnsi="宋体"/>
          <w:b/>
          <w:bCs/>
          <w:kern w:val="0"/>
          <w:szCs w:val="21"/>
        </w:rPr>
      </w:pPr>
      <w:r>
        <w:rPr>
          <w:rFonts w:hint="eastAsia" w:ascii="宋体" w:hAnsi="宋体"/>
          <w:b/>
          <w:bCs/>
        </w:rPr>
        <w:t>教学目标：</w:t>
      </w:r>
      <w:r>
        <w:rPr>
          <w:rFonts w:hint="eastAsia"/>
        </w:rPr>
        <w:t>学习山水盆景的制作理论与实践，综合应用各种山水盆景要素制作盆景。</w:t>
      </w:r>
    </w:p>
    <w:p>
      <w:pPr>
        <w:spacing w:line="360" w:lineRule="auto"/>
      </w:pPr>
      <w:r>
        <w:rPr>
          <w:rFonts w:hint="eastAsia" w:ascii="宋体" w:hAnsi="宋体"/>
          <w:b/>
          <w:bCs/>
        </w:rPr>
        <w:t>教学重点和难点：</w:t>
      </w:r>
      <w:r>
        <w:rPr>
          <w:rFonts w:hint="eastAsia"/>
        </w:rPr>
        <w:t>山水盆景的制作理论与实践，综合应用各种山水盆景要素的能力。</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了解：中国盆景的基本技艺。</w:t>
      </w:r>
    </w:p>
    <w:p>
      <w:pPr>
        <w:spacing w:line="360" w:lineRule="auto"/>
        <w:ind w:firstLine="420" w:firstLineChars="200"/>
      </w:pPr>
      <w:r>
        <w:rPr>
          <w:rFonts w:hint="eastAsia"/>
        </w:rPr>
        <w:t>掌握相：石与布局，掌握配植与点缀及盆景题。</w:t>
      </w:r>
    </w:p>
    <w:p>
      <w:pPr>
        <w:spacing w:line="360" w:lineRule="auto"/>
        <w:ind w:firstLine="420" w:firstLineChars="200"/>
      </w:pPr>
      <w:r>
        <w:rPr>
          <w:rFonts w:hint="eastAsia"/>
        </w:rPr>
        <w:t>熟练掌握：山水盆景制作技艺，熟练掌握几种特殊形式的山水盆景的制作要点。</w:t>
      </w:r>
    </w:p>
    <w:p>
      <w:pPr>
        <w:widowControl/>
        <w:snapToGrid w:val="0"/>
        <w:spacing w:line="360" w:lineRule="auto"/>
        <w:jc w:val="left"/>
        <w:rPr>
          <w:rFonts w:hAnsi="宋体"/>
          <w:kern w:val="0"/>
          <w:szCs w:val="21"/>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before="156" w:beforeLines="50" w:line="360" w:lineRule="auto"/>
              <w:ind w:firstLine="422"/>
              <w:rPr>
                <w:rFonts w:hAnsi="宋体"/>
                <w:b/>
                <w:bCs/>
                <w:szCs w:val="21"/>
              </w:rPr>
            </w:pPr>
            <w:r>
              <w:rPr>
                <w:rFonts w:hAnsi="宋体"/>
                <w:b/>
                <w:bCs/>
                <w:szCs w:val="21"/>
              </w:rPr>
              <w:t>第</w:t>
            </w:r>
            <w:r>
              <w:rPr>
                <w:rFonts w:hint="eastAsia" w:hAnsi="宋体"/>
                <w:b/>
                <w:bCs/>
                <w:szCs w:val="21"/>
              </w:rPr>
              <w:t>七</w:t>
            </w:r>
            <w:r>
              <w:rPr>
                <w:rFonts w:hAnsi="宋体"/>
                <w:b/>
                <w:bCs/>
                <w:szCs w:val="21"/>
              </w:rPr>
              <w:t>章</w:t>
            </w:r>
            <w:r>
              <w:rPr>
                <w:rFonts w:hint="eastAsia"/>
                <w:b/>
                <w:bCs/>
                <w:szCs w:val="21"/>
              </w:rPr>
              <w:t xml:space="preserve">  草花</w:t>
            </w:r>
            <w:r>
              <w:rPr>
                <w:rFonts w:hint="eastAsia"/>
                <w:b/>
                <w:bCs/>
              </w:rPr>
              <w:t>盆景创作</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pacing w:line="360" w:lineRule="auto"/>
        <w:rPr>
          <w:rFonts w:hAnsi="宋体"/>
          <w:b/>
          <w:bCs/>
          <w:kern w:val="0"/>
          <w:szCs w:val="21"/>
        </w:rPr>
      </w:pPr>
      <w:r>
        <w:rPr>
          <w:rFonts w:hint="eastAsia" w:ascii="宋体" w:hAnsi="宋体"/>
          <w:b/>
          <w:bCs/>
        </w:rPr>
        <w:t>教学目标：</w:t>
      </w:r>
      <w:r>
        <w:rPr>
          <w:rFonts w:hint="eastAsia"/>
        </w:rPr>
        <w:t>学习</w:t>
      </w:r>
      <w:r>
        <w:rPr>
          <w:rFonts w:hint="eastAsia"/>
          <w:kern w:val="0"/>
          <w:szCs w:val="21"/>
        </w:rPr>
        <w:t>草花</w:t>
      </w:r>
      <w:r>
        <w:rPr>
          <w:rFonts w:hint="eastAsia"/>
        </w:rPr>
        <w:t>盆景的制作理论与实践，综合应用各种</w:t>
      </w:r>
      <w:r>
        <w:rPr>
          <w:rFonts w:hint="eastAsia"/>
          <w:kern w:val="0"/>
          <w:szCs w:val="21"/>
        </w:rPr>
        <w:t>草花</w:t>
      </w:r>
      <w:r>
        <w:rPr>
          <w:rFonts w:hint="eastAsia"/>
        </w:rPr>
        <w:t>盆景要素制作盆景。</w:t>
      </w:r>
    </w:p>
    <w:p>
      <w:pPr>
        <w:spacing w:line="360" w:lineRule="auto"/>
      </w:pPr>
      <w:r>
        <w:rPr>
          <w:rFonts w:hint="eastAsia" w:ascii="宋体" w:hAnsi="宋体"/>
          <w:b/>
          <w:bCs/>
        </w:rPr>
        <w:t>教学重点和难点：</w:t>
      </w:r>
      <w:r>
        <w:rPr>
          <w:rFonts w:hint="eastAsia"/>
          <w:kern w:val="0"/>
          <w:szCs w:val="21"/>
        </w:rPr>
        <w:t>草花</w:t>
      </w:r>
      <w:r>
        <w:rPr>
          <w:rFonts w:hint="eastAsia"/>
        </w:rPr>
        <w:t>盆景的制作理论与实践，综合应用各种</w:t>
      </w:r>
      <w:r>
        <w:rPr>
          <w:rFonts w:hint="eastAsia"/>
          <w:kern w:val="0"/>
          <w:szCs w:val="21"/>
        </w:rPr>
        <w:t>草花</w:t>
      </w:r>
      <w:r>
        <w:rPr>
          <w:rFonts w:hint="eastAsia"/>
        </w:rPr>
        <w:t>盆景要素的能力。</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了解：中国盆景的基本技艺。</w:t>
      </w:r>
    </w:p>
    <w:p>
      <w:pPr>
        <w:spacing w:line="360" w:lineRule="auto"/>
        <w:ind w:firstLine="420" w:firstLineChars="200"/>
      </w:pPr>
      <w:r>
        <w:rPr>
          <w:rFonts w:hint="eastAsia"/>
        </w:rPr>
        <w:t>掌握：草花布局，掌握配植与点缀及盆景题名。</w:t>
      </w:r>
    </w:p>
    <w:p>
      <w:pPr>
        <w:spacing w:line="360" w:lineRule="auto"/>
        <w:ind w:firstLine="420" w:firstLineChars="200"/>
      </w:pPr>
      <w:r>
        <w:rPr>
          <w:rFonts w:hint="eastAsia"/>
        </w:rPr>
        <w:t>熟练掌握：</w:t>
      </w:r>
      <w:r>
        <w:rPr>
          <w:rFonts w:hint="eastAsia"/>
          <w:kern w:val="0"/>
          <w:szCs w:val="21"/>
        </w:rPr>
        <w:t>草花</w:t>
      </w:r>
      <w:r>
        <w:rPr>
          <w:rFonts w:hint="eastAsia"/>
        </w:rPr>
        <w:t>盆景制作技艺，熟练掌握几种特殊形式的草花盆景的制作要点。</w:t>
      </w:r>
    </w:p>
    <w:p>
      <w:pPr>
        <w:widowControl/>
        <w:snapToGrid w:val="0"/>
        <w:spacing w:line="360" w:lineRule="auto"/>
        <w:jc w:val="left"/>
        <w:rPr>
          <w:rFonts w:ascii="宋体" w:hAnsi="宋体"/>
          <w:szCs w:val="20"/>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before="156" w:beforeLines="50" w:line="360" w:lineRule="auto"/>
              <w:ind w:firstLine="422"/>
              <w:rPr>
                <w:rFonts w:hAnsi="宋体"/>
                <w:b/>
                <w:bCs/>
                <w:szCs w:val="21"/>
              </w:rPr>
            </w:pPr>
            <w:r>
              <w:rPr>
                <w:rFonts w:hAnsi="宋体"/>
                <w:b/>
                <w:bCs/>
                <w:szCs w:val="21"/>
              </w:rPr>
              <w:t>第</w:t>
            </w:r>
            <w:r>
              <w:rPr>
                <w:rFonts w:hint="eastAsia" w:hAnsi="宋体"/>
                <w:b/>
                <w:bCs/>
                <w:szCs w:val="21"/>
              </w:rPr>
              <w:t>八</w:t>
            </w:r>
            <w:r>
              <w:rPr>
                <w:rFonts w:hAnsi="宋体"/>
                <w:b/>
                <w:bCs/>
                <w:szCs w:val="21"/>
              </w:rPr>
              <w:t>章</w:t>
            </w:r>
            <w:r>
              <w:rPr>
                <w:rFonts w:hint="eastAsia"/>
                <w:b/>
                <w:bCs/>
                <w:szCs w:val="21"/>
              </w:rPr>
              <w:t xml:space="preserve">  挂壁</w:t>
            </w:r>
            <w:r>
              <w:rPr>
                <w:rFonts w:hint="eastAsia"/>
                <w:b/>
                <w:bCs/>
              </w:rPr>
              <w:t>盆景创作</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pacing w:line="360" w:lineRule="auto"/>
        <w:rPr>
          <w:rFonts w:hAnsi="宋体"/>
          <w:b/>
          <w:bCs/>
          <w:kern w:val="0"/>
          <w:szCs w:val="21"/>
        </w:rPr>
      </w:pPr>
      <w:r>
        <w:rPr>
          <w:rFonts w:hint="eastAsia" w:ascii="宋体" w:hAnsi="宋体"/>
          <w:b/>
          <w:bCs/>
        </w:rPr>
        <w:t>教学目标：</w:t>
      </w:r>
      <w:r>
        <w:rPr>
          <w:rFonts w:hint="eastAsia"/>
        </w:rPr>
        <w:t>学习挂壁盆景的制作理论与实践，综合应用各种挂壁盆景要素制作盆景。</w:t>
      </w:r>
    </w:p>
    <w:p>
      <w:pPr>
        <w:spacing w:line="360" w:lineRule="auto"/>
      </w:pPr>
      <w:r>
        <w:rPr>
          <w:rFonts w:hint="eastAsia" w:ascii="宋体" w:hAnsi="宋体"/>
          <w:b/>
          <w:bCs/>
        </w:rPr>
        <w:t>教学重点和难点：</w:t>
      </w:r>
      <w:r>
        <w:rPr>
          <w:rFonts w:hint="eastAsia"/>
        </w:rPr>
        <w:t>挂壁盆景的制作理论与实践，综合应用各种挂壁盆景要素的能力。</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了解：中国盆景的基本技艺，</w:t>
      </w:r>
    </w:p>
    <w:p>
      <w:pPr>
        <w:spacing w:line="360" w:lineRule="auto"/>
        <w:ind w:firstLine="420" w:firstLineChars="200"/>
      </w:pPr>
      <w:r>
        <w:rPr>
          <w:rFonts w:hint="eastAsia"/>
        </w:rPr>
        <w:t>掌握：配植与点缀及盆景题名。</w:t>
      </w:r>
    </w:p>
    <w:p>
      <w:pPr>
        <w:spacing w:line="360" w:lineRule="auto"/>
        <w:ind w:firstLine="420" w:firstLineChars="200"/>
      </w:pPr>
      <w:r>
        <w:rPr>
          <w:rFonts w:hint="eastAsia"/>
        </w:rPr>
        <w:t>熟练掌握：挂壁盆景制作技艺，熟练掌握几种特殊形式的挂壁盆景的制作要点。</w:t>
      </w:r>
    </w:p>
    <w:p>
      <w:pPr>
        <w:widowControl/>
        <w:snapToGrid w:val="0"/>
        <w:spacing w:line="360" w:lineRule="auto"/>
        <w:jc w:val="left"/>
        <w:rPr>
          <w:rFonts w:ascii="宋体" w:hAnsi="宋体"/>
          <w:szCs w:val="20"/>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before="156" w:beforeLines="50" w:line="360" w:lineRule="auto"/>
              <w:ind w:firstLine="422"/>
              <w:rPr>
                <w:rFonts w:hAnsi="宋体"/>
                <w:b/>
                <w:bCs/>
                <w:szCs w:val="21"/>
              </w:rPr>
            </w:pPr>
            <w:r>
              <w:rPr>
                <w:rFonts w:hAnsi="宋体"/>
                <w:b/>
                <w:bCs/>
                <w:szCs w:val="21"/>
              </w:rPr>
              <w:t>第</w:t>
            </w:r>
            <w:r>
              <w:rPr>
                <w:rFonts w:hint="eastAsia" w:hAnsi="宋体"/>
                <w:b/>
                <w:bCs/>
                <w:szCs w:val="21"/>
              </w:rPr>
              <w:t>九</w:t>
            </w:r>
            <w:r>
              <w:rPr>
                <w:rFonts w:hAnsi="宋体"/>
                <w:b/>
                <w:bCs/>
                <w:szCs w:val="21"/>
              </w:rPr>
              <w:t>章</w:t>
            </w:r>
            <w:r>
              <w:rPr>
                <w:rFonts w:hint="eastAsia"/>
                <w:b/>
                <w:bCs/>
                <w:szCs w:val="21"/>
              </w:rPr>
              <w:t xml:space="preserve">  世界盆景园</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数：2</w:t>
            </w:r>
          </w:p>
        </w:tc>
      </w:tr>
    </w:tbl>
    <w:p>
      <w:pPr>
        <w:spacing w:line="360" w:lineRule="auto"/>
        <w:rPr>
          <w:rFonts w:hAnsi="宋体"/>
          <w:b/>
          <w:bCs/>
          <w:kern w:val="0"/>
          <w:szCs w:val="21"/>
        </w:rPr>
      </w:pPr>
      <w:r>
        <w:rPr>
          <w:rFonts w:hint="eastAsia" w:ascii="宋体" w:hAnsi="宋体"/>
          <w:b/>
          <w:bCs/>
        </w:rPr>
        <w:t>教学目标：</w:t>
      </w:r>
      <w:r>
        <w:rPr>
          <w:rFonts w:hint="eastAsia"/>
        </w:rPr>
        <w:t>学习盆景</w:t>
      </w:r>
      <w:r>
        <w:rPr>
          <w:rStyle w:val="25"/>
          <w:rFonts w:hint="eastAsia"/>
          <w:szCs w:val="21"/>
        </w:rPr>
        <w:t>布展</w:t>
      </w:r>
      <w:r>
        <w:rPr>
          <w:rFonts w:hint="eastAsia"/>
        </w:rPr>
        <w:t>，盆景作品的养护与</w:t>
      </w:r>
      <w:r>
        <w:rPr>
          <w:rStyle w:val="25"/>
          <w:rFonts w:hint="eastAsia"/>
          <w:szCs w:val="21"/>
        </w:rPr>
        <w:t>管理原理与方法</w:t>
      </w:r>
      <w:r>
        <w:rPr>
          <w:rFonts w:hint="eastAsia"/>
        </w:rPr>
        <w:t>。</w:t>
      </w:r>
    </w:p>
    <w:p>
      <w:pPr>
        <w:spacing w:line="360" w:lineRule="auto"/>
      </w:pPr>
      <w:r>
        <w:rPr>
          <w:rFonts w:hint="eastAsia" w:ascii="宋体" w:hAnsi="宋体"/>
          <w:b/>
          <w:bCs/>
        </w:rPr>
        <w:t>教学重点和难点：</w:t>
      </w:r>
      <w:r>
        <w:rPr>
          <w:rFonts w:hint="eastAsia" w:ascii="宋体" w:hAnsi="宋体"/>
        </w:rPr>
        <w:t>重点是</w:t>
      </w:r>
      <w:r>
        <w:rPr>
          <w:rFonts w:hint="eastAsia"/>
        </w:rPr>
        <w:t>盆景</w:t>
      </w:r>
      <w:r>
        <w:rPr>
          <w:rStyle w:val="25"/>
          <w:rFonts w:hint="eastAsia"/>
          <w:szCs w:val="21"/>
        </w:rPr>
        <w:t>布展</w:t>
      </w:r>
      <w:r>
        <w:rPr>
          <w:rFonts w:hint="eastAsia"/>
        </w:rPr>
        <w:t>，难点是盆景作品的养护与</w:t>
      </w:r>
      <w:r>
        <w:rPr>
          <w:rStyle w:val="25"/>
          <w:rFonts w:hint="eastAsia"/>
          <w:szCs w:val="21"/>
        </w:rPr>
        <w:t>管理原理与方法</w:t>
      </w:r>
      <w:r>
        <w:rPr>
          <w:rFonts w:hint="eastAsia"/>
        </w:rPr>
        <w:t>。</w:t>
      </w:r>
    </w:p>
    <w:p>
      <w:pPr>
        <w:spacing w:line="360" w:lineRule="auto"/>
        <w:rPr>
          <w:rFonts w:ascii="宋体" w:hAnsi="宋体"/>
          <w:b/>
        </w:rPr>
      </w:pPr>
      <w:r>
        <w:rPr>
          <w:rFonts w:hint="eastAsia" w:ascii="宋体" w:hAnsi="宋体"/>
          <w:b/>
        </w:rPr>
        <w:t>主要教学内容及要求：</w:t>
      </w:r>
    </w:p>
    <w:p>
      <w:pPr>
        <w:spacing w:line="360" w:lineRule="auto"/>
        <w:ind w:firstLine="420" w:firstLineChars="200"/>
      </w:pPr>
      <w:r>
        <w:rPr>
          <w:rFonts w:hint="eastAsia"/>
        </w:rPr>
        <w:t>了解：盆景布展.</w:t>
      </w:r>
    </w:p>
    <w:p>
      <w:pPr>
        <w:spacing w:line="360" w:lineRule="auto"/>
        <w:ind w:firstLine="420" w:firstLineChars="200"/>
      </w:pPr>
      <w:r>
        <w:rPr>
          <w:rFonts w:hint="eastAsia"/>
        </w:rPr>
        <w:t>熟练掌握：盆景作品的养护与</w:t>
      </w:r>
      <w:r>
        <w:rPr>
          <w:rStyle w:val="25"/>
          <w:rFonts w:hint="eastAsia"/>
          <w:szCs w:val="21"/>
        </w:rPr>
        <w:t>管理原理与方法</w:t>
      </w:r>
      <w:r>
        <w:rPr>
          <w:rFonts w:hint="eastAsia"/>
        </w:rPr>
        <w:t>。</w:t>
      </w:r>
    </w:p>
    <w:p>
      <w:pPr>
        <w:widowControl/>
        <w:snapToGrid w:val="0"/>
        <w:spacing w:line="360" w:lineRule="auto"/>
        <w:jc w:val="left"/>
        <w:rPr>
          <w:rFonts w:hAnsi="宋体"/>
          <w:kern w:val="0"/>
          <w:szCs w:val="21"/>
        </w:rPr>
      </w:pPr>
      <w:r>
        <w:rPr>
          <w:rFonts w:hint="eastAsia" w:ascii="宋体" w:hAnsi="宋体"/>
          <w:b/>
          <w:bCs/>
        </w:rPr>
        <w:t>教学组织与实施：</w:t>
      </w:r>
      <w:r>
        <w:rPr>
          <w:rFonts w:hint="eastAsia" w:ascii="宋体" w:hAnsi="宋体"/>
          <w:szCs w:val="20"/>
        </w:rPr>
        <w:t>本次教学过程中，实践与理论相结合。理论讲解后，进行课堂演示（或者视频演示）。组织学生进行进一步分享讨论。</w:t>
      </w:r>
    </w:p>
    <w:p>
      <w:pPr>
        <w:widowControl/>
        <w:snapToGrid w:val="0"/>
        <w:spacing w:before="156" w:beforeLines="50" w:line="360" w:lineRule="auto"/>
        <w:rPr>
          <w:rFonts w:hAnsi="宋体"/>
          <w:bCs/>
          <w:kern w:val="0"/>
          <w:szCs w:val="21"/>
        </w:rPr>
      </w:pPr>
      <w:r>
        <w:rPr>
          <w:rFonts w:hint="eastAsia" w:hAnsi="宋体"/>
          <w:b/>
          <w:bCs/>
          <w:kern w:val="0"/>
          <w:szCs w:val="21"/>
        </w:rPr>
        <w:t>五</w:t>
      </w:r>
      <w:r>
        <w:rPr>
          <w:rFonts w:hAnsi="宋体"/>
          <w:b/>
          <w:bCs/>
          <w:kern w:val="0"/>
          <w:szCs w:val="21"/>
        </w:rPr>
        <w:t>、实验教学内容及学时分配</w:t>
      </w:r>
      <w:r>
        <w:rPr>
          <w:rFonts w:hint="eastAsia" w:hAnsi="宋体"/>
          <w:b/>
          <w:bCs/>
          <w:kern w:val="0"/>
          <w:szCs w:val="21"/>
        </w:rPr>
        <w:t>（</w:t>
      </w:r>
      <w:r>
        <w:rPr>
          <w:rFonts w:hAnsi="宋体"/>
          <w:b/>
          <w:bCs/>
          <w:kern w:val="0"/>
          <w:szCs w:val="21"/>
        </w:rPr>
        <w:t>12学时</w:t>
      </w:r>
      <w:r>
        <w:rPr>
          <w:rFonts w:hint="eastAsia" w:hAnsi="宋体"/>
          <w:b/>
          <w:bCs/>
          <w:kern w:val="0"/>
          <w:szCs w:val="21"/>
        </w:rPr>
        <w:t>）</w:t>
      </w:r>
    </w:p>
    <w:p>
      <w:pPr>
        <w:rPr>
          <w:b/>
        </w:rPr>
      </w:pPr>
      <w:r>
        <w:rPr>
          <w:rFonts w:hint="eastAsia"/>
          <w:b/>
        </w:rPr>
        <w:t>（一）实验课程简介</w:t>
      </w:r>
    </w:p>
    <w:p>
      <w:pPr>
        <w:spacing w:line="360" w:lineRule="auto"/>
        <w:ind w:firstLine="420"/>
      </w:pPr>
      <w:r>
        <w:rPr>
          <w:rFonts w:hint="eastAsia"/>
        </w:rPr>
        <w:t>盆景学是园艺专业的选修课，主要讲授盆景的概念，中国盆景的发展历史，中国盆景的流派及其艺术风格，盆景的常</w:t>
      </w:r>
      <w:r>
        <w:rPr>
          <w:rFonts w:hint="eastAsia" w:ascii="Microsoft JhengHei" w:hAnsi="Microsoft JhengHei" w:eastAsia="Microsoft JhengHei" w:cs="Microsoft JhengHei"/>
        </w:rPr>
        <w:t>⽤</w:t>
      </w:r>
      <w:r>
        <w:rPr>
          <w:rFonts w:hint="eastAsia" w:ascii="宋体" w:hAnsi="宋体" w:cs="宋体"/>
        </w:rPr>
        <w:t>树种，盆景的陈设与欣赏。实验教学是盆景学课程的重要教学环节，设立了</w:t>
      </w:r>
      <w:r>
        <w:t>7</w:t>
      </w:r>
      <w:r>
        <w:rPr>
          <w:rFonts w:hint="eastAsia"/>
        </w:rPr>
        <w:t>个实验项目。通过实验教学，使学生掌握盆景的创作过程及其</w:t>
      </w:r>
      <w:r>
        <w:rPr>
          <w:rFonts w:hint="eastAsia" w:ascii="Microsoft JhengHei" w:hAnsi="Microsoft JhengHei" w:eastAsia="Microsoft JhengHei" w:cs="Microsoft JhengHei"/>
        </w:rPr>
        <w:t>⽅</w:t>
      </w:r>
      <w:r>
        <w:rPr>
          <w:rFonts w:hint="eastAsia" w:ascii="宋体" w:hAnsi="宋体" w:cs="宋体"/>
        </w:rPr>
        <w:t>法，有利于盆景资源的拓展，实现盆景资源在高校学生中的普及方面具有重要意义，有利于提升学生盆景创作的技能，为从事盆景生产和经营管理打下基础。</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rPr>
          <w:rFonts w:hint="eastAsia"/>
        </w:rPr>
        <w:t>盆景学实验是《盆景学》课程教学过程中的重要环节，是对理论教学的重要补充和验证，是培养学生实践技能的重要途径。实验内容的安排以实用性为宗旨，以提高实践技能为目的，做到与理论教学相辅相承，互相促进，提高教学效果。主要学习要求为：</w:t>
      </w:r>
      <w:r>
        <w:rPr>
          <w:rFonts w:hint="eastAsia" w:ascii="宋体" w:hAnsi="宋体" w:cs="宋体"/>
        </w:rPr>
        <w:t>中国盆景的发展历史，中国盆景的流派及其艺术风格，盆景的创作过程，懂得品评与鉴赏盆景的优劣</w:t>
      </w:r>
      <w:r>
        <w:rPr>
          <w:rFonts w:hint="eastAsia"/>
        </w:rPr>
        <w:t>。</w:t>
      </w:r>
    </w:p>
    <w:p>
      <w:pPr>
        <w:snapToGrid w:val="0"/>
        <w:spacing w:line="360" w:lineRule="auto"/>
        <w:ind w:firstLine="420" w:firstLineChars="200"/>
      </w:pPr>
      <w:r>
        <w:rPr>
          <w:rFonts w:hint="eastAsia"/>
        </w:rPr>
        <w:t>学生应按照实验（操作）流程，准确选择实验材料和实验方法，合理操作，应用所学理论知识，分析实验中的各种现象和结果，认真撰写实验报告。</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本实验在让学生亲手创作盆景的同时培养学生科学研究态度及独立工作能力，为今后学习与工作打好基础。为此，在实验过程中必须严格遵守以下注意事项：</w:t>
      </w:r>
    </w:p>
    <w:p>
      <w:pPr>
        <w:snapToGrid w:val="0"/>
        <w:spacing w:line="360" w:lineRule="auto"/>
        <w:ind w:firstLine="420" w:firstLineChars="200"/>
      </w:pPr>
      <w:r>
        <w:rPr>
          <w:rFonts w:hint="eastAsia"/>
        </w:rPr>
        <w:t>（1）实验前必须结合课堂讲授的有关部分，认真预习指定的实验内容，并将实验内容步骤事先记录笔记本内，使实验能顺利进行。</w:t>
      </w:r>
    </w:p>
    <w:p>
      <w:pPr>
        <w:snapToGrid w:val="0"/>
        <w:spacing w:line="360" w:lineRule="auto"/>
        <w:ind w:firstLine="420" w:firstLineChars="200"/>
      </w:pPr>
      <w:r>
        <w:rPr>
          <w:rFonts w:hint="eastAsia"/>
        </w:rPr>
        <w:t>（2）实验室除用心听取指导老师讲解外，在实验过程中必须仔细认真和多动脑筋，实事求是的观察和分析问题，培养科学的研究态度。</w:t>
      </w:r>
    </w:p>
    <w:p>
      <w:pPr>
        <w:snapToGrid w:val="0"/>
        <w:spacing w:line="360" w:lineRule="auto"/>
        <w:ind w:firstLine="420" w:firstLineChars="200"/>
      </w:pPr>
      <w:r>
        <w:rPr>
          <w:rFonts w:hint="eastAsia"/>
        </w:rPr>
        <w:t>（3）保持实验室的整齐、清洁，不得随地吐痰或乱扔废物，实验结束后将所有仪器用品洗净并安放整齐。以养成科学的工作态度，值日生应负责扫地、抹桌等清洁工作。</w:t>
      </w:r>
    </w:p>
    <w:p>
      <w:pPr>
        <w:snapToGrid w:val="0"/>
        <w:spacing w:line="360" w:lineRule="auto"/>
        <w:ind w:firstLine="420" w:firstLineChars="200"/>
      </w:pPr>
      <w:r>
        <w:rPr>
          <w:rFonts w:hint="eastAsia"/>
        </w:rPr>
        <w:t>（4）爱护公物，节约药品及实验材料，按量取用，公用器材不得任意移动，如有损坏，立即报告指导教师，并填写仪器损失单。</w:t>
      </w:r>
    </w:p>
    <w:p>
      <w:pPr>
        <w:snapToGrid w:val="0"/>
        <w:spacing w:line="360" w:lineRule="auto"/>
        <w:ind w:firstLine="420" w:firstLineChars="200"/>
      </w:pPr>
      <w:r>
        <w:rPr>
          <w:rFonts w:hint="eastAsia"/>
        </w:rPr>
        <w:t>（5）实验室必须保持肃静，不得任意走动或高声谈笑。</w:t>
      </w:r>
    </w:p>
    <w:p>
      <w:pPr>
        <w:snapToGrid w:val="0"/>
        <w:spacing w:line="360" w:lineRule="auto"/>
        <w:ind w:firstLine="420" w:firstLineChars="200"/>
      </w:pPr>
      <w:r>
        <w:rPr>
          <w:rFonts w:hint="eastAsia"/>
        </w:rPr>
        <w:t>（6）实验结果需写成报告，实验报告，务必实事求是，根据自己实验的所得结果，简单扼要书写实验报告书。</w:t>
      </w:r>
    </w:p>
    <w:p>
      <w:pPr>
        <w:snapToGrid w:val="0"/>
        <w:spacing w:line="360" w:lineRule="auto"/>
        <w:rPr>
          <w:rFonts w:ascii="宋体" w:hAnsi="宋体"/>
          <w:b/>
          <w:bCs/>
          <w:szCs w:val="21"/>
        </w:rPr>
      </w:pPr>
      <w:r>
        <w:rPr>
          <w:rFonts w:hint="eastAsia" w:ascii="宋体" w:hAnsi="宋体"/>
          <w:b/>
          <w:bCs/>
          <w:szCs w:val="21"/>
        </w:rPr>
        <w:t>（四）实验项目名称与学时分配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3495"/>
        <w:gridCol w:w="720"/>
        <w:gridCol w:w="1140"/>
        <w:gridCol w:w="1020"/>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63" w:type="dxa"/>
            <w:tcBorders>
              <w:tl2br w:val="nil"/>
              <w:tr2bl w:val="nil"/>
            </w:tcBorders>
            <w:shd w:val="clear" w:color="auto" w:fill="EEECE1" w:themeFill="background2"/>
            <w:vAlign w:val="center"/>
          </w:tcPr>
          <w:p>
            <w:pPr>
              <w:spacing w:line="360" w:lineRule="auto"/>
              <w:ind w:firstLine="361"/>
              <w:jc w:val="center"/>
              <w:rPr>
                <w:rFonts w:ascii="宋体" w:hAnsi="宋体" w:cs="宋体"/>
                <w:b/>
                <w:bCs/>
                <w:sz w:val="18"/>
                <w:szCs w:val="18"/>
              </w:rPr>
            </w:pPr>
            <w:r>
              <w:rPr>
                <w:rFonts w:hint="eastAsia" w:ascii="宋体" w:hAnsi="宋体" w:cs="宋体"/>
                <w:b/>
                <w:bCs/>
                <w:sz w:val="18"/>
                <w:szCs w:val="18"/>
              </w:rPr>
              <w:t>序号</w:t>
            </w:r>
          </w:p>
        </w:tc>
        <w:tc>
          <w:tcPr>
            <w:tcW w:w="3495" w:type="dxa"/>
            <w:tcBorders>
              <w:tl2br w:val="nil"/>
              <w:tr2bl w:val="nil"/>
            </w:tcBorders>
            <w:shd w:val="clear" w:color="auto" w:fill="EEECE1" w:themeFill="background2"/>
            <w:vAlign w:val="center"/>
          </w:tcPr>
          <w:p>
            <w:pPr>
              <w:spacing w:line="360" w:lineRule="auto"/>
              <w:ind w:firstLine="361"/>
              <w:jc w:val="center"/>
              <w:rPr>
                <w:rFonts w:ascii="宋体" w:hAnsi="宋体" w:cs="宋体"/>
                <w:b/>
                <w:bCs/>
                <w:sz w:val="18"/>
                <w:szCs w:val="18"/>
              </w:rPr>
            </w:pPr>
            <w:r>
              <w:rPr>
                <w:rFonts w:hint="eastAsia" w:ascii="宋体" w:hAnsi="宋体" w:cs="宋体"/>
                <w:b/>
                <w:bCs/>
                <w:sz w:val="18"/>
                <w:szCs w:val="18"/>
              </w:rPr>
              <w:t>实验名称</w:t>
            </w:r>
          </w:p>
        </w:tc>
        <w:tc>
          <w:tcPr>
            <w:tcW w:w="720" w:type="dxa"/>
            <w:tcBorders>
              <w:tl2br w:val="nil"/>
              <w:tr2bl w:val="nil"/>
            </w:tcBorders>
            <w:shd w:val="clear" w:color="auto" w:fill="EEECE1" w:themeFill="background2"/>
            <w:vAlign w:val="center"/>
          </w:tcPr>
          <w:p>
            <w:pPr>
              <w:spacing w:line="360" w:lineRule="auto"/>
              <w:rPr>
                <w:rFonts w:ascii="宋体" w:hAnsi="宋体" w:cs="宋体"/>
                <w:b/>
                <w:bCs/>
                <w:sz w:val="18"/>
                <w:szCs w:val="18"/>
              </w:rPr>
            </w:pPr>
            <w:r>
              <w:rPr>
                <w:rFonts w:hint="eastAsia" w:ascii="宋体" w:hAnsi="宋体" w:cs="宋体"/>
                <w:b/>
                <w:bCs/>
                <w:sz w:val="18"/>
                <w:szCs w:val="18"/>
              </w:rPr>
              <w:t>学时</w:t>
            </w:r>
          </w:p>
        </w:tc>
        <w:tc>
          <w:tcPr>
            <w:tcW w:w="1140" w:type="dxa"/>
            <w:tcBorders>
              <w:tl2br w:val="nil"/>
              <w:tr2bl w:val="nil"/>
            </w:tcBorders>
            <w:shd w:val="clear" w:color="auto" w:fill="EEECE1" w:themeFill="background2"/>
            <w:vAlign w:val="center"/>
          </w:tcPr>
          <w:p>
            <w:pPr>
              <w:spacing w:line="360" w:lineRule="auto"/>
              <w:rPr>
                <w:rFonts w:ascii="宋体" w:hAnsi="宋体" w:cs="宋体"/>
                <w:b/>
                <w:bCs/>
                <w:sz w:val="18"/>
                <w:szCs w:val="18"/>
              </w:rPr>
            </w:pPr>
            <w:r>
              <w:rPr>
                <w:rFonts w:hint="eastAsia" w:ascii="宋体" w:hAnsi="宋体" w:cs="宋体"/>
                <w:b/>
                <w:bCs/>
                <w:sz w:val="18"/>
                <w:szCs w:val="18"/>
              </w:rPr>
              <w:t>类型</w:t>
            </w:r>
          </w:p>
        </w:tc>
        <w:tc>
          <w:tcPr>
            <w:tcW w:w="1020" w:type="dxa"/>
            <w:tcBorders>
              <w:tl2br w:val="nil"/>
              <w:tr2bl w:val="nil"/>
            </w:tcBorders>
            <w:shd w:val="clear" w:color="auto" w:fill="EEECE1" w:themeFill="background2"/>
            <w:vAlign w:val="center"/>
          </w:tcPr>
          <w:p>
            <w:pPr>
              <w:spacing w:line="360" w:lineRule="auto"/>
              <w:rPr>
                <w:rFonts w:ascii="宋体" w:hAnsi="宋体" w:cs="宋体"/>
                <w:b/>
                <w:bCs/>
                <w:sz w:val="18"/>
                <w:szCs w:val="18"/>
              </w:rPr>
            </w:pPr>
            <w:r>
              <w:rPr>
                <w:rFonts w:hint="eastAsia" w:ascii="宋体" w:hAnsi="宋体" w:cs="宋体"/>
                <w:b/>
                <w:bCs/>
                <w:sz w:val="18"/>
                <w:szCs w:val="18"/>
              </w:rPr>
              <w:t>实验要求</w:t>
            </w:r>
          </w:p>
        </w:tc>
        <w:tc>
          <w:tcPr>
            <w:tcW w:w="1108" w:type="dxa"/>
            <w:tcBorders>
              <w:tl2br w:val="nil"/>
              <w:tr2bl w:val="nil"/>
            </w:tcBorders>
            <w:shd w:val="clear" w:color="auto" w:fill="EEECE1" w:themeFill="background2"/>
            <w:vAlign w:val="center"/>
          </w:tcPr>
          <w:p>
            <w:pPr>
              <w:spacing w:line="360" w:lineRule="auto"/>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vAlign w:val="center"/>
          </w:tcPr>
          <w:p>
            <w:pPr>
              <w:spacing w:line="360" w:lineRule="auto"/>
              <w:ind w:firstLine="360"/>
              <w:rPr>
                <w:sz w:val="18"/>
                <w:szCs w:val="18"/>
              </w:rPr>
            </w:pPr>
            <w:r>
              <w:rPr>
                <w:sz w:val="18"/>
                <w:szCs w:val="18"/>
              </w:rPr>
              <w:t>19011124</w:t>
            </w:r>
            <w:r>
              <w:rPr>
                <w:rFonts w:hint="eastAsia"/>
                <w:sz w:val="18"/>
                <w:szCs w:val="18"/>
              </w:rPr>
              <w:t>01</w:t>
            </w:r>
          </w:p>
        </w:tc>
        <w:tc>
          <w:tcPr>
            <w:tcW w:w="3495" w:type="dxa"/>
            <w:tcBorders>
              <w:tl2br w:val="nil"/>
              <w:tr2bl w:val="nil"/>
            </w:tcBorders>
            <w:vAlign w:val="center"/>
          </w:tcPr>
          <w:p>
            <w:pPr>
              <w:spacing w:line="360" w:lineRule="auto"/>
              <w:ind w:firstLine="360"/>
              <w:jc w:val="center"/>
              <w:rPr>
                <w:sz w:val="18"/>
                <w:szCs w:val="18"/>
              </w:rPr>
            </w:pPr>
            <w:r>
              <w:rPr>
                <w:rFonts w:hint="eastAsia"/>
                <w:sz w:val="18"/>
                <w:szCs w:val="18"/>
              </w:rPr>
              <w:t>盆景的流派与型式的认识</w:t>
            </w:r>
          </w:p>
        </w:tc>
        <w:tc>
          <w:tcPr>
            <w:tcW w:w="720" w:type="dxa"/>
            <w:tcBorders>
              <w:tl2br w:val="nil"/>
              <w:tr2bl w:val="nil"/>
            </w:tcBorders>
            <w:vAlign w:val="center"/>
          </w:tcPr>
          <w:p>
            <w:pPr>
              <w:spacing w:line="360" w:lineRule="auto"/>
              <w:ind w:firstLine="360"/>
              <w:jc w:val="center"/>
              <w:rPr>
                <w:sz w:val="18"/>
                <w:szCs w:val="18"/>
              </w:rPr>
            </w:pPr>
            <w:r>
              <w:rPr>
                <w:rFonts w:hint="eastAsia"/>
                <w:sz w:val="18"/>
                <w:szCs w:val="18"/>
              </w:rPr>
              <w:t>2</w:t>
            </w:r>
          </w:p>
        </w:tc>
        <w:tc>
          <w:tcPr>
            <w:tcW w:w="1140" w:type="dxa"/>
            <w:tcBorders>
              <w:tl2br w:val="nil"/>
              <w:tr2bl w:val="nil"/>
            </w:tcBorders>
            <w:vAlign w:val="center"/>
          </w:tcPr>
          <w:p>
            <w:pPr>
              <w:spacing w:line="360" w:lineRule="auto"/>
              <w:ind w:firstLine="360"/>
              <w:jc w:val="center"/>
              <w:rPr>
                <w:sz w:val="18"/>
                <w:szCs w:val="18"/>
              </w:rPr>
            </w:pPr>
            <w:r>
              <w:rPr>
                <w:rFonts w:hint="eastAsia"/>
                <w:sz w:val="18"/>
                <w:szCs w:val="18"/>
              </w:rPr>
              <w:t>基础性</w:t>
            </w:r>
          </w:p>
        </w:tc>
        <w:tc>
          <w:tcPr>
            <w:tcW w:w="1020" w:type="dxa"/>
            <w:tcBorders>
              <w:tl2br w:val="nil"/>
              <w:tr2bl w:val="nil"/>
            </w:tcBorders>
            <w:vAlign w:val="center"/>
          </w:tcPr>
          <w:p>
            <w:pPr>
              <w:spacing w:line="360" w:lineRule="auto"/>
              <w:ind w:firstLine="360"/>
              <w:jc w:val="center"/>
              <w:rPr>
                <w:sz w:val="18"/>
                <w:szCs w:val="18"/>
              </w:rPr>
            </w:pPr>
            <w:r>
              <w:rPr>
                <w:rFonts w:hint="eastAsia"/>
                <w:sz w:val="18"/>
                <w:szCs w:val="18"/>
              </w:rPr>
              <w:t>必做</w:t>
            </w:r>
          </w:p>
        </w:tc>
        <w:tc>
          <w:tcPr>
            <w:tcW w:w="1108" w:type="dxa"/>
            <w:tcBorders>
              <w:tl2br w:val="nil"/>
              <w:tr2bl w:val="nil"/>
            </w:tcBorders>
          </w:tcPr>
          <w:p>
            <w:pPr>
              <w:spacing w:line="360" w:lineRule="auto"/>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vAlign w:val="center"/>
          </w:tcPr>
          <w:p>
            <w:pPr>
              <w:spacing w:line="360" w:lineRule="auto"/>
              <w:ind w:firstLine="360"/>
              <w:rPr>
                <w:sz w:val="18"/>
                <w:szCs w:val="18"/>
              </w:rPr>
            </w:pPr>
            <w:r>
              <w:rPr>
                <w:sz w:val="18"/>
                <w:szCs w:val="18"/>
              </w:rPr>
              <w:t>19011124</w:t>
            </w:r>
            <w:r>
              <w:rPr>
                <w:rFonts w:hint="eastAsia"/>
                <w:sz w:val="18"/>
                <w:szCs w:val="18"/>
              </w:rPr>
              <w:t>02</w:t>
            </w:r>
          </w:p>
        </w:tc>
        <w:tc>
          <w:tcPr>
            <w:tcW w:w="3495" w:type="dxa"/>
            <w:tcBorders>
              <w:tl2br w:val="nil"/>
              <w:tr2bl w:val="nil"/>
            </w:tcBorders>
            <w:vAlign w:val="center"/>
          </w:tcPr>
          <w:p>
            <w:pPr>
              <w:spacing w:line="360" w:lineRule="auto"/>
              <w:ind w:firstLine="360"/>
              <w:jc w:val="center"/>
              <w:rPr>
                <w:sz w:val="18"/>
                <w:szCs w:val="18"/>
              </w:rPr>
            </w:pPr>
            <w:r>
              <w:rPr>
                <w:rFonts w:hint="eastAsia"/>
                <w:sz w:val="18"/>
                <w:szCs w:val="18"/>
              </w:rPr>
              <w:t>盆景的树种及几架认识、盆景园参观</w:t>
            </w:r>
          </w:p>
        </w:tc>
        <w:tc>
          <w:tcPr>
            <w:tcW w:w="720" w:type="dxa"/>
            <w:tcBorders>
              <w:tl2br w:val="nil"/>
              <w:tr2bl w:val="nil"/>
            </w:tcBorders>
            <w:vAlign w:val="center"/>
          </w:tcPr>
          <w:p>
            <w:pPr>
              <w:spacing w:line="360" w:lineRule="auto"/>
              <w:ind w:firstLine="360"/>
              <w:jc w:val="center"/>
              <w:rPr>
                <w:sz w:val="18"/>
                <w:szCs w:val="18"/>
              </w:rPr>
            </w:pPr>
            <w:r>
              <w:rPr>
                <w:sz w:val="18"/>
                <w:szCs w:val="18"/>
              </w:rPr>
              <w:t>2</w:t>
            </w:r>
          </w:p>
        </w:tc>
        <w:tc>
          <w:tcPr>
            <w:tcW w:w="1140" w:type="dxa"/>
            <w:tcBorders>
              <w:tl2br w:val="nil"/>
              <w:tr2bl w:val="nil"/>
            </w:tcBorders>
            <w:vAlign w:val="center"/>
          </w:tcPr>
          <w:p>
            <w:pPr>
              <w:spacing w:line="360" w:lineRule="auto"/>
              <w:ind w:firstLine="360"/>
              <w:jc w:val="center"/>
              <w:rPr>
                <w:sz w:val="18"/>
                <w:szCs w:val="18"/>
              </w:rPr>
            </w:pPr>
            <w:r>
              <w:rPr>
                <w:rFonts w:hint="eastAsia"/>
                <w:sz w:val="18"/>
                <w:szCs w:val="18"/>
              </w:rPr>
              <w:t>基础性</w:t>
            </w:r>
          </w:p>
        </w:tc>
        <w:tc>
          <w:tcPr>
            <w:tcW w:w="1020" w:type="dxa"/>
            <w:tcBorders>
              <w:tl2br w:val="nil"/>
              <w:tr2bl w:val="nil"/>
            </w:tcBorders>
          </w:tcPr>
          <w:p>
            <w:pPr>
              <w:spacing w:line="360" w:lineRule="auto"/>
              <w:ind w:firstLine="360"/>
              <w:jc w:val="center"/>
              <w:rPr>
                <w:sz w:val="18"/>
                <w:szCs w:val="18"/>
              </w:rPr>
            </w:pPr>
            <w:r>
              <w:rPr>
                <w:rFonts w:hint="eastAsia"/>
                <w:sz w:val="18"/>
                <w:szCs w:val="18"/>
              </w:rPr>
              <w:t>必做</w:t>
            </w:r>
          </w:p>
        </w:tc>
        <w:tc>
          <w:tcPr>
            <w:tcW w:w="1108" w:type="dxa"/>
            <w:tcBorders>
              <w:tl2br w:val="nil"/>
              <w:tr2bl w:val="nil"/>
            </w:tcBorders>
          </w:tcPr>
          <w:p>
            <w:pPr>
              <w:spacing w:line="360" w:lineRule="auto"/>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vAlign w:val="center"/>
          </w:tcPr>
          <w:p>
            <w:pPr>
              <w:spacing w:line="360" w:lineRule="auto"/>
              <w:ind w:firstLine="360"/>
              <w:rPr>
                <w:sz w:val="18"/>
                <w:szCs w:val="18"/>
              </w:rPr>
            </w:pPr>
            <w:r>
              <w:rPr>
                <w:rFonts w:hint="eastAsia"/>
                <w:sz w:val="18"/>
                <w:szCs w:val="18"/>
              </w:rPr>
              <w:t>1</w:t>
            </w:r>
            <w:r>
              <w:rPr>
                <w:sz w:val="18"/>
                <w:szCs w:val="18"/>
              </w:rPr>
              <w:t>9011124</w:t>
            </w:r>
            <w:r>
              <w:rPr>
                <w:rFonts w:hint="eastAsia"/>
                <w:sz w:val="18"/>
                <w:szCs w:val="18"/>
              </w:rPr>
              <w:t>03</w:t>
            </w:r>
          </w:p>
        </w:tc>
        <w:tc>
          <w:tcPr>
            <w:tcW w:w="3495" w:type="dxa"/>
            <w:tcBorders>
              <w:tl2br w:val="nil"/>
              <w:tr2bl w:val="nil"/>
            </w:tcBorders>
            <w:vAlign w:val="center"/>
          </w:tcPr>
          <w:p>
            <w:pPr>
              <w:spacing w:line="360" w:lineRule="auto"/>
              <w:ind w:firstLine="360"/>
              <w:jc w:val="center"/>
              <w:rPr>
                <w:sz w:val="18"/>
                <w:szCs w:val="18"/>
              </w:rPr>
            </w:pPr>
            <w:r>
              <w:rPr>
                <w:rFonts w:hint="eastAsia"/>
                <w:sz w:val="18"/>
                <w:szCs w:val="18"/>
              </w:rPr>
              <w:t>盆景树桩的设计</w:t>
            </w:r>
          </w:p>
        </w:tc>
        <w:tc>
          <w:tcPr>
            <w:tcW w:w="720" w:type="dxa"/>
            <w:tcBorders>
              <w:tl2br w:val="nil"/>
              <w:tr2bl w:val="nil"/>
            </w:tcBorders>
            <w:vAlign w:val="center"/>
          </w:tcPr>
          <w:p>
            <w:pPr>
              <w:spacing w:line="360" w:lineRule="auto"/>
              <w:ind w:firstLine="360"/>
              <w:jc w:val="center"/>
              <w:rPr>
                <w:sz w:val="18"/>
                <w:szCs w:val="18"/>
              </w:rPr>
            </w:pPr>
            <w:r>
              <w:rPr>
                <w:rFonts w:hint="eastAsia"/>
                <w:sz w:val="18"/>
                <w:szCs w:val="18"/>
              </w:rPr>
              <w:t>2</w:t>
            </w:r>
          </w:p>
        </w:tc>
        <w:tc>
          <w:tcPr>
            <w:tcW w:w="1140" w:type="dxa"/>
            <w:tcBorders>
              <w:tl2br w:val="nil"/>
              <w:tr2bl w:val="nil"/>
            </w:tcBorders>
            <w:vAlign w:val="center"/>
          </w:tcPr>
          <w:p>
            <w:pPr>
              <w:spacing w:line="360" w:lineRule="auto"/>
              <w:ind w:firstLine="360"/>
              <w:jc w:val="center"/>
              <w:rPr>
                <w:sz w:val="18"/>
                <w:szCs w:val="18"/>
              </w:rPr>
            </w:pPr>
            <w:r>
              <w:rPr>
                <w:rFonts w:hint="eastAsia"/>
                <w:sz w:val="18"/>
                <w:szCs w:val="18"/>
              </w:rPr>
              <w:t>设计性</w:t>
            </w:r>
          </w:p>
        </w:tc>
        <w:tc>
          <w:tcPr>
            <w:tcW w:w="1020" w:type="dxa"/>
            <w:tcBorders>
              <w:tl2br w:val="nil"/>
              <w:tr2bl w:val="nil"/>
            </w:tcBorders>
          </w:tcPr>
          <w:p>
            <w:pPr>
              <w:spacing w:line="360" w:lineRule="auto"/>
              <w:ind w:firstLine="360"/>
              <w:jc w:val="center"/>
              <w:rPr>
                <w:sz w:val="18"/>
                <w:szCs w:val="18"/>
              </w:rPr>
            </w:pPr>
            <w:r>
              <w:rPr>
                <w:rFonts w:hint="eastAsia"/>
                <w:sz w:val="18"/>
                <w:szCs w:val="18"/>
              </w:rPr>
              <w:t>必做</w:t>
            </w:r>
          </w:p>
        </w:tc>
        <w:tc>
          <w:tcPr>
            <w:tcW w:w="1108" w:type="dxa"/>
            <w:tcBorders>
              <w:tl2br w:val="nil"/>
              <w:tr2bl w:val="nil"/>
            </w:tcBorders>
          </w:tcPr>
          <w:p>
            <w:pPr>
              <w:spacing w:line="360" w:lineRule="auto"/>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vAlign w:val="center"/>
          </w:tcPr>
          <w:p>
            <w:pPr>
              <w:spacing w:line="360" w:lineRule="auto"/>
              <w:ind w:firstLine="360"/>
              <w:rPr>
                <w:sz w:val="18"/>
                <w:szCs w:val="18"/>
              </w:rPr>
            </w:pPr>
            <w:r>
              <w:rPr>
                <w:sz w:val="18"/>
                <w:szCs w:val="18"/>
              </w:rPr>
              <w:t>19011124</w:t>
            </w:r>
            <w:r>
              <w:rPr>
                <w:rFonts w:hint="eastAsia"/>
                <w:sz w:val="18"/>
                <w:szCs w:val="18"/>
              </w:rPr>
              <w:t>04</w:t>
            </w:r>
          </w:p>
        </w:tc>
        <w:tc>
          <w:tcPr>
            <w:tcW w:w="3495" w:type="dxa"/>
            <w:tcBorders>
              <w:tl2br w:val="nil"/>
              <w:tr2bl w:val="nil"/>
            </w:tcBorders>
            <w:vAlign w:val="center"/>
          </w:tcPr>
          <w:p>
            <w:pPr>
              <w:spacing w:line="360" w:lineRule="auto"/>
              <w:ind w:firstLine="360"/>
              <w:jc w:val="center"/>
              <w:rPr>
                <w:sz w:val="18"/>
                <w:szCs w:val="18"/>
              </w:rPr>
            </w:pPr>
            <w:r>
              <w:rPr>
                <w:rFonts w:hint="eastAsia"/>
                <w:sz w:val="18"/>
                <w:szCs w:val="18"/>
              </w:rPr>
              <w:t>盆景的栽培与保养</w:t>
            </w:r>
          </w:p>
        </w:tc>
        <w:tc>
          <w:tcPr>
            <w:tcW w:w="720" w:type="dxa"/>
            <w:tcBorders>
              <w:tl2br w:val="nil"/>
              <w:tr2bl w:val="nil"/>
            </w:tcBorders>
            <w:vAlign w:val="center"/>
          </w:tcPr>
          <w:p>
            <w:pPr>
              <w:spacing w:line="360" w:lineRule="auto"/>
              <w:ind w:firstLine="360"/>
              <w:jc w:val="center"/>
              <w:rPr>
                <w:sz w:val="18"/>
                <w:szCs w:val="18"/>
              </w:rPr>
            </w:pPr>
            <w:r>
              <w:rPr>
                <w:sz w:val="18"/>
                <w:szCs w:val="18"/>
              </w:rPr>
              <w:t>2</w:t>
            </w:r>
          </w:p>
        </w:tc>
        <w:tc>
          <w:tcPr>
            <w:tcW w:w="1140" w:type="dxa"/>
            <w:tcBorders>
              <w:tl2br w:val="nil"/>
              <w:tr2bl w:val="nil"/>
            </w:tcBorders>
            <w:vAlign w:val="center"/>
          </w:tcPr>
          <w:p>
            <w:pPr>
              <w:spacing w:line="360" w:lineRule="auto"/>
              <w:ind w:firstLine="360"/>
              <w:jc w:val="center"/>
              <w:rPr>
                <w:sz w:val="18"/>
                <w:szCs w:val="18"/>
              </w:rPr>
            </w:pPr>
            <w:r>
              <w:rPr>
                <w:rFonts w:hint="eastAsia"/>
                <w:sz w:val="18"/>
                <w:szCs w:val="18"/>
              </w:rPr>
              <w:t>综合性</w:t>
            </w:r>
          </w:p>
        </w:tc>
        <w:tc>
          <w:tcPr>
            <w:tcW w:w="1020" w:type="dxa"/>
            <w:tcBorders>
              <w:tl2br w:val="nil"/>
              <w:tr2bl w:val="nil"/>
            </w:tcBorders>
          </w:tcPr>
          <w:p>
            <w:pPr>
              <w:spacing w:line="360" w:lineRule="auto"/>
              <w:ind w:firstLine="360"/>
              <w:jc w:val="center"/>
              <w:rPr>
                <w:sz w:val="18"/>
                <w:szCs w:val="18"/>
              </w:rPr>
            </w:pPr>
            <w:r>
              <w:rPr>
                <w:rFonts w:hint="eastAsia"/>
                <w:sz w:val="18"/>
                <w:szCs w:val="18"/>
              </w:rPr>
              <w:t>必做</w:t>
            </w:r>
          </w:p>
        </w:tc>
        <w:tc>
          <w:tcPr>
            <w:tcW w:w="1108" w:type="dxa"/>
            <w:tcBorders>
              <w:tl2br w:val="nil"/>
              <w:tr2bl w:val="nil"/>
            </w:tcBorders>
          </w:tcPr>
          <w:p>
            <w:pPr>
              <w:spacing w:line="360" w:lineRule="auto"/>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vAlign w:val="center"/>
          </w:tcPr>
          <w:p>
            <w:pPr>
              <w:spacing w:line="360" w:lineRule="auto"/>
              <w:ind w:firstLine="360"/>
              <w:rPr>
                <w:sz w:val="18"/>
                <w:szCs w:val="18"/>
              </w:rPr>
            </w:pPr>
            <w:r>
              <w:rPr>
                <w:sz w:val="18"/>
                <w:szCs w:val="18"/>
              </w:rPr>
              <w:t>19011124</w:t>
            </w:r>
            <w:r>
              <w:rPr>
                <w:rFonts w:hint="eastAsia"/>
                <w:sz w:val="18"/>
                <w:szCs w:val="18"/>
              </w:rPr>
              <w:t>05</w:t>
            </w:r>
          </w:p>
        </w:tc>
        <w:tc>
          <w:tcPr>
            <w:tcW w:w="3495" w:type="dxa"/>
            <w:tcBorders>
              <w:tl2br w:val="nil"/>
              <w:tr2bl w:val="nil"/>
            </w:tcBorders>
            <w:vAlign w:val="center"/>
          </w:tcPr>
          <w:p>
            <w:pPr>
              <w:spacing w:line="360" w:lineRule="auto"/>
              <w:ind w:firstLine="360"/>
              <w:jc w:val="center"/>
              <w:rPr>
                <w:sz w:val="18"/>
                <w:szCs w:val="18"/>
              </w:rPr>
            </w:pPr>
            <w:r>
              <w:rPr>
                <w:rFonts w:hint="eastAsia"/>
                <w:sz w:val="18"/>
                <w:szCs w:val="18"/>
              </w:rPr>
              <w:t>盆景的创作与修剪</w:t>
            </w:r>
          </w:p>
        </w:tc>
        <w:tc>
          <w:tcPr>
            <w:tcW w:w="720" w:type="dxa"/>
            <w:tcBorders>
              <w:tl2br w:val="nil"/>
              <w:tr2bl w:val="nil"/>
            </w:tcBorders>
            <w:vAlign w:val="center"/>
          </w:tcPr>
          <w:p>
            <w:pPr>
              <w:spacing w:line="360" w:lineRule="auto"/>
              <w:ind w:firstLine="360"/>
              <w:jc w:val="center"/>
              <w:rPr>
                <w:sz w:val="18"/>
                <w:szCs w:val="18"/>
              </w:rPr>
            </w:pPr>
            <w:r>
              <w:rPr>
                <w:rFonts w:hint="eastAsia"/>
                <w:sz w:val="18"/>
                <w:szCs w:val="18"/>
              </w:rPr>
              <w:t>2</w:t>
            </w:r>
          </w:p>
        </w:tc>
        <w:tc>
          <w:tcPr>
            <w:tcW w:w="1140" w:type="dxa"/>
            <w:tcBorders>
              <w:tl2br w:val="nil"/>
              <w:tr2bl w:val="nil"/>
            </w:tcBorders>
            <w:vAlign w:val="center"/>
          </w:tcPr>
          <w:p>
            <w:pPr>
              <w:spacing w:line="360" w:lineRule="auto"/>
              <w:ind w:firstLine="360"/>
              <w:jc w:val="center"/>
              <w:rPr>
                <w:sz w:val="18"/>
                <w:szCs w:val="18"/>
              </w:rPr>
            </w:pPr>
            <w:r>
              <w:rPr>
                <w:rFonts w:hint="eastAsia"/>
                <w:sz w:val="18"/>
                <w:szCs w:val="18"/>
              </w:rPr>
              <w:t>综合性</w:t>
            </w:r>
          </w:p>
        </w:tc>
        <w:tc>
          <w:tcPr>
            <w:tcW w:w="1020" w:type="dxa"/>
            <w:tcBorders>
              <w:tl2br w:val="nil"/>
              <w:tr2bl w:val="nil"/>
            </w:tcBorders>
          </w:tcPr>
          <w:p>
            <w:pPr>
              <w:spacing w:line="360" w:lineRule="auto"/>
              <w:ind w:firstLine="360"/>
              <w:jc w:val="center"/>
              <w:rPr>
                <w:sz w:val="18"/>
                <w:szCs w:val="18"/>
              </w:rPr>
            </w:pPr>
            <w:r>
              <w:rPr>
                <w:rFonts w:hint="eastAsia"/>
                <w:sz w:val="18"/>
                <w:szCs w:val="18"/>
              </w:rPr>
              <w:t>必做</w:t>
            </w:r>
          </w:p>
        </w:tc>
        <w:tc>
          <w:tcPr>
            <w:tcW w:w="1108" w:type="dxa"/>
            <w:tcBorders>
              <w:tl2br w:val="nil"/>
              <w:tr2bl w:val="nil"/>
            </w:tcBorders>
          </w:tcPr>
          <w:p>
            <w:pPr>
              <w:spacing w:line="360" w:lineRule="auto"/>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vAlign w:val="center"/>
          </w:tcPr>
          <w:p>
            <w:pPr>
              <w:spacing w:line="360" w:lineRule="auto"/>
              <w:ind w:firstLine="360"/>
              <w:rPr>
                <w:sz w:val="18"/>
                <w:szCs w:val="18"/>
              </w:rPr>
            </w:pPr>
            <w:r>
              <w:rPr>
                <w:sz w:val="18"/>
                <w:szCs w:val="18"/>
              </w:rPr>
              <w:t>19011124</w:t>
            </w:r>
            <w:r>
              <w:rPr>
                <w:rFonts w:hint="eastAsia"/>
                <w:sz w:val="18"/>
                <w:szCs w:val="18"/>
              </w:rPr>
              <w:t>06</w:t>
            </w:r>
          </w:p>
        </w:tc>
        <w:tc>
          <w:tcPr>
            <w:tcW w:w="3495" w:type="dxa"/>
            <w:tcBorders>
              <w:tl2br w:val="nil"/>
              <w:tr2bl w:val="nil"/>
            </w:tcBorders>
            <w:vAlign w:val="center"/>
          </w:tcPr>
          <w:p>
            <w:pPr>
              <w:spacing w:line="360" w:lineRule="auto"/>
              <w:ind w:firstLine="360"/>
              <w:jc w:val="center"/>
              <w:rPr>
                <w:sz w:val="18"/>
                <w:szCs w:val="18"/>
              </w:rPr>
            </w:pPr>
            <w:r>
              <w:rPr>
                <w:rFonts w:hint="eastAsia"/>
                <w:sz w:val="18"/>
                <w:szCs w:val="18"/>
              </w:rPr>
              <w:t>山水盆景的制作</w:t>
            </w:r>
          </w:p>
        </w:tc>
        <w:tc>
          <w:tcPr>
            <w:tcW w:w="720" w:type="dxa"/>
            <w:tcBorders>
              <w:tl2br w:val="nil"/>
              <w:tr2bl w:val="nil"/>
            </w:tcBorders>
            <w:vAlign w:val="center"/>
          </w:tcPr>
          <w:p>
            <w:pPr>
              <w:spacing w:line="360" w:lineRule="auto"/>
              <w:ind w:firstLine="360"/>
              <w:jc w:val="center"/>
              <w:rPr>
                <w:sz w:val="18"/>
                <w:szCs w:val="18"/>
              </w:rPr>
            </w:pPr>
            <w:r>
              <w:rPr>
                <w:sz w:val="18"/>
                <w:szCs w:val="18"/>
              </w:rPr>
              <w:t>2</w:t>
            </w:r>
          </w:p>
        </w:tc>
        <w:tc>
          <w:tcPr>
            <w:tcW w:w="1140" w:type="dxa"/>
            <w:tcBorders>
              <w:tl2br w:val="nil"/>
              <w:tr2bl w:val="nil"/>
            </w:tcBorders>
          </w:tcPr>
          <w:p>
            <w:pPr>
              <w:spacing w:line="360" w:lineRule="auto"/>
              <w:ind w:firstLine="360"/>
            </w:pPr>
            <w:r>
              <w:rPr>
                <w:rFonts w:hint="eastAsia"/>
                <w:sz w:val="18"/>
                <w:szCs w:val="18"/>
              </w:rPr>
              <w:t>设计性</w:t>
            </w:r>
          </w:p>
        </w:tc>
        <w:tc>
          <w:tcPr>
            <w:tcW w:w="1020" w:type="dxa"/>
            <w:tcBorders>
              <w:tl2br w:val="nil"/>
              <w:tr2bl w:val="nil"/>
            </w:tcBorders>
          </w:tcPr>
          <w:p>
            <w:pPr>
              <w:spacing w:line="360" w:lineRule="auto"/>
              <w:ind w:firstLine="360"/>
              <w:jc w:val="center"/>
              <w:rPr>
                <w:sz w:val="18"/>
                <w:szCs w:val="18"/>
              </w:rPr>
            </w:pPr>
            <w:r>
              <w:rPr>
                <w:rFonts w:hint="eastAsia"/>
                <w:sz w:val="18"/>
                <w:szCs w:val="18"/>
              </w:rPr>
              <w:t>必做</w:t>
            </w:r>
          </w:p>
        </w:tc>
        <w:tc>
          <w:tcPr>
            <w:tcW w:w="1108" w:type="dxa"/>
            <w:tcBorders>
              <w:tl2br w:val="nil"/>
              <w:tr2bl w:val="nil"/>
            </w:tcBorders>
          </w:tcPr>
          <w:p>
            <w:pPr>
              <w:spacing w:line="360" w:lineRule="auto"/>
              <w:ind w:firstLine="360"/>
              <w:jc w:val="center"/>
              <w:rPr>
                <w:sz w:val="18"/>
                <w:szCs w:val="18"/>
              </w:rPr>
            </w:pPr>
            <w:r>
              <w:rPr>
                <w:rFonts w:hint="eastAsia"/>
                <w:sz w:val="18"/>
                <w:szCs w:val="1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3" w:type="dxa"/>
            <w:tcBorders>
              <w:tl2br w:val="nil"/>
              <w:tr2bl w:val="nil"/>
            </w:tcBorders>
            <w:vAlign w:val="center"/>
          </w:tcPr>
          <w:p>
            <w:pPr>
              <w:spacing w:line="360" w:lineRule="auto"/>
              <w:ind w:firstLine="360"/>
              <w:rPr>
                <w:sz w:val="18"/>
                <w:szCs w:val="18"/>
              </w:rPr>
            </w:pPr>
            <w:r>
              <w:rPr>
                <w:sz w:val="18"/>
                <w:szCs w:val="18"/>
              </w:rPr>
              <w:t>19011124</w:t>
            </w:r>
            <w:r>
              <w:rPr>
                <w:rFonts w:hint="eastAsia"/>
                <w:sz w:val="18"/>
                <w:szCs w:val="18"/>
              </w:rPr>
              <w:t>07</w:t>
            </w:r>
          </w:p>
        </w:tc>
        <w:tc>
          <w:tcPr>
            <w:tcW w:w="3495" w:type="dxa"/>
            <w:tcBorders>
              <w:tl2br w:val="nil"/>
              <w:tr2bl w:val="nil"/>
            </w:tcBorders>
            <w:vAlign w:val="center"/>
          </w:tcPr>
          <w:p>
            <w:pPr>
              <w:spacing w:line="360" w:lineRule="auto"/>
              <w:ind w:firstLine="360"/>
              <w:jc w:val="center"/>
              <w:rPr>
                <w:sz w:val="18"/>
                <w:szCs w:val="18"/>
              </w:rPr>
            </w:pPr>
            <w:r>
              <w:rPr>
                <w:rFonts w:hint="eastAsia"/>
                <w:sz w:val="18"/>
                <w:szCs w:val="18"/>
              </w:rPr>
              <w:t>水旱盆景的创作</w:t>
            </w:r>
          </w:p>
        </w:tc>
        <w:tc>
          <w:tcPr>
            <w:tcW w:w="720" w:type="dxa"/>
            <w:tcBorders>
              <w:tl2br w:val="nil"/>
              <w:tr2bl w:val="nil"/>
            </w:tcBorders>
            <w:vAlign w:val="center"/>
          </w:tcPr>
          <w:p>
            <w:pPr>
              <w:spacing w:line="360" w:lineRule="auto"/>
              <w:ind w:firstLine="360"/>
              <w:jc w:val="center"/>
              <w:rPr>
                <w:sz w:val="18"/>
                <w:szCs w:val="18"/>
              </w:rPr>
            </w:pPr>
            <w:r>
              <w:rPr>
                <w:rFonts w:hint="eastAsia"/>
                <w:sz w:val="18"/>
                <w:szCs w:val="18"/>
              </w:rPr>
              <w:t>2</w:t>
            </w:r>
          </w:p>
        </w:tc>
        <w:tc>
          <w:tcPr>
            <w:tcW w:w="1140" w:type="dxa"/>
            <w:tcBorders>
              <w:tl2br w:val="nil"/>
              <w:tr2bl w:val="nil"/>
            </w:tcBorders>
          </w:tcPr>
          <w:p>
            <w:pPr>
              <w:spacing w:line="360" w:lineRule="auto"/>
              <w:ind w:firstLine="360"/>
            </w:pPr>
            <w:r>
              <w:rPr>
                <w:rFonts w:hint="eastAsia"/>
                <w:sz w:val="18"/>
                <w:szCs w:val="18"/>
              </w:rPr>
              <w:t>设计性</w:t>
            </w:r>
          </w:p>
        </w:tc>
        <w:tc>
          <w:tcPr>
            <w:tcW w:w="1020" w:type="dxa"/>
            <w:tcBorders>
              <w:tl2br w:val="nil"/>
              <w:tr2bl w:val="nil"/>
            </w:tcBorders>
          </w:tcPr>
          <w:p>
            <w:pPr>
              <w:spacing w:line="360" w:lineRule="auto"/>
              <w:ind w:firstLine="360"/>
              <w:jc w:val="center"/>
              <w:rPr>
                <w:sz w:val="18"/>
                <w:szCs w:val="18"/>
              </w:rPr>
            </w:pPr>
            <w:r>
              <w:rPr>
                <w:rFonts w:hint="eastAsia"/>
                <w:sz w:val="18"/>
                <w:szCs w:val="18"/>
              </w:rPr>
              <w:t>选做</w:t>
            </w:r>
          </w:p>
        </w:tc>
        <w:tc>
          <w:tcPr>
            <w:tcW w:w="1108" w:type="dxa"/>
            <w:tcBorders>
              <w:tl2br w:val="nil"/>
              <w:tr2bl w:val="nil"/>
            </w:tcBorders>
          </w:tcPr>
          <w:p>
            <w:pPr>
              <w:spacing w:line="360" w:lineRule="auto"/>
              <w:ind w:firstLine="360"/>
              <w:jc w:val="center"/>
              <w:rPr>
                <w:sz w:val="18"/>
                <w:szCs w:val="18"/>
              </w:rPr>
            </w:pPr>
            <w:r>
              <w:rPr>
                <w:rFonts w:hint="eastAsia"/>
                <w:sz w:val="18"/>
                <w:szCs w:val="18"/>
              </w:rPr>
              <w:t>5-6</w:t>
            </w:r>
          </w:p>
        </w:tc>
      </w:tr>
    </w:tbl>
    <w:p>
      <w:pPr>
        <w:snapToGrid w:val="0"/>
        <w:spacing w:before="156" w:beforeLines="50" w:line="360" w:lineRule="auto"/>
        <w:rPr>
          <w:rFonts w:ascii="宋体" w:hAnsi="宋体"/>
          <w:b/>
          <w:bCs/>
          <w:szCs w:val="21"/>
        </w:rPr>
      </w:pPr>
      <w:r>
        <w:rPr>
          <w:rFonts w:hint="eastAsia" w:ascii="宋体" w:hAnsi="宋体"/>
          <w:b/>
          <w:bCs/>
          <w:szCs w:val="21"/>
        </w:rPr>
        <w:t>（五）实验方式及基本要求</w:t>
      </w:r>
    </w:p>
    <w:p>
      <w:pPr>
        <w:snapToGrid w:val="0"/>
        <w:spacing w:line="360" w:lineRule="auto"/>
        <w:ind w:firstLine="420" w:firstLineChars="200"/>
        <w:rPr>
          <w:rFonts w:ascii="宋体" w:hAnsi="宋体"/>
          <w:bCs/>
          <w:szCs w:val="21"/>
        </w:rPr>
      </w:pPr>
      <w:r>
        <w:rPr>
          <w:rFonts w:hint="eastAsia" w:ascii="宋体" w:hAnsi="宋体"/>
          <w:bCs/>
          <w:szCs w:val="21"/>
        </w:rPr>
        <w:t>实验采用室内与室外相结合方式进行，基础性实验在实验室或室外进行，综合性实验主要在公园、花卉市场和花卉生产企业进行，实验课程要求为：理解实验原理及实验方案，掌握正确操作规程；掌握各种仪器的使用，《盆景学》实验分为</w:t>
      </w:r>
      <w:r>
        <w:rPr>
          <w:rFonts w:ascii="宋体" w:hAnsi="宋体"/>
          <w:bCs/>
          <w:szCs w:val="21"/>
        </w:rPr>
        <w:t>7</w:t>
      </w:r>
      <w:r>
        <w:rPr>
          <w:rFonts w:hint="eastAsia" w:ascii="宋体" w:hAnsi="宋体"/>
          <w:bCs/>
          <w:szCs w:val="21"/>
        </w:rPr>
        <w:t>个项目，1</w:t>
      </w:r>
      <w:r>
        <w:rPr>
          <w:rFonts w:ascii="宋体" w:hAnsi="宋体"/>
          <w:bCs/>
          <w:szCs w:val="21"/>
        </w:rPr>
        <w:t>2</w:t>
      </w:r>
      <w:r>
        <w:rPr>
          <w:rFonts w:hint="eastAsia" w:ascii="宋体" w:hAnsi="宋体"/>
          <w:bCs/>
          <w:szCs w:val="21"/>
        </w:rPr>
        <w:t>学时，其中</w:t>
      </w:r>
      <w:r>
        <w:rPr>
          <w:rFonts w:ascii="宋体" w:hAnsi="宋体"/>
          <w:bCs/>
          <w:szCs w:val="21"/>
        </w:rPr>
        <w:t>6</w:t>
      </w:r>
      <w:r>
        <w:rPr>
          <w:rFonts w:hint="eastAsia" w:ascii="宋体" w:hAnsi="宋体"/>
          <w:bCs/>
          <w:szCs w:val="21"/>
        </w:rPr>
        <w:t>个必做实验、</w:t>
      </w:r>
      <w:r>
        <w:rPr>
          <w:rFonts w:ascii="宋体" w:hAnsi="宋体"/>
          <w:bCs/>
          <w:szCs w:val="21"/>
        </w:rPr>
        <w:t>1</w:t>
      </w:r>
      <w:r>
        <w:rPr>
          <w:rFonts w:hint="eastAsia" w:ascii="宋体" w:hAnsi="宋体"/>
          <w:bCs/>
          <w:szCs w:val="21"/>
        </w:rPr>
        <w:t>个选做实验。通过盆景学实验方法或技能的学习，使学生掌握</w:t>
      </w:r>
      <w:r>
        <w:rPr>
          <w:rFonts w:hint="eastAsia" w:ascii="宋体" w:hAnsi="宋体" w:cs="宋体"/>
        </w:rPr>
        <w:t>中国盆景的发展历史，中国盆景的流派及其艺术风格，掌握几种常见盆景的</w:t>
      </w:r>
      <w:r>
        <w:rPr>
          <w:rFonts w:hint="eastAsia" w:ascii="宋体" w:hAnsi="宋体"/>
          <w:bCs/>
          <w:szCs w:val="21"/>
        </w:rPr>
        <w:t>技能。</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实验一</w:t>
      </w:r>
      <w:r>
        <w:rPr>
          <w:rFonts w:hint="eastAsia" w:asciiTheme="minorEastAsia" w:hAnsiTheme="minorEastAsia" w:eastAsiaTheme="minorEastAsia"/>
          <w:b/>
          <w:sz w:val="21"/>
          <w:szCs w:val="21"/>
        </w:rPr>
        <w:t>】盆景的流派与型式的认识</w:t>
      </w:r>
    </w:p>
    <w:p>
      <w:pPr>
        <w:snapToGrid w:val="0"/>
        <w:spacing w:line="360" w:lineRule="auto"/>
        <w:ind w:firstLine="422" w:firstLineChars="200"/>
      </w:pPr>
      <w:r>
        <w:rPr>
          <w:rFonts w:hint="eastAsia"/>
          <w:b/>
          <w:szCs w:val="21"/>
        </w:rPr>
        <w:t>1.实验学时：</w:t>
      </w:r>
      <w:r>
        <w:rPr>
          <w:rFonts w:hint="eastAsia"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rPr>
        <w:t>认识中国盆景的主要流派及其特点，掌握岭南盆景的基本形式，风格特点和枝法。</w:t>
      </w:r>
    </w:p>
    <w:p>
      <w:pPr>
        <w:snapToGrid w:val="0"/>
        <w:spacing w:line="360" w:lineRule="auto"/>
        <w:ind w:firstLine="422" w:firstLineChars="200"/>
        <w:rPr>
          <w:rFonts w:ascii="宋体" w:hAnsi="宋体"/>
          <w:bCs/>
          <w:szCs w:val="21"/>
        </w:rPr>
      </w:pPr>
      <w:r>
        <w:rPr>
          <w:rFonts w:hint="eastAsia"/>
          <w:b/>
          <w:szCs w:val="21"/>
        </w:rPr>
        <w:t>3.实验内容：</w:t>
      </w:r>
      <w:r>
        <w:rPr>
          <w:rFonts w:hint="eastAsia" w:ascii="宋体" w:hAnsi="宋体"/>
          <w:bCs/>
        </w:rPr>
        <w:t>中国盆景的主要流派（杨派、苏派、川派、海派、岭南派）；岭南盆景（岭南盆景的风格、基本形式）。</w:t>
      </w:r>
    </w:p>
    <w:p>
      <w:pPr>
        <w:snapToGrid w:val="0"/>
        <w:spacing w:line="360" w:lineRule="auto"/>
        <w:ind w:firstLine="422" w:firstLineChars="200"/>
        <w:rPr>
          <w:rFonts w:ascii="宋体" w:hAnsi="宋体"/>
          <w:bCs/>
          <w:szCs w:val="21"/>
        </w:rPr>
      </w:pPr>
      <w:r>
        <w:rPr>
          <w:rFonts w:hint="eastAsia"/>
          <w:b/>
          <w:szCs w:val="21"/>
        </w:rPr>
        <w:t>4.实验要求：</w:t>
      </w:r>
      <w:r>
        <w:rPr>
          <w:rFonts w:hint="eastAsia"/>
          <w:bCs/>
          <w:szCs w:val="21"/>
        </w:rPr>
        <w:t>实验</w:t>
      </w:r>
      <w:r>
        <w:rPr>
          <w:rFonts w:hint="eastAsia" w:ascii="宋体" w:hAnsi="宋体"/>
          <w:bCs/>
        </w:rPr>
        <w:t>完成后进行小结，比较各流派的风格特点与区别,并谈谈对岭南风景的认识。</w:t>
      </w:r>
    </w:p>
    <w:p>
      <w:pPr>
        <w:snapToGrid w:val="0"/>
        <w:spacing w:line="360" w:lineRule="auto"/>
        <w:ind w:firstLine="422" w:firstLineChars="200"/>
        <w:rPr>
          <w:rFonts w:ascii="宋体" w:hAnsi="宋体"/>
          <w:bCs/>
          <w:szCs w:val="21"/>
        </w:rPr>
      </w:pPr>
      <w:r>
        <w:rPr>
          <w:rFonts w:hint="eastAsia"/>
          <w:b/>
          <w:szCs w:val="21"/>
        </w:rPr>
        <w:t>5.实验设备及器材：</w:t>
      </w:r>
      <w:r>
        <w:rPr>
          <w:rFonts w:hint="eastAsia" w:ascii="宋体" w:hAnsi="宋体"/>
          <w:bCs/>
        </w:rPr>
        <w:t>皮尺、圈尺、计算机等。</w:t>
      </w:r>
    </w:p>
    <w:p>
      <w:pPr>
        <w:pStyle w:val="20"/>
        <w:snapToGrid w:val="0"/>
        <w:spacing w:before="156" w:beforeLines="5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二】盆景的树种及几架认识、盆景园参观</w:t>
      </w:r>
    </w:p>
    <w:p>
      <w:pPr>
        <w:snapToGrid w:val="0"/>
        <w:spacing w:line="360" w:lineRule="auto"/>
        <w:ind w:firstLine="422" w:firstLineChars="200"/>
      </w:pPr>
      <w:r>
        <w:rPr>
          <w:rFonts w:hint="eastAsia"/>
          <w:b/>
          <w:szCs w:val="21"/>
        </w:rPr>
        <w:t>1.实验学时：</w:t>
      </w:r>
      <w:r>
        <w:rPr>
          <w:rFonts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ascii="宋体" w:hAnsi="宋体"/>
          <w:bCs/>
        </w:rPr>
        <w:t>了解盆景园的环境要求，盆景园的基本要素、盆景园的日常管理，认识盆景的树种、盆景的几架及形式。</w:t>
      </w:r>
    </w:p>
    <w:p>
      <w:pPr>
        <w:snapToGrid w:val="0"/>
        <w:spacing w:line="360" w:lineRule="auto"/>
        <w:ind w:firstLine="422" w:firstLineChars="200"/>
        <w:rPr>
          <w:rFonts w:ascii="宋体" w:hAnsi="宋体"/>
          <w:bCs/>
          <w:szCs w:val="21"/>
        </w:rPr>
      </w:pPr>
      <w:r>
        <w:rPr>
          <w:rFonts w:hint="eastAsia"/>
          <w:b/>
          <w:szCs w:val="21"/>
        </w:rPr>
        <w:t>3.实验内容：</w:t>
      </w:r>
      <w:r>
        <w:rPr>
          <w:rFonts w:hint="eastAsia"/>
          <w:bCs/>
          <w:szCs w:val="21"/>
        </w:rPr>
        <w:t>认识</w:t>
      </w:r>
      <w:r>
        <w:rPr>
          <w:rFonts w:hint="eastAsia" w:ascii="宋体" w:hAnsi="宋体"/>
          <w:bCs/>
        </w:rPr>
        <w:t>常见的盆景树种，掌握几架及其应用，掌握盆景园的环境、盆景园的组成。</w:t>
      </w:r>
    </w:p>
    <w:p>
      <w:pPr>
        <w:snapToGrid w:val="0"/>
        <w:spacing w:line="360" w:lineRule="auto"/>
        <w:ind w:firstLine="422" w:firstLineChars="200"/>
        <w:rPr>
          <w:rFonts w:ascii="宋体" w:hAnsi="宋体"/>
          <w:bCs/>
        </w:rPr>
      </w:pPr>
      <w:r>
        <w:rPr>
          <w:rFonts w:hint="eastAsia"/>
          <w:b/>
          <w:szCs w:val="21"/>
        </w:rPr>
        <w:t>4.实验要求：</w:t>
      </w:r>
      <w:r>
        <w:rPr>
          <w:rFonts w:hint="eastAsia" w:ascii="宋体" w:hAnsi="宋体"/>
          <w:bCs/>
        </w:rPr>
        <w:t>外出参观实验期间一定注意安全；每一盆盆景都是花了很多汗水和辛劳修剪而成的，每一个枝条都寄托着制作者的情感和辛酸，因此参观期间请注意爱护好盆景，不要随便去动、摘、折盆景的枝条。</w:t>
      </w:r>
    </w:p>
    <w:p>
      <w:pPr>
        <w:snapToGrid w:val="0"/>
        <w:spacing w:line="360" w:lineRule="auto"/>
        <w:ind w:firstLine="422" w:firstLineChars="200"/>
        <w:rPr>
          <w:rFonts w:ascii="宋体" w:hAnsi="宋体"/>
          <w:bCs/>
        </w:rPr>
      </w:pPr>
      <w:r>
        <w:rPr>
          <w:rFonts w:hint="eastAsia"/>
          <w:b/>
          <w:szCs w:val="21"/>
        </w:rPr>
        <w:t>5.实验设备及器材：</w:t>
      </w:r>
      <w:r>
        <w:rPr>
          <w:rFonts w:hint="eastAsia" w:ascii="宋体" w:hAnsi="宋体"/>
          <w:bCs/>
        </w:rPr>
        <w:t>数码相机，放大镜，钢卷尺，直尺等。</w:t>
      </w:r>
    </w:p>
    <w:p>
      <w:pPr>
        <w:pStyle w:val="20"/>
        <w:snapToGrid w:val="0"/>
        <w:spacing w:before="156" w:beforeLines="5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三】盆景树桩的设计</w:t>
      </w:r>
    </w:p>
    <w:p>
      <w:pPr>
        <w:snapToGrid w:val="0"/>
        <w:spacing w:line="360" w:lineRule="auto"/>
        <w:ind w:firstLine="422" w:firstLineChars="200"/>
      </w:pPr>
      <w:r>
        <w:rPr>
          <w:rFonts w:hint="eastAsia"/>
          <w:b/>
          <w:szCs w:val="21"/>
        </w:rPr>
        <w:t>1.实验学时：</w:t>
      </w:r>
      <w:r>
        <w:rPr>
          <w:rFonts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bCs/>
          <w:szCs w:val="21"/>
        </w:rPr>
        <w:t>认识盆景的基本形式，掌握大树型，悬崖型等盆景型式的构思与创作方法。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bCs/>
          <w:szCs w:val="21"/>
        </w:rPr>
        <w:t>盆景常见的基本形式及其枝法特点，挑选树桩，设计与构思。</w:t>
      </w:r>
    </w:p>
    <w:p>
      <w:pPr>
        <w:snapToGrid w:val="0"/>
        <w:spacing w:line="360" w:lineRule="auto"/>
        <w:ind w:firstLine="422" w:firstLineChars="200"/>
        <w:rPr>
          <w:rFonts w:ascii="宋体" w:hAnsi="宋体"/>
          <w:bCs/>
        </w:rPr>
      </w:pPr>
      <w:r>
        <w:rPr>
          <w:rFonts w:hint="eastAsia"/>
          <w:b/>
          <w:szCs w:val="21"/>
        </w:rPr>
        <w:t>4.实验要求：</w:t>
      </w:r>
      <w:r>
        <w:rPr>
          <w:rFonts w:hint="eastAsia" w:ascii="宋体" w:hAnsi="宋体"/>
          <w:bCs/>
        </w:rPr>
        <w:t>分别以朴树、九里香、榆树的树桩为材料，独立设计树桩的构思效果图，写成设计性实验报告。</w:t>
      </w:r>
    </w:p>
    <w:p>
      <w:pPr>
        <w:snapToGrid w:val="0"/>
        <w:spacing w:line="360" w:lineRule="auto"/>
        <w:ind w:firstLine="422" w:firstLineChars="200"/>
        <w:rPr>
          <w:rFonts w:ascii="宋体" w:hAnsi="宋体"/>
          <w:bCs/>
        </w:rPr>
      </w:pPr>
      <w:r>
        <w:rPr>
          <w:rFonts w:hint="eastAsia"/>
          <w:b/>
          <w:szCs w:val="21"/>
        </w:rPr>
        <w:t>5.实验设备及器材：</w:t>
      </w:r>
      <w:r>
        <w:rPr>
          <w:rFonts w:hint="eastAsia"/>
          <w:bCs/>
          <w:szCs w:val="21"/>
        </w:rPr>
        <w:t>榆树，九里香、朴树等树种的树桩。</w:t>
      </w:r>
    </w:p>
    <w:p>
      <w:pPr>
        <w:pStyle w:val="20"/>
        <w:snapToGrid w:val="0"/>
        <w:spacing w:before="156" w:beforeLines="5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四】盆景的栽培与保养</w:t>
      </w:r>
    </w:p>
    <w:p>
      <w:pPr>
        <w:snapToGrid w:val="0"/>
        <w:spacing w:line="360" w:lineRule="auto"/>
        <w:ind w:firstLine="422" w:firstLineChars="200"/>
      </w:pPr>
      <w:r>
        <w:rPr>
          <w:rFonts w:hint="eastAsia"/>
          <w:b/>
          <w:szCs w:val="21"/>
        </w:rPr>
        <w:t>1.实验学时：</w:t>
      </w:r>
      <w:r>
        <w:rPr>
          <w:rFonts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bCs/>
          <w:szCs w:val="21"/>
        </w:rPr>
        <w:t>通过实验使学生了解和掌握盆景的基本栽培方法和日常的管理与保养方法。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bCs/>
          <w:szCs w:val="21"/>
        </w:rPr>
        <w:t>盆景树桩的栽培（树桩的改造、树桩的种植、培育、上盆栽植），盆景树桩的保养。</w:t>
      </w:r>
    </w:p>
    <w:p>
      <w:pPr>
        <w:snapToGrid w:val="0"/>
        <w:spacing w:line="360" w:lineRule="auto"/>
        <w:ind w:firstLine="422" w:firstLineChars="200"/>
        <w:rPr>
          <w:rFonts w:ascii="宋体" w:hAnsi="宋体"/>
          <w:bCs/>
        </w:rPr>
      </w:pPr>
      <w:r>
        <w:rPr>
          <w:rFonts w:hint="eastAsia"/>
          <w:b/>
          <w:szCs w:val="21"/>
        </w:rPr>
        <w:t>4.实验要求：</w:t>
      </w:r>
      <w:r>
        <w:rPr>
          <w:rFonts w:hint="eastAsia" w:ascii="宋体" w:hAnsi="宋体"/>
          <w:bCs/>
        </w:rPr>
        <w:t>掌握现有的九里香、榆树的盆景</w:t>
      </w:r>
      <w:r>
        <w:rPr>
          <w:rFonts w:hint="eastAsia"/>
          <w:bCs/>
          <w:szCs w:val="21"/>
        </w:rPr>
        <w:t>的栽培方法和日常的管理与保养，实验完成后进行小结，交一份实验报告。</w:t>
      </w:r>
    </w:p>
    <w:p>
      <w:pPr>
        <w:snapToGrid w:val="0"/>
        <w:spacing w:line="360" w:lineRule="auto"/>
        <w:ind w:firstLine="422" w:firstLineChars="200"/>
        <w:rPr>
          <w:rFonts w:ascii="宋体" w:hAnsi="宋体"/>
          <w:bCs/>
        </w:rPr>
      </w:pPr>
      <w:r>
        <w:rPr>
          <w:rFonts w:hint="eastAsia"/>
          <w:b/>
          <w:szCs w:val="21"/>
        </w:rPr>
        <w:t>5.实验设备及器材：</w:t>
      </w:r>
      <w:r>
        <w:rPr>
          <w:rFonts w:hint="eastAsia"/>
          <w:bCs/>
          <w:szCs w:val="21"/>
        </w:rPr>
        <w:t>榆树、九里香等树桩，手锯、枝剪、花洒、钳子等。</w:t>
      </w:r>
    </w:p>
    <w:p>
      <w:pPr>
        <w:pStyle w:val="20"/>
        <w:snapToGrid w:val="0"/>
        <w:spacing w:before="156" w:beforeLines="5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五】盆景的创作与修剪</w:t>
      </w:r>
    </w:p>
    <w:p>
      <w:pPr>
        <w:snapToGrid w:val="0"/>
        <w:spacing w:line="360" w:lineRule="auto"/>
        <w:ind w:firstLine="422" w:firstLineChars="200"/>
      </w:pPr>
      <w:r>
        <w:rPr>
          <w:rFonts w:hint="eastAsia"/>
          <w:b/>
          <w:szCs w:val="21"/>
        </w:rPr>
        <w:t>1.实验学时：</w:t>
      </w:r>
      <w:r>
        <w:rPr>
          <w:rFonts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bCs/>
          <w:szCs w:val="21"/>
        </w:rPr>
        <w:t>通过实验使学生了解和掌握盆景的基本栽培方法、创作方法，掌握盆景修剪的方法。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bCs/>
          <w:szCs w:val="21"/>
        </w:rPr>
        <w:t>树桩的挑选，树桩的改造，树桩的种植，培育，日常修剪。</w:t>
      </w:r>
    </w:p>
    <w:p>
      <w:pPr>
        <w:snapToGrid w:val="0"/>
        <w:spacing w:line="360" w:lineRule="auto"/>
        <w:ind w:firstLine="422" w:firstLineChars="200"/>
        <w:rPr>
          <w:rFonts w:ascii="宋体" w:hAnsi="宋体"/>
          <w:bCs/>
        </w:rPr>
      </w:pPr>
      <w:r>
        <w:rPr>
          <w:rFonts w:hint="eastAsia"/>
          <w:b/>
          <w:szCs w:val="21"/>
        </w:rPr>
        <w:t>4.实验要求：</w:t>
      </w:r>
      <w:r>
        <w:rPr>
          <w:rFonts w:hint="eastAsia"/>
          <w:bCs/>
          <w:szCs w:val="21"/>
        </w:rPr>
        <w:t>实验以小组进行，实验前各小组应先做一份开展实验的详细方案，交由老师批准后方可实施。实验完成后进行小结，写一份实验报告，并组织学生对创作的盆景进行品评。</w:t>
      </w:r>
    </w:p>
    <w:p>
      <w:pPr>
        <w:snapToGrid w:val="0"/>
        <w:spacing w:line="360" w:lineRule="auto"/>
        <w:ind w:firstLine="422" w:firstLineChars="200"/>
        <w:rPr>
          <w:rFonts w:ascii="宋体" w:hAnsi="宋体"/>
          <w:bCs/>
        </w:rPr>
      </w:pPr>
      <w:r>
        <w:rPr>
          <w:rFonts w:hint="eastAsia"/>
          <w:b/>
          <w:szCs w:val="21"/>
        </w:rPr>
        <w:t>5.实验设备及器材：</w:t>
      </w:r>
      <w:r>
        <w:rPr>
          <w:rFonts w:hint="eastAsia"/>
          <w:bCs/>
          <w:szCs w:val="21"/>
        </w:rPr>
        <w:t>榆树、九里香、雀梅等树桩，手锯、枝剪、花洒、钳子等。</w:t>
      </w:r>
    </w:p>
    <w:p>
      <w:pPr>
        <w:pStyle w:val="20"/>
        <w:snapToGrid w:val="0"/>
        <w:spacing w:before="156" w:beforeLines="5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六】山水盆景的制作</w:t>
      </w:r>
    </w:p>
    <w:p>
      <w:pPr>
        <w:snapToGrid w:val="0"/>
        <w:spacing w:line="360" w:lineRule="auto"/>
        <w:ind w:firstLine="422" w:firstLineChars="200"/>
      </w:pPr>
      <w:r>
        <w:rPr>
          <w:rFonts w:hint="eastAsia"/>
          <w:b/>
          <w:szCs w:val="21"/>
        </w:rPr>
        <w:t>1.实验学时：</w:t>
      </w:r>
      <w:r>
        <w:rPr>
          <w:rFonts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bCs/>
          <w:szCs w:val="21"/>
        </w:rPr>
        <w:t>通过实验，练习山水盆景的制作方法。</w:t>
      </w:r>
    </w:p>
    <w:p>
      <w:pPr>
        <w:snapToGrid w:val="0"/>
        <w:spacing w:line="360" w:lineRule="auto"/>
        <w:ind w:firstLine="422" w:firstLineChars="200"/>
        <w:rPr>
          <w:rFonts w:ascii="宋体" w:hAnsi="宋体"/>
          <w:bCs/>
          <w:szCs w:val="21"/>
        </w:rPr>
      </w:pPr>
      <w:r>
        <w:rPr>
          <w:rFonts w:hint="eastAsia"/>
          <w:b/>
          <w:szCs w:val="21"/>
        </w:rPr>
        <w:t>3.实验内容：</w:t>
      </w:r>
      <w:r>
        <w:rPr>
          <w:rFonts w:hint="eastAsia"/>
          <w:bCs/>
          <w:szCs w:val="21"/>
        </w:rPr>
        <w:t>选石（用料主要是英石，属硬石，雕琢困难，因此主要放在选石上），胶合（主峰胶合，整体胶合），配景。</w:t>
      </w:r>
    </w:p>
    <w:p>
      <w:pPr>
        <w:snapToGrid w:val="0"/>
        <w:spacing w:line="360" w:lineRule="auto"/>
        <w:ind w:firstLine="422" w:firstLineChars="200"/>
        <w:rPr>
          <w:rFonts w:ascii="宋体" w:hAnsi="宋体"/>
          <w:bCs/>
        </w:rPr>
      </w:pPr>
      <w:r>
        <w:rPr>
          <w:rFonts w:hint="eastAsia"/>
          <w:b/>
          <w:szCs w:val="21"/>
        </w:rPr>
        <w:t>4.实验要求：</w:t>
      </w:r>
      <w:r>
        <w:rPr>
          <w:rFonts w:hint="eastAsia"/>
          <w:bCs/>
          <w:szCs w:val="21"/>
        </w:rPr>
        <w:t>实验以小组进行，实验完成后进行小结，写一份实验报告，并组织学生对创作的山水盆景进行品评。</w:t>
      </w:r>
    </w:p>
    <w:p>
      <w:pPr>
        <w:snapToGrid w:val="0"/>
        <w:spacing w:line="360" w:lineRule="auto"/>
        <w:ind w:firstLine="422" w:firstLineChars="200"/>
        <w:rPr>
          <w:rFonts w:ascii="宋体" w:hAnsi="宋体"/>
          <w:bCs/>
        </w:rPr>
      </w:pPr>
      <w:r>
        <w:rPr>
          <w:rFonts w:hint="eastAsia"/>
          <w:b/>
          <w:szCs w:val="21"/>
        </w:rPr>
        <w:t>5.实验设备及器材：</w:t>
      </w:r>
      <w:r>
        <w:rPr>
          <w:rFonts w:hint="eastAsia"/>
          <w:bCs/>
          <w:szCs w:val="21"/>
        </w:rPr>
        <w:t>英石、水泥、沙石等，锤子、小铲、钳、手锯、枝剪等。</w:t>
      </w:r>
    </w:p>
    <w:p>
      <w:pPr>
        <w:pStyle w:val="20"/>
        <w:snapToGrid w:val="0"/>
        <w:spacing w:before="156" w:beforeLines="50" w:beforeAutospacing="0" w:after="0" w:afterAutospacing="0" w:line="360" w:lineRule="auto"/>
        <w:ind w:firstLine="422"/>
        <w:rPr>
          <w:rFonts w:asciiTheme="minorEastAsia" w:hAnsiTheme="minorEastAsia" w:eastAsiaTheme="minorEastAsia"/>
          <w:b/>
          <w:sz w:val="21"/>
          <w:szCs w:val="21"/>
        </w:rPr>
      </w:pPr>
      <w:r>
        <w:rPr>
          <w:rFonts w:hint="eastAsia" w:asciiTheme="minorEastAsia" w:hAnsiTheme="minorEastAsia" w:eastAsiaTheme="minorEastAsia"/>
          <w:b/>
          <w:sz w:val="21"/>
          <w:szCs w:val="21"/>
        </w:rPr>
        <w:t>【</w:t>
      </w:r>
      <w:r>
        <w:rPr>
          <w:rFonts w:asciiTheme="minorEastAsia" w:hAnsiTheme="minorEastAsia" w:eastAsiaTheme="minorEastAsia"/>
          <w:b/>
          <w:sz w:val="21"/>
          <w:szCs w:val="21"/>
        </w:rPr>
        <w:t>实验</w:t>
      </w:r>
      <w:r>
        <w:rPr>
          <w:rFonts w:hint="eastAsia" w:asciiTheme="minorEastAsia" w:hAnsiTheme="minorEastAsia" w:eastAsiaTheme="minorEastAsia"/>
          <w:b/>
          <w:sz w:val="21"/>
          <w:szCs w:val="21"/>
        </w:rPr>
        <w:t>七】水旱盆景的创作</w:t>
      </w:r>
    </w:p>
    <w:p>
      <w:pPr>
        <w:snapToGrid w:val="0"/>
        <w:spacing w:line="360" w:lineRule="auto"/>
        <w:ind w:firstLine="422" w:firstLineChars="200"/>
      </w:pPr>
      <w:r>
        <w:rPr>
          <w:rFonts w:hint="eastAsia"/>
          <w:b/>
          <w:szCs w:val="21"/>
        </w:rPr>
        <w:t>1.实验学时：</w:t>
      </w:r>
      <w:r>
        <w:rPr>
          <w:rFonts w:ascii="宋体" w:hAnsi="宋体"/>
          <w:bCs/>
        </w:rPr>
        <w:t>2</w:t>
      </w:r>
    </w:p>
    <w:p>
      <w:pPr>
        <w:snapToGrid w:val="0"/>
        <w:spacing w:line="360" w:lineRule="auto"/>
        <w:ind w:firstLine="422" w:firstLineChars="200"/>
        <w:rPr>
          <w:rFonts w:ascii="宋体" w:hAnsi="宋体"/>
          <w:bCs/>
          <w:szCs w:val="21"/>
        </w:rPr>
      </w:pPr>
      <w:r>
        <w:rPr>
          <w:rFonts w:hint="eastAsia"/>
          <w:b/>
          <w:szCs w:val="21"/>
        </w:rPr>
        <w:t>2.实验目的：</w:t>
      </w:r>
      <w:r>
        <w:rPr>
          <w:rFonts w:hint="eastAsia"/>
          <w:bCs/>
          <w:szCs w:val="21"/>
        </w:rPr>
        <w:t>水旱盆景是树木盆景与山水盆景相互结合的产物。它是中国盆景特有的一种形式。水旱盆景表现题材广泛，景物内容丰富，自然，气息浓郁，深受人们喜爱。本次实验要求每个学生初步掌握水旱盆景的创作的基本技法。</w:t>
      </w:r>
    </w:p>
    <w:p>
      <w:pPr>
        <w:snapToGrid w:val="0"/>
        <w:spacing w:line="360" w:lineRule="auto"/>
        <w:ind w:firstLine="422" w:firstLineChars="200"/>
        <w:rPr>
          <w:rFonts w:ascii="宋体" w:hAnsi="宋体"/>
          <w:bCs/>
          <w:szCs w:val="21"/>
        </w:rPr>
      </w:pPr>
      <w:r>
        <w:rPr>
          <w:rFonts w:hint="eastAsia"/>
          <w:b/>
          <w:szCs w:val="21"/>
        </w:rPr>
        <w:t>3.实验内容：</w:t>
      </w:r>
      <w:r>
        <w:rPr>
          <w:rFonts w:hint="eastAsia"/>
          <w:bCs/>
          <w:szCs w:val="21"/>
        </w:rPr>
        <w:t>水旱盆景的选材，培养土的配制，设计出水旱盆景的效果图、并按照图形进行创作，铺青苔、安放配件和配石完成创作。</w:t>
      </w:r>
    </w:p>
    <w:p>
      <w:pPr>
        <w:snapToGrid w:val="0"/>
        <w:spacing w:line="360" w:lineRule="auto"/>
        <w:ind w:firstLine="422" w:firstLineChars="200"/>
        <w:rPr>
          <w:rFonts w:ascii="宋体" w:hAnsi="宋体"/>
          <w:bCs/>
        </w:rPr>
      </w:pPr>
      <w:r>
        <w:rPr>
          <w:rFonts w:hint="eastAsia"/>
          <w:b/>
          <w:szCs w:val="21"/>
        </w:rPr>
        <w:t>4.实验要求：</w:t>
      </w:r>
      <w:r>
        <w:rPr>
          <w:rFonts w:hint="eastAsia"/>
          <w:bCs/>
          <w:szCs w:val="21"/>
        </w:rPr>
        <w:t>根据水旱盆景的创作过程，每人写出一篇实验总结报告。每个小组上交盆景作品，作为该组成员成绩评定的标准。</w:t>
      </w:r>
    </w:p>
    <w:p>
      <w:pPr>
        <w:snapToGrid w:val="0"/>
        <w:spacing w:line="360" w:lineRule="auto"/>
        <w:ind w:firstLine="422" w:firstLineChars="200"/>
        <w:rPr>
          <w:rFonts w:ascii="宋体" w:hAnsi="宋体"/>
          <w:bCs/>
        </w:rPr>
      </w:pPr>
      <w:r>
        <w:rPr>
          <w:rFonts w:hint="eastAsia"/>
          <w:b/>
          <w:szCs w:val="21"/>
        </w:rPr>
        <w:t>5.实验设备及器材：</w:t>
      </w:r>
      <w:r>
        <w:rPr>
          <w:rFonts w:hint="eastAsia"/>
          <w:bCs/>
          <w:szCs w:val="21"/>
        </w:rPr>
        <w:t>盆景盆、石料、配件、园土、河沙、植物材料，筛子、小铲、喷水壶、枝剪。</w:t>
      </w:r>
    </w:p>
    <w:p>
      <w:pPr>
        <w:snapToGrid w:val="0"/>
        <w:spacing w:before="156" w:beforeLines="50"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snapToGrid w:val="0"/>
        <w:spacing w:line="360" w:lineRule="auto"/>
        <w:ind w:firstLine="420" w:firstLineChars="200"/>
        <w:rPr>
          <w:bCs/>
          <w:szCs w:val="21"/>
        </w:rPr>
      </w:pPr>
      <w:r>
        <w:rPr>
          <w:bCs/>
          <w:szCs w:val="21"/>
        </w:rPr>
        <w:t>一件盆景就是一件艺术作品，盆景制作的过程就是艺术创造的过程，《盆景制作》课程教学的本身就是对学生鉴赏艺术、创作艺术的培养，培养学生高雅的艺术欣赏能力，提高学生的品德修养。课程教学的过程，就是一个育人的过程。课程许多要素，直接就是培养学生高尚情操的要素。如课程中的学艺先修德，首先就强调了学生德育的重要性，比如教授学生用盆景艺术去表现人们奋发向上的精神，客观上也要求学生对奋发向上的精神有正确的认识和深刻的理解。在制作盆景过程中，要求将盆景做到自然和谐，这种自然和谐的理念，本身就是社会主义核心价值观要培养的一种精神。盆景制作课程中的这些要素，是思政工作的直接体现，只要我们把这些内涵充分挖掘出来，让学生能够正确认识、充分理解、逐渐接受，就能够很好地实现思政教育的目标</w:t>
      </w:r>
      <w:r>
        <w:rPr>
          <w:rFonts w:hint="eastAsia"/>
          <w:bCs/>
          <w:szCs w:val="21"/>
        </w:rPr>
        <w:t>。</w:t>
      </w:r>
    </w:p>
    <w:p>
      <w:pPr>
        <w:snapToGrid w:val="0"/>
        <w:spacing w:line="360" w:lineRule="auto"/>
        <w:ind w:firstLine="420" w:firstLineChars="200"/>
        <w:rPr>
          <w:rFonts w:ascii="宋体" w:hAnsi="宋体"/>
          <w:szCs w:val="20"/>
        </w:rPr>
      </w:pPr>
      <w:r>
        <w:rPr>
          <w:rFonts w:hint="eastAsia" w:ascii="宋体" w:hAnsi="宋体"/>
          <w:szCs w:val="20"/>
        </w:rPr>
        <w:t>在讲述《中国盆景史》这节课中，融入苏东坡、米芾以及白居易等历史名人与奇石的渊源，进而讲述盆景来源于玩石的历史实情。在讲述《盆景美学》这节课中，以盆景代表作《八骏图》为例，先讲述该盆景诞生的时期（文化大革命刚刚结束）及其背后的故事，再对该盆景的造型与构图，选材与立意和命名进行分析，来告诉学生作品的美学深度。在讲述《世界盆景园》这节课中，以我国国宝盆景为例，来讲述虽然盆景制作不易，但盆景养护更难。</w:t>
      </w:r>
    </w:p>
    <w:p>
      <w:pPr>
        <w:widowControl/>
        <w:snapToGrid w:val="0"/>
        <w:spacing w:before="156" w:beforeLines="50" w:line="360" w:lineRule="auto"/>
        <w:jc w:val="left"/>
        <w:rPr>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r>
        <w:rPr>
          <w:rFonts w:hint="eastAsia" w:ascii="宋体" w:hAnsi="宋体" w:cs="宋体"/>
          <w:b/>
          <w:bCs/>
          <w:kern w:val="0"/>
          <w:szCs w:val="21"/>
        </w:rPr>
        <w:t></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spacing w:line="360" w:lineRule="auto"/>
        <w:ind w:firstLine="420" w:firstLineChars="200"/>
        <w:rPr>
          <w:rFonts w:ascii="宋体" w:hAnsi="宋体"/>
          <w:bCs/>
          <w:kern w:val="0"/>
          <w:szCs w:val="21"/>
        </w:rPr>
      </w:pPr>
      <w:r>
        <w:rPr>
          <w:rFonts w:hint="eastAsia" w:ascii="宋体" w:hAnsi="宋体"/>
          <w:bCs/>
          <w:kern w:val="0"/>
          <w:szCs w:val="21"/>
        </w:rPr>
        <w:t>《中国盆景文化史》（第二版），李树华等编，</w:t>
      </w:r>
      <w:r>
        <w:rPr>
          <w:rFonts w:ascii="宋体" w:hAnsi="宋体"/>
          <w:bCs/>
          <w:kern w:val="0"/>
          <w:szCs w:val="21"/>
        </w:rPr>
        <w:t>中国林业出版社，</w:t>
      </w:r>
      <w:r>
        <w:rPr>
          <w:rFonts w:hint="eastAsia" w:ascii="宋体" w:hAnsi="宋体"/>
          <w:bCs/>
          <w:kern w:val="0"/>
          <w:szCs w:val="21"/>
        </w:rPr>
        <w:t>2020年</w:t>
      </w:r>
    </w:p>
    <w:p>
      <w:pPr>
        <w:spacing w:line="360" w:lineRule="auto"/>
        <w:ind w:firstLine="420" w:firstLineChars="200"/>
        <w:rPr>
          <w:rFonts w:ascii="宋体" w:hAnsi="宋体"/>
          <w:bCs/>
          <w:kern w:val="0"/>
          <w:szCs w:val="21"/>
        </w:rPr>
      </w:pPr>
      <w:r>
        <w:rPr>
          <w:rFonts w:hint="eastAsia" w:ascii="宋体" w:hAnsi="宋体"/>
          <w:bCs/>
          <w:kern w:val="0"/>
          <w:szCs w:val="21"/>
        </w:rPr>
        <w:t>《</w:t>
      </w:r>
      <w:r>
        <w:rPr>
          <w:rFonts w:ascii="宋体" w:hAnsi="宋体"/>
          <w:bCs/>
          <w:kern w:val="0"/>
          <w:szCs w:val="21"/>
        </w:rPr>
        <w:t>盆景学</w:t>
      </w:r>
      <w:r>
        <w:rPr>
          <w:rFonts w:hint="eastAsia" w:ascii="宋体" w:hAnsi="宋体"/>
          <w:bCs/>
          <w:kern w:val="0"/>
          <w:szCs w:val="21"/>
        </w:rPr>
        <w:t>》（第4版）</w:t>
      </w:r>
      <w:r>
        <w:rPr>
          <w:rFonts w:ascii="宋体" w:hAnsi="宋体"/>
          <w:bCs/>
          <w:kern w:val="0"/>
          <w:szCs w:val="21"/>
        </w:rPr>
        <w:t>，</w:t>
      </w:r>
      <w:r>
        <w:fldChar w:fldCharType="begin"/>
      </w:r>
      <w:r>
        <w:instrText xml:space="preserve"> HYPERLINK "http://www.bookuu.com/search/book_search.jsp?zz=彭春生等编" \t "_blank" </w:instrText>
      </w:r>
      <w:r>
        <w:fldChar w:fldCharType="separate"/>
      </w:r>
      <w:r>
        <w:rPr>
          <w:rFonts w:ascii="宋体" w:hAnsi="宋体"/>
          <w:bCs/>
          <w:kern w:val="0"/>
          <w:szCs w:val="21"/>
        </w:rPr>
        <w:t>彭春生等编</w:t>
      </w:r>
      <w:r>
        <w:rPr>
          <w:rFonts w:ascii="宋体" w:hAnsi="宋体"/>
          <w:bCs/>
          <w:kern w:val="0"/>
          <w:szCs w:val="21"/>
        </w:rPr>
        <w:fldChar w:fldCharType="end"/>
      </w:r>
      <w:r>
        <w:rPr>
          <w:rFonts w:ascii="宋体" w:hAnsi="宋体"/>
          <w:bCs/>
          <w:kern w:val="0"/>
          <w:szCs w:val="21"/>
        </w:rPr>
        <w:t>，中国林业出版社，2018</w:t>
      </w:r>
      <w:r>
        <w:rPr>
          <w:rFonts w:hint="eastAsia" w:ascii="宋体" w:hAnsi="宋体"/>
          <w:bCs/>
          <w:kern w:val="0"/>
          <w:szCs w:val="21"/>
        </w:rPr>
        <w:t>年</w:t>
      </w:r>
    </w:p>
    <w:p>
      <w:pPr>
        <w:spacing w:line="360" w:lineRule="auto"/>
        <w:ind w:firstLine="420" w:firstLineChars="200"/>
        <w:rPr>
          <w:rFonts w:ascii="宋体" w:hAnsi="宋体"/>
          <w:bCs/>
          <w:kern w:val="0"/>
          <w:szCs w:val="21"/>
        </w:rPr>
      </w:pPr>
      <w:r>
        <w:rPr>
          <w:rFonts w:hint="eastAsia" w:ascii="宋体" w:hAnsi="宋体"/>
          <w:bCs/>
          <w:kern w:val="0"/>
          <w:szCs w:val="21"/>
        </w:rPr>
        <w:t>《盆景学实习实验指导》，李庆卫编，</w:t>
      </w:r>
      <w:r>
        <w:rPr>
          <w:rFonts w:ascii="宋体" w:hAnsi="宋体"/>
          <w:bCs/>
          <w:kern w:val="0"/>
          <w:szCs w:val="21"/>
        </w:rPr>
        <w:t>中国林业出版社，2019</w:t>
      </w:r>
      <w:r>
        <w:rPr>
          <w:rFonts w:hint="eastAsia" w:ascii="宋体" w:hAnsi="宋体"/>
          <w:bCs/>
          <w:kern w:val="0"/>
          <w:szCs w:val="21"/>
        </w:rPr>
        <w:t>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pacing w:line="360" w:lineRule="auto"/>
        <w:ind w:firstLine="420" w:firstLineChars="200"/>
        <w:rPr>
          <w:rFonts w:ascii="宋体" w:hAnsi="宋体"/>
          <w:bCs/>
          <w:kern w:val="0"/>
          <w:szCs w:val="21"/>
        </w:rPr>
      </w:pPr>
      <w:r>
        <w:rPr>
          <w:rFonts w:hint="eastAsia" w:ascii="宋体" w:hAnsi="宋体"/>
          <w:bCs/>
          <w:kern w:val="0"/>
          <w:szCs w:val="21"/>
        </w:rPr>
        <w:t>（2）《中国盆景制作技术手册(第2版)》，韦金笙，上海科学技术出版社，</w:t>
      </w:r>
      <w:r>
        <w:rPr>
          <w:rFonts w:ascii="宋体" w:hAnsi="宋体"/>
          <w:bCs/>
          <w:kern w:val="0"/>
          <w:szCs w:val="21"/>
        </w:rPr>
        <w:t>201</w:t>
      </w:r>
      <w:r>
        <w:rPr>
          <w:rFonts w:hint="eastAsia" w:ascii="宋体" w:hAnsi="宋体"/>
          <w:bCs/>
          <w:kern w:val="0"/>
          <w:szCs w:val="21"/>
        </w:rPr>
        <w:t>8年</w:t>
      </w:r>
    </w:p>
    <w:p>
      <w:pPr>
        <w:spacing w:line="360" w:lineRule="auto"/>
        <w:ind w:firstLine="420" w:firstLineChars="200"/>
        <w:rPr>
          <w:rFonts w:ascii="宋体" w:hAnsi="宋体"/>
          <w:bCs/>
          <w:kern w:val="0"/>
          <w:szCs w:val="21"/>
        </w:rPr>
      </w:pPr>
      <w:r>
        <w:rPr>
          <w:rFonts w:hint="eastAsia" w:ascii="宋体" w:hAnsi="宋体"/>
          <w:bCs/>
          <w:kern w:val="0"/>
          <w:szCs w:val="21"/>
        </w:rPr>
        <w:t>（3）《</w:t>
      </w:r>
      <w:r>
        <w:rPr>
          <w:rFonts w:ascii="宋体" w:hAnsi="宋体"/>
          <w:bCs/>
          <w:kern w:val="0"/>
          <w:szCs w:val="21"/>
        </w:rPr>
        <w:t>盆景之书》，彼得•沃伦，华中科技大学出版社，2019年</w:t>
      </w:r>
    </w:p>
    <w:p>
      <w:pPr>
        <w:spacing w:line="360" w:lineRule="auto"/>
        <w:ind w:firstLine="420" w:firstLineChars="200"/>
        <w:rPr>
          <w:rFonts w:ascii="宋体" w:hAnsi="宋体"/>
          <w:bCs/>
          <w:kern w:val="0"/>
          <w:szCs w:val="21"/>
        </w:rPr>
      </w:pPr>
      <w:r>
        <w:rPr>
          <w:rFonts w:hint="eastAsia" w:ascii="宋体" w:hAnsi="宋体"/>
          <w:bCs/>
          <w:kern w:val="0"/>
          <w:szCs w:val="21"/>
        </w:rPr>
        <w:t>（4）</w:t>
      </w:r>
      <w:r>
        <w:rPr>
          <w:rFonts w:ascii="宋体" w:hAnsi="宋体"/>
          <w:bCs/>
          <w:kern w:val="0"/>
          <w:szCs w:val="21"/>
        </w:rPr>
        <w:t>《新编盆景造型技艺图解》</w:t>
      </w:r>
      <w:r>
        <w:rPr>
          <w:rFonts w:hint="eastAsia" w:ascii="宋体" w:hAnsi="宋体"/>
          <w:bCs/>
          <w:kern w:val="0"/>
          <w:szCs w:val="21"/>
        </w:rPr>
        <w:t>，</w:t>
      </w:r>
      <w:r>
        <w:rPr>
          <w:rFonts w:ascii="宋体" w:hAnsi="宋体"/>
          <w:bCs/>
          <w:kern w:val="0"/>
          <w:szCs w:val="21"/>
        </w:rPr>
        <w:t>曾宪烨</w:t>
      </w:r>
      <w:r>
        <w:rPr>
          <w:rFonts w:hint="eastAsia" w:ascii="宋体" w:hAnsi="宋体"/>
          <w:bCs/>
          <w:kern w:val="0"/>
          <w:szCs w:val="21"/>
        </w:rPr>
        <w:t>等，中国林业出版社，2008年</w:t>
      </w:r>
    </w:p>
    <w:p>
      <w:pPr>
        <w:spacing w:line="360" w:lineRule="auto"/>
        <w:ind w:firstLine="420" w:firstLineChars="200"/>
        <w:rPr>
          <w:rFonts w:ascii="宋体" w:hAnsi="宋体"/>
          <w:bCs/>
          <w:kern w:val="0"/>
          <w:szCs w:val="21"/>
        </w:rPr>
      </w:pPr>
      <w:r>
        <w:rPr>
          <w:rFonts w:hint="eastAsia" w:ascii="宋体" w:hAnsi="宋体"/>
          <w:bCs/>
          <w:kern w:val="0"/>
          <w:szCs w:val="21"/>
        </w:rPr>
        <w:t>（5）</w:t>
      </w:r>
      <w:r>
        <w:rPr>
          <w:rFonts w:ascii="宋体" w:hAnsi="宋体"/>
          <w:bCs/>
          <w:kern w:val="0"/>
          <w:szCs w:val="21"/>
        </w:rPr>
        <w:t>《</w:t>
      </w:r>
      <w:r>
        <w:rPr>
          <w:rFonts w:hint="eastAsia" w:ascii="宋体" w:hAnsi="宋体"/>
          <w:bCs/>
          <w:kern w:val="0"/>
          <w:szCs w:val="21"/>
        </w:rPr>
        <w:t>盆景艺术与花艺设计</w:t>
      </w:r>
      <w:r>
        <w:rPr>
          <w:rFonts w:ascii="宋体" w:hAnsi="宋体"/>
          <w:bCs/>
          <w:kern w:val="0"/>
          <w:szCs w:val="21"/>
        </w:rPr>
        <w:t>》</w:t>
      </w:r>
      <w:r>
        <w:rPr>
          <w:rFonts w:hint="eastAsia" w:ascii="宋体" w:hAnsi="宋体"/>
          <w:bCs/>
          <w:kern w:val="0"/>
          <w:szCs w:val="21"/>
        </w:rPr>
        <w:t>，齐安国 王保全等，中国农业</w:t>
      </w:r>
      <w:r>
        <w:rPr>
          <w:rFonts w:ascii="宋体" w:hAnsi="宋体"/>
          <w:bCs/>
          <w:kern w:val="0"/>
          <w:szCs w:val="21"/>
        </w:rPr>
        <w:t>出版社</w:t>
      </w:r>
      <w:r>
        <w:rPr>
          <w:rFonts w:hint="eastAsia" w:ascii="宋体" w:hAnsi="宋体"/>
          <w:bCs/>
          <w:kern w:val="0"/>
          <w:szCs w:val="21"/>
        </w:rPr>
        <w:t>有限公司，</w:t>
      </w:r>
      <w:r>
        <w:rPr>
          <w:rFonts w:ascii="宋体" w:hAnsi="宋体"/>
          <w:bCs/>
          <w:kern w:val="0"/>
          <w:szCs w:val="21"/>
        </w:rPr>
        <w:t>2000</w:t>
      </w:r>
      <w:r>
        <w:rPr>
          <w:rFonts w:hint="eastAsia" w:ascii="宋体" w:hAnsi="宋体"/>
          <w:bCs/>
          <w:kern w:val="0"/>
          <w:szCs w:val="21"/>
        </w:rPr>
        <w:t>年</w:t>
      </w: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spacing w:line="360" w:lineRule="auto"/>
        <w:ind w:firstLine="420" w:firstLineChars="200"/>
        <w:rPr>
          <w:sz w:val="18"/>
          <w:szCs w:val="18"/>
        </w:rPr>
      </w:pPr>
      <w:r>
        <w:rPr>
          <w:rFonts w:hint="eastAsia"/>
        </w:rPr>
        <w:t>（1）盆景艺术在线，</w:t>
      </w:r>
      <w:r>
        <w:t>http://www.cnpenjing.com/</w:t>
      </w:r>
    </w:p>
    <w:p>
      <w:pPr>
        <w:spacing w:line="360" w:lineRule="auto"/>
        <w:ind w:firstLine="400" w:firstLineChars="200"/>
        <w:rPr>
          <w:rStyle w:val="55"/>
          <w:sz w:val="20"/>
          <w:szCs w:val="20"/>
        </w:rPr>
      </w:pPr>
      <w:r>
        <w:rPr>
          <w:rStyle w:val="55"/>
          <w:rFonts w:hint="eastAsia"/>
          <w:sz w:val="20"/>
          <w:szCs w:val="20"/>
        </w:rPr>
        <w:t>（2）中华盆景，</w:t>
      </w:r>
      <w:r>
        <w:fldChar w:fldCharType="begin"/>
      </w:r>
      <w:r>
        <w:instrText xml:space="preserve"> HYPERLINK "http://www.fff789.com/" </w:instrText>
      </w:r>
      <w:r>
        <w:fldChar w:fldCharType="separate"/>
      </w:r>
      <w:r>
        <w:rPr>
          <w:rStyle w:val="55"/>
          <w:sz w:val="20"/>
          <w:szCs w:val="20"/>
        </w:rPr>
        <w:t>http://www.fff789.com/</w:t>
      </w:r>
      <w:r>
        <w:rPr>
          <w:rStyle w:val="55"/>
          <w:sz w:val="20"/>
          <w:szCs w:val="20"/>
        </w:rPr>
        <w:fldChar w:fldCharType="end"/>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szCs w:val="21"/>
        </w:rPr>
      </w:pPr>
      <w:r>
        <w:rPr>
          <w:rFonts w:hint="eastAsia" w:ascii="宋体" w:hAnsi="宋体"/>
          <w:szCs w:val="21"/>
        </w:rPr>
        <w:t>1. 需要师资情况：有</w:t>
      </w:r>
      <w:r>
        <w:rPr>
          <w:rFonts w:ascii="宋体" w:hAnsi="宋体"/>
          <w:szCs w:val="21"/>
        </w:rPr>
        <w:t>7</w:t>
      </w:r>
      <w:r>
        <w:rPr>
          <w:rFonts w:hint="eastAsia" w:ascii="宋体" w:hAnsi="宋体"/>
          <w:szCs w:val="21"/>
        </w:rPr>
        <w:t>名授课教师，目前师资结构合适。</w:t>
      </w:r>
    </w:p>
    <w:p>
      <w:pPr>
        <w:snapToGrid w:val="0"/>
        <w:spacing w:line="360" w:lineRule="auto"/>
        <w:ind w:firstLine="420" w:firstLineChars="200"/>
        <w:rPr>
          <w:rFonts w:ascii="宋体" w:hAnsi="宋体"/>
          <w:szCs w:val="21"/>
        </w:rPr>
      </w:pPr>
      <w:r>
        <w:rPr>
          <w:rFonts w:hint="eastAsia" w:ascii="宋体" w:hAnsi="宋体"/>
          <w:szCs w:val="21"/>
        </w:rPr>
        <w:t>2. 场地：实验用地、温室、园艺植物生理生化实验室。</w:t>
      </w:r>
    </w:p>
    <w:p>
      <w:pPr>
        <w:snapToGrid w:val="0"/>
        <w:spacing w:line="360" w:lineRule="auto"/>
        <w:ind w:firstLine="420" w:firstLineChars="200"/>
        <w:rPr>
          <w:rFonts w:ascii="宋体" w:hAnsi="宋体"/>
          <w:szCs w:val="21"/>
        </w:rPr>
      </w:pPr>
      <w:r>
        <w:rPr>
          <w:rFonts w:hint="eastAsia" w:ascii="宋体" w:hAnsi="宋体"/>
          <w:szCs w:val="21"/>
        </w:rPr>
        <w:t>3. 实验条件：园艺学院和科教园区具备完成课程规定的实验条件。</w:t>
      </w:r>
    </w:p>
    <w:p>
      <w:pPr>
        <w:snapToGrid w:val="0"/>
        <w:spacing w:line="360" w:lineRule="auto"/>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ascii="宋体" w:hAnsi="宋体"/>
        </w:rPr>
      </w:pPr>
      <w:r>
        <w:rPr>
          <w:rFonts w:hint="eastAsia" w:hAnsi="宋体"/>
          <w:b/>
          <w:bCs/>
          <w:kern w:val="0"/>
          <w:szCs w:val="21"/>
        </w:rPr>
        <w:t>1.过程性评价：</w:t>
      </w:r>
      <w:r>
        <w:rPr>
          <w:rFonts w:hint="eastAsia" w:ascii="宋体" w:hAnsi="宋体"/>
        </w:rPr>
        <w:t>平时上课表现×20%+小组学习讨论×20%+课程作业×60%。</w:t>
      </w:r>
    </w:p>
    <w:p>
      <w:pPr>
        <w:widowControl/>
        <w:snapToGrid w:val="0"/>
        <w:spacing w:line="360" w:lineRule="auto"/>
        <w:ind w:firstLine="420"/>
        <w:jc w:val="left"/>
        <w:rPr>
          <w:rFonts w:ascii="宋体" w:hAnsi="宋体"/>
        </w:rPr>
      </w:pPr>
      <w:r>
        <w:rPr>
          <w:rFonts w:hint="eastAsia" w:hAnsi="宋体"/>
          <w:b/>
          <w:bCs/>
          <w:kern w:val="0"/>
          <w:szCs w:val="21"/>
        </w:rPr>
        <w:t>2.终结性评价：</w:t>
      </w:r>
      <w:r>
        <w:rPr>
          <w:rFonts w:hint="eastAsia" w:hAnsi="宋体"/>
          <w:kern w:val="0"/>
          <w:szCs w:val="21"/>
        </w:rPr>
        <w:t>制作大作品，占比50%</w:t>
      </w:r>
      <w:r>
        <w:rPr>
          <w:rFonts w:hint="eastAsia" w:ascii="宋体" w:hAnsi="宋体"/>
        </w:rPr>
        <w:t>。</w:t>
      </w:r>
    </w:p>
    <w:p>
      <w:pPr>
        <w:widowControl/>
        <w:snapToGrid w:val="0"/>
        <w:spacing w:line="360" w:lineRule="auto"/>
        <w:ind w:firstLine="420"/>
        <w:jc w:val="left"/>
        <w:rPr>
          <w:rFonts w:ascii="宋体" w:hAnsi="宋体"/>
        </w:rPr>
      </w:pPr>
      <w:r>
        <w:rPr>
          <w:rFonts w:hint="eastAsia" w:hAnsi="宋体"/>
          <w:b/>
          <w:bCs/>
          <w:kern w:val="0"/>
          <w:szCs w:val="21"/>
        </w:rPr>
        <w:t>3.课程综合评价：</w:t>
      </w:r>
      <w:r>
        <w:rPr>
          <w:rFonts w:hint="eastAsia" w:ascii="宋体" w:hAnsi="宋体"/>
        </w:rPr>
        <w:t>过程性评价</w:t>
      </w:r>
      <w:r>
        <w:rPr>
          <w:rFonts w:hint="eastAsia" w:ascii="宋体" w:hAnsi="宋体"/>
          <w:bCs/>
          <w:szCs w:val="21"/>
        </w:rPr>
        <w:t>×</w:t>
      </w:r>
      <w:r>
        <w:rPr>
          <w:rFonts w:hint="eastAsia" w:ascii="宋体" w:hAnsi="宋体"/>
        </w:rPr>
        <w:t>50%+终结性评价×50%。</w:t>
      </w:r>
    </w:p>
    <w:p>
      <w:pPr>
        <w:pStyle w:val="21"/>
        <w:rPr>
          <w:bCs w:val="0"/>
          <w:sz w:val="28"/>
          <w:szCs w:val="28"/>
        </w:rPr>
      </w:pPr>
      <w:bookmarkStart w:id="336" w:name="_Toc138070444"/>
      <w:bookmarkStart w:id="337" w:name="_Toc138068814"/>
      <w:bookmarkStart w:id="338" w:name="_Toc138070714"/>
    </w:p>
    <w:p>
      <w:pPr>
        <w:pStyle w:val="21"/>
        <w:rPr>
          <w:bCs w:val="0"/>
          <w:sz w:val="28"/>
          <w:szCs w:val="28"/>
        </w:rPr>
      </w:pPr>
      <w:bookmarkStart w:id="339" w:name="_Toc138076333"/>
      <w:bookmarkStart w:id="340" w:name="_Toc138076628"/>
      <w:bookmarkStart w:id="341" w:name="_Toc138076084"/>
    </w:p>
    <w:p>
      <w:pPr>
        <w:pStyle w:val="21"/>
        <w:rPr>
          <w:bCs w:val="0"/>
          <w:sz w:val="28"/>
          <w:szCs w:val="28"/>
        </w:rPr>
      </w:pPr>
    </w:p>
    <w:p>
      <w:pPr>
        <w:pStyle w:val="21"/>
        <w:rPr>
          <w:bCs w:val="0"/>
          <w:sz w:val="28"/>
          <w:szCs w:val="28"/>
        </w:rPr>
      </w:pPr>
    </w:p>
    <w:p>
      <w:pPr>
        <w:pStyle w:val="21"/>
        <w:rPr>
          <w:bCs w:val="0"/>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pStyle w:val="21"/>
        <w:rPr>
          <w:bCs w:val="0"/>
          <w:sz w:val="28"/>
          <w:szCs w:val="28"/>
        </w:rPr>
      </w:pPr>
      <w:bookmarkStart w:id="342" w:name="_Toc21772"/>
      <w:r>
        <w:rPr>
          <w:bCs w:val="0"/>
          <w:sz w:val="28"/>
          <w:szCs w:val="28"/>
        </w:rPr>
        <w:t>茶文化学</w:t>
      </w:r>
      <w:bookmarkEnd w:id="336"/>
      <w:bookmarkEnd w:id="337"/>
      <w:bookmarkEnd w:id="338"/>
      <w:bookmarkEnd w:id="339"/>
      <w:bookmarkEnd w:id="340"/>
      <w:bookmarkEnd w:id="341"/>
      <w:bookmarkEnd w:id="342"/>
    </w:p>
    <w:p>
      <w:pPr>
        <w:snapToGrid w:val="0"/>
        <w:spacing w:line="360" w:lineRule="auto"/>
        <w:jc w:val="center"/>
        <w:rPr>
          <w:i/>
          <w:sz w:val="24"/>
          <w:szCs w:val="28"/>
        </w:rPr>
      </w:pPr>
      <w:r>
        <w:rPr>
          <w:sz w:val="24"/>
          <w:szCs w:val="28"/>
        </w:rPr>
        <w:t>（Tea Culture）</w:t>
      </w:r>
    </w:p>
    <w:p>
      <w:pPr>
        <w:snapToGrid w:val="0"/>
        <w:spacing w:line="360" w:lineRule="auto"/>
        <w:jc w:val="center"/>
        <w:rPr>
          <w:b/>
          <w:szCs w:val="21"/>
        </w:rPr>
      </w:pPr>
    </w:p>
    <w:p>
      <w:pPr>
        <w:snapToGrid w:val="0"/>
        <w:spacing w:line="360" w:lineRule="auto"/>
        <w:jc w:val="center"/>
        <w:rPr>
          <w:b/>
          <w:szCs w:val="21"/>
        </w:rPr>
      </w:pPr>
      <w:r>
        <w:rPr>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b/>
                <w:bCs/>
                <w:szCs w:val="21"/>
              </w:rPr>
            </w:pPr>
            <w:r>
              <w:rPr>
                <w:b/>
                <w:bCs/>
                <w:szCs w:val="21"/>
              </w:rPr>
              <w:t>课程编号：</w:t>
            </w:r>
            <w:r>
              <w:rPr>
                <w:b/>
                <w:bCs/>
                <w:kern w:val="0"/>
                <w:sz w:val="20"/>
                <w:szCs w:val="21"/>
              </w:rPr>
              <w:t>19011048</w:t>
            </w:r>
          </w:p>
        </w:tc>
        <w:tc>
          <w:tcPr>
            <w:tcW w:w="1453" w:type="pct"/>
          </w:tcPr>
          <w:p>
            <w:pPr>
              <w:spacing w:line="300" w:lineRule="auto"/>
              <w:rPr>
                <w:b/>
                <w:bCs/>
                <w:szCs w:val="21"/>
              </w:rPr>
            </w:pPr>
            <w:r>
              <w:rPr>
                <w:b/>
                <w:bCs/>
                <w:szCs w:val="21"/>
              </w:rPr>
              <w:t>课程总学时：32</w:t>
            </w:r>
          </w:p>
        </w:tc>
        <w:tc>
          <w:tcPr>
            <w:tcW w:w="1881" w:type="pct"/>
          </w:tcPr>
          <w:p>
            <w:pPr>
              <w:spacing w:line="300" w:lineRule="auto"/>
              <w:rPr>
                <w:b/>
                <w:bCs/>
                <w:szCs w:val="21"/>
              </w:rPr>
            </w:pPr>
            <w:r>
              <w:rPr>
                <w:b/>
                <w:bCs/>
                <w:szCs w:val="21"/>
              </w:rPr>
              <w:t>实验学时：0学时</w:t>
            </w:r>
          </w:p>
        </w:tc>
      </w:tr>
      <w:tr>
        <w:tblPrEx>
          <w:tblCellMar>
            <w:top w:w="0" w:type="dxa"/>
            <w:left w:w="108" w:type="dxa"/>
            <w:bottom w:w="0" w:type="dxa"/>
            <w:right w:w="108" w:type="dxa"/>
          </w:tblCellMar>
        </w:tblPrEx>
        <w:tc>
          <w:tcPr>
            <w:tcW w:w="1666" w:type="pct"/>
          </w:tcPr>
          <w:p>
            <w:pPr>
              <w:spacing w:line="300" w:lineRule="auto"/>
              <w:rPr>
                <w:b/>
                <w:bCs/>
                <w:szCs w:val="21"/>
              </w:rPr>
            </w:pPr>
            <w:r>
              <w:rPr>
                <w:b/>
                <w:bCs/>
                <w:szCs w:val="21"/>
              </w:rPr>
              <w:t>课程性质：</w:t>
            </w:r>
            <w:r>
              <w:rPr>
                <w:rFonts w:hint="eastAsia"/>
                <w:b/>
                <w:bCs/>
                <w:szCs w:val="21"/>
              </w:rPr>
              <w:t>选修</w:t>
            </w:r>
          </w:p>
        </w:tc>
        <w:tc>
          <w:tcPr>
            <w:tcW w:w="1453" w:type="pct"/>
          </w:tcPr>
          <w:p>
            <w:pPr>
              <w:spacing w:line="300" w:lineRule="auto"/>
              <w:rPr>
                <w:b/>
                <w:bCs/>
                <w:szCs w:val="21"/>
              </w:rPr>
            </w:pPr>
            <w:r>
              <w:rPr>
                <w:b/>
                <w:szCs w:val="21"/>
              </w:rPr>
              <w:t>课程属性:</w:t>
            </w:r>
            <w:r>
              <w:rPr>
                <w:b/>
                <w:bCs/>
                <w:kern w:val="0"/>
                <w:szCs w:val="21"/>
              </w:rPr>
              <w:t>专业类</w:t>
            </w:r>
          </w:p>
        </w:tc>
        <w:tc>
          <w:tcPr>
            <w:tcW w:w="1881" w:type="pct"/>
          </w:tcPr>
          <w:p>
            <w:pPr>
              <w:spacing w:line="300" w:lineRule="auto"/>
              <w:rPr>
                <w:b/>
                <w:bCs/>
                <w:szCs w:val="21"/>
              </w:rPr>
            </w:pPr>
            <w:r>
              <w:rPr>
                <w:b/>
                <w:bCs/>
                <w:szCs w:val="21"/>
              </w:rPr>
              <w:t>开设学期：第5学期</w:t>
            </w:r>
          </w:p>
        </w:tc>
      </w:tr>
      <w:tr>
        <w:tblPrEx>
          <w:tblCellMar>
            <w:top w:w="0" w:type="dxa"/>
            <w:left w:w="108" w:type="dxa"/>
            <w:bottom w:w="0" w:type="dxa"/>
            <w:right w:w="108" w:type="dxa"/>
          </w:tblCellMar>
        </w:tblPrEx>
        <w:tc>
          <w:tcPr>
            <w:tcW w:w="1666" w:type="pct"/>
          </w:tcPr>
          <w:p>
            <w:pPr>
              <w:spacing w:line="300" w:lineRule="auto"/>
              <w:rPr>
                <w:b/>
                <w:bCs/>
                <w:szCs w:val="21"/>
              </w:rPr>
            </w:pPr>
            <w:r>
              <w:rPr>
                <w:b/>
                <w:bCs/>
                <w:szCs w:val="21"/>
              </w:rPr>
              <w:t>课程负责人：贺巍</w:t>
            </w:r>
          </w:p>
        </w:tc>
        <w:tc>
          <w:tcPr>
            <w:tcW w:w="1453" w:type="pct"/>
          </w:tcPr>
          <w:p>
            <w:pPr>
              <w:spacing w:line="300" w:lineRule="auto"/>
              <w:rPr>
                <w:b/>
                <w:bCs/>
                <w:szCs w:val="21"/>
              </w:rPr>
            </w:pPr>
            <w:r>
              <w:rPr>
                <w:b/>
                <w:bCs/>
                <w:szCs w:val="21"/>
              </w:rPr>
              <w:t>课程团队：茶学课程组</w:t>
            </w:r>
          </w:p>
        </w:tc>
        <w:tc>
          <w:tcPr>
            <w:tcW w:w="1881" w:type="pct"/>
          </w:tcPr>
          <w:p>
            <w:pPr>
              <w:spacing w:line="300" w:lineRule="auto"/>
              <w:rPr>
                <w:b/>
                <w:bCs/>
                <w:szCs w:val="21"/>
              </w:rPr>
            </w:pPr>
            <w:r>
              <w:rPr>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b/>
                <w:bCs/>
                <w:szCs w:val="21"/>
              </w:rPr>
            </w:pPr>
            <w:r>
              <w:rPr>
                <w:b/>
                <w:bCs/>
                <w:szCs w:val="21"/>
              </w:rPr>
              <w:t>适用专业：茶学</w:t>
            </w:r>
            <w:r>
              <w:rPr>
                <w:rFonts w:hint="eastAsia"/>
                <w:b/>
                <w:bCs/>
                <w:szCs w:val="21"/>
              </w:rPr>
              <w:t>；核心</w:t>
            </w:r>
          </w:p>
        </w:tc>
      </w:tr>
      <w:tr>
        <w:tblPrEx>
          <w:tblCellMar>
            <w:top w:w="0" w:type="dxa"/>
            <w:left w:w="108" w:type="dxa"/>
            <w:bottom w:w="0" w:type="dxa"/>
            <w:right w:w="108" w:type="dxa"/>
          </w:tblCellMar>
        </w:tblPrEx>
        <w:tc>
          <w:tcPr>
            <w:tcW w:w="5000" w:type="pct"/>
            <w:gridSpan w:val="3"/>
          </w:tcPr>
          <w:p>
            <w:pPr>
              <w:spacing w:line="300" w:lineRule="auto"/>
              <w:rPr>
                <w:b/>
                <w:bCs/>
                <w:szCs w:val="21"/>
              </w:rPr>
            </w:pPr>
            <w:r>
              <w:rPr>
                <w:b/>
                <w:bCs/>
                <w:szCs w:val="21"/>
              </w:rPr>
              <w:t>对先修的要求：</w:t>
            </w:r>
            <w:r>
              <w:rPr>
                <w:rFonts w:hint="eastAsia"/>
                <w:b/>
                <w:bCs/>
                <w:szCs w:val="21"/>
              </w:rPr>
              <w:t>无</w:t>
            </w:r>
          </w:p>
        </w:tc>
      </w:tr>
      <w:tr>
        <w:tblPrEx>
          <w:tblCellMar>
            <w:top w:w="0" w:type="dxa"/>
            <w:left w:w="108" w:type="dxa"/>
            <w:bottom w:w="0" w:type="dxa"/>
            <w:right w:w="108" w:type="dxa"/>
          </w:tblCellMar>
        </w:tblPrEx>
        <w:tc>
          <w:tcPr>
            <w:tcW w:w="5000" w:type="pct"/>
            <w:gridSpan w:val="3"/>
          </w:tcPr>
          <w:p>
            <w:pPr>
              <w:spacing w:line="300" w:lineRule="auto"/>
              <w:rPr>
                <w:b/>
                <w:bCs/>
                <w:szCs w:val="21"/>
              </w:rPr>
            </w:pPr>
            <w:r>
              <w:rPr>
                <w:b/>
                <w:bCs/>
                <w:szCs w:val="21"/>
              </w:rPr>
              <w:t>对后续的支撑：</w:t>
            </w:r>
            <w:r>
              <w:rPr>
                <w:rFonts w:hint="eastAsia"/>
                <w:b/>
                <w:bCs/>
                <w:szCs w:val="21"/>
              </w:rPr>
              <w:t>无</w:t>
            </w:r>
          </w:p>
        </w:tc>
      </w:tr>
      <w:tr>
        <w:tblPrEx>
          <w:tblCellMar>
            <w:top w:w="0" w:type="dxa"/>
            <w:left w:w="108" w:type="dxa"/>
            <w:bottom w:w="0" w:type="dxa"/>
            <w:right w:w="108" w:type="dxa"/>
          </w:tblCellMar>
        </w:tblPrEx>
        <w:tc>
          <w:tcPr>
            <w:tcW w:w="1666" w:type="pct"/>
          </w:tcPr>
          <w:p>
            <w:pPr>
              <w:spacing w:line="300" w:lineRule="auto"/>
              <w:rPr>
                <w:b/>
                <w:bCs/>
                <w:szCs w:val="21"/>
              </w:rPr>
            </w:pPr>
            <w:r>
              <w:rPr>
                <w:b/>
                <w:bCs/>
                <w:szCs w:val="21"/>
              </w:rPr>
              <w:t>主撰人：贺巍</w:t>
            </w:r>
          </w:p>
        </w:tc>
        <w:tc>
          <w:tcPr>
            <w:tcW w:w="1453" w:type="pct"/>
          </w:tcPr>
          <w:p>
            <w:pPr>
              <w:spacing w:line="300" w:lineRule="auto"/>
              <w:rPr>
                <w:b/>
                <w:bCs/>
                <w:szCs w:val="21"/>
              </w:rPr>
            </w:pPr>
            <w:r>
              <w:rPr>
                <w:b/>
                <w:bCs/>
                <w:szCs w:val="21"/>
              </w:rPr>
              <w:t>审核人：</w:t>
            </w:r>
            <w:r>
              <w:rPr>
                <w:rFonts w:hint="eastAsia"/>
                <w:b/>
                <w:bCs/>
                <w:szCs w:val="21"/>
              </w:rPr>
              <w:t>赵仁亮</w:t>
            </w:r>
          </w:p>
        </w:tc>
        <w:tc>
          <w:tcPr>
            <w:tcW w:w="1881" w:type="pct"/>
          </w:tcPr>
          <w:p>
            <w:pPr>
              <w:spacing w:line="300" w:lineRule="auto"/>
              <w:rPr>
                <w:b/>
                <w:bCs/>
                <w:szCs w:val="21"/>
              </w:rPr>
            </w:pPr>
            <w:r>
              <w:rPr>
                <w:b/>
                <w:bCs/>
                <w:szCs w:val="21"/>
              </w:rPr>
              <w:t>大纲制定（修订）日期：2023</w:t>
            </w:r>
            <w:r>
              <w:rPr>
                <w:rFonts w:hint="eastAsia"/>
                <w:b/>
                <w:bCs/>
                <w:szCs w:val="21"/>
              </w:rPr>
              <w:t>.05</w:t>
            </w:r>
          </w:p>
        </w:tc>
      </w:tr>
    </w:tbl>
    <w:p>
      <w:pPr>
        <w:snapToGrid w:val="0"/>
        <w:jc w:val="left"/>
        <w:rPr>
          <w:b/>
          <w:szCs w:val="21"/>
        </w:rPr>
      </w:pPr>
    </w:p>
    <w:p>
      <w:pPr>
        <w:snapToGrid w:val="0"/>
        <w:spacing w:line="360" w:lineRule="auto"/>
        <w:jc w:val="left"/>
        <w:rPr>
          <w:b/>
          <w:szCs w:val="21"/>
        </w:rPr>
      </w:pPr>
      <w:r>
        <w:rPr>
          <w:b/>
          <w:szCs w:val="21"/>
        </w:rPr>
        <w:t>一、</w:t>
      </w:r>
      <w:r>
        <w:rPr>
          <w:b/>
          <w:bCs/>
          <w:kern w:val="0"/>
          <w:szCs w:val="21"/>
        </w:rPr>
        <w:t>课程的教学理念、性质、目标和任务</w:t>
      </w:r>
    </w:p>
    <w:p>
      <w:pPr>
        <w:spacing w:line="360" w:lineRule="auto"/>
        <w:ind w:firstLine="420"/>
        <w:jc w:val="left"/>
        <w:rPr>
          <w:kern w:val="0"/>
          <w:szCs w:val="21"/>
        </w:rPr>
      </w:pPr>
      <w:r>
        <w:rPr>
          <w:kern w:val="0"/>
          <w:szCs w:val="21"/>
        </w:rPr>
        <w:t>《茶文化学》课程旨在让学生了解中国茶文化，了解中国是茶树、茶叶和茶文化的发源地，在中国茶文化有着非常深厚的底蕴，了解中国茶文化的特点。《茶文化学》是—门茶学、历史学与文化学的交叉学科。本课程蕴含的内容丰富，包括茶的历史发展，茶的发现利用，茶类和茶具的发展演变，茶艺与茶道，饮茶习俗，茶对社会生活的影响，茶事文学艺术、茶的传播、茶对古代社会生活的影响、世界各国的茶文化特点等；主要从物质形态、制度形态、精神形态和行为形态等方面阐述了茶文化。承担着提高</w:t>
      </w:r>
      <w:r>
        <w:rPr>
          <w:rFonts w:hint="eastAsia"/>
          <w:kern w:val="0"/>
          <w:szCs w:val="21"/>
        </w:rPr>
        <w:t>学生</w:t>
      </w:r>
      <w:r>
        <w:rPr>
          <w:kern w:val="0"/>
          <w:szCs w:val="21"/>
        </w:rPr>
        <w:t>对茶叶、茶文化乃至传统文化的认知，弘扬传统文化的任务。</w:t>
      </w:r>
    </w:p>
    <w:p>
      <w:pPr>
        <w:snapToGrid w:val="0"/>
        <w:spacing w:line="360" w:lineRule="auto"/>
        <w:jc w:val="left"/>
        <w:rPr>
          <w:b/>
          <w:szCs w:val="21"/>
        </w:rPr>
      </w:pPr>
      <w:r>
        <w:rPr>
          <w:b/>
          <w:szCs w:val="21"/>
        </w:rPr>
        <w:t>二、课程教学的基本要求</w:t>
      </w:r>
    </w:p>
    <w:p>
      <w:pPr>
        <w:spacing w:line="360" w:lineRule="auto"/>
        <w:ind w:firstLine="420"/>
        <w:jc w:val="left"/>
      </w:pPr>
      <w:r>
        <w:rPr>
          <w:szCs w:val="18"/>
        </w:rPr>
        <w:t>通过本课程各教学环节，简明、系统地向学生阐述茶文化的基本理论及其发展规律</w:t>
      </w:r>
      <w:r>
        <w:t>。让学生对茶文化的形成与发展，茶树与茶叶，茶对社会生活的影响，茶事艺术文化作品，茶叶与茶文化的对外传播，饮茶习俗等有系统的</w:t>
      </w:r>
      <w:r>
        <w:rPr>
          <w:rFonts w:hint="eastAsia"/>
        </w:rPr>
        <w:t>掌握</w:t>
      </w:r>
      <w:r>
        <w:t>和学习。</w:t>
      </w:r>
    </w:p>
    <w:p>
      <w:pPr>
        <w:widowControl/>
        <w:snapToGrid w:val="0"/>
        <w:spacing w:line="360" w:lineRule="auto"/>
        <w:jc w:val="left"/>
        <w:rPr>
          <w:b/>
          <w:bCs/>
          <w:kern w:val="0"/>
          <w:szCs w:val="21"/>
        </w:rPr>
      </w:pPr>
      <w:r>
        <w:rPr>
          <w:b/>
          <w:bCs/>
          <w:kern w:val="0"/>
          <w:szCs w:val="21"/>
        </w:rPr>
        <w:t>三、课程的教学设计</w:t>
      </w:r>
    </w:p>
    <w:p>
      <w:pPr>
        <w:spacing w:line="360" w:lineRule="auto"/>
        <w:ind w:firstLine="420" w:firstLineChars="200"/>
        <w:jc w:val="left"/>
        <w:rPr>
          <w:bCs/>
          <w:kern w:val="0"/>
          <w:szCs w:val="21"/>
        </w:rPr>
      </w:pPr>
      <w:r>
        <w:rPr>
          <w:bCs/>
          <w:kern w:val="0"/>
          <w:szCs w:val="21"/>
        </w:rPr>
        <w:t>1.教学设计说明</w:t>
      </w:r>
    </w:p>
    <w:p>
      <w:pPr>
        <w:spacing w:line="360" w:lineRule="auto"/>
        <w:ind w:firstLine="420" w:firstLineChars="200"/>
        <w:jc w:val="left"/>
        <w:rPr>
          <w:bCs/>
          <w:color w:val="FF0000"/>
          <w:kern w:val="0"/>
          <w:szCs w:val="21"/>
        </w:rPr>
      </w:pPr>
      <w:r>
        <w:rPr>
          <w:rFonts w:hint="eastAsia"/>
          <w:bCs/>
          <w:kern w:val="0"/>
          <w:szCs w:val="21"/>
        </w:rPr>
        <w:t>本课程以历史发展和地理分布为主线，以制茶、饮茶方式和相关的茶文化表现形式为辅线，通过思维导图让学生能够把散碎的知识点串联起来，让学生充分掌握不同历史发展阶段的茶文化形式，不同地域的茶文化形式</w:t>
      </w:r>
      <w:r>
        <w:rPr>
          <w:bCs/>
          <w:kern w:val="0"/>
          <w:szCs w:val="21"/>
        </w:rPr>
        <w:t>。</w:t>
      </w:r>
      <w:r>
        <w:rPr>
          <w:rFonts w:hint="eastAsia"/>
          <w:bCs/>
          <w:kern w:val="0"/>
          <w:szCs w:val="21"/>
        </w:rPr>
        <w:t>课程以教师讲授为主；在“饮茶习俗”、“茶事艺文”等相关内容的章节进行翻转课堂，教师布置任务、学生按小组完成之后在课堂上进行讲解。课程进行过程中，教师会发布相应的作业和任务由学生完成。按照作业和任务的达成度来计算成绩随时对学生进行过程性评价，过程性评价的成绩记入课程总成绩。</w:t>
      </w:r>
    </w:p>
    <w:p>
      <w:pPr>
        <w:spacing w:line="360" w:lineRule="auto"/>
        <w:ind w:firstLine="420" w:firstLineChars="200"/>
        <w:jc w:val="left"/>
        <w:rPr>
          <w:bCs/>
          <w:kern w:val="0"/>
          <w:szCs w:val="21"/>
        </w:rPr>
      </w:pPr>
      <w:r>
        <w:rPr>
          <w:bCs/>
          <w:kern w:val="0"/>
          <w:szCs w:val="21"/>
        </w:rPr>
        <w:t>2.课程目标及对毕业要求的支撑</w:t>
      </w:r>
    </w:p>
    <w:tbl>
      <w:tblPr>
        <w:tblStyle w:val="2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b/>
                <w:bCs/>
                <w:sz w:val="18"/>
                <w:szCs w:val="18"/>
              </w:rPr>
            </w:pPr>
            <w:r>
              <w:rPr>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b/>
                <w:bCs/>
                <w:sz w:val="18"/>
                <w:szCs w:val="18"/>
              </w:rPr>
            </w:pPr>
            <w:r>
              <w:rPr>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20" w:lineRule="exact"/>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rFonts w:hint="eastAsia"/>
                <w:sz w:val="18"/>
                <w:szCs w:val="18"/>
              </w:rPr>
              <w:t>使学生充分理解中国茶文化，掌握相关的茶文化知识，并具备能够不断地学习和弘扬传统茶文化的能力。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1</w:t>
            </w:r>
          </w:p>
          <w:p>
            <w:pPr>
              <w:spacing w:line="320" w:lineRule="exact"/>
              <w:jc w:val="center"/>
              <w:rPr>
                <w:sz w:val="18"/>
                <w:szCs w:val="18"/>
              </w:rPr>
            </w:pPr>
            <w:r>
              <w:rPr>
                <w:sz w:val="18"/>
                <w:szCs w:val="18"/>
              </w:rPr>
              <w:t>4</w:t>
            </w:r>
          </w:p>
          <w:p>
            <w:pPr>
              <w:spacing w:line="320" w:lineRule="exact"/>
              <w:jc w:val="center"/>
              <w:rPr>
                <w:sz w:val="18"/>
                <w:szCs w:val="18"/>
              </w:rPr>
            </w:pPr>
            <w:r>
              <w:rPr>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rFonts w:hint="eastAsia"/>
                <w:sz w:val="18"/>
                <w:szCs w:val="18"/>
              </w:rPr>
              <w:t>使学生掌握中国茶文化的对外传播以及世界茶业基本情况，具备相关的国际视野。</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4</w:t>
            </w:r>
          </w:p>
          <w:p>
            <w:pPr>
              <w:spacing w:line="320" w:lineRule="exact"/>
              <w:jc w:val="center"/>
              <w:rPr>
                <w:sz w:val="18"/>
                <w:szCs w:val="18"/>
              </w:rPr>
            </w:pPr>
            <w:r>
              <w:rPr>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rPr>
                <w:sz w:val="18"/>
                <w:szCs w:val="18"/>
              </w:rPr>
            </w:pPr>
            <w:r>
              <w:rPr>
                <w:rFonts w:hint="eastAsia"/>
                <w:sz w:val="18"/>
                <w:szCs w:val="18"/>
              </w:rPr>
              <w:t>使学生掌握茶叶及茶文化的发展历史，具备从中发现相关历史规律的能力。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3</w:t>
            </w:r>
          </w:p>
          <w:p>
            <w:pPr>
              <w:spacing w:line="320" w:lineRule="exact"/>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rPr>
                <w:sz w:val="18"/>
                <w:szCs w:val="18"/>
              </w:rPr>
            </w:pPr>
            <w:r>
              <w:rPr>
                <w:rFonts w:hint="eastAsia"/>
                <w:sz w:val="18"/>
                <w:szCs w:val="18"/>
              </w:rPr>
              <w:t>使学生具备鉴赏茶事艺文作品的能力。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10</w:t>
            </w:r>
          </w:p>
        </w:tc>
      </w:tr>
    </w:tbl>
    <w:p>
      <w:pPr>
        <w:spacing w:line="360" w:lineRule="auto"/>
        <w:jc w:val="left"/>
        <w:rPr>
          <w:b/>
          <w:bCs/>
          <w:kern w:val="0"/>
          <w:szCs w:val="21"/>
        </w:rPr>
      </w:pPr>
      <w:r>
        <w:rPr>
          <w:b/>
          <w:bCs/>
          <w:kern w:val="0"/>
          <w:szCs w:val="21"/>
        </w:rPr>
        <w:t>四、理论教学内容及学时分配（32学时）</w:t>
      </w:r>
    </w:p>
    <w:p>
      <w:pPr>
        <w:adjustRightInd w:val="0"/>
        <w:snapToGrid w:val="0"/>
        <w:spacing w:line="360" w:lineRule="auto"/>
        <w:ind w:firstLine="422" w:firstLineChars="200"/>
        <w:jc w:val="right"/>
        <w:rPr>
          <w:b/>
          <w:szCs w:val="21"/>
        </w:rPr>
      </w:pPr>
      <w:r>
        <w:rPr>
          <w:b/>
          <w:szCs w:val="21"/>
        </w:rPr>
        <w:t>    第一章     </w:t>
      </w:r>
      <w:r>
        <w:rPr>
          <w:b/>
        </w:rPr>
        <w:t>茶文化简史</w:t>
      </w:r>
      <w:r>
        <w:rPr>
          <w:b/>
          <w:szCs w:val="21"/>
        </w:rPr>
        <w:t>                              学时数：6</w:t>
      </w:r>
    </w:p>
    <w:p>
      <w:pPr>
        <w:adjustRightInd w:val="0"/>
        <w:snapToGrid w:val="0"/>
        <w:spacing w:line="360" w:lineRule="auto"/>
        <w:jc w:val="left"/>
        <w:rPr>
          <w:b/>
          <w:bCs/>
        </w:rPr>
      </w:pPr>
      <w:r>
        <w:rPr>
          <w:b/>
          <w:bCs/>
        </w:rPr>
        <w:t>第一节 茶树的起源    1学时</w:t>
      </w:r>
    </w:p>
    <w:p>
      <w:pPr>
        <w:adjustRightInd w:val="0"/>
        <w:snapToGrid w:val="0"/>
        <w:spacing w:line="360" w:lineRule="auto"/>
        <w:jc w:val="left"/>
        <w:rPr>
          <w:b/>
          <w:bCs/>
        </w:rPr>
      </w:pPr>
      <w:r>
        <w:rPr>
          <w:b/>
          <w:bCs/>
        </w:rPr>
        <w:t>第二节 饮茶的起源与演变    2学时</w:t>
      </w:r>
    </w:p>
    <w:p>
      <w:pPr>
        <w:adjustRightInd w:val="0"/>
        <w:snapToGrid w:val="0"/>
        <w:spacing w:line="360" w:lineRule="auto"/>
        <w:jc w:val="left"/>
        <w:rPr>
          <w:b/>
          <w:bCs/>
        </w:rPr>
      </w:pPr>
      <w:r>
        <w:rPr>
          <w:b/>
          <w:bCs/>
        </w:rPr>
        <w:t>第三节 茶文化的形成与发展    2学时</w:t>
      </w:r>
    </w:p>
    <w:p>
      <w:pPr>
        <w:adjustRightInd w:val="0"/>
        <w:snapToGrid w:val="0"/>
        <w:spacing w:line="360" w:lineRule="auto"/>
        <w:jc w:val="left"/>
        <w:rPr>
          <w:b/>
          <w:bCs/>
        </w:rPr>
      </w:pPr>
      <w:r>
        <w:rPr>
          <w:b/>
          <w:bCs/>
        </w:rPr>
        <w:t>第四节 茶文化的对外传播    1学时</w:t>
      </w:r>
    </w:p>
    <w:p>
      <w:pPr>
        <w:adjustRightInd w:val="0"/>
        <w:snapToGrid w:val="0"/>
        <w:spacing w:line="360" w:lineRule="auto"/>
        <w:jc w:val="left"/>
        <w:rPr>
          <w:szCs w:val="21"/>
        </w:rPr>
      </w:pPr>
      <w:r>
        <w:rPr>
          <w:b/>
          <w:bCs/>
        </w:rPr>
        <w:t>教学目的：</w:t>
      </w:r>
      <w:r>
        <w:rPr>
          <w:szCs w:val="21"/>
        </w:rPr>
        <w:t>掌握茶树的起源，饮茶的起源与演变，茶具的发展，茶文化的对外传播，掌握茶文化形成与发展。</w:t>
      </w:r>
    </w:p>
    <w:p>
      <w:pPr>
        <w:adjustRightInd w:val="0"/>
        <w:snapToGrid w:val="0"/>
        <w:spacing w:line="360" w:lineRule="auto"/>
        <w:jc w:val="left"/>
        <w:rPr>
          <w:szCs w:val="21"/>
        </w:rPr>
      </w:pPr>
      <w:r>
        <w:rPr>
          <w:b/>
          <w:bCs/>
        </w:rPr>
        <w:t>教学重点和难点：</w:t>
      </w:r>
      <w:r>
        <w:rPr>
          <w:szCs w:val="21"/>
        </w:rPr>
        <w:t>茶树的原产地，茶文化的形成与发展。</w:t>
      </w:r>
    </w:p>
    <w:p>
      <w:pPr>
        <w:adjustRightInd w:val="0"/>
        <w:snapToGrid w:val="0"/>
        <w:spacing w:line="360" w:lineRule="auto"/>
        <w:jc w:val="left"/>
        <w:rPr>
          <w:szCs w:val="21"/>
        </w:rPr>
      </w:pPr>
      <w:r>
        <w:rPr>
          <w:b/>
          <w:bCs/>
        </w:rPr>
        <w:t>主要教学内容及要求：</w:t>
      </w:r>
      <w:r>
        <w:rPr>
          <w:szCs w:val="21"/>
        </w:rPr>
        <w:t>了解茶树的起源学说，掌握茶树的原产地；了解饮茶的起源与演变，熟练掌握唐代煮茶法、宋代点茶法、明代以后泡茶法；</w:t>
      </w:r>
      <w:r>
        <w:rPr>
          <w:rFonts w:hint="eastAsia"/>
          <w:szCs w:val="21"/>
        </w:rPr>
        <w:t>理解</w:t>
      </w:r>
      <w:r>
        <w:rPr>
          <w:szCs w:val="21"/>
        </w:rPr>
        <w:t>茶具的发展过程与茶具的种类；掌握茶文化的对外传播，</w:t>
      </w:r>
      <w:r>
        <w:rPr>
          <w:rFonts w:hint="eastAsia"/>
          <w:szCs w:val="21"/>
        </w:rPr>
        <w:t>理解</w:t>
      </w:r>
      <w:r>
        <w:rPr>
          <w:szCs w:val="21"/>
        </w:rPr>
        <w:t>茶叶在世界历史发展进程中的重要意义；熟练掌握茶文化的形成与发展。</w:t>
      </w:r>
    </w:p>
    <w:p>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结合讲授式教学的方法进行，让学生深入学习章节内容。课后布置任务让学生对章节知识进行梳理，同时通过作业检验学生对章节内容的掌握程度。</w:t>
      </w:r>
    </w:p>
    <w:p>
      <w:pPr>
        <w:snapToGrid w:val="0"/>
        <w:spacing w:line="360" w:lineRule="auto"/>
        <w:jc w:val="right"/>
        <w:rPr>
          <w:b/>
          <w:szCs w:val="21"/>
        </w:rPr>
      </w:pPr>
      <w:r>
        <w:rPr>
          <w:b/>
          <w:szCs w:val="21"/>
        </w:rPr>
        <w:t>第二章     </w:t>
      </w:r>
      <w:r>
        <w:rPr>
          <w:b/>
        </w:rPr>
        <w:t>茶树与茶叶</w:t>
      </w:r>
      <w:r>
        <w:rPr>
          <w:b/>
          <w:szCs w:val="21"/>
        </w:rPr>
        <w:t>                        学时数：2</w:t>
      </w:r>
    </w:p>
    <w:p>
      <w:pPr>
        <w:spacing w:line="360" w:lineRule="auto"/>
        <w:jc w:val="left"/>
        <w:rPr>
          <w:b/>
          <w:bCs/>
        </w:rPr>
      </w:pPr>
      <w:r>
        <w:rPr>
          <w:b/>
          <w:bCs/>
        </w:rPr>
        <w:t>第一节 茶树    1学时</w:t>
      </w:r>
    </w:p>
    <w:p>
      <w:pPr>
        <w:spacing w:line="360" w:lineRule="auto"/>
        <w:jc w:val="left"/>
        <w:rPr>
          <w:b/>
          <w:bCs/>
        </w:rPr>
      </w:pPr>
      <w:r>
        <w:rPr>
          <w:b/>
          <w:bCs/>
        </w:rPr>
        <w:t>第二节 茶叶    1学时</w:t>
      </w:r>
    </w:p>
    <w:p>
      <w:pPr>
        <w:adjustRightInd w:val="0"/>
        <w:snapToGrid w:val="0"/>
        <w:spacing w:line="360" w:lineRule="auto"/>
        <w:jc w:val="left"/>
      </w:pPr>
      <w:r>
        <w:rPr>
          <w:b/>
          <w:bCs/>
        </w:rPr>
        <w:t>教学目的：</w:t>
      </w:r>
      <w:r>
        <w:rPr>
          <w:kern w:val="0"/>
          <w:szCs w:val="21"/>
        </w:rPr>
        <w:t>让学生掌握茶树的生育特性，茶树的适生环境，茶叶的分类，基本茶类的初制工艺和品质特点</w:t>
      </w:r>
      <w:r>
        <w:t>。</w:t>
      </w:r>
    </w:p>
    <w:p>
      <w:pPr>
        <w:adjustRightInd w:val="0"/>
        <w:snapToGrid w:val="0"/>
        <w:spacing w:line="360" w:lineRule="auto"/>
        <w:jc w:val="left"/>
        <w:rPr>
          <w:szCs w:val="21"/>
        </w:rPr>
      </w:pPr>
      <w:r>
        <w:rPr>
          <w:b/>
        </w:rPr>
        <w:t>教学重点和难点：</w:t>
      </w:r>
      <w:r>
        <w:t>茶树的适生环境，基本茶类的初制工艺。</w:t>
      </w:r>
    </w:p>
    <w:p>
      <w:pPr>
        <w:spacing w:line="360" w:lineRule="auto"/>
        <w:jc w:val="left"/>
      </w:pPr>
      <w:r>
        <w:rPr>
          <w:b/>
          <w:bCs/>
        </w:rPr>
        <w:t>主要教学内容及要求：</w:t>
      </w:r>
      <w:r>
        <w:t>掌握茶树的一生，茶树的根茎叶花果，“花果香会”，茶树的适生环境，茶类的形成与发展，茶叶的分类，基本茶类的初制工艺和品质特点，再加工茶类。</w:t>
      </w:r>
    </w:p>
    <w:p>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结合讲授式教学的方法进行，让学生深入学习章节内容。课后布置任务让学生对章节知识进行梳理，同时通过作业检验学生对章节内容的掌握程度。</w:t>
      </w:r>
    </w:p>
    <w:p>
      <w:pPr>
        <w:snapToGrid w:val="0"/>
        <w:spacing w:line="360" w:lineRule="auto"/>
        <w:jc w:val="right"/>
        <w:rPr>
          <w:b/>
          <w:szCs w:val="21"/>
        </w:rPr>
      </w:pPr>
      <w:r>
        <w:rPr>
          <w:b/>
          <w:szCs w:val="21"/>
        </w:rPr>
        <w:t>第三章     </w:t>
      </w:r>
      <w:r>
        <w:rPr>
          <w:b/>
        </w:rPr>
        <w:t>茶与社会</w:t>
      </w:r>
      <w:r>
        <w:rPr>
          <w:b/>
          <w:szCs w:val="21"/>
        </w:rPr>
        <w:t>                                     学时数：8</w:t>
      </w:r>
    </w:p>
    <w:p>
      <w:pPr>
        <w:adjustRightInd w:val="0"/>
        <w:snapToGrid w:val="0"/>
        <w:spacing w:line="360" w:lineRule="auto"/>
        <w:jc w:val="left"/>
        <w:rPr>
          <w:b/>
          <w:bCs/>
        </w:rPr>
      </w:pPr>
      <w:r>
        <w:rPr>
          <w:b/>
          <w:bCs/>
        </w:rPr>
        <w:t>第一节 茶政与茶法    2学时</w:t>
      </w:r>
    </w:p>
    <w:p>
      <w:pPr>
        <w:adjustRightInd w:val="0"/>
        <w:snapToGrid w:val="0"/>
        <w:spacing w:line="360" w:lineRule="auto"/>
        <w:jc w:val="left"/>
        <w:rPr>
          <w:b/>
          <w:bCs/>
        </w:rPr>
      </w:pPr>
      <w:r>
        <w:rPr>
          <w:b/>
          <w:bCs/>
        </w:rPr>
        <w:t>第二节 茶与儒释道    4学时</w:t>
      </w:r>
    </w:p>
    <w:p>
      <w:pPr>
        <w:adjustRightInd w:val="0"/>
        <w:snapToGrid w:val="0"/>
        <w:spacing w:line="360" w:lineRule="auto"/>
        <w:jc w:val="left"/>
        <w:rPr>
          <w:b/>
          <w:bCs/>
        </w:rPr>
      </w:pPr>
      <w:r>
        <w:rPr>
          <w:b/>
          <w:bCs/>
        </w:rPr>
        <w:t>第三节 茶馆文化    2学时</w:t>
      </w:r>
    </w:p>
    <w:p>
      <w:pPr>
        <w:adjustRightInd w:val="0"/>
        <w:snapToGrid w:val="0"/>
        <w:spacing w:line="360" w:lineRule="auto"/>
        <w:jc w:val="left"/>
        <w:rPr>
          <w:szCs w:val="21"/>
        </w:rPr>
      </w:pPr>
      <w:r>
        <w:rPr>
          <w:b/>
          <w:bCs/>
        </w:rPr>
        <w:t>教学目的：</w:t>
      </w:r>
      <w:r>
        <w:rPr>
          <w:szCs w:val="21"/>
        </w:rPr>
        <w:t>理解历代的茶政与茶法，理解茶与儒、释、道的关系，理解茶馆文化的发展。</w:t>
      </w:r>
    </w:p>
    <w:p>
      <w:pPr>
        <w:adjustRightInd w:val="0"/>
        <w:snapToGrid w:val="0"/>
        <w:spacing w:line="360" w:lineRule="auto"/>
        <w:jc w:val="left"/>
        <w:rPr>
          <w:szCs w:val="21"/>
        </w:rPr>
      </w:pPr>
      <w:r>
        <w:rPr>
          <w:b/>
          <w:bCs/>
        </w:rPr>
        <w:t>教学重点和难点：</w:t>
      </w:r>
      <w:r>
        <w:rPr>
          <w:szCs w:val="21"/>
        </w:rPr>
        <w:t>茶政与茶法，茶与儒释道。</w:t>
      </w:r>
    </w:p>
    <w:p>
      <w:pPr>
        <w:adjustRightInd w:val="0"/>
        <w:snapToGrid w:val="0"/>
        <w:spacing w:line="360" w:lineRule="auto"/>
        <w:jc w:val="left"/>
        <w:rPr>
          <w:szCs w:val="21"/>
        </w:rPr>
      </w:pPr>
      <w:r>
        <w:rPr>
          <w:b/>
          <w:bCs/>
        </w:rPr>
        <w:t>主要教学内容及要求：</w:t>
      </w:r>
      <w:r>
        <w:rPr>
          <w:szCs w:val="21"/>
        </w:rPr>
        <w:t>理解历代的茶政与茶法；掌握</w:t>
      </w:r>
      <w:r>
        <w:rPr>
          <w:rFonts w:hint="eastAsia"/>
          <w:szCs w:val="21"/>
        </w:rPr>
        <w:t>“</w:t>
      </w:r>
      <w:r>
        <w:rPr>
          <w:szCs w:val="21"/>
        </w:rPr>
        <w:t>茶马互市</w:t>
      </w:r>
      <w:r>
        <w:rPr>
          <w:rFonts w:hint="eastAsia"/>
          <w:szCs w:val="21"/>
        </w:rPr>
        <w:t>”</w:t>
      </w:r>
      <w:r>
        <w:rPr>
          <w:szCs w:val="21"/>
        </w:rPr>
        <w:t>和</w:t>
      </w:r>
      <w:r>
        <w:rPr>
          <w:rFonts w:hint="eastAsia"/>
          <w:szCs w:val="21"/>
        </w:rPr>
        <w:t>“</w:t>
      </w:r>
      <w:r>
        <w:rPr>
          <w:szCs w:val="21"/>
        </w:rPr>
        <w:t>榷茶制</w:t>
      </w:r>
      <w:r>
        <w:rPr>
          <w:rFonts w:hint="eastAsia"/>
          <w:szCs w:val="21"/>
        </w:rPr>
        <w:t>”</w:t>
      </w:r>
      <w:r>
        <w:rPr>
          <w:szCs w:val="21"/>
        </w:rPr>
        <w:t>的确立与发展；理解儒释道三家在茶文化发展中的作用；理解茶馆的发展与变迁以及现代茶馆的分类与特征。</w:t>
      </w:r>
    </w:p>
    <w:p>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结合讲授式教学的方法进行，让学生深入学习章节内容。课后布置任务让学生对章节知识进行梳理，同时通过作业检验学生对章节内容的掌握程度。</w:t>
      </w:r>
    </w:p>
    <w:p>
      <w:pPr>
        <w:snapToGrid w:val="0"/>
        <w:spacing w:line="360" w:lineRule="auto"/>
        <w:jc w:val="right"/>
        <w:rPr>
          <w:b/>
          <w:szCs w:val="21"/>
        </w:rPr>
      </w:pPr>
      <w:r>
        <w:rPr>
          <w:b/>
          <w:szCs w:val="21"/>
        </w:rPr>
        <w:t>第四章     </w:t>
      </w:r>
      <w:r>
        <w:rPr>
          <w:b/>
        </w:rPr>
        <w:t>茶事艺文</w:t>
      </w:r>
      <w:r>
        <w:rPr>
          <w:b/>
          <w:szCs w:val="21"/>
        </w:rPr>
        <w:t>                                    学时数：4</w:t>
      </w:r>
    </w:p>
    <w:p>
      <w:pPr>
        <w:adjustRightInd w:val="0"/>
        <w:snapToGrid w:val="0"/>
        <w:spacing w:line="360" w:lineRule="auto"/>
        <w:jc w:val="left"/>
        <w:rPr>
          <w:b/>
          <w:bCs/>
        </w:rPr>
      </w:pPr>
      <w:r>
        <w:rPr>
          <w:b/>
          <w:bCs/>
        </w:rPr>
        <w:t>第一节 茶事诗词    1学时</w:t>
      </w:r>
    </w:p>
    <w:p>
      <w:pPr>
        <w:adjustRightInd w:val="0"/>
        <w:snapToGrid w:val="0"/>
        <w:spacing w:line="360" w:lineRule="auto"/>
        <w:jc w:val="left"/>
        <w:rPr>
          <w:b/>
          <w:bCs/>
        </w:rPr>
      </w:pPr>
      <w:r>
        <w:rPr>
          <w:b/>
          <w:bCs/>
        </w:rPr>
        <w:t>第二节 茶事书画   1学时</w:t>
      </w:r>
    </w:p>
    <w:p>
      <w:pPr>
        <w:adjustRightInd w:val="0"/>
        <w:snapToGrid w:val="0"/>
        <w:spacing w:line="360" w:lineRule="auto"/>
        <w:jc w:val="left"/>
        <w:rPr>
          <w:b/>
          <w:bCs/>
        </w:rPr>
      </w:pPr>
      <w:r>
        <w:rPr>
          <w:b/>
          <w:bCs/>
        </w:rPr>
        <w:t>第三节 茶事楹联   1学时</w:t>
      </w:r>
    </w:p>
    <w:p>
      <w:pPr>
        <w:adjustRightInd w:val="0"/>
        <w:snapToGrid w:val="0"/>
        <w:spacing w:line="360" w:lineRule="auto"/>
        <w:jc w:val="left"/>
        <w:rPr>
          <w:b/>
          <w:bCs/>
        </w:rPr>
      </w:pPr>
      <w:r>
        <w:rPr>
          <w:b/>
          <w:bCs/>
        </w:rPr>
        <w:t>第四节 茶与其他文学艺术   1学时</w:t>
      </w:r>
    </w:p>
    <w:p>
      <w:pPr>
        <w:adjustRightInd w:val="0"/>
        <w:snapToGrid w:val="0"/>
        <w:spacing w:line="360" w:lineRule="auto"/>
        <w:jc w:val="left"/>
        <w:rPr>
          <w:szCs w:val="21"/>
        </w:rPr>
      </w:pPr>
      <w:r>
        <w:rPr>
          <w:b/>
          <w:bCs/>
        </w:rPr>
        <w:t>教学目的：</w:t>
      </w:r>
      <w:r>
        <w:rPr>
          <w:szCs w:val="21"/>
        </w:rPr>
        <w:t>掌握历代的茶事诗词、茶事书画、茶事楹联及其他文学艺术作品。</w:t>
      </w:r>
    </w:p>
    <w:p>
      <w:pPr>
        <w:adjustRightInd w:val="0"/>
        <w:snapToGrid w:val="0"/>
        <w:spacing w:line="360" w:lineRule="auto"/>
        <w:jc w:val="left"/>
        <w:rPr>
          <w:b/>
          <w:bCs/>
        </w:rPr>
      </w:pPr>
      <w:r>
        <w:rPr>
          <w:b/>
          <w:bCs/>
        </w:rPr>
        <w:t>教学重点和难点：</w:t>
      </w:r>
      <w:r>
        <w:rPr>
          <w:szCs w:val="21"/>
        </w:rPr>
        <w:t>茶树诗词、茶事书画。</w:t>
      </w:r>
    </w:p>
    <w:p>
      <w:pPr>
        <w:adjustRightInd w:val="0"/>
        <w:snapToGrid w:val="0"/>
        <w:spacing w:line="360" w:lineRule="auto"/>
        <w:jc w:val="left"/>
        <w:rPr>
          <w:szCs w:val="21"/>
        </w:rPr>
      </w:pPr>
      <w:r>
        <w:rPr>
          <w:b/>
          <w:bCs/>
        </w:rPr>
        <w:t>主要教学内容及要求：</w:t>
      </w:r>
      <w:r>
        <w:rPr>
          <w:szCs w:val="21"/>
        </w:rPr>
        <w:t>了解历代茶事诗词，掌握并能够诵读唐代元稹《一至七字诗 茶》、卢仝《七碗茶歌》等诗词作品。了解历代茶事书画，掌握唐代《宫乐图》、《萧翼赚兰亭图》，宋代《文会图》、《茗园赌市图》，明代《惠山茶会图》等书画作品。了解历代茶事楹联及其他文学艺术作品，掌握《红楼梦》等作品中的茶文化。</w:t>
      </w:r>
    </w:p>
    <w:p>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参与式教学结合讲授式教学的方法进行，让学生深入学习章节内容。课后布置任务让学生对章节知识进行梳理，同时通过作业检验学生对章节内容的掌握程度。</w:t>
      </w:r>
    </w:p>
    <w:p>
      <w:pPr>
        <w:snapToGrid w:val="0"/>
        <w:spacing w:line="360" w:lineRule="auto"/>
        <w:jc w:val="right"/>
        <w:rPr>
          <w:b/>
          <w:szCs w:val="21"/>
        </w:rPr>
      </w:pPr>
      <w:r>
        <w:rPr>
          <w:b/>
          <w:szCs w:val="21"/>
        </w:rPr>
        <w:t>第五章    </w:t>
      </w:r>
      <w:r>
        <w:rPr>
          <w:b/>
        </w:rPr>
        <w:t>茶俗</w:t>
      </w:r>
      <w:r>
        <w:rPr>
          <w:b/>
          <w:szCs w:val="21"/>
        </w:rPr>
        <w:t>                                     学时数：2</w:t>
      </w:r>
    </w:p>
    <w:p>
      <w:pPr>
        <w:adjustRightInd w:val="0"/>
        <w:snapToGrid w:val="0"/>
        <w:spacing w:line="360" w:lineRule="auto"/>
        <w:jc w:val="left"/>
        <w:rPr>
          <w:b/>
          <w:bCs/>
        </w:rPr>
      </w:pPr>
      <w:r>
        <w:rPr>
          <w:b/>
          <w:bCs/>
        </w:rPr>
        <w:t>第一节 汉族茶俗   1学时</w:t>
      </w:r>
    </w:p>
    <w:p>
      <w:pPr>
        <w:adjustRightInd w:val="0"/>
        <w:snapToGrid w:val="0"/>
        <w:spacing w:line="360" w:lineRule="auto"/>
        <w:jc w:val="left"/>
        <w:rPr>
          <w:b/>
          <w:bCs/>
        </w:rPr>
      </w:pPr>
      <w:r>
        <w:rPr>
          <w:b/>
          <w:bCs/>
        </w:rPr>
        <w:t>第二节 少数民族茶俗   1学时</w:t>
      </w:r>
    </w:p>
    <w:p>
      <w:pPr>
        <w:adjustRightInd w:val="0"/>
        <w:snapToGrid w:val="0"/>
        <w:spacing w:line="360" w:lineRule="auto"/>
        <w:jc w:val="left"/>
        <w:rPr>
          <w:szCs w:val="21"/>
        </w:rPr>
      </w:pPr>
      <w:r>
        <w:rPr>
          <w:b/>
          <w:bCs/>
        </w:rPr>
        <w:t>教学目的：</w:t>
      </w:r>
      <w:r>
        <w:rPr>
          <w:szCs w:val="21"/>
        </w:rPr>
        <w:t>让学生熟练掌握汉族不同地区的饮茶习惯与茶俗，不同少数民族的茶俗。</w:t>
      </w:r>
    </w:p>
    <w:p>
      <w:pPr>
        <w:adjustRightInd w:val="0"/>
        <w:snapToGrid w:val="0"/>
        <w:spacing w:line="360" w:lineRule="auto"/>
        <w:jc w:val="left"/>
        <w:rPr>
          <w:szCs w:val="21"/>
        </w:rPr>
      </w:pPr>
      <w:r>
        <w:rPr>
          <w:b/>
          <w:bCs/>
        </w:rPr>
        <w:t>教学重点和难点：</w:t>
      </w:r>
      <w:r>
        <w:rPr>
          <w:szCs w:val="21"/>
        </w:rPr>
        <w:t>汉族茶俗、少数民族茶俗。</w:t>
      </w:r>
    </w:p>
    <w:p>
      <w:pPr>
        <w:adjustRightInd w:val="0"/>
        <w:snapToGrid w:val="0"/>
        <w:spacing w:line="360" w:lineRule="auto"/>
        <w:jc w:val="left"/>
        <w:rPr>
          <w:szCs w:val="21"/>
        </w:rPr>
      </w:pPr>
      <w:r>
        <w:rPr>
          <w:b/>
          <w:bCs/>
        </w:rPr>
        <w:t>主要教学内容及要求：</w:t>
      </w:r>
      <w:r>
        <w:rPr>
          <w:szCs w:val="21"/>
        </w:rPr>
        <w:t>掌握汉族不同地区的茶俗，熟练掌握茶在汉族婚仪、祭祀、丧葬等习俗中扮演的角色；掌握不同少数民族的茶俗，熟练掌握藏族酥油茶、内蒙古咸奶茶、傣族竹筒香茶、白族</w:t>
      </w:r>
      <w:r>
        <w:rPr>
          <w:rFonts w:hint="eastAsia"/>
          <w:szCs w:val="21"/>
        </w:rPr>
        <w:t>“</w:t>
      </w:r>
      <w:r>
        <w:rPr>
          <w:szCs w:val="21"/>
        </w:rPr>
        <w:t>三道茶</w:t>
      </w:r>
      <w:r>
        <w:rPr>
          <w:rFonts w:hint="eastAsia"/>
          <w:szCs w:val="21"/>
        </w:rPr>
        <w:t>”</w:t>
      </w:r>
      <w:r>
        <w:rPr>
          <w:szCs w:val="21"/>
        </w:rPr>
        <w:t>、回族</w:t>
      </w:r>
      <w:r>
        <w:rPr>
          <w:rFonts w:hint="eastAsia"/>
          <w:szCs w:val="21"/>
        </w:rPr>
        <w:t>“</w:t>
      </w:r>
      <w:r>
        <w:rPr>
          <w:szCs w:val="21"/>
        </w:rPr>
        <w:t>三炮台盖碗茶</w:t>
      </w:r>
      <w:r>
        <w:rPr>
          <w:rFonts w:hint="eastAsia"/>
          <w:szCs w:val="21"/>
        </w:rPr>
        <w:t>”</w:t>
      </w:r>
      <w:r>
        <w:rPr>
          <w:szCs w:val="21"/>
        </w:rPr>
        <w:t>、南疆北疆不同饮茶习惯、基诺族吃茶、拉祜族饮烤茶、土家族擂茶、罐罐茶、打油茶、九道茶等饮茶习俗。</w:t>
      </w:r>
    </w:p>
    <w:p>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情景式教学结合讲授式教学的方法进行，让学生深入学习章节内容。课后布置任务让学生对章节知识进行梳理，同时通过作业检验学生对章节内容的掌握程度。</w:t>
      </w:r>
    </w:p>
    <w:p>
      <w:pPr>
        <w:snapToGrid w:val="0"/>
        <w:spacing w:line="360" w:lineRule="auto"/>
        <w:jc w:val="right"/>
        <w:rPr>
          <w:b/>
          <w:szCs w:val="21"/>
        </w:rPr>
      </w:pPr>
      <w:r>
        <w:rPr>
          <w:b/>
          <w:szCs w:val="21"/>
        </w:rPr>
        <w:t>第六章     </w:t>
      </w:r>
      <w:r>
        <w:rPr>
          <w:b/>
        </w:rPr>
        <w:t>外国茶文化</w:t>
      </w:r>
      <w:r>
        <w:rPr>
          <w:b/>
          <w:szCs w:val="21"/>
        </w:rPr>
        <w:t>                                      学时数：4</w:t>
      </w:r>
    </w:p>
    <w:p>
      <w:pPr>
        <w:adjustRightInd w:val="0"/>
        <w:snapToGrid w:val="0"/>
        <w:spacing w:line="360" w:lineRule="auto"/>
        <w:jc w:val="left"/>
        <w:rPr>
          <w:b/>
          <w:bCs/>
        </w:rPr>
      </w:pPr>
      <w:r>
        <w:rPr>
          <w:b/>
          <w:bCs/>
        </w:rPr>
        <w:t>第一节 亚洲茶文化   1学时</w:t>
      </w:r>
    </w:p>
    <w:p>
      <w:pPr>
        <w:adjustRightInd w:val="0"/>
        <w:snapToGrid w:val="0"/>
        <w:spacing w:line="360" w:lineRule="auto"/>
        <w:jc w:val="left"/>
        <w:rPr>
          <w:b/>
          <w:bCs/>
        </w:rPr>
      </w:pPr>
      <w:r>
        <w:rPr>
          <w:b/>
          <w:bCs/>
        </w:rPr>
        <w:t>第二节 欧美茶文化   1学时</w:t>
      </w:r>
    </w:p>
    <w:p>
      <w:pPr>
        <w:adjustRightInd w:val="0"/>
        <w:snapToGrid w:val="0"/>
        <w:spacing w:line="360" w:lineRule="auto"/>
        <w:jc w:val="left"/>
        <w:rPr>
          <w:b/>
          <w:bCs/>
        </w:rPr>
      </w:pPr>
      <w:r>
        <w:rPr>
          <w:b/>
          <w:bCs/>
        </w:rPr>
        <w:t>第三节 非洲茶文化   1学时</w:t>
      </w:r>
    </w:p>
    <w:p>
      <w:pPr>
        <w:adjustRightInd w:val="0"/>
        <w:snapToGrid w:val="0"/>
        <w:spacing w:line="360" w:lineRule="auto"/>
        <w:jc w:val="left"/>
        <w:rPr>
          <w:b/>
          <w:bCs/>
        </w:rPr>
      </w:pPr>
      <w:r>
        <w:rPr>
          <w:b/>
          <w:bCs/>
        </w:rPr>
        <w:t>第四节 南美洲及大洋洲茶文化   1学时</w:t>
      </w:r>
    </w:p>
    <w:p>
      <w:pPr>
        <w:adjustRightInd w:val="0"/>
        <w:snapToGrid w:val="0"/>
        <w:spacing w:line="360" w:lineRule="auto"/>
        <w:jc w:val="left"/>
        <w:rPr>
          <w:szCs w:val="21"/>
        </w:rPr>
      </w:pPr>
      <w:r>
        <w:rPr>
          <w:b/>
          <w:bCs/>
        </w:rPr>
        <w:t>教学目的：</w:t>
      </w:r>
      <w:r>
        <w:rPr>
          <w:szCs w:val="21"/>
        </w:rPr>
        <w:t>让学生掌握各国茶文化。</w:t>
      </w:r>
    </w:p>
    <w:p>
      <w:pPr>
        <w:adjustRightInd w:val="0"/>
        <w:snapToGrid w:val="0"/>
        <w:spacing w:line="360" w:lineRule="auto"/>
        <w:jc w:val="left"/>
        <w:rPr>
          <w:szCs w:val="21"/>
        </w:rPr>
      </w:pPr>
      <w:r>
        <w:rPr>
          <w:b/>
          <w:bCs/>
        </w:rPr>
        <w:t>教学重点和难点：</w:t>
      </w:r>
      <w:r>
        <w:rPr>
          <w:szCs w:val="21"/>
        </w:rPr>
        <w:t>日本茶道、英国下午茶。</w:t>
      </w:r>
    </w:p>
    <w:p>
      <w:pPr>
        <w:adjustRightInd w:val="0"/>
        <w:snapToGrid w:val="0"/>
        <w:spacing w:line="360" w:lineRule="auto"/>
        <w:jc w:val="left"/>
        <w:rPr>
          <w:szCs w:val="21"/>
        </w:rPr>
      </w:pPr>
      <w:r>
        <w:rPr>
          <w:b/>
          <w:bCs/>
        </w:rPr>
        <w:t>主要教学内容及要求：</w:t>
      </w:r>
      <w:r>
        <w:rPr>
          <w:szCs w:val="21"/>
        </w:rPr>
        <w:t>掌握各国茶文化，熟练掌握日本茶文化与英国茶文化。掌握世界各国茶文化的传播与发展。</w:t>
      </w:r>
    </w:p>
    <w:p>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情景式教学结合讲授式教学的方法进行，让学生深入学习章节内容。课后布置任务让学生对章节知识进行梳理，同时通过作业检验学生对章节内容的掌握程度。</w:t>
      </w:r>
    </w:p>
    <w:p>
      <w:pPr>
        <w:snapToGrid w:val="0"/>
        <w:spacing w:line="360" w:lineRule="auto"/>
        <w:jc w:val="right"/>
        <w:rPr>
          <w:b/>
          <w:szCs w:val="21"/>
        </w:rPr>
      </w:pPr>
      <w:r>
        <w:rPr>
          <w:b/>
          <w:szCs w:val="21"/>
        </w:rPr>
        <w:t>第七章     </w:t>
      </w:r>
      <w:r>
        <w:rPr>
          <w:b/>
        </w:rPr>
        <w:t>茶与健康</w:t>
      </w:r>
      <w:r>
        <w:rPr>
          <w:b/>
          <w:szCs w:val="21"/>
        </w:rPr>
        <w:t>                                       学时数：2</w:t>
      </w:r>
    </w:p>
    <w:p>
      <w:pPr>
        <w:adjustRightInd w:val="0"/>
        <w:snapToGrid w:val="0"/>
        <w:spacing w:line="360" w:lineRule="auto"/>
        <w:jc w:val="left"/>
        <w:rPr>
          <w:b/>
          <w:bCs/>
        </w:rPr>
      </w:pPr>
      <w:r>
        <w:rPr>
          <w:b/>
          <w:bCs/>
        </w:rPr>
        <w:t>第一节 茶叶中的功能性成分   0.5学时</w:t>
      </w:r>
    </w:p>
    <w:p>
      <w:pPr>
        <w:adjustRightInd w:val="0"/>
        <w:snapToGrid w:val="0"/>
        <w:spacing w:line="360" w:lineRule="auto"/>
        <w:jc w:val="left"/>
        <w:rPr>
          <w:b/>
          <w:bCs/>
        </w:rPr>
      </w:pPr>
      <w:r>
        <w:rPr>
          <w:b/>
          <w:bCs/>
        </w:rPr>
        <w:t>第二节 茶叶的主要保健功能   1学时</w:t>
      </w:r>
    </w:p>
    <w:p>
      <w:pPr>
        <w:adjustRightInd w:val="0"/>
        <w:snapToGrid w:val="0"/>
        <w:spacing w:line="360" w:lineRule="auto"/>
        <w:jc w:val="left"/>
        <w:rPr>
          <w:b/>
          <w:bCs/>
        </w:rPr>
      </w:pPr>
      <w:r>
        <w:rPr>
          <w:b/>
          <w:bCs/>
        </w:rPr>
        <w:t>第三节 科学饮茶   0.5学时</w:t>
      </w:r>
    </w:p>
    <w:p>
      <w:pPr>
        <w:adjustRightInd w:val="0"/>
        <w:snapToGrid w:val="0"/>
        <w:spacing w:line="360" w:lineRule="auto"/>
        <w:jc w:val="left"/>
        <w:rPr>
          <w:szCs w:val="21"/>
        </w:rPr>
      </w:pPr>
      <w:r>
        <w:rPr>
          <w:b/>
          <w:bCs/>
        </w:rPr>
        <w:t>教学目的：</w:t>
      </w:r>
      <w:r>
        <w:rPr>
          <w:szCs w:val="21"/>
        </w:rPr>
        <w:t>掌握茶叶中的主要功能性成分及茶叶的保健功能，熟练掌握科学的饮茶方法。</w:t>
      </w:r>
    </w:p>
    <w:p>
      <w:pPr>
        <w:adjustRightInd w:val="0"/>
        <w:snapToGrid w:val="0"/>
        <w:spacing w:line="360" w:lineRule="auto"/>
        <w:jc w:val="left"/>
        <w:rPr>
          <w:szCs w:val="21"/>
        </w:rPr>
      </w:pPr>
      <w:r>
        <w:rPr>
          <w:b/>
          <w:bCs/>
        </w:rPr>
        <w:t>教学重点和难点：</w:t>
      </w:r>
      <w:r>
        <w:rPr>
          <w:szCs w:val="21"/>
        </w:rPr>
        <w:t xml:space="preserve"> 茶叶中的主要功能性成分及茶叶的保健功能。</w:t>
      </w:r>
    </w:p>
    <w:p>
      <w:pPr>
        <w:adjustRightInd w:val="0"/>
        <w:snapToGrid w:val="0"/>
        <w:spacing w:line="360" w:lineRule="auto"/>
        <w:jc w:val="left"/>
        <w:rPr>
          <w:szCs w:val="21"/>
        </w:rPr>
      </w:pPr>
      <w:r>
        <w:rPr>
          <w:b/>
          <w:bCs/>
        </w:rPr>
        <w:t>主要教学内容及要求：</w:t>
      </w:r>
      <w:r>
        <w:rPr>
          <w:szCs w:val="21"/>
        </w:rPr>
        <w:t>掌握茶叶中的主要功能性成分及茶叶的保健功能，熟练掌握科学的饮茶方法。</w:t>
      </w:r>
    </w:p>
    <w:p>
      <w:pPr>
        <w:adjustRightInd w:val="0"/>
        <w:snapToGrid w:val="0"/>
        <w:spacing w:line="360" w:lineRule="auto"/>
        <w:jc w:val="left"/>
        <w:rPr>
          <w:b/>
          <w:bCs/>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体验式教学结合讲授式教学的方法进行，让学生深入学习章节内容。课后布置任务让学生对章节知识进行梳理，同时通过作业检验学生对章节内容的掌握程度。</w:t>
      </w:r>
    </w:p>
    <w:p>
      <w:pPr>
        <w:snapToGrid w:val="0"/>
        <w:spacing w:line="360" w:lineRule="auto"/>
        <w:jc w:val="right"/>
        <w:rPr>
          <w:b/>
          <w:szCs w:val="21"/>
        </w:rPr>
      </w:pPr>
      <w:r>
        <w:rPr>
          <w:b/>
          <w:szCs w:val="21"/>
        </w:rPr>
        <w:t>第八章     </w:t>
      </w:r>
      <w:r>
        <w:rPr>
          <w:b/>
        </w:rPr>
        <w:t>茶艺</w:t>
      </w:r>
      <w:r>
        <w:rPr>
          <w:b/>
          <w:szCs w:val="21"/>
        </w:rPr>
        <w:t xml:space="preserve">                                     学时数：4</w:t>
      </w:r>
    </w:p>
    <w:p>
      <w:pPr>
        <w:numPr>
          <w:ilvl w:val="0"/>
          <w:numId w:val="27"/>
        </w:numPr>
        <w:adjustRightInd w:val="0"/>
        <w:snapToGrid w:val="0"/>
        <w:spacing w:line="360" w:lineRule="auto"/>
        <w:jc w:val="left"/>
        <w:rPr>
          <w:b/>
          <w:bCs/>
        </w:rPr>
      </w:pPr>
      <w:r>
        <w:rPr>
          <w:b/>
          <w:bCs/>
        </w:rPr>
        <w:t>水为茶之母     1.5学时</w:t>
      </w:r>
    </w:p>
    <w:p>
      <w:pPr>
        <w:numPr>
          <w:ilvl w:val="0"/>
          <w:numId w:val="27"/>
        </w:numPr>
        <w:adjustRightInd w:val="0"/>
        <w:snapToGrid w:val="0"/>
        <w:spacing w:line="360" w:lineRule="auto"/>
        <w:jc w:val="left"/>
        <w:rPr>
          <w:b/>
          <w:bCs/>
        </w:rPr>
      </w:pPr>
      <w:r>
        <w:rPr>
          <w:b/>
          <w:bCs/>
        </w:rPr>
        <w:t>器为茶之父     1.5学时</w:t>
      </w:r>
    </w:p>
    <w:p>
      <w:pPr>
        <w:numPr>
          <w:ilvl w:val="0"/>
          <w:numId w:val="27"/>
        </w:numPr>
        <w:adjustRightInd w:val="0"/>
        <w:snapToGrid w:val="0"/>
        <w:spacing w:line="360" w:lineRule="auto"/>
        <w:jc w:val="left"/>
        <w:rPr>
          <w:b/>
          <w:bCs/>
        </w:rPr>
      </w:pPr>
      <w:r>
        <w:rPr>
          <w:b/>
          <w:bCs/>
        </w:rPr>
        <w:t>茶叶冲泡技艺      1学时</w:t>
      </w:r>
    </w:p>
    <w:p>
      <w:pPr>
        <w:adjustRightInd w:val="0"/>
        <w:snapToGrid w:val="0"/>
        <w:spacing w:line="360" w:lineRule="auto"/>
        <w:jc w:val="left"/>
        <w:rPr>
          <w:szCs w:val="21"/>
        </w:rPr>
      </w:pPr>
      <w:r>
        <w:rPr>
          <w:b/>
          <w:bCs/>
        </w:rPr>
        <w:t>教学目的：</w:t>
      </w:r>
      <w:r>
        <w:rPr>
          <w:szCs w:val="21"/>
        </w:rPr>
        <w:t>掌握泡茶用水的选择；掌握绿茶、红茶及乌龙茶的冲泡方式；掌握茶席的布置与茶席插花。</w:t>
      </w:r>
    </w:p>
    <w:p>
      <w:pPr>
        <w:adjustRightInd w:val="0"/>
        <w:snapToGrid w:val="0"/>
        <w:spacing w:line="360" w:lineRule="auto"/>
        <w:jc w:val="left"/>
        <w:rPr>
          <w:szCs w:val="21"/>
        </w:rPr>
      </w:pPr>
      <w:r>
        <w:rPr>
          <w:b/>
          <w:bCs/>
        </w:rPr>
        <w:t>教学重点和难点：</w:t>
      </w:r>
      <w:r>
        <w:rPr>
          <w:szCs w:val="21"/>
        </w:rPr>
        <w:t xml:space="preserve"> 泡茶用水的选择，绿茶、红茶及乌龙茶的冲泡方式。</w:t>
      </w:r>
    </w:p>
    <w:p>
      <w:pPr>
        <w:adjustRightInd w:val="0"/>
        <w:snapToGrid w:val="0"/>
        <w:spacing w:line="360" w:lineRule="auto"/>
        <w:jc w:val="left"/>
        <w:rPr>
          <w:szCs w:val="21"/>
        </w:rPr>
      </w:pPr>
      <w:r>
        <w:rPr>
          <w:b/>
          <w:bCs/>
        </w:rPr>
        <w:t>主要教学内容及要求：</w:t>
      </w:r>
      <w:r>
        <w:rPr>
          <w:szCs w:val="21"/>
        </w:rPr>
        <w:t>掌握泡茶用水的选择，掌握绿茶、红茶及乌龙茶的冲泡方式，了解其它茶类的冲泡方式。掌握茶席的布置与茶席插花。</w:t>
      </w:r>
    </w:p>
    <w:p>
      <w:pPr>
        <w:adjustRightInd w:val="0"/>
        <w:snapToGrid w:val="0"/>
        <w:spacing w:line="360" w:lineRule="auto"/>
        <w:jc w:val="left"/>
        <w:rPr>
          <w:szCs w:val="21"/>
        </w:rPr>
      </w:pPr>
      <w:r>
        <w:rPr>
          <w:b/>
          <w:bCs/>
        </w:rPr>
        <w:t>教学组织与实施：</w:t>
      </w:r>
      <w:r>
        <w:rPr>
          <w:szCs w:val="21"/>
        </w:rPr>
        <w:t xml:space="preserve"> </w:t>
      </w:r>
      <w:r>
        <w:rPr>
          <w:rFonts w:hint="eastAsia"/>
          <w:szCs w:val="21"/>
        </w:rPr>
        <w:t>以课前预习，课中梳理，课后总结的方式进行。课前教师在线上学习平台发布学习任务，让学生提前预习章节内容。课中以问题式教学、目标式教学、互动式教学、合作式教学结合讲授式教学的方法进行，让学生深入学习章节内容。课后布置任务让学生对章节知识进行梳理，同时通过作业检验学生对章节内容的掌握程度。</w:t>
      </w:r>
    </w:p>
    <w:p>
      <w:pPr>
        <w:snapToGrid w:val="0"/>
        <w:spacing w:line="360" w:lineRule="auto"/>
        <w:rPr>
          <w:rFonts w:ascii="宋体" w:hAnsi="宋体"/>
          <w:b/>
          <w:szCs w:val="21"/>
        </w:rPr>
      </w:pPr>
      <w:r>
        <w:rPr>
          <w:rFonts w:hint="eastAsia" w:ascii="宋体" w:hAnsi="宋体"/>
          <w:b/>
          <w:szCs w:val="21"/>
        </w:rPr>
        <w:t>五</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hAnsi="宋体"/>
          <w:szCs w:val="21"/>
        </w:rPr>
      </w:pPr>
      <w:r>
        <w:rPr>
          <w:rFonts w:hint="eastAsia" w:hAnsi="宋体"/>
          <w:szCs w:val="21"/>
        </w:rPr>
        <w:t>《茶文化学》课程旨在让学生学习并掌握中国和世界茶文化，并能自己终身不断学习补充新的茶文化知识，在提高传统文化素养的同时，能够在未来的工作学习中去传承和传播中华传统茶文化。</w:t>
      </w:r>
    </w:p>
    <w:p>
      <w:pPr>
        <w:snapToGrid w:val="0"/>
        <w:spacing w:line="360" w:lineRule="auto"/>
        <w:ind w:firstLine="420" w:firstLineChars="200"/>
        <w:rPr>
          <w:rFonts w:hAnsi="宋体"/>
          <w:szCs w:val="21"/>
        </w:rPr>
      </w:pPr>
      <w:r>
        <w:rPr>
          <w:rFonts w:hint="eastAsia" w:hAnsi="宋体"/>
          <w:szCs w:val="21"/>
        </w:rPr>
        <w:t>通过对中国茶叶和中国茶文化的对外传播学习，了解中国传统茶文化对世界的影响，从而树立正确的国家观、民族观，提升文化自信，增强家国情怀。</w:t>
      </w:r>
    </w:p>
    <w:p>
      <w:pPr>
        <w:snapToGrid w:val="0"/>
        <w:spacing w:line="360" w:lineRule="auto"/>
        <w:ind w:firstLine="420" w:firstLineChars="200"/>
        <w:rPr>
          <w:rFonts w:hAnsi="宋体"/>
          <w:szCs w:val="21"/>
        </w:rPr>
      </w:pPr>
      <w:r>
        <w:rPr>
          <w:rFonts w:hint="eastAsia" w:hAnsi="宋体"/>
          <w:szCs w:val="21"/>
        </w:rPr>
        <w:t>茶叶、茶具、茶艺和茶文化都是在不断的破与立中传承和发展的，在学习茶文化发展历史的时候，让学生了解茶人在时间推移过程中根据市场需求不断精进技术精益求精、守正创新的大国工匠精神。</w:t>
      </w:r>
    </w:p>
    <w:p>
      <w:pPr>
        <w:snapToGrid w:val="0"/>
        <w:spacing w:line="360" w:lineRule="auto"/>
        <w:jc w:val="left"/>
        <w:rPr>
          <w:b/>
          <w:szCs w:val="21"/>
        </w:rPr>
      </w:pPr>
      <w:r>
        <w:rPr>
          <w:rFonts w:hint="eastAsia"/>
          <w:b/>
          <w:szCs w:val="21"/>
        </w:rPr>
        <w:t>六</w:t>
      </w:r>
      <w:r>
        <w:rPr>
          <w:b/>
          <w:szCs w:val="21"/>
        </w:rPr>
        <w:t>、</w:t>
      </w:r>
      <w:r>
        <w:rPr>
          <w:rFonts w:hAnsi="宋体"/>
          <w:b/>
          <w:bCs/>
          <w:kern w:val="0"/>
          <w:szCs w:val="21"/>
        </w:rPr>
        <w:t>教材</w:t>
      </w:r>
      <w:r>
        <w:rPr>
          <w:rFonts w:hint="eastAsia" w:hAnsi="宋体"/>
          <w:b/>
          <w:bCs/>
          <w:kern w:val="0"/>
          <w:szCs w:val="21"/>
        </w:rPr>
        <w:t>及教学参考书</w:t>
      </w:r>
    </w:p>
    <w:p>
      <w:pPr>
        <w:spacing w:line="360" w:lineRule="auto"/>
        <w:ind w:firstLine="422" w:firstLineChars="200"/>
        <w:rPr>
          <w:b/>
          <w:bCs/>
          <w:kern w:val="0"/>
          <w:szCs w:val="21"/>
        </w:rPr>
      </w:pPr>
      <w:r>
        <w:rPr>
          <w:b/>
          <w:bCs/>
          <w:kern w:val="0"/>
          <w:szCs w:val="21"/>
        </w:rPr>
        <w:t>1. 选用教材</w:t>
      </w:r>
    </w:p>
    <w:p>
      <w:pPr>
        <w:spacing w:line="360" w:lineRule="auto"/>
        <w:ind w:firstLine="525" w:firstLineChars="250"/>
      </w:pPr>
      <w:r>
        <w:t>茶文化学，刘勤晋主编，中国农业出版社</w:t>
      </w:r>
    </w:p>
    <w:p>
      <w:pPr>
        <w:spacing w:line="360" w:lineRule="auto"/>
        <w:ind w:firstLine="422" w:firstLineChars="200"/>
        <w:rPr>
          <w:b/>
          <w:bCs/>
          <w:kern w:val="0"/>
          <w:szCs w:val="21"/>
        </w:rPr>
      </w:pPr>
      <w:r>
        <w:rPr>
          <w:b/>
          <w:bCs/>
          <w:kern w:val="0"/>
          <w:szCs w:val="21"/>
        </w:rPr>
        <w:t>2. 参考书目</w:t>
      </w:r>
    </w:p>
    <w:p>
      <w:pPr>
        <w:spacing w:line="360" w:lineRule="auto"/>
        <w:ind w:firstLine="420" w:firstLineChars="200"/>
      </w:pPr>
      <w:r>
        <w:t>（1）茶文化概论，姚国坤著，中国农业出版社</w:t>
      </w:r>
    </w:p>
    <w:p>
      <w:pPr>
        <w:spacing w:line="360" w:lineRule="auto"/>
        <w:ind w:firstLine="420" w:firstLineChars="200"/>
      </w:pPr>
      <w:r>
        <w:t>（2）中国茶叶大辞典，陈宗懋著，中国轻工业出版社</w:t>
      </w:r>
    </w:p>
    <w:p>
      <w:pPr>
        <w:spacing w:line="360" w:lineRule="auto"/>
        <w:ind w:firstLine="420" w:firstLineChars="200"/>
      </w:pPr>
      <w:r>
        <w:t>（3）茶文化与茶健康，王岳飞、徐平主编，旅游教育出版社</w:t>
      </w:r>
    </w:p>
    <w:p>
      <w:pPr>
        <w:spacing w:line="360" w:lineRule="auto"/>
        <w:ind w:firstLine="420" w:firstLineChars="200"/>
      </w:pPr>
      <w:r>
        <w:t>（4）中华茶文化，黄志根主编，浙江大学出版社</w:t>
      </w:r>
    </w:p>
    <w:p>
      <w:pPr>
        <w:spacing w:line="360" w:lineRule="auto"/>
        <w:ind w:firstLine="420" w:firstLineChars="200"/>
      </w:pPr>
      <w:r>
        <w:t>（5）茶叶通史，陈椽编著，中国农业出版社</w:t>
      </w:r>
    </w:p>
    <w:p>
      <w:pPr>
        <w:spacing w:line="360" w:lineRule="auto"/>
        <w:ind w:firstLine="422" w:firstLineChars="200"/>
        <w:rPr>
          <w:b/>
          <w:bCs/>
          <w:kern w:val="0"/>
          <w:szCs w:val="21"/>
        </w:rPr>
      </w:pPr>
      <w:r>
        <w:rPr>
          <w:b/>
          <w:bCs/>
          <w:kern w:val="0"/>
          <w:szCs w:val="21"/>
        </w:rPr>
        <w:t>3. 推荐网站</w:t>
      </w:r>
    </w:p>
    <w:p>
      <w:pPr>
        <w:spacing w:line="360" w:lineRule="auto"/>
        <w:ind w:left="1050" w:leftChars="200" w:hanging="630" w:hangingChars="300"/>
      </w:pPr>
      <w:r>
        <w:t>（1）中国茶叶网，http://www.e-chinatea.cn/</w:t>
      </w:r>
    </w:p>
    <w:p>
      <w:pPr>
        <w:spacing w:line="360" w:lineRule="auto"/>
        <w:ind w:left="1050" w:leftChars="200" w:hanging="630" w:hangingChars="300"/>
      </w:pPr>
      <w:r>
        <w:t>（2）九州茶网，http://www.cha99.cn/</w:t>
      </w:r>
    </w:p>
    <w:p>
      <w:pPr>
        <w:spacing w:line="360" w:lineRule="auto"/>
        <w:ind w:left="1050" w:leftChars="200" w:hanging="630" w:hangingChars="300"/>
      </w:pPr>
      <w:r>
        <w:t>（3）中国茶叶知识网，http://168tea.com/?action-channel-name-chaye</w:t>
      </w:r>
    </w:p>
    <w:p>
      <w:pPr>
        <w:widowControl/>
        <w:snapToGrid w:val="0"/>
        <w:spacing w:line="360" w:lineRule="auto"/>
        <w:jc w:val="left"/>
        <w:rPr>
          <w:b/>
          <w:bCs/>
          <w:kern w:val="0"/>
          <w:szCs w:val="21"/>
        </w:rPr>
      </w:pPr>
      <w:r>
        <w:rPr>
          <w:rFonts w:hint="eastAsia"/>
          <w:b/>
          <w:bCs/>
          <w:kern w:val="0"/>
          <w:szCs w:val="21"/>
        </w:rPr>
        <w:t>七</w:t>
      </w:r>
      <w:r>
        <w:rPr>
          <w:b/>
          <w:bCs/>
          <w:kern w:val="0"/>
          <w:szCs w:val="21"/>
        </w:rPr>
        <w:t>、教学条件</w:t>
      </w:r>
    </w:p>
    <w:p>
      <w:pPr>
        <w:snapToGrid w:val="0"/>
        <w:spacing w:line="360" w:lineRule="auto"/>
        <w:ind w:firstLine="420" w:firstLineChars="200"/>
        <w:rPr>
          <w:szCs w:val="21"/>
        </w:rPr>
      </w:pPr>
      <w:r>
        <w:rPr>
          <w:szCs w:val="21"/>
        </w:rPr>
        <w:t>本课程以理论教学为主，学校和学院现有的教学场所完全能够满足本课程的教学需要。</w:t>
      </w:r>
    </w:p>
    <w:p>
      <w:pPr>
        <w:widowControl/>
        <w:snapToGrid w:val="0"/>
        <w:spacing w:line="360" w:lineRule="auto"/>
        <w:jc w:val="left"/>
        <w:rPr>
          <w:b/>
          <w:bCs/>
          <w:kern w:val="0"/>
          <w:szCs w:val="21"/>
        </w:rPr>
      </w:pPr>
      <w:r>
        <w:rPr>
          <w:rFonts w:hint="eastAsia"/>
          <w:b/>
          <w:bCs/>
          <w:kern w:val="0"/>
          <w:szCs w:val="21"/>
        </w:rPr>
        <w:t>八</w:t>
      </w:r>
      <w:r>
        <w:rPr>
          <w:b/>
          <w:bCs/>
          <w:kern w:val="0"/>
          <w:szCs w:val="21"/>
        </w:rPr>
        <w:t>、教学考核评价</w:t>
      </w:r>
    </w:p>
    <w:p>
      <w:pPr>
        <w:widowControl/>
        <w:snapToGrid w:val="0"/>
        <w:spacing w:line="360" w:lineRule="auto"/>
        <w:ind w:firstLine="420"/>
        <w:jc w:val="left"/>
      </w:pPr>
      <w:r>
        <w:rPr>
          <w:rFonts w:hint="eastAsia" w:hAnsi="宋体"/>
          <w:b/>
          <w:bCs/>
          <w:kern w:val="0"/>
          <w:szCs w:val="21"/>
        </w:rPr>
        <w:t>1.过程性评价：</w:t>
      </w:r>
      <w:r>
        <w:t>在章节学习的过程中针对每一章节的教学目标和教学内容布置</w:t>
      </w:r>
      <w:r>
        <w:rPr>
          <w:rFonts w:hint="eastAsia"/>
        </w:rPr>
        <w:t>课前、课中、课后任务</w:t>
      </w:r>
      <w:r>
        <w:t>让学生完成</w:t>
      </w:r>
      <w:r>
        <w:rPr>
          <w:rFonts w:hint="eastAsia"/>
        </w:rPr>
        <w:t>，通过任务完成度、教学活动参与度、作业、</w:t>
      </w:r>
      <w:r>
        <w:t>定期进行随堂测验</w:t>
      </w:r>
      <w:r>
        <w:rPr>
          <w:rFonts w:hint="eastAsia"/>
        </w:rPr>
        <w:t>来对学生进行过程性评价。同时</w:t>
      </w:r>
      <w:r>
        <w:t>学期中进行期中考试</w:t>
      </w:r>
      <w:r>
        <w:rPr>
          <w:rFonts w:hint="eastAsia"/>
        </w:rPr>
        <w:t>、学期末进行期末考试来对学生进行阶段式评价</w:t>
      </w:r>
      <w:r>
        <w:t>。</w:t>
      </w:r>
    </w:p>
    <w:p>
      <w:pPr>
        <w:widowControl/>
        <w:snapToGrid w:val="0"/>
        <w:spacing w:line="360" w:lineRule="auto"/>
        <w:ind w:firstLine="420"/>
        <w:jc w:val="left"/>
        <w:rPr>
          <w:rFonts w:hAnsi="宋体"/>
          <w:b/>
          <w:bCs/>
          <w:color w:val="0000FF"/>
          <w:kern w:val="0"/>
          <w:szCs w:val="21"/>
        </w:rPr>
      </w:pPr>
      <w:r>
        <w:rPr>
          <w:rFonts w:hint="eastAsia" w:hAnsi="宋体"/>
          <w:b/>
          <w:bCs/>
          <w:kern w:val="0"/>
          <w:szCs w:val="21"/>
        </w:rPr>
        <w:t>2.终结性评价：</w:t>
      </w:r>
      <w:r>
        <w:rPr>
          <w:rFonts w:hint="eastAsia"/>
        </w:rPr>
        <w:t>期末进行</w:t>
      </w:r>
      <w:r>
        <w:t>闭卷考试</w:t>
      </w:r>
      <w:r>
        <w:rPr>
          <w:rFonts w:hint="eastAsia"/>
        </w:rPr>
        <w:t>来对学生进行终结性评价</w:t>
      </w:r>
      <w:r>
        <w:t>。</w:t>
      </w:r>
    </w:p>
    <w:p>
      <w:pPr>
        <w:widowControl/>
        <w:snapToGrid w:val="0"/>
        <w:spacing w:line="360" w:lineRule="auto"/>
        <w:ind w:firstLine="420"/>
        <w:jc w:val="left"/>
        <w:rPr>
          <w:rFonts w:ascii="宋体" w:hAnsi="宋体"/>
        </w:rPr>
      </w:pPr>
      <w:r>
        <w:rPr>
          <w:rFonts w:hint="eastAsia" w:hAnsi="宋体"/>
          <w:b/>
          <w:bCs/>
          <w:kern w:val="0"/>
          <w:szCs w:val="21"/>
        </w:rPr>
        <w:t>3.课程综合评价：</w:t>
      </w:r>
      <w:r>
        <w:rPr>
          <w:rFonts w:hint="eastAsia"/>
        </w:rPr>
        <w:t>总成绩评定方式以</w:t>
      </w:r>
      <w:r>
        <w:t>60%的期末考试成绩+40%的平时成绩</w:t>
      </w:r>
      <w:r>
        <w:rPr>
          <w:rFonts w:hint="eastAsia"/>
        </w:rPr>
        <w:t>进行计算。</w:t>
      </w:r>
    </w:p>
    <w:p>
      <w:pPr>
        <w:pStyle w:val="21"/>
        <w:rPr>
          <w:bCs w:val="0"/>
          <w:sz w:val="28"/>
          <w:szCs w:val="28"/>
        </w:rPr>
      </w:pPr>
      <w:bookmarkStart w:id="343" w:name="_Toc489359105"/>
      <w:bookmarkStart w:id="344" w:name="_Toc138076334"/>
      <w:bookmarkStart w:id="345" w:name="_Toc138070715"/>
      <w:bookmarkStart w:id="346" w:name="_Toc138076085"/>
      <w:bookmarkStart w:id="347" w:name="_Toc138068815"/>
      <w:bookmarkStart w:id="348" w:name="_Toc138070445"/>
      <w:bookmarkStart w:id="349" w:name="_Toc138076629"/>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pStyle w:val="21"/>
        <w:rPr>
          <w:bCs w:val="0"/>
          <w:sz w:val="28"/>
          <w:szCs w:val="28"/>
        </w:rPr>
      </w:pPr>
    </w:p>
    <w:p>
      <w:pPr>
        <w:widowControl/>
        <w:jc w:val="left"/>
        <w:rPr>
          <w:rFonts w:asciiTheme="majorHAnsi" w:hAnsiTheme="majorHAnsi" w:eastAsiaTheme="majorEastAsia" w:cstheme="majorBidi"/>
          <w:b/>
          <w:sz w:val="28"/>
          <w:szCs w:val="28"/>
        </w:rPr>
      </w:pPr>
      <w:bookmarkStart w:id="350" w:name="_Toc6160"/>
      <w:r>
        <w:rPr>
          <w:bCs/>
          <w:sz w:val="28"/>
          <w:szCs w:val="28"/>
        </w:rPr>
        <w:br w:type="page"/>
      </w:r>
    </w:p>
    <w:p>
      <w:pPr>
        <w:pStyle w:val="21"/>
        <w:rPr>
          <w:bCs w:val="0"/>
          <w:sz w:val="28"/>
          <w:szCs w:val="28"/>
        </w:rPr>
      </w:pPr>
      <w:r>
        <w:rPr>
          <w:rFonts w:hint="eastAsia"/>
          <w:bCs w:val="0"/>
          <w:sz w:val="28"/>
          <w:szCs w:val="28"/>
        </w:rPr>
        <w:t>园艺植物组织培养</w:t>
      </w:r>
      <w:bookmarkEnd w:id="343"/>
      <w:bookmarkEnd w:id="344"/>
      <w:bookmarkEnd w:id="345"/>
      <w:bookmarkEnd w:id="346"/>
      <w:bookmarkEnd w:id="347"/>
      <w:bookmarkEnd w:id="348"/>
      <w:bookmarkEnd w:id="349"/>
      <w:bookmarkEnd w:id="350"/>
    </w:p>
    <w:p>
      <w:pPr>
        <w:snapToGrid w:val="0"/>
        <w:spacing w:line="360" w:lineRule="auto"/>
        <w:jc w:val="center"/>
        <w:rPr>
          <w:rFonts w:hAnsi="宋体"/>
          <w:sz w:val="24"/>
        </w:rPr>
      </w:pPr>
      <w:r>
        <w:rPr>
          <w:rFonts w:hint="eastAsia" w:hAnsi="宋体"/>
          <w:i w:val="0"/>
          <w:iCs w:val="0"/>
          <w:sz w:val="24"/>
        </w:rPr>
        <w:t>（</w:t>
      </w:r>
      <w:r>
        <w:rPr>
          <w:i w:val="0"/>
          <w:iCs w:val="0"/>
          <w:sz w:val="24"/>
        </w:rPr>
        <w:t>Horticultural Plant Tissue Culture</w:t>
      </w:r>
      <w:r>
        <w:rPr>
          <w:rFonts w:hint="eastAsia" w:hAnsi="宋体"/>
          <w:i w:val="0"/>
          <w:iCs w:val="0"/>
          <w:sz w:val="24"/>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课程编号：</w:t>
            </w:r>
            <w:r>
              <w:rPr>
                <w:rFonts w:eastAsiaTheme="minorEastAsia"/>
                <w:b/>
                <w:bCs/>
                <w:szCs w:val="21"/>
              </w:rPr>
              <w:t>19011052</w:t>
            </w:r>
          </w:p>
        </w:tc>
        <w:tc>
          <w:tcPr>
            <w:tcW w:w="1453" w:type="pct"/>
          </w:tcPr>
          <w:p>
            <w:pPr>
              <w:spacing w:line="300" w:lineRule="auto"/>
              <w:ind w:firstLine="422"/>
              <w:rPr>
                <w:rFonts w:ascii="宋体" w:hAnsi="宋体"/>
                <w:b/>
                <w:bCs/>
                <w:szCs w:val="21"/>
              </w:rPr>
            </w:pPr>
            <w:r>
              <w:rPr>
                <w:rFonts w:hint="eastAsia" w:ascii="宋体" w:hAnsi="宋体"/>
                <w:b/>
                <w:bCs/>
                <w:szCs w:val="21"/>
              </w:rPr>
              <w:t>课程总学时：32</w:t>
            </w:r>
          </w:p>
        </w:tc>
        <w:tc>
          <w:tcPr>
            <w:tcW w:w="1881" w:type="pct"/>
          </w:tcPr>
          <w:p>
            <w:pPr>
              <w:spacing w:line="300" w:lineRule="auto"/>
              <w:ind w:firstLine="422"/>
              <w:rPr>
                <w:rFonts w:ascii="宋体" w:hAnsi="宋体"/>
                <w:b/>
                <w:bCs/>
                <w:szCs w:val="21"/>
              </w:rPr>
            </w:pPr>
            <w:r>
              <w:rPr>
                <w:rFonts w:hint="eastAsia" w:ascii="宋体" w:hAnsi="宋体"/>
                <w:b/>
                <w:bCs/>
                <w:szCs w:val="21"/>
              </w:rPr>
              <w:t>实验学时： 16 学时</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课程性质：</w:t>
            </w:r>
            <w:r>
              <w:rPr>
                <w:rFonts w:hAnsiTheme="minorEastAsia" w:eastAsiaTheme="minorEastAsia"/>
                <w:b/>
                <w:bCs/>
                <w:szCs w:val="21"/>
              </w:rPr>
              <w:t>选修</w:t>
            </w:r>
          </w:p>
        </w:tc>
        <w:tc>
          <w:tcPr>
            <w:tcW w:w="1453" w:type="pct"/>
          </w:tcPr>
          <w:p>
            <w:pPr>
              <w:spacing w:line="300" w:lineRule="auto"/>
              <w:ind w:firstLine="422"/>
              <w:rPr>
                <w:rFonts w:ascii="宋体" w:hAnsi="宋体"/>
                <w:b/>
                <w:bCs/>
                <w:szCs w:val="21"/>
              </w:rPr>
            </w:pPr>
            <w:r>
              <w:rPr>
                <w:rFonts w:hint="eastAsia" w:ascii="宋体" w:hAnsi="宋体"/>
                <w:b/>
                <w:szCs w:val="21"/>
              </w:rPr>
              <w:t>课程属性:</w:t>
            </w:r>
            <w:r>
              <w:rPr>
                <w:rFonts w:hAnsiTheme="minorEastAsia" w:eastAsiaTheme="minorEastAsia"/>
                <w:b/>
                <w:bCs/>
                <w:szCs w:val="21"/>
              </w:rPr>
              <w:t xml:space="preserve"> 专业类</w:t>
            </w:r>
          </w:p>
        </w:tc>
        <w:tc>
          <w:tcPr>
            <w:tcW w:w="1881" w:type="pct"/>
          </w:tcPr>
          <w:p>
            <w:pPr>
              <w:spacing w:line="300" w:lineRule="auto"/>
              <w:ind w:firstLine="422"/>
              <w:rPr>
                <w:rFonts w:ascii="宋体" w:hAnsi="宋体"/>
                <w:b/>
                <w:bCs/>
                <w:szCs w:val="21"/>
              </w:rPr>
            </w:pPr>
            <w:r>
              <w:rPr>
                <w:rFonts w:hint="eastAsia" w:ascii="宋体" w:hAnsi="宋体"/>
                <w:b/>
                <w:bCs/>
                <w:szCs w:val="21"/>
              </w:rPr>
              <w:t>开设学期：第</w:t>
            </w:r>
            <w:r>
              <w:rPr>
                <w:rFonts w:hint="eastAsia" w:ascii="宋体" w:hAnsi="宋体"/>
                <w:b/>
                <w:bCs/>
                <w:color w:val="000000" w:themeColor="text1"/>
                <w:szCs w:val="21"/>
                <w14:textFill>
                  <w14:solidFill>
                    <w14:schemeClr w14:val="tx1"/>
                  </w14:solidFill>
                </w14:textFill>
              </w:rPr>
              <w:t>5、7</w:t>
            </w:r>
            <w:r>
              <w:rPr>
                <w:rFonts w:hint="eastAsia" w:ascii="宋体" w:hAnsi="宋体"/>
                <w:b/>
                <w:bCs/>
                <w:szCs w:val="21"/>
              </w:rPr>
              <w:t>学期</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课程负责人：</w:t>
            </w:r>
            <w:r>
              <w:rPr>
                <w:rFonts w:hAnsiTheme="minorEastAsia" w:eastAsiaTheme="minorEastAsia"/>
                <w:b/>
                <w:bCs/>
                <w:szCs w:val="21"/>
              </w:rPr>
              <w:t>胡建斌</w:t>
            </w:r>
          </w:p>
        </w:tc>
        <w:tc>
          <w:tcPr>
            <w:tcW w:w="1453" w:type="pct"/>
          </w:tcPr>
          <w:p>
            <w:pPr>
              <w:spacing w:line="300" w:lineRule="auto"/>
              <w:ind w:firstLine="422"/>
              <w:rPr>
                <w:rFonts w:ascii="宋体" w:hAnsi="宋体"/>
                <w:b/>
                <w:bCs/>
                <w:szCs w:val="21"/>
              </w:rPr>
            </w:pPr>
            <w:r>
              <w:rPr>
                <w:rFonts w:hint="eastAsia" w:ascii="宋体" w:hAnsi="宋体"/>
                <w:b/>
                <w:bCs/>
                <w:szCs w:val="21"/>
              </w:rPr>
              <w:t>课程团队：胡建斌、</w:t>
            </w:r>
            <w:r>
              <w:rPr>
                <w:rFonts w:hint="eastAsia" w:hAnsiTheme="minorEastAsia" w:eastAsiaTheme="minorEastAsia"/>
                <w:b/>
                <w:bCs/>
                <w:szCs w:val="21"/>
              </w:rPr>
              <w:t>侯娟、孙凯乐、豆峻岭</w:t>
            </w:r>
          </w:p>
        </w:tc>
        <w:tc>
          <w:tcPr>
            <w:tcW w:w="1881" w:type="pct"/>
          </w:tcPr>
          <w:p>
            <w:pPr>
              <w:spacing w:line="300" w:lineRule="auto"/>
              <w:ind w:firstLine="422"/>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firstLine="422"/>
              <w:rPr>
                <w:rFonts w:ascii="宋体" w:hAnsi="宋体"/>
                <w:bCs/>
                <w:color w:val="0000FF"/>
                <w:szCs w:val="21"/>
              </w:rPr>
            </w:pPr>
            <w:r>
              <w:rPr>
                <w:rFonts w:hint="eastAsia" w:ascii="宋体" w:hAnsi="宋体"/>
                <w:b/>
                <w:bCs/>
                <w:szCs w:val="21"/>
              </w:rPr>
              <w:t>适用专业：</w:t>
            </w:r>
            <w:r>
              <w:rPr>
                <w:rFonts w:hAnsiTheme="minorEastAsia" w:eastAsiaTheme="minorEastAsia"/>
                <w:b/>
                <w:bCs/>
                <w:szCs w:val="21"/>
              </w:rPr>
              <w:t>园艺</w:t>
            </w:r>
            <w:r>
              <w:rPr>
                <w:rFonts w:hint="eastAsia" w:hAnsiTheme="minorEastAsia" w:eastAsiaTheme="minorEastAsia"/>
                <w:b/>
                <w:szCs w:val="21"/>
              </w:rPr>
              <w:t>、</w:t>
            </w:r>
            <w:r>
              <w:rPr>
                <w:rFonts w:hAnsiTheme="minorEastAsia" w:eastAsiaTheme="minorEastAsia"/>
                <w:b/>
                <w:szCs w:val="21"/>
              </w:rPr>
              <w:t>茶学</w:t>
            </w:r>
            <w:r>
              <w:rPr>
                <w:rFonts w:hint="eastAsia" w:hAnsiTheme="minorEastAsia" w:eastAsiaTheme="minorEastAsia"/>
                <w:b/>
                <w:szCs w:val="21"/>
              </w:rPr>
              <w:t>、</w:t>
            </w:r>
            <w:r>
              <w:rPr>
                <w:rFonts w:hAnsiTheme="minorEastAsia" w:eastAsiaTheme="minorEastAsia"/>
                <w:b/>
                <w:szCs w:val="21"/>
              </w:rPr>
              <w:t>设施农业与工程</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对先修的要求：要求学生掌握</w:t>
            </w:r>
            <w:r>
              <w:rPr>
                <w:rFonts w:hAnsiTheme="minorEastAsia" w:eastAsiaTheme="minorEastAsia"/>
                <w:b/>
                <w:bCs/>
                <w:color w:val="000000" w:themeColor="text1"/>
                <w:szCs w:val="21"/>
                <w14:textFill>
                  <w14:solidFill>
                    <w14:schemeClr w14:val="tx1"/>
                  </w14:solidFill>
                </w14:textFill>
              </w:rPr>
              <w:t>植物生理学</w:t>
            </w:r>
            <w:r>
              <w:rPr>
                <w:rFonts w:hint="eastAsia" w:hAnsiTheme="minorEastAsia" w:eastAsiaTheme="minorEastAsia"/>
                <w:b/>
                <w:bCs/>
                <w:color w:val="000000" w:themeColor="text1"/>
                <w:szCs w:val="21"/>
                <w14:textFill>
                  <w14:solidFill>
                    <w14:schemeClr w14:val="tx1"/>
                  </w14:solidFill>
                </w14:textFill>
              </w:rPr>
              <w:t>、</w:t>
            </w:r>
            <w:r>
              <w:rPr>
                <w:rFonts w:hAnsiTheme="minorEastAsia" w:eastAsiaTheme="minorEastAsia"/>
                <w:b/>
                <w:bCs/>
                <w:color w:val="000000" w:themeColor="text1"/>
                <w:szCs w:val="21"/>
                <w14:textFill>
                  <w14:solidFill>
                    <w14:schemeClr w14:val="tx1"/>
                  </w14:solidFill>
                </w14:textFill>
              </w:rPr>
              <w:t>植物细胞学</w:t>
            </w:r>
            <w:r>
              <w:rPr>
                <w:rFonts w:hint="eastAsia" w:hAnsiTheme="minorEastAsia" w:eastAsiaTheme="minorEastAsia"/>
                <w:b/>
                <w:bCs/>
                <w:color w:val="000000" w:themeColor="text1"/>
                <w:szCs w:val="21"/>
                <w14:textFill>
                  <w14:solidFill>
                    <w14:schemeClr w14:val="tx1"/>
                  </w14:solidFill>
                </w14:textFill>
              </w:rPr>
              <w:t>、</w:t>
            </w:r>
            <w:r>
              <w:rPr>
                <w:rFonts w:hAnsiTheme="minorEastAsia" w:eastAsiaTheme="minorEastAsia"/>
                <w:b/>
                <w:bCs/>
                <w:color w:val="000000" w:themeColor="text1"/>
                <w:szCs w:val="21"/>
                <w14:textFill>
                  <w14:solidFill>
                    <w14:schemeClr w14:val="tx1"/>
                  </w14:solidFill>
                </w14:textFill>
              </w:rPr>
              <w:t>园艺植物遗传学</w:t>
            </w:r>
            <w:r>
              <w:rPr>
                <w:rFonts w:hint="eastAsia" w:hAnsiTheme="minorEastAsia" w:eastAsiaTheme="minorEastAsia"/>
                <w:b/>
                <w:bCs/>
                <w:color w:val="000000" w:themeColor="text1"/>
                <w:szCs w:val="21"/>
                <w14:textFill>
                  <w14:solidFill>
                    <w14:schemeClr w14:val="tx1"/>
                  </w14:solidFill>
                </w14:textFill>
              </w:rPr>
              <w:t>等</w:t>
            </w:r>
            <w:r>
              <w:rPr>
                <w:rFonts w:hAnsiTheme="minorEastAsia" w:eastAsiaTheme="minorEastAsia"/>
                <w:b/>
                <w:bCs/>
                <w:color w:val="000000" w:themeColor="text1"/>
                <w:szCs w:val="21"/>
                <w14:textFill>
                  <w14:solidFill>
                    <w14:schemeClr w14:val="tx1"/>
                  </w14:solidFill>
                </w14:textFill>
              </w:rPr>
              <w:t>课程的</w:t>
            </w:r>
            <w:r>
              <w:rPr>
                <w:rFonts w:hint="eastAsia" w:hAnsiTheme="minorEastAsia" w:eastAsiaTheme="minorEastAsia"/>
                <w:b/>
                <w:bCs/>
                <w:color w:val="000000" w:themeColor="text1"/>
                <w:szCs w:val="21"/>
                <w14:textFill>
                  <w14:solidFill>
                    <w14:schemeClr w14:val="tx1"/>
                  </w14:solidFill>
                </w14:textFill>
              </w:rPr>
              <w:t>基础知识，拥有基本的查阅资料能力，具备细胞学发育方面</w:t>
            </w:r>
            <w:r>
              <w:rPr>
                <w:rFonts w:hAnsiTheme="minorEastAsia" w:eastAsiaTheme="minorEastAsia"/>
                <w:b/>
                <w:bCs/>
                <w:color w:val="000000" w:themeColor="text1"/>
                <w:szCs w:val="21"/>
                <w14:textFill>
                  <w14:solidFill>
                    <w14:schemeClr w14:val="tx1"/>
                  </w14:solidFill>
                </w14:textFill>
              </w:rPr>
              <w:t>的</w:t>
            </w:r>
            <w:r>
              <w:rPr>
                <w:rFonts w:hint="eastAsia" w:hAnsiTheme="minorEastAsia" w:eastAsiaTheme="minorEastAsia"/>
                <w:b/>
                <w:bCs/>
                <w:color w:val="000000" w:themeColor="text1"/>
                <w:szCs w:val="21"/>
                <w14:textFill>
                  <w14:solidFill>
                    <w14:schemeClr w14:val="tx1"/>
                  </w14:solidFill>
                </w14:textFill>
              </w:rPr>
              <w:t>基础知识。</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对后续的支撑：本门</w:t>
            </w:r>
            <w:r>
              <w:rPr>
                <w:rFonts w:ascii="宋体" w:hAnsi="宋体"/>
                <w:b/>
                <w:bCs/>
                <w:color w:val="000000" w:themeColor="text1"/>
                <w:szCs w:val="21"/>
                <w14:textFill>
                  <w14:solidFill>
                    <w14:schemeClr w14:val="tx1"/>
                  </w14:solidFill>
                </w14:textFill>
              </w:rPr>
              <w:t>课程是生物技术类</w:t>
            </w:r>
            <w:r>
              <w:rPr>
                <w:rFonts w:hint="eastAsia" w:ascii="宋体" w:hAnsi="宋体"/>
                <w:b/>
                <w:bCs/>
                <w:color w:val="000000" w:themeColor="text1"/>
                <w:szCs w:val="21"/>
                <w14:textFill>
                  <w14:solidFill>
                    <w14:schemeClr w14:val="tx1"/>
                  </w14:solidFill>
                </w14:textFill>
              </w:rPr>
              <w:t>课程</w:t>
            </w:r>
            <w:r>
              <w:rPr>
                <w:rFonts w:ascii="宋体" w:hAnsi="宋体"/>
                <w:b/>
                <w:bCs/>
                <w:color w:val="000000" w:themeColor="text1"/>
                <w:szCs w:val="21"/>
                <w14:textFill>
                  <w14:solidFill>
                    <w14:schemeClr w14:val="tx1"/>
                  </w14:solidFill>
                </w14:textFill>
              </w:rPr>
              <w:t>的先导课程，</w:t>
            </w:r>
            <w:r>
              <w:rPr>
                <w:rFonts w:hint="eastAsia" w:hAnsiTheme="minorEastAsia" w:eastAsiaTheme="minorEastAsia"/>
                <w:b/>
                <w:color w:val="000000" w:themeColor="text1"/>
                <w:szCs w:val="21"/>
                <w14:textFill>
                  <w14:solidFill>
                    <w14:schemeClr w14:val="tx1"/>
                  </w14:solidFill>
                </w14:textFill>
              </w:rPr>
              <w:t>要求学生掌握植物组织培养的基本理论和操作技能，培养学生形态</w:t>
            </w:r>
            <w:r>
              <w:rPr>
                <w:rFonts w:hAnsiTheme="minorEastAsia" w:eastAsiaTheme="minorEastAsia"/>
                <w:b/>
                <w:color w:val="000000" w:themeColor="text1"/>
                <w:szCs w:val="21"/>
                <w14:textFill>
                  <w14:solidFill>
                    <w14:schemeClr w14:val="tx1"/>
                  </w14:solidFill>
                </w14:textFill>
              </w:rPr>
              <w:t>发生诱导、</w:t>
            </w:r>
            <w:r>
              <w:rPr>
                <w:rFonts w:hint="eastAsia" w:hAnsiTheme="minorEastAsia" w:eastAsiaTheme="minorEastAsia"/>
                <w:b/>
                <w:color w:val="000000" w:themeColor="text1"/>
                <w:szCs w:val="21"/>
                <w14:textFill>
                  <w14:solidFill>
                    <w14:schemeClr w14:val="tx1"/>
                  </w14:solidFill>
                </w14:textFill>
              </w:rPr>
              <w:t>脱毒与离体快繁、倍性操作等基本技能，为园艺植物生物技术、园艺植物育种学、园艺产品采后处理等</w:t>
            </w:r>
            <w:r>
              <w:rPr>
                <w:rFonts w:hAnsiTheme="minorEastAsia" w:eastAsiaTheme="minorEastAsia"/>
                <w:b/>
                <w:color w:val="000000" w:themeColor="text1"/>
                <w:szCs w:val="21"/>
                <w14:textFill>
                  <w14:solidFill>
                    <w14:schemeClr w14:val="tx1"/>
                  </w14:solidFill>
                </w14:textFill>
              </w:rPr>
              <w:t>课程</w:t>
            </w:r>
            <w:r>
              <w:rPr>
                <w:rFonts w:hint="eastAsia" w:hAnsiTheme="minorEastAsia" w:eastAsiaTheme="minorEastAsia"/>
                <w:b/>
                <w:color w:val="000000" w:themeColor="text1"/>
                <w:szCs w:val="21"/>
                <w14:textFill>
                  <w14:solidFill>
                    <w14:schemeClr w14:val="tx1"/>
                  </w14:solidFill>
                </w14:textFill>
              </w:rPr>
              <w:t>的学习奠定基础。</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主撰人：</w:t>
            </w:r>
            <w:r>
              <w:rPr>
                <w:rFonts w:hint="eastAsia" w:hAnsiTheme="minorEastAsia" w:eastAsiaTheme="minorEastAsia"/>
                <w:b/>
                <w:bCs/>
                <w:szCs w:val="21"/>
              </w:rPr>
              <w:t>孙凯乐</w:t>
            </w:r>
            <w:r>
              <w:rPr>
                <w:rFonts w:hint="eastAsia" w:ascii="宋体" w:hAnsi="宋体"/>
                <w:b/>
                <w:bCs/>
                <w:szCs w:val="21"/>
              </w:rPr>
              <w:t>、</w:t>
            </w:r>
            <w:r>
              <w:rPr>
                <w:rFonts w:hint="eastAsia" w:hAnsiTheme="minorEastAsia" w:eastAsiaTheme="minorEastAsia"/>
                <w:b/>
                <w:bCs/>
                <w:szCs w:val="21"/>
              </w:rPr>
              <w:t>侯娟、豆峻岭</w:t>
            </w:r>
          </w:p>
        </w:tc>
        <w:tc>
          <w:tcPr>
            <w:tcW w:w="1453" w:type="pct"/>
          </w:tcPr>
          <w:p>
            <w:pPr>
              <w:spacing w:line="300" w:lineRule="auto"/>
              <w:ind w:firstLine="422"/>
              <w:rPr>
                <w:rFonts w:ascii="宋体" w:hAnsi="宋体"/>
                <w:b/>
                <w:bCs/>
                <w:szCs w:val="21"/>
              </w:rPr>
            </w:pPr>
            <w:r>
              <w:rPr>
                <w:rFonts w:hint="eastAsia" w:ascii="宋体" w:hAnsi="宋体"/>
                <w:b/>
                <w:bCs/>
                <w:szCs w:val="21"/>
              </w:rPr>
              <w:t>审核人：胡建斌</w:t>
            </w:r>
          </w:p>
        </w:tc>
        <w:tc>
          <w:tcPr>
            <w:tcW w:w="1881" w:type="pct"/>
          </w:tcPr>
          <w:p>
            <w:pPr>
              <w:spacing w:line="300" w:lineRule="auto"/>
              <w:ind w:firstLine="422"/>
              <w:rPr>
                <w:rFonts w:ascii="宋体" w:hAnsi="宋体"/>
                <w:b/>
                <w:bCs/>
                <w:szCs w:val="21"/>
              </w:rPr>
            </w:pPr>
            <w:r>
              <w:rPr>
                <w:rFonts w:hint="eastAsia" w:ascii="宋体" w:hAnsi="宋体"/>
                <w:b/>
                <w:bCs/>
                <w:szCs w:val="21"/>
              </w:rPr>
              <w:t>大纲制定（修订）日期：</w:t>
            </w:r>
            <w:r>
              <w:rPr>
                <w:rFonts w:hint="eastAsia" w:eastAsiaTheme="minorEastAsia"/>
                <w:b/>
                <w:bCs/>
                <w:color w:val="000000" w:themeColor="text1"/>
                <w:szCs w:val="21"/>
                <w14:textFill>
                  <w14:solidFill>
                    <w14:schemeClr w14:val="tx1"/>
                  </w14:solidFill>
                </w14:textFill>
              </w:rPr>
              <w:t>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napToGrid w:val="0"/>
        <w:spacing w:line="360" w:lineRule="auto"/>
        <w:ind w:firstLine="413" w:firstLineChars="197"/>
        <w:rPr>
          <w:rFonts w:hAnsiTheme="minorEastAsia"/>
          <w:szCs w:val="21"/>
        </w:rPr>
      </w:pPr>
      <w:r>
        <w:rPr>
          <w:rFonts w:hAnsiTheme="minorEastAsia"/>
          <w:kern w:val="0"/>
          <w:szCs w:val="21"/>
        </w:rPr>
        <w:t>园艺</w:t>
      </w:r>
      <w:r>
        <w:rPr>
          <w:rFonts w:hAnsiTheme="minorEastAsia"/>
          <w:szCs w:val="21"/>
        </w:rPr>
        <w:t>植物组织培养是园艺、茶学、设施农业科学与工程专业的选修课。它是以植物生理学为基础发展起来的一项生物技术，是现代生物技术的重要组成部分之一。目前，植物组织培养技术已渗透到生物科学的各个领域，成为生物科学的重要研究技术和手段，现已广泛应用于农业、林业、工业和医药业，产生了巨大的经济效益、社会效益及生态效益，成为当代生物科学中生命力极强的一门学科。本课程的开设可进一步加强学生的综合素质和创新能力的培养，增强学生在植物生产中发现问题、分析问题和解决问题的能力，推动我国植物生物技术的研究与应用。</w:t>
      </w:r>
    </w:p>
    <w:p>
      <w:pPr>
        <w:snapToGrid w:val="0"/>
        <w:spacing w:line="360" w:lineRule="auto"/>
        <w:ind w:firstLine="413" w:firstLineChars="197"/>
        <w:rPr>
          <w:rFonts w:ascii="宋体" w:hAnsi="宋体"/>
          <w:bCs/>
          <w:color w:val="0000FF"/>
          <w:szCs w:val="21"/>
        </w:rPr>
      </w:pPr>
      <w:r>
        <w:rPr>
          <w:rFonts w:hint="eastAsia" w:hAnsiTheme="minorEastAsia"/>
          <w:color w:val="000000" w:themeColor="text1"/>
          <w:szCs w:val="21"/>
          <w14:textFill>
            <w14:solidFill>
              <w14:schemeClr w14:val="tx1"/>
            </w14:solidFill>
          </w14:textFill>
        </w:rPr>
        <w:t>本课程的教学理念就是以学生为本，一切为了学生的发展，采用“教-学-做一体化”的教学方法。</w:t>
      </w:r>
      <w:r>
        <w:rPr>
          <w:rFonts w:hAnsiTheme="minorEastAsia"/>
          <w:szCs w:val="21"/>
        </w:rPr>
        <w:t>通过本课程的教学，使学生了解植物组织培养的研究历史、应用状况、基本概念和基本理论，了解组织培养实验室建造和布局，掌握植物组织培养的基础理论知识和基本技能，在科学工作态度、组织培养实验技能等方面获得初步的训练，为学生将来从事植物生物技术相关教学、科研、开发和经营等多方面工作奠定良好的基础。</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525" w:firstLineChars="250"/>
        <w:jc w:val="left"/>
        <w:rPr>
          <w:b/>
          <w:bCs/>
          <w:strike/>
          <w:color w:val="0000FF"/>
          <w:kern w:val="0"/>
          <w:szCs w:val="21"/>
        </w:rPr>
      </w:pPr>
      <w:r>
        <w:rPr>
          <w:kern w:val="0"/>
          <w:szCs w:val="21"/>
        </w:rPr>
        <w:t>1</w:t>
      </w:r>
      <w:r>
        <w:rPr>
          <w:rFonts w:hAnsiTheme="minorEastAsia"/>
          <w:kern w:val="0"/>
          <w:szCs w:val="21"/>
        </w:rPr>
        <w:t>、理论知识方面</w:t>
      </w:r>
      <w:r>
        <w:rPr>
          <w:rFonts w:hint="eastAsia"/>
          <w:kern w:val="0"/>
          <w:szCs w:val="21"/>
        </w:rPr>
        <w:t>：</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1</w:t>
      </w:r>
      <w:r>
        <w:rPr>
          <w:rFonts w:hAnsiTheme="minorEastAsia"/>
          <w:kern w:val="0"/>
          <w:szCs w:val="21"/>
        </w:rPr>
        <w:t>）了解细胞全能性的理论基础和细胞全能性在离体培养中的基础性作用，以及脱分化再分化在植物再生中的作用；</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2</w:t>
      </w:r>
      <w:r>
        <w:rPr>
          <w:rFonts w:hAnsiTheme="minorEastAsia"/>
          <w:kern w:val="0"/>
          <w:szCs w:val="21"/>
        </w:rPr>
        <w:t>）掌握器官发生和体细胞胚发生的形态学和细胞学基础及异同点，及其对激素和环境条件的</w:t>
      </w:r>
      <w:r>
        <w:rPr>
          <w:rFonts w:hint="eastAsia" w:hAnsiTheme="minorEastAsia"/>
          <w:kern w:val="0"/>
          <w:szCs w:val="21"/>
        </w:rPr>
        <w:t>要求</w:t>
      </w:r>
      <w:r>
        <w:rPr>
          <w:rFonts w:hAnsiTheme="minorEastAsia"/>
          <w:kern w:val="0"/>
          <w:szCs w:val="21"/>
        </w:rPr>
        <w:t>与响应；</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3</w:t>
      </w:r>
      <w:r>
        <w:rPr>
          <w:rFonts w:hAnsiTheme="minorEastAsia"/>
          <w:kern w:val="0"/>
          <w:szCs w:val="21"/>
        </w:rPr>
        <w:t>）掌握植物脱毒和快速繁殖的技术原理，能够根据实际生产目的选择适宜的脱毒及快速繁殖技术；</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4</w:t>
      </w:r>
      <w:r>
        <w:rPr>
          <w:rFonts w:hAnsiTheme="minorEastAsia"/>
          <w:kern w:val="0"/>
          <w:szCs w:val="21"/>
        </w:rPr>
        <w:t>）理解离体培养中遗传和变异的原因</w:t>
      </w:r>
      <w:r>
        <w:rPr>
          <w:rFonts w:hint="eastAsia" w:hAnsiTheme="minorEastAsia"/>
          <w:kern w:val="0"/>
          <w:szCs w:val="21"/>
        </w:rPr>
        <w:t>及其</w:t>
      </w:r>
      <w:r>
        <w:rPr>
          <w:rFonts w:hAnsiTheme="minorEastAsia"/>
          <w:kern w:val="0"/>
          <w:szCs w:val="21"/>
        </w:rPr>
        <w:t>细胞、分子机制；</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5</w:t>
      </w:r>
      <w:r>
        <w:rPr>
          <w:rFonts w:hAnsiTheme="minorEastAsia"/>
          <w:kern w:val="0"/>
          <w:szCs w:val="21"/>
        </w:rPr>
        <w:t>）掌握植物单倍体发生的原理及其调控机制；</w:t>
      </w:r>
    </w:p>
    <w:p>
      <w:pPr>
        <w:widowControl/>
        <w:snapToGrid w:val="0"/>
        <w:spacing w:line="360" w:lineRule="auto"/>
        <w:ind w:left="420"/>
        <w:jc w:val="left"/>
        <w:rPr>
          <w:kern w:val="0"/>
          <w:szCs w:val="21"/>
        </w:rPr>
      </w:pPr>
      <w:r>
        <w:rPr>
          <w:rFonts w:hAnsiTheme="minorEastAsia"/>
          <w:kern w:val="0"/>
          <w:szCs w:val="21"/>
        </w:rPr>
        <w:t>（</w:t>
      </w:r>
      <w:r>
        <w:rPr>
          <w:kern w:val="0"/>
          <w:szCs w:val="21"/>
        </w:rPr>
        <w:t>6</w:t>
      </w:r>
      <w:r>
        <w:rPr>
          <w:rFonts w:hAnsiTheme="minorEastAsia"/>
          <w:kern w:val="0"/>
          <w:szCs w:val="21"/>
        </w:rPr>
        <w:t>）掌握植物原生质体再生植株的基本条件，了解原生质体融合技术在种质创新中的作用。</w:t>
      </w:r>
      <w:r>
        <w:rPr>
          <w:kern w:val="0"/>
          <w:szCs w:val="21"/>
        </w:rPr>
        <w:t>2</w:t>
      </w:r>
      <w:r>
        <w:rPr>
          <w:rFonts w:hAnsiTheme="minorEastAsia"/>
          <w:kern w:val="0"/>
          <w:szCs w:val="21"/>
        </w:rPr>
        <w:t>、实验技能方面：</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1</w:t>
      </w:r>
      <w:r>
        <w:rPr>
          <w:rFonts w:hAnsiTheme="minorEastAsia"/>
          <w:kern w:val="0"/>
          <w:szCs w:val="21"/>
        </w:rPr>
        <w:t>）掌握离体培养中外植体材料选取的基本要求和技术；</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2</w:t>
      </w:r>
      <w:r>
        <w:rPr>
          <w:rFonts w:hAnsiTheme="minorEastAsia"/>
          <w:kern w:val="0"/>
          <w:szCs w:val="21"/>
        </w:rPr>
        <w:t>）掌握植物外植体材料消毒和无菌操作技术；</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3</w:t>
      </w:r>
      <w:r>
        <w:rPr>
          <w:rFonts w:hAnsiTheme="minorEastAsia"/>
          <w:kern w:val="0"/>
          <w:szCs w:val="21"/>
        </w:rPr>
        <w:t>）掌握培养基配制技术和激素筛选、使用技术；</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4</w:t>
      </w:r>
      <w:r>
        <w:rPr>
          <w:rFonts w:hAnsiTheme="minorEastAsia"/>
          <w:kern w:val="0"/>
          <w:szCs w:val="21"/>
        </w:rPr>
        <w:t>）掌握离体植株再生的各种途径及其诱导、调控技术；</w:t>
      </w:r>
    </w:p>
    <w:p>
      <w:pPr>
        <w:widowControl/>
        <w:snapToGrid w:val="0"/>
        <w:spacing w:line="360" w:lineRule="auto"/>
        <w:ind w:firstLine="420" w:firstLineChars="200"/>
        <w:jc w:val="left"/>
        <w:rPr>
          <w:kern w:val="0"/>
          <w:szCs w:val="21"/>
        </w:rPr>
      </w:pPr>
      <w:r>
        <w:rPr>
          <w:rFonts w:hAnsiTheme="minorEastAsia"/>
          <w:kern w:val="0"/>
          <w:szCs w:val="21"/>
        </w:rPr>
        <w:t>（</w:t>
      </w:r>
      <w:r>
        <w:rPr>
          <w:kern w:val="0"/>
          <w:szCs w:val="21"/>
        </w:rPr>
        <w:t>5</w:t>
      </w:r>
      <w:r>
        <w:rPr>
          <w:rFonts w:hAnsiTheme="minorEastAsia"/>
          <w:kern w:val="0"/>
          <w:szCs w:val="21"/>
        </w:rPr>
        <w:t>）具备观察鉴定和分析培养材料在离体培养过程中生长发育和形态建成的能力；</w:t>
      </w:r>
    </w:p>
    <w:p>
      <w:pPr>
        <w:widowControl/>
        <w:snapToGrid w:val="0"/>
        <w:spacing w:line="360" w:lineRule="auto"/>
        <w:ind w:firstLine="420" w:firstLineChars="200"/>
        <w:jc w:val="left"/>
        <w:rPr>
          <w:rFonts w:hAnsi="宋体"/>
          <w:bCs/>
          <w:color w:val="0000FF"/>
          <w:kern w:val="0"/>
          <w:szCs w:val="21"/>
        </w:rPr>
      </w:pPr>
      <w:r>
        <w:rPr>
          <w:rFonts w:hAnsiTheme="minorEastAsia"/>
          <w:kern w:val="0"/>
          <w:szCs w:val="21"/>
        </w:rPr>
        <w:t>（</w:t>
      </w:r>
      <w:r>
        <w:rPr>
          <w:kern w:val="0"/>
          <w:szCs w:val="21"/>
        </w:rPr>
        <w:t>6</w:t>
      </w:r>
      <w:r>
        <w:rPr>
          <w:rFonts w:hAnsiTheme="minorEastAsia"/>
          <w:kern w:val="0"/>
          <w:szCs w:val="21"/>
        </w:rPr>
        <w:t>）初步具备通过植物组织培养技术手段创制单倍体、突变体、新种质等的基本技术。</w:t>
      </w:r>
    </w:p>
    <w:p>
      <w:pPr>
        <w:widowControl/>
        <w:snapToGrid w:val="0"/>
        <w:spacing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spacing w:line="360" w:lineRule="auto"/>
        <w:ind w:firstLine="420" w:firstLineChars="200"/>
        <w:rPr>
          <w:rFonts w:ascii="宋体" w:hAnsi="宋体" w:cs="宋体"/>
          <w:bCs/>
          <w:color w:val="4F81BD" w:themeColor="accent1"/>
          <w:kern w:val="0"/>
          <w:szCs w:val="21"/>
          <w14:textFill>
            <w14:solidFill>
              <w14:schemeClr w14:val="accent1"/>
            </w14:solidFill>
          </w14:textFill>
        </w:rPr>
      </w:pPr>
      <w:r>
        <w:rPr>
          <w:rFonts w:hint="eastAsia" w:hAnsi="宋体"/>
          <w:bCs/>
          <w:color w:val="000000" w:themeColor="text1"/>
          <w:kern w:val="0"/>
          <w:szCs w:val="21"/>
          <w14:textFill>
            <w14:solidFill>
              <w14:schemeClr w14:val="tx1"/>
            </w14:solidFill>
          </w14:textFill>
        </w:rPr>
        <w:t>1.教学设计说明</w:t>
      </w:r>
    </w:p>
    <w:p>
      <w:pPr>
        <w:pStyle w:val="10"/>
        <w:snapToGrid w:val="0"/>
        <w:spacing w:line="360" w:lineRule="auto"/>
        <w:ind w:right="-290" w:rightChars="-138" w:firstLine="420" w:firstLineChars="200"/>
        <w:rPr>
          <w:rFonts w:ascii="Times New Roman" w:hAnsi="宋体" w:cs="Times New Roman"/>
          <w:bCs/>
          <w:color w:val="000000" w:themeColor="text1"/>
          <w:kern w:val="0"/>
          <w14:textFill>
            <w14:solidFill>
              <w14:schemeClr w14:val="tx1"/>
            </w14:solidFill>
          </w14:textFill>
        </w:rPr>
      </w:pPr>
      <w:r>
        <w:rPr>
          <w:rFonts w:hint="eastAsia" w:ascii="Times New Roman" w:hAnsi="宋体" w:cs="Times New Roman"/>
          <w:bCs/>
          <w:color w:val="000000" w:themeColor="text1"/>
          <w:kern w:val="0"/>
          <w14:textFill>
            <w14:solidFill>
              <w14:schemeClr w14:val="tx1"/>
            </w14:solidFill>
          </w14:textFill>
        </w:rPr>
        <w:t>以探索、实践为途径，充分挖掘和利用网络资源和课本教材，围绕课程教学内容，</w:t>
      </w:r>
      <w:r>
        <w:rPr>
          <w:rFonts w:ascii="Times New Roman" w:hAnsi="宋体" w:cs="Times New Roman"/>
          <w:bCs/>
          <w:color w:val="000000" w:themeColor="text1"/>
          <w:kern w:val="0"/>
          <w14:textFill>
            <w14:solidFill>
              <w14:schemeClr w14:val="tx1"/>
            </w14:solidFill>
          </w14:textFill>
        </w:rPr>
        <w:t>总体上采取“教—学—做”一体化的教学</w:t>
      </w:r>
      <w:r>
        <w:rPr>
          <w:rFonts w:hint="eastAsia" w:ascii="Times New Roman" w:hAnsi="宋体" w:cs="Times New Roman"/>
          <w:bCs/>
          <w:color w:val="000000" w:themeColor="text1"/>
          <w:kern w:val="0"/>
          <w14:textFill>
            <w14:solidFill>
              <w14:schemeClr w14:val="tx1"/>
            </w14:solidFill>
          </w14:textFill>
        </w:rPr>
        <w:t>策略</w:t>
      </w:r>
      <w:r>
        <w:rPr>
          <w:rFonts w:ascii="Times New Roman" w:hAnsi="宋体" w:cs="Times New Roman"/>
          <w:bCs/>
          <w:color w:val="000000" w:themeColor="text1"/>
          <w:kern w:val="0"/>
          <w14:textFill>
            <w14:solidFill>
              <w14:schemeClr w14:val="tx1"/>
            </w14:solidFill>
          </w14:textFill>
        </w:rPr>
        <w:t>，理论课以教师为主导、学生为主体的方式，实验课以学生为主导、老师辅助的方式，理论与实践相结合、穿插进行进而开展教学工作。主要</w:t>
      </w:r>
      <w:r>
        <w:rPr>
          <w:rFonts w:hint="eastAsia" w:ascii="Times New Roman" w:hAnsi="宋体" w:cs="Times New Roman"/>
          <w:bCs/>
          <w:color w:val="000000" w:themeColor="text1"/>
          <w:kern w:val="0"/>
          <w14:textFill>
            <w14:solidFill>
              <w14:schemeClr w14:val="tx1"/>
            </w14:solidFill>
          </w14:textFill>
        </w:rPr>
        <w:t>采用以下</w:t>
      </w:r>
      <w:r>
        <w:rPr>
          <w:rFonts w:ascii="Times New Roman" w:hAnsi="宋体" w:cs="Times New Roman"/>
          <w:bCs/>
          <w:color w:val="000000" w:themeColor="text1"/>
          <w:kern w:val="0"/>
          <w14:textFill>
            <w14:solidFill>
              <w14:schemeClr w14:val="tx1"/>
            </w14:solidFill>
          </w14:textFill>
        </w:rPr>
        <w:t>教学方法：</w:t>
      </w:r>
    </w:p>
    <w:p>
      <w:pPr>
        <w:pStyle w:val="10"/>
        <w:snapToGrid w:val="0"/>
        <w:spacing w:line="360" w:lineRule="auto"/>
        <w:ind w:right="-290" w:rightChars="-138" w:firstLine="420" w:firstLineChars="200"/>
        <w:rPr>
          <w:rFonts w:ascii="Times New Roman" w:hAnsi="宋体" w:cs="Times New Roman"/>
          <w:bCs/>
          <w:color w:val="000000" w:themeColor="text1"/>
          <w:kern w:val="0"/>
          <w14:textFill>
            <w14:solidFill>
              <w14:schemeClr w14:val="tx1"/>
            </w14:solidFill>
          </w14:textFill>
        </w:rPr>
      </w:pPr>
      <w:r>
        <w:rPr>
          <w:rFonts w:ascii="Times New Roman" w:hAnsi="宋体" w:cs="Times New Roman"/>
          <w:bCs/>
          <w:color w:val="000000" w:themeColor="text1"/>
          <w:kern w:val="0"/>
          <w14:textFill>
            <w14:solidFill>
              <w14:schemeClr w14:val="tx1"/>
            </w14:solidFill>
          </w14:textFill>
        </w:rPr>
        <w:t>（1）</w:t>
      </w:r>
      <w:r>
        <w:rPr>
          <w:rFonts w:hint="eastAsia" w:ascii="Times New Roman" w:hAnsi="宋体" w:cs="Times New Roman"/>
          <w:bCs/>
          <w:color w:val="000000" w:themeColor="text1"/>
          <w:kern w:val="0"/>
          <w14:textFill>
            <w14:solidFill>
              <w14:schemeClr w14:val="tx1"/>
            </w14:solidFill>
          </w14:textFill>
        </w:rPr>
        <w:t>采用</w:t>
      </w:r>
      <w:r>
        <w:rPr>
          <w:rFonts w:ascii="Times New Roman" w:hAnsi="宋体" w:cs="Times New Roman"/>
          <w:bCs/>
          <w:color w:val="000000" w:themeColor="text1"/>
          <w:kern w:val="0"/>
          <w14:textFill>
            <w14:solidFill>
              <w14:schemeClr w14:val="tx1"/>
            </w14:solidFill>
          </w14:textFill>
        </w:rPr>
        <w:t>专题式教学，成立课程</w:t>
      </w:r>
      <w:r>
        <w:rPr>
          <w:rFonts w:hint="eastAsia" w:ascii="Times New Roman" w:hAnsi="宋体" w:cs="Times New Roman"/>
          <w:bCs/>
          <w:color w:val="000000" w:themeColor="text1"/>
          <w:kern w:val="0"/>
          <w14:textFill>
            <w14:solidFill>
              <w14:schemeClr w14:val="tx1"/>
            </w14:solidFill>
          </w14:textFill>
        </w:rPr>
        <w:t>团队</w:t>
      </w:r>
      <w:r>
        <w:rPr>
          <w:rFonts w:ascii="Times New Roman" w:hAnsi="宋体" w:cs="Times New Roman"/>
          <w:bCs/>
          <w:color w:val="000000" w:themeColor="text1"/>
          <w:kern w:val="0"/>
          <w14:textFill>
            <w14:solidFill>
              <w14:schemeClr w14:val="tx1"/>
            </w14:solidFill>
          </w14:textFill>
        </w:rPr>
        <w:t>，</w:t>
      </w:r>
      <w:r>
        <w:rPr>
          <w:rFonts w:hint="eastAsia" w:ascii="Times New Roman" w:hAnsi="宋体" w:cs="Times New Roman"/>
          <w:bCs/>
          <w:color w:val="000000" w:themeColor="text1"/>
          <w:kern w:val="0"/>
          <w14:textFill>
            <w14:solidFill>
              <w14:schemeClr w14:val="tx1"/>
            </w14:solidFill>
          </w14:textFill>
        </w:rPr>
        <w:t>授课老师</w:t>
      </w:r>
      <w:r>
        <w:rPr>
          <w:rFonts w:ascii="Times New Roman" w:hAnsi="宋体" w:cs="Times New Roman"/>
          <w:bCs/>
          <w:color w:val="000000" w:themeColor="text1"/>
          <w:kern w:val="0"/>
          <w14:textFill>
            <w14:solidFill>
              <w14:schemeClr w14:val="tx1"/>
            </w14:solidFill>
          </w14:textFill>
        </w:rPr>
        <w:t>在自己</w:t>
      </w:r>
      <w:r>
        <w:rPr>
          <w:rFonts w:hint="eastAsia" w:ascii="Times New Roman" w:hAnsi="宋体" w:cs="Times New Roman"/>
          <w:bCs/>
          <w:color w:val="000000" w:themeColor="text1"/>
          <w:kern w:val="0"/>
          <w14:textFill>
            <w14:solidFill>
              <w14:schemeClr w14:val="tx1"/>
            </w14:solidFill>
          </w14:textFill>
        </w:rPr>
        <w:t>最</w:t>
      </w:r>
      <w:r>
        <w:rPr>
          <w:rFonts w:ascii="Times New Roman" w:hAnsi="宋体" w:cs="Times New Roman"/>
          <w:bCs/>
          <w:color w:val="000000" w:themeColor="text1"/>
          <w:kern w:val="0"/>
          <w14:textFill>
            <w14:solidFill>
              <w14:schemeClr w14:val="tx1"/>
            </w14:solidFill>
          </w14:textFill>
        </w:rPr>
        <w:t>擅长的</w:t>
      </w:r>
      <w:r>
        <w:rPr>
          <w:rFonts w:hint="eastAsia" w:ascii="Times New Roman" w:hAnsi="宋体" w:cs="Times New Roman"/>
          <w:bCs/>
          <w:color w:val="000000" w:themeColor="text1"/>
          <w:kern w:val="0"/>
          <w14:textFill>
            <w14:solidFill>
              <w14:schemeClr w14:val="tx1"/>
            </w14:solidFill>
          </w14:textFill>
        </w:rPr>
        <w:t>领域</w:t>
      </w:r>
      <w:r>
        <w:rPr>
          <w:rFonts w:ascii="Times New Roman" w:hAnsi="宋体" w:cs="Times New Roman"/>
          <w:bCs/>
          <w:color w:val="000000" w:themeColor="text1"/>
          <w:kern w:val="0"/>
          <w14:textFill>
            <w14:solidFill>
              <w14:schemeClr w14:val="tx1"/>
            </w14:solidFill>
          </w14:textFill>
        </w:rPr>
        <w:t>，给学生进行专题教学；</w:t>
      </w:r>
    </w:p>
    <w:p>
      <w:pPr>
        <w:pStyle w:val="10"/>
        <w:snapToGrid w:val="0"/>
        <w:spacing w:line="360" w:lineRule="auto"/>
        <w:ind w:right="-290" w:rightChars="-138" w:firstLine="420" w:firstLineChars="200"/>
        <w:rPr>
          <w:rFonts w:ascii="Times New Roman" w:hAnsi="宋体" w:cs="Times New Roman"/>
          <w:bCs/>
          <w:color w:val="000000" w:themeColor="text1"/>
          <w:kern w:val="0"/>
          <w14:textFill>
            <w14:solidFill>
              <w14:schemeClr w14:val="tx1"/>
            </w14:solidFill>
          </w14:textFill>
        </w:rPr>
      </w:pPr>
      <w:r>
        <w:rPr>
          <w:rFonts w:ascii="Times New Roman" w:hAnsi="宋体" w:cs="Times New Roman"/>
          <w:bCs/>
          <w:color w:val="000000" w:themeColor="text1"/>
          <w:kern w:val="0"/>
          <w14:textFill>
            <w14:solidFill>
              <w14:schemeClr w14:val="tx1"/>
            </w14:solidFill>
          </w14:textFill>
        </w:rPr>
        <w:t>（2）结合教学大纲，将各专题章节内容系统化，突出重难点、考核目标，让学生能够明确考试内容和要求，更有方向地学习本课程；</w:t>
      </w:r>
    </w:p>
    <w:p>
      <w:pPr>
        <w:pStyle w:val="10"/>
        <w:snapToGrid w:val="0"/>
        <w:spacing w:line="360" w:lineRule="auto"/>
        <w:ind w:right="-290" w:rightChars="-138" w:firstLine="420" w:firstLineChars="200"/>
        <w:rPr>
          <w:rFonts w:ascii="Times New Roman" w:hAnsi="宋体" w:cs="Times New Roman"/>
          <w:bCs/>
          <w:color w:val="000000" w:themeColor="text1"/>
          <w:kern w:val="0"/>
          <w14:textFill>
            <w14:solidFill>
              <w14:schemeClr w14:val="tx1"/>
            </w14:solidFill>
          </w14:textFill>
        </w:rPr>
      </w:pPr>
      <w:r>
        <w:rPr>
          <w:rFonts w:ascii="Times New Roman" w:hAnsi="宋体" w:cs="Times New Roman"/>
          <w:bCs/>
          <w:color w:val="000000" w:themeColor="text1"/>
          <w:kern w:val="0"/>
          <w14:textFill>
            <w14:solidFill>
              <w14:schemeClr w14:val="tx1"/>
            </w14:solidFill>
          </w14:textFill>
        </w:rPr>
        <w:t>（3）理论课小班授课，以教师为主导、学生为主体，采用案例启示、课堂讲授、观摩相关技术视频、与学生互动，鼓励学生积极参与教学中等多种教学方法，最大程度地激发学生的主观能动性；</w:t>
      </w:r>
    </w:p>
    <w:p>
      <w:pPr>
        <w:pStyle w:val="10"/>
        <w:snapToGrid w:val="0"/>
        <w:spacing w:line="360" w:lineRule="auto"/>
        <w:ind w:right="-290" w:rightChars="-138" w:firstLine="420" w:firstLineChars="200"/>
        <w:rPr>
          <w:rFonts w:ascii="Times New Roman" w:hAnsi="宋体" w:cs="Times New Roman"/>
          <w:bCs/>
          <w:color w:val="000000" w:themeColor="text1"/>
          <w:kern w:val="0"/>
          <w14:textFill>
            <w14:solidFill>
              <w14:schemeClr w14:val="tx1"/>
            </w14:solidFill>
          </w14:textFill>
        </w:rPr>
      </w:pPr>
      <w:r>
        <w:rPr>
          <w:rFonts w:ascii="Times New Roman" w:hAnsi="宋体" w:cs="Times New Roman"/>
          <w:bCs/>
          <w:color w:val="000000" w:themeColor="text1"/>
          <w:kern w:val="0"/>
          <w14:textFill>
            <w14:solidFill>
              <w14:schemeClr w14:val="tx1"/>
            </w14:solidFill>
          </w14:textFill>
        </w:rPr>
        <w:t>（4）实验课小班、小组教学，以学生为主导、老师进行辅助，鼓励学生动手操作，加强动手操作能力培养；</w:t>
      </w:r>
    </w:p>
    <w:p>
      <w:pPr>
        <w:pStyle w:val="10"/>
        <w:snapToGrid w:val="0"/>
        <w:spacing w:line="360" w:lineRule="auto"/>
        <w:ind w:right="-290" w:rightChars="-138" w:firstLine="420" w:firstLineChars="200"/>
        <w:rPr>
          <w:rFonts w:ascii="Times New Roman" w:hAnsi="宋体" w:cs="Times New Roman"/>
          <w:bCs/>
          <w:color w:val="FF0000"/>
          <w:kern w:val="0"/>
        </w:rPr>
      </w:pPr>
      <w:r>
        <w:rPr>
          <w:rFonts w:ascii="Times New Roman" w:hAnsi="宋体" w:cs="Times New Roman"/>
          <w:bCs/>
          <w:color w:val="000000" w:themeColor="text1"/>
          <w:kern w:val="0"/>
          <w14:textFill>
            <w14:solidFill>
              <w14:schemeClr w14:val="tx1"/>
            </w14:solidFill>
          </w14:textFill>
        </w:rPr>
        <w:t>（5）</w:t>
      </w:r>
      <w:r>
        <w:rPr>
          <w:rFonts w:hint="eastAsia" w:ascii="Times New Roman" w:hAnsi="宋体" w:cs="Times New Roman"/>
          <w:bCs/>
          <w:color w:val="000000" w:themeColor="text1"/>
          <w:kern w:val="0"/>
          <w14:textFill>
            <w14:solidFill>
              <w14:schemeClr w14:val="tx1"/>
            </w14:solidFill>
          </w14:textFill>
        </w:rPr>
        <w:t>“</w:t>
      </w:r>
      <w:r>
        <w:rPr>
          <w:rFonts w:ascii="Times New Roman" w:hAnsi="宋体" w:cs="Times New Roman"/>
          <w:bCs/>
          <w:color w:val="000000" w:themeColor="text1"/>
          <w:kern w:val="0"/>
          <w14:textFill>
            <w14:solidFill>
              <w14:schemeClr w14:val="tx1"/>
            </w14:solidFill>
          </w14:textFill>
        </w:rPr>
        <w:t>教—学—做</w:t>
      </w:r>
      <w:r>
        <w:rPr>
          <w:rFonts w:hint="eastAsia" w:ascii="Times New Roman" w:hAnsi="宋体" w:cs="Times New Roman"/>
          <w:bCs/>
          <w:color w:val="000000" w:themeColor="text1"/>
          <w:kern w:val="0"/>
          <w14:textFill>
            <w14:solidFill>
              <w14:schemeClr w14:val="tx1"/>
            </w14:solidFill>
          </w14:textFill>
        </w:rPr>
        <w:t>”</w:t>
      </w:r>
      <w:r>
        <w:rPr>
          <w:rFonts w:ascii="Times New Roman" w:hAnsi="宋体" w:cs="Times New Roman"/>
          <w:bCs/>
          <w:color w:val="000000" w:themeColor="text1"/>
          <w:kern w:val="0"/>
          <w14:textFill>
            <w14:solidFill>
              <w14:schemeClr w14:val="tx1"/>
            </w14:solidFill>
          </w14:textFill>
        </w:rPr>
        <w:t>一体化，专题教学后进行实验操作训练，然后理论课前再对已讲授的理论内容和实验技术进行复习，设置相关问题进行提问、讨论，并对实验课实验操作、操作表现、</w:t>
      </w:r>
      <w:r>
        <w:rPr>
          <w:rFonts w:hint="eastAsia" w:ascii="Times New Roman" w:hAnsi="宋体" w:cs="Times New Roman"/>
          <w:bCs/>
          <w:color w:val="000000" w:themeColor="text1"/>
          <w:kern w:val="0"/>
          <w14:textFill>
            <w14:solidFill>
              <w14:schemeClr w14:val="tx1"/>
            </w14:solidFill>
          </w14:textFill>
        </w:rPr>
        <w:t>实验</w:t>
      </w:r>
      <w:r>
        <w:rPr>
          <w:rFonts w:ascii="Times New Roman" w:hAnsi="宋体" w:cs="Times New Roman"/>
          <w:bCs/>
          <w:color w:val="000000" w:themeColor="text1"/>
          <w:kern w:val="0"/>
          <w14:textFill>
            <w14:solidFill>
              <w14:schemeClr w14:val="tx1"/>
            </w14:solidFill>
          </w14:textFill>
        </w:rPr>
        <w:t>结果</w:t>
      </w:r>
      <w:r>
        <w:rPr>
          <w:rFonts w:hint="eastAsia" w:ascii="Times New Roman" w:hAnsi="宋体" w:cs="Times New Roman"/>
          <w:bCs/>
          <w:color w:val="000000" w:themeColor="text1"/>
          <w:kern w:val="0"/>
          <w14:textFill>
            <w14:solidFill>
              <w14:schemeClr w14:val="tx1"/>
            </w14:solidFill>
          </w14:textFill>
        </w:rPr>
        <w:t>、实验报告</w:t>
      </w:r>
      <w:r>
        <w:rPr>
          <w:rFonts w:ascii="Times New Roman" w:hAnsi="宋体" w:cs="Times New Roman"/>
          <w:bCs/>
          <w:color w:val="000000" w:themeColor="text1"/>
          <w:kern w:val="0"/>
          <w14:textFill>
            <w14:solidFill>
              <w14:schemeClr w14:val="tx1"/>
            </w14:solidFill>
          </w14:textFill>
        </w:rPr>
        <w:t>进行</w:t>
      </w:r>
      <w:r>
        <w:rPr>
          <w:rFonts w:hint="eastAsia" w:ascii="Times New Roman" w:hAnsi="宋体" w:cs="Times New Roman"/>
          <w:bCs/>
          <w:color w:val="000000" w:themeColor="text1"/>
          <w:kern w:val="0"/>
          <w14:textFill>
            <w14:solidFill>
              <w14:schemeClr w14:val="tx1"/>
            </w14:solidFill>
          </w14:textFill>
        </w:rPr>
        <w:t>过程性评价，促使学生</w:t>
      </w:r>
      <w:r>
        <w:rPr>
          <w:rFonts w:ascii="Times New Roman" w:hAnsi="宋体" w:cs="Times New Roman"/>
          <w:bCs/>
          <w:color w:val="000000" w:themeColor="text1"/>
          <w:kern w:val="0"/>
          <w14:textFill>
            <w14:solidFill>
              <w14:schemeClr w14:val="tx1"/>
            </w14:solidFill>
          </w14:textFill>
        </w:rPr>
        <w:t>更好的掌握相关知识。</w:t>
      </w:r>
    </w:p>
    <w:p>
      <w:pPr>
        <w:spacing w:line="360" w:lineRule="auto"/>
        <w:ind w:firstLine="420" w:firstLineChars="200"/>
        <w:rPr>
          <w:rFonts w:hint="eastAsia" w:hAnsi="宋体"/>
          <w:bCs/>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32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360"/>
              <w:rPr>
                <w:rFonts w:hAnsiTheme="minorEastAsia" w:eastAsiaTheme="minorEastAsia"/>
                <w:sz w:val="18"/>
                <w:szCs w:val="21"/>
              </w:rPr>
            </w:pPr>
            <w:r>
              <w:rPr>
                <w:rFonts w:hint="eastAsia" w:hAnsiTheme="minorEastAsia" w:eastAsiaTheme="minorEastAsia"/>
                <w:sz w:val="18"/>
                <w:szCs w:val="21"/>
              </w:rPr>
              <w:t>目标1：通过课程的学习，培养学生热爱祖国，热爱人民，具有正确的政治方向，拥护中国共产党的领导。树立正确的世界观、价值观和人生观，自觉践行社会主义核心价值观，做到四个自信。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1</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360"/>
              <w:rPr>
                <w:rFonts w:hAnsiTheme="minorEastAsia" w:eastAsiaTheme="minorEastAsia"/>
                <w:sz w:val="18"/>
                <w:szCs w:val="21"/>
              </w:rPr>
            </w:pPr>
            <w:r>
              <w:rPr>
                <w:rFonts w:hint="eastAsia" w:hAnsiTheme="minorEastAsia" w:eastAsiaTheme="minorEastAsia"/>
                <w:sz w:val="18"/>
                <w:szCs w:val="21"/>
              </w:rPr>
              <w:t>目标2：</w:t>
            </w:r>
            <w:r>
              <w:rPr>
                <w:rFonts w:hAnsiTheme="minorEastAsia" w:eastAsiaTheme="minorEastAsia"/>
                <w:sz w:val="18"/>
                <w:szCs w:val="21"/>
              </w:rPr>
              <w:t>本课程的开设可进一步加强学生的综合素质和创新能力的培养，增强学生在植物生产中发现问题、分析问题和解决问题的能力，推动我国植物生物技术的研究与应用。</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4</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21"/>
              </w:rPr>
            </w:pPr>
            <w:r>
              <w:rPr>
                <w:rFonts w:hAnsiTheme="minorEastAsia" w:eastAsiaTheme="minorEastAsia"/>
                <w:sz w:val="18"/>
                <w:szCs w:val="21"/>
              </w:rPr>
              <w:t>目标3：通过本课程的教学，使学生了解植物组织培养的研究历史、应用状况、基本概念和基本理论，了解组织培养实验室建造和布局，掌握植物组织培养的基础理论知识和基本技能，在科学工作态度、组织培养实验技能等方面获得初步的训练，为学生将来从事植物生物技术相关教学、科研、开发和经营等多方面工作奠定良好的基础。</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hint="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5</w:t>
            </w:r>
          </w:p>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7</w:t>
            </w:r>
          </w:p>
        </w:tc>
      </w:tr>
    </w:tbl>
    <w:p>
      <w:pPr>
        <w:widowControl/>
        <w:snapToGrid w:val="0"/>
        <w:spacing w:line="360" w:lineRule="auto"/>
        <w:jc w:val="left"/>
        <w:rPr>
          <w:rFonts w:hAnsi="宋体"/>
          <w:bCs/>
          <w:color w:val="0000FF"/>
          <w:kern w:val="0"/>
          <w:szCs w:val="21"/>
        </w:rPr>
      </w:pPr>
    </w:p>
    <w:p>
      <w:pPr>
        <w:widowControl/>
        <w:snapToGrid w:val="0"/>
        <w:spacing w:line="360" w:lineRule="auto"/>
        <w:jc w:val="left"/>
        <w:rPr>
          <w:rFonts w:hAnsi="宋体"/>
          <w:b/>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（32学时）</w:t>
      </w:r>
    </w:p>
    <w:p>
      <w:pPr>
        <w:widowControl/>
        <w:snapToGrid w:val="0"/>
        <w:spacing w:line="360" w:lineRule="auto"/>
        <w:ind w:right="211"/>
        <w:jc w:val="right"/>
        <w:rPr>
          <w:kern w:val="0"/>
          <w:szCs w:val="21"/>
        </w:rPr>
      </w:pPr>
      <w:r>
        <w:rPr>
          <w:rFonts w:hAnsiTheme="minorEastAsia"/>
          <w:b/>
          <w:bCs/>
          <w:color w:val="000000" w:themeColor="text1"/>
          <w:kern w:val="0"/>
          <w:szCs w:val="21"/>
          <w14:textFill>
            <w14:solidFill>
              <w14:schemeClr w14:val="tx1"/>
            </w14:solidFill>
          </w14:textFill>
        </w:rPr>
        <w:t>绪</w:t>
      </w:r>
      <w:r>
        <w:rPr>
          <w:b/>
          <w:bCs/>
          <w:color w:val="000000" w:themeColor="text1"/>
          <w:kern w:val="0"/>
          <w:szCs w:val="21"/>
          <w14:textFill>
            <w14:solidFill>
              <w14:schemeClr w14:val="tx1"/>
            </w14:solidFill>
          </w14:textFill>
        </w:rPr>
        <w:t xml:space="preserve">  </w:t>
      </w:r>
      <w:r>
        <w:rPr>
          <w:rFonts w:hAnsiTheme="minorEastAsia"/>
          <w:b/>
          <w:bCs/>
          <w:color w:val="000000" w:themeColor="text1"/>
          <w:kern w:val="0"/>
          <w:szCs w:val="21"/>
          <w14:textFill>
            <w14:solidFill>
              <w14:schemeClr w14:val="tx1"/>
            </w14:solidFill>
          </w14:textFill>
        </w:rPr>
        <w:t>论</w:t>
      </w:r>
      <w:r>
        <w:rPr>
          <w:color w:val="000000" w:themeColor="text1"/>
          <w:kern w:val="0"/>
          <w:szCs w:val="21"/>
          <w14:textFill>
            <w14:solidFill>
              <w14:schemeClr w14:val="tx1"/>
            </w14:solidFill>
          </w14:textFill>
        </w:rPr>
        <w:t xml:space="preserve"> </w:t>
      </w:r>
      <w:r>
        <w:rPr>
          <w:kern w:val="0"/>
          <w:szCs w:val="21"/>
        </w:rPr>
        <w:t xml:space="preserve"> </w:t>
      </w:r>
      <w:r>
        <w:rPr>
          <w:b/>
          <w:bCs/>
          <w:kern w:val="0"/>
          <w:szCs w:val="21"/>
        </w:rPr>
        <w:t xml:space="preserve">                   </w:t>
      </w:r>
      <w:r>
        <w:rPr>
          <w:rFonts w:hint="eastAsia"/>
          <w:b/>
          <w:bCs/>
          <w:kern w:val="0"/>
          <w:szCs w:val="21"/>
        </w:rPr>
        <w:t xml:space="preserve"> </w:t>
      </w:r>
      <w:r>
        <w:rPr>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介绍植物组织培养的概念、发展历史及应用领域，使学生了解植物组织培养技术的重要性。</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重点：植物组织培养的</w:t>
      </w:r>
      <w:r>
        <w:rPr>
          <w:rFonts w:hint="eastAsia" w:hAnsiTheme="minorEastAsia"/>
          <w:kern w:val="0"/>
          <w:szCs w:val="21"/>
        </w:rPr>
        <w:t>相关概念、发展</w:t>
      </w:r>
      <w:r>
        <w:rPr>
          <w:rFonts w:hAnsiTheme="minorEastAsia"/>
          <w:kern w:val="0"/>
          <w:szCs w:val="21"/>
        </w:rPr>
        <w:t>；</w:t>
      </w:r>
    </w:p>
    <w:p>
      <w:pPr>
        <w:widowControl/>
        <w:snapToGrid w:val="0"/>
        <w:spacing w:line="360" w:lineRule="auto"/>
        <w:ind w:left="420" w:leftChars="200"/>
        <w:rPr>
          <w:b/>
          <w:bCs/>
          <w:kern w:val="0"/>
          <w:szCs w:val="21"/>
        </w:rPr>
      </w:pPr>
      <w:r>
        <w:rPr>
          <w:rFonts w:hAnsiTheme="minorEastAsia"/>
          <w:kern w:val="0"/>
          <w:szCs w:val="21"/>
        </w:rPr>
        <w:t>难点：植物组织培养在园艺植物生产中的应用。</w:t>
      </w:r>
    </w:p>
    <w:p>
      <w:pPr>
        <w:widowControl/>
        <w:snapToGrid w:val="0"/>
        <w:spacing w:line="360" w:lineRule="auto"/>
        <w:rPr>
          <w:kern w:val="0"/>
          <w:szCs w:val="21"/>
        </w:rPr>
      </w:pPr>
      <w:r>
        <w:rPr>
          <w:rFonts w:hAnsiTheme="minorEastAsia"/>
          <w:b/>
          <w:bCs/>
          <w:szCs w:val="21"/>
        </w:rPr>
        <w:t>主要教学内容及要求：</w:t>
      </w:r>
    </w:p>
    <w:p>
      <w:pPr>
        <w:widowControl/>
        <w:snapToGrid w:val="0"/>
        <w:spacing w:line="360" w:lineRule="auto"/>
        <w:ind w:firstLine="420" w:firstLineChars="200"/>
        <w:rPr>
          <w:kern w:val="0"/>
          <w:szCs w:val="21"/>
        </w:rPr>
      </w:pPr>
      <w:r>
        <w:rPr>
          <w:rFonts w:hAnsiTheme="minorEastAsia"/>
          <w:kern w:val="0"/>
          <w:szCs w:val="21"/>
        </w:rPr>
        <w:t>了解</w:t>
      </w:r>
      <w:r>
        <w:rPr>
          <w:rFonts w:hint="eastAsia" w:hAnsiTheme="minorEastAsia"/>
          <w:kern w:val="0"/>
          <w:szCs w:val="21"/>
        </w:rPr>
        <w:t>：</w:t>
      </w:r>
      <w:r>
        <w:rPr>
          <w:rFonts w:hAnsiTheme="minorEastAsia"/>
          <w:kern w:val="0"/>
          <w:szCs w:val="21"/>
        </w:rPr>
        <w:t>植物培养在现代生物技术中的地位</w:t>
      </w:r>
      <w:r>
        <w:rPr>
          <w:rFonts w:hint="eastAsia" w:hAnsiTheme="minorEastAsia"/>
          <w:kern w:val="0"/>
          <w:szCs w:val="21"/>
        </w:rPr>
        <w:t>，</w:t>
      </w:r>
      <w:r>
        <w:rPr>
          <w:rFonts w:hAnsiTheme="minorEastAsia"/>
          <w:kern w:val="0"/>
          <w:szCs w:val="21"/>
        </w:rPr>
        <w:t>植物组织培养的发展简史。</w:t>
      </w:r>
    </w:p>
    <w:p>
      <w:pPr>
        <w:widowControl/>
        <w:snapToGrid w:val="0"/>
        <w:spacing w:line="360" w:lineRule="auto"/>
        <w:ind w:firstLine="420" w:firstLineChars="200"/>
        <w:rPr>
          <w:rFonts w:hAnsiTheme="minorEastAsia"/>
          <w:kern w:val="0"/>
          <w:szCs w:val="21"/>
        </w:rPr>
      </w:pPr>
      <w:r>
        <w:rPr>
          <w:rFonts w:hAnsiTheme="minorEastAsia"/>
          <w:kern w:val="0"/>
          <w:szCs w:val="21"/>
        </w:rPr>
        <w:t>掌握</w:t>
      </w:r>
      <w:r>
        <w:rPr>
          <w:rFonts w:hint="eastAsia" w:hAnsiTheme="minorEastAsia"/>
          <w:kern w:val="0"/>
          <w:szCs w:val="21"/>
        </w:rPr>
        <w:t>：</w:t>
      </w:r>
      <w:r>
        <w:rPr>
          <w:rFonts w:hAnsiTheme="minorEastAsia"/>
          <w:kern w:val="0"/>
          <w:szCs w:val="21"/>
        </w:rPr>
        <w:t>植物组织培养</w:t>
      </w:r>
      <w:r>
        <w:rPr>
          <w:rFonts w:hint="eastAsia" w:hAnsiTheme="minorEastAsia"/>
          <w:kern w:val="0"/>
          <w:szCs w:val="21"/>
        </w:rPr>
        <w:t>及相关专业术语的概念，</w:t>
      </w:r>
      <w:r>
        <w:rPr>
          <w:rFonts w:hAnsiTheme="minorEastAsia"/>
          <w:kern w:val="0"/>
          <w:szCs w:val="21"/>
        </w:rPr>
        <w:t>植物组织培养在园艺植物生产中的应用。</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以班级授课的形式讲授植物组织培养的发展简史，列举生活和生产上的案例让学生了解植物组织培养技术的重要性。</w:t>
      </w:r>
    </w:p>
    <w:p>
      <w:pPr>
        <w:widowControl/>
        <w:wordWrap w:val="0"/>
        <w:snapToGrid w:val="0"/>
        <w:spacing w:before="156" w:beforeLines="50" w:line="360" w:lineRule="auto"/>
        <w:jc w:val="right"/>
        <w:rPr>
          <w:kern w:val="0"/>
          <w:szCs w:val="21"/>
        </w:rPr>
      </w:pPr>
      <w:r>
        <w:rPr>
          <w:rFonts w:hAnsiTheme="minorEastAsia"/>
          <w:b/>
          <w:bCs/>
          <w:color w:val="000000" w:themeColor="text1"/>
          <w:kern w:val="0"/>
          <w:szCs w:val="21"/>
          <w14:textFill>
            <w14:solidFill>
              <w14:schemeClr w14:val="tx1"/>
            </w14:solidFill>
          </w14:textFill>
        </w:rPr>
        <w:t>第一章</w:t>
      </w:r>
      <w:r>
        <w:rPr>
          <w:rFonts w:hint="eastAsia"/>
          <w:b/>
          <w:bCs/>
          <w:color w:val="000000" w:themeColor="text1"/>
          <w:kern w:val="0"/>
          <w:szCs w:val="21"/>
          <w14:textFill>
            <w14:solidFill>
              <w14:schemeClr w14:val="tx1"/>
            </w14:solidFill>
          </w14:textFill>
        </w:rPr>
        <w:t xml:space="preserve">  </w:t>
      </w:r>
      <w:r>
        <w:rPr>
          <w:rFonts w:hAnsiTheme="minorEastAsia"/>
          <w:b/>
          <w:bCs/>
          <w:kern w:val="0"/>
          <w:szCs w:val="21"/>
        </w:rPr>
        <w:t>植物组织培养的基本技术</w:t>
      </w:r>
      <w:r>
        <w:rPr>
          <w:rFonts w:hint="eastAsia" w:hAnsiTheme="minorEastAsia"/>
          <w:b/>
          <w:bCs/>
          <w:kern w:val="0"/>
          <w:szCs w:val="21"/>
        </w:rPr>
        <w:t>与条件</w:t>
      </w:r>
      <w:r>
        <w:rPr>
          <w:rFonts w:hint="eastAsia"/>
          <w:b/>
          <w:bCs/>
          <w:kern w:val="0"/>
          <w:szCs w:val="21"/>
        </w:rPr>
        <w:t xml:space="preserve"> </w:t>
      </w:r>
      <w:r>
        <w:rPr>
          <w:b/>
          <w:bCs/>
          <w:kern w:val="0"/>
          <w:szCs w:val="21"/>
        </w:rPr>
        <w:t xml:space="preserve">      </w:t>
      </w:r>
      <w:r>
        <w:rPr>
          <w:rFonts w:hint="eastAsia"/>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介绍植物组织培养实验室的组成和布局、基本培养基的配制、外植体消毒和无菌操作技术，通过讲解使学生能够独立、正确完成基本操作技术。</w:t>
      </w:r>
      <w:r>
        <w:rPr>
          <w:kern w:val="0"/>
          <w:szCs w:val="21"/>
        </w:rPr>
        <w:t></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重点：培养基的成分及其作用，培养基和外植体的灭菌方法；</w:t>
      </w:r>
    </w:p>
    <w:p>
      <w:pPr>
        <w:widowControl/>
        <w:snapToGrid w:val="0"/>
        <w:spacing w:line="360" w:lineRule="auto"/>
        <w:ind w:left="420" w:leftChars="200"/>
        <w:rPr>
          <w:b/>
          <w:bCs/>
          <w:kern w:val="0"/>
          <w:szCs w:val="21"/>
        </w:rPr>
      </w:pPr>
      <w:r>
        <w:rPr>
          <w:rFonts w:hAnsiTheme="minorEastAsia"/>
          <w:kern w:val="0"/>
          <w:szCs w:val="21"/>
        </w:rPr>
        <w:t>难点：</w:t>
      </w:r>
      <w:r>
        <w:rPr>
          <w:kern w:val="0"/>
          <w:szCs w:val="21"/>
        </w:rPr>
        <w:t>MS</w:t>
      </w:r>
      <w:r>
        <w:rPr>
          <w:rFonts w:hAnsiTheme="minorEastAsia"/>
          <w:kern w:val="0"/>
          <w:szCs w:val="21"/>
        </w:rPr>
        <w:t>培养基母液和工作培养基的配制，不同类型外植体的所对应的灭菌方法。</w:t>
      </w:r>
    </w:p>
    <w:p>
      <w:pPr>
        <w:widowControl/>
        <w:snapToGrid w:val="0"/>
        <w:spacing w:line="360" w:lineRule="auto"/>
        <w:rPr>
          <w:kern w:val="0"/>
          <w:szCs w:val="21"/>
        </w:rPr>
      </w:pPr>
      <w:r>
        <w:rPr>
          <w:rFonts w:hAnsiTheme="minorEastAsia"/>
          <w:b/>
          <w:bCs/>
          <w:szCs w:val="21"/>
        </w:rPr>
        <w:t>主要教学内容及要求：</w:t>
      </w:r>
      <w:r>
        <w:rPr>
          <w:kern w:val="0"/>
          <w:szCs w:val="21"/>
        </w:rPr>
        <w:t xml:space="preserve"> </w:t>
      </w:r>
    </w:p>
    <w:p>
      <w:pPr>
        <w:widowControl/>
        <w:snapToGrid w:val="0"/>
        <w:spacing w:line="360" w:lineRule="auto"/>
        <w:ind w:firstLine="420" w:firstLineChars="200"/>
        <w:rPr>
          <w:kern w:val="0"/>
          <w:szCs w:val="21"/>
        </w:rPr>
      </w:pPr>
      <w:r>
        <w:rPr>
          <w:rFonts w:hAnsiTheme="minorEastAsia"/>
          <w:kern w:val="0"/>
          <w:szCs w:val="21"/>
        </w:rPr>
        <w:t>了解</w:t>
      </w:r>
      <w:r>
        <w:rPr>
          <w:rFonts w:hint="eastAsia" w:hAnsiTheme="minorEastAsia"/>
          <w:kern w:val="0"/>
          <w:szCs w:val="21"/>
        </w:rPr>
        <w:t>：</w:t>
      </w:r>
      <w:r>
        <w:rPr>
          <w:rFonts w:hAnsiTheme="minorEastAsia"/>
          <w:kern w:val="0"/>
          <w:szCs w:val="21"/>
        </w:rPr>
        <w:t>植物培养实验室的设置和布局。</w:t>
      </w:r>
    </w:p>
    <w:p>
      <w:pPr>
        <w:widowControl/>
        <w:snapToGrid w:val="0"/>
        <w:spacing w:line="360" w:lineRule="auto"/>
        <w:ind w:firstLine="420" w:firstLineChars="200"/>
        <w:rPr>
          <w:kern w:val="0"/>
          <w:szCs w:val="21"/>
        </w:rPr>
      </w:pPr>
      <w:r>
        <w:rPr>
          <w:rFonts w:hAnsiTheme="minorEastAsia"/>
          <w:kern w:val="0"/>
          <w:szCs w:val="21"/>
        </w:rPr>
        <w:t>掌握</w:t>
      </w:r>
      <w:r>
        <w:rPr>
          <w:rFonts w:hint="eastAsia" w:hAnsiTheme="minorEastAsia"/>
          <w:kern w:val="0"/>
          <w:szCs w:val="21"/>
        </w:rPr>
        <w:t>：</w:t>
      </w:r>
      <w:r>
        <w:rPr>
          <w:rFonts w:hAnsiTheme="minorEastAsia"/>
          <w:kern w:val="0"/>
          <w:szCs w:val="21"/>
        </w:rPr>
        <w:t>植物组织培养的一般环境条件。</w:t>
      </w:r>
    </w:p>
    <w:p>
      <w:pPr>
        <w:widowControl/>
        <w:snapToGrid w:val="0"/>
        <w:spacing w:line="360" w:lineRule="auto"/>
        <w:ind w:firstLine="420" w:firstLineChars="200"/>
        <w:rPr>
          <w:rFonts w:hAnsiTheme="minorEastAsia"/>
          <w:kern w:val="0"/>
          <w:szCs w:val="21"/>
        </w:rPr>
      </w:pPr>
      <w:r>
        <w:rPr>
          <w:rFonts w:hAnsiTheme="minorEastAsia"/>
          <w:kern w:val="0"/>
          <w:szCs w:val="21"/>
        </w:rPr>
        <w:t>熟练掌握</w:t>
      </w:r>
      <w:r>
        <w:rPr>
          <w:rFonts w:hint="eastAsia" w:hAnsiTheme="minorEastAsia"/>
          <w:kern w:val="0"/>
          <w:szCs w:val="21"/>
        </w:rPr>
        <w:t>：</w:t>
      </w:r>
      <w:r>
        <w:rPr>
          <w:rFonts w:hAnsiTheme="minorEastAsia"/>
          <w:kern w:val="0"/>
          <w:szCs w:val="21"/>
        </w:rPr>
        <w:t>常用的培养基的组成和配制方法</w:t>
      </w:r>
      <w:r>
        <w:rPr>
          <w:rFonts w:hint="eastAsia" w:hAnsiTheme="minorEastAsia"/>
          <w:kern w:val="0"/>
          <w:szCs w:val="21"/>
        </w:rPr>
        <w:t>，</w:t>
      </w:r>
      <w:r>
        <w:rPr>
          <w:rFonts w:hAnsiTheme="minorEastAsia"/>
          <w:kern w:val="0"/>
          <w:szCs w:val="21"/>
        </w:rPr>
        <w:t>组织培养的基本操作技术。</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w:t>
      </w:r>
      <w:r>
        <w:rPr>
          <w:rFonts w:hAnsiTheme="minorEastAsia"/>
          <w:kern w:val="0"/>
          <w:szCs w:val="21"/>
        </w:rPr>
        <w:t>实验室的组成和布局、基本培养基的配制、外植体消毒和无菌操作技术</w:t>
      </w:r>
      <w:r>
        <w:rPr>
          <w:rFonts w:hint="eastAsia"/>
          <w:kern w:val="0"/>
          <w:szCs w:val="21"/>
        </w:rPr>
        <w:t>，结合课程实验</w:t>
      </w:r>
      <w:r>
        <w:rPr>
          <w:kern w:val="0"/>
          <w:szCs w:val="21"/>
        </w:rPr>
        <w:t>实地考察组织培养实验室</w:t>
      </w:r>
      <w:r>
        <w:rPr>
          <w:rFonts w:hint="eastAsia"/>
          <w:kern w:val="0"/>
          <w:szCs w:val="21"/>
        </w:rPr>
        <w:t>，使学生掌握</w:t>
      </w:r>
      <w:r>
        <w:rPr>
          <w:kern w:val="0"/>
          <w:szCs w:val="21"/>
        </w:rPr>
        <w:t>实验室的设置和布局原则</w:t>
      </w:r>
      <w:r>
        <w:rPr>
          <w:rFonts w:hint="eastAsia"/>
          <w:kern w:val="0"/>
          <w:szCs w:val="21"/>
        </w:rPr>
        <w:t>。</w:t>
      </w:r>
    </w:p>
    <w:p>
      <w:pPr>
        <w:widowControl/>
        <w:wordWrap w:val="0"/>
        <w:snapToGrid w:val="0"/>
        <w:spacing w:before="156" w:beforeLines="50" w:line="360" w:lineRule="auto"/>
        <w:jc w:val="right"/>
        <w:rPr>
          <w:kern w:val="0"/>
          <w:szCs w:val="21"/>
        </w:rPr>
      </w:pPr>
      <w:r>
        <w:rPr>
          <w:rFonts w:hAnsiTheme="minorEastAsia"/>
          <w:b/>
          <w:bCs/>
          <w:color w:val="000000" w:themeColor="text1"/>
          <w:kern w:val="0"/>
          <w:szCs w:val="21"/>
          <w14:textFill>
            <w14:solidFill>
              <w14:schemeClr w14:val="tx1"/>
            </w14:solidFill>
          </w14:textFill>
        </w:rPr>
        <w:t>第二章</w:t>
      </w:r>
      <w:r>
        <w:rPr>
          <w:rFonts w:hint="eastAsia"/>
          <w:b/>
          <w:bCs/>
          <w:color w:val="000000" w:themeColor="text1"/>
          <w:kern w:val="0"/>
          <w:szCs w:val="21"/>
          <w14:textFill>
            <w14:solidFill>
              <w14:schemeClr w14:val="tx1"/>
            </w14:solidFill>
          </w14:textFill>
        </w:rPr>
        <w:t xml:space="preserve"> </w:t>
      </w:r>
      <w:r>
        <w:rPr>
          <w:rFonts w:hint="eastAsia"/>
          <w:b/>
          <w:bCs/>
          <w:kern w:val="0"/>
          <w:szCs w:val="21"/>
        </w:rPr>
        <w:t xml:space="preserve"> </w:t>
      </w:r>
      <w:r>
        <w:rPr>
          <w:rFonts w:hAnsiTheme="minorEastAsia"/>
          <w:b/>
          <w:bCs/>
          <w:kern w:val="0"/>
          <w:szCs w:val="21"/>
        </w:rPr>
        <w:t>植物</w:t>
      </w:r>
      <w:r>
        <w:rPr>
          <w:rFonts w:hint="eastAsia" w:hAnsiTheme="minorEastAsia"/>
          <w:b/>
          <w:bCs/>
          <w:kern w:val="0"/>
          <w:szCs w:val="21"/>
        </w:rPr>
        <w:t>细胞全能性与离体形态建成</w:t>
      </w:r>
      <w:r>
        <w:rPr>
          <w:rFonts w:hint="eastAsia"/>
          <w:b/>
          <w:bCs/>
          <w:kern w:val="0"/>
          <w:szCs w:val="21"/>
        </w:rPr>
        <w:t xml:space="preserve">          </w:t>
      </w:r>
      <w:r>
        <w:rPr>
          <w:b/>
          <w:bCs/>
          <w:kern w:val="0"/>
          <w:szCs w:val="21"/>
        </w:rPr>
        <w:t xml:space="preserve">      </w:t>
      </w:r>
      <w:r>
        <w:rPr>
          <w:rFonts w:hint="eastAsia"/>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介绍植物细胞全能性的含义</w:t>
      </w:r>
      <w:r>
        <w:rPr>
          <w:rFonts w:hint="eastAsia" w:hAnsiTheme="minorEastAsia"/>
          <w:kern w:val="0"/>
          <w:szCs w:val="21"/>
        </w:rPr>
        <w:t>及调控表达、形态建成的两种途径（器官发生途径和体细胞胚胎发生途径）的调控方式，</w:t>
      </w:r>
      <w:r>
        <w:rPr>
          <w:rFonts w:hAnsiTheme="minorEastAsia"/>
          <w:kern w:val="0"/>
          <w:szCs w:val="21"/>
        </w:rPr>
        <w:t>使学生掌握植物细胞全能性</w:t>
      </w:r>
      <w:r>
        <w:rPr>
          <w:rFonts w:hint="eastAsia" w:hAnsiTheme="minorEastAsia"/>
          <w:kern w:val="0"/>
          <w:szCs w:val="21"/>
        </w:rPr>
        <w:t>的</w:t>
      </w:r>
      <w:r>
        <w:rPr>
          <w:rFonts w:hAnsiTheme="minorEastAsia"/>
          <w:kern w:val="0"/>
          <w:szCs w:val="21"/>
        </w:rPr>
        <w:t>表达</w:t>
      </w:r>
      <w:r>
        <w:rPr>
          <w:rFonts w:hint="eastAsia" w:hAnsiTheme="minorEastAsia"/>
          <w:kern w:val="0"/>
          <w:szCs w:val="21"/>
        </w:rPr>
        <w:t>调控方法和形态建成调控</w:t>
      </w:r>
      <w:r>
        <w:rPr>
          <w:rFonts w:hAnsiTheme="minorEastAsia"/>
          <w:kern w:val="0"/>
          <w:szCs w:val="21"/>
        </w:rPr>
        <w:t>。</w:t>
      </w:r>
      <w:r>
        <w:rPr>
          <w:kern w:val="0"/>
          <w:szCs w:val="21"/>
        </w:rPr>
        <w:t></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重点：细胞全能性的概念，</w:t>
      </w:r>
      <w:r>
        <w:rPr>
          <w:rFonts w:hint="eastAsia" w:hAnsiTheme="minorEastAsia"/>
          <w:kern w:val="0"/>
          <w:szCs w:val="21"/>
        </w:rPr>
        <w:t>器官发生途径和体细胞胚发生途径</w:t>
      </w:r>
      <w:r>
        <w:rPr>
          <w:rFonts w:hAnsiTheme="minorEastAsia"/>
          <w:kern w:val="0"/>
          <w:szCs w:val="21"/>
        </w:rPr>
        <w:t>；</w:t>
      </w:r>
    </w:p>
    <w:p>
      <w:pPr>
        <w:widowControl/>
        <w:snapToGrid w:val="0"/>
        <w:spacing w:line="360" w:lineRule="auto"/>
        <w:ind w:left="420" w:leftChars="200"/>
        <w:rPr>
          <w:b/>
          <w:bCs/>
          <w:kern w:val="0"/>
          <w:szCs w:val="21"/>
        </w:rPr>
      </w:pPr>
      <w:r>
        <w:rPr>
          <w:rFonts w:hAnsiTheme="minorEastAsia"/>
          <w:kern w:val="0"/>
          <w:szCs w:val="21"/>
        </w:rPr>
        <w:t>难点：细胞全能性表达难易程度及其表达调控</w:t>
      </w:r>
      <w:r>
        <w:rPr>
          <w:rFonts w:hint="eastAsia" w:hAnsiTheme="minorEastAsia"/>
          <w:kern w:val="0"/>
          <w:szCs w:val="21"/>
        </w:rPr>
        <w:t>、两种形态发生途径的异同点及其调控方法。</w:t>
      </w:r>
    </w:p>
    <w:p>
      <w:pPr>
        <w:widowControl/>
        <w:snapToGrid w:val="0"/>
        <w:spacing w:line="360" w:lineRule="auto"/>
        <w:rPr>
          <w:kern w:val="0"/>
          <w:szCs w:val="21"/>
        </w:rPr>
      </w:pPr>
      <w:r>
        <w:rPr>
          <w:rFonts w:hAnsiTheme="minorEastAsia"/>
          <w:b/>
          <w:bCs/>
          <w:szCs w:val="21"/>
        </w:rPr>
        <w:t>主要教学内容及要求：</w:t>
      </w:r>
      <w:r>
        <w:rPr>
          <w:kern w:val="0"/>
          <w:szCs w:val="21"/>
        </w:rPr>
        <w:t xml:space="preserve"> </w:t>
      </w:r>
    </w:p>
    <w:p>
      <w:pPr>
        <w:pStyle w:val="7"/>
        <w:snapToGrid w:val="0"/>
        <w:spacing w:line="360" w:lineRule="auto"/>
        <w:ind w:right="-29" w:rightChars="-14"/>
        <w:jc w:val="left"/>
        <w:rPr>
          <w:rFonts w:ascii="Times New Roman" w:eastAsiaTheme="minorEastAsia"/>
          <w:kern w:val="0"/>
          <w:szCs w:val="21"/>
        </w:rPr>
      </w:pPr>
      <w:r>
        <w:rPr>
          <w:rFonts w:ascii="Times New Roman" w:hAnsiTheme="minorEastAsia" w:eastAsiaTheme="minorEastAsia"/>
          <w:kern w:val="0"/>
          <w:szCs w:val="21"/>
        </w:rPr>
        <w:t>理解</w:t>
      </w:r>
      <w:r>
        <w:rPr>
          <w:rFonts w:hint="eastAsia" w:ascii="Times New Roman" w:hAnsiTheme="minorEastAsia" w:eastAsiaTheme="minorEastAsia"/>
          <w:kern w:val="0"/>
          <w:szCs w:val="21"/>
        </w:rPr>
        <w:t>：</w:t>
      </w:r>
      <w:r>
        <w:rPr>
          <w:rFonts w:ascii="Times New Roman" w:hAnsiTheme="minorEastAsia" w:eastAsiaTheme="minorEastAsia"/>
          <w:kern w:val="0"/>
          <w:szCs w:val="21"/>
        </w:rPr>
        <w:t>细胞全能性概述</w:t>
      </w:r>
      <w:r>
        <w:rPr>
          <w:rFonts w:hint="eastAsia" w:ascii="Times New Roman" w:hAnsiTheme="minorEastAsia" w:eastAsiaTheme="minorEastAsia"/>
          <w:kern w:val="0"/>
          <w:szCs w:val="21"/>
        </w:rPr>
        <w:t>，</w:t>
      </w:r>
      <w:r>
        <w:rPr>
          <w:rFonts w:ascii="Times New Roman" w:hAnsiTheme="minorEastAsia" w:eastAsiaTheme="minorEastAsia"/>
          <w:kern w:val="0"/>
          <w:szCs w:val="21"/>
        </w:rPr>
        <w:t>理解培养条件下细胞的脱分化与再分化</w:t>
      </w:r>
      <w:r>
        <w:rPr>
          <w:rFonts w:hint="eastAsia" w:ascii="Times New Roman" w:hAnsiTheme="minorEastAsia" w:eastAsiaTheme="minorEastAsia"/>
          <w:kern w:val="0"/>
          <w:szCs w:val="21"/>
        </w:rPr>
        <w:t>，离体条件下形态建成的各种途径、人工种子结构及制备方法</w:t>
      </w:r>
      <w:r>
        <w:rPr>
          <w:rFonts w:ascii="Times New Roman" w:hAnsiTheme="minorEastAsia" w:eastAsiaTheme="minorEastAsia"/>
          <w:kern w:val="0"/>
          <w:szCs w:val="21"/>
        </w:rPr>
        <w:t>。</w:t>
      </w:r>
    </w:p>
    <w:p>
      <w:pPr>
        <w:pStyle w:val="7"/>
        <w:snapToGrid w:val="0"/>
        <w:spacing w:line="360" w:lineRule="auto"/>
        <w:ind w:right="-29" w:rightChars="-14"/>
        <w:jc w:val="left"/>
        <w:rPr>
          <w:rFonts w:ascii="Times New Roman" w:hAnsiTheme="minorEastAsia" w:eastAsiaTheme="minorEastAsia"/>
          <w:kern w:val="0"/>
          <w:szCs w:val="21"/>
        </w:rPr>
      </w:pPr>
      <w:r>
        <w:rPr>
          <w:rFonts w:ascii="Times New Roman" w:hAnsiTheme="minorEastAsia" w:eastAsiaTheme="minorEastAsia"/>
          <w:kern w:val="0"/>
          <w:szCs w:val="21"/>
        </w:rPr>
        <w:t>掌握</w:t>
      </w:r>
      <w:r>
        <w:rPr>
          <w:rFonts w:hint="eastAsia" w:ascii="Times New Roman" w:hAnsiTheme="minorEastAsia" w:eastAsiaTheme="minorEastAsia"/>
          <w:kern w:val="0"/>
          <w:szCs w:val="21"/>
        </w:rPr>
        <w:t>：两种形态发生途径的诱导、调控方法及影响因素</w:t>
      </w:r>
      <w:r>
        <w:rPr>
          <w:rFonts w:ascii="Times New Roman" w:hAnsiTheme="minorEastAsia" w:eastAsiaTheme="minorEastAsia"/>
          <w:kern w:val="0"/>
          <w:szCs w:val="21"/>
        </w:rPr>
        <w:t>。</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w:t>
      </w:r>
      <w:r>
        <w:rPr>
          <w:rFonts w:hAnsiTheme="minorEastAsia"/>
          <w:kern w:val="0"/>
          <w:szCs w:val="21"/>
        </w:rPr>
        <w:t>植物细胞全能性的含义、</w:t>
      </w:r>
      <w:r>
        <w:rPr>
          <w:rFonts w:hint="eastAsia" w:hAnsiTheme="minorEastAsia"/>
          <w:kern w:val="0"/>
          <w:szCs w:val="21"/>
        </w:rPr>
        <w:t>调控表达、离体形态建成调控</w:t>
      </w:r>
      <w:r>
        <w:rPr>
          <w:rFonts w:hAnsiTheme="minorEastAsia"/>
          <w:kern w:val="0"/>
          <w:szCs w:val="21"/>
        </w:rPr>
        <w:t>过程，</w:t>
      </w:r>
      <w:r>
        <w:rPr>
          <w:rFonts w:hint="eastAsia"/>
          <w:kern w:val="0"/>
          <w:szCs w:val="21"/>
        </w:rPr>
        <w:t>授课过程中采用大量专业知识相关图片与视频，</w:t>
      </w:r>
      <w:r>
        <w:rPr>
          <w:rFonts w:hAnsiTheme="minorEastAsia"/>
          <w:kern w:val="0"/>
          <w:szCs w:val="21"/>
        </w:rPr>
        <w:t>使学生掌握植物细胞全能性表达的基本程序调控方法</w:t>
      </w:r>
      <w:r>
        <w:rPr>
          <w:rFonts w:hint="eastAsia" w:hAnsiTheme="minorEastAsia"/>
          <w:kern w:val="0"/>
          <w:szCs w:val="21"/>
        </w:rPr>
        <w:t>以及形态建成的理论调控方法；学生自学人工种子制备方法</w:t>
      </w:r>
      <w:r>
        <w:rPr>
          <w:rFonts w:hint="eastAsia"/>
          <w:kern w:val="0"/>
          <w:szCs w:val="21"/>
        </w:rPr>
        <w:t>）。</w:t>
      </w:r>
    </w:p>
    <w:p>
      <w:pPr>
        <w:widowControl/>
        <w:wordWrap w:val="0"/>
        <w:snapToGrid w:val="0"/>
        <w:spacing w:before="156" w:beforeLines="50" w:line="360" w:lineRule="auto"/>
        <w:jc w:val="right"/>
        <w:rPr>
          <w:kern w:val="0"/>
          <w:szCs w:val="21"/>
        </w:rPr>
      </w:pPr>
      <w:r>
        <w:rPr>
          <w:rFonts w:hAnsiTheme="minorEastAsia"/>
          <w:b/>
          <w:bCs/>
          <w:kern w:val="0"/>
          <w:szCs w:val="21"/>
        </w:rPr>
        <w:t>第</w:t>
      </w:r>
      <w:r>
        <w:rPr>
          <w:rFonts w:hint="eastAsia" w:hAnsiTheme="minorEastAsia"/>
          <w:b/>
          <w:bCs/>
          <w:kern w:val="0"/>
          <w:szCs w:val="21"/>
        </w:rPr>
        <w:t>三</w:t>
      </w:r>
      <w:r>
        <w:rPr>
          <w:rFonts w:hAnsiTheme="minorEastAsia"/>
          <w:b/>
          <w:bCs/>
          <w:kern w:val="0"/>
          <w:szCs w:val="21"/>
        </w:rPr>
        <w:t>章</w:t>
      </w:r>
      <w:r>
        <w:rPr>
          <w:rFonts w:hint="eastAsia"/>
          <w:b/>
          <w:bCs/>
          <w:kern w:val="0"/>
          <w:szCs w:val="21"/>
        </w:rPr>
        <w:t xml:space="preserve">  </w:t>
      </w:r>
      <w:r>
        <w:rPr>
          <w:rFonts w:hAnsiTheme="minorEastAsia"/>
          <w:b/>
          <w:bCs/>
          <w:kern w:val="0"/>
          <w:szCs w:val="21"/>
        </w:rPr>
        <w:t>体细胞无性系变异</w:t>
      </w:r>
      <w:r>
        <w:rPr>
          <w:b/>
          <w:bCs/>
          <w:kern w:val="0"/>
          <w:szCs w:val="21"/>
        </w:rPr>
        <w:t xml:space="preserve">  </w:t>
      </w:r>
      <w:r>
        <w:rPr>
          <w:rFonts w:hint="eastAsia"/>
          <w:b/>
          <w:bCs/>
          <w:kern w:val="0"/>
          <w:szCs w:val="21"/>
        </w:rPr>
        <w:t xml:space="preserve"> </w:t>
      </w:r>
      <w:r>
        <w:rPr>
          <w:b/>
          <w:bCs/>
          <w:kern w:val="0"/>
          <w:szCs w:val="21"/>
        </w:rPr>
        <w:t xml:space="preserve">     </w:t>
      </w:r>
      <w:r>
        <w:rPr>
          <w:rFonts w:hint="eastAsia"/>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介绍植物体细胞无性系变异的概念、特点及其在育种中的应用，使学生了解突变体材料获得的途径与方法。</w:t>
      </w:r>
      <w:r>
        <w:rPr>
          <w:kern w:val="0"/>
          <w:szCs w:val="21"/>
        </w:rPr>
        <w:t></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重点：无性系变异的特点及其诱导方法；</w:t>
      </w:r>
    </w:p>
    <w:p>
      <w:pPr>
        <w:widowControl/>
        <w:snapToGrid w:val="0"/>
        <w:spacing w:line="360" w:lineRule="auto"/>
        <w:ind w:left="420" w:leftChars="200"/>
        <w:rPr>
          <w:b/>
          <w:bCs/>
          <w:kern w:val="0"/>
          <w:szCs w:val="21"/>
        </w:rPr>
      </w:pPr>
      <w:r>
        <w:rPr>
          <w:rFonts w:hAnsiTheme="minorEastAsia"/>
          <w:kern w:val="0"/>
          <w:szCs w:val="21"/>
        </w:rPr>
        <w:t>难点：目的突变性状的筛选。</w:t>
      </w:r>
    </w:p>
    <w:p>
      <w:pPr>
        <w:widowControl/>
        <w:snapToGrid w:val="0"/>
        <w:spacing w:line="360" w:lineRule="auto"/>
        <w:rPr>
          <w:kern w:val="0"/>
          <w:szCs w:val="21"/>
        </w:rPr>
      </w:pPr>
      <w:r>
        <w:rPr>
          <w:rFonts w:hAnsiTheme="minorEastAsia"/>
          <w:b/>
          <w:bCs/>
          <w:szCs w:val="21"/>
        </w:rPr>
        <w:t>主要教学内容及要求：</w:t>
      </w:r>
      <w:r>
        <w:rPr>
          <w:kern w:val="0"/>
          <w:szCs w:val="21"/>
        </w:rPr>
        <w:t xml:space="preserve"> </w:t>
      </w:r>
    </w:p>
    <w:p>
      <w:pPr>
        <w:pStyle w:val="7"/>
        <w:snapToGrid w:val="0"/>
        <w:spacing w:line="360" w:lineRule="auto"/>
        <w:ind w:right="-29" w:rightChars="-14"/>
        <w:jc w:val="left"/>
        <w:rPr>
          <w:rFonts w:ascii="Times New Roman" w:eastAsiaTheme="minorEastAsia"/>
          <w:kern w:val="0"/>
          <w:szCs w:val="21"/>
        </w:rPr>
      </w:pPr>
      <w:r>
        <w:rPr>
          <w:rFonts w:ascii="Times New Roman" w:hAnsiTheme="minorEastAsia" w:eastAsiaTheme="minorEastAsia"/>
          <w:kern w:val="0"/>
          <w:szCs w:val="21"/>
        </w:rPr>
        <w:t>了解</w:t>
      </w:r>
      <w:r>
        <w:rPr>
          <w:rFonts w:hint="eastAsia" w:ascii="Times New Roman" w:hAnsiTheme="minorEastAsia" w:eastAsiaTheme="minorEastAsia"/>
          <w:kern w:val="0"/>
          <w:szCs w:val="21"/>
        </w:rPr>
        <w:t>：</w:t>
      </w:r>
      <w:r>
        <w:rPr>
          <w:rFonts w:ascii="Times New Roman" w:hAnsiTheme="minorEastAsia" w:eastAsiaTheme="minorEastAsia"/>
          <w:kern w:val="0"/>
          <w:szCs w:val="21"/>
        </w:rPr>
        <w:t>离体条件下无性系变异的特点</w:t>
      </w:r>
      <w:r>
        <w:rPr>
          <w:rFonts w:hint="eastAsia" w:ascii="Times New Roman" w:hAnsiTheme="minorEastAsia" w:eastAsiaTheme="minorEastAsia"/>
          <w:kern w:val="0"/>
          <w:szCs w:val="21"/>
        </w:rPr>
        <w:t>，</w:t>
      </w:r>
      <w:r>
        <w:rPr>
          <w:rFonts w:ascii="Times New Roman" w:hAnsiTheme="minorEastAsia" w:eastAsiaTheme="minorEastAsia"/>
          <w:kern w:val="0"/>
          <w:szCs w:val="21"/>
        </w:rPr>
        <w:t>无性系变异的细胞学和分子学基础</w:t>
      </w:r>
      <w:r>
        <w:rPr>
          <w:rFonts w:hint="eastAsia" w:ascii="Times New Roman" w:hAnsiTheme="minorEastAsia" w:eastAsiaTheme="minorEastAsia"/>
          <w:kern w:val="0"/>
          <w:szCs w:val="21"/>
        </w:rPr>
        <w:t>，</w:t>
      </w:r>
      <w:r>
        <w:rPr>
          <w:rFonts w:ascii="Times New Roman" w:hAnsiTheme="minorEastAsia" w:eastAsiaTheme="minorEastAsia"/>
          <w:kern w:val="0"/>
          <w:szCs w:val="21"/>
        </w:rPr>
        <w:t>无性系变异在园艺植物育种中的应用。</w:t>
      </w:r>
    </w:p>
    <w:p>
      <w:pPr>
        <w:pStyle w:val="7"/>
        <w:snapToGrid w:val="0"/>
        <w:spacing w:line="360" w:lineRule="auto"/>
        <w:ind w:right="-29" w:rightChars="-14"/>
        <w:jc w:val="left"/>
        <w:rPr>
          <w:rFonts w:ascii="Times New Roman" w:hAnsiTheme="minorEastAsia" w:eastAsiaTheme="minorEastAsia"/>
          <w:kern w:val="0"/>
          <w:szCs w:val="21"/>
        </w:rPr>
      </w:pPr>
      <w:r>
        <w:rPr>
          <w:rFonts w:ascii="Times New Roman" w:hAnsiTheme="minorEastAsia" w:eastAsiaTheme="minorEastAsia"/>
          <w:kern w:val="0"/>
          <w:szCs w:val="21"/>
        </w:rPr>
        <w:t>掌握</w:t>
      </w:r>
      <w:r>
        <w:rPr>
          <w:rFonts w:hint="eastAsia" w:ascii="Times New Roman" w:hAnsiTheme="minorEastAsia" w:eastAsiaTheme="minorEastAsia"/>
          <w:kern w:val="0"/>
          <w:szCs w:val="21"/>
        </w:rPr>
        <w:t>：</w:t>
      </w:r>
      <w:r>
        <w:rPr>
          <w:rFonts w:ascii="Times New Roman" w:hAnsiTheme="minorEastAsia" w:eastAsiaTheme="minorEastAsia"/>
          <w:kern w:val="0"/>
          <w:szCs w:val="21"/>
        </w:rPr>
        <w:t>无性系变异的影响因素</w:t>
      </w:r>
      <w:r>
        <w:rPr>
          <w:rFonts w:hint="eastAsia" w:ascii="Times New Roman" w:hAnsiTheme="minorEastAsia" w:eastAsiaTheme="minorEastAsia"/>
          <w:kern w:val="0"/>
          <w:szCs w:val="21"/>
        </w:rPr>
        <w:t>，</w:t>
      </w:r>
      <w:r>
        <w:rPr>
          <w:rFonts w:ascii="Times New Roman" w:hAnsiTheme="minorEastAsia" w:eastAsiaTheme="minorEastAsia"/>
          <w:kern w:val="0"/>
          <w:szCs w:val="21"/>
        </w:rPr>
        <w:t>无性系变异的诱导与选择方法。</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w:t>
      </w:r>
      <w:r>
        <w:rPr>
          <w:rFonts w:hAnsiTheme="minorEastAsia"/>
          <w:kern w:val="0"/>
          <w:szCs w:val="21"/>
        </w:rPr>
        <w:t>体细胞无性系变异的概念、特点及其在育种中的应用，</w:t>
      </w:r>
      <w:r>
        <w:rPr>
          <w:rFonts w:hint="eastAsia" w:hAnsiTheme="minorEastAsia"/>
          <w:kern w:val="0"/>
          <w:szCs w:val="21"/>
        </w:rPr>
        <w:t>授课</w:t>
      </w:r>
      <w:r>
        <w:rPr>
          <w:rFonts w:hAnsiTheme="minorEastAsia"/>
          <w:kern w:val="0"/>
          <w:szCs w:val="21"/>
        </w:rPr>
        <w:t>时先回顾育种学相关背景知识，并</w:t>
      </w:r>
      <w:r>
        <w:rPr>
          <w:rFonts w:hint="eastAsia"/>
          <w:kern w:val="0"/>
          <w:szCs w:val="21"/>
        </w:rPr>
        <w:t>采用</w:t>
      </w:r>
      <w:r>
        <w:rPr>
          <w:kern w:val="0"/>
          <w:szCs w:val="21"/>
        </w:rPr>
        <w:t>讨论、互动等形式，</w:t>
      </w:r>
      <w:r>
        <w:rPr>
          <w:rFonts w:hAnsiTheme="minorEastAsia"/>
          <w:kern w:val="0"/>
          <w:szCs w:val="21"/>
        </w:rPr>
        <w:t>使学生了解突变体材料获得的途径与方法</w:t>
      </w:r>
      <w:r>
        <w:rPr>
          <w:rFonts w:hint="eastAsia"/>
          <w:kern w:val="0"/>
          <w:szCs w:val="21"/>
        </w:rPr>
        <w:t>。</w:t>
      </w:r>
    </w:p>
    <w:p>
      <w:pPr>
        <w:widowControl/>
        <w:wordWrap w:val="0"/>
        <w:snapToGrid w:val="0"/>
        <w:spacing w:before="156" w:beforeLines="50" w:line="360" w:lineRule="auto"/>
        <w:jc w:val="right"/>
        <w:rPr>
          <w:kern w:val="0"/>
          <w:szCs w:val="21"/>
        </w:rPr>
      </w:pPr>
      <w:r>
        <w:rPr>
          <w:rFonts w:hAnsiTheme="minorEastAsia"/>
          <w:b/>
          <w:bCs/>
          <w:kern w:val="0"/>
          <w:szCs w:val="21"/>
        </w:rPr>
        <w:t>第</w:t>
      </w:r>
      <w:r>
        <w:rPr>
          <w:rFonts w:hint="eastAsia" w:hAnsiTheme="minorEastAsia"/>
          <w:b/>
          <w:bCs/>
          <w:kern w:val="0"/>
          <w:szCs w:val="21"/>
        </w:rPr>
        <w:t>四</w:t>
      </w:r>
      <w:r>
        <w:rPr>
          <w:rFonts w:hAnsiTheme="minorEastAsia"/>
          <w:b/>
          <w:bCs/>
          <w:kern w:val="0"/>
          <w:szCs w:val="21"/>
        </w:rPr>
        <w:t>章</w:t>
      </w:r>
      <w:r>
        <w:rPr>
          <w:rFonts w:hint="eastAsia"/>
          <w:b/>
          <w:bCs/>
          <w:kern w:val="0"/>
          <w:szCs w:val="21"/>
        </w:rPr>
        <w:t xml:space="preserve">  </w:t>
      </w:r>
      <w:r>
        <w:rPr>
          <w:rFonts w:hAnsiTheme="minorEastAsia"/>
          <w:b/>
          <w:bCs/>
          <w:kern w:val="0"/>
          <w:szCs w:val="21"/>
        </w:rPr>
        <w:t>植物脱毒与</w:t>
      </w:r>
      <w:r>
        <w:rPr>
          <w:rFonts w:hint="eastAsia" w:hAnsiTheme="minorEastAsia"/>
          <w:b/>
          <w:bCs/>
          <w:kern w:val="0"/>
          <w:szCs w:val="21"/>
        </w:rPr>
        <w:t>离体</w:t>
      </w:r>
      <w:r>
        <w:rPr>
          <w:rFonts w:hAnsiTheme="minorEastAsia"/>
          <w:b/>
          <w:bCs/>
          <w:kern w:val="0"/>
          <w:szCs w:val="21"/>
        </w:rPr>
        <w:t>快繁</w:t>
      </w:r>
      <w:r>
        <w:rPr>
          <w:b/>
          <w:bCs/>
          <w:kern w:val="0"/>
          <w:szCs w:val="21"/>
        </w:rPr>
        <w:t xml:space="preserve">  </w:t>
      </w:r>
      <w:r>
        <w:rPr>
          <w:rFonts w:hint="eastAsia"/>
          <w:b/>
          <w:bCs/>
          <w:kern w:val="0"/>
          <w:szCs w:val="21"/>
        </w:rPr>
        <w:t xml:space="preserve"> </w:t>
      </w:r>
      <w:r>
        <w:rPr>
          <w:b/>
          <w:bCs/>
          <w:kern w:val="0"/>
          <w:szCs w:val="21"/>
        </w:rPr>
        <w:t xml:space="preserve">        </w:t>
      </w:r>
      <w:r>
        <w:rPr>
          <w:rFonts w:hint="eastAsia"/>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介绍植物组织培养的重要应用技术</w:t>
      </w:r>
      <w:r>
        <w:rPr>
          <w:kern w:val="0"/>
          <w:szCs w:val="21"/>
        </w:rPr>
        <w:t>——</w:t>
      </w:r>
      <w:r>
        <w:rPr>
          <w:rFonts w:hAnsiTheme="minorEastAsia"/>
          <w:kern w:val="0"/>
          <w:szCs w:val="21"/>
        </w:rPr>
        <w:t>脱毒和快繁，使学生熟练掌握这两项技术的基本方法，了解它们在现代植物生产中的应用。</w:t>
      </w:r>
      <w:r>
        <w:rPr>
          <w:kern w:val="0"/>
          <w:szCs w:val="21"/>
        </w:rPr>
        <w:t></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重点：植物脱毒和快繁的原理和基本方法；</w:t>
      </w:r>
    </w:p>
    <w:p>
      <w:pPr>
        <w:widowControl/>
        <w:snapToGrid w:val="0"/>
        <w:spacing w:line="360" w:lineRule="auto"/>
        <w:ind w:left="420" w:leftChars="200"/>
        <w:rPr>
          <w:b/>
          <w:bCs/>
          <w:kern w:val="0"/>
          <w:szCs w:val="21"/>
        </w:rPr>
      </w:pPr>
      <w:r>
        <w:rPr>
          <w:rFonts w:hAnsiTheme="minorEastAsia"/>
          <w:kern w:val="0"/>
          <w:szCs w:val="21"/>
        </w:rPr>
        <w:t>难点：茎尖脱毒及其效果检测，不同快繁方法的特点。</w:t>
      </w:r>
    </w:p>
    <w:p>
      <w:pPr>
        <w:widowControl/>
        <w:snapToGrid w:val="0"/>
        <w:spacing w:line="360" w:lineRule="auto"/>
        <w:rPr>
          <w:kern w:val="0"/>
          <w:szCs w:val="21"/>
        </w:rPr>
      </w:pPr>
      <w:r>
        <w:rPr>
          <w:rFonts w:hAnsiTheme="minorEastAsia"/>
          <w:b/>
          <w:bCs/>
          <w:szCs w:val="21"/>
        </w:rPr>
        <w:t>主要教学内容及要求：</w:t>
      </w:r>
      <w:r>
        <w:rPr>
          <w:kern w:val="0"/>
          <w:szCs w:val="21"/>
        </w:rPr>
        <w:t xml:space="preserve"> </w:t>
      </w:r>
    </w:p>
    <w:p>
      <w:pPr>
        <w:pStyle w:val="7"/>
        <w:snapToGrid w:val="0"/>
        <w:spacing w:line="360" w:lineRule="auto"/>
        <w:ind w:right="-29" w:rightChars="-14"/>
        <w:jc w:val="left"/>
        <w:rPr>
          <w:rFonts w:ascii="Times New Roman" w:eastAsiaTheme="minorEastAsia"/>
          <w:kern w:val="0"/>
          <w:szCs w:val="21"/>
        </w:rPr>
      </w:pPr>
      <w:r>
        <w:rPr>
          <w:rFonts w:ascii="Times New Roman" w:hAnsiTheme="minorEastAsia" w:eastAsiaTheme="minorEastAsia"/>
          <w:kern w:val="0"/>
          <w:szCs w:val="21"/>
        </w:rPr>
        <w:t>了解</w:t>
      </w:r>
      <w:r>
        <w:rPr>
          <w:rFonts w:hint="eastAsia" w:ascii="Times New Roman" w:hAnsiTheme="minorEastAsia" w:eastAsiaTheme="minorEastAsia"/>
          <w:kern w:val="0"/>
          <w:szCs w:val="21"/>
        </w:rPr>
        <w:t>：</w:t>
      </w:r>
      <w:r>
        <w:rPr>
          <w:rFonts w:ascii="Times New Roman" w:hAnsiTheme="minorEastAsia" w:eastAsiaTheme="minorEastAsia"/>
          <w:kern w:val="0"/>
          <w:szCs w:val="21"/>
        </w:rPr>
        <w:t>植物脱毒的概念和意义</w:t>
      </w:r>
      <w:r>
        <w:rPr>
          <w:rFonts w:hint="eastAsia" w:ascii="Times New Roman" w:hAnsiTheme="minorEastAsia" w:eastAsiaTheme="minorEastAsia"/>
          <w:kern w:val="0"/>
          <w:szCs w:val="21"/>
        </w:rPr>
        <w:t>，</w:t>
      </w:r>
      <w:r>
        <w:rPr>
          <w:rFonts w:ascii="Times New Roman" w:hAnsiTheme="minorEastAsia" w:eastAsiaTheme="minorEastAsia"/>
          <w:kern w:val="0"/>
          <w:szCs w:val="21"/>
        </w:rPr>
        <w:t>脱毒和快繁技术在园艺植物生产中的应用。</w:t>
      </w:r>
    </w:p>
    <w:p>
      <w:pPr>
        <w:pStyle w:val="7"/>
        <w:snapToGrid w:val="0"/>
        <w:spacing w:line="360" w:lineRule="auto"/>
        <w:ind w:right="2904" w:rightChars="1383"/>
        <w:jc w:val="left"/>
        <w:rPr>
          <w:rFonts w:ascii="Times New Roman" w:hAnsiTheme="minorEastAsia" w:eastAsiaTheme="minorEastAsia"/>
          <w:kern w:val="0"/>
          <w:szCs w:val="21"/>
        </w:rPr>
      </w:pPr>
      <w:r>
        <w:rPr>
          <w:rFonts w:ascii="Times New Roman" w:hAnsiTheme="minorEastAsia" w:eastAsiaTheme="minorEastAsia"/>
          <w:kern w:val="0"/>
          <w:szCs w:val="21"/>
        </w:rPr>
        <w:t>熟练掌握</w:t>
      </w:r>
      <w:r>
        <w:rPr>
          <w:rFonts w:hint="eastAsia" w:ascii="Times New Roman" w:hAnsiTheme="minorEastAsia" w:eastAsiaTheme="minorEastAsia"/>
          <w:kern w:val="0"/>
          <w:szCs w:val="21"/>
        </w:rPr>
        <w:t>：</w:t>
      </w:r>
      <w:r>
        <w:rPr>
          <w:rFonts w:ascii="Times New Roman" w:hAnsiTheme="minorEastAsia" w:eastAsiaTheme="minorEastAsia"/>
          <w:kern w:val="0"/>
          <w:szCs w:val="21"/>
        </w:rPr>
        <w:t>植物脱毒的原理和技术</w:t>
      </w:r>
      <w:r>
        <w:rPr>
          <w:rFonts w:hint="eastAsia" w:ascii="Times New Roman" w:hAnsiTheme="minorEastAsia" w:eastAsiaTheme="minorEastAsia"/>
          <w:kern w:val="0"/>
          <w:szCs w:val="21"/>
        </w:rPr>
        <w:t>，</w:t>
      </w:r>
      <w:r>
        <w:rPr>
          <w:rFonts w:ascii="Times New Roman" w:hAnsiTheme="minorEastAsia" w:eastAsiaTheme="minorEastAsia"/>
          <w:kern w:val="0"/>
          <w:szCs w:val="21"/>
        </w:rPr>
        <w:t>离体快繁的一般技术。</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w:t>
      </w:r>
      <w:r>
        <w:rPr>
          <w:rFonts w:hAnsiTheme="minorEastAsia"/>
          <w:kern w:val="0"/>
          <w:szCs w:val="21"/>
        </w:rPr>
        <w:t>植物组织培养的重要应用技术</w:t>
      </w:r>
      <w:r>
        <w:rPr>
          <w:kern w:val="0"/>
          <w:szCs w:val="21"/>
        </w:rPr>
        <w:t>——</w:t>
      </w:r>
      <w:r>
        <w:rPr>
          <w:rFonts w:hAnsiTheme="minorEastAsia"/>
          <w:kern w:val="0"/>
          <w:szCs w:val="21"/>
        </w:rPr>
        <w:t>脱毒和快繁，</w:t>
      </w:r>
      <w:r>
        <w:rPr>
          <w:rFonts w:hint="eastAsia"/>
          <w:kern w:val="0"/>
          <w:szCs w:val="21"/>
        </w:rPr>
        <w:t>授课过程中采用大量专业知识相关图片与视频，并</w:t>
      </w:r>
      <w:r>
        <w:rPr>
          <w:kern w:val="0"/>
          <w:szCs w:val="21"/>
        </w:rPr>
        <w:t>采用马铃薯脱毒、蝴蝶兰扩繁等经典案例，</w:t>
      </w:r>
      <w:r>
        <w:rPr>
          <w:rFonts w:hAnsiTheme="minorEastAsia"/>
          <w:kern w:val="0"/>
          <w:szCs w:val="21"/>
        </w:rPr>
        <w:t>使学生熟练掌握这两项技术的基本方法，了解它们在现代植物生产中的应用</w:t>
      </w:r>
      <w:r>
        <w:rPr>
          <w:rFonts w:hint="eastAsia"/>
          <w:kern w:val="0"/>
          <w:szCs w:val="21"/>
        </w:rPr>
        <w:t>。</w:t>
      </w:r>
    </w:p>
    <w:p>
      <w:pPr>
        <w:widowControl/>
        <w:wordWrap w:val="0"/>
        <w:snapToGrid w:val="0"/>
        <w:spacing w:before="156" w:beforeLines="50" w:line="360" w:lineRule="auto"/>
        <w:jc w:val="right"/>
        <w:rPr>
          <w:kern w:val="0"/>
          <w:szCs w:val="21"/>
        </w:rPr>
      </w:pPr>
      <w:r>
        <w:rPr>
          <w:rFonts w:hint="eastAsia" w:hAnsiTheme="minorEastAsia"/>
          <w:b/>
          <w:bCs/>
          <w:kern w:val="0"/>
          <w:szCs w:val="21"/>
        </w:rPr>
        <w:t xml:space="preserve">  </w:t>
      </w:r>
      <w:r>
        <w:rPr>
          <w:rFonts w:hAnsiTheme="minorEastAsia"/>
          <w:b/>
          <w:bCs/>
          <w:color w:val="000000" w:themeColor="text1"/>
          <w:kern w:val="0"/>
          <w:szCs w:val="21"/>
          <w14:textFill>
            <w14:solidFill>
              <w14:schemeClr w14:val="tx1"/>
            </w14:solidFill>
          </w14:textFill>
        </w:rPr>
        <w:t>第</w:t>
      </w:r>
      <w:r>
        <w:rPr>
          <w:rFonts w:hint="eastAsia" w:hAnsiTheme="minorEastAsia"/>
          <w:b/>
          <w:bCs/>
          <w:color w:val="000000" w:themeColor="text1"/>
          <w:kern w:val="0"/>
          <w:szCs w:val="21"/>
          <w14:textFill>
            <w14:solidFill>
              <w14:schemeClr w14:val="tx1"/>
            </w14:solidFill>
          </w14:textFill>
        </w:rPr>
        <w:t>五</w:t>
      </w:r>
      <w:r>
        <w:rPr>
          <w:rFonts w:hAnsiTheme="minorEastAsia"/>
          <w:b/>
          <w:bCs/>
          <w:color w:val="000000" w:themeColor="text1"/>
          <w:kern w:val="0"/>
          <w:szCs w:val="21"/>
          <w14:textFill>
            <w14:solidFill>
              <w14:schemeClr w14:val="tx1"/>
            </w14:solidFill>
          </w14:textFill>
        </w:rPr>
        <w:t>章</w:t>
      </w:r>
      <w:r>
        <w:rPr>
          <w:rFonts w:hint="eastAsia"/>
          <w:b/>
          <w:bCs/>
          <w:color w:val="000000" w:themeColor="text1"/>
          <w:kern w:val="0"/>
          <w:szCs w:val="21"/>
          <w14:textFill>
            <w14:solidFill>
              <w14:schemeClr w14:val="tx1"/>
            </w14:solidFill>
          </w14:textFill>
        </w:rPr>
        <w:t xml:space="preserve"> </w:t>
      </w:r>
      <w:r>
        <w:rPr>
          <w:rFonts w:hint="eastAsia"/>
          <w:b/>
          <w:bCs/>
          <w:kern w:val="0"/>
          <w:szCs w:val="21"/>
        </w:rPr>
        <w:t xml:space="preserve"> </w:t>
      </w:r>
      <w:r>
        <w:rPr>
          <w:rFonts w:hint="eastAsia" w:hAnsiTheme="minorEastAsia"/>
          <w:b/>
          <w:bCs/>
          <w:kern w:val="0"/>
          <w:szCs w:val="21"/>
        </w:rPr>
        <w:t>离体条件下的倍性操作技术</w:t>
      </w:r>
      <w:r>
        <w:rPr>
          <w:b/>
          <w:bCs/>
          <w:kern w:val="0"/>
          <w:szCs w:val="21"/>
        </w:rPr>
        <w:t xml:space="preserve"> </w:t>
      </w:r>
      <w:r>
        <w:rPr>
          <w:rFonts w:hint="eastAsia"/>
          <w:b/>
          <w:bCs/>
          <w:kern w:val="0"/>
          <w:szCs w:val="21"/>
        </w:rPr>
        <w:t xml:space="preserve"> </w:t>
      </w:r>
      <w:r>
        <w:rPr>
          <w:b/>
          <w:bCs/>
          <w:kern w:val="0"/>
          <w:szCs w:val="21"/>
        </w:rPr>
        <w:t xml:space="preserve">        </w:t>
      </w:r>
      <w:r>
        <w:rPr>
          <w:rFonts w:hint="eastAsia"/>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介绍通过植物组织培养获得植物单倍体材料的基本途径和方法，使学生掌握单倍体材料诱导的基本程序，了解它们在现代</w:t>
      </w:r>
      <w:r>
        <w:rPr>
          <w:rFonts w:hint="eastAsia" w:hAnsiTheme="minorEastAsia"/>
          <w:kern w:val="0"/>
          <w:szCs w:val="21"/>
        </w:rPr>
        <w:t>园艺</w:t>
      </w:r>
      <w:r>
        <w:rPr>
          <w:rFonts w:hAnsiTheme="minorEastAsia"/>
          <w:kern w:val="0"/>
          <w:szCs w:val="21"/>
        </w:rPr>
        <w:t>植物育种中的应用。</w:t>
      </w:r>
      <w:r>
        <w:rPr>
          <w:kern w:val="0"/>
          <w:szCs w:val="21"/>
        </w:rPr>
        <w:t></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重点：花粉（药）培养和未受精的子房培养；</w:t>
      </w:r>
    </w:p>
    <w:p>
      <w:pPr>
        <w:widowControl/>
        <w:snapToGrid w:val="0"/>
        <w:spacing w:line="360" w:lineRule="auto"/>
        <w:ind w:left="420" w:leftChars="200"/>
        <w:rPr>
          <w:b/>
          <w:bCs/>
          <w:kern w:val="0"/>
          <w:szCs w:val="21"/>
        </w:rPr>
      </w:pPr>
      <w:r>
        <w:rPr>
          <w:rFonts w:hAnsiTheme="minorEastAsia"/>
          <w:kern w:val="0"/>
          <w:szCs w:val="21"/>
        </w:rPr>
        <w:t>难点：外植体材料的前处理及单倍体植株的再生途径调控。</w:t>
      </w:r>
    </w:p>
    <w:p>
      <w:pPr>
        <w:widowControl/>
        <w:snapToGrid w:val="0"/>
        <w:spacing w:line="360" w:lineRule="auto"/>
        <w:rPr>
          <w:kern w:val="0"/>
          <w:szCs w:val="21"/>
        </w:rPr>
      </w:pPr>
      <w:r>
        <w:rPr>
          <w:rFonts w:hAnsiTheme="minorEastAsia"/>
          <w:b/>
          <w:bCs/>
          <w:szCs w:val="21"/>
        </w:rPr>
        <w:t>主要教学内容及要求：</w:t>
      </w:r>
      <w:r>
        <w:rPr>
          <w:kern w:val="0"/>
          <w:szCs w:val="21"/>
        </w:rPr>
        <w:t xml:space="preserve"> </w:t>
      </w:r>
    </w:p>
    <w:p>
      <w:pPr>
        <w:pStyle w:val="7"/>
        <w:snapToGrid w:val="0"/>
        <w:spacing w:line="360" w:lineRule="auto"/>
        <w:ind w:right="2904" w:rightChars="1383"/>
        <w:jc w:val="left"/>
        <w:rPr>
          <w:rFonts w:ascii="Times New Roman" w:eastAsiaTheme="minorEastAsia"/>
          <w:kern w:val="0"/>
          <w:szCs w:val="21"/>
        </w:rPr>
      </w:pPr>
      <w:r>
        <w:rPr>
          <w:rFonts w:ascii="Times New Roman" w:hAnsiTheme="minorEastAsia" w:eastAsiaTheme="minorEastAsia"/>
          <w:kern w:val="0"/>
          <w:szCs w:val="21"/>
        </w:rPr>
        <w:t>了解</w:t>
      </w:r>
      <w:r>
        <w:rPr>
          <w:rFonts w:hint="eastAsia" w:ascii="Times New Roman" w:hAnsiTheme="minorEastAsia" w:eastAsiaTheme="minorEastAsia"/>
          <w:kern w:val="0"/>
          <w:szCs w:val="21"/>
        </w:rPr>
        <w:t>：</w:t>
      </w:r>
      <w:r>
        <w:rPr>
          <w:rFonts w:ascii="Times New Roman" w:hAnsiTheme="minorEastAsia" w:eastAsiaTheme="minorEastAsia"/>
          <w:kern w:val="0"/>
          <w:szCs w:val="21"/>
        </w:rPr>
        <w:t>单倍体产生的一般途径。</w:t>
      </w:r>
    </w:p>
    <w:p>
      <w:pPr>
        <w:pStyle w:val="7"/>
        <w:snapToGrid w:val="0"/>
        <w:spacing w:line="360" w:lineRule="auto"/>
        <w:ind w:right="2904" w:rightChars="1383"/>
        <w:jc w:val="left"/>
        <w:rPr>
          <w:rFonts w:ascii="Times New Roman" w:eastAsiaTheme="minorEastAsia"/>
          <w:kern w:val="0"/>
          <w:szCs w:val="21"/>
        </w:rPr>
      </w:pPr>
      <w:r>
        <w:rPr>
          <w:rFonts w:ascii="Times New Roman" w:hAnsiTheme="minorEastAsia" w:eastAsiaTheme="minorEastAsia"/>
          <w:kern w:val="0"/>
          <w:szCs w:val="21"/>
        </w:rPr>
        <w:t>理解</w:t>
      </w:r>
      <w:r>
        <w:rPr>
          <w:rFonts w:hint="eastAsia" w:ascii="Times New Roman" w:hAnsiTheme="minorEastAsia" w:eastAsiaTheme="minorEastAsia"/>
          <w:kern w:val="0"/>
          <w:szCs w:val="21"/>
        </w:rPr>
        <w:t>：</w:t>
      </w:r>
      <w:r>
        <w:rPr>
          <w:rFonts w:ascii="Times New Roman" w:hAnsiTheme="minorEastAsia" w:eastAsiaTheme="minorEastAsia"/>
          <w:kern w:val="0"/>
          <w:szCs w:val="21"/>
        </w:rPr>
        <w:t>单倍体材料在园艺植物育种中的应用。</w:t>
      </w:r>
    </w:p>
    <w:p>
      <w:pPr>
        <w:pStyle w:val="7"/>
        <w:snapToGrid w:val="0"/>
        <w:spacing w:line="360" w:lineRule="auto"/>
        <w:ind w:right="-29" w:rightChars="-14"/>
        <w:jc w:val="left"/>
        <w:rPr>
          <w:rFonts w:ascii="Times New Roman" w:hAnsiTheme="minorEastAsia" w:eastAsiaTheme="minorEastAsia"/>
          <w:kern w:val="0"/>
          <w:szCs w:val="21"/>
        </w:rPr>
      </w:pPr>
      <w:r>
        <w:rPr>
          <w:rFonts w:ascii="Times New Roman" w:hAnsiTheme="minorEastAsia" w:eastAsiaTheme="minorEastAsia"/>
          <w:kern w:val="0"/>
          <w:szCs w:val="21"/>
        </w:rPr>
        <w:t>掌握</w:t>
      </w:r>
      <w:r>
        <w:rPr>
          <w:rFonts w:hint="eastAsia" w:ascii="Times New Roman" w:hAnsiTheme="minorEastAsia" w:eastAsiaTheme="minorEastAsia"/>
          <w:kern w:val="0"/>
          <w:szCs w:val="21"/>
        </w:rPr>
        <w:t>：</w:t>
      </w:r>
      <w:r>
        <w:rPr>
          <w:rFonts w:ascii="Times New Roman" w:hAnsiTheme="minorEastAsia" w:eastAsiaTheme="minorEastAsia"/>
          <w:kern w:val="0"/>
          <w:szCs w:val="21"/>
        </w:rPr>
        <w:t>花粉</w:t>
      </w:r>
      <w:r>
        <w:rPr>
          <w:rFonts w:hint="eastAsia" w:ascii="Times New Roman" w:hAnsiTheme="minorEastAsia" w:eastAsiaTheme="minorEastAsia"/>
          <w:kern w:val="0"/>
          <w:szCs w:val="21"/>
        </w:rPr>
        <w:t>（小孢子）</w:t>
      </w:r>
      <w:r>
        <w:rPr>
          <w:rFonts w:ascii="Times New Roman" w:hAnsiTheme="minorEastAsia" w:eastAsiaTheme="minorEastAsia"/>
          <w:kern w:val="0"/>
          <w:szCs w:val="21"/>
        </w:rPr>
        <w:t>培养技术程序及注意事项</w:t>
      </w:r>
      <w:r>
        <w:rPr>
          <w:rFonts w:hint="eastAsia" w:ascii="Times New Roman" w:hAnsiTheme="minorEastAsia" w:eastAsiaTheme="minorEastAsia"/>
          <w:kern w:val="0"/>
          <w:szCs w:val="21"/>
        </w:rPr>
        <w:t>、</w:t>
      </w:r>
      <w:r>
        <w:rPr>
          <w:rFonts w:ascii="Times New Roman" w:hAnsiTheme="minorEastAsia" w:eastAsiaTheme="minorEastAsia"/>
          <w:kern w:val="0"/>
          <w:szCs w:val="21"/>
        </w:rPr>
        <w:t>花药培养技术程序及注意事项</w:t>
      </w:r>
      <w:r>
        <w:rPr>
          <w:rFonts w:hint="eastAsia" w:ascii="Times New Roman" w:hAnsiTheme="minorEastAsia" w:eastAsiaTheme="minorEastAsia"/>
          <w:kern w:val="0"/>
          <w:szCs w:val="21"/>
        </w:rPr>
        <w:t>、</w:t>
      </w:r>
      <w:r>
        <w:rPr>
          <w:rFonts w:ascii="Times New Roman" w:hAnsiTheme="minorEastAsia" w:eastAsiaTheme="minorEastAsia"/>
          <w:kern w:val="0"/>
          <w:szCs w:val="21"/>
        </w:rPr>
        <w:t>未授粉子房培养技术程序及注意事项。</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w:t>
      </w:r>
      <w:r>
        <w:rPr>
          <w:rFonts w:hAnsiTheme="minorEastAsia"/>
          <w:kern w:val="0"/>
          <w:szCs w:val="21"/>
        </w:rPr>
        <w:t>植物组织培养获得植物单倍体材料的基本途径和方法、特点及其在育种中的应用，</w:t>
      </w:r>
      <w:r>
        <w:rPr>
          <w:rFonts w:hint="eastAsia"/>
          <w:kern w:val="0"/>
          <w:szCs w:val="21"/>
        </w:rPr>
        <w:t>授课过程中在课件里添加大量专业知识相关图片与视频，</w:t>
      </w:r>
      <w:r>
        <w:rPr>
          <w:rFonts w:hAnsiTheme="minorEastAsia"/>
          <w:kern w:val="0"/>
          <w:szCs w:val="21"/>
        </w:rPr>
        <w:t>使学生掌握单倍体材料诱导的基本程序，了解它们在现代植物育种中的应用</w:t>
      </w:r>
      <w:r>
        <w:rPr>
          <w:rFonts w:hint="eastAsia"/>
          <w:kern w:val="0"/>
          <w:szCs w:val="21"/>
        </w:rPr>
        <w:t>。</w:t>
      </w:r>
    </w:p>
    <w:p>
      <w:pPr>
        <w:widowControl/>
        <w:snapToGrid w:val="0"/>
        <w:spacing w:before="156" w:beforeLines="50" w:line="360" w:lineRule="auto"/>
        <w:jc w:val="right"/>
        <w:rPr>
          <w:kern w:val="0"/>
          <w:szCs w:val="21"/>
        </w:rPr>
      </w:pPr>
      <w:r>
        <w:rPr>
          <w:rFonts w:hAnsiTheme="minorEastAsia"/>
          <w:b/>
          <w:bCs/>
          <w:color w:val="000000" w:themeColor="text1"/>
          <w:kern w:val="0"/>
          <w:szCs w:val="21"/>
          <w14:textFill>
            <w14:solidFill>
              <w14:schemeClr w14:val="tx1"/>
            </w14:solidFill>
          </w14:textFill>
        </w:rPr>
        <w:t>第</w:t>
      </w:r>
      <w:r>
        <w:rPr>
          <w:rFonts w:hint="eastAsia" w:hAnsiTheme="minorEastAsia"/>
          <w:b/>
          <w:bCs/>
          <w:color w:val="000000" w:themeColor="text1"/>
          <w:kern w:val="0"/>
          <w:szCs w:val="21"/>
          <w14:textFill>
            <w14:solidFill>
              <w14:schemeClr w14:val="tx1"/>
            </w14:solidFill>
          </w14:textFill>
        </w:rPr>
        <w:t>六</w:t>
      </w:r>
      <w:r>
        <w:rPr>
          <w:rFonts w:hAnsiTheme="minorEastAsia"/>
          <w:b/>
          <w:bCs/>
          <w:color w:val="000000" w:themeColor="text1"/>
          <w:kern w:val="0"/>
          <w:szCs w:val="21"/>
          <w14:textFill>
            <w14:solidFill>
              <w14:schemeClr w14:val="tx1"/>
            </w14:solidFill>
          </w14:textFill>
        </w:rPr>
        <w:t>章</w:t>
      </w:r>
      <w:r>
        <w:rPr>
          <w:rFonts w:hint="eastAsia"/>
          <w:b/>
          <w:bCs/>
          <w:color w:val="000000" w:themeColor="text1"/>
          <w:kern w:val="0"/>
          <w:szCs w:val="21"/>
          <w14:textFill>
            <w14:solidFill>
              <w14:schemeClr w14:val="tx1"/>
            </w14:solidFill>
          </w14:textFill>
        </w:rPr>
        <w:t xml:space="preserve"> </w:t>
      </w:r>
      <w:r>
        <w:rPr>
          <w:rFonts w:hint="eastAsia"/>
          <w:b/>
          <w:bCs/>
          <w:kern w:val="0"/>
          <w:szCs w:val="21"/>
        </w:rPr>
        <w:t xml:space="preserve"> </w:t>
      </w:r>
      <w:r>
        <w:rPr>
          <w:rFonts w:hAnsiTheme="minorEastAsia"/>
          <w:b/>
          <w:bCs/>
          <w:kern w:val="0"/>
          <w:szCs w:val="21"/>
        </w:rPr>
        <w:t>植物原生质体培养</w:t>
      </w:r>
      <w:r>
        <w:rPr>
          <w:rFonts w:hint="eastAsia"/>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介绍植物原生质体分离、培养的基本程序，使学生了解它们在种质资源创新的重要作用。</w:t>
      </w:r>
      <w:r>
        <w:rPr>
          <w:kern w:val="0"/>
          <w:szCs w:val="21"/>
        </w:rPr>
        <w:t></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重点：原生质体分离的步骤、培养的基本程序；</w:t>
      </w:r>
    </w:p>
    <w:p>
      <w:pPr>
        <w:widowControl/>
        <w:snapToGrid w:val="0"/>
        <w:spacing w:line="360" w:lineRule="auto"/>
        <w:ind w:left="420" w:leftChars="200"/>
        <w:rPr>
          <w:b/>
          <w:bCs/>
          <w:kern w:val="0"/>
          <w:szCs w:val="21"/>
        </w:rPr>
      </w:pPr>
      <w:r>
        <w:rPr>
          <w:rFonts w:hAnsiTheme="minorEastAsia"/>
          <w:kern w:val="0"/>
          <w:szCs w:val="21"/>
        </w:rPr>
        <w:t>难点：原生质体培养的再生途径。</w:t>
      </w:r>
    </w:p>
    <w:p>
      <w:pPr>
        <w:widowControl/>
        <w:snapToGrid w:val="0"/>
        <w:spacing w:line="360" w:lineRule="auto"/>
        <w:rPr>
          <w:kern w:val="0"/>
          <w:szCs w:val="21"/>
        </w:rPr>
      </w:pPr>
      <w:r>
        <w:rPr>
          <w:rFonts w:hAnsiTheme="minorEastAsia"/>
          <w:b/>
          <w:bCs/>
          <w:szCs w:val="21"/>
        </w:rPr>
        <w:t>主要教学内容及要求：</w:t>
      </w:r>
      <w:r>
        <w:rPr>
          <w:kern w:val="0"/>
          <w:szCs w:val="21"/>
        </w:rPr>
        <w:t xml:space="preserve"> </w:t>
      </w:r>
    </w:p>
    <w:p>
      <w:pPr>
        <w:pStyle w:val="7"/>
        <w:snapToGrid w:val="0"/>
        <w:spacing w:line="360" w:lineRule="auto"/>
        <w:ind w:right="-29" w:rightChars="-14"/>
        <w:jc w:val="left"/>
        <w:rPr>
          <w:rFonts w:ascii="Times New Roman" w:eastAsiaTheme="minorEastAsia"/>
          <w:kern w:val="0"/>
          <w:szCs w:val="21"/>
        </w:rPr>
      </w:pPr>
      <w:r>
        <w:rPr>
          <w:rFonts w:ascii="Times New Roman" w:hAnsiTheme="minorEastAsia" w:eastAsiaTheme="minorEastAsia"/>
          <w:kern w:val="0"/>
          <w:szCs w:val="21"/>
        </w:rPr>
        <w:t>了解</w:t>
      </w:r>
      <w:r>
        <w:rPr>
          <w:rFonts w:hint="eastAsia" w:ascii="Times New Roman" w:hAnsiTheme="minorEastAsia" w:eastAsiaTheme="minorEastAsia"/>
          <w:kern w:val="0"/>
          <w:szCs w:val="21"/>
        </w:rPr>
        <w:t>：</w:t>
      </w:r>
      <w:r>
        <w:rPr>
          <w:rFonts w:ascii="Times New Roman" w:hAnsiTheme="minorEastAsia" w:eastAsiaTheme="minorEastAsia"/>
          <w:kern w:val="0"/>
          <w:szCs w:val="21"/>
        </w:rPr>
        <w:t>原生质体的概念及其研究意义。</w:t>
      </w:r>
    </w:p>
    <w:p>
      <w:pPr>
        <w:pStyle w:val="7"/>
        <w:snapToGrid w:val="0"/>
        <w:spacing w:line="360" w:lineRule="auto"/>
        <w:ind w:right="-29" w:rightChars="-14"/>
        <w:jc w:val="left"/>
        <w:rPr>
          <w:rFonts w:ascii="Times New Roman" w:hAnsiTheme="minorEastAsia" w:eastAsiaTheme="minorEastAsia"/>
          <w:kern w:val="0"/>
          <w:szCs w:val="21"/>
        </w:rPr>
      </w:pPr>
      <w:r>
        <w:rPr>
          <w:rFonts w:ascii="Times New Roman" w:hAnsiTheme="minorEastAsia" w:eastAsiaTheme="minorEastAsia"/>
          <w:kern w:val="0"/>
          <w:szCs w:val="21"/>
        </w:rPr>
        <w:t>掌握</w:t>
      </w:r>
      <w:r>
        <w:rPr>
          <w:rFonts w:hint="eastAsia" w:ascii="Times New Roman" w:hAnsiTheme="minorEastAsia" w:eastAsiaTheme="minorEastAsia"/>
          <w:kern w:val="0"/>
          <w:szCs w:val="21"/>
        </w:rPr>
        <w:t>：</w:t>
      </w:r>
      <w:r>
        <w:rPr>
          <w:rFonts w:ascii="Times New Roman" w:hAnsiTheme="minorEastAsia" w:eastAsiaTheme="minorEastAsia"/>
          <w:kern w:val="0"/>
          <w:szCs w:val="21"/>
        </w:rPr>
        <w:t>原生质体分离和培养方法。</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w:t>
      </w:r>
      <w:r>
        <w:rPr>
          <w:rFonts w:hAnsiTheme="minorEastAsia"/>
          <w:kern w:val="0"/>
          <w:szCs w:val="21"/>
        </w:rPr>
        <w:t>植物原生质体分离、培养的基本程序，</w:t>
      </w:r>
      <w:r>
        <w:rPr>
          <w:rFonts w:hint="eastAsia"/>
          <w:kern w:val="0"/>
          <w:szCs w:val="21"/>
        </w:rPr>
        <w:t>授课过程中采用专业</w:t>
      </w:r>
      <w:r>
        <w:rPr>
          <w:kern w:val="0"/>
          <w:szCs w:val="21"/>
        </w:rPr>
        <w:t>动画视频，力求反映原生质体分离</w:t>
      </w:r>
      <w:r>
        <w:rPr>
          <w:rFonts w:hint="eastAsia"/>
          <w:kern w:val="0"/>
          <w:szCs w:val="21"/>
        </w:rPr>
        <w:t>技术</w:t>
      </w:r>
      <w:r>
        <w:rPr>
          <w:kern w:val="0"/>
          <w:szCs w:val="21"/>
        </w:rPr>
        <w:t>细节和发育过程</w:t>
      </w:r>
      <w:r>
        <w:rPr>
          <w:rFonts w:hint="eastAsia"/>
          <w:kern w:val="0"/>
          <w:szCs w:val="21"/>
        </w:rPr>
        <w:t>，</w:t>
      </w:r>
      <w:r>
        <w:rPr>
          <w:rFonts w:hAnsiTheme="minorEastAsia"/>
          <w:kern w:val="0"/>
          <w:szCs w:val="21"/>
        </w:rPr>
        <w:t>使学生</w:t>
      </w:r>
      <w:r>
        <w:rPr>
          <w:rFonts w:hint="eastAsia" w:hAnsiTheme="minorEastAsia"/>
          <w:kern w:val="0"/>
          <w:szCs w:val="21"/>
        </w:rPr>
        <w:t>掌握如何分离及培养原生质体</w:t>
      </w:r>
      <w:r>
        <w:rPr>
          <w:rFonts w:hint="eastAsia"/>
          <w:kern w:val="0"/>
          <w:szCs w:val="21"/>
        </w:rPr>
        <w:t>。</w:t>
      </w:r>
    </w:p>
    <w:p>
      <w:pPr>
        <w:widowControl/>
        <w:snapToGrid w:val="0"/>
        <w:spacing w:before="156" w:beforeLines="50" w:line="360" w:lineRule="auto"/>
        <w:jc w:val="right"/>
        <w:rPr>
          <w:kern w:val="0"/>
          <w:szCs w:val="21"/>
        </w:rPr>
      </w:pPr>
      <w:r>
        <w:rPr>
          <w:rFonts w:hAnsiTheme="minorEastAsia"/>
          <w:b/>
          <w:bCs/>
          <w:color w:val="000000" w:themeColor="text1"/>
          <w:kern w:val="0"/>
          <w:szCs w:val="21"/>
          <w14:textFill>
            <w14:solidFill>
              <w14:schemeClr w14:val="tx1"/>
            </w14:solidFill>
          </w14:textFill>
        </w:rPr>
        <w:t>第七章</w:t>
      </w:r>
      <w:r>
        <w:rPr>
          <w:rFonts w:hint="eastAsia"/>
          <w:b/>
          <w:bCs/>
          <w:kern w:val="0"/>
          <w:szCs w:val="21"/>
        </w:rPr>
        <w:t xml:space="preserve">  </w:t>
      </w:r>
      <w:r>
        <w:rPr>
          <w:rFonts w:hAnsiTheme="minorEastAsia"/>
          <w:b/>
          <w:bCs/>
          <w:kern w:val="0"/>
          <w:szCs w:val="21"/>
        </w:rPr>
        <w:t>植物原生质体融合</w:t>
      </w:r>
      <w:r>
        <w:rPr>
          <w:rFonts w:hint="eastAsia"/>
          <w:b/>
          <w:bCs/>
          <w:kern w:val="0"/>
          <w:szCs w:val="21"/>
        </w:rPr>
        <w:t xml:space="preserve">               </w:t>
      </w:r>
      <w:r>
        <w:rPr>
          <w:rFonts w:hAnsiTheme="minorEastAsia"/>
          <w:b/>
          <w:bCs/>
          <w:kern w:val="0"/>
          <w:szCs w:val="21"/>
        </w:rPr>
        <w:t>学时数：</w:t>
      </w:r>
      <w:r>
        <w:rPr>
          <w:b/>
          <w:bCs/>
          <w:kern w:val="0"/>
          <w:szCs w:val="21"/>
        </w:rPr>
        <w:t>2</w:t>
      </w:r>
    </w:p>
    <w:p>
      <w:pPr>
        <w:widowControl/>
        <w:snapToGrid w:val="0"/>
        <w:spacing w:line="360" w:lineRule="auto"/>
        <w:rPr>
          <w:b/>
          <w:bCs/>
          <w:kern w:val="0"/>
          <w:szCs w:val="21"/>
        </w:rPr>
      </w:pPr>
      <w:r>
        <w:rPr>
          <w:rFonts w:hAnsiTheme="minorEastAsia"/>
          <w:b/>
          <w:bCs/>
          <w:szCs w:val="21"/>
        </w:rPr>
        <w:t>教学目</w:t>
      </w:r>
      <w:r>
        <w:rPr>
          <w:rFonts w:hint="eastAsia" w:hAnsiTheme="minorEastAsia"/>
          <w:b/>
          <w:bCs/>
          <w:szCs w:val="21"/>
        </w:rPr>
        <w:t>标</w:t>
      </w:r>
      <w:r>
        <w:rPr>
          <w:rFonts w:hAnsiTheme="minorEastAsia"/>
          <w:b/>
          <w:bCs/>
          <w:szCs w:val="21"/>
        </w:rPr>
        <w:t>：</w:t>
      </w:r>
      <w:r>
        <w:rPr>
          <w:rFonts w:hAnsiTheme="minorEastAsia"/>
          <w:kern w:val="0"/>
          <w:szCs w:val="21"/>
        </w:rPr>
        <w:t>介绍植物原生质体诱导融合的方法，使学生了解它们在种质资源创新的重要作用。</w:t>
      </w:r>
      <w:r>
        <w:rPr>
          <w:kern w:val="0"/>
          <w:szCs w:val="21"/>
        </w:rPr>
        <w:t></w:t>
      </w:r>
    </w:p>
    <w:p>
      <w:pPr>
        <w:widowControl/>
        <w:snapToGrid w:val="0"/>
        <w:spacing w:line="360" w:lineRule="auto"/>
        <w:rPr>
          <w:rFonts w:hAnsiTheme="minorEastAsia"/>
          <w:b/>
          <w:bCs/>
          <w:szCs w:val="21"/>
        </w:rPr>
      </w:pPr>
      <w:r>
        <w:rPr>
          <w:rFonts w:hAnsiTheme="minorEastAsia"/>
          <w:b/>
          <w:bCs/>
          <w:szCs w:val="21"/>
        </w:rPr>
        <w:t>教学重点和难点：</w:t>
      </w:r>
    </w:p>
    <w:p>
      <w:pPr>
        <w:widowControl/>
        <w:snapToGrid w:val="0"/>
        <w:spacing w:line="360" w:lineRule="auto"/>
        <w:ind w:left="420" w:leftChars="200"/>
        <w:rPr>
          <w:rFonts w:hAnsiTheme="minorEastAsia"/>
          <w:kern w:val="0"/>
          <w:szCs w:val="21"/>
        </w:rPr>
      </w:pPr>
      <w:r>
        <w:rPr>
          <w:rFonts w:hAnsiTheme="minorEastAsia"/>
          <w:kern w:val="0"/>
          <w:szCs w:val="21"/>
        </w:rPr>
        <w:t>重点：原生质体诱导融合的基本方法；</w:t>
      </w:r>
    </w:p>
    <w:p>
      <w:pPr>
        <w:widowControl/>
        <w:snapToGrid w:val="0"/>
        <w:spacing w:line="360" w:lineRule="auto"/>
        <w:ind w:left="420" w:leftChars="200"/>
        <w:rPr>
          <w:b/>
          <w:bCs/>
          <w:kern w:val="0"/>
          <w:szCs w:val="21"/>
        </w:rPr>
      </w:pPr>
      <w:r>
        <w:rPr>
          <w:rFonts w:hAnsiTheme="minorEastAsia"/>
          <w:kern w:val="0"/>
          <w:szCs w:val="21"/>
        </w:rPr>
        <w:t>难点：原生质体诱导融合后杂种细胞的选择。</w:t>
      </w:r>
    </w:p>
    <w:p>
      <w:pPr>
        <w:widowControl/>
        <w:snapToGrid w:val="0"/>
        <w:spacing w:line="360" w:lineRule="auto"/>
        <w:rPr>
          <w:kern w:val="0"/>
          <w:szCs w:val="21"/>
        </w:rPr>
      </w:pPr>
      <w:r>
        <w:rPr>
          <w:rFonts w:hAnsiTheme="minorEastAsia"/>
          <w:b/>
          <w:bCs/>
          <w:szCs w:val="21"/>
        </w:rPr>
        <w:t>主要教学内容及要求：</w:t>
      </w:r>
      <w:r>
        <w:rPr>
          <w:kern w:val="0"/>
          <w:szCs w:val="21"/>
        </w:rPr>
        <w:t xml:space="preserve"> </w:t>
      </w:r>
    </w:p>
    <w:p>
      <w:pPr>
        <w:pStyle w:val="7"/>
        <w:snapToGrid w:val="0"/>
        <w:spacing w:line="360" w:lineRule="auto"/>
        <w:ind w:right="-29" w:rightChars="-14"/>
        <w:jc w:val="left"/>
        <w:rPr>
          <w:rFonts w:ascii="Times New Roman" w:eastAsiaTheme="minorEastAsia"/>
          <w:kern w:val="0"/>
          <w:szCs w:val="21"/>
        </w:rPr>
      </w:pPr>
      <w:r>
        <w:rPr>
          <w:rFonts w:ascii="Times New Roman" w:hAnsiTheme="minorEastAsia" w:eastAsiaTheme="minorEastAsia"/>
          <w:kern w:val="0"/>
          <w:szCs w:val="21"/>
        </w:rPr>
        <w:t>了解</w:t>
      </w:r>
      <w:r>
        <w:rPr>
          <w:rFonts w:hint="eastAsia" w:ascii="Times New Roman" w:hAnsiTheme="minorEastAsia" w:eastAsiaTheme="minorEastAsia"/>
          <w:kern w:val="0"/>
          <w:szCs w:val="21"/>
        </w:rPr>
        <w:t>：</w:t>
      </w:r>
      <w:r>
        <w:rPr>
          <w:rFonts w:ascii="Times New Roman" w:hAnsiTheme="minorEastAsia" w:eastAsiaTheme="minorEastAsia"/>
          <w:kern w:val="0"/>
          <w:szCs w:val="21"/>
        </w:rPr>
        <w:t>原生质体融合技术的发展</w:t>
      </w:r>
      <w:r>
        <w:rPr>
          <w:rFonts w:hint="eastAsia" w:ascii="Times New Roman" w:hAnsiTheme="minorEastAsia" w:eastAsiaTheme="minorEastAsia"/>
          <w:kern w:val="0"/>
          <w:szCs w:val="21"/>
        </w:rPr>
        <w:t>，</w:t>
      </w:r>
      <w:r>
        <w:rPr>
          <w:rFonts w:ascii="Times New Roman" w:hAnsiTheme="minorEastAsia" w:eastAsiaTheme="minorEastAsia"/>
          <w:kern w:val="0"/>
          <w:szCs w:val="21"/>
        </w:rPr>
        <w:t>细胞融合技术在园艺植物种质创新中的应用。</w:t>
      </w:r>
    </w:p>
    <w:p>
      <w:pPr>
        <w:pStyle w:val="7"/>
        <w:snapToGrid w:val="0"/>
        <w:spacing w:line="360" w:lineRule="auto"/>
        <w:ind w:right="2904" w:rightChars="1383"/>
        <w:jc w:val="left"/>
        <w:rPr>
          <w:rFonts w:ascii="Times New Roman" w:eastAsiaTheme="minorEastAsia"/>
          <w:kern w:val="0"/>
          <w:szCs w:val="21"/>
        </w:rPr>
      </w:pPr>
      <w:r>
        <w:rPr>
          <w:rFonts w:ascii="Times New Roman" w:hAnsiTheme="minorEastAsia" w:eastAsiaTheme="minorEastAsia"/>
          <w:kern w:val="0"/>
          <w:szCs w:val="21"/>
        </w:rPr>
        <w:t>理解</w:t>
      </w:r>
      <w:r>
        <w:rPr>
          <w:rFonts w:hint="eastAsia" w:ascii="Times New Roman" w:hAnsiTheme="minorEastAsia" w:eastAsiaTheme="minorEastAsia"/>
          <w:kern w:val="0"/>
          <w:szCs w:val="21"/>
        </w:rPr>
        <w:t>：</w:t>
      </w:r>
      <w:r>
        <w:rPr>
          <w:rFonts w:ascii="Times New Roman" w:hAnsiTheme="minorEastAsia" w:eastAsiaTheme="minorEastAsia"/>
          <w:kern w:val="0"/>
          <w:szCs w:val="21"/>
        </w:rPr>
        <w:t>杂种细胞和杂种植株的筛选与检测方法。</w:t>
      </w:r>
    </w:p>
    <w:p>
      <w:pPr>
        <w:pStyle w:val="7"/>
        <w:snapToGrid w:val="0"/>
        <w:spacing w:line="360" w:lineRule="auto"/>
        <w:ind w:right="-29" w:rightChars="-14"/>
        <w:jc w:val="left"/>
        <w:rPr>
          <w:rFonts w:ascii="Times New Roman" w:hAnsiTheme="minorEastAsia" w:eastAsiaTheme="minorEastAsia"/>
          <w:kern w:val="0"/>
          <w:szCs w:val="21"/>
        </w:rPr>
      </w:pPr>
      <w:r>
        <w:rPr>
          <w:rFonts w:ascii="Times New Roman" w:hAnsiTheme="minorEastAsia" w:eastAsiaTheme="minorEastAsia"/>
          <w:kern w:val="0"/>
          <w:szCs w:val="21"/>
        </w:rPr>
        <w:t>掌握</w:t>
      </w:r>
      <w:r>
        <w:rPr>
          <w:rFonts w:hint="eastAsia" w:ascii="Times New Roman" w:hAnsiTheme="minorEastAsia" w:eastAsiaTheme="minorEastAsia"/>
          <w:kern w:val="0"/>
          <w:szCs w:val="21"/>
        </w:rPr>
        <w:t>：</w:t>
      </w:r>
      <w:r>
        <w:rPr>
          <w:rFonts w:ascii="Times New Roman" w:hAnsiTheme="minorEastAsia" w:eastAsiaTheme="minorEastAsia"/>
          <w:kern w:val="0"/>
          <w:szCs w:val="21"/>
        </w:rPr>
        <w:t>原生质体诱导融合技术的原理。</w:t>
      </w:r>
    </w:p>
    <w:p>
      <w:pPr>
        <w:widowControl/>
        <w:snapToGrid w:val="0"/>
        <w:spacing w:line="360" w:lineRule="auto"/>
        <w:rPr>
          <w:b/>
          <w:kern w:val="0"/>
          <w:szCs w:val="21"/>
        </w:rPr>
      </w:pPr>
      <w:r>
        <w:rPr>
          <w:rFonts w:hint="eastAsia"/>
          <w:b/>
          <w:kern w:val="0"/>
          <w:szCs w:val="21"/>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w:t>
      </w:r>
      <w:r>
        <w:rPr>
          <w:rFonts w:hAnsiTheme="minorEastAsia"/>
          <w:kern w:val="0"/>
          <w:szCs w:val="21"/>
        </w:rPr>
        <w:t>植物原生质体诱导融合的方法，</w:t>
      </w:r>
      <w:r>
        <w:rPr>
          <w:rFonts w:hint="eastAsia" w:hAnsiTheme="minorEastAsia"/>
          <w:kern w:val="0"/>
          <w:szCs w:val="21"/>
        </w:rPr>
        <w:t>结合</w:t>
      </w:r>
      <w:r>
        <w:rPr>
          <w:rFonts w:hAnsiTheme="minorEastAsia"/>
          <w:kern w:val="0"/>
          <w:szCs w:val="21"/>
        </w:rPr>
        <w:t>植物育种学知识授课，</w:t>
      </w:r>
      <w:r>
        <w:rPr>
          <w:rFonts w:hint="eastAsia"/>
          <w:kern w:val="0"/>
          <w:szCs w:val="21"/>
        </w:rPr>
        <w:t>并采用</w:t>
      </w:r>
      <w:r>
        <w:rPr>
          <w:kern w:val="0"/>
          <w:szCs w:val="21"/>
        </w:rPr>
        <w:t>无核柚</w:t>
      </w:r>
      <w:r>
        <w:rPr>
          <w:rFonts w:hint="eastAsia"/>
          <w:kern w:val="0"/>
          <w:szCs w:val="21"/>
        </w:rPr>
        <w:t>、</w:t>
      </w:r>
      <w:r>
        <w:rPr>
          <w:kern w:val="0"/>
          <w:szCs w:val="21"/>
        </w:rPr>
        <w:t>克隆羊等</w:t>
      </w:r>
      <w:r>
        <w:rPr>
          <w:rFonts w:hint="eastAsia"/>
          <w:kern w:val="0"/>
          <w:szCs w:val="21"/>
        </w:rPr>
        <w:t>经典</w:t>
      </w:r>
      <w:r>
        <w:rPr>
          <w:kern w:val="0"/>
          <w:szCs w:val="21"/>
        </w:rPr>
        <w:t>案例</w:t>
      </w:r>
      <w:r>
        <w:rPr>
          <w:rFonts w:hint="eastAsia"/>
          <w:kern w:val="0"/>
          <w:szCs w:val="21"/>
        </w:rPr>
        <w:t>，</w:t>
      </w:r>
      <w:r>
        <w:rPr>
          <w:rFonts w:hAnsiTheme="minorEastAsia"/>
          <w:kern w:val="0"/>
          <w:szCs w:val="21"/>
        </w:rPr>
        <w:t>使学生掌握</w:t>
      </w:r>
      <w:r>
        <w:rPr>
          <w:rFonts w:hint="eastAsia" w:hAnsiTheme="minorEastAsia"/>
          <w:kern w:val="0"/>
          <w:szCs w:val="21"/>
        </w:rPr>
        <w:t>融合原理</w:t>
      </w:r>
      <w:r>
        <w:rPr>
          <w:rFonts w:hAnsiTheme="minorEastAsia"/>
          <w:kern w:val="0"/>
          <w:szCs w:val="21"/>
        </w:rPr>
        <w:t>及其在种质资源创新的重要作用</w:t>
      </w:r>
      <w:r>
        <w:rPr>
          <w:rFonts w:hint="eastAsia"/>
          <w:kern w:val="0"/>
          <w:szCs w:val="21"/>
        </w:rPr>
        <w:t>。</w:t>
      </w:r>
    </w:p>
    <w:p>
      <w:pPr>
        <w:pStyle w:val="7"/>
        <w:snapToGrid w:val="0"/>
        <w:spacing w:line="360" w:lineRule="auto"/>
        <w:ind w:right="-29" w:rightChars="-14" w:firstLine="0" w:firstLineChars="0"/>
        <w:jc w:val="left"/>
        <w:rPr>
          <w:rFonts w:ascii="Times New Roman" w:eastAsiaTheme="minorEastAsia"/>
          <w:kern w:val="0"/>
          <w:szCs w:val="21"/>
        </w:rPr>
      </w:pPr>
    </w:p>
    <w:p>
      <w:pPr>
        <w:widowControl/>
        <w:snapToGrid w:val="0"/>
        <w:spacing w:line="360" w:lineRule="auto"/>
        <w:jc w:val="left"/>
        <w:rPr>
          <w:rFonts w:hAnsi="宋体"/>
          <w:b/>
          <w:bCs/>
          <w:kern w:val="0"/>
          <w:szCs w:val="21"/>
        </w:rPr>
      </w:pPr>
      <w:r>
        <w:rPr>
          <w:rFonts w:hint="eastAsia" w:hAnsi="宋体"/>
          <w:b/>
          <w:bCs/>
          <w:kern w:val="0"/>
          <w:szCs w:val="21"/>
        </w:rPr>
        <w:t>五</w:t>
      </w:r>
      <w:r>
        <w:rPr>
          <w:rFonts w:hAnsi="宋体"/>
          <w:b/>
          <w:bCs/>
          <w:kern w:val="0"/>
          <w:szCs w:val="21"/>
        </w:rPr>
        <w:t>、实验教学内容及学时分配</w:t>
      </w:r>
      <w:r>
        <w:rPr>
          <w:b/>
          <w:bCs/>
          <w:kern w:val="0"/>
          <w:szCs w:val="21"/>
        </w:rPr>
        <w:t> </w:t>
      </w:r>
      <w:r>
        <w:rPr>
          <w:rFonts w:hint="eastAsia" w:hAnsi="宋体"/>
          <w:b/>
          <w:bCs/>
          <w:kern w:val="0"/>
          <w:szCs w:val="21"/>
        </w:rPr>
        <w:t>（16</w:t>
      </w:r>
      <w:r>
        <w:rPr>
          <w:rFonts w:hAnsi="宋体"/>
          <w:b/>
          <w:bCs/>
          <w:kern w:val="0"/>
          <w:szCs w:val="21"/>
        </w:rPr>
        <w:t>学时</w:t>
      </w:r>
      <w:r>
        <w:rPr>
          <w:rFonts w:hint="eastAsia" w:hAnsi="宋体"/>
          <w:b/>
          <w:bCs/>
          <w:kern w:val="0"/>
          <w:szCs w:val="21"/>
        </w:rPr>
        <w:t>）</w:t>
      </w:r>
    </w:p>
    <w:p>
      <w:pPr>
        <w:snapToGrid w:val="0"/>
        <w:spacing w:line="360" w:lineRule="auto"/>
        <w:rPr>
          <w:rFonts w:ascii="宋体" w:hAnsi="宋体"/>
          <w:b/>
          <w:bCs/>
          <w:szCs w:val="21"/>
        </w:rPr>
      </w:pPr>
      <w:r>
        <w:rPr>
          <w:rFonts w:hint="eastAsia" w:ascii="宋体" w:hAnsi="宋体"/>
          <w:b/>
          <w:szCs w:val="21"/>
        </w:rPr>
        <w:t>（一）</w:t>
      </w:r>
      <w:r>
        <w:rPr>
          <w:rFonts w:hint="eastAsia" w:ascii="宋体" w:hAnsi="宋体"/>
          <w:b/>
          <w:bCs/>
          <w:szCs w:val="21"/>
        </w:rPr>
        <w:t>实验课程简介</w:t>
      </w:r>
    </w:p>
    <w:p>
      <w:pPr>
        <w:snapToGrid w:val="0"/>
        <w:spacing w:line="360" w:lineRule="auto"/>
        <w:ind w:firstLine="420" w:firstLineChars="200"/>
        <w:rPr>
          <w:rFonts w:ascii="宋体"/>
          <w:bCs/>
          <w:szCs w:val="21"/>
        </w:rPr>
      </w:pPr>
      <w:r>
        <w:rPr>
          <w:rFonts w:hint="eastAsia" w:ascii="宋体" w:hAnsi="宋体"/>
          <w:bCs/>
          <w:szCs w:val="21"/>
        </w:rPr>
        <w:t>植物组织培养是一门现代生物科学理论和工程技术相结合的综合性学科，是现代生物技术的重要组成部分，同时也是现代生物学研究的重要技术工具。本实验课以动手操作为主，根据课程的性质、要求及学习的对象，实验课类型可分为基础性、综合性和设计性，其内容包括组织培养实验室布局、基本仪器使用、基本无菌操作技术、离体培养物的培养与植株再生、愈伤组织诱导等，基本涵盖组织培养的主要技术环节。通过实验，学生不但能了解组织培养实验室的构造，试验所必需具备的仪器设备，更重要的是，通过动手操作来掌握规范的组织培养的基本技术，领会再生植株形成的各种途径及其调控方法，实现对理论教学内容的进一步巩固、深化。</w:t>
      </w:r>
    </w:p>
    <w:p>
      <w:pPr>
        <w:snapToGrid w:val="0"/>
        <w:spacing w:line="360" w:lineRule="auto"/>
        <w:rPr>
          <w:rFonts w:ascii="宋体" w:hAnsi="宋体"/>
          <w:b/>
          <w:bCs/>
          <w:szCs w:val="21"/>
        </w:rPr>
      </w:pPr>
      <w:r>
        <w:rPr>
          <w:rFonts w:hint="eastAsia" w:ascii="宋体" w:hAnsi="宋体"/>
          <w:b/>
          <w:bCs/>
          <w:szCs w:val="21"/>
        </w:rPr>
        <w:t>（二）实验教学目的和基本要求</w:t>
      </w:r>
    </w:p>
    <w:p>
      <w:pPr>
        <w:snapToGrid w:val="0"/>
        <w:spacing w:line="360" w:lineRule="auto"/>
        <w:ind w:firstLine="420" w:firstLineChars="200"/>
      </w:pPr>
      <w:r>
        <w:rPr>
          <w:rFonts w:hint="eastAsia" w:ascii="宋体" w:hAnsi="宋体"/>
          <w:bCs/>
          <w:szCs w:val="21"/>
        </w:rPr>
        <w:t>本实验是和理论课程同时开设的非独立实验课程，是理论教学的深化和补充，具有较强的实践操作性，是一门重要的技术基础课。要求学生在掌握本课程的基本理论知识的基础上，通过动手操作，重点掌握植物组织培养的基本操作技术</w:t>
      </w:r>
      <w:r>
        <w:rPr>
          <w:rFonts w:ascii="宋体" w:hAnsi="宋体"/>
          <w:bCs/>
          <w:szCs w:val="21"/>
        </w:rPr>
        <w:t>——</w:t>
      </w:r>
      <w:r>
        <w:rPr>
          <w:rFonts w:hint="eastAsia" w:ascii="宋体" w:hAnsi="宋体"/>
          <w:bCs/>
          <w:szCs w:val="21"/>
        </w:rPr>
        <w:t>无菌操作，掌握培养基配制方法及激素使用方法，掌握离体形态建成的基本途径及其调控方法，能够达到理论和实践相结合，融会贯通，为以后从事植物生物技术及相关科研、教学工作奠定良好的基础。</w:t>
      </w:r>
    </w:p>
    <w:p>
      <w:pPr>
        <w:snapToGrid w:val="0"/>
        <w:spacing w:after="156" w:afterLines="50" w:line="360" w:lineRule="auto"/>
        <w:ind w:firstLine="420" w:firstLineChars="200"/>
      </w:pPr>
      <w:r>
        <w:rPr>
          <w:rFonts w:hint="eastAsia"/>
        </w:rPr>
        <w:t>实验课分为必做实验和选做实验两部分，必做实验要求所有学生必需按要求完成，选做实验是在完成上述必做实验训练基础上，根据学生兴趣开设的实验课，由于所用实验条件要求较高，实验周期较长，因此每位学生一般限报</w:t>
      </w:r>
      <w:r>
        <w:t>1</w:t>
      </w:r>
      <w:r>
        <w:rPr>
          <w:rFonts w:hint="eastAsia"/>
        </w:rPr>
        <w:t>项，安排在周末非课堂时间进行。</w:t>
      </w:r>
    </w:p>
    <w:p>
      <w:pPr>
        <w:snapToGrid w:val="0"/>
        <w:spacing w:line="360" w:lineRule="auto"/>
        <w:rPr>
          <w:b/>
        </w:rPr>
      </w:pPr>
      <w:r>
        <w:rPr>
          <w:rFonts w:hint="eastAsia"/>
          <w:b/>
        </w:rPr>
        <w:t>（三）实验安全操作规范</w:t>
      </w:r>
    </w:p>
    <w:p>
      <w:pPr>
        <w:snapToGrid w:val="0"/>
        <w:spacing w:line="360" w:lineRule="auto"/>
        <w:ind w:firstLine="420" w:firstLineChars="200"/>
      </w:pPr>
      <w:r>
        <w:rPr>
          <w:rFonts w:hint="eastAsia"/>
        </w:rPr>
        <w:t>1、实验室守则</w:t>
      </w:r>
    </w:p>
    <w:p>
      <w:pPr>
        <w:snapToGrid w:val="0"/>
        <w:spacing w:line="360" w:lineRule="auto"/>
        <w:ind w:firstLine="420" w:firstLineChars="200"/>
      </w:pPr>
      <w:r>
        <w:rPr>
          <w:rFonts w:hint="eastAsia"/>
        </w:rPr>
        <w:t>学生进行课程实验时，应遵从以下守则：</w:t>
      </w:r>
    </w:p>
    <w:p>
      <w:pPr>
        <w:snapToGrid w:val="0"/>
        <w:spacing w:line="360" w:lineRule="auto"/>
        <w:ind w:firstLine="420" w:firstLineChars="200"/>
      </w:pPr>
      <w:r>
        <w:rPr>
          <w:rFonts w:hint="eastAsia"/>
        </w:rPr>
        <w:t>（1）进入园艺学院本科实验室工作时，必须穿工作服，离开实验室时应脱下。工作服应经常保持整洁，禁止穿工作服进入公共场所。在进行任何有可能碰伤、刺激或烧伤眼睛的工作时，必须戴防护眼镜。</w:t>
      </w:r>
    </w:p>
    <w:p>
      <w:pPr>
        <w:snapToGrid w:val="0"/>
        <w:spacing w:line="360" w:lineRule="auto"/>
        <w:ind w:firstLine="420" w:firstLineChars="200"/>
      </w:pPr>
      <w:r>
        <w:rPr>
          <w:rFonts w:hint="eastAsia"/>
        </w:rPr>
        <w:t>（2）禁止在实验室内吸烟及吃东西。不准使用试验器皿作茶杯或餐具，不得用嘴巴品尝味道的方法来鉴别未知物。</w:t>
      </w:r>
    </w:p>
    <w:p>
      <w:pPr>
        <w:snapToGrid w:val="0"/>
        <w:spacing w:line="360" w:lineRule="auto"/>
        <w:ind w:firstLine="420" w:firstLineChars="200"/>
      </w:pPr>
      <w:r>
        <w:rPr>
          <w:rFonts w:hint="eastAsia"/>
        </w:rPr>
        <w:t>（3）工作完毕后离开实验室时应用肥皂洗手。</w:t>
      </w:r>
    </w:p>
    <w:p>
      <w:pPr>
        <w:snapToGrid w:val="0"/>
        <w:spacing w:line="360" w:lineRule="auto"/>
        <w:ind w:firstLine="420" w:firstLineChars="200"/>
      </w:pPr>
      <w:r>
        <w:rPr>
          <w:rFonts w:hint="eastAsia"/>
        </w:rPr>
        <w:t>（4）实验室停止供电、供水时应将水源、电源开关全部关上，以防恢复供电、供水时由于开关未关而发生事故。离开实验室时应检查门、窗、水、电、气是否安全及关闭。</w:t>
      </w:r>
    </w:p>
    <w:p>
      <w:pPr>
        <w:snapToGrid w:val="0"/>
        <w:spacing w:line="360" w:lineRule="auto"/>
        <w:ind w:firstLine="420" w:firstLineChars="200"/>
      </w:pPr>
      <w:r>
        <w:rPr>
          <w:rFonts w:hint="eastAsia"/>
        </w:rPr>
        <w:t>（5）实验室内的每瓶试剂必须贴有明显的与试剂相符的标签、并标明试剂名称、浓度及配制日期或标定日期。</w:t>
      </w:r>
    </w:p>
    <w:p>
      <w:pPr>
        <w:snapToGrid w:val="0"/>
        <w:spacing w:line="360" w:lineRule="auto"/>
        <w:ind w:firstLine="420" w:firstLineChars="200"/>
      </w:pPr>
      <w:r>
        <w:rPr>
          <w:rFonts w:hint="eastAsia"/>
        </w:rPr>
        <w:t>（6）开启园艺植物组织培养课程涉及到的易挥发的试剂瓶(如丙酮、浓盐酸、次氯酸钠)时，尤其是在夏季或室温较高时，应先用流水冷却后后盖上湿布再打开，切不可将瓶口对着自己或他人，以防气液冲出发生事故。</w:t>
      </w:r>
    </w:p>
    <w:p>
      <w:pPr>
        <w:snapToGrid w:val="0"/>
        <w:spacing w:line="360" w:lineRule="auto"/>
        <w:ind w:firstLine="420" w:firstLineChars="200"/>
      </w:pPr>
      <w:r>
        <w:rPr>
          <w:rFonts w:hint="eastAsia"/>
        </w:rPr>
        <w:t>（7）取下正在加热至近沸的水或溶夜时，应用玻璃棒进行搅拌，驱除气泡，或用烧杯夹将其轻轻摇动后方可取下,防止突然产生大气泡并飞溅伤人。煮沸有大量沉淀的液体时应用玻璃棒不断搅拌,以免发生爆沸。</w:t>
      </w:r>
    </w:p>
    <w:p>
      <w:pPr>
        <w:snapToGrid w:val="0"/>
        <w:spacing w:line="360" w:lineRule="auto"/>
        <w:ind w:firstLine="420" w:firstLineChars="200"/>
      </w:pPr>
      <w:r>
        <w:rPr>
          <w:rFonts w:hint="eastAsia"/>
        </w:rPr>
        <w:t>（8）园艺植物组织培养实验室的仪器在未掌握安全操作规程前不得随意动用。</w:t>
      </w:r>
    </w:p>
    <w:p>
      <w:pPr>
        <w:snapToGrid w:val="0"/>
        <w:spacing w:line="360" w:lineRule="auto"/>
        <w:ind w:firstLine="420" w:firstLineChars="200"/>
        <w:rPr>
          <w:rFonts w:ascii="宋体" w:hAnsi="宋体"/>
          <w:shd w:val="clear" w:color="auto" w:fill="FFFFFF"/>
        </w:rPr>
      </w:pPr>
      <w:r>
        <w:rPr>
          <w:rFonts w:hint="eastAsia"/>
        </w:rPr>
        <w:t>2、</w:t>
      </w:r>
      <w:r>
        <w:rPr>
          <w:rFonts w:hint="eastAsia" w:ascii="宋体" w:hAnsi="宋体"/>
          <w:shd w:val="clear" w:color="auto" w:fill="FFFFFF"/>
        </w:rPr>
        <w:t>电器、易燃、易爆、有毒有害试剂</w:t>
      </w:r>
    </w:p>
    <w:p>
      <w:pPr>
        <w:snapToGrid w:val="0"/>
        <w:spacing w:line="360" w:lineRule="auto"/>
        <w:ind w:firstLine="420" w:firstLineChars="200"/>
      </w:pPr>
      <w:r>
        <w:rPr>
          <w:rFonts w:hint="eastAsia"/>
        </w:rPr>
        <w:t>（1）电器安全操作规程</w:t>
      </w:r>
    </w:p>
    <w:p>
      <w:pPr>
        <w:snapToGrid w:val="0"/>
        <w:spacing w:line="360" w:lineRule="auto"/>
        <w:ind w:firstLine="420" w:firstLineChars="200"/>
      </w:pPr>
      <w:r>
        <w:rPr>
          <w:rFonts w:hint="eastAsia"/>
        </w:rPr>
        <w:t>1.1 实验室内不得有裸露的电线、闸刀开关应完全合上或断开，以防止接触不好产生火花进而引起易燃物的爆炸，拔下插头时应用手捏住插头再拔，不得只拉电线。</w:t>
      </w:r>
    </w:p>
    <w:p>
      <w:pPr>
        <w:snapToGrid w:val="0"/>
        <w:spacing w:line="360" w:lineRule="auto"/>
        <w:ind w:firstLine="420" w:firstLineChars="200"/>
      </w:pPr>
      <w:r>
        <w:rPr>
          <w:rFonts w:hint="eastAsia"/>
        </w:rPr>
        <w:t>1.2 各种电器设备及电线应始终保持干燥，不得浸湿，以防短路引起火灾或烧坏电器设备。</w:t>
      </w:r>
    </w:p>
    <w:p>
      <w:pPr>
        <w:snapToGrid w:val="0"/>
        <w:spacing w:line="360" w:lineRule="auto"/>
        <w:ind w:firstLine="420" w:firstLineChars="200"/>
      </w:pPr>
      <w:r>
        <w:rPr>
          <w:rFonts w:hint="eastAsia"/>
        </w:rPr>
        <w:t>1.3 各类电器设备发生异常或故障时，应及时断电，由专业人员检修。</w:t>
      </w:r>
    </w:p>
    <w:p>
      <w:pPr>
        <w:snapToGrid w:val="0"/>
        <w:spacing w:line="360" w:lineRule="auto"/>
        <w:ind w:firstLine="420" w:firstLineChars="200"/>
      </w:pPr>
      <w:r>
        <w:rPr>
          <w:rFonts w:hint="eastAsia"/>
        </w:rPr>
        <w:t>1.4 保险丝熔断时，应查清原因，不得任意增加或加粗保险丝，更不得以铜丝代替。</w:t>
      </w:r>
    </w:p>
    <w:p>
      <w:pPr>
        <w:snapToGrid w:val="0"/>
        <w:spacing w:line="360" w:lineRule="auto"/>
        <w:ind w:firstLine="420" w:firstLineChars="200"/>
      </w:pPr>
      <w:r>
        <w:rPr>
          <w:rFonts w:hint="eastAsia"/>
        </w:rPr>
        <w:t>（2）化学药品的安全操作规程</w:t>
      </w:r>
    </w:p>
    <w:p>
      <w:pPr>
        <w:snapToGrid w:val="0"/>
        <w:spacing w:line="360" w:lineRule="auto"/>
        <w:ind w:firstLine="420" w:firstLineChars="200"/>
      </w:pPr>
      <w:r>
        <w:rPr>
          <w:rFonts w:hint="eastAsia"/>
        </w:rPr>
        <w:t>2.1浓硫酸与水混合时,必须边搅拌边将硫酸徐徐注入存有冷却水的耐热玻璃杯中,不得将水倒入硫酸中。否则将引起爆炸与烧伤事故。凡是在稀释能放出大量热的酸、碱时都应按此规定操作。</w:t>
      </w:r>
    </w:p>
    <w:p>
      <w:pPr>
        <w:snapToGrid w:val="0"/>
        <w:spacing w:line="360" w:lineRule="auto"/>
        <w:ind w:firstLine="420" w:firstLineChars="200"/>
      </w:pPr>
      <w:r>
        <w:rPr>
          <w:rFonts w:hint="eastAsia"/>
        </w:rPr>
        <w:t>2.2 搬运大瓶（或坛装）酸、碱或腐蚀性液体时，应特别小心，注意容器有无裂纹，外包装是否牢固，搬运时最好用手推车。从大容器中分装时应用虹吸管移取，不得将10公斤以上的玻璃器皿用手来倾倒。</w:t>
      </w:r>
    </w:p>
    <w:p>
      <w:pPr>
        <w:snapToGrid w:val="0"/>
        <w:spacing w:line="360" w:lineRule="auto"/>
        <w:ind w:firstLine="420" w:firstLineChars="200"/>
      </w:pPr>
      <w:r>
        <w:rPr>
          <w:rFonts w:hint="eastAsia"/>
        </w:rPr>
        <w:t>2.3 实验室不得存放大量易燃药品和废液，例如：乙醇（包括甲醇）、丙酮、及其他易燃有机溶剂等，对少量易燃药品应放在远离热源的地方。注意其盛装容器的密封性，以防挥发后的气体与空气混合形成爆炸性气体。使用易燃药品时，附近不得有明火、电炉及电源开关，更不得在明火或炉上直接加热。</w:t>
      </w:r>
    </w:p>
    <w:p>
      <w:pPr>
        <w:snapToGrid w:val="0"/>
        <w:spacing w:line="360" w:lineRule="auto"/>
        <w:ind w:firstLine="420" w:firstLineChars="200"/>
      </w:pPr>
      <w:r>
        <w:rPr>
          <w:rFonts w:hint="eastAsia"/>
        </w:rPr>
        <w:t>2.4废液、废物的处理</w:t>
      </w:r>
    </w:p>
    <w:p>
      <w:pPr>
        <w:snapToGrid w:val="0"/>
        <w:spacing w:line="360" w:lineRule="auto"/>
        <w:ind w:firstLine="420" w:firstLineChars="200"/>
      </w:pPr>
      <w:r>
        <w:rPr>
          <w:rFonts w:hint="eastAsia"/>
        </w:rPr>
        <w:t>2.4.1一切不溶固体或衣酸、浓碱溶液严禁到入水池，以防堵塞和腐蚀水管,浓酸、浓碱应经稀释后才能放入水池。</w:t>
      </w:r>
    </w:p>
    <w:p>
      <w:pPr>
        <w:snapToGrid w:val="0"/>
        <w:spacing w:line="360" w:lineRule="auto"/>
        <w:ind w:firstLine="420" w:firstLineChars="200"/>
      </w:pPr>
      <w:r>
        <w:rPr>
          <w:rFonts w:hint="eastAsia"/>
        </w:rPr>
        <w:t>2.4.2大量有机溶剂废液不得放入下水道，应回收至废液桶中集中处理。</w:t>
      </w:r>
    </w:p>
    <w:p>
      <w:pPr>
        <w:snapToGrid w:val="0"/>
        <w:spacing w:line="360" w:lineRule="auto"/>
        <w:ind w:firstLine="420" w:firstLineChars="200"/>
      </w:pPr>
      <w:r>
        <w:rPr>
          <w:rFonts w:hint="eastAsia"/>
        </w:rPr>
        <w:t>3、灭火与急救</w:t>
      </w:r>
    </w:p>
    <w:p>
      <w:pPr>
        <w:snapToGrid w:val="0"/>
        <w:spacing w:line="360" w:lineRule="auto"/>
        <w:ind w:firstLine="840" w:firstLineChars="400"/>
      </w:pPr>
      <w:r>
        <w:rPr>
          <w:rFonts w:hint="eastAsia"/>
        </w:rPr>
        <w:t>灭火</w:t>
      </w:r>
    </w:p>
    <w:p>
      <w:pPr>
        <w:snapToGrid w:val="0"/>
        <w:spacing w:line="360" w:lineRule="auto"/>
        <w:ind w:firstLine="420" w:firstLineChars="200"/>
      </w:pPr>
      <w:r>
        <w:rPr>
          <w:rFonts w:hint="eastAsia"/>
        </w:rPr>
        <w:t>（1）实验室失火后，一定要沉着、不要惊慌，要根据起火原因与火势大小，及时采取以下措施：立即关掉电源、气源及通风机；将室内易燃、易爆物(例如压缩气瓶)小心搬离火源，注意搬动时切不可碰撞，以免引起更大火灾；迅速选用适当的灭火器，将刚起的火扑灭。注意不要用水来扑灭不溶于水的油类以及其他有机溶剂等可燃物；及时报警:火警电话119；身上衣服着火时，切不可任意跑动。应用石棉毯裹在身，以隔绝空气而灭火。如无石棉毯或薄毯时,可就地躺下打滚以灭火。；应装备必要的灭火设备。</w:t>
      </w:r>
    </w:p>
    <w:p>
      <w:pPr>
        <w:snapToGrid w:val="0"/>
        <w:spacing w:line="360" w:lineRule="auto"/>
        <w:ind w:firstLine="840" w:firstLineChars="400"/>
      </w:pPr>
      <w:r>
        <w:rPr>
          <w:rFonts w:hint="eastAsia"/>
        </w:rPr>
        <w:t>急救</w:t>
      </w:r>
    </w:p>
    <w:p>
      <w:pPr>
        <w:snapToGrid w:val="0"/>
        <w:spacing w:line="360" w:lineRule="auto"/>
        <w:ind w:firstLine="420" w:firstLineChars="200"/>
      </w:pPr>
      <w:r>
        <w:rPr>
          <w:rFonts w:hint="eastAsia"/>
        </w:rPr>
        <w:t>（1）实验室应备有急救箱，并经常检查，保证齐备无缺。</w:t>
      </w:r>
    </w:p>
    <w:p>
      <w:pPr>
        <w:snapToGrid w:val="0"/>
        <w:spacing w:line="360" w:lineRule="auto"/>
        <w:ind w:firstLine="420" w:firstLineChars="200"/>
      </w:pPr>
      <w:r>
        <w:rPr>
          <w:rFonts w:hint="eastAsia"/>
        </w:rPr>
        <w:t>（2）当眼睛里溅入腐蚀性药品时:应立即用实验室配备的洗眼器冲洗，但应注意水压不可太大，以免眼球受伤，待药物被充分洗净后，再到医务室就医。</w:t>
      </w:r>
    </w:p>
    <w:p>
      <w:pPr>
        <w:snapToGrid w:val="0"/>
        <w:spacing w:line="360" w:lineRule="auto"/>
        <w:ind w:firstLine="420" w:firstLineChars="200"/>
      </w:pPr>
      <w:r>
        <w:rPr>
          <w:rFonts w:hint="eastAsia"/>
        </w:rPr>
        <w:t>（3）当眼睛里进入碎玻璃或其他异物时，应闭上眼睛。不要转动，立即到医务室就医，切记不可用手揉眼睛，以免引起更严重的擦伤。</w:t>
      </w:r>
    </w:p>
    <w:p>
      <w:pPr>
        <w:snapToGrid w:val="0"/>
        <w:spacing w:line="360" w:lineRule="auto"/>
        <w:ind w:firstLine="420" w:firstLineChars="200"/>
      </w:pPr>
      <w:r>
        <w:rPr>
          <w:rFonts w:hint="eastAsia"/>
        </w:rPr>
        <w:t>（4 ）浓酸或碱洒在衣服上，或沾在皮肤上，应立即用大量水冲洗，随后分别用碳酸氢钠溶液(2%)或乙酸溶液(3-4%)轻轻擦洗，必要时去医务室就医。</w:t>
      </w:r>
    </w:p>
    <w:p>
      <w:pPr>
        <w:snapToGrid w:val="0"/>
        <w:spacing w:line="360" w:lineRule="auto"/>
        <w:ind w:firstLine="420" w:firstLineChars="200"/>
      </w:pPr>
      <w:r>
        <w:rPr>
          <w:rFonts w:hint="eastAsia"/>
        </w:rPr>
        <w:t>（5）人员触电后，应立即切断电源，或用非导电体将电线从触电者身上移开。如果触电者已经休克，应迅速将其移到新鲜空气处，立即进行人工呼吸，并请医务人员到现场抢救。</w:t>
      </w:r>
    </w:p>
    <w:p>
      <w:pPr>
        <w:snapToGrid w:val="0"/>
        <w:spacing w:after="156" w:afterLines="50" w:line="360" w:lineRule="auto"/>
        <w:rPr>
          <w:rFonts w:ascii="宋体" w:hAnsi="宋体"/>
          <w:b/>
          <w:bCs/>
          <w:szCs w:val="21"/>
        </w:rPr>
      </w:pPr>
      <w:r>
        <w:rPr>
          <w:rFonts w:hint="eastAsia" w:ascii="宋体" w:hAnsi="宋体"/>
          <w:b/>
          <w:bCs/>
          <w:szCs w:val="21"/>
        </w:rPr>
        <w:t>（四）实验项目名称与学时分配</w:t>
      </w:r>
    </w:p>
    <w:tbl>
      <w:tblPr>
        <w:tblStyle w:val="22"/>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3372"/>
        <w:gridCol w:w="766"/>
        <w:gridCol w:w="800"/>
        <w:gridCol w:w="1070"/>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80"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3372" w:type="dxa"/>
            <w:tcBorders>
              <w:tl2br w:val="nil"/>
              <w:tr2bl w:val="nil"/>
            </w:tcBorders>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766"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学时</w:t>
            </w:r>
          </w:p>
        </w:tc>
        <w:tc>
          <w:tcPr>
            <w:tcW w:w="800"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类型</w:t>
            </w:r>
          </w:p>
        </w:tc>
        <w:tc>
          <w:tcPr>
            <w:tcW w:w="1070"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实验要求</w:t>
            </w:r>
          </w:p>
        </w:tc>
        <w:tc>
          <w:tcPr>
            <w:tcW w:w="1128" w:type="dxa"/>
            <w:tcBorders>
              <w:tl2br w:val="nil"/>
              <w:tr2bl w:val="nil"/>
            </w:tcBorders>
            <w:shd w:val="clear" w:color="auto" w:fill="EEECE1" w:themeFill="background2"/>
            <w:vAlign w:val="center"/>
          </w:tcPr>
          <w:p>
            <w:pPr>
              <w:rPr>
                <w:rFonts w:ascii="宋体" w:hAnsi="宋体" w:cs="宋体"/>
                <w:b/>
                <w:bCs/>
                <w:sz w:val="18"/>
                <w:szCs w:val="18"/>
              </w:rPr>
            </w:pPr>
            <w:r>
              <w:rPr>
                <w:rFonts w:hint="eastAsia" w:ascii="宋体" w:hAnsi="宋体" w:cs="宋体"/>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1901105201</w:t>
            </w:r>
          </w:p>
        </w:tc>
        <w:tc>
          <w:tcPr>
            <w:tcW w:w="3372"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植物组织培养实验室</w:t>
            </w:r>
            <w:r>
              <w:rPr>
                <w:rFonts w:hint="eastAsia" w:hAnsiTheme="minorEastAsia" w:eastAsiaTheme="minorEastAsia"/>
                <w:bCs/>
                <w:sz w:val="18"/>
                <w:szCs w:val="18"/>
              </w:rPr>
              <w:t>的构造设计、实验</w:t>
            </w:r>
            <w:r>
              <w:rPr>
                <w:rFonts w:hAnsiTheme="minorEastAsia" w:eastAsiaTheme="minorEastAsia"/>
                <w:bCs/>
                <w:sz w:val="18"/>
                <w:szCs w:val="18"/>
              </w:rPr>
              <w:t>仪器</w:t>
            </w:r>
            <w:r>
              <w:rPr>
                <w:rFonts w:hint="eastAsia" w:hAnsiTheme="minorEastAsia" w:eastAsiaTheme="minorEastAsia"/>
                <w:bCs/>
                <w:sz w:val="18"/>
                <w:szCs w:val="18"/>
              </w:rPr>
              <w:t>设备</w:t>
            </w:r>
            <w:r>
              <w:rPr>
                <w:rFonts w:hAnsiTheme="minorEastAsia" w:eastAsiaTheme="minorEastAsia"/>
                <w:bCs/>
                <w:sz w:val="18"/>
                <w:szCs w:val="18"/>
              </w:rPr>
              <w:t>简介</w:t>
            </w:r>
            <w:r>
              <w:rPr>
                <w:rFonts w:hint="eastAsia" w:hAnsiTheme="minorEastAsia" w:eastAsiaTheme="minorEastAsia"/>
                <w:bCs/>
                <w:sz w:val="18"/>
                <w:szCs w:val="18"/>
              </w:rPr>
              <w:t>及实验准备技术</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eastAsiaTheme="minorEastAsia"/>
                <w:bCs/>
                <w:sz w:val="18"/>
                <w:szCs w:val="18"/>
              </w:rPr>
              <w:t>4</w:t>
            </w:r>
          </w:p>
        </w:tc>
        <w:tc>
          <w:tcPr>
            <w:tcW w:w="800" w:type="dxa"/>
            <w:tcBorders>
              <w:tl2br w:val="nil"/>
              <w:tr2bl w:val="nil"/>
            </w:tcBorders>
          </w:tcPr>
          <w:p>
            <w:pPr>
              <w:widowControl/>
              <w:snapToGrid w:val="0"/>
              <w:spacing w:line="312" w:lineRule="auto"/>
              <w:rPr>
                <w:rFonts w:eastAsiaTheme="minorEastAsia"/>
                <w:bCs/>
                <w:szCs w:val="21"/>
              </w:rPr>
            </w:pPr>
            <w:r>
              <w:rPr>
                <w:rFonts w:hAnsiTheme="minorEastAsia" w:eastAsiaTheme="minorEastAsia"/>
                <w:bCs/>
                <w:sz w:val="18"/>
                <w:szCs w:val="18"/>
              </w:rPr>
              <w:t>综合性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必做</w:t>
            </w:r>
          </w:p>
        </w:tc>
        <w:tc>
          <w:tcPr>
            <w:tcW w:w="1128" w:type="dxa"/>
            <w:tcBorders>
              <w:tl2br w:val="nil"/>
              <w:tr2bl w:val="nil"/>
            </w:tcBorders>
          </w:tcPr>
          <w:p>
            <w:pPr>
              <w:widowControl/>
              <w:snapToGrid w:val="0"/>
              <w:spacing w:line="312" w:lineRule="auto"/>
              <w:ind w:firstLine="360"/>
              <w:jc w:val="center"/>
              <w:rPr>
                <w:rFonts w:eastAsiaTheme="minorEastAsia"/>
                <w:bCs/>
                <w:szCs w:val="21"/>
              </w:rPr>
            </w:pPr>
            <w:r>
              <w:rPr>
                <w:rFonts w:eastAsiaTheme="minorEastAsia"/>
                <w:bCs/>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1901105202</w:t>
            </w:r>
          </w:p>
        </w:tc>
        <w:tc>
          <w:tcPr>
            <w:tcW w:w="3372"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hAnsiTheme="minorEastAsia" w:eastAsiaTheme="minorEastAsia"/>
                <w:bCs/>
                <w:sz w:val="18"/>
                <w:szCs w:val="18"/>
              </w:rPr>
              <w:t>MS</w:t>
            </w:r>
            <w:r>
              <w:rPr>
                <w:rFonts w:hAnsiTheme="minorEastAsia" w:eastAsiaTheme="minorEastAsia"/>
                <w:bCs/>
                <w:sz w:val="18"/>
                <w:szCs w:val="18"/>
              </w:rPr>
              <w:t>培养基母液</w:t>
            </w:r>
            <w:r>
              <w:rPr>
                <w:rFonts w:hint="eastAsia" w:hAnsiTheme="minorEastAsia" w:eastAsiaTheme="minorEastAsia"/>
                <w:bCs/>
                <w:sz w:val="18"/>
                <w:szCs w:val="18"/>
              </w:rPr>
              <w:t>的</w:t>
            </w:r>
            <w:r>
              <w:rPr>
                <w:rFonts w:hAnsiTheme="minorEastAsia" w:eastAsiaTheme="minorEastAsia"/>
                <w:bCs/>
                <w:sz w:val="18"/>
                <w:szCs w:val="18"/>
              </w:rPr>
              <w:t>配制</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eastAsiaTheme="minorEastAsia"/>
                <w:bCs/>
                <w:sz w:val="18"/>
                <w:szCs w:val="18"/>
              </w:rPr>
              <w:t>2</w:t>
            </w:r>
          </w:p>
        </w:tc>
        <w:tc>
          <w:tcPr>
            <w:tcW w:w="800" w:type="dxa"/>
            <w:tcBorders>
              <w:tl2br w:val="nil"/>
              <w:tr2bl w:val="nil"/>
            </w:tcBorders>
          </w:tcPr>
          <w:p>
            <w:pPr>
              <w:rPr>
                <w:rFonts w:eastAsiaTheme="minorEastAsia"/>
                <w:szCs w:val="21"/>
              </w:rPr>
            </w:pPr>
            <w:r>
              <w:rPr>
                <w:rFonts w:hAnsiTheme="minorEastAsia" w:eastAsiaTheme="minorEastAsia"/>
                <w:bCs/>
                <w:sz w:val="18"/>
                <w:szCs w:val="18"/>
              </w:rPr>
              <w:t>基础性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必做</w:t>
            </w:r>
          </w:p>
        </w:tc>
        <w:tc>
          <w:tcPr>
            <w:tcW w:w="1128" w:type="dxa"/>
            <w:tcBorders>
              <w:tl2br w:val="nil"/>
              <w:tr2bl w:val="nil"/>
            </w:tcBorders>
          </w:tcPr>
          <w:p>
            <w:pPr>
              <w:widowControl/>
              <w:snapToGrid w:val="0"/>
              <w:spacing w:line="312" w:lineRule="auto"/>
              <w:ind w:firstLine="360"/>
              <w:jc w:val="center"/>
              <w:rPr>
                <w:rFonts w:eastAsiaTheme="minorEastAsia"/>
                <w:bCs/>
                <w:szCs w:val="21"/>
              </w:rPr>
            </w:pPr>
            <w:r>
              <w:rPr>
                <w:rFonts w:eastAsiaTheme="minorEastAsia"/>
                <w:bCs/>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1901105203</w:t>
            </w:r>
          </w:p>
        </w:tc>
        <w:tc>
          <w:tcPr>
            <w:tcW w:w="3372"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hAnsiTheme="minorEastAsia" w:eastAsiaTheme="minorEastAsia"/>
                <w:bCs/>
                <w:sz w:val="18"/>
                <w:szCs w:val="18"/>
              </w:rPr>
              <w:t>MS</w:t>
            </w:r>
            <w:r>
              <w:rPr>
                <w:rFonts w:hAnsiTheme="minorEastAsia" w:eastAsiaTheme="minorEastAsia"/>
                <w:bCs/>
                <w:sz w:val="18"/>
                <w:szCs w:val="18"/>
              </w:rPr>
              <w:t>工作培养基</w:t>
            </w:r>
            <w:r>
              <w:rPr>
                <w:rFonts w:hint="eastAsia" w:hAnsiTheme="minorEastAsia" w:eastAsiaTheme="minorEastAsia"/>
                <w:bCs/>
                <w:sz w:val="18"/>
                <w:szCs w:val="18"/>
              </w:rPr>
              <w:t>的</w:t>
            </w:r>
            <w:r>
              <w:rPr>
                <w:rFonts w:hAnsiTheme="minorEastAsia" w:eastAsiaTheme="minorEastAsia"/>
                <w:bCs/>
                <w:sz w:val="18"/>
                <w:szCs w:val="18"/>
              </w:rPr>
              <w:t>配制与灭菌</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eastAsiaTheme="minorEastAsia"/>
                <w:bCs/>
                <w:sz w:val="18"/>
                <w:szCs w:val="18"/>
              </w:rPr>
              <w:t>2</w:t>
            </w:r>
          </w:p>
        </w:tc>
        <w:tc>
          <w:tcPr>
            <w:tcW w:w="800" w:type="dxa"/>
            <w:tcBorders>
              <w:tl2br w:val="nil"/>
              <w:tr2bl w:val="nil"/>
            </w:tcBorders>
          </w:tcPr>
          <w:p>
            <w:pPr>
              <w:rPr>
                <w:rFonts w:eastAsiaTheme="minorEastAsia"/>
                <w:szCs w:val="21"/>
              </w:rPr>
            </w:pPr>
            <w:r>
              <w:rPr>
                <w:rFonts w:hAnsiTheme="minorEastAsia" w:eastAsiaTheme="minorEastAsia"/>
                <w:bCs/>
                <w:sz w:val="18"/>
                <w:szCs w:val="18"/>
              </w:rPr>
              <w:t>基础性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必做</w:t>
            </w:r>
          </w:p>
        </w:tc>
        <w:tc>
          <w:tcPr>
            <w:tcW w:w="1128" w:type="dxa"/>
            <w:tcBorders>
              <w:tl2br w:val="nil"/>
              <w:tr2bl w:val="nil"/>
            </w:tcBorders>
          </w:tcPr>
          <w:p>
            <w:pPr>
              <w:widowControl/>
              <w:snapToGrid w:val="0"/>
              <w:spacing w:line="312" w:lineRule="auto"/>
              <w:ind w:firstLine="360"/>
              <w:jc w:val="center"/>
              <w:rPr>
                <w:rFonts w:eastAsiaTheme="minorEastAsia"/>
                <w:bCs/>
                <w:szCs w:val="21"/>
              </w:rPr>
            </w:pPr>
            <w:r>
              <w:rPr>
                <w:rFonts w:eastAsiaTheme="minorEastAsia"/>
                <w:bCs/>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1901105204</w:t>
            </w:r>
          </w:p>
        </w:tc>
        <w:tc>
          <w:tcPr>
            <w:tcW w:w="3372"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hAnsiTheme="minorEastAsia" w:eastAsiaTheme="minorEastAsia"/>
                <w:bCs/>
                <w:sz w:val="18"/>
                <w:szCs w:val="18"/>
              </w:rPr>
              <w:t>无菌苗的制备及接种</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eastAsiaTheme="minorEastAsia"/>
                <w:bCs/>
                <w:sz w:val="18"/>
                <w:szCs w:val="18"/>
              </w:rPr>
              <w:t>2</w:t>
            </w:r>
          </w:p>
        </w:tc>
        <w:tc>
          <w:tcPr>
            <w:tcW w:w="800" w:type="dxa"/>
            <w:tcBorders>
              <w:tl2br w:val="nil"/>
              <w:tr2bl w:val="nil"/>
            </w:tcBorders>
          </w:tcPr>
          <w:p>
            <w:pPr>
              <w:rPr>
                <w:rFonts w:eastAsiaTheme="minorEastAsia"/>
                <w:szCs w:val="21"/>
              </w:rPr>
            </w:pPr>
            <w:r>
              <w:rPr>
                <w:rFonts w:hAnsiTheme="minorEastAsia" w:eastAsiaTheme="minorEastAsia"/>
                <w:bCs/>
                <w:sz w:val="18"/>
                <w:szCs w:val="18"/>
              </w:rPr>
              <w:t>综合性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必做</w:t>
            </w:r>
          </w:p>
        </w:tc>
        <w:tc>
          <w:tcPr>
            <w:tcW w:w="1128" w:type="dxa"/>
            <w:tcBorders>
              <w:tl2br w:val="nil"/>
              <w:tr2bl w:val="nil"/>
            </w:tcBorders>
          </w:tcPr>
          <w:p>
            <w:pPr>
              <w:widowControl/>
              <w:snapToGrid w:val="0"/>
              <w:spacing w:line="312" w:lineRule="auto"/>
              <w:ind w:firstLine="360"/>
              <w:jc w:val="center"/>
              <w:rPr>
                <w:rFonts w:eastAsiaTheme="minorEastAsia"/>
                <w:bCs/>
                <w:szCs w:val="21"/>
              </w:rPr>
            </w:pPr>
            <w:r>
              <w:rPr>
                <w:rFonts w:eastAsiaTheme="minorEastAsia"/>
                <w:bCs/>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1901105205</w:t>
            </w:r>
          </w:p>
        </w:tc>
        <w:tc>
          <w:tcPr>
            <w:tcW w:w="3372" w:type="dxa"/>
            <w:tcBorders>
              <w:tl2br w:val="nil"/>
              <w:tr2bl w:val="nil"/>
            </w:tcBorders>
            <w:vAlign w:val="center"/>
          </w:tcPr>
          <w:p>
            <w:pPr>
              <w:widowControl/>
              <w:snapToGrid w:val="0"/>
              <w:spacing w:line="312" w:lineRule="auto"/>
              <w:ind w:firstLine="360"/>
              <w:jc w:val="center"/>
              <w:rPr>
                <w:rFonts w:eastAsiaTheme="minorEastAsia"/>
                <w:szCs w:val="21"/>
              </w:rPr>
            </w:pPr>
            <w:r>
              <w:rPr>
                <w:rFonts w:hint="eastAsia" w:hAnsiTheme="minorEastAsia" w:eastAsiaTheme="minorEastAsia"/>
                <w:bCs/>
                <w:sz w:val="18"/>
                <w:szCs w:val="18"/>
              </w:rPr>
              <w:t>愈伤组织诱导和分化培养基配制</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eastAsiaTheme="minorEastAsia"/>
                <w:bCs/>
                <w:sz w:val="18"/>
                <w:szCs w:val="18"/>
              </w:rPr>
              <w:t>2</w:t>
            </w:r>
          </w:p>
        </w:tc>
        <w:tc>
          <w:tcPr>
            <w:tcW w:w="800" w:type="dxa"/>
            <w:tcBorders>
              <w:tl2br w:val="nil"/>
              <w:tr2bl w:val="nil"/>
            </w:tcBorders>
          </w:tcPr>
          <w:p>
            <w:pPr>
              <w:rPr>
                <w:rFonts w:eastAsiaTheme="minorEastAsia"/>
                <w:bCs/>
                <w:szCs w:val="21"/>
              </w:rPr>
            </w:pPr>
            <w:r>
              <w:rPr>
                <w:rFonts w:hAnsiTheme="minorEastAsia" w:eastAsiaTheme="minorEastAsia"/>
                <w:bCs/>
                <w:sz w:val="18"/>
                <w:szCs w:val="18"/>
              </w:rPr>
              <w:t>综合性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必做</w:t>
            </w:r>
          </w:p>
        </w:tc>
        <w:tc>
          <w:tcPr>
            <w:tcW w:w="1128" w:type="dxa"/>
            <w:tcBorders>
              <w:tl2br w:val="nil"/>
              <w:tr2bl w:val="nil"/>
            </w:tcBorders>
          </w:tcPr>
          <w:p>
            <w:pPr>
              <w:widowControl/>
              <w:snapToGrid w:val="0"/>
              <w:spacing w:line="312" w:lineRule="auto"/>
              <w:ind w:firstLine="360"/>
              <w:jc w:val="center"/>
              <w:rPr>
                <w:rFonts w:eastAsiaTheme="minorEastAsia"/>
                <w:szCs w:val="21"/>
              </w:rPr>
            </w:pPr>
            <w:r>
              <w:rPr>
                <w:rFonts w:eastAsiaTheme="minorEastAsia"/>
                <w:bCs/>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1901105206</w:t>
            </w:r>
          </w:p>
        </w:tc>
        <w:tc>
          <w:tcPr>
            <w:tcW w:w="3372"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hAnsiTheme="minorEastAsia" w:eastAsiaTheme="minorEastAsia"/>
                <w:bCs/>
                <w:sz w:val="18"/>
                <w:szCs w:val="18"/>
              </w:rPr>
              <w:t>愈伤组织的诱导培养</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eastAsiaTheme="minorEastAsia"/>
                <w:bCs/>
                <w:sz w:val="18"/>
                <w:szCs w:val="18"/>
              </w:rPr>
              <w:t>2</w:t>
            </w:r>
          </w:p>
        </w:tc>
        <w:tc>
          <w:tcPr>
            <w:tcW w:w="800" w:type="dxa"/>
            <w:tcBorders>
              <w:tl2br w:val="nil"/>
              <w:tr2bl w:val="nil"/>
            </w:tcBorders>
          </w:tcPr>
          <w:p>
            <w:pPr>
              <w:widowControl/>
              <w:snapToGrid w:val="0"/>
              <w:spacing w:line="312" w:lineRule="auto"/>
              <w:rPr>
                <w:rFonts w:eastAsiaTheme="minorEastAsia"/>
                <w:bCs/>
                <w:szCs w:val="21"/>
              </w:rPr>
            </w:pPr>
            <w:r>
              <w:rPr>
                <w:rFonts w:hAnsiTheme="minorEastAsia" w:eastAsiaTheme="minorEastAsia"/>
                <w:bCs/>
                <w:sz w:val="18"/>
                <w:szCs w:val="18"/>
              </w:rPr>
              <w:t>综合性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必做</w:t>
            </w:r>
          </w:p>
        </w:tc>
        <w:tc>
          <w:tcPr>
            <w:tcW w:w="1128" w:type="dxa"/>
            <w:tcBorders>
              <w:tl2br w:val="nil"/>
              <w:tr2bl w:val="nil"/>
            </w:tcBorders>
          </w:tcPr>
          <w:p>
            <w:pPr>
              <w:widowControl/>
              <w:snapToGrid w:val="0"/>
              <w:spacing w:line="312" w:lineRule="auto"/>
              <w:ind w:firstLine="360"/>
              <w:jc w:val="center"/>
              <w:rPr>
                <w:rFonts w:eastAsiaTheme="minorEastAsia"/>
                <w:bCs/>
                <w:szCs w:val="21"/>
              </w:rPr>
            </w:pPr>
            <w:r>
              <w:rPr>
                <w:rFonts w:hint="eastAsia" w:eastAsiaTheme="minorEastAsia"/>
                <w:bCs/>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1901105207</w:t>
            </w:r>
          </w:p>
        </w:tc>
        <w:tc>
          <w:tcPr>
            <w:tcW w:w="3372" w:type="dxa"/>
            <w:tcBorders>
              <w:tl2br w:val="nil"/>
              <w:tr2bl w:val="nil"/>
            </w:tcBorders>
            <w:vAlign w:val="center"/>
          </w:tcPr>
          <w:p>
            <w:pPr>
              <w:widowControl/>
              <w:snapToGrid w:val="0"/>
              <w:spacing w:line="312" w:lineRule="auto"/>
              <w:ind w:firstLine="360"/>
              <w:jc w:val="center"/>
              <w:rPr>
                <w:rFonts w:eastAsiaTheme="minorEastAsia"/>
                <w:szCs w:val="21"/>
              </w:rPr>
            </w:pPr>
            <w:r>
              <w:rPr>
                <w:rFonts w:hint="eastAsia" w:hAnsiTheme="minorEastAsia" w:eastAsiaTheme="minorEastAsia"/>
                <w:bCs/>
                <w:sz w:val="18"/>
                <w:szCs w:val="18"/>
              </w:rPr>
              <w:t>分化及</w:t>
            </w:r>
            <w:r>
              <w:rPr>
                <w:rFonts w:hAnsiTheme="minorEastAsia" w:eastAsiaTheme="minorEastAsia"/>
                <w:bCs/>
                <w:sz w:val="18"/>
                <w:szCs w:val="18"/>
              </w:rPr>
              <w:t>生根培养</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hint="eastAsia" w:eastAsiaTheme="minorEastAsia"/>
                <w:bCs/>
                <w:sz w:val="18"/>
                <w:szCs w:val="18"/>
              </w:rPr>
              <w:t>2</w:t>
            </w:r>
          </w:p>
        </w:tc>
        <w:tc>
          <w:tcPr>
            <w:tcW w:w="800" w:type="dxa"/>
            <w:tcBorders>
              <w:tl2br w:val="nil"/>
              <w:tr2bl w:val="nil"/>
            </w:tcBorders>
          </w:tcPr>
          <w:p>
            <w:pPr>
              <w:widowControl/>
              <w:snapToGrid w:val="0"/>
              <w:spacing w:line="312" w:lineRule="auto"/>
              <w:rPr>
                <w:rFonts w:ascii="宋体" w:hAnsi="宋体"/>
                <w:szCs w:val="21"/>
              </w:rPr>
            </w:pPr>
            <w:r>
              <w:rPr>
                <w:rFonts w:hAnsiTheme="minorEastAsia" w:eastAsiaTheme="minorEastAsia"/>
                <w:bCs/>
                <w:sz w:val="18"/>
                <w:szCs w:val="18"/>
              </w:rPr>
              <w:t>综合性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必做</w:t>
            </w:r>
          </w:p>
        </w:tc>
        <w:tc>
          <w:tcPr>
            <w:tcW w:w="1128" w:type="dxa"/>
            <w:tcBorders>
              <w:tl2br w:val="nil"/>
              <w:tr2bl w:val="nil"/>
            </w:tcBorders>
          </w:tcPr>
          <w:p>
            <w:pPr>
              <w:widowControl/>
              <w:snapToGrid w:val="0"/>
              <w:spacing w:line="312" w:lineRule="auto"/>
              <w:ind w:firstLine="360"/>
              <w:jc w:val="center"/>
              <w:rPr>
                <w:rFonts w:eastAsiaTheme="minorEastAsia"/>
                <w:szCs w:val="21"/>
              </w:rPr>
            </w:pPr>
            <w:r>
              <w:rPr>
                <w:rFonts w:eastAsiaTheme="minorEastAsia"/>
                <w:bCs/>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1901105208</w:t>
            </w:r>
          </w:p>
        </w:tc>
        <w:tc>
          <w:tcPr>
            <w:tcW w:w="3372" w:type="dxa"/>
            <w:tcBorders>
              <w:tl2br w:val="nil"/>
              <w:tr2bl w:val="nil"/>
            </w:tcBorders>
            <w:vAlign w:val="center"/>
          </w:tcPr>
          <w:p>
            <w:pPr>
              <w:widowControl/>
              <w:snapToGrid w:val="0"/>
              <w:spacing w:line="312" w:lineRule="auto"/>
              <w:ind w:firstLine="360"/>
              <w:jc w:val="center"/>
              <w:rPr>
                <w:rFonts w:eastAsiaTheme="minorEastAsia"/>
                <w:szCs w:val="21"/>
              </w:rPr>
            </w:pPr>
            <w:r>
              <w:rPr>
                <w:rFonts w:hAnsiTheme="minorEastAsia" w:eastAsiaTheme="minorEastAsia"/>
                <w:bCs/>
                <w:sz w:val="18"/>
                <w:szCs w:val="18"/>
              </w:rPr>
              <w:t>花药培养与花粉植株再生</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eastAsiaTheme="minorEastAsia"/>
                <w:bCs/>
                <w:sz w:val="18"/>
                <w:szCs w:val="18"/>
              </w:rPr>
              <w:t>8</w:t>
            </w:r>
          </w:p>
        </w:tc>
        <w:tc>
          <w:tcPr>
            <w:tcW w:w="800" w:type="dxa"/>
            <w:tcBorders>
              <w:tl2br w:val="nil"/>
              <w:tr2bl w:val="nil"/>
            </w:tcBorders>
          </w:tcPr>
          <w:p>
            <w:pPr>
              <w:widowControl/>
              <w:snapToGrid w:val="0"/>
              <w:spacing w:line="312" w:lineRule="auto"/>
              <w:rPr>
                <w:rFonts w:ascii="宋体" w:hAnsi="宋体"/>
                <w:szCs w:val="21"/>
              </w:rPr>
            </w:pPr>
            <w:r>
              <w:rPr>
                <w:rFonts w:hAnsiTheme="minorEastAsia" w:eastAsiaTheme="minorEastAsia"/>
                <w:bCs/>
                <w:sz w:val="18"/>
                <w:szCs w:val="18"/>
              </w:rPr>
              <w:t>设计性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选做</w:t>
            </w:r>
          </w:p>
        </w:tc>
        <w:tc>
          <w:tcPr>
            <w:tcW w:w="1128" w:type="dxa"/>
            <w:tcBorders>
              <w:tl2br w:val="nil"/>
              <w:tr2bl w:val="nil"/>
            </w:tcBorders>
          </w:tcPr>
          <w:p>
            <w:pPr>
              <w:widowControl/>
              <w:snapToGrid w:val="0"/>
              <w:spacing w:line="312" w:lineRule="auto"/>
              <w:ind w:firstLine="360"/>
              <w:jc w:val="center"/>
              <w:rPr>
                <w:rFonts w:eastAsiaTheme="minorEastAsia"/>
                <w:szCs w:val="21"/>
              </w:rPr>
            </w:pPr>
            <w:r>
              <w:rPr>
                <w:rFonts w:eastAsiaTheme="minorEastAsia"/>
                <w:bCs/>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tcBorders>
              <w:tl2br w:val="nil"/>
              <w:tr2bl w:val="nil"/>
            </w:tcBorders>
          </w:tcPr>
          <w:p>
            <w:pPr>
              <w:ind w:firstLine="360"/>
              <w:jc w:val="center"/>
              <w:rPr>
                <w:rFonts w:eastAsiaTheme="minorEastAsia"/>
                <w:szCs w:val="21"/>
              </w:rPr>
            </w:pPr>
            <w:r>
              <w:rPr>
                <w:rFonts w:eastAsiaTheme="minorEastAsia"/>
                <w:sz w:val="18"/>
                <w:szCs w:val="18"/>
              </w:rPr>
              <w:t>190110520</w:t>
            </w:r>
            <w:r>
              <w:rPr>
                <w:rFonts w:hint="eastAsia" w:eastAsiaTheme="minorEastAsia"/>
                <w:sz w:val="18"/>
                <w:szCs w:val="18"/>
              </w:rPr>
              <w:t>9</w:t>
            </w:r>
          </w:p>
        </w:tc>
        <w:tc>
          <w:tcPr>
            <w:tcW w:w="3372" w:type="dxa"/>
            <w:tcBorders>
              <w:tl2br w:val="nil"/>
              <w:tr2bl w:val="nil"/>
            </w:tcBorders>
            <w:vAlign w:val="center"/>
          </w:tcPr>
          <w:p>
            <w:pPr>
              <w:widowControl/>
              <w:snapToGrid w:val="0"/>
              <w:spacing w:line="312" w:lineRule="auto"/>
              <w:ind w:firstLine="360"/>
              <w:jc w:val="center"/>
              <w:rPr>
                <w:rFonts w:eastAsiaTheme="minorEastAsia"/>
                <w:szCs w:val="21"/>
              </w:rPr>
            </w:pPr>
            <w:r>
              <w:rPr>
                <w:rFonts w:hAnsiTheme="minorEastAsia" w:eastAsiaTheme="minorEastAsia"/>
                <w:bCs/>
                <w:sz w:val="18"/>
                <w:szCs w:val="18"/>
              </w:rPr>
              <w:t>体细胞胚的诱导与观察</w:t>
            </w:r>
          </w:p>
        </w:tc>
        <w:tc>
          <w:tcPr>
            <w:tcW w:w="766" w:type="dxa"/>
            <w:tcBorders>
              <w:tl2br w:val="nil"/>
              <w:tr2bl w:val="nil"/>
            </w:tcBorders>
            <w:vAlign w:val="center"/>
          </w:tcPr>
          <w:p>
            <w:pPr>
              <w:widowControl/>
              <w:snapToGrid w:val="0"/>
              <w:spacing w:line="312" w:lineRule="auto"/>
              <w:ind w:firstLine="360"/>
              <w:jc w:val="center"/>
              <w:rPr>
                <w:rFonts w:eastAsiaTheme="minorEastAsia"/>
                <w:bCs/>
                <w:szCs w:val="21"/>
              </w:rPr>
            </w:pPr>
            <w:r>
              <w:rPr>
                <w:rFonts w:eastAsiaTheme="minorEastAsia"/>
                <w:bCs/>
                <w:sz w:val="18"/>
                <w:szCs w:val="18"/>
              </w:rPr>
              <w:t>8</w:t>
            </w:r>
          </w:p>
        </w:tc>
        <w:tc>
          <w:tcPr>
            <w:tcW w:w="800" w:type="dxa"/>
            <w:tcBorders>
              <w:tl2br w:val="nil"/>
              <w:tr2bl w:val="nil"/>
            </w:tcBorders>
          </w:tcPr>
          <w:p>
            <w:pPr>
              <w:widowControl/>
              <w:snapToGrid w:val="0"/>
              <w:spacing w:line="312" w:lineRule="auto"/>
              <w:rPr>
                <w:rFonts w:ascii="宋体" w:hAnsi="宋体"/>
                <w:szCs w:val="21"/>
              </w:rPr>
            </w:pPr>
            <w:r>
              <w:rPr>
                <w:rFonts w:hAnsiTheme="minorEastAsia" w:eastAsiaTheme="minorEastAsia"/>
                <w:bCs/>
                <w:sz w:val="18"/>
                <w:szCs w:val="18"/>
              </w:rPr>
              <w:t>设计性</w:t>
            </w:r>
          </w:p>
        </w:tc>
        <w:tc>
          <w:tcPr>
            <w:tcW w:w="1070" w:type="dxa"/>
            <w:tcBorders>
              <w:tl2br w:val="nil"/>
              <w:tr2bl w:val="nil"/>
            </w:tcBorders>
          </w:tcPr>
          <w:p>
            <w:pPr>
              <w:widowControl/>
              <w:snapToGrid w:val="0"/>
              <w:spacing w:line="312" w:lineRule="auto"/>
              <w:ind w:firstLine="360"/>
              <w:jc w:val="center"/>
              <w:rPr>
                <w:rFonts w:eastAsiaTheme="minorEastAsia"/>
                <w:bCs/>
                <w:szCs w:val="21"/>
              </w:rPr>
            </w:pPr>
            <w:r>
              <w:rPr>
                <w:rFonts w:hAnsiTheme="minorEastAsia" w:eastAsiaTheme="minorEastAsia"/>
                <w:bCs/>
                <w:sz w:val="18"/>
                <w:szCs w:val="18"/>
              </w:rPr>
              <w:t>选做</w:t>
            </w:r>
          </w:p>
        </w:tc>
        <w:tc>
          <w:tcPr>
            <w:tcW w:w="1128" w:type="dxa"/>
            <w:tcBorders>
              <w:tl2br w:val="nil"/>
              <w:tr2bl w:val="nil"/>
            </w:tcBorders>
          </w:tcPr>
          <w:p>
            <w:pPr>
              <w:widowControl/>
              <w:snapToGrid w:val="0"/>
              <w:spacing w:line="312" w:lineRule="auto"/>
              <w:ind w:firstLine="360"/>
              <w:jc w:val="center"/>
              <w:rPr>
                <w:rFonts w:eastAsiaTheme="minorEastAsia"/>
                <w:szCs w:val="21"/>
              </w:rPr>
            </w:pPr>
            <w:r>
              <w:rPr>
                <w:rFonts w:eastAsiaTheme="minorEastAsia"/>
                <w:bCs/>
                <w:sz w:val="18"/>
                <w:szCs w:val="18"/>
              </w:rPr>
              <w:t>4</w:t>
            </w:r>
          </w:p>
        </w:tc>
      </w:tr>
    </w:tbl>
    <w:p>
      <w:pPr>
        <w:widowControl/>
        <w:snapToGrid w:val="0"/>
        <w:spacing w:line="360" w:lineRule="auto"/>
        <w:jc w:val="left"/>
        <w:rPr>
          <w:rFonts w:hAnsi="宋体"/>
          <w:b/>
          <w:bCs/>
          <w:kern w:val="0"/>
          <w:szCs w:val="21"/>
        </w:rPr>
      </w:pPr>
    </w:p>
    <w:p>
      <w:pPr>
        <w:snapToGrid w:val="0"/>
        <w:spacing w:line="360" w:lineRule="auto"/>
        <w:rPr>
          <w:rFonts w:ascii="宋体" w:hAnsi="宋体"/>
          <w:b/>
          <w:bCs/>
          <w:szCs w:val="21"/>
        </w:rPr>
      </w:pPr>
      <w:r>
        <w:rPr>
          <w:rFonts w:hint="eastAsia" w:ascii="宋体" w:hAnsi="宋体"/>
          <w:b/>
          <w:bCs/>
          <w:szCs w:val="21"/>
        </w:rPr>
        <w:t>（五）实验方式及基本要求</w:t>
      </w:r>
    </w:p>
    <w:p>
      <w:pPr>
        <w:snapToGrid w:val="0"/>
        <w:spacing w:line="360" w:lineRule="auto"/>
        <w:rPr>
          <w:rFonts w:ascii="宋体"/>
        </w:rPr>
      </w:pPr>
      <w:r>
        <w:rPr>
          <w:rFonts w:ascii="宋体" w:hAnsi="宋体"/>
        </w:rPr>
        <w:t>1</w:t>
      </w:r>
      <w:r>
        <w:rPr>
          <w:rFonts w:hint="eastAsia" w:ascii="宋体" w:hAnsi="宋体"/>
        </w:rPr>
        <w:t>、实验方式</w:t>
      </w:r>
    </w:p>
    <w:p>
      <w:pPr>
        <w:snapToGrid w:val="0"/>
        <w:spacing w:line="360" w:lineRule="auto"/>
        <w:ind w:firstLine="420" w:firstLineChars="200"/>
        <w:rPr>
          <w:rFonts w:ascii="宋体"/>
        </w:rPr>
      </w:pPr>
      <w:r>
        <w:rPr>
          <w:rFonts w:hint="eastAsia" w:ascii="宋体" w:hAnsi="宋体"/>
        </w:rPr>
        <w:t>实验采用“教师讲解，学生设计，可行性论证，实际操作”的方式进行。</w:t>
      </w:r>
    </w:p>
    <w:p>
      <w:pPr>
        <w:snapToGrid w:val="0"/>
        <w:spacing w:line="360" w:lineRule="auto"/>
        <w:ind w:firstLine="420" w:firstLineChars="200"/>
        <w:rPr>
          <w:rFonts w:ascii="宋体"/>
        </w:rPr>
      </w:pPr>
      <w:r>
        <w:rPr>
          <w:rFonts w:hint="eastAsia" w:ascii="宋体" w:hAnsi="宋体"/>
        </w:rPr>
        <w:t>教师讲解：任课教师向学生讲解试验的基本原理，提出试验目的和达到的基本要求；</w:t>
      </w:r>
    </w:p>
    <w:p>
      <w:pPr>
        <w:snapToGrid w:val="0"/>
        <w:spacing w:line="360" w:lineRule="auto"/>
        <w:ind w:firstLine="420" w:firstLineChars="200"/>
        <w:rPr>
          <w:rFonts w:ascii="宋体"/>
        </w:rPr>
      </w:pPr>
      <w:r>
        <w:rPr>
          <w:rFonts w:hint="eastAsia" w:ascii="宋体" w:hAnsi="宋体"/>
        </w:rPr>
        <w:t>学生设计：学生根据教师的讲解内容，自行设计试验步骤，突出个性化实验；</w:t>
      </w:r>
    </w:p>
    <w:p>
      <w:pPr>
        <w:snapToGrid w:val="0"/>
        <w:spacing w:line="360" w:lineRule="auto"/>
        <w:ind w:firstLine="420" w:firstLineChars="200"/>
        <w:rPr>
          <w:rFonts w:ascii="宋体"/>
        </w:rPr>
      </w:pPr>
      <w:r>
        <w:rPr>
          <w:rFonts w:hint="eastAsia" w:ascii="宋体" w:hAnsi="宋体"/>
        </w:rPr>
        <w:t>可行性论证：教师对学生提出的实验方案进行评估，要求学生修改或完善，直到操作可行；</w:t>
      </w:r>
    </w:p>
    <w:p>
      <w:pPr>
        <w:snapToGrid w:val="0"/>
        <w:spacing w:line="360" w:lineRule="auto"/>
        <w:ind w:firstLine="420" w:firstLineChars="200"/>
        <w:rPr>
          <w:rFonts w:ascii="宋体"/>
        </w:rPr>
      </w:pPr>
      <w:r>
        <w:rPr>
          <w:rFonts w:hint="eastAsia" w:ascii="宋体" w:hAnsi="宋体"/>
        </w:rPr>
        <w:t>实际操作：学生根据论证后的试验方案进行试验操作。</w:t>
      </w:r>
    </w:p>
    <w:p>
      <w:pPr>
        <w:snapToGrid w:val="0"/>
        <w:spacing w:line="360" w:lineRule="auto"/>
        <w:rPr>
          <w:rFonts w:ascii="宋体"/>
        </w:rPr>
      </w:pPr>
      <w:r>
        <w:rPr>
          <w:rFonts w:ascii="宋体" w:hAnsi="宋体"/>
        </w:rPr>
        <w:t>2</w:t>
      </w:r>
      <w:r>
        <w:rPr>
          <w:rFonts w:hint="eastAsia" w:ascii="宋体" w:hAnsi="宋体"/>
        </w:rPr>
        <w:t>、基本要求</w:t>
      </w:r>
    </w:p>
    <w:p>
      <w:pPr>
        <w:snapToGrid w:val="0"/>
        <w:spacing w:line="360" w:lineRule="auto"/>
        <w:ind w:firstLine="420" w:firstLineChars="200"/>
        <w:rPr>
          <w:rFonts w:ascii="宋体"/>
        </w:rPr>
      </w:pPr>
      <w:r>
        <w:rPr>
          <w:rFonts w:ascii="宋体" w:hAnsi="宋体"/>
        </w:rPr>
        <w:t>1</w:t>
      </w:r>
      <w:r>
        <w:rPr>
          <w:rFonts w:hint="eastAsia" w:ascii="宋体" w:hAnsi="宋体"/>
        </w:rPr>
        <w:t>）任课教师向学生说明实验室守则、实验室安全制度及卫生值日等基本要求；</w:t>
      </w:r>
    </w:p>
    <w:p>
      <w:pPr>
        <w:snapToGrid w:val="0"/>
        <w:spacing w:line="360" w:lineRule="auto"/>
        <w:ind w:firstLine="420" w:firstLineChars="200"/>
        <w:rPr>
          <w:rFonts w:ascii="宋体"/>
        </w:rPr>
      </w:pPr>
      <w:r>
        <w:rPr>
          <w:rFonts w:ascii="宋体" w:hAnsi="宋体"/>
        </w:rPr>
        <w:t>2</w:t>
      </w:r>
      <w:r>
        <w:rPr>
          <w:rFonts w:hint="eastAsia" w:ascii="宋体" w:hAnsi="宋体"/>
        </w:rPr>
        <w:t>）任课教师根据实验要求提前安排预备试验或试材、药品、试剂的准备；</w:t>
      </w:r>
    </w:p>
    <w:p>
      <w:pPr>
        <w:snapToGrid w:val="0"/>
        <w:spacing w:line="360" w:lineRule="auto"/>
        <w:ind w:firstLine="420" w:firstLineChars="200"/>
        <w:rPr>
          <w:rFonts w:ascii="宋体"/>
        </w:rPr>
      </w:pPr>
      <w:r>
        <w:rPr>
          <w:rFonts w:ascii="宋体" w:hAnsi="宋体"/>
        </w:rPr>
        <w:t>3</w:t>
      </w:r>
      <w:r>
        <w:rPr>
          <w:rFonts w:hint="eastAsia" w:ascii="宋体" w:hAnsi="宋体"/>
        </w:rPr>
        <w:t>）任课教师提出每个实验的目的、要求以及进度安排；</w:t>
      </w:r>
    </w:p>
    <w:p>
      <w:pPr>
        <w:snapToGrid w:val="0"/>
        <w:spacing w:line="360" w:lineRule="auto"/>
        <w:ind w:firstLine="420" w:firstLineChars="200"/>
        <w:rPr>
          <w:rFonts w:ascii="宋体"/>
        </w:rPr>
      </w:pPr>
      <w:r>
        <w:rPr>
          <w:rFonts w:ascii="宋体" w:hAnsi="宋体"/>
        </w:rPr>
        <w:t>4</w:t>
      </w:r>
      <w:r>
        <w:rPr>
          <w:rFonts w:hint="eastAsia" w:ascii="宋体" w:hAnsi="宋体"/>
        </w:rPr>
        <w:t>）实验采取分组进行，每组</w:t>
      </w:r>
      <w:r>
        <w:rPr>
          <w:rFonts w:ascii="宋体" w:hAnsi="宋体"/>
        </w:rPr>
        <w:t>4-6</w:t>
      </w:r>
      <w:r>
        <w:rPr>
          <w:rFonts w:hint="eastAsia" w:ascii="宋体" w:hAnsi="宋体"/>
        </w:rPr>
        <w:t>个学生，每组的实验步骤或试验方案可以存在差异，以学生自己动手操作为主；</w:t>
      </w:r>
    </w:p>
    <w:p>
      <w:pPr>
        <w:snapToGrid w:val="0"/>
        <w:spacing w:line="360" w:lineRule="auto"/>
        <w:ind w:firstLine="420" w:firstLineChars="200"/>
        <w:rPr>
          <w:rFonts w:ascii="宋体"/>
        </w:rPr>
      </w:pPr>
      <w:r>
        <w:rPr>
          <w:rFonts w:ascii="宋体" w:hAnsi="宋体"/>
        </w:rPr>
        <w:t>5</w:t>
      </w:r>
      <w:r>
        <w:rPr>
          <w:rFonts w:hint="eastAsia" w:ascii="宋体" w:hAnsi="宋体"/>
        </w:rPr>
        <w:t>）学生需要完成计划的试验步骤，完成数据统计分析，独立撰写试验报告。</w:t>
      </w:r>
    </w:p>
    <w:p>
      <w:pPr>
        <w:snapToGrid w:val="0"/>
        <w:spacing w:line="360" w:lineRule="auto"/>
        <w:rPr>
          <w:rFonts w:ascii="宋体" w:hAnsi="宋体"/>
          <w:b/>
          <w:szCs w:val="21"/>
        </w:rPr>
      </w:pPr>
      <w:r>
        <w:rPr>
          <w:rFonts w:hint="eastAsia" w:ascii="宋体" w:hAnsi="宋体"/>
          <w:b/>
          <w:bCs/>
          <w:szCs w:val="21"/>
        </w:rPr>
        <w:t>（六）</w:t>
      </w:r>
      <w:r>
        <w:rPr>
          <w:rFonts w:hint="eastAsia" w:ascii="宋体" w:hAnsi="宋体"/>
          <w:b/>
          <w:szCs w:val="21"/>
        </w:rPr>
        <w:t>实验内容安排</w:t>
      </w:r>
    </w:p>
    <w:p>
      <w:pPr>
        <w:pStyle w:val="20"/>
        <w:snapToGrid w:val="0"/>
        <w:spacing w:before="0" w:beforeAutospacing="0" w:after="0" w:afterAutospacing="0" w:line="360" w:lineRule="auto"/>
        <w:rPr>
          <w:rFonts w:asciiTheme="minorEastAsia" w:hAnsiTheme="minorEastAsia" w:eastAsiaTheme="minorEastAsia"/>
          <w:b/>
          <w:sz w:val="21"/>
          <w:szCs w:val="21"/>
        </w:rPr>
      </w:pPr>
      <w:r>
        <w:rPr>
          <w:rFonts w:hint="eastAsia"/>
          <w:b/>
          <w:sz w:val="21"/>
          <w:szCs w:val="21"/>
        </w:rPr>
        <w:t>【实验一】</w:t>
      </w:r>
      <w:r>
        <w:rPr>
          <w:b/>
          <w:sz w:val="21"/>
          <w:szCs w:val="21"/>
        </w:rPr>
        <w:t>植物组织培养实验室</w:t>
      </w:r>
      <w:r>
        <w:rPr>
          <w:rFonts w:hint="eastAsia"/>
          <w:b/>
          <w:sz w:val="21"/>
          <w:szCs w:val="21"/>
        </w:rPr>
        <w:t>的构造设计、实验</w:t>
      </w:r>
      <w:r>
        <w:rPr>
          <w:b/>
          <w:sz w:val="21"/>
          <w:szCs w:val="21"/>
        </w:rPr>
        <w:t>仪器</w:t>
      </w:r>
      <w:r>
        <w:rPr>
          <w:rFonts w:hint="eastAsia"/>
          <w:b/>
          <w:sz w:val="21"/>
          <w:szCs w:val="21"/>
        </w:rPr>
        <w:t>设备</w:t>
      </w:r>
      <w:r>
        <w:rPr>
          <w:b/>
          <w:sz w:val="21"/>
          <w:szCs w:val="21"/>
        </w:rPr>
        <w:t>简介</w:t>
      </w:r>
      <w:r>
        <w:rPr>
          <w:rFonts w:hint="eastAsia"/>
          <w:b/>
          <w:sz w:val="21"/>
          <w:szCs w:val="21"/>
        </w:rPr>
        <w:t>及实验准备技术</w:t>
      </w:r>
    </w:p>
    <w:p>
      <w:pPr>
        <w:snapToGrid w:val="0"/>
        <w:spacing w:line="360" w:lineRule="auto"/>
        <w:ind w:firstLine="413" w:firstLineChars="196"/>
      </w:pPr>
      <w:r>
        <w:rPr>
          <w:b/>
          <w:szCs w:val="21"/>
        </w:rPr>
        <w:t xml:space="preserve">1. </w:t>
      </w:r>
      <w:r>
        <w:rPr>
          <w:rFonts w:hint="eastAsia"/>
          <w:b/>
          <w:szCs w:val="21"/>
        </w:rPr>
        <w:t>实验学时：</w:t>
      </w:r>
      <w:r>
        <w:rPr>
          <w:rFonts w:hint="eastAsia" w:ascii="宋体" w:hAnsi="宋体"/>
          <w:bCs/>
        </w:rPr>
        <w:t>4</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ascii="宋体" w:hAnsi="宋体"/>
          <w:bCs/>
          <w:szCs w:val="21"/>
        </w:rPr>
        <w:t>了解植物组织培养实验的设计与布局，掌握植物组织培养的基本程序，熟知植物组织培养所涉及的各种仪器设备及器皿用具，并能设计植物组织培养实验室。</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ascii="宋体" w:hAnsi="宋体"/>
          <w:bCs/>
          <w:szCs w:val="21"/>
        </w:rPr>
        <w:t>准备室、接种室、培养室等的设计与布局；超净工作台、高压灭菌锅、光照培养箱、震荡培养箱、显微镜等仪器的功能与使用方法；培养皿、三角瓶、解剖刀、镊子等器皿和用具的种类和使用方法。</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了解普通</w:t>
      </w:r>
      <w:r>
        <w:rPr>
          <w:rFonts w:hint="eastAsia" w:ascii="宋体" w:hAnsi="宋体"/>
          <w:bCs/>
          <w:szCs w:val="21"/>
        </w:rPr>
        <w:t>组织培养室的布局，并能画出其示意图；熟练掌握组织培养主要仪器设备的使用方法，并熟知其功能。</w:t>
      </w:r>
    </w:p>
    <w:p>
      <w:pPr>
        <w:snapToGrid w:val="0"/>
        <w:spacing w:line="360" w:lineRule="auto"/>
        <w:ind w:firstLine="422" w:firstLineChars="200"/>
        <w:rPr>
          <w:rFonts w:ascii="宋体"/>
          <w:bCs/>
          <w:szCs w:val="21"/>
        </w:rPr>
      </w:pPr>
      <w:r>
        <w:rPr>
          <w:b/>
          <w:szCs w:val="21"/>
        </w:rPr>
        <w:t xml:space="preserve">5. </w:t>
      </w:r>
      <w:r>
        <w:rPr>
          <w:rFonts w:hint="eastAsia"/>
          <w:b/>
          <w:szCs w:val="21"/>
        </w:rPr>
        <w:t>实验设备及器材：</w:t>
      </w:r>
      <w:r>
        <w:rPr>
          <w:rFonts w:hint="eastAsia" w:ascii="宋体" w:hAnsi="宋体"/>
          <w:bCs/>
          <w:szCs w:val="21"/>
        </w:rPr>
        <w:t>超净工作台、高压灭菌锅、蒸馏水发生器或纯水发生器、过滤灭菌器、光照培养箱、电炉、冰箱、震荡培养箱、培养架、显微镜、天平、解剖刀、镊子等。</w:t>
      </w:r>
    </w:p>
    <w:p>
      <w:pPr>
        <w:pStyle w:val="20"/>
        <w:snapToGrid w:val="0"/>
        <w:spacing w:before="0" w:beforeAutospacing="0" w:after="0" w:afterAutospacing="0" w:line="360" w:lineRule="auto"/>
        <w:rPr>
          <w:b/>
          <w:sz w:val="21"/>
          <w:szCs w:val="21"/>
        </w:rPr>
      </w:pPr>
      <w:r>
        <w:rPr>
          <w:rFonts w:hint="eastAsia"/>
          <w:b/>
          <w:sz w:val="21"/>
          <w:szCs w:val="21"/>
        </w:rPr>
        <w:t>【实验二】</w:t>
      </w:r>
      <w:r>
        <w:rPr>
          <w:b/>
          <w:sz w:val="21"/>
          <w:szCs w:val="21"/>
        </w:rPr>
        <w:t>MS</w:t>
      </w:r>
      <w:r>
        <w:rPr>
          <w:rFonts w:hint="eastAsia"/>
          <w:b/>
          <w:sz w:val="21"/>
          <w:szCs w:val="21"/>
        </w:rPr>
        <w:t>培养基母液的配制</w:t>
      </w:r>
    </w:p>
    <w:p>
      <w:pPr>
        <w:snapToGrid w:val="0"/>
        <w:spacing w:line="360" w:lineRule="auto"/>
        <w:ind w:firstLine="413" w:firstLineChars="196"/>
      </w:pPr>
      <w:r>
        <w:rPr>
          <w:b/>
          <w:szCs w:val="21"/>
        </w:rPr>
        <w:t xml:space="preserve">1. </w:t>
      </w:r>
      <w:r>
        <w:rPr>
          <w:rFonts w:hint="eastAsia"/>
          <w:b/>
          <w:szCs w:val="21"/>
        </w:rPr>
        <w:t>实验学时：</w:t>
      </w:r>
      <w:r>
        <w:rPr>
          <w:rFonts w:ascii="宋体" w:hAnsi="宋体"/>
          <w:bCs/>
        </w:rPr>
        <w:t>2</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ascii="宋体" w:hAnsi="宋体"/>
          <w:bCs/>
          <w:szCs w:val="21"/>
        </w:rPr>
        <w:t>了解植物组织培养常用的培养基</w:t>
      </w:r>
      <w:r>
        <w:rPr>
          <w:rFonts w:ascii="宋体" w:hAnsi="宋体"/>
          <w:bCs/>
          <w:szCs w:val="21"/>
        </w:rPr>
        <w:t>——MS</w:t>
      </w:r>
      <w:r>
        <w:rPr>
          <w:rFonts w:hint="eastAsia" w:ascii="宋体" w:hAnsi="宋体"/>
          <w:bCs/>
          <w:szCs w:val="21"/>
        </w:rPr>
        <w:t>培养基的特点，掌握其母液的配制方法，为工作培养基的配制做准备。</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szCs w:val="21"/>
        </w:rPr>
        <w:t>MS</w:t>
      </w:r>
      <w:r>
        <w:rPr>
          <w:rFonts w:hint="eastAsia" w:ascii="宋体" w:hAnsi="宋体"/>
          <w:bCs/>
          <w:szCs w:val="21"/>
        </w:rPr>
        <w:t>培养基中大量元素、微量元素、铁盐和维生素的组分含量的计算，配制特定体积的各组分的含量的确定，各组分的称量、定容、装瓶和保存。</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了解</w:t>
      </w:r>
      <w:r>
        <w:rPr>
          <w:szCs w:val="21"/>
        </w:rPr>
        <w:t>MS</w:t>
      </w:r>
      <w:r>
        <w:rPr>
          <w:rFonts w:hint="eastAsia"/>
          <w:szCs w:val="21"/>
        </w:rPr>
        <w:t>培养基的组分，能够归纳</w:t>
      </w:r>
      <w:r>
        <w:rPr>
          <w:szCs w:val="21"/>
        </w:rPr>
        <w:t>MS</w:t>
      </w:r>
      <w:r>
        <w:rPr>
          <w:rFonts w:hint="eastAsia"/>
          <w:szCs w:val="21"/>
        </w:rPr>
        <w:t>培养基的特点；学生能够独立完成不同浓缩倍数的</w:t>
      </w:r>
      <w:r>
        <w:rPr>
          <w:szCs w:val="21"/>
        </w:rPr>
        <w:t>MS</w:t>
      </w:r>
      <w:r>
        <w:rPr>
          <w:rFonts w:hint="eastAsia"/>
          <w:szCs w:val="21"/>
        </w:rPr>
        <w:t>培养基母液的配制过程</w:t>
      </w:r>
      <w:r>
        <w:rPr>
          <w:rFonts w:hint="eastAsia" w:ascii="宋体" w:hAnsi="宋体"/>
          <w:bCs/>
          <w:szCs w:val="21"/>
        </w:rPr>
        <w:t>。</w:t>
      </w:r>
    </w:p>
    <w:p>
      <w:pPr>
        <w:snapToGrid w:val="0"/>
        <w:spacing w:line="360" w:lineRule="auto"/>
        <w:ind w:firstLine="422" w:firstLineChars="200"/>
        <w:rPr>
          <w:rFonts w:ascii="宋体"/>
          <w:bCs/>
          <w:szCs w:val="21"/>
        </w:rPr>
      </w:pPr>
      <w:r>
        <w:rPr>
          <w:b/>
          <w:szCs w:val="21"/>
        </w:rPr>
        <w:t xml:space="preserve">5. </w:t>
      </w:r>
      <w:r>
        <w:rPr>
          <w:rFonts w:hint="eastAsia"/>
          <w:b/>
          <w:szCs w:val="21"/>
        </w:rPr>
        <w:t>实验设备及器材：</w:t>
      </w:r>
      <w:r>
        <w:rPr>
          <w:rFonts w:ascii="宋体" w:hAnsi="宋体"/>
          <w:bCs/>
          <w:szCs w:val="21"/>
        </w:rPr>
        <w:t>MS</w:t>
      </w:r>
      <w:r>
        <w:rPr>
          <w:rFonts w:hint="eastAsia" w:ascii="宋体" w:hAnsi="宋体"/>
          <w:bCs/>
          <w:szCs w:val="21"/>
        </w:rPr>
        <w:t>培养基各组分试剂、各类天平、烧杯、量杯、量筒、移液管、容量瓶、母液瓶、氢氧化钠、盐酸、标签、冰箱。</w:t>
      </w:r>
    </w:p>
    <w:p>
      <w:pPr>
        <w:pStyle w:val="20"/>
        <w:snapToGrid w:val="0"/>
        <w:spacing w:before="0" w:beforeAutospacing="0" w:after="0" w:afterAutospacing="0" w:line="360" w:lineRule="auto"/>
        <w:rPr>
          <w:b/>
          <w:sz w:val="21"/>
          <w:szCs w:val="21"/>
        </w:rPr>
      </w:pPr>
      <w:r>
        <w:rPr>
          <w:rFonts w:hint="eastAsia"/>
          <w:b/>
          <w:sz w:val="21"/>
          <w:szCs w:val="21"/>
        </w:rPr>
        <w:t>【实验三】</w:t>
      </w:r>
      <w:r>
        <w:rPr>
          <w:b/>
          <w:sz w:val="21"/>
          <w:szCs w:val="21"/>
        </w:rPr>
        <w:t>MS</w:t>
      </w:r>
      <w:r>
        <w:rPr>
          <w:rFonts w:hint="eastAsia"/>
          <w:b/>
          <w:sz w:val="21"/>
          <w:szCs w:val="21"/>
        </w:rPr>
        <w:t>工作培养基的配制与灭菌</w:t>
      </w:r>
      <w:r>
        <w:rPr>
          <w:b/>
          <w:sz w:val="21"/>
          <w:szCs w:val="21"/>
        </w:rPr>
        <w:t xml:space="preserve"> </w:t>
      </w:r>
    </w:p>
    <w:p>
      <w:pPr>
        <w:snapToGrid w:val="0"/>
        <w:spacing w:line="360" w:lineRule="auto"/>
        <w:ind w:firstLine="413" w:firstLineChars="196"/>
      </w:pPr>
      <w:r>
        <w:rPr>
          <w:b/>
          <w:szCs w:val="21"/>
        </w:rPr>
        <w:t xml:space="preserve">1. </w:t>
      </w:r>
      <w:r>
        <w:rPr>
          <w:rFonts w:hint="eastAsia"/>
          <w:b/>
          <w:szCs w:val="21"/>
        </w:rPr>
        <w:t>实验学时：</w:t>
      </w:r>
      <w:r>
        <w:rPr>
          <w:rFonts w:ascii="宋体" w:hAnsi="宋体"/>
          <w:bCs/>
        </w:rPr>
        <w:t>2</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ascii="宋体" w:hAnsi="宋体"/>
          <w:bCs/>
          <w:szCs w:val="21"/>
        </w:rPr>
        <w:t>掌握</w:t>
      </w:r>
      <w:r>
        <w:rPr>
          <w:rFonts w:ascii="宋体" w:hAnsi="宋体"/>
          <w:bCs/>
          <w:szCs w:val="21"/>
        </w:rPr>
        <w:t>MS</w:t>
      </w:r>
      <w:r>
        <w:rPr>
          <w:rFonts w:hint="eastAsia" w:ascii="宋体" w:hAnsi="宋体"/>
          <w:bCs/>
          <w:szCs w:val="21"/>
        </w:rPr>
        <w:t>工作培养基的配制方法及其灭菌方法。</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szCs w:val="21"/>
        </w:rPr>
        <w:t>利用两种方法配制特定体积的</w:t>
      </w:r>
      <w:r>
        <w:rPr>
          <w:szCs w:val="21"/>
        </w:rPr>
        <w:t>MS</w:t>
      </w:r>
      <w:r>
        <w:rPr>
          <w:rFonts w:hint="eastAsia"/>
          <w:szCs w:val="21"/>
        </w:rPr>
        <w:t>培养基（MS母液法和商用MS粉配制法），母液的称量、稀释、</w:t>
      </w:r>
      <w:r>
        <w:rPr>
          <w:szCs w:val="21"/>
        </w:rPr>
        <w:t>PH</w:t>
      </w:r>
      <w:r>
        <w:rPr>
          <w:rFonts w:hint="eastAsia"/>
          <w:szCs w:val="21"/>
        </w:rPr>
        <w:t>值调节、定容、熬制和分装；</w:t>
      </w:r>
      <w:r>
        <w:rPr>
          <w:szCs w:val="21"/>
        </w:rPr>
        <w:t>MS</w:t>
      </w:r>
      <w:r>
        <w:rPr>
          <w:rFonts w:hint="eastAsia"/>
          <w:szCs w:val="21"/>
        </w:rPr>
        <w:t>工作培养基的灭菌、保存。</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熟知常用的MS工作培养基的配制方法；能够独立完成</w:t>
      </w:r>
      <w:r>
        <w:rPr>
          <w:szCs w:val="21"/>
        </w:rPr>
        <w:t>MS</w:t>
      </w:r>
      <w:r>
        <w:rPr>
          <w:rFonts w:hint="eastAsia"/>
          <w:szCs w:val="21"/>
        </w:rPr>
        <w:t>工作培养基的配制、灭菌等基本程序</w:t>
      </w:r>
      <w:r>
        <w:rPr>
          <w:rFonts w:hint="eastAsia" w:ascii="宋体" w:hAnsi="宋体"/>
          <w:bCs/>
          <w:szCs w:val="21"/>
        </w:rPr>
        <w:t>。</w:t>
      </w:r>
    </w:p>
    <w:p>
      <w:pPr>
        <w:snapToGrid w:val="0"/>
        <w:spacing w:line="360" w:lineRule="auto"/>
        <w:ind w:firstLine="422" w:firstLineChars="200"/>
        <w:rPr>
          <w:rFonts w:ascii="宋体"/>
          <w:bCs/>
          <w:szCs w:val="21"/>
        </w:rPr>
      </w:pPr>
      <w:r>
        <w:rPr>
          <w:b/>
          <w:szCs w:val="21"/>
        </w:rPr>
        <w:t xml:space="preserve">5. </w:t>
      </w:r>
      <w:r>
        <w:rPr>
          <w:rFonts w:hint="eastAsia"/>
          <w:b/>
          <w:szCs w:val="21"/>
        </w:rPr>
        <w:t>实验设备及器材：</w:t>
      </w:r>
      <w:r>
        <w:rPr>
          <w:rFonts w:ascii="宋体" w:hAnsi="宋体"/>
          <w:bCs/>
          <w:szCs w:val="21"/>
        </w:rPr>
        <w:t>MS</w:t>
      </w:r>
      <w:r>
        <w:rPr>
          <w:rFonts w:hint="eastAsia" w:ascii="宋体" w:hAnsi="宋体"/>
          <w:bCs/>
          <w:szCs w:val="21"/>
        </w:rPr>
        <w:t>培养基母液、分析天平、烧杯、电磁炉、电炉、量筒、量杯、移液管、</w:t>
      </w:r>
      <w:r>
        <w:rPr>
          <w:rFonts w:ascii="宋体" w:hAnsi="宋体"/>
          <w:bCs/>
          <w:szCs w:val="21"/>
        </w:rPr>
        <w:t>PH</w:t>
      </w:r>
      <w:r>
        <w:rPr>
          <w:rFonts w:hint="eastAsia" w:ascii="宋体" w:hAnsi="宋体"/>
          <w:bCs/>
          <w:szCs w:val="21"/>
        </w:rPr>
        <w:t>计、pH试纸、氢氧化钠、盐酸、蔗糖、琼脂、高压灭菌锅。</w:t>
      </w:r>
    </w:p>
    <w:p>
      <w:pPr>
        <w:pStyle w:val="20"/>
        <w:snapToGrid w:val="0"/>
        <w:spacing w:before="0" w:beforeAutospacing="0" w:after="0" w:afterAutospacing="0" w:line="360" w:lineRule="auto"/>
        <w:rPr>
          <w:b/>
          <w:sz w:val="21"/>
          <w:szCs w:val="21"/>
        </w:rPr>
      </w:pPr>
      <w:r>
        <w:rPr>
          <w:rFonts w:hint="eastAsia"/>
          <w:b/>
          <w:sz w:val="21"/>
          <w:szCs w:val="21"/>
        </w:rPr>
        <w:t>【实验四】无菌苗的制备及接种</w:t>
      </w:r>
    </w:p>
    <w:p>
      <w:pPr>
        <w:snapToGrid w:val="0"/>
        <w:spacing w:line="360" w:lineRule="auto"/>
        <w:ind w:firstLine="413" w:firstLineChars="196"/>
      </w:pPr>
      <w:r>
        <w:rPr>
          <w:b/>
          <w:szCs w:val="21"/>
        </w:rPr>
        <w:t xml:space="preserve">1. </w:t>
      </w:r>
      <w:r>
        <w:rPr>
          <w:rFonts w:hint="eastAsia"/>
          <w:b/>
          <w:szCs w:val="21"/>
        </w:rPr>
        <w:t>实验学时：</w:t>
      </w:r>
      <w:r>
        <w:rPr>
          <w:rFonts w:hint="eastAsia" w:ascii="宋体" w:hAnsi="宋体"/>
          <w:bCs/>
        </w:rPr>
        <w:t>2</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szCs w:val="21"/>
        </w:rPr>
        <w:t>无菌培养物的建立是植物离体快繁的基础，茎尖和茎段培养、叶腋增殖是植物组织培养快繁的最常见培养方式，要求学生掌握外植体的取材、消毒、接种、培养等基本技术环节</w:t>
      </w:r>
      <w:r>
        <w:rPr>
          <w:rFonts w:hint="eastAsia" w:ascii="宋体" w:hAnsi="宋体"/>
          <w:bCs/>
          <w:szCs w:val="21"/>
        </w:rPr>
        <w:t>。</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szCs w:val="21"/>
        </w:rPr>
        <w:t>配制适宜于园艺植物（茄科、葫芦科、十字花科、蔷薇科等）外植体培养的培养基；对外植体进行消毒、或采取无菌苗为外植体，进行接种培养；将接种好的培养瓶置于适宜温光条件下进行培养</w:t>
      </w:r>
      <w:r>
        <w:rPr>
          <w:rFonts w:hint="eastAsia" w:ascii="宋体" w:hAnsi="宋体"/>
          <w:bCs/>
          <w:szCs w:val="21"/>
        </w:rPr>
        <w:t>。</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学生通过查阅资料获得相应园艺作物组织培养所需的培养基；学生能够独立完成取材、消毒、接种、培养等技术环节</w:t>
      </w:r>
      <w:r>
        <w:rPr>
          <w:rFonts w:hint="eastAsia" w:ascii="宋体" w:hAnsi="宋体"/>
          <w:bCs/>
          <w:szCs w:val="21"/>
        </w:rPr>
        <w:t>，使外植体成活率达到</w:t>
      </w:r>
      <w:r>
        <w:rPr>
          <w:rFonts w:ascii="宋体" w:hAnsi="宋体"/>
          <w:bCs/>
          <w:szCs w:val="21"/>
        </w:rPr>
        <w:t>50%</w:t>
      </w:r>
      <w:r>
        <w:rPr>
          <w:rFonts w:hint="eastAsia" w:ascii="宋体" w:hAnsi="宋体"/>
          <w:bCs/>
          <w:szCs w:val="21"/>
        </w:rPr>
        <w:t>以上，污染率控制在</w:t>
      </w:r>
      <w:r>
        <w:rPr>
          <w:rFonts w:ascii="宋体" w:hAnsi="宋体"/>
          <w:bCs/>
          <w:szCs w:val="21"/>
        </w:rPr>
        <w:t>30%</w:t>
      </w:r>
      <w:r>
        <w:rPr>
          <w:rFonts w:hint="eastAsia" w:ascii="宋体" w:hAnsi="宋体"/>
          <w:bCs/>
          <w:szCs w:val="21"/>
        </w:rPr>
        <w:t>以下</w:t>
      </w:r>
      <w:r>
        <w:rPr>
          <w:rFonts w:hint="eastAsia"/>
          <w:szCs w:val="21"/>
        </w:rPr>
        <w:t>；学生按教师的指导完成数据的记录和分析</w:t>
      </w:r>
      <w:r>
        <w:rPr>
          <w:rFonts w:hint="eastAsia" w:ascii="宋体" w:hAnsi="宋体"/>
          <w:bCs/>
          <w:szCs w:val="21"/>
        </w:rPr>
        <w:t>。</w:t>
      </w:r>
    </w:p>
    <w:p>
      <w:pPr>
        <w:snapToGrid w:val="0"/>
        <w:spacing w:line="360" w:lineRule="auto"/>
        <w:ind w:firstLine="422" w:firstLineChars="200"/>
        <w:rPr>
          <w:rFonts w:ascii="宋体" w:hAnsi="宋体"/>
          <w:bCs/>
          <w:szCs w:val="21"/>
        </w:rPr>
      </w:pPr>
      <w:r>
        <w:rPr>
          <w:b/>
          <w:szCs w:val="21"/>
        </w:rPr>
        <w:t xml:space="preserve">5. </w:t>
      </w:r>
      <w:r>
        <w:rPr>
          <w:rFonts w:hint="eastAsia"/>
          <w:b/>
          <w:szCs w:val="21"/>
        </w:rPr>
        <w:t>实验设备及器材：</w:t>
      </w:r>
      <w:r>
        <w:rPr>
          <w:rFonts w:hint="eastAsia"/>
          <w:szCs w:val="21"/>
        </w:rPr>
        <w:t>外植体材料、</w:t>
      </w:r>
      <w:r>
        <w:rPr>
          <w:szCs w:val="21"/>
        </w:rPr>
        <w:t>MS</w:t>
      </w:r>
      <w:r>
        <w:rPr>
          <w:rFonts w:hint="eastAsia"/>
          <w:szCs w:val="21"/>
        </w:rPr>
        <w:t>培养基母液、激素、酸度计、</w:t>
      </w:r>
      <w:r>
        <w:rPr>
          <w:rFonts w:hint="eastAsia" w:ascii="宋体" w:hAnsi="宋体"/>
          <w:bCs/>
          <w:szCs w:val="21"/>
        </w:rPr>
        <w:t>超净工作台、高压灭菌锅、分析天平、烧杯、镊子、剪刀、解剖刀、培养皿、培养瓶、培养箱。</w:t>
      </w:r>
    </w:p>
    <w:p>
      <w:pPr>
        <w:pStyle w:val="20"/>
        <w:snapToGrid w:val="0"/>
        <w:spacing w:before="0" w:beforeAutospacing="0" w:after="0" w:afterAutospacing="0" w:line="360" w:lineRule="auto"/>
        <w:rPr>
          <w:b/>
          <w:sz w:val="21"/>
          <w:szCs w:val="21"/>
        </w:rPr>
      </w:pPr>
      <w:r>
        <w:rPr>
          <w:rFonts w:hint="eastAsia"/>
          <w:b/>
          <w:sz w:val="21"/>
          <w:szCs w:val="21"/>
        </w:rPr>
        <w:t>【实验五】</w:t>
      </w:r>
      <w:r>
        <w:rPr>
          <w:b/>
          <w:sz w:val="21"/>
          <w:szCs w:val="21"/>
        </w:rPr>
        <w:t>愈伤组织诱导和</w:t>
      </w:r>
      <w:r>
        <w:rPr>
          <w:rFonts w:hint="eastAsia"/>
          <w:b/>
          <w:sz w:val="21"/>
          <w:szCs w:val="21"/>
        </w:rPr>
        <w:t>分化</w:t>
      </w:r>
      <w:r>
        <w:rPr>
          <w:b/>
          <w:sz w:val="21"/>
          <w:szCs w:val="21"/>
        </w:rPr>
        <w:t>培养基配制</w:t>
      </w:r>
    </w:p>
    <w:p>
      <w:pPr>
        <w:snapToGrid w:val="0"/>
        <w:spacing w:line="360" w:lineRule="auto"/>
        <w:ind w:firstLine="413" w:firstLineChars="196"/>
      </w:pPr>
      <w:r>
        <w:rPr>
          <w:b/>
          <w:szCs w:val="21"/>
        </w:rPr>
        <w:t xml:space="preserve">1. </w:t>
      </w:r>
      <w:r>
        <w:rPr>
          <w:rFonts w:hint="eastAsia"/>
          <w:b/>
          <w:szCs w:val="21"/>
        </w:rPr>
        <w:t>实验学时：</w:t>
      </w:r>
      <w:r>
        <w:rPr>
          <w:rFonts w:ascii="宋体" w:hAnsi="宋体"/>
          <w:bCs/>
        </w:rPr>
        <w:t>2</w:t>
      </w:r>
    </w:p>
    <w:p>
      <w:pPr>
        <w:snapToGrid w:val="0"/>
        <w:spacing w:line="360" w:lineRule="auto"/>
        <w:ind w:firstLine="422" w:firstLineChars="200"/>
        <w:rPr>
          <w:rFonts w:ascii="宋体" w:hAnsi="宋体"/>
          <w:bCs/>
          <w:szCs w:val="21"/>
        </w:rPr>
      </w:pPr>
      <w:r>
        <w:rPr>
          <w:b/>
          <w:szCs w:val="21"/>
        </w:rPr>
        <w:t xml:space="preserve">2. </w:t>
      </w:r>
      <w:r>
        <w:rPr>
          <w:rFonts w:hint="eastAsia"/>
          <w:b/>
          <w:szCs w:val="21"/>
        </w:rPr>
        <w:t>实验目的：</w:t>
      </w:r>
      <w:r>
        <w:rPr>
          <w:rFonts w:hint="eastAsia" w:ascii="宋体" w:hAnsi="宋体"/>
          <w:bCs/>
          <w:szCs w:val="21"/>
        </w:rPr>
        <w:t>掌握</w:t>
      </w:r>
      <w:r>
        <w:rPr>
          <w:rFonts w:hint="eastAsia"/>
          <w:szCs w:val="21"/>
        </w:rPr>
        <w:t>适宜于园艺植物（茄科、葫芦科、十字花科）</w:t>
      </w:r>
      <w:r>
        <w:rPr>
          <w:rFonts w:hint="eastAsia" w:ascii="宋体" w:hAnsi="宋体"/>
          <w:bCs/>
          <w:szCs w:val="21"/>
        </w:rPr>
        <w:t>愈伤组织诱导培养基、分化培养基的配制方法及其灭菌方法，并熟知植物组织培养常用的激素种类及其配制、灭菌方法。</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szCs w:val="21"/>
        </w:rPr>
        <w:t>特定体积的</w:t>
      </w:r>
      <w:r>
        <w:rPr>
          <w:szCs w:val="21"/>
        </w:rPr>
        <w:t>MS</w:t>
      </w:r>
      <w:r>
        <w:rPr>
          <w:rFonts w:hint="eastAsia"/>
          <w:szCs w:val="21"/>
        </w:rPr>
        <w:t>培养基、愈伤诱导预培养培养基、诱导培养基的配制，各种激素母液的配制及灭菌（2,4-D、ZT、KT、NAA、BAP），抗生素的配制及灭菌（Kan、Cef）。</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熟知常用的激素种类及其配制、灭菌方法，并掌握对热不稳定的激素的过滤灭菌方法；能够独立完成各种相应培养基的配制、灭菌等基本程序</w:t>
      </w:r>
      <w:r>
        <w:rPr>
          <w:rFonts w:hint="eastAsia" w:ascii="宋体" w:hAnsi="宋体"/>
          <w:bCs/>
          <w:szCs w:val="21"/>
        </w:rPr>
        <w:t>。</w:t>
      </w:r>
    </w:p>
    <w:p>
      <w:pPr>
        <w:snapToGrid w:val="0"/>
        <w:spacing w:line="360" w:lineRule="auto"/>
        <w:ind w:firstLine="422" w:firstLineChars="200"/>
        <w:rPr>
          <w:rFonts w:ascii="宋体"/>
          <w:bCs/>
          <w:szCs w:val="21"/>
        </w:rPr>
      </w:pPr>
      <w:r>
        <w:rPr>
          <w:b/>
          <w:szCs w:val="21"/>
        </w:rPr>
        <w:t xml:space="preserve">5. </w:t>
      </w:r>
      <w:r>
        <w:rPr>
          <w:rFonts w:hint="eastAsia"/>
          <w:b/>
          <w:szCs w:val="21"/>
        </w:rPr>
        <w:t>实验设备及器材：</w:t>
      </w:r>
      <w:r>
        <w:rPr>
          <w:rFonts w:ascii="宋体" w:hAnsi="宋体"/>
          <w:bCs/>
          <w:szCs w:val="21"/>
        </w:rPr>
        <w:t>MS</w:t>
      </w:r>
      <w:r>
        <w:rPr>
          <w:rFonts w:hint="eastAsia" w:ascii="宋体" w:hAnsi="宋体"/>
          <w:bCs/>
          <w:szCs w:val="21"/>
        </w:rPr>
        <w:t>培养基母液、激素、分析天平、烧杯、电磁炉、电炉、量筒、量杯、移液管、</w:t>
      </w:r>
      <w:r>
        <w:rPr>
          <w:rFonts w:ascii="宋体" w:hAnsi="宋体"/>
          <w:bCs/>
          <w:szCs w:val="21"/>
        </w:rPr>
        <w:t>PH</w:t>
      </w:r>
      <w:r>
        <w:rPr>
          <w:rFonts w:hint="eastAsia" w:ascii="宋体" w:hAnsi="宋体"/>
          <w:bCs/>
          <w:szCs w:val="21"/>
        </w:rPr>
        <w:t>计、pH试纸、氢氧化钠、盐酸、、蔗糖、琼脂、高压灭菌锅、过滤灭菌器。</w:t>
      </w:r>
    </w:p>
    <w:p>
      <w:pPr>
        <w:pStyle w:val="20"/>
        <w:snapToGrid w:val="0"/>
        <w:spacing w:before="0" w:beforeAutospacing="0" w:after="0" w:afterAutospacing="0" w:line="360" w:lineRule="auto"/>
        <w:rPr>
          <w:b/>
          <w:sz w:val="21"/>
          <w:szCs w:val="21"/>
        </w:rPr>
      </w:pPr>
      <w:r>
        <w:rPr>
          <w:rFonts w:hint="eastAsia"/>
          <w:b/>
          <w:sz w:val="21"/>
          <w:szCs w:val="21"/>
        </w:rPr>
        <w:t>【实验六】愈伤组织的诱导培养</w:t>
      </w:r>
    </w:p>
    <w:p>
      <w:pPr>
        <w:snapToGrid w:val="0"/>
        <w:spacing w:line="360" w:lineRule="auto"/>
        <w:ind w:firstLine="413" w:firstLineChars="196"/>
      </w:pPr>
      <w:r>
        <w:rPr>
          <w:b/>
          <w:szCs w:val="21"/>
        </w:rPr>
        <w:t xml:space="preserve">1. </w:t>
      </w:r>
      <w:r>
        <w:rPr>
          <w:rFonts w:hint="eastAsia"/>
          <w:b/>
          <w:szCs w:val="21"/>
        </w:rPr>
        <w:t>实验学时：</w:t>
      </w:r>
      <w:r>
        <w:rPr>
          <w:rFonts w:hint="eastAsia" w:ascii="宋体" w:hAnsi="宋体"/>
          <w:bCs/>
        </w:rPr>
        <w:t>2</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szCs w:val="21"/>
        </w:rPr>
        <w:t>愈伤组织是植物组织培养中常见的培养物，也是转基因技术的转化对象。要求学生掌握常见园艺植物的愈伤组织诱导和继代方法，加深对愈伤组织特性的了解。</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szCs w:val="21"/>
        </w:rPr>
        <w:t>利用适宜于园艺植物（茄科、葫芦科、十字花科）愈伤组织诱导的培养基；切取子叶、下胚轴、真叶、茎段等外植体，切割成适宜大小后接种于培养基，进行愈伤组织诱导；将接种好的培养瓶置于适宜温光条件下进行培养</w:t>
      </w:r>
      <w:r>
        <w:rPr>
          <w:rFonts w:hint="eastAsia" w:ascii="宋体" w:hAnsi="宋体"/>
          <w:bCs/>
          <w:szCs w:val="21"/>
        </w:rPr>
        <w:t>；</w:t>
      </w:r>
      <w:r>
        <w:rPr>
          <w:rFonts w:hint="eastAsia"/>
          <w:szCs w:val="21"/>
        </w:rPr>
        <w:t>待愈伤组织长成一定大小后，进行切割并更换新鲜培养基，完成继代培养。</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学生通过查阅资料获得愈伤组织诱导和继代培养所需的培养基及激素配比，能够独立完成外植体切割、接种、培养等技术环节</w:t>
      </w:r>
      <w:r>
        <w:rPr>
          <w:rFonts w:hint="eastAsia" w:ascii="宋体" w:hAnsi="宋体"/>
          <w:bCs/>
          <w:szCs w:val="21"/>
        </w:rPr>
        <w:t>。</w:t>
      </w:r>
    </w:p>
    <w:p>
      <w:pPr>
        <w:snapToGrid w:val="0"/>
        <w:spacing w:line="360" w:lineRule="auto"/>
        <w:ind w:firstLine="422" w:firstLineChars="200"/>
        <w:rPr>
          <w:rFonts w:ascii="宋体" w:hAnsi="宋体"/>
          <w:bCs/>
          <w:szCs w:val="21"/>
        </w:rPr>
      </w:pPr>
      <w:r>
        <w:rPr>
          <w:b/>
          <w:szCs w:val="21"/>
        </w:rPr>
        <w:t xml:space="preserve">5. </w:t>
      </w:r>
      <w:r>
        <w:rPr>
          <w:rFonts w:hint="eastAsia"/>
          <w:b/>
          <w:szCs w:val="21"/>
        </w:rPr>
        <w:t>实验设备及器材：</w:t>
      </w:r>
      <w:r>
        <w:rPr>
          <w:rFonts w:hint="eastAsia"/>
          <w:szCs w:val="21"/>
        </w:rPr>
        <w:t>无菌苗</w:t>
      </w:r>
      <w:r>
        <w:rPr>
          <w:rFonts w:hint="eastAsia" w:ascii="宋体" w:hAnsi="宋体"/>
          <w:bCs/>
          <w:szCs w:val="21"/>
        </w:rPr>
        <w:t>、培养皿、滤纸、剪刀、镊子、解剖刀、培养箱。</w:t>
      </w:r>
    </w:p>
    <w:p>
      <w:pPr>
        <w:pStyle w:val="20"/>
        <w:snapToGrid w:val="0"/>
        <w:spacing w:before="0" w:beforeAutospacing="0" w:after="0" w:afterAutospacing="0" w:line="360" w:lineRule="auto"/>
        <w:rPr>
          <w:b/>
          <w:sz w:val="21"/>
          <w:szCs w:val="21"/>
        </w:rPr>
      </w:pPr>
      <w:r>
        <w:rPr>
          <w:rFonts w:hint="eastAsia"/>
          <w:b/>
          <w:sz w:val="21"/>
          <w:szCs w:val="21"/>
        </w:rPr>
        <w:t>【实验七】分化及</w:t>
      </w:r>
      <w:r>
        <w:rPr>
          <w:b/>
          <w:sz w:val="21"/>
          <w:szCs w:val="21"/>
        </w:rPr>
        <w:t>生根培养</w:t>
      </w:r>
    </w:p>
    <w:p>
      <w:pPr>
        <w:snapToGrid w:val="0"/>
        <w:spacing w:line="360" w:lineRule="auto"/>
        <w:ind w:firstLine="413" w:firstLineChars="196"/>
      </w:pPr>
      <w:r>
        <w:rPr>
          <w:b/>
          <w:szCs w:val="21"/>
        </w:rPr>
        <w:t xml:space="preserve">1. </w:t>
      </w:r>
      <w:r>
        <w:rPr>
          <w:rFonts w:hint="eastAsia"/>
          <w:b/>
          <w:szCs w:val="21"/>
        </w:rPr>
        <w:t>实验学时：</w:t>
      </w:r>
      <w:r>
        <w:rPr>
          <w:rFonts w:hint="eastAsia" w:ascii="宋体" w:hAnsi="宋体"/>
          <w:bCs/>
        </w:rPr>
        <w:t>2</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szCs w:val="21"/>
        </w:rPr>
        <w:t>外植体经离体诱导可产生无序生长的薄壁细胞团，即愈伤组织，此过程中会发生细胞学变化，在分化培养过程中，可以诱导不定芽的形成，而形成的不定芽没有根系，移栽后难以成活。任何组培苗在移栽至大田之前均要保证有完整的根系，生根培养是提高组培苗成活率的重要技术保障。要求学生掌握组培苗或不定芽的生根培养基配制及生根培养的操作技术、并掌握愈伤组织的形态特征。</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szCs w:val="21"/>
        </w:rPr>
        <w:t>对前期诱导的愈伤组织进行形态观察，统计愈伤组织诱导率、继代培养成功率。配制适宜于园艺植物（茄科、葫芦科、十字花科）组培苗生根的培养基；将组培苗（或愈伤组织上分化的不定芽）切割成适当大小，接种于生根培养基；将接种好的培养瓶置于适宜温光条件下进行培养，诱导根系生成</w:t>
      </w:r>
      <w:r>
        <w:rPr>
          <w:rFonts w:hint="eastAsia" w:ascii="宋体" w:hAnsi="宋体"/>
          <w:bCs/>
          <w:szCs w:val="21"/>
        </w:rPr>
        <w:t>；</w:t>
      </w:r>
      <w:r>
        <w:rPr>
          <w:rFonts w:hint="eastAsia"/>
          <w:szCs w:val="21"/>
        </w:rPr>
        <w:t>对根系的形态、数量、长度等指标进行统计。</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学生通过查阅资料获得不同园艺作物组培苗生根所需的培养基及激素配比；或不定芽生根培养基及激素、抗生素配比；学生能够独立完成生根培养基配制、不定芽切割、接种、培养等技术环节</w:t>
      </w:r>
      <w:r>
        <w:rPr>
          <w:rFonts w:hint="eastAsia" w:ascii="宋体" w:hAnsi="宋体"/>
          <w:bCs/>
          <w:szCs w:val="21"/>
        </w:rPr>
        <w:t>；</w:t>
      </w:r>
      <w:r>
        <w:rPr>
          <w:rFonts w:hint="eastAsia"/>
          <w:szCs w:val="21"/>
        </w:rPr>
        <w:t>学生按教师的要求完成数据的记录和分析</w:t>
      </w:r>
      <w:r>
        <w:rPr>
          <w:rFonts w:hint="eastAsia" w:ascii="宋体" w:hAnsi="宋体"/>
          <w:bCs/>
          <w:szCs w:val="21"/>
        </w:rPr>
        <w:t>。</w:t>
      </w:r>
    </w:p>
    <w:p>
      <w:pPr>
        <w:snapToGrid w:val="0"/>
        <w:spacing w:line="360" w:lineRule="auto"/>
        <w:ind w:firstLine="422" w:firstLineChars="200"/>
        <w:rPr>
          <w:rFonts w:ascii="宋体" w:hAnsi="宋体"/>
          <w:bCs/>
          <w:szCs w:val="21"/>
        </w:rPr>
      </w:pPr>
      <w:r>
        <w:rPr>
          <w:b/>
          <w:szCs w:val="21"/>
        </w:rPr>
        <w:t xml:space="preserve">5. </w:t>
      </w:r>
      <w:r>
        <w:rPr>
          <w:rFonts w:hint="eastAsia"/>
          <w:b/>
          <w:szCs w:val="21"/>
        </w:rPr>
        <w:t>实验设备及器材：</w:t>
      </w:r>
      <w:r>
        <w:rPr>
          <w:rFonts w:hint="eastAsia"/>
          <w:szCs w:val="21"/>
        </w:rPr>
        <w:t>组培苗、愈伤组织、</w:t>
      </w:r>
      <w:r>
        <w:rPr>
          <w:szCs w:val="21"/>
        </w:rPr>
        <w:t>M</w:t>
      </w:r>
      <w:r>
        <w:rPr>
          <w:rFonts w:hint="eastAsia"/>
          <w:szCs w:val="21"/>
        </w:rPr>
        <w:t>S培养基母液、激素、抗生素、显微镜、酸度计、培养皿、培养瓶或试管、</w:t>
      </w:r>
      <w:r>
        <w:rPr>
          <w:rFonts w:hint="eastAsia" w:ascii="宋体" w:hAnsi="宋体"/>
          <w:bCs/>
          <w:szCs w:val="21"/>
        </w:rPr>
        <w:t>超净工作台、高压灭菌锅、过滤灭菌器、分析天平、烧杯、镊子、解剖刀、培养箱。</w:t>
      </w:r>
    </w:p>
    <w:p>
      <w:pPr>
        <w:pStyle w:val="20"/>
        <w:snapToGrid w:val="0"/>
        <w:spacing w:before="0" w:beforeAutospacing="0" w:after="0" w:afterAutospacing="0" w:line="360" w:lineRule="auto"/>
        <w:rPr>
          <w:b/>
          <w:sz w:val="21"/>
          <w:szCs w:val="21"/>
        </w:rPr>
      </w:pPr>
      <w:r>
        <w:rPr>
          <w:rFonts w:hint="eastAsia"/>
          <w:b/>
          <w:sz w:val="21"/>
          <w:szCs w:val="21"/>
        </w:rPr>
        <w:t>【实验八】花药培养</w:t>
      </w:r>
    </w:p>
    <w:p>
      <w:pPr>
        <w:snapToGrid w:val="0"/>
        <w:spacing w:line="360" w:lineRule="auto"/>
        <w:ind w:firstLine="413" w:firstLineChars="196"/>
      </w:pPr>
      <w:r>
        <w:rPr>
          <w:b/>
          <w:szCs w:val="21"/>
        </w:rPr>
        <w:t xml:space="preserve">1. </w:t>
      </w:r>
      <w:r>
        <w:rPr>
          <w:rFonts w:hint="eastAsia"/>
          <w:b/>
          <w:szCs w:val="21"/>
        </w:rPr>
        <w:t>实验学时：</w:t>
      </w:r>
      <w:r>
        <w:rPr>
          <w:rFonts w:ascii="宋体" w:hAnsi="宋体"/>
          <w:bCs/>
        </w:rPr>
        <w:t>8</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szCs w:val="21"/>
        </w:rPr>
        <w:t>了解花药培养获得单倍体植株的原理，了解花药培养在遗传育种上的意义，掌握花药培养的方法和技术。</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szCs w:val="21"/>
        </w:rPr>
        <w:t>配制适宜于十字花科植物离体培养的培养基；取材镜检，获得单核靠边期的花药；将花药在</w:t>
      </w:r>
      <w:r>
        <w:rPr>
          <w:szCs w:val="21"/>
        </w:rPr>
        <w:t>4-10</w:t>
      </w:r>
      <w:r>
        <w:rPr>
          <w:rFonts w:hint="eastAsia"/>
          <w:szCs w:val="21"/>
        </w:rPr>
        <w:t>℃低温处理</w:t>
      </w:r>
      <w:r>
        <w:rPr>
          <w:szCs w:val="21"/>
        </w:rPr>
        <w:t>24-48h</w:t>
      </w:r>
      <w:r>
        <w:rPr>
          <w:rFonts w:hint="eastAsia"/>
          <w:szCs w:val="21"/>
        </w:rPr>
        <w:t>；消毒、接种；将接种好的培养瓶置于适宜温光条件下进行培</w:t>
      </w:r>
      <w:r>
        <w:rPr>
          <w:rFonts w:hint="eastAsia" w:ascii="宋体" w:hAnsi="宋体"/>
          <w:bCs/>
          <w:szCs w:val="21"/>
        </w:rPr>
        <w:t>；</w:t>
      </w:r>
      <w:r>
        <w:rPr>
          <w:rFonts w:hint="eastAsia"/>
          <w:szCs w:val="21"/>
        </w:rPr>
        <w:t>对花药形成愈伤组织或胚状体的过程进观察，对相关数据进行统计；对再生苗进行压片，鉴定其倍性。</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通过教师讲解和学生自行查阅资料，共同提出花药培养的完整试验方案；学生在教师指导下完成花粉发育时期与花蕾外部形态对应的预备试验；学生能够在教师指导下完成花药外植体的低温处理、消毒、接种技术环节；学生可选择完成再生苗或不定芽的倍性鉴定；学生在教师的指导下完成各个环节的数据的记录和分析</w:t>
      </w:r>
      <w:r>
        <w:rPr>
          <w:rFonts w:hint="eastAsia" w:ascii="宋体" w:hAnsi="宋体"/>
          <w:bCs/>
          <w:szCs w:val="21"/>
        </w:rPr>
        <w:t>。</w:t>
      </w:r>
    </w:p>
    <w:p>
      <w:pPr>
        <w:snapToGrid w:val="0"/>
        <w:spacing w:line="360" w:lineRule="auto"/>
        <w:ind w:firstLine="422" w:firstLineChars="200"/>
        <w:rPr>
          <w:rFonts w:ascii="宋体"/>
          <w:bCs/>
          <w:szCs w:val="21"/>
        </w:rPr>
      </w:pPr>
      <w:r>
        <w:rPr>
          <w:b/>
          <w:szCs w:val="21"/>
        </w:rPr>
        <w:t xml:space="preserve">5. </w:t>
      </w:r>
      <w:r>
        <w:rPr>
          <w:rFonts w:hint="eastAsia"/>
          <w:b/>
          <w:szCs w:val="21"/>
        </w:rPr>
        <w:t>实验设备及器材：</w:t>
      </w:r>
      <w:r>
        <w:rPr>
          <w:rFonts w:hint="eastAsia"/>
          <w:szCs w:val="21"/>
        </w:rPr>
        <w:t>光学显微镜、盖玻片、载玻片、培养皿、滤纸、酸度计、电子天平、超净工作台、三角瓶、封口膜、棉线绳、枪状镊子、酒精灯、纱布、光照培养箱、高压灭菌器、电炉等。</w:t>
      </w:r>
    </w:p>
    <w:p>
      <w:pPr>
        <w:pStyle w:val="20"/>
        <w:snapToGrid w:val="0"/>
        <w:spacing w:before="0" w:beforeAutospacing="0" w:after="0" w:afterAutospacing="0" w:line="360" w:lineRule="auto"/>
        <w:rPr>
          <w:b/>
          <w:sz w:val="21"/>
          <w:szCs w:val="21"/>
        </w:rPr>
      </w:pPr>
      <w:r>
        <w:rPr>
          <w:rFonts w:hint="eastAsia"/>
          <w:b/>
          <w:sz w:val="21"/>
          <w:szCs w:val="21"/>
        </w:rPr>
        <w:t>【实验九】体细胞胚的诱导与观察</w:t>
      </w:r>
    </w:p>
    <w:p>
      <w:pPr>
        <w:snapToGrid w:val="0"/>
        <w:spacing w:line="360" w:lineRule="auto"/>
        <w:ind w:firstLine="413" w:firstLineChars="196"/>
      </w:pPr>
      <w:r>
        <w:rPr>
          <w:b/>
          <w:szCs w:val="21"/>
        </w:rPr>
        <w:t xml:space="preserve">1. </w:t>
      </w:r>
      <w:r>
        <w:rPr>
          <w:rFonts w:hint="eastAsia"/>
          <w:b/>
          <w:szCs w:val="21"/>
        </w:rPr>
        <w:t>实验学时：</w:t>
      </w:r>
      <w:r>
        <w:rPr>
          <w:rFonts w:ascii="宋体" w:hAnsi="宋体"/>
          <w:bCs/>
        </w:rPr>
        <w:t>8</w:t>
      </w:r>
    </w:p>
    <w:p>
      <w:pPr>
        <w:snapToGrid w:val="0"/>
        <w:spacing w:line="360" w:lineRule="auto"/>
        <w:ind w:firstLine="422" w:firstLineChars="200"/>
        <w:rPr>
          <w:rFonts w:ascii="宋体"/>
          <w:bCs/>
          <w:szCs w:val="21"/>
        </w:rPr>
      </w:pPr>
      <w:r>
        <w:rPr>
          <w:b/>
          <w:szCs w:val="21"/>
        </w:rPr>
        <w:t xml:space="preserve">2. </w:t>
      </w:r>
      <w:r>
        <w:rPr>
          <w:rFonts w:hint="eastAsia"/>
          <w:b/>
          <w:szCs w:val="21"/>
        </w:rPr>
        <w:t>实验目的：</w:t>
      </w:r>
      <w:r>
        <w:rPr>
          <w:rFonts w:hint="eastAsia"/>
          <w:szCs w:val="21"/>
        </w:rPr>
        <w:t>了解植物体细胞胚再生植株的原理，观察体细胞胚的形态特征、了解其特性，掌握体细胞胚的诱导及成苗的方法。</w:t>
      </w:r>
    </w:p>
    <w:p>
      <w:pPr>
        <w:snapToGrid w:val="0"/>
        <w:spacing w:line="360" w:lineRule="auto"/>
        <w:ind w:firstLine="422" w:firstLineChars="200"/>
        <w:rPr>
          <w:rFonts w:ascii="宋体"/>
          <w:bCs/>
          <w:szCs w:val="21"/>
        </w:rPr>
      </w:pPr>
      <w:r>
        <w:rPr>
          <w:b/>
          <w:szCs w:val="21"/>
        </w:rPr>
        <w:t xml:space="preserve">3. </w:t>
      </w:r>
      <w:r>
        <w:rPr>
          <w:rFonts w:hint="eastAsia"/>
          <w:b/>
          <w:szCs w:val="21"/>
        </w:rPr>
        <w:t>实验内容：</w:t>
      </w:r>
      <w:r>
        <w:rPr>
          <w:rFonts w:hint="eastAsia"/>
          <w:szCs w:val="21"/>
        </w:rPr>
        <w:t>配制适宜于茄科、十字花科等植物体细胞胚发生的的培养基（添加</w:t>
      </w:r>
      <w:r>
        <w:rPr>
          <w:szCs w:val="21"/>
        </w:rPr>
        <w:t>2,4-D</w:t>
      </w:r>
      <w:r>
        <w:rPr>
          <w:rFonts w:hint="eastAsia"/>
          <w:szCs w:val="21"/>
        </w:rPr>
        <w:t>）；取植物的种子，制备无菌苗；切取无菌苗的子叶、下胚轴，切割成适宜大小后接种；将接种好的培养瓶置于适宜温光条件下进行培</w:t>
      </w:r>
      <w:r>
        <w:rPr>
          <w:rFonts w:hint="eastAsia" w:ascii="宋体" w:hAnsi="宋体"/>
          <w:bCs/>
          <w:szCs w:val="21"/>
        </w:rPr>
        <w:t>；及时观察培养物的形态变化，待球形胚形成后，立即转入</w:t>
      </w:r>
      <w:r>
        <w:rPr>
          <w:rFonts w:hint="eastAsia"/>
          <w:szCs w:val="21"/>
        </w:rPr>
        <w:t>不含</w:t>
      </w:r>
      <w:r>
        <w:rPr>
          <w:szCs w:val="21"/>
        </w:rPr>
        <w:t>2,4-D</w:t>
      </w:r>
      <w:r>
        <w:rPr>
          <w:rFonts w:hint="eastAsia"/>
          <w:szCs w:val="21"/>
        </w:rPr>
        <w:t>的培养基，使其形成再生苗；对胚状体的数量、出胚率、发育时期进行观察、统计。</w:t>
      </w:r>
    </w:p>
    <w:p>
      <w:pPr>
        <w:snapToGrid w:val="0"/>
        <w:spacing w:line="360" w:lineRule="auto"/>
        <w:ind w:firstLine="422" w:firstLineChars="200"/>
        <w:rPr>
          <w:rFonts w:ascii="宋体"/>
          <w:bCs/>
          <w:szCs w:val="21"/>
        </w:rPr>
      </w:pPr>
      <w:r>
        <w:rPr>
          <w:b/>
          <w:szCs w:val="21"/>
        </w:rPr>
        <w:t xml:space="preserve">4. </w:t>
      </w:r>
      <w:r>
        <w:rPr>
          <w:rFonts w:hint="eastAsia"/>
          <w:b/>
          <w:szCs w:val="21"/>
        </w:rPr>
        <w:t>实验要求：</w:t>
      </w:r>
      <w:r>
        <w:rPr>
          <w:rFonts w:hint="eastAsia"/>
          <w:szCs w:val="21"/>
        </w:rPr>
        <w:t>通过教师讲解和学生自行查阅资料，共同提出体细胞胚诱导和植株再生的完整试验方案；学生独立完成预备试验</w:t>
      </w:r>
      <w:r>
        <w:rPr>
          <w:szCs w:val="21"/>
        </w:rPr>
        <w:t>——</w:t>
      </w:r>
      <w:r>
        <w:rPr>
          <w:rFonts w:hint="eastAsia"/>
          <w:szCs w:val="21"/>
        </w:rPr>
        <w:t>无菌苗的制备；学生在教师指导下完成体细胞胚诱导培养基的配制和接种；学生在教师指导下完成体细胞胚的转接、植株的分化；学生按教师的要求完成各个环节的数据的记录和分析</w:t>
      </w:r>
      <w:r>
        <w:rPr>
          <w:rFonts w:hint="eastAsia" w:ascii="宋体" w:hAnsi="宋体"/>
          <w:bCs/>
          <w:szCs w:val="21"/>
        </w:rPr>
        <w:t>。</w:t>
      </w:r>
    </w:p>
    <w:p>
      <w:pPr>
        <w:widowControl/>
        <w:snapToGrid w:val="0"/>
        <w:spacing w:line="480" w:lineRule="auto"/>
        <w:ind w:firstLine="420"/>
        <w:rPr>
          <w:szCs w:val="21"/>
        </w:rPr>
      </w:pPr>
      <w:r>
        <w:rPr>
          <w:b/>
          <w:szCs w:val="21"/>
        </w:rPr>
        <w:t xml:space="preserve">5. </w:t>
      </w:r>
      <w:r>
        <w:rPr>
          <w:rFonts w:hint="eastAsia"/>
          <w:b/>
          <w:szCs w:val="21"/>
        </w:rPr>
        <w:t>实验设备及器材：</w:t>
      </w:r>
      <w:r>
        <w:rPr>
          <w:rFonts w:hint="eastAsia"/>
          <w:szCs w:val="21"/>
        </w:rPr>
        <w:t>体式显微镜、载玻片、培养皿、滤纸、酸度计、电子天平、超净工作台、培养皿、三角瓶、封口膜、棉线绳、枪状镊子、酒精灯、光照培养箱、高压灭菌器、电炉等。</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hAnsi="宋体"/>
          <w:szCs w:val="21"/>
        </w:rPr>
      </w:pPr>
      <w:r>
        <w:rPr>
          <w:rFonts w:hint="eastAsia" w:hAnsi="宋体"/>
          <w:szCs w:val="21"/>
        </w:rPr>
        <w:t>坚持“实现立德树人根本任务”的大思政综合教育理念，在课程教学过程中将政治认同、家国情怀、文化素养、宪法法治意识、道德修养等思想政治元素融入专业教育，隐性和显性教育相融合，知识育才和精神育才相结合。</w:t>
      </w:r>
    </w:p>
    <w:p>
      <w:pPr>
        <w:snapToGrid w:val="0"/>
        <w:spacing w:line="360" w:lineRule="auto"/>
        <w:ind w:firstLine="420" w:firstLineChars="200"/>
        <w:rPr>
          <w:rFonts w:hAnsi="宋体"/>
          <w:szCs w:val="21"/>
        </w:rPr>
      </w:pPr>
      <w:r>
        <w:rPr>
          <w:rFonts w:hAnsi="宋体"/>
          <w:szCs w:val="21"/>
        </w:rPr>
        <w:t>例如</w:t>
      </w:r>
      <w:r>
        <w:rPr>
          <w:rFonts w:hint="eastAsia" w:hAnsi="宋体"/>
          <w:szCs w:val="21"/>
        </w:rPr>
        <w:t>，</w:t>
      </w:r>
      <w:r>
        <w:rPr>
          <w:rFonts w:hAnsi="宋体"/>
          <w:szCs w:val="21"/>
        </w:rPr>
        <w:t>绪论部分</w:t>
      </w:r>
      <w:r>
        <w:rPr>
          <w:rFonts w:hint="eastAsia" w:hAnsi="宋体"/>
          <w:szCs w:val="21"/>
        </w:rPr>
        <w:t>介绍课程</w:t>
      </w:r>
      <w:r>
        <w:rPr>
          <w:rFonts w:hAnsi="宋体"/>
          <w:szCs w:val="21"/>
        </w:rPr>
        <w:t>技术特点时</w:t>
      </w:r>
      <w:r>
        <w:rPr>
          <w:rFonts w:hint="eastAsia" w:hAnsi="宋体"/>
          <w:szCs w:val="21"/>
        </w:rPr>
        <w:t>，</w:t>
      </w:r>
      <w:r>
        <w:rPr>
          <w:rFonts w:hAnsi="宋体"/>
          <w:szCs w:val="21"/>
        </w:rPr>
        <w:t>将</w:t>
      </w:r>
      <w:r>
        <w:rPr>
          <w:rFonts w:hint="eastAsia" w:hAnsi="宋体"/>
          <w:szCs w:val="21"/>
        </w:rPr>
        <w:t>社会主义生态文明思想融入教学中。</w:t>
      </w:r>
      <w:r>
        <w:rPr>
          <w:rFonts w:hAnsi="宋体"/>
          <w:szCs w:val="21"/>
        </w:rPr>
        <w:t>讲授</w:t>
      </w:r>
      <w:r>
        <w:rPr>
          <w:rFonts w:hint="eastAsia" w:hAnsi="宋体"/>
          <w:szCs w:val="21"/>
        </w:rPr>
        <w:t>植物组织培养技术特点“不受季节、生产条件 限制，生长周期短，可在组织培养室中进行大规模工厂化生产，可节约耕地、保护环境”。其次，引入以组织培养技术为主体的新型生物工业例子，如抗癌药物“紫杉醇”和抗白血病药物“长春花碱”等的批量提取，可以减少因从自然资源中提取天然产物而带来的资源破坏，从而保护自然资源、维护态环境。同时，告诉学生们资源保护和环境保护是生态文明建设的重要内容，生态文明建设关乎民族未来，践行“绿水青山就是金山银山”就是建设生态文明。</w:t>
      </w:r>
      <w:r>
        <w:rPr>
          <w:rFonts w:hAnsi="宋体"/>
          <w:szCs w:val="21"/>
        </w:rPr>
        <w:t>同时</w:t>
      </w:r>
      <w:r>
        <w:rPr>
          <w:rFonts w:hint="eastAsia" w:hAnsi="宋体"/>
          <w:szCs w:val="21"/>
        </w:rPr>
        <w:t>，</w:t>
      </w:r>
      <w:r>
        <w:rPr>
          <w:rFonts w:hint="eastAsia"/>
        </w:rPr>
        <w:t>在讲授植物组织培养技术发展时，有效融入我国植物组织培养相关的最新研究成果，让学生更直观的了解我国的农业科学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国意识、家国情怀，实现高校“立德树人”的人才培养目标</w:t>
      </w:r>
      <w:r>
        <w:t>。</w:t>
      </w:r>
    </w:p>
    <w:p>
      <w:pPr>
        <w:snapToGrid w:val="0"/>
        <w:spacing w:line="360" w:lineRule="auto"/>
        <w:ind w:firstLine="420" w:firstLineChars="200"/>
        <w:rPr>
          <w:rFonts w:hAnsi="宋体"/>
          <w:color w:val="0000FF"/>
          <w:szCs w:val="21"/>
        </w:rPr>
      </w:pP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、教材及教学参考书</w:t>
      </w:r>
      <w:r>
        <w:rPr>
          <w:rFonts w:hint="eastAsia" w:ascii="宋体" w:hAnsi="宋体" w:cs="宋体"/>
          <w:b/>
          <w:bCs/>
          <w:kern w:val="0"/>
          <w:szCs w:val="21"/>
        </w:rPr>
        <w:t></w:t>
      </w:r>
    </w:p>
    <w:p>
      <w:pPr>
        <w:widowControl/>
        <w:snapToGrid w:val="0"/>
        <w:spacing w:line="360" w:lineRule="auto"/>
        <w:ind w:firstLine="422" w:firstLineChars="200"/>
        <w:jc w:val="left"/>
        <w:rPr>
          <w:b/>
          <w:bCs/>
          <w:kern w:val="0"/>
          <w:szCs w:val="21"/>
        </w:rPr>
      </w:pPr>
      <w:r>
        <w:rPr>
          <w:b/>
          <w:bCs/>
          <w:kern w:val="0"/>
          <w:szCs w:val="21"/>
        </w:rPr>
        <w:t>1</w:t>
      </w:r>
      <w:r>
        <w:rPr>
          <w:rFonts w:hAnsiTheme="minorEastAsia"/>
          <w:b/>
          <w:bCs/>
          <w:kern w:val="0"/>
          <w:szCs w:val="21"/>
        </w:rPr>
        <w:t>、选用教材：</w:t>
      </w:r>
    </w:p>
    <w:p>
      <w:pPr>
        <w:widowControl/>
        <w:snapToGrid w:val="0"/>
        <w:spacing w:line="360" w:lineRule="auto"/>
        <w:ind w:firstLine="420" w:firstLineChars="200"/>
        <w:jc w:val="left"/>
        <w:rPr>
          <w:bCs/>
          <w:kern w:val="0"/>
          <w:szCs w:val="21"/>
        </w:rPr>
      </w:pPr>
      <w:r>
        <w:rPr>
          <w:rFonts w:hAnsiTheme="minorEastAsia"/>
          <w:bCs/>
          <w:kern w:val="0"/>
          <w:szCs w:val="21"/>
        </w:rPr>
        <w:t>（</w:t>
      </w:r>
      <w:r>
        <w:rPr>
          <w:bCs/>
          <w:kern w:val="0"/>
          <w:szCs w:val="21"/>
        </w:rPr>
        <w:t>1</w:t>
      </w:r>
      <w:r>
        <w:rPr>
          <w:rFonts w:hAnsiTheme="minorEastAsia"/>
          <w:bCs/>
          <w:kern w:val="0"/>
          <w:szCs w:val="21"/>
        </w:rPr>
        <w:t>）理论课教材：植物细胞工程（第</w:t>
      </w:r>
      <w:r>
        <w:rPr>
          <w:bCs/>
          <w:kern w:val="0"/>
          <w:szCs w:val="21"/>
        </w:rPr>
        <w:t>2</w:t>
      </w:r>
      <w:r>
        <w:rPr>
          <w:rFonts w:hAnsiTheme="minorEastAsia"/>
          <w:bCs/>
          <w:kern w:val="0"/>
          <w:szCs w:val="21"/>
        </w:rPr>
        <w:t>版），柳俊、谢从华</w:t>
      </w:r>
      <w:r>
        <w:rPr>
          <w:rFonts w:hint="eastAsia" w:hAnsiTheme="minorEastAsia"/>
          <w:bCs/>
          <w:kern w:val="0"/>
          <w:szCs w:val="21"/>
        </w:rPr>
        <w:t xml:space="preserve"> </w:t>
      </w:r>
      <w:r>
        <w:rPr>
          <w:rFonts w:hAnsiTheme="minorEastAsia"/>
          <w:bCs/>
          <w:kern w:val="0"/>
          <w:szCs w:val="21"/>
        </w:rPr>
        <w:t>编著，高等教育出版社，</w:t>
      </w:r>
      <w:r>
        <w:rPr>
          <w:bCs/>
          <w:kern w:val="0"/>
          <w:szCs w:val="21"/>
        </w:rPr>
        <w:t>2011</w:t>
      </w:r>
      <w:r>
        <w:rPr>
          <w:rFonts w:hAnsiTheme="minorEastAsia"/>
          <w:bCs/>
          <w:kern w:val="0"/>
          <w:szCs w:val="21"/>
        </w:rPr>
        <w:t>年</w:t>
      </w:r>
    </w:p>
    <w:p>
      <w:pPr>
        <w:widowControl/>
        <w:snapToGrid w:val="0"/>
        <w:spacing w:line="360" w:lineRule="auto"/>
        <w:ind w:firstLine="420" w:firstLineChars="200"/>
        <w:jc w:val="left"/>
        <w:rPr>
          <w:szCs w:val="21"/>
        </w:rPr>
      </w:pPr>
      <w:r>
        <w:rPr>
          <w:rFonts w:hAnsiTheme="minorEastAsia"/>
          <w:szCs w:val="21"/>
        </w:rPr>
        <w:t>（</w:t>
      </w:r>
      <w:r>
        <w:rPr>
          <w:szCs w:val="21"/>
        </w:rPr>
        <w:t>2</w:t>
      </w:r>
      <w:r>
        <w:rPr>
          <w:rFonts w:hAnsiTheme="minorEastAsia"/>
          <w:szCs w:val="21"/>
        </w:rPr>
        <w:t>）实验课教材：植物组织培养实验指导，龚一富</w:t>
      </w:r>
      <w:r>
        <w:rPr>
          <w:rFonts w:hint="eastAsia" w:hAnsiTheme="minorEastAsia"/>
          <w:szCs w:val="21"/>
        </w:rPr>
        <w:t xml:space="preserve"> </w:t>
      </w:r>
      <w:r>
        <w:rPr>
          <w:rFonts w:hAnsiTheme="minorEastAsia"/>
          <w:szCs w:val="21"/>
        </w:rPr>
        <w:t>编著，科学出版社</w:t>
      </w:r>
      <w:r>
        <w:rPr>
          <w:rFonts w:hAnsiTheme="minorEastAsia"/>
          <w:bCs/>
          <w:kern w:val="0"/>
          <w:szCs w:val="21"/>
        </w:rPr>
        <w:t>，</w:t>
      </w:r>
      <w:r>
        <w:rPr>
          <w:bCs/>
          <w:kern w:val="0"/>
          <w:szCs w:val="21"/>
        </w:rPr>
        <w:t>2011</w:t>
      </w:r>
      <w:r>
        <w:rPr>
          <w:rFonts w:hAnsiTheme="minorEastAsia"/>
          <w:bCs/>
          <w:kern w:val="0"/>
          <w:szCs w:val="21"/>
        </w:rPr>
        <w:t>年</w:t>
      </w:r>
    </w:p>
    <w:p>
      <w:pPr>
        <w:widowControl/>
        <w:snapToGrid w:val="0"/>
        <w:spacing w:line="360" w:lineRule="auto"/>
        <w:ind w:firstLine="422" w:firstLineChars="200"/>
        <w:jc w:val="left"/>
        <w:rPr>
          <w:kern w:val="0"/>
          <w:szCs w:val="21"/>
        </w:rPr>
      </w:pPr>
      <w:r>
        <w:rPr>
          <w:b/>
          <w:bCs/>
          <w:kern w:val="0"/>
          <w:szCs w:val="21"/>
        </w:rPr>
        <w:t>2</w:t>
      </w:r>
      <w:r>
        <w:rPr>
          <w:rFonts w:hAnsiTheme="minorEastAsia"/>
          <w:b/>
          <w:bCs/>
          <w:kern w:val="0"/>
          <w:szCs w:val="21"/>
        </w:rPr>
        <w:t>、参考书：</w:t>
      </w:r>
    </w:p>
    <w:p>
      <w:pPr>
        <w:widowControl/>
        <w:snapToGrid w:val="0"/>
        <w:spacing w:line="360" w:lineRule="auto"/>
        <w:ind w:firstLine="420" w:firstLineChars="200"/>
        <w:jc w:val="left"/>
        <w:rPr>
          <w:bCs/>
          <w:kern w:val="0"/>
          <w:szCs w:val="21"/>
        </w:rPr>
      </w:pPr>
      <w:r>
        <w:rPr>
          <w:rFonts w:hAnsiTheme="minorEastAsia"/>
          <w:bCs/>
          <w:kern w:val="0"/>
          <w:szCs w:val="21"/>
        </w:rPr>
        <w:t>（</w:t>
      </w:r>
      <w:r>
        <w:rPr>
          <w:bCs/>
          <w:kern w:val="0"/>
          <w:szCs w:val="21"/>
        </w:rPr>
        <w:t>1</w:t>
      </w:r>
      <w:r>
        <w:rPr>
          <w:rFonts w:hAnsiTheme="minorEastAsia"/>
          <w:bCs/>
          <w:kern w:val="0"/>
          <w:szCs w:val="21"/>
        </w:rPr>
        <w:t>）植物组织培养（第</w:t>
      </w:r>
      <w:r>
        <w:rPr>
          <w:bCs/>
          <w:kern w:val="0"/>
          <w:szCs w:val="21"/>
        </w:rPr>
        <w:t>2</w:t>
      </w:r>
      <w:r>
        <w:rPr>
          <w:rFonts w:hAnsiTheme="minorEastAsia"/>
          <w:bCs/>
          <w:kern w:val="0"/>
          <w:szCs w:val="21"/>
        </w:rPr>
        <w:t>版），巩振辉、申书兴</w:t>
      </w:r>
      <w:r>
        <w:rPr>
          <w:rFonts w:hint="eastAsia" w:hAnsiTheme="minorEastAsia"/>
          <w:bCs/>
          <w:kern w:val="0"/>
          <w:szCs w:val="21"/>
        </w:rPr>
        <w:t xml:space="preserve"> </w:t>
      </w:r>
      <w:r>
        <w:rPr>
          <w:rFonts w:hAnsiTheme="minorEastAsia"/>
          <w:bCs/>
          <w:kern w:val="0"/>
          <w:szCs w:val="21"/>
        </w:rPr>
        <w:t>编著，化学工业出版社，</w:t>
      </w:r>
      <w:r>
        <w:rPr>
          <w:bCs/>
          <w:kern w:val="0"/>
          <w:szCs w:val="21"/>
        </w:rPr>
        <w:t>2013</w:t>
      </w:r>
      <w:r>
        <w:rPr>
          <w:rFonts w:hAnsiTheme="minorEastAsia"/>
          <w:bCs/>
          <w:kern w:val="0"/>
          <w:szCs w:val="21"/>
        </w:rPr>
        <w:t>年</w:t>
      </w:r>
    </w:p>
    <w:p>
      <w:pPr>
        <w:widowControl/>
        <w:snapToGrid w:val="0"/>
        <w:spacing w:line="360" w:lineRule="auto"/>
        <w:ind w:firstLine="420" w:firstLineChars="200"/>
        <w:jc w:val="left"/>
        <w:rPr>
          <w:bCs/>
          <w:kern w:val="0"/>
          <w:szCs w:val="21"/>
        </w:rPr>
      </w:pPr>
      <w:r>
        <w:rPr>
          <w:rFonts w:hAnsiTheme="minorEastAsia"/>
          <w:bCs/>
          <w:kern w:val="0"/>
          <w:szCs w:val="21"/>
        </w:rPr>
        <w:t>（</w:t>
      </w:r>
      <w:r>
        <w:rPr>
          <w:bCs/>
          <w:kern w:val="0"/>
          <w:szCs w:val="21"/>
        </w:rPr>
        <w:t>2</w:t>
      </w:r>
      <w:r>
        <w:rPr>
          <w:rFonts w:hAnsiTheme="minorEastAsia"/>
          <w:bCs/>
          <w:kern w:val="0"/>
          <w:szCs w:val="21"/>
        </w:rPr>
        <w:t>）植物组织培养（第二版），王蒂、陈劲枫</w:t>
      </w:r>
      <w:r>
        <w:rPr>
          <w:rFonts w:hint="eastAsia" w:hAnsiTheme="minorEastAsia"/>
          <w:bCs/>
          <w:kern w:val="0"/>
          <w:szCs w:val="21"/>
        </w:rPr>
        <w:t xml:space="preserve"> </w:t>
      </w:r>
      <w:r>
        <w:rPr>
          <w:rFonts w:hAnsiTheme="minorEastAsia"/>
          <w:bCs/>
          <w:kern w:val="0"/>
          <w:szCs w:val="21"/>
        </w:rPr>
        <w:t>编著，中国农业出版社，</w:t>
      </w:r>
      <w:r>
        <w:rPr>
          <w:bCs/>
          <w:kern w:val="0"/>
          <w:szCs w:val="21"/>
        </w:rPr>
        <w:t>2014</w:t>
      </w:r>
      <w:r>
        <w:rPr>
          <w:rFonts w:hAnsiTheme="minorEastAsia"/>
          <w:bCs/>
          <w:kern w:val="0"/>
          <w:szCs w:val="21"/>
        </w:rPr>
        <w:t>年</w:t>
      </w:r>
    </w:p>
    <w:p>
      <w:pPr>
        <w:widowControl/>
        <w:snapToGrid w:val="0"/>
        <w:spacing w:line="360" w:lineRule="auto"/>
        <w:ind w:firstLine="420" w:firstLineChars="200"/>
        <w:jc w:val="left"/>
        <w:rPr>
          <w:bCs/>
          <w:kern w:val="0"/>
          <w:szCs w:val="21"/>
        </w:rPr>
      </w:pPr>
      <w:r>
        <w:rPr>
          <w:rFonts w:hAnsiTheme="minorEastAsia"/>
          <w:bCs/>
          <w:kern w:val="0"/>
          <w:szCs w:val="21"/>
        </w:rPr>
        <w:t>（</w:t>
      </w:r>
      <w:r>
        <w:rPr>
          <w:bCs/>
          <w:kern w:val="0"/>
          <w:szCs w:val="21"/>
        </w:rPr>
        <w:t>3</w:t>
      </w:r>
      <w:r>
        <w:rPr>
          <w:rFonts w:hAnsiTheme="minorEastAsia"/>
          <w:bCs/>
          <w:kern w:val="0"/>
          <w:szCs w:val="21"/>
        </w:rPr>
        <w:t>）植物组织培养（第</w:t>
      </w:r>
      <w:r>
        <w:rPr>
          <w:bCs/>
          <w:kern w:val="0"/>
          <w:szCs w:val="21"/>
        </w:rPr>
        <w:t>2</w:t>
      </w:r>
      <w:r>
        <w:rPr>
          <w:rFonts w:hAnsiTheme="minorEastAsia"/>
          <w:bCs/>
          <w:kern w:val="0"/>
          <w:szCs w:val="21"/>
        </w:rPr>
        <w:t>版），陈世昌、王小琳</w:t>
      </w:r>
      <w:r>
        <w:rPr>
          <w:rFonts w:hint="eastAsia" w:hAnsiTheme="minorEastAsia"/>
          <w:bCs/>
          <w:kern w:val="0"/>
          <w:szCs w:val="21"/>
        </w:rPr>
        <w:t xml:space="preserve"> </w:t>
      </w:r>
      <w:r>
        <w:rPr>
          <w:rFonts w:hAnsiTheme="minorEastAsia"/>
          <w:bCs/>
          <w:kern w:val="0"/>
          <w:szCs w:val="21"/>
        </w:rPr>
        <w:t>编著，重庆大学出版社，</w:t>
      </w:r>
      <w:r>
        <w:rPr>
          <w:bCs/>
          <w:kern w:val="0"/>
          <w:szCs w:val="21"/>
        </w:rPr>
        <w:t>2011</w:t>
      </w:r>
      <w:r>
        <w:rPr>
          <w:rFonts w:hAnsiTheme="minorEastAsia"/>
          <w:bCs/>
          <w:kern w:val="0"/>
          <w:szCs w:val="21"/>
        </w:rPr>
        <w:t>年</w:t>
      </w:r>
    </w:p>
    <w:p>
      <w:pPr>
        <w:widowControl/>
        <w:snapToGrid w:val="0"/>
        <w:spacing w:line="360" w:lineRule="auto"/>
        <w:ind w:firstLine="422" w:firstLineChars="200"/>
        <w:jc w:val="left"/>
        <w:rPr>
          <w:b/>
          <w:kern w:val="0"/>
          <w:szCs w:val="21"/>
        </w:rPr>
      </w:pPr>
      <w:r>
        <w:rPr>
          <w:b/>
          <w:kern w:val="0"/>
          <w:szCs w:val="21"/>
        </w:rPr>
        <w:t>3</w:t>
      </w:r>
      <w:r>
        <w:rPr>
          <w:rFonts w:hAnsiTheme="minorEastAsia"/>
          <w:b/>
          <w:kern w:val="0"/>
          <w:szCs w:val="21"/>
        </w:rPr>
        <w:t>、推荐网站：</w:t>
      </w:r>
    </w:p>
    <w:p>
      <w:pPr>
        <w:snapToGrid w:val="0"/>
        <w:spacing w:line="360" w:lineRule="auto"/>
        <w:ind w:firstLine="420" w:firstLineChars="200"/>
      </w:pPr>
      <w:r>
        <w:rPr>
          <w:rFonts w:hint="eastAsia"/>
        </w:rPr>
        <w:t>（1）细胞工程学，网址：http://nhjy.hzau.edu.cn/kech/xbgc/index.asp</w:t>
      </w:r>
    </w:p>
    <w:p>
      <w:pPr>
        <w:widowControl/>
        <w:snapToGrid w:val="0"/>
        <w:spacing w:line="360" w:lineRule="auto"/>
        <w:ind w:firstLine="420" w:firstLineChars="200"/>
        <w:jc w:val="left"/>
      </w:pPr>
      <w:r>
        <w:rPr>
          <w:rFonts w:hint="eastAsia"/>
        </w:rPr>
        <w:t>（2）浙江大学植物组织培养，网址：</w:t>
      </w:r>
      <w:r>
        <w:fldChar w:fldCharType="begin"/>
      </w:r>
      <w:r>
        <w:instrText xml:space="preserve"> HYPERLINK "http://www.openke.net/show-2469.html" </w:instrText>
      </w:r>
      <w:r>
        <w:fldChar w:fldCharType="separate"/>
      </w:r>
      <w:r>
        <w:rPr>
          <w:rFonts w:hint="eastAsia"/>
        </w:rPr>
        <w:t>http://www.openke.net/show-2469.html</w:t>
      </w:r>
      <w:r>
        <w:rPr>
          <w:rFonts w:hint="eastAsia"/>
        </w:rPr>
        <w:fldChar w:fldCharType="end"/>
      </w:r>
    </w:p>
    <w:p>
      <w:pPr>
        <w:widowControl/>
        <w:snapToGrid w:val="0"/>
        <w:spacing w:line="360" w:lineRule="auto"/>
        <w:ind w:firstLine="420" w:firstLineChars="200"/>
        <w:jc w:val="left"/>
      </w:pPr>
      <w:r>
        <w:rPr>
          <w:rFonts w:hint="eastAsia"/>
        </w:rPr>
        <w:t>（3）华中农业大学植物组织培养，网址：</w:t>
      </w:r>
      <w:r>
        <w:fldChar w:fldCharType="begin"/>
      </w:r>
      <w:r>
        <w:instrText xml:space="preserve"> HYPERLINK "https://www.icourse163.org/course/HZAU-1206651801?from=searchPage&amp;outVendor=zw_mooc_pcssjg_" </w:instrText>
      </w:r>
      <w:r>
        <w:fldChar w:fldCharType="separate"/>
      </w:r>
      <w:r>
        <w:t>https://www.icourse163.org/course/</w:t>
      </w:r>
    </w:p>
    <w:p>
      <w:pPr>
        <w:widowControl/>
        <w:snapToGrid w:val="0"/>
        <w:spacing w:line="360" w:lineRule="auto"/>
        <w:ind w:firstLine="420" w:firstLineChars="200"/>
        <w:jc w:val="left"/>
      </w:pPr>
      <w:r>
        <w:t>HZAU-1206651801?from=searchPage&amp;outVendor=zw_mooc_pcssjg_</w:t>
      </w:r>
      <w:r>
        <w:fldChar w:fldCharType="end"/>
      </w:r>
    </w:p>
    <w:p>
      <w:pPr>
        <w:widowControl/>
        <w:numPr>
          <w:ilvl w:val="0"/>
          <w:numId w:val="28"/>
        </w:numPr>
        <w:snapToGrid w:val="0"/>
        <w:spacing w:line="360" w:lineRule="auto"/>
        <w:ind w:firstLine="420" w:firstLineChars="200"/>
        <w:jc w:val="left"/>
      </w:pPr>
      <w:r>
        <w:rPr>
          <w:rFonts w:hint="eastAsia"/>
        </w:rPr>
        <w:t>国家级精品课程《园艺植物生物技术》，网址：</w:t>
      </w:r>
      <w:r>
        <w:rPr>
          <w:color w:val="auto"/>
          <w:u w:val="none"/>
        </w:rPr>
        <w:t>https://www.icourse163.org/course/</w:t>
      </w:r>
    </w:p>
    <w:p>
      <w:pPr>
        <w:widowControl/>
        <w:numPr>
          <w:ilvl w:val="0"/>
          <w:numId w:val="0"/>
        </w:numPr>
        <w:snapToGrid w:val="0"/>
        <w:spacing w:line="360" w:lineRule="auto"/>
        <w:ind w:firstLine="420" w:firstLineChars="200"/>
        <w:jc w:val="left"/>
      </w:pPr>
      <w:r>
        <w:t>NJAU-1001755045?from=searchPage&amp;outVendor=zw_mooc_pcssjg_</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r>
        <w:rPr>
          <w:rFonts w:hint="eastAsia" w:ascii="宋体" w:hAnsi="宋体"/>
          <w:color w:val="0000FF"/>
          <w:szCs w:val="21"/>
        </w:rPr>
        <w:t></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课程应提供多媒体教室及满足本科生植物组织培养的实验室。实验室内应具备植物组织培养试验所需的常用仪器设备及培养条件。授课教师必须精通园艺植物组织培养方面的知识，相关试验操作能力更是要突出。而且要在课堂上及时更新知识教学，并把教学原则和教学方法应用到“线上+线下”的教学活动中。</w:t>
      </w:r>
    </w:p>
    <w:p>
      <w:pPr>
        <w:widowControl/>
        <w:snapToGrid w:val="0"/>
        <w:spacing w:line="360" w:lineRule="auto"/>
        <w:jc w:val="left"/>
        <w:rPr>
          <w:rFonts w:hAnsi="宋体"/>
          <w:b/>
          <w:bCs/>
          <w:kern w:val="0"/>
          <w:szCs w:val="21"/>
        </w:rPr>
      </w:pPr>
      <w:r>
        <w:rPr>
          <w:rFonts w:hint="eastAsia" w:hAnsi="宋体"/>
          <w:b/>
          <w:bCs/>
          <w:kern w:val="0"/>
          <w:szCs w:val="21"/>
        </w:rPr>
        <w:t>九、教学考核评价</w:t>
      </w:r>
    </w:p>
    <w:p>
      <w:pPr>
        <w:widowControl/>
        <w:snapToGrid w:val="0"/>
        <w:spacing w:line="360" w:lineRule="auto"/>
        <w:ind w:firstLine="420"/>
        <w:jc w:val="left"/>
        <w:rPr>
          <w:rFonts w:ascii="宋体" w:hAnsi="宋体"/>
          <w:szCs w:val="21"/>
        </w:rPr>
      </w:pPr>
      <w:r>
        <w:rPr>
          <w:rFonts w:hint="eastAsia" w:hAnsi="宋体"/>
          <w:b/>
          <w:bCs/>
          <w:kern w:val="0"/>
          <w:szCs w:val="21"/>
        </w:rPr>
        <w:t>1.过程性评价：</w:t>
      </w:r>
      <w:r>
        <w:rPr>
          <w:rFonts w:ascii="宋体" w:hAnsi="宋体"/>
          <w:szCs w:val="21"/>
        </w:rPr>
        <w:t xml:space="preserve"> </w:t>
      </w:r>
    </w:p>
    <w:p>
      <w:pPr>
        <w:widowControl/>
        <w:spacing w:line="360" w:lineRule="auto"/>
        <w:ind w:firstLine="420" w:firstLineChars="200"/>
        <w:jc w:val="left"/>
        <w:rPr>
          <w:szCs w:val="21"/>
        </w:rPr>
      </w:pPr>
      <w:r>
        <w:rPr>
          <w:rFonts w:hint="eastAsia" w:hAnsi="宋体"/>
          <w:szCs w:val="21"/>
        </w:rPr>
        <w:t>教学过程中使用多种评价方法，有利于教学活动的开展及学生综合能力的提高。</w:t>
      </w:r>
      <w:r>
        <w:rPr>
          <w:rFonts w:hint="eastAsia"/>
          <w:szCs w:val="21"/>
        </w:rPr>
        <w:t>本</w:t>
      </w:r>
      <w:r>
        <w:rPr>
          <w:szCs w:val="21"/>
        </w:rPr>
        <w:t>课程的过程性</w:t>
      </w:r>
      <w:r>
        <w:rPr>
          <w:rFonts w:hint="eastAsia"/>
          <w:szCs w:val="21"/>
        </w:rPr>
        <w:t>评价</w:t>
      </w:r>
      <w:r>
        <w:rPr>
          <w:szCs w:val="21"/>
        </w:rPr>
        <w:t>分为平时成绩、实验成绩、翻转课堂测试三个环节</w:t>
      </w:r>
      <w:r>
        <w:rPr>
          <w:rFonts w:hint="eastAsia"/>
          <w:szCs w:val="21"/>
        </w:rPr>
        <w:t>，共占比60%。</w:t>
      </w:r>
      <w:r>
        <w:rPr>
          <w:szCs w:val="21"/>
        </w:rPr>
        <w:t>平时成绩包括</w:t>
      </w:r>
      <w:r>
        <w:rPr>
          <w:rFonts w:hint="eastAsia" w:hAnsi="宋体"/>
          <w:szCs w:val="21"/>
        </w:rPr>
        <w:t>课内与课外</w:t>
      </w:r>
      <w:r>
        <w:rPr>
          <w:szCs w:val="21"/>
        </w:rPr>
        <w:t>平时学习情况、课堂提问、小组讨论表现、线上作业</w:t>
      </w:r>
      <w:r>
        <w:rPr>
          <w:rFonts w:hint="eastAsia"/>
          <w:szCs w:val="21"/>
        </w:rPr>
        <w:t>及</w:t>
      </w:r>
      <w:r>
        <w:rPr>
          <w:szCs w:val="21"/>
        </w:rPr>
        <w:t>考勤等，占比10%；实验成绩包括</w:t>
      </w:r>
      <w:r>
        <w:rPr>
          <w:rFonts w:hint="eastAsia"/>
          <w:szCs w:val="21"/>
        </w:rPr>
        <w:t>实验操作、</w:t>
      </w:r>
      <w:r>
        <w:rPr>
          <w:szCs w:val="21"/>
        </w:rPr>
        <w:t>实验结果和实验报告，占比</w:t>
      </w:r>
      <w:r>
        <w:rPr>
          <w:rFonts w:hint="eastAsia"/>
          <w:szCs w:val="21"/>
        </w:rPr>
        <w:t>2</w:t>
      </w:r>
      <w:r>
        <w:rPr>
          <w:szCs w:val="21"/>
        </w:rPr>
        <w:t>0%；翻转课堂主要是分小组进行课程相关内容</w:t>
      </w:r>
      <w:r>
        <w:rPr>
          <w:rFonts w:hint="eastAsia"/>
          <w:szCs w:val="21"/>
        </w:rPr>
        <w:t>的PPT制作及</w:t>
      </w:r>
      <w:r>
        <w:rPr>
          <w:szCs w:val="21"/>
        </w:rPr>
        <w:t>讲解，占比</w:t>
      </w:r>
      <w:r>
        <w:rPr>
          <w:rFonts w:hint="eastAsia"/>
          <w:szCs w:val="21"/>
        </w:rPr>
        <w:t>3</w:t>
      </w:r>
      <w:r>
        <w:rPr>
          <w:szCs w:val="21"/>
        </w:rPr>
        <w:t>0%。</w:t>
      </w:r>
    </w:p>
    <w:p>
      <w:pPr>
        <w:widowControl/>
        <w:snapToGrid w:val="0"/>
        <w:spacing w:line="360" w:lineRule="auto"/>
        <w:ind w:firstLine="420"/>
        <w:jc w:val="left"/>
        <w:rPr>
          <w:b/>
          <w:bCs/>
          <w:color w:val="0000FF"/>
          <w:kern w:val="0"/>
          <w:szCs w:val="21"/>
        </w:rPr>
      </w:pPr>
      <w:r>
        <w:rPr>
          <w:b/>
          <w:bCs/>
          <w:kern w:val="0"/>
          <w:szCs w:val="21"/>
        </w:rPr>
        <w:t>2.终结性评价：</w:t>
      </w:r>
      <w:r>
        <w:rPr>
          <w:kern w:val="0"/>
          <w:szCs w:val="21"/>
        </w:rPr>
        <w:t>主要以期末课程</w:t>
      </w:r>
      <w:r>
        <w:rPr>
          <w:rFonts w:hint="eastAsia"/>
          <w:kern w:val="0"/>
          <w:szCs w:val="21"/>
        </w:rPr>
        <w:t>论文</w:t>
      </w:r>
      <w:r>
        <w:rPr>
          <w:kern w:val="0"/>
          <w:szCs w:val="21"/>
        </w:rPr>
        <w:t>为主，</w:t>
      </w:r>
      <w:r>
        <w:rPr>
          <w:rFonts w:hint="eastAsia"/>
          <w:kern w:val="0"/>
          <w:szCs w:val="21"/>
        </w:rPr>
        <w:t>要求学生撰写组培相关的课程论文，</w:t>
      </w:r>
      <w:r>
        <w:rPr>
          <w:kern w:val="0"/>
          <w:szCs w:val="21"/>
        </w:rPr>
        <w:t>占比</w:t>
      </w:r>
      <w:r>
        <w:rPr>
          <w:rFonts w:hint="eastAsia"/>
          <w:kern w:val="0"/>
          <w:szCs w:val="21"/>
        </w:rPr>
        <w:t>4</w:t>
      </w:r>
      <w:r>
        <w:rPr>
          <w:kern w:val="0"/>
          <w:szCs w:val="21"/>
        </w:rPr>
        <w:t>0%。</w:t>
      </w:r>
    </w:p>
    <w:p>
      <w:pPr>
        <w:widowControl/>
        <w:snapToGrid w:val="0"/>
        <w:spacing w:line="360" w:lineRule="auto"/>
        <w:ind w:firstLine="420"/>
        <w:jc w:val="left"/>
      </w:pPr>
      <w:r>
        <w:rPr>
          <w:b/>
          <w:bCs/>
          <w:kern w:val="0"/>
          <w:szCs w:val="21"/>
        </w:rPr>
        <w:t>3.课程综合评价：</w:t>
      </w:r>
      <w:r>
        <w:rPr>
          <w:kern w:val="0"/>
          <w:szCs w:val="21"/>
        </w:rPr>
        <w:t>过程性评价</w:t>
      </w:r>
      <w:r>
        <w:rPr>
          <w:rFonts w:hint="eastAsia"/>
          <w:kern w:val="0"/>
          <w:szCs w:val="21"/>
        </w:rPr>
        <w:t>6</w:t>
      </w:r>
      <w:r>
        <w:rPr>
          <w:kern w:val="0"/>
          <w:szCs w:val="21"/>
        </w:rPr>
        <w:t>0%</w:t>
      </w:r>
      <w:r>
        <w:rPr>
          <w:rFonts w:hint="eastAsia"/>
          <w:kern w:val="0"/>
          <w:szCs w:val="21"/>
        </w:rPr>
        <w:t>（平时成绩10%+实验成绩20%+翻转课堂30%）</w:t>
      </w:r>
      <w:r>
        <w:rPr>
          <w:kern w:val="0"/>
          <w:szCs w:val="21"/>
        </w:rPr>
        <w:t>+终结性评价</w:t>
      </w:r>
      <w:r>
        <w:rPr>
          <w:rFonts w:hint="eastAsia"/>
          <w:kern w:val="0"/>
          <w:szCs w:val="21"/>
        </w:rPr>
        <w:t>4</w:t>
      </w:r>
      <w:r>
        <w:rPr>
          <w:kern w:val="0"/>
          <w:szCs w:val="21"/>
        </w:rPr>
        <w:t>0%</w:t>
      </w:r>
      <w:r>
        <w:rPr>
          <w:rFonts w:hint="eastAsia"/>
          <w:kern w:val="0"/>
          <w:szCs w:val="21"/>
        </w:rPr>
        <w:t>（</w:t>
      </w:r>
      <w:r>
        <w:rPr>
          <w:kern w:val="0"/>
          <w:szCs w:val="21"/>
        </w:rPr>
        <w:t>期末课程</w:t>
      </w:r>
      <w:r>
        <w:rPr>
          <w:rFonts w:hint="eastAsia"/>
          <w:kern w:val="0"/>
          <w:szCs w:val="21"/>
        </w:rPr>
        <w:t>论文</w:t>
      </w:r>
      <w:r>
        <w:rPr>
          <w:kern w:val="0"/>
          <w:szCs w:val="21"/>
        </w:rPr>
        <w:t>成绩</w:t>
      </w:r>
      <w:r>
        <w:rPr>
          <w:rFonts w:hint="eastAsia"/>
          <w:kern w:val="0"/>
          <w:szCs w:val="21"/>
        </w:rPr>
        <w:t>）。</w:t>
      </w:r>
    </w:p>
    <w:p>
      <w:pPr>
        <w:pStyle w:val="21"/>
        <w:rPr>
          <w:bCs w:val="0"/>
          <w:sz w:val="28"/>
          <w:szCs w:val="28"/>
        </w:rPr>
      </w:pPr>
      <w:bookmarkStart w:id="351" w:name="_Toc138070716"/>
      <w:bookmarkStart w:id="352" w:name="_Toc138068816"/>
      <w:bookmarkStart w:id="353" w:name="_Toc138076630"/>
      <w:bookmarkStart w:id="354" w:name="_Toc138070446"/>
      <w:bookmarkStart w:id="355" w:name="_Toc138076086"/>
      <w:bookmarkStart w:id="356" w:name="_Toc138076335"/>
    </w:p>
    <w:p>
      <w:pPr>
        <w:pStyle w:val="21"/>
        <w:rPr>
          <w:bCs w:val="0"/>
          <w:sz w:val="28"/>
          <w:szCs w:val="28"/>
        </w:rPr>
      </w:pPr>
    </w:p>
    <w:p>
      <w:pPr>
        <w:pStyle w:val="21"/>
        <w:rPr>
          <w:bCs w:val="0"/>
          <w:sz w:val="28"/>
          <w:szCs w:val="28"/>
        </w:rPr>
      </w:pPr>
    </w:p>
    <w:p>
      <w:pPr>
        <w:pStyle w:val="21"/>
        <w:rPr>
          <w:bCs w:val="0"/>
          <w:sz w:val="28"/>
          <w:szCs w:val="28"/>
        </w:rPr>
      </w:pPr>
    </w:p>
    <w:p>
      <w:pPr>
        <w:rPr>
          <w:sz w:val="28"/>
          <w:szCs w:val="28"/>
        </w:rPr>
      </w:pPr>
      <w:r>
        <w:rPr>
          <w:rFonts w:hint="eastAsia"/>
          <w:sz w:val="28"/>
          <w:szCs w:val="28"/>
        </w:rPr>
        <w:br w:type="page"/>
      </w:r>
    </w:p>
    <w:p>
      <w:pPr>
        <w:pStyle w:val="21"/>
        <w:rPr>
          <w:bCs w:val="0"/>
          <w:sz w:val="28"/>
          <w:szCs w:val="28"/>
        </w:rPr>
      </w:pPr>
      <w:bookmarkStart w:id="357" w:name="_Toc10064"/>
      <w:r>
        <w:rPr>
          <w:rFonts w:hint="eastAsia"/>
          <w:bCs w:val="0"/>
          <w:sz w:val="28"/>
          <w:szCs w:val="28"/>
        </w:rPr>
        <w:t>无土栽培学</w:t>
      </w:r>
      <w:bookmarkEnd w:id="351"/>
      <w:bookmarkEnd w:id="352"/>
      <w:bookmarkEnd w:id="353"/>
      <w:bookmarkEnd w:id="354"/>
      <w:bookmarkEnd w:id="355"/>
      <w:bookmarkEnd w:id="356"/>
      <w:bookmarkEnd w:id="357"/>
    </w:p>
    <w:p>
      <w:pPr>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Soilless Culture</w:t>
      </w:r>
      <w:r>
        <w:rPr>
          <w:color w:val="000000" w:themeColor="text1"/>
          <w:sz w:val="24"/>
          <w14:textFill>
            <w14:solidFill>
              <w14:schemeClr w14:val="tx1"/>
            </w14:solidFill>
          </w14:textFill>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课程编号：</w:t>
            </w:r>
            <w:r>
              <w:rPr>
                <w:rFonts w:ascii="宋体" w:hAnsi="宋体"/>
                <w:b/>
                <w:bCs/>
                <w:szCs w:val="21"/>
              </w:rPr>
              <w:t>19011056</w:t>
            </w:r>
          </w:p>
        </w:tc>
        <w:tc>
          <w:tcPr>
            <w:tcW w:w="1453" w:type="pct"/>
          </w:tcPr>
          <w:p>
            <w:pPr>
              <w:spacing w:line="300" w:lineRule="auto"/>
              <w:ind w:firstLine="422"/>
              <w:rPr>
                <w:rFonts w:ascii="宋体" w:hAnsi="宋体"/>
                <w:b/>
                <w:bCs/>
                <w:szCs w:val="21"/>
              </w:rPr>
            </w:pPr>
            <w:r>
              <w:rPr>
                <w:rFonts w:hint="eastAsia" w:ascii="宋体" w:hAnsi="宋体"/>
                <w:b/>
                <w:bCs/>
                <w:szCs w:val="21"/>
              </w:rPr>
              <w:t>课程总学时：</w:t>
            </w:r>
            <w:r>
              <w:rPr>
                <w:rFonts w:ascii="宋体" w:hAnsi="宋体"/>
                <w:b/>
                <w:bCs/>
                <w:szCs w:val="21"/>
              </w:rPr>
              <w:t>32</w:t>
            </w:r>
          </w:p>
        </w:tc>
        <w:tc>
          <w:tcPr>
            <w:tcW w:w="1881" w:type="pct"/>
          </w:tcPr>
          <w:p>
            <w:pPr>
              <w:spacing w:line="300" w:lineRule="auto"/>
              <w:ind w:firstLine="422"/>
              <w:rPr>
                <w:rFonts w:ascii="宋体" w:hAnsi="宋体"/>
                <w:b/>
                <w:bCs/>
                <w:szCs w:val="21"/>
              </w:rPr>
            </w:pPr>
            <w:r>
              <w:rPr>
                <w:rFonts w:hint="eastAsia" w:ascii="宋体" w:hAnsi="宋体"/>
                <w:b/>
                <w:bCs/>
                <w:szCs w:val="21"/>
              </w:rPr>
              <w:t xml:space="preserve">实验学时：  </w:t>
            </w:r>
            <w:r>
              <w:rPr>
                <w:rFonts w:ascii="宋体" w:hAnsi="宋体"/>
                <w:b/>
                <w:bCs/>
                <w:szCs w:val="21"/>
              </w:rPr>
              <w:t>12</w:t>
            </w:r>
            <w:r>
              <w:rPr>
                <w:rFonts w:hint="eastAsia" w:ascii="宋体" w:hAnsi="宋体"/>
                <w:b/>
                <w:bCs/>
                <w:szCs w:val="21"/>
              </w:rPr>
              <w:t xml:space="preserve">  学时</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课程性质：</w:t>
            </w:r>
            <w:r>
              <w:rPr>
                <w:rFonts w:hint="eastAsia" w:asciiTheme="minorEastAsia" w:hAnsiTheme="minorEastAsia" w:eastAsiaTheme="minorEastAsia" w:cstheme="minorEastAsia"/>
                <w:b/>
                <w:bCs/>
                <w:color w:val="000000" w:themeColor="text1"/>
                <w:szCs w:val="21"/>
                <w14:textFill>
                  <w14:solidFill>
                    <w14:schemeClr w14:val="tx1"/>
                  </w14:solidFill>
                </w14:textFill>
              </w:rPr>
              <w:t>选修</w:t>
            </w:r>
          </w:p>
        </w:tc>
        <w:tc>
          <w:tcPr>
            <w:tcW w:w="1453" w:type="pct"/>
          </w:tcPr>
          <w:p>
            <w:pPr>
              <w:spacing w:line="300" w:lineRule="auto"/>
              <w:ind w:firstLine="422"/>
              <w:rPr>
                <w:rFonts w:ascii="宋体" w:hAnsi="宋体"/>
                <w:b/>
                <w:bCs/>
                <w:szCs w:val="21"/>
              </w:rPr>
            </w:pPr>
            <w:r>
              <w:rPr>
                <w:rFonts w:hint="eastAsia" w:ascii="宋体" w:hAnsi="宋体"/>
                <w:b/>
                <w:szCs w:val="21"/>
              </w:rPr>
              <w:t>课程属性:</w:t>
            </w:r>
            <w:r>
              <w:rPr>
                <w:rFonts w:hint="eastAsia" w:asciiTheme="minorEastAsia" w:hAnsiTheme="minorEastAsia" w:eastAsiaTheme="minorEastAsia" w:cstheme="minorEastAsia"/>
                <w:b/>
                <w:bCs/>
                <w:color w:val="000000" w:themeColor="text1"/>
                <w:szCs w:val="21"/>
                <w14:textFill>
                  <w14:solidFill>
                    <w14:schemeClr w14:val="tx1"/>
                  </w14:solidFill>
                </w14:textFill>
              </w:rPr>
              <w:t xml:space="preserve"> 专业类</w:t>
            </w:r>
          </w:p>
        </w:tc>
        <w:tc>
          <w:tcPr>
            <w:tcW w:w="1881" w:type="pct"/>
          </w:tcPr>
          <w:p>
            <w:pPr>
              <w:spacing w:line="300" w:lineRule="auto"/>
              <w:ind w:firstLine="422"/>
              <w:rPr>
                <w:rFonts w:ascii="宋体" w:hAnsi="宋体"/>
                <w:b/>
                <w:bCs/>
                <w:szCs w:val="21"/>
              </w:rPr>
            </w:pPr>
            <w:r>
              <w:rPr>
                <w:rFonts w:hint="eastAsia" w:ascii="宋体" w:hAnsi="宋体"/>
                <w:b/>
                <w:bCs/>
                <w:szCs w:val="21"/>
              </w:rPr>
              <w:t xml:space="preserve">开设学期：第 </w:t>
            </w:r>
            <w:r>
              <w:rPr>
                <w:rFonts w:ascii="宋体" w:hAnsi="宋体"/>
                <w:b/>
                <w:bCs/>
                <w:szCs w:val="21"/>
              </w:rPr>
              <w:t>5</w:t>
            </w:r>
            <w:r>
              <w:rPr>
                <w:rFonts w:hint="eastAsia" w:ascii="宋体" w:hAnsi="宋体"/>
                <w:b/>
                <w:bCs/>
                <w:szCs w:val="21"/>
              </w:rPr>
              <w:t xml:space="preserve"> 学期</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课程负责人：吴帼秀</w:t>
            </w:r>
          </w:p>
        </w:tc>
        <w:tc>
          <w:tcPr>
            <w:tcW w:w="1453" w:type="pct"/>
          </w:tcPr>
          <w:p>
            <w:pPr>
              <w:spacing w:line="300" w:lineRule="auto"/>
              <w:ind w:firstLine="422"/>
              <w:rPr>
                <w:rFonts w:ascii="宋体" w:hAnsi="宋体"/>
                <w:b/>
                <w:bCs/>
                <w:szCs w:val="21"/>
              </w:rPr>
            </w:pPr>
            <w:r>
              <w:rPr>
                <w:rFonts w:hint="eastAsia" w:ascii="宋体" w:hAnsi="宋体"/>
                <w:b/>
                <w:bCs/>
                <w:szCs w:val="21"/>
              </w:rPr>
              <w:t>课程团队：李胜利、李阳、李严曼</w:t>
            </w:r>
          </w:p>
        </w:tc>
        <w:tc>
          <w:tcPr>
            <w:tcW w:w="1881" w:type="pct"/>
          </w:tcPr>
          <w:p>
            <w:pPr>
              <w:spacing w:line="300" w:lineRule="auto"/>
              <w:ind w:firstLine="422"/>
              <w:rPr>
                <w:rFonts w:hint="eastAsia" w:ascii="宋体" w:hAnsi="宋体" w:eastAsia="宋体"/>
                <w:b/>
                <w:bCs/>
                <w:szCs w:val="21"/>
                <w:lang w:eastAsia="zh-CN"/>
              </w:rPr>
            </w:pPr>
            <w:r>
              <w:rPr>
                <w:rFonts w:hint="eastAsia" w:ascii="宋体" w:hAnsi="宋体"/>
                <w:b/>
                <w:bCs/>
                <w:szCs w:val="21"/>
              </w:rPr>
              <w:t>授课语言：</w:t>
            </w:r>
            <w:r>
              <w:rPr>
                <w:rFonts w:hint="eastAsia" w:ascii="宋体" w:hAnsi="宋体"/>
                <w:b/>
                <w:bCs/>
                <w:szCs w:val="21"/>
                <w:lang w:eastAsia="zh-CN"/>
              </w:rPr>
              <w:t>中文</w:t>
            </w:r>
          </w:p>
        </w:tc>
      </w:tr>
      <w:tr>
        <w:tblPrEx>
          <w:tblCellMar>
            <w:top w:w="0" w:type="dxa"/>
            <w:left w:w="108" w:type="dxa"/>
            <w:bottom w:w="0" w:type="dxa"/>
            <w:right w:w="108" w:type="dxa"/>
          </w:tblCellMar>
        </w:tblPrEx>
        <w:tc>
          <w:tcPr>
            <w:tcW w:w="5000" w:type="pct"/>
            <w:gridSpan w:val="3"/>
          </w:tcPr>
          <w:p>
            <w:pPr>
              <w:spacing w:line="300" w:lineRule="auto"/>
              <w:ind w:right="-170" w:rightChars="-81" w:firstLine="422"/>
              <w:rPr>
                <w:rFonts w:ascii="宋体" w:hAnsi="宋体"/>
                <w:bCs/>
                <w:color w:val="0000FF"/>
                <w:szCs w:val="21"/>
              </w:rPr>
            </w:pPr>
            <w:r>
              <w:rPr>
                <w:rFonts w:hint="eastAsia" w:ascii="宋体" w:hAnsi="宋体"/>
                <w:b/>
                <w:bCs/>
                <w:szCs w:val="21"/>
              </w:rPr>
              <w:t>适用专业：</w:t>
            </w:r>
            <w:r>
              <w:rPr>
                <w:rFonts w:hint="eastAsia" w:asciiTheme="minorEastAsia" w:hAnsiTheme="minorEastAsia" w:eastAsiaTheme="minorEastAsia" w:cstheme="minorEastAsia"/>
                <w:b/>
                <w:bCs/>
                <w:color w:val="000000" w:themeColor="text1"/>
                <w:szCs w:val="21"/>
                <w14:textFill>
                  <w14:solidFill>
                    <w14:schemeClr w14:val="tx1"/>
                  </w14:solidFill>
                </w14:textFill>
              </w:rPr>
              <w:t>园艺专业</w:t>
            </w:r>
            <w:r>
              <w:rPr>
                <w:rFonts w:ascii="宋体" w:hAnsi="宋体"/>
                <w:bCs/>
                <w:color w:val="0000FF"/>
                <w:szCs w:val="21"/>
              </w:rPr>
              <w:t xml:space="preserve"> </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对先修的要求：对</w:t>
            </w:r>
            <w:r>
              <w:rPr>
                <w:rFonts w:ascii="宋体" w:hAnsi="宋体"/>
                <w:b/>
                <w:bCs/>
                <w:szCs w:val="21"/>
              </w:rPr>
              <w:t>植物分类、生长特性</w:t>
            </w:r>
            <w:r>
              <w:rPr>
                <w:rFonts w:hint="eastAsia" w:ascii="宋体" w:hAnsi="宋体"/>
                <w:b/>
                <w:bCs/>
                <w:szCs w:val="21"/>
              </w:rPr>
              <w:t>、生命</w:t>
            </w:r>
            <w:r>
              <w:rPr>
                <w:rFonts w:ascii="宋体" w:hAnsi="宋体"/>
                <w:b/>
                <w:bCs/>
                <w:szCs w:val="21"/>
              </w:rPr>
              <w:t>活动等有基本的认知</w:t>
            </w:r>
            <w:r>
              <w:rPr>
                <w:rFonts w:hint="eastAsia" w:ascii="宋体" w:hAnsi="宋体"/>
                <w:b/>
                <w:bCs/>
                <w:szCs w:val="21"/>
              </w:rPr>
              <w:t>，对</w:t>
            </w:r>
            <w:r>
              <w:rPr>
                <w:rFonts w:ascii="宋体" w:hAnsi="宋体"/>
                <w:b/>
                <w:bCs/>
                <w:szCs w:val="21"/>
              </w:rPr>
              <w:t>园艺作物的分类、生长特性</w:t>
            </w:r>
            <w:r>
              <w:rPr>
                <w:rFonts w:hint="eastAsia" w:ascii="宋体" w:hAnsi="宋体"/>
                <w:b/>
                <w:bCs/>
                <w:szCs w:val="21"/>
              </w:rPr>
              <w:t>、</w:t>
            </w:r>
            <w:r>
              <w:rPr>
                <w:rFonts w:ascii="宋体" w:hAnsi="宋体"/>
                <w:b/>
                <w:bCs/>
                <w:szCs w:val="21"/>
              </w:rPr>
              <w:t>栽培基础</w:t>
            </w:r>
            <w:r>
              <w:rPr>
                <w:rFonts w:hint="eastAsia" w:ascii="宋体" w:hAnsi="宋体"/>
                <w:b/>
                <w:bCs/>
                <w:szCs w:val="21"/>
              </w:rPr>
              <w:t>、</w:t>
            </w:r>
            <w:r>
              <w:rPr>
                <w:rFonts w:ascii="宋体" w:hAnsi="宋体"/>
                <w:b/>
                <w:bCs/>
                <w:szCs w:val="21"/>
              </w:rPr>
              <w:t>设施结构有基本的了解</w:t>
            </w:r>
            <w:r>
              <w:rPr>
                <w:rFonts w:hint="eastAsia" w:ascii="宋体" w:hAnsi="宋体"/>
                <w:b/>
                <w:bCs/>
                <w:szCs w:val="21"/>
              </w:rPr>
              <w:t>。</w:t>
            </w:r>
          </w:p>
          <w:p>
            <w:pPr>
              <w:spacing w:line="300" w:lineRule="auto"/>
              <w:ind w:firstLine="422"/>
              <w:rPr>
                <w:rFonts w:ascii="宋体" w:hAnsi="宋体"/>
                <w:b/>
                <w:bCs/>
                <w:szCs w:val="21"/>
              </w:rPr>
            </w:pPr>
            <w:r>
              <w:rPr>
                <w:rFonts w:hint="eastAsia" w:ascii="宋体" w:hAnsi="宋体"/>
                <w:b/>
                <w:bCs/>
                <w:color w:val="000000" w:themeColor="text1"/>
                <w:szCs w:val="21"/>
                <w14:textFill>
                  <w14:solidFill>
                    <w14:schemeClr w14:val="tx1"/>
                  </w14:solidFill>
                </w14:textFill>
              </w:rPr>
              <w:t>先修课程</w:t>
            </w:r>
            <w:r>
              <w:rPr>
                <w:rFonts w:hint="eastAsia" w:asciiTheme="minorEastAsia" w:hAnsiTheme="minorEastAsia" w:eastAsiaTheme="minorEastAsia" w:cstheme="minorEastAsia"/>
                <w:b/>
                <w:bCs/>
                <w:color w:val="000000" w:themeColor="text1"/>
                <w:szCs w:val="21"/>
                <w14:textFill>
                  <w14:solidFill>
                    <w14:schemeClr w14:val="tx1"/>
                  </w14:solidFill>
                </w14:textFill>
              </w:rPr>
              <w:t>：</w:t>
            </w:r>
            <w:r>
              <w:rPr>
                <w:rFonts w:hint="eastAsia" w:asciiTheme="minorEastAsia" w:hAnsiTheme="minorEastAsia" w:eastAsiaTheme="minorEastAsia" w:cstheme="minorEastAsia"/>
                <w:b/>
                <w:bCs/>
                <w:szCs w:val="21"/>
              </w:rPr>
              <w:t>植物学、植物生理学、分析</w:t>
            </w:r>
            <w:r>
              <w:rPr>
                <w:rFonts w:asciiTheme="minorEastAsia" w:hAnsiTheme="minorEastAsia" w:eastAsiaTheme="minorEastAsia" w:cstheme="minorEastAsia"/>
                <w:b/>
                <w:bCs/>
                <w:szCs w:val="21"/>
              </w:rPr>
              <w:t>化学、</w:t>
            </w:r>
            <w:r>
              <w:rPr>
                <w:rFonts w:hint="eastAsia" w:asciiTheme="minorEastAsia" w:hAnsiTheme="minorEastAsia" w:eastAsiaTheme="minorEastAsia" w:cstheme="minorEastAsia"/>
                <w:b/>
                <w:bCs/>
                <w:szCs w:val="21"/>
              </w:rPr>
              <w:t>蔬菜栽培学。</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对后续的支撑：</w:t>
            </w:r>
            <w:r>
              <w:rPr>
                <w:rFonts w:hint="eastAsia" w:asciiTheme="minorEastAsia" w:hAnsiTheme="minorEastAsia" w:eastAsiaTheme="minorEastAsia" w:cstheme="minorEastAsia"/>
                <w:b/>
                <w:bCs/>
                <w:szCs w:val="21"/>
              </w:rPr>
              <w:t>无</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主撰人：吴帼秀</w:t>
            </w:r>
          </w:p>
        </w:tc>
        <w:tc>
          <w:tcPr>
            <w:tcW w:w="1453" w:type="pct"/>
          </w:tcPr>
          <w:p>
            <w:pPr>
              <w:spacing w:line="300" w:lineRule="auto"/>
              <w:ind w:firstLine="422"/>
              <w:rPr>
                <w:rFonts w:ascii="宋体" w:hAnsi="宋体"/>
                <w:b/>
                <w:bCs/>
                <w:szCs w:val="21"/>
              </w:rPr>
            </w:pPr>
            <w:r>
              <w:rPr>
                <w:rFonts w:hint="eastAsia" w:ascii="宋体" w:hAnsi="宋体"/>
                <w:b/>
                <w:bCs/>
                <w:szCs w:val="21"/>
              </w:rPr>
              <w:t>审核人：</w:t>
            </w:r>
            <w:r>
              <w:rPr>
                <w:rFonts w:ascii="宋体" w:hAnsi="宋体"/>
                <w:b/>
                <w:bCs/>
                <w:szCs w:val="21"/>
              </w:rPr>
              <w:t xml:space="preserve"> </w:t>
            </w:r>
            <w:r>
              <w:rPr>
                <w:rFonts w:hint="eastAsia" w:ascii="宋体" w:hAnsi="宋体"/>
                <w:b/>
                <w:bCs/>
                <w:szCs w:val="21"/>
              </w:rPr>
              <w:t>王吉庆、李胜利</w:t>
            </w:r>
          </w:p>
        </w:tc>
        <w:tc>
          <w:tcPr>
            <w:tcW w:w="1881" w:type="pct"/>
          </w:tcPr>
          <w:p>
            <w:pPr>
              <w:spacing w:line="300" w:lineRule="auto"/>
              <w:ind w:firstLine="422"/>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00" w:lineRule="auto"/>
        <w:ind w:right="-170" w:rightChars="-81" w:firstLine="285"/>
        <w:rPr>
          <w:rFonts w:ascii="宋体" w:hAnsi="宋体"/>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理念</w:t>
      </w:r>
      <w:r>
        <w:rPr>
          <w:rFonts w:ascii="宋体" w:hAnsi="宋体"/>
          <w:b/>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以问题为导向，以实践为抓手，以育人为目标。</w:t>
      </w:r>
    </w:p>
    <w:p>
      <w:pPr>
        <w:spacing w:line="300" w:lineRule="auto"/>
        <w:ind w:right="-170" w:rightChars="-81" w:firstLine="285"/>
        <w:rPr>
          <w:rFonts w:ascii="宋体" w:hAnsi="宋体"/>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性质</w:t>
      </w:r>
      <w:r>
        <w:rPr>
          <w:rFonts w:ascii="宋体" w:hAnsi="宋体"/>
          <w:b/>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《无土栽培学》是一门研究无土栽培技术原理、栽培方式和管理技术的一门综合性应用科学，是园艺专业的专业深化类课程。</w:t>
      </w:r>
    </w:p>
    <w:p>
      <w:pPr>
        <w:spacing w:line="300" w:lineRule="auto"/>
        <w:ind w:right="-170" w:rightChars="-81" w:firstLine="285"/>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目标和</w:t>
      </w:r>
      <w:r>
        <w:rPr>
          <w:rFonts w:ascii="宋体" w:hAnsi="宋体"/>
          <w:b/>
          <w:bCs/>
          <w:color w:val="000000" w:themeColor="text1"/>
          <w:szCs w:val="21"/>
          <w14:textFill>
            <w14:solidFill>
              <w14:schemeClr w14:val="tx1"/>
            </w14:solidFill>
          </w14:textFill>
        </w:rPr>
        <w:t>任务</w:t>
      </w:r>
      <w:r>
        <w:rPr>
          <w:rFonts w:hint="eastAsia" w:ascii="宋体" w:hAnsi="宋体"/>
          <w:b/>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知识方面，认识植物在无土栽培条件下对养分、水分、氧气的需求规律，掌握营养液的配制及管理技术、固体基质的性质及选配原则、常用无土栽培生产设施与管理办法，常见无土栽培作物的种植管理方法。能力上：培养学生指导及从事蔬菜、花卉作物无土栽培生产的能力，加强学生熟练掌握现代化高新技术并将其有效应用于农业生产的潜能，最终使学生具备勇于探索、乐于创新、勤学务实、扎实肯干的素质，培养新时代“三农”人才，从而服务于乡村振兴。</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jc w:val="left"/>
        <w:rPr>
          <w:rFonts w:hAnsi="宋体"/>
          <w:color w:val="000000" w:themeColor="text1"/>
          <w:kern w:val="0"/>
          <w:szCs w:val="21"/>
          <w14:textFill>
            <w14:solidFill>
              <w14:schemeClr w14:val="tx1"/>
            </w14:solidFill>
          </w14:textFill>
        </w:rPr>
      </w:pPr>
      <w:r>
        <w:rPr>
          <w:kern w:val="0"/>
          <w:szCs w:val="21"/>
        </w:rPr>
        <w:t xml:space="preserve">    </w:t>
      </w:r>
      <w:r>
        <w:rPr>
          <w:rFonts w:hint="eastAsia"/>
          <w:color w:val="000000" w:themeColor="text1"/>
          <w:kern w:val="0"/>
          <w:szCs w:val="21"/>
          <w14:textFill>
            <w14:solidFill>
              <w14:schemeClr w14:val="tx1"/>
            </w14:solidFill>
          </w14:textFill>
        </w:rPr>
        <w:t xml:space="preserve">  1.</w:t>
      </w:r>
      <w:r>
        <w:rPr>
          <w:rFonts w:hAnsi="宋体"/>
          <w:color w:val="000000" w:themeColor="text1"/>
          <w:kern w:val="0"/>
          <w:szCs w:val="21"/>
          <w14:textFill>
            <w14:solidFill>
              <w14:schemeClr w14:val="tx1"/>
            </w14:solidFill>
          </w14:textFill>
        </w:rPr>
        <w:t>理论知识方面：</w:t>
      </w:r>
      <w:r>
        <w:rPr>
          <w:rFonts w:hint="eastAsia" w:hAnsi="宋体"/>
          <w:color w:val="000000" w:themeColor="text1"/>
          <w:kern w:val="0"/>
          <w:szCs w:val="21"/>
          <w14:textFill>
            <w14:solidFill>
              <w14:schemeClr w14:val="tx1"/>
            </w14:solidFill>
          </w14:textFill>
        </w:rPr>
        <w:t>基本掌握无土栽培营养液的配制及管理技术，固体基质的性质、作用及选用原则，常见水培、雾培、基质栽培的设施与管理及栽培技术，并了解无土栽培的应用领域及前景。</w:t>
      </w:r>
      <w:r>
        <w:rPr>
          <w:rFonts w:hint="eastAsia" w:hAnsi="宋体"/>
          <w:bCs/>
          <w:color w:val="000000" w:themeColor="text1"/>
          <w:kern w:val="0"/>
          <w:szCs w:val="21"/>
          <w14:textFill>
            <w14:solidFill>
              <w14:schemeClr w14:val="tx1"/>
            </w14:solidFill>
          </w14:textFill>
        </w:rPr>
        <w:t xml:space="preserve"> </w:t>
      </w:r>
    </w:p>
    <w:p>
      <w:pPr>
        <w:widowControl/>
        <w:snapToGrid w:val="0"/>
        <w:spacing w:line="360" w:lineRule="auto"/>
        <w:jc w:val="left"/>
        <w:rPr>
          <w:rFonts w:hAnsi="宋体"/>
          <w:bCs/>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 xml:space="preserve">    </w:t>
      </w:r>
      <w:r>
        <w:rPr>
          <w:rFonts w:hint="eastAsia"/>
          <w:color w:val="000000" w:themeColor="text1"/>
          <w:kern w:val="0"/>
          <w:szCs w:val="21"/>
          <w14:textFill>
            <w14:solidFill>
              <w14:schemeClr w14:val="tx1"/>
            </w14:solidFill>
          </w14:textFill>
        </w:rPr>
        <w:t xml:space="preserve">  2.</w:t>
      </w:r>
      <w:r>
        <w:rPr>
          <w:rFonts w:hAnsi="宋体"/>
          <w:color w:val="000000" w:themeColor="text1"/>
          <w:kern w:val="0"/>
          <w:szCs w:val="21"/>
          <w14:textFill>
            <w14:solidFill>
              <w14:schemeClr w14:val="tx1"/>
            </w14:solidFill>
          </w14:textFill>
        </w:rPr>
        <w:t>实验技能方面：</w:t>
      </w:r>
      <w:r>
        <w:rPr>
          <w:rFonts w:hint="eastAsia" w:hAnsi="宋体"/>
          <w:color w:val="000000" w:themeColor="text1"/>
          <w:kern w:val="0"/>
          <w:szCs w:val="21"/>
          <w14:textFill>
            <w14:solidFill>
              <w14:schemeClr w14:val="tx1"/>
            </w14:solidFill>
          </w14:textFill>
        </w:rPr>
        <w:t>能够配制无土栽培营养液及固体基质，设计简易无土栽培装置，掌握无土栽培的基本技术环节及管理技能，培养学生的管理、开发及设计的能力。</w:t>
      </w:r>
    </w:p>
    <w:p>
      <w:pPr>
        <w:widowControl/>
        <w:snapToGrid w:val="0"/>
        <w:spacing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理论教学以问题为导向，采用线上线下混合式教学。教师在课前提出一个小问题，引导学生个性化自主学习。课中为知识内化阶段，教师利用翻转课堂等形式检验学习成果，解析重点难点问题，同时融入课程思政，升华主题。课后为知识迁移阶段，教师分析总结课堂教学过程并借助交流平台引导学生复习，同时组织开展课外实践，学生将所学知识迁移应用到实际情境中解决问题，达到对知识的深层应用。</w:t>
      </w:r>
    </w:p>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实验教学以“项目教学法”为主，以学生为中心进行。将实验分为基础类实验和综合类实验，在教师指导下，学生完成项目，在此过程中，同学们不但熟练掌握了基本实验技能，而且在实践操作时发现生产中存在的问题，团队成员共同努力，通过查阅文献、咨询老师最终解决问题，收获喜悦。</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培养学生指导及从事蔬菜、花卉作物无土栽培生产的能力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5</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color w:val="000000" w:themeColor="text1"/>
                <w:sz w:val="18"/>
                <w:szCs w:val="18"/>
                <w:highlight w:val="yellow"/>
                <w14:textFill>
                  <w14:solidFill>
                    <w14:schemeClr w14:val="tx1"/>
                  </w14:solidFill>
                </w14:textFill>
              </w:rPr>
            </w:pPr>
            <w:r>
              <w:rPr>
                <w:rFonts w:hint="eastAsia" w:hAnsiTheme="minorEastAsia" w:eastAsiaTheme="minorEastAsia"/>
                <w:color w:val="000000" w:themeColor="text1"/>
                <w:sz w:val="18"/>
                <w:szCs w:val="18"/>
                <w14:textFill>
                  <w14:solidFill>
                    <w14:schemeClr w14:val="tx1"/>
                  </w14:solidFill>
                </w14:textFill>
              </w:rPr>
              <w:t>加强学生熟练掌握现代化高新技术并将其有效应用于农业生产的潜能</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4</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color w:val="000000" w:themeColor="text1"/>
                <w:sz w:val="18"/>
                <w:szCs w:val="18"/>
                <w14:textFill>
                  <w14:solidFill>
                    <w14:schemeClr w14:val="tx1"/>
                  </w14:solidFill>
                </w14:textFill>
              </w:rPr>
            </w:pPr>
            <w:r>
              <w:rPr>
                <w:rFonts w:hint="eastAsia" w:hAnsiTheme="minorEastAsia" w:eastAsiaTheme="minorEastAsia"/>
                <w:color w:val="000000" w:themeColor="text1"/>
                <w:sz w:val="18"/>
                <w:szCs w:val="18"/>
                <w14:textFill>
                  <w14:solidFill>
                    <w14:schemeClr w14:val="tx1"/>
                  </w14:solidFill>
                </w14:textFill>
              </w:rPr>
              <w:t>培养</w:t>
            </w:r>
            <w:r>
              <w:rPr>
                <w:rFonts w:hAnsiTheme="minorEastAsia" w:eastAsiaTheme="minorEastAsia"/>
                <w:color w:val="000000" w:themeColor="text1"/>
                <w:sz w:val="18"/>
                <w:szCs w:val="18"/>
                <w14:textFill>
                  <w14:solidFill>
                    <w14:schemeClr w14:val="tx1"/>
                  </w14:solidFill>
                </w14:textFill>
              </w:rPr>
              <w:t>学生</w:t>
            </w:r>
            <w:r>
              <w:rPr>
                <w:rFonts w:hint="eastAsia" w:hAnsiTheme="minorEastAsia" w:eastAsiaTheme="minorEastAsia"/>
                <w:color w:val="000000" w:themeColor="text1"/>
                <w:sz w:val="18"/>
                <w:szCs w:val="18"/>
                <w14:textFill>
                  <w14:solidFill>
                    <w14:schemeClr w14:val="tx1"/>
                  </w14:solidFill>
                </w14:textFill>
              </w:rPr>
              <w:t>勇于探索、乐于创新、勤学务实、扎实肯干的素质</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hint="eastAsia"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7</w:t>
            </w:r>
          </w:p>
          <w:p>
            <w:pPr>
              <w:spacing w:line="320" w:lineRule="exact"/>
              <w:ind w:firstLine="360"/>
              <w:jc w:val="both"/>
              <w:rPr>
                <w:rFonts w:eastAsiaTheme="minorEastAsia"/>
                <w:color w:val="000000" w:themeColor="text1"/>
                <w:sz w:val="18"/>
                <w:szCs w:val="18"/>
                <w14:textFill>
                  <w14:solidFill>
                    <w14:schemeClr w14:val="tx1"/>
                  </w14:solidFill>
                </w14:textFill>
              </w:rPr>
            </w:pPr>
            <w:r>
              <w:rPr>
                <w:rFonts w:hint="eastAsia" w:eastAsiaTheme="minorEastAsia"/>
                <w:color w:val="000000" w:themeColor="text1"/>
                <w:sz w:val="18"/>
                <w:szCs w:val="18"/>
                <w14:textFill>
                  <w14:solidFill>
                    <w14:schemeClr w14:val="tx1"/>
                  </w14:solidFill>
                </w14:textFill>
              </w:rPr>
              <w:t>10</w:t>
            </w:r>
          </w:p>
        </w:tc>
      </w:tr>
    </w:tbl>
    <w:p>
      <w:pPr>
        <w:widowControl/>
        <w:snapToGrid w:val="0"/>
        <w:spacing w:line="360" w:lineRule="auto"/>
        <w:ind w:firstLine="420" w:firstLineChars="200"/>
        <w:jc w:val="left"/>
        <w:rPr>
          <w:rFonts w:hAnsi="宋体"/>
          <w:bCs/>
          <w:color w:val="000000" w:themeColor="text1"/>
          <w:kern w:val="0"/>
          <w:szCs w:val="21"/>
          <w14:textFill>
            <w14:solidFill>
              <w14:schemeClr w14:val="tx1"/>
            </w14:solidFill>
          </w14:textFill>
        </w:rPr>
      </w:pPr>
    </w:p>
    <w:p>
      <w:pPr>
        <w:widowControl/>
        <w:snapToGrid w:val="0"/>
        <w:spacing w:line="360" w:lineRule="auto"/>
        <w:jc w:val="left"/>
        <w:rPr>
          <w:rFonts w:hAnsi="宋体"/>
          <w:b/>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hAnsi="宋体"/>
          <w:b/>
          <w:bCs/>
          <w:kern w:val="0"/>
          <w:szCs w:val="21"/>
        </w:rPr>
        <w:t>20</w:t>
      </w:r>
      <w:r>
        <w:rPr>
          <w:rFonts w:hint="eastAsia" w:hAnsi="宋体"/>
          <w:b/>
          <w:bCs/>
          <w:kern w:val="0"/>
          <w:szCs w:val="21"/>
        </w:rPr>
        <w:t>学时）</w:t>
      </w:r>
    </w:p>
    <w:p>
      <w:pPr>
        <w:widowControl/>
        <w:wordWrap w:val="0"/>
        <w:snapToGrid w:val="0"/>
        <w:spacing w:line="360" w:lineRule="auto"/>
        <w:jc w:val="right"/>
        <w:rPr>
          <w:kern w:val="0"/>
          <w:szCs w:val="21"/>
        </w:rPr>
      </w:pPr>
      <w:r>
        <w:rPr>
          <w:rFonts w:hint="eastAsia" w:hAnsi="宋体"/>
          <w:b/>
          <w:bCs/>
          <w:kern w:val="0"/>
          <w:szCs w:val="21"/>
        </w:rPr>
        <w:t>第一章 绪论</w:t>
      </w:r>
      <w:r>
        <w:rPr>
          <w:rFonts w:hAnsi="宋体"/>
          <w:b/>
          <w:bCs/>
          <w:kern w:val="0"/>
          <w:szCs w:val="21"/>
        </w:rPr>
        <w:t xml:space="preserve">              </w:t>
      </w:r>
      <w:r>
        <w:rPr>
          <w:rFonts w:hint="eastAsia" w:hAnsi="宋体"/>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Ansi="宋体"/>
          <w:b/>
          <w:bCs/>
          <w:color w:val="000000" w:themeColor="text1"/>
          <w:kern w:val="0"/>
          <w:szCs w:val="21"/>
          <w14:textFill>
            <w14:solidFill>
              <w14:schemeClr w14:val="tx1"/>
            </w14:solidFill>
          </w14:textFill>
        </w:rPr>
        <w:t>2</w:t>
      </w:r>
      <w:r>
        <w:rPr>
          <w:rFonts w:hint="eastAsia" w:hAnsi="宋体"/>
          <w:bCs/>
          <w:color w:val="0000FF"/>
          <w:kern w:val="0"/>
          <w:szCs w:val="21"/>
        </w:rPr>
        <w:t xml:space="preserve"> </w:t>
      </w:r>
    </w:p>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了解无土栽培的发展历史、现状及趋势，掌握无土栽培的概念、分类及特点。意识到掌握</w:t>
      </w:r>
      <w:r>
        <w:rPr>
          <w:rFonts w:ascii="宋体" w:hAnsi="宋体"/>
          <w:bCs/>
        </w:rPr>
        <w:t>无土栽培技术对现代农业发展的重要性。</w:t>
      </w:r>
    </w:p>
    <w:p>
      <w:pPr>
        <w:widowControl/>
        <w:snapToGrid w:val="0"/>
        <w:spacing w:line="360" w:lineRule="auto"/>
        <w:rPr>
          <w:rFonts w:ascii="宋体" w:hAnsi="宋体"/>
          <w:bCs/>
        </w:rPr>
      </w:pPr>
      <w:r>
        <w:rPr>
          <w:rFonts w:hint="eastAsia" w:ascii="宋体" w:hAnsi="宋体"/>
          <w:b/>
          <w:bCs/>
        </w:rPr>
        <w:t>教学重点和难点：</w:t>
      </w:r>
      <w:r>
        <w:rPr>
          <w:rFonts w:hint="eastAsia" w:ascii="宋体" w:hAnsi="宋体"/>
          <w:bCs/>
        </w:rPr>
        <w:t>无土栽培的概念、优缺点及分类。</w:t>
      </w:r>
    </w:p>
    <w:p>
      <w:pPr>
        <w:widowControl/>
        <w:snapToGrid w:val="0"/>
        <w:spacing w:line="360" w:lineRule="auto"/>
        <w:rPr>
          <w:rFonts w:hAnsi="宋体"/>
          <w:kern w:val="0"/>
          <w:szCs w:val="21"/>
        </w:rPr>
      </w:pPr>
      <w:r>
        <w:rPr>
          <w:rFonts w:hint="eastAsia" w:ascii="宋体" w:hAnsi="宋体"/>
          <w:b/>
          <w:bCs/>
        </w:rPr>
        <w:t>主要教学内容及要求：</w:t>
      </w:r>
      <w:r>
        <w:rPr>
          <w:rFonts w:hint="eastAsia" w:hAnsi="宋体"/>
          <w:kern w:val="0"/>
          <w:szCs w:val="21"/>
        </w:rPr>
        <w:t>了解无土栽培技术的发展历史及现状；理解无土栽培的未来趋势；掌握无土栽培的应用领域；熟练掌握无土栽培的分类与特点。</w:t>
      </w:r>
    </w:p>
    <w:p>
      <w:pPr>
        <w:pStyle w:val="35"/>
        <w:widowControl/>
        <w:numPr>
          <w:ilvl w:val="0"/>
          <w:numId w:val="29"/>
        </w:numPr>
        <w:snapToGrid w:val="0"/>
        <w:spacing w:line="360" w:lineRule="auto"/>
        <w:ind w:firstLineChars="0"/>
        <w:rPr>
          <w:rFonts w:hAnsi="宋体"/>
          <w:kern w:val="0"/>
          <w:szCs w:val="21"/>
        </w:rPr>
      </w:pPr>
      <w:r>
        <w:rPr>
          <w:rFonts w:hint="eastAsia" w:hAnsi="宋体"/>
          <w:kern w:val="0"/>
          <w:szCs w:val="21"/>
        </w:rPr>
        <w:t>无土栽培的分类与特点</w:t>
      </w:r>
    </w:p>
    <w:p>
      <w:pPr>
        <w:pStyle w:val="35"/>
        <w:widowControl/>
        <w:numPr>
          <w:ilvl w:val="0"/>
          <w:numId w:val="29"/>
        </w:numPr>
        <w:snapToGrid w:val="0"/>
        <w:spacing w:line="360" w:lineRule="auto"/>
        <w:ind w:firstLineChars="0"/>
        <w:rPr>
          <w:rFonts w:hAnsi="宋体"/>
          <w:kern w:val="0"/>
          <w:szCs w:val="21"/>
        </w:rPr>
      </w:pPr>
      <w:r>
        <w:rPr>
          <w:rFonts w:hint="eastAsia"/>
          <w:bCs/>
          <w:kern w:val="0"/>
          <w:szCs w:val="21"/>
        </w:rPr>
        <w:t>无土栽培技术的发展历史</w:t>
      </w:r>
    </w:p>
    <w:p>
      <w:pPr>
        <w:pStyle w:val="35"/>
        <w:widowControl/>
        <w:numPr>
          <w:ilvl w:val="0"/>
          <w:numId w:val="29"/>
        </w:numPr>
        <w:snapToGrid w:val="0"/>
        <w:spacing w:line="360" w:lineRule="auto"/>
        <w:ind w:firstLineChars="0"/>
        <w:rPr>
          <w:rFonts w:hAnsi="宋体"/>
          <w:kern w:val="0"/>
          <w:szCs w:val="21"/>
        </w:rPr>
      </w:pPr>
      <w:r>
        <w:rPr>
          <w:rFonts w:hint="eastAsia"/>
          <w:bCs/>
          <w:kern w:val="0"/>
          <w:szCs w:val="21"/>
        </w:rPr>
        <w:t>无土栽培的现状与展望</w:t>
      </w:r>
      <w:r>
        <w:rPr>
          <w:bCs/>
          <w:kern w:val="0"/>
          <w:szCs w:val="21"/>
        </w:rPr>
        <w:t>    </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rPr>
          <w:rFonts w:ascii="宋体" w:hAnsi="宋体"/>
          <w:bCs/>
        </w:rPr>
      </w:pPr>
      <w:r>
        <w:rPr>
          <w:rFonts w:hint="eastAsia" w:ascii="宋体" w:hAnsi="宋体"/>
          <w:bCs/>
        </w:rPr>
        <w:t>1.课前在超星</w:t>
      </w:r>
      <w:r>
        <w:rPr>
          <w:rFonts w:ascii="宋体" w:hAnsi="宋体"/>
          <w:bCs/>
        </w:rPr>
        <w:t>学习通上</w:t>
      </w:r>
      <w:r>
        <w:rPr>
          <w:rFonts w:hint="eastAsia" w:ascii="宋体" w:hAnsi="宋体"/>
          <w:bCs/>
        </w:rPr>
        <w:t>发布</w:t>
      </w:r>
      <w:r>
        <w:rPr>
          <w:rFonts w:ascii="宋体" w:hAnsi="宋体"/>
          <w:bCs/>
        </w:rPr>
        <w:t>讨论“</w:t>
      </w:r>
      <w:r>
        <w:rPr>
          <w:rFonts w:hint="eastAsia" w:ascii="宋体" w:hAnsi="宋体"/>
          <w:bCs/>
        </w:rPr>
        <w:t>你所</w:t>
      </w:r>
      <w:r>
        <w:rPr>
          <w:rFonts w:ascii="宋体" w:hAnsi="宋体"/>
          <w:bCs/>
        </w:rPr>
        <w:t>了解的无土栽培是什么样的?”,</w:t>
      </w:r>
      <w:r>
        <w:rPr>
          <w:rFonts w:hint="eastAsia" w:ascii="宋体" w:hAnsi="宋体"/>
          <w:bCs/>
        </w:rPr>
        <w:t>并</w:t>
      </w:r>
      <w:r>
        <w:rPr>
          <w:rFonts w:ascii="宋体" w:hAnsi="宋体"/>
          <w:bCs/>
        </w:rPr>
        <w:t>上传课件等学习资料，让学生进行自学。</w:t>
      </w:r>
    </w:p>
    <w:p>
      <w:pPr>
        <w:widowControl/>
        <w:snapToGrid w:val="0"/>
        <w:spacing w:line="360" w:lineRule="auto"/>
        <w:rPr>
          <w:rFonts w:ascii="宋体" w:hAnsi="宋体"/>
          <w:bCs/>
        </w:rPr>
      </w:pPr>
      <w:r>
        <w:rPr>
          <w:rFonts w:ascii="宋体" w:hAnsi="宋体"/>
          <w:bCs/>
        </w:rPr>
        <w:t>2.</w:t>
      </w:r>
      <w:r>
        <w:rPr>
          <w:rFonts w:hint="eastAsia" w:ascii="宋体" w:hAnsi="宋体"/>
          <w:bCs/>
        </w:rPr>
        <w:t>采用</w:t>
      </w:r>
      <w:r>
        <w:rPr>
          <w:rFonts w:ascii="宋体" w:hAnsi="宋体"/>
          <w:bCs/>
        </w:rPr>
        <w:t>导入课程等手段，使学生认识到本课程的地位</w:t>
      </w:r>
      <w:r>
        <w:rPr>
          <w:rFonts w:hint="eastAsia" w:ascii="宋体" w:hAnsi="宋体"/>
          <w:bCs/>
        </w:rPr>
        <w:t>、</w:t>
      </w:r>
      <w:r>
        <w:rPr>
          <w:rFonts w:ascii="宋体" w:hAnsi="宋体"/>
          <w:bCs/>
        </w:rPr>
        <w:t>对生产的意义，并检验课前自学情况。</w:t>
      </w:r>
    </w:p>
    <w:p>
      <w:pPr>
        <w:widowControl/>
        <w:snapToGrid w:val="0"/>
        <w:spacing w:line="360" w:lineRule="auto"/>
        <w:rPr>
          <w:rFonts w:ascii="宋体" w:hAnsi="宋体"/>
          <w:bCs/>
        </w:rPr>
      </w:pPr>
      <w:r>
        <w:rPr>
          <w:rFonts w:ascii="宋体" w:hAnsi="宋体"/>
          <w:bCs/>
        </w:rPr>
        <w:t>3.</w:t>
      </w:r>
      <w:r>
        <w:rPr>
          <w:rFonts w:hint="eastAsia" w:ascii="宋体" w:hAnsi="宋体"/>
          <w:bCs/>
        </w:rPr>
        <w:t xml:space="preserve"> 以</w:t>
      </w:r>
      <w:r>
        <w:rPr>
          <w:rFonts w:ascii="宋体" w:hAnsi="宋体"/>
          <w:bCs/>
        </w:rPr>
        <w:t>比较、归纳的方法</w:t>
      </w:r>
      <w:r>
        <w:rPr>
          <w:rFonts w:hint="eastAsia" w:ascii="宋体" w:hAnsi="宋体"/>
          <w:bCs/>
        </w:rPr>
        <w:t>总结</w:t>
      </w:r>
      <w:r>
        <w:rPr>
          <w:rFonts w:ascii="宋体" w:hAnsi="宋体"/>
          <w:bCs/>
        </w:rPr>
        <w:t>知识点，</w:t>
      </w:r>
      <w:r>
        <w:rPr>
          <w:rFonts w:hint="eastAsia" w:ascii="宋体" w:hAnsi="宋体"/>
          <w:bCs/>
        </w:rPr>
        <w:t>采用</w:t>
      </w:r>
      <w:r>
        <w:rPr>
          <w:rFonts w:ascii="宋体" w:hAnsi="宋体"/>
          <w:bCs/>
        </w:rPr>
        <w:t>多媒体教学，</w:t>
      </w:r>
      <w:r>
        <w:rPr>
          <w:rFonts w:hint="eastAsia" w:ascii="宋体" w:hAnsi="宋体"/>
          <w:bCs/>
        </w:rPr>
        <w:t>形象地</w:t>
      </w:r>
      <w:r>
        <w:rPr>
          <w:rFonts w:ascii="宋体" w:hAnsi="宋体"/>
          <w:bCs/>
        </w:rPr>
        <w:t>向学生展示、讲解</w:t>
      </w:r>
      <w:r>
        <w:rPr>
          <w:rFonts w:hint="eastAsia" w:ascii="宋体" w:hAnsi="宋体"/>
          <w:bCs/>
        </w:rPr>
        <w:t>重点</w:t>
      </w:r>
      <w:r>
        <w:rPr>
          <w:rFonts w:ascii="宋体" w:hAnsi="宋体"/>
          <w:bCs/>
        </w:rPr>
        <w:t>难点问题。</w:t>
      </w:r>
    </w:p>
    <w:p>
      <w:pPr>
        <w:widowControl/>
        <w:snapToGrid w:val="0"/>
        <w:spacing w:line="360" w:lineRule="auto"/>
        <w:rPr>
          <w:rFonts w:ascii="宋体" w:hAnsi="宋体"/>
          <w:bCs/>
        </w:rPr>
      </w:pPr>
      <w:r>
        <w:rPr>
          <w:rFonts w:ascii="宋体" w:hAnsi="宋体"/>
          <w:bCs/>
        </w:rPr>
        <w:t>4.</w:t>
      </w:r>
      <w:r>
        <w:rPr>
          <w:rFonts w:hint="eastAsia" w:ascii="宋体" w:hAnsi="宋体"/>
          <w:bCs/>
        </w:rPr>
        <w:t>采用归纳</w:t>
      </w:r>
      <w:r>
        <w:rPr>
          <w:rFonts w:ascii="宋体" w:hAnsi="宋体"/>
          <w:bCs/>
        </w:rPr>
        <w:t>、提问</w:t>
      </w:r>
      <w:r>
        <w:rPr>
          <w:rFonts w:hint="eastAsia" w:ascii="宋体" w:hAnsi="宋体"/>
          <w:bCs/>
        </w:rPr>
        <w:t>的</w:t>
      </w:r>
      <w:r>
        <w:rPr>
          <w:rFonts w:ascii="宋体" w:hAnsi="宋体"/>
          <w:bCs/>
        </w:rPr>
        <w:t>形式，总结</w:t>
      </w:r>
      <w:r>
        <w:rPr>
          <w:rFonts w:hint="eastAsia" w:ascii="宋体" w:hAnsi="宋体"/>
          <w:bCs/>
        </w:rPr>
        <w:t>章节</w:t>
      </w:r>
      <w:r>
        <w:rPr>
          <w:rFonts w:ascii="宋体" w:hAnsi="宋体"/>
          <w:bCs/>
        </w:rPr>
        <w:t>知识点，引入课程思政，并引出下节学习</w:t>
      </w:r>
      <w:r>
        <w:rPr>
          <w:rFonts w:hint="eastAsia" w:ascii="宋体" w:hAnsi="宋体"/>
          <w:bCs/>
        </w:rPr>
        <w:t>内容</w:t>
      </w:r>
      <w:r>
        <w:rPr>
          <w:rFonts w:ascii="宋体" w:hAnsi="宋体"/>
          <w:bCs/>
        </w:rPr>
        <w:t>。</w:t>
      </w:r>
    </w:p>
    <w:p>
      <w:pPr>
        <w:widowControl/>
        <w:wordWrap w:val="0"/>
        <w:snapToGrid w:val="0"/>
        <w:spacing w:line="360" w:lineRule="auto"/>
        <w:jc w:val="right"/>
        <w:rPr>
          <w:kern w:val="0"/>
          <w:szCs w:val="21"/>
        </w:rPr>
      </w:pPr>
      <w:r>
        <w:rPr>
          <w:b/>
          <w:bCs/>
          <w:kern w:val="0"/>
          <w:szCs w:val="21"/>
        </w:rPr>
        <w:t>   </w:t>
      </w:r>
      <w:r>
        <w:rPr>
          <w:rFonts w:hAnsi="宋体"/>
          <w:b/>
          <w:bCs/>
          <w:kern w:val="0"/>
          <w:szCs w:val="21"/>
        </w:rPr>
        <w:t>第</w:t>
      </w:r>
      <w:r>
        <w:rPr>
          <w:rFonts w:hint="eastAsia" w:hAnsi="宋体"/>
          <w:b/>
          <w:bCs/>
          <w:kern w:val="0"/>
          <w:szCs w:val="21"/>
        </w:rPr>
        <w:t>二</w:t>
      </w:r>
      <w:r>
        <w:rPr>
          <w:rFonts w:hAnsi="宋体"/>
          <w:b/>
          <w:bCs/>
          <w:kern w:val="0"/>
          <w:szCs w:val="21"/>
        </w:rPr>
        <w:t>章</w:t>
      </w:r>
      <w:r>
        <w:rPr>
          <w:b/>
          <w:bCs/>
          <w:kern w:val="0"/>
          <w:szCs w:val="21"/>
        </w:rPr>
        <w:t>    </w:t>
      </w:r>
      <w:r>
        <w:rPr>
          <w:rFonts w:hint="eastAsia" w:ascii="宋体" w:hAnsi="宋体"/>
          <w:b/>
          <w:bCs/>
        </w:rPr>
        <w:t>营养液</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Ansi="宋体"/>
          <w:b/>
          <w:bCs/>
          <w:kern w:val="0"/>
          <w:szCs w:val="21"/>
        </w:rPr>
        <w:t>4</w:t>
      </w:r>
    </w:p>
    <w:p>
      <w:pPr>
        <w:widowControl/>
        <w:snapToGrid w:val="0"/>
        <w:spacing w:line="360" w:lineRule="auto"/>
        <w:jc w:val="left"/>
        <w:rPr>
          <w:rFonts w:ascii="宋体" w:hAnsi="宋体"/>
          <w:bCs/>
        </w:rPr>
      </w:pPr>
      <w:r>
        <w:rPr>
          <w:rFonts w:hint="eastAsia" w:ascii="宋体" w:hAnsi="宋体"/>
          <w:b/>
          <w:bCs/>
        </w:rPr>
        <w:t>教学目的：</w:t>
      </w:r>
      <w:r>
        <w:rPr>
          <w:rFonts w:hint="eastAsia" w:hAnsi="宋体"/>
          <w:kern w:val="0"/>
          <w:szCs w:val="21"/>
        </w:rPr>
        <w:t>理解无土栽培的理论基础是矿质营养学说；</w:t>
      </w:r>
      <w:r>
        <w:rPr>
          <w:rFonts w:hint="eastAsia" w:ascii="宋体" w:hAnsi="宋体"/>
          <w:bCs/>
        </w:rPr>
        <w:t>掌握营养液的原料及其要求，掌握营养液的组成</w:t>
      </w:r>
      <w:r>
        <w:rPr>
          <w:rFonts w:ascii="宋体" w:hAnsi="宋体"/>
          <w:bCs/>
        </w:rPr>
        <w:t>、</w:t>
      </w:r>
      <w:r>
        <w:rPr>
          <w:rFonts w:hint="eastAsia" w:ascii="宋体" w:hAnsi="宋体"/>
          <w:bCs/>
        </w:rPr>
        <w:t>配制方法及管理技术。认识到</w:t>
      </w:r>
      <w:r>
        <w:rPr>
          <w:rFonts w:ascii="宋体" w:hAnsi="宋体"/>
          <w:bCs/>
        </w:rPr>
        <w:t>营养液在</w:t>
      </w:r>
      <w:r>
        <w:rPr>
          <w:rFonts w:hint="eastAsia" w:ascii="宋体" w:hAnsi="宋体"/>
          <w:bCs/>
        </w:rPr>
        <w:t>无土</w:t>
      </w:r>
      <w:r>
        <w:rPr>
          <w:rFonts w:ascii="宋体" w:hAnsi="宋体"/>
          <w:bCs/>
        </w:rPr>
        <w:t>栽培过程中的关键作用。</w:t>
      </w:r>
    </w:p>
    <w:p>
      <w:pPr>
        <w:widowControl/>
        <w:snapToGrid w:val="0"/>
        <w:spacing w:line="360" w:lineRule="auto"/>
        <w:jc w:val="left"/>
        <w:rPr>
          <w:rFonts w:ascii="宋体" w:hAnsi="宋体"/>
          <w:bCs/>
        </w:rPr>
      </w:pPr>
      <w:r>
        <w:rPr>
          <w:rFonts w:hint="eastAsia" w:ascii="宋体" w:hAnsi="宋体"/>
          <w:b/>
          <w:bCs/>
        </w:rPr>
        <w:t>教学重点和难点：</w:t>
      </w:r>
      <w:r>
        <w:rPr>
          <w:rFonts w:hint="eastAsia" w:ascii="宋体" w:hAnsi="宋体"/>
          <w:bCs/>
        </w:rPr>
        <w:t>营养液的组成原则和确定方法；营养液的配制及</w:t>
      </w:r>
      <w:r>
        <w:rPr>
          <w:rFonts w:ascii="宋体" w:hAnsi="宋体"/>
          <w:bCs/>
        </w:rPr>
        <w:t>管理技术</w:t>
      </w:r>
      <w:r>
        <w:rPr>
          <w:rFonts w:hint="eastAsia" w:ascii="宋体" w:hAnsi="宋体"/>
          <w:bCs/>
        </w:rPr>
        <w:t>。</w:t>
      </w:r>
    </w:p>
    <w:p>
      <w:pPr>
        <w:widowControl/>
        <w:snapToGrid w:val="0"/>
        <w:spacing w:line="360" w:lineRule="auto"/>
        <w:jc w:val="left"/>
        <w:rPr>
          <w:rFonts w:ascii="宋体" w:hAnsi="宋体"/>
          <w:bCs/>
        </w:rPr>
      </w:pPr>
      <w:r>
        <w:rPr>
          <w:rFonts w:hint="eastAsia" w:ascii="宋体" w:hAnsi="宋体"/>
          <w:b/>
          <w:bCs/>
        </w:rPr>
        <w:t>主要教学内容及要求：</w:t>
      </w:r>
      <w:r>
        <w:rPr>
          <w:rFonts w:hint="eastAsia" w:ascii="宋体" w:hAnsi="宋体"/>
          <w:bCs/>
        </w:rPr>
        <w:t>了解营养液的变化规律、调控措施及其循环利用技术，了解营养液的多种配方；理解</w:t>
      </w:r>
      <w:r>
        <w:rPr>
          <w:rFonts w:hint="eastAsia" w:ascii="宋体" w:hAnsi="宋体"/>
        </w:rPr>
        <w:t>矿质营养学说与无土栽培的关系</w:t>
      </w:r>
      <w:r>
        <w:rPr>
          <w:rFonts w:ascii="宋体" w:hAnsi="宋体"/>
        </w:rPr>
        <w:t>，</w:t>
      </w:r>
      <w:r>
        <w:rPr>
          <w:rFonts w:hint="eastAsia" w:ascii="宋体" w:hAnsi="宋体"/>
          <w:bCs/>
        </w:rPr>
        <w:t>理解营养液对水质和化合物的要求及营养液原料的理化性质；掌握营养液的表示方法、组成原则和确定方法；熟练掌握营养液的配制方法及管理技术。</w:t>
      </w:r>
    </w:p>
    <w:p>
      <w:pPr>
        <w:pStyle w:val="35"/>
        <w:widowControl/>
        <w:numPr>
          <w:ilvl w:val="0"/>
          <w:numId w:val="30"/>
        </w:numPr>
        <w:snapToGrid w:val="0"/>
        <w:spacing w:line="360" w:lineRule="auto"/>
        <w:ind w:firstLineChars="0"/>
        <w:rPr>
          <w:rFonts w:ascii="宋体" w:hAnsi="宋体"/>
        </w:rPr>
      </w:pPr>
      <w:r>
        <w:rPr>
          <w:rFonts w:hint="eastAsia" w:ascii="宋体" w:hAnsi="宋体"/>
        </w:rPr>
        <w:t>植物的矿质营养学说与无土栽培</w:t>
      </w:r>
    </w:p>
    <w:p>
      <w:pPr>
        <w:pStyle w:val="35"/>
        <w:widowControl/>
        <w:numPr>
          <w:ilvl w:val="0"/>
          <w:numId w:val="30"/>
        </w:numPr>
        <w:snapToGrid w:val="0"/>
        <w:spacing w:line="360" w:lineRule="auto"/>
        <w:ind w:firstLineChars="0"/>
        <w:jc w:val="left"/>
        <w:rPr>
          <w:rFonts w:ascii="宋体" w:hAnsi="宋体"/>
          <w:bCs/>
        </w:rPr>
      </w:pPr>
      <w:r>
        <w:rPr>
          <w:rFonts w:hint="eastAsia" w:ascii="宋体" w:hAnsi="宋体"/>
          <w:bCs/>
        </w:rPr>
        <w:t>营养液的原料及其要求</w:t>
      </w:r>
    </w:p>
    <w:p>
      <w:pPr>
        <w:pStyle w:val="35"/>
        <w:widowControl/>
        <w:numPr>
          <w:ilvl w:val="0"/>
          <w:numId w:val="30"/>
        </w:numPr>
        <w:snapToGrid w:val="0"/>
        <w:spacing w:line="360" w:lineRule="auto"/>
        <w:ind w:firstLineChars="0"/>
        <w:jc w:val="left"/>
        <w:rPr>
          <w:rFonts w:ascii="宋体" w:hAnsi="宋体"/>
          <w:bCs/>
        </w:rPr>
      </w:pPr>
      <w:r>
        <w:rPr>
          <w:rFonts w:hint="eastAsia" w:ascii="宋体" w:hAnsi="宋体"/>
          <w:bCs/>
        </w:rPr>
        <w:t>营养液的组成</w:t>
      </w:r>
    </w:p>
    <w:p>
      <w:pPr>
        <w:pStyle w:val="35"/>
        <w:widowControl/>
        <w:numPr>
          <w:ilvl w:val="0"/>
          <w:numId w:val="30"/>
        </w:numPr>
        <w:snapToGrid w:val="0"/>
        <w:spacing w:line="360" w:lineRule="auto"/>
        <w:ind w:firstLineChars="0"/>
        <w:jc w:val="left"/>
        <w:rPr>
          <w:rFonts w:ascii="宋体" w:hAnsi="宋体"/>
          <w:bCs/>
        </w:rPr>
      </w:pPr>
      <w:r>
        <w:rPr>
          <w:rFonts w:hint="eastAsia" w:ascii="宋体" w:hAnsi="宋体"/>
          <w:bCs/>
        </w:rPr>
        <w:t>营养液的配制</w:t>
      </w:r>
    </w:p>
    <w:p>
      <w:pPr>
        <w:pStyle w:val="35"/>
        <w:widowControl/>
        <w:numPr>
          <w:ilvl w:val="0"/>
          <w:numId w:val="30"/>
        </w:numPr>
        <w:snapToGrid w:val="0"/>
        <w:spacing w:line="360" w:lineRule="auto"/>
        <w:ind w:firstLineChars="0"/>
        <w:jc w:val="left"/>
        <w:rPr>
          <w:rFonts w:ascii="宋体" w:hAnsi="宋体"/>
          <w:bCs/>
        </w:rPr>
      </w:pPr>
      <w:r>
        <w:rPr>
          <w:rFonts w:hint="eastAsia" w:ascii="宋体" w:hAnsi="宋体"/>
          <w:bCs/>
        </w:rPr>
        <w:t>营养液的管理</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rPr>
          <w:rFonts w:ascii="宋体" w:hAnsi="宋体"/>
          <w:bCs/>
        </w:rPr>
      </w:pPr>
      <w:r>
        <w:rPr>
          <w:rFonts w:hint="eastAsia" w:ascii="宋体" w:hAnsi="宋体"/>
          <w:bCs/>
        </w:rPr>
        <w:t>1.课前在超星</w:t>
      </w:r>
      <w:r>
        <w:rPr>
          <w:rFonts w:ascii="宋体" w:hAnsi="宋体"/>
          <w:bCs/>
        </w:rPr>
        <w:t>学习通上</w:t>
      </w:r>
      <w:r>
        <w:rPr>
          <w:rFonts w:hint="eastAsia" w:ascii="宋体" w:hAnsi="宋体"/>
          <w:bCs/>
        </w:rPr>
        <w:t>发布</w:t>
      </w:r>
      <w:r>
        <w:rPr>
          <w:rFonts w:ascii="宋体" w:hAnsi="宋体"/>
          <w:bCs/>
        </w:rPr>
        <w:t>讨论</w:t>
      </w:r>
      <w:r>
        <w:rPr>
          <w:rFonts w:hint="eastAsia" w:ascii="宋体" w:hAnsi="宋体"/>
          <w:bCs/>
        </w:rPr>
        <w:t>及问题</w:t>
      </w:r>
      <w:r>
        <w:rPr>
          <w:rFonts w:ascii="宋体" w:hAnsi="宋体"/>
          <w:bCs/>
        </w:rPr>
        <w:t>,</w:t>
      </w:r>
      <w:r>
        <w:rPr>
          <w:rFonts w:hint="eastAsia" w:ascii="宋体" w:hAnsi="宋体"/>
          <w:bCs/>
        </w:rPr>
        <w:t>并</w:t>
      </w:r>
      <w:r>
        <w:rPr>
          <w:rFonts w:ascii="宋体" w:hAnsi="宋体"/>
          <w:bCs/>
        </w:rPr>
        <w:t>上传课件等学习资料，让学生进行自学。</w:t>
      </w:r>
    </w:p>
    <w:p>
      <w:pPr>
        <w:widowControl/>
        <w:snapToGrid w:val="0"/>
        <w:spacing w:line="360" w:lineRule="auto"/>
        <w:rPr>
          <w:rFonts w:ascii="宋体" w:hAnsi="宋体"/>
          <w:bCs/>
        </w:rPr>
      </w:pPr>
      <w:r>
        <w:rPr>
          <w:rFonts w:hint="eastAsia" w:ascii="宋体" w:hAnsi="宋体"/>
          <w:bCs/>
        </w:rPr>
        <w:t>2.采用引导法，</w:t>
      </w:r>
      <w:r>
        <w:rPr>
          <w:rFonts w:ascii="宋体" w:hAnsi="宋体"/>
          <w:bCs/>
        </w:rPr>
        <w:t>引出本章的学习内容，</w:t>
      </w:r>
      <w:r>
        <w:rPr>
          <w:rFonts w:hint="eastAsia" w:ascii="宋体" w:hAnsi="宋体"/>
          <w:bCs/>
        </w:rPr>
        <w:t>激发</w:t>
      </w:r>
      <w:r>
        <w:rPr>
          <w:rFonts w:ascii="宋体" w:hAnsi="宋体"/>
          <w:bCs/>
        </w:rPr>
        <w:t>学习兴趣，</w:t>
      </w:r>
      <w:r>
        <w:rPr>
          <w:rFonts w:hint="eastAsia" w:ascii="宋体" w:hAnsi="宋体"/>
          <w:bCs/>
        </w:rPr>
        <w:t>明确</w:t>
      </w:r>
      <w:r>
        <w:rPr>
          <w:rFonts w:ascii="宋体" w:hAnsi="宋体"/>
          <w:bCs/>
        </w:rPr>
        <w:t>学习目标；</w:t>
      </w:r>
      <w:r>
        <w:rPr>
          <w:rFonts w:hint="eastAsia" w:ascii="宋体" w:hAnsi="宋体"/>
          <w:bCs/>
        </w:rPr>
        <w:t>以</w:t>
      </w:r>
      <w:r>
        <w:rPr>
          <w:rFonts w:ascii="宋体" w:hAnsi="宋体"/>
          <w:bCs/>
        </w:rPr>
        <w:t>多媒体</w:t>
      </w:r>
      <w:r>
        <w:rPr>
          <w:rFonts w:hint="eastAsia" w:ascii="宋体" w:hAnsi="宋体"/>
          <w:bCs/>
        </w:rPr>
        <w:t>的形式</w:t>
      </w:r>
      <w:r>
        <w:rPr>
          <w:rFonts w:ascii="宋体" w:hAnsi="宋体"/>
          <w:bCs/>
        </w:rPr>
        <w:t>，</w:t>
      </w:r>
      <w:r>
        <w:rPr>
          <w:rFonts w:hint="eastAsia" w:ascii="宋体" w:hAnsi="宋体"/>
          <w:bCs/>
        </w:rPr>
        <w:t>形象地</w:t>
      </w:r>
      <w:r>
        <w:rPr>
          <w:rFonts w:ascii="宋体" w:hAnsi="宋体"/>
          <w:bCs/>
        </w:rPr>
        <w:t>向学生展示、讲解</w:t>
      </w:r>
      <w:r>
        <w:rPr>
          <w:rFonts w:hint="eastAsia" w:ascii="宋体" w:hAnsi="宋体"/>
          <w:bCs/>
        </w:rPr>
        <w:t>知识点</w:t>
      </w:r>
      <w:r>
        <w:rPr>
          <w:rFonts w:ascii="宋体" w:hAnsi="宋体"/>
          <w:bCs/>
        </w:rPr>
        <w:t>，并结合具体的生产案例进行分析</w:t>
      </w:r>
      <w:r>
        <w:rPr>
          <w:rFonts w:hint="eastAsia" w:ascii="宋体" w:hAnsi="宋体"/>
          <w:bCs/>
        </w:rPr>
        <w:t>，有助于</w:t>
      </w:r>
      <w:r>
        <w:rPr>
          <w:rFonts w:ascii="宋体" w:hAnsi="宋体"/>
          <w:bCs/>
        </w:rPr>
        <w:t>学生发散思维，</w:t>
      </w:r>
      <w:r>
        <w:rPr>
          <w:rFonts w:hint="eastAsia" w:ascii="宋体" w:hAnsi="宋体"/>
          <w:bCs/>
        </w:rPr>
        <w:t>提高</w:t>
      </w:r>
      <w:r>
        <w:rPr>
          <w:rFonts w:ascii="宋体" w:hAnsi="宋体"/>
          <w:bCs/>
        </w:rPr>
        <w:t>学习兴趣及主动性</w:t>
      </w:r>
      <w:r>
        <w:rPr>
          <w:rFonts w:hint="eastAsia" w:ascii="宋体" w:hAnsi="宋体"/>
          <w:bCs/>
        </w:rPr>
        <w:t>。</w:t>
      </w:r>
    </w:p>
    <w:p>
      <w:pPr>
        <w:widowControl/>
        <w:snapToGrid w:val="0"/>
        <w:spacing w:line="360" w:lineRule="auto"/>
        <w:rPr>
          <w:rFonts w:ascii="宋体" w:hAnsi="宋体"/>
          <w:b/>
          <w:bCs/>
        </w:rPr>
      </w:pPr>
      <w:r>
        <w:rPr>
          <w:rFonts w:ascii="宋体" w:hAnsi="宋体"/>
          <w:bCs/>
        </w:rPr>
        <w:t>3.</w:t>
      </w:r>
      <w:r>
        <w:rPr>
          <w:rFonts w:hint="eastAsia" w:ascii="宋体" w:hAnsi="宋体"/>
          <w:bCs/>
        </w:rPr>
        <w:t>最后归纳本章</w:t>
      </w:r>
      <w:r>
        <w:rPr>
          <w:rFonts w:ascii="宋体" w:hAnsi="宋体"/>
          <w:bCs/>
        </w:rPr>
        <w:t>知识点</w:t>
      </w:r>
      <w:r>
        <w:rPr>
          <w:rFonts w:hint="eastAsia" w:ascii="宋体" w:hAnsi="宋体"/>
          <w:bCs/>
        </w:rPr>
        <w:t>，强调</w:t>
      </w:r>
      <w:r>
        <w:rPr>
          <w:rFonts w:ascii="宋体" w:hAnsi="宋体"/>
          <w:bCs/>
        </w:rPr>
        <w:t>重点、难点，并以提问</w:t>
      </w:r>
      <w:r>
        <w:rPr>
          <w:rFonts w:hint="eastAsia" w:ascii="宋体" w:hAnsi="宋体"/>
          <w:bCs/>
        </w:rPr>
        <w:t>的</w:t>
      </w:r>
      <w:r>
        <w:rPr>
          <w:rFonts w:ascii="宋体" w:hAnsi="宋体"/>
          <w:bCs/>
        </w:rPr>
        <w:t>形式，总结及检验学习效果</w:t>
      </w:r>
      <w:r>
        <w:rPr>
          <w:rFonts w:hint="eastAsia" w:ascii="宋体" w:hAnsi="宋体"/>
          <w:bCs/>
        </w:rPr>
        <w:t>；</w:t>
      </w:r>
      <w:r>
        <w:rPr>
          <w:rFonts w:ascii="宋体" w:hAnsi="宋体"/>
          <w:bCs/>
        </w:rPr>
        <w:t>提出问题，鼓励学生</w:t>
      </w:r>
      <w:r>
        <w:rPr>
          <w:rFonts w:hint="eastAsia" w:ascii="宋体" w:hAnsi="宋体"/>
          <w:bCs/>
        </w:rPr>
        <w:t>自主</w:t>
      </w:r>
      <w:r>
        <w:rPr>
          <w:rFonts w:ascii="宋体" w:hAnsi="宋体"/>
          <w:bCs/>
        </w:rPr>
        <w:t>学习，查阅相关资料，为下一章的学习做铺垫。</w:t>
      </w:r>
    </w:p>
    <w:p>
      <w:pPr>
        <w:pStyle w:val="35"/>
        <w:widowControl/>
        <w:snapToGrid w:val="0"/>
        <w:spacing w:line="360" w:lineRule="auto"/>
        <w:ind w:left="1245" w:firstLine="1581" w:firstLineChars="750"/>
        <w:jc w:val="left"/>
        <w:rPr>
          <w:rFonts w:ascii="宋体" w:hAnsi="宋体"/>
          <w:b/>
          <w:bCs/>
        </w:rPr>
      </w:pPr>
      <w:r>
        <w:rPr>
          <w:rFonts w:hint="eastAsia" w:ascii="宋体" w:hAnsi="宋体"/>
          <w:b/>
          <w:bCs/>
        </w:rPr>
        <w:t>第三章 水培和雾培设施与管理技术                  学时数：4</w:t>
      </w:r>
    </w:p>
    <w:p>
      <w:pPr>
        <w:widowControl/>
        <w:snapToGrid w:val="0"/>
        <w:spacing w:line="360" w:lineRule="auto"/>
        <w:jc w:val="left"/>
        <w:rPr>
          <w:rFonts w:ascii="宋体" w:hAnsi="宋体"/>
          <w:bCs/>
        </w:rPr>
      </w:pPr>
      <w:r>
        <w:rPr>
          <w:rFonts w:hint="eastAsia" w:ascii="宋体" w:hAnsi="宋体"/>
          <w:b/>
          <w:bCs/>
        </w:rPr>
        <w:t>教学目的：</w:t>
      </w:r>
      <w:r>
        <w:rPr>
          <w:rFonts w:hint="eastAsia" w:ascii="宋体" w:hAnsi="宋体"/>
          <w:bCs/>
        </w:rPr>
        <w:t>了解水培和雾培的应用现状，掌握主要的水培和雾培类型、特点及应用领域。</w:t>
      </w:r>
    </w:p>
    <w:p>
      <w:pPr>
        <w:widowControl/>
        <w:snapToGrid w:val="0"/>
        <w:spacing w:line="360" w:lineRule="auto"/>
        <w:jc w:val="left"/>
        <w:rPr>
          <w:rFonts w:ascii="宋体" w:hAnsi="宋体"/>
          <w:bCs/>
        </w:rPr>
      </w:pPr>
      <w:r>
        <w:rPr>
          <w:rFonts w:hint="eastAsia" w:ascii="宋体" w:hAnsi="宋体"/>
          <w:b/>
          <w:bCs/>
        </w:rPr>
        <w:t>教学重点和难点：</w:t>
      </w:r>
      <w:r>
        <w:rPr>
          <w:rFonts w:hint="eastAsia" w:ascii="宋体" w:hAnsi="宋体"/>
          <w:bCs/>
        </w:rPr>
        <w:t>主要水培和雾培类型的特征及组成结构，以及管理技术要点。</w:t>
      </w:r>
    </w:p>
    <w:p>
      <w:pPr>
        <w:widowControl/>
        <w:snapToGrid w:val="0"/>
        <w:spacing w:line="360" w:lineRule="auto"/>
        <w:jc w:val="left"/>
        <w:rPr>
          <w:rFonts w:ascii="宋体" w:hAnsi="宋体"/>
          <w:bCs/>
        </w:rPr>
      </w:pPr>
      <w:r>
        <w:rPr>
          <w:rFonts w:hint="eastAsia" w:ascii="宋体" w:hAnsi="宋体"/>
          <w:b/>
          <w:bCs/>
        </w:rPr>
        <w:t>主要教学内容及要求：</w:t>
      </w:r>
      <w:r>
        <w:rPr>
          <w:rFonts w:hint="eastAsia" w:ascii="宋体" w:hAnsi="宋体"/>
          <w:bCs/>
        </w:rPr>
        <w:t>了解水培和雾培设施在现代农业生产中的应用情况及栽培管理技术要点；理解各种水培和雾培设施的区别；掌握水培和雾培设施的主要类型、基本特征及组成结构；熟练掌握深夜流水培技术、营养液膜水培技术及雾培技术。</w:t>
      </w:r>
    </w:p>
    <w:p>
      <w:pPr>
        <w:pStyle w:val="35"/>
        <w:widowControl/>
        <w:numPr>
          <w:ilvl w:val="0"/>
          <w:numId w:val="31"/>
        </w:numPr>
        <w:snapToGrid w:val="0"/>
        <w:spacing w:line="360" w:lineRule="auto"/>
        <w:ind w:firstLineChars="0"/>
        <w:jc w:val="left"/>
        <w:rPr>
          <w:rFonts w:ascii="宋体" w:hAnsi="宋体"/>
          <w:bCs/>
        </w:rPr>
      </w:pPr>
      <w:r>
        <w:rPr>
          <w:rFonts w:hint="eastAsia" w:ascii="宋体" w:hAnsi="宋体"/>
          <w:bCs/>
        </w:rPr>
        <w:t>深夜流技术</w:t>
      </w:r>
    </w:p>
    <w:p>
      <w:pPr>
        <w:pStyle w:val="35"/>
        <w:widowControl/>
        <w:numPr>
          <w:ilvl w:val="0"/>
          <w:numId w:val="31"/>
        </w:numPr>
        <w:snapToGrid w:val="0"/>
        <w:spacing w:line="360" w:lineRule="auto"/>
        <w:ind w:firstLineChars="0"/>
        <w:jc w:val="left"/>
        <w:rPr>
          <w:rFonts w:ascii="宋体" w:hAnsi="宋体"/>
          <w:bCs/>
        </w:rPr>
      </w:pPr>
      <w:r>
        <w:rPr>
          <w:rFonts w:hint="eastAsia" w:ascii="宋体" w:hAnsi="宋体"/>
          <w:bCs/>
        </w:rPr>
        <w:t>营养液膜技术</w:t>
      </w:r>
    </w:p>
    <w:p>
      <w:pPr>
        <w:pStyle w:val="35"/>
        <w:widowControl/>
        <w:numPr>
          <w:ilvl w:val="0"/>
          <w:numId w:val="31"/>
        </w:numPr>
        <w:snapToGrid w:val="0"/>
        <w:spacing w:line="360" w:lineRule="auto"/>
        <w:ind w:firstLineChars="0"/>
        <w:jc w:val="left"/>
        <w:rPr>
          <w:rFonts w:ascii="宋体" w:hAnsi="宋体"/>
          <w:bCs/>
        </w:rPr>
      </w:pPr>
      <w:r>
        <w:rPr>
          <w:rFonts w:hint="eastAsia" w:ascii="宋体" w:hAnsi="宋体"/>
          <w:bCs/>
        </w:rPr>
        <w:t>雾培技术</w:t>
      </w:r>
    </w:p>
    <w:p>
      <w:pPr>
        <w:pStyle w:val="35"/>
        <w:widowControl/>
        <w:numPr>
          <w:ilvl w:val="0"/>
          <w:numId w:val="31"/>
        </w:numPr>
        <w:snapToGrid w:val="0"/>
        <w:spacing w:line="360" w:lineRule="auto"/>
        <w:ind w:firstLineChars="0"/>
        <w:jc w:val="left"/>
        <w:rPr>
          <w:rFonts w:ascii="宋体" w:hAnsi="宋体"/>
          <w:bCs/>
        </w:rPr>
      </w:pPr>
      <w:r>
        <w:rPr>
          <w:rFonts w:hint="eastAsia" w:ascii="宋体" w:hAnsi="宋体"/>
          <w:bCs/>
        </w:rPr>
        <w:t>其他水培技术</w:t>
      </w:r>
    </w:p>
    <w:p>
      <w:pPr>
        <w:widowControl/>
        <w:snapToGrid w:val="0"/>
        <w:spacing w:line="360" w:lineRule="auto"/>
        <w:jc w:val="left"/>
        <w:rPr>
          <w:rFonts w:ascii="宋体" w:hAnsi="宋体"/>
          <w:b/>
          <w:bCs/>
        </w:rPr>
      </w:pPr>
      <w:r>
        <w:rPr>
          <w:rFonts w:hint="eastAsia" w:ascii="宋体" w:hAnsi="宋体"/>
          <w:b/>
          <w:bCs/>
        </w:rPr>
        <w:t>教学组织与实施：</w:t>
      </w:r>
    </w:p>
    <w:p>
      <w:pPr>
        <w:widowControl/>
        <w:snapToGrid w:val="0"/>
        <w:spacing w:line="360" w:lineRule="auto"/>
        <w:rPr>
          <w:rFonts w:ascii="宋体" w:hAnsi="宋体"/>
          <w:bCs/>
        </w:rPr>
      </w:pPr>
      <w:r>
        <w:rPr>
          <w:rFonts w:hint="eastAsia" w:ascii="宋体" w:hAnsi="宋体"/>
          <w:bCs/>
        </w:rPr>
        <w:t>1.课前在超星</w:t>
      </w:r>
      <w:r>
        <w:rPr>
          <w:rFonts w:ascii="宋体" w:hAnsi="宋体"/>
          <w:bCs/>
        </w:rPr>
        <w:t>学习通上</w:t>
      </w:r>
      <w:r>
        <w:rPr>
          <w:rFonts w:hint="eastAsia" w:ascii="宋体" w:hAnsi="宋体"/>
          <w:bCs/>
        </w:rPr>
        <w:t>发布问题及</w:t>
      </w:r>
      <w:r>
        <w:rPr>
          <w:rFonts w:ascii="宋体" w:hAnsi="宋体"/>
          <w:bCs/>
        </w:rPr>
        <w:t>讨论,</w:t>
      </w:r>
      <w:r>
        <w:rPr>
          <w:rFonts w:hint="eastAsia" w:ascii="宋体" w:hAnsi="宋体"/>
          <w:bCs/>
        </w:rPr>
        <w:t>并</w:t>
      </w:r>
      <w:r>
        <w:rPr>
          <w:rFonts w:ascii="宋体" w:hAnsi="宋体"/>
          <w:bCs/>
        </w:rPr>
        <w:t>上传课件等学习资料，</w:t>
      </w:r>
      <w:r>
        <w:rPr>
          <w:rFonts w:hint="eastAsia" w:ascii="宋体" w:hAnsi="宋体"/>
          <w:bCs/>
        </w:rPr>
        <w:t>引导</w:t>
      </w:r>
      <w:r>
        <w:rPr>
          <w:rFonts w:ascii="宋体" w:hAnsi="宋体"/>
          <w:bCs/>
        </w:rPr>
        <w:t>学生进行自学。</w:t>
      </w:r>
    </w:p>
    <w:p>
      <w:pPr>
        <w:widowControl/>
        <w:snapToGrid w:val="0"/>
        <w:spacing w:line="360" w:lineRule="auto"/>
        <w:jc w:val="left"/>
        <w:rPr>
          <w:rFonts w:ascii="宋体" w:hAnsi="宋体"/>
          <w:bCs/>
        </w:rPr>
      </w:pPr>
      <w:r>
        <w:rPr>
          <w:rFonts w:ascii="宋体" w:hAnsi="宋体"/>
          <w:bCs/>
        </w:rPr>
        <w:t>2.</w:t>
      </w:r>
      <w:r>
        <w:rPr>
          <w:rFonts w:hint="eastAsia" w:ascii="宋体" w:hAnsi="宋体"/>
          <w:bCs/>
        </w:rPr>
        <w:t>回顾旧知识</w:t>
      </w:r>
      <w:r>
        <w:rPr>
          <w:rFonts w:ascii="宋体" w:hAnsi="宋体"/>
          <w:bCs/>
        </w:rPr>
        <w:t>，</w:t>
      </w:r>
      <w:r>
        <w:rPr>
          <w:rFonts w:hint="eastAsia" w:ascii="宋体" w:hAnsi="宋体"/>
          <w:bCs/>
        </w:rPr>
        <w:t>并</w:t>
      </w:r>
      <w:r>
        <w:rPr>
          <w:rFonts w:ascii="宋体" w:hAnsi="宋体"/>
          <w:bCs/>
        </w:rPr>
        <w:t>通过</w:t>
      </w:r>
      <w:r>
        <w:rPr>
          <w:rFonts w:hint="eastAsia" w:ascii="宋体" w:hAnsi="宋体"/>
          <w:bCs/>
        </w:rPr>
        <w:t>观察</w:t>
      </w:r>
      <w:r>
        <w:rPr>
          <w:rFonts w:ascii="宋体" w:hAnsi="宋体"/>
          <w:bCs/>
        </w:rPr>
        <w:t>图片</w:t>
      </w:r>
      <w:r>
        <w:rPr>
          <w:rFonts w:hint="eastAsia" w:ascii="宋体" w:hAnsi="宋体"/>
          <w:bCs/>
        </w:rPr>
        <w:t>、</w:t>
      </w:r>
      <w:r>
        <w:rPr>
          <w:rFonts w:ascii="宋体" w:hAnsi="宋体"/>
          <w:bCs/>
        </w:rPr>
        <w:t>视频等</w:t>
      </w:r>
      <w:r>
        <w:rPr>
          <w:rFonts w:hint="eastAsia" w:ascii="宋体" w:hAnsi="宋体"/>
          <w:bCs/>
        </w:rPr>
        <w:t>形式直观</w:t>
      </w:r>
      <w:r>
        <w:rPr>
          <w:rFonts w:ascii="宋体" w:hAnsi="宋体"/>
          <w:bCs/>
        </w:rPr>
        <w:t>导入</w:t>
      </w:r>
      <w:r>
        <w:rPr>
          <w:rFonts w:hint="eastAsia" w:ascii="宋体" w:hAnsi="宋体"/>
          <w:bCs/>
        </w:rPr>
        <w:t>新的</w:t>
      </w:r>
      <w:r>
        <w:rPr>
          <w:rFonts w:ascii="宋体" w:hAnsi="宋体"/>
          <w:bCs/>
        </w:rPr>
        <w:t>学习内容，学习目标；</w:t>
      </w:r>
      <w:r>
        <w:rPr>
          <w:rFonts w:hint="eastAsia" w:ascii="宋体" w:hAnsi="宋体"/>
          <w:bCs/>
        </w:rPr>
        <w:t>以</w:t>
      </w:r>
      <w:r>
        <w:rPr>
          <w:rFonts w:ascii="宋体" w:hAnsi="宋体"/>
          <w:bCs/>
        </w:rPr>
        <w:t>多媒体</w:t>
      </w:r>
      <w:r>
        <w:rPr>
          <w:rFonts w:hint="eastAsia" w:ascii="宋体" w:hAnsi="宋体"/>
          <w:bCs/>
        </w:rPr>
        <w:t>的形式</w:t>
      </w:r>
      <w:r>
        <w:rPr>
          <w:rFonts w:ascii="宋体" w:hAnsi="宋体"/>
          <w:bCs/>
        </w:rPr>
        <w:t>，</w:t>
      </w:r>
      <w:r>
        <w:rPr>
          <w:rFonts w:hint="eastAsia" w:ascii="宋体" w:hAnsi="宋体"/>
          <w:bCs/>
        </w:rPr>
        <w:t>利用</w:t>
      </w:r>
      <w:r>
        <w:rPr>
          <w:rFonts w:ascii="宋体" w:hAnsi="宋体"/>
          <w:bCs/>
        </w:rPr>
        <w:t>生动的图片及具有代表性的视频文件</w:t>
      </w:r>
      <w:r>
        <w:rPr>
          <w:rFonts w:hint="eastAsia" w:ascii="宋体" w:hAnsi="宋体"/>
          <w:bCs/>
        </w:rPr>
        <w:t>形象地</w:t>
      </w:r>
      <w:r>
        <w:rPr>
          <w:rFonts w:ascii="宋体" w:hAnsi="宋体"/>
          <w:bCs/>
        </w:rPr>
        <w:t>向学生展示、讲解</w:t>
      </w:r>
      <w:r>
        <w:rPr>
          <w:rFonts w:hint="eastAsia" w:ascii="宋体" w:hAnsi="宋体"/>
          <w:bCs/>
        </w:rPr>
        <w:t>知识点</w:t>
      </w:r>
      <w:r>
        <w:rPr>
          <w:rFonts w:ascii="宋体" w:hAnsi="宋体"/>
          <w:bCs/>
        </w:rPr>
        <w:t>，</w:t>
      </w:r>
      <w:r>
        <w:rPr>
          <w:rFonts w:hint="eastAsia" w:ascii="宋体" w:hAnsi="宋体"/>
          <w:bCs/>
        </w:rPr>
        <w:t>同时</w:t>
      </w:r>
      <w:r>
        <w:rPr>
          <w:rFonts w:ascii="宋体" w:hAnsi="宋体"/>
          <w:bCs/>
        </w:rPr>
        <w:t>注重与学生的互动，并结合具体的生产案例进行分析</w:t>
      </w:r>
      <w:r>
        <w:rPr>
          <w:rFonts w:hint="eastAsia" w:ascii="宋体" w:hAnsi="宋体"/>
          <w:bCs/>
        </w:rPr>
        <w:t>，提高</w:t>
      </w:r>
      <w:r>
        <w:rPr>
          <w:rFonts w:ascii="宋体" w:hAnsi="宋体"/>
          <w:bCs/>
        </w:rPr>
        <w:t>学习兴趣及主动性；</w:t>
      </w:r>
      <w:r>
        <w:rPr>
          <w:rFonts w:hint="eastAsia" w:ascii="宋体" w:hAnsi="宋体"/>
          <w:bCs/>
        </w:rPr>
        <w:t>学习</w:t>
      </w:r>
      <w:r>
        <w:rPr>
          <w:rFonts w:ascii="宋体" w:hAnsi="宋体"/>
          <w:bCs/>
        </w:rPr>
        <w:t>过程中，鼓励学生发散思维，</w:t>
      </w:r>
      <w:r>
        <w:rPr>
          <w:rFonts w:hint="eastAsia" w:ascii="宋体" w:hAnsi="宋体"/>
          <w:bCs/>
        </w:rPr>
        <w:t>并以</w:t>
      </w:r>
      <w:r>
        <w:rPr>
          <w:rFonts w:ascii="宋体" w:hAnsi="宋体"/>
          <w:bCs/>
        </w:rPr>
        <w:t>讨论的形式</w:t>
      </w:r>
      <w:r>
        <w:rPr>
          <w:rFonts w:hint="eastAsia" w:ascii="宋体" w:hAnsi="宋体"/>
          <w:bCs/>
        </w:rPr>
        <w:t>强化学习</w:t>
      </w:r>
      <w:r>
        <w:rPr>
          <w:rFonts w:ascii="宋体" w:hAnsi="宋体"/>
          <w:bCs/>
        </w:rPr>
        <w:t>内容</w:t>
      </w:r>
      <w:r>
        <w:rPr>
          <w:rFonts w:hint="eastAsia" w:ascii="宋体" w:hAnsi="宋体"/>
          <w:bCs/>
        </w:rPr>
        <w:t>。</w:t>
      </w:r>
    </w:p>
    <w:p>
      <w:pPr>
        <w:widowControl/>
        <w:snapToGrid w:val="0"/>
        <w:spacing w:line="360" w:lineRule="auto"/>
        <w:jc w:val="left"/>
        <w:rPr>
          <w:rFonts w:ascii="宋体" w:hAnsi="宋体"/>
          <w:b/>
          <w:bCs/>
        </w:rPr>
      </w:pPr>
      <w:r>
        <w:rPr>
          <w:rFonts w:ascii="宋体" w:hAnsi="宋体"/>
          <w:bCs/>
        </w:rPr>
        <w:t>3.</w:t>
      </w:r>
      <w:r>
        <w:rPr>
          <w:rFonts w:hint="eastAsia" w:ascii="宋体" w:hAnsi="宋体"/>
          <w:bCs/>
        </w:rPr>
        <w:t>最后归纳本章</w:t>
      </w:r>
      <w:r>
        <w:rPr>
          <w:rFonts w:ascii="宋体" w:hAnsi="宋体"/>
          <w:bCs/>
        </w:rPr>
        <w:t>知识点</w:t>
      </w:r>
      <w:r>
        <w:rPr>
          <w:rFonts w:hint="eastAsia" w:ascii="宋体" w:hAnsi="宋体"/>
          <w:bCs/>
        </w:rPr>
        <w:t>，强调</w:t>
      </w:r>
      <w:r>
        <w:rPr>
          <w:rFonts w:ascii="宋体" w:hAnsi="宋体"/>
          <w:bCs/>
        </w:rPr>
        <w:t>重点、难点，并以提问</w:t>
      </w:r>
      <w:r>
        <w:rPr>
          <w:rFonts w:hint="eastAsia" w:ascii="宋体" w:hAnsi="宋体"/>
          <w:bCs/>
        </w:rPr>
        <w:t>及</w:t>
      </w:r>
      <w:r>
        <w:rPr>
          <w:rFonts w:ascii="宋体" w:hAnsi="宋体"/>
          <w:bCs/>
        </w:rPr>
        <w:t>回顾</w:t>
      </w:r>
      <w:r>
        <w:rPr>
          <w:rFonts w:hint="eastAsia" w:ascii="宋体" w:hAnsi="宋体"/>
          <w:bCs/>
        </w:rPr>
        <w:t>的</w:t>
      </w:r>
      <w:r>
        <w:rPr>
          <w:rFonts w:ascii="宋体" w:hAnsi="宋体"/>
          <w:bCs/>
        </w:rPr>
        <w:t>形式，总结</w:t>
      </w:r>
      <w:r>
        <w:rPr>
          <w:rFonts w:hint="eastAsia" w:ascii="宋体" w:hAnsi="宋体"/>
          <w:bCs/>
        </w:rPr>
        <w:t>和</w:t>
      </w:r>
      <w:r>
        <w:rPr>
          <w:rFonts w:ascii="宋体" w:hAnsi="宋体"/>
          <w:bCs/>
        </w:rPr>
        <w:t>检验学习效果。</w:t>
      </w:r>
    </w:p>
    <w:p>
      <w:pPr>
        <w:pStyle w:val="35"/>
        <w:widowControl/>
        <w:snapToGrid w:val="0"/>
        <w:spacing w:line="360" w:lineRule="auto"/>
        <w:ind w:left="1245" w:firstLine="2108" w:firstLineChars="1000"/>
        <w:jc w:val="left"/>
        <w:rPr>
          <w:rFonts w:ascii="宋体" w:hAnsi="宋体"/>
          <w:b/>
          <w:bCs/>
        </w:rPr>
      </w:pPr>
      <w:r>
        <w:rPr>
          <w:rFonts w:hint="eastAsia" w:ascii="宋体" w:hAnsi="宋体"/>
          <w:b/>
          <w:bCs/>
        </w:rPr>
        <w:t>第四章 固体基质                             学时数：</w:t>
      </w:r>
      <w:r>
        <w:rPr>
          <w:rFonts w:ascii="宋体" w:hAnsi="宋体"/>
          <w:b/>
          <w:bCs/>
        </w:rPr>
        <w:t>2</w:t>
      </w:r>
    </w:p>
    <w:p>
      <w:pPr>
        <w:widowControl/>
        <w:snapToGrid w:val="0"/>
        <w:spacing w:line="360" w:lineRule="auto"/>
        <w:rPr>
          <w:rFonts w:ascii="宋体" w:hAnsi="宋体"/>
          <w:bCs/>
        </w:rPr>
      </w:pPr>
      <w:r>
        <w:rPr>
          <w:rFonts w:hint="eastAsia" w:ascii="宋体" w:hAnsi="宋体"/>
          <w:b/>
          <w:bCs/>
        </w:rPr>
        <w:t>教学目的：</w:t>
      </w:r>
      <w:r>
        <w:rPr>
          <w:rFonts w:hint="eastAsia" w:ascii="宋体" w:hAnsi="宋体"/>
          <w:bCs/>
        </w:rPr>
        <w:t>了解常见无土栽培固体基质的种类及特性，能够根据基质的性质正确选择固体基质，并掌握配制植物生长所需混合基质的方法，基质</w:t>
      </w:r>
      <w:r>
        <w:rPr>
          <w:rFonts w:ascii="宋体" w:hAnsi="宋体"/>
          <w:bCs/>
        </w:rPr>
        <w:t>最新</w:t>
      </w:r>
      <w:r>
        <w:rPr>
          <w:rFonts w:hint="eastAsia" w:ascii="宋体" w:hAnsi="宋体"/>
          <w:bCs/>
        </w:rPr>
        <w:t>研究</w:t>
      </w:r>
      <w:r>
        <w:rPr>
          <w:rFonts w:ascii="宋体" w:hAnsi="宋体"/>
          <w:bCs/>
        </w:rPr>
        <w:t>进展。</w:t>
      </w:r>
    </w:p>
    <w:p>
      <w:pPr>
        <w:widowControl/>
        <w:snapToGrid w:val="0"/>
        <w:spacing w:line="360" w:lineRule="auto"/>
        <w:jc w:val="left"/>
        <w:rPr>
          <w:rFonts w:ascii="宋体" w:hAnsi="宋体"/>
          <w:bCs/>
        </w:rPr>
      </w:pPr>
      <w:r>
        <w:rPr>
          <w:rFonts w:hint="eastAsia" w:ascii="宋体" w:hAnsi="宋体"/>
          <w:b/>
          <w:bCs/>
        </w:rPr>
        <w:t>教学重点和难点：</w:t>
      </w:r>
      <w:r>
        <w:rPr>
          <w:rFonts w:hint="eastAsia" w:ascii="宋体" w:hAnsi="宋体"/>
          <w:bCs/>
        </w:rPr>
        <w:t>植物对固体基质的要求，基质的选用原则及固体混合基质的配制方法；基质中的微生物及其</w:t>
      </w:r>
      <w:r>
        <w:rPr>
          <w:rFonts w:ascii="宋体" w:hAnsi="宋体"/>
          <w:bCs/>
        </w:rPr>
        <w:t>对植物生长发育的影响。</w:t>
      </w:r>
    </w:p>
    <w:p>
      <w:pPr>
        <w:widowControl/>
        <w:snapToGrid w:val="0"/>
        <w:spacing w:line="360" w:lineRule="auto"/>
        <w:jc w:val="left"/>
        <w:rPr>
          <w:rFonts w:ascii="宋体" w:hAnsi="宋体"/>
          <w:bCs/>
        </w:rPr>
      </w:pPr>
      <w:r>
        <w:rPr>
          <w:rFonts w:hint="eastAsia" w:ascii="宋体" w:hAnsi="宋体"/>
          <w:b/>
          <w:bCs/>
        </w:rPr>
        <w:t>主要教学内容及要求：</w:t>
      </w:r>
      <w:r>
        <w:rPr>
          <w:rFonts w:hint="eastAsia" w:ascii="宋体" w:hAnsi="宋体"/>
          <w:bCs/>
        </w:rPr>
        <w:t>了解常用固体基质的种类；理解固体基质的作用、选用原则及固体基质的分类；掌握固体基质的消毒与再利用方法；熟练无土栽培中对固体基质的要求以及固体混合基质的配制方法；</w:t>
      </w:r>
      <w:r>
        <w:rPr>
          <w:rFonts w:ascii="宋体" w:hAnsi="宋体"/>
          <w:bCs/>
        </w:rPr>
        <w:t>了解</w:t>
      </w:r>
      <w:r>
        <w:rPr>
          <w:rFonts w:hint="eastAsia" w:ascii="宋体" w:hAnsi="宋体"/>
          <w:bCs/>
        </w:rPr>
        <w:t>基质</w:t>
      </w:r>
      <w:r>
        <w:rPr>
          <w:rFonts w:ascii="宋体" w:hAnsi="宋体"/>
          <w:bCs/>
        </w:rPr>
        <w:t>中微生物的作用。</w:t>
      </w:r>
    </w:p>
    <w:p>
      <w:pPr>
        <w:pStyle w:val="35"/>
        <w:widowControl/>
        <w:numPr>
          <w:ilvl w:val="0"/>
          <w:numId w:val="32"/>
        </w:numPr>
        <w:snapToGrid w:val="0"/>
        <w:spacing w:line="360" w:lineRule="auto"/>
        <w:ind w:firstLineChars="0"/>
        <w:jc w:val="left"/>
        <w:rPr>
          <w:rFonts w:ascii="宋体" w:hAnsi="宋体"/>
          <w:bCs/>
        </w:rPr>
      </w:pPr>
      <w:r>
        <w:rPr>
          <w:rFonts w:hint="eastAsia" w:ascii="宋体" w:hAnsi="宋体"/>
          <w:bCs/>
        </w:rPr>
        <w:t>固体基质的种类与特性</w:t>
      </w:r>
    </w:p>
    <w:p>
      <w:pPr>
        <w:pStyle w:val="35"/>
        <w:widowControl/>
        <w:numPr>
          <w:ilvl w:val="0"/>
          <w:numId w:val="32"/>
        </w:numPr>
        <w:snapToGrid w:val="0"/>
        <w:spacing w:line="360" w:lineRule="auto"/>
        <w:ind w:firstLineChars="0"/>
        <w:jc w:val="left"/>
        <w:rPr>
          <w:rFonts w:ascii="宋体" w:hAnsi="宋体"/>
          <w:bCs/>
        </w:rPr>
      </w:pPr>
      <w:r>
        <w:rPr>
          <w:rFonts w:hint="eastAsia" w:ascii="宋体" w:hAnsi="宋体"/>
          <w:bCs/>
        </w:rPr>
        <w:t>固体基质的配制</w:t>
      </w:r>
    </w:p>
    <w:p>
      <w:pPr>
        <w:pStyle w:val="35"/>
        <w:widowControl/>
        <w:numPr>
          <w:ilvl w:val="0"/>
          <w:numId w:val="32"/>
        </w:numPr>
        <w:snapToGrid w:val="0"/>
        <w:spacing w:line="360" w:lineRule="auto"/>
        <w:ind w:firstLineChars="0"/>
        <w:jc w:val="left"/>
        <w:rPr>
          <w:rFonts w:ascii="宋体" w:hAnsi="宋体"/>
          <w:bCs/>
        </w:rPr>
      </w:pPr>
      <w:r>
        <w:rPr>
          <w:rFonts w:hint="eastAsia" w:ascii="宋体" w:hAnsi="宋体"/>
          <w:bCs/>
        </w:rPr>
        <w:t>新型无土</w:t>
      </w:r>
      <w:r>
        <w:rPr>
          <w:rFonts w:ascii="宋体" w:hAnsi="宋体"/>
          <w:bCs/>
        </w:rPr>
        <w:t>栽培</w:t>
      </w:r>
      <w:r>
        <w:rPr>
          <w:rFonts w:hint="eastAsia" w:ascii="宋体" w:hAnsi="宋体"/>
          <w:bCs/>
        </w:rPr>
        <w:t>基质</w:t>
      </w:r>
      <w:r>
        <w:rPr>
          <w:rFonts w:ascii="宋体" w:hAnsi="宋体"/>
          <w:bCs/>
        </w:rPr>
        <w:t>的研发</w:t>
      </w:r>
    </w:p>
    <w:p>
      <w:pPr>
        <w:pStyle w:val="35"/>
        <w:widowControl/>
        <w:numPr>
          <w:ilvl w:val="0"/>
          <w:numId w:val="32"/>
        </w:numPr>
        <w:snapToGrid w:val="0"/>
        <w:spacing w:line="360" w:lineRule="auto"/>
        <w:ind w:firstLineChars="0"/>
        <w:jc w:val="left"/>
        <w:rPr>
          <w:rFonts w:ascii="宋体" w:hAnsi="宋体"/>
          <w:bCs/>
        </w:rPr>
      </w:pPr>
      <w:r>
        <w:rPr>
          <w:rFonts w:hint="eastAsia" w:ascii="宋体" w:hAnsi="宋体"/>
          <w:bCs/>
        </w:rPr>
        <w:t>基质中的微生物及其</w:t>
      </w:r>
      <w:r>
        <w:rPr>
          <w:rFonts w:ascii="宋体" w:hAnsi="宋体"/>
          <w:bCs/>
        </w:rPr>
        <w:t>对植物生长发育的影响</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rPr>
          <w:rFonts w:ascii="宋体" w:hAnsi="宋体"/>
          <w:bCs/>
        </w:rPr>
      </w:pPr>
      <w:r>
        <w:rPr>
          <w:rFonts w:hint="eastAsia" w:ascii="宋体" w:hAnsi="宋体"/>
          <w:bCs/>
        </w:rPr>
        <w:t>1.课前在超星</w:t>
      </w:r>
      <w:r>
        <w:rPr>
          <w:rFonts w:ascii="宋体" w:hAnsi="宋体"/>
          <w:bCs/>
        </w:rPr>
        <w:t>学习通上</w:t>
      </w:r>
      <w:r>
        <w:rPr>
          <w:rFonts w:hint="eastAsia" w:ascii="宋体" w:hAnsi="宋体"/>
          <w:bCs/>
        </w:rPr>
        <w:t>发布</w:t>
      </w:r>
      <w:r>
        <w:rPr>
          <w:rFonts w:ascii="宋体" w:hAnsi="宋体"/>
          <w:bCs/>
        </w:rPr>
        <w:t>讨论</w:t>
      </w:r>
      <w:r>
        <w:rPr>
          <w:rFonts w:hint="eastAsia" w:ascii="宋体" w:hAnsi="宋体"/>
          <w:bCs/>
        </w:rPr>
        <w:t>及问题</w:t>
      </w:r>
      <w:r>
        <w:rPr>
          <w:rFonts w:ascii="宋体" w:hAnsi="宋体"/>
          <w:bCs/>
        </w:rPr>
        <w:t>,</w:t>
      </w:r>
      <w:r>
        <w:rPr>
          <w:rFonts w:hint="eastAsia" w:ascii="宋体" w:hAnsi="宋体"/>
          <w:bCs/>
        </w:rPr>
        <w:t>并</w:t>
      </w:r>
      <w:r>
        <w:rPr>
          <w:rFonts w:ascii="宋体" w:hAnsi="宋体"/>
          <w:bCs/>
        </w:rPr>
        <w:t>上传课件等学习资料，让学生进行自学。</w:t>
      </w:r>
    </w:p>
    <w:p>
      <w:pPr>
        <w:widowControl/>
        <w:snapToGrid w:val="0"/>
        <w:spacing w:line="360" w:lineRule="auto"/>
        <w:rPr>
          <w:rFonts w:ascii="宋体" w:hAnsi="宋体"/>
          <w:bCs/>
        </w:rPr>
      </w:pPr>
      <w:r>
        <w:rPr>
          <w:rFonts w:ascii="宋体" w:hAnsi="宋体"/>
          <w:bCs/>
        </w:rPr>
        <w:t>2.</w:t>
      </w:r>
      <w:r>
        <w:rPr>
          <w:rFonts w:hint="eastAsia" w:ascii="宋体" w:hAnsi="宋体"/>
          <w:bCs/>
        </w:rPr>
        <w:t>回顾旧知识</w:t>
      </w:r>
      <w:r>
        <w:rPr>
          <w:rFonts w:ascii="宋体" w:hAnsi="宋体"/>
          <w:bCs/>
        </w:rPr>
        <w:t>，</w:t>
      </w:r>
      <w:r>
        <w:rPr>
          <w:rFonts w:hint="eastAsia" w:ascii="宋体" w:hAnsi="宋体"/>
          <w:bCs/>
        </w:rPr>
        <w:t>发现问题</w:t>
      </w:r>
      <w:r>
        <w:rPr>
          <w:rFonts w:ascii="宋体" w:hAnsi="宋体"/>
          <w:bCs/>
        </w:rPr>
        <w:t>，引出本章的学习内容，学习目标；</w:t>
      </w:r>
      <w:r>
        <w:rPr>
          <w:rFonts w:hint="eastAsia" w:ascii="宋体" w:hAnsi="宋体"/>
          <w:bCs/>
        </w:rPr>
        <w:t>以</w:t>
      </w:r>
      <w:r>
        <w:rPr>
          <w:rFonts w:ascii="宋体" w:hAnsi="宋体"/>
          <w:bCs/>
        </w:rPr>
        <w:t>多媒体</w:t>
      </w:r>
      <w:r>
        <w:rPr>
          <w:rFonts w:hint="eastAsia" w:ascii="宋体" w:hAnsi="宋体"/>
          <w:bCs/>
        </w:rPr>
        <w:t>的形式</w:t>
      </w:r>
      <w:r>
        <w:rPr>
          <w:rFonts w:ascii="宋体" w:hAnsi="宋体"/>
          <w:bCs/>
        </w:rPr>
        <w:t>，</w:t>
      </w:r>
      <w:r>
        <w:rPr>
          <w:rFonts w:hint="eastAsia" w:ascii="宋体" w:hAnsi="宋体"/>
          <w:bCs/>
        </w:rPr>
        <w:t>形象地</w:t>
      </w:r>
      <w:r>
        <w:rPr>
          <w:rFonts w:ascii="宋体" w:hAnsi="宋体"/>
          <w:bCs/>
        </w:rPr>
        <w:t>向学生展示、讲解</w:t>
      </w:r>
      <w:r>
        <w:rPr>
          <w:rFonts w:hint="eastAsia" w:ascii="宋体" w:hAnsi="宋体"/>
          <w:bCs/>
        </w:rPr>
        <w:t>知识点</w:t>
      </w:r>
      <w:r>
        <w:rPr>
          <w:rFonts w:ascii="宋体" w:hAnsi="宋体"/>
          <w:bCs/>
        </w:rPr>
        <w:t>，</w:t>
      </w:r>
      <w:r>
        <w:rPr>
          <w:rFonts w:hint="eastAsia" w:ascii="宋体" w:hAnsi="宋体"/>
          <w:bCs/>
        </w:rPr>
        <w:t>在</w:t>
      </w:r>
      <w:r>
        <w:rPr>
          <w:rFonts w:ascii="宋体" w:hAnsi="宋体"/>
          <w:bCs/>
        </w:rPr>
        <w:t>讲解的过程中</w:t>
      </w:r>
      <w:r>
        <w:rPr>
          <w:rFonts w:hint="eastAsia" w:ascii="宋体" w:hAnsi="宋体"/>
          <w:bCs/>
        </w:rPr>
        <w:t>灵活</w:t>
      </w:r>
      <w:r>
        <w:rPr>
          <w:rFonts w:ascii="宋体" w:hAnsi="宋体"/>
          <w:bCs/>
        </w:rPr>
        <w:t>设置问题，注重与学生的互动，并结合具体的生产案例进行分析</w:t>
      </w:r>
      <w:r>
        <w:rPr>
          <w:rFonts w:hint="eastAsia" w:ascii="宋体" w:hAnsi="宋体"/>
          <w:bCs/>
        </w:rPr>
        <w:t>，提高</w:t>
      </w:r>
      <w:r>
        <w:rPr>
          <w:rFonts w:ascii="宋体" w:hAnsi="宋体"/>
          <w:bCs/>
        </w:rPr>
        <w:t>学习兴趣及主动性</w:t>
      </w:r>
      <w:r>
        <w:rPr>
          <w:rFonts w:hint="eastAsia" w:ascii="宋体" w:hAnsi="宋体"/>
          <w:bCs/>
        </w:rPr>
        <w:t>。</w:t>
      </w:r>
    </w:p>
    <w:p>
      <w:pPr>
        <w:widowControl/>
        <w:snapToGrid w:val="0"/>
        <w:spacing w:line="360" w:lineRule="auto"/>
        <w:rPr>
          <w:rFonts w:ascii="宋体" w:hAnsi="宋体"/>
          <w:b/>
          <w:bCs/>
        </w:rPr>
      </w:pPr>
      <w:r>
        <w:rPr>
          <w:rFonts w:ascii="宋体" w:hAnsi="宋体"/>
          <w:bCs/>
        </w:rPr>
        <w:t>3.</w:t>
      </w:r>
      <w:r>
        <w:rPr>
          <w:rFonts w:hint="eastAsia" w:ascii="宋体" w:hAnsi="宋体"/>
          <w:bCs/>
        </w:rPr>
        <w:t>最后归纳本章</w:t>
      </w:r>
      <w:r>
        <w:rPr>
          <w:rFonts w:ascii="宋体" w:hAnsi="宋体"/>
          <w:bCs/>
        </w:rPr>
        <w:t>知识点</w:t>
      </w:r>
      <w:r>
        <w:rPr>
          <w:rFonts w:hint="eastAsia" w:ascii="宋体" w:hAnsi="宋体"/>
          <w:bCs/>
        </w:rPr>
        <w:t>，强调</w:t>
      </w:r>
      <w:r>
        <w:rPr>
          <w:rFonts w:ascii="宋体" w:hAnsi="宋体"/>
          <w:bCs/>
        </w:rPr>
        <w:t>重点、难点，并以提问</w:t>
      </w:r>
      <w:r>
        <w:rPr>
          <w:rFonts w:hint="eastAsia" w:ascii="宋体" w:hAnsi="宋体"/>
          <w:bCs/>
        </w:rPr>
        <w:t>的</w:t>
      </w:r>
      <w:r>
        <w:rPr>
          <w:rFonts w:ascii="宋体" w:hAnsi="宋体"/>
          <w:bCs/>
        </w:rPr>
        <w:t>形式，总结及检验学习效果。</w:t>
      </w:r>
    </w:p>
    <w:p>
      <w:pPr>
        <w:pStyle w:val="35"/>
        <w:widowControl/>
        <w:snapToGrid w:val="0"/>
        <w:spacing w:line="360" w:lineRule="auto"/>
        <w:ind w:left="1245" w:firstLine="1581" w:firstLineChars="750"/>
        <w:jc w:val="left"/>
        <w:rPr>
          <w:rFonts w:ascii="宋体" w:hAnsi="宋体"/>
          <w:b/>
          <w:bCs/>
        </w:rPr>
      </w:pPr>
      <w:r>
        <w:rPr>
          <w:rFonts w:hint="eastAsia" w:ascii="宋体" w:hAnsi="宋体"/>
          <w:b/>
          <w:bCs/>
        </w:rPr>
        <w:t>第五章 固体基质栽培设施构成与管理技术            学时数：</w:t>
      </w:r>
      <w:r>
        <w:rPr>
          <w:rFonts w:ascii="宋体" w:hAnsi="宋体"/>
          <w:b/>
          <w:bCs/>
        </w:rPr>
        <w:t>4</w:t>
      </w:r>
    </w:p>
    <w:p>
      <w:pPr>
        <w:widowControl/>
        <w:snapToGrid w:val="0"/>
        <w:spacing w:line="360" w:lineRule="auto"/>
        <w:jc w:val="left"/>
        <w:rPr>
          <w:rFonts w:ascii="宋体" w:hAnsi="宋体"/>
          <w:b/>
          <w:bCs/>
        </w:rPr>
      </w:pPr>
      <w:r>
        <w:rPr>
          <w:rFonts w:hint="eastAsia" w:ascii="宋体" w:hAnsi="宋体"/>
          <w:b/>
          <w:bCs/>
        </w:rPr>
        <w:t>教学目的：</w:t>
      </w:r>
      <w:r>
        <w:rPr>
          <w:rFonts w:hint="eastAsia" w:ascii="宋体" w:hAnsi="宋体"/>
          <w:bCs/>
        </w:rPr>
        <w:t>掌握固体基质栽培的种类及特点，了解基质栽培的技术要点。</w:t>
      </w:r>
    </w:p>
    <w:p>
      <w:pPr>
        <w:widowControl/>
        <w:snapToGrid w:val="0"/>
        <w:spacing w:line="360" w:lineRule="auto"/>
        <w:jc w:val="left"/>
        <w:rPr>
          <w:rFonts w:ascii="宋体" w:hAnsi="宋体"/>
          <w:b/>
          <w:bCs/>
        </w:rPr>
      </w:pPr>
      <w:r>
        <w:rPr>
          <w:rFonts w:hint="eastAsia" w:ascii="宋体" w:hAnsi="宋体"/>
          <w:b/>
          <w:bCs/>
        </w:rPr>
        <w:t>教学重点和难点：</w:t>
      </w:r>
      <w:r>
        <w:rPr>
          <w:rFonts w:hint="eastAsia" w:ascii="宋体" w:hAnsi="宋体"/>
          <w:bCs/>
        </w:rPr>
        <w:t>常见基质栽培设施结构特点，岩棉栽培床结构及供液和排液方式。</w:t>
      </w:r>
    </w:p>
    <w:p>
      <w:pPr>
        <w:widowControl/>
        <w:snapToGrid w:val="0"/>
        <w:spacing w:line="360" w:lineRule="auto"/>
        <w:jc w:val="left"/>
        <w:rPr>
          <w:rFonts w:ascii="宋体" w:hAnsi="宋体"/>
          <w:bCs/>
        </w:rPr>
      </w:pPr>
      <w:r>
        <w:rPr>
          <w:rFonts w:hint="eastAsia" w:ascii="宋体" w:hAnsi="宋体"/>
          <w:b/>
          <w:bCs/>
        </w:rPr>
        <w:t>主要教学内容及要求：</w:t>
      </w:r>
      <w:r>
        <w:rPr>
          <w:rFonts w:hint="eastAsia" w:ascii="宋体" w:hAnsi="宋体"/>
          <w:bCs/>
        </w:rPr>
        <w:t>了解固体基质栽培管理技术要点；理解固体基质栽培与水培的区别；掌握固体基质设施的主要类型、特征及其结构，有机生态型无土栽培的特点及应用；熟悉掌握开放式和封闭式岩棉栽培床结构及供液和排液方式。</w:t>
      </w:r>
    </w:p>
    <w:p>
      <w:pPr>
        <w:pStyle w:val="35"/>
        <w:widowControl/>
        <w:numPr>
          <w:ilvl w:val="0"/>
          <w:numId w:val="33"/>
        </w:numPr>
        <w:snapToGrid w:val="0"/>
        <w:spacing w:line="360" w:lineRule="auto"/>
        <w:ind w:firstLineChars="0"/>
        <w:jc w:val="left"/>
        <w:rPr>
          <w:rFonts w:ascii="宋体" w:hAnsi="宋体"/>
          <w:bCs/>
        </w:rPr>
      </w:pPr>
      <w:r>
        <w:rPr>
          <w:rFonts w:hint="eastAsia" w:ascii="宋体" w:hAnsi="宋体"/>
          <w:bCs/>
        </w:rPr>
        <w:t>袋培</w:t>
      </w:r>
    </w:p>
    <w:p>
      <w:pPr>
        <w:pStyle w:val="35"/>
        <w:widowControl/>
        <w:numPr>
          <w:ilvl w:val="0"/>
          <w:numId w:val="33"/>
        </w:numPr>
        <w:snapToGrid w:val="0"/>
        <w:spacing w:line="360" w:lineRule="auto"/>
        <w:ind w:firstLineChars="0"/>
        <w:jc w:val="left"/>
        <w:rPr>
          <w:rFonts w:ascii="宋体" w:hAnsi="宋体"/>
          <w:bCs/>
        </w:rPr>
      </w:pPr>
      <w:r>
        <w:rPr>
          <w:rFonts w:hint="eastAsia" w:ascii="宋体" w:hAnsi="宋体"/>
          <w:bCs/>
        </w:rPr>
        <w:t>槽培</w:t>
      </w:r>
    </w:p>
    <w:p>
      <w:pPr>
        <w:pStyle w:val="35"/>
        <w:widowControl/>
        <w:numPr>
          <w:ilvl w:val="0"/>
          <w:numId w:val="33"/>
        </w:numPr>
        <w:snapToGrid w:val="0"/>
        <w:spacing w:line="360" w:lineRule="auto"/>
        <w:ind w:firstLineChars="0"/>
        <w:jc w:val="left"/>
        <w:rPr>
          <w:rFonts w:ascii="宋体" w:hAnsi="宋体"/>
          <w:bCs/>
        </w:rPr>
      </w:pPr>
      <w:r>
        <w:rPr>
          <w:rFonts w:hint="eastAsia" w:ascii="宋体" w:hAnsi="宋体"/>
          <w:bCs/>
        </w:rPr>
        <w:t>岩棉栽培</w:t>
      </w:r>
    </w:p>
    <w:p>
      <w:pPr>
        <w:pStyle w:val="35"/>
        <w:widowControl/>
        <w:numPr>
          <w:ilvl w:val="0"/>
          <w:numId w:val="33"/>
        </w:numPr>
        <w:snapToGrid w:val="0"/>
        <w:spacing w:line="360" w:lineRule="auto"/>
        <w:ind w:firstLineChars="0"/>
        <w:jc w:val="left"/>
        <w:rPr>
          <w:rFonts w:ascii="宋体" w:hAnsi="宋体"/>
          <w:bCs/>
        </w:rPr>
      </w:pPr>
      <w:r>
        <w:rPr>
          <w:rFonts w:hint="eastAsia" w:ascii="宋体" w:hAnsi="宋体"/>
          <w:bCs/>
        </w:rPr>
        <w:t>其他基质栽培方式</w:t>
      </w:r>
    </w:p>
    <w:p>
      <w:pPr>
        <w:widowControl/>
        <w:snapToGrid w:val="0"/>
        <w:spacing w:line="360" w:lineRule="auto"/>
        <w:jc w:val="left"/>
        <w:rPr>
          <w:rFonts w:ascii="宋体" w:hAnsi="宋体"/>
          <w:b/>
          <w:bCs/>
        </w:rPr>
      </w:pPr>
      <w:r>
        <w:rPr>
          <w:rFonts w:hint="eastAsia" w:ascii="宋体" w:hAnsi="宋体"/>
          <w:b/>
          <w:bCs/>
        </w:rPr>
        <w:t>教学组织与实施：</w:t>
      </w:r>
    </w:p>
    <w:p>
      <w:pPr>
        <w:widowControl/>
        <w:snapToGrid w:val="0"/>
        <w:spacing w:line="360" w:lineRule="auto"/>
        <w:rPr>
          <w:rFonts w:ascii="宋体" w:hAnsi="宋体"/>
          <w:bCs/>
        </w:rPr>
      </w:pPr>
      <w:r>
        <w:rPr>
          <w:rFonts w:hint="eastAsia" w:ascii="宋体" w:hAnsi="宋体"/>
          <w:bCs/>
        </w:rPr>
        <w:t>1.课前在超星</w:t>
      </w:r>
      <w:r>
        <w:rPr>
          <w:rFonts w:ascii="宋体" w:hAnsi="宋体"/>
          <w:bCs/>
        </w:rPr>
        <w:t>学习通上</w:t>
      </w:r>
      <w:r>
        <w:rPr>
          <w:rFonts w:hint="eastAsia" w:ascii="宋体" w:hAnsi="宋体"/>
          <w:bCs/>
        </w:rPr>
        <w:t>发布问题及</w:t>
      </w:r>
      <w:r>
        <w:rPr>
          <w:rFonts w:ascii="宋体" w:hAnsi="宋体"/>
          <w:bCs/>
        </w:rPr>
        <w:t>讨论,</w:t>
      </w:r>
      <w:r>
        <w:rPr>
          <w:rFonts w:hint="eastAsia" w:ascii="宋体" w:hAnsi="宋体"/>
          <w:bCs/>
        </w:rPr>
        <w:t>并</w:t>
      </w:r>
      <w:r>
        <w:rPr>
          <w:rFonts w:ascii="宋体" w:hAnsi="宋体"/>
          <w:bCs/>
        </w:rPr>
        <w:t>上传课件等学习资料，</w:t>
      </w:r>
      <w:r>
        <w:rPr>
          <w:rFonts w:hint="eastAsia" w:ascii="宋体" w:hAnsi="宋体"/>
          <w:bCs/>
        </w:rPr>
        <w:t>引导</w:t>
      </w:r>
      <w:r>
        <w:rPr>
          <w:rFonts w:ascii="宋体" w:hAnsi="宋体"/>
          <w:bCs/>
        </w:rPr>
        <w:t>学生进行自学。</w:t>
      </w:r>
    </w:p>
    <w:p>
      <w:pPr>
        <w:widowControl/>
        <w:snapToGrid w:val="0"/>
        <w:spacing w:line="360" w:lineRule="auto"/>
        <w:jc w:val="left"/>
        <w:rPr>
          <w:rFonts w:ascii="宋体" w:hAnsi="宋体"/>
          <w:bCs/>
        </w:rPr>
      </w:pPr>
      <w:r>
        <w:rPr>
          <w:rFonts w:ascii="宋体" w:hAnsi="宋体"/>
          <w:bCs/>
        </w:rPr>
        <w:t>2.</w:t>
      </w:r>
      <w:r>
        <w:rPr>
          <w:rFonts w:hint="eastAsia" w:ascii="宋体" w:hAnsi="宋体"/>
          <w:bCs/>
        </w:rPr>
        <w:t>回顾旧知识</w:t>
      </w:r>
      <w:r>
        <w:rPr>
          <w:rFonts w:ascii="宋体" w:hAnsi="宋体"/>
          <w:bCs/>
        </w:rPr>
        <w:t>，</w:t>
      </w:r>
      <w:r>
        <w:rPr>
          <w:rFonts w:hint="eastAsia" w:ascii="宋体" w:hAnsi="宋体"/>
          <w:bCs/>
        </w:rPr>
        <w:t>设置</w:t>
      </w:r>
      <w:r>
        <w:rPr>
          <w:rFonts w:ascii="宋体" w:hAnsi="宋体"/>
          <w:bCs/>
        </w:rPr>
        <w:t>悬念，导入</w:t>
      </w:r>
      <w:r>
        <w:rPr>
          <w:rFonts w:hint="eastAsia" w:ascii="宋体" w:hAnsi="宋体"/>
          <w:bCs/>
        </w:rPr>
        <w:t>本章</w:t>
      </w:r>
      <w:r>
        <w:rPr>
          <w:rFonts w:ascii="宋体" w:hAnsi="宋体"/>
          <w:bCs/>
        </w:rPr>
        <w:t>学习内容，学习目标；</w:t>
      </w:r>
      <w:r>
        <w:rPr>
          <w:rFonts w:hint="eastAsia" w:ascii="宋体" w:hAnsi="宋体"/>
          <w:bCs/>
        </w:rPr>
        <w:t>以</w:t>
      </w:r>
      <w:r>
        <w:rPr>
          <w:rFonts w:ascii="宋体" w:hAnsi="宋体"/>
          <w:bCs/>
        </w:rPr>
        <w:t>多媒体</w:t>
      </w:r>
      <w:r>
        <w:rPr>
          <w:rFonts w:hint="eastAsia" w:ascii="宋体" w:hAnsi="宋体"/>
          <w:bCs/>
        </w:rPr>
        <w:t>的形式</w:t>
      </w:r>
      <w:r>
        <w:rPr>
          <w:rFonts w:ascii="宋体" w:hAnsi="宋体"/>
          <w:bCs/>
        </w:rPr>
        <w:t>，</w:t>
      </w:r>
      <w:r>
        <w:rPr>
          <w:rFonts w:hint="eastAsia" w:ascii="宋体" w:hAnsi="宋体"/>
          <w:bCs/>
        </w:rPr>
        <w:t>利用</w:t>
      </w:r>
      <w:r>
        <w:rPr>
          <w:rFonts w:ascii="宋体" w:hAnsi="宋体"/>
          <w:bCs/>
        </w:rPr>
        <w:t>生动的图片及具有代表性的视频文件</w:t>
      </w:r>
      <w:r>
        <w:rPr>
          <w:rFonts w:hint="eastAsia" w:ascii="宋体" w:hAnsi="宋体"/>
          <w:bCs/>
        </w:rPr>
        <w:t>形象地</w:t>
      </w:r>
      <w:r>
        <w:rPr>
          <w:rFonts w:ascii="宋体" w:hAnsi="宋体"/>
          <w:bCs/>
        </w:rPr>
        <w:t>向学生展示、讲解</w:t>
      </w:r>
      <w:r>
        <w:rPr>
          <w:rFonts w:hint="eastAsia" w:ascii="宋体" w:hAnsi="宋体"/>
          <w:bCs/>
        </w:rPr>
        <w:t>知识点</w:t>
      </w:r>
      <w:r>
        <w:rPr>
          <w:rFonts w:ascii="宋体" w:hAnsi="宋体"/>
          <w:bCs/>
        </w:rPr>
        <w:t>，</w:t>
      </w:r>
      <w:r>
        <w:rPr>
          <w:rFonts w:hint="eastAsia" w:ascii="宋体" w:hAnsi="宋体"/>
          <w:bCs/>
        </w:rPr>
        <w:t>同时</w:t>
      </w:r>
      <w:r>
        <w:rPr>
          <w:rFonts w:ascii="宋体" w:hAnsi="宋体"/>
          <w:bCs/>
        </w:rPr>
        <w:t>注重与学生的互动，并结合具体的生产案例进行分析</w:t>
      </w:r>
      <w:r>
        <w:rPr>
          <w:rFonts w:hint="eastAsia" w:ascii="宋体" w:hAnsi="宋体"/>
          <w:bCs/>
        </w:rPr>
        <w:t>，提高</w:t>
      </w:r>
      <w:r>
        <w:rPr>
          <w:rFonts w:ascii="宋体" w:hAnsi="宋体"/>
          <w:bCs/>
        </w:rPr>
        <w:t>学习兴趣及主动性；</w:t>
      </w:r>
      <w:r>
        <w:rPr>
          <w:rFonts w:hint="eastAsia" w:ascii="宋体" w:hAnsi="宋体"/>
          <w:bCs/>
        </w:rPr>
        <w:t>学习</w:t>
      </w:r>
      <w:r>
        <w:rPr>
          <w:rFonts w:ascii="宋体" w:hAnsi="宋体"/>
          <w:bCs/>
        </w:rPr>
        <w:t>过程中，鼓励学生发散思维，</w:t>
      </w:r>
      <w:r>
        <w:rPr>
          <w:rFonts w:hint="eastAsia" w:ascii="宋体" w:hAnsi="宋体"/>
          <w:bCs/>
        </w:rPr>
        <w:t>并以</w:t>
      </w:r>
      <w:r>
        <w:rPr>
          <w:rFonts w:ascii="宋体" w:hAnsi="宋体"/>
          <w:bCs/>
        </w:rPr>
        <w:t>讨论的形式</w:t>
      </w:r>
      <w:r>
        <w:rPr>
          <w:rFonts w:hint="eastAsia" w:ascii="宋体" w:hAnsi="宋体"/>
          <w:bCs/>
        </w:rPr>
        <w:t>强化学习</w:t>
      </w:r>
      <w:r>
        <w:rPr>
          <w:rFonts w:ascii="宋体" w:hAnsi="宋体"/>
          <w:bCs/>
        </w:rPr>
        <w:t>内容</w:t>
      </w:r>
      <w:r>
        <w:rPr>
          <w:rFonts w:hint="eastAsia" w:ascii="宋体" w:hAnsi="宋体"/>
          <w:bCs/>
        </w:rPr>
        <w:t>。</w:t>
      </w:r>
    </w:p>
    <w:p>
      <w:pPr>
        <w:widowControl/>
        <w:snapToGrid w:val="0"/>
        <w:spacing w:line="360" w:lineRule="auto"/>
        <w:jc w:val="left"/>
        <w:rPr>
          <w:rFonts w:ascii="宋体" w:hAnsi="宋体"/>
          <w:b/>
          <w:bCs/>
        </w:rPr>
      </w:pPr>
      <w:r>
        <w:rPr>
          <w:rFonts w:ascii="宋体" w:hAnsi="宋体"/>
          <w:bCs/>
        </w:rPr>
        <w:t>3.</w:t>
      </w:r>
      <w:r>
        <w:rPr>
          <w:rFonts w:hint="eastAsia" w:ascii="宋体" w:hAnsi="宋体"/>
          <w:bCs/>
        </w:rPr>
        <w:t>最后归纳本章</w:t>
      </w:r>
      <w:r>
        <w:rPr>
          <w:rFonts w:ascii="宋体" w:hAnsi="宋体"/>
          <w:bCs/>
        </w:rPr>
        <w:t>知识点</w:t>
      </w:r>
      <w:r>
        <w:rPr>
          <w:rFonts w:hint="eastAsia" w:ascii="宋体" w:hAnsi="宋体"/>
          <w:bCs/>
        </w:rPr>
        <w:t>，强调</w:t>
      </w:r>
      <w:r>
        <w:rPr>
          <w:rFonts w:ascii="宋体" w:hAnsi="宋体"/>
          <w:bCs/>
        </w:rPr>
        <w:t>重点、难点，并以提问</w:t>
      </w:r>
      <w:r>
        <w:rPr>
          <w:rFonts w:hint="eastAsia" w:ascii="宋体" w:hAnsi="宋体"/>
          <w:bCs/>
        </w:rPr>
        <w:t>及</w:t>
      </w:r>
      <w:r>
        <w:rPr>
          <w:rFonts w:ascii="宋体" w:hAnsi="宋体"/>
          <w:bCs/>
        </w:rPr>
        <w:t>回顾</w:t>
      </w:r>
      <w:r>
        <w:rPr>
          <w:rFonts w:hint="eastAsia" w:ascii="宋体" w:hAnsi="宋体"/>
          <w:bCs/>
        </w:rPr>
        <w:t>的</w:t>
      </w:r>
      <w:r>
        <w:rPr>
          <w:rFonts w:ascii="宋体" w:hAnsi="宋体"/>
          <w:bCs/>
        </w:rPr>
        <w:t>形式，总结</w:t>
      </w:r>
      <w:r>
        <w:rPr>
          <w:rFonts w:hint="eastAsia" w:ascii="宋体" w:hAnsi="宋体"/>
          <w:bCs/>
        </w:rPr>
        <w:t>和</w:t>
      </w:r>
      <w:r>
        <w:rPr>
          <w:rFonts w:ascii="宋体" w:hAnsi="宋体"/>
          <w:bCs/>
        </w:rPr>
        <w:t>检验学习效果。</w:t>
      </w:r>
    </w:p>
    <w:p>
      <w:pPr>
        <w:pStyle w:val="35"/>
        <w:widowControl/>
        <w:snapToGrid w:val="0"/>
        <w:spacing w:line="360" w:lineRule="auto"/>
        <w:ind w:left="1245" w:firstLine="1581" w:firstLineChars="750"/>
        <w:jc w:val="left"/>
        <w:rPr>
          <w:rFonts w:ascii="宋体" w:hAnsi="宋体"/>
          <w:b/>
          <w:bCs/>
        </w:rPr>
      </w:pPr>
      <w:r>
        <w:rPr>
          <w:rFonts w:hint="eastAsia" w:ascii="宋体" w:hAnsi="宋体"/>
          <w:b/>
          <w:bCs/>
        </w:rPr>
        <w:t>第六章 蔬菜及</w:t>
      </w:r>
      <w:r>
        <w:rPr>
          <w:rFonts w:ascii="宋体" w:hAnsi="宋体"/>
          <w:b/>
          <w:bCs/>
        </w:rPr>
        <w:t>花卉</w:t>
      </w:r>
      <w:r>
        <w:rPr>
          <w:rFonts w:hint="eastAsia" w:ascii="宋体" w:hAnsi="宋体"/>
          <w:b/>
          <w:bCs/>
        </w:rPr>
        <w:t>无土栽培技术</w:t>
      </w:r>
      <w:r>
        <w:rPr>
          <w:rFonts w:hint="eastAsia" w:ascii="宋体" w:hAnsi="宋体"/>
          <w:bCs/>
        </w:rPr>
        <w:t xml:space="preserve">                </w:t>
      </w:r>
      <w:r>
        <w:rPr>
          <w:rFonts w:hint="eastAsia" w:ascii="宋体" w:hAnsi="宋体"/>
          <w:b/>
          <w:bCs/>
        </w:rPr>
        <w:t>学时数：</w:t>
      </w:r>
      <w:r>
        <w:rPr>
          <w:rFonts w:ascii="宋体" w:hAnsi="宋体"/>
          <w:b/>
          <w:bCs/>
        </w:rPr>
        <w:t>2</w:t>
      </w:r>
    </w:p>
    <w:p>
      <w:pPr>
        <w:widowControl/>
        <w:snapToGrid w:val="0"/>
        <w:spacing w:line="360" w:lineRule="auto"/>
        <w:jc w:val="left"/>
        <w:rPr>
          <w:rFonts w:ascii="宋体" w:hAnsi="宋体"/>
          <w:b/>
          <w:bCs/>
        </w:rPr>
      </w:pPr>
      <w:r>
        <w:rPr>
          <w:rFonts w:hint="eastAsia" w:ascii="宋体" w:hAnsi="宋体"/>
          <w:b/>
          <w:bCs/>
        </w:rPr>
        <w:t>教学目的：</w:t>
      </w:r>
      <w:r>
        <w:rPr>
          <w:rFonts w:hint="eastAsia" w:ascii="宋体" w:hAnsi="宋体"/>
          <w:bCs/>
        </w:rPr>
        <w:t>了解常见果菜类、叶菜类蔬菜的无土栽培形式，掌握其无土栽培关键技术。</w:t>
      </w:r>
    </w:p>
    <w:p>
      <w:pPr>
        <w:widowControl/>
        <w:snapToGrid w:val="0"/>
        <w:spacing w:line="360" w:lineRule="auto"/>
        <w:jc w:val="left"/>
        <w:rPr>
          <w:rFonts w:ascii="宋体" w:hAnsi="宋体"/>
          <w:b/>
          <w:bCs/>
        </w:rPr>
      </w:pPr>
      <w:r>
        <w:rPr>
          <w:rFonts w:hint="eastAsia" w:ascii="宋体" w:hAnsi="宋体"/>
          <w:b/>
          <w:bCs/>
        </w:rPr>
        <w:t>教学重点和难点：</w:t>
      </w:r>
      <w:r>
        <w:rPr>
          <w:rFonts w:hint="eastAsia" w:ascii="宋体" w:hAnsi="宋体"/>
          <w:bCs/>
        </w:rPr>
        <w:t>无土栽培方式的选择及基质、营养液的管理技术。</w:t>
      </w:r>
    </w:p>
    <w:p>
      <w:pPr>
        <w:widowControl/>
        <w:snapToGrid w:val="0"/>
        <w:spacing w:line="360" w:lineRule="auto"/>
        <w:jc w:val="left"/>
        <w:rPr>
          <w:rFonts w:ascii="宋体" w:hAnsi="宋体"/>
          <w:bCs/>
        </w:rPr>
      </w:pPr>
      <w:r>
        <w:rPr>
          <w:rFonts w:hint="eastAsia" w:ascii="宋体" w:hAnsi="宋体"/>
          <w:b/>
          <w:bCs/>
        </w:rPr>
        <w:t>主要教学内容及要求：</w:t>
      </w:r>
      <w:r>
        <w:rPr>
          <w:rFonts w:hint="eastAsia" w:ascii="宋体" w:hAnsi="宋体"/>
          <w:bCs/>
        </w:rPr>
        <w:t>了解常见果菜类</w:t>
      </w:r>
      <w:r>
        <w:rPr>
          <w:rFonts w:ascii="宋体" w:hAnsi="宋体"/>
          <w:bCs/>
        </w:rPr>
        <w:t>及叶菜类蔬菜</w:t>
      </w:r>
      <w:r>
        <w:rPr>
          <w:rFonts w:hint="eastAsia" w:ascii="宋体" w:hAnsi="宋体"/>
          <w:bCs/>
        </w:rPr>
        <w:t>无土栽培方式；理解选择不同无土栽培方式的原因；掌握果菜类蔬菜、叶菜类蔬菜的无土栽培关键管理技术；熟练掌握果菜类基质栽培技术、叶菜类水培技术。</w:t>
      </w:r>
    </w:p>
    <w:p>
      <w:pPr>
        <w:pStyle w:val="35"/>
        <w:widowControl/>
        <w:numPr>
          <w:ilvl w:val="0"/>
          <w:numId w:val="34"/>
        </w:numPr>
        <w:snapToGrid w:val="0"/>
        <w:spacing w:line="360" w:lineRule="auto"/>
        <w:ind w:firstLineChars="0"/>
        <w:jc w:val="left"/>
        <w:rPr>
          <w:rFonts w:ascii="宋体" w:hAnsi="宋体"/>
          <w:bCs/>
        </w:rPr>
      </w:pPr>
      <w:r>
        <w:rPr>
          <w:rFonts w:hint="eastAsia" w:ascii="宋体" w:hAnsi="宋体"/>
          <w:bCs/>
        </w:rPr>
        <w:t>果菜类蔬菜无土栽培技术</w:t>
      </w:r>
    </w:p>
    <w:p>
      <w:pPr>
        <w:pStyle w:val="35"/>
        <w:widowControl/>
        <w:numPr>
          <w:ilvl w:val="0"/>
          <w:numId w:val="34"/>
        </w:numPr>
        <w:snapToGrid w:val="0"/>
        <w:spacing w:line="360" w:lineRule="auto"/>
        <w:ind w:firstLineChars="0"/>
        <w:jc w:val="left"/>
        <w:rPr>
          <w:rFonts w:ascii="宋体" w:hAnsi="宋体"/>
          <w:bCs/>
        </w:rPr>
      </w:pPr>
      <w:r>
        <w:rPr>
          <w:rFonts w:hint="eastAsia" w:ascii="宋体" w:hAnsi="宋体"/>
          <w:bCs/>
        </w:rPr>
        <w:t>叶菜类蔬菜无土栽培技术</w:t>
      </w:r>
    </w:p>
    <w:p>
      <w:pPr>
        <w:widowControl/>
        <w:snapToGrid w:val="0"/>
        <w:spacing w:line="360" w:lineRule="auto"/>
        <w:jc w:val="left"/>
        <w:rPr>
          <w:rFonts w:ascii="宋体" w:hAnsi="宋体"/>
          <w:b/>
          <w:bCs/>
        </w:rPr>
      </w:pPr>
      <w:r>
        <w:rPr>
          <w:rFonts w:hint="eastAsia" w:ascii="宋体" w:hAnsi="宋体"/>
          <w:b/>
          <w:bCs/>
        </w:rPr>
        <w:t>教学组织与实施：</w:t>
      </w:r>
    </w:p>
    <w:p>
      <w:pPr>
        <w:widowControl/>
        <w:snapToGrid w:val="0"/>
        <w:spacing w:line="360" w:lineRule="auto"/>
        <w:rPr>
          <w:rFonts w:ascii="宋体" w:hAnsi="宋体"/>
          <w:bCs/>
        </w:rPr>
      </w:pPr>
      <w:r>
        <w:rPr>
          <w:rFonts w:hint="eastAsia" w:ascii="宋体" w:hAnsi="宋体"/>
          <w:bCs/>
        </w:rPr>
        <w:t>1.课前在超星</w:t>
      </w:r>
      <w:r>
        <w:rPr>
          <w:rFonts w:ascii="宋体" w:hAnsi="宋体"/>
          <w:bCs/>
        </w:rPr>
        <w:t>学习通上</w:t>
      </w:r>
      <w:r>
        <w:rPr>
          <w:rFonts w:hint="eastAsia" w:ascii="宋体" w:hAnsi="宋体"/>
          <w:bCs/>
        </w:rPr>
        <w:t>发布问题“如何</w:t>
      </w:r>
      <w:r>
        <w:rPr>
          <w:rFonts w:ascii="宋体" w:hAnsi="宋体"/>
          <w:bCs/>
        </w:rPr>
        <w:t>进行</w:t>
      </w:r>
      <w:r>
        <w:rPr>
          <w:rFonts w:hint="eastAsia" w:ascii="宋体" w:hAnsi="宋体"/>
          <w:bCs/>
        </w:rPr>
        <w:t>生菜的</w:t>
      </w:r>
      <w:r>
        <w:rPr>
          <w:rFonts w:ascii="宋体" w:hAnsi="宋体"/>
          <w:bCs/>
        </w:rPr>
        <w:t>无土栽培</w:t>
      </w:r>
      <w:r>
        <w:rPr>
          <w:rFonts w:hint="eastAsia" w:ascii="宋体" w:hAnsi="宋体"/>
          <w:bCs/>
        </w:rPr>
        <w:t>”</w:t>
      </w:r>
      <w:r>
        <w:rPr>
          <w:rFonts w:ascii="宋体" w:hAnsi="宋体"/>
          <w:bCs/>
        </w:rPr>
        <w:t>,</w:t>
      </w:r>
      <w:r>
        <w:rPr>
          <w:rFonts w:hint="eastAsia" w:ascii="宋体" w:hAnsi="宋体"/>
          <w:bCs/>
        </w:rPr>
        <w:t>并</w:t>
      </w:r>
      <w:r>
        <w:rPr>
          <w:rFonts w:ascii="宋体" w:hAnsi="宋体"/>
          <w:bCs/>
        </w:rPr>
        <w:t>上传课件等学习资料，</w:t>
      </w:r>
      <w:r>
        <w:rPr>
          <w:rFonts w:hint="eastAsia" w:ascii="宋体" w:hAnsi="宋体"/>
          <w:bCs/>
        </w:rPr>
        <w:t>引导</w:t>
      </w:r>
      <w:r>
        <w:rPr>
          <w:rFonts w:ascii="宋体" w:hAnsi="宋体"/>
          <w:bCs/>
        </w:rPr>
        <w:t>学生进行自学。</w:t>
      </w:r>
    </w:p>
    <w:p>
      <w:pPr>
        <w:widowControl/>
        <w:snapToGrid w:val="0"/>
        <w:spacing w:line="360" w:lineRule="auto"/>
        <w:jc w:val="left"/>
        <w:rPr>
          <w:rFonts w:ascii="宋体" w:hAnsi="宋体"/>
          <w:bCs/>
        </w:rPr>
      </w:pPr>
      <w:r>
        <w:rPr>
          <w:rFonts w:ascii="宋体" w:hAnsi="宋体"/>
          <w:bCs/>
        </w:rPr>
        <w:t>2.导入</w:t>
      </w:r>
      <w:r>
        <w:rPr>
          <w:rFonts w:hint="eastAsia" w:ascii="宋体" w:hAnsi="宋体"/>
          <w:bCs/>
        </w:rPr>
        <w:t>本章</w:t>
      </w:r>
      <w:r>
        <w:rPr>
          <w:rFonts w:ascii="宋体" w:hAnsi="宋体"/>
          <w:bCs/>
        </w:rPr>
        <w:t>学习</w:t>
      </w:r>
      <w:r>
        <w:rPr>
          <w:rFonts w:hint="eastAsia" w:ascii="宋体" w:hAnsi="宋体"/>
          <w:bCs/>
        </w:rPr>
        <w:t>的</w:t>
      </w:r>
      <w:r>
        <w:rPr>
          <w:rFonts w:ascii="宋体" w:hAnsi="宋体"/>
          <w:bCs/>
        </w:rPr>
        <w:t>必要性，学习内容</w:t>
      </w:r>
      <w:r>
        <w:rPr>
          <w:rFonts w:hint="eastAsia" w:ascii="宋体" w:hAnsi="宋体"/>
          <w:bCs/>
        </w:rPr>
        <w:t>及</w:t>
      </w:r>
      <w:r>
        <w:rPr>
          <w:rFonts w:ascii="宋体" w:hAnsi="宋体"/>
          <w:bCs/>
        </w:rPr>
        <w:t>学习目标；</w:t>
      </w:r>
      <w:r>
        <w:rPr>
          <w:rFonts w:hint="eastAsia" w:ascii="宋体" w:hAnsi="宋体"/>
          <w:bCs/>
        </w:rPr>
        <w:t>以</w:t>
      </w:r>
      <w:r>
        <w:rPr>
          <w:rFonts w:ascii="宋体" w:hAnsi="宋体"/>
          <w:bCs/>
        </w:rPr>
        <w:t>多媒体</w:t>
      </w:r>
      <w:r>
        <w:rPr>
          <w:rFonts w:hint="eastAsia" w:ascii="宋体" w:hAnsi="宋体"/>
          <w:bCs/>
        </w:rPr>
        <w:t>的形式</w:t>
      </w:r>
      <w:r>
        <w:rPr>
          <w:rFonts w:ascii="宋体" w:hAnsi="宋体"/>
          <w:bCs/>
        </w:rPr>
        <w:t>，</w:t>
      </w:r>
      <w:r>
        <w:rPr>
          <w:rFonts w:hint="eastAsia" w:ascii="宋体" w:hAnsi="宋体"/>
          <w:bCs/>
        </w:rPr>
        <w:t>利用</w:t>
      </w:r>
      <w:r>
        <w:rPr>
          <w:rFonts w:ascii="宋体" w:hAnsi="宋体"/>
          <w:bCs/>
        </w:rPr>
        <w:t>生动的图片及具有代表性的视频文件</w:t>
      </w:r>
      <w:r>
        <w:rPr>
          <w:rFonts w:hint="eastAsia" w:ascii="宋体" w:hAnsi="宋体"/>
          <w:bCs/>
        </w:rPr>
        <w:t>形象地</w:t>
      </w:r>
      <w:r>
        <w:rPr>
          <w:rFonts w:ascii="宋体" w:hAnsi="宋体"/>
          <w:bCs/>
        </w:rPr>
        <w:t>向学生展示、讲解</w:t>
      </w:r>
      <w:r>
        <w:rPr>
          <w:rFonts w:hint="eastAsia" w:ascii="宋体" w:hAnsi="宋体"/>
          <w:bCs/>
        </w:rPr>
        <w:t>知识点</w:t>
      </w:r>
      <w:r>
        <w:rPr>
          <w:rFonts w:ascii="宋体" w:hAnsi="宋体"/>
          <w:bCs/>
        </w:rPr>
        <w:t>，并结合具体的生产案例进行分析</w:t>
      </w:r>
      <w:r>
        <w:rPr>
          <w:rFonts w:hint="eastAsia" w:ascii="宋体" w:hAnsi="宋体"/>
          <w:bCs/>
        </w:rPr>
        <w:t>，提高</w:t>
      </w:r>
      <w:r>
        <w:rPr>
          <w:rFonts w:ascii="宋体" w:hAnsi="宋体"/>
          <w:bCs/>
        </w:rPr>
        <w:t>学习兴趣及主动性</w:t>
      </w:r>
      <w:r>
        <w:rPr>
          <w:rFonts w:hint="eastAsia" w:ascii="宋体" w:hAnsi="宋体"/>
          <w:bCs/>
        </w:rPr>
        <w:t>，</w:t>
      </w:r>
      <w:r>
        <w:rPr>
          <w:rFonts w:ascii="宋体" w:hAnsi="宋体"/>
          <w:bCs/>
        </w:rPr>
        <w:t>加强学习效果；</w:t>
      </w:r>
      <w:r>
        <w:rPr>
          <w:rFonts w:hint="eastAsia" w:ascii="宋体" w:hAnsi="宋体"/>
          <w:bCs/>
        </w:rPr>
        <w:t>学习</w:t>
      </w:r>
      <w:r>
        <w:rPr>
          <w:rFonts w:ascii="宋体" w:hAnsi="宋体"/>
          <w:bCs/>
        </w:rPr>
        <w:t>过程中，鼓励学生发散思维，</w:t>
      </w:r>
      <w:r>
        <w:rPr>
          <w:rFonts w:hint="eastAsia" w:ascii="宋体" w:hAnsi="宋体"/>
          <w:bCs/>
        </w:rPr>
        <w:t>提出并</w:t>
      </w:r>
      <w:r>
        <w:rPr>
          <w:rFonts w:ascii="宋体" w:hAnsi="宋体"/>
          <w:bCs/>
        </w:rPr>
        <w:t>解决生产中</w:t>
      </w:r>
      <w:r>
        <w:rPr>
          <w:rFonts w:hint="eastAsia" w:ascii="宋体" w:hAnsi="宋体"/>
          <w:bCs/>
        </w:rPr>
        <w:t>存在</w:t>
      </w:r>
      <w:r>
        <w:rPr>
          <w:rFonts w:ascii="宋体" w:hAnsi="宋体"/>
          <w:bCs/>
        </w:rPr>
        <w:t>的问题</w:t>
      </w:r>
      <w:r>
        <w:rPr>
          <w:rFonts w:hint="eastAsia" w:ascii="宋体" w:hAnsi="宋体"/>
          <w:bCs/>
        </w:rPr>
        <w:t>。</w:t>
      </w:r>
    </w:p>
    <w:p>
      <w:pPr>
        <w:widowControl/>
        <w:snapToGrid w:val="0"/>
        <w:spacing w:line="360" w:lineRule="auto"/>
        <w:jc w:val="left"/>
        <w:rPr>
          <w:rFonts w:ascii="宋体" w:hAnsi="宋体"/>
          <w:b/>
          <w:bCs/>
        </w:rPr>
      </w:pPr>
      <w:r>
        <w:rPr>
          <w:rFonts w:ascii="宋体" w:hAnsi="宋体"/>
          <w:bCs/>
        </w:rPr>
        <w:t>3.</w:t>
      </w:r>
      <w:r>
        <w:rPr>
          <w:rFonts w:hint="eastAsia" w:ascii="宋体" w:hAnsi="宋体"/>
          <w:bCs/>
        </w:rPr>
        <w:t>最后归纳本章</w:t>
      </w:r>
      <w:r>
        <w:rPr>
          <w:rFonts w:ascii="宋体" w:hAnsi="宋体"/>
          <w:bCs/>
        </w:rPr>
        <w:t>知识点</w:t>
      </w:r>
      <w:r>
        <w:rPr>
          <w:rFonts w:hint="eastAsia" w:ascii="宋体" w:hAnsi="宋体"/>
          <w:bCs/>
        </w:rPr>
        <w:t>，强调</w:t>
      </w:r>
      <w:r>
        <w:rPr>
          <w:rFonts w:ascii="宋体" w:hAnsi="宋体"/>
          <w:bCs/>
        </w:rPr>
        <w:t>重点、难点，并以提问</w:t>
      </w:r>
      <w:r>
        <w:rPr>
          <w:rFonts w:hint="eastAsia" w:ascii="宋体" w:hAnsi="宋体"/>
          <w:bCs/>
        </w:rPr>
        <w:t>及</w:t>
      </w:r>
      <w:r>
        <w:rPr>
          <w:rFonts w:ascii="宋体" w:hAnsi="宋体"/>
          <w:bCs/>
        </w:rPr>
        <w:t>回顾</w:t>
      </w:r>
      <w:r>
        <w:rPr>
          <w:rFonts w:hint="eastAsia" w:ascii="宋体" w:hAnsi="宋体"/>
          <w:bCs/>
        </w:rPr>
        <w:t>的</w:t>
      </w:r>
      <w:r>
        <w:rPr>
          <w:rFonts w:ascii="宋体" w:hAnsi="宋体"/>
          <w:bCs/>
        </w:rPr>
        <w:t>形式，总结</w:t>
      </w:r>
      <w:r>
        <w:rPr>
          <w:rFonts w:hint="eastAsia" w:ascii="宋体" w:hAnsi="宋体"/>
          <w:bCs/>
        </w:rPr>
        <w:t>和</w:t>
      </w:r>
      <w:r>
        <w:rPr>
          <w:rFonts w:ascii="宋体" w:hAnsi="宋体"/>
          <w:bCs/>
        </w:rPr>
        <w:t>检验学习效果。</w:t>
      </w:r>
    </w:p>
    <w:p>
      <w:pPr>
        <w:widowControl/>
        <w:snapToGrid w:val="0"/>
        <w:spacing w:line="360" w:lineRule="auto"/>
        <w:ind w:firstLine="2949" w:firstLineChars="1399"/>
        <w:jc w:val="left"/>
        <w:rPr>
          <w:rFonts w:ascii="宋体" w:hAnsi="宋体"/>
          <w:b/>
          <w:bCs/>
        </w:rPr>
      </w:pPr>
      <w:r>
        <w:rPr>
          <w:rFonts w:hint="eastAsia" w:ascii="宋体" w:hAnsi="宋体"/>
          <w:b/>
          <w:bCs/>
        </w:rPr>
        <w:t xml:space="preserve">第七章 无土栽培技术的拓展应用      </w:t>
      </w:r>
      <w:r>
        <w:rPr>
          <w:rFonts w:ascii="宋体" w:hAnsi="宋体"/>
          <w:b/>
          <w:bCs/>
        </w:rPr>
        <w:t xml:space="preserve">  </w:t>
      </w:r>
      <w:r>
        <w:rPr>
          <w:rFonts w:hint="eastAsia" w:ascii="宋体" w:hAnsi="宋体"/>
          <w:b/>
          <w:bCs/>
        </w:rPr>
        <w:t xml:space="preserve">           学时数：2</w:t>
      </w:r>
    </w:p>
    <w:p>
      <w:pPr>
        <w:widowControl/>
        <w:snapToGrid w:val="0"/>
        <w:spacing w:line="360" w:lineRule="auto"/>
        <w:jc w:val="left"/>
        <w:rPr>
          <w:rFonts w:ascii="宋体" w:hAnsi="宋体"/>
          <w:b/>
          <w:bCs/>
        </w:rPr>
      </w:pPr>
      <w:r>
        <w:rPr>
          <w:rFonts w:hint="eastAsia" w:ascii="宋体" w:hAnsi="宋体"/>
          <w:b/>
          <w:bCs/>
        </w:rPr>
        <w:t>教学目的：</w:t>
      </w:r>
      <w:r>
        <w:rPr>
          <w:rFonts w:hint="eastAsia" w:ascii="宋体" w:hAnsi="宋体"/>
          <w:bCs/>
        </w:rPr>
        <w:t>了解无土栽培技术在新领域中的应用，掌握家庭小型装置、屋顶绿化、观光农业的无土栽培关键技术。</w:t>
      </w:r>
    </w:p>
    <w:p>
      <w:pPr>
        <w:widowControl/>
        <w:snapToGrid w:val="0"/>
        <w:spacing w:line="360" w:lineRule="auto"/>
        <w:jc w:val="left"/>
        <w:rPr>
          <w:rFonts w:ascii="宋体" w:hAnsi="宋体"/>
          <w:b/>
          <w:bCs/>
        </w:rPr>
      </w:pPr>
      <w:r>
        <w:rPr>
          <w:rFonts w:hint="eastAsia" w:ascii="宋体" w:hAnsi="宋体"/>
          <w:b/>
          <w:bCs/>
        </w:rPr>
        <w:t>教学重点和难点：</w:t>
      </w:r>
      <w:r>
        <w:rPr>
          <w:rFonts w:hint="eastAsia" w:ascii="宋体" w:hAnsi="宋体"/>
          <w:bCs/>
        </w:rPr>
        <w:t>观光型无土栽培类型及观光型作物树式栽培关键技术，家庭无土栽培的类型及特点。</w:t>
      </w:r>
    </w:p>
    <w:p>
      <w:pPr>
        <w:widowControl/>
        <w:snapToGrid w:val="0"/>
        <w:spacing w:line="360" w:lineRule="auto"/>
        <w:jc w:val="left"/>
        <w:rPr>
          <w:rFonts w:ascii="宋体" w:hAnsi="宋体"/>
          <w:bCs/>
        </w:rPr>
      </w:pPr>
      <w:r>
        <w:rPr>
          <w:rFonts w:hint="eastAsia" w:ascii="宋体" w:hAnsi="宋体"/>
          <w:b/>
          <w:bCs/>
        </w:rPr>
        <w:t>主要教学内容及要求：</w:t>
      </w:r>
      <w:r>
        <w:rPr>
          <w:rFonts w:hint="eastAsia" w:ascii="宋体" w:hAnsi="宋体"/>
          <w:bCs/>
        </w:rPr>
        <w:t>了解屋顶绿化对建筑的要求及适宜屋顶绿化的无土栽培方式，植物工厂栽培系统的特点及存在的问题和发展的方向；理解观光型雾培技术、立柱栽培技术、管道栽培技术；掌握蔬菜树式栽培关键技术；熟练掌握家庭无土栽培的类型及特点。</w:t>
      </w:r>
    </w:p>
    <w:p>
      <w:pPr>
        <w:pStyle w:val="35"/>
        <w:widowControl/>
        <w:numPr>
          <w:ilvl w:val="0"/>
          <w:numId w:val="35"/>
        </w:numPr>
        <w:snapToGrid w:val="0"/>
        <w:spacing w:line="360" w:lineRule="auto"/>
        <w:ind w:firstLineChars="0"/>
        <w:jc w:val="left"/>
        <w:rPr>
          <w:rFonts w:ascii="宋体" w:hAnsi="宋体"/>
          <w:bCs/>
        </w:rPr>
      </w:pPr>
      <w:r>
        <w:rPr>
          <w:rFonts w:hint="eastAsia" w:ascii="宋体" w:hAnsi="宋体"/>
          <w:bCs/>
        </w:rPr>
        <w:t>家庭小型无土栽培技术</w:t>
      </w:r>
    </w:p>
    <w:p>
      <w:pPr>
        <w:pStyle w:val="35"/>
        <w:widowControl/>
        <w:numPr>
          <w:ilvl w:val="0"/>
          <w:numId w:val="35"/>
        </w:numPr>
        <w:snapToGrid w:val="0"/>
        <w:spacing w:line="360" w:lineRule="auto"/>
        <w:ind w:firstLineChars="0"/>
        <w:jc w:val="left"/>
        <w:rPr>
          <w:rFonts w:ascii="宋体" w:hAnsi="宋体"/>
          <w:bCs/>
        </w:rPr>
      </w:pPr>
      <w:r>
        <w:rPr>
          <w:rFonts w:hint="eastAsia" w:ascii="宋体" w:hAnsi="宋体"/>
          <w:bCs/>
        </w:rPr>
        <w:t>无土栽培技术在屋顶绿化中的应用</w:t>
      </w:r>
    </w:p>
    <w:p>
      <w:pPr>
        <w:pStyle w:val="35"/>
        <w:widowControl/>
        <w:numPr>
          <w:ilvl w:val="0"/>
          <w:numId w:val="35"/>
        </w:numPr>
        <w:snapToGrid w:val="0"/>
        <w:spacing w:line="360" w:lineRule="auto"/>
        <w:ind w:firstLineChars="0"/>
        <w:jc w:val="left"/>
        <w:rPr>
          <w:rFonts w:ascii="宋体" w:hAnsi="宋体"/>
          <w:bCs/>
        </w:rPr>
      </w:pPr>
      <w:r>
        <w:rPr>
          <w:rFonts w:hint="eastAsia" w:ascii="宋体" w:hAnsi="宋体"/>
          <w:bCs/>
        </w:rPr>
        <w:t>观光型无土栽培技术</w:t>
      </w:r>
    </w:p>
    <w:p>
      <w:pPr>
        <w:widowControl/>
        <w:snapToGrid w:val="0"/>
        <w:spacing w:line="360" w:lineRule="auto"/>
        <w:jc w:val="left"/>
        <w:rPr>
          <w:rFonts w:ascii="宋体" w:hAnsi="宋体"/>
          <w:b/>
          <w:bCs/>
        </w:rPr>
      </w:pPr>
      <w:r>
        <w:rPr>
          <w:rFonts w:hint="eastAsia" w:ascii="宋体" w:hAnsi="宋体"/>
          <w:b/>
          <w:bCs/>
        </w:rPr>
        <w:t>教学组织与实施：</w:t>
      </w:r>
    </w:p>
    <w:p>
      <w:pPr>
        <w:widowControl/>
        <w:snapToGrid w:val="0"/>
        <w:spacing w:line="360" w:lineRule="auto"/>
        <w:rPr>
          <w:rFonts w:ascii="宋体" w:hAnsi="宋体"/>
          <w:bCs/>
        </w:rPr>
      </w:pPr>
      <w:r>
        <w:rPr>
          <w:rFonts w:hint="eastAsia" w:ascii="宋体" w:hAnsi="宋体"/>
          <w:bCs/>
        </w:rPr>
        <w:t>1.课前在超星</w:t>
      </w:r>
      <w:r>
        <w:rPr>
          <w:rFonts w:ascii="宋体" w:hAnsi="宋体"/>
          <w:bCs/>
        </w:rPr>
        <w:t>学习通上</w:t>
      </w:r>
      <w:r>
        <w:rPr>
          <w:rFonts w:hint="eastAsia" w:ascii="宋体" w:hAnsi="宋体"/>
          <w:bCs/>
        </w:rPr>
        <w:t>发布问题“你发现</w:t>
      </w:r>
      <w:r>
        <w:rPr>
          <w:rFonts w:ascii="宋体" w:hAnsi="宋体"/>
          <w:bCs/>
        </w:rPr>
        <w:t>了哪些新型无土栽培形式</w:t>
      </w:r>
      <w:r>
        <w:rPr>
          <w:rFonts w:hint="eastAsia" w:ascii="宋体" w:hAnsi="宋体"/>
          <w:bCs/>
        </w:rPr>
        <w:t>?</w:t>
      </w:r>
      <w:r>
        <w:rPr>
          <w:rFonts w:ascii="宋体" w:hAnsi="宋体"/>
          <w:bCs/>
        </w:rPr>
        <w:t>”,</w:t>
      </w:r>
      <w:r>
        <w:rPr>
          <w:rFonts w:hint="eastAsia" w:ascii="宋体" w:hAnsi="宋体"/>
          <w:bCs/>
        </w:rPr>
        <w:t>并</w:t>
      </w:r>
      <w:r>
        <w:rPr>
          <w:rFonts w:ascii="宋体" w:hAnsi="宋体"/>
          <w:bCs/>
        </w:rPr>
        <w:t>上传课件等学习资料，</w:t>
      </w:r>
      <w:r>
        <w:rPr>
          <w:rFonts w:hint="eastAsia" w:ascii="宋体" w:hAnsi="宋体"/>
          <w:bCs/>
        </w:rPr>
        <w:t>引导</w:t>
      </w:r>
      <w:r>
        <w:rPr>
          <w:rFonts w:ascii="宋体" w:hAnsi="宋体"/>
          <w:bCs/>
        </w:rPr>
        <w:t>学生进行自学。</w:t>
      </w:r>
    </w:p>
    <w:p>
      <w:pPr>
        <w:widowControl/>
        <w:snapToGrid w:val="0"/>
        <w:spacing w:line="360" w:lineRule="auto"/>
        <w:jc w:val="left"/>
        <w:rPr>
          <w:rFonts w:ascii="宋体" w:hAnsi="宋体"/>
          <w:bCs/>
        </w:rPr>
      </w:pPr>
      <w:r>
        <w:rPr>
          <w:rFonts w:hint="eastAsia" w:ascii="宋体" w:hAnsi="宋体"/>
          <w:bCs/>
        </w:rPr>
        <w:t>2.以</w:t>
      </w:r>
      <w:r>
        <w:rPr>
          <w:rFonts w:ascii="宋体" w:hAnsi="宋体"/>
          <w:bCs/>
        </w:rPr>
        <w:t>图片、视频的形式导入</w:t>
      </w:r>
      <w:r>
        <w:rPr>
          <w:rFonts w:hint="eastAsia" w:ascii="宋体" w:hAnsi="宋体"/>
          <w:bCs/>
        </w:rPr>
        <w:t>本章的</w:t>
      </w:r>
      <w:r>
        <w:rPr>
          <w:rFonts w:ascii="宋体" w:hAnsi="宋体"/>
          <w:bCs/>
        </w:rPr>
        <w:t>学习内容</w:t>
      </w:r>
      <w:r>
        <w:rPr>
          <w:rFonts w:hint="eastAsia" w:ascii="宋体" w:hAnsi="宋体"/>
          <w:bCs/>
        </w:rPr>
        <w:t>及</w:t>
      </w:r>
      <w:r>
        <w:rPr>
          <w:rFonts w:ascii="宋体" w:hAnsi="宋体"/>
          <w:bCs/>
        </w:rPr>
        <w:t>学习目标；</w:t>
      </w:r>
      <w:r>
        <w:rPr>
          <w:rFonts w:hint="eastAsia" w:ascii="宋体" w:hAnsi="宋体"/>
          <w:bCs/>
        </w:rPr>
        <w:t>以</w:t>
      </w:r>
      <w:r>
        <w:rPr>
          <w:rFonts w:ascii="宋体" w:hAnsi="宋体"/>
          <w:bCs/>
        </w:rPr>
        <w:t>多媒体</w:t>
      </w:r>
      <w:r>
        <w:rPr>
          <w:rFonts w:hint="eastAsia" w:ascii="宋体" w:hAnsi="宋体"/>
          <w:bCs/>
        </w:rPr>
        <w:t>的形式</w:t>
      </w:r>
      <w:r>
        <w:rPr>
          <w:rFonts w:ascii="宋体" w:hAnsi="宋体"/>
          <w:bCs/>
        </w:rPr>
        <w:t>，</w:t>
      </w:r>
      <w:r>
        <w:rPr>
          <w:rFonts w:hint="eastAsia" w:ascii="宋体" w:hAnsi="宋体"/>
          <w:bCs/>
        </w:rPr>
        <w:t>利用</w:t>
      </w:r>
      <w:r>
        <w:rPr>
          <w:rFonts w:ascii="宋体" w:hAnsi="宋体"/>
          <w:bCs/>
        </w:rPr>
        <w:t>生动的图片及具有代表性的视频文件</w:t>
      </w:r>
      <w:r>
        <w:rPr>
          <w:rFonts w:hint="eastAsia" w:ascii="宋体" w:hAnsi="宋体"/>
          <w:bCs/>
        </w:rPr>
        <w:t>形象地</w:t>
      </w:r>
      <w:r>
        <w:rPr>
          <w:rFonts w:ascii="宋体" w:hAnsi="宋体"/>
          <w:bCs/>
        </w:rPr>
        <w:t>向学生展示</w:t>
      </w:r>
      <w:r>
        <w:rPr>
          <w:rFonts w:hint="eastAsia" w:ascii="宋体" w:hAnsi="宋体"/>
          <w:bCs/>
        </w:rPr>
        <w:t>无土栽培</w:t>
      </w:r>
      <w:r>
        <w:rPr>
          <w:rFonts w:ascii="宋体" w:hAnsi="宋体"/>
          <w:bCs/>
        </w:rPr>
        <w:t>的新领域，并结合具体的生产案例进行分析</w:t>
      </w:r>
      <w:r>
        <w:rPr>
          <w:rFonts w:hint="eastAsia" w:ascii="宋体" w:hAnsi="宋体"/>
          <w:bCs/>
        </w:rPr>
        <w:t>，提高</w:t>
      </w:r>
      <w:r>
        <w:rPr>
          <w:rFonts w:ascii="宋体" w:hAnsi="宋体"/>
          <w:bCs/>
        </w:rPr>
        <w:t>学习兴趣及主动性</w:t>
      </w:r>
      <w:r>
        <w:rPr>
          <w:rFonts w:hint="eastAsia" w:ascii="宋体" w:hAnsi="宋体"/>
          <w:bCs/>
        </w:rPr>
        <w:t>，</w:t>
      </w:r>
      <w:r>
        <w:rPr>
          <w:rFonts w:ascii="宋体" w:hAnsi="宋体"/>
          <w:bCs/>
        </w:rPr>
        <w:t>加强学习效果；</w:t>
      </w:r>
      <w:r>
        <w:rPr>
          <w:rFonts w:hint="eastAsia" w:ascii="宋体" w:hAnsi="宋体"/>
          <w:bCs/>
        </w:rPr>
        <w:t>学习</w:t>
      </w:r>
      <w:r>
        <w:rPr>
          <w:rFonts w:ascii="宋体" w:hAnsi="宋体"/>
          <w:bCs/>
        </w:rPr>
        <w:t>过程中，鼓励学生发散思维，</w:t>
      </w:r>
      <w:r>
        <w:rPr>
          <w:rFonts w:hint="eastAsia" w:ascii="宋体" w:hAnsi="宋体"/>
          <w:bCs/>
        </w:rPr>
        <w:t>提出并</w:t>
      </w:r>
      <w:r>
        <w:rPr>
          <w:rFonts w:ascii="宋体" w:hAnsi="宋体"/>
          <w:bCs/>
        </w:rPr>
        <w:t>解决生产中</w:t>
      </w:r>
      <w:r>
        <w:rPr>
          <w:rFonts w:hint="eastAsia" w:ascii="宋体" w:hAnsi="宋体"/>
          <w:bCs/>
        </w:rPr>
        <w:t>存在</w:t>
      </w:r>
      <w:r>
        <w:rPr>
          <w:rFonts w:ascii="宋体" w:hAnsi="宋体"/>
          <w:bCs/>
        </w:rPr>
        <w:t>的问题.</w:t>
      </w:r>
    </w:p>
    <w:p>
      <w:pPr>
        <w:widowControl/>
        <w:snapToGrid w:val="0"/>
        <w:spacing w:line="360" w:lineRule="auto"/>
        <w:jc w:val="left"/>
        <w:rPr>
          <w:rFonts w:ascii="宋体" w:hAnsi="宋体"/>
          <w:bCs/>
        </w:rPr>
      </w:pPr>
      <w:r>
        <w:rPr>
          <w:rFonts w:ascii="宋体" w:hAnsi="宋体"/>
          <w:bCs/>
        </w:rPr>
        <w:t>3.</w:t>
      </w:r>
      <w:r>
        <w:rPr>
          <w:rFonts w:hint="eastAsia" w:ascii="宋体" w:hAnsi="宋体"/>
          <w:bCs/>
        </w:rPr>
        <w:t>最后归纳本章</w:t>
      </w:r>
      <w:r>
        <w:rPr>
          <w:rFonts w:ascii="宋体" w:hAnsi="宋体"/>
          <w:bCs/>
        </w:rPr>
        <w:t>知识点</w:t>
      </w:r>
      <w:r>
        <w:rPr>
          <w:rFonts w:hint="eastAsia" w:ascii="宋体" w:hAnsi="宋体"/>
          <w:bCs/>
        </w:rPr>
        <w:t>，强调</w:t>
      </w:r>
      <w:r>
        <w:rPr>
          <w:rFonts w:ascii="宋体" w:hAnsi="宋体"/>
          <w:bCs/>
        </w:rPr>
        <w:t>重点、难点，并以提问</w:t>
      </w:r>
      <w:r>
        <w:rPr>
          <w:rFonts w:hint="eastAsia" w:ascii="宋体" w:hAnsi="宋体"/>
          <w:bCs/>
        </w:rPr>
        <w:t>及</w:t>
      </w:r>
      <w:r>
        <w:rPr>
          <w:rFonts w:ascii="宋体" w:hAnsi="宋体"/>
          <w:bCs/>
        </w:rPr>
        <w:t>回顾</w:t>
      </w:r>
      <w:r>
        <w:rPr>
          <w:rFonts w:hint="eastAsia" w:ascii="宋体" w:hAnsi="宋体"/>
          <w:bCs/>
        </w:rPr>
        <w:t>的</w:t>
      </w:r>
      <w:r>
        <w:rPr>
          <w:rFonts w:ascii="宋体" w:hAnsi="宋体"/>
          <w:bCs/>
        </w:rPr>
        <w:t>形式，总结</w:t>
      </w:r>
      <w:r>
        <w:rPr>
          <w:rFonts w:hint="eastAsia" w:ascii="宋体" w:hAnsi="宋体"/>
          <w:bCs/>
        </w:rPr>
        <w:t>和</w:t>
      </w:r>
      <w:r>
        <w:rPr>
          <w:rFonts w:ascii="宋体" w:hAnsi="宋体"/>
          <w:bCs/>
        </w:rPr>
        <w:t>检验学习效果。</w:t>
      </w:r>
    </w:p>
    <w:p>
      <w:pPr>
        <w:widowControl/>
        <w:snapToGrid w:val="0"/>
        <w:spacing w:line="360" w:lineRule="auto"/>
        <w:jc w:val="left"/>
        <w:rPr>
          <w:rFonts w:hAnsi="宋体"/>
          <w:b/>
          <w:bCs/>
          <w:strike/>
          <w:color w:val="0000FF"/>
          <w:kern w:val="0"/>
          <w:szCs w:val="21"/>
        </w:rPr>
      </w:pPr>
      <w:r>
        <w:rPr>
          <w:rFonts w:hint="eastAsia" w:hAnsi="宋体"/>
          <w:b/>
          <w:bCs/>
          <w:kern w:val="0"/>
          <w:szCs w:val="21"/>
        </w:rPr>
        <w:t>五</w:t>
      </w:r>
      <w:r>
        <w:rPr>
          <w:rFonts w:hAnsi="宋体"/>
          <w:b/>
          <w:bCs/>
          <w:kern w:val="0"/>
          <w:szCs w:val="21"/>
        </w:rPr>
        <w:t>、实验教学内容及学时分配</w:t>
      </w:r>
      <w:r>
        <w:rPr>
          <w:b/>
          <w:bCs/>
          <w:kern w:val="0"/>
          <w:szCs w:val="21"/>
        </w:rPr>
        <w:t> </w:t>
      </w:r>
      <w:r>
        <w:rPr>
          <w:rFonts w:hint="eastAsia" w:hAnsi="宋体"/>
          <w:b/>
          <w:bCs/>
          <w:kern w:val="0"/>
          <w:szCs w:val="21"/>
        </w:rPr>
        <w:t>（</w:t>
      </w:r>
      <w:r>
        <w:rPr>
          <w:rFonts w:hAnsi="宋体"/>
          <w:b/>
          <w:bCs/>
          <w:kern w:val="0"/>
          <w:szCs w:val="21"/>
        </w:rPr>
        <w:t>12学时</w:t>
      </w:r>
      <w:r>
        <w:rPr>
          <w:rFonts w:hint="eastAsia" w:hAnsi="宋体"/>
          <w:b/>
          <w:bCs/>
          <w:kern w:val="0"/>
          <w:szCs w:val="21"/>
        </w:rPr>
        <w:t>）</w:t>
      </w:r>
      <w:r>
        <w:rPr>
          <w:rFonts w:hint="eastAsia" w:hAnsi="宋体"/>
          <w:bCs/>
          <w:kern w:val="0"/>
          <w:szCs w:val="21"/>
        </w:rPr>
        <w:t>（无实验的课程该项不列，序号顺延）</w:t>
      </w:r>
    </w:p>
    <w:p>
      <w:pPr>
        <w:snapToGrid w:val="0"/>
        <w:spacing w:line="360" w:lineRule="auto"/>
        <w:rPr>
          <w:b/>
          <w:bCs/>
          <w:szCs w:val="21"/>
        </w:rPr>
      </w:pPr>
      <w:r>
        <w:rPr>
          <w:rFonts w:hAnsi="宋体"/>
          <w:b/>
          <w:szCs w:val="21"/>
        </w:rPr>
        <w:t>（一）</w:t>
      </w:r>
      <w:r>
        <w:rPr>
          <w:rFonts w:hAnsi="宋体"/>
          <w:b/>
          <w:bCs/>
          <w:szCs w:val="21"/>
        </w:rPr>
        <w:t>实验课程简介</w:t>
      </w:r>
    </w:p>
    <w:p>
      <w:pPr>
        <w:spacing w:line="360" w:lineRule="auto"/>
        <w:ind w:firstLine="420" w:firstLineChars="200"/>
        <w:rPr>
          <w:rFonts w:asciiTheme="minorEastAsia" w:hAnsiTheme="minorEastAsia"/>
        </w:rPr>
      </w:pPr>
      <w:r>
        <w:rPr>
          <w:rFonts w:hint="eastAsia" w:asciiTheme="minorEastAsia" w:hAnsiTheme="minorEastAsia"/>
        </w:rPr>
        <w:t>《无土栽培学》是园艺专业</w:t>
      </w:r>
      <w:r>
        <w:rPr>
          <w:rFonts w:asciiTheme="minorEastAsia" w:hAnsiTheme="minorEastAsia"/>
        </w:rPr>
        <w:t>选修课</w:t>
      </w:r>
      <w:r>
        <w:rPr>
          <w:rFonts w:hint="eastAsia" w:asciiTheme="minorEastAsia" w:hAnsiTheme="minorEastAsia"/>
        </w:rPr>
        <w:t>之一，是一门以课堂讲授为主结合课程实践的专业课程。该门课程以植物生理学和园艺作物栽培学为基础，结合设施环境调控技术，重点掌握现代无土栽培技术的核心技术（包括营养液及其配制管理、无土栽培基质类型及其应用），了解现代无土栽培技术的基本类型，掌握无土育苗技术及几种主要园艺作物的无土栽培技术。</w:t>
      </w:r>
    </w:p>
    <w:p>
      <w:pPr>
        <w:snapToGrid w:val="0"/>
        <w:spacing w:line="360" w:lineRule="auto"/>
        <w:rPr>
          <w:b/>
          <w:bCs/>
          <w:szCs w:val="21"/>
        </w:rPr>
      </w:pPr>
      <w:r>
        <w:rPr>
          <w:rFonts w:hAnsi="宋体"/>
          <w:b/>
          <w:bCs/>
          <w:szCs w:val="21"/>
        </w:rPr>
        <w:t>（二）实验教学目的和基本要求</w:t>
      </w:r>
    </w:p>
    <w:p>
      <w:pPr>
        <w:pStyle w:val="7"/>
        <w:spacing w:line="300" w:lineRule="auto"/>
        <w:rPr>
          <w:rFonts w:asciiTheme="minorEastAsia" w:hAnsiTheme="minorEastAsia" w:eastAsiaTheme="minorEastAsia"/>
          <w:szCs w:val="24"/>
        </w:rPr>
      </w:pPr>
      <w:r>
        <w:rPr>
          <w:rFonts w:hint="eastAsia" w:asciiTheme="minorEastAsia" w:hAnsiTheme="minorEastAsia" w:eastAsiaTheme="minorEastAsia"/>
          <w:szCs w:val="24"/>
        </w:rPr>
        <w:t>通过本实验课程的学习使学生能够了解并掌握现代园艺生产技术，掌握有关无土栽培的基本技术环节，以便在其毕业后能够适应现代社会对人才的要求；培养学生的管理、开发及设计的能力。</w:t>
      </w:r>
    </w:p>
    <w:p>
      <w:pPr>
        <w:spacing w:line="360" w:lineRule="auto"/>
        <w:rPr>
          <w:rFonts w:asciiTheme="minorEastAsia" w:hAnsiTheme="minorEastAsia"/>
          <w:b/>
        </w:rPr>
      </w:pPr>
      <w:r>
        <w:rPr>
          <w:rFonts w:hint="eastAsia" w:asciiTheme="minorEastAsia" w:hAnsiTheme="minorEastAsia"/>
          <w:b/>
        </w:rPr>
        <w:t>（三）实验安全操作规范</w:t>
      </w:r>
    </w:p>
    <w:p>
      <w:pPr>
        <w:spacing w:line="360" w:lineRule="auto"/>
        <w:ind w:firstLine="420" w:firstLineChars="200"/>
        <w:rPr>
          <w:rFonts w:asciiTheme="minorEastAsia" w:hAnsiTheme="minorEastAsia"/>
        </w:rPr>
      </w:pPr>
      <w:r>
        <w:rPr>
          <w:rFonts w:hint="eastAsia" w:asciiTheme="minorEastAsia" w:hAnsiTheme="minorEastAsia"/>
        </w:rPr>
        <w:t>学生</w:t>
      </w:r>
      <w:r>
        <w:rPr>
          <w:rFonts w:asciiTheme="minorEastAsia" w:hAnsiTheme="minorEastAsia"/>
        </w:rPr>
        <w:t>严格遵守实验室安全管理规范，</w:t>
      </w:r>
      <w:r>
        <w:rPr>
          <w:rFonts w:hint="eastAsia" w:asciiTheme="minorEastAsia" w:hAnsiTheme="minorEastAsia"/>
        </w:rPr>
        <w:t>在</w:t>
      </w:r>
      <w:r>
        <w:rPr>
          <w:rFonts w:asciiTheme="minorEastAsia" w:hAnsiTheme="minorEastAsia"/>
        </w:rPr>
        <w:t>老师的监督下正确操作及使用相关仪器设备、化学试剂，严谨</w:t>
      </w:r>
      <w:r>
        <w:rPr>
          <w:rFonts w:hint="eastAsia" w:asciiTheme="minorEastAsia" w:hAnsiTheme="minorEastAsia"/>
        </w:rPr>
        <w:t>不规范</w:t>
      </w:r>
      <w:r>
        <w:rPr>
          <w:rFonts w:asciiTheme="minorEastAsia" w:hAnsiTheme="minorEastAsia"/>
        </w:rPr>
        <w:t>操作，禁止</w:t>
      </w:r>
      <w:r>
        <w:rPr>
          <w:rFonts w:hint="eastAsia" w:asciiTheme="minorEastAsia" w:hAnsiTheme="minorEastAsia"/>
        </w:rPr>
        <w:t>将</w:t>
      </w:r>
      <w:r>
        <w:rPr>
          <w:rFonts w:asciiTheme="minorEastAsia" w:hAnsiTheme="minorEastAsia"/>
        </w:rPr>
        <w:t>药品</w:t>
      </w:r>
      <w:r>
        <w:rPr>
          <w:rFonts w:hint="eastAsia" w:asciiTheme="minorEastAsia" w:hAnsiTheme="minorEastAsia"/>
        </w:rPr>
        <w:t>带出</w:t>
      </w:r>
      <w:r>
        <w:rPr>
          <w:rFonts w:asciiTheme="minorEastAsia" w:hAnsiTheme="minorEastAsia"/>
        </w:rPr>
        <w:t>实验室</w:t>
      </w:r>
      <w:r>
        <w:rPr>
          <w:rFonts w:hint="eastAsia" w:asciiTheme="minorEastAsia" w:hAnsiTheme="minorEastAsia"/>
        </w:rPr>
        <w:t>。</w:t>
      </w:r>
    </w:p>
    <w:p>
      <w:pPr>
        <w:snapToGrid w:val="0"/>
        <w:spacing w:after="156" w:afterLines="50" w:line="360" w:lineRule="auto"/>
        <w:rPr>
          <w:rFonts w:hAnsi="宋体"/>
          <w:b/>
          <w:bCs/>
          <w:szCs w:val="21"/>
        </w:rPr>
      </w:pPr>
      <w:r>
        <w:rPr>
          <w:rFonts w:hAnsi="宋体"/>
          <w:b/>
          <w:bCs/>
          <w:szCs w:val="21"/>
        </w:rPr>
        <w:t>（</w:t>
      </w:r>
      <w:r>
        <w:rPr>
          <w:rFonts w:hint="eastAsia" w:hAnsi="宋体"/>
          <w:b/>
          <w:bCs/>
          <w:szCs w:val="21"/>
        </w:rPr>
        <w:t>四</w:t>
      </w:r>
      <w:r>
        <w:rPr>
          <w:rFonts w:hAnsi="宋体"/>
          <w:b/>
          <w:bCs/>
          <w:szCs w:val="21"/>
        </w:rPr>
        <w:t>）实验项目名称与学时分配</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6"/>
        <w:gridCol w:w="3342"/>
        <w:gridCol w:w="720"/>
        <w:gridCol w:w="944"/>
        <w:gridCol w:w="1449"/>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6"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序号</w:t>
            </w:r>
          </w:p>
        </w:tc>
        <w:tc>
          <w:tcPr>
            <w:tcW w:w="3342"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实验名称</w:t>
            </w:r>
          </w:p>
        </w:tc>
        <w:tc>
          <w:tcPr>
            <w:tcW w:w="720" w:type="dxa"/>
            <w:shd w:val="clear" w:color="auto" w:fill="EEECE1" w:themeFill="background2"/>
            <w:vAlign w:val="center"/>
          </w:tcPr>
          <w:p>
            <w:pPr>
              <w:jc w:val="center"/>
              <w:rPr>
                <w:rFonts w:ascii="宋体" w:hAnsi="宋体" w:cs="宋体"/>
                <w:b/>
                <w:bCs/>
                <w:sz w:val="18"/>
                <w:szCs w:val="18"/>
              </w:rPr>
            </w:pPr>
            <w:r>
              <w:rPr>
                <w:rFonts w:hint="eastAsia" w:ascii="宋体" w:hAnsi="宋体" w:cs="宋体"/>
                <w:b/>
                <w:bCs/>
                <w:sz w:val="18"/>
                <w:szCs w:val="18"/>
              </w:rPr>
              <w:t>学时</w:t>
            </w:r>
          </w:p>
        </w:tc>
        <w:tc>
          <w:tcPr>
            <w:tcW w:w="944"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类型</w:t>
            </w:r>
          </w:p>
        </w:tc>
        <w:tc>
          <w:tcPr>
            <w:tcW w:w="1449"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实验要求</w:t>
            </w:r>
          </w:p>
        </w:tc>
        <w:tc>
          <w:tcPr>
            <w:tcW w:w="1305" w:type="dxa"/>
            <w:shd w:val="clear" w:color="auto" w:fill="EEECE1" w:themeFill="background2"/>
            <w:vAlign w:val="center"/>
          </w:tcPr>
          <w:p>
            <w:pPr>
              <w:ind w:firstLine="361"/>
              <w:jc w:val="center"/>
              <w:rPr>
                <w:rFonts w:ascii="宋体" w:hAnsi="宋体" w:cs="宋体"/>
                <w:b/>
                <w:bCs/>
                <w:sz w:val="18"/>
                <w:szCs w:val="18"/>
              </w:rPr>
            </w:pPr>
            <w:r>
              <w:rPr>
                <w:rFonts w:hint="eastAsia" w:ascii="宋体" w:hAnsi="宋体" w:cs="宋体"/>
                <w:b/>
                <w:bCs/>
                <w:sz w:val="18"/>
                <w:szCs w:val="18"/>
              </w:rPr>
              <w:t>每组人数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6" w:type="dxa"/>
            <w:vAlign w:val="center"/>
          </w:tcPr>
          <w:p>
            <w:pPr>
              <w:jc w:val="center"/>
              <w:rPr>
                <w:sz w:val="18"/>
                <w:szCs w:val="18"/>
              </w:rPr>
            </w:pPr>
            <w:r>
              <w:rPr>
                <w:rFonts w:eastAsiaTheme="minorEastAsia"/>
                <w:bCs/>
                <w:color w:val="000000" w:themeColor="text1"/>
                <w:szCs w:val="21"/>
                <w14:textFill>
                  <w14:solidFill>
                    <w14:schemeClr w14:val="tx1"/>
                  </w14:solidFill>
                </w14:textFill>
              </w:rPr>
              <w:t>1901105601</w:t>
            </w:r>
          </w:p>
        </w:tc>
        <w:tc>
          <w:tcPr>
            <w:tcW w:w="3342" w:type="dxa"/>
            <w:vAlign w:val="center"/>
          </w:tcPr>
          <w:p>
            <w:pPr>
              <w:ind w:firstLine="360"/>
              <w:jc w:val="center"/>
              <w:rPr>
                <w:rFonts w:eastAsiaTheme="minorEastAsia"/>
                <w:sz w:val="18"/>
                <w:szCs w:val="18"/>
              </w:rPr>
            </w:pPr>
            <w:r>
              <w:rPr>
                <w:rFonts w:hAnsiTheme="minorEastAsia" w:eastAsiaTheme="minorEastAsia"/>
                <w:color w:val="000000" w:themeColor="text1"/>
                <w:sz w:val="18"/>
                <w:szCs w:val="18"/>
                <w14:textFill>
                  <w14:solidFill>
                    <w14:schemeClr w14:val="tx1"/>
                  </w14:solidFill>
                </w14:textFill>
              </w:rPr>
              <w:t>无土栽培营养液的配制</w:t>
            </w:r>
          </w:p>
        </w:tc>
        <w:tc>
          <w:tcPr>
            <w:tcW w:w="720" w:type="dxa"/>
            <w:vAlign w:val="center"/>
          </w:tcPr>
          <w:p>
            <w:pPr>
              <w:ind w:firstLine="360"/>
              <w:jc w:val="center"/>
              <w:rPr>
                <w:sz w:val="18"/>
                <w:szCs w:val="18"/>
              </w:rPr>
            </w:pPr>
            <w:r>
              <w:rPr>
                <w:sz w:val="18"/>
                <w:szCs w:val="18"/>
              </w:rPr>
              <w:t>4</w:t>
            </w:r>
          </w:p>
        </w:tc>
        <w:tc>
          <w:tcPr>
            <w:tcW w:w="944" w:type="dxa"/>
            <w:vAlign w:val="center"/>
          </w:tcPr>
          <w:p>
            <w:pPr>
              <w:rPr>
                <w:sz w:val="18"/>
                <w:szCs w:val="18"/>
              </w:rPr>
            </w:pPr>
            <w:r>
              <w:rPr>
                <w:sz w:val="18"/>
                <w:szCs w:val="18"/>
              </w:rPr>
              <w:t>基础型</w:t>
            </w:r>
          </w:p>
        </w:tc>
        <w:tc>
          <w:tcPr>
            <w:tcW w:w="1449" w:type="dxa"/>
            <w:vAlign w:val="center"/>
          </w:tcPr>
          <w:p>
            <w:pPr>
              <w:ind w:firstLine="360"/>
              <w:jc w:val="center"/>
              <w:rPr>
                <w:sz w:val="18"/>
                <w:szCs w:val="18"/>
              </w:rPr>
            </w:pPr>
            <w:r>
              <w:rPr>
                <w:sz w:val="18"/>
                <w:szCs w:val="18"/>
              </w:rPr>
              <w:t>必做</w:t>
            </w:r>
          </w:p>
        </w:tc>
        <w:tc>
          <w:tcPr>
            <w:tcW w:w="1305" w:type="dxa"/>
          </w:tcPr>
          <w:p>
            <w:pPr>
              <w:ind w:firstLine="360"/>
              <w:jc w:val="center"/>
              <w:rPr>
                <w:sz w:val="18"/>
                <w:szCs w:val="18"/>
              </w:rPr>
            </w:pPr>
            <w:r>
              <w:rPr>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6" w:type="dxa"/>
            <w:vAlign w:val="center"/>
          </w:tcPr>
          <w:p>
            <w:pPr>
              <w:jc w:val="center"/>
              <w:rPr>
                <w:sz w:val="18"/>
                <w:szCs w:val="18"/>
              </w:rPr>
            </w:pPr>
            <w:r>
              <w:rPr>
                <w:rFonts w:eastAsiaTheme="minorEastAsia"/>
                <w:bCs/>
                <w:color w:val="000000" w:themeColor="text1"/>
                <w:szCs w:val="21"/>
                <w14:textFill>
                  <w14:solidFill>
                    <w14:schemeClr w14:val="tx1"/>
                  </w14:solidFill>
                </w14:textFill>
              </w:rPr>
              <w:t>1901105602</w:t>
            </w:r>
          </w:p>
        </w:tc>
        <w:tc>
          <w:tcPr>
            <w:tcW w:w="3342" w:type="dxa"/>
            <w:vAlign w:val="center"/>
          </w:tcPr>
          <w:p>
            <w:pPr>
              <w:ind w:firstLine="360"/>
              <w:jc w:val="center"/>
              <w:rPr>
                <w:rFonts w:eastAsiaTheme="minorEastAsia"/>
                <w:sz w:val="18"/>
                <w:szCs w:val="18"/>
              </w:rPr>
            </w:pPr>
            <w:r>
              <w:rPr>
                <w:rFonts w:hint="eastAsia" w:hAnsiTheme="minorEastAsia" w:eastAsiaTheme="minorEastAsia"/>
                <w:color w:val="000000" w:themeColor="text1"/>
                <w:sz w:val="18"/>
                <w:szCs w:val="18"/>
                <w14:textFill>
                  <w14:solidFill>
                    <w14:schemeClr w14:val="tx1"/>
                  </w14:solidFill>
                </w14:textFill>
              </w:rPr>
              <w:t>基质理化性质测定及无土育苗技术</w:t>
            </w:r>
          </w:p>
        </w:tc>
        <w:tc>
          <w:tcPr>
            <w:tcW w:w="720" w:type="dxa"/>
            <w:vAlign w:val="center"/>
          </w:tcPr>
          <w:p>
            <w:pPr>
              <w:ind w:firstLine="360"/>
              <w:jc w:val="center"/>
              <w:rPr>
                <w:sz w:val="18"/>
                <w:szCs w:val="18"/>
              </w:rPr>
            </w:pPr>
            <w:r>
              <w:rPr>
                <w:sz w:val="18"/>
                <w:szCs w:val="18"/>
              </w:rPr>
              <w:t>4</w:t>
            </w:r>
          </w:p>
        </w:tc>
        <w:tc>
          <w:tcPr>
            <w:tcW w:w="944" w:type="dxa"/>
            <w:vAlign w:val="center"/>
          </w:tcPr>
          <w:p>
            <w:pPr>
              <w:rPr>
                <w:sz w:val="18"/>
                <w:szCs w:val="18"/>
              </w:rPr>
            </w:pPr>
            <w:r>
              <w:rPr>
                <w:sz w:val="18"/>
                <w:szCs w:val="18"/>
              </w:rPr>
              <w:t>基础型</w:t>
            </w:r>
          </w:p>
        </w:tc>
        <w:tc>
          <w:tcPr>
            <w:tcW w:w="1449" w:type="dxa"/>
            <w:vAlign w:val="center"/>
          </w:tcPr>
          <w:p>
            <w:pPr>
              <w:ind w:firstLine="360"/>
              <w:jc w:val="center"/>
              <w:rPr>
                <w:sz w:val="18"/>
                <w:szCs w:val="18"/>
              </w:rPr>
            </w:pPr>
            <w:r>
              <w:rPr>
                <w:sz w:val="18"/>
                <w:szCs w:val="18"/>
              </w:rPr>
              <w:t>必做</w:t>
            </w:r>
          </w:p>
        </w:tc>
        <w:tc>
          <w:tcPr>
            <w:tcW w:w="1305" w:type="dxa"/>
          </w:tcPr>
          <w:p>
            <w:pPr>
              <w:ind w:firstLine="360"/>
              <w:jc w:val="center"/>
              <w:rPr>
                <w:sz w:val="18"/>
                <w:szCs w:val="18"/>
              </w:rPr>
            </w:pPr>
            <w:r>
              <w:rPr>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6" w:type="dxa"/>
            <w:vAlign w:val="center"/>
          </w:tcPr>
          <w:p>
            <w:pPr>
              <w:jc w:val="center"/>
              <w:rPr>
                <w:sz w:val="18"/>
                <w:szCs w:val="18"/>
              </w:rPr>
            </w:pPr>
            <w:r>
              <w:rPr>
                <w:rFonts w:eastAsiaTheme="minorEastAsia"/>
                <w:bCs/>
                <w:color w:val="000000" w:themeColor="text1"/>
                <w:szCs w:val="21"/>
                <w14:textFill>
                  <w14:solidFill>
                    <w14:schemeClr w14:val="tx1"/>
                  </w14:solidFill>
                </w14:textFill>
              </w:rPr>
              <w:t>1901105603</w:t>
            </w:r>
          </w:p>
        </w:tc>
        <w:tc>
          <w:tcPr>
            <w:tcW w:w="3342" w:type="dxa"/>
            <w:vAlign w:val="center"/>
          </w:tcPr>
          <w:p>
            <w:pPr>
              <w:ind w:firstLine="360"/>
              <w:jc w:val="center"/>
              <w:rPr>
                <w:rFonts w:eastAsiaTheme="minorEastAsia"/>
                <w:sz w:val="18"/>
                <w:szCs w:val="18"/>
              </w:rPr>
            </w:pPr>
            <w:r>
              <w:rPr>
                <w:rFonts w:hAnsiTheme="minorEastAsia" w:eastAsiaTheme="minorEastAsia"/>
                <w:bCs/>
                <w:color w:val="000000" w:themeColor="text1"/>
                <w:sz w:val="18"/>
                <w:szCs w:val="18"/>
                <w14:textFill>
                  <w14:solidFill>
                    <w14:schemeClr w14:val="tx1"/>
                  </w14:solidFill>
                </w14:textFill>
              </w:rPr>
              <w:t>水培</w:t>
            </w:r>
            <w:r>
              <w:rPr>
                <w:rFonts w:hint="eastAsia" w:hAnsiTheme="minorEastAsia" w:eastAsiaTheme="minorEastAsia"/>
                <w:bCs/>
                <w:color w:val="000000" w:themeColor="text1"/>
                <w:sz w:val="18"/>
                <w:szCs w:val="18"/>
                <w14:textFill>
                  <w14:solidFill>
                    <w14:schemeClr w14:val="tx1"/>
                  </w14:solidFill>
                </w14:textFill>
              </w:rPr>
              <w:t>综合</w:t>
            </w:r>
            <w:r>
              <w:rPr>
                <w:rFonts w:hAnsiTheme="minorEastAsia" w:eastAsiaTheme="minorEastAsia"/>
                <w:bCs/>
                <w:color w:val="000000" w:themeColor="text1"/>
                <w:sz w:val="18"/>
                <w:szCs w:val="18"/>
                <w14:textFill>
                  <w14:solidFill>
                    <w14:schemeClr w14:val="tx1"/>
                  </w14:solidFill>
                </w14:textFill>
              </w:rPr>
              <w:t>实验</w:t>
            </w:r>
          </w:p>
        </w:tc>
        <w:tc>
          <w:tcPr>
            <w:tcW w:w="720" w:type="dxa"/>
            <w:vAlign w:val="center"/>
          </w:tcPr>
          <w:p>
            <w:pPr>
              <w:ind w:firstLine="360"/>
              <w:jc w:val="center"/>
              <w:rPr>
                <w:sz w:val="18"/>
                <w:szCs w:val="18"/>
              </w:rPr>
            </w:pPr>
            <w:r>
              <w:rPr>
                <w:sz w:val="18"/>
                <w:szCs w:val="18"/>
              </w:rPr>
              <w:t>4</w:t>
            </w:r>
          </w:p>
        </w:tc>
        <w:tc>
          <w:tcPr>
            <w:tcW w:w="944" w:type="dxa"/>
            <w:vAlign w:val="center"/>
          </w:tcPr>
          <w:p>
            <w:pPr>
              <w:rPr>
                <w:sz w:val="18"/>
                <w:szCs w:val="18"/>
              </w:rPr>
            </w:pPr>
            <w:r>
              <w:rPr>
                <w:sz w:val="18"/>
                <w:szCs w:val="18"/>
              </w:rPr>
              <w:t>综合型</w:t>
            </w:r>
          </w:p>
        </w:tc>
        <w:tc>
          <w:tcPr>
            <w:tcW w:w="1449" w:type="dxa"/>
            <w:vAlign w:val="center"/>
          </w:tcPr>
          <w:p>
            <w:pPr>
              <w:ind w:firstLine="360"/>
              <w:jc w:val="center"/>
              <w:rPr>
                <w:sz w:val="18"/>
                <w:szCs w:val="18"/>
              </w:rPr>
            </w:pPr>
            <w:r>
              <w:rPr>
                <w:sz w:val="18"/>
                <w:szCs w:val="18"/>
              </w:rPr>
              <w:t>必做</w:t>
            </w:r>
          </w:p>
        </w:tc>
        <w:tc>
          <w:tcPr>
            <w:tcW w:w="1305" w:type="dxa"/>
          </w:tcPr>
          <w:p>
            <w:pPr>
              <w:ind w:firstLine="360"/>
              <w:jc w:val="center"/>
              <w:rPr>
                <w:sz w:val="18"/>
                <w:szCs w:val="18"/>
              </w:rPr>
            </w:pPr>
            <w:r>
              <w:rPr>
                <w:sz w:val="18"/>
                <w:szCs w:val="18"/>
              </w:rPr>
              <w:t>6</w:t>
            </w:r>
          </w:p>
        </w:tc>
      </w:tr>
    </w:tbl>
    <w:p>
      <w:pPr>
        <w:snapToGrid w:val="0"/>
        <w:spacing w:line="360" w:lineRule="auto"/>
        <w:rPr>
          <w:rFonts w:hAnsi="宋体"/>
          <w:b/>
          <w:bCs/>
          <w:szCs w:val="21"/>
        </w:rPr>
      </w:pPr>
    </w:p>
    <w:p>
      <w:pPr>
        <w:snapToGrid w:val="0"/>
        <w:spacing w:line="360" w:lineRule="auto"/>
        <w:rPr>
          <w:b/>
          <w:bCs/>
          <w:szCs w:val="21"/>
        </w:rPr>
      </w:pPr>
      <w:r>
        <w:rPr>
          <w:rFonts w:hAnsi="宋体"/>
          <w:b/>
          <w:bCs/>
          <w:szCs w:val="21"/>
        </w:rPr>
        <w:t>（</w:t>
      </w:r>
      <w:r>
        <w:rPr>
          <w:rFonts w:hint="eastAsia" w:hAnsi="宋体"/>
          <w:b/>
          <w:bCs/>
          <w:szCs w:val="21"/>
        </w:rPr>
        <w:t>五</w:t>
      </w:r>
      <w:r>
        <w:rPr>
          <w:rFonts w:hAnsi="宋体"/>
          <w:b/>
          <w:bCs/>
          <w:szCs w:val="21"/>
        </w:rPr>
        <w:t>）实验方式及基本要求</w:t>
      </w:r>
    </w:p>
    <w:p>
      <w:pPr>
        <w:pStyle w:val="7"/>
        <w:spacing w:line="360" w:lineRule="auto"/>
        <w:rPr>
          <w:rFonts w:ascii="Times New Roman" w:eastAsiaTheme="minorEastAsia"/>
          <w:szCs w:val="21"/>
        </w:rPr>
      </w:pPr>
      <w:r>
        <w:rPr>
          <w:rFonts w:ascii="Times New Roman" w:hAnsiTheme="minorEastAsia" w:eastAsiaTheme="minorEastAsia"/>
          <w:szCs w:val="21"/>
        </w:rPr>
        <w:t>实验分组进行，要求学生在实验前预习，教师提问检查预习情况，实验中注意安全，认真操作，做好原始记录，课后一周内完成实验报告。</w:t>
      </w:r>
    </w:p>
    <w:p>
      <w:pPr>
        <w:snapToGrid w:val="0"/>
        <w:spacing w:line="360" w:lineRule="auto"/>
        <w:rPr>
          <w:bCs/>
          <w:szCs w:val="21"/>
        </w:rPr>
      </w:pPr>
      <w:r>
        <w:rPr>
          <w:b/>
          <w:szCs w:val="21"/>
        </w:rPr>
        <w:t>(</w:t>
      </w:r>
      <w:r>
        <w:rPr>
          <w:rFonts w:hint="eastAsia" w:hAnsi="宋体"/>
          <w:b/>
          <w:szCs w:val="21"/>
        </w:rPr>
        <w:t>六</w:t>
      </w:r>
      <w:r>
        <w:rPr>
          <w:b/>
          <w:szCs w:val="21"/>
        </w:rPr>
        <w:t xml:space="preserve">) </w:t>
      </w:r>
      <w:r>
        <w:rPr>
          <w:rFonts w:hAnsi="宋体"/>
          <w:b/>
          <w:szCs w:val="21"/>
        </w:rPr>
        <w:t>实验内容安排</w:t>
      </w:r>
    </w:p>
    <w:p>
      <w:pPr>
        <w:pStyle w:val="20"/>
        <w:snapToGrid w:val="0"/>
        <w:spacing w:before="0" w:beforeAutospacing="0" w:after="0" w:afterAutospacing="0" w:line="360" w:lineRule="auto"/>
        <w:rPr>
          <w:rFonts w:ascii="Times New Roman" w:hAnsi="Times New Roman" w:cs="Times New Roman" w:eastAsiaTheme="minorEastAsia"/>
          <w:sz w:val="21"/>
          <w:szCs w:val="21"/>
        </w:rPr>
      </w:pPr>
      <w:r>
        <w:rPr>
          <w:rFonts w:ascii="Times New Roman" w:cs="Times New Roman"/>
          <w:sz w:val="21"/>
          <w:szCs w:val="21"/>
        </w:rPr>
        <w:t>【实验</w:t>
      </w:r>
      <w:r>
        <w:rPr>
          <w:rFonts w:ascii="Times New Roman" w:cs="Times New Roman" w:eastAsiaTheme="minorEastAsia"/>
          <w:sz w:val="21"/>
          <w:szCs w:val="21"/>
        </w:rPr>
        <w:t>一</w:t>
      </w:r>
      <w:r>
        <w:rPr>
          <w:rFonts w:ascii="Times New Roman" w:cs="Times New Roman"/>
          <w:sz w:val="21"/>
          <w:szCs w:val="21"/>
        </w:rPr>
        <w:t>】</w:t>
      </w:r>
      <w:r>
        <w:rPr>
          <w:rFonts w:ascii="Times New Roman" w:cs="Times New Roman" w:eastAsiaTheme="minorEastAsia"/>
          <w:sz w:val="21"/>
          <w:szCs w:val="21"/>
        </w:rPr>
        <w:t>无土栽培营养液的配制</w:t>
      </w:r>
    </w:p>
    <w:p>
      <w:pPr>
        <w:snapToGrid w:val="0"/>
        <w:spacing w:line="360" w:lineRule="auto"/>
        <w:ind w:firstLine="413" w:firstLineChars="196"/>
        <w:rPr>
          <w:szCs w:val="21"/>
        </w:rPr>
      </w:pPr>
      <w:r>
        <w:rPr>
          <w:b/>
          <w:szCs w:val="21"/>
        </w:rPr>
        <w:t>1.实验学时：</w:t>
      </w:r>
      <w:r>
        <w:rPr>
          <w:bCs/>
          <w:szCs w:val="21"/>
        </w:rPr>
        <w:t>4</w:t>
      </w:r>
    </w:p>
    <w:p>
      <w:pPr>
        <w:pStyle w:val="7"/>
        <w:spacing w:line="360" w:lineRule="auto"/>
        <w:ind w:firstLine="422"/>
        <w:rPr>
          <w:rFonts w:ascii="Times New Roman"/>
        </w:rPr>
      </w:pPr>
      <w:r>
        <w:rPr>
          <w:rFonts w:ascii="Times New Roman"/>
          <w:b/>
          <w:szCs w:val="21"/>
        </w:rPr>
        <w:t>2.实验目的：</w:t>
      </w:r>
      <w:r>
        <w:rPr>
          <w:rFonts w:ascii="Times New Roman"/>
        </w:rPr>
        <w:t>营养液管理是无土栽培的关键性技术，营养液配置则是基础。本实验运用所学理论知识，通过具体操作，掌握一种常用营养液的配制方法。</w:t>
      </w:r>
    </w:p>
    <w:p>
      <w:pPr>
        <w:pStyle w:val="7"/>
        <w:spacing w:line="360" w:lineRule="auto"/>
        <w:ind w:firstLine="422"/>
        <w:rPr>
          <w:rFonts w:ascii="Times New Roman"/>
          <w:b/>
          <w:szCs w:val="21"/>
        </w:rPr>
      </w:pPr>
      <w:r>
        <w:rPr>
          <w:rFonts w:ascii="Times New Roman"/>
          <w:b/>
          <w:szCs w:val="21"/>
        </w:rPr>
        <w:t>3.实验内容：</w:t>
      </w:r>
    </w:p>
    <w:p>
      <w:pPr>
        <w:spacing w:line="360" w:lineRule="auto"/>
        <w:ind w:firstLine="472" w:firstLineChars="225"/>
        <w:rPr>
          <w:szCs w:val="21"/>
        </w:rPr>
      </w:pPr>
      <w:r>
        <w:rPr>
          <w:szCs w:val="21"/>
        </w:rPr>
        <w:t>1</w:t>
      </w:r>
      <w:r>
        <w:rPr>
          <w:rFonts w:hAnsi="宋体"/>
          <w:szCs w:val="21"/>
        </w:rPr>
        <w:t>．母液（浓缩液）配制：分成</w:t>
      </w:r>
      <w:r>
        <w:rPr>
          <w:szCs w:val="21"/>
        </w:rPr>
        <w:t>A</w:t>
      </w:r>
      <w:r>
        <w:rPr>
          <w:rFonts w:hAnsi="宋体"/>
          <w:szCs w:val="21"/>
        </w:rPr>
        <w:t>、</w:t>
      </w:r>
      <w:r>
        <w:rPr>
          <w:szCs w:val="21"/>
        </w:rPr>
        <w:t>B</w:t>
      </w:r>
      <w:r>
        <w:rPr>
          <w:rFonts w:hAnsi="宋体"/>
          <w:szCs w:val="21"/>
        </w:rPr>
        <w:t>、</w:t>
      </w:r>
      <w:r>
        <w:rPr>
          <w:szCs w:val="21"/>
        </w:rPr>
        <w:t>C</w:t>
      </w:r>
      <w:r>
        <w:rPr>
          <w:rFonts w:hAnsi="宋体"/>
          <w:szCs w:val="21"/>
        </w:rPr>
        <w:t>三个母液，</w:t>
      </w:r>
      <w:r>
        <w:rPr>
          <w:szCs w:val="21"/>
        </w:rPr>
        <w:t>A</w:t>
      </w:r>
      <w:r>
        <w:rPr>
          <w:rFonts w:hAnsi="宋体"/>
          <w:szCs w:val="21"/>
        </w:rPr>
        <w:t>液包括</w:t>
      </w:r>
      <w:r>
        <w:rPr>
          <w:szCs w:val="21"/>
        </w:rPr>
        <w:t>Ca(NO</w:t>
      </w:r>
      <w:r>
        <w:rPr>
          <w:spacing w:val="-20"/>
          <w:szCs w:val="21"/>
          <w:vertAlign w:val="subscript"/>
        </w:rPr>
        <w:t>3</w:t>
      </w:r>
      <w:r>
        <w:rPr>
          <w:szCs w:val="21"/>
        </w:rPr>
        <w:t>)</w:t>
      </w:r>
      <w:r>
        <w:rPr>
          <w:spacing w:val="-20"/>
          <w:szCs w:val="21"/>
          <w:vertAlign w:val="subscript"/>
        </w:rPr>
        <w:t>2</w:t>
      </w:r>
      <w:r>
        <w:rPr>
          <w:szCs w:val="21"/>
        </w:rPr>
        <w:t>·4H</w:t>
      </w:r>
      <w:r>
        <w:rPr>
          <w:spacing w:val="-20"/>
          <w:szCs w:val="21"/>
          <w:vertAlign w:val="subscript"/>
        </w:rPr>
        <w:t>2</w:t>
      </w:r>
      <w:r>
        <w:rPr>
          <w:szCs w:val="21"/>
        </w:rPr>
        <w:t xml:space="preserve">O </w:t>
      </w:r>
      <w:r>
        <w:rPr>
          <w:rFonts w:hAnsi="宋体"/>
          <w:szCs w:val="21"/>
        </w:rPr>
        <w:t>和</w:t>
      </w:r>
      <w:r>
        <w:rPr>
          <w:szCs w:val="21"/>
        </w:rPr>
        <w:t>KNO</w:t>
      </w:r>
      <w:r>
        <w:rPr>
          <w:spacing w:val="-20"/>
          <w:szCs w:val="21"/>
          <w:vertAlign w:val="subscript"/>
        </w:rPr>
        <w:t>3</w:t>
      </w:r>
      <w:r>
        <w:rPr>
          <w:szCs w:val="21"/>
        </w:rPr>
        <w:t xml:space="preserve"> </w:t>
      </w:r>
      <w:r>
        <w:rPr>
          <w:rFonts w:hAnsi="宋体"/>
          <w:szCs w:val="21"/>
        </w:rPr>
        <w:t>，浓缩</w:t>
      </w:r>
      <w:r>
        <w:rPr>
          <w:szCs w:val="21"/>
        </w:rPr>
        <w:t>200</w:t>
      </w:r>
      <w:r>
        <w:rPr>
          <w:rFonts w:hAnsi="宋体"/>
          <w:szCs w:val="21"/>
        </w:rPr>
        <w:t>倍；</w:t>
      </w:r>
      <w:r>
        <w:rPr>
          <w:szCs w:val="21"/>
        </w:rPr>
        <w:t>B</w:t>
      </w:r>
      <w:r>
        <w:rPr>
          <w:rFonts w:hAnsi="宋体"/>
          <w:szCs w:val="21"/>
        </w:rPr>
        <w:t>液包括</w:t>
      </w:r>
      <w:r>
        <w:rPr>
          <w:szCs w:val="21"/>
        </w:rPr>
        <w:t>NH</w:t>
      </w:r>
      <w:r>
        <w:rPr>
          <w:spacing w:val="-20"/>
          <w:szCs w:val="21"/>
          <w:vertAlign w:val="subscript"/>
        </w:rPr>
        <w:t>4</w:t>
      </w:r>
      <w:r>
        <w:rPr>
          <w:szCs w:val="21"/>
        </w:rPr>
        <w:t>H</w:t>
      </w:r>
      <w:r>
        <w:rPr>
          <w:spacing w:val="-20"/>
          <w:szCs w:val="21"/>
          <w:vertAlign w:val="subscript"/>
        </w:rPr>
        <w:t>2</w:t>
      </w:r>
      <w:r>
        <w:rPr>
          <w:szCs w:val="21"/>
        </w:rPr>
        <w:t>PO</w:t>
      </w:r>
      <w:r>
        <w:rPr>
          <w:spacing w:val="-20"/>
          <w:szCs w:val="21"/>
          <w:vertAlign w:val="subscript"/>
        </w:rPr>
        <w:t>4</w:t>
      </w:r>
      <w:r>
        <w:rPr>
          <w:rFonts w:hAnsi="宋体"/>
          <w:szCs w:val="21"/>
        </w:rPr>
        <w:t>和</w:t>
      </w:r>
      <w:r>
        <w:rPr>
          <w:szCs w:val="21"/>
        </w:rPr>
        <w:t>MgSO</w:t>
      </w:r>
      <w:r>
        <w:rPr>
          <w:spacing w:val="-20"/>
          <w:szCs w:val="21"/>
          <w:vertAlign w:val="subscript"/>
        </w:rPr>
        <w:t>4</w:t>
      </w:r>
      <w:r>
        <w:rPr>
          <w:szCs w:val="21"/>
        </w:rPr>
        <w:t>·7H</w:t>
      </w:r>
      <w:r>
        <w:rPr>
          <w:spacing w:val="-20"/>
          <w:szCs w:val="21"/>
          <w:vertAlign w:val="subscript"/>
        </w:rPr>
        <w:t>2</w:t>
      </w:r>
      <w:r>
        <w:rPr>
          <w:szCs w:val="21"/>
        </w:rPr>
        <w:t xml:space="preserve">O </w:t>
      </w:r>
      <w:r>
        <w:rPr>
          <w:rFonts w:hAnsi="宋体"/>
          <w:szCs w:val="21"/>
        </w:rPr>
        <w:t>，浓缩</w:t>
      </w:r>
      <w:r>
        <w:rPr>
          <w:szCs w:val="21"/>
        </w:rPr>
        <w:t>200</w:t>
      </w:r>
      <w:r>
        <w:rPr>
          <w:rFonts w:hAnsi="宋体"/>
          <w:szCs w:val="21"/>
        </w:rPr>
        <w:t>倍；</w:t>
      </w:r>
      <w:r>
        <w:rPr>
          <w:szCs w:val="21"/>
        </w:rPr>
        <w:t>C</w:t>
      </w:r>
      <w:r>
        <w:rPr>
          <w:rFonts w:hAnsi="宋体"/>
          <w:szCs w:val="21"/>
        </w:rPr>
        <w:t>液包括</w:t>
      </w:r>
      <w:r>
        <w:rPr>
          <w:szCs w:val="21"/>
        </w:rPr>
        <w:t>Na</w:t>
      </w:r>
      <w:r>
        <w:rPr>
          <w:spacing w:val="-20"/>
          <w:szCs w:val="21"/>
          <w:vertAlign w:val="subscript"/>
        </w:rPr>
        <w:t>2</w:t>
      </w:r>
      <w:r>
        <w:rPr>
          <w:szCs w:val="21"/>
        </w:rPr>
        <w:t>Fe-EDTA</w:t>
      </w:r>
      <w:r>
        <w:rPr>
          <w:rFonts w:hAnsi="宋体"/>
          <w:szCs w:val="21"/>
        </w:rPr>
        <w:t>和各微量元素，浓缩</w:t>
      </w:r>
      <w:r>
        <w:rPr>
          <w:szCs w:val="21"/>
        </w:rPr>
        <w:t>1000</w:t>
      </w:r>
      <w:r>
        <w:rPr>
          <w:rFonts w:hAnsi="宋体"/>
          <w:szCs w:val="21"/>
        </w:rPr>
        <w:t>倍。</w:t>
      </w:r>
    </w:p>
    <w:p>
      <w:pPr>
        <w:spacing w:line="360" w:lineRule="auto"/>
        <w:ind w:firstLine="472" w:firstLineChars="225"/>
        <w:rPr>
          <w:szCs w:val="21"/>
        </w:rPr>
      </w:pPr>
      <w:r>
        <w:rPr>
          <w:szCs w:val="21"/>
        </w:rPr>
        <w:t>2</w:t>
      </w:r>
      <w:r>
        <w:rPr>
          <w:rFonts w:hAnsi="宋体"/>
          <w:szCs w:val="21"/>
        </w:rPr>
        <w:t>．按园试配方要求计算各母液化合物用量：按上述浓度要求配制</w:t>
      </w:r>
      <w:r>
        <w:rPr>
          <w:szCs w:val="21"/>
        </w:rPr>
        <w:t>1000 ml</w:t>
      </w:r>
      <w:r>
        <w:rPr>
          <w:rFonts w:hAnsi="宋体"/>
          <w:szCs w:val="21"/>
        </w:rPr>
        <w:t>母液，计算各化合物用量为：</w:t>
      </w:r>
    </w:p>
    <w:p>
      <w:pPr>
        <w:spacing w:line="360" w:lineRule="auto"/>
        <w:ind w:firstLine="315" w:firstLineChars="150"/>
        <w:rPr>
          <w:spacing w:val="-20"/>
          <w:szCs w:val="21"/>
        </w:rPr>
      </w:pPr>
      <w:r>
        <w:rPr>
          <w:szCs w:val="21"/>
        </w:rPr>
        <w:t>A</w:t>
      </w:r>
      <w:r>
        <w:rPr>
          <w:rFonts w:hAnsi="宋体"/>
          <w:szCs w:val="21"/>
        </w:rPr>
        <w:t>液</w:t>
      </w:r>
      <w:r>
        <w:rPr>
          <w:szCs w:val="21"/>
        </w:rPr>
        <w:t xml:space="preserve">  </w:t>
      </w:r>
      <w:r>
        <w:rPr>
          <w:spacing w:val="-20"/>
          <w:szCs w:val="21"/>
        </w:rPr>
        <w:t>Ca(NO</w:t>
      </w:r>
      <w:r>
        <w:rPr>
          <w:spacing w:val="-20"/>
          <w:szCs w:val="21"/>
          <w:vertAlign w:val="subscript"/>
        </w:rPr>
        <w:t>3</w:t>
      </w:r>
      <w:r>
        <w:rPr>
          <w:spacing w:val="-20"/>
          <w:szCs w:val="21"/>
        </w:rPr>
        <w:t>)</w:t>
      </w:r>
      <w:r>
        <w:rPr>
          <w:spacing w:val="-20"/>
          <w:szCs w:val="21"/>
          <w:vertAlign w:val="subscript"/>
        </w:rPr>
        <w:t>2</w:t>
      </w:r>
      <w:r>
        <w:rPr>
          <w:spacing w:val="-20"/>
          <w:szCs w:val="21"/>
        </w:rPr>
        <w:t>·4</w:t>
      </w:r>
      <w:r>
        <w:rPr>
          <w:szCs w:val="21"/>
        </w:rPr>
        <w:t xml:space="preserve"> H</w:t>
      </w:r>
      <w:r>
        <w:rPr>
          <w:spacing w:val="-20"/>
          <w:szCs w:val="21"/>
          <w:vertAlign w:val="subscript"/>
        </w:rPr>
        <w:t>2</w:t>
      </w:r>
      <w:r>
        <w:rPr>
          <w:szCs w:val="21"/>
        </w:rPr>
        <w:t>O</w:t>
      </w:r>
      <w:r>
        <w:rPr>
          <w:spacing w:val="-20"/>
          <w:szCs w:val="21"/>
        </w:rPr>
        <w:t xml:space="preserve">   189.00g     KNO</w:t>
      </w:r>
      <w:r>
        <w:rPr>
          <w:spacing w:val="-20"/>
          <w:szCs w:val="21"/>
          <w:vertAlign w:val="subscript"/>
        </w:rPr>
        <w:t>3</w:t>
      </w:r>
      <w:r>
        <w:rPr>
          <w:spacing w:val="-20"/>
          <w:szCs w:val="21"/>
        </w:rPr>
        <w:t xml:space="preserve">  161.80g </w:t>
      </w:r>
    </w:p>
    <w:p>
      <w:pPr>
        <w:spacing w:line="360" w:lineRule="auto"/>
        <w:ind w:firstLine="315" w:firstLineChars="150"/>
        <w:rPr>
          <w:szCs w:val="21"/>
        </w:rPr>
      </w:pPr>
      <w:r>
        <w:rPr>
          <w:szCs w:val="21"/>
        </w:rPr>
        <w:t>B</w:t>
      </w:r>
      <w:r>
        <w:rPr>
          <w:rFonts w:hAnsi="宋体"/>
          <w:szCs w:val="21"/>
        </w:rPr>
        <w:t>液</w:t>
      </w:r>
      <w:r>
        <w:rPr>
          <w:szCs w:val="21"/>
        </w:rPr>
        <w:t xml:space="preserve">  NH</w:t>
      </w:r>
      <w:r>
        <w:rPr>
          <w:spacing w:val="-20"/>
          <w:szCs w:val="21"/>
          <w:vertAlign w:val="subscript"/>
        </w:rPr>
        <w:t>4</w:t>
      </w:r>
      <w:r>
        <w:rPr>
          <w:szCs w:val="21"/>
        </w:rPr>
        <w:t>H</w:t>
      </w:r>
      <w:r>
        <w:rPr>
          <w:spacing w:val="-20"/>
          <w:szCs w:val="21"/>
          <w:vertAlign w:val="subscript"/>
        </w:rPr>
        <w:t>2</w:t>
      </w:r>
      <w:r>
        <w:rPr>
          <w:szCs w:val="21"/>
        </w:rPr>
        <w:t>PO</w:t>
      </w:r>
      <w:r>
        <w:rPr>
          <w:spacing w:val="-20"/>
          <w:szCs w:val="21"/>
          <w:vertAlign w:val="subscript"/>
        </w:rPr>
        <w:t>4</w:t>
      </w:r>
      <w:r>
        <w:rPr>
          <w:szCs w:val="21"/>
        </w:rPr>
        <w:t xml:space="preserve">  30.60g    MgSO</w:t>
      </w:r>
      <w:r>
        <w:rPr>
          <w:spacing w:val="-20"/>
          <w:szCs w:val="21"/>
          <w:vertAlign w:val="subscript"/>
        </w:rPr>
        <w:t>4</w:t>
      </w:r>
      <w:r>
        <w:rPr>
          <w:szCs w:val="21"/>
        </w:rPr>
        <w:t>·7H</w:t>
      </w:r>
      <w:r>
        <w:rPr>
          <w:spacing w:val="-20"/>
          <w:szCs w:val="21"/>
          <w:vertAlign w:val="subscript"/>
        </w:rPr>
        <w:t>2</w:t>
      </w:r>
      <w:r>
        <w:rPr>
          <w:szCs w:val="21"/>
        </w:rPr>
        <w:t>O    98.60g</w:t>
      </w:r>
    </w:p>
    <w:p>
      <w:pPr>
        <w:spacing w:line="360" w:lineRule="auto"/>
        <w:ind w:left="989" w:leftChars="171" w:hanging="630" w:hangingChars="300"/>
        <w:rPr>
          <w:szCs w:val="21"/>
        </w:rPr>
      </w:pPr>
      <w:r>
        <w:rPr>
          <w:szCs w:val="21"/>
        </w:rPr>
        <w:t>C</w:t>
      </w:r>
      <w:r>
        <w:rPr>
          <w:rFonts w:hAnsi="宋体"/>
          <w:szCs w:val="21"/>
        </w:rPr>
        <w:t>液</w:t>
      </w:r>
      <w:r>
        <w:rPr>
          <w:szCs w:val="21"/>
        </w:rPr>
        <w:t xml:space="preserve">  Na</w:t>
      </w:r>
      <w:r>
        <w:rPr>
          <w:spacing w:val="-20"/>
          <w:szCs w:val="21"/>
          <w:vertAlign w:val="subscript"/>
        </w:rPr>
        <w:t>2</w:t>
      </w:r>
      <w:r>
        <w:rPr>
          <w:szCs w:val="21"/>
        </w:rPr>
        <w:t>Fe-EDTA  20.0g    H</w:t>
      </w:r>
      <w:r>
        <w:rPr>
          <w:spacing w:val="-20"/>
          <w:szCs w:val="21"/>
          <w:vertAlign w:val="subscript"/>
        </w:rPr>
        <w:t>3</w:t>
      </w:r>
      <w:r>
        <w:rPr>
          <w:szCs w:val="21"/>
        </w:rPr>
        <w:t>BO</w:t>
      </w:r>
      <w:r>
        <w:rPr>
          <w:spacing w:val="-20"/>
          <w:szCs w:val="21"/>
          <w:vertAlign w:val="subscript"/>
        </w:rPr>
        <w:t>3</w:t>
      </w:r>
      <w:r>
        <w:rPr>
          <w:szCs w:val="21"/>
        </w:rPr>
        <w:t xml:space="preserve">  2.86g    MnSO</w:t>
      </w:r>
      <w:r>
        <w:rPr>
          <w:spacing w:val="-20"/>
          <w:szCs w:val="21"/>
          <w:vertAlign w:val="subscript"/>
        </w:rPr>
        <w:t>4</w:t>
      </w:r>
      <w:r>
        <w:rPr>
          <w:szCs w:val="21"/>
        </w:rPr>
        <w:t>·4H</w:t>
      </w:r>
      <w:r>
        <w:rPr>
          <w:spacing w:val="-20"/>
          <w:szCs w:val="21"/>
          <w:vertAlign w:val="subscript"/>
        </w:rPr>
        <w:t>2</w:t>
      </w:r>
      <w:r>
        <w:rPr>
          <w:szCs w:val="21"/>
        </w:rPr>
        <w:t xml:space="preserve">O  2.13g </w:t>
      </w:r>
    </w:p>
    <w:p>
      <w:pPr>
        <w:spacing w:line="360" w:lineRule="auto"/>
        <w:ind w:left="1048" w:leftChars="399" w:hanging="210" w:hangingChars="100"/>
        <w:rPr>
          <w:szCs w:val="21"/>
        </w:rPr>
      </w:pPr>
      <w:r>
        <w:rPr>
          <w:szCs w:val="21"/>
        </w:rPr>
        <w:t xml:space="preserve"> ZnSO</w:t>
      </w:r>
      <w:r>
        <w:rPr>
          <w:spacing w:val="-20"/>
          <w:szCs w:val="21"/>
          <w:vertAlign w:val="subscript"/>
        </w:rPr>
        <w:t>4</w:t>
      </w:r>
      <w:r>
        <w:rPr>
          <w:szCs w:val="21"/>
        </w:rPr>
        <w:t>·7H</w:t>
      </w:r>
      <w:r>
        <w:rPr>
          <w:spacing w:val="-20"/>
          <w:szCs w:val="21"/>
          <w:vertAlign w:val="subscript"/>
        </w:rPr>
        <w:t>2</w:t>
      </w:r>
      <w:r>
        <w:rPr>
          <w:szCs w:val="21"/>
        </w:rPr>
        <w:t>O  0.22g   CuSO</w:t>
      </w:r>
      <w:r>
        <w:rPr>
          <w:spacing w:val="-20"/>
          <w:szCs w:val="21"/>
          <w:vertAlign w:val="subscript"/>
        </w:rPr>
        <w:t>4</w:t>
      </w:r>
      <w:r>
        <w:rPr>
          <w:szCs w:val="21"/>
        </w:rPr>
        <w:t>·5H</w:t>
      </w:r>
      <w:r>
        <w:rPr>
          <w:spacing w:val="-20"/>
          <w:szCs w:val="21"/>
          <w:vertAlign w:val="subscript"/>
        </w:rPr>
        <w:t>2</w:t>
      </w:r>
      <w:r>
        <w:rPr>
          <w:szCs w:val="21"/>
        </w:rPr>
        <w:t xml:space="preserve">O  0.08g   </w:t>
      </w:r>
      <w:r>
        <w:rPr>
          <w:rFonts w:hAnsi="宋体"/>
          <w:szCs w:val="21"/>
        </w:rPr>
        <w:t>（</w:t>
      </w:r>
      <w:r>
        <w:rPr>
          <w:szCs w:val="21"/>
        </w:rPr>
        <w:t>NH</w:t>
      </w:r>
      <w:r>
        <w:rPr>
          <w:spacing w:val="-20"/>
          <w:szCs w:val="21"/>
          <w:vertAlign w:val="subscript"/>
        </w:rPr>
        <w:t>4</w:t>
      </w:r>
      <w:r>
        <w:rPr>
          <w:rFonts w:hAnsi="宋体"/>
          <w:szCs w:val="21"/>
        </w:rPr>
        <w:t>）</w:t>
      </w:r>
      <w:r>
        <w:rPr>
          <w:szCs w:val="21"/>
        </w:rPr>
        <w:t>6M</w:t>
      </w:r>
      <w:r>
        <w:rPr>
          <w:spacing w:val="-20"/>
          <w:szCs w:val="21"/>
          <w:vertAlign w:val="subscript"/>
        </w:rPr>
        <w:t>O7</w:t>
      </w:r>
      <w:r>
        <w:rPr>
          <w:szCs w:val="21"/>
        </w:rPr>
        <w:t>O</w:t>
      </w:r>
      <w:r>
        <w:rPr>
          <w:spacing w:val="-20"/>
          <w:szCs w:val="21"/>
          <w:vertAlign w:val="subscript"/>
        </w:rPr>
        <w:t>24</w:t>
      </w:r>
      <w:r>
        <w:rPr>
          <w:szCs w:val="21"/>
        </w:rPr>
        <w:t>·4H</w:t>
      </w:r>
      <w:r>
        <w:rPr>
          <w:spacing w:val="-20"/>
          <w:szCs w:val="21"/>
          <w:vertAlign w:val="subscript"/>
        </w:rPr>
        <w:t>2</w:t>
      </w:r>
      <w:r>
        <w:rPr>
          <w:szCs w:val="21"/>
        </w:rPr>
        <w:t>O  0.02g</w:t>
      </w:r>
    </w:p>
    <w:p>
      <w:pPr>
        <w:spacing w:line="360" w:lineRule="auto"/>
        <w:ind w:firstLine="315" w:firstLineChars="150"/>
        <w:rPr>
          <w:szCs w:val="21"/>
        </w:rPr>
      </w:pPr>
      <w:r>
        <w:rPr>
          <w:szCs w:val="21"/>
        </w:rPr>
        <w:t>Na</w:t>
      </w:r>
      <w:r>
        <w:rPr>
          <w:spacing w:val="-20"/>
          <w:szCs w:val="21"/>
          <w:vertAlign w:val="subscript"/>
        </w:rPr>
        <w:t>2</w:t>
      </w:r>
      <w:r>
        <w:rPr>
          <w:szCs w:val="21"/>
        </w:rPr>
        <w:t>Fe-EDTA</w:t>
      </w:r>
      <w:r>
        <w:rPr>
          <w:rFonts w:hAnsi="宋体"/>
          <w:szCs w:val="21"/>
        </w:rPr>
        <w:t>也可用</w:t>
      </w:r>
      <w:r>
        <w:rPr>
          <w:szCs w:val="21"/>
        </w:rPr>
        <w:t>FeSO</w:t>
      </w:r>
      <w:r>
        <w:rPr>
          <w:spacing w:val="-20"/>
          <w:szCs w:val="21"/>
          <w:vertAlign w:val="subscript"/>
        </w:rPr>
        <w:t>4</w:t>
      </w:r>
      <w:r>
        <w:rPr>
          <w:szCs w:val="21"/>
        </w:rPr>
        <w:t>·7H</w:t>
      </w:r>
      <w:r>
        <w:rPr>
          <w:spacing w:val="-20"/>
          <w:szCs w:val="21"/>
          <w:vertAlign w:val="subscript"/>
        </w:rPr>
        <w:t>2</w:t>
      </w:r>
      <w:r>
        <w:rPr>
          <w:szCs w:val="21"/>
        </w:rPr>
        <w:t>O</w:t>
      </w:r>
      <w:r>
        <w:rPr>
          <w:rFonts w:hAnsi="宋体"/>
          <w:szCs w:val="21"/>
        </w:rPr>
        <w:t>和</w:t>
      </w:r>
      <w:r>
        <w:rPr>
          <w:szCs w:val="21"/>
        </w:rPr>
        <w:t>Na</w:t>
      </w:r>
      <w:r>
        <w:rPr>
          <w:spacing w:val="-20"/>
          <w:szCs w:val="21"/>
          <w:vertAlign w:val="subscript"/>
        </w:rPr>
        <w:t>2</w:t>
      </w:r>
      <w:r>
        <w:rPr>
          <w:szCs w:val="21"/>
        </w:rPr>
        <w:t>EDTA</w:t>
      </w:r>
      <w:r>
        <w:rPr>
          <w:rFonts w:hAnsi="宋体"/>
          <w:szCs w:val="21"/>
        </w:rPr>
        <w:t>自制代替。方法是按</w:t>
      </w:r>
      <w:r>
        <w:rPr>
          <w:szCs w:val="21"/>
        </w:rPr>
        <w:t>1000</w:t>
      </w:r>
      <w:r>
        <w:rPr>
          <w:rFonts w:hAnsi="宋体"/>
          <w:szCs w:val="21"/>
        </w:rPr>
        <w:t>倍母液取</w:t>
      </w:r>
      <w:r>
        <w:rPr>
          <w:szCs w:val="21"/>
        </w:rPr>
        <w:t>FeSO</w:t>
      </w:r>
      <w:r>
        <w:rPr>
          <w:spacing w:val="-20"/>
          <w:szCs w:val="21"/>
          <w:vertAlign w:val="subscript"/>
        </w:rPr>
        <w:t>4</w:t>
      </w:r>
      <w:r>
        <w:rPr>
          <w:szCs w:val="21"/>
        </w:rPr>
        <w:t>·7H</w:t>
      </w:r>
      <w:r>
        <w:rPr>
          <w:spacing w:val="-20"/>
          <w:szCs w:val="21"/>
          <w:vertAlign w:val="subscript"/>
        </w:rPr>
        <w:t>2</w:t>
      </w:r>
      <w:r>
        <w:rPr>
          <w:szCs w:val="21"/>
        </w:rPr>
        <w:t>O 13.9g</w:t>
      </w:r>
      <w:r>
        <w:rPr>
          <w:rFonts w:hAnsi="宋体"/>
          <w:szCs w:val="21"/>
        </w:rPr>
        <w:t>与</w:t>
      </w:r>
      <w:r>
        <w:rPr>
          <w:szCs w:val="21"/>
        </w:rPr>
        <w:t>Na</w:t>
      </w:r>
      <w:r>
        <w:rPr>
          <w:spacing w:val="-20"/>
          <w:szCs w:val="21"/>
          <w:vertAlign w:val="subscript"/>
        </w:rPr>
        <w:t>2</w:t>
      </w:r>
      <w:r>
        <w:rPr>
          <w:szCs w:val="21"/>
        </w:rPr>
        <w:t>EDTA 18.6g</w:t>
      </w:r>
      <w:r>
        <w:rPr>
          <w:rFonts w:hAnsi="宋体"/>
          <w:szCs w:val="21"/>
        </w:rPr>
        <w:t>混容即可。</w:t>
      </w:r>
    </w:p>
    <w:p>
      <w:pPr>
        <w:spacing w:line="360" w:lineRule="auto"/>
        <w:ind w:firstLine="472" w:firstLineChars="225"/>
        <w:rPr>
          <w:szCs w:val="21"/>
        </w:rPr>
      </w:pPr>
      <w:r>
        <w:rPr>
          <w:szCs w:val="21"/>
        </w:rPr>
        <w:t>3</w:t>
      </w:r>
      <w:r>
        <w:rPr>
          <w:rFonts w:hAnsi="宋体"/>
          <w:szCs w:val="21"/>
        </w:rPr>
        <w:t>．母液的配制：按上述计算结果，准确称取各化合物用量，按</w:t>
      </w:r>
      <w:r>
        <w:rPr>
          <w:szCs w:val="21"/>
        </w:rPr>
        <w:t>A</w:t>
      </w:r>
      <w:r>
        <w:rPr>
          <w:rFonts w:hAnsi="宋体"/>
          <w:szCs w:val="21"/>
        </w:rPr>
        <w:t>、</w:t>
      </w:r>
      <w:r>
        <w:rPr>
          <w:szCs w:val="21"/>
        </w:rPr>
        <w:t>B</w:t>
      </w:r>
      <w:r>
        <w:rPr>
          <w:rFonts w:hAnsi="宋体"/>
          <w:szCs w:val="21"/>
        </w:rPr>
        <w:t>、</w:t>
      </w:r>
      <w:r>
        <w:rPr>
          <w:szCs w:val="21"/>
        </w:rPr>
        <w:t>C</w:t>
      </w:r>
      <w:r>
        <w:rPr>
          <w:rFonts w:hAnsi="宋体"/>
          <w:szCs w:val="21"/>
        </w:rPr>
        <w:t>种类分别溶解，并定容至</w:t>
      </w:r>
      <w:r>
        <w:rPr>
          <w:szCs w:val="21"/>
        </w:rPr>
        <w:t>1000ml</w:t>
      </w:r>
      <w:r>
        <w:rPr>
          <w:rFonts w:hAnsi="宋体"/>
          <w:szCs w:val="21"/>
        </w:rPr>
        <w:t>，然后装入棕色瓶，并贴上标签，注明</w:t>
      </w:r>
      <w:r>
        <w:rPr>
          <w:szCs w:val="21"/>
        </w:rPr>
        <w:t>A</w:t>
      </w:r>
      <w:r>
        <w:rPr>
          <w:rFonts w:hAnsi="宋体"/>
          <w:szCs w:val="21"/>
        </w:rPr>
        <w:t>、</w:t>
      </w:r>
      <w:r>
        <w:rPr>
          <w:szCs w:val="21"/>
        </w:rPr>
        <w:t>B</w:t>
      </w:r>
      <w:r>
        <w:rPr>
          <w:rFonts w:hAnsi="宋体"/>
          <w:szCs w:val="21"/>
        </w:rPr>
        <w:t>、</w:t>
      </w:r>
      <w:r>
        <w:rPr>
          <w:szCs w:val="21"/>
        </w:rPr>
        <w:t>C</w:t>
      </w:r>
      <w:r>
        <w:rPr>
          <w:rFonts w:hAnsi="宋体"/>
          <w:szCs w:val="21"/>
        </w:rPr>
        <w:t>母液。</w:t>
      </w:r>
    </w:p>
    <w:p>
      <w:pPr>
        <w:spacing w:line="360" w:lineRule="auto"/>
        <w:ind w:firstLine="472" w:firstLineChars="225"/>
        <w:rPr>
          <w:szCs w:val="21"/>
        </w:rPr>
      </w:pPr>
      <w:r>
        <w:rPr>
          <w:szCs w:val="21"/>
        </w:rPr>
        <w:t>4</w:t>
      </w:r>
      <w:r>
        <w:rPr>
          <w:rFonts w:hAnsi="宋体"/>
          <w:szCs w:val="21"/>
        </w:rPr>
        <w:t>．工作营养液的配制：用上述母液配制</w:t>
      </w:r>
      <w:r>
        <w:rPr>
          <w:szCs w:val="21"/>
        </w:rPr>
        <w:t>50 L</w:t>
      </w:r>
      <w:r>
        <w:rPr>
          <w:rFonts w:hAnsi="宋体"/>
          <w:szCs w:val="21"/>
        </w:rPr>
        <w:t>的工作营养液。分别量取</w:t>
      </w:r>
      <w:r>
        <w:rPr>
          <w:szCs w:val="21"/>
        </w:rPr>
        <w:t>A</w:t>
      </w:r>
      <w:r>
        <w:rPr>
          <w:rFonts w:hAnsi="宋体"/>
          <w:szCs w:val="21"/>
        </w:rPr>
        <w:t>母液和</w:t>
      </w:r>
      <w:r>
        <w:rPr>
          <w:szCs w:val="21"/>
        </w:rPr>
        <w:t>B</w:t>
      </w:r>
      <w:r>
        <w:rPr>
          <w:rFonts w:hAnsi="宋体"/>
          <w:szCs w:val="21"/>
        </w:rPr>
        <w:t>母液各</w:t>
      </w:r>
      <w:r>
        <w:rPr>
          <w:szCs w:val="21"/>
        </w:rPr>
        <w:t>0.25 L</w:t>
      </w:r>
      <w:r>
        <w:rPr>
          <w:rFonts w:hAnsi="宋体"/>
          <w:szCs w:val="21"/>
        </w:rPr>
        <w:t>、</w:t>
      </w:r>
      <w:r>
        <w:rPr>
          <w:szCs w:val="21"/>
        </w:rPr>
        <w:t>C</w:t>
      </w:r>
      <w:r>
        <w:rPr>
          <w:rFonts w:hAnsi="宋体"/>
          <w:szCs w:val="21"/>
        </w:rPr>
        <w:t>母液</w:t>
      </w:r>
      <w:r>
        <w:rPr>
          <w:szCs w:val="21"/>
        </w:rPr>
        <w:t>0.05 L</w:t>
      </w:r>
      <w:r>
        <w:rPr>
          <w:rFonts w:hAnsi="宋体"/>
          <w:szCs w:val="21"/>
        </w:rPr>
        <w:t>，在加入各母液的过程中，务必防止出现沉淀。方法如下：①</w:t>
      </w:r>
      <w:r>
        <w:rPr>
          <w:szCs w:val="21"/>
        </w:rPr>
        <w:t xml:space="preserve"> </w:t>
      </w:r>
      <w:r>
        <w:rPr>
          <w:rFonts w:hAnsi="宋体"/>
          <w:szCs w:val="21"/>
        </w:rPr>
        <w:t>在贮液池内先放入相当于预配工作营养液体积</w:t>
      </w:r>
      <w:r>
        <w:rPr>
          <w:szCs w:val="21"/>
        </w:rPr>
        <w:t>40%</w:t>
      </w:r>
      <w:r>
        <w:rPr>
          <w:rFonts w:hAnsi="宋体"/>
          <w:szCs w:val="21"/>
        </w:rPr>
        <w:t>的水量，即</w:t>
      </w:r>
      <w:r>
        <w:rPr>
          <w:szCs w:val="21"/>
        </w:rPr>
        <w:t>20 L</w:t>
      </w:r>
      <w:r>
        <w:rPr>
          <w:rFonts w:hAnsi="宋体"/>
          <w:szCs w:val="21"/>
        </w:rPr>
        <w:t>水，再将量好的</w:t>
      </w:r>
      <w:r>
        <w:rPr>
          <w:szCs w:val="21"/>
        </w:rPr>
        <w:t>A</w:t>
      </w:r>
      <w:r>
        <w:rPr>
          <w:rFonts w:hAnsi="宋体"/>
          <w:szCs w:val="21"/>
        </w:rPr>
        <w:t>母液倒入其中。②</w:t>
      </w:r>
      <w:r>
        <w:rPr>
          <w:szCs w:val="21"/>
        </w:rPr>
        <w:t xml:space="preserve"> </w:t>
      </w:r>
      <w:r>
        <w:rPr>
          <w:rFonts w:hAnsi="宋体"/>
          <w:szCs w:val="21"/>
        </w:rPr>
        <w:t>将量好的</w:t>
      </w:r>
      <w:r>
        <w:rPr>
          <w:szCs w:val="21"/>
        </w:rPr>
        <w:t>B</w:t>
      </w:r>
      <w:r>
        <w:rPr>
          <w:rFonts w:hAnsi="宋体"/>
          <w:szCs w:val="21"/>
        </w:rPr>
        <w:t>母液慢慢倒入其中，并不断加水稀释，至达到总水量的</w:t>
      </w:r>
      <w:r>
        <w:rPr>
          <w:szCs w:val="21"/>
        </w:rPr>
        <w:t>80%</w:t>
      </w:r>
      <w:r>
        <w:rPr>
          <w:rFonts w:hAnsi="宋体"/>
          <w:szCs w:val="21"/>
        </w:rPr>
        <w:t>为止。③</w:t>
      </w:r>
      <w:r>
        <w:rPr>
          <w:szCs w:val="21"/>
        </w:rPr>
        <w:t xml:space="preserve"> </w:t>
      </w:r>
      <w:r>
        <w:rPr>
          <w:rFonts w:hAnsi="宋体"/>
          <w:szCs w:val="21"/>
        </w:rPr>
        <w:t>将</w:t>
      </w:r>
      <w:r>
        <w:rPr>
          <w:szCs w:val="21"/>
        </w:rPr>
        <w:t>C</w:t>
      </w:r>
      <w:r>
        <w:rPr>
          <w:rFonts w:hAnsi="宋体"/>
          <w:szCs w:val="21"/>
        </w:rPr>
        <w:t>母液按量加入其中。然后加足水量并不断搅拌。</w:t>
      </w:r>
    </w:p>
    <w:p>
      <w:pPr>
        <w:pStyle w:val="20"/>
        <w:snapToGrid w:val="0"/>
        <w:spacing w:before="0" w:beforeAutospacing="0" w:after="0" w:afterAutospacing="0" w:line="360" w:lineRule="auto"/>
        <w:ind w:firstLine="413" w:firstLineChars="196"/>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4.实验要求：</w:t>
      </w:r>
    </w:p>
    <w:p>
      <w:pPr>
        <w:spacing w:line="360" w:lineRule="auto"/>
        <w:ind w:firstLine="210" w:firstLineChars="100"/>
      </w:pPr>
      <w:r>
        <w:rPr>
          <w:rFonts w:hAnsi="宋体"/>
        </w:rPr>
        <w:t>（</w:t>
      </w:r>
      <w:r>
        <w:t>1</w:t>
      </w:r>
      <w:r>
        <w:rPr>
          <w:rFonts w:hAnsi="宋体"/>
        </w:rPr>
        <w:t>）根据营养液配方计算所需各种化合物的用量。</w:t>
      </w:r>
    </w:p>
    <w:p>
      <w:pPr>
        <w:spacing w:line="360" w:lineRule="auto"/>
        <w:ind w:firstLine="210" w:firstLineChars="100"/>
      </w:pPr>
      <w:r>
        <w:rPr>
          <w:rFonts w:hAnsi="宋体"/>
        </w:rPr>
        <w:t>（</w:t>
      </w:r>
      <w:r>
        <w:t>2</w:t>
      </w:r>
      <w:r>
        <w:rPr>
          <w:rFonts w:hAnsi="宋体"/>
        </w:rPr>
        <w:t>）按操作规程进行营养液的配制。</w:t>
      </w:r>
    </w:p>
    <w:p>
      <w:pPr>
        <w:pStyle w:val="20"/>
        <w:snapToGrid w:val="0"/>
        <w:spacing w:before="0" w:beforeAutospacing="0" w:after="0" w:afterAutospacing="0" w:line="360" w:lineRule="auto"/>
        <w:ind w:firstLine="413" w:firstLineChars="196"/>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5.实验设备及器材：</w:t>
      </w:r>
    </w:p>
    <w:p>
      <w:pPr>
        <w:spacing w:line="360" w:lineRule="auto"/>
        <w:ind w:firstLine="472" w:firstLineChars="225"/>
        <w:rPr>
          <w:szCs w:val="21"/>
        </w:rPr>
      </w:pPr>
      <w:r>
        <w:rPr>
          <w:szCs w:val="21"/>
        </w:rPr>
        <w:t>1</w:t>
      </w:r>
      <w:r>
        <w:rPr>
          <w:rFonts w:hAnsi="宋体"/>
          <w:szCs w:val="21"/>
        </w:rPr>
        <w:t>．材料：以日本园试通用配方为例，准备下列大量和微量元素。</w:t>
      </w:r>
    </w:p>
    <w:p>
      <w:pPr>
        <w:spacing w:line="360" w:lineRule="auto"/>
        <w:ind w:firstLine="472" w:firstLineChars="225"/>
        <w:rPr>
          <w:szCs w:val="21"/>
        </w:rPr>
      </w:pPr>
      <w:r>
        <w:rPr>
          <w:rFonts w:hAnsi="宋体"/>
          <w:szCs w:val="21"/>
        </w:rPr>
        <w:t>（</w:t>
      </w:r>
      <w:r>
        <w:rPr>
          <w:szCs w:val="21"/>
        </w:rPr>
        <w:t>1</w:t>
      </w:r>
      <w:r>
        <w:rPr>
          <w:rFonts w:hAnsi="宋体"/>
          <w:szCs w:val="21"/>
        </w:rPr>
        <w:t>）</w:t>
      </w:r>
      <w:r>
        <w:rPr>
          <w:szCs w:val="21"/>
        </w:rPr>
        <w:t xml:space="preserve"> </w:t>
      </w:r>
      <w:r>
        <w:rPr>
          <w:rFonts w:hAnsi="宋体"/>
          <w:szCs w:val="21"/>
        </w:rPr>
        <w:t>大量元素</w:t>
      </w:r>
      <w:r>
        <w:rPr>
          <w:szCs w:val="21"/>
        </w:rPr>
        <w:t xml:space="preserve">  Ca(NO</w:t>
      </w:r>
      <w:r>
        <w:rPr>
          <w:szCs w:val="21"/>
          <w:vertAlign w:val="subscript"/>
        </w:rPr>
        <w:t>3</w:t>
      </w:r>
      <w:r>
        <w:rPr>
          <w:szCs w:val="21"/>
        </w:rPr>
        <w:t>)</w:t>
      </w:r>
      <w:r>
        <w:rPr>
          <w:szCs w:val="21"/>
          <w:vertAlign w:val="subscript"/>
        </w:rPr>
        <w:t>2</w:t>
      </w:r>
      <w:r>
        <w:rPr>
          <w:szCs w:val="21"/>
        </w:rPr>
        <w:t>·4H</w:t>
      </w:r>
      <w:r>
        <w:rPr>
          <w:szCs w:val="21"/>
          <w:vertAlign w:val="subscript"/>
        </w:rPr>
        <w:t>2</w:t>
      </w:r>
      <w:r>
        <w:rPr>
          <w:szCs w:val="21"/>
        </w:rPr>
        <w:t>O</w:t>
      </w:r>
      <w:r>
        <w:rPr>
          <w:rFonts w:hAnsi="宋体"/>
          <w:szCs w:val="21"/>
        </w:rPr>
        <w:t>、</w:t>
      </w:r>
      <w:r>
        <w:rPr>
          <w:szCs w:val="21"/>
        </w:rPr>
        <w:t>KNO</w:t>
      </w:r>
      <w:r>
        <w:rPr>
          <w:szCs w:val="21"/>
          <w:vertAlign w:val="subscript"/>
        </w:rPr>
        <w:t>3</w:t>
      </w:r>
      <w:r>
        <w:rPr>
          <w:rFonts w:hAnsi="宋体"/>
          <w:szCs w:val="21"/>
        </w:rPr>
        <w:t>、</w:t>
      </w:r>
      <w:r>
        <w:rPr>
          <w:szCs w:val="21"/>
        </w:rPr>
        <w:t>NH</w:t>
      </w:r>
      <w:r>
        <w:rPr>
          <w:szCs w:val="21"/>
          <w:vertAlign w:val="subscript"/>
        </w:rPr>
        <w:t>4</w:t>
      </w:r>
      <w:r>
        <w:rPr>
          <w:szCs w:val="21"/>
        </w:rPr>
        <w:t>H</w:t>
      </w:r>
      <w:r>
        <w:rPr>
          <w:szCs w:val="21"/>
          <w:vertAlign w:val="subscript"/>
        </w:rPr>
        <w:t>2</w:t>
      </w:r>
      <w:r>
        <w:rPr>
          <w:szCs w:val="21"/>
        </w:rPr>
        <w:t>PO</w:t>
      </w:r>
      <w:r>
        <w:rPr>
          <w:szCs w:val="21"/>
          <w:vertAlign w:val="subscript"/>
        </w:rPr>
        <w:t>4</w:t>
      </w:r>
      <w:r>
        <w:rPr>
          <w:rFonts w:hAnsi="宋体"/>
          <w:szCs w:val="21"/>
        </w:rPr>
        <w:t>、</w:t>
      </w:r>
      <w:r>
        <w:rPr>
          <w:szCs w:val="21"/>
        </w:rPr>
        <w:t>MgSO</w:t>
      </w:r>
      <w:r>
        <w:rPr>
          <w:szCs w:val="21"/>
          <w:vertAlign w:val="subscript"/>
        </w:rPr>
        <w:t>4</w:t>
      </w:r>
      <w:r>
        <w:rPr>
          <w:szCs w:val="21"/>
        </w:rPr>
        <w:t>·7H</w:t>
      </w:r>
      <w:r>
        <w:rPr>
          <w:szCs w:val="21"/>
          <w:vertAlign w:val="subscript"/>
        </w:rPr>
        <w:t>2</w:t>
      </w:r>
      <w:r>
        <w:rPr>
          <w:szCs w:val="21"/>
        </w:rPr>
        <w:t>O</w:t>
      </w:r>
    </w:p>
    <w:p>
      <w:pPr>
        <w:spacing w:line="360" w:lineRule="auto"/>
        <w:ind w:firstLine="472" w:firstLineChars="225"/>
        <w:rPr>
          <w:szCs w:val="21"/>
        </w:rPr>
      </w:pPr>
      <w:r>
        <w:rPr>
          <w:rFonts w:hAnsi="宋体"/>
          <w:szCs w:val="21"/>
        </w:rPr>
        <w:t>（</w:t>
      </w:r>
      <w:r>
        <w:rPr>
          <w:szCs w:val="21"/>
        </w:rPr>
        <w:t>2</w:t>
      </w:r>
      <w:r>
        <w:rPr>
          <w:rFonts w:hAnsi="宋体"/>
          <w:szCs w:val="21"/>
        </w:rPr>
        <w:t>）</w:t>
      </w:r>
      <w:r>
        <w:rPr>
          <w:szCs w:val="21"/>
        </w:rPr>
        <w:t xml:space="preserve"> </w:t>
      </w:r>
      <w:r>
        <w:rPr>
          <w:rFonts w:hAnsi="宋体"/>
          <w:szCs w:val="21"/>
        </w:rPr>
        <w:t>微量元素</w:t>
      </w:r>
      <w:r>
        <w:rPr>
          <w:szCs w:val="21"/>
        </w:rPr>
        <w:t xml:space="preserve">  Na</w:t>
      </w:r>
      <w:r>
        <w:rPr>
          <w:szCs w:val="21"/>
          <w:vertAlign w:val="subscript"/>
        </w:rPr>
        <w:t>2</w:t>
      </w:r>
      <w:r>
        <w:rPr>
          <w:szCs w:val="21"/>
        </w:rPr>
        <w:t>Fe-EDTA</w:t>
      </w:r>
      <w:r>
        <w:rPr>
          <w:rFonts w:hAnsi="宋体"/>
          <w:szCs w:val="21"/>
        </w:rPr>
        <w:t>、</w:t>
      </w:r>
      <w:r>
        <w:rPr>
          <w:szCs w:val="21"/>
        </w:rPr>
        <w:t>H</w:t>
      </w:r>
      <w:r>
        <w:rPr>
          <w:szCs w:val="21"/>
          <w:vertAlign w:val="subscript"/>
        </w:rPr>
        <w:t>3</w:t>
      </w:r>
      <w:r>
        <w:rPr>
          <w:szCs w:val="21"/>
        </w:rPr>
        <w:t>BO</w:t>
      </w:r>
      <w:r>
        <w:rPr>
          <w:szCs w:val="21"/>
          <w:vertAlign w:val="subscript"/>
        </w:rPr>
        <w:t>3</w:t>
      </w:r>
      <w:r>
        <w:rPr>
          <w:rFonts w:hAnsi="宋体"/>
          <w:szCs w:val="21"/>
        </w:rPr>
        <w:t>、</w:t>
      </w:r>
      <w:r>
        <w:rPr>
          <w:szCs w:val="21"/>
        </w:rPr>
        <w:t>MnSO</w:t>
      </w:r>
      <w:r>
        <w:rPr>
          <w:szCs w:val="21"/>
          <w:vertAlign w:val="subscript"/>
        </w:rPr>
        <w:t>4</w:t>
      </w:r>
      <w:r>
        <w:rPr>
          <w:szCs w:val="21"/>
        </w:rPr>
        <w:t>·4H</w:t>
      </w:r>
      <w:r>
        <w:rPr>
          <w:szCs w:val="21"/>
          <w:vertAlign w:val="subscript"/>
        </w:rPr>
        <w:t>2</w:t>
      </w:r>
      <w:r>
        <w:rPr>
          <w:szCs w:val="21"/>
        </w:rPr>
        <w:t>O</w:t>
      </w:r>
      <w:r>
        <w:rPr>
          <w:rFonts w:hAnsi="宋体"/>
          <w:szCs w:val="21"/>
        </w:rPr>
        <w:t>、</w:t>
      </w:r>
      <w:r>
        <w:rPr>
          <w:szCs w:val="21"/>
        </w:rPr>
        <w:t>ZnSO</w:t>
      </w:r>
      <w:r>
        <w:rPr>
          <w:szCs w:val="21"/>
          <w:vertAlign w:val="subscript"/>
        </w:rPr>
        <w:t>4</w:t>
      </w:r>
      <w:r>
        <w:rPr>
          <w:szCs w:val="21"/>
        </w:rPr>
        <w:t>·7H</w:t>
      </w:r>
      <w:r>
        <w:rPr>
          <w:szCs w:val="21"/>
          <w:vertAlign w:val="subscript"/>
        </w:rPr>
        <w:t>2</w:t>
      </w:r>
      <w:r>
        <w:rPr>
          <w:szCs w:val="21"/>
        </w:rPr>
        <w:t>O</w:t>
      </w:r>
      <w:r>
        <w:rPr>
          <w:rFonts w:hAnsi="宋体"/>
          <w:szCs w:val="21"/>
        </w:rPr>
        <w:t>、</w:t>
      </w:r>
      <w:r>
        <w:rPr>
          <w:szCs w:val="21"/>
        </w:rPr>
        <w:t xml:space="preserve"> CuSO</w:t>
      </w:r>
      <w:r>
        <w:rPr>
          <w:szCs w:val="21"/>
          <w:vertAlign w:val="subscript"/>
        </w:rPr>
        <w:t>4</w:t>
      </w:r>
      <w:r>
        <w:rPr>
          <w:szCs w:val="21"/>
        </w:rPr>
        <w:t>·5H</w:t>
      </w:r>
      <w:r>
        <w:rPr>
          <w:szCs w:val="21"/>
          <w:vertAlign w:val="subscript"/>
        </w:rPr>
        <w:t>2</w:t>
      </w:r>
      <w:r>
        <w:rPr>
          <w:szCs w:val="21"/>
        </w:rPr>
        <w:t>O</w:t>
      </w:r>
      <w:r>
        <w:rPr>
          <w:rFonts w:hAnsi="宋体"/>
          <w:szCs w:val="21"/>
        </w:rPr>
        <w:t>、（</w:t>
      </w:r>
      <w:r>
        <w:rPr>
          <w:szCs w:val="21"/>
        </w:rPr>
        <w:t>NH</w:t>
      </w:r>
      <w:r>
        <w:rPr>
          <w:szCs w:val="21"/>
          <w:vertAlign w:val="subscript"/>
        </w:rPr>
        <w:t>4</w:t>
      </w:r>
      <w:r>
        <w:rPr>
          <w:rFonts w:hAnsi="宋体"/>
          <w:szCs w:val="21"/>
        </w:rPr>
        <w:t>）</w:t>
      </w:r>
      <w:r>
        <w:rPr>
          <w:szCs w:val="21"/>
          <w:vertAlign w:val="subscript"/>
        </w:rPr>
        <w:t>6</w:t>
      </w:r>
      <w:r>
        <w:rPr>
          <w:szCs w:val="21"/>
        </w:rPr>
        <w:t>M</w:t>
      </w:r>
      <w:r>
        <w:rPr>
          <w:szCs w:val="21"/>
          <w:vertAlign w:val="subscript"/>
        </w:rPr>
        <w:t>O7</w:t>
      </w:r>
      <w:r>
        <w:rPr>
          <w:szCs w:val="21"/>
        </w:rPr>
        <w:t>O</w:t>
      </w:r>
      <w:r>
        <w:rPr>
          <w:szCs w:val="21"/>
          <w:vertAlign w:val="subscript"/>
        </w:rPr>
        <w:t>24</w:t>
      </w:r>
      <w:r>
        <w:rPr>
          <w:szCs w:val="21"/>
        </w:rPr>
        <w:t>·4H</w:t>
      </w:r>
      <w:r>
        <w:rPr>
          <w:szCs w:val="21"/>
          <w:vertAlign w:val="subscript"/>
        </w:rPr>
        <w:t>2</w:t>
      </w:r>
      <w:r>
        <w:rPr>
          <w:szCs w:val="21"/>
        </w:rPr>
        <w:t>O</w:t>
      </w:r>
    </w:p>
    <w:p>
      <w:pPr>
        <w:spacing w:line="360" w:lineRule="auto"/>
        <w:ind w:firstLine="472" w:firstLineChars="225"/>
        <w:rPr>
          <w:szCs w:val="21"/>
        </w:rPr>
      </w:pPr>
      <w:r>
        <w:rPr>
          <w:szCs w:val="21"/>
        </w:rPr>
        <w:t>2</w:t>
      </w:r>
      <w:r>
        <w:rPr>
          <w:rFonts w:hAnsi="宋体"/>
          <w:szCs w:val="21"/>
        </w:rPr>
        <w:t>．用具：百分之一和万分之一的电子天平、烧杯（</w:t>
      </w:r>
      <w:r>
        <w:rPr>
          <w:szCs w:val="21"/>
        </w:rPr>
        <w:t>100ml</w:t>
      </w:r>
      <w:r>
        <w:rPr>
          <w:rFonts w:hAnsi="宋体"/>
          <w:szCs w:val="21"/>
        </w:rPr>
        <w:t>、</w:t>
      </w:r>
      <w:r>
        <w:rPr>
          <w:szCs w:val="21"/>
        </w:rPr>
        <w:t>200ml</w:t>
      </w:r>
      <w:r>
        <w:rPr>
          <w:rFonts w:hAnsi="宋体"/>
          <w:szCs w:val="21"/>
        </w:rPr>
        <w:t>各</w:t>
      </w:r>
      <w:r>
        <w:rPr>
          <w:szCs w:val="21"/>
        </w:rPr>
        <w:t>1</w:t>
      </w:r>
      <w:r>
        <w:rPr>
          <w:rFonts w:hAnsi="宋体"/>
          <w:szCs w:val="21"/>
        </w:rPr>
        <w:t>个）、容量瓶（</w:t>
      </w:r>
      <w:r>
        <w:rPr>
          <w:szCs w:val="21"/>
        </w:rPr>
        <w:t>1000ml</w:t>
      </w:r>
      <w:r>
        <w:rPr>
          <w:rFonts w:hAnsi="宋体"/>
          <w:szCs w:val="21"/>
        </w:rPr>
        <w:t>）、玻璃棒、贮液瓶（</w:t>
      </w:r>
      <w:r>
        <w:rPr>
          <w:szCs w:val="21"/>
        </w:rPr>
        <w:t>3</w:t>
      </w:r>
      <w:r>
        <w:rPr>
          <w:rFonts w:hAnsi="宋体"/>
          <w:szCs w:val="21"/>
        </w:rPr>
        <w:t>个</w:t>
      </w:r>
      <w:r>
        <w:rPr>
          <w:szCs w:val="21"/>
        </w:rPr>
        <w:t>1000 ml</w:t>
      </w:r>
      <w:r>
        <w:rPr>
          <w:rFonts w:hAnsi="宋体"/>
          <w:szCs w:val="21"/>
        </w:rPr>
        <w:t>棕色瓶），记号笔、标签纸、贮液池（桶）等。</w:t>
      </w:r>
    </w:p>
    <w:p>
      <w:pPr>
        <w:pStyle w:val="20"/>
        <w:snapToGrid w:val="0"/>
        <w:spacing w:before="0" w:beforeAutospacing="0" w:after="0" w:afterAutospacing="0" w:line="360" w:lineRule="auto"/>
        <w:ind w:firstLine="411" w:firstLineChars="196"/>
        <w:rPr>
          <w:rFonts w:ascii="Times New Roman" w:hAnsi="Times New Roman" w:cs="Times New Roman" w:eastAsiaTheme="minorEastAsia"/>
          <w:sz w:val="21"/>
          <w:szCs w:val="21"/>
        </w:rPr>
      </w:pPr>
    </w:p>
    <w:p>
      <w:pPr>
        <w:snapToGrid w:val="0"/>
        <w:spacing w:line="360" w:lineRule="auto"/>
        <w:rPr>
          <w:szCs w:val="21"/>
        </w:rPr>
      </w:pPr>
      <w:r>
        <w:rPr>
          <w:szCs w:val="21"/>
        </w:rPr>
        <w:t>【实验</w:t>
      </w:r>
      <w:r>
        <w:rPr>
          <w:rFonts w:hint="eastAsia"/>
          <w:szCs w:val="21"/>
        </w:rPr>
        <w:t>二</w:t>
      </w:r>
      <w:r>
        <w:rPr>
          <w:szCs w:val="21"/>
        </w:rPr>
        <w:t>】</w:t>
      </w:r>
      <w:r>
        <w:rPr>
          <w:rFonts w:hint="eastAsia"/>
          <w:szCs w:val="21"/>
        </w:rPr>
        <w:t>基质理化性质测定及无土育苗技术</w:t>
      </w:r>
    </w:p>
    <w:p>
      <w:pPr>
        <w:snapToGrid w:val="0"/>
        <w:spacing w:line="360" w:lineRule="auto"/>
        <w:ind w:firstLine="422" w:firstLineChars="200"/>
        <w:rPr>
          <w:bCs/>
        </w:rPr>
      </w:pPr>
      <w:r>
        <w:rPr>
          <w:b/>
          <w:szCs w:val="21"/>
        </w:rPr>
        <w:t>1.实验学时：</w:t>
      </w:r>
      <w:r>
        <w:rPr>
          <w:bCs/>
        </w:rPr>
        <w:t>4</w:t>
      </w:r>
    </w:p>
    <w:p>
      <w:pPr>
        <w:spacing w:line="360" w:lineRule="auto"/>
        <w:ind w:firstLine="435"/>
      </w:pPr>
      <w:r>
        <w:rPr>
          <w:b/>
          <w:szCs w:val="21"/>
        </w:rPr>
        <w:t>2.实验目的：</w:t>
      </w:r>
      <w:r>
        <w:rPr>
          <w:rFonts w:hAnsi="宋体"/>
        </w:rPr>
        <w:t>学习无土栽培各类栽培基质理化特性测定的方法</w:t>
      </w:r>
      <w:r>
        <w:rPr>
          <w:rFonts w:hint="eastAsia" w:hAnsi="宋体"/>
        </w:rPr>
        <w:t>，</w:t>
      </w:r>
      <w:r>
        <w:rPr>
          <w:rFonts w:hint="eastAsia"/>
          <w:bCs/>
        </w:rPr>
        <w:t>了解常用无土育苗的设施与方法</w:t>
      </w:r>
      <w:r>
        <w:rPr>
          <w:rFonts w:hAnsi="宋体"/>
        </w:rPr>
        <w:t>。</w:t>
      </w:r>
    </w:p>
    <w:p>
      <w:pPr>
        <w:pStyle w:val="7"/>
        <w:spacing w:line="360" w:lineRule="auto"/>
        <w:ind w:firstLine="422"/>
        <w:rPr>
          <w:rFonts w:ascii="Times New Roman"/>
          <w:b/>
          <w:szCs w:val="21"/>
        </w:rPr>
      </w:pPr>
      <w:r>
        <w:rPr>
          <w:rFonts w:ascii="Times New Roman"/>
          <w:b/>
          <w:szCs w:val="21"/>
        </w:rPr>
        <w:t>3.实验内容：</w:t>
      </w:r>
    </w:p>
    <w:p>
      <w:pPr>
        <w:spacing w:line="360" w:lineRule="auto"/>
        <w:ind w:firstLine="316" w:firstLineChars="150"/>
        <w:rPr>
          <w:b/>
        </w:rPr>
      </w:pPr>
      <w:r>
        <w:rPr>
          <w:rFonts w:hAnsi="宋体"/>
          <w:b/>
        </w:rPr>
        <w:t>无土栽培栽培基质理化特性测定的方法</w:t>
      </w:r>
      <w:r>
        <w:rPr>
          <w:rFonts w:hint="eastAsia" w:hAnsi="宋体"/>
          <w:b/>
        </w:rPr>
        <w:t>：沙子</w:t>
      </w:r>
      <w:r>
        <w:rPr>
          <w:rFonts w:hAnsi="宋体"/>
          <w:b/>
        </w:rPr>
        <w:t>、蛭石、珍珠岩等</w:t>
      </w:r>
    </w:p>
    <w:p>
      <w:pPr>
        <w:spacing w:line="360" w:lineRule="auto"/>
        <w:ind w:firstLine="315" w:firstLineChars="150"/>
      </w:pPr>
      <w:r>
        <w:t>（1）容重（g/cm</w:t>
      </w:r>
      <w:r>
        <w:rPr>
          <w:vertAlign w:val="subscript"/>
        </w:rPr>
        <w:t>3</w:t>
      </w:r>
      <w:r>
        <w:t>） 将自然状态（或生产状态）下的基质放入一已知体积的容器（烧杯或量筒）后倒出称基质重，用重量除以体积。</w:t>
      </w:r>
    </w:p>
    <w:p>
      <w:pPr>
        <w:spacing w:line="360" w:lineRule="auto"/>
        <w:ind w:firstLine="315" w:firstLineChars="150"/>
      </w:pPr>
      <w:r>
        <w:t>（2）总孔隙度（%） 指基质中包括大小孔隙（通气孔隙和持水孔隙）在内的所有孔隙的总和。以占有基质体积的百分比表示。</w:t>
      </w:r>
    </w:p>
    <w:p>
      <w:pPr>
        <w:spacing w:line="360" w:lineRule="auto"/>
        <w:ind w:firstLine="480"/>
      </w:pPr>
      <w:r>
        <w:t>总孔隙度（%）=（1-容重/比重）×100</w:t>
      </w:r>
    </w:p>
    <w:p>
      <w:pPr>
        <w:spacing w:line="360" w:lineRule="auto"/>
        <w:ind w:firstLine="315" w:firstLineChars="150"/>
      </w:pPr>
      <w:r>
        <w:t>（3）大小孔隙度 取一已知体积（V）的容器，加满待测的风干基质称重（W</w:t>
      </w:r>
      <w:r>
        <w:rPr>
          <w:vertAlign w:val="subscript"/>
        </w:rPr>
        <w:t>1</w:t>
      </w:r>
      <w:r>
        <w:t>），然后加入蒸馏水放入真空干燥器用真空泵抽气30min，再加满水称重（W</w:t>
      </w:r>
      <w:r>
        <w:rPr>
          <w:vertAlign w:val="subscript"/>
        </w:rPr>
        <w:t>2</w:t>
      </w:r>
      <w:r>
        <w:t>）后，将容器上口用一已知重量的湿润纱布（W</w:t>
      </w:r>
      <w:r>
        <w:rPr>
          <w:vertAlign w:val="subscript"/>
        </w:rPr>
        <w:t>3</w:t>
      </w:r>
      <w:r>
        <w:t>）包住，把容器倒置，让容器中的水分流出，放置2h左右，直至容器中没有水分渗出为止，称重（W</w:t>
      </w:r>
      <w:r>
        <w:rPr>
          <w:vertAlign w:val="subscript"/>
        </w:rPr>
        <w:t>4</w:t>
      </w:r>
      <w:r>
        <w:t>）</w:t>
      </w:r>
    </w:p>
    <w:p>
      <w:pPr>
        <w:spacing w:line="360" w:lineRule="auto"/>
        <w:ind w:firstLine="480"/>
      </w:pPr>
      <w:r>
        <w:t>大孔隙（%）=（W</w:t>
      </w:r>
      <w:r>
        <w:rPr>
          <w:vertAlign w:val="subscript"/>
        </w:rPr>
        <w:t>2</w:t>
      </w:r>
      <w:r>
        <w:t>+W</w:t>
      </w:r>
      <w:r>
        <w:rPr>
          <w:vertAlign w:val="subscript"/>
        </w:rPr>
        <w:t>3</w:t>
      </w:r>
      <w:r>
        <w:t>- W</w:t>
      </w:r>
      <w:r>
        <w:rPr>
          <w:vertAlign w:val="subscript"/>
        </w:rPr>
        <w:t>4</w:t>
      </w:r>
      <w:r>
        <w:t>）×100/V</w:t>
      </w:r>
    </w:p>
    <w:p>
      <w:pPr>
        <w:spacing w:line="360" w:lineRule="auto"/>
        <w:ind w:firstLine="480"/>
      </w:pPr>
      <w:r>
        <w:t>小孔隙（%）=（W</w:t>
      </w:r>
      <w:r>
        <w:rPr>
          <w:vertAlign w:val="subscript"/>
        </w:rPr>
        <w:t>4</w:t>
      </w:r>
      <w:r>
        <w:t>- W</w:t>
      </w:r>
      <w:r>
        <w:rPr>
          <w:vertAlign w:val="subscript"/>
        </w:rPr>
        <w:t>1-</w:t>
      </w:r>
      <w:r>
        <w:t xml:space="preserve"> W</w:t>
      </w:r>
      <w:r>
        <w:rPr>
          <w:vertAlign w:val="subscript"/>
        </w:rPr>
        <w:t>3</w:t>
      </w:r>
      <w:r>
        <w:t>）×100/V</w:t>
      </w:r>
    </w:p>
    <w:p>
      <w:pPr>
        <w:spacing w:line="360" w:lineRule="auto"/>
        <w:ind w:firstLine="315" w:firstLineChars="150"/>
      </w:pPr>
      <w:r>
        <w:t>（4）pH和电导率的测定 把电极插入与基质浸提液pH接近的缓冲液中，校正待用；取风干自然状态基质150ml，加入去离子蒸馏水750ml，振荡浸提10min，过滤，取其滤液用pH计测pH值、电导率仪来测电导率（ms/cm）。</w:t>
      </w:r>
    </w:p>
    <w:p>
      <w:pPr>
        <w:spacing w:line="360" w:lineRule="auto"/>
        <w:ind w:firstLine="316" w:firstLineChars="150"/>
        <w:rPr>
          <w:b/>
          <w:szCs w:val="21"/>
        </w:rPr>
      </w:pPr>
      <w:r>
        <w:rPr>
          <w:rFonts w:hint="eastAsia"/>
          <w:b/>
          <w:szCs w:val="21"/>
        </w:rPr>
        <w:t>无土育苗技术</w:t>
      </w:r>
    </w:p>
    <w:p>
      <w:pPr>
        <w:spacing w:line="360" w:lineRule="auto"/>
        <w:ind w:firstLine="315" w:firstLineChars="150"/>
        <w:rPr>
          <w:szCs w:val="21"/>
        </w:rPr>
      </w:pPr>
      <w:r>
        <w:rPr>
          <w:rFonts w:hint="eastAsia"/>
          <w:szCs w:val="21"/>
        </w:rPr>
        <w:t>（1） 混合基质的配制：按照草炭：蛭石=1：1（体积比），草炭：蛭石：珍珠岩=1：1：1，充分混合均匀。</w:t>
      </w:r>
    </w:p>
    <w:p>
      <w:pPr>
        <w:spacing w:line="360" w:lineRule="auto"/>
        <w:ind w:left="315"/>
        <w:rPr>
          <w:szCs w:val="21"/>
        </w:rPr>
      </w:pPr>
      <w:r>
        <w:rPr>
          <w:rFonts w:hint="eastAsia"/>
          <w:szCs w:val="21"/>
        </w:rPr>
        <w:t>（2）  基质的装盘：将混合基质装入穴盘内</w:t>
      </w:r>
    </w:p>
    <w:p>
      <w:pPr>
        <w:pStyle w:val="35"/>
        <w:numPr>
          <w:ilvl w:val="0"/>
          <w:numId w:val="36"/>
        </w:numPr>
        <w:spacing w:line="360" w:lineRule="auto"/>
        <w:ind w:firstLineChars="0"/>
        <w:rPr>
          <w:szCs w:val="21"/>
        </w:rPr>
      </w:pPr>
      <w:r>
        <w:rPr>
          <w:rFonts w:hint="eastAsia"/>
          <w:szCs w:val="21"/>
        </w:rPr>
        <w:t>喷湿基质</w:t>
      </w:r>
    </w:p>
    <w:p>
      <w:pPr>
        <w:pStyle w:val="35"/>
        <w:numPr>
          <w:ilvl w:val="0"/>
          <w:numId w:val="36"/>
        </w:numPr>
        <w:spacing w:line="360" w:lineRule="auto"/>
        <w:ind w:firstLineChars="0"/>
        <w:rPr>
          <w:szCs w:val="21"/>
        </w:rPr>
      </w:pPr>
      <w:r>
        <w:rPr>
          <w:rFonts w:hint="eastAsia"/>
          <w:szCs w:val="21"/>
        </w:rPr>
        <w:t>压穴：用压穴器压穴1厘米，</w:t>
      </w:r>
    </w:p>
    <w:p>
      <w:pPr>
        <w:pStyle w:val="35"/>
        <w:numPr>
          <w:ilvl w:val="0"/>
          <w:numId w:val="36"/>
        </w:numPr>
        <w:spacing w:line="360" w:lineRule="auto"/>
        <w:ind w:firstLineChars="0"/>
        <w:jc w:val="left"/>
        <w:rPr>
          <w:szCs w:val="21"/>
        </w:rPr>
      </w:pPr>
      <w:r>
        <w:rPr>
          <w:rFonts w:hint="eastAsia"/>
          <w:szCs w:val="21"/>
        </w:rPr>
        <w:t>播种：每穴播1粒种子，岩绵，插花泥直接插孔播入</w:t>
      </w:r>
    </w:p>
    <w:p>
      <w:pPr>
        <w:numPr>
          <w:ilvl w:val="0"/>
          <w:numId w:val="36"/>
        </w:numPr>
        <w:spacing w:line="360" w:lineRule="auto"/>
        <w:rPr>
          <w:szCs w:val="21"/>
        </w:rPr>
      </w:pPr>
      <w:r>
        <w:rPr>
          <w:rFonts w:hint="eastAsia"/>
          <w:szCs w:val="21"/>
        </w:rPr>
        <w:t>覆盖基质：播种后上面覆盖约1厘米厚的蛭石，然后用刮板磨平</w:t>
      </w:r>
    </w:p>
    <w:p>
      <w:pPr>
        <w:numPr>
          <w:ilvl w:val="0"/>
          <w:numId w:val="36"/>
        </w:numPr>
        <w:spacing w:line="360" w:lineRule="auto"/>
        <w:rPr>
          <w:szCs w:val="21"/>
        </w:rPr>
      </w:pPr>
      <w:r>
        <w:rPr>
          <w:rFonts w:hint="eastAsia"/>
          <w:szCs w:val="21"/>
        </w:rPr>
        <w:t>喷水</w:t>
      </w:r>
    </w:p>
    <w:p>
      <w:pPr>
        <w:numPr>
          <w:ilvl w:val="0"/>
          <w:numId w:val="36"/>
        </w:numPr>
        <w:spacing w:line="360" w:lineRule="auto"/>
        <w:rPr>
          <w:szCs w:val="21"/>
        </w:rPr>
      </w:pPr>
      <w:r>
        <w:rPr>
          <w:rFonts w:hint="eastAsia"/>
          <w:szCs w:val="21"/>
        </w:rPr>
        <w:t>覆盖薄膜</w:t>
      </w:r>
    </w:p>
    <w:p>
      <w:pPr>
        <w:pStyle w:val="20"/>
        <w:snapToGrid w:val="0"/>
        <w:spacing w:before="0" w:beforeAutospacing="0" w:after="0" w:afterAutospacing="0" w:line="360" w:lineRule="auto"/>
        <w:ind w:firstLine="413" w:firstLineChars="196"/>
        <w:rPr>
          <w:rFonts w:ascii="Times New Roman" w:hAnsi="Times New Roman" w:cs="Times New Roman" w:eastAsiaTheme="minorEastAsia"/>
          <w:sz w:val="21"/>
          <w:szCs w:val="21"/>
        </w:rPr>
      </w:pPr>
      <w:r>
        <w:rPr>
          <w:rFonts w:ascii="Times New Roman" w:hAnsi="Times New Roman" w:cs="Times New Roman" w:eastAsiaTheme="minorEastAsia"/>
          <w:b/>
          <w:sz w:val="21"/>
          <w:szCs w:val="21"/>
        </w:rPr>
        <w:t>4.实验要求：</w:t>
      </w:r>
      <w:r>
        <w:rPr>
          <w:rFonts w:ascii="Times New Roman" w:hAnsi="Times New Roman" w:cs="Times New Roman" w:eastAsiaTheme="minorEastAsia"/>
          <w:sz w:val="21"/>
          <w:szCs w:val="21"/>
        </w:rPr>
        <w:t>通过具体操作，掌握常见固体基质的理化性状的测定方法，</w:t>
      </w:r>
      <w:r>
        <w:rPr>
          <w:rFonts w:hint="eastAsia" w:ascii="Times New Roman" w:hAnsi="Times New Roman" w:cs="Times New Roman" w:eastAsiaTheme="minorEastAsia"/>
          <w:sz w:val="21"/>
          <w:szCs w:val="21"/>
        </w:rPr>
        <w:t>观测幼苗出土及长势情况，查看基质水分情况，及时去掉覆盖的薄膜，幼苗出土后进行绿化。</w:t>
      </w:r>
      <w:r>
        <w:rPr>
          <w:rFonts w:ascii="Times New Roman" w:hAnsi="Times New Roman" w:cs="Times New Roman" w:eastAsiaTheme="minorEastAsia"/>
          <w:sz w:val="21"/>
          <w:szCs w:val="21"/>
        </w:rPr>
        <w:t>将测定结果写出实验报告。</w:t>
      </w:r>
    </w:p>
    <w:p>
      <w:pPr>
        <w:pStyle w:val="20"/>
        <w:snapToGrid w:val="0"/>
        <w:spacing w:before="0" w:beforeAutospacing="0" w:after="0" w:afterAutospacing="0" w:line="360" w:lineRule="auto"/>
        <w:ind w:firstLine="413" w:firstLineChars="196"/>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5.实验设备及器材：</w:t>
      </w:r>
    </w:p>
    <w:p>
      <w:pPr>
        <w:pStyle w:val="20"/>
        <w:snapToGrid w:val="0"/>
        <w:spacing w:before="0" w:beforeAutospacing="0" w:after="0" w:afterAutospacing="0" w:line="360" w:lineRule="auto"/>
        <w:ind w:firstLine="411" w:firstLineChars="196"/>
        <w:rPr>
          <w:rFonts w:ascii="Times New Roman" w:hAnsi="Times New Roman" w:cs="Times New Roman" w:eastAsiaTheme="minorEastAsia"/>
          <w:sz w:val="21"/>
          <w:szCs w:val="21"/>
        </w:rPr>
      </w:pPr>
      <w:r>
        <w:rPr>
          <w:rFonts w:ascii="Times New Roman" w:hAnsi="Times New Roman" w:cs="Times New Roman" w:eastAsiaTheme="minorEastAsia"/>
          <w:sz w:val="21"/>
          <w:szCs w:val="21"/>
        </w:rPr>
        <w:t>天平（感量0.001g）、温度计（±0.1</w:t>
      </w:r>
      <w:r>
        <w:rPr>
          <w:rFonts w:ascii="Times New Roman" w:cs="Times New Roman" w:hAnsiTheme="minorEastAsia" w:eastAsiaTheme="minorEastAsia"/>
          <w:sz w:val="21"/>
          <w:szCs w:val="21"/>
        </w:rPr>
        <w:t>℃</w:t>
      </w:r>
      <w:r>
        <w:rPr>
          <w:rFonts w:ascii="Times New Roman" w:hAnsi="Times New Roman" w:cs="Times New Roman" w:eastAsiaTheme="minorEastAsia"/>
          <w:sz w:val="21"/>
          <w:szCs w:val="21"/>
        </w:rPr>
        <w:t>）、滤纸、纱布、烧杯（50ml）、量筒（50ml）、pH计、玻璃电极、饱和甘汞电极、电导率仪。</w:t>
      </w:r>
    </w:p>
    <w:p>
      <w:pPr>
        <w:snapToGrid w:val="0"/>
        <w:spacing w:line="360" w:lineRule="auto"/>
        <w:ind w:firstLine="420" w:firstLineChars="200"/>
        <w:rPr>
          <w:szCs w:val="21"/>
        </w:rPr>
      </w:pPr>
      <w:r>
        <w:rPr>
          <w:rFonts w:hint="eastAsia"/>
          <w:szCs w:val="21"/>
        </w:rPr>
        <w:t>草炭、蛭石、珍珠岩等材料；穴盘（72、128等穴孔）、塑料薄膜、撒水壶、生菜种子。</w:t>
      </w:r>
    </w:p>
    <w:p>
      <w:pPr>
        <w:snapToGrid w:val="0"/>
        <w:spacing w:line="360" w:lineRule="auto"/>
        <w:ind w:firstLine="420" w:firstLineChars="200"/>
        <w:rPr>
          <w:bCs/>
        </w:rPr>
      </w:pPr>
      <w:r>
        <w:rPr>
          <w:szCs w:val="21"/>
        </w:rPr>
        <w:t>【实验</w:t>
      </w:r>
      <w:r>
        <w:rPr>
          <w:rFonts w:hint="eastAsia"/>
          <w:szCs w:val="21"/>
        </w:rPr>
        <w:t>三</w:t>
      </w:r>
      <w:r>
        <w:rPr>
          <w:szCs w:val="21"/>
        </w:rPr>
        <w:t>】蔬菜水培实验</w:t>
      </w:r>
    </w:p>
    <w:p>
      <w:pPr>
        <w:snapToGrid w:val="0"/>
        <w:spacing w:line="360" w:lineRule="auto"/>
        <w:ind w:firstLine="422" w:firstLineChars="200"/>
        <w:rPr>
          <w:szCs w:val="21"/>
        </w:rPr>
      </w:pPr>
      <w:r>
        <w:rPr>
          <w:b/>
          <w:szCs w:val="21"/>
        </w:rPr>
        <w:t>1.实验学时：</w:t>
      </w:r>
      <w:r>
        <w:rPr>
          <w:szCs w:val="21"/>
        </w:rPr>
        <w:t>4</w:t>
      </w:r>
    </w:p>
    <w:p>
      <w:pPr>
        <w:pStyle w:val="7"/>
        <w:spacing w:line="360" w:lineRule="auto"/>
        <w:ind w:firstLine="422"/>
        <w:rPr>
          <w:rFonts w:ascii="Times New Roman"/>
          <w:bCs/>
          <w:color w:val="111111"/>
          <w:sz w:val="20"/>
        </w:rPr>
      </w:pPr>
      <w:r>
        <w:rPr>
          <w:rFonts w:ascii="Times New Roman"/>
          <w:b/>
          <w:szCs w:val="21"/>
        </w:rPr>
        <w:t>2.实验目的：</w:t>
      </w:r>
      <w:r>
        <w:rPr>
          <w:rFonts w:hint="eastAsia" w:ascii="Times New Roman"/>
          <w:bCs/>
          <w:szCs w:val="21"/>
        </w:rPr>
        <w:t>掌握蔬菜</w:t>
      </w:r>
      <w:r>
        <w:rPr>
          <w:rFonts w:ascii="Times New Roman"/>
          <w:bCs/>
          <w:szCs w:val="21"/>
        </w:rPr>
        <w:t>水培定植技术、栽培管理技术、营养液调控技术</w:t>
      </w:r>
      <w:r>
        <w:rPr>
          <w:rFonts w:ascii="Times New Roman"/>
          <w:bCs/>
        </w:rPr>
        <w:t>。</w:t>
      </w:r>
    </w:p>
    <w:p>
      <w:pPr>
        <w:pStyle w:val="7"/>
        <w:spacing w:line="360" w:lineRule="auto"/>
        <w:ind w:firstLine="422"/>
        <w:rPr>
          <w:rFonts w:ascii="Times New Roman"/>
          <w:b/>
          <w:szCs w:val="21"/>
        </w:rPr>
      </w:pPr>
      <w:r>
        <w:rPr>
          <w:rFonts w:ascii="Times New Roman"/>
          <w:b/>
          <w:szCs w:val="21"/>
        </w:rPr>
        <w:t>3.实验内容：</w:t>
      </w:r>
    </w:p>
    <w:p>
      <w:pPr>
        <w:pStyle w:val="7"/>
        <w:spacing w:line="360" w:lineRule="auto"/>
        <w:rPr>
          <w:rFonts w:ascii="Times New Roman"/>
          <w:szCs w:val="21"/>
        </w:rPr>
      </w:pPr>
      <w:r>
        <w:rPr>
          <w:rFonts w:ascii="Times New Roman"/>
          <w:szCs w:val="21"/>
        </w:rPr>
        <w:t>（1）叶菜类幼苗的培育 采用岩棉或海绵水培育苗，或穴盘育苗（参考实验四）。</w:t>
      </w:r>
    </w:p>
    <w:p>
      <w:pPr>
        <w:snapToGrid w:val="0"/>
        <w:spacing w:line="360" w:lineRule="auto"/>
        <w:ind w:firstLine="420" w:firstLineChars="200"/>
      </w:pPr>
      <w:r>
        <w:t xml:space="preserve">（2）水培槽的准备 </w:t>
      </w:r>
      <w:r>
        <w:rPr>
          <w:rFonts w:hint="eastAsia"/>
        </w:rPr>
        <w:t>实践教学</w:t>
      </w:r>
      <w:r>
        <w:t>基地的深水培槽、立体栽培槽</w:t>
      </w:r>
      <w:r>
        <w:rPr>
          <w:rFonts w:hint="eastAsia"/>
        </w:rPr>
        <w:t>和</w:t>
      </w:r>
      <w:r>
        <w:t>营养液膜栽培槽，对槽子进行清理、消毒。</w:t>
      </w:r>
    </w:p>
    <w:p>
      <w:pPr>
        <w:snapToGrid w:val="0"/>
        <w:spacing w:line="360" w:lineRule="auto"/>
        <w:ind w:firstLine="420" w:firstLineChars="200"/>
      </w:pPr>
      <w:r>
        <w:rPr>
          <w:rFonts w:hAnsi="宋体"/>
        </w:rPr>
        <w:t>（</w:t>
      </w:r>
      <w:r>
        <w:t>3</w:t>
      </w:r>
      <w:r>
        <w:rPr>
          <w:rFonts w:hAnsi="宋体"/>
        </w:rPr>
        <w:t>）配制营养液（参考实验</w:t>
      </w:r>
      <w:r>
        <w:rPr>
          <w:rFonts w:hint="eastAsia" w:hAnsi="宋体"/>
        </w:rPr>
        <w:t>一</w:t>
      </w:r>
      <w:r>
        <w:rPr>
          <w:rFonts w:hAnsi="宋体"/>
        </w:rPr>
        <w:t>）、准备定植板与定植杯。</w:t>
      </w:r>
    </w:p>
    <w:p>
      <w:pPr>
        <w:spacing w:line="360" w:lineRule="auto"/>
        <w:ind w:firstLine="420" w:firstLineChars="200"/>
      </w:pPr>
      <w:r>
        <w:rPr>
          <w:rFonts w:hAnsi="宋体"/>
        </w:rPr>
        <w:t>（</w:t>
      </w:r>
      <w:r>
        <w:t>4</w:t>
      </w:r>
      <w:r>
        <w:rPr>
          <w:rFonts w:hAnsi="宋体"/>
        </w:rPr>
        <w:t>）移苗</w:t>
      </w:r>
      <w:r>
        <w:t xml:space="preserve"> </w:t>
      </w:r>
      <w:r>
        <w:rPr>
          <w:rFonts w:hAnsi="宋体"/>
        </w:rPr>
        <w:t>将已育好的生菜幼苗除去根部基质后，用岩棉或海绵包住根茎部，移植带孔育苗钵内，并定植到定植板的定植孔中。要使育苗块触及槽底、叶片伸出定植板。</w:t>
      </w:r>
    </w:p>
    <w:p>
      <w:pPr>
        <w:spacing w:line="360" w:lineRule="auto"/>
        <w:ind w:firstLine="420" w:firstLineChars="200"/>
      </w:pPr>
      <w:r>
        <w:rPr>
          <w:rFonts w:hAnsi="宋体"/>
        </w:rPr>
        <w:t>（</w:t>
      </w:r>
      <w:r>
        <w:t>5</w:t>
      </w:r>
      <w:r>
        <w:rPr>
          <w:rFonts w:hAnsi="宋体"/>
        </w:rPr>
        <w:t>）营养液的管理</w:t>
      </w:r>
      <w:r>
        <w:t xml:space="preserve">  </w:t>
      </w:r>
      <w:r>
        <w:rPr>
          <w:rFonts w:hAnsi="宋体"/>
        </w:rPr>
        <w:t>要认真定时或随时检查营养液的电导率、酸碱度和温度的变化及其溶解氧的情况，并及时更换营养液，保证植株的正常生长。</w:t>
      </w:r>
    </w:p>
    <w:p>
      <w:pPr>
        <w:spacing w:line="360" w:lineRule="auto"/>
        <w:ind w:firstLine="435"/>
        <w:rPr>
          <w:szCs w:val="21"/>
        </w:rPr>
      </w:pPr>
      <w:r>
        <w:rPr>
          <w:b/>
          <w:szCs w:val="21"/>
        </w:rPr>
        <w:t>4.实验要求：</w:t>
      </w:r>
      <w:r>
        <w:rPr>
          <w:rFonts w:hAnsi="宋体"/>
          <w:szCs w:val="21"/>
        </w:rPr>
        <w:t>根据全班人数分成若干小组，每组按实验内容要求进行，</w:t>
      </w:r>
      <w:r>
        <w:rPr>
          <w:rFonts w:hint="eastAsia"/>
          <w:szCs w:val="21"/>
        </w:rPr>
        <w:t>保障植株日常</w:t>
      </w:r>
      <w:r>
        <w:rPr>
          <w:szCs w:val="21"/>
        </w:rPr>
        <w:t>管理，调查营养液管理及植株长势情况，</w:t>
      </w:r>
      <w:r>
        <w:rPr>
          <w:rFonts w:hAnsi="宋体"/>
          <w:szCs w:val="21"/>
        </w:rPr>
        <w:t>将调查结果写出实验报告。</w:t>
      </w:r>
    </w:p>
    <w:p>
      <w:pPr>
        <w:spacing w:line="360" w:lineRule="auto"/>
        <w:ind w:firstLine="435"/>
        <w:rPr>
          <w:szCs w:val="21"/>
        </w:rPr>
      </w:pPr>
      <w:r>
        <w:rPr>
          <w:b/>
          <w:szCs w:val="21"/>
        </w:rPr>
        <w:t>5.实验设备及器材：</w:t>
      </w:r>
      <w:r>
        <w:rPr>
          <w:rFonts w:hAnsi="宋体"/>
        </w:rPr>
        <w:t>已育好待移植的生菜幼苗；</w:t>
      </w:r>
      <w:r>
        <w:rPr>
          <w:szCs w:val="21"/>
        </w:rPr>
        <w:t>pH计、电导率仪、温度计、溶氧仪等。</w:t>
      </w:r>
    </w:p>
    <w:p>
      <w:pPr>
        <w:snapToGrid w:val="0"/>
        <w:spacing w:line="360" w:lineRule="auto"/>
        <w:rPr>
          <w:b/>
          <w:bCs/>
          <w:szCs w:val="21"/>
        </w:rPr>
      </w:pPr>
      <w:r>
        <w:rPr>
          <w:rFonts w:hAnsi="宋体"/>
          <w:b/>
          <w:bCs/>
          <w:szCs w:val="21"/>
        </w:rPr>
        <w:t>（五）考核方式及成绩评定</w:t>
      </w:r>
    </w:p>
    <w:p>
      <w:pPr>
        <w:pStyle w:val="7"/>
        <w:spacing w:line="360" w:lineRule="auto"/>
        <w:rPr>
          <w:rFonts w:ascii="Times New Roman" w:eastAsia="仿宋_GB2312"/>
          <w:szCs w:val="21"/>
        </w:rPr>
      </w:pPr>
      <w:r>
        <w:rPr>
          <w:rFonts w:ascii="Times New Roman" w:hAnsiTheme="minorEastAsia" w:eastAsiaTheme="minorEastAsia"/>
          <w:szCs w:val="21"/>
        </w:rPr>
        <w:t>实验成绩以考核方式评定。考核内容包括出勤；实验过程的认真程度；实际操作能力；实验报告书写情况等。成绩采用百分制或优秀、良好、中等、及格、不及格五级记分制。</w:t>
      </w:r>
    </w:p>
    <w:p>
      <w:pPr>
        <w:snapToGrid w:val="0"/>
        <w:spacing w:line="360" w:lineRule="auto"/>
        <w:rPr>
          <w:rFonts w:ascii="宋体" w:hAnsi="宋体"/>
          <w:b/>
          <w:szCs w:val="21"/>
        </w:rPr>
      </w:pPr>
      <w:r>
        <w:rPr>
          <w:rFonts w:hint="eastAsia" w:ascii="宋体" w:hAnsi="宋体"/>
          <w:b/>
          <w:szCs w:val="21"/>
        </w:rPr>
        <w:t>六</w:t>
      </w:r>
      <w:r>
        <w:rPr>
          <w:rFonts w:ascii="宋体" w:hAnsi="宋体"/>
          <w:b/>
          <w:szCs w:val="21"/>
        </w:rPr>
        <w:t>、</w:t>
      </w:r>
      <w:r>
        <w:rPr>
          <w:rFonts w:hint="eastAsia" w:ascii="宋体" w:hAnsi="宋体"/>
          <w:b/>
          <w:szCs w:val="21"/>
        </w:rPr>
        <w:t>课程思政</w:t>
      </w:r>
    </w:p>
    <w:p>
      <w:pPr>
        <w:spacing w:before="156" w:beforeLines="50" w:line="360" w:lineRule="auto"/>
        <w:ind w:firstLine="2108" w:firstLineChars="1000"/>
        <w:rPr>
          <w:b/>
          <w:bCs/>
          <w:szCs w:val="21"/>
        </w:rPr>
      </w:pPr>
      <w:r>
        <w:rPr>
          <w:b/>
          <w:bCs/>
          <w:szCs w:val="21"/>
        </w:rPr>
        <w:t>表 无土栽培课程思政融入理论教学内容一览表</w:t>
      </w:r>
    </w:p>
    <w:tbl>
      <w:tblPr>
        <w:tblStyle w:val="22"/>
        <w:tblpPr w:leftFromText="180" w:rightFromText="180" w:vertAnchor="text" w:horzAnchor="page" w:tblpX="1757" w:tblpY="294"/>
        <w:tblOverlap w:val="never"/>
        <w:tblW w:w="8341" w:type="dxa"/>
        <w:tblInd w:w="0" w:type="dxa"/>
        <w:tblLayout w:type="fixed"/>
        <w:tblCellMar>
          <w:top w:w="0" w:type="dxa"/>
          <w:left w:w="108" w:type="dxa"/>
          <w:bottom w:w="0" w:type="dxa"/>
          <w:right w:w="108" w:type="dxa"/>
        </w:tblCellMar>
      </w:tblPr>
      <w:tblGrid>
        <w:gridCol w:w="1139"/>
        <w:gridCol w:w="2126"/>
        <w:gridCol w:w="5076"/>
      </w:tblGrid>
      <w:tr>
        <w:tblPrEx>
          <w:tblCellMar>
            <w:top w:w="0" w:type="dxa"/>
            <w:left w:w="108" w:type="dxa"/>
            <w:bottom w:w="0" w:type="dxa"/>
            <w:right w:w="108" w:type="dxa"/>
          </w:tblCellMar>
        </w:tblPrEx>
        <w:trPr>
          <w:trHeight w:val="531" w:hRule="atLeast"/>
        </w:trPr>
        <w:tc>
          <w:tcPr>
            <w:tcW w:w="1139" w:type="dxa"/>
            <w:tcBorders>
              <w:top w:val="single" w:color="auto" w:sz="4" w:space="0"/>
              <w:bottom w:val="single" w:color="auto" w:sz="4" w:space="0"/>
            </w:tcBorders>
            <w:vAlign w:val="center"/>
          </w:tcPr>
          <w:p>
            <w:pPr>
              <w:spacing w:before="156" w:beforeLines="50" w:line="360" w:lineRule="auto"/>
              <w:ind w:firstLine="360"/>
              <w:jc w:val="center"/>
              <w:rPr>
                <w:b/>
                <w:bCs/>
                <w:color w:val="auto"/>
                <w:sz w:val="18"/>
                <w:szCs w:val="18"/>
              </w:rPr>
            </w:pPr>
            <w:r>
              <w:rPr>
                <w:b/>
                <w:bCs/>
                <w:color w:val="auto"/>
                <w:sz w:val="18"/>
                <w:szCs w:val="18"/>
              </w:rPr>
              <w:t>标题</w:t>
            </w:r>
          </w:p>
        </w:tc>
        <w:tc>
          <w:tcPr>
            <w:tcW w:w="2126" w:type="dxa"/>
            <w:tcBorders>
              <w:top w:val="single" w:color="auto" w:sz="4" w:space="0"/>
              <w:bottom w:val="single" w:color="auto" w:sz="4" w:space="0"/>
            </w:tcBorders>
            <w:vAlign w:val="center"/>
          </w:tcPr>
          <w:p>
            <w:pPr>
              <w:spacing w:before="156" w:beforeLines="50" w:line="360" w:lineRule="auto"/>
              <w:ind w:firstLine="360"/>
              <w:jc w:val="center"/>
              <w:rPr>
                <w:b/>
                <w:bCs/>
                <w:color w:val="auto"/>
                <w:sz w:val="18"/>
                <w:szCs w:val="18"/>
              </w:rPr>
            </w:pPr>
            <w:r>
              <w:rPr>
                <w:b/>
                <w:bCs/>
                <w:color w:val="auto"/>
                <w:sz w:val="18"/>
                <w:szCs w:val="18"/>
              </w:rPr>
              <w:t>课程内容</w:t>
            </w:r>
          </w:p>
        </w:tc>
        <w:tc>
          <w:tcPr>
            <w:tcW w:w="5076" w:type="dxa"/>
            <w:tcBorders>
              <w:top w:val="single" w:color="auto" w:sz="4" w:space="0"/>
              <w:bottom w:val="single" w:color="auto" w:sz="4" w:space="0"/>
            </w:tcBorders>
            <w:vAlign w:val="center"/>
          </w:tcPr>
          <w:p>
            <w:pPr>
              <w:spacing w:before="156" w:beforeLines="50" w:line="360" w:lineRule="auto"/>
              <w:ind w:firstLine="360"/>
              <w:jc w:val="center"/>
              <w:rPr>
                <w:b/>
                <w:bCs/>
                <w:color w:val="auto"/>
                <w:sz w:val="18"/>
                <w:szCs w:val="18"/>
              </w:rPr>
            </w:pPr>
            <w:r>
              <w:rPr>
                <w:b/>
                <w:bCs/>
                <w:color w:val="auto"/>
                <w:sz w:val="18"/>
                <w:szCs w:val="18"/>
              </w:rPr>
              <w:t>思政内容</w:t>
            </w:r>
          </w:p>
        </w:tc>
      </w:tr>
      <w:tr>
        <w:tblPrEx>
          <w:tblCellMar>
            <w:top w:w="0" w:type="dxa"/>
            <w:left w:w="108" w:type="dxa"/>
            <w:bottom w:w="0" w:type="dxa"/>
            <w:right w:w="108" w:type="dxa"/>
          </w:tblCellMar>
        </w:tblPrEx>
        <w:trPr>
          <w:trHeight w:val="1089" w:hRule="atLeast"/>
        </w:trPr>
        <w:tc>
          <w:tcPr>
            <w:tcW w:w="1139" w:type="dxa"/>
            <w:tcBorders>
              <w:top w:val="single" w:color="auto" w:sz="4" w:space="0"/>
            </w:tcBorders>
            <w:vAlign w:val="center"/>
          </w:tcPr>
          <w:p>
            <w:pPr>
              <w:spacing w:before="156" w:beforeLines="50" w:line="360" w:lineRule="auto"/>
              <w:jc w:val="left"/>
              <w:rPr>
                <w:sz w:val="18"/>
                <w:szCs w:val="18"/>
              </w:rPr>
            </w:pPr>
            <w:r>
              <w:rPr>
                <w:sz w:val="18"/>
                <w:szCs w:val="18"/>
              </w:rPr>
              <w:t xml:space="preserve">绪论 </w:t>
            </w:r>
          </w:p>
        </w:tc>
        <w:tc>
          <w:tcPr>
            <w:tcW w:w="2126" w:type="dxa"/>
            <w:tcBorders>
              <w:top w:val="single" w:color="auto" w:sz="4" w:space="0"/>
            </w:tcBorders>
            <w:vAlign w:val="center"/>
          </w:tcPr>
          <w:p>
            <w:pPr>
              <w:spacing w:before="156" w:beforeLines="50" w:line="360" w:lineRule="auto"/>
              <w:jc w:val="left"/>
              <w:rPr>
                <w:sz w:val="18"/>
                <w:szCs w:val="18"/>
              </w:rPr>
            </w:pPr>
            <w:r>
              <w:rPr>
                <w:sz w:val="18"/>
                <w:szCs w:val="18"/>
              </w:rPr>
              <w:t>无土栽培发展历史及现状</w:t>
            </w:r>
          </w:p>
        </w:tc>
        <w:tc>
          <w:tcPr>
            <w:tcW w:w="5076" w:type="dxa"/>
            <w:tcBorders>
              <w:top w:val="single" w:color="auto" w:sz="4" w:space="0"/>
            </w:tcBorders>
            <w:vAlign w:val="center"/>
          </w:tcPr>
          <w:p>
            <w:pPr>
              <w:spacing w:before="156" w:beforeLines="50" w:line="360" w:lineRule="auto"/>
              <w:ind w:firstLine="360"/>
              <w:jc w:val="left"/>
              <w:rPr>
                <w:sz w:val="18"/>
                <w:szCs w:val="18"/>
              </w:rPr>
            </w:pPr>
            <w:r>
              <w:rPr>
                <w:sz w:val="18"/>
                <w:szCs w:val="18"/>
              </w:rPr>
              <w:t>为学生传输我国现代农业的迅速发展，使他们为日益强大的祖国、逐渐增强的科技力量和劳动人民智慧感到自豪。</w:t>
            </w:r>
          </w:p>
        </w:tc>
      </w:tr>
      <w:tr>
        <w:tblPrEx>
          <w:tblCellMar>
            <w:top w:w="0" w:type="dxa"/>
            <w:left w:w="108" w:type="dxa"/>
            <w:bottom w:w="0" w:type="dxa"/>
            <w:right w:w="108" w:type="dxa"/>
          </w:tblCellMar>
        </w:tblPrEx>
        <w:trPr>
          <w:trHeight w:val="531" w:hRule="atLeast"/>
        </w:trPr>
        <w:tc>
          <w:tcPr>
            <w:tcW w:w="1139" w:type="dxa"/>
            <w:vAlign w:val="center"/>
          </w:tcPr>
          <w:p>
            <w:pPr>
              <w:spacing w:before="156" w:beforeLines="50" w:line="360" w:lineRule="auto"/>
              <w:jc w:val="left"/>
              <w:rPr>
                <w:sz w:val="18"/>
                <w:szCs w:val="18"/>
              </w:rPr>
            </w:pPr>
            <w:r>
              <w:rPr>
                <w:sz w:val="18"/>
                <w:szCs w:val="18"/>
              </w:rPr>
              <w:t>无土栽培的营养液</w:t>
            </w:r>
          </w:p>
        </w:tc>
        <w:tc>
          <w:tcPr>
            <w:tcW w:w="2126" w:type="dxa"/>
            <w:vAlign w:val="center"/>
          </w:tcPr>
          <w:p>
            <w:pPr>
              <w:spacing w:before="156" w:beforeLines="50" w:line="360" w:lineRule="auto"/>
              <w:jc w:val="left"/>
              <w:rPr>
                <w:sz w:val="18"/>
                <w:szCs w:val="18"/>
              </w:rPr>
            </w:pPr>
            <w:r>
              <w:rPr>
                <w:sz w:val="18"/>
                <w:szCs w:val="18"/>
              </w:rPr>
              <w:t>了解营养液的原料及性质、掌握营养液的配制方法及管理技术</w:t>
            </w:r>
          </w:p>
        </w:tc>
        <w:tc>
          <w:tcPr>
            <w:tcW w:w="5076" w:type="dxa"/>
            <w:vAlign w:val="center"/>
          </w:tcPr>
          <w:p>
            <w:pPr>
              <w:spacing w:before="156" w:beforeLines="50" w:line="360" w:lineRule="auto"/>
              <w:ind w:firstLine="360"/>
              <w:jc w:val="left"/>
              <w:rPr>
                <w:sz w:val="18"/>
                <w:szCs w:val="18"/>
              </w:rPr>
            </w:pPr>
            <w:r>
              <w:rPr>
                <w:sz w:val="18"/>
                <w:szCs w:val="18"/>
              </w:rPr>
              <w:t>栽培一棵蔬菜，就像培育一个人一样，需要充足的营养长身体，又需要外界助力进行抗性锻炼，待成才后，将其所有奉献给社会。</w:t>
            </w:r>
          </w:p>
        </w:tc>
      </w:tr>
      <w:tr>
        <w:tblPrEx>
          <w:tblCellMar>
            <w:top w:w="0" w:type="dxa"/>
            <w:left w:w="108" w:type="dxa"/>
            <w:bottom w:w="0" w:type="dxa"/>
            <w:right w:w="108" w:type="dxa"/>
          </w:tblCellMar>
        </w:tblPrEx>
        <w:trPr>
          <w:trHeight w:val="542" w:hRule="atLeast"/>
        </w:trPr>
        <w:tc>
          <w:tcPr>
            <w:tcW w:w="1139" w:type="dxa"/>
            <w:vAlign w:val="center"/>
          </w:tcPr>
          <w:p>
            <w:pPr>
              <w:spacing w:before="156" w:beforeLines="50" w:line="360" w:lineRule="auto"/>
              <w:jc w:val="left"/>
              <w:rPr>
                <w:sz w:val="18"/>
                <w:szCs w:val="18"/>
              </w:rPr>
            </w:pPr>
            <w:r>
              <w:rPr>
                <w:sz w:val="18"/>
                <w:szCs w:val="18"/>
              </w:rPr>
              <w:t>无土栽培的固体基质</w:t>
            </w:r>
          </w:p>
        </w:tc>
        <w:tc>
          <w:tcPr>
            <w:tcW w:w="2126" w:type="dxa"/>
            <w:vAlign w:val="center"/>
          </w:tcPr>
          <w:p>
            <w:pPr>
              <w:spacing w:before="156" w:beforeLines="50" w:line="360" w:lineRule="auto"/>
              <w:jc w:val="left"/>
              <w:rPr>
                <w:sz w:val="18"/>
                <w:szCs w:val="18"/>
              </w:rPr>
            </w:pPr>
            <w:r>
              <w:rPr>
                <w:sz w:val="18"/>
                <w:szCs w:val="18"/>
              </w:rPr>
              <w:t>了解基质的种类及特点、基质的配制原则及方法</w:t>
            </w:r>
          </w:p>
        </w:tc>
        <w:tc>
          <w:tcPr>
            <w:tcW w:w="5076" w:type="dxa"/>
            <w:vAlign w:val="center"/>
          </w:tcPr>
          <w:p>
            <w:pPr>
              <w:spacing w:before="156" w:beforeLines="50" w:line="360" w:lineRule="auto"/>
              <w:ind w:firstLine="360"/>
              <w:jc w:val="left"/>
              <w:rPr>
                <w:sz w:val="18"/>
                <w:szCs w:val="18"/>
              </w:rPr>
            </w:pPr>
            <w:r>
              <w:rPr>
                <w:sz w:val="18"/>
                <w:szCs w:val="18"/>
              </w:rPr>
              <w:t>每一个人就像固体基质一样都有其独特的特点，只要我们善于发现并合理利用，就会成为发光的金子。</w:t>
            </w:r>
          </w:p>
        </w:tc>
      </w:tr>
      <w:tr>
        <w:tblPrEx>
          <w:tblCellMar>
            <w:top w:w="0" w:type="dxa"/>
            <w:left w:w="108" w:type="dxa"/>
            <w:bottom w:w="0" w:type="dxa"/>
            <w:right w:w="108" w:type="dxa"/>
          </w:tblCellMar>
        </w:tblPrEx>
        <w:trPr>
          <w:trHeight w:val="531" w:hRule="atLeast"/>
        </w:trPr>
        <w:tc>
          <w:tcPr>
            <w:tcW w:w="1139" w:type="dxa"/>
            <w:vAlign w:val="center"/>
          </w:tcPr>
          <w:p>
            <w:pPr>
              <w:spacing w:before="156" w:beforeLines="50" w:line="360" w:lineRule="auto"/>
              <w:jc w:val="left"/>
              <w:rPr>
                <w:sz w:val="18"/>
                <w:szCs w:val="18"/>
              </w:rPr>
            </w:pPr>
            <w:r>
              <w:rPr>
                <w:sz w:val="18"/>
                <w:szCs w:val="18"/>
              </w:rPr>
              <w:t>水培和雾培的生产设施与管理</w:t>
            </w:r>
          </w:p>
        </w:tc>
        <w:tc>
          <w:tcPr>
            <w:tcW w:w="2126" w:type="dxa"/>
            <w:vAlign w:val="center"/>
          </w:tcPr>
          <w:p>
            <w:pPr>
              <w:spacing w:before="156" w:beforeLines="50" w:line="360" w:lineRule="auto"/>
              <w:jc w:val="left"/>
              <w:rPr>
                <w:sz w:val="18"/>
                <w:szCs w:val="18"/>
              </w:rPr>
            </w:pPr>
            <w:r>
              <w:rPr>
                <w:sz w:val="18"/>
                <w:szCs w:val="18"/>
              </w:rPr>
              <w:t>掌握水培、雾培的主要类型、特征及结构，了解栽培管理技术要点</w:t>
            </w:r>
          </w:p>
        </w:tc>
        <w:tc>
          <w:tcPr>
            <w:tcW w:w="5076" w:type="dxa"/>
            <w:vAlign w:val="center"/>
          </w:tcPr>
          <w:p>
            <w:pPr>
              <w:spacing w:before="156" w:beforeLines="50" w:line="360" w:lineRule="auto"/>
              <w:ind w:firstLine="360"/>
              <w:jc w:val="left"/>
              <w:rPr>
                <w:sz w:val="18"/>
                <w:szCs w:val="18"/>
              </w:rPr>
            </w:pPr>
            <w:r>
              <w:rPr>
                <w:sz w:val="18"/>
                <w:szCs w:val="18"/>
              </w:rPr>
              <w:t>在没有土壤的地方也可以栽培。面对任何困难，只要努力创造条件，都会找到解决的方法，而且可能会取得更好的效果。</w:t>
            </w:r>
          </w:p>
        </w:tc>
      </w:tr>
      <w:tr>
        <w:tblPrEx>
          <w:tblCellMar>
            <w:top w:w="0" w:type="dxa"/>
            <w:left w:w="108" w:type="dxa"/>
            <w:bottom w:w="0" w:type="dxa"/>
            <w:right w:w="108" w:type="dxa"/>
          </w:tblCellMar>
        </w:tblPrEx>
        <w:trPr>
          <w:trHeight w:val="860" w:hRule="atLeast"/>
        </w:trPr>
        <w:tc>
          <w:tcPr>
            <w:tcW w:w="1139" w:type="dxa"/>
            <w:vAlign w:val="center"/>
          </w:tcPr>
          <w:p>
            <w:pPr>
              <w:spacing w:before="156" w:beforeLines="50" w:line="360" w:lineRule="auto"/>
              <w:jc w:val="left"/>
              <w:rPr>
                <w:sz w:val="18"/>
                <w:szCs w:val="18"/>
              </w:rPr>
            </w:pPr>
            <w:r>
              <w:rPr>
                <w:sz w:val="18"/>
                <w:szCs w:val="18"/>
              </w:rPr>
              <w:t>基质培生产设施与管理</w:t>
            </w:r>
          </w:p>
        </w:tc>
        <w:tc>
          <w:tcPr>
            <w:tcW w:w="2126" w:type="dxa"/>
            <w:vAlign w:val="center"/>
          </w:tcPr>
          <w:p>
            <w:pPr>
              <w:spacing w:before="156" w:beforeLines="50" w:line="360" w:lineRule="auto"/>
              <w:jc w:val="left"/>
              <w:rPr>
                <w:sz w:val="18"/>
                <w:szCs w:val="18"/>
              </w:rPr>
            </w:pPr>
            <w:r>
              <w:rPr>
                <w:sz w:val="18"/>
                <w:szCs w:val="18"/>
              </w:rPr>
              <w:t>掌握基质培的主要类型、特征及结构，了解栽培管理技术要点</w:t>
            </w:r>
          </w:p>
        </w:tc>
        <w:tc>
          <w:tcPr>
            <w:tcW w:w="5076" w:type="dxa"/>
            <w:vAlign w:val="center"/>
          </w:tcPr>
          <w:p>
            <w:pPr>
              <w:spacing w:before="156" w:beforeLines="50" w:line="360" w:lineRule="auto"/>
              <w:ind w:firstLine="360"/>
              <w:jc w:val="left"/>
              <w:rPr>
                <w:sz w:val="18"/>
                <w:szCs w:val="18"/>
              </w:rPr>
            </w:pPr>
            <w:r>
              <w:rPr>
                <w:sz w:val="18"/>
                <w:szCs w:val="18"/>
              </w:rPr>
              <w:t>本着节约与废弃物再利用的原则，积极响应国家政策，发展绿色农业，减少浪费减少污染，坚持可持续发展。</w:t>
            </w:r>
          </w:p>
        </w:tc>
      </w:tr>
      <w:tr>
        <w:tblPrEx>
          <w:tblCellMar>
            <w:top w:w="0" w:type="dxa"/>
            <w:left w:w="108" w:type="dxa"/>
            <w:bottom w:w="0" w:type="dxa"/>
            <w:right w:w="108" w:type="dxa"/>
          </w:tblCellMar>
        </w:tblPrEx>
        <w:trPr>
          <w:trHeight w:val="531" w:hRule="atLeast"/>
        </w:trPr>
        <w:tc>
          <w:tcPr>
            <w:tcW w:w="1139" w:type="dxa"/>
            <w:vAlign w:val="center"/>
          </w:tcPr>
          <w:p>
            <w:pPr>
              <w:spacing w:before="156" w:beforeLines="50" w:line="360" w:lineRule="auto"/>
              <w:jc w:val="left"/>
              <w:rPr>
                <w:sz w:val="18"/>
                <w:szCs w:val="18"/>
              </w:rPr>
            </w:pPr>
            <w:r>
              <w:rPr>
                <w:sz w:val="18"/>
                <w:szCs w:val="18"/>
              </w:rPr>
              <w:t>蔬菜无土栽培</w:t>
            </w:r>
          </w:p>
        </w:tc>
        <w:tc>
          <w:tcPr>
            <w:tcW w:w="2126" w:type="dxa"/>
            <w:vAlign w:val="center"/>
          </w:tcPr>
          <w:p>
            <w:pPr>
              <w:spacing w:before="156" w:beforeLines="50" w:line="360" w:lineRule="auto"/>
              <w:jc w:val="left"/>
              <w:rPr>
                <w:sz w:val="18"/>
                <w:szCs w:val="18"/>
              </w:rPr>
            </w:pPr>
            <w:r>
              <w:rPr>
                <w:sz w:val="18"/>
                <w:szCs w:val="18"/>
              </w:rPr>
              <w:t>掌握黄瓜、番茄、生菜无土栽培方式及关键技术</w:t>
            </w:r>
          </w:p>
        </w:tc>
        <w:tc>
          <w:tcPr>
            <w:tcW w:w="5076" w:type="dxa"/>
            <w:vAlign w:val="center"/>
          </w:tcPr>
          <w:p>
            <w:pPr>
              <w:spacing w:before="156" w:beforeLines="50" w:line="360" w:lineRule="auto"/>
              <w:ind w:firstLine="360"/>
              <w:jc w:val="left"/>
              <w:rPr>
                <w:sz w:val="18"/>
                <w:szCs w:val="18"/>
              </w:rPr>
            </w:pPr>
            <w:r>
              <w:rPr>
                <w:sz w:val="18"/>
                <w:szCs w:val="18"/>
              </w:rPr>
              <w:t>树立正确的人生观、价值观，只要你有技术有能力，在不同的阶段都要做好充分的准备，为长成大树积累力量。</w:t>
            </w:r>
          </w:p>
        </w:tc>
      </w:tr>
      <w:tr>
        <w:tblPrEx>
          <w:tblCellMar>
            <w:top w:w="0" w:type="dxa"/>
            <w:left w:w="108" w:type="dxa"/>
            <w:bottom w:w="0" w:type="dxa"/>
            <w:right w:w="108" w:type="dxa"/>
          </w:tblCellMar>
        </w:tblPrEx>
        <w:trPr>
          <w:trHeight w:val="1174" w:hRule="atLeast"/>
        </w:trPr>
        <w:tc>
          <w:tcPr>
            <w:tcW w:w="1139" w:type="dxa"/>
            <w:tcBorders>
              <w:bottom w:val="single" w:color="auto" w:sz="4" w:space="0"/>
            </w:tcBorders>
            <w:vAlign w:val="center"/>
          </w:tcPr>
          <w:p>
            <w:pPr>
              <w:spacing w:before="156" w:beforeLines="50" w:line="360" w:lineRule="auto"/>
              <w:jc w:val="left"/>
              <w:rPr>
                <w:sz w:val="18"/>
                <w:szCs w:val="18"/>
              </w:rPr>
            </w:pPr>
            <w:r>
              <w:rPr>
                <w:sz w:val="18"/>
                <w:szCs w:val="18"/>
              </w:rPr>
              <w:t>无土栽培的拓展应用</w:t>
            </w:r>
          </w:p>
        </w:tc>
        <w:tc>
          <w:tcPr>
            <w:tcW w:w="2126" w:type="dxa"/>
            <w:tcBorders>
              <w:bottom w:val="single" w:color="auto" w:sz="4" w:space="0"/>
            </w:tcBorders>
            <w:vAlign w:val="center"/>
          </w:tcPr>
          <w:p>
            <w:pPr>
              <w:spacing w:before="156" w:beforeLines="50" w:line="360" w:lineRule="auto"/>
              <w:jc w:val="left"/>
              <w:rPr>
                <w:sz w:val="18"/>
                <w:szCs w:val="18"/>
              </w:rPr>
            </w:pPr>
            <w:r>
              <w:rPr>
                <w:sz w:val="18"/>
                <w:szCs w:val="18"/>
              </w:rPr>
              <w:t>掌握家庭型、观光型、树式无土栽培关键技术</w:t>
            </w:r>
          </w:p>
        </w:tc>
        <w:tc>
          <w:tcPr>
            <w:tcW w:w="5076" w:type="dxa"/>
            <w:tcBorders>
              <w:bottom w:val="single" w:color="auto" w:sz="4" w:space="0"/>
            </w:tcBorders>
            <w:vAlign w:val="center"/>
          </w:tcPr>
          <w:p>
            <w:pPr>
              <w:spacing w:before="156" w:beforeLines="50" w:line="360" w:lineRule="auto"/>
              <w:ind w:firstLine="360"/>
              <w:jc w:val="left"/>
              <w:rPr>
                <w:sz w:val="18"/>
                <w:szCs w:val="18"/>
              </w:rPr>
            </w:pPr>
            <w:r>
              <w:rPr>
                <w:sz w:val="18"/>
                <w:szCs w:val="18"/>
              </w:rPr>
              <w:t>感受现代农业的美妙，感受丰收的喜悦，为发展高产高效的农业奉献力量，为提高 人民生活水平出谋划策。</w:t>
            </w:r>
          </w:p>
        </w:tc>
      </w:tr>
    </w:tbl>
    <w:p>
      <w:pPr>
        <w:widowControl/>
        <w:snapToGrid w:val="0"/>
        <w:spacing w:line="360" w:lineRule="auto"/>
        <w:jc w:val="left"/>
        <w:rPr>
          <w:rFonts w:ascii="宋体" w:hAnsi="宋体"/>
          <w:bCs/>
          <w:color w:val="0000FF"/>
          <w:szCs w:val="21"/>
        </w:rPr>
      </w:pPr>
    </w:p>
    <w:p>
      <w:pPr>
        <w:widowControl/>
        <w:snapToGrid w:val="0"/>
        <w:spacing w:line="360" w:lineRule="auto"/>
        <w:jc w:val="left"/>
        <w:rPr>
          <w:kern w:val="0"/>
          <w:szCs w:val="21"/>
        </w:rPr>
      </w:pPr>
      <w:r>
        <w:rPr>
          <w:rFonts w:hint="eastAsia" w:hAnsi="宋体"/>
          <w:b/>
          <w:bCs/>
          <w:kern w:val="0"/>
          <w:szCs w:val="21"/>
        </w:rPr>
        <w:t>七</w:t>
      </w:r>
      <w:r>
        <w:rPr>
          <w:rFonts w:hAnsi="宋体"/>
          <w:b/>
          <w:bCs/>
          <w:kern w:val="0"/>
          <w:szCs w:val="21"/>
        </w:rPr>
        <w:t>、教材</w:t>
      </w:r>
      <w:r>
        <w:rPr>
          <w:rFonts w:hint="eastAsia" w:hAnsi="宋体"/>
          <w:b/>
          <w:bCs/>
          <w:kern w:val="0"/>
          <w:szCs w:val="21"/>
        </w:rPr>
        <w:t>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pPr>
      <w:r>
        <w:rPr>
          <w:bCs/>
          <w:kern w:val="0"/>
          <w:szCs w:val="21"/>
        </w:rPr>
        <w:t>（1）理论课教材：</w:t>
      </w:r>
      <w:r>
        <w:t>《无土栽培学》，高丽红、别之龙主编，中国农业大学出版社，2017年</w:t>
      </w:r>
    </w:p>
    <w:p>
      <w:pPr>
        <w:widowControl/>
        <w:snapToGrid w:val="0"/>
        <w:spacing w:line="360" w:lineRule="auto"/>
        <w:ind w:firstLine="420" w:firstLineChars="200"/>
        <w:jc w:val="left"/>
      </w:pPr>
      <w:r>
        <w:t>（2）实验课教材：《无土栽培学》，高丽红、别之龙主编，中国农业大学出版社，2017年</w:t>
      </w:r>
    </w:p>
    <w:p>
      <w:pPr>
        <w:widowControl/>
        <w:snapToGrid w:val="0"/>
        <w:spacing w:line="360" w:lineRule="auto"/>
        <w:ind w:firstLine="420" w:firstLineChars="200"/>
        <w:jc w:val="left"/>
        <w:rPr>
          <w:bCs/>
          <w:color w:val="0000FF"/>
          <w:kern w:val="0"/>
          <w:szCs w:val="21"/>
        </w:rPr>
      </w:pPr>
      <w:r>
        <w:t>（3）实习指导书：</w:t>
      </w:r>
      <w:r>
        <w:rPr>
          <w:bCs/>
          <w:color w:val="000000" w:themeColor="text1"/>
          <w:kern w:val="0"/>
          <w:szCs w:val="21"/>
          <w14:textFill>
            <w14:solidFill>
              <w14:schemeClr w14:val="tx1"/>
            </w14:solidFill>
          </w14:textFill>
        </w:rPr>
        <w:t>无</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napToGrid w:val="0"/>
        <w:spacing w:line="276" w:lineRule="auto"/>
        <w:ind w:firstLine="420" w:firstLineChars="200"/>
      </w:pPr>
      <w:r>
        <w:rPr>
          <w:bCs/>
          <w:kern w:val="0"/>
          <w:szCs w:val="21"/>
        </w:rPr>
        <w:t>（1）</w:t>
      </w:r>
      <w:r>
        <w:t>《无土栽培学》</w:t>
      </w:r>
      <w:r>
        <w:rPr>
          <w:rFonts w:hint="eastAsia"/>
        </w:rPr>
        <w:t>（</w:t>
      </w:r>
      <w:r>
        <w:t>第二版），郭世荣，中国农业出版社，2011</w:t>
      </w:r>
    </w:p>
    <w:p>
      <w:pPr>
        <w:spacing w:line="276" w:lineRule="auto"/>
        <w:ind w:firstLine="420" w:firstLineChars="200"/>
      </w:pPr>
      <w:r>
        <w:rPr>
          <w:bCs/>
          <w:kern w:val="0"/>
          <w:szCs w:val="21"/>
        </w:rPr>
        <w:t>（2）</w:t>
      </w:r>
      <w:r>
        <w:t>《无土栽培学》</w:t>
      </w:r>
      <w:r>
        <w:rPr>
          <w:rFonts w:hint="eastAsia"/>
        </w:rPr>
        <w:t>（</w:t>
      </w:r>
      <w:r>
        <w:t xml:space="preserve">第三版），郭世荣，中国农业出版社，2018 </w:t>
      </w:r>
    </w:p>
    <w:p>
      <w:pPr>
        <w:widowControl/>
        <w:snapToGrid w:val="0"/>
        <w:spacing w:line="360" w:lineRule="auto"/>
        <w:ind w:firstLine="422" w:firstLineChars="200"/>
        <w:jc w:val="left"/>
        <w:rPr>
          <w:b/>
          <w:kern w:val="0"/>
          <w:szCs w:val="21"/>
        </w:rPr>
      </w:pPr>
      <w:r>
        <w:rPr>
          <w:rFonts w:hint="eastAsia"/>
          <w:b/>
          <w:kern w:val="0"/>
          <w:szCs w:val="21"/>
        </w:rPr>
        <w:t>3.推荐网站：</w:t>
      </w:r>
    </w:p>
    <w:p>
      <w:pPr>
        <w:snapToGrid w:val="0"/>
        <w:spacing w:line="360" w:lineRule="auto"/>
        <w:ind w:firstLine="420" w:firstLineChars="200"/>
        <w:rPr>
          <w:szCs w:val="21"/>
        </w:rPr>
      </w:pPr>
      <w:r>
        <w:rPr>
          <w:rFonts w:hAnsiTheme="minorEastAsia"/>
          <w:szCs w:val="21"/>
        </w:rPr>
        <w:t>（</w:t>
      </w:r>
      <w:r>
        <w:rPr>
          <w:szCs w:val="21"/>
        </w:rPr>
        <w:t>1</w:t>
      </w:r>
      <w:r>
        <w:rPr>
          <w:rFonts w:hAnsiTheme="minorEastAsia"/>
          <w:szCs w:val="21"/>
        </w:rPr>
        <w:t>）</w:t>
      </w:r>
      <w:r>
        <w:rPr>
          <w:rFonts w:hint="eastAsia" w:hAnsiTheme="minorEastAsia"/>
          <w:szCs w:val="21"/>
        </w:rPr>
        <w:t>中国设施农业信息网</w:t>
      </w:r>
      <w:r>
        <w:rPr>
          <w:rFonts w:hAnsiTheme="minorEastAsia"/>
          <w:szCs w:val="21"/>
        </w:rPr>
        <w:t>，http://www.camafa.net/</w:t>
      </w:r>
    </w:p>
    <w:p>
      <w:pPr>
        <w:widowControl/>
        <w:snapToGrid w:val="0"/>
        <w:spacing w:line="360" w:lineRule="auto"/>
        <w:ind w:firstLine="420" w:firstLineChars="200"/>
        <w:jc w:val="left"/>
        <w:rPr>
          <w:kern w:val="0"/>
        </w:rPr>
      </w:pPr>
      <w:r>
        <w:rPr>
          <w:rFonts w:hAnsiTheme="minorEastAsia"/>
          <w:szCs w:val="21"/>
        </w:rPr>
        <w:t>（</w:t>
      </w:r>
      <w:r>
        <w:rPr>
          <w:szCs w:val="21"/>
        </w:rPr>
        <w:t>2</w:t>
      </w:r>
      <w:r>
        <w:rPr>
          <w:rFonts w:hAnsiTheme="minorEastAsia"/>
          <w:szCs w:val="21"/>
        </w:rPr>
        <w:t>）</w:t>
      </w:r>
      <w:r>
        <w:rPr>
          <w:rFonts w:hint="eastAsia" w:hAnsiTheme="minorEastAsia"/>
          <w:szCs w:val="21"/>
        </w:rPr>
        <w:t>中国设施园艺信息网</w:t>
      </w:r>
      <w:r>
        <w:rPr>
          <w:rFonts w:hAnsiTheme="minorEastAsia"/>
          <w:szCs w:val="21"/>
        </w:rPr>
        <w:t>，http://www.sheshiyuanyi.com/</w:t>
      </w:r>
    </w:p>
    <w:p>
      <w:pPr>
        <w:snapToGrid w:val="0"/>
        <w:spacing w:line="360" w:lineRule="auto"/>
        <w:ind w:firstLine="420" w:firstLineChars="200"/>
      </w:pPr>
      <w:r>
        <w:rPr>
          <w:rFonts w:hint="eastAsia"/>
        </w:rPr>
        <w:t>（3）中国无土栽培技术网，</w:t>
      </w:r>
      <w:r>
        <w:t>http://www.china-sct.com/</w:t>
      </w:r>
    </w:p>
    <w:p>
      <w:pPr>
        <w:snapToGrid w:val="0"/>
        <w:spacing w:line="360" w:lineRule="auto"/>
        <w:ind w:firstLine="420" w:firstLineChars="200"/>
      </w:pPr>
      <w:r>
        <w:rPr>
          <w:rFonts w:hint="eastAsia"/>
        </w:rPr>
        <w:t>（4）中国</w:t>
      </w:r>
      <w:r>
        <w:t>大学</w:t>
      </w:r>
      <w:r>
        <w:rPr>
          <w:rFonts w:hint="eastAsia"/>
        </w:rPr>
        <w:t>MOOC，</w:t>
      </w:r>
      <w:r>
        <w:t>https://www.icourse163.org/</w:t>
      </w:r>
    </w:p>
    <w:p>
      <w:pPr>
        <w:widowControl/>
        <w:snapToGrid w:val="0"/>
        <w:spacing w:line="360" w:lineRule="auto"/>
        <w:jc w:val="left"/>
        <w:rPr>
          <w:rFonts w:hAnsi="宋体"/>
          <w:b/>
          <w:bCs/>
          <w:kern w:val="0"/>
          <w:szCs w:val="21"/>
        </w:rPr>
      </w:pPr>
      <w:r>
        <w:rPr>
          <w:rFonts w:hint="eastAsia" w:hAnsi="宋体"/>
          <w:b/>
          <w:bCs/>
          <w:kern w:val="0"/>
          <w:szCs w:val="21"/>
        </w:rPr>
        <w:t>八</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color w:val="0000FF"/>
          <w:szCs w:val="21"/>
        </w:rPr>
      </w:pPr>
      <w:r>
        <w:rPr>
          <w:rFonts w:hint="eastAsia" w:ascii="宋体" w:hAnsi="宋体"/>
          <w:color w:val="000000" w:themeColor="text1"/>
          <w:szCs w:val="21"/>
          <w14:textFill>
            <w14:solidFill>
              <w14:schemeClr w14:val="tx1"/>
            </w14:solidFill>
          </w14:textFill>
        </w:rPr>
        <w:t>理论课</w:t>
      </w:r>
      <w:r>
        <w:rPr>
          <w:rFonts w:ascii="宋体" w:hAnsi="宋体"/>
          <w:color w:val="000000" w:themeColor="text1"/>
          <w:szCs w:val="21"/>
          <w14:textFill>
            <w14:solidFill>
              <w14:schemeClr w14:val="tx1"/>
            </w14:solidFill>
          </w14:textFill>
        </w:rPr>
        <w:t>学习需要多媒体</w:t>
      </w:r>
      <w:r>
        <w:rPr>
          <w:rFonts w:hint="eastAsia" w:ascii="宋体" w:hAnsi="宋体"/>
          <w:color w:val="000000" w:themeColor="text1"/>
          <w:szCs w:val="21"/>
          <w14:textFill>
            <w14:solidFill>
              <w14:schemeClr w14:val="tx1"/>
            </w14:solidFill>
          </w14:textFill>
        </w:rPr>
        <w:t>教室，室内</w:t>
      </w:r>
      <w:r>
        <w:rPr>
          <w:rFonts w:ascii="宋体" w:hAnsi="宋体"/>
          <w:color w:val="000000" w:themeColor="text1"/>
          <w:szCs w:val="21"/>
          <w14:textFill>
            <w14:solidFill>
              <w14:schemeClr w14:val="tx1"/>
            </w14:solidFill>
          </w14:textFill>
        </w:rPr>
        <w:t>实验课需</w:t>
      </w:r>
      <w:r>
        <w:rPr>
          <w:rFonts w:hint="eastAsia" w:ascii="宋体" w:hAnsi="宋体"/>
          <w:color w:val="000000" w:themeColor="text1"/>
          <w:szCs w:val="21"/>
          <w14:textFill>
            <w14:solidFill>
              <w14:schemeClr w14:val="tx1"/>
            </w14:solidFill>
          </w14:textFill>
        </w:rPr>
        <w:t>在</w:t>
      </w:r>
      <w:r>
        <w:rPr>
          <w:rFonts w:ascii="宋体" w:hAnsi="宋体"/>
          <w:color w:val="000000" w:themeColor="text1"/>
          <w:szCs w:val="21"/>
          <w14:textFill>
            <w14:solidFill>
              <w14:schemeClr w14:val="tx1"/>
            </w14:solidFill>
          </w14:textFill>
        </w:rPr>
        <w:t>生化实验室</w:t>
      </w:r>
      <w:r>
        <w:rPr>
          <w:rFonts w:hint="eastAsia" w:ascii="宋体" w:hAnsi="宋体"/>
          <w:color w:val="000000" w:themeColor="text1"/>
          <w:szCs w:val="21"/>
          <w14:textFill>
            <w14:solidFill>
              <w14:schemeClr w14:val="tx1"/>
            </w14:solidFill>
          </w14:textFill>
        </w:rPr>
        <w:t>进行</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配备</w:t>
      </w:r>
      <w:r>
        <w:rPr>
          <w:rFonts w:ascii="宋体" w:hAnsi="宋体"/>
          <w:color w:val="000000" w:themeColor="text1"/>
          <w:szCs w:val="21"/>
          <w14:textFill>
            <w14:solidFill>
              <w14:schemeClr w14:val="tx1"/>
            </w14:solidFill>
          </w14:textFill>
        </w:rPr>
        <w:t>基础实验试剂</w:t>
      </w:r>
      <w:r>
        <w:rPr>
          <w:rFonts w:hint="eastAsia" w:ascii="宋体"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电导率仪、</w:t>
      </w:r>
      <w:r>
        <w:rPr>
          <w:rFonts w:hint="eastAsia" w:ascii="宋体" w:hAnsi="宋体"/>
          <w:color w:val="000000" w:themeColor="text1"/>
          <w:szCs w:val="21"/>
          <w14:textFill>
            <w14:solidFill>
              <w14:schemeClr w14:val="tx1"/>
            </w14:solidFill>
          </w14:textFill>
        </w:rPr>
        <w:t>pH计</w:t>
      </w:r>
      <w:r>
        <w:rPr>
          <w:rFonts w:ascii="宋体" w:hAnsi="宋体"/>
          <w:color w:val="000000" w:themeColor="text1"/>
          <w:szCs w:val="21"/>
          <w14:textFill>
            <w14:solidFill>
              <w14:schemeClr w14:val="tx1"/>
            </w14:solidFill>
          </w14:textFill>
        </w:rPr>
        <w:t>、溶氧仪等测量仪器</w:t>
      </w:r>
      <w:r>
        <w:rPr>
          <w:rFonts w:hint="eastAsia" w:ascii="宋体" w:hAnsi="宋体"/>
          <w:color w:val="000000" w:themeColor="text1"/>
          <w:szCs w:val="21"/>
          <w14:textFill>
            <w14:solidFill>
              <w14:schemeClr w14:val="tx1"/>
            </w14:solidFill>
          </w14:textFill>
        </w:rPr>
        <w:t>，除</w:t>
      </w:r>
      <w:r>
        <w:rPr>
          <w:rFonts w:ascii="宋体" w:hAnsi="宋体"/>
          <w:color w:val="000000" w:themeColor="text1"/>
          <w:szCs w:val="21"/>
          <w14:textFill>
            <w14:solidFill>
              <w14:schemeClr w14:val="tx1"/>
            </w14:solidFill>
          </w14:textFill>
        </w:rPr>
        <w:t>主讲老师外需实验员</w:t>
      </w:r>
      <w:r>
        <w:rPr>
          <w:rFonts w:hint="eastAsia" w:ascii="宋体" w:hAnsi="宋体"/>
          <w:color w:val="000000" w:themeColor="text1"/>
          <w:szCs w:val="21"/>
          <w14:textFill>
            <w14:solidFill>
              <w14:schemeClr w14:val="tx1"/>
            </w14:solidFill>
          </w14:textFill>
        </w:rPr>
        <w:t>1名</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室外</w:t>
      </w:r>
      <w:r>
        <w:rPr>
          <w:rFonts w:ascii="宋体" w:hAnsi="宋体"/>
          <w:color w:val="000000" w:themeColor="text1"/>
          <w:szCs w:val="21"/>
          <w14:textFill>
            <w14:solidFill>
              <w14:schemeClr w14:val="tx1"/>
            </w14:solidFill>
          </w14:textFill>
        </w:rPr>
        <w:t>实验课需在日光温室或大棚进行，并配备简易水培装置、育苗</w:t>
      </w:r>
      <w:r>
        <w:rPr>
          <w:rFonts w:hint="eastAsia" w:ascii="宋体" w:hAnsi="宋体"/>
          <w:color w:val="000000" w:themeColor="text1"/>
          <w:szCs w:val="21"/>
          <w14:textFill>
            <w14:solidFill>
              <w14:schemeClr w14:val="tx1"/>
            </w14:solidFill>
          </w14:textFill>
        </w:rPr>
        <w:t>装置</w:t>
      </w:r>
      <w:r>
        <w:rPr>
          <w:rFonts w:ascii="宋体" w:hAnsi="宋体"/>
          <w:color w:val="000000" w:themeColor="text1"/>
          <w:szCs w:val="21"/>
          <w14:textFill>
            <w14:solidFill>
              <w14:schemeClr w14:val="tx1"/>
            </w14:solidFill>
          </w14:textFill>
        </w:rPr>
        <w:t>。</w:t>
      </w:r>
      <w:r>
        <w:rPr>
          <w:rFonts w:hint="eastAsia" w:ascii="宋体" w:hAnsi="宋体"/>
          <w:color w:val="0000FF"/>
          <w:szCs w:val="21"/>
        </w:rPr>
        <w:t></w:t>
      </w:r>
    </w:p>
    <w:p>
      <w:pPr>
        <w:widowControl/>
        <w:snapToGrid w:val="0"/>
        <w:spacing w:line="360" w:lineRule="auto"/>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九</w:t>
      </w:r>
      <w:r>
        <w:rPr>
          <w:b/>
          <w:bCs/>
          <w:color w:val="000000" w:themeColor="text1"/>
          <w:kern w:val="0"/>
          <w:szCs w:val="21"/>
          <w14:textFill>
            <w14:solidFill>
              <w14:schemeClr w14:val="tx1"/>
            </w14:solidFill>
          </w14:textFill>
        </w:rPr>
        <w:t>、教学考核评价</w:t>
      </w:r>
    </w:p>
    <w:p>
      <w:pPr>
        <w:widowControl/>
        <w:snapToGrid w:val="0"/>
        <w:spacing w:line="360" w:lineRule="auto"/>
        <w:ind w:firstLine="420"/>
        <w:jc w:val="left"/>
        <w:rPr>
          <w:rFonts w:ascii="宋体" w:hAnsi="宋体"/>
          <w:color w:val="0000FF"/>
        </w:rPr>
      </w:pPr>
      <w:r>
        <w:rPr>
          <w:rFonts w:hint="eastAsia" w:hAnsi="宋体"/>
          <w:b/>
          <w:bCs/>
          <w:kern w:val="0"/>
          <w:szCs w:val="21"/>
        </w:rPr>
        <w:t>1.过程性评价：</w:t>
      </w:r>
      <w:r>
        <w:rPr>
          <w:rFonts w:hint="eastAsia" w:hAnsi="宋体"/>
          <w:bCs/>
          <w:kern w:val="0"/>
          <w:szCs w:val="21"/>
        </w:rPr>
        <w:t>线上</w:t>
      </w:r>
      <w:r>
        <w:rPr>
          <w:rFonts w:hAnsi="宋体"/>
          <w:bCs/>
          <w:kern w:val="0"/>
          <w:szCs w:val="21"/>
        </w:rPr>
        <w:t>学习、课后作业、期中测试</w:t>
      </w:r>
      <w:r>
        <w:rPr>
          <w:rFonts w:hint="eastAsia" w:hAnsi="宋体"/>
          <w:bCs/>
          <w:kern w:val="0"/>
          <w:szCs w:val="21"/>
        </w:rPr>
        <w:t>、</w:t>
      </w:r>
      <w:r>
        <w:rPr>
          <w:rFonts w:hAnsi="宋体"/>
          <w:bCs/>
          <w:kern w:val="0"/>
          <w:szCs w:val="21"/>
        </w:rPr>
        <w:t>实验报告、考勤等</w:t>
      </w:r>
      <w:r>
        <w:rPr>
          <w:rFonts w:hint="eastAsia" w:hAnsi="宋体"/>
          <w:bCs/>
          <w:kern w:val="0"/>
          <w:szCs w:val="21"/>
        </w:rPr>
        <w:t>，</w:t>
      </w:r>
      <w:r>
        <w:rPr>
          <w:rFonts w:hAnsi="宋体"/>
          <w:bCs/>
          <w:kern w:val="0"/>
          <w:szCs w:val="21"/>
        </w:rPr>
        <w:t>占</w:t>
      </w:r>
      <w:r>
        <w:rPr>
          <w:rFonts w:hint="eastAsia" w:hAnsi="宋体"/>
          <w:bCs/>
          <w:kern w:val="0"/>
          <w:szCs w:val="21"/>
        </w:rPr>
        <w:t>40</w:t>
      </w:r>
      <w:r>
        <w:rPr>
          <w:rFonts w:hAnsi="宋体"/>
          <w:bCs/>
          <w:kern w:val="0"/>
          <w:szCs w:val="21"/>
        </w:rPr>
        <w:t>%。</w:t>
      </w:r>
    </w:p>
    <w:p>
      <w:pPr>
        <w:widowControl/>
        <w:snapToGrid w:val="0"/>
        <w:spacing w:line="360" w:lineRule="auto"/>
        <w:ind w:firstLine="420"/>
        <w:jc w:val="left"/>
        <w:rPr>
          <w:rFonts w:ascii="宋体" w:hAnsi="宋体"/>
          <w:color w:val="0000FF"/>
        </w:rPr>
      </w:pPr>
      <w:r>
        <w:rPr>
          <w:rFonts w:hint="eastAsia" w:hAnsi="宋体"/>
          <w:b/>
          <w:bCs/>
          <w:kern w:val="0"/>
          <w:szCs w:val="21"/>
        </w:rPr>
        <w:t>2.终结性评价：</w:t>
      </w:r>
      <w:r>
        <w:rPr>
          <w:rFonts w:hint="eastAsia"/>
          <w:color w:val="000000" w:themeColor="text1"/>
          <w:szCs w:val="21"/>
          <w14:textFill>
            <w14:solidFill>
              <w14:schemeClr w14:val="tx1"/>
            </w14:solidFill>
          </w14:textFill>
        </w:rPr>
        <w:t>无土栽培</w:t>
      </w:r>
      <w:r>
        <w:rPr>
          <w:color w:val="000000" w:themeColor="text1"/>
          <w:szCs w:val="21"/>
          <w14:textFill>
            <w14:solidFill>
              <w14:schemeClr w14:val="tx1"/>
            </w14:solidFill>
          </w14:textFill>
        </w:rPr>
        <w:t>装置设计比赛</w:t>
      </w:r>
      <w:r>
        <w:rPr>
          <w:rFonts w:hint="eastAsia" w:hAnsi="宋体"/>
          <w:bCs/>
          <w:kern w:val="0"/>
          <w:szCs w:val="21"/>
        </w:rPr>
        <w:t>，占60</w:t>
      </w:r>
      <w:r>
        <w:rPr>
          <w:rFonts w:hAnsi="宋体"/>
          <w:bCs/>
          <w:kern w:val="0"/>
          <w:szCs w:val="21"/>
        </w:rPr>
        <w:t>%</w:t>
      </w:r>
      <w:r>
        <w:rPr>
          <w:rFonts w:hint="eastAsia" w:ascii="宋体" w:hAnsi="宋体"/>
          <w:color w:val="0000FF"/>
        </w:rPr>
        <w:t>。</w:t>
      </w:r>
    </w:p>
    <w:p>
      <w:pPr>
        <w:widowControl/>
        <w:snapToGrid w:val="0"/>
        <w:spacing w:line="360" w:lineRule="auto"/>
        <w:ind w:firstLine="420"/>
        <w:jc w:val="left"/>
        <w:rPr>
          <w:rFonts w:hAnsi="宋体"/>
          <w:b/>
          <w:bCs/>
          <w:kern w:val="0"/>
          <w:szCs w:val="21"/>
        </w:rPr>
      </w:pPr>
      <w:r>
        <w:rPr>
          <w:rFonts w:hint="eastAsia" w:hAnsi="宋体"/>
          <w:b/>
          <w:bCs/>
          <w:kern w:val="0"/>
          <w:szCs w:val="21"/>
        </w:rPr>
        <w:t>3.课程综合评价：</w:t>
      </w:r>
    </w:p>
    <w:p>
      <w:pPr>
        <w:widowControl/>
        <w:snapToGrid w:val="0"/>
        <w:spacing w:line="360" w:lineRule="auto"/>
        <w:ind w:firstLine="420"/>
        <w:jc w:val="left"/>
        <w:rPr>
          <w:rFonts w:hAnsi="宋体"/>
          <w:bCs/>
          <w:color w:val="000000" w:themeColor="text1"/>
          <w:kern w:val="0"/>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综合成绩=期末成绩*60%+平时成绩*40%</w:t>
      </w:r>
    </w:p>
    <w:p>
      <w:pPr>
        <w:widowControl/>
        <w:snapToGrid w:val="0"/>
        <w:spacing w:line="360" w:lineRule="auto"/>
        <w:ind w:firstLine="420"/>
        <w:jc w:val="left"/>
        <w:rPr>
          <w:rFonts w:ascii="宋体" w:hAnsi="宋体"/>
          <w:color w:val="000000" w:themeColor="text1"/>
          <w:szCs w:val="21"/>
          <w14:textFill>
            <w14:solidFill>
              <w14:schemeClr w14:val="tx1"/>
            </w14:solidFill>
          </w14:textFill>
        </w:rPr>
      </w:pPr>
      <w:r>
        <w:rPr>
          <w:rFonts w:hint="eastAsia" w:hAnsi="宋体"/>
          <w:bCs/>
          <w:color w:val="000000" w:themeColor="text1"/>
          <w:kern w:val="0"/>
          <w:szCs w:val="21"/>
          <w14:textFill>
            <w14:solidFill>
              <w14:schemeClr w14:val="tx1"/>
            </w14:solidFill>
          </w14:textFill>
        </w:rPr>
        <w:t>掌握</w:t>
      </w:r>
      <w:r>
        <w:rPr>
          <w:rFonts w:hAnsi="宋体"/>
          <w:bCs/>
          <w:color w:val="000000" w:themeColor="text1"/>
          <w:kern w:val="0"/>
          <w:szCs w:val="21"/>
          <w14:textFill>
            <w14:solidFill>
              <w14:schemeClr w14:val="tx1"/>
            </w14:solidFill>
          </w14:textFill>
        </w:rPr>
        <w:t>基本理论知识及实验操作技能，了解本领域发展前沿</w:t>
      </w:r>
      <w:r>
        <w:rPr>
          <w:rFonts w:hint="eastAsia" w:hAnsi="宋体"/>
          <w:bCs/>
          <w:color w:val="000000" w:themeColor="text1"/>
          <w:kern w:val="0"/>
          <w:szCs w:val="21"/>
          <w14:textFill>
            <w14:solidFill>
              <w14:schemeClr w14:val="tx1"/>
            </w14:solidFill>
          </w14:textFill>
        </w:rPr>
        <w:t>，</w:t>
      </w:r>
      <w:r>
        <w:rPr>
          <w:rFonts w:hAnsi="宋体"/>
          <w:bCs/>
          <w:color w:val="000000" w:themeColor="text1"/>
          <w:kern w:val="0"/>
          <w:szCs w:val="21"/>
          <w14:textFill>
            <w14:solidFill>
              <w14:schemeClr w14:val="tx1"/>
            </w14:solidFill>
          </w14:textFill>
        </w:rPr>
        <w:t>能够发现并解决生产中的问题，具有一定的创新创造能力</w:t>
      </w:r>
      <w:r>
        <w:rPr>
          <w:rFonts w:hint="eastAsia" w:hAnsi="宋体"/>
          <w:bCs/>
          <w:color w:val="000000" w:themeColor="text1"/>
          <w:kern w:val="0"/>
          <w:szCs w:val="21"/>
          <w14:textFill>
            <w14:solidFill>
              <w14:schemeClr w14:val="tx1"/>
            </w14:solidFill>
          </w14:textFill>
        </w:rPr>
        <w:t>。</w:t>
      </w:r>
    </w:p>
    <w:p>
      <w:pPr>
        <w:widowControl/>
        <w:snapToGrid w:val="0"/>
        <w:spacing w:line="360" w:lineRule="auto"/>
        <w:jc w:val="left"/>
        <w:rPr>
          <w:kern w:val="0"/>
        </w:rPr>
      </w:pPr>
    </w:p>
    <w:p>
      <w:pPr>
        <w:pStyle w:val="21"/>
        <w:rPr>
          <w:bCs w:val="0"/>
          <w:sz w:val="28"/>
          <w:szCs w:val="28"/>
        </w:rPr>
      </w:pPr>
      <w:bookmarkStart w:id="358" w:name="_Toc138070717"/>
      <w:bookmarkStart w:id="359" w:name="_Toc138076336"/>
      <w:bookmarkStart w:id="360" w:name="_Toc138068817"/>
      <w:bookmarkStart w:id="361" w:name="_Toc138070447"/>
      <w:bookmarkStart w:id="362" w:name="_Toc138076087"/>
      <w:bookmarkStart w:id="363" w:name="_Toc138076631"/>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widowControl/>
        <w:jc w:val="left"/>
        <w:rPr>
          <w:rFonts w:asciiTheme="majorHAnsi" w:hAnsiTheme="majorHAnsi" w:eastAsiaTheme="majorEastAsia" w:cstheme="majorBidi"/>
          <w:b/>
          <w:sz w:val="28"/>
          <w:szCs w:val="28"/>
        </w:rPr>
      </w:pPr>
      <w:bookmarkStart w:id="364" w:name="_Toc17052"/>
      <w:r>
        <w:rPr>
          <w:bCs/>
          <w:sz w:val="28"/>
          <w:szCs w:val="28"/>
        </w:rPr>
        <w:br w:type="page"/>
      </w:r>
    </w:p>
    <w:p>
      <w:pPr>
        <w:pStyle w:val="21"/>
        <w:rPr>
          <w:bCs w:val="0"/>
          <w:sz w:val="28"/>
          <w:szCs w:val="28"/>
        </w:rPr>
      </w:pPr>
      <w:r>
        <w:rPr>
          <w:rFonts w:hint="eastAsia"/>
          <w:bCs w:val="0"/>
          <w:sz w:val="28"/>
          <w:szCs w:val="28"/>
        </w:rPr>
        <w:t>园艺专业外语</w:t>
      </w:r>
      <w:bookmarkEnd w:id="358"/>
      <w:bookmarkEnd w:id="359"/>
      <w:bookmarkEnd w:id="360"/>
      <w:bookmarkEnd w:id="361"/>
      <w:bookmarkEnd w:id="362"/>
      <w:bookmarkEnd w:id="363"/>
      <w:bookmarkEnd w:id="364"/>
    </w:p>
    <w:p>
      <w:pPr>
        <w:snapToGrid w:val="0"/>
        <w:spacing w:line="360" w:lineRule="auto"/>
        <w:jc w:val="center"/>
        <w:rPr>
          <w:rFonts w:hint="eastAsia" w:eastAsia="宋体"/>
          <w:sz w:val="24"/>
          <w:lang w:eastAsia="zh-CN"/>
        </w:rPr>
      </w:pPr>
      <w:r>
        <w:rPr>
          <w:rFonts w:hint="eastAsia"/>
          <w:sz w:val="24"/>
          <w:lang w:eastAsia="zh-CN"/>
        </w:rPr>
        <w:t>（</w:t>
      </w:r>
      <w:r>
        <w:rPr>
          <w:sz w:val="24"/>
        </w:rPr>
        <w:t>Special English for Horticulture</w:t>
      </w:r>
      <w:r>
        <w:rPr>
          <w:rFonts w:hint="eastAsia"/>
          <w:sz w:val="24"/>
          <w:lang w:eastAsia="zh-CN"/>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c>
          <w:tcPr>
            <w:tcW w:w="1666" w:type="pct"/>
          </w:tcPr>
          <w:p>
            <w:pPr>
              <w:spacing w:line="300" w:lineRule="auto"/>
              <w:ind w:firstLine="422"/>
              <w:rPr>
                <w:rFonts w:ascii="宋体" w:hAnsi="宋体"/>
                <w:b/>
                <w:bCs/>
                <w:szCs w:val="21"/>
              </w:rPr>
            </w:pPr>
            <w:r>
              <w:rPr>
                <w:rFonts w:hint="eastAsia" w:ascii="宋体" w:hAnsi="宋体"/>
                <w:b/>
                <w:bCs/>
                <w:szCs w:val="21"/>
              </w:rPr>
              <w:t>课程编号：</w:t>
            </w:r>
            <w:r>
              <w:rPr>
                <w:b/>
                <w:bCs/>
                <w:szCs w:val="21"/>
              </w:rPr>
              <w:t>19011053</w:t>
            </w:r>
          </w:p>
        </w:tc>
        <w:tc>
          <w:tcPr>
            <w:tcW w:w="1453" w:type="pct"/>
          </w:tcPr>
          <w:p>
            <w:pPr>
              <w:spacing w:line="300" w:lineRule="auto"/>
              <w:ind w:firstLine="422"/>
              <w:rPr>
                <w:rFonts w:ascii="宋体" w:hAnsi="宋体"/>
                <w:b/>
                <w:bCs/>
                <w:szCs w:val="21"/>
              </w:rPr>
            </w:pPr>
            <w:r>
              <w:rPr>
                <w:rFonts w:hint="eastAsia" w:ascii="宋体" w:hAnsi="宋体"/>
                <w:b/>
                <w:bCs/>
                <w:szCs w:val="21"/>
              </w:rPr>
              <w:t>课程总学时：32</w:t>
            </w:r>
          </w:p>
        </w:tc>
        <w:tc>
          <w:tcPr>
            <w:tcW w:w="1881" w:type="pct"/>
          </w:tcPr>
          <w:p>
            <w:pPr>
              <w:spacing w:line="300" w:lineRule="auto"/>
              <w:ind w:firstLine="422"/>
              <w:rPr>
                <w:rFonts w:ascii="宋体" w:hAnsi="宋体"/>
                <w:b/>
                <w:bCs/>
                <w:szCs w:val="21"/>
              </w:rPr>
            </w:pPr>
            <w:r>
              <w:rPr>
                <w:rFonts w:hint="eastAsia" w:ascii="宋体" w:hAnsi="宋体"/>
                <w:b/>
                <w:bCs/>
                <w:szCs w:val="21"/>
              </w:rPr>
              <w:t>实验学时： 0 学时</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课程性质：选修</w:t>
            </w:r>
          </w:p>
        </w:tc>
        <w:tc>
          <w:tcPr>
            <w:tcW w:w="1453" w:type="pct"/>
          </w:tcPr>
          <w:p>
            <w:pPr>
              <w:spacing w:line="300" w:lineRule="auto"/>
              <w:ind w:firstLine="422"/>
              <w:rPr>
                <w:rFonts w:ascii="宋体" w:hAnsi="宋体"/>
                <w:b/>
                <w:bCs/>
                <w:szCs w:val="21"/>
              </w:rPr>
            </w:pPr>
            <w:r>
              <w:rPr>
                <w:rFonts w:hint="eastAsia" w:ascii="宋体" w:hAnsi="宋体"/>
                <w:b/>
                <w:szCs w:val="21"/>
              </w:rPr>
              <w:t>课程属性:</w:t>
            </w:r>
            <w:r>
              <w:rPr>
                <w:rFonts w:hint="eastAsia"/>
              </w:rPr>
              <w:t xml:space="preserve"> </w:t>
            </w:r>
            <w:r>
              <w:rPr>
                <w:rFonts w:hint="eastAsia" w:ascii="宋体" w:hAnsi="宋体"/>
                <w:b/>
                <w:szCs w:val="21"/>
              </w:rPr>
              <w:t>专业类</w:t>
            </w:r>
          </w:p>
        </w:tc>
        <w:tc>
          <w:tcPr>
            <w:tcW w:w="1881" w:type="pct"/>
          </w:tcPr>
          <w:p>
            <w:pPr>
              <w:spacing w:line="300" w:lineRule="auto"/>
              <w:ind w:firstLine="422"/>
              <w:rPr>
                <w:rFonts w:ascii="宋体" w:hAnsi="宋体"/>
                <w:b/>
                <w:bCs/>
                <w:szCs w:val="21"/>
              </w:rPr>
            </w:pPr>
            <w:r>
              <w:rPr>
                <w:rFonts w:hint="eastAsia" w:ascii="宋体" w:hAnsi="宋体"/>
                <w:b/>
                <w:bCs/>
                <w:szCs w:val="21"/>
              </w:rPr>
              <w:t>开设学期：第 5/7学期</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课程负责人：朱华玉</w:t>
            </w:r>
          </w:p>
        </w:tc>
        <w:tc>
          <w:tcPr>
            <w:tcW w:w="1453" w:type="pct"/>
          </w:tcPr>
          <w:p>
            <w:pPr>
              <w:spacing w:line="300" w:lineRule="auto"/>
              <w:ind w:firstLine="422"/>
              <w:rPr>
                <w:rFonts w:ascii="宋体" w:hAnsi="宋体"/>
                <w:b/>
                <w:bCs/>
                <w:szCs w:val="21"/>
              </w:rPr>
            </w:pPr>
            <w:r>
              <w:rPr>
                <w:rFonts w:hint="eastAsia" w:ascii="宋体" w:hAnsi="宋体"/>
                <w:b/>
                <w:bCs/>
                <w:szCs w:val="21"/>
              </w:rPr>
              <w:t>课程团队：孙凯乐、孟更、张坤玺</w:t>
            </w:r>
          </w:p>
        </w:tc>
        <w:tc>
          <w:tcPr>
            <w:tcW w:w="1881" w:type="pct"/>
          </w:tcPr>
          <w:p>
            <w:pPr>
              <w:spacing w:line="300" w:lineRule="auto"/>
              <w:ind w:firstLine="422"/>
              <w:rPr>
                <w:rFonts w:ascii="宋体" w:hAnsi="宋体"/>
                <w:b/>
                <w:bCs/>
                <w:szCs w:val="21"/>
              </w:rPr>
            </w:pPr>
            <w:r>
              <w:rPr>
                <w:rFonts w:hint="eastAsia" w:ascii="宋体" w:hAnsi="宋体"/>
                <w:b/>
                <w:bCs/>
                <w:szCs w:val="21"/>
              </w:rPr>
              <w:t>授课语言：中文、英文</w:t>
            </w:r>
          </w:p>
        </w:tc>
      </w:tr>
      <w:tr>
        <w:tblPrEx>
          <w:tblCellMar>
            <w:top w:w="0" w:type="dxa"/>
            <w:left w:w="108" w:type="dxa"/>
            <w:bottom w:w="0" w:type="dxa"/>
            <w:right w:w="108" w:type="dxa"/>
          </w:tblCellMar>
        </w:tblPrEx>
        <w:tc>
          <w:tcPr>
            <w:tcW w:w="5000" w:type="pct"/>
            <w:gridSpan w:val="3"/>
          </w:tcPr>
          <w:p>
            <w:pPr>
              <w:spacing w:line="300" w:lineRule="auto"/>
              <w:ind w:right="-170" w:rightChars="-81" w:firstLine="422"/>
              <w:rPr>
                <w:rFonts w:ascii="宋体" w:hAnsi="宋体"/>
                <w:bCs/>
                <w:szCs w:val="21"/>
              </w:rPr>
            </w:pPr>
            <w:r>
              <w:rPr>
                <w:rFonts w:hint="eastAsia" w:ascii="宋体" w:hAnsi="宋体"/>
                <w:b/>
                <w:bCs/>
                <w:szCs w:val="21"/>
              </w:rPr>
              <w:t>适用专业：园艺、设工、茶学</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对先修的要求：园艺植物育种学、果树栽培学、蔬菜栽培学</w:t>
            </w:r>
          </w:p>
        </w:tc>
      </w:tr>
      <w:tr>
        <w:tblPrEx>
          <w:tblCellMar>
            <w:top w:w="0" w:type="dxa"/>
            <w:left w:w="108" w:type="dxa"/>
            <w:bottom w:w="0" w:type="dxa"/>
            <w:right w:w="108" w:type="dxa"/>
          </w:tblCellMar>
        </w:tblPrEx>
        <w:tc>
          <w:tcPr>
            <w:tcW w:w="5000" w:type="pct"/>
            <w:gridSpan w:val="3"/>
          </w:tcPr>
          <w:p>
            <w:pPr>
              <w:spacing w:line="300" w:lineRule="auto"/>
              <w:ind w:firstLine="422"/>
              <w:rPr>
                <w:rFonts w:ascii="宋体" w:hAnsi="宋体"/>
                <w:b/>
                <w:bCs/>
                <w:szCs w:val="21"/>
              </w:rPr>
            </w:pPr>
            <w:r>
              <w:rPr>
                <w:rFonts w:hint="eastAsia" w:ascii="宋体" w:hAnsi="宋体"/>
                <w:b/>
                <w:bCs/>
                <w:szCs w:val="21"/>
              </w:rPr>
              <w:t>对后续的支撑：英语文献的阅读能力、毕业论文英文摘要撰写能力、面试英语口语表达能力</w:t>
            </w:r>
          </w:p>
        </w:tc>
      </w:tr>
      <w:tr>
        <w:tblPrEx>
          <w:tblCellMar>
            <w:top w:w="0" w:type="dxa"/>
            <w:left w:w="108" w:type="dxa"/>
            <w:bottom w:w="0" w:type="dxa"/>
            <w:right w:w="108" w:type="dxa"/>
          </w:tblCellMar>
        </w:tblPrEx>
        <w:tc>
          <w:tcPr>
            <w:tcW w:w="1666" w:type="pct"/>
          </w:tcPr>
          <w:p>
            <w:pPr>
              <w:spacing w:line="300" w:lineRule="auto"/>
              <w:ind w:firstLine="422"/>
              <w:rPr>
                <w:rFonts w:ascii="宋体" w:hAnsi="宋体"/>
                <w:b/>
                <w:bCs/>
                <w:szCs w:val="21"/>
              </w:rPr>
            </w:pPr>
            <w:r>
              <w:rPr>
                <w:rFonts w:hint="eastAsia" w:ascii="宋体" w:hAnsi="宋体"/>
                <w:b/>
                <w:bCs/>
                <w:szCs w:val="21"/>
              </w:rPr>
              <w:t>主撰人：孙凯乐、孟更、</w:t>
            </w:r>
          </w:p>
          <w:p>
            <w:pPr>
              <w:spacing w:line="300" w:lineRule="auto"/>
              <w:ind w:firstLine="422"/>
              <w:rPr>
                <w:rFonts w:ascii="宋体" w:hAnsi="宋体"/>
                <w:b/>
                <w:bCs/>
                <w:szCs w:val="21"/>
              </w:rPr>
            </w:pPr>
            <w:r>
              <w:rPr>
                <w:rFonts w:hint="eastAsia" w:ascii="宋体" w:hAnsi="宋体"/>
                <w:b/>
                <w:bCs/>
                <w:szCs w:val="21"/>
              </w:rPr>
              <w:t>张坤玺</w:t>
            </w:r>
          </w:p>
        </w:tc>
        <w:tc>
          <w:tcPr>
            <w:tcW w:w="1453" w:type="pct"/>
          </w:tcPr>
          <w:p>
            <w:pPr>
              <w:spacing w:line="300" w:lineRule="auto"/>
              <w:ind w:firstLine="422"/>
              <w:rPr>
                <w:rFonts w:ascii="宋体" w:hAnsi="宋体"/>
                <w:b/>
                <w:bCs/>
                <w:szCs w:val="21"/>
              </w:rPr>
            </w:pPr>
            <w:r>
              <w:rPr>
                <w:rFonts w:hint="eastAsia" w:ascii="宋体" w:hAnsi="宋体"/>
                <w:b/>
                <w:bCs/>
                <w:szCs w:val="21"/>
              </w:rPr>
              <w:t>审核人：朱华玉</w:t>
            </w:r>
          </w:p>
        </w:tc>
        <w:tc>
          <w:tcPr>
            <w:tcW w:w="1881" w:type="pct"/>
          </w:tcPr>
          <w:p>
            <w:pPr>
              <w:spacing w:line="300" w:lineRule="auto"/>
              <w:ind w:firstLine="422"/>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rPr>
          <w:kern w:val="0"/>
          <w:szCs w:val="21"/>
        </w:rPr>
      </w:pPr>
      <w:r>
        <w:rPr>
          <w:rFonts w:hint="eastAsia"/>
          <w:kern w:val="0"/>
          <w:szCs w:val="21"/>
        </w:rPr>
        <w:t>园艺专业外语的教学理念是以人为本、全面发展；注重学生的创造性、多样性、系统性的培养。通过提升学生的英语阅读及写作能力，拓宽学生获取知识的途径，从而提升学生进行的科学研究和实践生产的能力。当今社会是信息高速发展的社会，如何最快、最全面的获取信息，是每个人必须掌握的技能。园艺专业外语作为一门语言工具，是每一个合格的园艺人才必须具备的专业能力。本课程针对学生的现实成长和未来发展的需要，注重开发和挖掘学生自身的禀赋和潜能，并致力于培养学生的自尊、自信、自爱、自立、自强意识，促进学生自身的发展与完善，从而帮助学生实现自身的价值。</w:t>
      </w:r>
    </w:p>
    <w:p>
      <w:pPr>
        <w:spacing w:line="360" w:lineRule="auto"/>
        <w:ind w:firstLine="420" w:firstLineChars="200"/>
        <w:rPr>
          <w:rFonts w:ascii="宋体" w:hAnsi="宋体"/>
          <w:bCs/>
          <w:szCs w:val="21"/>
        </w:rPr>
      </w:pPr>
      <w:r>
        <w:rPr>
          <w:rFonts w:hint="eastAsia"/>
          <w:kern w:val="0"/>
          <w:szCs w:val="21"/>
        </w:rPr>
        <w:t>园艺专业英语是将英语应用于园艺学科研究与实践的一门应用性课程，是园艺专业和设施工程专业本科学生的一门专业选修课。该课程的目的是培养具有良好专业英语阅读和写作能力的园艺专业研究和技术人才。该课程的任务是通过大量阅读及讲解本专业的相关英文原文资料，使学生了解并掌握常用专业词汇和专业文献的阅读及写作技巧，提高学生园艺专业英文文献的阅读和写作水平。</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kern w:val="0"/>
          <w:szCs w:val="21"/>
        </w:rPr>
      </w:pPr>
      <w:r>
        <w:rPr>
          <w:rFonts w:hint="eastAsia"/>
          <w:kern w:val="0"/>
          <w:szCs w:val="21"/>
        </w:rPr>
        <w:t>1.</w:t>
      </w:r>
      <w:r>
        <w:rPr>
          <w:rFonts w:hAnsi="宋体"/>
          <w:kern w:val="0"/>
          <w:szCs w:val="21"/>
        </w:rPr>
        <w:t>理论知识方面：</w:t>
      </w:r>
      <w:r>
        <w:rPr>
          <w:rFonts w:hint="eastAsia" w:hAnsi="宋体"/>
          <w:kern w:val="0"/>
          <w:szCs w:val="21"/>
        </w:rPr>
        <w:t>通过本专业英文文献的学习，了解专业文献与普通文体之间的写作差异；掌握本专业常用的专业词汇和术语；掌握专业文献的阅读及写作技巧。从而提高英文资料的阅读和写作能力。</w:t>
      </w:r>
      <w:r>
        <w:rPr>
          <w:rFonts w:hint="eastAsia" w:hAnsi="宋体"/>
          <w:bCs/>
          <w:kern w:val="0"/>
          <w:szCs w:val="21"/>
        </w:rPr>
        <w:t xml:space="preserve"> </w:t>
      </w:r>
    </w:p>
    <w:p>
      <w:pPr>
        <w:widowControl/>
        <w:snapToGrid w:val="0"/>
        <w:spacing w:line="360" w:lineRule="auto"/>
        <w:ind w:firstLine="420" w:firstLineChars="200"/>
        <w:jc w:val="left"/>
        <w:rPr>
          <w:rFonts w:hAnsi="宋体"/>
          <w:bCs/>
          <w:kern w:val="0"/>
          <w:szCs w:val="21"/>
        </w:rPr>
      </w:pPr>
      <w:r>
        <w:rPr>
          <w:rFonts w:hint="eastAsia"/>
          <w:kern w:val="0"/>
          <w:szCs w:val="21"/>
        </w:rPr>
        <w:t>2.</w:t>
      </w:r>
      <w:r>
        <w:rPr>
          <w:rFonts w:hAnsi="宋体"/>
          <w:kern w:val="0"/>
          <w:szCs w:val="21"/>
        </w:rPr>
        <w:t>实</w:t>
      </w:r>
      <w:r>
        <w:rPr>
          <w:rFonts w:hint="eastAsia" w:hAnsi="宋体"/>
          <w:kern w:val="0"/>
          <w:szCs w:val="21"/>
        </w:rPr>
        <w:t>践</w:t>
      </w:r>
      <w:r>
        <w:rPr>
          <w:rFonts w:hAnsi="宋体"/>
          <w:kern w:val="0"/>
          <w:szCs w:val="21"/>
        </w:rPr>
        <w:t>技能方面：</w:t>
      </w:r>
      <w:r>
        <w:rPr>
          <w:rFonts w:hint="eastAsia" w:hAnsi="宋体"/>
          <w:kern w:val="0"/>
          <w:szCs w:val="21"/>
        </w:rPr>
        <w:t>通过大量阅读专业文献，提高学生英语阅读能力；通过大量观看本专业的相关英文视频资料，掌握本专业的常用专业词汇的发音，提高学生英文口语水平；通过以小组合作的形式完成写作作业，提高学生英语写作水平。</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spacing w:line="360" w:lineRule="auto"/>
        <w:ind w:firstLine="420" w:firstLineChars="200"/>
        <w:rPr>
          <w:rFonts w:ascii="宋体" w:hAnsi="宋体" w:cs="宋体"/>
          <w:bCs/>
          <w:kern w:val="0"/>
          <w:szCs w:val="21"/>
        </w:rPr>
      </w:pPr>
      <w:r>
        <w:rPr>
          <w:rFonts w:hint="eastAsia" w:hAnsi="宋体"/>
          <w:bCs/>
          <w:kern w:val="0"/>
          <w:szCs w:val="21"/>
        </w:rPr>
        <w:t>围绕课程教学内容，总体上采取“课堂教学+实践教学+综合考核”与“听—说—读—写”一体化的教学策略，从学生的需要出发，以学生为主体、老师为辅助的方式，理论与实践相结合开展教学工作。主要采用以下教学方法：（1）专题式教学，依据最新版的园艺专业英语教材，将园艺学科主要内容划分专题，进行专题教学；（2）系统式教学，结合教学大纲，将各专题章节内容系统化，突出重难点、考核目标，让学生能够明确期末考核的内容和要求，更有方向地学习本课程；（3）参与式教学，改变传统的单纯依赖教师讲授的方法，让学生参与到教学过程中，采用观摩相关英语专题视频后学生专题讨论的形式，鼓励学生积极参与教学，最大程度地激发学生的主观能动性；（4）小组练习，以学生为主导、老师进行辅助，鼓励学生参与口语练习，加强英语口头表达能力和团队合作能力的培养；（5）“听—说—读—写”一体化，让学生在课堂上多听多说多读多写，注重学生在轻松愉快的教学环境下更好的掌握相关知识。</w:t>
      </w:r>
    </w:p>
    <w:p>
      <w:pPr>
        <w:spacing w:line="360" w:lineRule="auto"/>
        <w:ind w:firstLine="420" w:firstLineChars="200"/>
        <w:rPr>
          <w:rFonts w:hAnsi="宋体"/>
          <w:bCs/>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360"/>
              <w:rPr>
                <w:rFonts w:hAnsiTheme="minorEastAsia" w:eastAsiaTheme="minorEastAsia"/>
                <w:sz w:val="18"/>
                <w:szCs w:val="21"/>
              </w:rPr>
            </w:pPr>
            <w:r>
              <w:rPr>
                <w:rFonts w:hint="eastAsia" w:hAnsiTheme="minorEastAsia" w:eastAsiaTheme="minorEastAsia"/>
                <w:sz w:val="18"/>
                <w:szCs w:val="21"/>
              </w:rPr>
              <w:t>目标1：通过课程的学习，培养学生热爱祖国，热爱人民，具有正确的政治方向，拥护中国共产党的领导。树立正确的世界观、价值观和人生观，自觉践行社会主义核心价值观，做到四个自信。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1</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rPr>
            </w:pPr>
            <w:r>
              <w:rPr>
                <w:rFonts w:hAnsiTheme="minorEastAsia" w:eastAsiaTheme="minorEastAsia"/>
                <w:sz w:val="18"/>
                <w:szCs w:val="18"/>
              </w:rPr>
              <w:t>目标</w:t>
            </w:r>
            <w:r>
              <w:rPr>
                <w:rFonts w:eastAsiaTheme="minorEastAsia"/>
                <w:sz w:val="18"/>
                <w:szCs w:val="18"/>
              </w:rPr>
              <w:t>2</w:t>
            </w:r>
            <w:r>
              <w:rPr>
                <w:rFonts w:hAnsiTheme="minorEastAsia" w:eastAsiaTheme="minorEastAsia"/>
                <w:sz w:val="18"/>
                <w:szCs w:val="18"/>
              </w:rPr>
              <w:t>：</w:t>
            </w:r>
            <w:r>
              <w:rPr>
                <w:rFonts w:hint="eastAsia" w:eastAsiaTheme="minorEastAsia"/>
                <w:sz w:val="18"/>
                <w:szCs w:val="18"/>
              </w:rPr>
              <w:t>本课程针对学生的现实成长和未来发展的需要，注重开发和挖掘学生自身的禀赋和潜能，并致力于培养学生的自尊、自信、自爱、自立、自强意识，促进学生自身的发展与完善，从而帮助学生实现自身的价值。</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3</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AnsiTheme="minorEastAsia" w:eastAsiaTheme="minorEastAsia"/>
                <w:sz w:val="18"/>
                <w:szCs w:val="18"/>
              </w:rPr>
              <w:t>目标</w:t>
            </w:r>
            <w:r>
              <w:rPr>
                <w:rFonts w:eastAsiaTheme="minorEastAsia"/>
                <w:sz w:val="18"/>
                <w:szCs w:val="18"/>
              </w:rPr>
              <w:t>3</w:t>
            </w:r>
            <w:r>
              <w:rPr>
                <w:rFonts w:hAnsiTheme="minorEastAsia" w:eastAsiaTheme="minorEastAsia"/>
                <w:sz w:val="18"/>
                <w:szCs w:val="18"/>
              </w:rPr>
              <w:t>：</w:t>
            </w:r>
            <w:r>
              <w:rPr>
                <w:rFonts w:hint="eastAsia" w:hAnsiTheme="minorEastAsia" w:eastAsiaTheme="minorEastAsia"/>
                <w:sz w:val="18"/>
                <w:szCs w:val="18"/>
              </w:rPr>
              <w:t>通过提升学生的英语阅读及写作能力，拓宽学生获取知识的途径，从而提升学生进行的科学研究和实践生产的能力。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5</w:t>
            </w:r>
          </w:p>
          <w:p>
            <w:pPr>
              <w:spacing w:line="320" w:lineRule="exact"/>
              <w:ind w:firstLine="360"/>
              <w:jc w:val="both"/>
              <w:rPr>
                <w:rFonts w:eastAsiaTheme="minorEastAsia"/>
                <w:sz w:val="18"/>
                <w:szCs w:val="18"/>
              </w:rPr>
            </w:pPr>
            <w:r>
              <w:rPr>
                <w:rFonts w:hint="eastAsia" w:eastAsiaTheme="minorEastAsia"/>
                <w:sz w:val="18"/>
                <w:szCs w:val="18"/>
              </w:rPr>
              <w:t>6</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hint="eastAsia" w:eastAsiaTheme="minorEastAsia"/>
                <w:sz w:val="18"/>
                <w:szCs w:val="18"/>
              </w:rPr>
              <w:t>4</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rPr>
                <w:rFonts w:eastAsiaTheme="minorEastAsia"/>
                <w:sz w:val="18"/>
                <w:szCs w:val="18"/>
              </w:rPr>
            </w:pPr>
            <w:r>
              <w:rPr>
                <w:rFonts w:hAnsiTheme="minorEastAsia" w:eastAsiaTheme="minorEastAsia"/>
                <w:sz w:val="18"/>
                <w:szCs w:val="18"/>
              </w:rPr>
              <w:t>目标</w:t>
            </w:r>
            <w:r>
              <w:rPr>
                <w:rFonts w:hint="eastAsia" w:eastAsiaTheme="minorEastAsia"/>
                <w:sz w:val="18"/>
                <w:szCs w:val="18"/>
              </w:rPr>
              <w:t>4</w:t>
            </w:r>
            <w:r>
              <w:rPr>
                <w:rFonts w:hAnsiTheme="minorEastAsia" w:eastAsiaTheme="minorEastAsia"/>
                <w:sz w:val="18"/>
                <w:szCs w:val="18"/>
              </w:rPr>
              <w:t>：</w:t>
            </w:r>
            <w:r>
              <w:rPr>
                <w:rFonts w:hint="eastAsia" w:hAnsi="宋体"/>
                <w:bCs/>
                <w:sz w:val="18"/>
                <w:szCs w:val="18"/>
              </w:rPr>
              <w:t>培养具有良好专业英语阅读和写作能力的园艺专业研究和技术人才。</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9</w:t>
            </w:r>
          </w:p>
        </w:tc>
      </w:tr>
    </w:tbl>
    <w:p>
      <w:pPr>
        <w:spacing w:line="360" w:lineRule="auto"/>
        <w:ind w:firstLine="420" w:firstLineChars="200"/>
        <w:rPr>
          <w:rFonts w:hAnsi="宋体"/>
          <w:bCs/>
          <w:kern w:val="0"/>
          <w:szCs w:val="21"/>
        </w:rPr>
      </w:pPr>
    </w:p>
    <w:p>
      <w:pPr>
        <w:widowControl/>
        <w:snapToGrid w:val="0"/>
        <w:spacing w:line="360" w:lineRule="auto"/>
        <w:jc w:val="left"/>
        <w:rPr>
          <w:rFonts w:hAnsi="宋体"/>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（32学时）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 xml:space="preserve">绪论 </w:t>
            </w:r>
            <w:r>
              <w:rPr>
                <w:rFonts w:hAnsi="宋体"/>
                <w:b/>
                <w:bCs/>
                <w:szCs w:val="21"/>
              </w:rPr>
              <w:t>Horticultural terms</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通过本章的学习，运用听、说和读的形式，了解和掌握部分园艺专业相关的专业词汇及术语，为英文文献的阅读及文章的写作奠定基础。</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专业词汇的介绍和识记，以及与基础英语的区别。</w:t>
      </w:r>
      <w:r>
        <w:rPr>
          <w:rFonts w:hint="eastAsia" w:ascii="宋体" w:hAnsi="宋体" w:cs="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hint="eastAsia" w:ascii="宋体" w:hAnsi="宋体"/>
        </w:rPr>
        <w:t></w:t>
      </w:r>
    </w:p>
    <w:p>
      <w:pPr>
        <w:pStyle w:val="7"/>
        <w:snapToGrid w:val="0"/>
        <w:spacing w:line="360" w:lineRule="auto"/>
        <w:rPr>
          <w:rFonts w:ascii="宋体" w:hAnsi="宋体"/>
        </w:rPr>
      </w:pPr>
      <w:r>
        <w:rPr>
          <w:rFonts w:hint="eastAsia" w:ascii="宋体" w:hAnsi="宋体"/>
        </w:rPr>
        <w:t>了解：园艺专业相关词汇、术语的概念、表达及书写，并加以识记。</w:t>
      </w:r>
    </w:p>
    <w:p>
      <w:pPr>
        <w:pStyle w:val="7"/>
        <w:snapToGrid w:val="0"/>
        <w:spacing w:line="360" w:lineRule="auto"/>
        <w:rPr>
          <w:rFonts w:ascii="宋体" w:hAnsi="宋体"/>
        </w:rPr>
      </w:pPr>
      <w:r>
        <w:rPr>
          <w:rFonts w:hint="eastAsia" w:ascii="宋体" w:hAnsi="宋体"/>
        </w:rPr>
        <w:t>理解：园艺作物的植物学分类，以及园艺作物组织和部位的特定词汇表达等。</w:t>
      </w:r>
    </w:p>
    <w:p>
      <w:pPr>
        <w:pStyle w:val="7"/>
        <w:snapToGrid w:val="0"/>
        <w:spacing w:line="360" w:lineRule="auto"/>
        <w:rPr>
          <w:rFonts w:ascii="宋体" w:hAnsi="宋体"/>
        </w:rPr>
      </w:pPr>
      <w:r>
        <w:rPr>
          <w:rFonts w:hint="eastAsia" w:ascii="宋体" w:hAnsi="宋体"/>
        </w:rPr>
        <w:t xml:space="preserve">掌握：专业术语的准确含义，为英文文献的阅读和写作奠定基础。将相关知识运用到英文文献的阅读，以及文章的写作中，提高英语的阅读和写作的能力。 </w:t>
      </w:r>
    </w:p>
    <w:p>
      <w:pPr>
        <w:widowControl/>
        <w:snapToGrid w:val="0"/>
        <w:spacing w:line="360" w:lineRule="auto"/>
        <w:rPr>
          <w:rFonts w:hAnsi="宋体"/>
          <w:b/>
          <w:bCs/>
          <w:kern w:val="0"/>
          <w:szCs w:val="21"/>
        </w:rPr>
      </w:pPr>
      <w:r>
        <w:rPr>
          <w:rFonts w:hint="eastAsia" w:ascii="宋体" w:hAnsi="宋体"/>
          <w:b/>
          <w:bCs/>
        </w:rPr>
        <w:t>教学组织与实施：</w:t>
      </w:r>
      <w:r>
        <w:rPr>
          <w:rFonts w:hint="eastAsia" w:ascii="宋体" w:hAnsi="宋体"/>
          <w:bCs/>
        </w:rPr>
        <w:t>以班级授课的形式讲授园艺专业相关的专业词汇及术语，利用大量图片和视频让学生初步了解园艺专业英语与基础英语的区别；通过“教师示范-学生参与”的形式鼓励学生走上讲台练习英语自我介绍，了解学生口语表达能力。</w:t>
      </w:r>
    </w:p>
    <w:tbl>
      <w:tblPr>
        <w:tblStyle w:val="22"/>
        <w:tblW w:w="0" w:type="auto"/>
        <w:tblInd w:w="4" w:type="dxa"/>
        <w:tblLayout w:type="autofit"/>
        <w:tblCellMar>
          <w:top w:w="0" w:type="dxa"/>
          <w:left w:w="0" w:type="dxa"/>
          <w:bottom w:w="0" w:type="dxa"/>
          <w:right w:w="0" w:type="dxa"/>
        </w:tblCellMar>
      </w:tblPr>
      <w:tblGrid>
        <w:gridCol w:w="1501"/>
        <w:gridCol w:w="4429"/>
        <w:gridCol w:w="2966"/>
      </w:tblGrid>
      <w:tr>
        <w:tblPrEx>
          <w:tblCellMar>
            <w:top w:w="0" w:type="dxa"/>
            <w:left w:w="0" w:type="dxa"/>
            <w:bottom w:w="0" w:type="dxa"/>
            <w:right w:w="0" w:type="dxa"/>
          </w:tblCellMar>
        </w:tblPrEx>
        <w:trPr>
          <w:trHeight w:val="270" w:hRule="atLeast"/>
        </w:trPr>
        <w:tc>
          <w:tcPr>
            <w:tcW w:w="150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42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第一章  Protected Cultivation</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对本章节英文文章的阅读和分析及相关视频的观看，了解和掌握温室从古至今的发展状况，包括一系列利用冷床、温床、玻璃罩、单屋顶温室、冬季花园、橘园、暖房和不同形式的玻璃温室和塑料覆盖及其影响因素。</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保护地栽培的发展史。</w:t>
      </w:r>
      <w:r>
        <w:rPr>
          <w:rFonts w:hint="eastAsia" w:ascii="宋体" w:hAnsi="宋体" w:cs="宋体"/>
          <w:kern w:val="0"/>
          <w:szCs w:val="21"/>
        </w:rPr>
        <w:t></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pStyle w:val="7"/>
        <w:snapToGrid w:val="0"/>
        <w:spacing w:line="360" w:lineRule="auto"/>
        <w:rPr>
          <w:rFonts w:ascii="宋体" w:hAnsi="宋体"/>
        </w:rPr>
      </w:pPr>
      <w:r>
        <w:rPr>
          <w:rFonts w:hint="eastAsia" w:ascii="宋体" w:hAnsi="宋体"/>
        </w:rPr>
        <w:t>了解：冷床、温床、玻璃罩、单屋顶温室、冬季花园、橘园、暖房和不同形式的玻璃温室和塑料覆盖专业英语表达。</w:t>
      </w:r>
    </w:p>
    <w:p>
      <w:pPr>
        <w:pStyle w:val="7"/>
        <w:snapToGrid w:val="0"/>
        <w:spacing w:line="360" w:lineRule="auto"/>
        <w:rPr>
          <w:rFonts w:ascii="宋体" w:hAnsi="宋体"/>
        </w:rPr>
      </w:pPr>
      <w:r>
        <w:rPr>
          <w:rFonts w:hint="eastAsia" w:ascii="宋体" w:hAnsi="宋体"/>
        </w:rPr>
        <w:t>理解：每个发展阶段温室特点的专业表达。</w:t>
      </w:r>
    </w:p>
    <w:p>
      <w:pPr>
        <w:pStyle w:val="7"/>
        <w:snapToGrid w:val="0"/>
        <w:spacing w:line="360" w:lineRule="auto"/>
        <w:rPr>
          <w:rFonts w:ascii="宋体" w:hAnsi="宋体"/>
        </w:rPr>
      </w:pPr>
      <w:r>
        <w:rPr>
          <w:rFonts w:hint="eastAsia" w:ascii="宋体" w:hAnsi="宋体"/>
        </w:rPr>
        <w:t>掌握：保护地栽培的常用专业词汇，掌握此类专业文章的阅读能力和翻译技巧。</w:t>
      </w:r>
    </w:p>
    <w:p>
      <w:pPr>
        <w:pStyle w:val="7"/>
        <w:snapToGrid w:val="0"/>
        <w:spacing w:line="360" w:lineRule="auto"/>
        <w:rPr>
          <w:rFonts w:ascii="宋体" w:hAnsi="宋体"/>
        </w:rPr>
      </w:pPr>
      <w:r>
        <w:rPr>
          <w:rFonts w:hint="eastAsia" w:ascii="宋体" w:hAnsi="宋体"/>
        </w:rPr>
        <w:t>熟练掌握：本章重点词汇和重点语句，包括塑料覆盖栽培、小拱棚、温室等常用保护地设施的优缺点，并能够准确进行阅读和翻译，为今后的阅读和写作打下基础。</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szCs w:val="20"/>
        </w:rPr>
        <w:t>以班级授课的形式讲授不同形式的玻璃温室和塑料覆盖的相关专业词汇及术语，利用观看世界一流水平连栋温室视频让学生了解连栋温室的特点；通过智慧课堂辅助软件发放小组作业，学生以小组团队的形式完成课程任务。</w:t>
      </w:r>
    </w:p>
    <w:tbl>
      <w:tblPr>
        <w:tblStyle w:val="22"/>
        <w:tblW w:w="0" w:type="auto"/>
        <w:tblInd w:w="4" w:type="dxa"/>
        <w:tblLayout w:type="autofit"/>
        <w:tblCellMar>
          <w:top w:w="0" w:type="dxa"/>
          <w:left w:w="0" w:type="dxa"/>
          <w:bottom w:w="0" w:type="dxa"/>
          <w:right w:w="0" w:type="dxa"/>
        </w:tblCellMar>
      </w:tblPr>
      <w:tblGrid>
        <w:gridCol w:w="1976"/>
        <w:gridCol w:w="3954"/>
        <w:gridCol w:w="2966"/>
      </w:tblGrid>
      <w:tr>
        <w:tblPrEx>
          <w:tblCellMar>
            <w:top w:w="0" w:type="dxa"/>
            <w:left w:w="0" w:type="dxa"/>
            <w:bottom w:w="0" w:type="dxa"/>
            <w:right w:w="0" w:type="dxa"/>
          </w:tblCellMar>
        </w:tblPrEx>
        <w:trPr>
          <w:trHeight w:val="270" w:hRule="atLeast"/>
        </w:trPr>
        <w:tc>
          <w:tcPr>
            <w:tcW w:w="1976"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954"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第二章  Greenhouse climate control</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通过本章节英文文章的阅读和理解与相关视频的观看，了解温室气候控制的主要目标，以及温室气候的重要性及其对作物生长发育、形态建成以及物质积累和分配的影响。</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温室气候控制对作物地上部形态建成的影响。</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pStyle w:val="7"/>
        <w:snapToGrid w:val="0"/>
        <w:spacing w:line="360" w:lineRule="auto"/>
        <w:rPr>
          <w:rFonts w:ascii="宋体" w:hAnsi="宋体"/>
        </w:rPr>
      </w:pPr>
      <w:r>
        <w:rPr>
          <w:rFonts w:hint="eastAsia" w:ascii="宋体" w:hAnsi="宋体"/>
        </w:rPr>
        <w:t>了解：本章节的重点词汇和重点语句的含义，温室气候控制的主要目标。</w:t>
      </w:r>
    </w:p>
    <w:p>
      <w:pPr>
        <w:pStyle w:val="7"/>
        <w:snapToGrid w:val="0"/>
        <w:spacing w:line="360" w:lineRule="auto"/>
        <w:rPr>
          <w:rFonts w:ascii="宋体" w:hAnsi="宋体"/>
        </w:rPr>
      </w:pPr>
      <w:r>
        <w:rPr>
          <w:rFonts w:hint="eastAsia" w:ascii="宋体" w:hAnsi="宋体"/>
        </w:rPr>
        <w:t>理解：温室气候控制对作物生长发育的影响。</w:t>
      </w:r>
    </w:p>
    <w:p>
      <w:pPr>
        <w:pStyle w:val="7"/>
        <w:snapToGrid w:val="0"/>
        <w:spacing w:line="360" w:lineRule="auto"/>
        <w:rPr>
          <w:rFonts w:ascii="宋体" w:hAnsi="宋体"/>
        </w:rPr>
      </w:pPr>
      <w:r>
        <w:rPr>
          <w:rFonts w:hint="eastAsia" w:ascii="宋体" w:hAnsi="宋体"/>
        </w:rPr>
        <w:t>掌握：温室气候控制的主要因子。</w:t>
      </w:r>
    </w:p>
    <w:p>
      <w:pPr>
        <w:pStyle w:val="7"/>
        <w:snapToGrid w:val="0"/>
        <w:spacing w:line="360" w:lineRule="auto"/>
        <w:rPr>
          <w:rFonts w:ascii="宋体" w:hAnsi="宋体"/>
        </w:rPr>
      </w:pPr>
      <w:r>
        <w:rPr>
          <w:rFonts w:hint="eastAsia" w:ascii="宋体" w:hAnsi="宋体"/>
        </w:rPr>
        <w:t>熟练掌握：重点词汇和语句的，能够准确阅读和翻译，包括温室气候的控制目标和主要影响因子。</w:t>
      </w:r>
      <w:r>
        <w:rPr>
          <w:rFonts w:ascii="宋体" w:hAnsi="宋体"/>
        </w:rPr>
        <w:t xml:space="preserve"> </w:t>
      </w:r>
    </w:p>
    <w:p>
      <w:pPr>
        <w:widowControl/>
        <w:snapToGrid w:val="0"/>
        <w:spacing w:line="360" w:lineRule="auto"/>
        <w:rPr>
          <w:rFonts w:ascii="宋体" w:hAnsi="宋体"/>
          <w:bCs/>
        </w:rPr>
      </w:pPr>
      <w:r>
        <w:rPr>
          <w:rFonts w:hint="eastAsia" w:ascii="宋体" w:hAnsi="宋体"/>
          <w:b/>
          <w:bCs/>
        </w:rPr>
        <w:t>教学组织与实施：</w:t>
      </w:r>
      <w:r>
        <w:rPr>
          <w:rFonts w:hint="eastAsia" w:ascii="宋体" w:hAnsi="宋体"/>
          <w:bCs/>
        </w:rPr>
        <w:t>以班级授课的形式讲授温室气候控制的相关专业词汇及术语，利用观看世界一流公司连栋温室环境控制系统视频让学生了解连栋温室内环境控制的重要性；通过智慧课堂辅助软件发放小组作业，学生以小组团队的形式完成课程任务。</w:t>
      </w:r>
    </w:p>
    <w:tbl>
      <w:tblPr>
        <w:tblStyle w:val="22"/>
        <w:tblW w:w="0" w:type="auto"/>
        <w:tblInd w:w="4" w:type="dxa"/>
        <w:tblLayout w:type="autofit"/>
        <w:tblCellMar>
          <w:top w:w="0" w:type="dxa"/>
          <w:left w:w="0" w:type="dxa"/>
          <w:bottom w:w="0" w:type="dxa"/>
          <w:right w:w="0" w:type="dxa"/>
        </w:tblCellMar>
      </w:tblPr>
      <w:tblGrid>
        <w:gridCol w:w="1976"/>
        <w:gridCol w:w="3954"/>
        <w:gridCol w:w="2966"/>
      </w:tblGrid>
      <w:tr>
        <w:tblPrEx>
          <w:tblCellMar>
            <w:top w:w="0" w:type="dxa"/>
            <w:left w:w="0" w:type="dxa"/>
            <w:bottom w:w="0" w:type="dxa"/>
            <w:right w:w="0" w:type="dxa"/>
          </w:tblCellMar>
        </w:tblPrEx>
        <w:trPr>
          <w:trHeight w:val="270" w:hRule="atLeast"/>
        </w:trPr>
        <w:tc>
          <w:tcPr>
            <w:tcW w:w="1976"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954"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 xml:space="preserve">第三章  </w:t>
            </w:r>
            <w:r>
              <w:rPr>
                <w:rFonts w:hAnsi="宋体"/>
                <w:b/>
                <w:bCs/>
                <w:szCs w:val="21"/>
              </w:rPr>
              <w:t>Soilless Cultivation</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通过对本章节英文文章的阅读和理解，了解无土栽培的含义和种类；不同无土栽培的定义和优缺点，以及固体无土栽培常用的栽培基质。</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无土栽培和NFT系统的定义。</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pStyle w:val="7"/>
        <w:snapToGrid w:val="0"/>
        <w:spacing w:line="360" w:lineRule="auto"/>
        <w:rPr>
          <w:rFonts w:ascii="宋体" w:hAnsi="宋体"/>
        </w:rPr>
      </w:pPr>
      <w:r>
        <w:rPr>
          <w:rFonts w:hint="eastAsia" w:ascii="宋体" w:hAnsi="宋体"/>
        </w:rPr>
        <w:t>了解：无土栽培的种类；不同固体无土栽培的优缺点。</w:t>
      </w:r>
    </w:p>
    <w:p>
      <w:pPr>
        <w:pStyle w:val="7"/>
        <w:snapToGrid w:val="0"/>
        <w:spacing w:line="360" w:lineRule="auto"/>
        <w:rPr>
          <w:rFonts w:ascii="宋体" w:hAnsi="宋体"/>
        </w:rPr>
      </w:pPr>
      <w:r>
        <w:rPr>
          <w:rFonts w:hint="eastAsia" w:ascii="宋体" w:hAnsi="宋体"/>
        </w:rPr>
        <w:t>理解：营养液膜栽培技术、基质栽培和岩棉栽培的含义、特点。</w:t>
      </w:r>
    </w:p>
    <w:p>
      <w:pPr>
        <w:pStyle w:val="7"/>
        <w:snapToGrid w:val="0"/>
        <w:spacing w:line="360" w:lineRule="auto"/>
        <w:rPr>
          <w:rFonts w:ascii="宋体" w:hAnsi="宋体"/>
        </w:rPr>
      </w:pPr>
      <w:r>
        <w:rPr>
          <w:rFonts w:hint="eastAsia" w:ascii="宋体" w:hAnsi="宋体"/>
        </w:rPr>
        <w:t>掌握：无土栽培的含义，基质栽培的基本用途以及常用的栽培介质；液体再循环系统和固体非再循环体系的优缺点。</w:t>
      </w:r>
    </w:p>
    <w:p>
      <w:pPr>
        <w:pStyle w:val="7"/>
        <w:snapToGrid w:val="0"/>
        <w:spacing w:line="360" w:lineRule="auto"/>
        <w:rPr>
          <w:rFonts w:ascii="宋体" w:hAnsi="宋体"/>
        </w:rPr>
      </w:pPr>
      <w:r>
        <w:rPr>
          <w:rFonts w:hint="eastAsia" w:ascii="宋体" w:hAnsi="宋体"/>
        </w:rPr>
        <w:t>熟练掌握：本章节课后的重点词汇和重点语句，并能够准确阅读和翻译；主要包括无土栽培的浇灌系统以及固体栽培常用介质和优缺点。</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以班级授课的形式讲授温室气候控制相关的专业词汇及术语，利用观看主题相关视频让学生了解无土栽培以及植物工厂；通过智慧课堂辅助软件发放小组作业，学生以小组团队的形式完成课程任务。</w:t>
      </w:r>
    </w:p>
    <w:tbl>
      <w:tblPr>
        <w:tblStyle w:val="22"/>
        <w:tblW w:w="0" w:type="auto"/>
        <w:tblInd w:w="4" w:type="dxa"/>
        <w:tblLayout w:type="autofit"/>
        <w:tblCellMar>
          <w:top w:w="0" w:type="dxa"/>
          <w:left w:w="0" w:type="dxa"/>
          <w:bottom w:w="0" w:type="dxa"/>
          <w:right w:w="0" w:type="dxa"/>
        </w:tblCellMar>
      </w:tblPr>
      <w:tblGrid>
        <w:gridCol w:w="1976"/>
        <w:gridCol w:w="3954"/>
        <w:gridCol w:w="2966"/>
      </w:tblGrid>
      <w:tr>
        <w:tblPrEx>
          <w:tblCellMar>
            <w:top w:w="0" w:type="dxa"/>
            <w:left w:w="0" w:type="dxa"/>
            <w:bottom w:w="0" w:type="dxa"/>
            <w:right w:w="0" w:type="dxa"/>
          </w:tblCellMar>
        </w:tblPrEx>
        <w:trPr>
          <w:trHeight w:val="270" w:hRule="atLeast"/>
        </w:trPr>
        <w:tc>
          <w:tcPr>
            <w:tcW w:w="1976"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954"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 xml:space="preserve">第四章  </w:t>
            </w:r>
            <w:r>
              <w:rPr>
                <w:rFonts w:hAnsi="宋体"/>
                <w:b/>
                <w:bCs/>
                <w:szCs w:val="21"/>
              </w:rPr>
              <w:t>Postharvest Horticulture</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通过本章节英文文章的阅读和理解，了解园艺作物的品质评价因素和组成，以及采收及采后管理的方法和注意事项。</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园艺作物的品质评价和园艺作物的收获以及采后管理。</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pStyle w:val="7"/>
        <w:snapToGrid w:val="0"/>
        <w:spacing w:line="360" w:lineRule="auto"/>
        <w:rPr>
          <w:rFonts w:ascii="宋体" w:hAnsi="宋体"/>
        </w:rPr>
      </w:pPr>
      <w:r>
        <w:rPr>
          <w:rFonts w:hint="eastAsia" w:ascii="宋体" w:hAnsi="宋体"/>
        </w:rPr>
        <w:t>了解：本章的重点词汇和重要语句的含义，园艺产品质量定义、收获和采后管理方法。</w:t>
      </w:r>
    </w:p>
    <w:p>
      <w:pPr>
        <w:pStyle w:val="7"/>
        <w:snapToGrid w:val="0"/>
        <w:spacing w:line="360" w:lineRule="auto"/>
        <w:rPr>
          <w:rFonts w:ascii="宋体" w:hAnsi="宋体"/>
        </w:rPr>
      </w:pPr>
      <w:r>
        <w:rPr>
          <w:rFonts w:hint="eastAsia" w:ascii="宋体" w:hAnsi="宋体"/>
        </w:rPr>
        <w:t>理解：园艺产品的质量因子、收获和管理注意事项。</w:t>
      </w:r>
    </w:p>
    <w:p>
      <w:pPr>
        <w:pStyle w:val="7"/>
        <w:snapToGrid w:val="0"/>
        <w:spacing w:line="360" w:lineRule="auto"/>
        <w:rPr>
          <w:rFonts w:ascii="宋体" w:hAnsi="宋体"/>
        </w:rPr>
      </w:pPr>
      <w:r>
        <w:rPr>
          <w:rFonts w:hint="eastAsia" w:ascii="宋体" w:hAnsi="宋体"/>
        </w:rPr>
        <w:t>掌握：新鲜园艺产品质量因子的组成，以及采收，及采后的管理方法和注意事项。</w:t>
      </w:r>
    </w:p>
    <w:p>
      <w:pPr>
        <w:pStyle w:val="7"/>
        <w:snapToGrid w:val="0"/>
        <w:spacing w:line="360" w:lineRule="auto"/>
        <w:rPr>
          <w:rFonts w:ascii="宋体" w:hAnsi="宋体"/>
        </w:rPr>
      </w:pPr>
      <w:r>
        <w:rPr>
          <w:rFonts w:hint="eastAsia" w:ascii="宋体" w:hAnsi="宋体"/>
        </w:rPr>
        <w:t>熟练掌握：本章节课后的重点词汇和句子，并能够准确理解和翻译。</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以班级授课的形式讲授园艺产品采后贮存技术的相关专业词汇及术语，利用观看主题视频让学生了解常见园艺产品采后流程；通过智慧课堂辅助软件发放相关专题讨论，增加学生的参与度；通过智慧课堂辅助软件发放小组作业，学生以小组团队的形式完成课程任务。</w:t>
      </w:r>
    </w:p>
    <w:p>
      <w:pPr>
        <w:widowControl/>
        <w:snapToGrid w:val="0"/>
        <w:spacing w:line="360" w:lineRule="auto"/>
        <w:rPr>
          <w:rFonts w:ascii="宋体" w:hAnsi="宋体"/>
          <w:b/>
          <w:bCs/>
        </w:rPr>
      </w:pPr>
    </w:p>
    <w:tbl>
      <w:tblPr>
        <w:tblStyle w:val="22"/>
        <w:tblW w:w="0" w:type="auto"/>
        <w:tblInd w:w="4" w:type="dxa"/>
        <w:tblLayout w:type="autofit"/>
        <w:tblCellMar>
          <w:top w:w="0" w:type="dxa"/>
          <w:left w:w="0" w:type="dxa"/>
          <w:bottom w:w="0" w:type="dxa"/>
          <w:right w:w="0" w:type="dxa"/>
        </w:tblCellMar>
      </w:tblPr>
      <w:tblGrid>
        <w:gridCol w:w="1341"/>
        <w:gridCol w:w="4589"/>
        <w:gridCol w:w="2966"/>
      </w:tblGrid>
      <w:tr>
        <w:tblPrEx>
          <w:tblCellMar>
            <w:top w:w="0" w:type="dxa"/>
            <w:left w:w="0" w:type="dxa"/>
            <w:bottom w:w="0" w:type="dxa"/>
            <w:right w:w="0" w:type="dxa"/>
          </w:tblCellMar>
        </w:tblPrEx>
        <w:trPr>
          <w:trHeight w:val="270" w:hRule="atLeast"/>
        </w:trPr>
        <w:tc>
          <w:tcPr>
            <w:tcW w:w="134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458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 xml:space="preserve">第五章  </w:t>
            </w:r>
            <w:r>
              <w:rPr>
                <w:rFonts w:hAnsi="宋体"/>
                <w:b/>
                <w:bCs/>
                <w:szCs w:val="21"/>
              </w:rPr>
              <w:t>Biotechnology and Horticulture</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ascii="宋体" w:hAnsi="宋体"/>
          <w:bCs/>
        </w:rPr>
      </w:pPr>
      <w:r>
        <w:rPr>
          <w:rFonts w:hint="eastAsia" w:ascii="宋体" w:hAnsi="宋体"/>
          <w:b/>
          <w:bCs/>
        </w:rPr>
        <w:t>教学目标：</w:t>
      </w:r>
      <w:r>
        <w:rPr>
          <w:rFonts w:hint="eastAsia" w:ascii="宋体" w:hAnsi="宋体"/>
          <w:bCs/>
        </w:rPr>
        <w:t>通过本章节英文文章的阅读和理解，了解生物技术在园艺作物成熟老化、花色、植株形态形成以及病虫抗性中的作用，以及生物技术在改良园艺作物生物性状中的应用前景。</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生物技术在改良园艺作物生物性状的主要应用。</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pStyle w:val="7"/>
        <w:snapToGrid w:val="0"/>
        <w:spacing w:line="360" w:lineRule="auto"/>
        <w:rPr>
          <w:rFonts w:ascii="宋体" w:hAnsi="宋体"/>
        </w:rPr>
      </w:pPr>
      <w:r>
        <w:rPr>
          <w:rFonts w:hint="eastAsia" w:ascii="宋体" w:hAnsi="宋体"/>
        </w:rPr>
        <w:t>了解：生物技术的发展过程，以及在改良园艺作物生物性状的应用现状及前景。</w:t>
      </w:r>
    </w:p>
    <w:p>
      <w:pPr>
        <w:pStyle w:val="7"/>
        <w:snapToGrid w:val="0"/>
        <w:spacing w:line="360" w:lineRule="auto"/>
        <w:rPr>
          <w:rFonts w:ascii="宋体" w:hAnsi="宋体"/>
        </w:rPr>
      </w:pPr>
      <w:r>
        <w:rPr>
          <w:rFonts w:hint="eastAsia" w:ascii="宋体" w:hAnsi="宋体"/>
        </w:rPr>
        <w:t>理解：生物技术改良园艺作物性状的基本原理。</w:t>
      </w:r>
    </w:p>
    <w:p>
      <w:pPr>
        <w:pStyle w:val="7"/>
        <w:snapToGrid w:val="0"/>
        <w:spacing w:line="360" w:lineRule="auto"/>
        <w:rPr>
          <w:rFonts w:ascii="宋体" w:hAnsi="宋体"/>
        </w:rPr>
      </w:pPr>
      <w:r>
        <w:rPr>
          <w:rFonts w:hint="eastAsia" w:ascii="宋体" w:hAnsi="宋体"/>
        </w:rPr>
        <w:t>掌握：生物技术的含义，以及转基因技术近期发展现状，以及此类综述性文章的撰写特点。</w:t>
      </w:r>
    </w:p>
    <w:p>
      <w:pPr>
        <w:pStyle w:val="7"/>
        <w:snapToGrid w:val="0"/>
        <w:spacing w:line="360" w:lineRule="auto"/>
        <w:rPr>
          <w:rFonts w:ascii="宋体" w:hAnsi="宋体"/>
        </w:rPr>
      </w:pPr>
      <w:r>
        <w:rPr>
          <w:rFonts w:hint="eastAsia" w:ascii="宋体" w:hAnsi="宋体"/>
        </w:rPr>
        <w:t>熟练掌握：本章节的重点词汇和重点语句，并能够准确阅读和翻译。</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以班级授课的形式讲授园艺生物技术的相关专业词汇及术语，利用观看主题视频让学生了解常见的生物技术；通过智慧课堂辅助软件发放相关专题讨论，增加学生的参与度；通过智慧课堂辅助软件发放小组作业，学生以小组团队的形式完成课程任务。</w:t>
      </w:r>
    </w:p>
    <w:tbl>
      <w:tblPr>
        <w:tblStyle w:val="22"/>
        <w:tblW w:w="0" w:type="auto"/>
        <w:tblInd w:w="4" w:type="dxa"/>
        <w:tblLayout w:type="autofit"/>
        <w:tblCellMar>
          <w:top w:w="0" w:type="dxa"/>
          <w:left w:w="0" w:type="dxa"/>
          <w:bottom w:w="0" w:type="dxa"/>
          <w:right w:w="0" w:type="dxa"/>
        </w:tblCellMar>
      </w:tblPr>
      <w:tblGrid>
        <w:gridCol w:w="1976"/>
        <w:gridCol w:w="3954"/>
        <w:gridCol w:w="2966"/>
      </w:tblGrid>
      <w:tr>
        <w:tblPrEx>
          <w:tblCellMar>
            <w:top w:w="0" w:type="dxa"/>
            <w:left w:w="0" w:type="dxa"/>
            <w:bottom w:w="0" w:type="dxa"/>
            <w:right w:w="0" w:type="dxa"/>
          </w:tblCellMar>
        </w:tblPrEx>
        <w:trPr>
          <w:trHeight w:val="270" w:hRule="atLeast"/>
        </w:trPr>
        <w:tc>
          <w:tcPr>
            <w:tcW w:w="1976"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3954"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第</w:t>
            </w:r>
            <w:r>
              <w:rPr>
                <w:rFonts w:hint="eastAsia" w:hAnsi="宋体"/>
                <w:b/>
                <w:szCs w:val="21"/>
              </w:rPr>
              <w:t>六</w:t>
            </w:r>
            <w:r>
              <w:rPr>
                <w:rFonts w:hint="eastAsia" w:hAnsi="宋体"/>
                <w:b/>
                <w:bCs/>
                <w:szCs w:val="21"/>
              </w:rPr>
              <w:t xml:space="preserve">章  </w:t>
            </w:r>
            <w:r>
              <w:rPr>
                <w:rFonts w:hAnsi="宋体"/>
                <w:b/>
                <w:bCs/>
                <w:szCs w:val="21"/>
              </w:rPr>
              <w:t>Low-temperature effects</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通过本章节英文文章的阅读和理解，了解园艺植物在遭受低温胁迫的主要表现和其形成原理，掌握相关的专业英语词汇和重要语句。</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冷害和冻害的含义及区别，以及植物抗寒性和耐冻性的定义及其基本原理。</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pStyle w:val="7"/>
        <w:snapToGrid w:val="0"/>
        <w:spacing w:line="360" w:lineRule="auto"/>
        <w:rPr>
          <w:rFonts w:ascii="宋体" w:hAnsi="宋体"/>
        </w:rPr>
      </w:pPr>
      <w:r>
        <w:rPr>
          <w:rFonts w:hint="eastAsia" w:ascii="宋体" w:hAnsi="宋体"/>
        </w:rPr>
        <w:t>了解：园艺植物低温胁迫相关的专业英语表达方式。</w:t>
      </w:r>
    </w:p>
    <w:p>
      <w:pPr>
        <w:pStyle w:val="7"/>
        <w:snapToGrid w:val="0"/>
        <w:spacing w:line="360" w:lineRule="auto"/>
        <w:rPr>
          <w:rFonts w:ascii="宋体" w:hAnsi="宋体"/>
        </w:rPr>
      </w:pPr>
      <w:r>
        <w:rPr>
          <w:rFonts w:hint="eastAsia" w:ascii="宋体" w:hAnsi="宋体"/>
        </w:rPr>
        <w:t>理解：胁迫、冷害、冻害以及抗寒性、耐冻性的定义和区别。</w:t>
      </w:r>
    </w:p>
    <w:p>
      <w:pPr>
        <w:pStyle w:val="7"/>
        <w:snapToGrid w:val="0"/>
        <w:spacing w:line="360" w:lineRule="auto"/>
        <w:rPr>
          <w:rFonts w:ascii="宋体" w:hAnsi="宋体"/>
        </w:rPr>
      </w:pPr>
      <w:r>
        <w:rPr>
          <w:rFonts w:hint="eastAsia" w:ascii="宋体" w:hAnsi="宋体"/>
        </w:rPr>
        <w:t>掌握：不同植物低温胁迫的表型性状以及细胞生物学的变化及原理。</w:t>
      </w:r>
    </w:p>
    <w:p>
      <w:pPr>
        <w:pStyle w:val="7"/>
        <w:snapToGrid w:val="0"/>
        <w:spacing w:line="360" w:lineRule="auto"/>
        <w:rPr>
          <w:rFonts w:ascii="宋体" w:hAnsi="宋体"/>
        </w:rPr>
      </w:pPr>
      <w:r>
        <w:rPr>
          <w:rFonts w:hint="eastAsia" w:ascii="宋体" w:hAnsi="宋体"/>
        </w:rPr>
        <w:t>熟练掌握：园艺植物低温胁迫相关的重点词汇，以及本文中重要语句，并能够准确理解和翻译。</w:t>
      </w:r>
      <w:r>
        <w:rPr>
          <w:rFonts w:ascii="宋体" w:hAnsi="宋体"/>
        </w:rPr>
        <w:t xml:space="preserve"> </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以班级授课的形式讲授园艺植物遭受低温胁迫的相关专业词汇及术语；通过智慧课堂辅助软件发放相关专业文献，学生以团队的形式总结文献大意；通过智慧课堂辅助软件发放小组作业，学生以小组团队的形式完成课程任务。</w:t>
      </w:r>
    </w:p>
    <w:tbl>
      <w:tblPr>
        <w:tblStyle w:val="22"/>
        <w:tblW w:w="0" w:type="auto"/>
        <w:tblInd w:w="4" w:type="dxa"/>
        <w:tblLayout w:type="autofit"/>
        <w:tblCellMar>
          <w:top w:w="0" w:type="dxa"/>
          <w:left w:w="0" w:type="dxa"/>
          <w:bottom w:w="0" w:type="dxa"/>
          <w:right w:w="0" w:type="dxa"/>
        </w:tblCellMar>
      </w:tblPr>
      <w:tblGrid>
        <w:gridCol w:w="841"/>
        <w:gridCol w:w="5089"/>
        <w:gridCol w:w="2966"/>
      </w:tblGrid>
      <w:tr>
        <w:tblPrEx>
          <w:tblCellMar>
            <w:top w:w="0" w:type="dxa"/>
            <w:left w:w="0" w:type="dxa"/>
            <w:bottom w:w="0" w:type="dxa"/>
            <w:right w:w="0" w:type="dxa"/>
          </w:tblCellMar>
        </w:tblPrEx>
        <w:trPr>
          <w:trHeight w:val="270" w:hRule="atLeast"/>
        </w:trPr>
        <w:tc>
          <w:tcPr>
            <w:tcW w:w="841"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5089"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第</w:t>
            </w:r>
            <w:r>
              <w:rPr>
                <w:rFonts w:hint="eastAsia" w:hAnsi="宋体"/>
                <w:b/>
                <w:szCs w:val="21"/>
              </w:rPr>
              <w:t>七</w:t>
            </w:r>
            <w:r>
              <w:rPr>
                <w:rFonts w:hint="eastAsia" w:hAnsi="宋体"/>
                <w:b/>
                <w:bCs/>
                <w:szCs w:val="21"/>
              </w:rPr>
              <w:t xml:space="preserve">章  </w:t>
            </w:r>
            <w:r>
              <w:rPr>
                <w:rFonts w:hAnsi="宋体"/>
                <w:b/>
                <w:bCs/>
                <w:szCs w:val="21"/>
              </w:rPr>
              <w:t>Biological Pest Control in Horticulture</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数：4</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bCs/>
        </w:rPr>
        <w:t>通过本章英文文章的阅读和理解，了解生物防治的定义和种类，以及在温室蔬菜和观赏性园艺作物病虫害防治中的作用和特点。</w:t>
      </w:r>
      <w:r>
        <w:rPr>
          <w:rFonts w:hint="eastAsia" w:ascii="宋体" w:hAnsi="宋体" w:cs="宋体"/>
          <w:kern w:val="0"/>
          <w:szCs w:val="21"/>
        </w:rPr>
        <w:t></w:t>
      </w:r>
    </w:p>
    <w:p>
      <w:pPr>
        <w:widowControl/>
        <w:snapToGrid w:val="0"/>
        <w:spacing w:line="360" w:lineRule="auto"/>
        <w:rPr>
          <w:rFonts w:hAnsi="宋体"/>
          <w:b/>
          <w:bCs/>
          <w:kern w:val="0"/>
          <w:szCs w:val="21"/>
        </w:rPr>
      </w:pPr>
      <w:r>
        <w:rPr>
          <w:rFonts w:hint="eastAsia" w:ascii="宋体" w:hAnsi="宋体"/>
          <w:b/>
          <w:bCs/>
        </w:rPr>
        <w:t>教学重点和难点：</w:t>
      </w:r>
      <w:r>
        <w:rPr>
          <w:rFonts w:hint="eastAsia" w:ascii="宋体" w:hAnsi="宋体"/>
          <w:bCs/>
        </w:rPr>
        <w:t>生物防治在温室蔬菜和观赏性植物中的应用。</w:t>
      </w:r>
    </w:p>
    <w:p>
      <w:pPr>
        <w:pStyle w:val="7"/>
        <w:snapToGrid w:val="0"/>
        <w:spacing w:line="360" w:lineRule="auto"/>
        <w:ind w:firstLine="0" w:firstLineChars="0"/>
        <w:rPr>
          <w:rFonts w:ascii="宋体" w:hAnsi="宋体"/>
        </w:rPr>
      </w:pPr>
      <w:r>
        <w:rPr>
          <w:rFonts w:hint="eastAsia" w:ascii="宋体" w:hAnsi="宋体"/>
          <w:b/>
        </w:rPr>
        <w:t>主要教学内容及要求：</w:t>
      </w:r>
      <w:r>
        <w:rPr>
          <w:rFonts w:ascii="宋体" w:hAnsi="宋体"/>
        </w:rPr>
        <w:t xml:space="preserve"> </w:t>
      </w:r>
    </w:p>
    <w:p>
      <w:pPr>
        <w:pStyle w:val="7"/>
        <w:snapToGrid w:val="0"/>
        <w:spacing w:line="360" w:lineRule="auto"/>
        <w:rPr>
          <w:rFonts w:ascii="宋体" w:hAnsi="宋体"/>
        </w:rPr>
      </w:pPr>
      <w:r>
        <w:rPr>
          <w:rFonts w:hint="eastAsia" w:ascii="宋体" w:hAnsi="宋体"/>
        </w:rPr>
        <w:t>了解：生物防治相关的英语专业词汇。</w:t>
      </w:r>
    </w:p>
    <w:p>
      <w:pPr>
        <w:pStyle w:val="7"/>
        <w:snapToGrid w:val="0"/>
        <w:spacing w:line="360" w:lineRule="auto"/>
        <w:rPr>
          <w:rFonts w:ascii="宋体" w:hAnsi="宋体"/>
        </w:rPr>
      </w:pPr>
      <w:r>
        <w:rPr>
          <w:rFonts w:hint="eastAsia" w:ascii="宋体" w:hAnsi="宋体"/>
        </w:rPr>
        <w:t>理解：生物防治的含义和特点，以及在温室蔬菜和观赏性园艺植物中的应用。</w:t>
      </w:r>
    </w:p>
    <w:p>
      <w:pPr>
        <w:pStyle w:val="7"/>
        <w:snapToGrid w:val="0"/>
        <w:spacing w:line="360" w:lineRule="auto"/>
        <w:rPr>
          <w:rFonts w:ascii="宋体" w:hAnsi="宋体"/>
        </w:rPr>
      </w:pPr>
      <w:r>
        <w:rPr>
          <w:rFonts w:hint="eastAsia" w:ascii="宋体" w:hAnsi="宋体"/>
        </w:rPr>
        <w:t>掌握：生物防治和生物农药的定义，以及本章节的重点词汇和重要语句，并能够准确理解和翻译。</w:t>
      </w:r>
      <w:r>
        <w:rPr>
          <w:rFonts w:ascii="宋体" w:hAnsi="宋体"/>
        </w:rPr>
        <w:t xml:space="preserve"> </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bCs/>
        </w:rPr>
        <w:t>以班级授课的形式讲授生物防治的相关专业词汇及术语，利用观看世界一流公司的专业视频让学生了解生物防治的意义；通过智慧课堂辅助软件发放相关专题讨论，增加学生的参与度；通过智慧课堂辅助软件发放小组作业，学生以小组团队的形式完成课程任务。</w:t>
      </w:r>
    </w:p>
    <w:p>
      <w:pPr>
        <w:snapToGrid w:val="0"/>
        <w:spacing w:line="360" w:lineRule="auto"/>
        <w:rPr>
          <w:rFonts w:ascii="宋体" w:hAnsi="宋体"/>
          <w:b/>
          <w:szCs w:val="21"/>
        </w:rPr>
      </w:pPr>
      <w:r>
        <w:rPr>
          <w:rFonts w:hint="eastAsia" w:ascii="宋体" w:hAnsi="宋体"/>
          <w:b/>
          <w:szCs w:val="21"/>
        </w:rPr>
        <w:t>五</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hAnsi="宋体"/>
          <w:szCs w:val="21"/>
        </w:rPr>
      </w:pPr>
      <w:r>
        <w:rPr>
          <w:rFonts w:hint="eastAsia" w:hAnsi="宋体"/>
          <w:szCs w:val="21"/>
        </w:rPr>
        <w:t>深度挖掘教材思政元素，搜集高水平期刊园艺专业文献，在讲授西方园艺相关的课程中，融入中国元素，对西方园艺与中国园艺进行对比，使学生在学习园艺专业知识、拓展国际视野的同时，激发学生对中国特色社会主义制度认同，从而树立文化自信、提高人文素养，培养家国情怀，成为具有国际视野和中国情怀的、伟大的社会主义事业建设者和接班人。如在第一章《</w:t>
      </w:r>
      <w:r>
        <w:rPr>
          <w:rFonts w:hAnsi="宋体"/>
          <w:szCs w:val="21"/>
        </w:rPr>
        <w:t>P</w:t>
      </w:r>
      <w:r>
        <w:rPr>
          <w:rFonts w:hint="eastAsia" w:hAnsi="宋体"/>
          <w:szCs w:val="21"/>
        </w:rPr>
        <w:t>rotected</w:t>
      </w:r>
      <w:r>
        <w:rPr>
          <w:rFonts w:hAnsi="宋体"/>
          <w:szCs w:val="21"/>
        </w:rPr>
        <w:t xml:space="preserve"> C</w:t>
      </w:r>
      <w:r>
        <w:rPr>
          <w:rFonts w:hint="eastAsia" w:hAnsi="宋体"/>
          <w:szCs w:val="21"/>
        </w:rPr>
        <w:t>ultivation》中，强调保护地栽培在中国的发展历史悠久；在《Biotechnology</w:t>
      </w:r>
      <w:r>
        <w:rPr>
          <w:rFonts w:hAnsi="宋体"/>
          <w:szCs w:val="21"/>
        </w:rPr>
        <w:t xml:space="preserve"> </w:t>
      </w:r>
      <w:r>
        <w:rPr>
          <w:rFonts w:hint="eastAsia" w:hAnsi="宋体"/>
          <w:szCs w:val="21"/>
        </w:rPr>
        <w:t>and</w:t>
      </w:r>
      <w:r>
        <w:rPr>
          <w:rFonts w:hAnsi="宋体"/>
          <w:szCs w:val="21"/>
        </w:rPr>
        <w:t xml:space="preserve"> H</w:t>
      </w:r>
      <w:r>
        <w:rPr>
          <w:rFonts w:hint="eastAsia" w:hAnsi="宋体"/>
          <w:szCs w:val="21"/>
        </w:rPr>
        <w:t>orticulture》章节中，提出华人学者张锋在基因编辑中的巨大贡献等。</w:t>
      </w:r>
    </w:p>
    <w:p>
      <w:pPr>
        <w:widowControl/>
        <w:snapToGrid w:val="0"/>
        <w:spacing w:line="360" w:lineRule="auto"/>
        <w:jc w:val="left"/>
        <w:rPr>
          <w:kern w:val="0"/>
          <w:szCs w:val="21"/>
        </w:rPr>
      </w:pPr>
      <w:r>
        <w:rPr>
          <w:rFonts w:hint="eastAsia" w:hAnsi="宋体"/>
          <w:b/>
          <w:bCs/>
          <w:kern w:val="0"/>
          <w:szCs w:val="21"/>
        </w:rPr>
        <w:t>六</w:t>
      </w:r>
      <w:r>
        <w:rPr>
          <w:rFonts w:hAnsi="宋体"/>
          <w:b/>
          <w:bCs/>
          <w:kern w:val="0"/>
          <w:szCs w:val="21"/>
        </w:rPr>
        <w:t>、教材</w:t>
      </w:r>
      <w:r>
        <w:rPr>
          <w:rFonts w:hint="eastAsia" w:hAnsi="宋体"/>
          <w:b/>
          <w:bCs/>
          <w:kern w:val="0"/>
          <w:szCs w:val="21"/>
        </w:rPr>
        <w:t>及教学参考书</w:t>
      </w:r>
      <w:r>
        <w:rPr>
          <w:rFonts w:hint="eastAsia" w:ascii="宋体" w:hAnsi="宋体" w:cs="宋体"/>
          <w:b/>
          <w:bCs/>
          <w:kern w:val="0"/>
          <w:szCs w:val="21"/>
        </w:rPr>
        <w:t></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hAnsi="宋体"/>
          <w:bCs/>
          <w:kern w:val="0"/>
          <w:szCs w:val="21"/>
        </w:rPr>
      </w:pPr>
      <w:r>
        <w:rPr>
          <w:rFonts w:hint="eastAsia" w:ascii="宋体" w:hAnsi="宋体"/>
          <w:bCs/>
          <w:kern w:val="0"/>
          <w:szCs w:val="21"/>
        </w:rPr>
        <w:t>理论课教材：</w:t>
      </w:r>
      <w:r>
        <w:rPr>
          <w:rFonts w:hint="eastAsia" w:hAnsi="宋体"/>
          <w:bCs/>
          <w:kern w:val="0"/>
          <w:szCs w:val="21"/>
        </w:rPr>
        <w:t>园艺专业英语（第三版），李亚灵 主编，中国农业出版社，2019年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widowControl/>
        <w:snapToGrid w:val="0"/>
        <w:spacing w:line="360" w:lineRule="auto"/>
        <w:ind w:firstLine="420" w:firstLineChars="200"/>
        <w:jc w:val="left"/>
        <w:rPr>
          <w:rFonts w:hAnsi="宋体"/>
          <w:bCs/>
          <w:kern w:val="0"/>
          <w:szCs w:val="21"/>
        </w:rPr>
      </w:pPr>
      <w:r>
        <w:rPr>
          <w:rFonts w:hint="eastAsia" w:hAnsi="宋体"/>
          <w:bCs/>
          <w:kern w:val="0"/>
          <w:szCs w:val="21"/>
        </w:rPr>
        <w:t>参考期刊：HortScience，Plant Cell，Tissue and Organ Culture，等期刊</w:t>
      </w: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snapToGrid w:val="0"/>
        <w:spacing w:line="360" w:lineRule="auto"/>
        <w:ind w:firstLine="420" w:firstLineChars="200"/>
        <w:rPr>
          <w:szCs w:val="21"/>
        </w:rPr>
      </w:pPr>
      <w:r>
        <w:rPr>
          <w:rFonts w:hAnsi="宋体"/>
          <w:szCs w:val="21"/>
        </w:rPr>
        <w:t>（</w:t>
      </w:r>
      <w:r>
        <w:rPr>
          <w:szCs w:val="21"/>
        </w:rPr>
        <w:t>1</w:t>
      </w:r>
      <w:r>
        <w:rPr>
          <w:rFonts w:hAnsi="宋体"/>
          <w:szCs w:val="21"/>
        </w:rPr>
        <w:t>）</w:t>
      </w:r>
      <w:r>
        <w:rPr>
          <w:rFonts w:hint="eastAsia" w:hAnsi="宋体"/>
          <w:szCs w:val="21"/>
        </w:rPr>
        <w:t>Hortibiz，http://www.hortibiz.com</w:t>
      </w:r>
    </w:p>
    <w:p>
      <w:pPr>
        <w:widowControl/>
        <w:snapToGrid w:val="0"/>
        <w:spacing w:line="360" w:lineRule="auto"/>
        <w:ind w:firstLine="420" w:firstLineChars="200"/>
        <w:jc w:val="left"/>
        <w:rPr>
          <w:kern w:val="0"/>
        </w:rPr>
      </w:pPr>
      <w:r>
        <w:rPr>
          <w:rFonts w:hAnsi="宋体"/>
          <w:szCs w:val="21"/>
        </w:rPr>
        <w:t>（</w:t>
      </w:r>
      <w:r>
        <w:rPr>
          <w:szCs w:val="21"/>
        </w:rPr>
        <w:t>2</w:t>
      </w:r>
      <w:r>
        <w:rPr>
          <w:rFonts w:hAnsi="宋体"/>
          <w:szCs w:val="21"/>
        </w:rPr>
        <w:t>）</w:t>
      </w:r>
      <w:r>
        <w:rPr>
          <w:rFonts w:hint="eastAsia" w:hAnsi="宋体"/>
          <w:szCs w:val="21"/>
        </w:rPr>
        <w:t>ISAAA，http://www.isaaa.org/</w:t>
      </w:r>
    </w:p>
    <w:p>
      <w:pPr>
        <w:widowControl/>
        <w:snapToGrid w:val="0"/>
        <w:spacing w:line="360" w:lineRule="auto"/>
        <w:jc w:val="left"/>
        <w:rPr>
          <w:rFonts w:hAnsi="宋体"/>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szCs w:val="21"/>
        </w:rPr>
      </w:pPr>
      <w:r>
        <w:rPr>
          <w:rFonts w:hint="eastAsia" w:ascii="宋体" w:hAnsi="宋体"/>
          <w:szCs w:val="21"/>
        </w:rPr>
        <w:t>授课教师必须精通园艺专业英语语音、词汇、语义以及语法方面的知识，英语上的听说读写能力更是要突出。而且要流利地在课堂上运用英语知识教学，并把教学原则和教学方法应用到“线上+线下”的教学活动中。园艺专业英语作为一门注重学生英语综合素质的选修课，需要依托网络、多媒体、多个智慧课堂相关软件等，使学生更好的掌握知识。</w:t>
      </w:r>
    </w:p>
    <w:p>
      <w:pPr>
        <w:widowControl/>
        <w:snapToGrid w:val="0"/>
        <w:spacing w:line="360" w:lineRule="auto"/>
        <w:jc w:val="left"/>
        <w:rPr>
          <w:rFonts w:hAnsi="宋体"/>
          <w:b/>
          <w:bCs/>
          <w:kern w:val="0"/>
          <w:szCs w:val="21"/>
        </w:rPr>
      </w:pPr>
      <w:r>
        <w:rPr>
          <w:rFonts w:hint="eastAsia" w:hAnsi="宋体"/>
          <w:b/>
          <w:bCs/>
          <w:kern w:val="0"/>
          <w:szCs w:val="21"/>
        </w:rPr>
        <w:t>八、教学考核评价</w:t>
      </w:r>
    </w:p>
    <w:p>
      <w:pPr>
        <w:widowControl/>
        <w:snapToGrid w:val="0"/>
        <w:spacing w:line="360" w:lineRule="auto"/>
        <w:ind w:firstLine="420"/>
        <w:jc w:val="left"/>
        <w:rPr>
          <w:rFonts w:hAnsi="宋体"/>
          <w:b/>
          <w:bCs/>
          <w:kern w:val="0"/>
          <w:szCs w:val="21"/>
        </w:rPr>
      </w:pPr>
      <w:r>
        <w:rPr>
          <w:rFonts w:hint="eastAsia" w:hAnsi="宋体"/>
          <w:b/>
          <w:bCs/>
          <w:kern w:val="0"/>
          <w:szCs w:val="21"/>
        </w:rPr>
        <w:t>1.过程性评价：</w:t>
      </w:r>
    </w:p>
    <w:p>
      <w:pPr>
        <w:widowControl/>
        <w:snapToGrid w:val="0"/>
        <w:spacing w:line="360" w:lineRule="auto"/>
        <w:ind w:firstLine="420"/>
        <w:jc w:val="left"/>
        <w:rPr>
          <w:rFonts w:ascii="宋体" w:hAnsi="宋体"/>
        </w:rPr>
      </w:pPr>
      <w:r>
        <w:rPr>
          <w:rFonts w:hint="eastAsia" w:ascii="宋体" w:hAnsi="宋体"/>
        </w:rPr>
        <w:t>在教学过程中使用各种评价方法应有利于教学活动的开展，有利于学生英语综合能力的提高，应简单易行，既要避免使用过于繁琐的程序而干扰日常教学，又要防止评价流于形式。</w:t>
      </w:r>
    </w:p>
    <w:p>
      <w:pPr>
        <w:widowControl/>
        <w:snapToGrid w:val="0"/>
        <w:spacing w:line="360" w:lineRule="auto"/>
        <w:ind w:firstLine="420"/>
        <w:jc w:val="left"/>
        <w:rPr>
          <w:rFonts w:ascii="宋体" w:hAnsi="宋体"/>
        </w:rPr>
      </w:pPr>
      <w:r>
        <w:rPr>
          <w:rFonts w:hint="eastAsia" w:ascii="宋体" w:hAnsi="宋体"/>
        </w:rPr>
        <w:t>定量评价与定性评价相结合</w:t>
      </w:r>
    </w:p>
    <w:p>
      <w:pPr>
        <w:widowControl/>
        <w:snapToGrid w:val="0"/>
        <w:spacing w:line="360" w:lineRule="auto"/>
        <w:ind w:firstLine="420"/>
        <w:jc w:val="left"/>
        <w:rPr>
          <w:rFonts w:ascii="宋体" w:hAnsi="宋体"/>
        </w:rPr>
      </w:pPr>
      <w:r>
        <w:rPr>
          <w:rFonts w:hint="eastAsia" w:ascii="宋体" w:hAnsi="宋体"/>
        </w:rPr>
        <w:t>定量评价可采用百分制或等级制的方式。定量评价的形式有标准化作业、开放性作业等。定性评价可以采取问卷调查、表现性评价等方法，使用激励性语言全面、客观地描述学生的状况。</w:t>
      </w:r>
    </w:p>
    <w:p>
      <w:pPr>
        <w:widowControl/>
        <w:snapToGrid w:val="0"/>
        <w:spacing w:line="360" w:lineRule="auto"/>
        <w:ind w:firstLine="420"/>
        <w:jc w:val="left"/>
        <w:rPr>
          <w:rFonts w:ascii="宋体" w:hAnsi="宋体"/>
        </w:rPr>
      </w:pPr>
      <w:r>
        <w:rPr>
          <w:rFonts w:hint="eastAsia" w:ascii="宋体" w:hAnsi="宋体"/>
        </w:rPr>
        <w:t>书面测试与口头测试相结合</w:t>
      </w:r>
    </w:p>
    <w:p>
      <w:pPr>
        <w:widowControl/>
        <w:snapToGrid w:val="0"/>
        <w:spacing w:line="360" w:lineRule="auto"/>
        <w:ind w:firstLine="420"/>
        <w:jc w:val="left"/>
        <w:rPr>
          <w:rFonts w:ascii="宋体" w:hAnsi="宋体"/>
        </w:rPr>
      </w:pPr>
      <w:r>
        <w:rPr>
          <w:rFonts w:hint="eastAsia" w:ascii="宋体" w:hAnsi="宋体"/>
        </w:rPr>
        <w:t>根据不用学习内容模块的目标要求，书面测试与口语测试应结合实施。口语测试应着重强调学生的语言表达能力，不过分强调语音、语调。听力测试应着重检测学生理解和获取信息的能力。书面测试应适当减少客观题，增加有助于学生思维表达的主观题，以检测学生的综合语言运用能力。</w:t>
      </w:r>
    </w:p>
    <w:p>
      <w:pPr>
        <w:widowControl/>
        <w:snapToGrid w:val="0"/>
        <w:spacing w:line="360" w:lineRule="auto"/>
        <w:ind w:firstLine="420"/>
        <w:jc w:val="left"/>
        <w:rPr>
          <w:rFonts w:ascii="宋体" w:hAnsi="宋体"/>
        </w:rPr>
      </w:pPr>
      <w:r>
        <w:rPr>
          <w:rFonts w:hint="eastAsia" w:ascii="宋体" w:hAnsi="宋体"/>
        </w:rPr>
        <w:t>课内与课外相结合</w:t>
      </w:r>
    </w:p>
    <w:p>
      <w:pPr>
        <w:widowControl/>
        <w:snapToGrid w:val="0"/>
        <w:spacing w:line="360" w:lineRule="auto"/>
        <w:ind w:firstLine="420"/>
        <w:jc w:val="left"/>
        <w:rPr>
          <w:rFonts w:ascii="宋体" w:hAnsi="宋体"/>
        </w:rPr>
      </w:pPr>
      <w:r>
        <w:rPr>
          <w:rFonts w:hint="eastAsia" w:ascii="宋体" w:hAnsi="宋体"/>
        </w:rPr>
        <w:t>课内与课外评价相结合，引导学生利用课余时间进行进一步的学习、巩固和提高英语。课外英语评价的方法以形成性评价为主，主要考查学生在实际生活中运用英语的能力，如编排小节目，英语汇报课题等。</w:t>
      </w:r>
    </w:p>
    <w:p>
      <w:pPr>
        <w:widowControl/>
        <w:snapToGrid w:val="0"/>
        <w:spacing w:line="360" w:lineRule="auto"/>
        <w:ind w:firstLine="420"/>
        <w:jc w:val="left"/>
        <w:rPr>
          <w:rFonts w:hAnsi="宋体"/>
          <w:b/>
          <w:bCs/>
          <w:kern w:val="0"/>
          <w:szCs w:val="21"/>
        </w:rPr>
      </w:pPr>
      <w:r>
        <w:rPr>
          <w:rFonts w:hint="eastAsia" w:hAnsi="宋体"/>
          <w:b/>
          <w:bCs/>
          <w:kern w:val="0"/>
          <w:szCs w:val="21"/>
        </w:rPr>
        <w:t>2.终结性评价：</w:t>
      </w:r>
      <w:r>
        <w:rPr>
          <w:rFonts w:hAnsi="宋体"/>
          <w:b/>
          <w:bCs/>
          <w:kern w:val="0"/>
          <w:szCs w:val="21"/>
        </w:rPr>
        <w:t xml:space="preserve"> </w:t>
      </w:r>
    </w:p>
    <w:p>
      <w:pPr>
        <w:widowControl/>
        <w:snapToGrid w:val="0"/>
        <w:spacing w:line="360" w:lineRule="auto"/>
        <w:ind w:firstLine="420"/>
        <w:jc w:val="left"/>
        <w:rPr>
          <w:rFonts w:ascii="宋体" w:hAnsi="宋体"/>
        </w:rPr>
      </w:pPr>
      <w:r>
        <w:rPr>
          <w:rFonts w:hint="eastAsia" w:ascii="宋体" w:hAnsi="宋体"/>
        </w:rPr>
        <w:t>终结性评价以“说”为主，要求学生分别进行个人英文自我介绍（&gt;3</w:t>
      </w:r>
      <w:r>
        <w:rPr>
          <w:rFonts w:ascii="宋体" w:hAnsi="宋体"/>
        </w:rPr>
        <w:t>0</w:t>
      </w:r>
      <w:r>
        <w:rPr>
          <w:rFonts w:hint="eastAsia" w:ascii="宋体" w:hAnsi="宋体"/>
        </w:rPr>
        <w:t>秒）和园艺相关技术或知识的英文介绍（&gt;</w:t>
      </w:r>
      <w:r>
        <w:rPr>
          <w:rFonts w:ascii="宋体" w:hAnsi="宋体"/>
        </w:rPr>
        <w:t xml:space="preserve">3 </w:t>
      </w:r>
      <w:r>
        <w:rPr>
          <w:rFonts w:hint="eastAsia" w:ascii="宋体" w:hAnsi="宋体"/>
        </w:rPr>
        <w:t>分钟）的视频录制，并配有中英文字幕，题材不限，形式不限。依据学生准备的所录视频内的个人口语、内容进行评价。总成绩为1</w:t>
      </w:r>
      <w:r>
        <w:rPr>
          <w:rFonts w:ascii="宋体" w:hAnsi="宋体"/>
        </w:rPr>
        <w:t>00</w:t>
      </w:r>
      <w:r>
        <w:rPr>
          <w:rFonts w:hint="eastAsia" w:ascii="宋体" w:hAnsi="宋体"/>
        </w:rPr>
        <w:t>分，其中个人英文自我介绍占比</w:t>
      </w:r>
      <w:r>
        <w:rPr>
          <w:rFonts w:ascii="宋体" w:hAnsi="宋体"/>
        </w:rPr>
        <w:t>40%</w:t>
      </w:r>
      <w:r>
        <w:rPr>
          <w:rFonts w:hint="eastAsia" w:ascii="宋体" w:hAnsi="宋体"/>
        </w:rPr>
        <w:t>，园艺相关技术或知识的英文介绍占比6</w:t>
      </w:r>
      <w:r>
        <w:rPr>
          <w:rFonts w:ascii="宋体" w:hAnsi="宋体"/>
        </w:rPr>
        <w:t>0%</w:t>
      </w:r>
      <w:r>
        <w:rPr>
          <w:rFonts w:hint="eastAsia" w:ascii="宋体" w:hAnsi="宋体"/>
        </w:rPr>
        <w:t>。</w:t>
      </w:r>
    </w:p>
    <w:p>
      <w:pPr>
        <w:widowControl/>
        <w:snapToGrid w:val="0"/>
        <w:spacing w:line="360" w:lineRule="auto"/>
        <w:ind w:firstLine="420"/>
        <w:jc w:val="left"/>
        <w:rPr>
          <w:rFonts w:hAnsi="宋体"/>
          <w:bCs/>
          <w:kern w:val="0"/>
          <w:szCs w:val="21"/>
        </w:rPr>
      </w:pPr>
      <w:r>
        <w:rPr>
          <w:rFonts w:hint="eastAsia" w:hAnsi="宋体"/>
          <w:b/>
          <w:bCs/>
          <w:kern w:val="0"/>
          <w:szCs w:val="21"/>
        </w:rPr>
        <w:t>3.课程综合评价：</w:t>
      </w:r>
      <w:r>
        <w:rPr>
          <w:rFonts w:hAnsi="宋体"/>
          <w:bCs/>
          <w:kern w:val="0"/>
          <w:szCs w:val="21"/>
        </w:rPr>
        <w:t xml:space="preserve"> </w:t>
      </w:r>
    </w:p>
    <w:p>
      <w:pPr>
        <w:widowControl/>
        <w:snapToGrid w:val="0"/>
        <w:spacing w:line="360" w:lineRule="auto"/>
        <w:ind w:firstLine="420"/>
        <w:jc w:val="left"/>
        <w:rPr>
          <w:rFonts w:ascii="宋体" w:hAnsi="宋体"/>
        </w:rPr>
      </w:pPr>
      <w:r>
        <w:rPr>
          <w:rFonts w:hint="eastAsia" w:ascii="宋体" w:hAnsi="宋体"/>
        </w:rPr>
        <w:t>考核，平时成绩（考勤、参与活动）20%+英文专业汇报30%+英文专题视频50%，总成绩计算考试成绩占100%。</w:t>
      </w:r>
    </w:p>
    <w:p>
      <w:pPr>
        <w:rPr>
          <w:sz w:val="28"/>
          <w:szCs w:val="28"/>
        </w:rPr>
      </w:pPr>
      <w:bookmarkStart w:id="365" w:name="_Toc138070448"/>
      <w:bookmarkStart w:id="366" w:name="_Toc138076337"/>
      <w:bookmarkStart w:id="367" w:name="_Toc138068818"/>
      <w:bookmarkStart w:id="368" w:name="_Toc138070718"/>
      <w:bookmarkStart w:id="369" w:name="_Toc138076088"/>
      <w:bookmarkStart w:id="370" w:name="_Toc138076632"/>
      <w:r>
        <w:rPr>
          <w:rFonts w:hint="eastAsia"/>
          <w:sz w:val="28"/>
          <w:szCs w:val="28"/>
        </w:rPr>
        <w:br w:type="page"/>
      </w:r>
    </w:p>
    <w:p>
      <w:pPr>
        <w:pStyle w:val="21"/>
        <w:rPr>
          <w:bCs w:val="0"/>
          <w:sz w:val="28"/>
          <w:szCs w:val="28"/>
        </w:rPr>
      </w:pPr>
      <w:bookmarkStart w:id="371" w:name="_Toc24514"/>
      <w:r>
        <w:rPr>
          <w:rFonts w:hint="eastAsia"/>
          <w:bCs w:val="0"/>
          <w:sz w:val="28"/>
          <w:szCs w:val="28"/>
        </w:rPr>
        <w:t>园艺植物种子学</w:t>
      </w:r>
      <w:bookmarkEnd w:id="365"/>
      <w:bookmarkEnd w:id="366"/>
      <w:bookmarkEnd w:id="367"/>
      <w:bookmarkEnd w:id="368"/>
      <w:bookmarkEnd w:id="369"/>
      <w:bookmarkEnd w:id="370"/>
      <w:bookmarkEnd w:id="371"/>
    </w:p>
    <w:p>
      <w:pPr>
        <w:snapToGrid w:val="0"/>
        <w:spacing w:line="360" w:lineRule="auto"/>
        <w:jc w:val="center"/>
        <w:rPr>
          <w:rFonts w:hAnsi="宋体"/>
          <w:sz w:val="28"/>
          <w:szCs w:val="28"/>
        </w:rPr>
      </w:pPr>
      <w:r>
        <w:rPr>
          <w:rFonts w:hint="eastAsia" w:hAnsi="宋体"/>
          <w:sz w:val="28"/>
          <w:szCs w:val="28"/>
        </w:rPr>
        <w:t>（</w:t>
      </w:r>
      <w:r>
        <w:rPr>
          <w:rFonts w:hAnsi="宋体" w:eastAsia="黑体" w:cs="宋体"/>
          <w:bCs/>
          <w:i w:val="0"/>
          <w:iCs/>
          <w:kern w:val="36"/>
          <w:sz w:val="24"/>
        </w:rPr>
        <w:t>Seed Science for Horticultural Plants</w:t>
      </w:r>
      <w:r>
        <w:rPr>
          <w:rFonts w:hAnsi="宋体"/>
          <w:sz w:val="28"/>
          <w:szCs w:val="28"/>
        </w:rPr>
        <w:t>）</w:t>
      </w:r>
    </w:p>
    <w:p>
      <w:pPr>
        <w:snapToGrid w:val="0"/>
        <w:spacing w:line="360" w:lineRule="auto"/>
        <w:rPr>
          <w:b/>
          <w:szCs w:val="21"/>
        </w:rPr>
      </w:pPr>
    </w:p>
    <w:tbl>
      <w:tblPr>
        <w:tblStyle w:val="22"/>
        <w:tblW w:w="8522" w:type="dxa"/>
        <w:tblInd w:w="0" w:type="dxa"/>
        <w:tblLayout w:type="fixed"/>
        <w:tblCellMar>
          <w:top w:w="0" w:type="dxa"/>
          <w:left w:w="108" w:type="dxa"/>
          <w:bottom w:w="0" w:type="dxa"/>
          <w:right w:w="108" w:type="dxa"/>
        </w:tblCellMar>
      </w:tblPr>
      <w:tblGrid>
        <w:gridCol w:w="2840"/>
        <w:gridCol w:w="2476"/>
        <w:gridCol w:w="3206"/>
      </w:tblGrid>
      <w:tr>
        <w:tblPrEx>
          <w:tblCellMar>
            <w:top w:w="0" w:type="dxa"/>
            <w:left w:w="108" w:type="dxa"/>
            <w:bottom w:w="0" w:type="dxa"/>
            <w:right w:w="108" w:type="dxa"/>
          </w:tblCellMar>
        </w:tblPrEx>
        <w:tc>
          <w:tcPr>
            <w:tcW w:w="2840" w:type="dxa"/>
          </w:tcPr>
          <w:p>
            <w:pPr>
              <w:spacing w:line="300" w:lineRule="auto"/>
              <w:rPr>
                <w:rFonts w:ascii="宋体" w:hAnsi="宋体"/>
                <w:b/>
                <w:bCs/>
                <w:kern w:val="0"/>
                <w:szCs w:val="21"/>
              </w:rPr>
            </w:pPr>
            <w:r>
              <w:rPr>
                <w:rFonts w:hint="eastAsia" w:ascii="宋体" w:hAnsi="宋体"/>
                <w:b/>
                <w:bCs/>
                <w:kern w:val="0"/>
                <w:szCs w:val="21"/>
              </w:rPr>
              <w:t>课程编号：19011</w:t>
            </w:r>
            <w:r>
              <w:rPr>
                <w:rFonts w:ascii="宋体" w:hAnsi="宋体"/>
                <w:b/>
                <w:bCs/>
                <w:kern w:val="0"/>
                <w:szCs w:val="21"/>
              </w:rPr>
              <w:t>1</w:t>
            </w:r>
            <w:r>
              <w:rPr>
                <w:rFonts w:hint="eastAsia" w:ascii="宋体" w:hAnsi="宋体"/>
                <w:b/>
                <w:bCs/>
                <w:kern w:val="0"/>
                <w:szCs w:val="21"/>
              </w:rPr>
              <w:t>0</w:t>
            </w:r>
            <w:r>
              <w:rPr>
                <w:rFonts w:ascii="宋体" w:hAnsi="宋体"/>
                <w:b/>
                <w:bCs/>
                <w:kern w:val="0"/>
                <w:szCs w:val="21"/>
              </w:rPr>
              <w:t>5</w:t>
            </w:r>
          </w:p>
        </w:tc>
        <w:tc>
          <w:tcPr>
            <w:tcW w:w="2476" w:type="dxa"/>
          </w:tcPr>
          <w:p>
            <w:pPr>
              <w:spacing w:line="300" w:lineRule="auto"/>
              <w:rPr>
                <w:rFonts w:ascii="宋体" w:hAnsi="宋体"/>
                <w:b/>
                <w:bCs/>
                <w:kern w:val="0"/>
                <w:szCs w:val="21"/>
              </w:rPr>
            </w:pPr>
            <w:r>
              <w:rPr>
                <w:rFonts w:hint="eastAsia" w:ascii="宋体" w:hAnsi="宋体"/>
                <w:b/>
                <w:bCs/>
                <w:kern w:val="0"/>
                <w:szCs w:val="21"/>
              </w:rPr>
              <w:t>课程总学时：</w:t>
            </w:r>
            <w:r>
              <w:rPr>
                <w:rFonts w:ascii="宋体" w:hAnsi="宋体"/>
                <w:b/>
                <w:bCs/>
                <w:kern w:val="0"/>
                <w:szCs w:val="21"/>
              </w:rPr>
              <w:t>32</w:t>
            </w:r>
          </w:p>
        </w:tc>
        <w:tc>
          <w:tcPr>
            <w:tcW w:w="3206" w:type="dxa"/>
          </w:tcPr>
          <w:p>
            <w:pPr>
              <w:spacing w:line="300" w:lineRule="auto"/>
              <w:rPr>
                <w:rFonts w:ascii="宋体" w:hAnsi="宋体"/>
                <w:b/>
                <w:bCs/>
                <w:kern w:val="0"/>
                <w:szCs w:val="21"/>
              </w:rPr>
            </w:pPr>
            <w:r>
              <w:rPr>
                <w:rFonts w:hint="eastAsia" w:ascii="宋体" w:hAnsi="宋体"/>
                <w:b/>
                <w:bCs/>
                <w:kern w:val="0"/>
                <w:szCs w:val="21"/>
              </w:rPr>
              <w:t>实验学时：</w:t>
            </w:r>
            <w:r>
              <w:rPr>
                <w:rFonts w:ascii="宋体" w:hAnsi="宋体"/>
                <w:b/>
                <w:bCs/>
                <w:kern w:val="0"/>
                <w:szCs w:val="21"/>
              </w:rPr>
              <w:t>8</w:t>
            </w:r>
          </w:p>
        </w:tc>
      </w:tr>
      <w:tr>
        <w:tblPrEx>
          <w:tblCellMar>
            <w:top w:w="0" w:type="dxa"/>
            <w:left w:w="108" w:type="dxa"/>
            <w:bottom w:w="0" w:type="dxa"/>
            <w:right w:w="108" w:type="dxa"/>
          </w:tblCellMar>
        </w:tblPrEx>
        <w:tc>
          <w:tcPr>
            <w:tcW w:w="2840" w:type="dxa"/>
          </w:tcPr>
          <w:p>
            <w:pPr>
              <w:spacing w:line="300" w:lineRule="auto"/>
              <w:rPr>
                <w:rFonts w:ascii="宋体" w:hAnsi="宋体"/>
                <w:b/>
                <w:bCs/>
                <w:kern w:val="0"/>
                <w:szCs w:val="21"/>
              </w:rPr>
            </w:pPr>
            <w:r>
              <w:rPr>
                <w:rFonts w:hint="eastAsia" w:ascii="宋体" w:hAnsi="宋体"/>
                <w:b/>
                <w:bCs/>
                <w:kern w:val="0"/>
                <w:szCs w:val="21"/>
              </w:rPr>
              <w:t>课程性质：选修</w:t>
            </w:r>
          </w:p>
        </w:tc>
        <w:tc>
          <w:tcPr>
            <w:tcW w:w="2476" w:type="dxa"/>
          </w:tcPr>
          <w:p>
            <w:pPr>
              <w:spacing w:line="300" w:lineRule="auto"/>
              <w:rPr>
                <w:rFonts w:ascii="宋体" w:hAnsi="宋体"/>
                <w:b/>
                <w:bCs/>
                <w:kern w:val="0"/>
                <w:szCs w:val="21"/>
              </w:rPr>
            </w:pPr>
            <w:r>
              <w:rPr>
                <w:rFonts w:hint="eastAsia" w:ascii="宋体" w:hAnsi="宋体"/>
                <w:b/>
                <w:kern w:val="0"/>
                <w:szCs w:val="21"/>
              </w:rPr>
              <w:t>课程属性:专业课</w:t>
            </w:r>
          </w:p>
        </w:tc>
        <w:tc>
          <w:tcPr>
            <w:tcW w:w="3206" w:type="dxa"/>
          </w:tcPr>
          <w:p>
            <w:pPr>
              <w:spacing w:line="300" w:lineRule="auto"/>
              <w:rPr>
                <w:rFonts w:ascii="宋体" w:hAnsi="宋体"/>
                <w:b/>
                <w:bCs/>
                <w:kern w:val="0"/>
                <w:szCs w:val="21"/>
              </w:rPr>
            </w:pPr>
            <w:r>
              <w:rPr>
                <w:rFonts w:hint="eastAsia" w:ascii="宋体" w:hAnsi="宋体"/>
                <w:b/>
                <w:bCs/>
                <w:kern w:val="0"/>
                <w:szCs w:val="21"/>
              </w:rPr>
              <w:t>开设学期：</w:t>
            </w:r>
            <w:r>
              <w:rPr>
                <w:rFonts w:ascii="宋体" w:hAnsi="宋体"/>
                <w:b/>
                <w:bCs/>
                <w:kern w:val="0"/>
                <w:szCs w:val="21"/>
              </w:rPr>
              <w:t>7</w:t>
            </w:r>
          </w:p>
        </w:tc>
      </w:tr>
      <w:tr>
        <w:tblPrEx>
          <w:tblCellMar>
            <w:top w:w="0" w:type="dxa"/>
            <w:left w:w="108" w:type="dxa"/>
            <w:bottom w:w="0" w:type="dxa"/>
            <w:right w:w="108" w:type="dxa"/>
          </w:tblCellMar>
        </w:tblPrEx>
        <w:tc>
          <w:tcPr>
            <w:tcW w:w="8522" w:type="dxa"/>
            <w:gridSpan w:val="3"/>
          </w:tcPr>
          <w:p>
            <w:pPr>
              <w:spacing w:line="300" w:lineRule="auto"/>
              <w:rPr>
                <w:rFonts w:ascii="宋体" w:hAnsi="宋体"/>
                <w:b/>
                <w:bCs/>
                <w:kern w:val="0"/>
                <w:szCs w:val="21"/>
              </w:rPr>
            </w:pPr>
            <w:r>
              <w:rPr>
                <w:rFonts w:hint="eastAsia" w:ascii="宋体" w:hAnsi="宋体"/>
                <w:b/>
                <w:bCs/>
                <w:kern w:val="0"/>
                <w:szCs w:val="21"/>
              </w:rPr>
              <w:t>课程负责人：刘珂珂         课程团队：牛欢欢        授课语言：中文</w:t>
            </w:r>
          </w:p>
        </w:tc>
      </w:tr>
      <w:tr>
        <w:tblPrEx>
          <w:tblCellMar>
            <w:top w:w="0" w:type="dxa"/>
            <w:left w:w="108" w:type="dxa"/>
            <w:bottom w:w="0" w:type="dxa"/>
            <w:right w:w="108" w:type="dxa"/>
          </w:tblCellMar>
        </w:tblPrEx>
        <w:tc>
          <w:tcPr>
            <w:tcW w:w="8522" w:type="dxa"/>
            <w:gridSpan w:val="3"/>
          </w:tcPr>
          <w:p>
            <w:pPr>
              <w:spacing w:line="300" w:lineRule="auto"/>
              <w:rPr>
                <w:rFonts w:ascii="宋体" w:hAnsi="宋体"/>
                <w:b/>
                <w:bCs/>
                <w:kern w:val="0"/>
                <w:szCs w:val="21"/>
              </w:rPr>
            </w:pPr>
            <w:r>
              <w:rPr>
                <w:rFonts w:hint="eastAsia" w:ascii="宋体" w:hAnsi="宋体"/>
                <w:b/>
                <w:bCs/>
                <w:kern w:val="0"/>
                <w:szCs w:val="21"/>
              </w:rPr>
              <w:t>对先修的要求：要求学生掌握植物生理学、气象学、土壤肥料学、作物病虫害防治学的基础知识，拥有简单查阅资料和总结应用的能力。</w:t>
            </w:r>
          </w:p>
          <w:p>
            <w:pPr>
              <w:spacing w:line="300" w:lineRule="auto"/>
              <w:rPr>
                <w:rFonts w:ascii="宋体" w:hAnsi="宋体"/>
                <w:b/>
                <w:bCs/>
                <w:kern w:val="0"/>
                <w:szCs w:val="21"/>
              </w:rPr>
            </w:pPr>
            <w:r>
              <w:rPr>
                <w:rFonts w:hint="eastAsia" w:ascii="宋体" w:hAnsi="宋体"/>
                <w:b/>
                <w:bCs/>
                <w:szCs w:val="21"/>
              </w:rPr>
              <w:t>对后续的支撑：</w:t>
            </w:r>
            <w:r>
              <w:rPr>
                <w:rFonts w:hint="eastAsia" w:ascii="宋体" w:hAnsi="宋体"/>
                <w:b/>
                <w:bCs/>
                <w:kern w:val="0"/>
                <w:szCs w:val="21"/>
              </w:rPr>
              <w:t xml:space="preserve"> 种子学的理论知识又是许多其他学科或课程的重要理论基础，如园艺植物育种学育种等。</w:t>
            </w:r>
          </w:p>
        </w:tc>
      </w:tr>
      <w:tr>
        <w:tblPrEx>
          <w:tblCellMar>
            <w:top w:w="0" w:type="dxa"/>
            <w:left w:w="108" w:type="dxa"/>
            <w:bottom w:w="0" w:type="dxa"/>
            <w:right w:w="108" w:type="dxa"/>
          </w:tblCellMar>
        </w:tblPrEx>
        <w:tc>
          <w:tcPr>
            <w:tcW w:w="2840" w:type="dxa"/>
          </w:tcPr>
          <w:p>
            <w:pPr>
              <w:spacing w:line="300" w:lineRule="auto"/>
              <w:rPr>
                <w:rFonts w:ascii="宋体" w:hAnsi="宋体"/>
                <w:b/>
                <w:bCs/>
                <w:kern w:val="0"/>
                <w:szCs w:val="21"/>
              </w:rPr>
            </w:pPr>
            <w:r>
              <w:rPr>
                <w:rFonts w:hint="eastAsia" w:ascii="宋体" w:hAnsi="宋体"/>
                <w:b/>
                <w:bCs/>
                <w:kern w:val="0"/>
                <w:szCs w:val="21"/>
              </w:rPr>
              <w:t>主撰人：</w:t>
            </w:r>
            <w:r>
              <w:rPr>
                <w:rFonts w:ascii="宋体" w:hAnsi="宋体"/>
                <w:b/>
                <w:bCs/>
                <w:kern w:val="0"/>
                <w:szCs w:val="21"/>
              </w:rPr>
              <w:t xml:space="preserve"> </w:t>
            </w:r>
            <w:r>
              <w:rPr>
                <w:rFonts w:hint="eastAsia" w:ascii="宋体" w:hAnsi="宋体"/>
                <w:b/>
                <w:bCs/>
                <w:kern w:val="0"/>
                <w:szCs w:val="21"/>
              </w:rPr>
              <w:t>刘珂珂</w:t>
            </w:r>
          </w:p>
        </w:tc>
        <w:tc>
          <w:tcPr>
            <w:tcW w:w="2476" w:type="dxa"/>
          </w:tcPr>
          <w:p>
            <w:pPr>
              <w:spacing w:line="300" w:lineRule="auto"/>
              <w:rPr>
                <w:rFonts w:ascii="宋体" w:hAnsi="宋体"/>
                <w:b/>
                <w:bCs/>
                <w:kern w:val="0"/>
                <w:szCs w:val="21"/>
              </w:rPr>
            </w:pPr>
            <w:r>
              <w:rPr>
                <w:rFonts w:hint="eastAsia" w:ascii="宋体" w:hAnsi="宋体"/>
                <w:b/>
                <w:bCs/>
                <w:kern w:val="0"/>
                <w:szCs w:val="21"/>
              </w:rPr>
              <w:t>审核人：贾芝琪</w:t>
            </w:r>
          </w:p>
        </w:tc>
        <w:tc>
          <w:tcPr>
            <w:tcW w:w="3206" w:type="dxa"/>
          </w:tcPr>
          <w:p>
            <w:pPr>
              <w:spacing w:line="300" w:lineRule="auto"/>
              <w:rPr>
                <w:rFonts w:ascii="宋体" w:hAnsi="宋体"/>
                <w:b/>
                <w:bCs/>
                <w:kern w:val="0"/>
                <w:szCs w:val="21"/>
              </w:rPr>
            </w:pPr>
            <w:r>
              <w:rPr>
                <w:rFonts w:hint="eastAsia" w:ascii="宋体" w:hAnsi="宋体"/>
                <w:b/>
                <w:bCs/>
                <w:kern w:val="0"/>
                <w:szCs w:val="21"/>
              </w:rPr>
              <w:t xml:space="preserve">大纲制定（修订）日 </w:t>
            </w:r>
            <w:r>
              <w:rPr>
                <w:rFonts w:hint="eastAsia" w:ascii="宋体" w:hAnsi="宋体"/>
                <w:b/>
                <w:bCs/>
                <w:kern w:val="0"/>
                <w:szCs w:val="21"/>
                <w:lang w:eastAsia="zh-CN"/>
              </w:rPr>
              <w:t>2023.05</w:t>
            </w:r>
          </w:p>
        </w:tc>
      </w:tr>
      <w:tr>
        <w:tblPrEx>
          <w:tblCellMar>
            <w:top w:w="0" w:type="dxa"/>
            <w:left w:w="108" w:type="dxa"/>
            <w:bottom w:w="0" w:type="dxa"/>
            <w:right w:w="108" w:type="dxa"/>
          </w:tblCellMar>
        </w:tblPrEx>
        <w:tc>
          <w:tcPr>
            <w:tcW w:w="2840" w:type="dxa"/>
          </w:tcPr>
          <w:p>
            <w:pPr>
              <w:spacing w:line="300" w:lineRule="auto"/>
              <w:rPr>
                <w:rFonts w:ascii="宋体" w:hAnsi="宋体"/>
                <w:b/>
                <w:bCs/>
                <w:kern w:val="0"/>
                <w:sz w:val="20"/>
                <w:szCs w:val="21"/>
              </w:rPr>
            </w:pPr>
          </w:p>
        </w:tc>
        <w:tc>
          <w:tcPr>
            <w:tcW w:w="2476" w:type="dxa"/>
          </w:tcPr>
          <w:p>
            <w:pPr>
              <w:spacing w:line="300" w:lineRule="auto"/>
              <w:rPr>
                <w:rFonts w:ascii="宋体" w:hAnsi="宋体"/>
                <w:b/>
                <w:bCs/>
                <w:kern w:val="0"/>
                <w:sz w:val="20"/>
                <w:szCs w:val="21"/>
              </w:rPr>
            </w:pPr>
          </w:p>
        </w:tc>
        <w:tc>
          <w:tcPr>
            <w:tcW w:w="3206" w:type="dxa"/>
          </w:tcPr>
          <w:p>
            <w:pPr>
              <w:spacing w:line="300" w:lineRule="auto"/>
              <w:rPr>
                <w:rFonts w:ascii="宋体" w:hAnsi="宋体"/>
                <w:b/>
                <w:bCs/>
                <w:kern w:val="0"/>
                <w:sz w:val="20"/>
                <w:szCs w:val="21"/>
              </w:rPr>
            </w:pPr>
          </w:p>
        </w:tc>
      </w:tr>
    </w:tbl>
    <w:p>
      <w:pPr>
        <w:widowControl/>
        <w:adjustRightInd w:val="0"/>
        <w:snapToGrid w:val="0"/>
        <w:spacing w:line="360" w:lineRule="auto"/>
        <w:jc w:val="left"/>
        <w:rPr>
          <w:kern w:val="0"/>
          <w:szCs w:val="21"/>
        </w:rPr>
      </w:pPr>
      <w:r>
        <w:rPr>
          <w:rFonts w:ascii="宋体" w:hAnsi="宋体"/>
          <w:b/>
          <w:bCs/>
          <w:kern w:val="0"/>
          <w:szCs w:val="21"/>
        </w:rPr>
        <w:t>一、课程的</w:t>
      </w:r>
      <w:r>
        <w:rPr>
          <w:rFonts w:hint="eastAsia" w:ascii="宋体" w:hAnsi="宋体"/>
          <w:b/>
          <w:bCs/>
          <w:kern w:val="0"/>
          <w:szCs w:val="21"/>
        </w:rPr>
        <w:t>教学理念、</w:t>
      </w:r>
      <w:r>
        <w:rPr>
          <w:rFonts w:ascii="宋体" w:hAnsi="宋体"/>
          <w:b/>
          <w:bCs/>
          <w:kern w:val="0"/>
          <w:szCs w:val="21"/>
        </w:rPr>
        <w:t>性质、</w:t>
      </w:r>
      <w:r>
        <w:rPr>
          <w:rFonts w:hint="eastAsia" w:ascii="宋体" w:hAnsi="宋体"/>
          <w:b/>
          <w:bCs/>
          <w:kern w:val="0"/>
          <w:szCs w:val="21"/>
        </w:rPr>
        <w:t>目标</w:t>
      </w:r>
      <w:r>
        <w:rPr>
          <w:rFonts w:ascii="宋体" w:hAnsi="宋体"/>
          <w:b/>
          <w:bCs/>
          <w:kern w:val="0"/>
          <w:szCs w:val="21"/>
        </w:rPr>
        <w:t>和任务</w:t>
      </w:r>
      <w:r>
        <w:rPr>
          <w:rFonts w:hint="eastAsia" w:ascii="宋体" w:hAnsi="宋体" w:cs="宋体"/>
          <w:b/>
          <w:bCs/>
          <w:kern w:val="0"/>
          <w:szCs w:val="21"/>
        </w:rPr>
        <w:t></w:t>
      </w:r>
    </w:p>
    <w:p>
      <w:pPr>
        <w:widowControl/>
        <w:snapToGrid w:val="0"/>
        <w:spacing w:line="360" w:lineRule="auto"/>
        <w:ind w:firstLine="420" w:firstLineChars="200"/>
        <w:jc w:val="left"/>
        <w:rPr>
          <w:kern w:val="0"/>
          <w:szCs w:val="21"/>
        </w:rPr>
      </w:pPr>
      <w:r>
        <w:rPr>
          <w:rFonts w:hint="eastAsia" w:ascii="宋体" w:hAnsi="宋体"/>
          <w:kern w:val="0"/>
          <w:szCs w:val="21"/>
        </w:rPr>
        <w:t>本课程是园艺专业的选修课程之一。本课程主要有两个教学理念：以学生为主体，与学生组成学习共同体，关注激发学生的学习动力；以实践为中心，使学生扎实掌握种子学相关的实践技能。本门课程的主要任务是使该课程主要介绍园艺作物种子的生物学和种子技术两方面的内容。种子的生物学特性包括种子形态构造、化学成分、生理生化基础和种子生长发育、成熟过程，以及种子休眠、发芽、种子活力和寿命及其受生理生态环境的影响等；应用技术包括种子生产、种子调制、种子贮藏和种子检验等。培养学生具备一定的园艺种子科学的理论和技能及从事种子工程、农业生产研究的能力，为进一步研究与开发种子产业体系奠定良好的理论与实践基础。</w:t>
      </w:r>
    </w:p>
    <w:p>
      <w:pPr>
        <w:widowControl/>
        <w:adjustRightInd w:val="0"/>
        <w:snapToGrid w:val="0"/>
        <w:spacing w:line="360" w:lineRule="auto"/>
        <w:jc w:val="left"/>
        <w:rPr>
          <w:rFonts w:ascii="宋体" w:hAnsi="宋体"/>
          <w:b/>
          <w:bCs/>
          <w:kern w:val="0"/>
          <w:szCs w:val="21"/>
        </w:rPr>
      </w:pPr>
      <w:r>
        <w:rPr>
          <w:rFonts w:ascii="宋体" w:hAnsi="宋体"/>
          <w:b/>
          <w:bCs/>
          <w:kern w:val="0"/>
          <w:szCs w:val="21"/>
        </w:rPr>
        <w:t>二、课程教学的基本要求</w:t>
      </w:r>
    </w:p>
    <w:p>
      <w:pPr>
        <w:widowControl/>
        <w:snapToGrid w:val="0"/>
        <w:spacing w:line="360" w:lineRule="auto"/>
        <w:jc w:val="left"/>
        <w:rPr>
          <w:rFonts w:ascii="宋体" w:hAnsi="宋体"/>
          <w:kern w:val="0"/>
          <w:szCs w:val="21"/>
        </w:rPr>
      </w:pPr>
      <w:r>
        <w:rPr>
          <w:kern w:val="0"/>
          <w:szCs w:val="21"/>
        </w:rPr>
        <w:t xml:space="preserve">    </w:t>
      </w:r>
      <w:r>
        <w:rPr>
          <w:rFonts w:hint="eastAsia"/>
          <w:kern w:val="0"/>
          <w:szCs w:val="21"/>
        </w:rPr>
        <w:t xml:space="preserve"> </w:t>
      </w:r>
      <w:r>
        <w:rPr>
          <w:rFonts w:hint="eastAsia" w:ascii="宋体" w:hAnsi="宋体"/>
          <w:kern w:val="0"/>
          <w:szCs w:val="21"/>
        </w:rPr>
        <w:t xml:space="preserve"> </w:t>
      </w:r>
      <w:r>
        <w:rPr>
          <w:rFonts w:ascii="宋体" w:hAnsi="宋体"/>
          <w:kern w:val="0"/>
          <w:szCs w:val="21"/>
        </w:rPr>
        <w:t>1</w:t>
      </w:r>
      <w:r>
        <w:rPr>
          <w:rFonts w:hint="eastAsia" w:ascii="宋体" w:hAnsi="宋体"/>
          <w:kern w:val="0"/>
          <w:szCs w:val="21"/>
        </w:rPr>
        <w:t xml:space="preserve">. </w:t>
      </w:r>
      <w:r>
        <w:rPr>
          <w:rFonts w:ascii="宋体" w:hAnsi="宋体"/>
          <w:kern w:val="0"/>
          <w:szCs w:val="21"/>
        </w:rPr>
        <w:t>理论知识方面：</w:t>
      </w:r>
      <w:r>
        <w:rPr>
          <w:szCs w:val="21"/>
        </w:rPr>
        <w:t>使学生了解和掌握园艺植物种子学的基本原理，了解和掌握实施种子工程的目标是形成一个结构优化、布局合理、相互促进、良性循环的现代化种子产业体系</w:t>
      </w:r>
      <w:r>
        <w:rPr>
          <w:rFonts w:hint="eastAsia"/>
          <w:szCs w:val="21"/>
        </w:rPr>
        <w:t>。</w:t>
      </w:r>
      <w:r>
        <w:rPr>
          <w:rFonts w:ascii="宋体" w:hAnsi="宋体"/>
          <w:kern w:val="0"/>
          <w:szCs w:val="21"/>
        </w:rPr>
        <w:t>   </w:t>
      </w:r>
    </w:p>
    <w:p>
      <w:pPr>
        <w:spacing w:line="360" w:lineRule="auto"/>
        <w:ind w:firstLine="420" w:firstLineChars="200"/>
        <w:rPr>
          <w:szCs w:val="21"/>
        </w:rPr>
      </w:pPr>
      <w:r>
        <w:rPr>
          <w:kern w:val="0"/>
          <w:szCs w:val="21"/>
        </w:rPr>
        <w:t>2</w:t>
      </w:r>
      <w:r>
        <w:rPr>
          <w:rFonts w:hint="eastAsia" w:hAnsi="宋体"/>
          <w:kern w:val="0"/>
          <w:szCs w:val="21"/>
        </w:rPr>
        <w:t xml:space="preserve">. </w:t>
      </w:r>
      <w:r>
        <w:rPr>
          <w:rFonts w:hAnsi="宋体"/>
          <w:kern w:val="0"/>
          <w:szCs w:val="21"/>
        </w:rPr>
        <w:t>实验技能方面：</w:t>
      </w:r>
      <w:r>
        <w:rPr>
          <w:rFonts w:hint="eastAsia" w:hAnsi="宋体"/>
          <w:szCs w:val="21"/>
        </w:rPr>
        <w:t>培养学生从事实验研究的初步能力，即对实验现象有较敏锐的观察能力，运用各种实验手段正确获取实验数据的能力，分析和归纳实验数据的能力，由实验数据和实验现象实事求是地得出结论，并提出自己见解的能力。加深对种子生物学、种子贮藏、质量检验等基础理论的理解和认识</w:t>
      </w:r>
      <w:r>
        <w:rPr>
          <w:rFonts w:hint="eastAsia" w:ascii="宋体" w:hAnsi="宋体" w:cs="宋体"/>
          <w:bCs/>
          <w:kern w:val="0"/>
          <w:szCs w:val="21"/>
        </w:rPr>
        <w:t>。</w:t>
      </w:r>
    </w:p>
    <w:p>
      <w:pPr>
        <w:widowControl/>
        <w:adjustRightInd w:val="0"/>
        <w:snapToGrid w:val="0"/>
        <w:spacing w:line="360" w:lineRule="auto"/>
        <w:jc w:val="left"/>
        <w:rPr>
          <w:rFonts w:hint="eastAsia" w:ascii="Times New Roman"/>
          <w:sz w:val="21"/>
          <w:szCs w:val="21"/>
        </w:rPr>
      </w:pPr>
      <w:r>
        <w:rPr>
          <w:rFonts w:hint="eastAsia" w:ascii="宋体" w:hAnsi="宋体"/>
          <w:b/>
          <w:bCs/>
          <w:kern w:val="0"/>
          <w:szCs w:val="21"/>
        </w:rPr>
        <w:t>三</w:t>
      </w:r>
      <w:r>
        <w:rPr>
          <w:rFonts w:ascii="宋体" w:hAnsi="宋体"/>
          <w:b/>
          <w:bCs/>
          <w:kern w:val="0"/>
          <w:szCs w:val="21"/>
        </w:rPr>
        <w:t>、课程</w:t>
      </w:r>
      <w:r>
        <w:rPr>
          <w:rFonts w:hint="eastAsia" w:ascii="宋体" w:hAnsi="宋体"/>
          <w:b/>
          <w:bCs/>
          <w:kern w:val="0"/>
          <w:szCs w:val="21"/>
        </w:rPr>
        <w:t>的</w:t>
      </w:r>
      <w:r>
        <w:rPr>
          <w:rFonts w:ascii="宋体" w:hAnsi="宋体"/>
          <w:b/>
          <w:bCs/>
          <w:kern w:val="0"/>
          <w:szCs w:val="21"/>
        </w:rPr>
        <w:t>教学</w:t>
      </w:r>
      <w:r>
        <w:rPr>
          <w:rFonts w:hint="eastAsia" w:ascii="宋体" w:hAnsi="宋体"/>
          <w:b/>
          <w:bCs/>
          <w:kern w:val="0"/>
          <w:szCs w:val="21"/>
        </w:rPr>
        <w:t>设计</w:t>
      </w:r>
    </w:p>
    <w:p>
      <w:pPr>
        <w:spacing w:line="360" w:lineRule="auto"/>
        <w:ind w:firstLine="420" w:firstLineChars="200"/>
        <w:rPr>
          <w:rFonts w:hAnsi="宋体"/>
          <w:bCs/>
          <w:kern w:val="0"/>
          <w:szCs w:val="21"/>
        </w:rPr>
      </w:pPr>
      <w:r>
        <w:rPr>
          <w:rFonts w:hint="eastAsia" w:hAnsi="宋体"/>
          <w:bCs/>
          <w:kern w:val="0"/>
          <w:szCs w:val="21"/>
        </w:rPr>
        <w:t>1.教学设计说明</w:t>
      </w:r>
    </w:p>
    <w:p>
      <w:pPr>
        <w:pStyle w:val="20"/>
        <w:spacing w:before="0" w:beforeAutospacing="0" w:after="0" w:afterAutospacing="0" w:line="360" w:lineRule="auto"/>
        <w:ind w:firstLine="420" w:firstLineChars="200"/>
        <w:rPr>
          <w:rFonts w:ascii="Times New Roman" w:hAnsi="Times New Roman"/>
          <w:sz w:val="21"/>
          <w:szCs w:val="21"/>
        </w:rPr>
      </w:pPr>
      <w:r>
        <w:rPr>
          <w:rFonts w:hint="eastAsia" w:ascii="Times New Roman"/>
          <w:sz w:val="21"/>
          <w:szCs w:val="21"/>
        </w:rPr>
        <w:t>采用课堂教学和实验教学相结合的手段</w:t>
      </w:r>
      <w:r>
        <w:rPr>
          <w:rFonts w:hint="eastAsia" w:ascii="Times New Roman" w:hAnsi="Times New Roman"/>
          <w:sz w:val="21"/>
          <w:szCs w:val="21"/>
        </w:rPr>
        <w:t>，其中</w:t>
      </w:r>
      <w:r>
        <w:rPr>
          <w:rFonts w:ascii="Times New Roman" w:hAnsi="Times New Roman"/>
          <w:sz w:val="21"/>
          <w:szCs w:val="21"/>
        </w:rPr>
        <w:t>24</w:t>
      </w:r>
      <w:r>
        <w:rPr>
          <w:rFonts w:hint="eastAsia" w:ascii="Times New Roman" w:hAnsi="Times New Roman"/>
          <w:sz w:val="21"/>
          <w:szCs w:val="21"/>
        </w:rPr>
        <w:t>学时理论课采用多媒体教学，</w:t>
      </w:r>
      <w:r>
        <w:rPr>
          <w:rFonts w:ascii="Times New Roman" w:hAnsi="Times New Roman"/>
          <w:sz w:val="21"/>
          <w:szCs w:val="21"/>
        </w:rPr>
        <w:t>8</w:t>
      </w:r>
      <w:r>
        <w:rPr>
          <w:rFonts w:hint="eastAsia" w:ascii="Times New Roman" w:hAnsi="Times New Roman"/>
          <w:sz w:val="21"/>
          <w:szCs w:val="21"/>
        </w:rPr>
        <w:t>学时的实验课为室内实验。</w:t>
      </w:r>
    </w:p>
    <w:p>
      <w:pPr>
        <w:spacing w:line="360" w:lineRule="auto"/>
        <w:ind w:firstLine="420" w:firstLineChars="200"/>
        <w:rPr>
          <w:rFonts w:ascii="宋体" w:hAnsi="宋体" w:cs="宋体"/>
          <w:bCs/>
          <w:kern w:val="0"/>
          <w:szCs w:val="21"/>
        </w:rPr>
      </w:pPr>
      <w:r>
        <w:rPr>
          <w:rFonts w:hint="eastAsia" w:ascii="宋体" w:hAnsi="宋体" w:cs="宋体"/>
          <w:bCs/>
          <w:kern w:val="0"/>
          <w:szCs w:val="21"/>
        </w:rPr>
        <w:t>“园艺植物种子学”以线下教学为主，有效利用线上教学手段进行预习、复习和作业，线下教学有教师课堂讲授、小组讨论、翻转课堂学生实验等。教学时注意和老师们的科研相结合，传递最近的技术和科研成果。</w:t>
      </w:r>
    </w:p>
    <w:p>
      <w:pPr>
        <w:spacing w:line="360" w:lineRule="auto"/>
        <w:ind w:firstLine="420" w:firstLineChars="200"/>
        <w:rPr>
          <w:rFonts w:ascii="宋体" w:hAnsi="宋体" w:cs="宋体"/>
          <w:bCs/>
          <w:kern w:val="0"/>
          <w:szCs w:val="21"/>
        </w:rPr>
      </w:pPr>
      <w:r>
        <w:rPr>
          <w:rFonts w:hint="eastAsia" w:ascii="宋体" w:hAnsi="宋体" w:cs="宋体"/>
          <w:bCs/>
          <w:kern w:val="0"/>
          <w:szCs w:val="21"/>
        </w:rPr>
        <w:t>“园艺植物种子学”要求学生查阅有关园艺植物种子生物学，种子加工与检验，园艺植物种子繁殖等相关的文献资料，书写进展报告或作读书报告，扩大种子科学知识面。</w:t>
      </w:r>
    </w:p>
    <w:p>
      <w:pPr>
        <w:spacing w:line="360" w:lineRule="auto"/>
        <w:ind w:firstLine="420" w:firstLineChars="200"/>
        <w:rPr>
          <w:rFonts w:hint="eastAsia" w:ascii="宋体" w:hAnsi="宋体" w:cs="宋体"/>
          <w:bCs/>
          <w:kern w:val="0"/>
          <w:szCs w:val="21"/>
        </w:rPr>
      </w:pPr>
      <w:r>
        <w:rPr>
          <w:rFonts w:hint="eastAsia" w:ascii="宋体" w:hAnsi="宋体" w:cs="宋体"/>
          <w:bCs/>
          <w:kern w:val="0"/>
          <w:szCs w:val="21"/>
        </w:rPr>
        <w:t>“园艺植物种子学”通过种子学的基本理论基本知识培养学生园艺专业能力，通过实验培养学生从事种子相关工作的基本实践技能，通过论文检索查阅等培养学生的创新思维和国际视野。通过中外种子企业对比、“种子卡脖子”问题展示培养学生服务农业的责任心。</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hAnsi="宋体"/>
          <w:bCs/>
          <w:color w:val="0000FF"/>
          <w:kern w:val="0"/>
          <w:szCs w:val="21"/>
          <w:lang w:val="en-US" w:eastAsia="zh-CN"/>
        </w:rPr>
      </w:pPr>
      <w:r>
        <w:rPr>
          <w:rFonts w:hint="eastAsia" w:hAnsi="宋体"/>
          <w:bCs/>
          <w:color w:val="auto"/>
          <w:kern w:val="0"/>
          <w:szCs w:val="21"/>
          <w:lang w:val="en-US" w:eastAsia="zh-CN"/>
        </w:rPr>
        <w:t>2.课程目标及对毕业要求的支撑</w:t>
      </w:r>
    </w:p>
    <w:tbl>
      <w:tblPr>
        <w:tblStyle w:val="23"/>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lang w:val="en-US" w:eastAsia="zh-CN"/>
              </w:rPr>
            </w:pPr>
            <w:r>
              <w:rPr>
                <w:rFonts w:hint="eastAsia" w:eastAsiaTheme="minorEastAsia"/>
                <w:sz w:val="18"/>
                <w:szCs w:val="18"/>
                <w:lang w:val="en-US" w:eastAsia="zh-CN"/>
              </w:rPr>
              <w:t>1</w:t>
            </w:r>
          </w:p>
        </w:tc>
        <w:tc>
          <w:tcPr>
            <w:tcW w:w="684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eastAsia="宋体" w:cs="宋体"/>
                <w:color w:val="353535"/>
                <w:kern w:val="0"/>
                <w:sz w:val="18"/>
                <w:szCs w:val="18"/>
                <w:lang w:eastAsia="zh-CN"/>
              </w:rPr>
            </w:pPr>
            <w:r>
              <w:rPr>
                <w:rFonts w:hint="eastAsia" w:ascii="宋体" w:hAnsi="宋体" w:cs="宋体"/>
                <w:color w:val="353535"/>
                <w:kern w:val="0"/>
                <w:sz w:val="18"/>
                <w:szCs w:val="18"/>
              </w:rPr>
              <w:t>使学生了解</w:t>
            </w:r>
            <w:r>
              <w:rPr>
                <w:rFonts w:hint="eastAsia" w:ascii="宋体" w:hAnsi="宋体" w:cs="宋体"/>
                <w:color w:val="353535"/>
                <w:kern w:val="0"/>
                <w:sz w:val="18"/>
                <w:szCs w:val="18"/>
                <w:lang w:val="en-US" w:eastAsia="zh-CN"/>
              </w:rPr>
              <w:t>园艺植物种子</w:t>
            </w:r>
            <w:r>
              <w:rPr>
                <w:rFonts w:hint="eastAsia" w:ascii="宋体" w:hAnsi="宋体" w:cs="宋体"/>
                <w:color w:val="353535"/>
                <w:kern w:val="0"/>
                <w:sz w:val="18"/>
                <w:szCs w:val="18"/>
              </w:rPr>
              <w:t>产业发展的最新动态和前沿问题</w:t>
            </w:r>
            <w:r>
              <w:rPr>
                <w:rFonts w:hint="eastAsia" w:ascii="宋体" w:hAnsi="宋体" w:cs="宋体"/>
                <w:color w:val="353535"/>
                <w:kern w:val="0"/>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eastAsia="宋体" w:cs="宋体"/>
                <w:color w:val="353535"/>
                <w:kern w:val="0"/>
                <w:sz w:val="18"/>
                <w:szCs w:val="18"/>
                <w:lang w:val="en-US" w:eastAsia="zh-CN"/>
              </w:rPr>
            </w:pPr>
            <w:r>
              <w:rPr>
                <w:rFonts w:hint="eastAsia" w:ascii="宋体" w:hAnsi="宋体" w:eastAsia="宋体" w:cs="宋体"/>
                <w:color w:val="353535"/>
                <w:kern w:val="0"/>
                <w:sz w:val="18"/>
                <w:szCs w:val="18"/>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lang w:val="en-US" w:eastAsia="zh-CN"/>
              </w:rPr>
            </w:pPr>
            <w:r>
              <w:rPr>
                <w:rFonts w:hint="eastAsia" w:eastAsiaTheme="minorEastAsia"/>
                <w:sz w:val="18"/>
                <w:szCs w:val="18"/>
                <w:lang w:val="en-US" w:eastAsia="zh-CN"/>
              </w:rPr>
              <w:t>2</w:t>
            </w:r>
          </w:p>
        </w:tc>
        <w:tc>
          <w:tcPr>
            <w:tcW w:w="684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default" w:ascii="宋体" w:hAnsi="宋体" w:eastAsia="宋体" w:cs="宋体"/>
                <w:color w:val="353535"/>
                <w:kern w:val="0"/>
                <w:sz w:val="18"/>
                <w:szCs w:val="18"/>
                <w:lang w:val="en-US" w:eastAsia="zh-CN"/>
              </w:rPr>
            </w:pPr>
            <w:r>
              <w:rPr>
                <w:rFonts w:hint="eastAsia" w:ascii="宋体" w:hAnsi="宋体" w:cs="宋体"/>
                <w:color w:val="353535"/>
                <w:kern w:val="0"/>
                <w:sz w:val="18"/>
                <w:szCs w:val="18"/>
              </w:rPr>
              <w:t>使学生掌握</w:t>
            </w:r>
            <w:r>
              <w:rPr>
                <w:rFonts w:hint="eastAsia" w:ascii="宋体" w:hAnsi="宋体" w:cs="宋体"/>
                <w:color w:val="353535"/>
                <w:kern w:val="0"/>
                <w:sz w:val="18"/>
                <w:szCs w:val="18"/>
                <w:lang w:val="en-US" w:eastAsia="zh-CN"/>
              </w:rPr>
              <w:t>园艺植物种子生产</w:t>
            </w:r>
            <w:r>
              <w:rPr>
                <w:rFonts w:hint="eastAsia" w:ascii="宋体" w:hAnsi="宋体" w:cs="宋体"/>
                <w:color w:val="353535"/>
                <w:kern w:val="0"/>
                <w:sz w:val="18"/>
                <w:szCs w:val="18"/>
              </w:rPr>
              <w:t>的基本理论</w:t>
            </w:r>
            <w:r>
              <w:rPr>
                <w:rFonts w:hint="eastAsia" w:ascii="宋体" w:hAnsi="宋体" w:cs="宋体"/>
                <w:color w:val="353535"/>
                <w:kern w:val="0"/>
                <w:sz w:val="18"/>
                <w:szCs w:val="18"/>
                <w:lang w:val="en-US" w:eastAsia="zh-CN"/>
              </w:rPr>
              <w:t>和基本方法，具有基本的从事种子相关工作的能力。</w:t>
            </w:r>
          </w:p>
        </w:tc>
        <w:tc>
          <w:tcPr>
            <w:tcW w:w="105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eastAsia="宋体" w:cs="宋体"/>
                <w:color w:val="353535"/>
                <w:kern w:val="0"/>
                <w:sz w:val="18"/>
                <w:szCs w:val="18"/>
                <w:lang w:val="en-US" w:eastAsia="zh-CN"/>
              </w:rPr>
            </w:pPr>
            <w:r>
              <w:rPr>
                <w:rFonts w:hint="eastAsia" w:ascii="宋体" w:hAnsi="宋体" w:eastAsia="宋体" w:cs="宋体"/>
                <w:color w:val="353535"/>
                <w:kern w:val="0"/>
                <w:sz w:val="18"/>
                <w:szCs w:val="18"/>
                <w:lang w:val="en-US" w:eastAsia="zh-CN"/>
              </w:rPr>
              <w:t>5</w:t>
            </w:r>
          </w:p>
          <w:p>
            <w:pPr>
              <w:widowControl/>
              <w:snapToGrid w:val="0"/>
              <w:spacing w:line="360" w:lineRule="auto"/>
              <w:jc w:val="center"/>
              <w:rPr>
                <w:rFonts w:hint="default" w:ascii="宋体" w:hAnsi="宋体" w:eastAsia="宋体" w:cs="宋体"/>
                <w:color w:val="353535"/>
                <w:kern w:val="0"/>
                <w:sz w:val="18"/>
                <w:szCs w:val="18"/>
                <w:lang w:val="en-US" w:eastAsia="zh-CN"/>
              </w:rPr>
            </w:pPr>
            <w:r>
              <w:rPr>
                <w:rFonts w:hint="eastAsia" w:ascii="宋体" w:hAnsi="宋体" w:cs="宋体"/>
                <w:color w:val="353535"/>
                <w:kern w:val="0"/>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lang w:val="en-US" w:eastAsia="zh-CN"/>
              </w:rPr>
            </w:pPr>
            <w:r>
              <w:rPr>
                <w:rFonts w:hint="eastAsia" w:eastAsiaTheme="minorEastAsia"/>
                <w:sz w:val="18"/>
                <w:szCs w:val="18"/>
                <w:lang w:val="en-US" w:eastAsia="zh-CN"/>
              </w:rPr>
              <w:t>3</w:t>
            </w:r>
          </w:p>
        </w:tc>
        <w:tc>
          <w:tcPr>
            <w:tcW w:w="684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eastAsia="宋体" w:cs="宋体"/>
                <w:color w:val="353535"/>
                <w:kern w:val="0"/>
                <w:sz w:val="18"/>
                <w:szCs w:val="18"/>
                <w:lang w:eastAsia="zh-CN"/>
              </w:rPr>
            </w:pPr>
            <w:r>
              <w:rPr>
                <w:rFonts w:hint="eastAsia" w:ascii="宋体" w:hAnsi="宋体" w:cs="宋体"/>
                <w:color w:val="353535"/>
                <w:kern w:val="0"/>
                <w:sz w:val="18"/>
                <w:szCs w:val="18"/>
              </w:rPr>
              <w:t>引导学生</w:t>
            </w:r>
            <w:r>
              <w:rPr>
                <w:rFonts w:hint="eastAsia" w:ascii="宋体" w:hAnsi="宋体" w:cs="宋体"/>
                <w:color w:val="353535"/>
                <w:kern w:val="0"/>
                <w:sz w:val="18"/>
                <w:szCs w:val="18"/>
                <w:lang w:val="en-US" w:eastAsia="zh-CN"/>
              </w:rPr>
              <w:t>解决种子问题</w:t>
            </w:r>
            <w:r>
              <w:rPr>
                <w:rFonts w:hint="eastAsia" w:ascii="宋体" w:hAnsi="宋体" w:cs="宋体"/>
                <w:color w:val="353535"/>
                <w:kern w:val="0"/>
                <w:sz w:val="18"/>
                <w:szCs w:val="18"/>
              </w:rPr>
              <w:t>，砥砺强国之志</w:t>
            </w:r>
            <w:r>
              <w:rPr>
                <w:rFonts w:hint="eastAsia" w:ascii="宋体" w:hAnsi="宋体" w:cs="宋体"/>
                <w:color w:val="353535"/>
                <w:kern w:val="0"/>
                <w:sz w:val="18"/>
                <w:szCs w:val="18"/>
                <w:lang w:eastAsia="zh-CN"/>
              </w:rPr>
              <w:t>。</w:t>
            </w:r>
          </w:p>
        </w:tc>
        <w:tc>
          <w:tcPr>
            <w:tcW w:w="105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eastAsia="宋体" w:cs="宋体"/>
                <w:color w:val="353535"/>
                <w:kern w:val="0"/>
                <w:sz w:val="18"/>
                <w:szCs w:val="18"/>
                <w:lang w:val="en-US" w:eastAsia="zh-CN"/>
              </w:rPr>
            </w:pPr>
            <w:r>
              <w:rPr>
                <w:rFonts w:hint="eastAsia" w:ascii="宋体" w:hAnsi="宋体" w:eastAsia="宋体" w:cs="宋体"/>
                <w:color w:val="353535"/>
                <w:kern w:val="0"/>
                <w:sz w:val="18"/>
                <w:szCs w:val="18"/>
                <w:lang w:val="en-US" w:eastAsia="zh-CN"/>
              </w:rPr>
              <w:t>2</w:t>
            </w:r>
          </w:p>
        </w:tc>
      </w:tr>
    </w:tbl>
    <w:p>
      <w:pPr>
        <w:spacing w:line="360" w:lineRule="auto"/>
        <w:ind w:firstLine="420" w:firstLineChars="200"/>
        <w:rPr>
          <w:rFonts w:hint="eastAsia" w:ascii="宋体" w:hAnsi="宋体" w:cs="宋体"/>
          <w:bCs/>
          <w:kern w:val="0"/>
          <w:szCs w:val="21"/>
        </w:rPr>
      </w:pPr>
    </w:p>
    <w:p>
      <w:pPr>
        <w:pStyle w:val="20"/>
        <w:spacing w:before="0" w:beforeAutospacing="0" w:after="0" w:afterAutospacing="0" w:line="360" w:lineRule="auto"/>
        <w:rPr>
          <w:rFonts w:ascii="Times New Roman" w:hAnsi="Times New Roman"/>
          <w:sz w:val="21"/>
          <w:szCs w:val="21"/>
        </w:rPr>
      </w:pPr>
      <w:r>
        <w:rPr>
          <w:rFonts w:hint="eastAsia"/>
          <w:b/>
          <w:bCs/>
          <w:sz w:val="21"/>
          <w:szCs w:val="21"/>
        </w:rPr>
        <w:t>四</w:t>
      </w:r>
      <w:r>
        <w:rPr>
          <w:b/>
          <w:bCs/>
          <w:sz w:val="21"/>
          <w:szCs w:val="21"/>
        </w:rPr>
        <w:t>、理论教学内容及学时分配</w:t>
      </w:r>
      <w:r>
        <w:rPr>
          <w:rFonts w:hint="eastAsia"/>
          <w:b/>
          <w:bCs/>
          <w:sz w:val="21"/>
          <w:szCs w:val="21"/>
        </w:rPr>
        <w:t>（</w:t>
      </w:r>
      <w:r>
        <w:rPr>
          <w:b/>
          <w:bCs/>
          <w:sz w:val="21"/>
          <w:szCs w:val="21"/>
        </w:rPr>
        <w:t>28</w:t>
      </w:r>
      <w:r>
        <w:rPr>
          <w:rFonts w:hint="eastAsia"/>
          <w:b/>
          <w:bCs/>
          <w:sz w:val="21"/>
          <w:szCs w:val="21"/>
        </w:rPr>
        <w:t>学时）</w:t>
      </w:r>
    </w:p>
    <w:p>
      <w:pPr>
        <w:pStyle w:val="20"/>
        <w:spacing w:before="0" w:beforeAutospacing="0" w:after="0" w:afterAutospacing="0"/>
        <w:ind w:firstLine="413" w:firstLineChars="196"/>
        <w:jc w:val="center"/>
        <w:rPr>
          <w:b/>
          <w:bCs/>
          <w:sz w:val="21"/>
          <w:szCs w:val="21"/>
        </w:rPr>
      </w:pPr>
      <w:r>
        <w:rPr>
          <w:rFonts w:hint="eastAsia" w:ascii="Times New Roman"/>
          <w:b/>
          <w:sz w:val="21"/>
          <w:szCs w:val="21"/>
        </w:rPr>
        <w:t xml:space="preserve"> </w:t>
      </w:r>
      <w:r>
        <w:rPr>
          <w:rFonts w:ascii="Times New Roman"/>
          <w:b/>
          <w:sz w:val="21"/>
          <w:szCs w:val="21"/>
        </w:rPr>
        <w:t xml:space="preserve">                          </w:t>
      </w:r>
      <w:r>
        <w:rPr>
          <w:b/>
          <w:bCs/>
          <w:sz w:val="21"/>
          <w:szCs w:val="21"/>
        </w:rPr>
        <w:t>绪论</w:t>
      </w:r>
      <w:r>
        <w:rPr>
          <w:rFonts w:hint="eastAsia"/>
          <w:b/>
          <w:bCs/>
          <w:sz w:val="21"/>
          <w:szCs w:val="21"/>
        </w:rPr>
        <w:t xml:space="preserve"> </w:t>
      </w:r>
      <w:r>
        <w:rPr>
          <w:b/>
          <w:bCs/>
          <w:sz w:val="21"/>
          <w:szCs w:val="21"/>
        </w:rPr>
        <w:t xml:space="preserve">                          </w:t>
      </w:r>
      <w:r>
        <w:rPr>
          <w:rFonts w:hint="eastAsia"/>
          <w:b/>
          <w:bCs/>
          <w:sz w:val="21"/>
          <w:szCs w:val="21"/>
        </w:rPr>
        <w:t>学时数：</w:t>
      </w:r>
      <w:r>
        <w:rPr>
          <w:b/>
          <w:bCs/>
          <w:sz w:val="21"/>
          <w:szCs w:val="21"/>
        </w:rPr>
        <w:t>1</w:t>
      </w:r>
    </w:p>
    <w:p>
      <w:pPr>
        <w:spacing w:line="360" w:lineRule="auto"/>
        <w:rPr>
          <w:rFonts w:hAnsi="宋体"/>
          <w:szCs w:val="21"/>
        </w:rPr>
      </w:pPr>
      <w:r>
        <w:rPr>
          <w:rFonts w:hint="eastAsia" w:ascii="宋体" w:hAnsi="宋体"/>
          <w:b/>
          <w:bCs/>
          <w:szCs w:val="21"/>
        </w:rPr>
        <w:t>教学目的：</w:t>
      </w:r>
      <w:r>
        <w:rPr>
          <w:rFonts w:hAnsi="宋体"/>
          <w:szCs w:val="21"/>
        </w:rPr>
        <w:t>了解种子学的发展</w:t>
      </w:r>
      <w:r>
        <w:rPr>
          <w:rFonts w:hint="eastAsia" w:hAnsi="宋体"/>
          <w:szCs w:val="21"/>
        </w:rPr>
        <w:t>，</w:t>
      </w:r>
      <w:r>
        <w:rPr>
          <w:rFonts w:hAnsi="宋体"/>
          <w:szCs w:val="21"/>
        </w:rPr>
        <w:t>了解种子学的内容和任务以及种子学的热点问题</w:t>
      </w:r>
      <w:r>
        <w:rPr>
          <w:rFonts w:hint="eastAsia" w:hAnsi="宋体"/>
          <w:szCs w:val="21"/>
        </w:rPr>
        <w:t xml:space="preserve">。 </w:t>
      </w:r>
    </w:p>
    <w:p>
      <w:pPr>
        <w:spacing w:line="360" w:lineRule="auto"/>
        <w:rPr>
          <w:rFonts w:hAnsi="宋体"/>
          <w:szCs w:val="21"/>
        </w:rPr>
      </w:pPr>
      <w:r>
        <w:rPr>
          <w:rFonts w:hint="eastAsia" w:ascii="宋体" w:hAnsi="宋体"/>
          <w:b/>
          <w:bCs/>
          <w:szCs w:val="21"/>
        </w:rPr>
        <w:t>重点和难点</w:t>
      </w:r>
      <w:r>
        <w:rPr>
          <w:rFonts w:hint="eastAsia" w:ascii="宋体" w:hAnsi="宋体" w:cs="宋体"/>
          <w:b/>
          <w:bCs/>
          <w:kern w:val="0"/>
          <w:szCs w:val="21"/>
        </w:rPr>
        <w:t>：</w:t>
      </w:r>
      <w:r>
        <w:rPr>
          <w:rFonts w:hAnsi="宋体"/>
          <w:szCs w:val="21"/>
        </w:rPr>
        <w:t>种子的涵义</w:t>
      </w:r>
      <w:r>
        <w:rPr>
          <w:rFonts w:hint="eastAsia" w:hAnsi="宋体"/>
          <w:szCs w:val="21"/>
        </w:rPr>
        <w:t>；</w:t>
      </w:r>
      <w:r>
        <w:rPr>
          <w:rFonts w:hAnsi="宋体"/>
          <w:szCs w:val="21"/>
        </w:rPr>
        <w:t>种子工作的概况</w:t>
      </w:r>
      <w:r>
        <w:rPr>
          <w:rFonts w:hint="eastAsia" w:hAnsi="宋体"/>
          <w:szCs w:val="21"/>
        </w:rPr>
        <w:t>；</w:t>
      </w:r>
      <w:r>
        <w:rPr>
          <w:rFonts w:hAnsi="宋体"/>
          <w:szCs w:val="21"/>
        </w:rPr>
        <w:t>种子学研究的热点问题</w:t>
      </w:r>
      <w:r>
        <w:rPr>
          <w:rFonts w:hint="eastAsia" w:hAnsi="宋体"/>
          <w:szCs w:val="21"/>
        </w:rPr>
        <w:t xml:space="preserve">。 </w:t>
      </w:r>
    </w:p>
    <w:p>
      <w:pPr>
        <w:widowControl/>
        <w:spacing w:line="360" w:lineRule="auto"/>
        <w:jc w:val="left"/>
        <w:rPr>
          <w:rFonts w:ascii="宋体" w:hAnsi="宋体" w:cs="宋体"/>
          <w:b/>
          <w:bCs/>
          <w:kern w:val="0"/>
          <w:szCs w:val="21"/>
        </w:rPr>
      </w:pPr>
      <w:r>
        <w:rPr>
          <w:rFonts w:hint="eastAsia" w:ascii="宋体" w:hAnsi="宋体"/>
          <w:b/>
          <w:bCs/>
          <w:szCs w:val="21"/>
        </w:rPr>
        <w:t>主要教学内容及要求：</w:t>
      </w:r>
    </w:p>
    <w:p>
      <w:pPr>
        <w:spacing w:line="360" w:lineRule="auto"/>
        <w:ind w:firstLine="420" w:firstLineChars="200"/>
        <w:rPr>
          <w:rFonts w:hAnsi="宋体"/>
          <w:szCs w:val="21"/>
        </w:rPr>
      </w:pPr>
      <w:r>
        <w:rPr>
          <w:rFonts w:hint="eastAsia" w:hAnsi="宋体"/>
          <w:szCs w:val="21"/>
        </w:rPr>
        <w:t>了解：</w:t>
      </w:r>
      <w:r>
        <w:rPr>
          <w:rFonts w:hAnsi="宋体"/>
          <w:szCs w:val="21"/>
        </w:rPr>
        <w:t>种子的涵义</w:t>
      </w:r>
      <w:r>
        <w:rPr>
          <w:rFonts w:hint="eastAsia" w:hAnsi="宋体"/>
          <w:szCs w:val="21"/>
        </w:rPr>
        <w:t>。</w:t>
      </w:r>
      <w:r>
        <w:rPr>
          <w:rFonts w:hAnsi="宋体"/>
          <w:szCs w:val="21"/>
        </w:rPr>
        <w:t>种子学的发展</w:t>
      </w:r>
      <w:r>
        <w:rPr>
          <w:rFonts w:hint="eastAsia" w:hAnsi="宋体"/>
          <w:szCs w:val="21"/>
        </w:rPr>
        <w:t>。</w:t>
      </w:r>
      <w:r>
        <w:rPr>
          <w:rFonts w:hAnsi="宋体"/>
          <w:szCs w:val="21"/>
        </w:rPr>
        <w:t>种子工作的概况</w:t>
      </w:r>
    </w:p>
    <w:p>
      <w:pPr>
        <w:spacing w:line="360" w:lineRule="auto"/>
        <w:ind w:firstLine="420" w:firstLineChars="200"/>
        <w:rPr>
          <w:rFonts w:hAnsi="宋体"/>
          <w:szCs w:val="21"/>
        </w:rPr>
      </w:pPr>
      <w:r>
        <w:rPr>
          <w:rFonts w:hint="eastAsia" w:hAnsi="宋体"/>
          <w:szCs w:val="21"/>
        </w:rPr>
        <w:t>理解：</w:t>
      </w:r>
      <w:r>
        <w:rPr>
          <w:rFonts w:hAnsi="宋体"/>
          <w:szCs w:val="21"/>
        </w:rPr>
        <w:t>本课程的内容和任务</w:t>
      </w:r>
    </w:p>
    <w:p>
      <w:pPr>
        <w:spacing w:line="360" w:lineRule="auto"/>
        <w:rPr>
          <w:b/>
          <w:bCs/>
          <w:sz w:val="21"/>
          <w:szCs w:val="21"/>
        </w:rPr>
      </w:pPr>
      <w:r>
        <w:rPr>
          <w:rFonts w:hint="eastAsia" w:ascii="宋体" w:hAnsi="宋体"/>
          <w:b/>
          <w:bCs/>
          <w:szCs w:val="21"/>
        </w:rPr>
        <w:t>教学组织与实施：</w:t>
      </w:r>
      <w:r>
        <w:rPr>
          <w:rFonts w:hint="eastAsia" w:hAnsi="宋体"/>
          <w:kern w:val="0"/>
          <w:szCs w:val="21"/>
        </w:rPr>
        <w:t>教师提前发布要求，学生通过自主观察、查询资料了解什么是种子、种子学学习的意义，教师通过课堂提问让学生自己讲解，教师课堂讲解种子学发展趋势、发展历史与现状。</w:t>
      </w:r>
    </w:p>
    <w:p>
      <w:pPr>
        <w:pStyle w:val="20"/>
        <w:spacing w:before="0" w:beforeAutospacing="0" w:after="0" w:afterAutospacing="0" w:line="360" w:lineRule="auto"/>
        <w:ind w:firstLine="1256" w:firstLineChars="596"/>
        <w:rPr>
          <w:b/>
          <w:bCs/>
          <w:sz w:val="21"/>
          <w:szCs w:val="21"/>
        </w:rPr>
      </w:pPr>
      <w:r>
        <w:rPr>
          <w:b/>
          <w:bCs/>
          <w:sz w:val="21"/>
          <w:szCs w:val="21"/>
        </w:rPr>
        <w:t xml:space="preserve">第一章  种子生物学和生理生化基础              </w:t>
      </w:r>
      <w:r>
        <w:rPr>
          <w:rFonts w:hint="eastAsia"/>
          <w:b/>
          <w:bCs/>
          <w:sz w:val="21"/>
          <w:szCs w:val="21"/>
        </w:rPr>
        <w:t xml:space="preserve">学时数： </w:t>
      </w:r>
      <w:r>
        <w:rPr>
          <w:b/>
          <w:bCs/>
          <w:sz w:val="21"/>
          <w:szCs w:val="21"/>
        </w:rPr>
        <w:t>6</w:t>
      </w:r>
    </w:p>
    <w:p>
      <w:pPr>
        <w:spacing w:line="360" w:lineRule="auto"/>
        <w:rPr>
          <w:rFonts w:hAnsi="宋体"/>
          <w:szCs w:val="21"/>
        </w:rPr>
      </w:pPr>
      <w:r>
        <w:rPr>
          <w:rFonts w:hint="eastAsia" w:ascii="宋体" w:hAnsi="宋体"/>
          <w:b/>
          <w:bCs/>
          <w:szCs w:val="21"/>
        </w:rPr>
        <w:t>教学目的：</w:t>
      </w:r>
      <w:r>
        <w:rPr>
          <w:rFonts w:hint="eastAsia" w:hAnsi="宋体"/>
          <w:kern w:val="0"/>
          <w:szCs w:val="21"/>
        </w:rPr>
        <w:t>了解种子形成发育的一般过程；</w:t>
      </w:r>
      <w:r>
        <w:rPr>
          <w:rFonts w:hAnsi="宋体"/>
          <w:szCs w:val="21"/>
        </w:rPr>
        <w:t>掌握自由水、束缚水、临界水分、安全水分、平衡水分与贮藏和寿命的关系；掌握种子休眠的原因、休眠的调控</w:t>
      </w:r>
      <w:r>
        <w:rPr>
          <w:rFonts w:hint="eastAsia" w:hAnsi="宋体"/>
          <w:szCs w:val="21"/>
        </w:rPr>
        <w:t>；</w:t>
      </w:r>
      <w:r>
        <w:rPr>
          <w:rFonts w:hint="eastAsia" w:hAnsi="宋体"/>
          <w:kern w:val="0"/>
          <w:szCs w:val="21"/>
        </w:rPr>
        <w:t>种子萌发的过程和种子萌发的生态条件；掌握种子活力的概念和种子活力测定方法。</w:t>
      </w:r>
    </w:p>
    <w:p>
      <w:pPr>
        <w:spacing w:line="360" w:lineRule="auto"/>
        <w:rPr>
          <w:szCs w:val="21"/>
        </w:rPr>
      </w:pPr>
      <w:r>
        <w:rPr>
          <w:rFonts w:hint="eastAsia" w:ascii="宋体" w:hAnsi="宋体"/>
          <w:b/>
          <w:bCs/>
          <w:szCs w:val="21"/>
        </w:rPr>
        <w:t>重点和难点</w:t>
      </w:r>
      <w:r>
        <w:rPr>
          <w:rFonts w:hint="eastAsia" w:ascii="宋体" w:hAnsi="宋体" w:cs="宋体"/>
          <w:b/>
          <w:bCs/>
          <w:kern w:val="0"/>
          <w:szCs w:val="21"/>
        </w:rPr>
        <w:t>：</w:t>
      </w:r>
      <w:r>
        <w:rPr>
          <w:rFonts w:hint="eastAsia" w:hAnsi="宋体"/>
          <w:szCs w:val="21"/>
        </w:rPr>
        <w:t>种子形成和发育成熟，种子活力，种子萌发</w:t>
      </w:r>
      <w:r>
        <w:rPr>
          <w:rFonts w:hint="eastAsia"/>
          <w:szCs w:val="21"/>
        </w:rPr>
        <w:t>；</w:t>
      </w:r>
      <w:r>
        <w:rPr>
          <w:rFonts w:hint="eastAsia" w:hAnsi="宋体"/>
          <w:szCs w:val="21"/>
        </w:rPr>
        <w:t>种子发育成熟过程中库源关系、同化物质的积累以及种子成熟过程中的脱水作用。</w:t>
      </w:r>
    </w:p>
    <w:p>
      <w:pPr>
        <w:widowControl/>
        <w:spacing w:line="360" w:lineRule="auto"/>
        <w:jc w:val="left"/>
        <w:rPr>
          <w:rFonts w:ascii="宋体" w:hAnsi="宋体" w:cs="宋体"/>
          <w:b/>
          <w:bCs/>
          <w:kern w:val="0"/>
          <w:szCs w:val="21"/>
        </w:rPr>
      </w:pPr>
      <w:r>
        <w:rPr>
          <w:rFonts w:hint="eastAsia" w:ascii="宋体" w:hAnsi="宋体"/>
          <w:b/>
          <w:bCs/>
          <w:szCs w:val="21"/>
        </w:rPr>
        <w:t>主要教学内容及要求：</w:t>
      </w:r>
    </w:p>
    <w:p>
      <w:pPr>
        <w:spacing w:line="360" w:lineRule="auto"/>
        <w:ind w:firstLine="420"/>
        <w:rPr>
          <w:szCs w:val="21"/>
        </w:rPr>
      </w:pPr>
      <w:r>
        <w:rPr>
          <w:rFonts w:hAnsi="宋体"/>
          <w:szCs w:val="21"/>
        </w:rPr>
        <w:t>了解</w:t>
      </w:r>
      <w:r>
        <w:rPr>
          <w:rFonts w:hint="eastAsia" w:hAnsi="宋体"/>
          <w:szCs w:val="21"/>
        </w:rPr>
        <w:t>：</w:t>
      </w:r>
      <w:r>
        <w:rPr>
          <w:rFonts w:hAnsi="宋体"/>
          <w:szCs w:val="21"/>
        </w:rPr>
        <w:t>种子形成发育的一般过程，种子发育和成熟过程中库源关系、同化物质的积累以及种子成熟过程中的脱水作用及其生理效应；理解和掌握种子的形成和发育成熟与种子质量的关系</w:t>
      </w:r>
      <w:r>
        <w:rPr>
          <w:rFonts w:hint="eastAsia" w:hAnsi="宋体"/>
          <w:szCs w:val="21"/>
        </w:rPr>
        <w:t>；</w:t>
      </w:r>
    </w:p>
    <w:p>
      <w:pPr>
        <w:spacing w:line="360" w:lineRule="auto"/>
        <w:ind w:firstLine="420"/>
        <w:rPr>
          <w:szCs w:val="21"/>
        </w:rPr>
      </w:pPr>
      <w:r>
        <w:rPr>
          <w:rFonts w:hint="eastAsia" w:hAnsi="宋体"/>
          <w:szCs w:val="21"/>
        </w:rPr>
        <w:t>理解：</w:t>
      </w:r>
      <w:r>
        <w:rPr>
          <w:rFonts w:hAnsi="宋体"/>
          <w:szCs w:val="21"/>
        </w:rPr>
        <w:t>自由水、束缚水、临界水分、安全水分、平衡水分与贮藏和寿命的关系；了解种子的营养成分，种子的生理活性物质和种子的其他化学成分</w:t>
      </w:r>
      <w:r>
        <w:rPr>
          <w:rFonts w:hint="eastAsia" w:hAnsi="宋体"/>
          <w:szCs w:val="21"/>
        </w:rPr>
        <w:t>；</w:t>
      </w:r>
    </w:p>
    <w:p>
      <w:pPr>
        <w:spacing w:line="360" w:lineRule="auto"/>
        <w:ind w:firstLine="420"/>
        <w:rPr>
          <w:szCs w:val="21"/>
        </w:rPr>
      </w:pPr>
      <w:r>
        <w:rPr>
          <w:rFonts w:hAnsi="宋体"/>
          <w:szCs w:val="21"/>
        </w:rPr>
        <w:t>掌握</w:t>
      </w:r>
      <w:r>
        <w:rPr>
          <w:rFonts w:hint="eastAsia" w:hAnsi="宋体"/>
          <w:szCs w:val="21"/>
        </w:rPr>
        <w:t>：</w:t>
      </w:r>
      <w:r>
        <w:rPr>
          <w:rFonts w:hAnsi="宋体"/>
          <w:szCs w:val="21"/>
        </w:rPr>
        <w:t>种子休眠的原因、休眠的调控，要求学生从理论上和应用上认识园艺植物种子的休眠；了解种子休眠的机理</w:t>
      </w:r>
      <w:r>
        <w:rPr>
          <w:rFonts w:hint="eastAsia" w:hAnsi="宋体"/>
          <w:szCs w:val="21"/>
        </w:rPr>
        <w:t>；</w:t>
      </w:r>
      <w:r>
        <w:rPr>
          <w:rFonts w:hAnsi="宋体"/>
          <w:szCs w:val="21"/>
        </w:rPr>
        <w:t>种子寿命、平均寿命、农业种子寿命的概念；了解种子寿命的影响因素。理解种子衰老的原因及机理</w:t>
      </w:r>
      <w:r>
        <w:rPr>
          <w:rFonts w:hint="eastAsia" w:hAnsi="宋体"/>
          <w:szCs w:val="21"/>
        </w:rPr>
        <w:t>；</w:t>
      </w:r>
      <w:r>
        <w:rPr>
          <w:rFonts w:hAnsi="宋体"/>
          <w:szCs w:val="21"/>
        </w:rPr>
        <w:t>种子萌发的过程和种子萌发的生态条件，了解种子萌发的生理生化过程和促进种子萌发的方法</w:t>
      </w:r>
      <w:r>
        <w:rPr>
          <w:rFonts w:hint="eastAsia" w:hAnsi="宋体"/>
          <w:szCs w:val="21"/>
        </w:rPr>
        <w:t>；</w:t>
      </w:r>
    </w:p>
    <w:p>
      <w:pPr>
        <w:spacing w:line="360" w:lineRule="auto"/>
        <w:ind w:firstLine="420"/>
        <w:rPr>
          <w:rFonts w:hAnsi="宋体"/>
          <w:szCs w:val="21"/>
        </w:rPr>
      </w:pPr>
      <w:r>
        <w:rPr>
          <w:rFonts w:hint="eastAsia" w:hAnsi="宋体"/>
          <w:szCs w:val="21"/>
        </w:rPr>
        <w:t>熟练</w:t>
      </w:r>
      <w:r>
        <w:rPr>
          <w:rFonts w:hAnsi="宋体"/>
          <w:szCs w:val="21"/>
        </w:rPr>
        <w:t>掌握</w:t>
      </w:r>
      <w:r>
        <w:rPr>
          <w:rFonts w:hint="eastAsia" w:hAnsi="宋体"/>
          <w:szCs w:val="21"/>
        </w:rPr>
        <w:t>：</w:t>
      </w:r>
      <w:r>
        <w:rPr>
          <w:rFonts w:hAnsi="宋体"/>
          <w:szCs w:val="21"/>
        </w:rPr>
        <w:t>种子活力的概念；种子活力、生活力、发芽力的相互关系。了解种子活力的生物学基础；掌握常用的种子活力测定方法</w:t>
      </w:r>
      <w:r>
        <w:rPr>
          <w:rFonts w:hint="eastAsia" w:hAnsi="宋体"/>
          <w:szCs w:val="21"/>
        </w:rPr>
        <w:t>；</w:t>
      </w:r>
    </w:p>
    <w:p>
      <w:pPr>
        <w:spacing w:line="360" w:lineRule="auto"/>
        <w:rPr>
          <w:szCs w:val="21"/>
        </w:rPr>
      </w:pPr>
      <w:r>
        <w:rPr>
          <w:rFonts w:hint="eastAsia" w:ascii="宋体" w:hAnsi="宋体"/>
          <w:b/>
          <w:bCs/>
          <w:szCs w:val="21"/>
        </w:rPr>
        <w:t>教学组织与实施：</w:t>
      </w:r>
      <w:r>
        <w:rPr>
          <w:rFonts w:hint="eastAsia"/>
          <w:szCs w:val="21"/>
        </w:rPr>
        <w:t>本节作为一般性的基础知识，要求学生进行课前预习，课堂讲授完成；对知识点采用启发式的教学方法讲授，并介绍相关的课外知识及学科进展。</w:t>
      </w:r>
    </w:p>
    <w:p>
      <w:pPr>
        <w:pStyle w:val="20"/>
        <w:spacing w:before="0" w:beforeAutospacing="0" w:after="0" w:afterAutospacing="0" w:line="360" w:lineRule="auto"/>
        <w:ind w:firstLine="1897" w:firstLineChars="900"/>
        <w:rPr>
          <w:rFonts w:ascii="Times New Roman" w:hAnsi="Times New Roman"/>
          <w:sz w:val="21"/>
          <w:szCs w:val="21"/>
        </w:rPr>
      </w:pPr>
      <w:r>
        <w:rPr>
          <w:b/>
          <w:bCs/>
          <w:sz w:val="21"/>
          <w:szCs w:val="21"/>
        </w:rPr>
        <w:t xml:space="preserve">第二章  种子生产的原理和技术          </w:t>
      </w:r>
      <w:r>
        <w:rPr>
          <w:rFonts w:hint="eastAsia"/>
          <w:b/>
          <w:bCs/>
          <w:sz w:val="21"/>
          <w:szCs w:val="21"/>
          <w:lang w:val="en-US" w:eastAsia="zh-CN"/>
        </w:rPr>
        <w:t xml:space="preserve">              </w:t>
      </w:r>
      <w:r>
        <w:rPr>
          <w:b/>
          <w:bCs/>
          <w:sz w:val="21"/>
          <w:szCs w:val="21"/>
        </w:rPr>
        <w:t xml:space="preserve">  </w:t>
      </w:r>
      <w:r>
        <w:rPr>
          <w:rFonts w:hint="eastAsia"/>
          <w:b/>
          <w:bCs/>
          <w:sz w:val="21"/>
          <w:szCs w:val="21"/>
        </w:rPr>
        <w:t xml:space="preserve">学时数： </w:t>
      </w:r>
      <w:r>
        <w:rPr>
          <w:b/>
          <w:bCs/>
          <w:sz w:val="21"/>
          <w:szCs w:val="21"/>
        </w:rPr>
        <w:t>4</w:t>
      </w:r>
    </w:p>
    <w:p>
      <w:pPr>
        <w:spacing w:line="360" w:lineRule="auto"/>
        <w:rPr>
          <w:rFonts w:hAnsi="宋体"/>
          <w:szCs w:val="21"/>
        </w:rPr>
      </w:pPr>
      <w:r>
        <w:rPr>
          <w:rFonts w:hint="eastAsia" w:ascii="宋体" w:hAnsi="宋体"/>
          <w:b/>
          <w:bCs/>
          <w:szCs w:val="21"/>
        </w:rPr>
        <w:t>教学目的：</w:t>
      </w:r>
      <w:r>
        <w:rPr>
          <w:rFonts w:hint="eastAsia" w:hAnsi="宋体"/>
          <w:szCs w:val="21"/>
        </w:rPr>
        <w:t>掌握</w:t>
      </w:r>
      <w:r>
        <w:rPr>
          <w:rFonts w:hAnsi="宋体"/>
          <w:szCs w:val="21"/>
        </w:rPr>
        <w:t>种子生产原理和生态条件</w:t>
      </w:r>
      <w:r>
        <w:rPr>
          <w:rFonts w:hint="eastAsia" w:hAnsi="宋体"/>
          <w:szCs w:val="21"/>
        </w:rPr>
        <w:t>和</w:t>
      </w:r>
      <w:r>
        <w:rPr>
          <w:rFonts w:hAnsi="宋体"/>
          <w:szCs w:val="21"/>
        </w:rPr>
        <w:t>园艺植物种子的生产技术</w:t>
      </w:r>
      <w:r>
        <w:rPr>
          <w:rFonts w:hint="eastAsia" w:hAnsi="宋体"/>
          <w:szCs w:val="21"/>
        </w:rPr>
        <w:t>。</w:t>
      </w:r>
    </w:p>
    <w:p>
      <w:pPr>
        <w:spacing w:line="360" w:lineRule="auto"/>
        <w:rPr>
          <w:szCs w:val="21"/>
        </w:rPr>
      </w:pPr>
      <w:r>
        <w:rPr>
          <w:rFonts w:hint="eastAsia" w:ascii="宋体" w:hAnsi="宋体"/>
          <w:b/>
          <w:bCs/>
          <w:szCs w:val="21"/>
        </w:rPr>
        <w:t>重点和难点</w:t>
      </w:r>
      <w:r>
        <w:rPr>
          <w:rFonts w:hint="eastAsia" w:ascii="宋体" w:hAnsi="宋体" w:cs="宋体"/>
          <w:b/>
          <w:bCs/>
          <w:kern w:val="0"/>
          <w:szCs w:val="21"/>
        </w:rPr>
        <w:t>：</w:t>
      </w:r>
      <w:r>
        <w:rPr>
          <w:rFonts w:hAnsi="宋体"/>
          <w:szCs w:val="21"/>
        </w:rPr>
        <w:t>茄果类</w:t>
      </w:r>
      <w:r>
        <w:rPr>
          <w:rFonts w:hint="eastAsia" w:hAnsi="宋体"/>
          <w:szCs w:val="21"/>
        </w:rPr>
        <w:t>、</w:t>
      </w:r>
      <w:r>
        <w:rPr>
          <w:rFonts w:hAnsi="宋体"/>
          <w:szCs w:val="21"/>
        </w:rPr>
        <w:t>白菜类</w:t>
      </w:r>
      <w:r>
        <w:rPr>
          <w:rFonts w:hint="eastAsia" w:hAnsi="宋体"/>
          <w:szCs w:val="21"/>
        </w:rPr>
        <w:t>、</w:t>
      </w:r>
      <w:r>
        <w:rPr>
          <w:rFonts w:hAnsi="宋体"/>
          <w:szCs w:val="21"/>
        </w:rPr>
        <w:t>瓜类</w:t>
      </w:r>
      <w:r>
        <w:rPr>
          <w:rFonts w:hint="eastAsia" w:hAnsi="宋体"/>
          <w:szCs w:val="21"/>
        </w:rPr>
        <w:t>、</w:t>
      </w:r>
      <w:r>
        <w:rPr>
          <w:rFonts w:hAnsi="宋体"/>
          <w:szCs w:val="21"/>
        </w:rPr>
        <w:t>葱蒜类种子的生产技术</w:t>
      </w:r>
      <w:r>
        <w:rPr>
          <w:rFonts w:hint="eastAsia" w:hAnsi="宋体"/>
          <w:szCs w:val="21"/>
        </w:rPr>
        <w:t>。</w:t>
      </w:r>
    </w:p>
    <w:p>
      <w:pPr>
        <w:widowControl/>
        <w:spacing w:line="360" w:lineRule="auto"/>
        <w:jc w:val="left"/>
        <w:rPr>
          <w:rFonts w:ascii="宋体" w:hAnsi="宋体" w:cs="宋体"/>
          <w:b/>
          <w:bCs/>
          <w:kern w:val="0"/>
          <w:szCs w:val="21"/>
        </w:rPr>
      </w:pPr>
      <w:r>
        <w:rPr>
          <w:rFonts w:hint="eastAsia" w:ascii="宋体" w:hAnsi="宋体"/>
          <w:b/>
          <w:bCs/>
          <w:szCs w:val="21"/>
        </w:rPr>
        <w:t>主要教学内容及要求：</w:t>
      </w:r>
    </w:p>
    <w:p>
      <w:pPr>
        <w:spacing w:line="360" w:lineRule="auto"/>
        <w:ind w:firstLine="315" w:firstLineChars="150"/>
        <w:rPr>
          <w:szCs w:val="21"/>
        </w:rPr>
      </w:pPr>
      <w:r>
        <w:rPr>
          <w:rFonts w:hAnsi="宋体"/>
          <w:szCs w:val="21"/>
        </w:rPr>
        <w:t>了解</w:t>
      </w:r>
      <w:r>
        <w:rPr>
          <w:rFonts w:hint="eastAsia" w:hAnsi="宋体"/>
          <w:szCs w:val="21"/>
        </w:rPr>
        <w:t>：</w:t>
      </w:r>
      <w:r>
        <w:rPr>
          <w:rFonts w:hAnsi="宋体"/>
          <w:szCs w:val="21"/>
        </w:rPr>
        <w:t>园艺植物种子生产的基础理论，常规品种的种子生产方法</w:t>
      </w:r>
    </w:p>
    <w:p>
      <w:pPr>
        <w:spacing w:line="360" w:lineRule="auto"/>
        <w:ind w:firstLine="315" w:firstLineChars="150"/>
        <w:rPr>
          <w:szCs w:val="21"/>
        </w:rPr>
      </w:pPr>
      <w:r>
        <w:rPr>
          <w:rFonts w:hAnsi="宋体"/>
          <w:szCs w:val="21"/>
        </w:rPr>
        <w:t>掌握</w:t>
      </w:r>
      <w:r>
        <w:rPr>
          <w:rFonts w:hint="eastAsia" w:hAnsi="宋体"/>
          <w:szCs w:val="21"/>
        </w:rPr>
        <w:t>：</w:t>
      </w:r>
      <w:r>
        <w:rPr>
          <w:rFonts w:hAnsi="宋体"/>
          <w:szCs w:val="21"/>
        </w:rPr>
        <w:t>番茄、黄瓜、大白菜或甘蓝杂交种生产和良种繁育方法</w:t>
      </w:r>
    </w:p>
    <w:p>
      <w:pPr>
        <w:spacing w:line="360" w:lineRule="auto"/>
        <w:rPr>
          <w:szCs w:val="21"/>
        </w:rPr>
      </w:pPr>
      <w:r>
        <w:rPr>
          <w:rFonts w:hint="eastAsia" w:ascii="宋体" w:hAnsi="宋体"/>
          <w:b/>
          <w:bCs/>
          <w:szCs w:val="21"/>
        </w:rPr>
        <w:t>教学组织与实施：</w:t>
      </w:r>
      <w:r>
        <w:rPr>
          <w:rFonts w:hint="eastAsia"/>
          <w:szCs w:val="21"/>
        </w:rPr>
        <w:t>本节作为重要性的基础知识，要求学生进行课前预习，课堂讲授完成；对知识点采用启发式的教学方法讲授，并介绍相关的课外知识及学科进展。</w:t>
      </w:r>
    </w:p>
    <w:p>
      <w:pPr>
        <w:pStyle w:val="20"/>
        <w:spacing w:before="0" w:beforeAutospacing="0" w:after="0" w:afterAutospacing="0" w:line="360" w:lineRule="auto"/>
        <w:ind w:firstLine="2100" w:firstLineChars="996"/>
        <w:rPr>
          <w:rFonts w:ascii="Times New Roman" w:hAnsi="Times New Roman"/>
          <w:b/>
          <w:sz w:val="21"/>
          <w:szCs w:val="21"/>
        </w:rPr>
      </w:pPr>
      <w:r>
        <w:rPr>
          <w:b/>
          <w:bCs/>
          <w:sz w:val="21"/>
          <w:szCs w:val="21"/>
        </w:rPr>
        <w:t>第三章  种子检验的原理和技术</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学时数： </w:t>
      </w:r>
      <w:r>
        <w:rPr>
          <w:b/>
          <w:bCs/>
          <w:sz w:val="21"/>
          <w:szCs w:val="21"/>
        </w:rPr>
        <w:t>4</w:t>
      </w:r>
    </w:p>
    <w:p>
      <w:pPr>
        <w:spacing w:line="360" w:lineRule="auto"/>
        <w:rPr>
          <w:rFonts w:hAnsi="宋体"/>
          <w:szCs w:val="21"/>
        </w:rPr>
      </w:pPr>
      <w:r>
        <w:rPr>
          <w:rFonts w:hint="eastAsia" w:ascii="宋体" w:hAnsi="宋体"/>
          <w:b/>
          <w:bCs/>
          <w:szCs w:val="21"/>
        </w:rPr>
        <w:t>教学目的：</w:t>
      </w:r>
      <w:r>
        <w:rPr>
          <w:rFonts w:hAnsi="宋体"/>
          <w:szCs w:val="21"/>
        </w:rPr>
        <w:t>种子质量</w:t>
      </w:r>
      <w:r>
        <w:rPr>
          <w:rFonts w:hint="eastAsia" w:hAnsi="宋体"/>
          <w:szCs w:val="21"/>
        </w:rPr>
        <w:t>；了解</w:t>
      </w:r>
      <w:r>
        <w:rPr>
          <w:rFonts w:hAnsi="宋体"/>
          <w:szCs w:val="21"/>
        </w:rPr>
        <w:t>种子检验内容</w:t>
      </w:r>
      <w:r>
        <w:rPr>
          <w:rFonts w:hint="eastAsia" w:hAnsi="宋体"/>
          <w:szCs w:val="21"/>
        </w:rPr>
        <w:t>、</w:t>
      </w:r>
      <w:r>
        <w:rPr>
          <w:rFonts w:hAnsi="宋体"/>
          <w:szCs w:val="21"/>
        </w:rPr>
        <w:t>意义</w:t>
      </w:r>
      <w:r>
        <w:rPr>
          <w:rFonts w:hint="eastAsia" w:hAnsi="宋体"/>
          <w:szCs w:val="21"/>
        </w:rPr>
        <w:t>、</w:t>
      </w:r>
      <w:r>
        <w:rPr>
          <w:rFonts w:hAnsi="宋体"/>
          <w:szCs w:val="21"/>
        </w:rPr>
        <w:t>程序</w:t>
      </w:r>
      <w:r>
        <w:rPr>
          <w:rFonts w:hint="eastAsia" w:hAnsi="宋体"/>
          <w:szCs w:val="21"/>
        </w:rPr>
        <w:t>，</w:t>
      </w:r>
      <w:r>
        <w:rPr>
          <w:rFonts w:hAnsi="宋体"/>
          <w:szCs w:val="21"/>
        </w:rPr>
        <w:t>扦样</w:t>
      </w:r>
      <w:r>
        <w:rPr>
          <w:rFonts w:hint="eastAsia" w:hAnsi="宋体"/>
          <w:szCs w:val="21"/>
        </w:rPr>
        <w:t>；掌握</w:t>
      </w:r>
      <w:r>
        <w:rPr>
          <w:rFonts w:hAnsi="宋体"/>
          <w:szCs w:val="21"/>
        </w:rPr>
        <w:t>种子净度分析，种子发芽实验，种子水分测定</w:t>
      </w:r>
      <w:r>
        <w:rPr>
          <w:rFonts w:hint="eastAsia" w:hAnsi="宋体"/>
          <w:szCs w:val="21"/>
        </w:rPr>
        <w:t>，</w:t>
      </w:r>
      <w:r>
        <w:rPr>
          <w:rFonts w:hAnsi="宋体"/>
          <w:szCs w:val="21"/>
        </w:rPr>
        <w:t>品种纯度检验，种子生活力测定</w:t>
      </w:r>
      <w:r>
        <w:rPr>
          <w:rFonts w:hint="eastAsia" w:hAnsi="宋体"/>
          <w:szCs w:val="21"/>
        </w:rPr>
        <w:t>和</w:t>
      </w:r>
      <w:r>
        <w:rPr>
          <w:rFonts w:hAnsi="宋体"/>
          <w:szCs w:val="21"/>
        </w:rPr>
        <w:t>包衣种子检验</w:t>
      </w:r>
      <w:r>
        <w:rPr>
          <w:rFonts w:hint="eastAsia" w:hAnsi="宋体"/>
          <w:szCs w:val="21"/>
        </w:rPr>
        <w:t>。</w:t>
      </w:r>
    </w:p>
    <w:p>
      <w:pPr>
        <w:spacing w:line="360" w:lineRule="auto"/>
        <w:rPr>
          <w:rFonts w:hAnsi="宋体"/>
          <w:szCs w:val="21"/>
        </w:rPr>
      </w:pPr>
      <w:r>
        <w:rPr>
          <w:rFonts w:hint="eastAsia" w:ascii="宋体" w:hAnsi="宋体"/>
          <w:b/>
          <w:bCs/>
          <w:szCs w:val="21"/>
        </w:rPr>
        <w:t>重点和难点</w:t>
      </w:r>
      <w:r>
        <w:rPr>
          <w:rFonts w:hint="eastAsia" w:ascii="宋体" w:hAnsi="宋体" w:cs="宋体"/>
          <w:b/>
          <w:bCs/>
          <w:kern w:val="0"/>
          <w:szCs w:val="21"/>
        </w:rPr>
        <w:t>：</w:t>
      </w:r>
      <w:r>
        <w:rPr>
          <w:rFonts w:hAnsi="宋体"/>
          <w:szCs w:val="21"/>
        </w:rPr>
        <w:t>种子检验程序</w:t>
      </w:r>
      <w:r>
        <w:rPr>
          <w:rFonts w:hint="eastAsia" w:hAnsi="宋体"/>
          <w:szCs w:val="21"/>
        </w:rPr>
        <w:t>；</w:t>
      </w:r>
      <w:r>
        <w:rPr>
          <w:rFonts w:hAnsi="宋体"/>
          <w:szCs w:val="21"/>
        </w:rPr>
        <w:t>扦样，种子净度分析，种子发芽实验，种子水分测定</w:t>
      </w:r>
      <w:r>
        <w:rPr>
          <w:rFonts w:hint="eastAsia" w:hAnsi="宋体"/>
          <w:szCs w:val="21"/>
        </w:rPr>
        <w:t>；</w:t>
      </w:r>
      <w:r>
        <w:rPr>
          <w:rFonts w:hAnsi="宋体"/>
          <w:szCs w:val="21"/>
        </w:rPr>
        <w:t>品种纯度检验</w:t>
      </w:r>
      <w:r>
        <w:rPr>
          <w:rFonts w:hint="eastAsia" w:hAnsi="宋体"/>
          <w:szCs w:val="21"/>
        </w:rPr>
        <w:t>。</w:t>
      </w:r>
    </w:p>
    <w:p>
      <w:pPr>
        <w:widowControl/>
        <w:spacing w:line="360" w:lineRule="auto"/>
        <w:jc w:val="left"/>
        <w:rPr>
          <w:rFonts w:ascii="宋体" w:hAnsi="宋体" w:cs="宋体"/>
          <w:b/>
          <w:bCs/>
          <w:kern w:val="0"/>
          <w:szCs w:val="21"/>
        </w:rPr>
      </w:pPr>
      <w:r>
        <w:rPr>
          <w:rFonts w:hint="eastAsia" w:ascii="宋体" w:hAnsi="宋体"/>
          <w:b/>
          <w:bCs/>
          <w:szCs w:val="21"/>
        </w:rPr>
        <w:t>主要教学内容及要求：</w:t>
      </w:r>
    </w:p>
    <w:p>
      <w:pPr>
        <w:spacing w:line="360" w:lineRule="auto"/>
        <w:ind w:firstLine="420" w:firstLineChars="200"/>
        <w:rPr>
          <w:szCs w:val="21"/>
        </w:rPr>
      </w:pPr>
      <w:r>
        <w:rPr>
          <w:rFonts w:hAnsi="宋体"/>
          <w:szCs w:val="21"/>
        </w:rPr>
        <w:t>掌握</w:t>
      </w:r>
      <w:r>
        <w:rPr>
          <w:rFonts w:hint="eastAsia" w:hAnsi="宋体"/>
          <w:szCs w:val="21"/>
        </w:rPr>
        <w:t>；</w:t>
      </w:r>
      <w:r>
        <w:rPr>
          <w:rFonts w:hAnsi="宋体"/>
          <w:szCs w:val="21"/>
        </w:rPr>
        <w:t>我国种子质量的内涵和分级标准</w:t>
      </w:r>
    </w:p>
    <w:p>
      <w:pPr>
        <w:spacing w:line="360" w:lineRule="auto"/>
        <w:ind w:firstLine="420" w:firstLineChars="200"/>
        <w:rPr>
          <w:szCs w:val="21"/>
        </w:rPr>
      </w:pPr>
      <w:r>
        <w:rPr>
          <w:rFonts w:hAnsi="宋体"/>
          <w:szCs w:val="21"/>
        </w:rPr>
        <w:t>掌握</w:t>
      </w:r>
      <w:r>
        <w:rPr>
          <w:rFonts w:hint="eastAsia" w:hAnsi="宋体"/>
          <w:szCs w:val="21"/>
        </w:rPr>
        <w:t>：</w:t>
      </w:r>
      <w:r>
        <w:rPr>
          <w:rFonts w:hAnsi="宋体"/>
          <w:szCs w:val="21"/>
        </w:rPr>
        <w:t>种子检验的一般程序以及种子扦样的基本原则</w:t>
      </w:r>
    </w:p>
    <w:p>
      <w:pPr>
        <w:spacing w:line="360" w:lineRule="auto"/>
        <w:ind w:firstLine="420" w:firstLineChars="200"/>
        <w:rPr>
          <w:szCs w:val="21"/>
        </w:rPr>
      </w:pPr>
      <w:r>
        <w:rPr>
          <w:rFonts w:hAnsi="宋体"/>
          <w:szCs w:val="21"/>
        </w:rPr>
        <w:t>掌握</w:t>
      </w:r>
      <w:r>
        <w:rPr>
          <w:rFonts w:hint="eastAsia" w:hAnsi="宋体"/>
          <w:szCs w:val="21"/>
        </w:rPr>
        <w:t>：</w:t>
      </w:r>
      <w:r>
        <w:rPr>
          <w:rFonts w:hAnsi="宋体"/>
          <w:szCs w:val="21"/>
        </w:rPr>
        <w:t>种子净度、纯度、发芽率和水分等主要质量项目检验的方法和依据</w:t>
      </w:r>
    </w:p>
    <w:p>
      <w:pPr>
        <w:spacing w:line="360" w:lineRule="auto"/>
        <w:ind w:firstLine="420" w:firstLineChars="200"/>
        <w:rPr>
          <w:szCs w:val="21"/>
        </w:rPr>
      </w:pPr>
      <w:r>
        <w:rPr>
          <w:rFonts w:hAnsi="宋体"/>
          <w:szCs w:val="21"/>
        </w:rPr>
        <w:t>了解</w:t>
      </w:r>
      <w:r>
        <w:rPr>
          <w:rFonts w:hint="eastAsia" w:hAnsi="宋体"/>
          <w:szCs w:val="21"/>
        </w:rPr>
        <w:t>：</w:t>
      </w:r>
      <w:r>
        <w:rPr>
          <w:rFonts w:hAnsi="宋体"/>
          <w:szCs w:val="21"/>
        </w:rPr>
        <w:t>种子检验和标准化的内容和意义；理解种子各种检验方法的基本原理</w:t>
      </w:r>
    </w:p>
    <w:p>
      <w:pPr>
        <w:spacing w:line="360" w:lineRule="auto"/>
        <w:rPr>
          <w:szCs w:val="21"/>
        </w:rPr>
      </w:pPr>
      <w:r>
        <w:rPr>
          <w:rFonts w:hint="eastAsia" w:ascii="宋体" w:hAnsi="宋体"/>
          <w:b/>
          <w:bCs/>
          <w:szCs w:val="21"/>
        </w:rPr>
        <w:t>教学组织与实施：</w:t>
      </w:r>
      <w:r>
        <w:rPr>
          <w:rFonts w:hint="eastAsia"/>
          <w:szCs w:val="21"/>
        </w:rPr>
        <w:t>本节作为重要性的基础知识，要求学生进行课前预习，课堂讲授完成；对知识点采用启发式的教学方法讲授，并介绍相关的课外知识及学科进展。</w:t>
      </w:r>
    </w:p>
    <w:p>
      <w:pPr>
        <w:pStyle w:val="20"/>
        <w:spacing w:before="0" w:beforeAutospacing="0" w:after="0" w:afterAutospacing="0" w:line="360" w:lineRule="auto"/>
        <w:ind w:firstLine="2100" w:firstLineChars="996"/>
        <w:rPr>
          <w:b/>
          <w:bCs/>
          <w:sz w:val="21"/>
          <w:szCs w:val="21"/>
        </w:rPr>
      </w:pPr>
      <w:r>
        <w:rPr>
          <w:b/>
          <w:bCs/>
          <w:sz w:val="21"/>
          <w:szCs w:val="21"/>
        </w:rPr>
        <w:t>第四章  种子加工的原理和技术</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学时数： </w:t>
      </w:r>
      <w:r>
        <w:rPr>
          <w:b/>
          <w:bCs/>
          <w:sz w:val="21"/>
          <w:szCs w:val="21"/>
        </w:rPr>
        <w:t>4</w:t>
      </w:r>
    </w:p>
    <w:p>
      <w:pPr>
        <w:spacing w:line="360" w:lineRule="auto"/>
        <w:rPr>
          <w:rFonts w:hAnsi="宋体"/>
          <w:szCs w:val="21"/>
        </w:rPr>
      </w:pPr>
      <w:r>
        <w:rPr>
          <w:rFonts w:hint="eastAsia" w:ascii="宋体" w:hAnsi="宋体"/>
          <w:b/>
          <w:bCs/>
          <w:szCs w:val="21"/>
        </w:rPr>
        <w:t>教学目的：</w:t>
      </w:r>
      <w:r>
        <w:rPr>
          <w:rFonts w:hint="eastAsia" w:hAnsi="宋体"/>
          <w:szCs w:val="21"/>
        </w:rPr>
        <w:t>了解</w:t>
      </w:r>
      <w:r>
        <w:rPr>
          <w:rFonts w:hAnsi="宋体"/>
          <w:szCs w:val="21"/>
        </w:rPr>
        <w:t>种子加工的涵义及其在农业生产上的意义</w:t>
      </w:r>
      <w:r>
        <w:rPr>
          <w:rFonts w:hint="eastAsia" w:hAnsi="宋体"/>
          <w:szCs w:val="21"/>
        </w:rPr>
        <w:t>；掌握</w:t>
      </w:r>
      <w:r>
        <w:rPr>
          <w:rFonts w:hAnsi="宋体"/>
          <w:szCs w:val="21"/>
        </w:rPr>
        <w:t>种子干燥的原理和方法</w:t>
      </w:r>
      <w:r>
        <w:rPr>
          <w:rFonts w:hint="eastAsia" w:hAnsi="宋体"/>
          <w:szCs w:val="21"/>
        </w:rPr>
        <w:t>；</w:t>
      </w:r>
      <w:r>
        <w:rPr>
          <w:rFonts w:hAnsi="宋体"/>
          <w:szCs w:val="21"/>
        </w:rPr>
        <w:t>广义种子处理的内容</w:t>
      </w:r>
      <w:r>
        <w:rPr>
          <w:rFonts w:hint="eastAsia" w:hAnsi="宋体"/>
          <w:szCs w:val="21"/>
        </w:rPr>
        <w:t>；</w:t>
      </w:r>
      <w:r>
        <w:rPr>
          <w:rFonts w:hAnsi="宋体"/>
          <w:szCs w:val="21"/>
        </w:rPr>
        <w:t>丸化及包衣处理种子的方法及注意事项</w:t>
      </w:r>
      <w:r>
        <w:rPr>
          <w:rFonts w:hint="eastAsia" w:hAnsi="宋体"/>
          <w:szCs w:val="21"/>
        </w:rPr>
        <w:t>；了解</w:t>
      </w:r>
      <w:r>
        <w:rPr>
          <w:rFonts w:hAnsi="宋体"/>
          <w:szCs w:val="21"/>
        </w:rPr>
        <w:t>种子包装材料和包装技术</w:t>
      </w:r>
      <w:r>
        <w:rPr>
          <w:rFonts w:hint="eastAsia" w:hAnsi="宋体"/>
          <w:szCs w:val="21"/>
        </w:rPr>
        <w:t>。</w:t>
      </w:r>
    </w:p>
    <w:p>
      <w:pPr>
        <w:spacing w:line="360" w:lineRule="auto"/>
        <w:rPr>
          <w:rFonts w:hAnsi="宋体"/>
          <w:szCs w:val="21"/>
        </w:rPr>
      </w:pPr>
      <w:r>
        <w:rPr>
          <w:rFonts w:hint="eastAsia" w:ascii="宋体" w:hAnsi="宋体"/>
          <w:b/>
          <w:bCs/>
          <w:szCs w:val="21"/>
        </w:rPr>
        <w:t>重点和难点</w:t>
      </w:r>
      <w:r>
        <w:rPr>
          <w:rFonts w:hint="eastAsia" w:ascii="宋体" w:hAnsi="宋体" w:cs="宋体"/>
          <w:b/>
          <w:bCs/>
          <w:kern w:val="0"/>
          <w:szCs w:val="21"/>
        </w:rPr>
        <w:t>：</w:t>
      </w:r>
      <w:r>
        <w:rPr>
          <w:rFonts w:hAnsi="宋体"/>
          <w:szCs w:val="21"/>
        </w:rPr>
        <w:t>种子干燥的方法</w:t>
      </w:r>
      <w:r>
        <w:rPr>
          <w:rFonts w:hint="eastAsia" w:hAnsi="宋体"/>
          <w:szCs w:val="21"/>
        </w:rPr>
        <w:t>：</w:t>
      </w:r>
      <w:r>
        <w:rPr>
          <w:rFonts w:hAnsi="宋体"/>
          <w:szCs w:val="21"/>
        </w:rPr>
        <w:t>包衣技术</w:t>
      </w:r>
      <w:r>
        <w:rPr>
          <w:rFonts w:hint="eastAsia" w:hAnsi="宋体"/>
          <w:szCs w:val="21"/>
        </w:rPr>
        <w:t>。</w:t>
      </w:r>
    </w:p>
    <w:p>
      <w:pPr>
        <w:widowControl/>
        <w:spacing w:line="360" w:lineRule="auto"/>
        <w:jc w:val="left"/>
        <w:rPr>
          <w:rFonts w:ascii="宋体" w:hAnsi="宋体" w:cs="宋体"/>
          <w:b/>
          <w:bCs/>
          <w:kern w:val="0"/>
          <w:szCs w:val="21"/>
        </w:rPr>
      </w:pPr>
      <w:r>
        <w:rPr>
          <w:rFonts w:hint="eastAsia" w:ascii="宋体" w:hAnsi="宋体"/>
          <w:b/>
          <w:bCs/>
          <w:szCs w:val="21"/>
        </w:rPr>
        <w:t>主要教学内容及要求：</w:t>
      </w:r>
    </w:p>
    <w:p>
      <w:pPr>
        <w:spacing w:line="360" w:lineRule="auto"/>
        <w:ind w:firstLine="420" w:firstLineChars="200"/>
        <w:rPr>
          <w:rFonts w:hint="eastAsia" w:eastAsia="宋体"/>
          <w:szCs w:val="21"/>
          <w:lang w:eastAsia="zh-CN"/>
        </w:rPr>
      </w:pPr>
      <w:r>
        <w:rPr>
          <w:szCs w:val="21"/>
        </w:rPr>
        <w:t>了解</w:t>
      </w:r>
      <w:r>
        <w:rPr>
          <w:rFonts w:hint="eastAsia"/>
          <w:szCs w:val="21"/>
        </w:rPr>
        <w:t>：</w:t>
      </w:r>
      <w:r>
        <w:rPr>
          <w:szCs w:val="21"/>
        </w:rPr>
        <w:t>种子加工的原理和一般程序</w:t>
      </w:r>
      <w:r>
        <w:rPr>
          <w:rFonts w:hint="eastAsia"/>
          <w:szCs w:val="21"/>
          <w:lang w:eastAsia="zh-CN"/>
        </w:rPr>
        <w:t>；</w:t>
      </w:r>
      <w:r>
        <w:rPr>
          <w:szCs w:val="21"/>
        </w:rPr>
        <w:t>种子干燥</w:t>
      </w:r>
      <w:r>
        <w:rPr>
          <w:rFonts w:hint="eastAsia"/>
          <w:szCs w:val="21"/>
          <w:lang w:eastAsia="zh-CN"/>
        </w:rPr>
        <w:t>；</w:t>
      </w:r>
      <w:r>
        <w:rPr>
          <w:szCs w:val="21"/>
        </w:rPr>
        <w:t>包装的作用和要求</w:t>
      </w:r>
      <w:r>
        <w:rPr>
          <w:rFonts w:hint="eastAsia"/>
          <w:szCs w:val="21"/>
          <w:lang w:eastAsia="zh-CN"/>
        </w:rPr>
        <w:t>；</w:t>
      </w:r>
      <w:r>
        <w:rPr>
          <w:rFonts w:hAnsi="宋体"/>
          <w:szCs w:val="21"/>
        </w:rPr>
        <w:t>种子加工处理</w:t>
      </w:r>
      <w:r>
        <w:rPr>
          <w:rFonts w:hint="eastAsia" w:hAnsi="宋体"/>
          <w:szCs w:val="21"/>
        </w:rPr>
        <w:t>的最新</w:t>
      </w:r>
      <w:r>
        <w:rPr>
          <w:rFonts w:hAnsi="宋体"/>
          <w:szCs w:val="21"/>
        </w:rPr>
        <w:t>发展趋势和动态</w:t>
      </w:r>
    </w:p>
    <w:p>
      <w:pPr>
        <w:spacing w:line="360" w:lineRule="auto"/>
        <w:ind w:firstLine="420" w:firstLineChars="200"/>
        <w:rPr>
          <w:szCs w:val="21"/>
        </w:rPr>
      </w:pPr>
      <w:r>
        <w:rPr>
          <w:rFonts w:hint="eastAsia" w:hAnsi="宋体"/>
          <w:szCs w:val="21"/>
        </w:rPr>
        <w:t>掌握：</w:t>
      </w:r>
      <w:r>
        <w:rPr>
          <w:rFonts w:hAnsi="宋体"/>
          <w:szCs w:val="21"/>
        </w:rPr>
        <w:t>种子处理的作用，种子处理的几种常用方法，特别是种子包衣的作用和方法</w:t>
      </w:r>
    </w:p>
    <w:p>
      <w:pPr>
        <w:spacing w:line="360" w:lineRule="auto"/>
        <w:rPr>
          <w:szCs w:val="21"/>
        </w:rPr>
      </w:pPr>
      <w:r>
        <w:rPr>
          <w:rFonts w:hint="eastAsia" w:ascii="宋体" w:hAnsi="宋体"/>
          <w:b/>
          <w:bCs/>
          <w:szCs w:val="21"/>
        </w:rPr>
        <w:t>教学组织与实施：</w:t>
      </w:r>
      <w:r>
        <w:rPr>
          <w:rFonts w:hint="eastAsia"/>
          <w:szCs w:val="21"/>
        </w:rPr>
        <w:t>本节作为一般性的基础知识，要求学生进行课前预习，课堂讲授完成；对知识点采用启发式的教学方法讲授，并介绍相关的课外知识及学科进展。</w:t>
      </w:r>
    </w:p>
    <w:p>
      <w:pPr>
        <w:pStyle w:val="20"/>
        <w:spacing w:before="0" w:beforeAutospacing="0" w:after="0" w:afterAutospacing="0" w:line="360" w:lineRule="auto"/>
        <w:ind w:firstLine="2732" w:firstLineChars="1296"/>
        <w:rPr>
          <w:b/>
          <w:bCs/>
          <w:sz w:val="21"/>
          <w:szCs w:val="21"/>
        </w:rPr>
      </w:pPr>
      <w:r>
        <w:rPr>
          <w:b/>
          <w:bCs/>
          <w:sz w:val="21"/>
          <w:szCs w:val="21"/>
        </w:rPr>
        <w:t>第五章  种子贮藏</w:t>
      </w:r>
      <w:r>
        <w:rPr>
          <w:rFonts w:hint="eastAsia"/>
          <w:b/>
          <w:bCs/>
          <w:sz w:val="21"/>
          <w:szCs w:val="21"/>
        </w:rPr>
        <w:t xml:space="preserve">   </w:t>
      </w:r>
      <w:r>
        <w:rPr>
          <w:b/>
          <w:bCs/>
          <w:sz w:val="21"/>
          <w:szCs w:val="21"/>
        </w:rPr>
        <w:t xml:space="preserve">  </w:t>
      </w:r>
      <w:r>
        <w:rPr>
          <w:rFonts w:hint="eastAsia"/>
          <w:b/>
          <w:bCs/>
          <w:sz w:val="21"/>
          <w:szCs w:val="21"/>
        </w:rPr>
        <w:t xml:space="preserve">     </w:t>
      </w:r>
      <w:r>
        <w:rPr>
          <w:b/>
          <w:bCs/>
          <w:sz w:val="21"/>
          <w:szCs w:val="21"/>
        </w:rPr>
        <w:t xml:space="preserve">    </w:t>
      </w:r>
      <w:r>
        <w:rPr>
          <w:rFonts w:hint="eastAsia"/>
          <w:b/>
          <w:bCs/>
          <w:sz w:val="21"/>
          <w:szCs w:val="21"/>
          <w:lang w:val="en-US" w:eastAsia="zh-CN"/>
        </w:rPr>
        <w:t xml:space="preserve">          </w:t>
      </w:r>
      <w:r>
        <w:rPr>
          <w:b/>
          <w:bCs/>
          <w:sz w:val="21"/>
          <w:szCs w:val="21"/>
        </w:rPr>
        <w:t xml:space="preserve"> </w:t>
      </w:r>
      <w:r>
        <w:rPr>
          <w:rFonts w:hint="eastAsia"/>
          <w:b/>
          <w:bCs/>
          <w:sz w:val="21"/>
          <w:szCs w:val="21"/>
        </w:rPr>
        <w:t xml:space="preserve">  学时数： </w:t>
      </w:r>
      <w:r>
        <w:rPr>
          <w:b/>
          <w:bCs/>
          <w:sz w:val="21"/>
          <w:szCs w:val="21"/>
        </w:rPr>
        <w:t>4</w:t>
      </w:r>
    </w:p>
    <w:p>
      <w:pPr>
        <w:spacing w:line="360" w:lineRule="auto"/>
        <w:rPr>
          <w:rFonts w:hAnsi="宋体"/>
          <w:szCs w:val="21"/>
        </w:rPr>
      </w:pPr>
      <w:r>
        <w:rPr>
          <w:rFonts w:hint="eastAsia" w:ascii="宋体" w:hAnsi="宋体"/>
          <w:b/>
          <w:bCs/>
          <w:szCs w:val="21"/>
        </w:rPr>
        <w:t>教学目的：</w:t>
      </w:r>
      <w:r>
        <w:rPr>
          <w:rFonts w:hint="eastAsia" w:hAnsi="宋体"/>
          <w:szCs w:val="21"/>
        </w:rPr>
        <w:t>了解</w:t>
      </w:r>
      <w:r>
        <w:rPr>
          <w:rFonts w:hAnsi="宋体"/>
          <w:szCs w:val="21"/>
        </w:rPr>
        <w:t>种子贮藏的生命活动特性</w:t>
      </w:r>
      <w:r>
        <w:rPr>
          <w:rFonts w:hint="eastAsia" w:hAnsi="宋体"/>
          <w:szCs w:val="21"/>
        </w:rPr>
        <w:t>和</w:t>
      </w:r>
      <w:r>
        <w:rPr>
          <w:rFonts w:hAnsi="宋体"/>
          <w:szCs w:val="21"/>
        </w:rPr>
        <w:t>常温</w:t>
      </w:r>
      <w:r>
        <w:rPr>
          <w:rFonts w:hint="eastAsia" w:hAnsi="宋体"/>
          <w:szCs w:val="21"/>
        </w:rPr>
        <w:t>、</w:t>
      </w:r>
      <w:r>
        <w:rPr>
          <w:rFonts w:hAnsi="宋体"/>
          <w:szCs w:val="21"/>
        </w:rPr>
        <w:t>低温仓库种子贮藏期间的变化和管理</w:t>
      </w:r>
      <w:r>
        <w:rPr>
          <w:rFonts w:hint="eastAsia" w:hAnsi="宋体"/>
          <w:szCs w:val="21"/>
        </w:rPr>
        <w:t>；</w:t>
      </w:r>
      <w:r>
        <w:rPr>
          <w:rFonts w:hint="eastAsia"/>
          <w:szCs w:val="21"/>
        </w:rPr>
        <w:t>掌握园</w:t>
      </w:r>
      <w:r>
        <w:rPr>
          <w:rFonts w:hAnsi="宋体"/>
          <w:szCs w:val="21"/>
        </w:rPr>
        <w:t>艺植物种子的贮藏方法及其有关技术</w:t>
      </w:r>
      <w:r>
        <w:rPr>
          <w:rFonts w:hint="eastAsia" w:hAnsi="宋体"/>
          <w:szCs w:val="21"/>
        </w:rPr>
        <w:t>。</w:t>
      </w:r>
    </w:p>
    <w:p>
      <w:pPr>
        <w:spacing w:line="360" w:lineRule="auto"/>
        <w:rPr>
          <w:szCs w:val="21"/>
        </w:rPr>
      </w:pPr>
      <w:r>
        <w:rPr>
          <w:rFonts w:hint="eastAsia" w:ascii="宋体" w:hAnsi="宋体"/>
          <w:b/>
          <w:bCs/>
          <w:szCs w:val="21"/>
        </w:rPr>
        <w:t>重点和难点</w:t>
      </w:r>
      <w:r>
        <w:rPr>
          <w:rFonts w:hint="eastAsia" w:ascii="宋体" w:hAnsi="宋体" w:cs="宋体"/>
          <w:b/>
          <w:bCs/>
          <w:kern w:val="0"/>
          <w:szCs w:val="21"/>
        </w:rPr>
        <w:t>：</w:t>
      </w:r>
      <w:r>
        <w:rPr>
          <w:rFonts w:hAnsi="宋体"/>
          <w:szCs w:val="21"/>
        </w:rPr>
        <w:t>园艺植物种子的贮藏方法及其有关技术</w:t>
      </w:r>
      <w:r>
        <w:rPr>
          <w:rFonts w:hint="eastAsia" w:hAnsi="宋体"/>
          <w:szCs w:val="21"/>
        </w:rPr>
        <w:t>。</w:t>
      </w:r>
    </w:p>
    <w:p>
      <w:pPr>
        <w:widowControl/>
        <w:spacing w:line="360" w:lineRule="auto"/>
        <w:jc w:val="left"/>
        <w:rPr>
          <w:rFonts w:ascii="宋体" w:hAnsi="宋体" w:cs="宋体"/>
          <w:b/>
          <w:bCs/>
          <w:kern w:val="0"/>
          <w:szCs w:val="21"/>
        </w:rPr>
      </w:pPr>
      <w:r>
        <w:rPr>
          <w:rFonts w:hint="eastAsia" w:ascii="宋体" w:hAnsi="宋体"/>
          <w:b/>
          <w:bCs/>
          <w:szCs w:val="21"/>
        </w:rPr>
        <w:t>主要教学内容及要求：</w:t>
      </w:r>
    </w:p>
    <w:p>
      <w:pPr>
        <w:spacing w:line="360" w:lineRule="auto"/>
        <w:ind w:firstLine="420" w:firstLineChars="200"/>
        <w:rPr>
          <w:szCs w:val="21"/>
        </w:rPr>
      </w:pPr>
      <w:r>
        <w:rPr>
          <w:szCs w:val="21"/>
        </w:rPr>
        <w:t>了解</w:t>
      </w:r>
      <w:r>
        <w:rPr>
          <w:rFonts w:hint="eastAsia"/>
          <w:szCs w:val="21"/>
        </w:rPr>
        <w:t>：</w:t>
      </w:r>
      <w:r>
        <w:rPr>
          <w:szCs w:val="21"/>
        </w:rPr>
        <w:t>种子贮藏的基本含义和贮藏的根本目的</w:t>
      </w:r>
      <w:r>
        <w:rPr>
          <w:rFonts w:hint="eastAsia"/>
          <w:szCs w:val="21"/>
          <w:lang w:eastAsia="zh-CN"/>
        </w:rPr>
        <w:t>；</w:t>
      </w:r>
      <w:r>
        <w:rPr>
          <w:szCs w:val="21"/>
        </w:rPr>
        <w:t>种子的生命活动特性与种子贮藏管理的关系</w:t>
      </w:r>
      <w:r>
        <w:rPr>
          <w:rFonts w:hint="eastAsia"/>
          <w:szCs w:val="21"/>
          <w:lang w:eastAsia="zh-CN"/>
        </w:rPr>
        <w:t>；</w:t>
      </w:r>
      <w:r>
        <w:rPr>
          <w:szCs w:val="21"/>
        </w:rPr>
        <w:t>顽拗性种子的贮藏特性和贮藏方法</w:t>
      </w:r>
    </w:p>
    <w:p>
      <w:pPr>
        <w:spacing w:line="360" w:lineRule="auto"/>
        <w:ind w:firstLine="420" w:firstLineChars="200"/>
        <w:rPr>
          <w:szCs w:val="21"/>
        </w:rPr>
      </w:pPr>
      <w:r>
        <w:rPr>
          <w:rFonts w:hAnsi="宋体"/>
          <w:szCs w:val="21"/>
        </w:rPr>
        <w:t>掌握</w:t>
      </w:r>
      <w:r>
        <w:rPr>
          <w:rFonts w:hint="eastAsia" w:hAnsi="宋体"/>
          <w:szCs w:val="21"/>
        </w:rPr>
        <w:t>：</w:t>
      </w:r>
      <w:r>
        <w:rPr>
          <w:rFonts w:hAnsi="宋体"/>
          <w:szCs w:val="21"/>
        </w:rPr>
        <w:t>主要蔬菜种子贮藏的基本要求和技术要点</w:t>
      </w:r>
    </w:p>
    <w:p>
      <w:pPr>
        <w:spacing w:line="360" w:lineRule="auto"/>
        <w:rPr>
          <w:szCs w:val="21"/>
        </w:rPr>
      </w:pPr>
      <w:r>
        <w:rPr>
          <w:rFonts w:hint="eastAsia" w:ascii="宋体" w:hAnsi="宋体"/>
          <w:b/>
          <w:bCs/>
          <w:szCs w:val="21"/>
        </w:rPr>
        <w:t>教学组织与实施：</w:t>
      </w:r>
      <w:r>
        <w:rPr>
          <w:rFonts w:hint="eastAsia"/>
          <w:szCs w:val="21"/>
        </w:rPr>
        <w:t>本节作为一般性的基础知识，要求学生进行课前预习，课堂讲授完成；对知识点采用启发式的教学方法讲授，并介绍相关的课外知识及学科进展。</w:t>
      </w:r>
    </w:p>
    <w:p>
      <w:pPr>
        <w:pStyle w:val="20"/>
        <w:spacing w:before="0" w:beforeAutospacing="0" w:after="0" w:afterAutospacing="0" w:line="360" w:lineRule="auto"/>
        <w:jc w:val="center"/>
        <w:rPr>
          <w:b/>
          <w:bCs/>
          <w:sz w:val="21"/>
          <w:szCs w:val="21"/>
        </w:rPr>
      </w:pPr>
      <w:r>
        <w:rPr>
          <w:rFonts w:hint="eastAsia" w:ascii="Times New Roman"/>
          <w:b/>
          <w:sz w:val="21"/>
          <w:szCs w:val="21"/>
        </w:rPr>
        <w:t xml:space="preserve"> </w:t>
      </w:r>
      <w:r>
        <w:rPr>
          <w:rFonts w:ascii="Times New Roman"/>
          <w:b/>
          <w:sz w:val="21"/>
          <w:szCs w:val="21"/>
        </w:rPr>
        <w:t xml:space="preserve">                       </w:t>
      </w:r>
      <w:r>
        <w:rPr>
          <w:b/>
          <w:bCs/>
          <w:sz w:val="21"/>
          <w:szCs w:val="21"/>
        </w:rPr>
        <w:t xml:space="preserve"> 第六章  种子法规和管理</w:t>
      </w:r>
      <w:r>
        <w:rPr>
          <w:rFonts w:hint="eastAsia"/>
          <w:b/>
          <w:bCs/>
          <w:sz w:val="21"/>
          <w:szCs w:val="21"/>
        </w:rPr>
        <w:t xml:space="preserve">（自学）          学时数： </w:t>
      </w:r>
      <w:r>
        <w:rPr>
          <w:b/>
          <w:bCs/>
          <w:sz w:val="21"/>
          <w:szCs w:val="21"/>
        </w:rPr>
        <w:t>1</w:t>
      </w:r>
    </w:p>
    <w:p>
      <w:pPr>
        <w:spacing w:line="360" w:lineRule="auto"/>
        <w:rPr>
          <w:rFonts w:hAnsi="宋体"/>
          <w:szCs w:val="21"/>
        </w:rPr>
      </w:pPr>
      <w:r>
        <w:rPr>
          <w:rFonts w:hint="eastAsia" w:ascii="宋体" w:hAnsi="宋体"/>
          <w:b/>
          <w:bCs/>
          <w:szCs w:val="21"/>
        </w:rPr>
        <w:t>教学目的：</w:t>
      </w:r>
      <w:r>
        <w:rPr>
          <w:rFonts w:hint="eastAsia" w:hAnsi="宋体"/>
          <w:szCs w:val="21"/>
        </w:rPr>
        <w:t>了解</w:t>
      </w:r>
      <w:r>
        <w:rPr>
          <w:rFonts w:hAnsi="宋体"/>
          <w:szCs w:val="21"/>
        </w:rPr>
        <w:t>种子法规</w:t>
      </w:r>
      <w:r>
        <w:rPr>
          <w:rFonts w:hint="eastAsia" w:hAnsi="宋体"/>
          <w:szCs w:val="21"/>
        </w:rPr>
        <w:t>和</w:t>
      </w:r>
      <w:r>
        <w:rPr>
          <w:rFonts w:hAnsi="宋体"/>
          <w:szCs w:val="21"/>
        </w:rPr>
        <w:t>种子认证的概念和程序</w:t>
      </w:r>
      <w:r>
        <w:rPr>
          <w:rFonts w:hint="eastAsia" w:hAnsi="宋体"/>
          <w:szCs w:val="21"/>
        </w:rPr>
        <w:t>。</w:t>
      </w:r>
    </w:p>
    <w:p>
      <w:pPr>
        <w:spacing w:line="360" w:lineRule="auto"/>
        <w:rPr>
          <w:szCs w:val="21"/>
        </w:rPr>
      </w:pPr>
      <w:r>
        <w:rPr>
          <w:rFonts w:hint="eastAsia" w:ascii="宋体" w:hAnsi="宋体"/>
          <w:b/>
          <w:bCs/>
          <w:szCs w:val="21"/>
        </w:rPr>
        <w:t>重点和难点</w:t>
      </w:r>
      <w:r>
        <w:rPr>
          <w:rFonts w:hint="eastAsia" w:ascii="宋体" w:hAnsi="宋体" w:cs="宋体"/>
          <w:b/>
          <w:bCs/>
          <w:kern w:val="0"/>
          <w:szCs w:val="21"/>
        </w:rPr>
        <w:t>：</w:t>
      </w:r>
      <w:r>
        <w:rPr>
          <w:rFonts w:hAnsi="宋体"/>
          <w:szCs w:val="21"/>
        </w:rPr>
        <w:t>种子认证的概念和程序</w:t>
      </w:r>
      <w:r>
        <w:rPr>
          <w:rFonts w:hint="eastAsia" w:hAnsi="宋体"/>
          <w:szCs w:val="21"/>
        </w:rPr>
        <w:t>。</w:t>
      </w:r>
    </w:p>
    <w:p>
      <w:pPr>
        <w:spacing w:line="360" w:lineRule="auto"/>
        <w:rPr>
          <w:rFonts w:ascii="宋体" w:hAnsi="宋体"/>
          <w:b/>
          <w:bCs/>
          <w:szCs w:val="21"/>
        </w:rPr>
      </w:pPr>
      <w:r>
        <w:rPr>
          <w:rFonts w:hint="eastAsia" w:ascii="宋体" w:hAnsi="宋体"/>
          <w:b/>
          <w:bCs/>
          <w:szCs w:val="21"/>
        </w:rPr>
        <w:t>主要教学内容及要求：</w:t>
      </w:r>
    </w:p>
    <w:p>
      <w:pPr>
        <w:spacing w:line="360" w:lineRule="auto"/>
        <w:ind w:firstLine="420" w:firstLineChars="200"/>
        <w:rPr>
          <w:rFonts w:hAnsi="宋体"/>
          <w:szCs w:val="21"/>
        </w:rPr>
      </w:pPr>
      <w:r>
        <w:rPr>
          <w:rFonts w:hAnsi="宋体"/>
          <w:szCs w:val="21"/>
        </w:rPr>
        <w:t>了解</w:t>
      </w:r>
      <w:r>
        <w:rPr>
          <w:rFonts w:hint="eastAsia" w:hAnsi="宋体"/>
          <w:szCs w:val="21"/>
        </w:rPr>
        <w:t>：</w:t>
      </w:r>
      <w:r>
        <w:rPr>
          <w:rFonts w:hAnsi="宋体"/>
          <w:szCs w:val="21"/>
        </w:rPr>
        <w:t>种子的有关法规</w:t>
      </w:r>
      <w:r>
        <w:rPr>
          <w:rFonts w:hint="eastAsia" w:hAnsi="宋体"/>
          <w:szCs w:val="21"/>
        </w:rPr>
        <w:t>。</w:t>
      </w:r>
    </w:p>
    <w:p>
      <w:pPr>
        <w:spacing w:line="360" w:lineRule="auto"/>
        <w:ind w:firstLine="420" w:firstLineChars="200"/>
        <w:rPr>
          <w:szCs w:val="21"/>
        </w:rPr>
      </w:pPr>
      <w:r>
        <w:rPr>
          <w:rFonts w:hAnsi="宋体"/>
          <w:szCs w:val="21"/>
        </w:rPr>
        <w:t>掌握</w:t>
      </w:r>
      <w:r>
        <w:rPr>
          <w:rFonts w:hint="eastAsia" w:hAnsi="宋体"/>
          <w:szCs w:val="21"/>
        </w:rPr>
        <w:t>：</w:t>
      </w:r>
      <w:r>
        <w:rPr>
          <w:rFonts w:hAnsi="宋体"/>
          <w:szCs w:val="21"/>
        </w:rPr>
        <w:t>新品种发放和生产步骤</w:t>
      </w:r>
      <w:r>
        <w:rPr>
          <w:rFonts w:hint="eastAsia" w:hAnsi="宋体"/>
          <w:szCs w:val="21"/>
        </w:rPr>
        <w:t>。</w:t>
      </w:r>
    </w:p>
    <w:p>
      <w:pPr>
        <w:spacing w:line="360" w:lineRule="auto"/>
        <w:rPr>
          <w:szCs w:val="21"/>
        </w:rPr>
      </w:pPr>
      <w:r>
        <w:rPr>
          <w:rFonts w:hint="eastAsia" w:ascii="宋体" w:hAnsi="宋体"/>
          <w:b/>
          <w:bCs/>
          <w:szCs w:val="21"/>
        </w:rPr>
        <w:t>教学组织与实施：</w:t>
      </w:r>
      <w:r>
        <w:rPr>
          <w:rFonts w:hint="eastAsia"/>
          <w:szCs w:val="21"/>
        </w:rPr>
        <w:t>本节作为一般性的基础知识，要求学生进行课前预习，课堂讲授完成；对知识点采用启发式的教学方法讲授，并介绍相关的课外知识及学科进展。</w:t>
      </w:r>
    </w:p>
    <w:p>
      <w:pPr>
        <w:spacing w:line="360" w:lineRule="auto"/>
        <w:rPr>
          <w:b/>
          <w:bCs/>
          <w:shd w:val="clear" w:color="auto" w:fill="FFFFFF"/>
        </w:rPr>
      </w:pPr>
      <w:r>
        <w:rPr>
          <w:rFonts w:hint="eastAsia"/>
          <w:b/>
          <w:bCs/>
          <w:shd w:val="clear" w:color="auto" w:fill="FFFFFF"/>
        </w:rPr>
        <w:t>五、实验教学内容及学时分配</w:t>
      </w:r>
      <w:r>
        <w:rPr>
          <w:b/>
          <w:bCs/>
          <w:shd w:val="clear" w:color="auto" w:fill="FFFFFF"/>
        </w:rPr>
        <w:t> </w:t>
      </w:r>
      <w:r>
        <w:rPr>
          <w:rFonts w:hint="eastAsia"/>
          <w:b/>
          <w:bCs/>
          <w:shd w:val="clear" w:color="auto" w:fill="FFFFFF"/>
        </w:rPr>
        <w:t>（</w:t>
      </w:r>
      <w:r>
        <w:rPr>
          <w:b/>
          <w:bCs/>
          <w:shd w:val="clear" w:color="auto" w:fill="FFFFFF"/>
        </w:rPr>
        <w:t>8</w:t>
      </w:r>
      <w:r>
        <w:rPr>
          <w:rFonts w:hint="eastAsia"/>
          <w:b/>
          <w:bCs/>
          <w:shd w:val="clear" w:color="auto" w:fill="FFFFFF"/>
        </w:rPr>
        <w:t>学时）</w:t>
      </w:r>
    </w:p>
    <w:p>
      <w:pPr>
        <w:snapToGrid w:val="0"/>
        <w:spacing w:line="360" w:lineRule="auto"/>
        <w:rPr>
          <w:b/>
          <w:bCs/>
          <w:szCs w:val="21"/>
        </w:rPr>
      </w:pPr>
      <w:r>
        <w:rPr>
          <w:rFonts w:hint="eastAsia"/>
          <w:szCs w:val="21"/>
        </w:rPr>
        <w:t>（一）</w:t>
      </w:r>
      <w:r>
        <w:rPr>
          <w:rFonts w:hint="eastAsia"/>
          <w:b/>
          <w:bCs/>
          <w:szCs w:val="21"/>
        </w:rPr>
        <w:t>实验课程简介</w:t>
      </w:r>
    </w:p>
    <w:p>
      <w:pPr>
        <w:spacing w:line="360" w:lineRule="auto"/>
        <w:ind w:firstLine="420" w:firstLineChars="200"/>
      </w:pPr>
      <w:r>
        <w:rPr>
          <w:rFonts w:hint="eastAsia" w:hAnsi="宋体"/>
        </w:rPr>
        <w:t>本实验大纲是配合园艺植物种子学理论课的教学而开设的实验课</w:t>
      </w:r>
      <w:r>
        <w:rPr>
          <w:rFonts w:hint="eastAsia"/>
        </w:rPr>
        <w:t>，</w:t>
      </w:r>
      <w:r>
        <w:rPr>
          <w:rFonts w:hint="eastAsia" w:hAnsi="宋体"/>
        </w:rPr>
        <w:t>主要研究种子的生物学特征、生命活动规律、种子检验的基本理论的一门实验课。</w:t>
      </w:r>
      <w:r>
        <w:t xml:space="preserve"> </w:t>
      </w:r>
      <w:r>
        <w:rPr>
          <w:rFonts w:hint="eastAsia"/>
        </w:rPr>
        <w:t>适用于园艺等专业园艺植物种子学课程的实验教学。</w:t>
      </w:r>
    </w:p>
    <w:p>
      <w:pPr>
        <w:snapToGrid w:val="0"/>
        <w:spacing w:line="360" w:lineRule="auto"/>
        <w:rPr>
          <w:b/>
          <w:bCs/>
          <w:szCs w:val="21"/>
        </w:rPr>
      </w:pPr>
      <w:r>
        <w:rPr>
          <w:rFonts w:hint="eastAsia"/>
          <w:b/>
          <w:bCs/>
          <w:szCs w:val="21"/>
        </w:rPr>
        <w:t>（二）实验教学目的和基本要求</w:t>
      </w:r>
    </w:p>
    <w:p>
      <w:pPr>
        <w:spacing w:line="360" w:lineRule="auto"/>
        <w:ind w:firstLine="210" w:firstLineChars="100"/>
      </w:pPr>
      <w:r>
        <w:rPr>
          <w:rFonts w:hint="eastAsia"/>
        </w:rPr>
        <w:t>（1）</w:t>
      </w:r>
      <w:r>
        <w:rPr>
          <w:rFonts w:hint="eastAsia" w:hAnsi="宋体"/>
        </w:rPr>
        <w:t>培养学生从事实验研究的初步能力，即对实验现象有较敏锐的观察能力，运用各种实验手段正确获取实验数据的能力，分析和归纳实验数据的能力，由实验数据和实验现象实事求是地得出结论，并提出自己见解的能力。</w:t>
      </w:r>
    </w:p>
    <w:p>
      <w:pPr>
        <w:spacing w:line="360" w:lineRule="auto"/>
        <w:ind w:firstLine="210" w:firstLineChars="100"/>
      </w:pPr>
      <w:r>
        <w:rPr>
          <w:rFonts w:hint="eastAsia" w:hAnsi="宋体"/>
        </w:rPr>
        <w:t>（</w:t>
      </w:r>
      <w:r>
        <w:t>2</w:t>
      </w:r>
      <w:r>
        <w:rPr>
          <w:rFonts w:hint="eastAsia" w:hAnsi="宋体"/>
        </w:rPr>
        <w:t>）加深对种子生物学、种子贮藏、质量检验等基础理论的理解和认识；</w:t>
      </w:r>
    </w:p>
    <w:p>
      <w:pPr>
        <w:spacing w:line="360" w:lineRule="auto"/>
        <w:ind w:firstLine="210" w:firstLineChars="100"/>
      </w:pPr>
      <w:r>
        <w:rPr>
          <w:rFonts w:hint="eastAsia" w:hAnsi="宋体"/>
        </w:rPr>
        <w:t>（</w:t>
      </w:r>
      <w:r>
        <w:t>3</w:t>
      </w:r>
      <w:r>
        <w:rPr>
          <w:rFonts w:hint="eastAsia" w:hAnsi="宋体"/>
        </w:rPr>
        <w:t>）熟悉所用仪器的原理，学会使用和维护；</w:t>
      </w:r>
    </w:p>
    <w:p>
      <w:pPr>
        <w:spacing w:line="360" w:lineRule="auto"/>
        <w:ind w:firstLine="210" w:firstLineChars="100"/>
        <w:rPr>
          <w:rFonts w:hAnsi="宋体"/>
        </w:rPr>
      </w:pPr>
      <w:r>
        <w:rPr>
          <w:rFonts w:hint="eastAsia" w:hAnsi="宋体"/>
        </w:rPr>
        <w:t>（</w:t>
      </w:r>
      <w:r>
        <w:t>4</w:t>
      </w:r>
      <w:r>
        <w:rPr>
          <w:rFonts w:hint="eastAsia" w:hAnsi="宋体"/>
        </w:rPr>
        <w:t>）通过学生动手操作、观察记忆、分析归纳，学会种子形态、生理、加工、检验等测定方法，在理论与实践结合的过程中，巩固和加深对所学理论课程的理解。</w:t>
      </w:r>
    </w:p>
    <w:p>
      <w:pPr>
        <w:snapToGrid w:val="0"/>
        <w:spacing w:before="156" w:beforeLines="50" w:line="300" w:lineRule="auto"/>
        <w:rPr>
          <w:rFonts w:hAnsi="宋体"/>
        </w:rPr>
      </w:pPr>
      <w:r>
        <w:rPr>
          <w:rFonts w:hint="eastAsia" w:ascii="宋体" w:hAnsi="宋体"/>
          <w:b/>
          <w:bCs/>
          <w:szCs w:val="21"/>
        </w:rPr>
        <w:t>（三</w:t>
      </w:r>
      <w:r>
        <w:rPr>
          <w:rFonts w:ascii="宋体" w:hAnsi="宋体"/>
          <w:b/>
          <w:bCs/>
          <w:szCs w:val="21"/>
        </w:rPr>
        <w:t>）实验安全操作规范</w:t>
      </w:r>
    </w:p>
    <w:p>
      <w:pPr>
        <w:spacing w:line="360" w:lineRule="auto"/>
        <w:ind w:firstLine="210" w:firstLineChars="100"/>
        <w:rPr>
          <w:rFonts w:hAnsi="宋体"/>
          <w:szCs w:val="21"/>
        </w:rPr>
      </w:pPr>
      <w:r>
        <w:rPr>
          <w:rFonts w:ascii="Calibri" w:hAnsi="宋体"/>
          <w:szCs w:val="21"/>
        </w:rPr>
        <w:t>实验室不允许带食品和饮料。指导教师在上课开始时要告知学生严格遵照试验安全规程操作，并细化到每一个操作步骤，在实验指导过程中要时刻关注学生的操作过程，一旦发现违规操作要及时制止，若违规严重要严肃批评。实验结束后，指导教师应指导学生，正确关闭实验设备，并将设备摆放整齐；要求学生清理实验设置附近的垃圾方可离开实验室。</w:t>
      </w:r>
    </w:p>
    <w:p>
      <w:pPr>
        <w:snapToGrid w:val="0"/>
        <w:spacing w:after="156" w:afterLines="50" w:line="360" w:lineRule="auto"/>
        <w:rPr>
          <w:b/>
          <w:bCs/>
          <w:szCs w:val="21"/>
        </w:rPr>
      </w:pPr>
      <w:r>
        <w:rPr>
          <w:rFonts w:hint="eastAsia"/>
          <w:b/>
          <w:bCs/>
          <w:szCs w:val="21"/>
        </w:rPr>
        <w:t>（</w:t>
      </w:r>
      <w:r>
        <w:rPr>
          <w:rFonts w:hint="eastAsia" w:ascii="宋体" w:hAnsi="宋体"/>
          <w:b/>
          <w:bCs/>
          <w:szCs w:val="21"/>
        </w:rPr>
        <w:t>四</w:t>
      </w:r>
      <w:r>
        <w:rPr>
          <w:rFonts w:hint="eastAsia"/>
          <w:b/>
          <w:bCs/>
          <w:szCs w:val="21"/>
        </w:rPr>
        <w:t>）实验项目名称与学时分配</w:t>
      </w:r>
    </w:p>
    <w:tbl>
      <w:tblPr>
        <w:tblStyle w:val="22"/>
        <w:tblW w:w="4720" w:type="pct"/>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4"/>
        <w:gridCol w:w="3413"/>
        <w:gridCol w:w="789"/>
        <w:gridCol w:w="949"/>
        <w:gridCol w:w="1140"/>
        <w:gridCol w:w="9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87" w:type="pct"/>
            <w:vAlign w:val="center"/>
          </w:tcPr>
          <w:p>
            <w:pPr>
              <w:spacing w:line="360" w:lineRule="auto"/>
              <w:jc w:val="center"/>
              <w:rPr>
                <w:b/>
                <w:sz w:val="18"/>
                <w:szCs w:val="18"/>
              </w:rPr>
            </w:pPr>
            <w:r>
              <w:rPr>
                <w:rFonts w:hint="eastAsia"/>
                <w:b/>
                <w:sz w:val="18"/>
                <w:szCs w:val="18"/>
              </w:rPr>
              <w:t>序号</w:t>
            </w:r>
          </w:p>
        </w:tc>
        <w:tc>
          <w:tcPr>
            <w:tcW w:w="1982" w:type="pct"/>
            <w:vAlign w:val="center"/>
          </w:tcPr>
          <w:p>
            <w:pPr>
              <w:spacing w:line="360" w:lineRule="auto"/>
              <w:jc w:val="center"/>
              <w:rPr>
                <w:b/>
                <w:sz w:val="18"/>
                <w:szCs w:val="18"/>
              </w:rPr>
            </w:pPr>
            <w:r>
              <w:rPr>
                <w:rFonts w:hint="eastAsia"/>
                <w:b/>
                <w:sz w:val="18"/>
                <w:szCs w:val="18"/>
              </w:rPr>
              <w:t>实验名称</w:t>
            </w:r>
          </w:p>
        </w:tc>
        <w:tc>
          <w:tcPr>
            <w:tcW w:w="458" w:type="pct"/>
            <w:vAlign w:val="center"/>
          </w:tcPr>
          <w:p>
            <w:pPr>
              <w:spacing w:line="360" w:lineRule="auto"/>
              <w:jc w:val="center"/>
              <w:rPr>
                <w:b/>
                <w:sz w:val="18"/>
                <w:szCs w:val="18"/>
              </w:rPr>
            </w:pPr>
            <w:r>
              <w:rPr>
                <w:rFonts w:hint="eastAsia"/>
                <w:b/>
                <w:sz w:val="18"/>
                <w:szCs w:val="18"/>
              </w:rPr>
              <w:t>学时</w:t>
            </w:r>
          </w:p>
        </w:tc>
        <w:tc>
          <w:tcPr>
            <w:tcW w:w="551" w:type="pct"/>
            <w:vAlign w:val="center"/>
          </w:tcPr>
          <w:p>
            <w:pPr>
              <w:spacing w:line="360" w:lineRule="auto"/>
              <w:jc w:val="center"/>
              <w:rPr>
                <w:b/>
                <w:sz w:val="18"/>
                <w:szCs w:val="18"/>
              </w:rPr>
            </w:pPr>
            <w:r>
              <w:rPr>
                <w:rFonts w:hint="eastAsia"/>
                <w:b/>
                <w:sz w:val="18"/>
                <w:szCs w:val="18"/>
              </w:rPr>
              <w:t>类型</w:t>
            </w:r>
          </w:p>
        </w:tc>
        <w:tc>
          <w:tcPr>
            <w:tcW w:w="662" w:type="pct"/>
            <w:vAlign w:val="center"/>
          </w:tcPr>
          <w:p>
            <w:pPr>
              <w:spacing w:line="360" w:lineRule="auto"/>
              <w:jc w:val="center"/>
              <w:rPr>
                <w:b/>
                <w:sz w:val="18"/>
                <w:szCs w:val="18"/>
              </w:rPr>
            </w:pPr>
            <w:r>
              <w:rPr>
                <w:rFonts w:hint="eastAsia"/>
                <w:b/>
                <w:sz w:val="18"/>
                <w:szCs w:val="18"/>
              </w:rPr>
              <w:t>实验要求</w:t>
            </w:r>
          </w:p>
        </w:tc>
        <w:tc>
          <w:tcPr>
            <w:tcW w:w="558" w:type="pct"/>
          </w:tcPr>
          <w:p>
            <w:pPr>
              <w:spacing w:line="360" w:lineRule="auto"/>
              <w:jc w:val="center"/>
              <w:rPr>
                <w:b/>
                <w:sz w:val="18"/>
                <w:szCs w:val="18"/>
              </w:rPr>
            </w:pPr>
            <w:r>
              <w:rPr>
                <w:rFonts w:hint="eastAsia"/>
                <w:b/>
                <w:sz w:val="18"/>
                <w:szCs w:val="18"/>
              </w:rPr>
              <w:t>每组人数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pct"/>
            <w:vAlign w:val="center"/>
          </w:tcPr>
          <w:p>
            <w:pPr>
              <w:spacing w:line="360" w:lineRule="auto"/>
              <w:jc w:val="center"/>
              <w:rPr>
                <w:sz w:val="18"/>
                <w:szCs w:val="18"/>
                <w:shd w:val="clear" w:color="auto" w:fill="FFFFFF"/>
              </w:rPr>
            </w:pPr>
            <w:r>
              <w:rPr>
                <w:sz w:val="18"/>
                <w:szCs w:val="18"/>
                <w:shd w:val="clear" w:color="auto" w:fill="FFFFFF"/>
              </w:rPr>
              <w:t>19011105h01</w:t>
            </w:r>
          </w:p>
        </w:tc>
        <w:tc>
          <w:tcPr>
            <w:tcW w:w="1982" w:type="pct"/>
            <w:vAlign w:val="center"/>
          </w:tcPr>
          <w:p>
            <w:pPr>
              <w:widowControl/>
              <w:jc w:val="center"/>
              <w:rPr>
                <w:sz w:val="18"/>
                <w:szCs w:val="18"/>
                <w:shd w:val="clear" w:color="auto" w:fill="FFFFFF"/>
              </w:rPr>
            </w:pPr>
            <w:r>
              <w:rPr>
                <w:rFonts w:hint="eastAsia"/>
                <w:sz w:val="18"/>
                <w:szCs w:val="18"/>
                <w:shd w:val="clear" w:color="auto" w:fill="FFFFFF"/>
              </w:rPr>
              <w:t>园艺作物种子老化劣变的生理生化分析</w:t>
            </w:r>
          </w:p>
        </w:tc>
        <w:tc>
          <w:tcPr>
            <w:tcW w:w="458" w:type="pct"/>
            <w:vAlign w:val="center"/>
          </w:tcPr>
          <w:p>
            <w:pPr>
              <w:widowControl/>
              <w:snapToGrid w:val="0"/>
              <w:spacing w:line="360" w:lineRule="auto"/>
              <w:jc w:val="center"/>
              <w:rPr>
                <w:kern w:val="0"/>
                <w:sz w:val="18"/>
                <w:szCs w:val="18"/>
              </w:rPr>
            </w:pPr>
            <w:r>
              <w:rPr>
                <w:kern w:val="0"/>
                <w:sz w:val="18"/>
                <w:szCs w:val="18"/>
              </w:rPr>
              <w:t>6</w:t>
            </w:r>
          </w:p>
        </w:tc>
        <w:tc>
          <w:tcPr>
            <w:tcW w:w="551" w:type="pct"/>
            <w:vAlign w:val="center"/>
          </w:tcPr>
          <w:p>
            <w:pPr>
              <w:widowControl/>
              <w:snapToGrid w:val="0"/>
              <w:spacing w:line="360" w:lineRule="auto"/>
              <w:jc w:val="center"/>
              <w:rPr>
                <w:kern w:val="0"/>
                <w:sz w:val="18"/>
                <w:szCs w:val="18"/>
              </w:rPr>
            </w:pPr>
            <w:r>
              <w:rPr>
                <w:rFonts w:hint="eastAsia"/>
                <w:kern w:val="0"/>
                <w:sz w:val="18"/>
                <w:szCs w:val="18"/>
              </w:rPr>
              <w:t>设计性</w:t>
            </w:r>
          </w:p>
          <w:p>
            <w:pPr>
              <w:widowControl/>
              <w:snapToGrid w:val="0"/>
              <w:spacing w:line="360" w:lineRule="auto"/>
              <w:jc w:val="center"/>
              <w:rPr>
                <w:kern w:val="0"/>
                <w:sz w:val="18"/>
                <w:szCs w:val="18"/>
              </w:rPr>
            </w:pPr>
            <w:r>
              <w:rPr>
                <w:rFonts w:hint="eastAsia"/>
                <w:kern w:val="0"/>
                <w:sz w:val="18"/>
                <w:szCs w:val="18"/>
              </w:rPr>
              <w:t>综合性</w:t>
            </w:r>
          </w:p>
        </w:tc>
        <w:tc>
          <w:tcPr>
            <w:tcW w:w="662" w:type="pct"/>
            <w:vAlign w:val="center"/>
          </w:tcPr>
          <w:p>
            <w:pPr>
              <w:widowControl/>
              <w:snapToGrid w:val="0"/>
              <w:spacing w:line="360" w:lineRule="auto"/>
              <w:jc w:val="center"/>
              <w:rPr>
                <w:kern w:val="0"/>
                <w:sz w:val="18"/>
                <w:szCs w:val="18"/>
              </w:rPr>
            </w:pPr>
            <w:r>
              <w:rPr>
                <w:rFonts w:hint="eastAsia"/>
                <w:kern w:val="0"/>
                <w:sz w:val="18"/>
                <w:szCs w:val="18"/>
              </w:rPr>
              <w:t>必做</w:t>
            </w:r>
          </w:p>
        </w:tc>
        <w:tc>
          <w:tcPr>
            <w:tcW w:w="558" w:type="pct"/>
            <w:vAlign w:val="center"/>
          </w:tcPr>
          <w:p>
            <w:pPr>
              <w:widowControl/>
              <w:snapToGrid w:val="0"/>
              <w:spacing w:line="360" w:lineRule="auto"/>
              <w:jc w:val="center"/>
              <w:rPr>
                <w:kern w:val="0"/>
                <w:sz w:val="18"/>
                <w:szCs w:val="18"/>
              </w:rPr>
            </w:pPr>
            <w:r>
              <w:rPr>
                <w:kern w:val="0"/>
                <w:sz w:val="18"/>
                <w:szCs w:val="18"/>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87" w:type="pct"/>
          </w:tcPr>
          <w:p>
            <w:pPr>
              <w:spacing w:line="360" w:lineRule="auto"/>
              <w:jc w:val="center"/>
              <w:rPr>
                <w:sz w:val="18"/>
                <w:szCs w:val="18"/>
                <w:shd w:val="clear" w:color="auto" w:fill="FFFFFF"/>
              </w:rPr>
            </w:pPr>
            <w:r>
              <w:rPr>
                <w:sz w:val="18"/>
                <w:szCs w:val="18"/>
                <w:shd w:val="clear" w:color="auto" w:fill="FFFFFF"/>
              </w:rPr>
              <w:t>19011105h02</w:t>
            </w:r>
          </w:p>
        </w:tc>
        <w:tc>
          <w:tcPr>
            <w:tcW w:w="1982" w:type="pct"/>
            <w:vAlign w:val="center"/>
          </w:tcPr>
          <w:p>
            <w:pPr>
              <w:widowControl/>
              <w:snapToGrid w:val="0"/>
              <w:spacing w:line="360" w:lineRule="auto"/>
              <w:jc w:val="center"/>
              <w:rPr>
                <w:sz w:val="18"/>
                <w:szCs w:val="18"/>
                <w:shd w:val="clear" w:color="auto" w:fill="FFFFFF"/>
              </w:rPr>
            </w:pPr>
            <w:r>
              <w:rPr>
                <w:sz w:val="18"/>
                <w:szCs w:val="18"/>
                <w:shd w:val="clear" w:color="auto" w:fill="FFFFFF"/>
              </w:rPr>
              <w:t>种子水分含量测定</w:t>
            </w:r>
          </w:p>
        </w:tc>
        <w:tc>
          <w:tcPr>
            <w:tcW w:w="458" w:type="pct"/>
            <w:vAlign w:val="center"/>
          </w:tcPr>
          <w:p>
            <w:pPr>
              <w:widowControl/>
              <w:snapToGrid w:val="0"/>
              <w:spacing w:line="360" w:lineRule="auto"/>
              <w:jc w:val="center"/>
              <w:rPr>
                <w:b/>
                <w:bCs/>
                <w:kern w:val="0"/>
                <w:sz w:val="18"/>
                <w:szCs w:val="18"/>
              </w:rPr>
            </w:pPr>
            <w:r>
              <w:rPr>
                <w:kern w:val="0"/>
                <w:sz w:val="18"/>
                <w:szCs w:val="18"/>
              </w:rPr>
              <w:t>2</w:t>
            </w:r>
          </w:p>
        </w:tc>
        <w:tc>
          <w:tcPr>
            <w:tcW w:w="551" w:type="pct"/>
            <w:vAlign w:val="center"/>
          </w:tcPr>
          <w:p>
            <w:pPr>
              <w:widowControl/>
              <w:snapToGrid w:val="0"/>
              <w:spacing w:line="360" w:lineRule="auto"/>
              <w:jc w:val="center"/>
              <w:rPr>
                <w:b/>
                <w:bCs/>
                <w:kern w:val="0"/>
                <w:sz w:val="18"/>
                <w:szCs w:val="18"/>
              </w:rPr>
            </w:pPr>
            <w:r>
              <w:rPr>
                <w:rFonts w:hint="eastAsia"/>
                <w:kern w:val="0"/>
                <w:sz w:val="18"/>
                <w:szCs w:val="18"/>
              </w:rPr>
              <w:t>基础性</w:t>
            </w:r>
          </w:p>
        </w:tc>
        <w:tc>
          <w:tcPr>
            <w:tcW w:w="662" w:type="pct"/>
            <w:vAlign w:val="center"/>
          </w:tcPr>
          <w:p>
            <w:pPr>
              <w:widowControl/>
              <w:snapToGrid w:val="0"/>
              <w:spacing w:line="360" w:lineRule="auto"/>
              <w:jc w:val="center"/>
              <w:rPr>
                <w:b/>
                <w:bCs/>
                <w:kern w:val="0"/>
                <w:sz w:val="18"/>
                <w:szCs w:val="18"/>
              </w:rPr>
            </w:pPr>
            <w:r>
              <w:rPr>
                <w:rFonts w:hint="eastAsia"/>
                <w:kern w:val="0"/>
                <w:sz w:val="18"/>
                <w:szCs w:val="18"/>
              </w:rPr>
              <w:t>必做</w:t>
            </w:r>
          </w:p>
        </w:tc>
        <w:tc>
          <w:tcPr>
            <w:tcW w:w="558" w:type="pct"/>
            <w:vAlign w:val="center"/>
          </w:tcPr>
          <w:p>
            <w:pPr>
              <w:widowControl/>
              <w:snapToGrid w:val="0"/>
              <w:spacing w:line="360" w:lineRule="auto"/>
              <w:jc w:val="center"/>
              <w:rPr>
                <w:kern w:val="0"/>
                <w:sz w:val="18"/>
                <w:szCs w:val="18"/>
              </w:rPr>
            </w:pPr>
            <w:r>
              <w:rPr>
                <w:kern w:val="0"/>
                <w:sz w:val="18"/>
                <w:szCs w:val="18"/>
              </w:rPr>
              <w:t>5</w:t>
            </w:r>
          </w:p>
        </w:tc>
      </w:tr>
    </w:tbl>
    <w:p>
      <w:pPr>
        <w:snapToGrid w:val="0"/>
        <w:spacing w:line="360" w:lineRule="auto"/>
        <w:rPr>
          <w:rFonts w:ascii="宋体" w:hAnsi="宋体"/>
          <w:b/>
          <w:bCs/>
          <w:szCs w:val="21"/>
        </w:rPr>
      </w:pPr>
    </w:p>
    <w:p>
      <w:pPr>
        <w:snapToGrid w:val="0"/>
        <w:spacing w:line="360" w:lineRule="auto"/>
        <w:jc w:val="left"/>
        <w:rPr>
          <w:rFonts w:ascii="宋体" w:hAnsi="宋体"/>
          <w:b/>
          <w:bCs/>
          <w:szCs w:val="21"/>
        </w:rPr>
      </w:pPr>
      <w:r>
        <w:rPr>
          <w:rFonts w:hint="eastAsia" w:ascii="宋体" w:hAnsi="宋体"/>
          <w:b/>
          <w:bCs/>
          <w:szCs w:val="21"/>
        </w:rPr>
        <w:t>（五）实验方式及基本要求</w:t>
      </w:r>
    </w:p>
    <w:p>
      <w:pPr>
        <w:spacing w:line="360" w:lineRule="auto"/>
        <w:ind w:firstLine="437"/>
        <w:rPr>
          <w:kern w:val="0"/>
          <w:szCs w:val="21"/>
        </w:rPr>
      </w:pPr>
      <w:r>
        <w:rPr>
          <w:rFonts w:hint="eastAsia" w:ascii="宋体" w:hAnsi="宋体" w:cs="宋体"/>
          <w:kern w:val="0"/>
          <w:szCs w:val="21"/>
        </w:rPr>
        <w:t>实验在园艺植物生理生态实验室进行，</w:t>
      </w:r>
      <w:r>
        <w:rPr>
          <w:rFonts w:hint="eastAsia" w:hAnsi="宋体"/>
        </w:rPr>
        <w:t>加深对种子生物学、种子贮藏、质量检验等基础理论的理解和认识。</w:t>
      </w:r>
      <w:r>
        <w:rPr>
          <w:rFonts w:hint="eastAsia" w:hAnsi="宋体"/>
          <w:szCs w:val="21"/>
        </w:rPr>
        <w:t>通过考查学生在实验过程的学习态度、表现、动手能力、实验结果及实验报告，综合评定成绩。其中出勤占</w:t>
      </w:r>
      <w:r>
        <w:rPr>
          <w:szCs w:val="21"/>
        </w:rPr>
        <w:t>20%</w:t>
      </w:r>
      <w:r>
        <w:rPr>
          <w:rFonts w:hint="eastAsia" w:hAnsi="宋体"/>
          <w:szCs w:val="21"/>
        </w:rPr>
        <w:t>，实验报告占</w:t>
      </w:r>
      <w:r>
        <w:rPr>
          <w:szCs w:val="21"/>
        </w:rPr>
        <w:t>40%</w:t>
      </w:r>
      <w:r>
        <w:rPr>
          <w:rFonts w:hint="eastAsia" w:hAnsi="宋体"/>
          <w:szCs w:val="21"/>
        </w:rPr>
        <w:t>，</w:t>
      </w:r>
      <w:r>
        <w:rPr>
          <w:rFonts w:hint="eastAsia" w:hAnsi="宋体"/>
          <w:kern w:val="0"/>
          <w:szCs w:val="21"/>
        </w:rPr>
        <w:t>实验操作</w:t>
      </w:r>
      <w:r>
        <w:rPr>
          <w:kern w:val="0"/>
          <w:szCs w:val="21"/>
        </w:rPr>
        <w:t>40%</w:t>
      </w:r>
      <w:r>
        <w:rPr>
          <w:rFonts w:hint="eastAsia" w:hAnsi="宋体"/>
          <w:kern w:val="0"/>
          <w:szCs w:val="21"/>
        </w:rPr>
        <w:t>。</w:t>
      </w:r>
    </w:p>
    <w:p>
      <w:pPr>
        <w:snapToGrid w:val="0"/>
        <w:spacing w:line="360" w:lineRule="auto"/>
        <w:rPr>
          <w:rFonts w:ascii="宋体" w:hAnsi="宋体"/>
          <w:b/>
          <w:bCs/>
          <w:szCs w:val="21"/>
        </w:rPr>
      </w:pPr>
      <w:r>
        <w:rPr>
          <w:rFonts w:hint="eastAsia" w:ascii="宋体" w:hAnsi="宋体"/>
          <w:b/>
          <w:bCs/>
          <w:szCs w:val="21"/>
        </w:rPr>
        <w:t>（六）实验内容安排</w:t>
      </w:r>
    </w:p>
    <w:p>
      <w:pPr>
        <w:widowControl/>
        <w:spacing w:line="360" w:lineRule="auto"/>
        <w:rPr>
          <w:szCs w:val="21"/>
        </w:rPr>
      </w:pPr>
      <w:r>
        <w:rPr>
          <w:rFonts w:hint="eastAsia" w:ascii="宋体" w:hAnsi="宋体"/>
          <w:b/>
          <w:bCs/>
          <w:szCs w:val="21"/>
        </w:rPr>
        <w:t>【实验一】园艺作物种子老化劣变的生理生化分析</w:t>
      </w:r>
    </w:p>
    <w:p>
      <w:pPr>
        <w:snapToGrid w:val="0"/>
        <w:spacing w:line="360" w:lineRule="auto"/>
        <w:rPr>
          <w:rFonts w:ascii="宋体" w:hAnsi="宋体"/>
          <w:bCs/>
          <w:szCs w:val="21"/>
        </w:rPr>
      </w:pPr>
      <w:r>
        <w:rPr>
          <w:rFonts w:hint="eastAsia" w:ascii="宋体" w:hAnsi="宋体"/>
          <w:bCs/>
          <w:szCs w:val="21"/>
        </w:rPr>
        <w:t>　</w:t>
      </w:r>
      <w:r>
        <w:rPr>
          <w:rFonts w:hint="eastAsia" w:ascii="宋体" w:hAnsi="宋体"/>
          <w:b/>
          <w:bCs/>
          <w:szCs w:val="21"/>
        </w:rPr>
        <w:t>　1.实验学时：</w:t>
      </w:r>
      <w:r>
        <w:rPr>
          <w:rFonts w:ascii="宋体" w:hAnsi="宋体"/>
          <w:bCs/>
          <w:szCs w:val="21"/>
        </w:rPr>
        <w:t>6</w:t>
      </w:r>
    </w:p>
    <w:p>
      <w:pPr>
        <w:snapToGrid w:val="0"/>
        <w:spacing w:line="360" w:lineRule="auto"/>
        <w:rPr>
          <w:rFonts w:ascii="宋体" w:hAnsi="宋体"/>
          <w:bCs/>
          <w:szCs w:val="21"/>
        </w:rPr>
      </w:pPr>
      <w:r>
        <w:rPr>
          <w:rFonts w:hint="eastAsia" w:ascii="宋体" w:hAnsi="宋体"/>
          <w:bCs/>
          <w:szCs w:val="21"/>
        </w:rPr>
        <w:t>　　</w:t>
      </w:r>
      <w:r>
        <w:rPr>
          <w:rFonts w:hint="eastAsia" w:ascii="宋体" w:hAnsi="宋体"/>
          <w:b/>
          <w:bCs/>
          <w:szCs w:val="21"/>
        </w:rPr>
        <w:t>2.实验目的：</w:t>
      </w:r>
      <w:r>
        <w:rPr>
          <w:rFonts w:hint="eastAsia" w:hAnsi="宋体"/>
          <w:szCs w:val="21"/>
        </w:rPr>
        <w:t>学习种子人工老化的方法和种子老化的生理生化表现。</w:t>
      </w:r>
      <w:r>
        <w:rPr>
          <w:rFonts w:ascii="宋体" w:hAnsi="宋体"/>
          <w:bCs/>
          <w:szCs w:val="21"/>
        </w:rPr>
        <w:t xml:space="preserve"> </w:t>
      </w:r>
    </w:p>
    <w:p>
      <w:pPr>
        <w:widowControl/>
        <w:spacing w:line="360" w:lineRule="auto"/>
        <w:rPr>
          <w:szCs w:val="21"/>
        </w:rPr>
      </w:pPr>
      <w:r>
        <w:rPr>
          <w:rFonts w:hint="eastAsia" w:ascii="宋体" w:hAnsi="宋体"/>
          <w:bCs/>
          <w:szCs w:val="21"/>
        </w:rPr>
        <w:t>　</w:t>
      </w:r>
      <w:r>
        <w:rPr>
          <w:rFonts w:hint="eastAsia" w:ascii="宋体" w:hAnsi="宋体"/>
          <w:b/>
          <w:bCs/>
          <w:szCs w:val="21"/>
        </w:rPr>
        <w:t>　3.实验内容：</w:t>
      </w:r>
      <w:r>
        <w:rPr>
          <w:rFonts w:hint="eastAsia" w:hAnsi="宋体"/>
          <w:szCs w:val="21"/>
        </w:rPr>
        <w:t>Ⅰ</w:t>
      </w:r>
      <w:r>
        <w:rPr>
          <w:szCs w:val="21"/>
        </w:rPr>
        <w:t>.</w:t>
      </w:r>
      <w:r>
        <w:rPr>
          <w:rFonts w:hint="eastAsia" w:hAnsi="宋体"/>
          <w:szCs w:val="21"/>
        </w:rPr>
        <w:t>人工老化试验；Ⅱ</w:t>
      </w:r>
      <w:r>
        <w:rPr>
          <w:szCs w:val="21"/>
        </w:rPr>
        <w:t>.</w:t>
      </w:r>
      <w:r>
        <w:rPr>
          <w:rFonts w:hint="eastAsia" w:hAnsi="宋体"/>
          <w:szCs w:val="21"/>
        </w:rPr>
        <w:t>发芽速率测定；Ⅲ</w:t>
      </w:r>
      <w:r>
        <w:rPr>
          <w:szCs w:val="21"/>
        </w:rPr>
        <w:t>.</w:t>
      </w:r>
      <w:r>
        <w:rPr>
          <w:rFonts w:hint="eastAsia" w:hAnsi="宋体"/>
          <w:szCs w:val="21"/>
        </w:rPr>
        <w:t>种子脱氢酶活性测定；Ⅳ</w:t>
      </w:r>
      <w:r>
        <w:rPr>
          <w:szCs w:val="21"/>
        </w:rPr>
        <w:t>.</w:t>
      </w:r>
      <w:r>
        <w:rPr>
          <w:rFonts w:hint="eastAsia" w:hAnsi="宋体"/>
          <w:szCs w:val="21"/>
        </w:rPr>
        <w:t>种子丙二醛含量测定</w:t>
      </w:r>
      <w:r>
        <w:rPr>
          <w:szCs w:val="21"/>
        </w:rPr>
        <w:t>(</w:t>
      </w:r>
      <w:r>
        <w:rPr>
          <w:rFonts w:hint="eastAsia" w:hAnsi="宋体"/>
          <w:szCs w:val="21"/>
        </w:rPr>
        <w:t>Ⅲ和Ⅳ选做一项</w:t>
      </w:r>
      <w:r>
        <w:rPr>
          <w:szCs w:val="21"/>
        </w:rPr>
        <w:t>)</w:t>
      </w:r>
    </w:p>
    <w:p>
      <w:pPr>
        <w:snapToGrid w:val="0"/>
        <w:spacing w:line="360" w:lineRule="auto"/>
        <w:ind w:firstLine="422" w:firstLineChars="200"/>
        <w:rPr>
          <w:rFonts w:ascii="宋体" w:hAnsi="宋体"/>
          <w:bCs/>
          <w:szCs w:val="21"/>
        </w:rPr>
      </w:pPr>
      <w:r>
        <w:rPr>
          <w:rFonts w:hint="eastAsia" w:ascii="宋体" w:hAnsi="宋体"/>
          <w:b/>
          <w:bCs/>
          <w:szCs w:val="21"/>
        </w:rPr>
        <w:t>4.实验要求：</w:t>
      </w:r>
      <w:r>
        <w:rPr>
          <w:rFonts w:hint="eastAsia" w:hAnsi="宋体"/>
          <w:szCs w:val="21"/>
        </w:rPr>
        <w:t>了解人工加速老化实验测定原理</w:t>
      </w:r>
      <w:r>
        <w:rPr>
          <w:rFonts w:hint="eastAsia"/>
          <w:szCs w:val="21"/>
        </w:rPr>
        <w:t>；</w:t>
      </w:r>
      <w:r>
        <w:rPr>
          <w:rFonts w:hint="eastAsia" w:hAnsi="宋体"/>
          <w:szCs w:val="21"/>
        </w:rPr>
        <w:t>掌握人工加速老化实验的测定方法和评定标准</w:t>
      </w:r>
      <w:r>
        <w:rPr>
          <w:rFonts w:hint="eastAsia"/>
          <w:szCs w:val="21"/>
        </w:rPr>
        <w:t>；</w:t>
      </w:r>
      <w:r>
        <w:rPr>
          <w:rFonts w:hint="eastAsia" w:hAnsi="宋体"/>
          <w:kern w:val="0"/>
          <w:szCs w:val="21"/>
        </w:rPr>
        <w:t>了解种子发芽速率测定原理和生产意义</w:t>
      </w:r>
      <w:r>
        <w:rPr>
          <w:rFonts w:hint="eastAsia"/>
          <w:kern w:val="0"/>
          <w:szCs w:val="21"/>
        </w:rPr>
        <w:t>；</w:t>
      </w:r>
      <w:r>
        <w:rPr>
          <w:rFonts w:hint="eastAsia" w:hAnsi="宋体"/>
          <w:kern w:val="0"/>
          <w:szCs w:val="21"/>
        </w:rPr>
        <w:t>掌握种子发芽速率测定测定方法和评定标准</w:t>
      </w:r>
      <w:r>
        <w:rPr>
          <w:rFonts w:hint="eastAsia"/>
          <w:kern w:val="0"/>
          <w:szCs w:val="21"/>
        </w:rPr>
        <w:t>；</w:t>
      </w:r>
      <w:r>
        <w:rPr>
          <w:rFonts w:hint="eastAsia" w:hAnsi="宋体"/>
          <w:szCs w:val="21"/>
        </w:rPr>
        <w:t>了解脱氢酶活性测定或丙二醛含量测定原理</w:t>
      </w:r>
      <w:r>
        <w:rPr>
          <w:rFonts w:hint="eastAsia"/>
          <w:szCs w:val="21"/>
        </w:rPr>
        <w:t>；</w:t>
      </w:r>
      <w:r>
        <w:rPr>
          <w:rFonts w:hint="eastAsia" w:hAnsi="宋体"/>
          <w:szCs w:val="21"/>
        </w:rPr>
        <w:t>掌握脱氢酶活性或丙二醛含量测定方法。</w:t>
      </w:r>
      <w:r>
        <w:rPr>
          <w:rFonts w:hint="eastAsia" w:ascii="宋体" w:hAnsi="宋体"/>
          <w:b/>
          <w:bCs/>
          <w:szCs w:val="21"/>
        </w:rPr>
        <w:t>　</w:t>
      </w:r>
    </w:p>
    <w:p>
      <w:pPr>
        <w:spacing w:line="360" w:lineRule="auto"/>
        <w:ind w:firstLine="420"/>
        <w:rPr>
          <w:rFonts w:hAnsi="宋体"/>
        </w:rPr>
      </w:pPr>
      <w:r>
        <w:rPr>
          <w:rFonts w:hint="eastAsia" w:ascii="宋体" w:hAnsi="宋体"/>
          <w:b/>
          <w:bCs/>
          <w:szCs w:val="21"/>
        </w:rPr>
        <w:t>5.实验设备及器材：</w:t>
      </w:r>
      <w:r>
        <w:rPr>
          <w:rFonts w:hAnsi="宋体"/>
        </w:rPr>
        <w:t>实验需人工气候箱或发芽箱（至少</w:t>
      </w:r>
      <w:r>
        <w:t>2</w:t>
      </w:r>
      <w:r>
        <w:rPr>
          <w:rFonts w:hAnsi="宋体"/>
        </w:rPr>
        <w:t>个）、电子天平、分光光度计、高速冷冻离心机、微波炉、冰箱、干燥箱、旋风粉碎磨等实验设备和仪器</w:t>
      </w:r>
      <w:r>
        <w:rPr>
          <w:rFonts w:hint="eastAsia" w:hAnsi="宋体"/>
        </w:rPr>
        <w:t>。</w:t>
      </w:r>
    </w:p>
    <w:p>
      <w:pPr>
        <w:widowControl/>
        <w:spacing w:line="360" w:lineRule="auto"/>
        <w:rPr>
          <w:szCs w:val="21"/>
        </w:rPr>
      </w:pPr>
      <w:r>
        <w:rPr>
          <w:rFonts w:hint="eastAsia" w:ascii="宋体" w:hAnsi="宋体"/>
          <w:b/>
          <w:bCs/>
          <w:szCs w:val="21"/>
        </w:rPr>
        <w:t>【实验二】种子水分含量测定</w:t>
      </w:r>
    </w:p>
    <w:p>
      <w:pPr>
        <w:snapToGrid w:val="0"/>
        <w:spacing w:line="360" w:lineRule="auto"/>
        <w:rPr>
          <w:rFonts w:ascii="宋体" w:hAnsi="宋体"/>
          <w:bCs/>
          <w:szCs w:val="21"/>
        </w:rPr>
      </w:pPr>
      <w:r>
        <w:rPr>
          <w:rFonts w:hint="eastAsia" w:ascii="宋体" w:hAnsi="宋体"/>
          <w:bCs/>
          <w:szCs w:val="21"/>
        </w:rPr>
        <w:t>　</w:t>
      </w:r>
      <w:r>
        <w:rPr>
          <w:rFonts w:hint="eastAsia" w:ascii="宋体" w:hAnsi="宋体"/>
          <w:b/>
          <w:bCs/>
          <w:szCs w:val="21"/>
        </w:rPr>
        <w:t>　1.实验学时：</w:t>
      </w:r>
      <w:r>
        <w:rPr>
          <w:rFonts w:ascii="宋体" w:hAnsi="宋体"/>
          <w:bCs/>
          <w:szCs w:val="21"/>
        </w:rPr>
        <w:t>2</w:t>
      </w:r>
    </w:p>
    <w:p>
      <w:pPr>
        <w:snapToGrid w:val="0"/>
        <w:spacing w:line="360" w:lineRule="auto"/>
        <w:rPr>
          <w:rFonts w:ascii="宋体" w:hAnsi="宋体"/>
          <w:bCs/>
          <w:szCs w:val="21"/>
        </w:rPr>
      </w:pPr>
      <w:r>
        <w:rPr>
          <w:rFonts w:hint="eastAsia" w:ascii="宋体" w:hAnsi="宋体"/>
          <w:bCs/>
          <w:szCs w:val="21"/>
        </w:rPr>
        <w:t>　　</w:t>
      </w:r>
      <w:r>
        <w:rPr>
          <w:rFonts w:hint="eastAsia" w:ascii="宋体" w:hAnsi="宋体"/>
          <w:b/>
          <w:bCs/>
          <w:szCs w:val="21"/>
        </w:rPr>
        <w:t>2.实验目的：</w:t>
      </w:r>
      <w:r>
        <w:rPr>
          <w:rFonts w:hint="eastAsia" w:hAnsi="宋体"/>
          <w:szCs w:val="21"/>
        </w:rPr>
        <w:t>学习种子水分含量测定的方法。</w:t>
      </w:r>
      <w:r>
        <w:rPr>
          <w:rFonts w:ascii="宋体" w:hAnsi="宋体"/>
          <w:bCs/>
          <w:szCs w:val="21"/>
        </w:rPr>
        <w:t xml:space="preserve"> </w:t>
      </w:r>
    </w:p>
    <w:p>
      <w:pPr>
        <w:widowControl/>
        <w:spacing w:line="360" w:lineRule="auto"/>
        <w:rPr>
          <w:szCs w:val="21"/>
        </w:rPr>
      </w:pPr>
      <w:r>
        <w:rPr>
          <w:rFonts w:hint="eastAsia" w:ascii="宋体" w:hAnsi="宋体"/>
          <w:bCs/>
          <w:szCs w:val="21"/>
        </w:rPr>
        <w:t>　</w:t>
      </w:r>
      <w:r>
        <w:rPr>
          <w:rFonts w:hint="eastAsia" w:ascii="宋体" w:hAnsi="宋体"/>
          <w:b/>
          <w:bCs/>
          <w:szCs w:val="21"/>
        </w:rPr>
        <w:t>　3.实验内容：</w:t>
      </w:r>
      <w:r>
        <w:rPr>
          <w:rFonts w:hint="eastAsia" w:hAnsi="宋体"/>
          <w:bCs/>
          <w:szCs w:val="21"/>
        </w:rPr>
        <w:t>低恒温烘干法及高恒温烘干法的测定水分的方法及操作技术。</w:t>
      </w:r>
    </w:p>
    <w:p>
      <w:pPr>
        <w:spacing w:line="360" w:lineRule="auto"/>
        <w:ind w:firstLine="422" w:firstLineChars="200"/>
        <w:rPr>
          <w:bCs/>
          <w:szCs w:val="21"/>
        </w:rPr>
      </w:pPr>
      <w:r>
        <w:rPr>
          <w:rFonts w:hint="eastAsia" w:ascii="宋体" w:hAnsi="宋体"/>
          <w:b/>
          <w:bCs/>
          <w:szCs w:val="21"/>
        </w:rPr>
        <w:t>4.实验要求：</w:t>
      </w:r>
      <w:r>
        <w:rPr>
          <w:rFonts w:hint="eastAsia" w:hAnsi="宋体"/>
          <w:bCs/>
          <w:szCs w:val="21"/>
        </w:rPr>
        <w:t>了解电烘箱的结构、原理及使用方法。掌握低恒温烘干法及高恒温烘干法的测定水分的方法及操作技术</w:t>
      </w:r>
      <w:r>
        <w:rPr>
          <w:rFonts w:hint="eastAsia" w:hAnsi="宋体"/>
          <w:szCs w:val="21"/>
        </w:rPr>
        <w:t>。</w:t>
      </w:r>
      <w:r>
        <w:rPr>
          <w:rFonts w:hint="eastAsia" w:ascii="宋体" w:hAnsi="宋体"/>
          <w:b/>
          <w:bCs/>
          <w:szCs w:val="21"/>
        </w:rPr>
        <w:t>　</w:t>
      </w:r>
    </w:p>
    <w:p>
      <w:pPr>
        <w:spacing w:line="360" w:lineRule="auto"/>
      </w:pPr>
      <w:r>
        <w:rPr>
          <w:rFonts w:hint="eastAsia" w:ascii="宋体" w:hAnsi="宋体"/>
          <w:bCs/>
          <w:szCs w:val="21"/>
        </w:rPr>
        <w:t>　　</w:t>
      </w:r>
      <w:r>
        <w:rPr>
          <w:rFonts w:hint="eastAsia" w:ascii="宋体" w:hAnsi="宋体"/>
          <w:b/>
          <w:bCs/>
          <w:szCs w:val="21"/>
        </w:rPr>
        <w:t>5.实验设备及器材：</w:t>
      </w:r>
      <w:r>
        <w:rPr>
          <w:rFonts w:hint="eastAsia" w:hAnsi="宋体"/>
        </w:rPr>
        <w:t>烘箱、磨粉机、干燥器、样品盒、玻璃瓶、坩埚、天平等。</w:t>
      </w:r>
    </w:p>
    <w:p>
      <w:pPr>
        <w:spacing w:line="360" w:lineRule="auto"/>
        <w:rPr>
          <w:b/>
          <w:bCs/>
          <w:shd w:val="clear" w:color="auto" w:fill="FFFFFF"/>
        </w:rPr>
      </w:pPr>
      <w:r>
        <w:rPr>
          <w:rFonts w:hint="eastAsia"/>
          <w:b/>
          <w:bCs/>
          <w:shd w:val="clear" w:color="auto" w:fill="FFFFFF"/>
        </w:rPr>
        <w:t>六、使用教材</w:t>
      </w:r>
    </w:p>
    <w:p>
      <w:pPr>
        <w:pStyle w:val="20"/>
        <w:spacing w:before="0" w:beforeAutospacing="0" w:after="0" w:afterAutospacing="0" w:line="360" w:lineRule="auto"/>
        <w:ind w:firstLine="411" w:firstLineChars="196"/>
        <w:rPr>
          <w:rFonts w:ascii="Calibri" w:hAnsi="Calibri"/>
          <w:kern w:val="2"/>
          <w:sz w:val="21"/>
          <w:szCs w:val="22"/>
        </w:rPr>
      </w:pPr>
      <w:r>
        <w:rPr>
          <w:rFonts w:ascii="Calibri" w:hAnsi="Calibri"/>
          <w:kern w:val="2"/>
          <w:sz w:val="21"/>
          <w:szCs w:val="22"/>
        </w:rPr>
        <w:t>1</w:t>
      </w:r>
      <w:r>
        <w:rPr>
          <w:rFonts w:hint="eastAsia" w:ascii="Calibri" w:hAnsi="Calibri"/>
          <w:kern w:val="2"/>
          <w:sz w:val="21"/>
          <w:szCs w:val="22"/>
        </w:rPr>
        <w:t>．选用教材：</w:t>
      </w:r>
    </w:p>
    <w:p>
      <w:pPr>
        <w:spacing w:line="360" w:lineRule="auto"/>
        <w:ind w:firstLine="420" w:firstLineChars="200"/>
      </w:pPr>
      <w:r>
        <w:t>园艺植物种子学</w:t>
      </w:r>
      <w:r>
        <w:rPr>
          <w:rFonts w:hint="eastAsia"/>
        </w:rPr>
        <w:t xml:space="preserve">. </w:t>
      </w:r>
      <w:r>
        <w:t>巩振辉主编</w:t>
      </w:r>
      <w:r>
        <w:rPr>
          <w:rFonts w:hint="eastAsia"/>
        </w:rPr>
        <w:t xml:space="preserve">. </w:t>
      </w:r>
      <w:r>
        <w:t>中国农业出版社</w:t>
      </w:r>
      <w:r>
        <w:rPr>
          <w:rFonts w:hint="eastAsia"/>
        </w:rPr>
        <w:t xml:space="preserve">. </w:t>
      </w:r>
      <w:r>
        <w:t>20</w:t>
      </w:r>
      <w:r>
        <w:rPr>
          <w:rFonts w:hint="eastAsia"/>
        </w:rPr>
        <w:t>22年</w:t>
      </w:r>
    </w:p>
    <w:p>
      <w:pPr>
        <w:spacing w:line="360" w:lineRule="auto"/>
        <w:ind w:firstLine="420" w:firstLineChars="200"/>
        <w:rPr>
          <w:szCs w:val="21"/>
        </w:rPr>
      </w:pPr>
      <w:r>
        <w:t>2</w:t>
      </w:r>
      <w:r>
        <w:rPr>
          <w:rFonts w:hint="eastAsia"/>
        </w:rPr>
        <w:t>．</w:t>
      </w:r>
      <w:r>
        <w:t>参考书目：</w:t>
      </w:r>
    </w:p>
    <w:p>
      <w:pPr>
        <w:spacing w:line="360" w:lineRule="auto"/>
        <w:ind w:firstLine="420" w:firstLineChars="200"/>
        <w:rPr>
          <w:szCs w:val="21"/>
        </w:rPr>
      </w:pPr>
      <w:r>
        <w:rPr>
          <w:szCs w:val="21"/>
        </w:rPr>
        <w:t>（1）种子贮藏原理与技术.</w:t>
      </w:r>
      <w:r>
        <w:rPr>
          <w:rFonts w:hint="eastAsia"/>
          <w:szCs w:val="21"/>
        </w:rPr>
        <w:t xml:space="preserve"> </w:t>
      </w:r>
      <w:r>
        <w:rPr>
          <w:szCs w:val="21"/>
        </w:rPr>
        <w:t>胡晋</w:t>
      </w:r>
      <w:r>
        <w:t>主编</w:t>
      </w:r>
      <w:r>
        <w:rPr>
          <w:szCs w:val="21"/>
        </w:rPr>
        <w:t>.</w:t>
      </w:r>
      <w:r>
        <w:rPr>
          <w:rFonts w:hint="eastAsia"/>
          <w:szCs w:val="21"/>
        </w:rPr>
        <w:t xml:space="preserve"> </w:t>
      </w:r>
      <w:r>
        <w:rPr>
          <w:szCs w:val="21"/>
        </w:rPr>
        <w:t>中国农业大学出版社</w:t>
      </w:r>
      <w:r>
        <w:rPr>
          <w:rFonts w:hint="eastAsia"/>
          <w:szCs w:val="21"/>
        </w:rPr>
        <w:t xml:space="preserve">. </w:t>
      </w:r>
      <w:r>
        <w:rPr>
          <w:szCs w:val="21"/>
        </w:rPr>
        <w:t>2001</w:t>
      </w:r>
      <w:r>
        <w:rPr>
          <w:rFonts w:hint="eastAsia"/>
        </w:rPr>
        <w:t>年</w:t>
      </w:r>
    </w:p>
    <w:p>
      <w:pPr>
        <w:spacing w:line="360" w:lineRule="auto"/>
        <w:ind w:firstLine="420" w:firstLineChars="200"/>
        <w:rPr>
          <w:szCs w:val="21"/>
        </w:rPr>
      </w:pPr>
      <w:r>
        <w:rPr>
          <w:szCs w:val="21"/>
        </w:rPr>
        <w:t>（2）农作物种子繁育员.</w:t>
      </w:r>
      <w:r>
        <w:rPr>
          <w:rFonts w:hint="eastAsia"/>
          <w:szCs w:val="21"/>
        </w:rPr>
        <w:t xml:space="preserve"> </w:t>
      </w:r>
      <w:r>
        <w:rPr>
          <w:szCs w:val="21"/>
        </w:rPr>
        <w:t>胡晋</w:t>
      </w:r>
      <w:r>
        <w:t>主编</w:t>
      </w:r>
      <w:r>
        <w:rPr>
          <w:szCs w:val="21"/>
        </w:rPr>
        <w:t>.</w:t>
      </w:r>
      <w:r>
        <w:rPr>
          <w:rFonts w:hint="eastAsia"/>
          <w:szCs w:val="21"/>
        </w:rPr>
        <w:t xml:space="preserve"> </w:t>
      </w:r>
      <w:r>
        <w:rPr>
          <w:szCs w:val="21"/>
        </w:rPr>
        <w:t>中国农业出版社</w:t>
      </w:r>
      <w:r>
        <w:rPr>
          <w:rFonts w:hint="eastAsia"/>
          <w:szCs w:val="21"/>
        </w:rPr>
        <w:t xml:space="preserve">. </w:t>
      </w:r>
      <w:r>
        <w:rPr>
          <w:szCs w:val="21"/>
        </w:rPr>
        <w:t>2004</w:t>
      </w:r>
      <w:r>
        <w:rPr>
          <w:rFonts w:hint="eastAsia"/>
        </w:rPr>
        <w:t>年</w:t>
      </w:r>
    </w:p>
    <w:p>
      <w:pPr>
        <w:spacing w:line="360" w:lineRule="auto"/>
        <w:ind w:firstLine="420" w:firstLineChars="200"/>
        <w:rPr>
          <w:szCs w:val="21"/>
        </w:rPr>
      </w:pPr>
      <w:r>
        <w:rPr>
          <w:szCs w:val="21"/>
        </w:rPr>
        <w:t>（3）种子产业化教程.</w:t>
      </w:r>
      <w:r>
        <w:rPr>
          <w:rFonts w:hint="eastAsia"/>
          <w:szCs w:val="21"/>
        </w:rPr>
        <w:t xml:space="preserve"> </w:t>
      </w:r>
      <w:r>
        <w:rPr>
          <w:szCs w:val="21"/>
        </w:rPr>
        <w:t>金文林</w:t>
      </w:r>
      <w:r>
        <w:t>主编</w:t>
      </w:r>
      <w:r>
        <w:rPr>
          <w:szCs w:val="21"/>
        </w:rPr>
        <w:t>.</w:t>
      </w:r>
      <w:r>
        <w:rPr>
          <w:rFonts w:hint="eastAsia"/>
          <w:szCs w:val="21"/>
        </w:rPr>
        <w:t xml:space="preserve"> </w:t>
      </w:r>
      <w:r>
        <w:rPr>
          <w:szCs w:val="21"/>
        </w:rPr>
        <w:t>中国农业出版社</w:t>
      </w:r>
      <w:r>
        <w:rPr>
          <w:rFonts w:hint="eastAsia"/>
          <w:szCs w:val="21"/>
        </w:rPr>
        <w:t xml:space="preserve">. </w:t>
      </w:r>
      <w:r>
        <w:rPr>
          <w:szCs w:val="21"/>
        </w:rPr>
        <w:t>2003</w:t>
      </w:r>
      <w:r>
        <w:rPr>
          <w:rFonts w:hint="eastAsia"/>
        </w:rPr>
        <w:t>年</w:t>
      </w:r>
    </w:p>
    <w:p>
      <w:pPr>
        <w:spacing w:line="360" w:lineRule="auto"/>
        <w:ind w:firstLine="420" w:firstLineChars="200"/>
        <w:rPr>
          <w:szCs w:val="21"/>
        </w:rPr>
      </w:pPr>
      <w:r>
        <w:rPr>
          <w:szCs w:val="21"/>
        </w:rPr>
        <w:t>（4）种子学</w:t>
      </w:r>
      <w:r>
        <w:rPr>
          <w:rFonts w:hint="eastAsia"/>
          <w:szCs w:val="21"/>
        </w:rPr>
        <w:t xml:space="preserve">. </w:t>
      </w:r>
      <w:r>
        <w:rPr>
          <w:szCs w:val="21"/>
        </w:rPr>
        <w:t>颜启传主编.</w:t>
      </w:r>
      <w:r>
        <w:rPr>
          <w:rFonts w:hint="eastAsia"/>
          <w:szCs w:val="21"/>
        </w:rPr>
        <w:t xml:space="preserve"> </w:t>
      </w:r>
      <w:r>
        <w:rPr>
          <w:szCs w:val="21"/>
        </w:rPr>
        <w:t>中国农业出版社</w:t>
      </w:r>
      <w:r>
        <w:rPr>
          <w:rFonts w:hint="eastAsia"/>
          <w:szCs w:val="21"/>
        </w:rPr>
        <w:t xml:space="preserve">. </w:t>
      </w:r>
      <w:r>
        <w:rPr>
          <w:szCs w:val="21"/>
        </w:rPr>
        <w:t>2001</w:t>
      </w:r>
      <w:r>
        <w:rPr>
          <w:rFonts w:hint="eastAsia"/>
        </w:rPr>
        <w:t>年</w:t>
      </w:r>
    </w:p>
    <w:p>
      <w:pPr>
        <w:spacing w:line="360" w:lineRule="auto"/>
        <w:ind w:firstLine="420" w:firstLineChars="200"/>
        <w:rPr>
          <w:szCs w:val="21"/>
        </w:rPr>
      </w:pPr>
      <w:r>
        <w:rPr>
          <w:szCs w:val="21"/>
        </w:rPr>
        <w:t>（</w:t>
      </w:r>
      <w:r>
        <w:rPr>
          <w:rFonts w:hint="eastAsia"/>
          <w:szCs w:val="21"/>
        </w:rPr>
        <w:t>5</w:t>
      </w:r>
      <w:r>
        <w:rPr>
          <w:szCs w:val="21"/>
        </w:rPr>
        <w:t>）种子认证手册.</w:t>
      </w:r>
      <w:r>
        <w:rPr>
          <w:rFonts w:hint="eastAsia"/>
          <w:szCs w:val="21"/>
        </w:rPr>
        <w:t xml:space="preserve"> </w:t>
      </w:r>
      <w:r>
        <w:rPr>
          <w:szCs w:val="21"/>
        </w:rPr>
        <w:t>支巨振主编.</w:t>
      </w:r>
      <w:r>
        <w:rPr>
          <w:rFonts w:hint="eastAsia"/>
          <w:szCs w:val="21"/>
        </w:rPr>
        <w:t xml:space="preserve"> </w:t>
      </w:r>
      <w:r>
        <w:rPr>
          <w:szCs w:val="21"/>
        </w:rPr>
        <w:t>中国农业科技出版社</w:t>
      </w:r>
      <w:r>
        <w:rPr>
          <w:rFonts w:hint="eastAsia"/>
          <w:szCs w:val="21"/>
        </w:rPr>
        <w:t xml:space="preserve">. </w:t>
      </w:r>
      <w:r>
        <w:rPr>
          <w:szCs w:val="21"/>
        </w:rPr>
        <w:t>2002</w:t>
      </w:r>
      <w:r>
        <w:rPr>
          <w:rFonts w:hint="eastAsia"/>
        </w:rPr>
        <w:t>年</w:t>
      </w:r>
    </w:p>
    <w:p>
      <w:pPr>
        <w:spacing w:line="360" w:lineRule="auto"/>
        <w:ind w:firstLine="420" w:firstLineChars="200"/>
        <w:rPr>
          <w:szCs w:val="21"/>
        </w:rPr>
      </w:pPr>
      <w:r>
        <w:rPr>
          <w:szCs w:val="21"/>
        </w:rPr>
        <w:t>（</w:t>
      </w:r>
      <w:r>
        <w:rPr>
          <w:rFonts w:hint="eastAsia"/>
          <w:szCs w:val="21"/>
        </w:rPr>
        <w:t>6</w:t>
      </w:r>
      <w:r>
        <w:rPr>
          <w:szCs w:val="21"/>
        </w:rPr>
        <w:t>）Bewley J D, Black M. Seed: physiology of development and germination</w:t>
      </w:r>
      <w:r>
        <w:rPr>
          <w:rFonts w:hint="eastAsia"/>
          <w:szCs w:val="21"/>
        </w:rPr>
        <w:t xml:space="preserve">. </w:t>
      </w:r>
      <w:r>
        <w:rPr>
          <w:szCs w:val="21"/>
        </w:rPr>
        <w:t>Plenum Press</w:t>
      </w:r>
      <w:r>
        <w:rPr>
          <w:rFonts w:hint="eastAsia"/>
          <w:szCs w:val="21"/>
        </w:rPr>
        <w:t xml:space="preserve">. </w:t>
      </w:r>
      <w:r>
        <w:rPr>
          <w:szCs w:val="21"/>
        </w:rPr>
        <w:t>1994</w:t>
      </w:r>
    </w:p>
    <w:p>
      <w:pPr>
        <w:spacing w:line="360" w:lineRule="auto"/>
        <w:ind w:firstLine="420" w:firstLineChars="200"/>
        <w:rPr>
          <w:szCs w:val="21"/>
        </w:rPr>
      </w:pPr>
      <w:r>
        <w:rPr>
          <w:szCs w:val="21"/>
        </w:rPr>
        <w:t>（</w:t>
      </w:r>
      <w:r>
        <w:rPr>
          <w:rFonts w:hint="eastAsia"/>
          <w:szCs w:val="21"/>
        </w:rPr>
        <w:t>7</w:t>
      </w:r>
      <w:r>
        <w:rPr>
          <w:szCs w:val="21"/>
        </w:rPr>
        <w:t>）Hampton J G, TeKrony D M. Handbook of Vigor Test Methods. Zurich: The International Seed Testing Association, 1995</w:t>
      </w:r>
    </w:p>
    <w:p>
      <w:pPr>
        <w:spacing w:line="360" w:lineRule="auto"/>
        <w:ind w:firstLine="420" w:firstLineChars="200"/>
        <w:rPr>
          <w:szCs w:val="21"/>
        </w:rPr>
      </w:pPr>
      <w:r>
        <w:rPr>
          <w:szCs w:val="21"/>
        </w:rPr>
        <w:t>（</w:t>
      </w:r>
      <w:r>
        <w:rPr>
          <w:rFonts w:hint="eastAsia"/>
          <w:szCs w:val="21"/>
        </w:rPr>
        <w:t>8</w:t>
      </w:r>
      <w:r>
        <w:rPr>
          <w:szCs w:val="21"/>
        </w:rPr>
        <w:t>）McDonald M B, Copeland L O. Seed Production: principles and practices. Chapman &amp; Hall. 1997</w:t>
      </w:r>
    </w:p>
    <w:p>
      <w:pPr>
        <w:spacing w:line="360" w:lineRule="auto"/>
        <w:ind w:firstLine="420" w:firstLineChars="200"/>
        <w:rPr>
          <w:szCs w:val="21"/>
        </w:rPr>
      </w:pPr>
      <w:r>
        <w:rPr>
          <w:szCs w:val="21"/>
        </w:rPr>
        <w:t>（</w:t>
      </w:r>
      <w:r>
        <w:rPr>
          <w:rFonts w:hint="eastAsia"/>
          <w:szCs w:val="21"/>
        </w:rPr>
        <w:t>9</w:t>
      </w:r>
      <w:r>
        <w:rPr>
          <w:szCs w:val="21"/>
        </w:rPr>
        <w:t>）Ronnie D. ISTA Handbook on Seedling Evaluation. ISTA</w:t>
      </w:r>
      <w:r>
        <w:rPr>
          <w:rFonts w:hint="eastAsia"/>
          <w:szCs w:val="21"/>
        </w:rPr>
        <w:t xml:space="preserve">. </w:t>
      </w:r>
      <w:r>
        <w:rPr>
          <w:szCs w:val="21"/>
        </w:rPr>
        <w:t>2003</w:t>
      </w:r>
    </w:p>
    <w:p>
      <w:pPr>
        <w:spacing w:line="360" w:lineRule="auto"/>
        <w:rPr>
          <w:b/>
          <w:bCs/>
          <w:shd w:val="clear" w:color="auto" w:fill="FFFFFF"/>
        </w:rPr>
      </w:pPr>
      <w:r>
        <w:rPr>
          <w:rFonts w:hint="eastAsia"/>
          <w:b/>
          <w:bCs/>
          <w:shd w:val="clear" w:color="auto" w:fill="FFFFFF"/>
        </w:rPr>
        <w:t>七、教学条件</w:t>
      </w:r>
    </w:p>
    <w:p>
      <w:pPr>
        <w:snapToGrid w:val="0"/>
        <w:spacing w:line="360" w:lineRule="auto"/>
        <w:ind w:firstLine="420" w:firstLineChars="200"/>
        <w:rPr>
          <w:rFonts w:ascii="宋体" w:hAnsi="宋体" w:cs="宋体"/>
          <w:kern w:val="0"/>
          <w:szCs w:val="21"/>
        </w:rPr>
      </w:pPr>
      <w:r>
        <w:rPr>
          <w:rFonts w:hint="eastAsia" w:ascii="宋体" w:hAnsi="宋体" w:cs="宋体"/>
          <w:kern w:val="0"/>
          <w:szCs w:val="21"/>
        </w:rPr>
        <w:t>每个课头至少需要1名专职教师。园艺植物生理生态实验室可以满足室内试验的需求。</w:t>
      </w:r>
    </w:p>
    <w:p>
      <w:pPr>
        <w:spacing w:line="360" w:lineRule="auto"/>
        <w:rPr>
          <w:rFonts w:hAnsi="宋体"/>
          <w:b/>
          <w:bCs/>
          <w:kern w:val="0"/>
          <w:szCs w:val="21"/>
        </w:rPr>
      </w:pPr>
      <w:r>
        <w:rPr>
          <w:rFonts w:hint="eastAsia" w:hAnsi="宋体"/>
          <w:b/>
          <w:bCs/>
          <w:kern w:val="0"/>
          <w:szCs w:val="21"/>
        </w:rPr>
        <w:t>八、教学考核评价</w:t>
      </w:r>
    </w:p>
    <w:p>
      <w:pPr>
        <w:widowControl/>
        <w:snapToGrid w:val="0"/>
        <w:spacing w:line="360" w:lineRule="auto"/>
        <w:jc w:val="left"/>
        <w:rPr>
          <w:rFonts w:ascii="宋体" w:hAnsi="宋体"/>
          <w:color w:val="auto"/>
          <w:szCs w:val="21"/>
        </w:rPr>
      </w:pPr>
      <w:bookmarkStart w:id="372" w:name="_Toc138070449"/>
      <w:bookmarkStart w:id="373" w:name="_Toc138070719"/>
      <w:bookmarkStart w:id="374" w:name="_Toc138068819"/>
      <w:bookmarkStart w:id="375" w:name="_Toc138076633"/>
      <w:bookmarkStart w:id="376" w:name="_Toc138076338"/>
      <w:bookmarkStart w:id="377" w:name="_Toc138076089"/>
      <w:r>
        <w:rPr>
          <w:rFonts w:hint="eastAsia" w:hAnsi="宋体"/>
          <w:b/>
          <w:bCs/>
          <w:color w:val="auto"/>
          <w:kern w:val="0"/>
          <w:szCs w:val="21"/>
          <w:lang w:val="en-US" w:eastAsia="zh-CN"/>
        </w:rPr>
        <w:t>1</w:t>
      </w:r>
      <w:r>
        <w:rPr>
          <w:rFonts w:hAnsi="宋体"/>
          <w:b/>
          <w:bCs/>
          <w:color w:val="auto"/>
          <w:kern w:val="0"/>
          <w:szCs w:val="21"/>
        </w:rPr>
        <w:t>.</w:t>
      </w:r>
      <w:r>
        <w:rPr>
          <w:rFonts w:hint="eastAsia" w:hAnsi="宋体"/>
          <w:b/>
          <w:bCs/>
          <w:color w:val="auto"/>
          <w:kern w:val="0"/>
          <w:szCs w:val="21"/>
        </w:rPr>
        <w:t>过程性评价：</w:t>
      </w:r>
      <w:r>
        <w:rPr>
          <w:rFonts w:hint="eastAsia" w:ascii="宋体" w:hAnsi="宋体"/>
          <w:color w:val="auto"/>
          <w:szCs w:val="21"/>
        </w:rPr>
        <w:t xml:space="preserve"> </w:t>
      </w:r>
    </w:p>
    <w:p>
      <w:pPr>
        <w:widowControl/>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本门课程的考核分为平时、期末和实验考核四个环节。平时成绩包括平时学习情况、课堂提问、小组讨论表现、作业、考勤等</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占总成绩的20-30%</w:t>
      </w:r>
      <w:r>
        <w:rPr>
          <w:rFonts w:hint="eastAsia" w:ascii="宋体" w:hAnsi="宋体" w:cs="宋体"/>
          <w:color w:val="auto"/>
          <w:kern w:val="0"/>
          <w:szCs w:val="21"/>
        </w:rPr>
        <w:t>；实验考核包括考勤和实验报告等</w:t>
      </w:r>
      <w:r>
        <w:rPr>
          <w:rFonts w:hint="eastAsia" w:ascii="宋体" w:hAnsi="宋体" w:cs="宋体"/>
          <w:color w:val="auto"/>
          <w:kern w:val="0"/>
          <w:szCs w:val="21"/>
          <w:lang w:val="en-US" w:eastAsia="zh-CN"/>
        </w:rPr>
        <w:t>，占20-30%</w:t>
      </w:r>
      <w:r>
        <w:rPr>
          <w:rFonts w:hint="eastAsia" w:ascii="宋体" w:hAnsi="宋体" w:cs="宋体"/>
          <w:color w:val="auto"/>
          <w:kern w:val="0"/>
          <w:szCs w:val="21"/>
        </w:rPr>
        <w:t>；期末考试为</w:t>
      </w:r>
      <w:r>
        <w:rPr>
          <w:rFonts w:hint="eastAsia" w:ascii="宋体" w:hAnsi="宋体" w:cs="宋体"/>
          <w:color w:val="auto"/>
          <w:kern w:val="0"/>
          <w:szCs w:val="21"/>
          <w:lang w:val="en-US" w:eastAsia="zh-CN"/>
        </w:rPr>
        <w:t>考查</w:t>
      </w:r>
      <w:r>
        <w:rPr>
          <w:rFonts w:hint="eastAsia" w:ascii="宋体" w:hAnsi="宋体" w:cs="宋体"/>
          <w:color w:val="auto"/>
          <w:kern w:val="0"/>
          <w:szCs w:val="21"/>
        </w:rPr>
        <w:t>。</w:t>
      </w:r>
    </w:p>
    <w:p>
      <w:pPr>
        <w:widowControl/>
        <w:snapToGrid w:val="0"/>
        <w:spacing w:line="360" w:lineRule="auto"/>
        <w:jc w:val="left"/>
        <w:rPr>
          <w:rFonts w:hint="default" w:hAnsi="宋体"/>
          <w:b/>
          <w:bCs/>
          <w:color w:val="auto"/>
          <w:kern w:val="0"/>
          <w:szCs w:val="21"/>
          <w:lang w:val="en-US" w:eastAsia="zh-CN"/>
        </w:rPr>
      </w:pPr>
      <w:r>
        <w:rPr>
          <w:rFonts w:hint="eastAsia" w:hAnsi="宋体"/>
          <w:b/>
          <w:bCs/>
          <w:color w:val="auto"/>
          <w:kern w:val="0"/>
          <w:szCs w:val="21"/>
          <w:lang w:val="en-US" w:eastAsia="zh-CN"/>
        </w:rPr>
        <w:t>2.终结性评价：</w:t>
      </w:r>
    </w:p>
    <w:p>
      <w:pPr>
        <w:snapToGrid w:val="0"/>
        <w:spacing w:line="360" w:lineRule="auto"/>
        <w:ind w:firstLine="420" w:firstLineChars="200"/>
        <w:rPr>
          <w:rFonts w:hint="eastAsia" w:ascii="宋体" w:hAnsi="宋体"/>
          <w:color w:val="auto"/>
          <w:szCs w:val="21"/>
        </w:rPr>
      </w:pPr>
      <w:r>
        <w:rPr>
          <w:rFonts w:hint="eastAsia" w:ascii="宋体" w:hAnsi="宋体"/>
          <w:color w:val="auto"/>
          <w:szCs w:val="21"/>
          <w:lang w:val="en-US" w:eastAsia="zh-CN"/>
        </w:rPr>
        <w:t>采用论文</w:t>
      </w:r>
      <w:r>
        <w:rPr>
          <w:rFonts w:hint="eastAsia" w:ascii="宋体" w:hAnsi="宋体"/>
          <w:color w:val="auto"/>
          <w:szCs w:val="21"/>
        </w:rPr>
        <w:t>的考核方式，占总成绩</w:t>
      </w:r>
      <w:r>
        <w:rPr>
          <w:rFonts w:ascii="宋体" w:hAnsi="宋体"/>
          <w:color w:val="auto"/>
          <w:szCs w:val="21"/>
        </w:rPr>
        <w:t>的</w:t>
      </w:r>
      <w:r>
        <w:rPr>
          <w:rFonts w:hint="eastAsia" w:ascii="宋体" w:hAnsi="宋体"/>
          <w:color w:val="auto"/>
          <w:szCs w:val="21"/>
          <w:lang w:val="en-US" w:eastAsia="zh-CN"/>
        </w:rPr>
        <w:t>40-</w:t>
      </w:r>
      <w:r>
        <w:rPr>
          <w:rFonts w:hint="eastAsia" w:ascii="宋体" w:hAnsi="宋体"/>
          <w:color w:val="auto"/>
          <w:szCs w:val="21"/>
        </w:rPr>
        <w:t>50</w:t>
      </w:r>
      <w:r>
        <w:rPr>
          <w:rFonts w:ascii="宋体" w:hAnsi="宋体"/>
          <w:color w:val="auto"/>
          <w:szCs w:val="21"/>
        </w:rPr>
        <w:t>%</w:t>
      </w:r>
      <w:r>
        <w:rPr>
          <w:rFonts w:hint="eastAsia" w:ascii="宋体" w:hAnsi="宋体"/>
          <w:color w:val="auto"/>
          <w:szCs w:val="21"/>
        </w:rPr>
        <w:t>。</w:t>
      </w:r>
    </w:p>
    <w:p>
      <w:pPr>
        <w:widowControl/>
        <w:snapToGrid w:val="0"/>
        <w:spacing w:line="360" w:lineRule="auto"/>
        <w:jc w:val="left"/>
        <w:rPr>
          <w:rFonts w:hint="default" w:hAnsi="宋体"/>
          <w:b/>
          <w:bCs/>
          <w:color w:val="auto"/>
          <w:kern w:val="0"/>
          <w:szCs w:val="21"/>
          <w:lang w:val="en-US" w:eastAsia="zh-CN"/>
        </w:rPr>
      </w:pPr>
      <w:r>
        <w:rPr>
          <w:rFonts w:hint="eastAsia" w:hAnsi="宋体"/>
          <w:b/>
          <w:bCs/>
          <w:color w:val="auto"/>
          <w:kern w:val="0"/>
          <w:szCs w:val="21"/>
          <w:lang w:val="en-US" w:eastAsia="zh-CN"/>
        </w:rPr>
        <w:t>3.课程综合评价：</w:t>
      </w:r>
    </w:p>
    <w:p>
      <w:pPr>
        <w:widowControl/>
        <w:snapToGrid w:val="0"/>
        <w:spacing w:line="360" w:lineRule="auto"/>
        <w:jc w:val="left"/>
        <w:rPr>
          <w:rFonts w:hint="eastAsia" w:hAnsi="宋体" w:eastAsia="宋体"/>
          <w:b/>
          <w:bCs/>
          <w:color w:val="auto"/>
          <w:kern w:val="0"/>
          <w:szCs w:val="21"/>
          <w:lang w:val="en-US" w:eastAsia="zh-CN"/>
        </w:rPr>
      </w:pPr>
      <w:r>
        <w:rPr>
          <w:rFonts w:hint="eastAsia" w:hAnsi="宋体"/>
          <w:b/>
          <w:bCs/>
          <w:color w:val="auto"/>
          <w:kern w:val="0"/>
          <w:szCs w:val="21"/>
          <w:lang w:val="en-US" w:eastAsia="zh-CN"/>
        </w:rPr>
        <w:t xml:space="preserve">    </w:t>
      </w:r>
      <w:r>
        <w:rPr>
          <w:rFonts w:hint="eastAsia" w:ascii="宋体" w:hAnsi="宋体"/>
          <w:szCs w:val="21"/>
        </w:rPr>
        <w:t>总成绩＝</w:t>
      </w:r>
      <w:r>
        <w:rPr>
          <w:rFonts w:hint="eastAsia" w:ascii="宋体" w:hAnsi="宋体"/>
          <w:szCs w:val="21"/>
          <w:lang w:val="en-US" w:eastAsia="zh-CN"/>
        </w:rPr>
        <w:t>课程论文</w:t>
      </w:r>
      <w:r>
        <w:rPr>
          <w:rFonts w:hint="eastAsia" w:ascii="宋体" w:hAnsi="宋体"/>
          <w:szCs w:val="21"/>
        </w:rPr>
        <w:t>成绩</w:t>
      </w:r>
      <w:r>
        <w:rPr>
          <w:rFonts w:hint="eastAsia" w:ascii="宋体" w:hAnsi="宋体"/>
          <w:bCs/>
          <w:color w:val="auto"/>
          <w:szCs w:val="21"/>
        </w:rPr>
        <w:t>×</w:t>
      </w:r>
      <w:r>
        <w:rPr>
          <w:rFonts w:hint="eastAsia" w:ascii="宋体" w:hAnsi="宋体"/>
          <w:szCs w:val="21"/>
          <w:lang w:val="en-US" w:eastAsia="zh-CN"/>
        </w:rPr>
        <w:t>40-</w:t>
      </w:r>
      <w:r>
        <w:rPr>
          <w:rFonts w:ascii="宋体" w:hAnsi="宋体"/>
          <w:szCs w:val="21"/>
        </w:rPr>
        <w:t>5</w:t>
      </w:r>
      <w:r>
        <w:rPr>
          <w:rFonts w:hint="eastAsia" w:ascii="宋体" w:hAnsi="宋体"/>
          <w:szCs w:val="21"/>
        </w:rPr>
        <w:t>0%+平时成绩</w:t>
      </w:r>
      <w:r>
        <w:rPr>
          <w:rFonts w:hint="eastAsia" w:ascii="宋体" w:hAnsi="宋体"/>
          <w:bCs/>
          <w:color w:val="auto"/>
          <w:szCs w:val="21"/>
        </w:rPr>
        <w:t>×</w:t>
      </w:r>
      <w:r>
        <w:rPr>
          <w:rFonts w:hint="eastAsia" w:ascii="宋体" w:hAnsi="宋体"/>
          <w:szCs w:val="21"/>
          <w:lang w:val="en-US" w:eastAsia="zh-CN"/>
        </w:rPr>
        <w:t>20-3</w:t>
      </w:r>
      <w:r>
        <w:rPr>
          <w:rFonts w:hint="eastAsia" w:ascii="宋体" w:hAnsi="宋体"/>
          <w:szCs w:val="21"/>
        </w:rPr>
        <w:t>0%+</w:t>
      </w:r>
      <w:r>
        <w:rPr>
          <w:rFonts w:hint="eastAsia" w:ascii="宋体" w:hAnsi="宋体"/>
          <w:szCs w:val="21"/>
          <w:lang w:val="en-US" w:eastAsia="zh-CN"/>
        </w:rPr>
        <w:t>实验</w:t>
      </w:r>
      <w:r>
        <w:rPr>
          <w:rFonts w:hint="eastAsia" w:ascii="宋体" w:hAnsi="宋体"/>
          <w:szCs w:val="21"/>
        </w:rPr>
        <w:t>成绩</w:t>
      </w:r>
      <w:r>
        <w:rPr>
          <w:rFonts w:hint="eastAsia" w:ascii="宋体" w:hAnsi="宋体"/>
          <w:bCs/>
          <w:color w:val="auto"/>
          <w:szCs w:val="21"/>
        </w:rPr>
        <w:t>×</w:t>
      </w:r>
      <w:r>
        <w:rPr>
          <w:rFonts w:hint="eastAsia" w:ascii="宋体" w:hAnsi="宋体"/>
          <w:szCs w:val="21"/>
          <w:lang w:val="en-US" w:eastAsia="zh-CN"/>
        </w:rPr>
        <w:t>2</w:t>
      </w:r>
      <w:r>
        <w:rPr>
          <w:rFonts w:hint="eastAsia" w:ascii="宋体" w:hAnsi="宋体"/>
          <w:szCs w:val="21"/>
        </w:rPr>
        <w:t>0</w:t>
      </w:r>
      <w:r>
        <w:rPr>
          <w:rFonts w:hint="eastAsia" w:ascii="宋体" w:hAnsi="宋体"/>
          <w:szCs w:val="21"/>
          <w:lang w:val="en-US" w:eastAsia="zh-CN"/>
        </w:rPr>
        <w:t>-30</w:t>
      </w:r>
      <w:r>
        <w:rPr>
          <w:rFonts w:hint="eastAsia" w:ascii="宋体" w:hAnsi="宋体"/>
          <w:szCs w:val="21"/>
        </w:rPr>
        <w:t>%</w:t>
      </w:r>
      <w:r>
        <w:rPr>
          <w:rFonts w:hint="eastAsia" w:ascii="宋体" w:hAnsi="宋体"/>
          <w:szCs w:val="21"/>
          <w:lang w:eastAsia="zh-CN"/>
        </w:rPr>
        <w:t>。</w:t>
      </w:r>
    </w:p>
    <w:p>
      <w:pPr>
        <w:rPr>
          <w:sz w:val="28"/>
          <w:szCs w:val="28"/>
        </w:rPr>
      </w:pPr>
      <w:r>
        <w:rPr>
          <w:sz w:val="28"/>
          <w:szCs w:val="28"/>
        </w:rPr>
        <w:br w:type="page"/>
      </w:r>
    </w:p>
    <w:p>
      <w:pPr>
        <w:pStyle w:val="21"/>
        <w:rPr>
          <w:bCs w:val="0"/>
          <w:sz w:val="28"/>
          <w:szCs w:val="28"/>
        </w:rPr>
      </w:pPr>
      <w:bookmarkStart w:id="378" w:name="_Toc7329"/>
      <w:r>
        <w:rPr>
          <w:bCs w:val="0"/>
          <w:sz w:val="28"/>
          <w:szCs w:val="28"/>
        </w:rPr>
        <w:t>生物信息学</w:t>
      </w:r>
      <w:bookmarkEnd w:id="372"/>
      <w:bookmarkEnd w:id="373"/>
      <w:bookmarkEnd w:id="374"/>
      <w:bookmarkEnd w:id="375"/>
      <w:bookmarkEnd w:id="376"/>
      <w:bookmarkEnd w:id="377"/>
      <w:bookmarkEnd w:id="378"/>
    </w:p>
    <w:p>
      <w:pPr>
        <w:snapToGrid w:val="0"/>
        <w:spacing w:line="360" w:lineRule="auto"/>
        <w:jc w:val="center"/>
        <w:rPr>
          <w:sz w:val="24"/>
        </w:rPr>
      </w:pPr>
      <w:r>
        <w:rPr>
          <w:sz w:val="24"/>
        </w:rPr>
        <w:t>（Bioinformatics）</w:t>
      </w:r>
    </w:p>
    <w:p>
      <w:pPr>
        <w:snapToGrid w:val="0"/>
        <w:spacing w:line="360" w:lineRule="auto"/>
        <w:jc w:val="center"/>
        <w:rPr>
          <w:b/>
          <w:szCs w:val="21"/>
        </w:rPr>
      </w:pPr>
    </w:p>
    <w:p>
      <w:pPr>
        <w:snapToGrid w:val="0"/>
        <w:spacing w:line="360" w:lineRule="auto"/>
        <w:jc w:val="center"/>
        <w:rPr>
          <w:b/>
          <w:szCs w:val="21"/>
        </w:rPr>
      </w:pPr>
      <w:r>
        <w:rPr>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b/>
                <w:bCs/>
                <w:szCs w:val="21"/>
              </w:rPr>
            </w:pPr>
            <w:r>
              <w:rPr>
                <w:b/>
                <w:bCs/>
                <w:szCs w:val="21"/>
              </w:rPr>
              <w:t>课程编号：19011125</w:t>
            </w:r>
          </w:p>
        </w:tc>
        <w:tc>
          <w:tcPr>
            <w:tcW w:w="1453" w:type="pct"/>
          </w:tcPr>
          <w:p>
            <w:pPr>
              <w:spacing w:line="300" w:lineRule="auto"/>
              <w:rPr>
                <w:b/>
                <w:bCs/>
                <w:szCs w:val="21"/>
              </w:rPr>
            </w:pPr>
            <w:r>
              <w:rPr>
                <w:b/>
                <w:bCs/>
                <w:szCs w:val="21"/>
              </w:rPr>
              <w:t>课程总学时：32</w:t>
            </w:r>
          </w:p>
        </w:tc>
        <w:tc>
          <w:tcPr>
            <w:tcW w:w="1881" w:type="pct"/>
          </w:tcPr>
          <w:p>
            <w:pPr>
              <w:spacing w:line="300" w:lineRule="auto"/>
              <w:rPr>
                <w:b/>
                <w:bCs/>
                <w:szCs w:val="21"/>
              </w:rPr>
            </w:pPr>
            <w:r>
              <w:rPr>
                <w:b/>
                <w:bCs/>
                <w:szCs w:val="21"/>
              </w:rPr>
              <w:t>实验学时：  12  学时</w:t>
            </w:r>
          </w:p>
        </w:tc>
      </w:tr>
      <w:tr>
        <w:tblPrEx>
          <w:tblCellMar>
            <w:top w:w="0" w:type="dxa"/>
            <w:left w:w="108" w:type="dxa"/>
            <w:bottom w:w="0" w:type="dxa"/>
            <w:right w:w="108" w:type="dxa"/>
          </w:tblCellMar>
        </w:tblPrEx>
        <w:tc>
          <w:tcPr>
            <w:tcW w:w="1666" w:type="pct"/>
          </w:tcPr>
          <w:p>
            <w:pPr>
              <w:spacing w:line="300" w:lineRule="auto"/>
              <w:rPr>
                <w:b/>
                <w:bCs/>
                <w:szCs w:val="21"/>
              </w:rPr>
            </w:pPr>
            <w:r>
              <w:rPr>
                <w:b/>
                <w:bCs/>
                <w:szCs w:val="21"/>
              </w:rPr>
              <w:t>课程性质：选修</w:t>
            </w:r>
          </w:p>
        </w:tc>
        <w:tc>
          <w:tcPr>
            <w:tcW w:w="1453" w:type="pct"/>
          </w:tcPr>
          <w:p>
            <w:pPr>
              <w:spacing w:line="300" w:lineRule="auto"/>
              <w:rPr>
                <w:b/>
                <w:bCs/>
                <w:szCs w:val="21"/>
              </w:rPr>
            </w:pPr>
            <w:r>
              <w:rPr>
                <w:b/>
                <w:szCs w:val="21"/>
              </w:rPr>
              <w:t>课程属性:</w:t>
            </w:r>
            <w:r>
              <w:rPr>
                <w:b/>
                <w:bCs/>
                <w:szCs w:val="21"/>
              </w:rPr>
              <w:t>专业类</w:t>
            </w:r>
          </w:p>
        </w:tc>
        <w:tc>
          <w:tcPr>
            <w:tcW w:w="1881" w:type="pct"/>
          </w:tcPr>
          <w:p>
            <w:pPr>
              <w:spacing w:line="300" w:lineRule="auto"/>
              <w:rPr>
                <w:b/>
                <w:bCs/>
                <w:szCs w:val="21"/>
              </w:rPr>
            </w:pPr>
            <w:r>
              <w:rPr>
                <w:b/>
                <w:bCs/>
                <w:szCs w:val="21"/>
              </w:rPr>
              <w:t>开设学期：第4学年，第 7 学期</w:t>
            </w:r>
          </w:p>
        </w:tc>
      </w:tr>
      <w:tr>
        <w:tblPrEx>
          <w:tblCellMar>
            <w:top w:w="0" w:type="dxa"/>
            <w:left w:w="108" w:type="dxa"/>
            <w:bottom w:w="0" w:type="dxa"/>
            <w:right w:w="108" w:type="dxa"/>
          </w:tblCellMar>
        </w:tblPrEx>
        <w:tc>
          <w:tcPr>
            <w:tcW w:w="1666" w:type="pct"/>
          </w:tcPr>
          <w:p>
            <w:pPr>
              <w:spacing w:line="300" w:lineRule="auto"/>
              <w:rPr>
                <w:b/>
                <w:bCs/>
                <w:szCs w:val="21"/>
              </w:rPr>
            </w:pPr>
            <w:r>
              <w:rPr>
                <w:b/>
                <w:bCs/>
                <w:szCs w:val="21"/>
              </w:rPr>
              <w:t>课程负责人：杨路明</w:t>
            </w:r>
          </w:p>
        </w:tc>
        <w:tc>
          <w:tcPr>
            <w:tcW w:w="1453" w:type="pct"/>
          </w:tcPr>
          <w:p>
            <w:pPr>
              <w:spacing w:line="300" w:lineRule="auto"/>
              <w:rPr>
                <w:b/>
                <w:bCs/>
                <w:szCs w:val="21"/>
              </w:rPr>
            </w:pPr>
            <w:r>
              <w:rPr>
                <w:b/>
                <w:bCs/>
                <w:szCs w:val="21"/>
              </w:rPr>
              <w:t>课程团队：王盼乔、安光辉、闫文凯</w:t>
            </w:r>
          </w:p>
        </w:tc>
        <w:tc>
          <w:tcPr>
            <w:tcW w:w="1881" w:type="pct"/>
          </w:tcPr>
          <w:p>
            <w:pPr>
              <w:spacing w:line="300" w:lineRule="auto"/>
              <w:ind w:firstLine="422"/>
              <w:rPr>
                <w:b/>
                <w:bCs/>
                <w:szCs w:val="21"/>
              </w:rPr>
            </w:pPr>
            <w:r>
              <w:rPr>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b/>
                <w:bCs/>
                <w:szCs w:val="21"/>
              </w:rPr>
            </w:pPr>
            <w:r>
              <w:rPr>
                <w:b/>
                <w:bCs/>
                <w:szCs w:val="21"/>
              </w:rPr>
              <w:t>适用专业：园艺、设施农业科学与工程、茶学</w:t>
            </w:r>
          </w:p>
        </w:tc>
      </w:tr>
      <w:tr>
        <w:tblPrEx>
          <w:tblCellMar>
            <w:top w:w="0" w:type="dxa"/>
            <w:left w:w="108" w:type="dxa"/>
            <w:bottom w:w="0" w:type="dxa"/>
            <w:right w:w="108" w:type="dxa"/>
          </w:tblCellMar>
        </w:tblPrEx>
        <w:tc>
          <w:tcPr>
            <w:tcW w:w="5000" w:type="pct"/>
            <w:gridSpan w:val="3"/>
          </w:tcPr>
          <w:p>
            <w:pPr>
              <w:spacing w:line="300" w:lineRule="auto"/>
              <w:rPr>
                <w:b/>
                <w:bCs/>
                <w:szCs w:val="21"/>
              </w:rPr>
            </w:pPr>
            <w:r>
              <w:rPr>
                <w:b/>
                <w:bCs/>
                <w:szCs w:val="21"/>
              </w:rPr>
              <w:t>对先修的要求：具备计算机科学基本素质与能力，具有生物学和统计学基础</w:t>
            </w:r>
          </w:p>
        </w:tc>
      </w:tr>
      <w:tr>
        <w:tblPrEx>
          <w:tblCellMar>
            <w:top w:w="0" w:type="dxa"/>
            <w:left w:w="108" w:type="dxa"/>
            <w:bottom w:w="0" w:type="dxa"/>
            <w:right w:w="108" w:type="dxa"/>
          </w:tblCellMar>
        </w:tblPrEx>
        <w:tc>
          <w:tcPr>
            <w:tcW w:w="5000" w:type="pct"/>
            <w:gridSpan w:val="3"/>
          </w:tcPr>
          <w:p>
            <w:pPr>
              <w:spacing w:line="300" w:lineRule="auto"/>
              <w:rPr>
                <w:b/>
                <w:bCs/>
                <w:szCs w:val="21"/>
              </w:rPr>
            </w:pPr>
            <w:r>
              <w:rPr>
                <w:b/>
                <w:bCs/>
                <w:szCs w:val="21"/>
              </w:rPr>
              <w:t>对后续的支撑：提升文献检索与科技论文写作能力，为升学，进入生命科研领域做铺垫</w:t>
            </w:r>
          </w:p>
        </w:tc>
      </w:tr>
      <w:tr>
        <w:tblPrEx>
          <w:tblCellMar>
            <w:top w:w="0" w:type="dxa"/>
            <w:left w:w="108" w:type="dxa"/>
            <w:bottom w:w="0" w:type="dxa"/>
            <w:right w:w="108" w:type="dxa"/>
          </w:tblCellMar>
        </w:tblPrEx>
        <w:tc>
          <w:tcPr>
            <w:tcW w:w="1666" w:type="pct"/>
          </w:tcPr>
          <w:p>
            <w:pPr>
              <w:spacing w:line="300" w:lineRule="auto"/>
              <w:jc w:val="left"/>
              <w:rPr>
                <w:b/>
                <w:bCs/>
                <w:szCs w:val="21"/>
              </w:rPr>
            </w:pPr>
            <w:r>
              <w:rPr>
                <w:b/>
                <w:bCs/>
                <w:szCs w:val="21"/>
              </w:rPr>
              <w:t>主撰人：王盼乔、安光辉、闫文凯</w:t>
            </w:r>
          </w:p>
        </w:tc>
        <w:tc>
          <w:tcPr>
            <w:tcW w:w="1453" w:type="pct"/>
          </w:tcPr>
          <w:p>
            <w:pPr>
              <w:spacing w:line="300" w:lineRule="auto"/>
              <w:rPr>
                <w:b/>
                <w:bCs/>
                <w:szCs w:val="21"/>
              </w:rPr>
            </w:pPr>
            <w:r>
              <w:rPr>
                <w:b/>
                <w:bCs/>
                <w:szCs w:val="21"/>
              </w:rPr>
              <w:t>审核人：杨路明</w:t>
            </w:r>
          </w:p>
        </w:tc>
        <w:tc>
          <w:tcPr>
            <w:tcW w:w="1881" w:type="pct"/>
          </w:tcPr>
          <w:p>
            <w:pPr>
              <w:spacing w:line="300" w:lineRule="auto"/>
              <w:rPr>
                <w:b/>
                <w:bCs/>
                <w:szCs w:val="21"/>
              </w:rPr>
            </w:pPr>
            <w:r>
              <w:rPr>
                <w:b/>
                <w:bCs/>
                <w:szCs w:val="21"/>
              </w:rPr>
              <w:t>大纲制定（修订）日期：</w:t>
            </w:r>
            <w:r>
              <w:rPr>
                <w:rFonts w:hint="eastAsia"/>
                <w:b/>
                <w:bCs/>
                <w:szCs w:val="21"/>
              </w:rPr>
              <w:t>2023.05</w:t>
            </w:r>
          </w:p>
        </w:tc>
      </w:tr>
    </w:tbl>
    <w:p>
      <w:pPr>
        <w:widowControl/>
        <w:snapToGrid w:val="0"/>
        <w:spacing w:line="360" w:lineRule="auto"/>
        <w:jc w:val="left"/>
        <w:rPr>
          <w:b/>
          <w:bCs/>
          <w:kern w:val="0"/>
          <w:szCs w:val="21"/>
        </w:rPr>
      </w:pPr>
    </w:p>
    <w:p>
      <w:pPr>
        <w:widowControl/>
        <w:snapToGrid w:val="0"/>
        <w:spacing w:line="360" w:lineRule="auto"/>
        <w:jc w:val="left"/>
        <w:rPr>
          <w:kern w:val="0"/>
          <w:szCs w:val="21"/>
        </w:rPr>
      </w:pPr>
      <w:r>
        <w:rPr>
          <w:b/>
          <w:bCs/>
          <w:kern w:val="0"/>
          <w:szCs w:val="21"/>
        </w:rPr>
        <w:t>一、课程的教学理念、性质、目标和任务</w:t>
      </w:r>
    </w:p>
    <w:p>
      <w:pPr>
        <w:spacing w:line="360" w:lineRule="auto"/>
        <w:ind w:firstLine="420" w:firstLineChars="200"/>
        <w:rPr>
          <w:bCs/>
          <w:szCs w:val="21"/>
        </w:rPr>
      </w:pPr>
      <w:r>
        <w:rPr>
          <w:kern w:val="0"/>
          <w:szCs w:val="21"/>
        </w:rPr>
        <w:t>《生物信息学》是为将要进入研究生阶段学习的高年级本科生开设的专业加深课。是一门集生物学、计算机科学、数学等学科等交叉学科，它通过对生物学实验数据对获取、加工、存储、检索和分析，达到揭示数据所蕴含对生物学意义，从而解读生命活动规律。该课程主要介绍生命科学研究过程中所要涉及到的基本信息获得和分析处理的资源和方法，包括生物信息学数据类型和数据库使用，蛋白质核酸序列比对原理与方法，蛋白质核酸的结构预测，高通量测序原理，PCR引物设计分析，Python、R语言介绍等内容。通过对这门课程对学习，学生们不仅可以更好的参与社会应用（比如智慧育种等），而且也可以对将来进入科研深造打下基础。</w:t>
      </w:r>
    </w:p>
    <w:p>
      <w:pPr>
        <w:widowControl/>
        <w:snapToGrid w:val="0"/>
        <w:spacing w:line="360" w:lineRule="auto"/>
        <w:jc w:val="left"/>
        <w:rPr>
          <w:kern w:val="0"/>
          <w:szCs w:val="21"/>
        </w:rPr>
      </w:pPr>
      <w:r>
        <w:rPr>
          <w:b/>
          <w:bCs/>
          <w:kern w:val="0"/>
          <w:szCs w:val="21"/>
        </w:rPr>
        <w:t>二、课程教学的基本要求</w:t>
      </w:r>
    </w:p>
    <w:p>
      <w:pPr>
        <w:widowControl/>
        <w:snapToGrid w:val="0"/>
        <w:spacing w:line="360" w:lineRule="auto"/>
        <w:ind w:firstLine="420" w:firstLineChars="200"/>
        <w:jc w:val="left"/>
        <w:rPr>
          <w:kern w:val="0"/>
          <w:szCs w:val="21"/>
        </w:rPr>
      </w:pPr>
      <w:r>
        <w:rPr>
          <w:kern w:val="0"/>
          <w:szCs w:val="21"/>
        </w:rPr>
        <w:t>1.理论知识方面：了解相关名词的背景及含义，掌握生物信息学存储数据格式，知晓对应软件的安装与使用。</w:t>
      </w:r>
    </w:p>
    <w:p>
      <w:pPr>
        <w:widowControl/>
        <w:snapToGrid w:val="0"/>
        <w:spacing w:line="360" w:lineRule="auto"/>
        <w:ind w:firstLine="420" w:firstLineChars="200"/>
        <w:jc w:val="left"/>
        <w:rPr>
          <w:bCs/>
          <w:kern w:val="0"/>
          <w:szCs w:val="21"/>
        </w:rPr>
      </w:pPr>
      <w:r>
        <w:rPr>
          <w:kern w:val="0"/>
          <w:szCs w:val="21"/>
        </w:rPr>
        <w:t>2.实验技能方面：培养学生发现问题、解决问题的能力；引导良好的处理大数据的思维方式。</w:t>
      </w:r>
    </w:p>
    <w:p>
      <w:pPr>
        <w:widowControl/>
        <w:snapToGrid w:val="0"/>
        <w:spacing w:line="360" w:lineRule="auto"/>
        <w:jc w:val="left"/>
        <w:rPr>
          <w:b/>
          <w:bCs/>
          <w:kern w:val="0"/>
          <w:szCs w:val="21"/>
        </w:rPr>
      </w:pPr>
      <w:r>
        <w:rPr>
          <w:b/>
          <w:bCs/>
          <w:kern w:val="0"/>
          <w:szCs w:val="21"/>
        </w:rPr>
        <w:t>三、课程的教学设计</w:t>
      </w:r>
    </w:p>
    <w:p>
      <w:pPr>
        <w:spacing w:line="360" w:lineRule="auto"/>
        <w:ind w:firstLine="420" w:firstLineChars="200"/>
        <w:rPr>
          <w:bCs/>
          <w:kern w:val="0"/>
          <w:szCs w:val="21"/>
        </w:rPr>
      </w:pPr>
      <w:r>
        <w:rPr>
          <w:bCs/>
          <w:kern w:val="0"/>
          <w:szCs w:val="21"/>
        </w:rPr>
        <w:t>1.教学设计说明</w:t>
      </w:r>
    </w:p>
    <w:p>
      <w:pPr>
        <w:spacing w:line="360" w:lineRule="auto"/>
        <w:ind w:firstLine="420" w:firstLineChars="200"/>
        <w:rPr>
          <w:bCs/>
          <w:kern w:val="0"/>
          <w:szCs w:val="21"/>
        </w:rPr>
      </w:pPr>
      <w:r>
        <w:rPr>
          <w:bCs/>
          <w:kern w:val="0"/>
          <w:szCs w:val="21"/>
        </w:rPr>
        <w:t>理论课大班授课，以老师讲授的方式授课，学生首先进行课前预习，老师通过课堂提问、互动、案例分析、课题测试等方法，充分调动起学生的积极性，及时了解学生对知识的掌握情况。</w:t>
      </w:r>
    </w:p>
    <w:p>
      <w:pPr>
        <w:spacing w:line="360" w:lineRule="auto"/>
        <w:ind w:firstLine="420" w:firstLineChars="200"/>
        <w:rPr>
          <w:bCs/>
          <w:kern w:val="0"/>
          <w:szCs w:val="21"/>
        </w:rPr>
      </w:pPr>
      <w:r>
        <w:rPr>
          <w:bCs/>
          <w:kern w:val="0"/>
          <w:szCs w:val="21"/>
        </w:rPr>
        <w:t>实验课小班授课，让学生自己操作电脑，进行程序使用和数据分析，将理论课和实验课有机结合起来，达到最佳的教学效果。教学考核采取多种方式，通过课堂到课率、回答问题、测试、实验操作过程及结果等进行综合考察，使学生更好的掌握所学。</w:t>
      </w:r>
    </w:p>
    <w:p>
      <w:pPr>
        <w:spacing w:line="360" w:lineRule="auto"/>
        <w:ind w:firstLine="420" w:firstLineChars="200"/>
        <w:rPr>
          <w:bCs/>
          <w:color w:val="0000FF"/>
          <w:kern w:val="0"/>
          <w:szCs w:val="21"/>
        </w:rPr>
      </w:pPr>
      <w:r>
        <w:rPr>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b/>
                <w:bCs/>
                <w:sz w:val="18"/>
                <w:szCs w:val="18"/>
              </w:rPr>
            </w:pPr>
            <w:r>
              <w:rPr>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b/>
                <w:bCs/>
                <w:sz w:val="18"/>
                <w:szCs w:val="18"/>
              </w:rPr>
            </w:pPr>
            <w:r>
              <w:rPr>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b/>
                <w:bCs/>
                <w:sz w:val="18"/>
                <w:szCs w:val="18"/>
              </w:rPr>
            </w:pPr>
            <w:r>
              <w:rPr>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sz w:val="18"/>
                <w:szCs w:val="18"/>
              </w:rPr>
            </w:pPr>
            <w:r>
              <w:rPr>
                <w:sz w:val="18"/>
                <w:szCs w:val="18"/>
              </w:rPr>
              <w:t>通过学习生物相关数据，了解动植物生命活动分子生物学的基本原理，掌握生物信息学的学习方法。</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sz w:val="18"/>
                <w:szCs w:val="18"/>
              </w:rPr>
            </w:pPr>
            <w:r>
              <w:rPr>
                <w:sz w:val="18"/>
                <w:szCs w:val="18"/>
              </w:rPr>
              <w:t>2</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sz w:val="18"/>
                <w:szCs w:val="18"/>
                <w:highlight w:val="yellow"/>
              </w:rPr>
            </w:pPr>
            <w:r>
              <w:rPr>
                <w:sz w:val="18"/>
                <w:szCs w:val="18"/>
              </w:rPr>
              <w:t>通过生信相关软件的学习，培养学生处理大数据的能力和思维方式。</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sz w:val="18"/>
                <w:szCs w:val="18"/>
              </w:rPr>
            </w:pPr>
            <w:r>
              <w:rPr>
                <w:sz w:val="18"/>
                <w:szCs w:val="18"/>
              </w:rPr>
              <w:t>3</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sz w:val="18"/>
                <w:szCs w:val="18"/>
              </w:rPr>
            </w:pPr>
            <w:r>
              <w:rPr>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sz w:val="18"/>
                <w:szCs w:val="18"/>
              </w:rPr>
            </w:pPr>
            <w:r>
              <w:rPr>
                <w:sz w:val="18"/>
                <w:szCs w:val="18"/>
              </w:rPr>
              <w:t>通过理论和实验课程学习，激发学生探索生物生命科学问题的兴趣。</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sz w:val="18"/>
                <w:szCs w:val="18"/>
              </w:rPr>
            </w:pPr>
            <w:r>
              <w:rPr>
                <w:sz w:val="18"/>
                <w:szCs w:val="18"/>
              </w:rPr>
              <w:t>4</w:t>
            </w:r>
          </w:p>
        </w:tc>
      </w:tr>
    </w:tbl>
    <w:p>
      <w:pPr>
        <w:spacing w:line="360" w:lineRule="auto"/>
        <w:ind w:firstLine="420" w:firstLineChars="200"/>
        <w:rPr>
          <w:bCs/>
          <w:color w:val="0000FF"/>
          <w:kern w:val="0"/>
          <w:szCs w:val="21"/>
        </w:rPr>
      </w:pPr>
    </w:p>
    <w:p>
      <w:pPr>
        <w:widowControl/>
        <w:snapToGrid w:val="0"/>
        <w:spacing w:line="360" w:lineRule="auto"/>
        <w:jc w:val="left"/>
        <w:rPr>
          <w:bCs/>
          <w:color w:val="0000FF"/>
          <w:kern w:val="0"/>
          <w:szCs w:val="21"/>
        </w:rPr>
      </w:pPr>
      <w:r>
        <w:rPr>
          <w:b/>
          <w:bCs/>
          <w:kern w:val="0"/>
          <w:szCs w:val="21"/>
        </w:rPr>
        <w:t>四、理论教学内容及学时分配（20学时）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第一章 绪论</w:t>
            </w:r>
          </w:p>
        </w:tc>
        <w:tc>
          <w:tcPr>
            <w:tcW w:w="2966"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学时数：2</w:t>
            </w:r>
          </w:p>
        </w:tc>
      </w:tr>
    </w:tbl>
    <w:p>
      <w:pPr>
        <w:widowControl/>
        <w:snapToGrid w:val="0"/>
        <w:spacing w:line="360" w:lineRule="auto"/>
        <w:rPr>
          <w:b/>
          <w:bCs/>
          <w:kern w:val="0"/>
          <w:szCs w:val="21"/>
        </w:rPr>
      </w:pPr>
      <w:r>
        <w:rPr>
          <w:b/>
          <w:bCs/>
        </w:rPr>
        <w:t>教学目标：</w:t>
      </w:r>
      <w:r>
        <w:rPr>
          <w:bCs/>
        </w:rPr>
        <w:t>了解生物信息学的学习内容，学习方法。</w:t>
      </w:r>
      <w:r>
        <w:rPr>
          <w:kern w:val="0"/>
          <w:szCs w:val="21"/>
        </w:rPr>
        <w:t></w:t>
      </w:r>
    </w:p>
    <w:p>
      <w:pPr>
        <w:widowControl/>
        <w:snapToGrid w:val="0"/>
        <w:spacing w:line="360" w:lineRule="auto"/>
        <w:rPr>
          <w:b/>
          <w:bCs/>
          <w:kern w:val="0"/>
          <w:szCs w:val="21"/>
        </w:rPr>
      </w:pPr>
      <w:r>
        <w:rPr>
          <w:b/>
          <w:bCs/>
        </w:rPr>
        <w:t>教学重点和难点：</w:t>
      </w:r>
      <w:r>
        <w:rPr>
          <w:bCs/>
        </w:rPr>
        <w:t>生物信息学的研究领域、主要应用和学习方法。</w:t>
      </w:r>
      <w:r>
        <w:rPr>
          <w:kern w:val="0"/>
          <w:szCs w:val="21"/>
        </w:rPr>
        <w:t></w:t>
      </w:r>
    </w:p>
    <w:p>
      <w:pPr>
        <w:pStyle w:val="7"/>
        <w:snapToGrid w:val="0"/>
        <w:spacing w:line="360" w:lineRule="auto"/>
        <w:ind w:firstLine="0" w:firstLineChars="0"/>
        <w:rPr>
          <w:rFonts w:ascii="Times New Roman"/>
        </w:rPr>
      </w:pPr>
      <w:r>
        <w:rPr>
          <w:rFonts w:ascii="Times New Roman"/>
          <w:b/>
        </w:rPr>
        <w:t>主要教学内容及要求：</w:t>
      </w:r>
    </w:p>
    <w:p>
      <w:pPr>
        <w:pStyle w:val="7"/>
        <w:snapToGrid w:val="0"/>
        <w:spacing w:line="360" w:lineRule="auto"/>
        <w:rPr>
          <w:rFonts w:ascii="Times New Roman"/>
        </w:rPr>
      </w:pPr>
      <w:r>
        <w:rPr>
          <w:rFonts w:ascii="Times New Roman"/>
        </w:rPr>
        <w:t>了解生物信息学的学习内容，包括生物信息学数据和数据库、序列比对与分析、高通量测序、编程语言初识、基因表达分析、在线工具使用等内容。</w:t>
      </w:r>
    </w:p>
    <w:p>
      <w:pPr>
        <w:pStyle w:val="7"/>
        <w:snapToGrid w:val="0"/>
        <w:spacing w:line="360" w:lineRule="auto"/>
        <w:rPr>
          <w:rFonts w:ascii="Times New Roman"/>
        </w:rPr>
      </w:pPr>
      <w:r>
        <w:rPr>
          <w:rFonts w:ascii="Times New Roman"/>
        </w:rPr>
        <w:t>理解生物信息学的研究领域，涉及植物，动物、微生物相关的农业，医学，交叉学科等计算机和生命广泛领域。</w:t>
      </w:r>
    </w:p>
    <w:p>
      <w:pPr>
        <w:pStyle w:val="7"/>
        <w:snapToGrid w:val="0"/>
        <w:spacing w:line="360" w:lineRule="auto"/>
        <w:rPr>
          <w:rFonts w:ascii="Times New Roman"/>
        </w:rPr>
      </w:pPr>
      <w:r>
        <w:rPr>
          <w:rFonts w:ascii="Times New Roman"/>
        </w:rPr>
        <w:t>掌握生物信息学的发展史，从第一份生物数据产生开始，生物信息学就诞生了，受益于计算机科学的不断发展，生物信息学也进入了快速发展的黄金阶段。</w:t>
      </w:r>
    </w:p>
    <w:p>
      <w:pPr>
        <w:pStyle w:val="7"/>
        <w:snapToGrid w:val="0"/>
        <w:spacing w:line="360" w:lineRule="auto"/>
        <w:rPr>
          <w:rFonts w:ascii="Times New Roman"/>
        </w:rPr>
      </w:pPr>
      <w:r>
        <w:rPr>
          <w:rFonts w:ascii="Times New Roman"/>
        </w:rPr>
        <w:t xml:space="preserve">熟练掌握生物信息学的各类学习方法，初步认识常见编程语言、生物信息学常用软件。 </w:t>
      </w:r>
    </w:p>
    <w:p>
      <w:pPr>
        <w:widowControl/>
        <w:snapToGrid w:val="0"/>
        <w:spacing w:line="360" w:lineRule="auto"/>
        <w:ind w:firstLine="422" w:firstLineChars="200"/>
        <w:rPr>
          <w:color w:val="0000FF"/>
          <w:kern w:val="0"/>
          <w:szCs w:val="21"/>
        </w:rPr>
      </w:pPr>
      <w:r>
        <w:rPr>
          <w:b/>
          <w:bCs/>
        </w:rPr>
        <w:t>教学组织与实施：</w:t>
      </w:r>
      <w:r>
        <w:rPr>
          <w:szCs w:val="20"/>
        </w:rPr>
        <w:t>在多媒体教室进行PPT授课，课中让同学自由讨论对生物信息学的认识和生物学的作用，播放人类基因组计划的新闻视频激发学生探索生命奥秘的兴趣。</w:t>
      </w:r>
      <w:r>
        <w:rPr>
          <w:kern w:val="0"/>
          <w:szCs w:val="21"/>
        </w:rPr>
        <w:t>生物信息学不仅为学生提供必要的基础理论知识的同时，重点培养学生利用专业技能分析解决问题的能力，为学生从事与生物学相关专业技术工作、科学研究工作等打下坚实的基础，培养学生认真严谨的工作作风。</w:t>
      </w:r>
    </w:p>
    <w:tbl>
      <w:tblPr>
        <w:tblStyle w:val="22"/>
        <w:tblW w:w="0" w:type="auto"/>
        <w:tblInd w:w="4" w:type="dxa"/>
        <w:tblLayout w:type="autofit"/>
        <w:tblCellMar>
          <w:top w:w="0" w:type="dxa"/>
          <w:left w:w="0" w:type="dxa"/>
          <w:bottom w:w="0" w:type="dxa"/>
          <w:right w:w="0" w:type="dxa"/>
        </w:tblCellMar>
      </w:tblPr>
      <w:tblGrid>
        <w:gridCol w:w="1811"/>
        <w:gridCol w:w="4119"/>
        <w:gridCol w:w="2966"/>
      </w:tblGrid>
      <w:tr>
        <w:tblPrEx>
          <w:tblCellMar>
            <w:top w:w="0" w:type="dxa"/>
            <w:left w:w="0" w:type="dxa"/>
            <w:bottom w:w="0" w:type="dxa"/>
            <w:right w:w="0" w:type="dxa"/>
          </w:tblCellMar>
        </w:tblPrEx>
        <w:trPr>
          <w:trHeight w:val="270" w:hRule="atLeast"/>
        </w:trPr>
        <w:tc>
          <w:tcPr>
            <w:tcW w:w="1811"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4119"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 xml:space="preserve">第二章  </w:t>
            </w:r>
            <w:bookmarkStart w:id="379" w:name="_Hlk137929618"/>
            <w:r>
              <w:rPr>
                <w:b/>
                <w:bCs/>
                <w:szCs w:val="21"/>
              </w:rPr>
              <w:t>生物信息学常用数据库</w:t>
            </w:r>
            <w:bookmarkEnd w:id="379"/>
          </w:p>
        </w:tc>
        <w:tc>
          <w:tcPr>
            <w:tcW w:w="2966"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学时数：2</w:t>
            </w:r>
          </w:p>
        </w:tc>
      </w:tr>
    </w:tbl>
    <w:p>
      <w:pPr>
        <w:snapToGrid w:val="0"/>
        <w:spacing w:line="360" w:lineRule="auto"/>
        <w:rPr>
          <w:b/>
          <w:bCs/>
        </w:rPr>
      </w:pPr>
      <w:r>
        <w:rPr>
          <w:b/>
          <w:bCs/>
        </w:rPr>
        <w:t>第一节  常用数据库简介（1学时）</w:t>
      </w:r>
    </w:p>
    <w:p>
      <w:pPr>
        <w:widowControl/>
        <w:snapToGrid w:val="0"/>
        <w:spacing w:line="360" w:lineRule="auto"/>
        <w:rPr>
          <w:b/>
          <w:bCs/>
          <w:kern w:val="0"/>
          <w:szCs w:val="21"/>
        </w:rPr>
      </w:pPr>
      <w:r>
        <w:rPr>
          <w:b/>
          <w:bCs/>
        </w:rPr>
        <w:t>教学目标：</w:t>
      </w:r>
      <w:bookmarkStart w:id="380" w:name="_Hlk137977365"/>
      <w:r>
        <w:rPr>
          <w:kern w:val="0"/>
          <w:szCs w:val="21"/>
        </w:rPr>
        <w:t>了解生物信息学常用数据库的种类及其功能</w:t>
      </w:r>
      <w:bookmarkEnd w:id="380"/>
      <w:r>
        <w:rPr>
          <w:kern w:val="0"/>
          <w:szCs w:val="21"/>
        </w:rPr>
        <w:t>。</w:t>
      </w:r>
    </w:p>
    <w:p>
      <w:pPr>
        <w:widowControl/>
        <w:snapToGrid w:val="0"/>
        <w:spacing w:line="360" w:lineRule="auto"/>
        <w:rPr>
          <w:b/>
          <w:bCs/>
          <w:kern w:val="0"/>
          <w:szCs w:val="21"/>
        </w:rPr>
      </w:pPr>
      <w:r>
        <w:rPr>
          <w:b/>
          <w:bCs/>
        </w:rPr>
        <w:t>教学重点和难点：</w:t>
      </w:r>
      <w:bookmarkStart w:id="381" w:name="_Hlk137977374"/>
      <w:r>
        <w:t>生物信息学</w:t>
      </w:r>
      <w:r>
        <w:rPr>
          <w:kern w:val="0"/>
          <w:szCs w:val="21"/>
        </w:rPr>
        <w:t>常用数据库的</w:t>
      </w:r>
      <w:r>
        <w:t>主要功能和应用场景</w:t>
      </w:r>
      <w:bookmarkEnd w:id="381"/>
      <w:r>
        <w:t>。</w:t>
      </w:r>
    </w:p>
    <w:p>
      <w:pPr>
        <w:pStyle w:val="7"/>
        <w:snapToGrid w:val="0"/>
        <w:spacing w:line="360" w:lineRule="auto"/>
        <w:ind w:firstLine="0" w:firstLineChars="0"/>
        <w:rPr>
          <w:rFonts w:ascii="Times New Roman"/>
          <w:b/>
        </w:rPr>
      </w:pPr>
      <w:r>
        <w:rPr>
          <w:rFonts w:ascii="Times New Roman"/>
          <w:b/>
        </w:rPr>
        <w:t>主要教学内容及要求：</w:t>
      </w:r>
      <w:r>
        <w:rPr>
          <w:rFonts w:ascii="Times New Roman"/>
          <w:bCs/>
        </w:rPr>
        <w:t>了解</w:t>
      </w:r>
      <w:bookmarkStart w:id="382" w:name="_Hlk137977292"/>
      <w:r>
        <w:rPr>
          <w:rFonts w:ascii="Times New Roman"/>
          <w:bCs/>
        </w:rPr>
        <w:t>生物信息学常用数据库的种类</w:t>
      </w:r>
      <w:bookmarkEnd w:id="382"/>
      <w:r>
        <w:rPr>
          <w:rFonts w:ascii="Times New Roman"/>
          <w:bCs/>
        </w:rPr>
        <w:t>；理解</w:t>
      </w:r>
      <w:bookmarkStart w:id="383" w:name="_Hlk137977306"/>
      <w:r>
        <w:rPr>
          <w:rFonts w:ascii="Times New Roman"/>
          <w:bCs/>
        </w:rPr>
        <w:t>数据库的使用场景及其解决问题的方法</w:t>
      </w:r>
      <w:bookmarkEnd w:id="383"/>
      <w:r>
        <w:rPr>
          <w:rFonts w:ascii="Times New Roman"/>
          <w:bCs/>
        </w:rPr>
        <w:t>；掌握</w:t>
      </w:r>
      <w:bookmarkStart w:id="384" w:name="_Hlk137977317"/>
      <w:r>
        <w:rPr>
          <w:rFonts w:ascii="Times New Roman"/>
          <w:kern w:val="0"/>
          <w:szCs w:val="21"/>
        </w:rPr>
        <w:t>生物信息学常用数据库的应用场景和主要功能</w:t>
      </w:r>
      <w:bookmarkEnd w:id="384"/>
      <w:r>
        <w:rPr>
          <w:rFonts w:ascii="Times New Roman"/>
          <w:kern w:val="0"/>
          <w:szCs w:val="21"/>
        </w:rPr>
        <w:t>。</w:t>
      </w:r>
    </w:p>
    <w:p>
      <w:pPr>
        <w:widowControl/>
        <w:snapToGrid w:val="0"/>
        <w:spacing w:line="360" w:lineRule="auto"/>
        <w:rPr>
          <w:b/>
          <w:bCs/>
        </w:rPr>
      </w:pPr>
      <w:r>
        <w:rPr>
          <w:b/>
          <w:bCs/>
        </w:rPr>
        <w:t>教学组织与实施：</w:t>
      </w:r>
      <w:r>
        <w:t>在多媒体教室进行PPT授课，课中让同学自由讨论</w:t>
      </w:r>
      <w:r>
        <w:rPr>
          <w:kern w:val="0"/>
          <w:szCs w:val="21"/>
        </w:rPr>
        <w:t>生物信息学常用数据库</w:t>
      </w:r>
      <w:r>
        <w:t>对生物学研究的作用。播放与本课程内容相关的视频，并与同学们分享本课程相关的最新科研进展。</w:t>
      </w:r>
    </w:p>
    <w:p>
      <w:pPr>
        <w:snapToGrid w:val="0"/>
        <w:spacing w:line="360" w:lineRule="auto"/>
        <w:rPr>
          <w:b/>
          <w:bCs/>
        </w:rPr>
      </w:pPr>
      <w:r>
        <w:rPr>
          <w:b/>
          <w:bCs/>
        </w:rPr>
        <w:t>第二节  数据库的选择和使用（1学时）</w:t>
      </w:r>
    </w:p>
    <w:p>
      <w:pPr>
        <w:widowControl/>
        <w:snapToGrid w:val="0"/>
        <w:spacing w:line="360" w:lineRule="auto"/>
        <w:rPr>
          <w:b/>
          <w:bCs/>
          <w:kern w:val="0"/>
          <w:szCs w:val="21"/>
        </w:rPr>
      </w:pPr>
      <w:r>
        <w:rPr>
          <w:b/>
          <w:bCs/>
        </w:rPr>
        <w:t>教学目标：</w:t>
      </w:r>
      <w:r>
        <w:rPr>
          <w:kern w:val="0"/>
          <w:szCs w:val="21"/>
        </w:rPr>
        <w:t>掌握如何正确选择和操作使用生物信息学数据库。</w:t>
      </w:r>
    </w:p>
    <w:p>
      <w:pPr>
        <w:widowControl/>
        <w:snapToGrid w:val="0"/>
        <w:spacing w:line="360" w:lineRule="auto"/>
        <w:rPr>
          <w:b/>
          <w:bCs/>
          <w:kern w:val="0"/>
          <w:szCs w:val="21"/>
        </w:rPr>
      </w:pPr>
      <w:r>
        <w:rPr>
          <w:b/>
          <w:bCs/>
        </w:rPr>
        <w:t>教学重点和难点：</w:t>
      </w:r>
      <w:r>
        <w:t>生物信息学</w:t>
      </w:r>
      <w:r>
        <w:rPr>
          <w:kern w:val="0"/>
          <w:szCs w:val="21"/>
        </w:rPr>
        <w:t>常用数据库的选用和操作步骤</w:t>
      </w:r>
      <w:r>
        <w:t>。</w:t>
      </w:r>
      <w:r>
        <w:rPr>
          <w:kern w:val="0"/>
          <w:szCs w:val="21"/>
        </w:rPr>
        <w:t></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bCs/>
        </w:rPr>
        <w:t>了解生物信息学常用数据库的分类、功能及其布局；掌握</w:t>
      </w:r>
      <w:r>
        <w:rPr>
          <w:rFonts w:ascii="Times New Roman"/>
          <w:kern w:val="0"/>
          <w:szCs w:val="21"/>
        </w:rPr>
        <w:t>生物信息学常用数据库的选用；熟练掌握生物信息学常用数据库的操作。</w:t>
      </w:r>
    </w:p>
    <w:p>
      <w:pPr>
        <w:widowControl/>
        <w:snapToGrid w:val="0"/>
        <w:spacing w:line="360" w:lineRule="auto"/>
        <w:rPr>
          <w:b/>
          <w:bCs/>
        </w:rPr>
      </w:pPr>
      <w:r>
        <w:rPr>
          <w:b/>
          <w:bCs/>
        </w:rPr>
        <w:t>教学组织与实施：</w:t>
      </w:r>
      <w:r>
        <w:t>在多媒体教室进行PPT授课，课中让同学们分组讨论，通过选择和使用相应的数据库解决某一具体生物学问题。播放与本课程内容相关的视频，并与同学们分享本课程相关的最新科研进展。</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第三章  序列比对与分析</w:t>
            </w:r>
          </w:p>
        </w:tc>
        <w:tc>
          <w:tcPr>
            <w:tcW w:w="2966"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学时数：3</w:t>
            </w:r>
          </w:p>
        </w:tc>
      </w:tr>
    </w:tbl>
    <w:p>
      <w:pPr>
        <w:snapToGrid w:val="0"/>
        <w:spacing w:line="360" w:lineRule="auto"/>
        <w:rPr>
          <w:b/>
          <w:bCs/>
        </w:rPr>
      </w:pPr>
      <w:r>
        <w:rPr>
          <w:b/>
          <w:bCs/>
        </w:rPr>
        <w:t>第一节  两条序列联配及其算法（1学时）</w:t>
      </w:r>
    </w:p>
    <w:p>
      <w:pPr>
        <w:widowControl/>
        <w:snapToGrid w:val="0"/>
        <w:spacing w:line="360" w:lineRule="auto"/>
        <w:rPr>
          <w:b/>
          <w:bCs/>
          <w:kern w:val="0"/>
          <w:szCs w:val="21"/>
        </w:rPr>
      </w:pPr>
      <w:r>
        <w:rPr>
          <w:b/>
          <w:bCs/>
        </w:rPr>
        <w:t>教学目标：</w:t>
      </w:r>
      <w:r>
        <w:rPr>
          <w:bCs/>
        </w:rPr>
        <w:t>了解两条序列联配目的，掌握相关软件的使用。</w:t>
      </w:r>
    </w:p>
    <w:p>
      <w:pPr>
        <w:widowControl/>
        <w:snapToGrid w:val="0"/>
        <w:spacing w:line="360" w:lineRule="auto"/>
        <w:rPr>
          <w:b/>
          <w:bCs/>
          <w:kern w:val="0"/>
          <w:szCs w:val="21"/>
        </w:rPr>
      </w:pPr>
      <w:r>
        <w:rPr>
          <w:b/>
          <w:bCs/>
        </w:rPr>
        <w:t>教学重点和难点：</w:t>
      </w:r>
      <w:r>
        <w:rPr>
          <w:kern w:val="0"/>
          <w:szCs w:val="21"/>
        </w:rPr>
        <w:t>计分矩阵，全局和局部联配算法；BLAST序列比对的基本原理</w:t>
      </w:r>
      <w:r>
        <w:rPr>
          <w:b/>
          <w:bCs/>
          <w:kern w:val="0"/>
          <w:szCs w:val="21"/>
        </w:rPr>
        <w:t xml:space="preserve"> </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了解两条序列比对的目的，Needleman-Wunsch、Smith-Waterman和BLAST算法。</w:t>
      </w:r>
    </w:p>
    <w:p>
      <w:pPr>
        <w:pStyle w:val="7"/>
        <w:snapToGrid w:val="0"/>
        <w:spacing w:line="360" w:lineRule="auto"/>
        <w:rPr>
          <w:rFonts w:ascii="Times New Roman"/>
        </w:rPr>
      </w:pPr>
      <w:r>
        <w:rPr>
          <w:rFonts w:ascii="Times New Roman"/>
        </w:rPr>
        <w:t>理解DNA和蛋白质序列的区别，两条序列比对基本原理。</w:t>
      </w:r>
    </w:p>
    <w:p>
      <w:pPr>
        <w:pStyle w:val="7"/>
        <w:snapToGrid w:val="0"/>
        <w:spacing w:line="360" w:lineRule="auto"/>
        <w:rPr>
          <w:rFonts w:ascii="Times New Roman"/>
        </w:rPr>
      </w:pPr>
      <w:r>
        <w:rPr>
          <w:rFonts w:ascii="Times New Roman"/>
        </w:rPr>
        <w:t>掌握BLAST软件的使用</w:t>
      </w:r>
    </w:p>
    <w:p>
      <w:pPr>
        <w:widowControl/>
        <w:snapToGrid w:val="0"/>
        <w:spacing w:line="360" w:lineRule="auto"/>
        <w:rPr>
          <w:szCs w:val="20"/>
        </w:rPr>
      </w:pPr>
      <w:r>
        <w:rPr>
          <w:b/>
          <w:bCs/>
        </w:rPr>
        <w:t>教学组织与实施：</w:t>
      </w:r>
      <w:r>
        <w:rPr>
          <w:szCs w:val="20"/>
        </w:rPr>
        <w:t>利用讲授法、演示法、练习法完成本章节内容授课。同时为同学普及课外知识，来自德国慕尼黑大学的研究人员发表了题为“HHblits: lightning-fast iterative protein sequence searching by HMM-HMM alignment”的文章，介绍一种能提高蛋白序列比对分析的新工具：HHblits，这是一种能极大增加蛋白功能性分析技术的软件，能通过新颖的序列寻找方法，更快更准确的识别数据库中具有相似序列的蛋白，比现有的方法能快2500倍！相关成果公布在《自然—方法学》（Nature Methods）杂志上。时代变迁，站在巨人的肩膀上，开发更快速、符合当前科研环境的软件算法至关重要。</w:t>
      </w:r>
    </w:p>
    <w:p>
      <w:pPr>
        <w:widowControl/>
        <w:snapToGrid w:val="0"/>
        <w:spacing w:line="360" w:lineRule="auto"/>
        <w:jc w:val="left"/>
        <w:rPr>
          <w:b/>
          <w:kern w:val="0"/>
          <w:szCs w:val="21"/>
        </w:rPr>
      </w:pPr>
      <w:r>
        <w:rPr>
          <w:b/>
          <w:kern w:val="0"/>
          <w:szCs w:val="21"/>
        </w:rPr>
        <w:t xml:space="preserve">第二节  </w:t>
      </w:r>
      <w:r>
        <w:rPr>
          <w:b/>
          <w:bCs/>
          <w:kern w:val="0"/>
          <w:szCs w:val="21"/>
        </w:rPr>
        <w:t>多序列联配及功能域分析</w:t>
      </w:r>
      <w:r>
        <w:rPr>
          <w:b/>
          <w:kern w:val="0"/>
          <w:szCs w:val="21"/>
        </w:rPr>
        <w:t>     1学时</w:t>
      </w:r>
    </w:p>
    <w:p>
      <w:pPr>
        <w:widowControl/>
        <w:snapToGrid w:val="0"/>
        <w:spacing w:line="360" w:lineRule="auto"/>
        <w:rPr>
          <w:b/>
          <w:bCs/>
          <w:kern w:val="0"/>
          <w:szCs w:val="21"/>
        </w:rPr>
      </w:pPr>
      <w:r>
        <w:rPr>
          <w:b/>
          <w:bCs/>
        </w:rPr>
        <w:t>教学目标：</w:t>
      </w:r>
      <w:r>
        <w:rPr>
          <w:bCs/>
        </w:rPr>
        <w:t>了解多序列联配目的，掌握相关软件的使用。</w:t>
      </w:r>
    </w:p>
    <w:p>
      <w:pPr>
        <w:widowControl/>
        <w:snapToGrid w:val="0"/>
        <w:spacing w:line="360" w:lineRule="auto"/>
        <w:rPr>
          <w:b/>
          <w:bCs/>
          <w:kern w:val="0"/>
          <w:szCs w:val="21"/>
        </w:rPr>
      </w:pPr>
      <w:r>
        <w:rPr>
          <w:b/>
          <w:bCs/>
        </w:rPr>
        <w:t>教学重点和难点：</w:t>
      </w:r>
      <w:r>
        <w:rPr>
          <w:kern w:val="0"/>
          <w:szCs w:val="21"/>
        </w:rPr>
        <w:t xml:space="preserve"> DNA多序列比对、蛋白质序列保守功能域</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了解多序列比对的目的，多序列比对算法。</w:t>
      </w:r>
    </w:p>
    <w:p>
      <w:pPr>
        <w:pStyle w:val="7"/>
        <w:snapToGrid w:val="0"/>
        <w:spacing w:line="360" w:lineRule="auto"/>
        <w:rPr>
          <w:rFonts w:ascii="Times New Roman"/>
        </w:rPr>
      </w:pPr>
      <w:r>
        <w:rPr>
          <w:rFonts w:ascii="Times New Roman"/>
        </w:rPr>
        <w:t>理解DNA和蛋白质序列的区别，序列比对的基本原理。</w:t>
      </w:r>
    </w:p>
    <w:p>
      <w:pPr>
        <w:pStyle w:val="7"/>
        <w:snapToGrid w:val="0"/>
        <w:spacing w:line="360" w:lineRule="auto"/>
        <w:rPr>
          <w:rFonts w:ascii="Times New Roman"/>
        </w:rPr>
      </w:pPr>
      <w:r>
        <w:rPr>
          <w:rFonts w:ascii="Times New Roman"/>
        </w:rPr>
        <w:t>掌握MEGA、DNAMAN、Clustal软件的使用。</w:t>
      </w:r>
    </w:p>
    <w:p>
      <w:pPr>
        <w:widowControl/>
        <w:snapToGrid w:val="0"/>
        <w:spacing w:line="360" w:lineRule="auto"/>
        <w:rPr>
          <w:szCs w:val="20"/>
        </w:rPr>
      </w:pPr>
      <w:r>
        <w:rPr>
          <w:b/>
          <w:bCs/>
        </w:rPr>
        <w:t>教学组织与实施：</w:t>
      </w:r>
      <w:r>
        <w:rPr>
          <w:szCs w:val="20"/>
        </w:rPr>
        <w:t>结合讲授法、演示法、练习法完成本章节理论知识的讲解，学生对于知识的需求根据课堂反馈，及时调整相关方向和授课方式。</w:t>
      </w:r>
    </w:p>
    <w:p>
      <w:pPr>
        <w:widowControl/>
        <w:snapToGrid w:val="0"/>
        <w:spacing w:line="360" w:lineRule="auto"/>
        <w:jc w:val="left"/>
        <w:rPr>
          <w:b/>
          <w:kern w:val="0"/>
          <w:szCs w:val="21"/>
        </w:rPr>
      </w:pPr>
      <w:r>
        <w:rPr>
          <w:b/>
          <w:kern w:val="0"/>
          <w:szCs w:val="21"/>
        </w:rPr>
        <w:t xml:space="preserve">第三节  </w:t>
      </w:r>
      <w:r>
        <w:rPr>
          <w:b/>
          <w:bCs/>
          <w:kern w:val="0"/>
          <w:szCs w:val="21"/>
        </w:rPr>
        <w:t>系统发生树构建</w:t>
      </w:r>
      <w:r>
        <w:rPr>
          <w:b/>
          <w:kern w:val="0"/>
          <w:szCs w:val="21"/>
        </w:rPr>
        <w:t>     1学时</w:t>
      </w:r>
    </w:p>
    <w:p>
      <w:pPr>
        <w:widowControl/>
        <w:snapToGrid w:val="0"/>
        <w:spacing w:line="360" w:lineRule="auto"/>
        <w:rPr>
          <w:b/>
          <w:bCs/>
          <w:kern w:val="0"/>
          <w:szCs w:val="21"/>
        </w:rPr>
      </w:pPr>
      <w:r>
        <w:rPr>
          <w:b/>
          <w:bCs/>
        </w:rPr>
        <w:t>教学目标：</w:t>
      </w:r>
      <w:r>
        <w:rPr>
          <w:bCs/>
        </w:rPr>
        <w:t>了解系统发生树的概念与构建进化树的目的，掌握构建系统进化树的方法及相关软件的使用。</w:t>
      </w:r>
    </w:p>
    <w:p>
      <w:pPr>
        <w:widowControl/>
        <w:snapToGrid w:val="0"/>
        <w:spacing w:line="360" w:lineRule="auto"/>
        <w:rPr>
          <w:b/>
          <w:bCs/>
          <w:kern w:val="0"/>
          <w:szCs w:val="21"/>
        </w:rPr>
      </w:pPr>
      <w:r>
        <w:rPr>
          <w:b/>
          <w:bCs/>
        </w:rPr>
        <w:t>教学重点和难点：</w:t>
      </w:r>
      <w:r>
        <w:rPr>
          <w:kern w:val="0"/>
          <w:szCs w:val="21"/>
        </w:rPr>
        <w:t>距离法、最大似然法和贝叶斯法构建进化树的原理，MEGA与MrBayes的使用。</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了解系统进化树构建的目的，系统发生树概述。</w:t>
      </w:r>
    </w:p>
    <w:p>
      <w:pPr>
        <w:pStyle w:val="7"/>
        <w:snapToGrid w:val="0"/>
        <w:spacing w:line="360" w:lineRule="auto"/>
        <w:rPr>
          <w:rFonts w:ascii="Times New Roman"/>
        </w:rPr>
      </w:pPr>
      <w:r>
        <w:rPr>
          <w:rFonts w:ascii="Times New Roman"/>
        </w:rPr>
        <w:t>理解构建系统进化树的方法基本原理。</w:t>
      </w:r>
    </w:p>
    <w:p>
      <w:pPr>
        <w:pStyle w:val="7"/>
        <w:snapToGrid w:val="0"/>
        <w:spacing w:line="360" w:lineRule="auto"/>
        <w:rPr>
          <w:rFonts w:ascii="Times New Roman"/>
        </w:rPr>
      </w:pPr>
      <w:r>
        <w:rPr>
          <w:rFonts w:ascii="Times New Roman"/>
        </w:rPr>
        <w:t>掌握相关软件MEGA与MrBayes的使用。</w:t>
      </w:r>
    </w:p>
    <w:p>
      <w:pPr>
        <w:widowControl/>
        <w:snapToGrid w:val="0"/>
        <w:spacing w:line="360" w:lineRule="auto"/>
        <w:rPr>
          <w:szCs w:val="20"/>
        </w:rPr>
      </w:pPr>
      <w:r>
        <w:rPr>
          <w:b/>
          <w:bCs/>
        </w:rPr>
        <w:t>教学组织与实施：</w:t>
      </w:r>
      <w:r>
        <w:rPr>
          <w:szCs w:val="20"/>
        </w:rPr>
        <w:t>在多媒体教室进行PPT授课，课中让同学自己练习相关软件，同时给同学讲授课外知识点，激发同学科研热情和科学精神。长期以来科学家一直认为，古猿从树上走到平原草地上，才得以慢慢进化为直立行走的古人类。然而现在，一个汇集了英国利物浦大学和伯明翰大学著名科学家的研究小组最近研究发现，人类是在树上而非辽阔的陆地上学会直立行走的；并且，古猿类已经是“直立行走”的动物。果这一发现成为共识，将标志着科学家对人类直立行走的传统认识发生一百八十度大转变。这些《科学》杂志的研究结果，与系统进化树联系紧密，从而增加同学对本章内容记忆。</w:t>
      </w:r>
    </w:p>
    <w:tbl>
      <w:tblPr>
        <w:tblStyle w:val="22"/>
        <w:tblW w:w="0" w:type="auto"/>
        <w:tblInd w:w="4" w:type="dxa"/>
        <w:tblLayout w:type="autofit"/>
        <w:tblCellMar>
          <w:top w:w="0" w:type="dxa"/>
          <w:left w:w="0" w:type="dxa"/>
          <w:bottom w:w="0" w:type="dxa"/>
          <w:right w:w="0" w:type="dxa"/>
        </w:tblCellMar>
      </w:tblPr>
      <w:tblGrid>
        <w:gridCol w:w="1841"/>
        <w:gridCol w:w="4089"/>
        <w:gridCol w:w="2966"/>
      </w:tblGrid>
      <w:tr>
        <w:tblPrEx>
          <w:tblCellMar>
            <w:top w:w="0" w:type="dxa"/>
            <w:left w:w="0" w:type="dxa"/>
            <w:bottom w:w="0" w:type="dxa"/>
            <w:right w:w="0" w:type="dxa"/>
          </w:tblCellMar>
        </w:tblPrEx>
        <w:trPr>
          <w:trHeight w:val="270" w:hRule="atLeast"/>
        </w:trPr>
        <w:tc>
          <w:tcPr>
            <w:tcW w:w="1841"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4089"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 xml:space="preserve">第四章  </w:t>
            </w:r>
            <w:bookmarkStart w:id="385" w:name="_Hlk137977673"/>
            <w:r>
              <w:rPr>
                <w:b/>
                <w:bCs/>
                <w:szCs w:val="21"/>
              </w:rPr>
              <w:t>基因结构与功能注释</w:t>
            </w:r>
            <w:bookmarkEnd w:id="385"/>
          </w:p>
        </w:tc>
        <w:tc>
          <w:tcPr>
            <w:tcW w:w="2966"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学时数：2</w:t>
            </w:r>
          </w:p>
        </w:tc>
      </w:tr>
    </w:tbl>
    <w:p>
      <w:pPr>
        <w:snapToGrid w:val="0"/>
        <w:spacing w:line="360" w:lineRule="auto"/>
        <w:rPr>
          <w:b/>
          <w:bCs/>
        </w:rPr>
      </w:pPr>
      <w:r>
        <w:rPr>
          <w:b/>
          <w:bCs/>
        </w:rPr>
        <w:t>第一节  基因结构注释和分析（1学时）</w:t>
      </w:r>
    </w:p>
    <w:p>
      <w:pPr>
        <w:widowControl/>
        <w:snapToGrid w:val="0"/>
        <w:spacing w:line="360" w:lineRule="auto"/>
        <w:rPr>
          <w:b/>
          <w:bCs/>
          <w:kern w:val="0"/>
          <w:szCs w:val="21"/>
        </w:rPr>
      </w:pPr>
      <w:r>
        <w:rPr>
          <w:b/>
          <w:bCs/>
        </w:rPr>
        <w:t>教学目标：</w:t>
      </w:r>
      <w:bookmarkStart w:id="386" w:name="_Hlk137977767"/>
      <w:r>
        <w:rPr>
          <w:kern w:val="0"/>
          <w:szCs w:val="21"/>
        </w:rPr>
        <w:t>了解基因的结构及其分析方法。</w:t>
      </w:r>
      <w:bookmarkEnd w:id="386"/>
    </w:p>
    <w:p>
      <w:pPr>
        <w:widowControl/>
        <w:snapToGrid w:val="0"/>
        <w:spacing w:line="360" w:lineRule="auto"/>
        <w:rPr>
          <w:b/>
          <w:bCs/>
          <w:kern w:val="0"/>
          <w:szCs w:val="21"/>
        </w:rPr>
      </w:pPr>
      <w:r>
        <w:rPr>
          <w:b/>
          <w:bCs/>
        </w:rPr>
        <w:t>教学重点和难点：</w:t>
      </w:r>
      <w:bookmarkStart w:id="387" w:name="_Hlk137977785"/>
      <w:r>
        <w:t>使用生物信息学方法解析基因的结构</w:t>
      </w:r>
      <w:bookmarkEnd w:id="387"/>
      <w:r>
        <w:t>。</w:t>
      </w:r>
    </w:p>
    <w:p>
      <w:pPr>
        <w:pStyle w:val="7"/>
        <w:snapToGrid w:val="0"/>
        <w:spacing w:line="360" w:lineRule="auto"/>
        <w:ind w:firstLine="0" w:firstLineChars="0"/>
        <w:rPr>
          <w:rFonts w:ascii="Times New Roman"/>
          <w:b/>
        </w:rPr>
      </w:pPr>
      <w:r>
        <w:rPr>
          <w:rFonts w:ascii="Times New Roman"/>
          <w:b/>
        </w:rPr>
        <w:t>主要教学内容及要求：</w:t>
      </w:r>
      <w:r>
        <w:rPr>
          <w:rFonts w:ascii="Times New Roman"/>
          <w:bCs/>
        </w:rPr>
        <w:t>掌握</w:t>
      </w:r>
      <w:bookmarkStart w:id="388" w:name="_Hlk137977818"/>
      <w:bookmarkStart w:id="389" w:name="_Hlk137977692"/>
      <w:r>
        <w:rPr>
          <w:rFonts w:ascii="Times New Roman"/>
          <w:bCs/>
        </w:rPr>
        <w:t>生物信息学常用的</w:t>
      </w:r>
      <w:bookmarkStart w:id="390" w:name="_Hlk137977831"/>
      <w:r>
        <w:rPr>
          <w:rFonts w:ascii="Times New Roman"/>
          <w:bCs/>
        </w:rPr>
        <w:t>基因注释工具</w:t>
      </w:r>
      <w:bookmarkEnd w:id="388"/>
      <w:r>
        <w:rPr>
          <w:rFonts w:ascii="Times New Roman"/>
          <w:bCs/>
        </w:rPr>
        <w:t>及其使用方法</w:t>
      </w:r>
      <w:bookmarkEnd w:id="389"/>
      <w:bookmarkEnd w:id="390"/>
      <w:r>
        <w:rPr>
          <w:rFonts w:ascii="Times New Roman"/>
          <w:bCs/>
        </w:rPr>
        <w:t>；</w:t>
      </w:r>
      <w:r>
        <w:rPr>
          <w:rFonts w:ascii="Times New Roman"/>
          <w:kern w:val="0"/>
          <w:szCs w:val="21"/>
        </w:rPr>
        <w:t>熟练掌握</w:t>
      </w:r>
      <w:bookmarkStart w:id="391" w:name="_Hlk137977703"/>
      <w:r>
        <w:rPr>
          <w:rFonts w:ascii="Times New Roman"/>
          <w:kern w:val="0"/>
          <w:szCs w:val="21"/>
        </w:rPr>
        <w:t>基因结构的主要组成部分</w:t>
      </w:r>
      <w:bookmarkEnd w:id="391"/>
      <w:r>
        <w:rPr>
          <w:rFonts w:ascii="Times New Roman"/>
          <w:kern w:val="0"/>
          <w:szCs w:val="21"/>
        </w:rPr>
        <w:t>，包括启动子、终止子、外显子、内含子。</w:t>
      </w:r>
    </w:p>
    <w:p>
      <w:pPr>
        <w:widowControl/>
        <w:snapToGrid w:val="0"/>
        <w:spacing w:line="360" w:lineRule="auto"/>
      </w:pPr>
      <w:r>
        <w:rPr>
          <w:b/>
          <w:bCs/>
        </w:rPr>
        <w:t>教学组织与实施：</w:t>
      </w:r>
      <w:r>
        <w:t>在多媒体教室进行PPT授课，课中让同学自由讨论基因结构注释和分析在生物学研究中起到的作用。播放与本课程内容相关的视频，并与同学们分享本课程相关的最新科研进展。</w:t>
      </w:r>
    </w:p>
    <w:p>
      <w:pPr>
        <w:snapToGrid w:val="0"/>
        <w:spacing w:line="360" w:lineRule="auto"/>
        <w:rPr>
          <w:b/>
          <w:bCs/>
        </w:rPr>
      </w:pPr>
      <w:r>
        <w:rPr>
          <w:b/>
          <w:bCs/>
        </w:rPr>
        <w:t xml:space="preserve">第二节  </w:t>
      </w:r>
      <w:r>
        <w:rPr>
          <w:b/>
          <w:bCs/>
          <w:szCs w:val="21"/>
        </w:rPr>
        <w:t>基因功能注释</w:t>
      </w:r>
      <w:r>
        <w:rPr>
          <w:b/>
          <w:bCs/>
        </w:rPr>
        <w:t>（1学时）</w:t>
      </w:r>
    </w:p>
    <w:p>
      <w:pPr>
        <w:widowControl/>
        <w:snapToGrid w:val="0"/>
        <w:spacing w:line="360" w:lineRule="auto"/>
        <w:rPr>
          <w:b/>
          <w:bCs/>
          <w:kern w:val="0"/>
          <w:szCs w:val="21"/>
        </w:rPr>
      </w:pPr>
      <w:r>
        <w:rPr>
          <w:b/>
          <w:bCs/>
        </w:rPr>
        <w:t>教学目标：</w:t>
      </w:r>
      <w:r>
        <w:t>学会</w:t>
      </w:r>
      <w:r>
        <w:rPr>
          <w:kern w:val="0"/>
          <w:szCs w:val="21"/>
        </w:rPr>
        <w:t>使用生物信息学方法注释基因功能。</w:t>
      </w:r>
    </w:p>
    <w:p>
      <w:pPr>
        <w:widowControl/>
        <w:snapToGrid w:val="0"/>
        <w:spacing w:line="360" w:lineRule="auto"/>
        <w:rPr>
          <w:b/>
          <w:bCs/>
          <w:kern w:val="0"/>
          <w:szCs w:val="21"/>
        </w:rPr>
      </w:pPr>
      <w:r>
        <w:rPr>
          <w:b/>
          <w:bCs/>
        </w:rPr>
        <w:t>教学重点和难点：</w:t>
      </w:r>
      <w:r>
        <w:t>基因注释</w:t>
      </w:r>
      <w:r>
        <w:rPr>
          <w:kern w:val="0"/>
          <w:szCs w:val="21"/>
        </w:rPr>
        <w:t>常用数据库的选用和操作步骤以及注释结果校验</w:t>
      </w:r>
      <w:r>
        <w:t>。</w:t>
      </w:r>
      <w:r>
        <w:rPr>
          <w:kern w:val="0"/>
          <w:szCs w:val="21"/>
        </w:rPr>
        <w:t></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bCs/>
        </w:rPr>
        <w:t>了解</w:t>
      </w:r>
      <w:bookmarkStart w:id="392" w:name="_Hlk137977965"/>
      <w:r>
        <w:rPr>
          <w:rFonts w:ascii="Times New Roman"/>
          <w:bCs/>
        </w:rPr>
        <w:t>基因注释常用数据库的分类和功能</w:t>
      </w:r>
      <w:bookmarkEnd w:id="392"/>
      <w:r>
        <w:rPr>
          <w:rFonts w:ascii="Times New Roman"/>
          <w:bCs/>
        </w:rPr>
        <w:t>；掌握</w:t>
      </w:r>
      <w:r>
        <w:rPr>
          <w:rFonts w:ascii="Times New Roman"/>
          <w:kern w:val="0"/>
          <w:szCs w:val="21"/>
        </w:rPr>
        <w:t>生物信息学常用数据库的选用；熟练掌握使用</w:t>
      </w:r>
      <w:bookmarkStart w:id="393" w:name="_Hlk137977977"/>
      <w:r>
        <w:rPr>
          <w:rFonts w:ascii="Times New Roman"/>
          <w:kern w:val="0"/>
          <w:szCs w:val="21"/>
        </w:rPr>
        <w:t>生物信息学方法注释基因的功能</w:t>
      </w:r>
      <w:bookmarkEnd w:id="393"/>
      <w:r>
        <w:rPr>
          <w:rFonts w:ascii="Times New Roman"/>
          <w:kern w:val="0"/>
          <w:szCs w:val="21"/>
        </w:rPr>
        <w:t>。</w:t>
      </w:r>
    </w:p>
    <w:p>
      <w:pPr>
        <w:widowControl/>
        <w:snapToGrid w:val="0"/>
        <w:spacing w:line="360" w:lineRule="auto"/>
        <w:jc w:val="left"/>
        <w:rPr>
          <w:b/>
          <w:kern w:val="0"/>
          <w:szCs w:val="21"/>
        </w:rPr>
      </w:pPr>
      <w:r>
        <w:rPr>
          <w:b/>
          <w:bCs/>
        </w:rPr>
        <w:t>教学组织与实施：</w:t>
      </w:r>
      <w:r>
        <w:t>在多媒体教室进行PPT授课，课中让同学分组派出代表与教师共同使用多种数据库注释某一未知基因的功能，分组讨论哪个数据库对该基因功能注释过程中最为高效便捷，以及各个数据库的优缺点。与同学们分享本课程相关的最新科研进展。</w:t>
      </w:r>
    </w:p>
    <w:tbl>
      <w:tblPr>
        <w:tblStyle w:val="22"/>
        <w:tblW w:w="0" w:type="auto"/>
        <w:tblInd w:w="4" w:type="dxa"/>
        <w:tblLayout w:type="autofit"/>
        <w:tblCellMar>
          <w:top w:w="0" w:type="dxa"/>
          <w:left w:w="0" w:type="dxa"/>
          <w:bottom w:w="0" w:type="dxa"/>
          <w:right w:w="0" w:type="dxa"/>
        </w:tblCellMar>
      </w:tblPr>
      <w:tblGrid>
        <w:gridCol w:w="2321"/>
        <w:gridCol w:w="3609"/>
        <w:gridCol w:w="2966"/>
      </w:tblGrid>
      <w:tr>
        <w:tblPrEx>
          <w:tblCellMar>
            <w:top w:w="0" w:type="dxa"/>
            <w:left w:w="0" w:type="dxa"/>
            <w:bottom w:w="0" w:type="dxa"/>
            <w:right w:w="0" w:type="dxa"/>
          </w:tblCellMar>
        </w:tblPrEx>
        <w:trPr>
          <w:trHeight w:val="270" w:hRule="atLeast"/>
        </w:trPr>
        <w:tc>
          <w:tcPr>
            <w:tcW w:w="2321"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3609"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第五章  高通量测序技术概要</w:t>
            </w:r>
          </w:p>
        </w:tc>
        <w:tc>
          <w:tcPr>
            <w:tcW w:w="2966"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学时数：2</w:t>
            </w:r>
          </w:p>
        </w:tc>
      </w:tr>
    </w:tbl>
    <w:p>
      <w:pPr>
        <w:snapToGrid w:val="0"/>
        <w:spacing w:line="360" w:lineRule="auto"/>
        <w:rPr>
          <w:b/>
          <w:bCs/>
        </w:rPr>
      </w:pPr>
      <w:r>
        <w:rPr>
          <w:b/>
          <w:bCs/>
        </w:rPr>
        <w:t>第一节  高通量测序技术的发展现状、技术原理及应用 （2学时）</w:t>
      </w:r>
    </w:p>
    <w:p>
      <w:pPr>
        <w:widowControl/>
        <w:snapToGrid w:val="0"/>
        <w:spacing w:line="360" w:lineRule="auto"/>
        <w:rPr>
          <w:b/>
          <w:bCs/>
          <w:kern w:val="0"/>
          <w:szCs w:val="21"/>
        </w:rPr>
      </w:pPr>
      <w:r>
        <w:rPr>
          <w:b/>
          <w:bCs/>
        </w:rPr>
        <w:t>教学目标：</w:t>
      </w:r>
      <w:r>
        <w:t>了解高通量测序技术的发展现状、技术原理及应用</w:t>
      </w:r>
    </w:p>
    <w:p>
      <w:pPr>
        <w:widowControl/>
        <w:snapToGrid w:val="0"/>
        <w:spacing w:line="360" w:lineRule="auto"/>
        <w:rPr>
          <w:b/>
          <w:bCs/>
          <w:kern w:val="0"/>
          <w:szCs w:val="21"/>
        </w:rPr>
      </w:pPr>
      <w:r>
        <w:rPr>
          <w:b/>
          <w:bCs/>
        </w:rPr>
        <w:t>教学重点和难点：无</w:t>
      </w:r>
    </w:p>
    <w:p>
      <w:pPr>
        <w:pStyle w:val="7"/>
        <w:snapToGrid w:val="0"/>
        <w:spacing w:line="360" w:lineRule="auto"/>
        <w:ind w:firstLine="0" w:firstLineChars="0"/>
        <w:rPr>
          <w:rFonts w:ascii="Times New Roman"/>
          <w:color w:val="0000FF"/>
        </w:rPr>
      </w:pPr>
      <w:r>
        <w:rPr>
          <w:rFonts w:ascii="Times New Roman"/>
          <w:b/>
        </w:rPr>
        <w:t>主要教学内容及要求：</w:t>
      </w:r>
    </w:p>
    <w:p>
      <w:pPr>
        <w:pStyle w:val="7"/>
        <w:snapToGrid w:val="0"/>
        <w:spacing w:line="360" w:lineRule="auto"/>
        <w:rPr>
          <w:rFonts w:ascii="Times New Roman"/>
          <w:szCs w:val="24"/>
        </w:rPr>
      </w:pPr>
      <w:r>
        <w:rPr>
          <w:rFonts w:ascii="Times New Roman"/>
          <w:szCs w:val="24"/>
        </w:rPr>
        <w:t>教学内容：</w:t>
      </w:r>
    </w:p>
    <w:p>
      <w:pPr>
        <w:pStyle w:val="7"/>
        <w:snapToGrid w:val="0"/>
        <w:spacing w:line="360" w:lineRule="auto"/>
        <w:rPr>
          <w:rFonts w:ascii="Times New Roman"/>
          <w:szCs w:val="24"/>
        </w:rPr>
      </w:pPr>
      <w:r>
        <w:rPr>
          <w:rFonts w:ascii="Times New Roman"/>
          <w:szCs w:val="24"/>
        </w:rPr>
        <w:t>在</w:t>
      </w:r>
      <w:r>
        <w:rPr>
          <w:rFonts w:ascii="Times New Roman"/>
        </w:rPr>
        <w:t>高通量测序技术的发展现状和技术原理方面主要讲解</w:t>
      </w:r>
      <w:r>
        <w:rPr>
          <w:rFonts w:ascii="Times New Roman"/>
          <w:szCs w:val="24"/>
        </w:rPr>
        <w:t>第一代测序技术（双脱氧终止法，化学降解法）；第二代测序技术（454测序技术，Solexa和Hiseq测序技术，SOLID测序技术）；第三代测序技术（tSMS、SMRT和Nanopore三种单分子信号检测技术）。</w:t>
      </w:r>
    </w:p>
    <w:p>
      <w:pPr>
        <w:pStyle w:val="7"/>
        <w:snapToGrid w:val="0"/>
        <w:spacing w:line="360" w:lineRule="auto"/>
        <w:rPr>
          <w:rFonts w:ascii="Times New Roman"/>
          <w:szCs w:val="24"/>
        </w:rPr>
      </w:pPr>
      <w:r>
        <w:rPr>
          <w:rFonts w:ascii="Times New Roman"/>
          <w:szCs w:val="24"/>
        </w:rPr>
        <w:t>在</w:t>
      </w:r>
      <w:r>
        <w:rPr>
          <w:rFonts w:ascii="Times New Roman"/>
        </w:rPr>
        <w:t>高通量测序技术的应用方面主要讲解</w:t>
      </w:r>
      <w:r>
        <w:rPr>
          <w:rFonts w:ascii="Times New Roman"/>
          <w:szCs w:val="24"/>
        </w:rPr>
        <w:t>DNA/RNA相关测序（基因组及基因组重测序，目标区域捕获测序，转录组及表达谱测序，小RNA测序）；蛋白质-DNA/RNA互作测序；甲基化测序。</w:t>
      </w:r>
    </w:p>
    <w:p>
      <w:pPr>
        <w:pStyle w:val="7"/>
        <w:snapToGrid w:val="0"/>
        <w:spacing w:line="360" w:lineRule="auto"/>
        <w:rPr>
          <w:rFonts w:ascii="Times New Roman"/>
          <w:szCs w:val="24"/>
        </w:rPr>
      </w:pPr>
      <w:r>
        <w:rPr>
          <w:rFonts w:ascii="Times New Roman"/>
          <w:szCs w:val="24"/>
        </w:rPr>
        <w:t>教学要求：</w:t>
      </w:r>
    </w:p>
    <w:p>
      <w:pPr>
        <w:pStyle w:val="7"/>
        <w:snapToGrid w:val="0"/>
        <w:spacing w:line="360" w:lineRule="auto"/>
        <w:rPr>
          <w:rFonts w:ascii="Times New Roman"/>
        </w:rPr>
      </w:pPr>
      <w:r>
        <w:rPr>
          <w:rFonts w:ascii="Times New Roman"/>
        </w:rPr>
        <w:t>高通量测序技术的发展现状：了解第一代测序技术至第三代测序技术的发展历程，对几代测序技术进行总结,分析其优劣, 并以此为基础讨论未来测序的发展方向。</w:t>
      </w:r>
    </w:p>
    <w:p>
      <w:pPr>
        <w:pStyle w:val="7"/>
        <w:snapToGrid w:val="0"/>
        <w:spacing w:line="360" w:lineRule="auto"/>
        <w:rPr>
          <w:rFonts w:ascii="Times New Roman"/>
        </w:rPr>
      </w:pPr>
      <w:r>
        <w:rPr>
          <w:rFonts w:ascii="Times New Roman"/>
        </w:rPr>
        <w:t>高通量测序技术的原理：重点理解高通量测序技术中的“边合成边测序”的核心思想，并对各种测序平台的工作原理、测序成本以及测序通量等特点进行总结。</w:t>
      </w:r>
    </w:p>
    <w:p>
      <w:pPr>
        <w:pStyle w:val="7"/>
        <w:snapToGrid w:val="0"/>
        <w:spacing w:line="360" w:lineRule="auto"/>
        <w:rPr>
          <w:rFonts w:ascii="Times New Roman"/>
        </w:rPr>
      </w:pPr>
      <w:r>
        <w:rPr>
          <w:rFonts w:ascii="Times New Roman"/>
        </w:rPr>
        <w:t>高通量测序技术的应用：了解高通量测序技术在全基因组测序中的应用；了解高通量RNA测序及其在转录组和基因表达调控中的应用；了解ChIP-seq测序技术在DNA和蛋白质相互作用中的应用；了解高通量测序技术在DNA甲基化分析中的应用；了解高通量测序技术在单细胞转录组学研究中的应用。</w:t>
      </w:r>
    </w:p>
    <w:p>
      <w:pPr>
        <w:widowControl/>
        <w:snapToGrid w:val="0"/>
        <w:spacing w:line="360" w:lineRule="auto"/>
        <w:rPr>
          <w:b/>
          <w:bCs/>
        </w:rPr>
      </w:pPr>
      <w:r>
        <w:rPr>
          <w:b/>
          <w:bCs/>
        </w:rPr>
        <w:t>教学组织与实施：</w:t>
      </w:r>
      <w:r>
        <w:t>认识和理解高通量测序技术的发展和技术原理，了解高通量测序技术的多样化应用是本章学习的目的。在课程中，组织同学观看高通量测序技术的相关图片和视频资料，加深学生对测序技术的理解。通过开展分组（班）讨论，与学生充分互动。</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第六章  基因表达分析</w:t>
            </w:r>
          </w:p>
        </w:tc>
        <w:tc>
          <w:tcPr>
            <w:tcW w:w="2966"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学时数：4</w:t>
            </w:r>
          </w:p>
        </w:tc>
      </w:tr>
    </w:tbl>
    <w:p>
      <w:pPr>
        <w:snapToGrid w:val="0"/>
        <w:spacing w:line="360" w:lineRule="auto"/>
        <w:rPr>
          <w:b/>
          <w:bCs/>
        </w:rPr>
      </w:pPr>
      <w:r>
        <w:rPr>
          <w:b/>
          <w:bCs/>
        </w:rPr>
        <w:t>第一节  表达数据研究的方法（1学时）</w:t>
      </w:r>
    </w:p>
    <w:p>
      <w:pPr>
        <w:widowControl/>
        <w:snapToGrid w:val="0"/>
        <w:spacing w:line="360" w:lineRule="auto"/>
        <w:rPr>
          <w:b/>
          <w:bCs/>
          <w:kern w:val="0"/>
          <w:szCs w:val="21"/>
        </w:rPr>
      </w:pPr>
      <w:r>
        <w:rPr>
          <w:b/>
          <w:bCs/>
        </w:rPr>
        <w:t>教学目标：</w:t>
      </w:r>
      <w:r>
        <w:rPr>
          <w:bCs/>
        </w:rPr>
        <w:t>了解基因表达数据获取和分析方法。</w:t>
      </w:r>
    </w:p>
    <w:p>
      <w:pPr>
        <w:widowControl/>
        <w:snapToGrid w:val="0"/>
        <w:spacing w:line="360" w:lineRule="auto"/>
        <w:rPr>
          <w:b/>
          <w:bCs/>
          <w:kern w:val="0"/>
          <w:szCs w:val="21"/>
        </w:rPr>
      </w:pPr>
      <w:r>
        <w:rPr>
          <w:b/>
          <w:bCs/>
        </w:rPr>
        <w:t>教学重点和难点：</w:t>
      </w:r>
      <w:r>
        <w:rPr>
          <w:kern w:val="0"/>
          <w:szCs w:val="21"/>
        </w:rPr>
        <w:t>基因表达数据的分类</w:t>
      </w:r>
      <w:r>
        <w:rPr>
          <w:b/>
          <w:bCs/>
          <w:kern w:val="0"/>
          <w:szCs w:val="21"/>
        </w:rPr>
        <w:t xml:space="preserve"> </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了解基因表达的概念。</w:t>
      </w:r>
    </w:p>
    <w:p>
      <w:pPr>
        <w:pStyle w:val="7"/>
        <w:snapToGrid w:val="0"/>
        <w:spacing w:line="360" w:lineRule="auto"/>
        <w:rPr>
          <w:rFonts w:ascii="Times New Roman"/>
        </w:rPr>
      </w:pPr>
      <w:r>
        <w:rPr>
          <w:rFonts w:ascii="Times New Roman"/>
        </w:rPr>
        <w:t>理解基因表达在生命活动中的功能。</w:t>
      </w:r>
    </w:p>
    <w:p>
      <w:pPr>
        <w:pStyle w:val="7"/>
        <w:snapToGrid w:val="0"/>
        <w:spacing w:line="360" w:lineRule="auto"/>
        <w:rPr>
          <w:rFonts w:ascii="Times New Roman"/>
        </w:rPr>
      </w:pPr>
      <w:r>
        <w:rPr>
          <w:rFonts w:ascii="Times New Roman"/>
        </w:rPr>
        <w:t>掌握基因表达数据格式，和研究方法。</w:t>
      </w:r>
    </w:p>
    <w:p>
      <w:pPr>
        <w:widowControl/>
        <w:snapToGrid w:val="0"/>
        <w:spacing w:line="360" w:lineRule="auto"/>
        <w:rPr>
          <w:szCs w:val="20"/>
        </w:rPr>
      </w:pPr>
      <w:r>
        <w:rPr>
          <w:b/>
          <w:bCs/>
        </w:rPr>
        <w:t>教学组织与实施：</w:t>
      </w:r>
      <w:r>
        <w:rPr>
          <w:szCs w:val="20"/>
        </w:rPr>
        <w:t>主要通过PPT讲授，分组讨论的方式加深对中心法则的认识，初步了解基因表达相关数据格式。</w:t>
      </w:r>
    </w:p>
    <w:p>
      <w:pPr>
        <w:widowControl/>
        <w:snapToGrid w:val="0"/>
        <w:spacing w:line="360" w:lineRule="auto"/>
        <w:jc w:val="left"/>
        <w:rPr>
          <w:b/>
          <w:kern w:val="0"/>
          <w:szCs w:val="21"/>
        </w:rPr>
      </w:pPr>
      <w:r>
        <w:rPr>
          <w:b/>
          <w:kern w:val="0"/>
          <w:szCs w:val="21"/>
        </w:rPr>
        <w:t xml:space="preserve">第二节  </w:t>
      </w:r>
      <w:r>
        <w:rPr>
          <w:b/>
          <w:bCs/>
          <w:kern w:val="0"/>
          <w:szCs w:val="21"/>
        </w:rPr>
        <w:t>RNA-seq原理</w:t>
      </w:r>
      <w:r>
        <w:rPr>
          <w:b/>
          <w:kern w:val="0"/>
          <w:szCs w:val="21"/>
        </w:rPr>
        <w:t>     1学时</w:t>
      </w:r>
    </w:p>
    <w:p>
      <w:pPr>
        <w:widowControl/>
        <w:snapToGrid w:val="0"/>
        <w:spacing w:line="360" w:lineRule="auto"/>
        <w:rPr>
          <w:b/>
          <w:bCs/>
          <w:kern w:val="0"/>
          <w:szCs w:val="21"/>
        </w:rPr>
      </w:pPr>
      <w:r>
        <w:rPr>
          <w:b/>
          <w:bCs/>
        </w:rPr>
        <w:t>教学目标：</w:t>
      </w:r>
      <w:r>
        <w:rPr>
          <w:bCs/>
        </w:rPr>
        <w:t>了解转录组测序的发展历程和基本原理。</w:t>
      </w:r>
    </w:p>
    <w:p>
      <w:pPr>
        <w:widowControl/>
        <w:snapToGrid w:val="0"/>
        <w:spacing w:line="360" w:lineRule="auto"/>
        <w:rPr>
          <w:b/>
          <w:bCs/>
          <w:kern w:val="0"/>
          <w:szCs w:val="21"/>
        </w:rPr>
      </w:pPr>
      <w:r>
        <w:rPr>
          <w:b/>
          <w:bCs/>
        </w:rPr>
        <w:t>教学重点和难点：</w:t>
      </w:r>
      <w:r>
        <w:rPr>
          <w:kern w:val="0"/>
          <w:szCs w:val="21"/>
        </w:rPr>
        <w:t xml:space="preserve"> 转录组测序的关键步骤和原理。</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了解总RNA提取原理、NGS测序原理、RNA-seq基本流程。</w:t>
      </w:r>
    </w:p>
    <w:p>
      <w:pPr>
        <w:pStyle w:val="7"/>
        <w:snapToGrid w:val="0"/>
        <w:spacing w:line="360" w:lineRule="auto"/>
        <w:rPr>
          <w:rFonts w:ascii="Times New Roman"/>
        </w:rPr>
      </w:pPr>
      <w:r>
        <w:rPr>
          <w:rFonts w:ascii="Times New Roman"/>
        </w:rPr>
        <w:t>理解转录组定量基因表达丰度的原理。</w:t>
      </w:r>
    </w:p>
    <w:p>
      <w:pPr>
        <w:pStyle w:val="7"/>
        <w:snapToGrid w:val="0"/>
        <w:spacing w:line="360" w:lineRule="auto"/>
        <w:rPr>
          <w:rFonts w:ascii="Times New Roman"/>
        </w:rPr>
      </w:pPr>
      <w:bookmarkStart w:id="394" w:name="_Hlk137982374"/>
      <w:r>
        <w:rPr>
          <w:rFonts w:ascii="Times New Roman"/>
        </w:rPr>
        <w:t>掌握</w:t>
      </w:r>
      <w:bookmarkEnd w:id="394"/>
      <w:r>
        <w:rPr>
          <w:rFonts w:ascii="Times New Roman"/>
        </w:rPr>
        <w:t>NGS在转录组测序中的应用。</w:t>
      </w:r>
    </w:p>
    <w:p>
      <w:pPr>
        <w:widowControl/>
        <w:snapToGrid w:val="0"/>
        <w:spacing w:line="360" w:lineRule="auto"/>
        <w:rPr>
          <w:szCs w:val="20"/>
        </w:rPr>
      </w:pPr>
      <w:r>
        <w:rPr>
          <w:b/>
          <w:bCs/>
        </w:rPr>
        <w:t>教学组织与实施：</w:t>
      </w:r>
      <w:r>
        <w:rPr>
          <w:szCs w:val="20"/>
        </w:rPr>
        <w:t>结合讲授法、演示法、练习法完成本章节理论知识的讲解，学生对于知识的需求根据课堂反馈，及时调整相关方向和授课方式。</w:t>
      </w:r>
    </w:p>
    <w:p>
      <w:pPr>
        <w:widowControl/>
        <w:snapToGrid w:val="0"/>
        <w:spacing w:line="360" w:lineRule="auto"/>
        <w:jc w:val="left"/>
        <w:rPr>
          <w:b/>
          <w:kern w:val="0"/>
          <w:szCs w:val="21"/>
        </w:rPr>
      </w:pPr>
      <w:r>
        <w:rPr>
          <w:b/>
          <w:kern w:val="0"/>
          <w:szCs w:val="21"/>
        </w:rPr>
        <w:t>第三节    </w:t>
      </w:r>
      <w:r>
        <w:rPr>
          <w:b/>
          <w:bCs/>
          <w:kern w:val="0"/>
          <w:szCs w:val="21"/>
        </w:rPr>
        <w:t>RNA-seq数据分析与流程</w:t>
      </w:r>
      <w:r>
        <w:rPr>
          <w:b/>
          <w:kern w:val="0"/>
          <w:szCs w:val="21"/>
        </w:rPr>
        <w:t xml:space="preserve">   1学时</w:t>
      </w:r>
    </w:p>
    <w:p>
      <w:pPr>
        <w:widowControl/>
        <w:snapToGrid w:val="0"/>
        <w:spacing w:line="360" w:lineRule="auto"/>
        <w:rPr>
          <w:b/>
          <w:bCs/>
          <w:kern w:val="0"/>
          <w:szCs w:val="21"/>
        </w:rPr>
      </w:pPr>
      <w:r>
        <w:rPr>
          <w:b/>
          <w:bCs/>
        </w:rPr>
        <w:t>教学目标：</w:t>
      </w:r>
      <w:r>
        <w:rPr>
          <w:bCs/>
        </w:rPr>
        <w:t>了解RNA-seq的基本流程，掌握RNA-seq数据分析的相关软件。</w:t>
      </w:r>
    </w:p>
    <w:p>
      <w:pPr>
        <w:widowControl/>
        <w:snapToGrid w:val="0"/>
        <w:spacing w:line="360" w:lineRule="auto"/>
        <w:rPr>
          <w:b/>
          <w:bCs/>
          <w:kern w:val="0"/>
          <w:szCs w:val="21"/>
        </w:rPr>
      </w:pPr>
      <w:r>
        <w:rPr>
          <w:b/>
          <w:bCs/>
        </w:rPr>
        <w:t>教学重点和难点：</w:t>
      </w:r>
      <w:r>
        <w:rPr>
          <w:kern w:val="0"/>
          <w:szCs w:val="21"/>
        </w:rPr>
        <w:t>下机数据清洗、比对、定量相关软件使用。</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了解FPKM、TPM、RPKM等转录组定量数据标准化的区别。</w:t>
      </w:r>
    </w:p>
    <w:p>
      <w:pPr>
        <w:pStyle w:val="7"/>
        <w:snapToGrid w:val="0"/>
        <w:spacing w:line="360" w:lineRule="auto"/>
        <w:rPr>
          <w:rFonts w:ascii="Times New Roman"/>
        </w:rPr>
      </w:pPr>
      <w:r>
        <w:rPr>
          <w:rFonts w:ascii="Times New Roman"/>
        </w:rPr>
        <w:t>理解转录组测序的意义和在实际研究应用中的注意事项。</w:t>
      </w:r>
    </w:p>
    <w:p>
      <w:pPr>
        <w:pStyle w:val="7"/>
        <w:snapToGrid w:val="0"/>
        <w:spacing w:line="360" w:lineRule="auto"/>
        <w:rPr>
          <w:rFonts w:ascii="Times New Roman"/>
        </w:rPr>
      </w:pPr>
      <w:r>
        <w:rPr>
          <w:rFonts w:ascii="Times New Roman"/>
        </w:rPr>
        <w:t>掌握Hisat2、StringTie、Samlon、Kallisto等软件的使用。</w:t>
      </w:r>
    </w:p>
    <w:p>
      <w:pPr>
        <w:widowControl/>
        <w:snapToGrid w:val="0"/>
        <w:spacing w:line="360" w:lineRule="auto"/>
        <w:rPr>
          <w:szCs w:val="20"/>
        </w:rPr>
      </w:pPr>
      <w:r>
        <w:rPr>
          <w:b/>
          <w:bCs/>
        </w:rPr>
        <w:t>教学组织与实施：</w:t>
      </w:r>
      <w:r>
        <w:rPr>
          <w:szCs w:val="20"/>
        </w:rPr>
        <w:t>通过PPT讲授、课堂练习、视频观看进行本章节内容授课。</w:t>
      </w:r>
    </w:p>
    <w:p>
      <w:pPr>
        <w:widowControl/>
        <w:snapToGrid w:val="0"/>
        <w:spacing w:line="360" w:lineRule="auto"/>
        <w:jc w:val="left"/>
        <w:rPr>
          <w:b/>
          <w:kern w:val="0"/>
          <w:szCs w:val="21"/>
        </w:rPr>
      </w:pPr>
      <w:r>
        <w:rPr>
          <w:b/>
          <w:kern w:val="0"/>
          <w:szCs w:val="21"/>
        </w:rPr>
        <w:t xml:space="preserve">第四节  </w:t>
      </w:r>
      <w:r>
        <w:rPr>
          <w:b/>
          <w:bCs/>
          <w:kern w:val="0"/>
          <w:szCs w:val="21"/>
        </w:rPr>
        <w:t>差异表达基因的获取与注释</w:t>
      </w:r>
      <w:r>
        <w:rPr>
          <w:b/>
          <w:kern w:val="0"/>
          <w:szCs w:val="21"/>
        </w:rPr>
        <w:t>     1学时</w:t>
      </w:r>
    </w:p>
    <w:p>
      <w:pPr>
        <w:widowControl/>
        <w:snapToGrid w:val="0"/>
        <w:spacing w:line="360" w:lineRule="auto"/>
        <w:rPr>
          <w:b/>
          <w:bCs/>
          <w:kern w:val="0"/>
          <w:szCs w:val="21"/>
        </w:rPr>
      </w:pPr>
      <w:r>
        <w:rPr>
          <w:b/>
          <w:bCs/>
        </w:rPr>
        <w:t>教学目标：</w:t>
      </w:r>
      <w:r>
        <w:rPr>
          <w:bCs/>
        </w:rPr>
        <w:t>了解系基因差异表达在组织和样品之间意义，掌握差异表达分析的基本步骤。</w:t>
      </w:r>
    </w:p>
    <w:p>
      <w:pPr>
        <w:widowControl/>
        <w:snapToGrid w:val="0"/>
        <w:spacing w:line="360" w:lineRule="auto"/>
        <w:rPr>
          <w:b/>
          <w:bCs/>
          <w:kern w:val="0"/>
          <w:szCs w:val="21"/>
        </w:rPr>
      </w:pPr>
      <w:r>
        <w:rPr>
          <w:b/>
          <w:bCs/>
        </w:rPr>
        <w:t>教学重点和难点：</w:t>
      </w:r>
      <w:r>
        <w:rPr>
          <w:kern w:val="0"/>
          <w:szCs w:val="21"/>
        </w:rPr>
        <w:t>差异表达分析的原理和相关软件使用。</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了解不同样品和组织间差异表达基因的分析方法。</w:t>
      </w:r>
    </w:p>
    <w:p>
      <w:pPr>
        <w:pStyle w:val="7"/>
        <w:snapToGrid w:val="0"/>
        <w:spacing w:line="360" w:lineRule="auto"/>
        <w:rPr>
          <w:rFonts w:ascii="Times New Roman"/>
        </w:rPr>
      </w:pPr>
      <w:r>
        <w:rPr>
          <w:rFonts w:ascii="Times New Roman"/>
        </w:rPr>
        <w:t>理解研究差异表达基因的生物学意义。</w:t>
      </w:r>
    </w:p>
    <w:p>
      <w:pPr>
        <w:pStyle w:val="7"/>
        <w:snapToGrid w:val="0"/>
        <w:spacing w:line="360" w:lineRule="auto"/>
        <w:rPr>
          <w:rFonts w:ascii="Times New Roman"/>
        </w:rPr>
      </w:pPr>
      <w:r>
        <w:rPr>
          <w:rFonts w:ascii="Times New Roman"/>
        </w:rPr>
        <w:t>掌握差异表达分析的流程，DESEQ2等软件的使用，基因功能注释的获取方法。</w:t>
      </w:r>
    </w:p>
    <w:p>
      <w:pPr>
        <w:widowControl/>
        <w:snapToGrid w:val="0"/>
        <w:spacing w:line="360" w:lineRule="auto"/>
        <w:rPr>
          <w:szCs w:val="20"/>
        </w:rPr>
      </w:pPr>
      <w:r>
        <w:rPr>
          <w:b/>
          <w:bCs/>
        </w:rPr>
        <w:t>教学组织与实施：</w:t>
      </w:r>
      <w:r>
        <w:rPr>
          <w:szCs w:val="20"/>
        </w:rPr>
        <w:t>通过PPT讲授、课堂练习、RNA提取视频观看进行本章节内容授课。</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 xml:space="preserve">第七章  </w:t>
            </w:r>
            <w:bookmarkStart w:id="395" w:name="_Hlk137978028"/>
            <w:r>
              <w:rPr>
                <w:b/>
                <w:bCs/>
                <w:szCs w:val="21"/>
              </w:rPr>
              <w:t>网页工具的使用</w:t>
            </w:r>
            <w:bookmarkEnd w:id="395"/>
          </w:p>
        </w:tc>
        <w:tc>
          <w:tcPr>
            <w:tcW w:w="2966"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学时数：2</w:t>
            </w:r>
          </w:p>
        </w:tc>
      </w:tr>
    </w:tbl>
    <w:p>
      <w:pPr>
        <w:snapToGrid w:val="0"/>
        <w:spacing w:line="360" w:lineRule="auto"/>
        <w:rPr>
          <w:b/>
          <w:bCs/>
        </w:rPr>
      </w:pPr>
      <w:r>
        <w:rPr>
          <w:b/>
          <w:bCs/>
        </w:rPr>
        <w:t>第一节  常用网页工具简介（1学时）</w:t>
      </w:r>
    </w:p>
    <w:p>
      <w:pPr>
        <w:widowControl/>
        <w:snapToGrid w:val="0"/>
        <w:spacing w:line="360" w:lineRule="auto"/>
        <w:rPr>
          <w:b/>
          <w:bCs/>
          <w:kern w:val="0"/>
          <w:szCs w:val="21"/>
        </w:rPr>
      </w:pPr>
      <w:r>
        <w:rPr>
          <w:b/>
          <w:bCs/>
        </w:rPr>
        <w:t>教学目标：</w:t>
      </w:r>
      <w:r>
        <w:rPr>
          <w:kern w:val="0"/>
          <w:szCs w:val="21"/>
        </w:rPr>
        <w:t>了解</w:t>
      </w:r>
      <w:bookmarkStart w:id="396" w:name="_Hlk137978043"/>
      <w:r>
        <w:rPr>
          <w:kern w:val="0"/>
          <w:szCs w:val="21"/>
        </w:rPr>
        <w:t>生物信息学常用</w:t>
      </w:r>
      <w:r>
        <w:rPr>
          <w:szCs w:val="21"/>
        </w:rPr>
        <w:t>网页工具</w:t>
      </w:r>
      <w:r>
        <w:rPr>
          <w:kern w:val="0"/>
          <w:szCs w:val="21"/>
        </w:rPr>
        <w:t>的种类及其功能</w:t>
      </w:r>
      <w:bookmarkEnd w:id="396"/>
      <w:r>
        <w:rPr>
          <w:kern w:val="0"/>
          <w:szCs w:val="21"/>
        </w:rPr>
        <w:t>。</w:t>
      </w:r>
    </w:p>
    <w:p>
      <w:pPr>
        <w:widowControl/>
        <w:snapToGrid w:val="0"/>
        <w:spacing w:line="360" w:lineRule="auto"/>
        <w:rPr>
          <w:b/>
          <w:bCs/>
          <w:kern w:val="0"/>
          <w:szCs w:val="21"/>
        </w:rPr>
      </w:pPr>
      <w:r>
        <w:rPr>
          <w:b/>
          <w:bCs/>
        </w:rPr>
        <w:t>教学重点和难点：</w:t>
      </w:r>
      <w:r>
        <w:t>掌握生物信息学</w:t>
      </w:r>
      <w:r>
        <w:rPr>
          <w:kern w:val="0"/>
          <w:szCs w:val="21"/>
        </w:rPr>
        <w:t>常用</w:t>
      </w:r>
      <w:r>
        <w:rPr>
          <w:szCs w:val="21"/>
        </w:rPr>
        <w:t>网页工具</w:t>
      </w:r>
      <w:r>
        <w:rPr>
          <w:kern w:val="0"/>
          <w:szCs w:val="21"/>
        </w:rPr>
        <w:t>的</w:t>
      </w:r>
      <w:r>
        <w:t>主要功能和应用。</w:t>
      </w:r>
    </w:p>
    <w:p>
      <w:pPr>
        <w:pStyle w:val="7"/>
        <w:snapToGrid w:val="0"/>
        <w:spacing w:line="360" w:lineRule="auto"/>
        <w:ind w:firstLine="0" w:firstLineChars="0"/>
        <w:rPr>
          <w:rFonts w:ascii="Times New Roman"/>
          <w:b/>
        </w:rPr>
      </w:pPr>
      <w:r>
        <w:rPr>
          <w:rFonts w:ascii="Times New Roman"/>
          <w:b/>
        </w:rPr>
        <w:t>主要教学内容及要求：</w:t>
      </w:r>
      <w:bookmarkStart w:id="397" w:name="_Hlk137978469"/>
      <w:r>
        <w:rPr>
          <w:rFonts w:ascii="Times New Roman"/>
          <w:bCs/>
        </w:rPr>
        <w:t>了解</w:t>
      </w:r>
      <w:bookmarkStart w:id="398" w:name="_Hlk137978517"/>
      <w:r>
        <w:rPr>
          <w:rFonts w:ascii="Times New Roman"/>
          <w:bCs/>
        </w:rPr>
        <w:t>生物信息学</w:t>
      </w:r>
      <w:bookmarkStart w:id="399" w:name="_Hlk137978525"/>
      <w:r>
        <w:rPr>
          <w:rFonts w:ascii="Times New Roman"/>
          <w:bCs/>
        </w:rPr>
        <w:t>常用</w:t>
      </w:r>
      <w:r>
        <w:rPr>
          <w:rFonts w:ascii="Times New Roman"/>
          <w:szCs w:val="21"/>
        </w:rPr>
        <w:t>网页工具</w:t>
      </w:r>
      <w:r>
        <w:rPr>
          <w:rFonts w:ascii="Times New Roman"/>
          <w:bCs/>
        </w:rPr>
        <w:t>的种类</w:t>
      </w:r>
      <w:bookmarkEnd w:id="398"/>
      <w:r>
        <w:rPr>
          <w:rFonts w:ascii="Times New Roman"/>
          <w:bCs/>
        </w:rPr>
        <w:t>和应用场景</w:t>
      </w:r>
      <w:bookmarkEnd w:id="399"/>
      <w:r>
        <w:rPr>
          <w:rFonts w:ascii="Times New Roman"/>
          <w:bCs/>
        </w:rPr>
        <w:t>；</w:t>
      </w:r>
      <w:r>
        <w:rPr>
          <w:rFonts w:ascii="Times New Roman"/>
          <w:kern w:val="0"/>
          <w:szCs w:val="21"/>
        </w:rPr>
        <w:t>熟练掌握</w:t>
      </w:r>
      <w:bookmarkStart w:id="400" w:name="_Hlk137978057"/>
      <w:r>
        <w:rPr>
          <w:rFonts w:ascii="Times New Roman"/>
          <w:kern w:val="0"/>
          <w:szCs w:val="21"/>
        </w:rPr>
        <w:t>生物信息学</w:t>
      </w:r>
      <w:bookmarkStart w:id="401" w:name="_Hlk137978535"/>
      <w:r>
        <w:rPr>
          <w:rFonts w:ascii="Times New Roman"/>
          <w:kern w:val="0"/>
          <w:szCs w:val="21"/>
        </w:rPr>
        <w:t>常用</w:t>
      </w:r>
      <w:r>
        <w:rPr>
          <w:rFonts w:ascii="Times New Roman"/>
          <w:szCs w:val="21"/>
        </w:rPr>
        <w:t>网页工具</w:t>
      </w:r>
      <w:r>
        <w:rPr>
          <w:rFonts w:ascii="Times New Roman"/>
          <w:bCs/>
        </w:rPr>
        <w:t>解决生物学问题的方法</w:t>
      </w:r>
      <w:bookmarkEnd w:id="397"/>
      <w:bookmarkEnd w:id="400"/>
      <w:bookmarkEnd w:id="401"/>
      <w:r>
        <w:rPr>
          <w:rFonts w:ascii="Times New Roman"/>
          <w:kern w:val="0"/>
          <w:szCs w:val="21"/>
        </w:rPr>
        <w:t>。</w:t>
      </w:r>
    </w:p>
    <w:p>
      <w:pPr>
        <w:widowControl/>
        <w:snapToGrid w:val="0"/>
        <w:spacing w:line="360" w:lineRule="auto"/>
      </w:pPr>
      <w:r>
        <w:rPr>
          <w:b/>
          <w:bCs/>
        </w:rPr>
        <w:t>教学组织与实施：</w:t>
      </w:r>
      <w:r>
        <w:t>在多媒体教室进行PPT授课，课中让同学分组派出代表与教师共同</w:t>
      </w:r>
      <w:bookmarkStart w:id="402" w:name="_Hlk137978558"/>
      <w:r>
        <w:t>使用多种网页工具解决生物学问题</w:t>
      </w:r>
      <w:bookmarkEnd w:id="402"/>
      <w:r>
        <w:t>，分组讨论哪个网页工具最为高效便捷，以及</w:t>
      </w:r>
      <w:bookmarkStart w:id="403" w:name="_Hlk137978593"/>
      <w:r>
        <w:t>各个网页工具的优缺点</w:t>
      </w:r>
      <w:bookmarkEnd w:id="403"/>
      <w:r>
        <w:t>。与同学们分享本课程相关的最新的科研进展。</w:t>
      </w:r>
    </w:p>
    <w:p>
      <w:pPr>
        <w:snapToGrid w:val="0"/>
        <w:spacing w:line="360" w:lineRule="auto"/>
        <w:rPr>
          <w:b/>
          <w:bCs/>
        </w:rPr>
      </w:pPr>
      <w:r>
        <w:rPr>
          <w:b/>
          <w:bCs/>
        </w:rPr>
        <w:t>第二节  网页工具的选择和使用（1学时）</w:t>
      </w:r>
    </w:p>
    <w:p>
      <w:pPr>
        <w:widowControl/>
        <w:snapToGrid w:val="0"/>
        <w:spacing w:line="360" w:lineRule="auto"/>
        <w:rPr>
          <w:b/>
          <w:bCs/>
          <w:kern w:val="0"/>
          <w:szCs w:val="21"/>
        </w:rPr>
      </w:pPr>
      <w:r>
        <w:rPr>
          <w:b/>
          <w:bCs/>
        </w:rPr>
        <w:t>教学目标：</w:t>
      </w:r>
      <w:r>
        <w:rPr>
          <w:kern w:val="0"/>
          <w:szCs w:val="21"/>
        </w:rPr>
        <w:t>掌握如何选择和操作正确的生物信息学</w:t>
      </w:r>
      <w:r>
        <w:rPr>
          <w:szCs w:val="21"/>
        </w:rPr>
        <w:t>网页工具</w:t>
      </w:r>
      <w:r>
        <w:rPr>
          <w:kern w:val="0"/>
          <w:szCs w:val="21"/>
        </w:rPr>
        <w:t>。</w:t>
      </w:r>
    </w:p>
    <w:p>
      <w:pPr>
        <w:widowControl/>
        <w:snapToGrid w:val="0"/>
        <w:spacing w:line="360" w:lineRule="auto"/>
        <w:rPr>
          <w:b/>
          <w:bCs/>
          <w:kern w:val="0"/>
          <w:szCs w:val="21"/>
        </w:rPr>
      </w:pPr>
      <w:r>
        <w:rPr>
          <w:b/>
          <w:bCs/>
        </w:rPr>
        <w:t>教学重点和难点：</w:t>
      </w:r>
      <w:r>
        <w:t>生物信息学</w:t>
      </w:r>
      <w:r>
        <w:rPr>
          <w:kern w:val="0"/>
          <w:szCs w:val="21"/>
        </w:rPr>
        <w:t>常用</w:t>
      </w:r>
      <w:r>
        <w:rPr>
          <w:szCs w:val="21"/>
        </w:rPr>
        <w:t>网页工具</w:t>
      </w:r>
      <w:r>
        <w:rPr>
          <w:kern w:val="0"/>
          <w:szCs w:val="21"/>
        </w:rPr>
        <w:t>的选用和操作步骤</w:t>
      </w:r>
      <w:r>
        <w:t>。</w:t>
      </w:r>
      <w:r>
        <w:rPr>
          <w:kern w:val="0"/>
          <w:szCs w:val="21"/>
        </w:rPr>
        <w:t></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bCs/>
        </w:rPr>
        <w:t>了解生物信息学常用</w:t>
      </w:r>
      <w:r>
        <w:rPr>
          <w:rFonts w:ascii="Times New Roman"/>
          <w:szCs w:val="21"/>
        </w:rPr>
        <w:t>网页工具</w:t>
      </w:r>
      <w:r>
        <w:rPr>
          <w:rFonts w:ascii="Times New Roman"/>
          <w:bCs/>
        </w:rPr>
        <w:t>的分类和主要功能；掌握</w:t>
      </w:r>
      <w:bookmarkStart w:id="404" w:name="_Hlk137978077"/>
      <w:r>
        <w:rPr>
          <w:rFonts w:ascii="Times New Roman"/>
          <w:kern w:val="0"/>
          <w:szCs w:val="21"/>
        </w:rPr>
        <w:t>生物信息学常用</w:t>
      </w:r>
      <w:r>
        <w:rPr>
          <w:rFonts w:ascii="Times New Roman"/>
          <w:szCs w:val="21"/>
        </w:rPr>
        <w:t>网页工具</w:t>
      </w:r>
      <w:r>
        <w:rPr>
          <w:rFonts w:ascii="Times New Roman"/>
          <w:kern w:val="0"/>
          <w:szCs w:val="21"/>
        </w:rPr>
        <w:t>的选用</w:t>
      </w:r>
      <w:bookmarkEnd w:id="404"/>
      <w:r>
        <w:rPr>
          <w:rFonts w:ascii="Times New Roman"/>
          <w:kern w:val="0"/>
          <w:szCs w:val="21"/>
        </w:rPr>
        <w:t>；</w:t>
      </w:r>
      <w:bookmarkStart w:id="405" w:name="_Hlk137978772"/>
      <w:r>
        <w:rPr>
          <w:rFonts w:ascii="Times New Roman"/>
          <w:kern w:val="0"/>
          <w:szCs w:val="21"/>
        </w:rPr>
        <w:t>熟练掌握生物信息学常用</w:t>
      </w:r>
      <w:r>
        <w:rPr>
          <w:rFonts w:ascii="Times New Roman"/>
          <w:szCs w:val="21"/>
        </w:rPr>
        <w:t>网页工具</w:t>
      </w:r>
      <w:r>
        <w:rPr>
          <w:rFonts w:ascii="Times New Roman"/>
          <w:kern w:val="0"/>
          <w:szCs w:val="21"/>
        </w:rPr>
        <w:t>的操作</w:t>
      </w:r>
      <w:bookmarkEnd w:id="405"/>
      <w:r>
        <w:rPr>
          <w:rFonts w:ascii="Times New Roman"/>
          <w:kern w:val="0"/>
          <w:szCs w:val="21"/>
        </w:rPr>
        <w:t>。</w:t>
      </w:r>
    </w:p>
    <w:p>
      <w:pPr>
        <w:widowControl/>
        <w:snapToGrid w:val="0"/>
        <w:spacing w:line="360" w:lineRule="auto"/>
        <w:jc w:val="left"/>
        <w:rPr>
          <w:b/>
          <w:kern w:val="0"/>
          <w:szCs w:val="21"/>
        </w:rPr>
      </w:pPr>
      <w:r>
        <w:rPr>
          <w:b/>
          <w:bCs/>
        </w:rPr>
        <w:t>教学组织与实施：</w:t>
      </w:r>
      <w:r>
        <w:t>在多媒体教室进行PPT授课，课中让同学分组派出代表与教师共同使用多种网页工具解决生物学问题，分组讨论哪个网页工具最为高效便捷，以及各个网页工具的优缺点。与同学们分享本课程相关的最新的科研进展。</w:t>
      </w:r>
    </w:p>
    <w:tbl>
      <w:tblPr>
        <w:tblStyle w:val="22"/>
        <w:tblW w:w="8979" w:type="dxa"/>
        <w:tblInd w:w="4" w:type="dxa"/>
        <w:tblLayout w:type="autofit"/>
        <w:tblCellMar>
          <w:top w:w="0" w:type="dxa"/>
          <w:left w:w="0" w:type="dxa"/>
          <w:bottom w:w="0" w:type="dxa"/>
          <w:right w:w="0" w:type="dxa"/>
        </w:tblCellMar>
      </w:tblPr>
      <w:tblGrid>
        <w:gridCol w:w="2011"/>
        <w:gridCol w:w="3958"/>
        <w:gridCol w:w="3010"/>
      </w:tblGrid>
      <w:tr>
        <w:tblPrEx>
          <w:tblCellMar>
            <w:top w:w="0" w:type="dxa"/>
            <w:left w:w="0" w:type="dxa"/>
            <w:bottom w:w="0" w:type="dxa"/>
            <w:right w:w="0" w:type="dxa"/>
          </w:tblCellMar>
        </w:tblPrEx>
        <w:trPr>
          <w:trHeight w:val="288" w:hRule="atLeast"/>
        </w:trPr>
        <w:tc>
          <w:tcPr>
            <w:tcW w:w="2011" w:type="dxa"/>
            <w:tcBorders>
              <w:top w:val="nil"/>
              <w:left w:val="nil"/>
              <w:bottom w:val="nil"/>
              <w:right w:val="nil"/>
            </w:tcBorders>
            <w:vAlign w:val="center"/>
          </w:tcPr>
          <w:p>
            <w:pPr>
              <w:widowControl/>
              <w:snapToGrid w:val="0"/>
              <w:spacing w:line="360" w:lineRule="auto"/>
              <w:ind w:firstLine="422"/>
              <w:jc w:val="center"/>
              <w:rPr>
                <w:b/>
                <w:bCs/>
                <w:szCs w:val="21"/>
              </w:rPr>
            </w:pPr>
          </w:p>
        </w:tc>
        <w:tc>
          <w:tcPr>
            <w:tcW w:w="3958" w:type="dxa"/>
            <w:tcBorders>
              <w:top w:val="nil"/>
              <w:left w:val="nil"/>
              <w:bottom w:val="nil"/>
              <w:right w:val="nil"/>
            </w:tcBorders>
            <w:vAlign w:val="center"/>
          </w:tcPr>
          <w:p>
            <w:pPr>
              <w:widowControl/>
              <w:snapToGrid w:val="0"/>
              <w:spacing w:line="360" w:lineRule="auto"/>
              <w:ind w:firstLine="422"/>
              <w:jc w:val="center"/>
              <w:rPr>
                <w:b/>
                <w:bCs/>
                <w:szCs w:val="21"/>
              </w:rPr>
            </w:pPr>
            <w:r>
              <w:rPr>
                <w:b/>
                <w:bCs/>
                <w:szCs w:val="21"/>
              </w:rPr>
              <w:t>第八章  生物信息学计算机基础</w:t>
            </w:r>
          </w:p>
        </w:tc>
        <w:tc>
          <w:tcPr>
            <w:tcW w:w="3010" w:type="dxa"/>
            <w:tcBorders>
              <w:top w:val="nil"/>
              <w:left w:val="nil"/>
              <w:bottom w:val="nil"/>
              <w:right w:val="nil"/>
            </w:tcBorders>
            <w:vAlign w:val="center"/>
          </w:tcPr>
          <w:p>
            <w:pPr>
              <w:widowControl/>
              <w:snapToGrid w:val="0"/>
              <w:spacing w:line="360" w:lineRule="auto"/>
              <w:ind w:firstLine="422"/>
              <w:jc w:val="right"/>
              <w:rPr>
                <w:b/>
                <w:bCs/>
                <w:szCs w:val="21"/>
              </w:rPr>
            </w:pPr>
            <w:r>
              <w:rPr>
                <w:b/>
                <w:bCs/>
                <w:szCs w:val="21"/>
              </w:rPr>
              <w:t>学时数：3</w:t>
            </w:r>
          </w:p>
        </w:tc>
      </w:tr>
    </w:tbl>
    <w:p>
      <w:pPr>
        <w:snapToGrid w:val="0"/>
        <w:spacing w:line="360" w:lineRule="auto"/>
        <w:rPr>
          <w:b/>
          <w:bCs/>
        </w:rPr>
      </w:pPr>
      <w:r>
        <w:rPr>
          <w:b/>
          <w:bCs/>
        </w:rPr>
        <w:t>第一节  Linux操作系统的使用（1学时）</w:t>
      </w:r>
    </w:p>
    <w:p>
      <w:pPr>
        <w:widowControl/>
        <w:snapToGrid w:val="0"/>
        <w:spacing w:line="360" w:lineRule="auto"/>
        <w:rPr>
          <w:b/>
          <w:bCs/>
          <w:kern w:val="0"/>
          <w:szCs w:val="21"/>
        </w:rPr>
      </w:pPr>
      <w:r>
        <w:rPr>
          <w:b/>
          <w:bCs/>
        </w:rPr>
        <w:t>教学目标：</w:t>
      </w:r>
      <w:r>
        <w:rPr>
          <w:kern w:val="0"/>
          <w:szCs w:val="21"/>
        </w:rPr>
        <w:t>学习并掌握 Linux 系统常用命令</w:t>
      </w:r>
    </w:p>
    <w:p>
      <w:pPr>
        <w:widowControl/>
        <w:snapToGrid w:val="0"/>
        <w:spacing w:line="360" w:lineRule="auto"/>
        <w:rPr>
          <w:b/>
          <w:bCs/>
          <w:kern w:val="0"/>
          <w:szCs w:val="21"/>
        </w:rPr>
      </w:pPr>
      <w:r>
        <w:rPr>
          <w:b/>
          <w:bCs/>
        </w:rPr>
        <w:t>教学重点和难点：</w:t>
      </w:r>
      <w:r>
        <w:rPr>
          <w:kern w:val="0"/>
          <w:szCs w:val="21"/>
        </w:rPr>
        <w:t>教学重点为Linux Shell常用命令；教学难点为学生对Linux 系统框架的理解。</w:t>
      </w:r>
    </w:p>
    <w:p>
      <w:pPr>
        <w:pStyle w:val="7"/>
        <w:snapToGrid w:val="0"/>
        <w:spacing w:line="360" w:lineRule="auto"/>
        <w:ind w:firstLine="0" w:firstLineChars="0"/>
        <w:rPr>
          <w:rFonts w:ascii="Times New Roman"/>
          <w:color w:val="0000FF"/>
        </w:rPr>
      </w:pPr>
      <w:r>
        <w:rPr>
          <w:rFonts w:ascii="Times New Roman"/>
          <w:b/>
        </w:rPr>
        <w:t>主要教学内容及要求：</w:t>
      </w:r>
    </w:p>
    <w:p>
      <w:pPr>
        <w:pStyle w:val="7"/>
        <w:snapToGrid w:val="0"/>
        <w:spacing w:line="360" w:lineRule="auto"/>
        <w:rPr>
          <w:rFonts w:ascii="Times New Roman"/>
        </w:rPr>
      </w:pPr>
      <w:r>
        <w:rPr>
          <w:rFonts w:ascii="Times New Roman"/>
        </w:rPr>
        <w:t>教学内容：</w:t>
      </w:r>
    </w:p>
    <w:p>
      <w:pPr>
        <w:pStyle w:val="7"/>
        <w:snapToGrid w:val="0"/>
        <w:spacing w:line="360" w:lineRule="auto"/>
        <w:rPr>
          <w:rFonts w:ascii="Times New Roman"/>
        </w:rPr>
      </w:pPr>
      <w:r>
        <w:rPr>
          <w:rFonts w:ascii="Times New Roman"/>
        </w:rPr>
        <w:t>本节主要讲解Linux操作系统、Linux系统结构以及Linux Shell常用命令</w:t>
      </w:r>
    </w:p>
    <w:p>
      <w:pPr>
        <w:pStyle w:val="7"/>
        <w:snapToGrid w:val="0"/>
        <w:spacing w:line="360" w:lineRule="auto"/>
        <w:ind w:left="420" w:firstLine="0" w:firstLineChars="0"/>
        <w:rPr>
          <w:rFonts w:ascii="Times New Roman"/>
        </w:rPr>
      </w:pPr>
      <w:r>
        <w:rPr>
          <w:rFonts w:ascii="Times New Roman"/>
        </w:rPr>
        <w:t>教学要求：</w:t>
      </w:r>
    </w:p>
    <w:p>
      <w:pPr>
        <w:pStyle w:val="7"/>
        <w:snapToGrid w:val="0"/>
        <w:spacing w:line="360" w:lineRule="auto"/>
        <w:rPr>
          <w:rFonts w:ascii="Times New Roman"/>
        </w:rPr>
      </w:pPr>
      <w:r>
        <w:rPr>
          <w:rFonts w:ascii="Times New Roman"/>
        </w:rPr>
        <w:t>Linux操作系统及其结构：了解当前主流的计算操作系统（Linux，Windows，Mac），并对各操作系统进行总结, 分析它们的优劣。</w:t>
      </w:r>
    </w:p>
    <w:p>
      <w:pPr>
        <w:pStyle w:val="7"/>
        <w:snapToGrid w:val="0"/>
        <w:spacing w:line="360" w:lineRule="auto"/>
        <w:rPr>
          <w:rFonts w:ascii="Times New Roman"/>
        </w:rPr>
      </w:pPr>
      <w:r>
        <w:rPr>
          <w:rFonts w:ascii="Times New Roman"/>
        </w:rPr>
        <w:t>Linux Shell常用命令：熟练掌握用户和工作组管理、文件查看与查找、文件处理、文件操作与备份、系统维护与管理等Linux Shell常用命令。</w:t>
      </w:r>
    </w:p>
    <w:p>
      <w:pPr>
        <w:widowControl/>
        <w:snapToGrid w:val="0"/>
        <w:spacing w:line="360" w:lineRule="auto"/>
        <w:rPr>
          <w:b/>
          <w:bCs/>
        </w:rPr>
      </w:pPr>
      <w:r>
        <w:rPr>
          <w:b/>
          <w:bCs/>
        </w:rPr>
        <w:t>教学组织与实施：</w:t>
      </w:r>
      <w:r>
        <w:t>认识和了</w:t>
      </w:r>
      <w:r>
        <w:rPr>
          <w:kern w:val="0"/>
          <w:szCs w:val="21"/>
        </w:rPr>
        <w:t>解Linux操作系统</w:t>
      </w:r>
      <w:r>
        <w:t>及其架构是本章学习的目的。在课程中，结合生信分析过程中具体实例来演示</w:t>
      </w:r>
      <w:r>
        <w:rPr>
          <w:kern w:val="0"/>
          <w:szCs w:val="21"/>
        </w:rPr>
        <w:t>Linux 系统常用命令的使用方式</w:t>
      </w:r>
      <w:r>
        <w:t>，加深学生对</w:t>
      </w:r>
      <w:r>
        <w:rPr>
          <w:kern w:val="0"/>
          <w:szCs w:val="21"/>
        </w:rPr>
        <w:t>Linux 系统</w:t>
      </w:r>
      <w:r>
        <w:t>的理解。通过开展分组（班）讨论，与学生充分互动。</w:t>
      </w:r>
    </w:p>
    <w:p>
      <w:pPr>
        <w:snapToGrid w:val="0"/>
        <w:spacing w:line="360" w:lineRule="auto"/>
        <w:rPr>
          <w:b/>
          <w:bCs/>
        </w:rPr>
      </w:pPr>
      <w:r>
        <w:rPr>
          <w:b/>
          <w:bCs/>
        </w:rPr>
        <w:t>第二节  Python和R编程语言（2学时）</w:t>
      </w:r>
    </w:p>
    <w:p>
      <w:pPr>
        <w:widowControl/>
        <w:snapToGrid w:val="0"/>
        <w:spacing w:line="360" w:lineRule="auto"/>
        <w:rPr>
          <w:b/>
          <w:bCs/>
          <w:kern w:val="0"/>
          <w:szCs w:val="21"/>
        </w:rPr>
      </w:pPr>
      <w:r>
        <w:rPr>
          <w:b/>
          <w:bCs/>
        </w:rPr>
        <w:t>教学目标：</w:t>
      </w:r>
      <w:r>
        <w:rPr>
          <w:kern w:val="0"/>
          <w:szCs w:val="21"/>
        </w:rPr>
        <w:t>学习并掌握 Python和R编程语言的语法规则和使用场景</w:t>
      </w:r>
    </w:p>
    <w:p>
      <w:pPr>
        <w:widowControl/>
        <w:snapToGrid w:val="0"/>
        <w:spacing w:line="360" w:lineRule="auto"/>
        <w:rPr>
          <w:b/>
          <w:bCs/>
          <w:kern w:val="0"/>
          <w:szCs w:val="21"/>
        </w:rPr>
      </w:pPr>
      <w:r>
        <w:rPr>
          <w:b/>
          <w:bCs/>
        </w:rPr>
        <w:t>教学重点和难点：</w:t>
      </w:r>
      <w:r>
        <w:rPr>
          <w:bCs/>
        </w:rPr>
        <w:t>教学重点为掌握Python和R语言的基本使用；教学难点为构建出基于程序编写的逻辑思维能力。</w:t>
      </w:r>
    </w:p>
    <w:p>
      <w:pPr>
        <w:pStyle w:val="7"/>
        <w:snapToGrid w:val="0"/>
        <w:spacing w:line="360" w:lineRule="auto"/>
        <w:ind w:firstLine="0" w:firstLineChars="0"/>
        <w:rPr>
          <w:rFonts w:ascii="Times New Roman"/>
        </w:rPr>
      </w:pPr>
      <w:r>
        <w:rPr>
          <w:rFonts w:ascii="Times New Roman"/>
          <w:b/>
        </w:rPr>
        <w:t>主要教学内容及要求：</w:t>
      </w:r>
    </w:p>
    <w:p>
      <w:pPr>
        <w:pStyle w:val="7"/>
        <w:snapToGrid w:val="0"/>
        <w:spacing w:line="360" w:lineRule="auto"/>
        <w:rPr>
          <w:rFonts w:ascii="Times New Roman"/>
        </w:rPr>
      </w:pPr>
      <w:r>
        <w:rPr>
          <w:rFonts w:ascii="Times New Roman"/>
        </w:rPr>
        <w:t>教学内容：</w:t>
      </w:r>
    </w:p>
    <w:p>
      <w:pPr>
        <w:pStyle w:val="7"/>
        <w:snapToGrid w:val="0"/>
        <w:spacing w:line="360" w:lineRule="auto"/>
        <w:rPr>
          <w:rFonts w:ascii="Times New Roman"/>
        </w:rPr>
      </w:pPr>
      <w:r>
        <w:rPr>
          <w:rFonts w:ascii="Times New Roman"/>
        </w:rPr>
        <w:t>本节主要讲解计算机编程语言的概念；Python基础（Python的安装与使用，变量、函数、多态、模块和包）；Python对象；赋值、条件和循环；文件操作。R程序包的安装；R对象与函数；R语言作图。</w:t>
      </w:r>
    </w:p>
    <w:p>
      <w:pPr>
        <w:pStyle w:val="7"/>
        <w:snapToGrid w:val="0"/>
        <w:spacing w:line="360" w:lineRule="auto"/>
        <w:rPr>
          <w:rFonts w:ascii="Times New Roman"/>
        </w:rPr>
      </w:pPr>
      <w:r>
        <w:rPr>
          <w:rFonts w:ascii="Times New Roman"/>
        </w:rPr>
        <w:t>教学要求：</w:t>
      </w:r>
    </w:p>
    <w:p>
      <w:pPr>
        <w:pStyle w:val="7"/>
        <w:snapToGrid w:val="0"/>
        <w:spacing w:line="360" w:lineRule="auto"/>
        <w:rPr>
          <w:rFonts w:ascii="Times New Roman"/>
        </w:rPr>
      </w:pPr>
      <w:r>
        <w:rPr>
          <w:rFonts w:ascii="Times New Roman"/>
        </w:rPr>
        <w:t>Python语言：理解面向对象编程的概念；熟练掌握Python语言的语法规则；熟练掌握生物数据处理中常用包的使用，例如Biopython、Numpy以及Pandas等。</w:t>
      </w:r>
    </w:p>
    <w:p>
      <w:pPr>
        <w:pStyle w:val="7"/>
        <w:snapToGrid w:val="0"/>
        <w:spacing w:line="360" w:lineRule="auto"/>
        <w:rPr>
          <w:rFonts w:ascii="Times New Roman"/>
        </w:rPr>
      </w:pPr>
      <w:r>
        <w:rPr>
          <w:rFonts w:ascii="Times New Roman"/>
        </w:rPr>
        <w:t>R语言：熟练掌握R语言的语法规则；熟练掌握R语言在统计检验中的应用；数量掌握使用R语言进行散点图、柱状图以及折线图等图形的绘制。</w:t>
      </w:r>
    </w:p>
    <w:p>
      <w:pPr>
        <w:widowControl/>
        <w:snapToGrid w:val="0"/>
        <w:spacing w:line="360" w:lineRule="auto"/>
      </w:pPr>
      <w:r>
        <w:rPr>
          <w:b/>
          <w:bCs/>
        </w:rPr>
        <w:t>教学组织与实施：</w:t>
      </w:r>
      <w:r>
        <w:t>了解和掌握Python与R语言在生信分析中的实用性和重要性是本章学习的目的。在课程中，结合生信分析过程中具体实例来演示Python与R语言</w:t>
      </w:r>
      <w:r>
        <w:rPr>
          <w:kern w:val="0"/>
          <w:szCs w:val="21"/>
        </w:rPr>
        <w:t>的使用方式</w:t>
      </w:r>
      <w:r>
        <w:t>，加深学生对编程语言的理解。通过开展分组（班）讨论，与学生充分互动。</w:t>
      </w:r>
    </w:p>
    <w:p>
      <w:pPr>
        <w:widowControl/>
        <w:snapToGrid w:val="0"/>
        <w:spacing w:line="360" w:lineRule="auto"/>
        <w:jc w:val="left"/>
        <w:rPr>
          <w:b/>
          <w:bCs/>
          <w:kern w:val="0"/>
          <w:szCs w:val="21"/>
        </w:rPr>
      </w:pPr>
    </w:p>
    <w:p>
      <w:pPr>
        <w:widowControl/>
        <w:snapToGrid w:val="0"/>
        <w:spacing w:line="360" w:lineRule="auto"/>
        <w:jc w:val="left"/>
        <w:rPr>
          <w:bCs/>
          <w:kern w:val="0"/>
          <w:szCs w:val="21"/>
        </w:rPr>
      </w:pPr>
      <w:r>
        <w:rPr>
          <w:b/>
          <w:bCs/>
          <w:kern w:val="0"/>
          <w:szCs w:val="21"/>
        </w:rPr>
        <w:t>五、实验教学内容及学时分配（12学时）</w:t>
      </w:r>
    </w:p>
    <w:p>
      <w:pPr>
        <w:snapToGrid w:val="0"/>
        <w:spacing w:line="360" w:lineRule="auto"/>
        <w:rPr>
          <w:b/>
          <w:bCs/>
          <w:szCs w:val="21"/>
        </w:rPr>
      </w:pPr>
      <w:r>
        <w:rPr>
          <w:b/>
          <w:szCs w:val="21"/>
        </w:rPr>
        <w:t>（一）</w:t>
      </w:r>
      <w:r>
        <w:rPr>
          <w:b/>
          <w:bCs/>
          <w:szCs w:val="21"/>
        </w:rPr>
        <w:t>实验课程简介</w:t>
      </w:r>
    </w:p>
    <w:p>
      <w:pPr>
        <w:snapToGrid w:val="0"/>
        <w:spacing w:line="360" w:lineRule="auto"/>
        <w:ind w:firstLine="420" w:firstLineChars="200"/>
        <w:rPr>
          <w:bCs/>
          <w:szCs w:val="21"/>
        </w:rPr>
      </w:pPr>
      <w:r>
        <w:rPr>
          <w:bCs/>
          <w:szCs w:val="21"/>
        </w:rPr>
        <w:t>本课程为园艺、设施农业科学与工程、茶学选修专业加深课，主要从，使学生基础生命科学的理解，并通过综合性、实践性实验研究，培养学生的相关实践操作技能和初步独立进行科学研究的能力。</w:t>
      </w:r>
    </w:p>
    <w:p>
      <w:pPr>
        <w:snapToGrid w:val="0"/>
        <w:spacing w:line="360" w:lineRule="auto"/>
        <w:rPr>
          <w:b/>
          <w:bCs/>
          <w:szCs w:val="21"/>
        </w:rPr>
      </w:pPr>
      <w:r>
        <w:rPr>
          <w:b/>
          <w:bCs/>
          <w:szCs w:val="21"/>
        </w:rPr>
        <w:t>（二）实验教学目的和基本要求</w:t>
      </w:r>
    </w:p>
    <w:p>
      <w:pPr>
        <w:snapToGrid w:val="0"/>
        <w:spacing w:line="360" w:lineRule="auto"/>
        <w:ind w:firstLine="420" w:firstLineChars="200"/>
      </w:pPr>
      <w:r>
        <w:t>1、通过实验课教学加深对生物信息学的理解，更好地掌握生物信息学的概念和基本原理。</w:t>
      </w:r>
    </w:p>
    <w:p>
      <w:pPr>
        <w:snapToGrid w:val="0"/>
        <w:spacing w:line="360" w:lineRule="auto"/>
        <w:ind w:firstLine="420" w:firstLineChars="200"/>
      </w:pPr>
      <w:r>
        <w:t>2、通过实验课教学对学生进行基础操作技术的训练，使学生学会与生物信息学有关的分析方法与技术，能够解决科学研究和生产中的有关问题。</w:t>
      </w:r>
    </w:p>
    <w:p>
      <w:pPr>
        <w:snapToGrid w:val="0"/>
        <w:spacing w:line="360" w:lineRule="auto"/>
        <w:ind w:firstLine="420" w:firstLineChars="200"/>
      </w:pPr>
      <w:r>
        <w:t>让每一个学生参与整个实验过程的操作。要求学生写出所有实验的实验报告，实验课成绩作为本门课程最终成绩的一部分。</w:t>
      </w:r>
    </w:p>
    <w:p>
      <w:pPr>
        <w:snapToGrid w:val="0"/>
        <w:spacing w:line="360" w:lineRule="auto"/>
        <w:rPr>
          <w:b/>
        </w:rPr>
      </w:pPr>
      <w:r>
        <w:rPr>
          <w:b/>
        </w:rPr>
        <w:t>（三）实验安全操作规范</w:t>
      </w:r>
    </w:p>
    <w:p>
      <w:pPr>
        <w:snapToGrid w:val="0"/>
        <w:spacing w:line="360" w:lineRule="auto"/>
        <w:ind w:firstLine="420" w:firstLineChars="200"/>
      </w:pPr>
      <w:r>
        <w:t>课程老师根据计算机机房操作规范要求为学生开展相关实验，规范使用计算机和相关设备等，确保学生实验安全。</w:t>
      </w:r>
    </w:p>
    <w:p>
      <w:pPr>
        <w:snapToGrid w:val="0"/>
        <w:spacing w:line="360" w:lineRule="auto"/>
        <w:rPr>
          <w:b/>
          <w:bCs/>
          <w:szCs w:val="21"/>
        </w:rPr>
      </w:pPr>
      <w:r>
        <w:rPr>
          <w:b/>
          <w:bCs/>
          <w:szCs w:val="21"/>
        </w:rPr>
        <w:t>（四）实验项目名称与学时分配</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2"/>
        <w:gridCol w:w="3368"/>
        <w:gridCol w:w="660"/>
        <w:gridCol w:w="1150"/>
        <w:gridCol w:w="1176"/>
        <w:gridCol w:w="12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shd w:val="clear" w:color="auto" w:fill="EEECE1" w:themeFill="background2"/>
            <w:vAlign w:val="center"/>
          </w:tcPr>
          <w:p>
            <w:pPr>
              <w:ind w:firstLine="361"/>
              <w:jc w:val="center"/>
              <w:rPr>
                <w:b/>
                <w:bCs/>
                <w:sz w:val="18"/>
                <w:szCs w:val="18"/>
              </w:rPr>
            </w:pPr>
            <w:r>
              <w:rPr>
                <w:b/>
                <w:bCs/>
                <w:sz w:val="18"/>
                <w:szCs w:val="18"/>
              </w:rPr>
              <w:t>序号</w:t>
            </w:r>
          </w:p>
        </w:tc>
        <w:tc>
          <w:tcPr>
            <w:tcW w:w="3368" w:type="dxa"/>
            <w:shd w:val="clear" w:color="auto" w:fill="EEECE1" w:themeFill="background2"/>
            <w:vAlign w:val="center"/>
          </w:tcPr>
          <w:p>
            <w:pPr>
              <w:ind w:firstLine="361"/>
              <w:jc w:val="center"/>
              <w:rPr>
                <w:b/>
                <w:bCs/>
                <w:sz w:val="18"/>
                <w:szCs w:val="18"/>
              </w:rPr>
            </w:pPr>
            <w:r>
              <w:rPr>
                <w:b/>
                <w:bCs/>
                <w:sz w:val="18"/>
                <w:szCs w:val="18"/>
              </w:rPr>
              <w:t>实验名称</w:t>
            </w:r>
          </w:p>
        </w:tc>
        <w:tc>
          <w:tcPr>
            <w:tcW w:w="660" w:type="dxa"/>
            <w:shd w:val="clear" w:color="auto" w:fill="EEECE1" w:themeFill="background2"/>
            <w:vAlign w:val="center"/>
          </w:tcPr>
          <w:p>
            <w:pPr>
              <w:rPr>
                <w:b/>
                <w:bCs/>
                <w:sz w:val="18"/>
                <w:szCs w:val="18"/>
              </w:rPr>
            </w:pPr>
            <w:r>
              <w:rPr>
                <w:b/>
                <w:bCs/>
                <w:sz w:val="18"/>
                <w:szCs w:val="18"/>
              </w:rPr>
              <w:t>学时</w:t>
            </w:r>
          </w:p>
        </w:tc>
        <w:tc>
          <w:tcPr>
            <w:tcW w:w="1150" w:type="dxa"/>
            <w:shd w:val="clear" w:color="auto" w:fill="EEECE1" w:themeFill="background2"/>
            <w:vAlign w:val="center"/>
          </w:tcPr>
          <w:p>
            <w:pPr>
              <w:ind w:firstLine="361"/>
              <w:jc w:val="center"/>
              <w:rPr>
                <w:b/>
                <w:bCs/>
                <w:sz w:val="18"/>
                <w:szCs w:val="18"/>
              </w:rPr>
            </w:pPr>
            <w:r>
              <w:rPr>
                <w:b/>
                <w:bCs/>
                <w:sz w:val="18"/>
                <w:szCs w:val="18"/>
              </w:rPr>
              <w:t>类型</w:t>
            </w:r>
          </w:p>
        </w:tc>
        <w:tc>
          <w:tcPr>
            <w:tcW w:w="1176" w:type="dxa"/>
            <w:shd w:val="clear" w:color="auto" w:fill="EEECE1" w:themeFill="background2"/>
            <w:vAlign w:val="center"/>
          </w:tcPr>
          <w:p>
            <w:pPr>
              <w:rPr>
                <w:b/>
                <w:bCs/>
                <w:sz w:val="18"/>
                <w:szCs w:val="18"/>
              </w:rPr>
            </w:pPr>
            <w:r>
              <w:rPr>
                <w:b/>
                <w:bCs/>
                <w:sz w:val="18"/>
                <w:szCs w:val="18"/>
              </w:rPr>
              <w:t>实验要求</w:t>
            </w:r>
          </w:p>
        </w:tc>
        <w:tc>
          <w:tcPr>
            <w:tcW w:w="1284" w:type="dxa"/>
            <w:shd w:val="clear" w:color="auto" w:fill="EEECE1" w:themeFill="background2"/>
            <w:vAlign w:val="center"/>
          </w:tcPr>
          <w:p>
            <w:pPr>
              <w:rPr>
                <w:b/>
                <w:bCs/>
                <w:sz w:val="18"/>
                <w:szCs w:val="18"/>
              </w:rPr>
            </w:pPr>
            <w:r>
              <w:rPr>
                <w:b/>
                <w:bCs/>
                <w:sz w:val="18"/>
                <w:szCs w:val="18"/>
              </w:rPr>
              <w:t>每组人数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1901112501</w:t>
            </w:r>
          </w:p>
        </w:tc>
        <w:tc>
          <w:tcPr>
            <w:tcW w:w="3368" w:type="dxa"/>
            <w:vAlign w:val="center"/>
          </w:tcPr>
          <w:p>
            <w:pPr>
              <w:ind w:firstLine="360"/>
              <w:jc w:val="center"/>
              <w:rPr>
                <w:sz w:val="18"/>
                <w:szCs w:val="18"/>
              </w:rPr>
            </w:pPr>
            <w:r>
              <w:rPr>
                <w:sz w:val="18"/>
                <w:szCs w:val="18"/>
              </w:rPr>
              <w:t>美国国家生物技术信息中心的使用</w:t>
            </w:r>
          </w:p>
        </w:tc>
        <w:tc>
          <w:tcPr>
            <w:tcW w:w="660" w:type="dxa"/>
            <w:vAlign w:val="center"/>
          </w:tcPr>
          <w:p>
            <w:pPr>
              <w:ind w:firstLine="360"/>
              <w:jc w:val="center"/>
              <w:rPr>
                <w:sz w:val="18"/>
                <w:szCs w:val="18"/>
              </w:rPr>
            </w:pPr>
            <w:r>
              <w:rPr>
                <w:sz w:val="18"/>
                <w:szCs w:val="18"/>
              </w:rPr>
              <w:t>2</w:t>
            </w:r>
          </w:p>
        </w:tc>
        <w:tc>
          <w:tcPr>
            <w:tcW w:w="1150" w:type="dxa"/>
            <w:vAlign w:val="center"/>
          </w:tcPr>
          <w:p>
            <w:pPr>
              <w:rPr>
                <w:sz w:val="18"/>
                <w:szCs w:val="18"/>
              </w:rPr>
            </w:pPr>
            <w:r>
              <w:rPr>
                <w:sz w:val="18"/>
                <w:szCs w:val="18"/>
              </w:rPr>
              <w:t>综合性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1901112502</w:t>
            </w:r>
          </w:p>
        </w:tc>
        <w:tc>
          <w:tcPr>
            <w:tcW w:w="3368" w:type="dxa"/>
            <w:vAlign w:val="center"/>
          </w:tcPr>
          <w:p>
            <w:pPr>
              <w:ind w:firstLine="360"/>
              <w:jc w:val="center"/>
              <w:rPr>
                <w:sz w:val="18"/>
                <w:szCs w:val="18"/>
              </w:rPr>
            </w:pPr>
            <w:r>
              <w:rPr>
                <w:sz w:val="18"/>
                <w:szCs w:val="18"/>
              </w:rPr>
              <w:t>序列比对与系统进化树构建</w:t>
            </w:r>
          </w:p>
        </w:tc>
        <w:tc>
          <w:tcPr>
            <w:tcW w:w="660" w:type="dxa"/>
            <w:vAlign w:val="center"/>
          </w:tcPr>
          <w:p>
            <w:pPr>
              <w:ind w:firstLine="360"/>
              <w:jc w:val="center"/>
              <w:rPr>
                <w:sz w:val="18"/>
                <w:szCs w:val="18"/>
              </w:rPr>
            </w:pPr>
            <w:r>
              <w:rPr>
                <w:sz w:val="18"/>
                <w:szCs w:val="18"/>
              </w:rPr>
              <w:t>2</w:t>
            </w:r>
          </w:p>
        </w:tc>
        <w:tc>
          <w:tcPr>
            <w:tcW w:w="1150" w:type="dxa"/>
            <w:vAlign w:val="center"/>
          </w:tcPr>
          <w:p>
            <w:pPr>
              <w:rPr>
                <w:sz w:val="18"/>
                <w:szCs w:val="18"/>
              </w:rPr>
            </w:pPr>
            <w:r>
              <w:rPr>
                <w:sz w:val="18"/>
                <w:szCs w:val="18"/>
              </w:rPr>
              <w:t>综合性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1901112503</w:t>
            </w:r>
          </w:p>
        </w:tc>
        <w:tc>
          <w:tcPr>
            <w:tcW w:w="3368" w:type="dxa"/>
            <w:vAlign w:val="center"/>
          </w:tcPr>
          <w:p>
            <w:pPr>
              <w:ind w:firstLine="360"/>
              <w:jc w:val="center"/>
              <w:rPr>
                <w:sz w:val="18"/>
                <w:szCs w:val="18"/>
              </w:rPr>
            </w:pPr>
            <w:r>
              <w:rPr>
                <w:sz w:val="18"/>
                <w:szCs w:val="18"/>
              </w:rPr>
              <w:t>基因结构分析与功能预测</w:t>
            </w:r>
          </w:p>
        </w:tc>
        <w:tc>
          <w:tcPr>
            <w:tcW w:w="660" w:type="dxa"/>
            <w:vAlign w:val="center"/>
          </w:tcPr>
          <w:p>
            <w:pPr>
              <w:ind w:firstLine="360"/>
              <w:jc w:val="center"/>
              <w:rPr>
                <w:sz w:val="18"/>
                <w:szCs w:val="18"/>
              </w:rPr>
            </w:pPr>
            <w:r>
              <w:rPr>
                <w:sz w:val="18"/>
                <w:szCs w:val="18"/>
              </w:rPr>
              <w:t>1</w:t>
            </w:r>
          </w:p>
        </w:tc>
        <w:tc>
          <w:tcPr>
            <w:tcW w:w="1150" w:type="dxa"/>
            <w:vAlign w:val="center"/>
          </w:tcPr>
          <w:p>
            <w:pPr>
              <w:rPr>
                <w:sz w:val="18"/>
                <w:szCs w:val="18"/>
              </w:rPr>
            </w:pPr>
            <w:r>
              <w:rPr>
                <w:sz w:val="18"/>
                <w:szCs w:val="18"/>
              </w:rPr>
              <w:t>设计性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1901112504</w:t>
            </w:r>
          </w:p>
        </w:tc>
        <w:tc>
          <w:tcPr>
            <w:tcW w:w="3368" w:type="dxa"/>
            <w:vAlign w:val="center"/>
          </w:tcPr>
          <w:p>
            <w:pPr>
              <w:ind w:firstLine="360"/>
              <w:jc w:val="center"/>
              <w:rPr>
                <w:sz w:val="18"/>
                <w:szCs w:val="18"/>
              </w:rPr>
            </w:pPr>
            <w:r>
              <w:rPr>
                <w:sz w:val="18"/>
                <w:szCs w:val="18"/>
              </w:rPr>
              <w:t>蛋白质结构与启动子原件预测</w:t>
            </w:r>
          </w:p>
        </w:tc>
        <w:tc>
          <w:tcPr>
            <w:tcW w:w="660" w:type="dxa"/>
            <w:vAlign w:val="center"/>
          </w:tcPr>
          <w:p>
            <w:pPr>
              <w:ind w:firstLine="360"/>
              <w:jc w:val="center"/>
              <w:rPr>
                <w:sz w:val="18"/>
                <w:szCs w:val="18"/>
              </w:rPr>
            </w:pPr>
            <w:r>
              <w:rPr>
                <w:sz w:val="18"/>
                <w:szCs w:val="18"/>
              </w:rPr>
              <w:t>1</w:t>
            </w:r>
          </w:p>
        </w:tc>
        <w:tc>
          <w:tcPr>
            <w:tcW w:w="1150" w:type="dxa"/>
            <w:vAlign w:val="center"/>
          </w:tcPr>
          <w:p>
            <w:pPr>
              <w:rPr>
                <w:sz w:val="18"/>
                <w:szCs w:val="18"/>
              </w:rPr>
            </w:pPr>
            <w:r>
              <w:rPr>
                <w:sz w:val="18"/>
                <w:szCs w:val="18"/>
              </w:rPr>
              <w:t>设计性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1901112505</w:t>
            </w:r>
          </w:p>
        </w:tc>
        <w:tc>
          <w:tcPr>
            <w:tcW w:w="3368" w:type="dxa"/>
            <w:vAlign w:val="center"/>
          </w:tcPr>
          <w:p>
            <w:pPr>
              <w:ind w:firstLine="360"/>
              <w:jc w:val="center"/>
              <w:rPr>
                <w:sz w:val="18"/>
                <w:szCs w:val="18"/>
              </w:rPr>
            </w:pPr>
            <w:r>
              <w:rPr>
                <w:sz w:val="18"/>
                <w:szCs w:val="18"/>
              </w:rPr>
              <w:t>转录组分析</w:t>
            </w:r>
          </w:p>
        </w:tc>
        <w:tc>
          <w:tcPr>
            <w:tcW w:w="660" w:type="dxa"/>
            <w:vAlign w:val="center"/>
          </w:tcPr>
          <w:p>
            <w:pPr>
              <w:ind w:firstLine="360"/>
              <w:jc w:val="center"/>
              <w:rPr>
                <w:sz w:val="18"/>
                <w:szCs w:val="18"/>
              </w:rPr>
            </w:pPr>
            <w:r>
              <w:rPr>
                <w:sz w:val="18"/>
                <w:szCs w:val="18"/>
              </w:rPr>
              <w:t>2</w:t>
            </w:r>
          </w:p>
        </w:tc>
        <w:tc>
          <w:tcPr>
            <w:tcW w:w="1150" w:type="dxa"/>
            <w:vAlign w:val="center"/>
          </w:tcPr>
          <w:p>
            <w:pPr>
              <w:rPr>
                <w:sz w:val="18"/>
                <w:szCs w:val="18"/>
              </w:rPr>
            </w:pPr>
            <w:r>
              <w:rPr>
                <w:sz w:val="18"/>
                <w:szCs w:val="18"/>
              </w:rPr>
              <w:t>综合性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1901112506</w:t>
            </w:r>
          </w:p>
        </w:tc>
        <w:tc>
          <w:tcPr>
            <w:tcW w:w="3368" w:type="dxa"/>
            <w:vAlign w:val="center"/>
          </w:tcPr>
          <w:p>
            <w:pPr>
              <w:ind w:firstLine="360"/>
              <w:jc w:val="center"/>
              <w:rPr>
                <w:sz w:val="18"/>
                <w:szCs w:val="18"/>
              </w:rPr>
            </w:pPr>
            <w:r>
              <w:rPr>
                <w:sz w:val="18"/>
                <w:szCs w:val="18"/>
              </w:rPr>
              <w:t>Linux Shell常用命令上机实验</w:t>
            </w:r>
          </w:p>
        </w:tc>
        <w:tc>
          <w:tcPr>
            <w:tcW w:w="660" w:type="dxa"/>
            <w:vAlign w:val="center"/>
          </w:tcPr>
          <w:p>
            <w:pPr>
              <w:ind w:firstLine="360"/>
              <w:jc w:val="center"/>
              <w:rPr>
                <w:sz w:val="18"/>
                <w:szCs w:val="18"/>
              </w:rPr>
            </w:pPr>
            <w:r>
              <w:rPr>
                <w:sz w:val="18"/>
                <w:szCs w:val="18"/>
              </w:rPr>
              <w:t>2</w:t>
            </w:r>
          </w:p>
        </w:tc>
        <w:tc>
          <w:tcPr>
            <w:tcW w:w="1150" w:type="dxa"/>
            <w:vAlign w:val="center"/>
          </w:tcPr>
          <w:p>
            <w:pPr>
              <w:rPr>
                <w:sz w:val="18"/>
                <w:szCs w:val="18"/>
              </w:rPr>
            </w:pPr>
            <w:r>
              <w:rPr>
                <w:sz w:val="18"/>
                <w:szCs w:val="18"/>
              </w:rPr>
              <w:t>演示性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1901112507</w:t>
            </w:r>
          </w:p>
        </w:tc>
        <w:tc>
          <w:tcPr>
            <w:tcW w:w="3368" w:type="dxa"/>
            <w:vAlign w:val="center"/>
          </w:tcPr>
          <w:p>
            <w:pPr>
              <w:ind w:firstLine="360"/>
              <w:jc w:val="center"/>
              <w:rPr>
                <w:sz w:val="18"/>
                <w:szCs w:val="18"/>
              </w:rPr>
            </w:pPr>
            <w:r>
              <w:rPr>
                <w:sz w:val="18"/>
                <w:szCs w:val="18"/>
              </w:rPr>
              <w:t>Python编程语言上机实验</w:t>
            </w:r>
          </w:p>
        </w:tc>
        <w:tc>
          <w:tcPr>
            <w:tcW w:w="660" w:type="dxa"/>
            <w:vAlign w:val="center"/>
          </w:tcPr>
          <w:p>
            <w:pPr>
              <w:ind w:firstLine="360"/>
              <w:jc w:val="center"/>
              <w:rPr>
                <w:sz w:val="18"/>
                <w:szCs w:val="18"/>
              </w:rPr>
            </w:pPr>
            <w:r>
              <w:rPr>
                <w:sz w:val="18"/>
                <w:szCs w:val="18"/>
              </w:rPr>
              <w:t>1</w:t>
            </w:r>
          </w:p>
        </w:tc>
        <w:tc>
          <w:tcPr>
            <w:tcW w:w="1150" w:type="dxa"/>
            <w:vAlign w:val="center"/>
          </w:tcPr>
          <w:p>
            <w:pPr>
              <w:rPr>
                <w:sz w:val="18"/>
                <w:szCs w:val="18"/>
              </w:rPr>
            </w:pPr>
            <w:r>
              <w:rPr>
                <w:sz w:val="18"/>
                <w:szCs w:val="18"/>
              </w:rPr>
              <w:t>设计性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52" w:type="dxa"/>
          </w:tcPr>
          <w:p>
            <w:r>
              <w:t>1901112508</w:t>
            </w:r>
          </w:p>
        </w:tc>
        <w:tc>
          <w:tcPr>
            <w:tcW w:w="3368" w:type="dxa"/>
            <w:vAlign w:val="center"/>
          </w:tcPr>
          <w:p>
            <w:pPr>
              <w:ind w:firstLine="360"/>
              <w:jc w:val="center"/>
              <w:rPr>
                <w:sz w:val="18"/>
                <w:szCs w:val="18"/>
              </w:rPr>
            </w:pPr>
            <w:r>
              <w:rPr>
                <w:sz w:val="18"/>
                <w:szCs w:val="18"/>
              </w:rPr>
              <w:t>R编程语言上机实验</w:t>
            </w:r>
          </w:p>
        </w:tc>
        <w:tc>
          <w:tcPr>
            <w:tcW w:w="660" w:type="dxa"/>
            <w:vAlign w:val="center"/>
          </w:tcPr>
          <w:p>
            <w:pPr>
              <w:ind w:firstLine="360"/>
              <w:jc w:val="center"/>
              <w:rPr>
                <w:sz w:val="18"/>
                <w:szCs w:val="18"/>
              </w:rPr>
            </w:pPr>
            <w:r>
              <w:rPr>
                <w:sz w:val="18"/>
                <w:szCs w:val="18"/>
              </w:rPr>
              <w:t>1</w:t>
            </w:r>
          </w:p>
        </w:tc>
        <w:tc>
          <w:tcPr>
            <w:tcW w:w="1150" w:type="dxa"/>
            <w:vAlign w:val="center"/>
          </w:tcPr>
          <w:p>
            <w:pPr>
              <w:rPr>
                <w:sz w:val="18"/>
                <w:szCs w:val="18"/>
              </w:rPr>
            </w:pPr>
            <w:r>
              <w:rPr>
                <w:sz w:val="18"/>
                <w:szCs w:val="18"/>
              </w:rPr>
              <w:t>设计性</w:t>
            </w:r>
          </w:p>
        </w:tc>
        <w:tc>
          <w:tcPr>
            <w:tcW w:w="1176" w:type="dxa"/>
            <w:vAlign w:val="center"/>
          </w:tcPr>
          <w:p>
            <w:pPr>
              <w:ind w:firstLine="360"/>
              <w:jc w:val="center"/>
              <w:rPr>
                <w:sz w:val="18"/>
                <w:szCs w:val="18"/>
              </w:rPr>
            </w:pPr>
            <w:r>
              <w:rPr>
                <w:sz w:val="18"/>
                <w:szCs w:val="18"/>
              </w:rPr>
              <w:t>必做</w:t>
            </w:r>
          </w:p>
        </w:tc>
        <w:tc>
          <w:tcPr>
            <w:tcW w:w="1284" w:type="dxa"/>
          </w:tcPr>
          <w:p>
            <w:pPr>
              <w:ind w:firstLine="360"/>
              <w:jc w:val="center"/>
              <w:rPr>
                <w:sz w:val="18"/>
                <w:szCs w:val="18"/>
              </w:rPr>
            </w:pPr>
            <w:r>
              <w:rPr>
                <w:sz w:val="18"/>
                <w:szCs w:val="18"/>
              </w:rPr>
              <w:t>1-3</w:t>
            </w:r>
          </w:p>
        </w:tc>
      </w:tr>
    </w:tbl>
    <w:p>
      <w:pPr>
        <w:snapToGrid w:val="0"/>
        <w:spacing w:line="360" w:lineRule="auto"/>
        <w:rPr>
          <w:b/>
          <w:bCs/>
          <w:szCs w:val="21"/>
        </w:rPr>
      </w:pPr>
      <w:r>
        <w:rPr>
          <w:b/>
          <w:bCs/>
          <w:szCs w:val="21"/>
        </w:rPr>
        <w:t>（五）实验方式及基本要求</w:t>
      </w:r>
    </w:p>
    <w:p>
      <w:pPr>
        <w:snapToGrid w:val="0"/>
        <w:spacing w:line="360" w:lineRule="auto"/>
        <w:ind w:firstLine="420" w:firstLineChars="200"/>
        <w:rPr>
          <w:bCs/>
          <w:szCs w:val="21"/>
        </w:rPr>
      </w:pPr>
      <w:r>
        <w:rPr>
          <w:bCs/>
          <w:szCs w:val="21"/>
        </w:rPr>
        <w:t>实验课都是在机房进行授课，包括windows系统、linux下相关软件的演示，学生练习等过程，要求每位学生都能独立进行相关数据分析和软件的使用。通过实验教学，使学生进一步深化生物信息学的基本原理和理论知识，初步掌握相关生物信息软件操作技能，熟悉生物信息学分析方法及有关运算方法，初步具备进行创新性研究的能力与素质。本实验课内容在教师指导下由学生自己动手完成，并独立撰写实验报告。</w:t>
      </w:r>
    </w:p>
    <w:p>
      <w:pPr>
        <w:snapToGrid w:val="0"/>
        <w:spacing w:line="360" w:lineRule="auto"/>
        <w:rPr>
          <w:b/>
          <w:szCs w:val="21"/>
        </w:rPr>
      </w:pPr>
      <w:r>
        <w:rPr>
          <w:b/>
          <w:bCs/>
          <w:szCs w:val="21"/>
        </w:rPr>
        <w:t>（六）</w:t>
      </w:r>
      <w:r>
        <w:rPr>
          <w:b/>
          <w:szCs w:val="21"/>
        </w:rPr>
        <w:t>实验内容安排</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【实验一】美国国家生物技术信息中心的使用</w:t>
      </w:r>
    </w:p>
    <w:p>
      <w:pPr>
        <w:snapToGrid w:val="0"/>
        <w:spacing w:line="360" w:lineRule="auto"/>
        <w:ind w:firstLine="422" w:firstLineChars="200"/>
      </w:pPr>
      <w:r>
        <w:rPr>
          <w:b/>
          <w:szCs w:val="21"/>
        </w:rPr>
        <w:t>1.实验学时：</w:t>
      </w:r>
      <w:r>
        <w:rPr>
          <w:bCs/>
        </w:rPr>
        <w:t>2</w:t>
      </w:r>
    </w:p>
    <w:p>
      <w:pPr>
        <w:snapToGrid w:val="0"/>
        <w:spacing w:line="360" w:lineRule="auto"/>
        <w:ind w:firstLine="422" w:firstLineChars="200"/>
        <w:rPr>
          <w:bCs/>
          <w:szCs w:val="21"/>
        </w:rPr>
      </w:pPr>
      <w:r>
        <w:rPr>
          <w:b/>
          <w:szCs w:val="21"/>
        </w:rPr>
        <w:t>2.实验目的：</w:t>
      </w:r>
      <w:r>
        <w:rPr>
          <w:kern w:val="0"/>
          <w:szCs w:val="21"/>
        </w:rPr>
        <w:t>了解</w:t>
      </w:r>
      <w:r>
        <w:rPr>
          <w:szCs w:val="21"/>
        </w:rPr>
        <w:t>美国国家生物技术信息中心网站（NCBI）</w:t>
      </w:r>
      <w:r>
        <w:rPr>
          <w:kern w:val="0"/>
          <w:szCs w:val="21"/>
        </w:rPr>
        <w:t>的主要功能</w:t>
      </w:r>
    </w:p>
    <w:p>
      <w:pPr>
        <w:snapToGrid w:val="0"/>
        <w:spacing w:line="360" w:lineRule="auto"/>
        <w:ind w:firstLine="422" w:firstLineChars="200"/>
        <w:rPr>
          <w:bCs/>
          <w:szCs w:val="21"/>
        </w:rPr>
      </w:pPr>
      <w:r>
        <w:rPr>
          <w:b/>
          <w:szCs w:val="21"/>
        </w:rPr>
        <w:t>3.实验内容：</w:t>
      </w:r>
      <w:r>
        <w:rPr>
          <w:bCs/>
        </w:rPr>
        <w:t>使用</w:t>
      </w:r>
      <w:r>
        <w:rPr>
          <w:szCs w:val="21"/>
        </w:rPr>
        <w:t>美国国家生物技术信息中心网站对比基因序列，注释基因功能</w:t>
      </w:r>
    </w:p>
    <w:p>
      <w:pPr>
        <w:snapToGrid w:val="0"/>
        <w:spacing w:line="360" w:lineRule="auto"/>
        <w:ind w:firstLine="422" w:firstLineChars="200"/>
        <w:rPr>
          <w:bCs/>
          <w:szCs w:val="21"/>
        </w:rPr>
      </w:pPr>
      <w:r>
        <w:rPr>
          <w:b/>
          <w:szCs w:val="21"/>
        </w:rPr>
        <w:t>4.实验要求：</w:t>
      </w:r>
      <w:r>
        <w:rPr>
          <w:bCs/>
          <w:szCs w:val="21"/>
        </w:rPr>
        <w:t>学生上机操作，完成课程要求，掌握使用</w:t>
      </w:r>
      <w:r>
        <w:rPr>
          <w:szCs w:val="21"/>
        </w:rPr>
        <w:t>NCBI网站对比基因序列，注释基因功能的方法，掌握blastN、blastX、blastP的区别与用法</w:t>
      </w:r>
    </w:p>
    <w:p>
      <w:pPr>
        <w:snapToGrid w:val="0"/>
        <w:spacing w:line="360" w:lineRule="auto"/>
        <w:ind w:firstLine="422" w:firstLineChars="200"/>
        <w:rPr>
          <w:bCs/>
          <w:szCs w:val="21"/>
        </w:rPr>
      </w:pPr>
      <w:r>
        <w:rPr>
          <w:b/>
          <w:szCs w:val="21"/>
        </w:rPr>
        <w:t>5.实验设备及器材：</w:t>
      </w:r>
      <w:r>
        <w:rPr>
          <w:szCs w:val="21"/>
        </w:rPr>
        <w:t>台式计算机。</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【实验二】序列比对与系统进化树构建</w:t>
      </w:r>
    </w:p>
    <w:p>
      <w:pPr>
        <w:snapToGrid w:val="0"/>
        <w:spacing w:line="360" w:lineRule="auto"/>
        <w:ind w:firstLine="422" w:firstLineChars="200"/>
      </w:pPr>
      <w:r>
        <w:rPr>
          <w:b/>
          <w:szCs w:val="21"/>
        </w:rPr>
        <w:t>1.实验学时：</w:t>
      </w:r>
      <w:r>
        <w:rPr>
          <w:bCs/>
        </w:rPr>
        <w:t>2</w:t>
      </w:r>
    </w:p>
    <w:p>
      <w:pPr>
        <w:snapToGrid w:val="0"/>
        <w:spacing w:line="360" w:lineRule="auto"/>
        <w:ind w:firstLine="422" w:firstLineChars="200"/>
        <w:rPr>
          <w:bCs/>
          <w:szCs w:val="21"/>
        </w:rPr>
      </w:pPr>
      <w:r>
        <w:rPr>
          <w:b/>
          <w:szCs w:val="21"/>
        </w:rPr>
        <w:t>2.实验目的：</w:t>
      </w:r>
      <w:r>
        <w:rPr>
          <w:bCs/>
        </w:rPr>
        <w:t>掌握序列分析的方法</w:t>
      </w:r>
    </w:p>
    <w:p>
      <w:pPr>
        <w:snapToGrid w:val="0"/>
        <w:spacing w:line="360" w:lineRule="auto"/>
        <w:ind w:firstLine="422" w:firstLineChars="200"/>
        <w:rPr>
          <w:bCs/>
          <w:szCs w:val="21"/>
        </w:rPr>
      </w:pPr>
      <w:r>
        <w:rPr>
          <w:b/>
          <w:szCs w:val="21"/>
        </w:rPr>
        <w:t>3.实验内容：</w:t>
      </w:r>
      <w:r>
        <w:rPr>
          <w:bCs/>
        </w:rPr>
        <w:t>核酸序列比对分析的概念、应用，相似性、同源性的概念及二者之间的关系，两序列比对常用软件(blastn)及方法及比对结果的生物学意义，多序列比对常用软件（MEGA、DNAMAN、Clustal）及方法及比对结果的生物学意义；邻接法、欧式距离法、最大似然法构建葫芦科物种进化树。</w:t>
      </w:r>
    </w:p>
    <w:p>
      <w:pPr>
        <w:snapToGrid w:val="0"/>
        <w:spacing w:line="360" w:lineRule="auto"/>
        <w:ind w:firstLine="422" w:firstLineChars="200"/>
        <w:rPr>
          <w:bCs/>
          <w:szCs w:val="21"/>
        </w:rPr>
      </w:pPr>
      <w:r>
        <w:rPr>
          <w:b/>
          <w:szCs w:val="21"/>
        </w:rPr>
        <w:t>4.实验要求：</w:t>
      </w:r>
      <w:r>
        <w:rPr>
          <w:bCs/>
        </w:rPr>
        <w:t>要求学生理解并掌握核酸序列分析的原理，掌握多序列比对的一般方法，了解进化树构建的目的和意义。</w:t>
      </w:r>
    </w:p>
    <w:p>
      <w:pPr>
        <w:snapToGrid w:val="0"/>
        <w:spacing w:line="360" w:lineRule="auto"/>
        <w:ind w:firstLine="422" w:firstLineChars="200"/>
        <w:rPr>
          <w:bCs/>
        </w:rPr>
      </w:pPr>
      <w:r>
        <w:rPr>
          <w:b/>
          <w:szCs w:val="21"/>
        </w:rPr>
        <w:t>5.实验设备及器材：</w:t>
      </w:r>
      <w:r>
        <w:rPr>
          <w:bCs/>
        </w:rPr>
        <w:t>基因序列，蛋白序列，台式计算机，linux服务器等。</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【实验三】基因结构分析与功能预测</w:t>
      </w:r>
    </w:p>
    <w:p>
      <w:pPr>
        <w:snapToGrid w:val="0"/>
        <w:spacing w:line="360" w:lineRule="auto"/>
        <w:ind w:firstLine="422" w:firstLineChars="200"/>
      </w:pPr>
      <w:r>
        <w:rPr>
          <w:b/>
          <w:szCs w:val="21"/>
        </w:rPr>
        <w:t>1.实验学时：</w:t>
      </w:r>
      <w:r>
        <w:rPr>
          <w:bCs/>
        </w:rPr>
        <w:t>1</w:t>
      </w:r>
    </w:p>
    <w:p>
      <w:pPr>
        <w:snapToGrid w:val="0"/>
        <w:spacing w:line="360" w:lineRule="auto"/>
        <w:ind w:firstLine="422" w:firstLineChars="200"/>
        <w:rPr>
          <w:bCs/>
          <w:szCs w:val="21"/>
        </w:rPr>
      </w:pPr>
      <w:r>
        <w:rPr>
          <w:b/>
          <w:szCs w:val="21"/>
        </w:rPr>
        <w:t>2.实验目的：</w:t>
      </w:r>
      <w:r>
        <w:rPr>
          <w:kern w:val="0"/>
          <w:szCs w:val="21"/>
        </w:rPr>
        <w:t>了解基因的结构及其分析方法，</w:t>
      </w:r>
      <w:r>
        <w:t>学会</w:t>
      </w:r>
      <w:r>
        <w:rPr>
          <w:kern w:val="0"/>
          <w:szCs w:val="21"/>
        </w:rPr>
        <w:t>使用生物信息学方法注释基因功能</w:t>
      </w:r>
    </w:p>
    <w:p>
      <w:pPr>
        <w:snapToGrid w:val="0"/>
        <w:spacing w:line="360" w:lineRule="auto"/>
        <w:ind w:firstLine="422" w:firstLineChars="200"/>
        <w:rPr>
          <w:bCs/>
          <w:szCs w:val="21"/>
        </w:rPr>
      </w:pPr>
      <w:r>
        <w:rPr>
          <w:b/>
          <w:szCs w:val="21"/>
        </w:rPr>
        <w:t>3.实验内容：</w:t>
      </w:r>
      <w:r>
        <w:rPr>
          <w:bCs/>
        </w:rPr>
        <w:t>使用</w:t>
      </w:r>
      <w:r>
        <w:rPr>
          <w:szCs w:val="21"/>
        </w:rPr>
        <w:t>NCBI网站和拟南芥数据库网站对基因的结构和功能进行分析和注释</w:t>
      </w:r>
    </w:p>
    <w:p>
      <w:pPr>
        <w:snapToGrid w:val="0"/>
        <w:spacing w:line="360" w:lineRule="auto"/>
        <w:ind w:firstLine="422" w:firstLineChars="200"/>
        <w:rPr>
          <w:bCs/>
          <w:szCs w:val="21"/>
        </w:rPr>
      </w:pPr>
      <w:r>
        <w:rPr>
          <w:b/>
          <w:szCs w:val="21"/>
        </w:rPr>
        <w:t>4.实验要求：</w:t>
      </w:r>
      <w:r>
        <w:rPr>
          <w:bCs/>
          <w:szCs w:val="21"/>
        </w:rPr>
        <w:t>学会如何</w:t>
      </w:r>
      <w:r>
        <w:rPr>
          <w:bCs/>
        </w:rPr>
        <w:t>使用</w:t>
      </w:r>
      <w:r>
        <w:rPr>
          <w:szCs w:val="21"/>
        </w:rPr>
        <w:t>NCBI网站和拟南芥数据库网站，并对基因的结构和功能进行分析和注释，掌握注释基因外显子和内含子的方法</w:t>
      </w:r>
    </w:p>
    <w:p>
      <w:pPr>
        <w:snapToGrid w:val="0"/>
        <w:spacing w:line="360" w:lineRule="auto"/>
        <w:ind w:firstLine="422" w:firstLineChars="200"/>
        <w:rPr>
          <w:bCs/>
          <w:szCs w:val="21"/>
        </w:rPr>
      </w:pPr>
      <w:r>
        <w:rPr>
          <w:b/>
          <w:szCs w:val="21"/>
        </w:rPr>
        <w:t>5.实验设备及器材：</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【实验四】蛋白质结构与启动子原件预测</w:t>
      </w:r>
    </w:p>
    <w:p>
      <w:pPr>
        <w:snapToGrid w:val="0"/>
        <w:spacing w:line="360" w:lineRule="auto"/>
        <w:ind w:firstLine="422" w:firstLineChars="200"/>
      </w:pPr>
      <w:r>
        <w:rPr>
          <w:b/>
          <w:szCs w:val="21"/>
        </w:rPr>
        <w:t>1.实验学时：</w:t>
      </w:r>
      <w:r>
        <w:rPr>
          <w:bCs/>
        </w:rPr>
        <w:t>1</w:t>
      </w:r>
    </w:p>
    <w:p>
      <w:pPr>
        <w:snapToGrid w:val="0"/>
        <w:spacing w:line="360" w:lineRule="auto"/>
        <w:ind w:firstLine="422" w:firstLineChars="200"/>
        <w:rPr>
          <w:bCs/>
          <w:szCs w:val="21"/>
        </w:rPr>
      </w:pPr>
      <w:r>
        <w:rPr>
          <w:b/>
          <w:szCs w:val="21"/>
        </w:rPr>
        <w:t>2.实验目的：</w:t>
      </w:r>
      <w:r>
        <w:rPr>
          <w:bCs/>
        </w:rPr>
        <w:t>掌握蛋白质结构与启动子原件预测的方法</w:t>
      </w:r>
    </w:p>
    <w:p>
      <w:pPr>
        <w:snapToGrid w:val="0"/>
        <w:spacing w:line="360" w:lineRule="auto"/>
        <w:ind w:firstLine="422" w:firstLineChars="200"/>
        <w:rPr>
          <w:bCs/>
          <w:szCs w:val="21"/>
        </w:rPr>
      </w:pPr>
      <w:r>
        <w:rPr>
          <w:b/>
          <w:szCs w:val="21"/>
        </w:rPr>
        <w:t>3.实验内容：</w:t>
      </w:r>
      <w:r>
        <w:rPr>
          <w:bCs/>
        </w:rPr>
        <w:t>选择合适的网页工具预测蛋白质结构，选择合适的网页工具预测启动子原件</w:t>
      </w:r>
    </w:p>
    <w:p>
      <w:pPr>
        <w:snapToGrid w:val="0"/>
        <w:spacing w:line="360" w:lineRule="auto"/>
        <w:ind w:firstLine="422" w:firstLineChars="200"/>
        <w:rPr>
          <w:bCs/>
          <w:szCs w:val="21"/>
        </w:rPr>
      </w:pPr>
      <w:r>
        <w:rPr>
          <w:b/>
          <w:szCs w:val="21"/>
        </w:rPr>
        <w:t>4.实验要求：</w:t>
      </w:r>
      <w:r>
        <w:rPr>
          <w:bCs/>
          <w:szCs w:val="21"/>
        </w:rPr>
        <w:t>学会如何选择和</w:t>
      </w:r>
      <w:r>
        <w:rPr>
          <w:bCs/>
        </w:rPr>
        <w:t>使用网页工具预测蛋白质结构与启动子原件</w:t>
      </w:r>
    </w:p>
    <w:p>
      <w:pPr>
        <w:snapToGrid w:val="0"/>
        <w:spacing w:line="360" w:lineRule="auto"/>
        <w:ind w:firstLine="422" w:firstLineChars="200"/>
        <w:rPr>
          <w:bCs/>
          <w:szCs w:val="21"/>
        </w:rPr>
      </w:pPr>
      <w:r>
        <w:rPr>
          <w:b/>
          <w:szCs w:val="21"/>
        </w:rPr>
        <w:t>5.实验设备及器材：</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【实验五】转录组分析</w:t>
      </w:r>
    </w:p>
    <w:p>
      <w:pPr>
        <w:snapToGrid w:val="0"/>
        <w:spacing w:line="360" w:lineRule="auto"/>
        <w:ind w:firstLine="422" w:firstLineChars="200"/>
      </w:pPr>
      <w:r>
        <w:rPr>
          <w:b/>
          <w:szCs w:val="21"/>
        </w:rPr>
        <w:t>1.实验学时：</w:t>
      </w:r>
      <w:r>
        <w:rPr>
          <w:bCs/>
        </w:rPr>
        <w:t>2</w:t>
      </w:r>
    </w:p>
    <w:p>
      <w:pPr>
        <w:snapToGrid w:val="0"/>
        <w:spacing w:line="360" w:lineRule="auto"/>
        <w:ind w:firstLine="422" w:firstLineChars="200"/>
        <w:rPr>
          <w:bCs/>
          <w:szCs w:val="21"/>
        </w:rPr>
      </w:pPr>
      <w:r>
        <w:rPr>
          <w:b/>
          <w:szCs w:val="21"/>
        </w:rPr>
        <w:t>2.实验目的：</w:t>
      </w:r>
      <w:r>
        <w:rPr>
          <w:bCs/>
        </w:rPr>
        <w:t>掌握转录组数据分析的一般流程</w:t>
      </w:r>
    </w:p>
    <w:p>
      <w:pPr>
        <w:snapToGrid w:val="0"/>
        <w:spacing w:line="360" w:lineRule="auto"/>
        <w:ind w:firstLine="422" w:firstLineChars="200"/>
        <w:rPr>
          <w:bCs/>
          <w:szCs w:val="21"/>
        </w:rPr>
      </w:pPr>
      <w:r>
        <w:rPr>
          <w:b/>
          <w:szCs w:val="21"/>
        </w:rPr>
        <w:t>3.实验内容：</w:t>
      </w:r>
      <w:r>
        <w:rPr>
          <w:bCs/>
        </w:rPr>
        <w:t>转录组测序流程，原始测序数据下载，数据过滤，参考基因构建索引，转录组序列比对(有参)和拼接（denovo），基因表达量计算，差异表达基因鉴定（R包的安装与使用）与功能注释（GO，KEGG）。</w:t>
      </w:r>
    </w:p>
    <w:p>
      <w:pPr>
        <w:snapToGrid w:val="0"/>
        <w:spacing w:line="360" w:lineRule="auto"/>
        <w:ind w:firstLine="422" w:firstLineChars="200"/>
        <w:rPr>
          <w:bCs/>
          <w:szCs w:val="21"/>
        </w:rPr>
      </w:pPr>
      <w:r>
        <w:rPr>
          <w:b/>
          <w:szCs w:val="21"/>
        </w:rPr>
        <w:t>4.实验要求：</w:t>
      </w:r>
      <w:r>
        <w:rPr>
          <w:bCs/>
        </w:rPr>
        <w:t>要求学生理解并掌握核转录组测序的原理，掌握转录组分析的一般方法，了解进化树构建的目的和意义。</w:t>
      </w:r>
    </w:p>
    <w:p>
      <w:pPr>
        <w:snapToGrid w:val="0"/>
        <w:spacing w:line="360" w:lineRule="auto"/>
        <w:ind w:firstLine="422" w:firstLineChars="200"/>
        <w:rPr>
          <w:bCs/>
          <w:szCs w:val="21"/>
        </w:rPr>
      </w:pPr>
      <w:r>
        <w:rPr>
          <w:b/>
          <w:szCs w:val="21"/>
        </w:rPr>
        <w:t>5.实验设备及器材：</w:t>
      </w:r>
      <w:r>
        <w:rPr>
          <w:bCs/>
        </w:rPr>
        <w:t>甜瓜转录组下机数据，台式计算机，linux服务器等。</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【实验六】Linux Shell常用命令上机实验</w:t>
      </w:r>
    </w:p>
    <w:p>
      <w:pPr>
        <w:snapToGrid w:val="0"/>
        <w:spacing w:line="360" w:lineRule="auto"/>
        <w:ind w:firstLine="422" w:firstLineChars="200"/>
      </w:pPr>
      <w:r>
        <w:rPr>
          <w:b/>
          <w:szCs w:val="21"/>
        </w:rPr>
        <w:t>1.实验学时：</w:t>
      </w:r>
      <w:r>
        <w:rPr>
          <w:bCs/>
        </w:rPr>
        <w:t>2学时</w:t>
      </w:r>
    </w:p>
    <w:p>
      <w:pPr>
        <w:snapToGrid w:val="0"/>
        <w:spacing w:line="360" w:lineRule="auto"/>
        <w:ind w:firstLine="422" w:firstLineChars="200"/>
        <w:rPr>
          <w:bCs/>
          <w:szCs w:val="21"/>
        </w:rPr>
      </w:pPr>
      <w:r>
        <w:rPr>
          <w:b/>
          <w:szCs w:val="21"/>
        </w:rPr>
        <w:t>2.实验目的：</w:t>
      </w:r>
      <w:r>
        <w:rPr>
          <w:bCs/>
        </w:rPr>
        <w:t>熟练掌握Linux Shell常用命令的使用</w:t>
      </w:r>
    </w:p>
    <w:p>
      <w:pPr>
        <w:snapToGrid w:val="0"/>
        <w:spacing w:line="360" w:lineRule="auto"/>
        <w:ind w:firstLine="422" w:firstLineChars="200"/>
        <w:rPr>
          <w:bCs/>
          <w:szCs w:val="21"/>
        </w:rPr>
      </w:pPr>
      <w:r>
        <w:rPr>
          <w:b/>
          <w:szCs w:val="21"/>
        </w:rPr>
        <w:t>3.实验内容：</w:t>
      </w:r>
      <w:r>
        <w:rPr>
          <w:bCs/>
        </w:rPr>
        <w:t>在计算机端练习用户和工作组管理、文件查看与查找、文件处理、文件操作与备份、系统维护与管理等Linux Shell命令的使用。</w:t>
      </w:r>
    </w:p>
    <w:p>
      <w:pPr>
        <w:snapToGrid w:val="0"/>
        <w:spacing w:line="360" w:lineRule="auto"/>
        <w:ind w:firstLine="422" w:firstLineChars="200"/>
        <w:rPr>
          <w:bCs/>
          <w:szCs w:val="21"/>
        </w:rPr>
      </w:pPr>
      <w:r>
        <w:rPr>
          <w:b/>
          <w:szCs w:val="21"/>
        </w:rPr>
        <w:t>4.实验要求：</w:t>
      </w:r>
      <w:r>
        <w:rPr>
          <w:bCs/>
          <w:szCs w:val="21"/>
        </w:rPr>
        <w:t>必做</w:t>
      </w:r>
    </w:p>
    <w:p>
      <w:pPr>
        <w:snapToGrid w:val="0"/>
        <w:spacing w:line="360" w:lineRule="auto"/>
        <w:ind w:firstLine="422" w:firstLineChars="200"/>
        <w:rPr>
          <w:bCs/>
          <w:szCs w:val="21"/>
        </w:rPr>
      </w:pPr>
      <w:r>
        <w:rPr>
          <w:b/>
          <w:szCs w:val="21"/>
        </w:rPr>
        <w:t>5.实验设备及器材：</w:t>
      </w:r>
      <w:r>
        <w:rPr>
          <w:bCs/>
          <w:szCs w:val="21"/>
        </w:rPr>
        <w:t>台式计算机</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【实验七】Python编程语言上机实验</w:t>
      </w:r>
    </w:p>
    <w:p>
      <w:pPr>
        <w:snapToGrid w:val="0"/>
        <w:spacing w:line="360" w:lineRule="auto"/>
        <w:ind w:firstLine="422" w:firstLineChars="200"/>
      </w:pPr>
      <w:r>
        <w:rPr>
          <w:b/>
          <w:szCs w:val="21"/>
        </w:rPr>
        <w:t>1.实验学时：</w:t>
      </w:r>
      <w:r>
        <w:rPr>
          <w:bCs/>
        </w:rPr>
        <w:t>1学时</w:t>
      </w:r>
    </w:p>
    <w:p>
      <w:pPr>
        <w:snapToGrid w:val="0"/>
        <w:spacing w:line="360" w:lineRule="auto"/>
        <w:ind w:firstLine="422" w:firstLineChars="200"/>
        <w:rPr>
          <w:bCs/>
          <w:szCs w:val="21"/>
        </w:rPr>
      </w:pPr>
      <w:r>
        <w:rPr>
          <w:b/>
          <w:szCs w:val="21"/>
        </w:rPr>
        <w:t>2.实验目的：</w:t>
      </w:r>
      <w:r>
        <w:rPr>
          <w:bCs/>
        </w:rPr>
        <w:t>熟练掌握Pyhton程序的编写和执行</w:t>
      </w:r>
    </w:p>
    <w:p>
      <w:pPr>
        <w:snapToGrid w:val="0"/>
        <w:spacing w:line="360" w:lineRule="auto"/>
        <w:ind w:firstLine="422" w:firstLineChars="200"/>
        <w:rPr>
          <w:bCs/>
          <w:szCs w:val="21"/>
        </w:rPr>
      </w:pPr>
      <w:r>
        <w:rPr>
          <w:b/>
          <w:szCs w:val="21"/>
        </w:rPr>
        <w:t>3.实验内容：</w:t>
      </w:r>
      <w:r>
        <w:rPr>
          <w:bCs/>
          <w:szCs w:val="21"/>
        </w:rPr>
        <w:t>（1）</w:t>
      </w:r>
      <w:r>
        <w:rPr>
          <w:bCs/>
        </w:rPr>
        <w:t>在Python交互模式下，练习变量、列表、数组以及字典等数据类型的创建、切片、删除、以及排序等操作。（2）编写Python脚本实现fasta文件与纯序列文件之间的格式转换。</w:t>
      </w:r>
    </w:p>
    <w:p>
      <w:pPr>
        <w:snapToGrid w:val="0"/>
        <w:spacing w:line="360" w:lineRule="auto"/>
        <w:ind w:firstLine="422" w:firstLineChars="200"/>
        <w:rPr>
          <w:bCs/>
          <w:szCs w:val="21"/>
        </w:rPr>
      </w:pPr>
      <w:r>
        <w:rPr>
          <w:b/>
          <w:szCs w:val="21"/>
        </w:rPr>
        <w:t>4.实验要求：</w:t>
      </w:r>
      <w:r>
        <w:rPr>
          <w:bCs/>
          <w:szCs w:val="21"/>
        </w:rPr>
        <w:t>必做</w:t>
      </w:r>
    </w:p>
    <w:p>
      <w:pPr>
        <w:snapToGrid w:val="0"/>
        <w:spacing w:line="360" w:lineRule="auto"/>
        <w:ind w:firstLine="422" w:firstLineChars="200"/>
        <w:rPr>
          <w:bCs/>
          <w:szCs w:val="21"/>
        </w:rPr>
      </w:pPr>
      <w:r>
        <w:rPr>
          <w:b/>
          <w:szCs w:val="21"/>
        </w:rPr>
        <w:t>5.实验设备及器材：</w:t>
      </w:r>
      <w:r>
        <w:rPr>
          <w:bCs/>
          <w:szCs w:val="21"/>
        </w:rPr>
        <w:t>台式计算机</w:t>
      </w:r>
    </w:p>
    <w:p>
      <w:pPr>
        <w:pStyle w:val="20"/>
        <w:snapToGrid w:val="0"/>
        <w:spacing w:before="0" w:beforeAutospacing="0" w:after="0" w:afterAutospacing="0" w:line="360" w:lineRule="auto"/>
        <w:ind w:firstLine="422"/>
        <w:rPr>
          <w:rFonts w:ascii="Times New Roman" w:hAnsi="Times New Roman" w:eastAsia="宋体" w:cs="Times New Roman"/>
          <w:b/>
          <w:sz w:val="21"/>
          <w:szCs w:val="21"/>
        </w:rPr>
      </w:pPr>
      <w:r>
        <w:rPr>
          <w:rFonts w:ascii="Times New Roman" w:hAnsi="Times New Roman" w:eastAsia="宋体" w:cs="Times New Roman"/>
          <w:b/>
          <w:sz w:val="21"/>
          <w:szCs w:val="21"/>
        </w:rPr>
        <w:t>【实验八】R编程语言上机实验</w:t>
      </w:r>
    </w:p>
    <w:p>
      <w:pPr>
        <w:snapToGrid w:val="0"/>
        <w:spacing w:line="360" w:lineRule="auto"/>
        <w:ind w:firstLine="422" w:firstLineChars="200"/>
      </w:pPr>
      <w:r>
        <w:rPr>
          <w:b/>
          <w:szCs w:val="21"/>
        </w:rPr>
        <w:t>1.实验学时：</w:t>
      </w:r>
      <w:r>
        <w:rPr>
          <w:bCs/>
        </w:rPr>
        <w:t>1学时</w:t>
      </w:r>
    </w:p>
    <w:p>
      <w:pPr>
        <w:snapToGrid w:val="0"/>
        <w:spacing w:line="360" w:lineRule="auto"/>
        <w:ind w:firstLine="422" w:firstLineChars="200"/>
        <w:rPr>
          <w:bCs/>
          <w:szCs w:val="21"/>
        </w:rPr>
      </w:pPr>
      <w:r>
        <w:rPr>
          <w:b/>
          <w:szCs w:val="21"/>
        </w:rPr>
        <w:t>2.实验目的：</w:t>
      </w:r>
      <w:r>
        <w:rPr>
          <w:bCs/>
        </w:rPr>
        <w:t>熟练掌握R编程语言的使用，熟练掌握Rstudio软件的使用。</w:t>
      </w:r>
    </w:p>
    <w:p>
      <w:pPr>
        <w:snapToGrid w:val="0"/>
        <w:spacing w:line="360" w:lineRule="auto"/>
        <w:ind w:firstLine="422" w:firstLineChars="200"/>
        <w:rPr>
          <w:bCs/>
          <w:szCs w:val="21"/>
        </w:rPr>
      </w:pPr>
      <w:r>
        <w:rPr>
          <w:b/>
          <w:szCs w:val="21"/>
        </w:rPr>
        <w:t>3.实验内容：</w:t>
      </w:r>
      <w:r>
        <w:rPr>
          <w:bCs/>
          <w:szCs w:val="21"/>
        </w:rPr>
        <w:t>（1）在</w:t>
      </w:r>
      <w:r>
        <w:rPr>
          <w:bCs/>
        </w:rPr>
        <w:t>Rstudio软件中进行R语言的基本操作。（2）</w:t>
      </w:r>
      <w:r>
        <w:rPr>
          <w:bCs/>
          <w:szCs w:val="21"/>
        </w:rPr>
        <w:t>在</w:t>
      </w:r>
      <w:r>
        <w:rPr>
          <w:bCs/>
        </w:rPr>
        <w:t>Rstudio软件中通过调用ggplot2包完成基本科研图形的绘制。</w:t>
      </w:r>
    </w:p>
    <w:p>
      <w:pPr>
        <w:snapToGrid w:val="0"/>
        <w:spacing w:line="360" w:lineRule="auto"/>
        <w:ind w:firstLine="422" w:firstLineChars="200"/>
        <w:rPr>
          <w:bCs/>
          <w:szCs w:val="21"/>
        </w:rPr>
      </w:pPr>
      <w:r>
        <w:rPr>
          <w:b/>
          <w:szCs w:val="21"/>
        </w:rPr>
        <w:t>4.实验要求：</w:t>
      </w:r>
      <w:r>
        <w:rPr>
          <w:bCs/>
          <w:szCs w:val="21"/>
        </w:rPr>
        <w:t>必做</w:t>
      </w:r>
    </w:p>
    <w:p>
      <w:pPr>
        <w:snapToGrid w:val="0"/>
        <w:spacing w:line="360" w:lineRule="auto"/>
        <w:ind w:firstLine="422" w:firstLineChars="200"/>
        <w:rPr>
          <w:bCs/>
          <w:szCs w:val="21"/>
        </w:rPr>
      </w:pPr>
      <w:r>
        <w:rPr>
          <w:b/>
          <w:szCs w:val="21"/>
        </w:rPr>
        <w:t>5.实验设备及器材：</w:t>
      </w:r>
      <w:r>
        <w:rPr>
          <w:bCs/>
          <w:szCs w:val="21"/>
        </w:rPr>
        <w:t>台式计算机</w:t>
      </w:r>
    </w:p>
    <w:p>
      <w:pPr>
        <w:snapToGrid w:val="0"/>
        <w:spacing w:line="360" w:lineRule="auto"/>
        <w:rPr>
          <w:bCs/>
          <w:color w:val="0000FF"/>
          <w:szCs w:val="21"/>
        </w:rPr>
      </w:pPr>
      <w:r>
        <w:rPr>
          <w:b/>
          <w:szCs w:val="21"/>
        </w:rPr>
        <w:t>(七)</w:t>
      </w:r>
      <w:r>
        <w:rPr>
          <w:b/>
          <w:bCs/>
          <w:szCs w:val="21"/>
        </w:rPr>
        <w:t>考核方式及成绩评定</w:t>
      </w:r>
    </w:p>
    <w:p>
      <w:pPr>
        <w:snapToGrid w:val="0"/>
        <w:spacing w:line="360" w:lineRule="auto"/>
        <w:ind w:firstLine="420" w:firstLineChars="200"/>
        <w:rPr>
          <w:bCs/>
        </w:rPr>
      </w:pPr>
      <w:r>
        <w:rPr>
          <w:bCs/>
        </w:rPr>
        <w:t>学生独立完成实验报告，由教师进行成绩评定。</w:t>
      </w:r>
    </w:p>
    <w:p>
      <w:pPr>
        <w:snapToGrid w:val="0"/>
        <w:spacing w:line="360" w:lineRule="auto"/>
        <w:rPr>
          <w:b/>
          <w:szCs w:val="21"/>
        </w:rPr>
      </w:pPr>
      <w:r>
        <w:rPr>
          <w:b/>
          <w:szCs w:val="21"/>
        </w:rPr>
        <w:t>六、课程思政</w:t>
      </w:r>
    </w:p>
    <w:p>
      <w:pPr>
        <w:snapToGrid w:val="0"/>
        <w:spacing w:line="360" w:lineRule="auto"/>
        <w:ind w:firstLine="420" w:firstLineChars="200"/>
        <w:rPr>
          <w:szCs w:val="21"/>
        </w:rPr>
      </w:pPr>
      <w:r>
        <w:rPr>
          <w:szCs w:val="21"/>
        </w:rPr>
        <w:t>结合点1：学术规范中的文献引用规则与第二章数据库使用相结合。</w:t>
      </w:r>
    </w:p>
    <w:p>
      <w:pPr>
        <w:snapToGrid w:val="0"/>
        <w:spacing w:line="360" w:lineRule="auto"/>
        <w:ind w:firstLine="420" w:firstLineChars="200"/>
        <w:rPr>
          <w:szCs w:val="21"/>
        </w:rPr>
      </w:pPr>
      <w:r>
        <w:rPr>
          <w:szCs w:val="21"/>
        </w:rPr>
        <w:t>结合点2：科学伦理与第四章基因基因功能注释、基因编辑相结合。</w:t>
      </w:r>
    </w:p>
    <w:p>
      <w:pPr>
        <w:snapToGrid w:val="0"/>
        <w:spacing w:line="360" w:lineRule="auto"/>
        <w:ind w:firstLine="420" w:firstLineChars="200"/>
        <w:rPr>
          <w:szCs w:val="21"/>
        </w:rPr>
      </w:pPr>
      <w:r>
        <w:rPr>
          <w:szCs w:val="21"/>
        </w:rPr>
        <w:t>结合点3：我国科技发展中面临的卡脖子问题与第五章测序技术相结合。</w:t>
      </w:r>
    </w:p>
    <w:p>
      <w:pPr>
        <w:widowControl/>
        <w:snapToGrid w:val="0"/>
        <w:spacing w:line="360" w:lineRule="auto"/>
        <w:jc w:val="left"/>
        <w:rPr>
          <w:kern w:val="0"/>
          <w:szCs w:val="21"/>
        </w:rPr>
      </w:pPr>
      <w:r>
        <w:rPr>
          <w:b/>
          <w:bCs/>
          <w:kern w:val="0"/>
          <w:szCs w:val="21"/>
        </w:rPr>
        <w:t>七、教材及教学参考书</w:t>
      </w:r>
      <w:r>
        <w:t>（教材的选用应符合教育部和学校教材选用规定，教学资源丰富多样，体现思想性、科学性与时代性）</w:t>
      </w:r>
      <w:r>
        <w:rPr>
          <w:b/>
          <w:bCs/>
          <w:kern w:val="0"/>
          <w:szCs w:val="21"/>
        </w:rPr>
        <w:t></w:t>
      </w:r>
    </w:p>
    <w:p>
      <w:pPr>
        <w:widowControl/>
        <w:snapToGrid w:val="0"/>
        <w:spacing w:line="360" w:lineRule="auto"/>
        <w:ind w:firstLine="422" w:firstLineChars="200"/>
        <w:jc w:val="left"/>
        <w:rPr>
          <w:b/>
          <w:bCs/>
          <w:kern w:val="0"/>
          <w:szCs w:val="21"/>
        </w:rPr>
      </w:pPr>
      <w:r>
        <w:rPr>
          <w:b/>
          <w:bCs/>
          <w:kern w:val="0"/>
          <w:szCs w:val="21"/>
        </w:rPr>
        <w:t>1.选用教材：</w:t>
      </w:r>
    </w:p>
    <w:p>
      <w:pPr>
        <w:widowControl/>
        <w:snapToGrid w:val="0"/>
        <w:spacing w:line="360" w:lineRule="auto"/>
        <w:ind w:firstLine="420" w:firstLineChars="200"/>
        <w:jc w:val="left"/>
        <w:rPr>
          <w:bCs/>
          <w:kern w:val="0"/>
          <w:szCs w:val="21"/>
        </w:rPr>
      </w:pPr>
      <w:r>
        <w:rPr>
          <w:bCs/>
          <w:kern w:val="0"/>
          <w:szCs w:val="21"/>
        </w:rPr>
        <w:t>（1）理论课教材：《生物信息学》，樊龙江，浙江大学出版社，2017年9月第一版</w:t>
      </w:r>
    </w:p>
    <w:p>
      <w:pPr>
        <w:widowControl/>
        <w:snapToGrid w:val="0"/>
        <w:spacing w:line="360" w:lineRule="auto"/>
        <w:ind w:firstLine="420" w:firstLineChars="200"/>
        <w:jc w:val="left"/>
        <w:rPr>
          <w:bCs/>
          <w:kern w:val="0"/>
          <w:szCs w:val="21"/>
        </w:rPr>
      </w:pPr>
      <w:r>
        <w:t>（2）实验课教材：</w:t>
      </w:r>
      <w:r>
        <w:rPr>
          <w:bCs/>
          <w:kern w:val="0"/>
          <w:szCs w:val="21"/>
        </w:rPr>
        <w:t>《生物信息学实验教程》，吕巍、李滨编著，高等教育出版社，2016年</w:t>
      </w:r>
    </w:p>
    <w:p>
      <w:pPr>
        <w:widowControl/>
        <w:snapToGrid w:val="0"/>
        <w:spacing w:line="360" w:lineRule="auto"/>
        <w:ind w:firstLine="422" w:firstLineChars="200"/>
        <w:jc w:val="left"/>
        <w:rPr>
          <w:kern w:val="0"/>
          <w:szCs w:val="21"/>
        </w:rPr>
      </w:pPr>
      <w:r>
        <w:rPr>
          <w:b/>
          <w:bCs/>
          <w:kern w:val="0"/>
          <w:szCs w:val="21"/>
        </w:rPr>
        <w:t>2.参考书：</w:t>
      </w:r>
    </w:p>
    <w:p>
      <w:pPr>
        <w:snapToGrid w:val="0"/>
        <w:spacing w:line="360" w:lineRule="auto"/>
        <w:ind w:firstLine="420" w:firstLineChars="200"/>
        <w:rPr>
          <w:bCs/>
          <w:kern w:val="0"/>
          <w:szCs w:val="21"/>
        </w:rPr>
      </w:pPr>
      <w:r>
        <w:rPr>
          <w:bCs/>
          <w:kern w:val="0"/>
          <w:szCs w:val="21"/>
        </w:rPr>
        <w:t>（1）D. W. Mount. 生物信息学（第二版）. 北京：科学出版社，2006年</w:t>
      </w:r>
    </w:p>
    <w:p>
      <w:pPr>
        <w:snapToGrid w:val="0"/>
        <w:spacing w:line="360" w:lineRule="auto"/>
        <w:ind w:firstLine="420" w:firstLineChars="200"/>
        <w:rPr>
          <w:bCs/>
          <w:kern w:val="0"/>
          <w:szCs w:val="21"/>
        </w:rPr>
      </w:pPr>
      <w:r>
        <w:rPr>
          <w:bCs/>
          <w:kern w:val="0"/>
          <w:szCs w:val="21"/>
        </w:rPr>
        <w:t>（2）《生物信息学基础教程》，张洛欣/马斌，高等教育出版社，2015年1月第一版（或之后的版本）</w:t>
      </w:r>
    </w:p>
    <w:p>
      <w:pPr>
        <w:snapToGrid w:val="0"/>
        <w:spacing w:line="360" w:lineRule="auto"/>
        <w:ind w:firstLine="420" w:firstLineChars="200"/>
        <w:rPr>
          <w:bCs/>
          <w:kern w:val="0"/>
          <w:szCs w:val="21"/>
        </w:rPr>
      </w:pPr>
      <w:r>
        <w:rPr>
          <w:bCs/>
          <w:kern w:val="0"/>
          <w:szCs w:val="21"/>
        </w:rPr>
        <w:t>（3）陈铭 主编. 生物信息学（第四版）. 北京： 科学出版社， 2022 年</w:t>
      </w:r>
    </w:p>
    <w:p>
      <w:pPr>
        <w:widowControl/>
        <w:snapToGrid w:val="0"/>
        <w:spacing w:line="360" w:lineRule="auto"/>
        <w:ind w:firstLine="422" w:firstLineChars="200"/>
        <w:jc w:val="left"/>
        <w:rPr>
          <w:b/>
          <w:kern w:val="0"/>
          <w:szCs w:val="21"/>
        </w:rPr>
      </w:pPr>
      <w:r>
        <w:rPr>
          <w:b/>
          <w:kern w:val="0"/>
          <w:szCs w:val="21"/>
        </w:rPr>
        <w:t>3.推荐网站（线上资源）：</w:t>
      </w:r>
    </w:p>
    <w:p>
      <w:pPr>
        <w:snapToGrid w:val="0"/>
        <w:spacing w:line="360" w:lineRule="auto"/>
        <w:ind w:firstLine="420" w:firstLineChars="200"/>
        <w:rPr>
          <w:szCs w:val="21"/>
        </w:rPr>
      </w:pPr>
      <w:r>
        <w:rPr>
          <w:szCs w:val="21"/>
        </w:rPr>
        <w:t>（1）生物信息学国家精品课程，https://www.icourse163.org/course/SDU-1001907001</w:t>
      </w:r>
    </w:p>
    <w:p>
      <w:pPr>
        <w:widowControl/>
        <w:snapToGrid w:val="0"/>
        <w:spacing w:line="360" w:lineRule="auto"/>
        <w:ind w:firstLine="420" w:firstLineChars="200"/>
        <w:jc w:val="left"/>
        <w:rPr>
          <w:kern w:val="0"/>
        </w:rPr>
      </w:pPr>
      <w:r>
        <w:rPr>
          <w:szCs w:val="21"/>
        </w:rPr>
        <w:t>（2）河南科技大学生物信息学，https://www.icourse163.org/course/HAUST-1003368029</w:t>
      </w:r>
    </w:p>
    <w:p>
      <w:pPr>
        <w:widowControl/>
        <w:snapToGrid w:val="0"/>
        <w:spacing w:line="360" w:lineRule="auto"/>
        <w:jc w:val="left"/>
        <w:rPr>
          <w:b/>
          <w:bCs/>
          <w:kern w:val="0"/>
          <w:szCs w:val="21"/>
        </w:rPr>
      </w:pPr>
      <w:r>
        <w:rPr>
          <w:b/>
          <w:bCs/>
          <w:kern w:val="0"/>
          <w:szCs w:val="21"/>
        </w:rPr>
        <w:t>八、教学条件</w:t>
      </w:r>
    </w:p>
    <w:p>
      <w:pPr>
        <w:snapToGrid w:val="0"/>
        <w:spacing w:line="360" w:lineRule="auto"/>
        <w:ind w:firstLine="420" w:firstLineChars="200"/>
        <w:rPr>
          <w:color w:val="0000FF"/>
          <w:szCs w:val="21"/>
        </w:rPr>
      </w:pPr>
      <w:r>
        <w:rPr>
          <w:szCs w:val="21"/>
        </w:rPr>
        <w:t>本课程由生物信息学教学团队完成讲授，同时聘请南京农业大学吴玉峰教授给予授课指导，团队成员中高级职称者2人，中级职称者3人，具有博士学位者5人，所有教师均有从事生物信息学相关研究的经验。本课程理论课教学在多媒体教室中进行，实验课在园艺计算机实验室进行。园艺学院建有实验教学中心，由4名专职实验人员负责管理实验设备。</w:t>
      </w:r>
      <w:r>
        <w:rPr>
          <w:color w:val="0000FF"/>
          <w:szCs w:val="21"/>
        </w:rPr>
        <w:t></w:t>
      </w:r>
    </w:p>
    <w:p>
      <w:pPr>
        <w:widowControl/>
        <w:snapToGrid w:val="0"/>
        <w:spacing w:line="360" w:lineRule="auto"/>
        <w:jc w:val="left"/>
        <w:rPr>
          <w:b/>
          <w:bCs/>
          <w:kern w:val="0"/>
          <w:szCs w:val="21"/>
        </w:rPr>
      </w:pPr>
      <w:r>
        <w:rPr>
          <w:b/>
          <w:bCs/>
          <w:kern w:val="0"/>
          <w:szCs w:val="21"/>
        </w:rPr>
        <w:t>九、教学考核评价</w:t>
      </w:r>
    </w:p>
    <w:p>
      <w:pPr>
        <w:widowControl/>
        <w:snapToGrid w:val="0"/>
        <w:spacing w:line="360" w:lineRule="auto"/>
        <w:ind w:firstLine="420"/>
        <w:jc w:val="left"/>
        <w:rPr>
          <w:szCs w:val="21"/>
        </w:rPr>
      </w:pPr>
      <w:r>
        <w:rPr>
          <w:b/>
          <w:bCs/>
          <w:kern w:val="0"/>
          <w:szCs w:val="21"/>
        </w:rPr>
        <w:t>1.过程性评价：</w:t>
      </w:r>
      <w:r>
        <w:t>本课程过程性评价主要包括课堂表现、课后作业、小论文、小组学习讨论等内容。</w:t>
      </w:r>
    </w:p>
    <w:p>
      <w:pPr>
        <w:widowControl/>
        <w:snapToGrid w:val="0"/>
        <w:spacing w:line="360" w:lineRule="auto"/>
        <w:ind w:firstLine="420"/>
        <w:jc w:val="left"/>
        <w:rPr>
          <w:b/>
          <w:bCs/>
          <w:kern w:val="0"/>
          <w:szCs w:val="21"/>
        </w:rPr>
      </w:pPr>
      <w:r>
        <w:rPr>
          <w:b/>
          <w:bCs/>
          <w:kern w:val="0"/>
          <w:szCs w:val="21"/>
        </w:rPr>
        <w:t>2.终结性评价：</w:t>
      </w:r>
      <w:r>
        <w:t>论文与实验报告</w:t>
      </w:r>
    </w:p>
    <w:p>
      <w:pPr>
        <w:widowControl/>
        <w:snapToGrid w:val="0"/>
        <w:spacing w:line="360" w:lineRule="auto"/>
        <w:ind w:firstLine="420"/>
        <w:jc w:val="left"/>
        <w:rPr>
          <w:bCs/>
          <w:kern w:val="0"/>
          <w:szCs w:val="21"/>
        </w:rPr>
      </w:pPr>
      <w:r>
        <w:rPr>
          <w:b/>
          <w:bCs/>
          <w:kern w:val="0"/>
          <w:szCs w:val="21"/>
        </w:rPr>
        <w:t>3.课程综合评价：</w:t>
      </w:r>
      <w:r>
        <w:rPr>
          <w:bCs/>
          <w:kern w:val="0"/>
          <w:szCs w:val="21"/>
        </w:rPr>
        <w:t>课堂表现考勤及课堂表现（20％），平时作业（30％），课程论文（50%）</w:t>
      </w:r>
    </w:p>
    <w:p>
      <w:pPr>
        <w:rPr>
          <w:sz w:val="28"/>
          <w:szCs w:val="28"/>
        </w:rPr>
      </w:pPr>
      <w:bookmarkStart w:id="406" w:name="_Toc138070450"/>
      <w:bookmarkStart w:id="407" w:name="_Toc138068820"/>
      <w:bookmarkStart w:id="408" w:name="_Toc138076634"/>
      <w:bookmarkStart w:id="409" w:name="_Toc138070720"/>
      <w:bookmarkStart w:id="410" w:name="_Toc138076339"/>
      <w:bookmarkStart w:id="411" w:name="_Toc138076090"/>
      <w:r>
        <w:rPr>
          <w:rFonts w:hint="eastAsia"/>
          <w:sz w:val="28"/>
          <w:szCs w:val="28"/>
        </w:rPr>
        <w:br w:type="page"/>
      </w:r>
    </w:p>
    <w:p>
      <w:pPr>
        <w:pStyle w:val="21"/>
        <w:rPr>
          <w:bCs w:val="0"/>
          <w:sz w:val="28"/>
          <w:szCs w:val="28"/>
        </w:rPr>
      </w:pPr>
      <w:bookmarkStart w:id="412" w:name="_Toc17595"/>
      <w:r>
        <w:rPr>
          <w:rFonts w:hint="eastAsia"/>
          <w:bCs w:val="0"/>
          <w:sz w:val="28"/>
          <w:szCs w:val="28"/>
        </w:rPr>
        <w:t>植物生长调节剂与利用</w:t>
      </w:r>
      <w:bookmarkEnd w:id="406"/>
      <w:bookmarkEnd w:id="407"/>
      <w:bookmarkEnd w:id="408"/>
      <w:bookmarkEnd w:id="409"/>
      <w:bookmarkEnd w:id="410"/>
      <w:bookmarkEnd w:id="411"/>
      <w:bookmarkEnd w:id="412"/>
    </w:p>
    <w:p>
      <w:pPr>
        <w:snapToGrid w:val="0"/>
        <w:spacing w:line="360" w:lineRule="auto"/>
        <w:jc w:val="center"/>
        <w:rPr>
          <w:color w:val="0000FF"/>
          <w:sz w:val="24"/>
        </w:rPr>
      </w:pPr>
      <w:r>
        <w:rPr>
          <w:rFonts w:hint="eastAsia"/>
          <w:sz w:val="24"/>
        </w:rPr>
        <w:t>（</w:t>
      </w:r>
      <w:r>
        <w:rPr>
          <w:rFonts w:hint="eastAsia"/>
          <w:sz w:val="24"/>
          <w:lang w:val="en-US" w:eastAsia="zh-CN"/>
        </w:rPr>
        <w:t>P</w:t>
      </w:r>
      <w:r>
        <w:rPr>
          <w:rFonts w:hint="eastAsia"/>
          <w:sz w:val="24"/>
        </w:rPr>
        <w:t>lant growth regulator and application）</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6"/>
        <w:gridCol w:w="2882"/>
        <w:gridCol w:w="3198"/>
      </w:tblGrid>
      <w:tr>
        <w:tc>
          <w:tcPr>
            <w:tcW w:w="1665" w:type="pct"/>
          </w:tcPr>
          <w:p>
            <w:pPr>
              <w:spacing w:line="300" w:lineRule="auto"/>
              <w:rPr>
                <w:rFonts w:ascii="宋体" w:hAnsi="宋体"/>
                <w:b/>
                <w:bCs/>
                <w:szCs w:val="21"/>
              </w:rPr>
            </w:pPr>
            <w:r>
              <w:rPr>
                <w:rFonts w:hint="eastAsia" w:ascii="宋体" w:hAnsi="宋体"/>
                <w:b/>
                <w:bCs/>
                <w:szCs w:val="21"/>
              </w:rPr>
              <w:t>课程编号：19011051</w:t>
            </w:r>
          </w:p>
        </w:tc>
        <w:tc>
          <w:tcPr>
            <w:tcW w:w="1581" w:type="pct"/>
          </w:tcPr>
          <w:p>
            <w:pPr>
              <w:spacing w:line="300" w:lineRule="auto"/>
              <w:rPr>
                <w:rFonts w:ascii="宋体" w:hAnsi="宋体"/>
                <w:b/>
                <w:bCs/>
                <w:szCs w:val="21"/>
              </w:rPr>
            </w:pPr>
            <w:r>
              <w:rPr>
                <w:rFonts w:hint="eastAsia" w:ascii="宋体" w:hAnsi="宋体"/>
                <w:b/>
                <w:bCs/>
                <w:szCs w:val="21"/>
              </w:rPr>
              <w:t>课程总学时：</w:t>
            </w:r>
            <w:r>
              <w:rPr>
                <w:b/>
                <w:bCs/>
                <w:szCs w:val="21"/>
              </w:rPr>
              <w:t>16</w:t>
            </w:r>
          </w:p>
        </w:tc>
        <w:tc>
          <w:tcPr>
            <w:tcW w:w="1752" w:type="pct"/>
          </w:tcPr>
          <w:p>
            <w:pPr>
              <w:spacing w:line="300" w:lineRule="auto"/>
              <w:rPr>
                <w:rFonts w:ascii="宋体" w:hAnsi="宋体"/>
                <w:b/>
                <w:bCs/>
                <w:szCs w:val="21"/>
              </w:rPr>
            </w:pPr>
            <w:r>
              <w:rPr>
                <w:rFonts w:hint="eastAsia" w:ascii="宋体" w:hAnsi="宋体"/>
                <w:b/>
                <w:bCs/>
                <w:szCs w:val="21"/>
              </w:rPr>
              <w:t>实验学时：0 学时</w:t>
            </w:r>
          </w:p>
        </w:tc>
      </w:tr>
      <w:tr>
        <w:tblPrEx>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课程性质：选修课</w:t>
            </w:r>
          </w:p>
        </w:tc>
        <w:tc>
          <w:tcPr>
            <w:tcW w:w="1581" w:type="pct"/>
          </w:tcPr>
          <w:p>
            <w:pPr>
              <w:spacing w:line="300" w:lineRule="auto"/>
              <w:rPr>
                <w:rFonts w:ascii="宋体" w:hAnsi="宋体"/>
                <w:b/>
                <w:bCs/>
                <w:szCs w:val="21"/>
              </w:rPr>
            </w:pPr>
            <w:r>
              <w:rPr>
                <w:rFonts w:hint="eastAsia" w:ascii="宋体" w:hAnsi="宋体"/>
                <w:b/>
                <w:bCs/>
                <w:szCs w:val="21"/>
              </w:rPr>
              <w:t>课程属性:专业类</w:t>
            </w:r>
          </w:p>
        </w:tc>
        <w:tc>
          <w:tcPr>
            <w:tcW w:w="1752" w:type="pct"/>
          </w:tcPr>
          <w:p>
            <w:pPr>
              <w:spacing w:line="300" w:lineRule="auto"/>
              <w:rPr>
                <w:rFonts w:ascii="宋体" w:hAnsi="宋体"/>
                <w:b/>
                <w:bCs/>
                <w:szCs w:val="21"/>
              </w:rPr>
            </w:pPr>
            <w:r>
              <w:rPr>
                <w:rFonts w:hint="eastAsia" w:ascii="宋体" w:hAnsi="宋体"/>
                <w:b/>
                <w:bCs/>
                <w:szCs w:val="21"/>
              </w:rPr>
              <w:t>开设学期：第</w:t>
            </w:r>
            <w:r>
              <w:rPr>
                <w:rFonts w:ascii="宋体" w:hAnsi="宋体"/>
                <w:b/>
                <w:bCs/>
                <w:szCs w:val="21"/>
              </w:rPr>
              <w:t>8</w:t>
            </w:r>
            <w:r>
              <w:rPr>
                <w:rFonts w:hint="eastAsia" w:ascii="宋体" w:hAnsi="宋体"/>
                <w:b/>
                <w:bCs/>
                <w:szCs w:val="21"/>
              </w:rPr>
              <w:t>学期</w:t>
            </w:r>
          </w:p>
        </w:tc>
      </w:tr>
      <w:tr>
        <w:tblPrEx>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课程负责人：朱磊</w:t>
            </w:r>
          </w:p>
        </w:tc>
        <w:tc>
          <w:tcPr>
            <w:tcW w:w="1581" w:type="pct"/>
          </w:tcPr>
          <w:p>
            <w:pPr>
              <w:spacing w:line="300" w:lineRule="auto"/>
              <w:rPr>
                <w:rFonts w:ascii="宋体" w:hAnsi="宋体"/>
                <w:b/>
                <w:bCs/>
                <w:szCs w:val="21"/>
              </w:rPr>
            </w:pPr>
            <w:r>
              <w:rPr>
                <w:rFonts w:hint="eastAsia" w:ascii="宋体" w:hAnsi="宋体"/>
                <w:b/>
                <w:bCs/>
                <w:szCs w:val="21"/>
              </w:rPr>
              <w:t>课程团队：王伟</w:t>
            </w:r>
            <w:r>
              <w:rPr>
                <w:rFonts w:ascii="宋体" w:hAnsi="宋体"/>
                <w:b/>
                <w:bCs/>
                <w:szCs w:val="21"/>
              </w:rPr>
              <w:t>,王永,宋春晖</w:t>
            </w:r>
          </w:p>
        </w:tc>
        <w:tc>
          <w:tcPr>
            <w:tcW w:w="1752" w:type="pct"/>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
                <w:bCs/>
                <w:color w:val="0000FF"/>
                <w:szCs w:val="21"/>
              </w:rPr>
            </w:pPr>
            <w:r>
              <w:rPr>
                <w:rFonts w:hint="eastAsia" w:ascii="宋体" w:hAnsi="宋体"/>
                <w:b/>
                <w:bCs/>
                <w:szCs w:val="21"/>
              </w:rPr>
              <w:t>适用专业：园艺、茶学、设施农业工程</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对先修的要求：化学、植物学、植物生理、园艺植物栽培学、分子生物学基础</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对后续的支撑：无</w:t>
            </w:r>
          </w:p>
        </w:tc>
      </w:tr>
      <w:tr>
        <w:tblPrEx>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w:t>
            </w:r>
            <w:r>
              <w:rPr>
                <w:rFonts w:ascii="宋体" w:hAnsi="宋体"/>
                <w:b/>
                <w:bCs/>
                <w:szCs w:val="21"/>
              </w:rPr>
              <w:t>王永，王伟</w:t>
            </w:r>
            <w:r>
              <w:rPr>
                <w:rFonts w:hint="eastAsia" w:ascii="宋体" w:hAnsi="宋体"/>
                <w:b/>
                <w:bCs/>
                <w:szCs w:val="21"/>
              </w:rPr>
              <w:t>，</w:t>
            </w:r>
            <w:r>
              <w:rPr>
                <w:rFonts w:ascii="宋体" w:hAnsi="宋体"/>
                <w:b/>
                <w:bCs/>
                <w:szCs w:val="21"/>
              </w:rPr>
              <w:t>宋春晖</w:t>
            </w:r>
          </w:p>
        </w:tc>
        <w:tc>
          <w:tcPr>
            <w:tcW w:w="1581" w:type="pct"/>
          </w:tcPr>
          <w:p>
            <w:pPr>
              <w:spacing w:line="300" w:lineRule="auto"/>
              <w:rPr>
                <w:rFonts w:ascii="宋体" w:hAnsi="宋体"/>
                <w:b/>
                <w:bCs/>
                <w:szCs w:val="21"/>
              </w:rPr>
            </w:pPr>
            <w:r>
              <w:rPr>
                <w:rFonts w:hint="eastAsia" w:ascii="宋体" w:hAnsi="宋体"/>
                <w:b/>
                <w:bCs/>
                <w:szCs w:val="21"/>
              </w:rPr>
              <w:t>审核人：朱磊</w:t>
            </w:r>
          </w:p>
        </w:tc>
        <w:tc>
          <w:tcPr>
            <w:tcW w:w="1752"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spacing w:line="360" w:lineRule="auto"/>
        <w:ind w:firstLine="420" w:firstLineChars="200"/>
        <w:rPr>
          <w:kern w:val="0"/>
          <w:szCs w:val="21"/>
        </w:rPr>
      </w:pPr>
      <w:r>
        <w:rPr>
          <w:rFonts w:hint="eastAsia"/>
          <w:kern w:val="0"/>
          <w:szCs w:val="21"/>
        </w:rPr>
        <w:t>本</w:t>
      </w:r>
      <w:r>
        <w:rPr>
          <w:kern w:val="0"/>
          <w:szCs w:val="21"/>
        </w:rPr>
        <w:t>课程是专业</w:t>
      </w:r>
      <w:r>
        <w:rPr>
          <w:rFonts w:hint="eastAsia"/>
          <w:kern w:val="0"/>
          <w:szCs w:val="21"/>
        </w:rPr>
        <w:t>选修课</w:t>
      </w:r>
      <w:r>
        <w:rPr>
          <w:kern w:val="0"/>
          <w:szCs w:val="21"/>
        </w:rPr>
        <w:t>，以园艺前言研究进展为核心内容，旨在拓展和深化</w:t>
      </w:r>
      <w:r>
        <w:rPr>
          <w:rFonts w:hint="eastAsia"/>
          <w:kern w:val="0"/>
          <w:szCs w:val="21"/>
        </w:rPr>
        <w:t>植物</w:t>
      </w:r>
      <w:r>
        <w:rPr>
          <w:kern w:val="0"/>
          <w:szCs w:val="21"/>
        </w:rPr>
        <w:t>激素的研究与应用，</w:t>
      </w:r>
      <w:r>
        <w:rPr>
          <w:rFonts w:hint="eastAsia"/>
          <w:kern w:val="0"/>
          <w:szCs w:val="21"/>
        </w:rPr>
        <w:t>促使</w:t>
      </w:r>
      <w:r>
        <w:rPr>
          <w:kern w:val="0"/>
          <w:szCs w:val="21"/>
        </w:rPr>
        <w:t>理论联系实际，同时也为</w:t>
      </w:r>
      <w:r>
        <w:rPr>
          <w:rFonts w:hint="eastAsia"/>
          <w:kern w:val="0"/>
          <w:szCs w:val="21"/>
        </w:rPr>
        <w:t>高级园艺</w:t>
      </w:r>
      <w:r>
        <w:rPr>
          <w:kern w:val="0"/>
          <w:szCs w:val="21"/>
        </w:rPr>
        <w:t>人才培养提供理论基础和前瞻引导作用。</w:t>
      </w:r>
      <w:r>
        <w:rPr>
          <w:rFonts w:hint="eastAsia"/>
          <w:kern w:val="0"/>
          <w:szCs w:val="21"/>
        </w:rPr>
        <w:t>通过</w:t>
      </w:r>
      <w:r>
        <w:rPr>
          <w:kern w:val="0"/>
          <w:szCs w:val="21"/>
        </w:rPr>
        <w:t>本课程的学习</w:t>
      </w:r>
      <w:r>
        <w:rPr>
          <w:rFonts w:hint="eastAsia"/>
          <w:kern w:val="0"/>
          <w:szCs w:val="21"/>
        </w:rPr>
        <w:t>拓展</w:t>
      </w:r>
      <w:r>
        <w:rPr>
          <w:kern w:val="0"/>
          <w:szCs w:val="21"/>
        </w:rPr>
        <w:t>学生的知识结构</w:t>
      </w:r>
      <w:r>
        <w:rPr>
          <w:rFonts w:hint="eastAsia"/>
          <w:kern w:val="0"/>
          <w:szCs w:val="21"/>
        </w:rPr>
        <w:t>，促进</w:t>
      </w:r>
      <w:r>
        <w:rPr>
          <w:kern w:val="0"/>
          <w:szCs w:val="21"/>
        </w:rPr>
        <w:t>理论联系实际</w:t>
      </w:r>
      <w:r>
        <w:rPr>
          <w:rFonts w:hint="eastAsia"/>
          <w:kern w:val="0"/>
          <w:szCs w:val="21"/>
        </w:rPr>
        <w:t>和</w:t>
      </w:r>
      <w:r>
        <w:rPr>
          <w:kern w:val="0"/>
          <w:szCs w:val="21"/>
        </w:rPr>
        <w:t>解决实际生产问题的</w:t>
      </w:r>
      <w:r>
        <w:rPr>
          <w:rFonts w:hint="eastAsia"/>
          <w:kern w:val="0"/>
          <w:szCs w:val="21"/>
        </w:rPr>
        <w:t>能力，</w:t>
      </w:r>
      <w:r>
        <w:rPr>
          <w:kern w:val="0"/>
          <w:szCs w:val="21"/>
        </w:rPr>
        <w:t>提高</w:t>
      </w:r>
      <w:r>
        <w:rPr>
          <w:rFonts w:hint="eastAsia"/>
          <w:kern w:val="0"/>
          <w:szCs w:val="21"/>
        </w:rPr>
        <w:t>园艺</w:t>
      </w:r>
      <w:r>
        <w:rPr>
          <w:kern w:val="0"/>
          <w:szCs w:val="21"/>
        </w:rPr>
        <w:t>专业素质，</w:t>
      </w:r>
      <w:r>
        <w:rPr>
          <w:rFonts w:hint="eastAsia"/>
          <w:kern w:val="0"/>
          <w:szCs w:val="21"/>
        </w:rPr>
        <w:t>为适应创新型</w:t>
      </w:r>
      <w:r>
        <w:rPr>
          <w:kern w:val="0"/>
          <w:szCs w:val="21"/>
        </w:rPr>
        <w:t>、</w:t>
      </w:r>
      <w:r>
        <w:rPr>
          <w:rFonts w:hint="eastAsia"/>
          <w:kern w:val="0"/>
          <w:szCs w:val="21"/>
        </w:rPr>
        <w:t>复合型和</w:t>
      </w:r>
      <w:r>
        <w:rPr>
          <w:kern w:val="0"/>
          <w:szCs w:val="21"/>
        </w:rPr>
        <w:t>应用型人才的培养</w:t>
      </w:r>
      <w:r>
        <w:rPr>
          <w:rFonts w:hint="eastAsia"/>
          <w:kern w:val="0"/>
          <w:szCs w:val="21"/>
        </w:rPr>
        <w:t>提供保障</w:t>
      </w:r>
      <w:r>
        <w:rPr>
          <w:kern w:val="0"/>
          <w:szCs w:val="21"/>
        </w:rPr>
        <w:t>。</w:t>
      </w:r>
    </w:p>
    <w:p>
      <w:pPr>
        <w:spacing w:line="360" w:lineRule="auto"/>
        <w:ind w:firstLine="420" w:firstLineChars="200"/>
      </w:pPr>
      <w:r>
        <w:rPr>
          <w:rFonts w:hint="eastAsia"/>
        </w:rPr>
        <w:t>本课程是在学习植物生理学、作物栽培学和</w:t>
      </w:r>
      <w:r>
        <w:t>分子生物学</w:t>
      </w:r>
      <w:r>
        <w:rPr>
          <w:rFonts w:hint="eastAsia"/>
        </w:rPr>
        <w:t>等专业课程的基础上，通过</w:t>
      </w:r>
      <w:r>
        <w:t>讲授、讨论、文献阅读</w:t>
      </w:r>
      <w:r>
        <w:rPr>
          <w:rFonts w:hint="eastAsia"/>
        </w:rPr>
        <w:t>、</w:t>
      </w:r>
      <w:r>
        <w:t>调查</w:t>
      </w:r>
      <w:r>
        <w:rPr>
          <w:rFonts w:hint="eastAsia"/>
        </w:rPr>
        <w:t>和</w:t>
      </w:r>
      <w:r>
        <w:t>咨询等方法</w:t>
      </w:r>
      <w:r>
        <w:rPr>
          <w:rFonts w:hint="eastAsia"/>
        </w:rPr>
        <w:t>对植物生长发育的化学调控理论和实践应用技术深入了解的一门选修课。本课程的任务是让学生了解在传统栽培的基础上，用化学方法可以调控植物的生长发育，并使学生懂得植物生长调节剂的作用原理和应用实践。本课程的目的是培养学生理论联系实际，将植物生长物质知识应用于农业生产，解决生产问题的能力。要求学生掌握植物生长调节剂的种类、作用原理、生产中的应用实践和今后的应用前景。</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kern w:val="0"/>
          <w:szCs w:val="21"/>
        </w:rPr>
      </w:pPr>
      <w:r>
        <w:rPr>
          <w:rFonts w:hint="eastAsia"/>
          <w:kern w:val="0"/>
          <w:szCs w:val="21"/>
        </w:rPr>
        <w:t>1.</w:t>
      </w:r>
      <w:r>
        <w:rPr>
          <w:rFonts w:hAnsi="宋体"/>
          <w:kern w:val="0"/>
          <w:szCs w:val="21"/>
        </w:rPr>
        <w:t>理论知识方面：</w:t>
      </w:r>
      <w:r>
        <w:rPr>
          <w:color w:val="000000"/>
          <w:szCs w:val="21"/>
        </w:rPr>
        <w:t>全面掌握植物</w:t>
      </w:r>
      <w:r>
        <w:rPr>
          <w:rFonts w:hint="eastAsia"/>
          <w:color w:val="000000"/>
          <w:szCs w:val="21"/>
        </w:rPr>
        <w:t>生长调节剂</w:t>
      </w:r>
      <w:r>
        <w:rPr>
          <w:color w:val="000000"/>
          <w:szCs w:val="21"/>
        </w:rPr>
        <w:t>的基本概念、基本原理和基本</w:t>
      </w:r>
      <w:r>
        <w:rPr>
          <w:rFonts w:hint="eastAsia"/>
          <w:color w:val="000000"/>
          <w:szCs w:val="21"/>
        </w:rPr>
        <w:t>应用</w:t>
      </w:r>
      <w:r>
        <w:rPr>
          <w:color w:val="000000"/>
          <w:szCs w:val="21"/>
        </w:rPr>
        <w:t>，了解控制实用技术和植物生长调节剂的评价方法和管理体系，深刻认识植物化学控制技术是实现定向诱导植物生长发育及促进现代种植业技术发展的重要技术资源。</w:t>
      </w:r>
      <w:r>
        <w:rPr>
          <w:rFonts w:hint="eastAsia" w:hAnsi="宋体"/>
          <w:kern w:val="0"/>
          <w:szCs w:val="21"/>
        </w:rPr>
        <w:t>能够灵活准确的利用植物生长调节剂解决实际生产中存在的问题，掌握</w:t>
      </w:r>
      <w:r>
        <w:rPr>
          <w:color w:val="000000"/>
          <w:szCs w:val="21"/>
        </w:rPr>
        <w:t>农林生产上应用的技巧和关键技术，</w:t>
      </w:r>
      <w:r>
        <w:rPr>
          <w:rFonts w:hint="eastAsia"/>
          <w:color w:val="000000"/>
          <w:szCs w:val="21"/>
        </w:rPr>
        <w:t>并</w:t>
      </w:r>
      <w:r>
        <w:rPr>
          <w:color w:val="000000"/>
          <w:szCs w:val="21"/>
        </w:rPr>
        <w:t>扩展对化学控制技术在农林生产中的应用能力，以实现现代农林植物（作物、果树、蔬菜、花卉和林木等）高产、优质、高效、安全及可持续发展的目标。</w:t>
      </w:r>
    </w:p>
    <w:p>
      <w:pPr>
        <w:widowControl/>
        <w:snapToGrid w:val="0"/>
        <w:spacing w:line="360" w:lineRule="auto"/>
        <w:ind w:firstLine="420" w:firstLineChars="200"/>
        <w:jc w:val="left"/>
        <w:rPr>
          <w:rFonts w:hAnsi="宋体"/>
          <w:bCs/>
          <w:color w:val="0000FF"/>
          <w:kern w:val="0"/>
          <w:szCs w:val="21"/>
        </w:rPr>
      </w:pPr>
      <w:r>
        <w:rPr>
          <w:rFonts w:hint="eastAsia"/>
          <w:kern w:val="0"/>
          <w:szCs w:val="21"/>
        </w:rPr>
        <w:t>2.</w:t>
      </w:r>
      <w:r>
        <w:rPr>
          <w:rFonts w:hAnsi="宋体"/>
          <w:kern w:val="0"/>
          <w:szCs w:val="21"/>
        </w:rPr>
        <w:t>实验技能方面：</w:t>
      </w:r>
      <w:r>
        <w:rPr>
          <w:rFonts w:hint="eastAsia" w:hAnsi="宋体"/>
          <w:bCs/>
          <w:kern w:val="0"/>
          <w:szCs w:val="21"/>
        </w:rPr>
        <w:t>无</w:t>
      </w:r>
    </w:p>
    <w:p>
      <w:pPr>
        <w:widowControl/>
        <w:snapToGrid w:val="0"/>
        <w:spacing w:line="360" w:lineRule="auto"/>
        <w:jc w:val="left"/>
        <w:rPr>
          <w:rFonts w:hAnsi="宋体"/>
          <w:b/>
          <w:bCs/>
          <w:kern w:val="0"/>
          <w:szCs w:val="21"/>
        </w:rPr>
      </w:pPr>
      <w:r>
        <w:rPr>
          <w:rFonts w:hint="eastAsia"/>
          <w:b/>
          <w:bCs/>
          <w:kern w:val="0"/>
          <w:szCs w:val="21"/>
        </w:rPr>
        <w:t>三</w:t>
      </w:r>
      <w:r>
        <w:rPr>
          <w:b/>
          <w:bCs/>
          <w:kern w:val="0"/>
          <w:szCs w:val="21"/>
        </w:rPr>
        <w:t>、</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spacing w:line="360" w:lineRule="auto"/>
        <w:ind w:firstLine="420" w:firstLineChars="200"/>
        <w:rPr>
          <w:rFonts w:ascii="宋体" w:hAnsi="宋体" w:cs="宋体"/>
          <w:bCs/>
          <w:color w:val="0000FF"/>
          <w:kern w:val="0"/>
          <w:szCs w:val="21"/>
        </w:rPr>
      </w:pPr>
      <w:r>
        <w:rPr>
          <w:rFonts w:hint="eastAsia" w:hAnsi="宋体"/>
          <w:kern w:val="0"/>
          <w:szCs w:val="21"/>
        </w:rPr>
        <w:t>为了</w:t>
      </w:r>
      <w:r>
        <w:rPr>
          <w:rFonts w:hAnsi="宋体"/>
          <w:kern w:val="0"/>
          <w:szCs w:val="21"/>
        </w:rPr>
        <w:t>有效的</w:t>
      </w:r>
      <w:r>
        <w:rPr>
          <w:rFonts w:hint="eastAsia" w:hAnsi="宋体"/>
          <w:kern w:val="0"/>
          <w:szCs w:val="21"/>
        </w:rPr>
        <w:t>完成课程</w:t>
      </w:r>
      <w:r>
        <w:rPr>
          <w:rFonts w:hAnsi="宋体"/>
          <w:kern w:val="0"/>
          <w:szCs w:val="21"/>
        </w:rPr>
        <w:t>主要目的</w:t>
      </w:r>
      <w:r>
        <w:rPr>
          <w:rFonts w:hint="eastAsia" w:hAnsi="宋体"/>
          <w:kern w:val="0"/>
          <w:szCs w:val="21"/>
        </w:rPr>
        <w:t>，本课程</w:t>
      </w:r>
      <w:r>
        <w:rPr>
          <w:rFonts w:hAnsi="宋体"/>
          <w:kern w:val="0"/>
          <w:szCs w:val="21"/>
        </w:rPr>
        <w:t>主要围绕五大类植物激素的合成</w:t>
      </w:r>
      <w:r>
        <w:rPr>
          <w:rFonts w:hint="eastAsia" w:hAnsi="宋体"/>
          <w:kern w:val="0"/>
          <w:szCs w:val="21"/>
        </w:rPr>
        <w:t>、</w:t>
      </w:r>
      <w:r>
        <w:rPr>
          <w:rFonts w:hAnsi="宋体"/>
          <w:kern w:val="0"/>
          <w:szCs w:val="21"/>
        </w:rPr>
        <w:t>代谢运输</w:t>
      </w:r>
      <w:r>
        <w:rPr>
          <w:rFonts w:hint="eastAsia" w:hAnsi="宋体"/>
          <w:kern w:val="0"/>
          <w:szCs w:val="21"/>
        </w:rPr>
        <w:t>、</w:t>
      </w:r>
      <w:r>
        <w:rPr>
          <w:rFonts w:hAnsi="宋体"/>
          <w:kern w:val="0"/>
          <w:szCs w:val="21"/>
        </w:rPr>
        <w:t>信号传导和应用原理与技术等内容，通过课堂讲授、课下</w:t>
      </w:r>
      <w:r>
        <w:rPr>
          <w:rFonts w:hint="eastAsia" w:hAnsi="宋体"/>
          <w:kern w:val="0"/>
          <w:szCs w:val="21"/>
        </w:rPr>
        <w:t>拓展与</w:t>
      </w:r>
      <w:r>
        <w:rPr>
          <w:rFonts w:hAnsi="宋体"/>
          <w:kern w:val="0"/>
          <w:szCs w:val="21"/>
        </w:rPr>
        <w:t>问答</w:t>
      </w:r>
      <w:r>
        <w:rPr>
          <w:rFonts w:hint="eastAsia" w:hAnsi="宋体"/>
          <w:kern w:val="0"/>
          <w:szCs w:val="21"/>
        </w:rPr>
        <w:t>（课程</w:t>
      </w:r>
      <w:r>
        <w:rPr>
          <w:rFonts w:hAnsi="宋体"/>
          <w:kern w:val="0"/>
          <w:szCs w:val="21"/>
        </w:rPr>
        <w:t>交流微信群和超</w:t>
      </w:r>
      <w:r>
        <w:rPr>
          <w:rFonts w:hint="eastAsia" w:hAnsi="宋体"/>
          <w:kern w:val="0"/>
          <w:szCs w:val="21"/>
        </w:rPr>
        <w:t>星资源</w:t>
      </w:r>
      <w:r>
        <w:rPr>
          <w:rFonts w:hAnsi="宋体"/>
          <w:kern w:val="0"/>
          <w:szCs w:val="21"/>
        </w:rPr>
        <w:t>共享群）、</w:t>
      </w:r>
      <w:r>
        <w:rPr>
          <w:rFonts w:hint="eastAsia" w:hAnsi="宋体"/>
          <w:kern w:val="0"/>
          <w:szCs w:val="21"/>
        </w:rPr>
        <w:t>小组</w:t>
      </w:r>
      <w:r>
        <w:rPr>
          <w:rFonts w:hAnsi="宋体"/>
          <w:kern w:val="0"/>
          <w:szCs w:val="21"/>
        </w:rPr>
        <w:t>讨论、个人试讲等方式</w:t>
      </w:r>
      <w:r>
        <w:rPr>
          <w:rFonts w:hint="eastAsia" w:hAnsi="宋体"/>
          <w:kern w:val="0"/>
          <w:szCs w:val="21"/>
        </w:rPr>
        <w:t>组织</w:t>
      </w:r>
      <w:r>
        <w:rPr>
          <w:rFonts w:hAnsi="宋体"/>
          <w:kern w:val="0"/>
          <w:szCs w:val="21"/>
        </w:rPr>
        <w:t>教学活动，</w:t>
      </w:r>
      <w:r>
        <w:rPr>
          <w:rFonts w:hint="eastAsia" w:hAnsi="宋体"/>
          <w:kern w:val="0"/>
          <w:szCs w:val="21"/>
        </w:rPr>
        <w:t>积极</w:t>
      </w:r>
      <w:r>
        <w:rPr>
          <w:rFonts w:hAnsi="宋体"/>
          <w:kern w:val="0"/>
          <w:szCs w:val="21"/>
        </w:rPr>
        <w:t>的提高学生的主动性，注重学生的个人创新和发现问题能力的培养，以平时成绩和最终</w:t>
      </w:r>
      <w:r>
        <w:rPr>
          <w:rFonts w:hint="eastAsia" w:hAnsi="宋体"/>
          <w:kern w:val="0"/>
          <w:szCs w:val="21"/>
        </w:rPr>
        <w:t>课程</w:t>
      </w:r>
      <w:r>
        <w:rPr>
          <w:rFonts w:hAnsi="宋体"/>
          <w:kern w:val="0"/>
          <w:szCs w:val="21"/>
        </w:rPr>
        <w:t>论文成绩系统的评价学生的学习情况。</w:t>
      </w:r>
    </w:p>
    <w:p>
      <w:pPr>
        <w:spacing w:line="360" w:lineRule="auto"/>
        <w:ind w:firstLine="420" w:firstLineChars="200"/>
        <w:rPr>
          <w:rFonts w:hAnsi="宋体"/>
          <w:bCs/>
          <w:color w:val="0000FF"/>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int="eastAsia" w:eastAsiaTheme="minorEastAsia"/>
                <w:sz w:val="18"/>
                <w:szCs w:val="18"/>
              </w:rPr>
              <w:t>目标</w:t>
            </w:r>
            <w:r>
              <w:rPr>
                <w:rFonts w:eastAsiaTheme="minorEastAsia"/>
                <w:sz w:val="18"/>
                <w:szCs w:val="18"/>
              </w:rPr>
              <w:t>1</w:t>
            </w:r>
            <w:r>
              <w:rPr>
                <w:rFonts w:hint="eastAsia" w:eastAsiaTheme="minorEastAsia"/>
                <w:sz w:val="18"/>
                <w:szCs w:val="18"/>
              </w:rPr>
              <w:t>： 提高</w:t>
            </w:r>
            <w:r>
              <w:rPr>
                <w:rFonts w:eastAsiaTheme="minorEastAsia"/>
                <w:sz w:val="18"/>
                <w:szCs w:val="18"/>
              </w:rPr>
              <w:t>学生知识</w:t>
            </w:r>
            <w:r>
              <w:rPr>
                <w:rFonts w:hint="eastAsia" w:eastAsiaTheme="minorEastAsia"/>
                <w:sz w:val="18"/>
                <w:szCs w:val="18"/>
              </w:rPr>
              <w:t>结构</w:t>
            </w:r>
            <w:r>
              <w:rPr>
                <w:rFonts w:eastAsiaTheme="minorEastAsia"/>
                <w:sz w:val="18"/>
                <w:szCs w:val="18"/>
              </w:rPr>
              <w:t>的拓展，促进</w:t>
            </w:r>
            <w:r>
              <w:rPr>
                <w:rFonts w:hint="eastAsia" w:eastAsiaTheme="minorEastAsia"/>
                <w:sz w:val="18"/>
                <w:szCs w:val="18"/>
              </w:rPr>
              <w:t>不同</w:t>
            </w:r>
            <w:r>
              <w:rPr>
                <w:rFonts w:eastAsiaTheme="minorEastAsia"/>
                <w:sz w:val="18"/>
                <w:szCs w:val="18"/>
              </w:rPr>
              <w:t>知识</w:t>
            </w:r>
            <w:r>
              <w:rPr>
                <w:rFonts w:hint="eastAsia" w:eastAsiaTheme="minorEastAsia"/>
                <w:sz w:val="18"/>
                <w:szCs w:val="18"/>
              </w:rPr>
              <w:t>体系</w:t>
            </w:r>
            <w:r>
              <w:rPr>
                <w:rFonts w:eastAsiaTheme="minorEastAsia"/>
                <w:sz w:val="18"/>
                <w:szCs w:val="18"/>
              </w:rPr>
              <w:t>的</w:t>
            </w:r>
            <w:r>
              <w:rPr>
                <w:rFonts w:hint="eastAsia" w:eastAsiaTheme="minorEastAsia"/>
                <w:sz w:val="18"/>
                <w:szCs w:val="18"/>
              </w:rPr>
              <w:t>融合，新</w:t>
            </w:r>
            <w:r>
              <w:rPr>
                <w:rFonts w:eastAsiaTheme="minorEastAsia"/>
                <w:sz w:val="18"/>
                <w:szCs w:val="18"/>
              </w:rPr>
              <w:t>思路、新技术和新观点等创新意识的培养</w:t>
            </w:r>
            <w:r>
              <w:rPr>
                <w:rFonts w:hint="eastAsia" w:eastAsiaTheme="minorEastAsia"/>
                <w:sz w:val="18"/>
                <w:szCs w:val="18"/>
              </w:rPr>
              <w:t>。</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rPr>
            </w:pPr>
            <w:r>
              <w:rPr>
                <w:rFonts w:hint="eastAsia" w:eastAsiaTheme="minorEastAsia"/>
                <w:sz w:val="18"/>
                <w:szCs w:val="18"/>
              </w:rPr>
              <w:t>4</w:t>
            </w:r>
          </w:p>
          <w:p>
            <w:pPr>
              <w:spacing w:line="320" w:lineRule="exact"/>
              <w:jc w:val="center"/>
              <w:rPr>
                <w:rFonts w:eastAsiaTheme="minorEastAsia"/>
                <w:sz w:val="18"/>
                <w:szCs w:val="18"/>
              </w:rPr>
            </w:pPr>
            <w:r>
              <w:rPr>
                <w:rFonts w:hint="eastAsia" w:eastAsiaTheme="minorEastAsia"/>
                <w:sz w:val="18"/>
                <w:szCs w:val="18"/>
              </w:rPr>
              <w:t>7</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highlight w:val="yellow"/>
              </w:rPr>
            </w:pPr>
            <w:r>
              <w:rPr>
                <w:rFonts w:hAnsiTheme="minorEastAsia" w:eastAsiaTheme="minorEastAsia"/>
                <w:sz w:val="18"/>
                <w:szCs w:val="18"/>
              </w:rPr>
              <w:t>目标</w:t>
            </w:r>
            <w:r>
              <w:rPr>
                <w:rFonts w:eastAsiaTheme="minorEastAsia"/>
                <w:sz w:val="18"/>
                <w:szCs w:val="18"/>
              </w:rPr>
              <w:t>2</w:t>
            </w:r>
            <w:r>
              <w:rPr>
                <w:rFonts w:hAnsiTheme="minorEastAsia" w:eastAsiaTheme="minorEastAsia"/>
                <w:sz w:val="18"/>
                <w:szCs w:val="18"/>
              </w:rPr>
              <w:t>：</w:t>
            </w:r>
            <w:r>
              <w:rPr>
                <w:rFonts w:hint="eastAsia" w:hAnsiTheme="minorEastAsia" w:eastAsiaTheme="minorEastAsia"/>
                <w:sz w:val="18"/>
                <w:szCs w:val="18"/>
              </w:rPr>
              <w:t>使学生</w:t>
            </w:r>
            <w:r>
              <w:rPr>
                <w:rFonts w:hAnsiTheme="minorEastAsia" w:eastAsiaTheme="minorEastAsia"/>
                <w:sz w:val="18"/>
                <w:szCs w:val="18"/>
              </w:rPr>
              <w:t>具备理论联系实际的能力</w:t>
            </w:r>
            <w:r>
              <w:rPr>
                <w:rFonts w:hint="eastAsia" w:hAnsiTheme="minorEastAsia" w:eastAsiaTheme="minorEastAsia"/>
                <w:sz w:val="18"/>
                <w:szCs w:val="18"/>
              </w:rPr>
              <w:t>，</w:t>
            </w:r>
            <w:r>
              <w:rPr>
                <w:rFonts w:hAnsiTheme="minorEastAsia" w:eastAsiaTheme="minorEastAsia"/>
                <w:sz w:val="18"/>
                <w:szCs w:val="18"/>
              </w:rPr>
              <w:t>能针对</w:t>
            </w:r>
            <w:r>
              <w:rPr>
                <w:rFonts w:hint="eastAsia" w:hAnsiTheme="minorEastAsia" w:eastAsiaTheme="minorEastAsia"/>
                <w:sz w:val="18"/>
                <w:szCs w:val="18"/>
              </w:rPr>
              <w:t>具体</w:t>
            </w:r>
            <w:r>
              <w:rPr>
                <w:rFonts w:hAnsiTheme="minorEastAsia" w:eastAsiaTheme="minorEastAsia"/>
                <w:sz w:val="18"/>
                <w:szCs w:val="18"/>
              </w:rPr>
              <w:t>的</w:t>
            </w:r>
            <w:r>
              <w:rPr>
                <w:rFonts w:hint="eastAsia" w:hAnsiTheme="minorEastAsia" w:eastAsiaTheme="minorEastAsia"/>
                <w:sz w:val="18"/>
                <w:szCs w:val="18"/>
              </w:rPr>
              <w:t>生产问题</w:t>
            </w:r>
            <w:r>
              <w:rPr>
                <w:rFonts w:hAnsiTheme="minorEastAsia" w:eastAsiaTheme="minorEastAsia"/>
                <w:sz w:val="18"/>
                <w:szCs w:val="18"/>
              </w:rPr>
              <w:t>，</w:t>
            </w:r>
            <w:r>
              <w:rPr>
                <w:rFonts w:hint="eastAsia" w:hAnsiTheme="minorEastAsia" w:eastAsiaTheme="minorEastAsia"/>
                <w:sz w:val="18"/>
                <w:szCs w:val="18"/>
              </w:rPr>
              <w:t>提出</w:t>
            </w:r>
            <w:r>
              <w:rPr>
                <w:rFonts w:hAnsiTheme="minorEastAsia" w:eastAsiaTheme="minorEastAsia"/>
                <w:sz w:val="18"/>
                <w:szCs w:val="18"/>
              </w:rPr>
              <w:t>有针对性的激素</w:t>
            </w:r>
            <w:r>
              <w:rPr>
                <w:rFonts w:hint="eastAsia" w:hAnsiTheme="minorEastAsia" w:eastAsiaTheme="minorEastAsia"/>
                <w:sz w:val="18"/>
                <w:szCs w:val="18"/>
              </w:rPr>
              <w:t>运用</w:t>
            </w:r>
            <w:r>
              <w:rPr>
                <w:rFonts w:hAnsiTheme="minorEastAsia" w:eastAsiaTheme="minorEastAsia"/>
                <w:sz w:val="18"/>
                <w:szCs w:val="18"/>
              </w:rPr>
              <w:t>方法或技术。</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rPr>
            </w:pPr>
            <w:r>
              <w:rPr>
                <w:rFonts w:hint="eastAsia" w:eastAsiaTheme="minorEastAsia"/>
                <w:sz w:val="18"/>
                <w:szCs w:val="18"/>
              </w:rPr>
              <w:t>5</w:t>
            </w:r>
          </w:p>
          <w:p>
            <w:pPr>
              <w:spacing w:line="320" w:lineRule="exact"/>
              <w:jc w:val="center"/>
              <w:rPr>
                <w:rFonts w:eastAsiaTheme="minorEastAsia"/>
                <w:sz w:val="18"/>
                <w:szCs w:val="18"/>
              </w:rPr>
            </w:pPr>
            <w:r>
              <w:rPr>
                <w:rFonts w:hint="eastAsia" w:eastAsiaTheme="minorEastAsia"/>
                <w:sz w:val="18"/>
                <w:szCs w:val="18"/>
              </w:rPr>
              <w:t>6</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AnsiTheme="minorEastAsia" w:eastAsiaTheme="minorEastAsia"/>
                <w:sz w:val="18"/>
                <w:szCs w:val="18"/>
              </w:rPr>
              <w:t>目标</w:t>
            </w:r>
            <w:r>
              <w:rPr>
                <w:rFonts w:eastAsiaTheme="minorEastAsia"/>
                <w:sz w:val="18"/>
                <w:szCs w:val="18"/>
              </w:rPr>
              <w:t>3</w:t>
            </w:r>
            <w:r>
              <w:rPr>
                <w:rFonts w:hAnsiTheme="minorEastAsia" w:eastAsiaTheme="minorEastAsia"/>
                <w:sz w:val="18"/>
                <w:szCs w:val="18"/>
              </w:rPr>
              <w:t>：</w:t>
            </w:r>
            <w:r>
              <w:rPr>
                <w:rFonts w:hint="eastAsia" w:hAnsiTheme="minorEastAsia" w:eastAsiaTheme="minorEastAsia"/>
                <w:sz w:val="18"/>
                <w:szCs w:val="18"/>
              </w:rPr>
              <w:t>提升课程</w:t>
            </w:r>
            <w:r>
              <w:rPr>
                <w:rFonts w:hAnsiTheme="minorEastAsia" w:eastAsiaTheme="minorEastAsia"/>
                <w:sz w:val="18"/>
                <w:szCs w:val="18"/>
              </w:rPr>
              <w:t>内容和专业</w:t>
            </w:r>
            <w:r>
              <w:rPr>
                <w:rFonts w:hint="eastAsia" w:hAnsiTheme="minorEastAsia" w:eastAsiaTheme="minorEastAsia"/>
                <w:sz w:val="18"/>
                <w:szCs w:val="18"/>
              </w:rPr>
              <w:t>知识</w:t>
            </w:r>
            <w:r>
              <w:rPr>
                <w:rFonts w:hAnsiTheme="minorEastAsia" w:eastAsiaTheme="minorEastAsia"/>
                <w:sz w:val="18"/>
                <w:szCs w:val="18"/>
              </w:rPr>
              <w:t>的</w:t>
            </w:r>
            <w:r>
              <w:rPr>
                <w:rFonts w:hint="eastAsia" w:hAnsiTheme="minorEastAsia" w:eastAsiaTheme="minorEastAsia"/>
                <w:sz w:val="18"/>
                <w:szCs w:val="18"/>
              </w:rPr>
              <w:t>高度</w:t>
            </w:r>
            <w:r>
              <w:rPr>
                <w:rFonts w:hAnsiTheme="minorEastAsia" w:eastAsiaTheme="minorEastAsia"/>
                <w:sz w:val="18"/>
                <w:szCs w:val="18"/>
              </w:rPr>
              <w:t>，</w:t>
            </w:r>
            <w:r>
              <w:rPr>
                <w:rFonts w:hint="eastAsia" w:eastAsiaTheme="minorEastAsia"/>
                <w:sz w:val="18"/>
                <w:szCs w:val="18"/>
              </w:rPr>
              <w:t>使学生具备初步</w:t>
            </w:r>
            <w:r>
              <w:rPr>
                <w:rFonts w:eastAsiaTheme="minorEastAsia"/>
                <w:sz w:val="18"/>
                <w:szCs w:val="18"/>
              </w:rPr>
              <w:t>的科研</w:t>
            </w:r>
            <w:r>
              <w:rPr>
                <w:rFonts w:hint="eastAsia" w:eastAsiaTheme="minorEastAsia"/>
                <w:sz w:val="18"/>
                <w:szCs w:val="18"/>
              </w:rPr>
              <w:t>文献</w:t>
            </w:r>
            <w:r>
              <w:rPr>
                <w:rFonts w:eastAsiaTheme="minorEastAsia"/>
                <w:sz w:val="18"/>
                <w:szCs w:val="18"/>
              </w:rPr>
              <w:t>查阅、分析</w:t>
            </w:r>
            <w:r>
              <w:rPr>
                <w:rFonts w:hint="eastAsia" w:eastAsiaTheme="minorEastAsia"/>
                <w:sz w:val="18"/>
                <w:szCs w:val="18"/>
              </w:rPr>
              <w:t>和创新</w:t>
            </w:r>
            <w:r>
              <w:rPr>
                <w:rFonts w:eastAsiaTheme="minorEastAsia"/>
                <w:sz w:val="18"/>
                <w:szCs w:val="18"/>
              </w:rPr>
              <w:t>的能力。</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 w:val="18"/>
                <w:szCs w:val="18"/>
              </w:rPr>
            </w:pPr>
            <w:r>
              <w:rPr>
                <w:rFonts w:hint="eastAsia" w:eastAsiaTheme="minorEastAsia"/>
                <w:sz w:val="18"/>
                <w:szCs w:val="18"/>
              </w:rPr>
              <w:t>10</w:t>
            </w:r>
          </w:p>
        </w:tc>
      </w:tr>
    </w:tbl>
    <w:p>
      <w:pPr>
        <w:spacing w:line="360" w:lineRule="auto"/>
        <w:ind w:firstLine="420" w:firstLineChars="200"/>
        <w:rPr>
          <w:rFonts w:hAnsi="宋体"/>
          <w:bCs/>
          <w:color w:val="0000FF"/>
          <w:kern w:val="0"/>
          <w:szCs w:val="21"/>
        </w:rPr>
      </w:pPr>
    </w:p>
    <w:p>
      <w:pPr>
        <w:widowControl/>
        <w:snapToGrid w:val="0"/>
        <w:spacing w:line="360" w:lineRule="auto"/>
        <w:jc w:val="left"/>
        <w:rPr>
          <w:rFonts w:hAnsi="宋体"/>
          <w:bCs/>
          <w:color w:val="0000FF"/>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w:t>
      </w:r>
      <w:r>
        <w:rPr>
          <w:rFonts w:hAnsi="宋体"/>
          <w:b/>
          <w:bCs/>
          <w:kern w:val="0"/>
          <w:szCs w:val="21"/>
        </w:rPr>
        <w:t>16</w:t>
      </w:r>
      <w:r>
        <w:rPr>
          <w:rFonts w:hint="eastAsia" w:hAnsi="宋体"/>
          <w:b/>
          <w:bCs/>
          <w:kern w:val="0"/>
          <w:szCs w:val="21"/>
        </w:rPr>
        <w:t>学时）</w:t>
      </w:r>
    </w:p>
    <w:tbl>
      <w:tblPr>
        <w:tblStyle w:val="22"/>
        <w:tblW w:w="0" w:type="auto"/>
        <w:tblInd w:w="4" w:type="dxa"/>
        <w:tblLayout w:type="autofit"/>
        <w:tblCellMar>
          <w:top w:w="0" w:type="dxa"/>
          <w:left w:w="0" w:type="dxa"/>
          <w:bottom w:w="0" w:type="dxa"/>
          <w:right w:w="0" w:type="dxa"/>
        </w:tblCellMar>
      </w:tblPr>
      <w:tblGrid>
        <w:gridCol w:w="2965"/>
        <w:gridCol w:w="2965"/>
        <w:gridCol w:w="2966"/>
      </w:tblGrid>
      <w:tr>
        <w:tblPrEx>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p>
        </w:tc>
        <w:tc>
          <w:tcPr>
            <w:tcW w:w="2965" w:type="dxa"/>
            <w:tcBorders>
              <w:top w:val="nil"/>
              <w:left w:val="nil"/>
              <w:bottom w:val="nil"/>
              <w:right w:val="nil"/>
            </w:tcBorders>
            <w:vAlign w:val="center"/>
          </w:tcPr>
          <w:p>
            <w:pPr>
              <w:widowControl/>
              <w:snapToGrid w:val="0"/>
              <w:spacing w:line="360" w:lineRule="auto"/>
              <w:ind w:firstLine="422"/>
              <w:jc w:val="center"/>
              <w:rPr>
                <w:rFonts w:hAnsi="宋体"/>
                <w:b/>
                <w:bCs/>
                <w:szCs w:val="21"/>
              </w:rPr>
            </w:pPr>
            <w:r>
              <w:rPr>
                <w:rFonts w:hint="eastAsia" w:hAnsi="宋体"/>
                <w:b/>
                <w:bCs/>
                <w:szCs w:val="21"/>
              </w:rPr>
              <w:t>绪论</w:t>
            </w:r>
          </w:p>
        </w:tc>
        <w:tc>
          <w:tcPr>
            <w:tcW w:w="2966" w:type="dxa"/>
            <w:tcBorders>
              <w:top w:val="nil"/>
              <w:left w:val="nil"/>
              <w:bottom w:val="nil"/>
              <w:right w:val="nil"/>
            </w:tcBorders>
            <w:vAlign w:val="center"/>
          </w:tcPr>
          <w:p>
            <w:pPr>
              <w:widowControl/>
              <w:snapToGrid w:val="0"/>
              <w:spacing w:line="360" w:lineRule="auto"/>
              <w:ind w:firstLine="422"/>
              <w:jc w:val="right"/>
              <w:rPr>
                <w:rFonts w:hAnsi="宋体"/>
                <w:b/>
                <w:bCs/>
                <w:szCs w:val="21"/>
              </w:rPr>
            </w:pPr>
            <w:r>
              <w:rPr>
                <w:rFonts w:hAnsi="宋体"/>
                <w:b/>
                <w:bCs/>
                <w:szCs w:val="21"/>
              </w:rPr>
              <w:t>学时</w:t>
            </w:r>
            <w:r>
              <w:rPr>
                <w:rFonts w:hint="eastAsia" w:hAnsi="宋体"/>
                <w:b/>
                <w:bCs/>
                <w:szCs w:val="21"/>
              </w:rPr>
              <w:t>数：</w:t>
            </w:r>
            <w:r>
              <w:rPr>
                <w:rFonts w:hAnsi="宋体"/>
                <w:b/>
                <w:bCs/>
                <w:szCs w:val="21"/>
              </w:rPr>
              <w:t>1</w:t>
            </w:r>
          </w:p>
        </w:tc>
      </w:tr>
    </w:tbl>
    <w:p>
      <w:pPr>
        <w:widowControl/>
        <w:snapToGrid w:val="0"/>
        <w:spacing w:line="360" w:lineRule="auto"/>
        <w:rPr>
          <w:rFonts w:hAnsi="宋体"/>
          <w:b/>
          <w:bCs/>
          <w:kern w:val="0"/>
          <w:szCs w:val="21"/>
        </w:rPr>
      </w:pPr>
      <w:r>
        <w:rPr>
          <w:rFonts w:hint="eastAsia" w:ascii="宋体" w:hAnsi="宋体"/>
          <w:b/>
          <w:bCs/>
        </w:rPr>
        <w:t>教学目标：</w:t>
      </w:r>
      <w:r>
        <w:rPr>
          <w:rFonts w:hint="eastAsia" w:ascii="宋体" w:hAnsi="宋体" w:cs="宋体"/>
          <w:szCs w:val="21"/>
        </w:rPr>
        <w:t>对植物生长调节剂的发现、利用和研究进行初步的认识和了解。</w:t>
      </w:r>
    </w:p>
    <w:p>
      <w:pPr>
        <w:widowControl/>
        <w:snapToGrid w:val="0"/>
        <w:spacing w:line="360" w:lineRule="auto"/>
        <w:rPr>
          <w:rFonts w:ascii="宋体" w:hAnsi="宋体"/>
          <w:bCs/>
          <w:color w:val="0000FF"/>
        </w:rPr>
      </w:pPr>
      <w:r>
        <w:rPr>
          <w:rFonts w:hint="eastAsia" w:ascii="宋体" w:hAnsi="宋体"/>
          <w:b/>
          <w:bCs/>
        </w:rPr>
        <w:t>教学重点和难点：</w:t>
      </w:r>
    </w:p>
    <w:p>
      <w:pPr>
        <w:pStyle w:val="20"/>
        <w:wordWrap w:val="0"/>
        <w:spacing w:before="0" w:beforeAutospacing="0" w:after="0" w:afterAutospacing="0" w:line="360" w:lineRule="auto"/>
        <w:ind w:firstLine="420"/>
        <w:jc w:val="both"/>
        <w:rPr>
          <w:rFonts w:ascii="宋体" w:hAnsi="宋体" w:eastAsia="宋体" w:cs="宋体"/>
          <w:sz w:val="21"/>
          <w:szCs w:val="21"/>
        </w:rPr>
      </w:pPr>
      <w:r>
        <w:rPr>
          <w:rFonts w:hint="eastAsia" w:ascii="宋体" w:hAnsi="宋体" w:eastAsia="宋体" w:cs="宋体"/>
          <w:color w:val="000000"/>
          <w:sz w:val="21"/>
          <w:szCs w:val="21"/>
        </w:rPr>
        <w:t>重点：植物激素和植物生长调节剂的相关概念、特点和知识体系</w:t>
      </w:r>
    </w:p>
    <w:p>
      <w:pPr>
        <w:pStyle w:val="20"/>
        <w:wordWrap w:val="0"/>
        <w:spacing w:before="0" w:beforeAutospacing="0" w:after="0" w:afterAutospacing="0" w:line="360" w:lineRule="auto"/>
        <w:ind w:firstLine="420"/>
        <w:jc w:val="both"/>
        <w:rPr>
          <w:rFonts w:ascii="宋体" w:hAnsi="宋体" w:eastAsia="宋体" w:cs="宋体"/>
          <w:sz w:val="21"/>
          <w:szCs w:val="21"/>
        </w:rPr>
      </w:pPr>
      <w:r>
        <w:rPr>
          <w:rFonts w:hint="eastAsia" w:ascii="宋体" w:hAnsi="宋体" w:eastAsia="宋体" w:cs="宋体"/>
          <w:color w:val="000000"/>
          <w:sz w:val="21"/>
          <w:szCs w:val="21"/>
        </w:rPr>
        <w:t>难点：国内外植物生长调节剂应用的主要进展</w:t>
      </w:r>
    </w:p>
    <w:p>
      <w:pPr>
        <w:pStyle w:val="7"/>
        <w:snapToGrid w:val="0"/>
        <w:spacing w:line="360" w:lineRule="auto"/>
        <w:ind w:firstLine="0" w:firstLineChars="0"/>
        <w:rPr>
          <w:rFonts w:ascii="宋体" w:hAnsi="宋体"/>
          <w:color w:val="0000FF"/>
        </w:rPr>
      </w:pPr>
      <w:r>
        <w:rPr>
          <w:rFonts w:hint="eastAsia" w:ascii="宋体" w:hAnsi="宋体"/>
          <w:b/>
        </w:rPr>
        <w:t>主要教学内容及要求：</w:t>
      </w:r>
    </w:p>
    <w:p>
      <w:pPr>
        <w:widowControl/>
        <w:wordWrap w:val="0"/>
        <w:snapToGrid w:val="0"/>
        <w:spacing w:line="360" w:lineRule="auto"/>
        <w:ind w:firstLine="420" w:firstLineChars="200"/>
        <w:rPr>
          <w:rFonts w:ascii="宋体" w:hAnsi="宋体"/>
          <w:b/>
          <w:bCs/>
        </w:rPr>
      </w:pPr>
      <w:r>
        <w:rPr>
          <w:rFonts w:hint="eastAsia" w:ascii="宋体" w:hAnsi="宋体" w:cs="宋体"/>
          <w:color w:val="000000"/>
          <w:szCs w:val="21"/>
        </w:rPr>
        <w:t>了解国内外植物生长调节剂应用的主要进展。</w:t>
      </w:r>
    </w:p>
    <w:p>
      <w:pPr>
        <w:widowControl/>
        <w:wordWrap w:val="0"/>
        <w:snapToGrid w:val="0"/>
        <w:spacing w:line="360" w:lineRule="auto"/>
        <w:ind w:firstLine="420" w:firstLineChars="200"/>
        <w:rPr>
          <w:rFonts w:ascii="宋体" w:hAnsi="宋体" w:cs="宋体"/>
          <w:color w:val="000000"/>
          <w:szCs w:val="21"/>
        </w:rPr>
      </w:pPr>
      <w:r>
        <w:rPr>
          <w:rFonts w:hint="eastAsia" w:ascii="宋体" w:hAnsi="宋体" w:cs="宋体"/>
          <w:color w:val="000000"/>
          <w:szCs w:val="21"/>
        </w:rPr>
        <w:t>掌握植物生长调节剂的概念。</w:t>
      </w:r>
    </w:p>
    <w:p>
      <w:pPr>
        <w:pStyle w:val="7"/>
        <w:snapToGrid w:val="0"/>
        <w:spacing w:line="360" w:lineRule="auto"/>
        <w:rPr>
          <w:rFonts w:ascii="宋体" w:hAnsi="宋体"/>
          <w:color w:val="0000FF"/>
        </w:rPr>
      </w:pPr>
      <w:r>
        <w:rPr>
          <w:rFonts w:hint="eastAsia" w:ascii="宋体" w:hAnsi="宋体" w:cs="宋体"/>
          <w:color w:val="000000"/>
          <w:szCs w:val="21"/>
        </w:rPr>
        <w:t>理解植物生长调节剂的特点、意义、任务和知识体系。</w:t>
      </w:r>
    </w:p>
    <w:p>
      <w:pPr>
        <w:widowControl/>
        <w:snapToGrid w:val="0"/>
        <w:spacing w:line="360" w:lineRule="auto"/>
        <w:rPr>
          <w:rFonts w:ascii="宋体" w:hAnsi="宋体"/>
          <w:b/>
          <w:bCs/>
        </w:rPr>
      </w:pPr>
      <w:r>
        <w:rPr>
          <w:rFonts w:hint="eastAsia" w:ascii="宋体" w:hAnsi="宋体"/>
          <w:b/>
          <w:bCs/>
        </w:rPr>
        <w:t>教学组织与实施：</w:t>
      </w:r>
    </w:p>
    <w:p>
      <w:pPr>
        <w:widowControl/>
        <w:snapToGrid w:val="0"/>
        <w:spacing w:line="360" w:lineRule="auto"/>
        <w:ind w:firstLine="420" w:firstLineChars="200"/>
        <w:rPr>
          <w:rFonts w:hAnsi="宋体"/>
          <w:kern w:val="0"/>
          <w:szCs w:val="21"/>
        </w:rPr>
      </w:pPr>
      <w:r>
        <w:rPr>
          <w:rFonts w:hint="eastAsia" w:ascii="宋体" w:hAnsi="宋体"/>
          <w:bCs/>
        </w:rPr>
        <w:t>以</w:t>
      </w:r>
      <w:r>
        <w:rPr>
          <w:rFonts w:ascii="宋体" w:hAnsi="宋体"/>
          <w:bCs/>
        </w:rPr>
        <w:t>学生为本，</w:t>
      </w:r>
      <w:r>
        <w:rPr>
          <w:rFonts w:hAnsi="宋体"/>
          <w:kern w:val="0"/>
          <w:szCs w:val="21"/>
        </w:rPr>
        <w:t>通过课堂讲授</w:t>
      </w:r>
      <w:r>
        <w:rPr>
          <w:rFonts w:hint="eastAsia" w:hAnsi="宋体"/>
          <w:kern w:val="0"/>
          <w:szCs w:val="21"/>
        </w:rPr>
        <w:t>和</w:t>
      </w:r>
      <w:r>
        <w:rPr>
          <w:rFonts w:hAnsi="宋体"/>
          <w:kern w:val="0"/>
          <w:szCs w:val="21"/>
        </w:rPr>
        <w:t>课下</w:t>
      </w:r>
      <w:r>
        <w:rPr>
          <w:rFonts w:hint="eastAsia" w:hAnsi="宋体"/>
          <w:kern w:val="0"/>
          <w:szCs w:val="21"/>
        </w:rPr>
        <w:t>拓展与</w:t>
      </w:r>
      <w:r>
        <w:rPr>
          <w:rFonts w:hAnsi="宋体"/>
          <w:kern w:val="0"/>
          <w:szCs w:val="21"/>
        </w:rPr>
        <w:t>问答等方式</w:t>
      </w:r>
      <w:r>
        <w:rPr>
          <w:rFonts w:hint="eastAsia" w:hAnsi="宋体"/>
          <w:kern w:val="0"/>
          <w:szCs w:val="21"/>
        </w:rPr>
        <w:t>组织</w:t>
      </w:r>
      <w:r>
        <w:rPr>
          <w:rFonts w:hAnsi="宋体"/>
          <w:kern w:val="0"/>
          <w:szCs w:val="21"/>
        </w:rPr>
        <w:t>教学活动</w:t>
      </w:r>
      <w:r>
        <w:rPr>
          <w:rFonts w:hint="eastAsia" w:hAnsi="宋体"/>
          <w:kern w:val="0"/>
          <w:szCs w:val="21"/>
        </w:rPr>
        <w:t>。</w:t>
      </w:r>
    </w:p>
    <w:p>
      <w:pPr>
        <w:widowControl/>
        <w:snapToGrid w:val="0"/>
        <w:spacing w:line="360" w:lineRule="auto"/>
        <w:ind w:firstLine="422" w:firstLineChars="200"/>
        <w:rPr>
          <w:rFonts w:ascii="宋体" w:hAnsi="宋体"/>
          <w:b/>
          <w:bCs/>
        </w:rPr>
      </w:pPr>
    </w:p>
    <w:p>
      <w:pPr>
        <w:widowControl/>
        <w:wordWrap w:val="0"/>
        <w:snapToGrid w:val="0"/>
        <w:spacing w:line="360" w:lineRule="auto"/>
        <w:ind w:left="1265" w:hanging="1265" w:hangingChars="600"/>
        <w:jc w:val="right"/>
        <w:rPr>
          <w:rFonts w:ascii="宋体" w:hAnsi="宋体" w:cs="宋体"/>
          <w:b/>
          <w:bCs/>
          <w:kern w:val="0"/>
          <w:szCs w:val="21"/>
        </w:rPr>
      </w:pPr>
      <w:r>
        <w:rPr>
          <w:rFonts w:hint="eastAsia" w:ascii="宋体" w:hAnsi="宋体" w:cs="宋体"/>
          <w:b/>
          <w:bCs/>
          <w:kern w:val="0"/>
          <w:szCs w:val="21"/>
        </w:rPr>
        <w:t>第一章 植物生长调节剂的种类及其性质               学时数</w:t>
      </w:r>
      <w:r>
        <w:rPr>
          <w:rFonts w:ascii="宋体" w:hAnsi="宋体" w:cs="宋体"/>
          <w:b/>
          <w:bCs/>
          <w:kern w:val="0"/>
          <w:szCs w:val="21"/>
        </w:rPr>
        <w:t>：</w:t>
      </w:r>
      <w:r>
        <w:rPr>
          <w:rFonts w:hint="eastAsia" w:ascii="宋体" w:hAnsi="宋体" w:cs="宋体"/>
          <w:b/>
          <w:bCs/>
          <w:kern w:val="0"/>
          <w:szCs w:val="21"/>
        </w:rPr>
        <w:t>3</w:t>
      </w:r>
      <w:r>
        <w:rPr>
          <w:rFonts w:ascii="宋体" w:hAnsi="宋体" w:cs="宋体"/>
          <w:b/>
          <w:bCs/>
          <w:kern w:val="0"/>
          <w:szCs w:val="21"/>
        </w:rPr>
        <w:t xml:space="preserve"> </w:t>
      </w:r>
    </w:p>
    <w:p>
      <w:pPr>
        <w:pStyle w:val="20"/>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第一节 植物生长促进剂（1学时）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w:t>
      </w:r>
      <w:r>
        <w:rPr>
          <w:rFonts w:hint="eastAsia" w:ascii="宋体" w:hAnsi="宋体" w:cs="宋体"/>
          <w:color w:val="000000"/>
          <w:szCs w:val="21"/>
        </w:rPr>
        <w:t>植物生长促进剂</w:t>
      </w:r>
      <w:r>
        <w:rPr>
          <w:rFonts w:hint="eastAsia" w:ascii="宋体" w:hAnsi="宋体" w:cs="宋体"/>
          <w:szCs w:val="21"/>
        </w:rPr>
        <w:t>的种类、理化性质、生理作用和调控机理等。</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重点：植物生长促进剂的分布、合成、代谢、运输、生理功能。</w:t>
      </w:r>
    </w:p>
    <w:p>
      <w:pPr>
        <w:pStyle w:val="20"/>
        <w:wordWrap w:val="0"/>
        <w:spacing w:before="0" w:beforeAutospacing="0" w:after="0" w:afterAutospacing="0" w:line="360" w:lineRule="auto"/>
        <w:ind w:firstLine="420" w:firstLineChars="200"/>
        <w:jc w:val="both"/>
        <w:rPr>
          <w:rFonts w:ascii="宋体" w:hAnsi="宋体" w:eastAsia="宋体" w:cs="宋体"/>
          <w:sz w:val="21"/>
          <w:szCs w:val="21"/>
        </w:rPr>
      </w:pPr>
      <w:r>
        <w:rPr>
          <w:rFonts w:hint="eastAsia" w:ascii="宋体" w:hAnsi="宋体" w:eastAsia="宋体" w:cs="宋体"/>
          <w:color w:val="000000"/>
          <w:sz w:val="21"/>
          <w:szCs w:val="21"/>
        </w:rPr>
        <w:t>难点：植物生长促进剂的信号系统和作用机理。</w:t>
      </w:r>
    </w:p>
    <w:p>
      <w:pPr>
        <w:widowControl/>
        <w:wordWrap w:val="0"/>
        <w:snapToGrid w:val="0"/>
        <w:spacing w:line="360" w:lineRule="auto"/>
        <w:ind w:left="1265" w:hanging="1265" w:hangingChars="600"/>
        <w:rPr>
          <w:rFonts w:ascii="宋体" w:hAnsi="宋体"/>
          <w:b/>
          <w:bCs/>
        </w:rPr>
      </w:pPr>
      <w:r>
        <w:rPr>
          <w:rFonts w:hint="eastAsia" w:ascii="宋体" w:hAnsi="宋体"/>
          <w:b/>
          <w:bCs/>
        </w:rPr>
        <w:t>主要教学内容及要求：</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了解激动素（KT）、CPPU的功能、作用机理和施用方法；</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理解</w:t>
      </w:r>
      <w:r>
        <w:rPr>
          <w:rFonts w:ascii="宋体" w:hAnsi="宋体" w:eastAsia="宋体" w:cs="宋体"/>
          <w:color w:val="000000"/>
          <w:sz w:val="21"/>
          <w:szCs w:val="21"/>
        </w:rPr>
        <w:t>独角金内酯</w:t>
      </w:r>
      <w:r>
        <w:rPr>
          <w:rFonts w:hint="eastAsia" w:ascii="宋体" w:hAnsi="宋体" w:eastAsia="宋体" w:cs="宋体"/>
          <w:color w:val="000000"/>
          <w:sz w:val="21"/>
          <w:szCs w:val="21"/>
        </w:rPr>
        <w:t>、乙烯利（ETH）、油菜素内酯（BR）、多胺、水杨酸等的功能、作用机理和施用方法；</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掌握吲哚乙酸（IAA）、吲哚丁酸 (IBA)、 萘乙酸 (NAA)）、2，4－D、防落素（PCPA或4-CPA）、赤霉素（GA</w:t>
      </w:r>
      <w:r>
        <w:rPr>
          <w:rFonts w:hint="eastAsia" w:ascii="宋体" w:hAnsi="宋体" w:eastAsia="宋体" w:cs="宋体"/>
          <w:color w:val="000000"/>
          <w:sz w:val="21"/>
          <w:szCs w:val="21"/>
          <w:vertAlign w:val="subscript"/>
        </w:rPr>
        <w:t>3</w:t>
      </w:r>
      <w:r>
        <w:rPr>
          <w:rFonts w:hint="eastAsia" w:ascii="宋体" w:hAnsi="宋体" w:eastAsia="宋体" w:cs="宋体"/>
          <w:color w:val="000000"/>
          <w:sz w:val="21"/>
          <w:szCs w:val="21"/>
        </w:rPr>
        <w:t>）、6-苄基氨基嘌呤（6－BA）的功能、作用机理和施用方法。</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firstLineChars="200"/>
        <w:jc w:val="both"/>
        <w:rPr>
          <w:rFonts w:cs="宋体" w:asciiTheme="minorEastAsia" w:hAnsiTheme="minorEastAsia" w:eastAsiaTheme="minorEastAsia"/>
          <w:sz w:val="21"/>
          <w:szCs w:val="21"/>
        </w:rPr>
      </w:pPr>
      <w:r>
        <w:rPr>
          <w:rFonts w:hint="eastAsia" w:ascii="宋体" w:hAnsi="宋体" w:eastAsia="宋体" w:cs="宋体"/>
          <w:color w:val="000000"/>
          <w:sz w:val="21"/>
          <w:szCs w:val="21"/>
        </w:rPr>
        <w:t>以PPT和</w:t>
      </w:r>
      <w:r>
        <w:rPr>
          <w:rFonts w:ascii="宋体" w:hAnsi="宋体" w:eastAsia="宋体" w:cs="宋体"/>
          <w:color w:val="000000"/>
          <w:sz w:val="21"/>
          <w:szCs w:val="21"/>
        </w:rPr>
        <w:t>视频为主，通过讲授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组织学生认知</w:t>
      </w:r>
      <w:r>
        <w:rPr>
          <w:rFonts w:ascii="宋体" w:hAnsi="宋体" w:eastAsia="宋体" w:cs="宋体"/>
          <w:color w:val="000000"/>
          <w:sz w:val="21"/>
          <w:szCs w:val="21"/>
        </w:rPr>
        <w:t>和接受课程内容</w:t>
      </w:r>
      <w:r>
        <w:rPr>
          <w:rFonts w:hint="eastAsia" w:ascii="宋体" w:hAnsi="宋体" w:eastAsia="宋体" w:cs="宋体"/>
          <w:color w:val="000000"/>
          <w:sz w:val="21"/>
          <w:szCs w:val="21"/>
        </w:rPr>
        <w:t>。</w:t>
      </w:r>
    </w:p>
    <w:p>
      <w:pPr>
        <w:pStyle w:val="20"/>
        <w:numPr>
          <w:ilvl w:val="0"/>
          <w:numId w:val="37"/>
        </w:numPr>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植物生长抑制剂（1学时）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w:t>
      </w:r>
      <w:r>
        <w:rPr>
          <w:rFonts w:hint="eastAsia" w:ascii="宋体" w:hAnsi="宋体" w:cs="宋体"/>
          <w:color w:val="000000"/>
          <w:szCs w:val="21"/>
        </w:rPr>
        <w:t>植物生长抑制剂</w:t>
      </w:r>
      <w:r>
        <w:rPr>
          <w:rFonts w:hint="eastAsia" w:ascii="宋体" w:hAnsi="宋体" w:cs="宋体"/>
          <w:szCs w:val="21"/>
        </w:rPr>
        <w:t>的种类、生理作用和调控机理等。</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重点：植物生长抑制剂的分布、合成、代谢、运输、生理功能。</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难点：植物生长抑制剂的信号系统和作用机理。</w:t>
      </w:r>
    </w:p>
    <w:p>
      <w:pPr>
        <w:widowControl/>
        <w:wordWrap w:val="0"/>
        <w:snapToGrid w:val="0"/>
        <w:spacing w:line="360" w:lineRule="auto"/>
        <w:ind w:left="1265" w:hanging="1265" w:hangingChars="600"/>
        <w:rPr>
          <w:rFonts w:ascii="宋体" w:hAnsi="宋体"/>
          <w:b/>
          <w:bCs/>
        </w:rPr>
      </w:pPr>
      <w:r>
        <w:rPr>
          <w:rFonts w:hint="eastAsia" w:ascii="宋体" w:hAnsi="宋体"/>
          <w:b/>
          <w:bCs/>
        </w:rPr>
        <w:t>主要教学内容及要求：</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了解和理解脱落酸（ABA）、青鲜素（MH）、三碘苯甲酸（TIBA）、整型素、增甘膦等生长抑制剂的功能、作用机制和施用方法等。</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jc w:val="both"/>
        <w:rPr>
          <w:rFonts w:ascii="宋体" w:hAnsi="宋体" w:eastAsia="宋体" w:cs="宋体"/>
          <w:sz w:val="21"/>
          <w:szCs w:val="21"/>
        </w:rPr>
      </w:pPr>
      <w:r>
        <w:rPr>
          <w:rFonts w:hint="eastAsia" w:ascii="宋体" w:hAnsi="宋体" w:eastAsia="宋体" w:cs="宋体"/>
          <w:color w:val="000000"/>
          <w:sz w:val="21"/>
          <w:szCs w:val="21"/>
        </w:rPr>
        <w:t>以PPT和</w:t>
      </w:r>
      <w:r>
        <w:rPr>
          <w:rFonts w:ascii="宋体" w:hAnsi="宋体" w:eastAsia="宋体" w:cs="宋体"/>
          <w:color w:val="000000"/>
          <w:sz w:val="21"/>
          <w:szCs w:val="21"/>
        </w:rPr>
        <w:t>视频为主，通过讲授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组织学生认知</w:t>
      </w:r>
      <w:r>
        <w:rPr>
          <w:rFonts w:ascii="宋体" w:hAnsi="宋体" w:eastAsia="宋体" w:cs="宋体"/>
          <w:color w:val="000000"/>
          <w:sz w:val="21"/>
          <w:szCs w:val="21"/>
        </w:rPr>
        <w:t>和接受课程内容</w:t>
      </w:r>
      <w:r>
        <w:rPr>
          <w:rFonts w:hint="eastAsia" w:ascii="宋体" w:hAnsi="宋体" w:eastAsia="宋体" w:cs="宋体"/>
          <w:color w:val="000000"/>
          <w:sz w:val="21"/>
          <w:szCs w:val="21"/>
        </w:rPr>
        <w:t>。</w:t>
      </w:r>
    </w:p>
    <w:p>
      <w:pPr>
        <w:pStyle w:val="20"/>
        <w:wordWrap w:val="0"/>
        <w:spacing w:before="0" w:beforeAutospacing="0" w:after="0" w:afterAutospacing="0" w:line="360" w:lineRule="auto"/>
        <w:ind w:firstLine="422"/>
        <w:jc w:val="both"/>
        <w:rPr>
          <w:rFonts w:ascii="宋体" w:hAnsi="宋体" w:eastAsia="宋体" w:cs="宋体"/>
          <w:b/>
          <w:bCs/>
          <w:sz w:val="21"/>
          <w:szCs w:val="21"/>
        </w:rPr>
      </w:pPr>
      <w:r>
        <w:rPr>
          <w:rFonts w:hint="eastAsia" w:ascii="宋体" w:hAnsi="宋体" w:eastAsia="宋体" w:cs="宋体"/>
          <w:b/>
          <w:bCs/>
          <w:color w:val="000000"/>
          <w:sz w:val="21"/>
          <w:szCs w:val="21"/>
        </w:rPr>
        <w:t>第三节 植物生长延缓剂（1学时）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w:t>
      </w:r>
      <w:r>
        <w:rPr>
          <w:rFonts w:hint="eastAsia" w:ascii="宋体" w:hAnsi="宋体" w:cs="宋体"/>
          <w:color w:val="000000"/>
          <w:szCs w:val="21"/>
        </w:rPr>
        <w:t>植物生长延缓剂</w:t>
      </w:r>
      <w:r>
        <w:rPr>
          <w:rFonts w:hint="eastAsia" w:ascii="宋体" w:hAnsi="宋体" w:cs="宋体"/>
          <w:szCs w:val="21"/>
        </w:rPr>
        <w:t>的种类、生理作用和调控机理等。</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w:t>
      </w:r>
      <w:r>
        <w:rPr>
          <w:rFonts w:hint="eastAsia" w:ascii="宋体" w:hAnsi="宋体" w:cs="宋体"/>
          <w:color w:val="000000"/>
          <w:sz w:val="21"/>
          <w:szCs w:val="21"/>
        </w:rPr>
        <w:t>延缓</w:t>
      </w:r>
      <w:r>
        <w:rPr>
          <w:rFonts w:hint="eastAsia" w:ascii="宋体" w:hAnsi="宋体" w:eastAsia="宋体" w:cs="宋体"/>
          <w:color w:val="000000"/>
          <w:sz w:val="21"/>
          <w:szCs w:val="21"/>
        </w:rPr>
        <w:t>剂的分布、合成、代谢、运输、生理功能。</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难点：植物生长</w:t>
      </w:r>
      <w:r>
        <w:rPr>
          <w:rFonts w:hint="eastAsia" w:ascii="宋体" w:hAnsi="宋体" w:cs="宋体"/>
          <w:color w:val="000000"/>
          <w:sz w:val="21"/>
          <w:szCs w:val="21"/>
        </w:rPr>
        <w:t>延缓</w:t>
      </w:r>
      <w:r>
        <w:rPr>
          <w:rFonts w:hint="eastAsia" w:ascii="宋体" w:hAnsi="宋体" w:eastAsia="宋体" w:cs="宋体"/>
          <w:color w:val="000000"/>
          <w:sz w:val="21"/>
          <w:szCs w:val="21"/>
        </w:rPr>
        <w:t>剂的信号系统和作用机理。</w:t>
      </w:r>
    </w:p>
    <w:p>
      <w:pPr>
        <w:widowControl/>
        <w:wordWrap w:val="0"/>
        <w:snapToGrid w:val="0"/>
        <w:spacing w:line="360" w:lineRule="auto"/>
        <w:ind w:left="1265" w:hanging="1265" w:hangingChars="600"/>
        <w:rPr>
          <w:rFonts w:ascii="宋体" w:hAnsi="宋体"/>
          <w:b/>
          <w:bCs/>
        </w:rPr>
      </w:pPr>
      <w:r>
        <w:rPr>
          <w:rFonts w:hint="eastAsia" w:ascii="宋体" w:hAnsi="宋体"/>
          <w:b/>
          <w:bCs/>
        </w:rPr>
        <w:t>主要教学内容及要求：</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了解和理解矮壮素（CCC）、比久（B9）、多效唑（PP333）、粉锈宁、氯化胆碱、烯效唑等生长</w:t>
      </w:r>
      <w:r>
        <w:rPr>
          <w:rFonts w:hint="eastAsia" w:ascii="宋体" w:hAnsi="宋体" w:cs="宋体"/>
          <w:color w:val="000000"/>
          <w:sz w:val="21"/>
          <w:szCs w:val="21"/>
        </w:rPr>
        <w:t>延缓</w:t>
      </w:r>
      <w:r>
        <w:rPr>
          <w:rFonts w:hint="eastAsia" w:ascii="宋体" w:hAnsi="宋体" w:eastAsia="宋体" w:cs="宋体"/>
          <w:color w:val="000000"/>
          <w:sz w:val="21"/>
          <w:szCs w:val="21"/>
        </w:rPr>
        <w:t xml:space="preserve">剂的功能、作用机制和施用方法等。 </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以PPT和</w:t>
      </w:r>
      <w:r>
        <w:rPr>
          <w:rFonts w:ascii="宋体" w:hAnsi="宋体" w:eastAsia="宋体" w:cs="宋体"/>
          <w:color w:val="000000"/>
          <w:sz w:val="21"/>
          <w:szCs w:val="21"/>
        </w:rPr>
        <w:t>视频为主，通过讲授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组织学生认知</w:t>
      </w:r>
      <w:r>
        <w:rPr>
          <w:rFonts w:ascii="宋体" w:hAnsi="宋体" w:eastAsia="宋体" w:cs="宋体"/>
          <w:color w:val="000000"/>
          <w:sz w:val="21"/>
          <w:szCs w:val="21"/>
        </w:rPr>
        <w:t>和接受课程内容</w:t>
      </w:r>
      <w:r>
        <w:rPr>
          <w:rFonts w:hint="eastAsia" w:ascii="宋体" w:hAnsi="宋体" w:eastAsia="宋体" w:cs="宋体"/>
          <w:color w:val="000000"/>
          <w:sz w:val="21"/>
          <w:szCs w:val="21"/>
        </w:rPr>
        <w:t>。</w:t>
      </w:r>
    </w:p>
    <w:p>
      <w:pPr>
        <w:widowControl/>
        <w:wordWrap w:val="0"/>
        <w:snapToGrid w:val="0"/>
        <w:spacing w:line="360" w:lineRule="auto"/>
        <w:ind w:left="1265" w:hanging="1265" w:hangingChars="600"/>
        <w:jc w:val="right"/>
        <w:rPr>
          <w:rFonts w:ascii="宋体" w:hAnsi="宋体" w:cs="宋体"/>
          <w:b/>
          <w:bCs/>
          <w:kern w:val="0"/>
          <w:szCs w:val="21"/>
        </w:rPr>
      </w:pPr>
      <w:r>
        <w:rPr>
          <w:rFonts w:hint="eastAsia" w:ascii="宋体" w:hAnsi="宋体" w:cs="宋体"/>
          <w:b/>
          <w:bCs/>
          <w:kern w:val="0"/>
          <w:szCs w:val="21"/>
        </w:rPr>
        <w:t>第二章 植物生长调节剂施用原理及技术          学时数</w:t>
      </w:r>
      <w:r>
        <w:rPr>
          <w:rFonts w:ascii="宋体" w:hAnsi="宋体" w:cs="宋体"/>
          <w:b/>
          <w:bCs/>
          <w:kern w:val="0"/>
          <w:szCs w:val="21"/>
        </w:rPr>
        <w:t>：</w:t>
      </w:r>
      <w:r>
        <w:rPr>
          <w:rFonts w:hint="eastAsia" w:ascii="宋体" w:hAnsi="宋体" w:cs="宋体"/>
          <w:b/>
          <w:bCs/>
          <w:kern w:val="0"/>
          <w:szCs w:val="21"/>
        </w:rPr>
        <w:t>4</w:t>
      </w:r>
    </w:p>
    <w:p>
      <w:pPr>
        <w:pStyle w:val="20"/>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第一节 植物生长调节的吸收与运转（1学时）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w:t>
      </w:r>
      <w:r>
        <w:rPr>
          <w:rFonts w:hint="eastAsia" w:ascii="宋体" w:hAnsi="宋体" w:cs="宋体"/>
          <w:color w:val="000000"/>
          <w:szCs w:val="21"/>
        </w:rPr>
        <w:t>植物生长调节的吸收与运转的作用机制</w:t>
      </w:r>
      <w:r>
        <w:rPr>
          <w:rFonts w:hint="eastAsia" w:ascii="宋体" w:hAnsi="宋体" w:cs="宋体"/>
          <w:szCs w:val="21"/>
        </w:rPr>
        <w:t>。</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重点：植物生长调节剂的吸收与运转的信号系统和作用机理。</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难点：植物生长调节剂的合成路径。</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了解生长调节剂是如何进入植物体内的？通过叶片和茎部进入、通过根部进入等不同介入部位的差异与联系。</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理解植物生长调节剂在植物体内是如何运转的。</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jc w:val="both"/>
        <w:rPr>
          <w:rFonts w:ascii="宋体" w:hAnsi="宋体" w:eastAsia="宋体" w:cs="宋体"/>
          <w:sz w:val="21"/>
          <w:szCs w:val="21"/>
        </w:rPr>
      </w:pPr>
      <w:r>
        <w:rPr>
          <w:rFonts w:hint="eastAsia" w:ascii="宋体" w:hAnsi="宋体" w:eastAsia="宋体" w:cs="宋体"/>
          <w:color w:val="000000"/>
          <w:sz w:val="21"/>
          <w:szCs w:val="21"/>
        </w:rPr>
        <w:t>以PPT和</w:t>
      </w:r>
      <w:r>
        <w:rPr>
          <w:rFonts w:ascii="宋体" w:hAnsi="宋体" w:eastAsia="宋体" w:cs="宋体"/>
          <w:color w:val="000000"/>
          <w:sz w:val="21"/>
          <w:szCs w:val="21"/>
        </w:rPr>
        <w:t>视频为主，通过讲授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组织学生学习相关</w:t>
      </w:r>
      <w:r>
        <w:rPr>
          <w:rFonts w:ascii="宋体" w:hAnsi="宋体" w:eastAsia="宋体" w:cs="宋体"/>
          <w:color w:val="000000"/>
          <w:sz w:val="21"/>
          <w:szCs w:val="21"/>
        </w:rPr>
        <w:t>的课程内容</w:t>
      </w:r>
      <w:r>
        <w:rPr>
          <w:rFonts w:hint="eastAsia" w:ascii="宋体" w:hAnsi="宋体" w:eastAsia="宋体" w:cs="宋体"/>
          <w:color w:val="000000"/>
          <w:sz w:val="21"/>
          <w:szCs w:val="21"/>
        </w:rPr>
        <w:t>。</w:t>
      </w:r>
    </w:p>
    <w:p>
      <w:pPr>
        <w:pStyle w:val="20"/>
        <w:numPr>
          <w:ilvl w:val="0"/>
          <w:numId w:val="38"/>
        </w:numPr>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植物生长调节剂的剂型与施用方法（1学时）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了解和掌握常见的</w:t>
      </w:r>
      <w:r>
        <w:rPr>
          <w:rFonts w:hint="eastAsia" w:ascii="宋体" w:hAnsi="宋体" w:cs="宋体"/>
          <w:color w:val="000000"/>
          <w:szCs w:val="21"/>
        </w:rPr>
        <w:t>植物生长调节的剂型和施用方法及注意事项</w:t>
      </w:r>
      <w:r>
        <w:rPr>
          <w:rFonts w:hint="eastAsia" w:ascii="宋体" w:hAnsi="宋体" w:cs="宋体"/>
          <w:szCs w:val="21"/>
        </w:rPr>
        <w:t>。</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重点：植物生长调节剂的施用方法及注意事项。</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难点：植物生长调节剂间的拮抗作用和使用浓度的把控。</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了解和掌握不同生长调节剂剂型的差异和应用；理解生长调节剂的配合使用；掌握不同生长调节剂的使用浓度和注意事项。</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jc w:val="both"/>
        <w:rPr>
          <w:rFonts w:ascii="宋体" w:hAnsi="宋体" w:eastAsia="宋体" w:cs="宋体"/>
          <w:sz w:val="21"/>
          <w:szCs w:val="21"/>
        </w:rPr>
      </w:pPr>
      <w:r>
        <w:rPr>
          <w:rFonts w:hint="eastAsia" w:ascii="宋体" w:hAnsi="宋体" w:eastAsia="宋体" w:cs="宋体"/>
          <w:color w:val="000000"/>
          <w:sz w:val="21"/>
          <w:szCs w:val="21"/>
        </w:rPr>
        <w:t>以PPT和</w:t>
      </w:r>
      <w:r>
        <w:rPr>
          <w:rFonts w:ascii="宋体" w:hAnsi="宋体" w:eastAsia="宋体" w:cs="宋体"/>
          <w:color w:val="000000"/>
          <w:sz w:val="21"/>
          <w:szCs w:val="21"/>
        </w:rPr>
        <w:t>视频为主，通过讲授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组织学生学习相关</w:t>
      </w:r>
      <w:r>
        <w:rPr>
          <w:rFonts w:ascii="宋体" w:hAnsi="宋体" w:eastAsia="宋体" w:cs="宋体"/>
          <w:color w:val="000000"/>
          <w:sz w:val="21"/>
          <w:szCs w:val="21"/>
        </w:rPr>
        <w:t>的课程内容</w:t>
      </w:r>
      <w:r>
        <w:rPr>
          <w:rFonts w:hint="eastAsia" w:ascii="宋体" w:hAnsi="宋体" w:eastAsia="宋体" w:cs="宋体"/>
          <w:color w:val="000000"/>
          <w:sz w:val="21"/>
          <w:szCs w:val="21"/>
        </w:rPr>
        <w:t>。</w:t>
      </w:r>
    </w:p>
    <w:p>
      <w:pPr>
        <w:pStyle w:val="20"/>
        <w:numPr>
          <w:ilvl w:val="0"/>
          <w:numId w:val="38"/>
        </w:numPr>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生长调节剂应用的策略（2学时）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了解和掌握实际生产中</w:t>
      </w:r>
      <w:r>
        <w:rPr>
          <w:rFonts w:hint="eastAsia" w:ascii="宋体" w:hAnsi="宋体" w:cs="宋体"/>
          <w:color w:val="000000"/>
          <w:szCs w:val="21"/>
        </w:rPr>
        <w:t>植物生长调节的具体应用策略</w:t>
      </w:r>
      <w:r>
        <w:rPr>
          <w:rFonts w:hint="eastAsia" w:ascii="宋体" w:hAnsi="宋体" w:cs="宋体"/>
          <w:szCs w:val="21"/>
        </w:rPr>
        <w:t>。</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重点：植物生长调节剂的施用方法及注意事项。</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难点：无。</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了解生长调节剂施用中存在问题的实质，掌握适当的处理方案：</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熟练掌握生长调节剂种类的合理选用、施用时期确定、处理部位、剂型、拟定施用浓度和次数、小规模预备试验及农业配合技术措施等。</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以PPT和</w:t>
      </w:r>
      <w:r>
        <w:rPr>
          <w:rFonts w:ascii="宋体" w:hAnsi="宋体" w:eastAsia="宋体" w:cs="宋体"/>
          <w:color w:val="000000"/>
          <w:sz w:val="21"/>
          <w:szCs w:val="21"/>
        </w:rPr>
        <w:t>视频为主，通过讲授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组织学生学习相关</w:t>
      </w:r>
      <w:r>
        <w:rPr>
          <w:rFonts w:ascii="宋体" w:hAnsi="宋体" w:eastAsia="宋体" w:cs="宋体"/>
          <w:color w:val="000000"/>
          <w:sz w:val="21"/>
          <w:szCs w:val="21"/>
        </w:rPr>
        <w:t>的课程内容</w:t>
      </w:r>
      <w:r>
        <w:rPr>
          <w:rFonts w:hint="eastAsia" w:ascii="宋体" w:hAnsi="宋体" w:eastAsia="宋体" w:cs="宋体"/>
          <w:color w:val="000000"/>
          <w:sz w:val="21"/>
          <w:szCs w:val="21"/>
        </w:rPr>
        <w:t>。</w:t>
      </w:r>
    </w:p>
    <w:p>
      <w:pPr>
        <w:widowControl/>
        <w:wordWrap w:val="0"/>
        <w:snapToGrid w:val="0"/>
        <w:spacing w:line="360" w:lineRule="auto"/>
        <w:ind w:left="1265" w:hanging="1265" w:hangingChars="600"/>
        <w:jc w:val="right"/>
        <w:rPr>
          <w:rFonts w:ascii="宋体" w:hAnsi="宋体" w:cs="宋体"/>
          <w:b/>
          <w:bCs/>
          <w:kern w:val="0"/>
          <w:szCs w:val="21"/>
        </w:rPr>
      </w:pPr>
      <w:r>
        <w:rPr>
          <w:rFonts w:hint="eastAsia" w:ascii="宋体" w:hAnsi="宋体" w:cs="宋体"/>
          <w:b/>
          <w:bCs/>
          <w:kern w:val="0"/>
          <w:szCs w:val="21"/>
        </w:rPr>
        <w:t>第三章 生长调节剂在植物生长发育中的研究与应用       学时数</w:t>
      </w:r>
      <w:r>
        <w:rPr>
          <w:rFonts w:ascii="宋体" w:hAnsi="宋体" w:cs="宋体"/>
          <w:b/>
          <w:bCs/>
          <w:kern w:val="0"/>
          <w:szCs w:val="21"/>
        </w:rPr>
        <w:t>：</w:t>
      </w:r>
      <w:r>
        <w:rPr>
          <w:rFonts w:hint="eastAsia" w:ascii="宋体" w:hAnsi="宋体" w:cs="宋体"/>
          <w:b/>
          <w:bCs/>
          <w:kern w:val="0"/>
          <w:szCs w:val="21"/>
        </w:rPr>
        <w:t>4</w:t>
      </w:r>
    </w:p>
    <w:p>
      <w:pPr>
        <w:pStyle w:val="20"/>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第一节 生长相关的调节（1学时）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了解和掌握生长调节剂在延长和打破休眠、促进生长、扦插生根和延缓衰老等方面的应</w:t>
      </w:r>
    </w:p>
    <w:p>
      <w:pPr>
        <w:widowControl/>
        <w:wordWrap w:val="0"/>
        <w:snapToGrid w:val="0"/>
        <w:spacing w:line="360" w:lineRule="auto"/>
        <w:rPr>
          <w:rFonts w:ascii="宋体" w:hAnsi="宋体" w:cs="宋体"/>
          <w:szCs w:val="21"/>
        </w:rPr>
      </w:pPr>
      <w:r>
        <w:rPr>
          <w:rFonts w:hint="eastAsia" w:ascii="宋体" w:hAnsi="宋体" w:cs="宋体"/>
          <w:szCs w:val="21"/>
        </w:rPr>
        <w:t>用技术和方法。</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重点：植物生长调节剂打破休眠、促进生根、延缓衰老等方面的相关实例和应用技术。</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难点：无。</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了解打破休眠和促进萌发技术；掌握马铃薯、洋葱、大蒜、萝卜、胡萝卜等蔬菜的贮藏技术；</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掌握营养生长和生殖生长调控技术；掌握延缓叶片衰老技术；</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熟练掌握扦插生根技术。</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jc w:val="both"/>
        <w:rPr>
          <w:rFonts w:ascii="宋体" w:hAnsi="宋体" w:eastAsia="宋体" w:cs="宋体"/>
          <w:sz w:val="21"/>
          <w:szCs w:val="21"/>
        </w:rPr>
      </w:pPr>
      <w:r>
        <w:rPr>
          <w:rFonts w:hint="eastAsia" w:ascii="宋体" w:hAnsi="宋体" w:eastAsia="宋体" w:cs="宋体"/>
          <w:color w:val="000000"/>
          <w:sz w:val="21"/>
          <w:szCs w:val="21"/>
        </w:rPr>
        <w:t>以学生</w:t>
      </w:r>
      <w:r>
        <w:rPr>
          <w:rFonts w:ascii="宋体" w:hAnsi="宋体" w:eastAsia="宋体" w:cs="宋体"/>
          <w:color w:val="000000"/>
          <w:sz w:val="21"/>
          <w:szCs w:val="21"/>
        </w:rPr>
        <w:t>为主</w:t>
      </w:r>
      <w:r>
        <w:rPr>
          <w:rFonts w:hint="eastAsia" w:ascii="宋体" w:hAnsi="宋体" w:eastAsia="宋体" w:cs="宋体"/>
          <w:color w:val="000000"/>
          <w:sz w:val="21"/>
          <w:szCs w:val="21"/>
        </w:rPr>
        <w:t>体</w:t>
      </w:r>
      <w:r>
        <w:rPr>
          <w:rFonts w:ascii="宋体" w:hAnsi="宋体" w:eastAsia="宋体" w:cs="宋体"/>
          <w:color w:val="000000"/>
          <w:sz w:val="21"/>
          <w:szCs w:val="21"/>
        </w:rPr>
        <w:t>，通过</w:t>
      </w:r>
      <w:r>
        <w:rPr>
          <w:rFonts w:hint="eastAsia" w:ascii="宋体" w:hAnsi="宋体" w:eastAsia="宋体" w:cs="宋体"/>
          <w:color w:val="000000"/>
          <w:sz w:val="21"/>
          <w:szCs w:val="21"/>
        </w:rPr>
        <w:t>同学</w:t>
      </w:r>
      <w:r>
        <w:rPr>
          <w:rFonts w:ascii="宋体" w:hAnsi="宋体" w:eastAsia="宋体" w:cs="宋体"/>
          <w:color w:val="000000"/>
          <w:sz w:val="21"/>
          <w:szCs w:val="21"/>
        </w:rPr>
        <w:t>们自己收集资料，制作</w:t>
      </w:r>
      <w:r>
        <w:rPr>
          <w:rFonts w:hint="eastAsia" w:ascii="宋体" w:hAnsi="宋体" w:eastAsia="宋体" w:cs="宋体"/>
          <w:color w:val="000000"/>
          <w:sz w:val="21"/>
          <w:szCs w:val="21"/>
        </w:rPr>
        <w:t>PPT，</w:t>
      </w:r>
      <w:r>
        <w:rPr>
          <w:rFonts w:ascii="宋体" w:hAnsi="宋体" w:eastAsia="宋体" w:cs="宋体"/>
          <w:color w:val="000000"/>
          <w:sz w:val="21"/>
          <w:szCs w:val="21"/>
        </w:rPr>
        <w:t>并上台讲授</w:t>
      </w:r>
      <w:r>
        <w:rPr>
          <w:rFonts w:hint="eastAsia" w:ascii="宋体" w:hAnsi="宋体" w:eastAsia="宋体" w:cs="宋体"/>
          <w:color w:val="000000"/>
          <w:sz w:val="21"/>
          <w:szCs w:val="21"/>
        </w:rPr>
        <w:t>，</w:t>
      </w:r>
      <w:r>
        <w:rPr>
          <w:rFonts w:ascii="宋体" w:hAnsi="宋体" w:eastAsia="宋体" w:cs="宋体"/>
          <w:color w:val="000000"/>
          <w:sz w:val="21"/>
          <w:szCs w:val="21"/>
        </w:rPr>
        <w:t>其他同学对其进行提问</w:t>
      </w:r>
      <w:r>
        <w:rPr>
          <w:rFonts w:hint="eastAsia" w:ascii="宋体" w:hAnsi="宋体" w:eastAsia="宋体" w:cs="宋体"/>
          <w:color w:val="000000"/>
          <w:sz w:val="21"/>
          <w:szCs w:val="21"/>
        </w:rPr>
        <w:t>、评价和</w:t>
      </w:r>
      <w:r>
        <w:rPr>
          <w:rFonts w:ascii="宋体" w:hAnsi="宋体" w:eastAsia="宋体" w:cs="宋体"/>
          <w:color w:val="000000"/>
          <w:sz w:val="21"/>
          <w:szCs w:val="21"/>
        </w:rPr>
        <w:t>答疑等，来完成课程主要相关的内容</w:t>
      </w:r>
      <w:r>
        <w:rPr>
          <w:rFonts w:hint="eastAsia" w:ascii="宋体" w:hAnsi="宋体" w:eastAsia="宋体" w:cs="宋体"/>
          <w:color w:val="000000"/>
          <w:sz w:val="21"/>
          <w:szCs w:val="21"/>
        </w:rPr>
        <w:t>。</w:t>
      </w:r>
    </w:p>
    <w:p>
      <w:pPr>
        <w:pStyle w:val="20"/>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第二节 开花相关的调节（1学时）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了解和掌握生长调节剂在花芽分化、化学杀雄和切花保鲜等方面的应用技术和方法。</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重点：植物生长调节剂调控花芽形成的相关实例和应用技术。</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难点：无。</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了解保鲜剂的种类和切花保鲜技术；</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掌握花芽形成的调控技术；掌握诱导雌花、诱导雄花、化学去雄等调控技术。</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以学生</w:t>
      </w:r>
      <w:r>
        <w:rPr>
          <w:rFonts w:ascii="宋体" w:hAnsi="宋体" w:eastAsia="宋体" w:cs="宋体"/>
          <w:color w:val="000000"/>
          <w:sz w:val="21"/>
          <w:szCs w:val="21"/>
        </w:rPr>
        <w:t>为主</w:t>
      </w:r>
      <w:r>
        <w:rPr>
          <w:rFonts w:hint="eastAsia" w:ascii="宋体" w:hAnsi="宋体" w:eastAsia="宋体" w:cs="宋体"/>
          <w:color w:val="000000"/>
          <w:sz w:val="21"/>
          <w:szCs w:val="21"/>
        </w:rPr>
        <w:t>体</w:t>
      </w:r>
      <w:r>
        <w:rPr>
          <w:rFonts w:ascii="宋体" w:hAnsi="宋体" w:eastAsia="宋体" w:cs="宋体"/>
          <w:color w:val="000000"/>
          <w:sz w:val="21"/>
          <w:szCs w:val="21"/>
        </w:rPr>
        <w:t>，通过</w:t>
      </w:r>
      <w:r>
        <w:rPr>
          <w:rFonts w:hint="eastAsia" w:ascii="宋体" w:hAnsi="宋体" w:eastAsia="宋体" w:cs="宋体"/>
          <w:color w:val="000000"/>
          <w:sz w:val="21"/>
          <w:szCs w:val="21"/>
        </w:rPr>
        <w:t>同学</w:t>
      </w:r>
      <w:r>
        <w:rPr>
          <w:rFonts w:ascii="宋体" w:hAnsi="宋体" w:eastAsia="宋体" w:cs="宋体"/>
          <w:color w:val="000000"/>
          <w:sz w:val="21"/>
          <w:szCs w:val="21"/>
        </w:rPr>
        <w:t>们自己收集资料，制作</w:t>
      </w:r>
      <w:r>
        <w:rPr>
          <w:rFonts w:hint="eastAsia" w:ascii="宋体" w:hAnsi="宋体" w:eastAsia="宋体" w:cs="宋体"/>
          <w:color w:val="000000"/>
          <w:sz w:val="21"/>
          <w:szCs w:val="21"/>
        </w:rPr>
        <w:t>PPT，</w:t>
      </w:r>
      <w:r>
        <w:rPr>
          <w:rFonts w:ascii="宋体" w:hAnsi="宋体" w:eastAsia="宋体" w:cs="宋体"/>
          <w:color w:val="000000"/>
          <w:sz w:val="21"/>
          <w:szCs w:val="21"/>
        </w:rPr>
        <w:t>并上台讲授</w:t>
      </w:r>
      <w:r>
        <w:rPr>
          <w:rFonts w:hint="eastAsia" w:ascii="宋体" w:hAnsi="宋体" w:eastAsia="宋体" w:cs="宋体"/>
          <w:color w:val="000000"/>
          <w:sz w:val="21"/>
          <w:szCs w:val="21"/>
        </w:rPr>
        <w:t>，</w:t>
      </w:r>
      <w:r>
        <w:rPr>
          <w:rFonts w:ascii="宋体" w:hAnsi="宋体" w:eastAsia="宋体" w:cs="宋体"/>
          <w:color w:val="000000"/>
          <w:sz w:val="21"/>
          <w:szCs w:val="21"/>
        </w:rPr>
        <w:t>其他同学对其进行提问</w:t>
      </w:r>
      <w:r>
        <w:rPr>
          <w:rFonts w:hint="eastAsia" w:ascii="宋体" w:hAnsi="宋体" w:eastAsia="宋体" w:cs="宋体"/>
          <w:color w:val="000000"/>
          <w:sz w:val="21"/>
          <w:szCs w:val="21"/>
        </w:rPr>
        <w:t>、评价和</w:t>
      </w:r>
      <w:r>
        <w:rPr>
          <w:rFonts w:ascii="宋体" w:hAnsi="宋体" w:eastAsia="宋体" w:cs="宋体"/>
          <w:color w:val="000000"/>
          <w:sz w:val="21"/>
          <w:szCs w:val="21"/>
        </w:rPr>
        <w:t>答疑等，来完成课程主要相关的内容</w:t>
      </w:r>
      <w:r>
        <w:rPr>
          <w:rFonts w:hint="eastAsia" w:ascii="宋体" w:hAnsi="宋体" w:eastAsia="宋体" w:cs="宋体"/>
          <w:color w:val="000000"/>
          <w:sz w:val="21"/>
          <w:szCs w:val="21"/>
        </w:rPr>
        <w:t>。</w:t>
      </w:r>
    </w:p>
    <w:p>
      <w:pPr>
        <w:pStyle w:val="20"/>
        <w:numPr>
          <w:ilvl w:val="0"/>
          <w:numId w:val="39"/>
        </w:numPr>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结实相关的调节（2学时）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了解和掌握生长调节剂在保花保果、催熟和改善产量与品种等方面的应用技术和方法。</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重点：植物生长调节剂保花保果技术、果菜类的催熟、提高产量和改良品质的相关实例和应用技术。</w:t>
      </w:r>
    </w:p>
    <w:p>
      <w:pPr>
        <w:pStyle w:val="20"/>
        <w:wordWrap w:val="0"/>
        <w:spacing w:before="0" w:beforeAutospacing="0" w:after="0" w:afterAutospacing="0" w:line="360" w:lineRule="auto"/>
        <w:ind w:left="420"/>
        <w:jc w:val="both"/>
        <w:rPr>
          <w:rFonts w:ascii="宋体" w:hAnsi="宋体" w:eastAsia="宋体" w:cs="宋体"/>
          <w:sz w:val="21"/>
          <w:szCs w:val="21"/>
        </w:rPr>
      </w:pPr>
      <w:r>
        <w:rPr>
          <w:rFonts w:hint="eastAsia" w:ascii="宋体" w:hAnsi="宋体" w:eastAsia="宋体" w:cs="宋体"/>
          <w:color w:val="000000"/>
          <w:sz w:val="21"/>
          <w:szCs w:val="21"/>
        </w:rPr>
        <w:t>难点：无。</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wordWrap w:val="0"/>
        <w:spacing w:before="0" w:beforeAutospacing="0" w:after="0" w:afterAutospacing="0" w:line="360" w:lineRule="auto"/>
        <w:ind w:left="420"/>
        <w:jc w:val="both"/>
        <w:rPr>
          <w:rFonts w:ascii="宋体" w:hAnsi="宋体" w:eastAsia="宋体" w:cs="宋体"/>
          <w:color w:val="000000"/>
          <w:sz w:val="21"/>
          <w:szCs w:val="21"/>
        </w:rPr>
      </w:pPr>
      <w:r>
        <w:rPr>
          <w:rFonts w:hint="eastAsia" w:ascii="宋体" w:hAnsi="宋体" w:eastAsia="宋体" w:cs="宋体"/>
          <w:color w:val="000000"/>
          <w:sz w:val="21"/>
          <w:szCs w:val="21"/>
        </w:rPr>
        <w:t>了解无籽果实生产技术。。</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掌握保花保果和疏花疏果常用生长调节剂的种类和应用技术；掌握乙烯的催熟技术；掌握生长调节剂提高产量和改良品质的技术方法</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以学生</w:t>
      </w:r>
      <w:r>
        <w:rPr>
          <w:rFonts w:ascii="宋体" w:hAnsi="宋体" w:eastAsia="宋体" w:cs="宋体"/>
          <w:color w:val="000000"/>
          <w:sz w:val="21"/>
          <w:szCs w:val="21"/>
        </w:rPr>
        <w:t>为主</w:t>
      </w:r>
      <w:r>
        <w:rPr>
          <w:rFonts w:hint="eastAsia" w:ascii="宋体" w:hAnsi="宋体" w:eastAsia="宋体" w:cs="宋体"/>
          <w:color w:val="000000"/>
          <w:sz w:val="21"/>
          <w:szCs w:val="21"/>
        </w:rPr>
        <w:t>体</w:t>
      </w:r>
      <w:r>
        <w:rPr>
          <w:rFonts w:ascii="宋体" w:hAnsi="宋体" w:eastAsia="宋体" w:cs="宋体"/>
          <w:color w:val="000000"/>
          <w:sz w:val="21"/>
          <w:szCs w:val="21"/>
        </w:rPr>
        <w:t>，通过</w:t>
      </w:r>
      <w:r>
        <w:rPr>
          <w:rFonts w:hint="eastAsia" w:ascii="宋体" w:hAnsi="宋体" w:eastAsia="宋体" w:cs="宋体"/>
          <w:color w:val="000000"/>
          <w:sz w:val="21"/>
          <w:szCs w:val="21"/>
        </w:rPr>
        <w:t>同学</w:t>
      </w:r>
      <w:r>
        <w:rPr>
          <w:rFonts w:ascii="宋体" w:hAnsi="宋体" w:eastAsia="宋体" w:cs="宋体"/>
          <w:color w:val="000000"/>
          <w:sz w:val="21"/>
          <w:szCs w:val="21"/>
        </w:rPr>
        <w:t>们自己收集资料，制作</w:t>
      </w:r>
      <w:r>
        <w:rPr>
          <w:rFonts w:hint="eastAsia" w:ascii="宋体" w:hAnsi="宋体" w:eastAsia="宋体" w:cs="宋体"/>
          <w:color w:val="000000"/>
          <w:sz w:val="21"/>
          <w:szCs w:val="21"/>
        </w:rPr>
        <w:t>PPT，</w:t>
      </w:r>
      <w:r>
        <w:rPr>
          <w:rFonts w:ascii="宋体" w:hAnsi="宋体" w:eastAsia="宋体" w:cs="宋体"/>
          <w:color w:val="000000"/>
          <w:sz w:val="21"/>
          <w:szCs w:val="21"/>
        </w:rPr>
        <w:t>并上台讲授</w:t>
      </w:r>
      <w:r>
        <w:rPr>
          <w:rFonts w:hint="eastAsia" w:ascii="宋体" w:hAnsi="宋体" w:eastAsia="宋体" w:cs="宋体"/>
          <w:color w:val="000000"/>
          <w:sz w:val="21"/>
          <w:szCs w:val="21"/>
        </w:rPr>
        <w:t>，</w:t>
      </w:r>
      <w:r>
        <w:rPr>
          <w:rFonts w:ascii="宋体" w:hAnsi="宋体" w:eastAsia="宋体" w:cs="宋体"/>
          <w:color w:val="000000"/>
          <w:sz w:val="21"/>
          <w:szCs w:val="21"/>
        </w:rPr>
        <w:t>其他同学对其进行提问</w:t>
      </w:r>
      <w:r>
        <w:rPr>
          <w:rFonts w:hint="eastAsia" w:ascii="宋体" w:hAnsi="宋体" w:eastAsia="宋体" w:cs="宋体"/>
          <w:color w:val="000000"/>
          <w:sz w:val="21"/>
          <w:szCs w:val="21"/>
        </w:rPr>
        <w:t>、评价和</w:t>
      </w:r>
      <w:r>
        <w:rPr>
          <w:rFonts w:ascii="宋体" w:hAnsi="宋体" w:eastAsia="宋体" w:cs="宋体"/>
          <w:color w:val="000000"/>
          <w:sz w:val="21"/>
          <w:szCs w:val="21"/>
        </w:rPr>
        <w:t>答疑等，来完成课程主要相关的内容</w:t>
      </w:r>
      <w:r>
        <w:rPr>
          <w:rFonts w:hint="eastAsia" w:ascii="宋体" w:hAnsi="宋体" w:eastAsia="宋体" w:cs="宋体"/>
          <w:color w:val="000000"/>
          <w:sz w:val="21"/>
          <w:szCs w:val="21"/>
        </w:rPr>
        <w:t>。</w:t>
      </w:r>
    </w:p>
    <w:p>
      <w:pPr>
        <w:widowControl/>
        <w:wordWrap w:val="0"/>
        <w:snapToGrid w:val="0"/>
        <w:spacing w:line="360" w:lineRule="auto"/>
        <w:jc w:val="right"/>
        <w:rPr>
          <w:rFonts w:ascii="宋体" w:hAnsi="宋体" w:cs="宋体"/>
          <w:b/>
          <w:bCs/>
          <w:kern w:val="0"/>
          <w:szCs w:val="21"/>
        </w:rPr>
      </w:pPr>
      <w:r>
        <w:rPr>
          <w:rFonts w:hint="eastAsia" w:ascii="宋体" w:hAnsi="宋体" w:cs="宋体"/>
          <w:b/>
          <w:bCs/>
          <w:kern w:val="0"/>
          <w:szCs w:val="21"/>
        </w:rPr>
        <w:t>第四章 生长调节剂在植物抗逆性方面的研究与应用       学时数</w:t>
      </w:r>
      <w:r>
        <w:rPr>
          <w:rFonts w:ascii="宋体" w:hAnsi="宋体" w:cs="宋体"/>
          <w:b/>
          <w:bCs/>
          <w:kern w:val="0"/>
          <w:szCs w:val="21"/>
        </w:rPr>
        <w:t>：</w:t>
      </w:r>
      <w:r>
        <w:rPr>
          <w:rFonts w:hint="eastAsia" w:ascii="宋体" w:hAnsi="宋体" w:cs="宋体"/>
          <w:b/>
          <w:bCs/>
          <w:kern w:val="0"/>
          <w:szCs w:val="21"/>
        </w:rPr>
        <w:t>4</w:t>
      </w:r>
    </w:p>
    <w:p>
      <w:pPr>
        <w:pStyle w:val="20"/>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第一节 生长调节剂与抗逆性（2学时）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了解生长调节剂对植物抗逆性的作用。</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numPr>
          <w:ilvl w:val="0"/>
          <w:numId w:val="40"/>
        </w:numPr>
        <w:wordWrap w:val="0"/>
        <w:spacing w:before="0" w:beforeAutospacing="0" w:after="0" w:afterAutospacing="0" w:line="360" w:lineRule="auto"/>
        <w:ind w:left="420" w:firstLine="420"/>
        <w:jc w:val="both"/>
        <w:rPr>
          <w:rFonts w:ascii="宋体" w:hAnsi="宋体" w:eastAsia="宋体" w:cs="宋体"/>
          <w:color w:val="000000"/>
          <w:sz w:val="21"/>
          <w:szCs w:val="21"/>
        </w:rPr>
      </w:pPr>
      <w:r>
        <w:rPr>
          <w:rFonts w:hint="eastAsia" w:ascii="宋体" w:hAnsi="宋体" w:eastAsia="宋体" w:cs="宋体"/>
          <w:color w:val="000000"/>
          <w:sz w:val="21"/>
          <w:szCs w:val="21"/>
        </w:rPr>
        <w:t>重点：不同植物生长调节剂与抗逆性的关系。</w:t>
      </w:r>
    </w:p>
    <w:p>
      <w:pPr>
        <w:pStyle w:val="20"/>
        <w:wordWrap w:val="0"/>
        <w:spacing w:before="0" w:beforeAutospacing="0" w:after="0" w:afterAutospacing="0" w:line="360" w:lineRule="auto"/>
        <w:ind w:firstLine="420" w:firstLineChars="200"/>
        <w:jc w:val="both"/>
        <w:rPr>
          <w:rFonts w:ascii="宋体" w:hAnsi="宋体" w:eastAsia="宋体" w:cs="宋体"/>
          <w:sz w:val="21"/>
          <w:szCs w:val="21"/>
        </w:rPr>
      </w:pPr>
      <w:r>
        <w:rPr>
          <w:rFonts w:hint="eastAsia" w:ascii="宋体" w:hAnsi="宋体" w:eastAsia="宋体" w:cs="宋体"/>
          <w:color w:val="000000"/>
          <w:sz w:val="21"/>
          <w:szCs w:val="21"/>
        </w:rPr>
        <w:t>2．难点：植物生长调节剂的抗逆性研究进展和作用机理。</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numPr>
          <w:ilvl w:val="0"/>
          <w:numId w:val="41"/>
        </w:numPr>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了解乙烯、油菜素内酯、脱落酸等生长调节剂与抗逆性的关系；</w:t>
      </w:r>
    </w:p>
    <w:p>
      <w:pPr>
        <w:pStyle w:val="20"/>
        <w:numPr>
          <w:ilvl w:val="0"/>
          <w:numId w:val="41"/>
        </w:numPr>
        <w:wordWrap w:val="0"/>
        <w:spacing w:before="0" w:beforeAutospacing="0" w:after="0" w:afterAutospacing="0" w:line="360" w:lineRule="auto"/>
        <w:ind w:firstLine="420" w:firstLineChars="200"/>
        <w:jc w:val="both"/>
        <w:rPr>
          <w:rFonts w:ascii="宋体" w:hAnsi="宋体" w:eastAsia="宋体" w:cs="宋体"/>
          <w:sz w:val="21"/>
          <w:szCs w:val="21"/>
        </w:rPr>
      </w:pPr>
      <w:r>
        <w:rPr>
          <w:rFonts w:hint="eastAsia" w:ascii="宋体" w:hAnsi="宋体" w:eastAsia="宋体" w:cs="宋体"/>
          <w:color w:val="000000"/>
          <w:sz w:val="21"/>
          <w:szCs w:val="21"/>
        </w:rPr>
        <w:t>理解逆境条件下生长调节剂的调控原理，及其交叉应用中的作用</w:t>
      </w:r>
      <w:r>
        <w:rPr>
          <w:rFonts w:hint="eastAsia" w:ascii="宋体" w:hAnsi="宋体" w:eastAsia="宋体" w:cs="宋体"/>
          <w:sz w:val="21"/>
          <w:szCs w:val="21"/>
        </w:rPr>
        <w:t>和原理。</w:t>
      </w:r>
    </w:p>
    <w:p>
      <w:pPr>
        <w:pStyle w:val="20"/>
        <w:wordWrap w:val="0"/>
        <w:spacing w:before="0" w:beforeAutospacing="0" w:after="0" w:afterAutospacing="0" w:line="360" w:lineRule="auto"/>
        <w:ind w:firstLine="422"/>
        <w:jc w:val="both"/>
        <w:rPr>
          <w:rFonts w:ascii="宋体" w:hAnsi="宋体" w:eastAsia="宋体" w:cs="宋体"/>
          <w:b/>
          <w:color w:val="000000"/>
          <w:sz w:val="21"/>
          <w:szCs w:val="21"/>
        </w:rPr>
      </w:pPr>
      <w:r>
        <w:rPr>
          <w:rFonts w:hint="eastAsia" w:ascii="宋体" w:hAnsi="宋体" w:eastAsia="宋体" w:cs="宋体"/>
          <w:b/>
          <w:color w:val="000000"/>
          <w:sz w:val="21"/>
          <w:szCs w:val="21"/>
        </w:rPr>
        <w:t>教学组织与实施：</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以近两年</w:t>
      </w:r>
      <w:r>
        <w:rPr>
          <w:rFonts w:ascii="宋体" w:hAnsi="宋体" w:eastAsia="宋体" w:cs="宋体"/>
          <w:color w:val="000000"/>
          <w:sz w:val="21"/>
          <w:szCs w:val="21"/>
        </w:rPr>
        <w:t>的最新发表</w:t>
      </w:r>
      <w:r>
        <w:rPr>
          <w:rFonts w:hint="eastAsia" w:ascii="宋体" w:hAnsi="宋体" w:eastAsia="宋体" w:cs="宋体"/>
          <w:color w:val="000000"/>
          <w:sz w:val="21"/>
          <w:szCs w:val="21"/>
        </w:rPr>
        <w:t>的学科</w:t>
      </w:r>
      <w:r>
        <w:rPr>
          <w:rFonts w:ascii="宋体" w:hAnsi="宋体" w:eastAsia="宋体" w:cs="宋体"/>
          <w:color w:val="000000"/>
          <w:sz w:val="21"/>
          <w:szCs w:val="21"/>
        </w:rPr>
        <w:t>Top影响力期刊或文章为主，通过</w:t>
      </w:r>
      <w:r>
        <w:rPr>
          <w:rFonts w:hint="eastAsia" w:ascii="宋体" w:hAnsi="宋体" w:eastAsia="宋体" w:cs="宋体"/>
          <w:color w:val="000000"/>
          <w:sz w:val="21"/>
          <w:szCs w:val="21"/>
        </w:rPr>
        <w:t>思路</w:t>
      </w:r>
      <w:r>
        <w:rPr>
          <w:rFonts w:ascii="宋体" w:hAnsi="宋体" w:eastAsia="宋体" w:cs="宋体"/>
          <w:color w:val="000000"/>
          <w:sz w:val="21"/>
          <w:szCs w:val="21"/>
        </w:rPr>
        <w:t>分析、技术讲解和课程内容联系讲授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组织学生认知</w:t>
      </w:r>
      <w:r>
        <w:rPr>
          <w:rFonts w:ascii="宋体" w:hAnsi="宋体" w:eastAsia="宋体" w:cs="宋体"/>
          <w:color w:val="000000"/>
          <w:sz w:val="21"/>
          <w:szCs w:val="21"/>
        </w:rPr>
        <w:t>和接受课程内容</w:t>
      </w:r>
      <w:r>
        <w:rPr>
          <w:rFonts w:hint="eastAsia" w:ascii="宋体" w:hAnsi="宋体" w:eastAsia="宋体" w:cs="宋体"/>
          <w:color w:val="000000"/>
          <w:sz w:val="21"/>
          <w:szCs w:val="21"/>
        </w:rPr>
        <w:t>。</w:t>
      </w:r>
    </w:p>
    <w:p>
      <w:pPr>
        <w:pStyle w:val="20"/>
        <w:numPr>
          <w:ilvl w:val="0"/>
          <w:numId w:val="42"/>
        </w:numPr>
        <w:wordWrap w:val="0"/>
        <w:spacing w:before="0" w:beforeAutospacing="0" w:after="0" w:afterAutospacing="0" w:line="360" w:lineRule="auto"/>
        <w:ind w:firstLine="422"/>
        <w:jc w:val="both"/>
        <w:rPr>
          <w:rFonts w:ascii="宋体" w:hAnsi="宋体" w:eastAsia="宋体" w:cs="宋体"/>
          <w:b/>
          <w:bCs/>
          <w:color w:val="000000"/>
          <w:sz w:val="21"/>
          <w:szCs w:val="21"/>
        </w:rPr>
      </w:pPr>
      <w:r>
        <w:rPr>
          <w:rFonts w:hint="eastAsia" w:ascii="宋体" w:hAnsi="宋体" w:eastAsia="宋体" w:cs="宋体"/>
          <w:b/>
          <w:bCs/>
          <w:color w:val="000000"/>
          <w:sz w:val="21"/>
          <w:szCs w:val="21"/>
        </w:rPr>
        <w:t>生长调节剂在植物抗逆性中的应用（2学时）</w:t>
      </w:r>
    </w:p>
    <w:p>
      <w:pPr>
        <w:widowControl/>
        <w:wordWrap w:val="0"/>
        <w:snapToGrid w:val="0"/>
        <w:spacing w:line="360" w:lineRule="auto"/>
        <w:ind w:left="1265" w:hanging="1265" w:hangingChars="600"/>
        <w:rPr>
          <w:rFonts w:ascii="宋体" w:hAnsi="宋体"/>
          <w:b/>
          <w:bCs/>
        </w:rPr>
      </w:pPr>
      <w:r>
        <w:rPr>
          <w:rFonts w:hint="eastAsia" w:ascii="宋体" w:hAnsi="宋体"/>
          <w:b/>
          <w:bCs/>
        </w:rPr>
        <w:t>教学目的：</w:t>
      </w:r>
    </w:p>
    <w:p>
      <w:pPr>
        <w:widowControl/>
        <w:wordWrap w:val="0"/>
        <w:snapToGrid w:val="0"/>
        <w:spacing w:line="360" w:lineRule="auto"/>
        <w:ind w:left="1260" w:leftChars="200" w:hanging="840" w:hangingChars="400"/>
        <w:rPr>
          <w:rFonts w:ascii="宋体" w:hAnsi="宋体" w:cs="宋体"/>
          <w:szCs w:val="21"/>
        </w:rPr>
      </w:pPr>
      <w:r>
        <w:rPr>
          <w:rFonts w:hint="eastAsia" w:ascii="宋体" w:hAnsi="宋体" w:cs="宋体"/>
          <w:szCs w:val="21"/>
        </w:rPr>
        <w:t>了解生长调节剂对植物抗逆性的调控技术。</w:t>
      </w:r>
    </w:p>
    <w:p>
      <w:pPr>
        <w:widowControl/>
        <w:wordWrap w:val="0"/>
        <w:snapToGrid w:val="0"/>
        <w:spacing w:line="360" w:lineRule="auto"/>
        <w:ind w:left="1265" w:hanging="1265" w:hangingChars="600"/>
        <w:rPr>
          <w:rFonts w:ascii="宋体" w:hAnsi="宋体"/>
          <w:b/>
          <w:bCs/>
        </w:rPr>
      </w:pPr>
      <w:r>
        <w:rPr>
          <w:rFonts w:hint="eastAsia" w:ascii="宋体" w:hAnsi="宋体"/>
          <w:b/>
          <w:bCs/>
        </w:rPr>
        <w:t>教重点和难点：</w:t>
      </w:r>
    </w:p>
    <w:p>
      <w:pPr>
        <w:pStyle w:val="20"/>
        <w:wordWrap w:val="0"/>
        <w:spacing w:before="0" w:beforeAutospacing="0" w:after="0" w:afterAutospacing="0" w:line="360" w:lineRule="auto"/>
        <w:ind w:firstLine="420" w:firstLineChars="200"/>
        <w:jc w:val="both"/>
        <w:rPr>
          <w:rFonts w:ascii="宋体" w:hAnsi="宋体" w:eastAsia="宋体" w:cs="宋体"/>
          <w:color w:val="000000"/>
          <w:sz w:val="21"/>
          <w:szCs w:val="21"/>
        </w:rPr>
      </w:pPr>
      <w:r>
        <w:rPr>
          <w:rFonts w:hint="eastAsia" w:ascii="宋体" w:hAnsi="宋体" w:eastAsia="宋体" w:cs="宋体"/>
          <w:color w:val="000000"/>
          <w:sz w:val="21"/>
          <w:szCs w:val="21"/>
        </w:rPr>
        <w:t>1．重点：</w:t>
      </w:r>
      <w:r>
        <w:rPr>
          <w:rFonts w:hint="eastAsia" w:ascii="宋体" w:hAnsi="宋体" w:cs="宋体"/>
          <w:sz w:val="21"/>
          <w:szCs w:val="21"/>
        </w:rPr>
        <w:t>生长调节剂在植物抗逆性中的应用。</w:t>
      </w:r>
    </w:p>
    <w:p>
      <w:pPr>
        <w:pStyle w:val="20"/>
        <w:wordWrap w:val="0"/>
        <w:spacing w:before="0" w:beforeAutospacing="0" w:after="0" w:afterAutospacing="0" w:line="360" w:lineRule="auto"/>
        <w:ind w:firstLine="420" w:firstLineChars="200"/>
        <w:jc w:val="both"/>
        <w:rPr>
          <w:rFonts w:ascii="宋体" w:hAnsi="宋体" w:eastAsia="宋体" w:cs="宋体"/>
          <w:sz w:val="21"/>
          <w:szCs w:val="21"/>
        </w:rPr>
      </w:pPr>
      <w:r>
        <w:rPr>
          <w:rFonts w:hint="eastAsia" w:ascii="宋体" w:hAnsi="宋体" w:eastAsia="宋体" w:cs="宋体"/>
          <w:color w:val="000000"/>
          <w:sz w:val="21"/>
          <w:szCs w:val="21"/>
        </w:rPr>
        <w:t>2．难点：无。</w:t>
      </w:r>
    </w:p>
    <w:p>
      <w:pPr>
        <w:widowControl/>
        <w:wordWrap w:val="0"/>
        <w:snapToGrid w:val="0"/>
        <w:spacing w:line="360" w:lineRule="auto"/>
        <w:ind w:left="1265" w:hanging="1265" w:hangingChars="600"/>
        <w:rPr>
          <w:rFonts w:ascii="宋体" w:hAnsi="宋体" w:cs="宋体"/>
          <w:color w:val="000000"/>
          <w:szCs w:val="21"/>
        </w:rPr>
      </w:pPr>
      <w:r>
        <w:rPr>
          <w:rFonts w:hint="eastAsia" w:ascii="宋体" w:hAnsi="宋体"/>
          <w:b/>
          <w:bCs/>
        </w:rPr>
        <w:t>主要教学内容及要求：</w:t>
      </w:r>
    </w:p>
    <w:p>
      <w:pPr>
        <w:pStyle w:val="20"/>
        <w:wordWrap w:val="0"/>
        <w:spacing w:before="0" w:beforeAutospacing="0" w:after="0" w:afterAutospacing="0" w:line="360" w:lineRule="auto"/>
        <w:ind w:firstLine="420"/>
        <w:jc w:val="both"/>
        <w:rPr>
          <w:rFonts w:ascii="宋体" w:hAnsi="宋体" w:eastAsia="宋体" w:cs="宋体"/>
          <w:color w:val="000000"/>
          <w:sz w:val="21"/>
          <w:szCs w:val="21"/>
        </w:rPr>
      </w:pPr>
      <w:r>
        <w:rPr>
          <w:rFonts w:hint="eastAsia" w:ascii="宋体" w:hAnsi="宋体" w:eastAsia="宋体" w:cs="宋体"/>
          <w:color w:val="000000"/>
          <w:sz w:val="21"/>
          <w:szCs w:val="21"/>
        </w:rPr>
        <w:t>了解如何使用植物生长调节剂增强抗冷性，及其在作物上的应用；了解植物生长调节剂在增强抗热性中的应用；了解植物生长调节剂在增强抗旱性中的应用；了解植物生长调节剂在增强抗病性中的应用。</w:t>
      </w:r>
    </w:p>
    <w:p>
      <w:pPr>
        <w:pStyle w:val="20"/>
        <w:wordWrap w:val="0"/>
        <w:spacing w:before="0" w:beforeAutospacing="0" w:after="0" w:afterAutospacing="0" w:line="360" w:lineRule="auto"/>
        <w:ind w:firstLine="422"/>
        <w:jc w:val="both"/>
        <w:rPr>
          <w:rFonts w:asciiTheme="minorEastAsia" w:hAnsiTheme="minorEastAsia" w:eastAsiaTheme="minorEastAsia"/>
          <w:b/>
          <w:bCs/>
          <w:sz w:val="21"/>
          <w:szCs w:val="21"/>
        </w:rPr>
      </w:pPr>
      <w:r>
        <w:rPr>
          <w:rFonts w:hint="eastAsia" w:asciiTheme="minorEastAsia" w:hAnsiTheme="minorEastAsia" w:eastAsiaTheme="minorEastAsia"/>
          <w:b/>
          <w:bCs/>
          <w:sz w:val="21"/>
          <w:szCs w:val="21"/>
        </w:rPr>
        <w:t>教学组织与实施：</w:t>
      </w:r>
    </w:p>
    <w:p>
      <w:pPr>
        <w:pStyle w:val="20"/>
        <w:wordWrap w:val="0"/>
        <w:spacing w:before="0" w:beforeAutospacing="0" w:after="0" w:afterAutospacing="0" w:line="360" w:lineRule="auto"/>
        <w:ind w:firstLine="420"/>
        <w:jc w:val="both"/>
        <w:rPr>
          <w:rFonts w:ascii="宋体" w:hAnsi="宋体" w:eastAsia="宋体" w:cs="宋体"/>
          <w:b/>
          <w:sz w:val="21"/>
          <w:szCs w:val="21"/>
        </w:rPr>
      </w:pPr>
      <w:r>
        <w:rPr>
          <w:rFonts w:hint="eastAsia" w:ascii="宋体" w:hAnsi="宋体" w:eastAsia="宋体" w:cs="宋体"/>
          <w:color w:val="000000"/>
          <w:sz w:val="21"/>
          <w:szCs w:val="21"/>
        </w:rPr>
        <w:t>以近两年</w:t>
      </w:r>
      <w:r>
        <w:rPr>
          <w:rFonts w:ascii="宋体" w:hAnsi="宋体" w:eastAsia="宋体" w:cs="宋体"/>
          <w:color w:val="000000"/>
          <w:sz w:val="21"/>
          <w:szCs w:val="21"/>
        </w:rPr>
        <w:t>的最新发表</w:t>
      </w:r>
      <w:r>
        <w:rPr>
          <w:rFonts w:hint="eastAsia" w:ascii="宋体" w:hAnsi="宋体" w:eastAsia="宋体" w:cs="宋体"/>
          <w:color w:val="000000"/>
          <w:sz w:val="21"/>
          <w:szCs w:val="21"/>
        </w:rPr>
        <w:t>的学科</w:t>
      </w:r>
      <w:r>
        <w:rPr>
          <w:rFonts w:ascii="宋体" w:hAnsi="宋体" w:eastAsia="宋体" w:cs="宋体"/>
          <w:color w:val="000000"/>
          <w:sz w:val="21"/>
          <w:szCs w:val="21"/>
        </w:rPr>
        <w:t>Top影响力期刊或文章为主，通过</w:t>
      </w:r>
      <w:r>
        <w:rPr>
          <w:rFonts w:hint="eastAsia" w:ascii="宋体" w:hAnsi="宋体" w:eastAsia="宋体" w:cs="宋体"/>
          <w:color w:val="000000"/>
          <w:sz w:val="21"/>
          <w:szCs w:val="21"/>
        </w:rPr>
        <w:t>思路</w:t>
      </w:r>
      <w:r>
        <w:rPr>
          <w:rFonts w:ascii="宋体" w:hAnsi="宋体" w:eastAsia="宋体" w:cs="宋体"/>
          <w:color w:val="000000"/>
          <w:sz w:val="21"/>
          <w:szCs w:val="21"/>
        </w:rPr>
        <w:t>分析、技术讲解和课程内容联系讲授</w:t>
      </w:r>
      <w:r>
        <w:rPr>
          <w:rFonts w:hint="eastAsia" w:ascii="宋体" w:hAnsi="宋体" w:eastAsia="宋体" w:cs="宋体"/>
          <w:color w:val="000000"/>
          <w:sz w:val="21"/>
          <w:szCs w:val="21"/>
        </w:rPr>
        <w:t>、</w:t>
      </w:r>
      <w:r>
        <w:rPr>
          <w:rFonts w:ascii="宋体" w:hAnsi="宋体" w:eastAsia="宋体" w:cs="宋体"/>
          <w:color w:val="000000"/>
          <w:sz w:val="21"/>
          <w:szCs w:val="21"/>
        </w:rPr>
        <w:t>提问</w:t>
      </w:r>
      <w:r>
        <w:rPr>
          <w:rFonts w:hint="eastAsia" w:ascii="宋体" w:hAnsi="宋体" w:eastAsia="宋体" w:cs="宋体"/>
          <w:color w:val="000000"/>
          <w:sz w:val="21"/>
          <w:szCs w:val="21"/>
        </w:rPr>
        <w:t>、</w:t>
      </w:r>
      <w:r>
        <w:rPr>
          <w:rFonts w:ascii="宋体" w:hAnsi="宋体" w:eastAsia="宋体" w:cs="宋体"/>
          <w:color w:val="000000"/>
          <w:sz w:val="21"/>
          <w:szCs w:val="21"/>
        </w:rPr>
        <w:t>课下拓展</w:t>
      </w:r>
      <w:r>
        <w:rPr>
          <w:rFonts w:hint="eastAsia" w:ascii="宋体" w:hAnsi="宋体" w:eastAsia="宋体" w:cs="宋体"/>
          <w:color w:val="000000"/>
          <w:sz w:val="21"/>
          <w:szCs w:val="21"/>
        </w:rPr>
        <w:t>组织学生认知</w:t>
      </w:r>
      <w:r>
        <w:rPr>
          <w:rFonts w:ascii="宋体" w:hAnsi="宋体" w:eastAsia="宋体" w:cs="宋体"/>
          <w:color w:val="000000"/>
          <w:sz w:val="21"/>
          <w:szCs w:val="21"/>
        </w:rPr>
        <w:t>和接受课程内容</w:t>
      </w:r>
      <w:r>
        <w:rPr>
          <w:rFonts w:hint="eastAsia" w:ascii="宋体" w:hAnsi="宋体" w:eastAsia="宋体" w:cs="宋体"/>
          <w:color w:val="000000"/>
          <w:sz w:val="21"/>
          <w:szCs w:val="21"/>
        </w:rPr>
        <w:t>。</w:t>
      </w:r>
    </w:p>
    <w:p>
      <w:pPr>
        <w:snapToGrid w:val="0"/>
        <w:spacing w:line="360" w:lineRule="auto"/>
        <w:rPr>
          <w:rFonts w:ascii="宋体" w:hAnsi="宋体"/>
          <w:b/>
          <w:szCs w:val="21"/>
        </w:rPr>
      </w:pPr>
      <w:r>
        <w:rPr>
          <w:rFonts w:hint="eastAsia" w:ascii="宋体" w:hAnsi="宋体"/>
          <w:b/>
          <w:szCs w:val="21"/>
        </w:rPr>
        <w:t>五</w:t>
      </w:r>
      <w:r>
        <w:rPr>
          <w:rFonts w:ascii="宋体" w:hAnsi="宋体"/>
          <w:b/>
          <w:szCs w:val="21"/>
        </w:rPr>
        <w:t>、</w:t>
      </w:r>
      <w:r>
        <w:rPr>
          <w:rFonts w:hint="eastAsia" w:ascii="宋体" w:hAnsi="宋体"/>
          <w:b/>
          <w:szCs w:val="21"/>
        </w:rPr>
        <w:t>课程思政</w:t>
      </w:r>
    </w:p>
    <w:p>
      <w:pPr>
        <w:snapToGrid w:val="0"/>
        <w:spacing w:line="360" w:lineRule="auto"/>
        <w:ind w:firstLine="420" w:firstLineChars="200"/>
        <w:rPr>
          <w:rFonts w:hAnsi="宋体"/>
          <w:szCs w:val="21"/>
        </w:rPr>
      </w:pPr>
      <w:r>
        <w:rPr>
          <w:rFonts w:hint="eastAsia" w:hAnsi="宋体"/>
          <w:szCs w:val="21"/>
        </w:rPr>
        <w:t>（在课程教学过程中将政治认同、家国情怀、文化素养、宪法法治意识、道德修养等思政元素融入专业教育，并举例说明）</w:t>
      </w:r>
    </w:p>
    <w:p>
      <w:pPr>
        <w:snapToGrid w:val="0"/>
        <w:spacing w:line="360" w:lineRule="auto"/>
        <w:ind w:firstLine="420" w:firstLineChars="200"/>
        <w:rPr>
          <w:rFonts w:hAnsi="宋体"/>
          <w:szCs w:val="21"/>
        </w:rPr>
      </w:pPr>
      <w:r>
        <w:rPr>
          <w:rFonts w:hint="eastAsia" w:hAnsi="宋体"/>
          <w:szCs w:val="21"/>
        </w:rPr>
        <w:t>（一）《植物生长调节剂与利用》课程思政建设主要有以下3个目标：</w:t>
      </w:r>
    </w:p>
    <w:p>
      <w:pPr>
        <w:snapToGrid w:val="0"/>
        <w:spacing w:line="360" w:lineRule="auto"/>
        <w:ind w:firstLine="420" w:firstLineChars="200"/>
        <w:rPr>
          <w:rFonts w:hAnsi="宋体"/>
          <w:szCs w:val="21"/>
        </w:rPr>
      </w:pPr>
      <w:r>
        <w:rPr>
          <w:rFonts w:hint="eastAsia" w:hAnsi="宋体"/>
          <w:szCs w:val="21"/>
        </w:rPr>
        <w:t>目标 1：国家情怀，社会责任。具有坚定正确的政治方向，自觉践行社会主义核心价值观。</w:t>
      </w:r>
    </w:p>
    <w:p>
      <w:pPr>
        <w:snapToGrid w:val="0"/>
        <w:spacing w:line="360" w:lineRule="auto"/>
        <w:ind w:firstLine="420" w:firstLineChars="200"/>
        <w:rPr>
          <w:rFonts w:hAnsi="宋体"/>
          <w:szCs w:val="21"/>
        </w:rPr>
      </w:pPr>
      <w:r>
        <w:rPr>
          <w:rFonts w:hint="eastAsia" w:hAnsi="宋体"/>
          <w:szCs w:val="21"/>
        </w:rPr>
        <w:t>目标 2：科学家精神。以著名科学家为榜样，点燃学生科技兴农梦，引导学生树立正确的人生观与价值观。</w:t>
      </w:r>
    </w:p>
    <w:p>
      <w:pPr>
        <w:snapToGrid w:val="0"/>
        <w:spacing w:line="360" w:lineRule="auto"/>
        <w:ind w:firstLine="420" w:firstLineChars="200"/>
        <w:rPr>
          <w:rFonts w:hAnsi="宋体"/>
          <w:szCs w:val="21"/>
        </w:rPr>
      </w:pPr>
      <w:r>
        <w:rPr>
          <w:rFonts w:hint="eastAsia" w:hAnsi="宋体"/>
          <w:szCs w:val="21"/>
        </w:rPr>
        <w:t>目标 3：社会主义生态文明观。传递正确的社会主义生态文明观，引导学生学以致用，积极参与生态化生产、绿色化生活、打造优质化环境的建设实践。</w:t>
      </w:r>
    </w:p>
    <w:p>
      <w:pPr>
        <w:snapToGrid w:val="0"/>
        <w:spacing w:line="360" w:lineRule="auto"/>
        <w:ind w:firstLine="420" w:firstLineChars="200"/>
        <w:rPr>
          <w:rFonts w:hAnsi="宋体"/>
          <w:szCs w:val="21"/>
        </w:rPr>
      </w:pPr>
      <w:r>
        <w:rPr>
          <w:rFonts w:hint="eastAsia" w:hAnsi="宋体"/>
          <w:szCs w:val="21"/>
        </w:rPr>
        <w:t>（二）对应思政育人目标，本课程共设计3个案例融入课堂教学，具体如下：</w:t>
      </w:r>
    </w:p>
    <w:p>
      <w:pPr>
        <w:snapToGrid w:val="0"/>
        <w:spacing w:line="360" w:lineRule="auto"/>
        <w:ind w:firstLine="420" w:firstLineChars="200"/>
        <w:rPr>
          <w:rFonts w:hAnsi="宋体"/>
          <w:szCs w:val="21"/>
        </w:rPr>
      </w:pPr>
      <w:r>
        <w:rPr>
          <w:rFonts w:hint="eastAsia" w:hAnsi="宋体"/>
          <w:szCs w:val="21"/>
        </w:rPr>
        <w:t>（1）在讲解赤霉素类生长调节剂时，融入案例1：以赤霉素引发的农业第一次“绿色革命”和中国学者吹响新“绿色革命”的号角为例，让学生感受到祖国的迅猛发展与我国科学家的卓著贡献，进而增强民族自信心与自豪感，并使学生明晰责任与担当是家国情怀的精髓之所在。20 世纪60 年代中期，饥饿、营养不良在一些亚洲国家中成为普遍现象。通过赤霉素研究引发的第一次“绿色革命”，培育获得了高产、抗倒伏的作物植株，使得主要粮食作物（如水稻、小麦）的产量大幅度提升，解决了由人口快速增长对粮食安全带来的严峻危机。自20 世纪90 年代以来，大批具有海外留学经历的中青年科学家回国服务，组建了一支具有国际竞争力的科研队伍，在植物激素的生物合成、体内运输、组织分布、信号转导、激素互作等领域取得了一系列突破性的研究成果。至2020 年，我国粮食总产量为6695 亿kg，中国已实现从温饱不足到全面小康的历史跨越。此外，我国科学家傅向东研究员带领团队成员进行长期科研攻关，找到提高水稻氮素使用效率的秘诀，实现了少投入、多产出、保护环境的育种理念，此项研究成果预示着一场新的“绿色革命”即将到来。</w:t>
      </w:r>
    </w:p>
    <w:p>
      <w:pPr>
        <w:snapToGrid w:val="0"/>
        <w:spacing w:line="360" w:lineRule="auto"/>
        <w:ind w:firstLine="420" w:firstLineChars="200"/>
        <w:rPr>
          <w:rFonts w:hAnsi="宋体"/>
          <w:szCs w:val="21"/>
        </w:rPr>
      </w:pPr>
      <w:r>
        <w:rPr>
          <w:rFonts w:hint="eastAsia" w:hAnsi="宋体"/>
          <w:szCs w:val="21"/>
        </w:rPr>
        <w:t>（2）在讲解植物激素的发展和研究方面，融入案例2：以著名科学家为榜样，点燃学生科技兴农梦，引导学生树立正确的人生观与价值观。我国谢道昕院士，长期从事植物激素的研究，并用“笨鸟先飞”来形容自己的学术生涯，他阐明了茉莉酸和独脚金内酯的受体感知机制，对于揭示植物生命活动的本质、改善生态环境和保障粮食安全具有重要意义。2006 年，谢道昕从新加坡回国至清华任教，希望自己做好一颗“螺丝钉”，他认为能够为祖国的科学事业发展和人才培养尽微薄之力是责任、义务与荣耀。</w:t>
      </w:r>
    </w:p>
    <w:p>
      <w:pPr>
        <w:snapToGrid w:val="0"/>
        <w:spacing w:line="360" w:lineRule="auto"/>
        <w:ind w:firstLine="420" w:firstLineChars="200"/>
        <w:rPr>
          <w:rFonts w:hAnsi="宋体"/>
          <w:szCs w:val="21"/>
        </w:rPr>
      </w:pPr>
      <w:r>
        <w:rPr>
          <w:rFonts w:hint="eastAsia" w:hAnsi="宋体"/>
          <w:szCs w:val="21"/>
        </w:rPr>
        <w:t>（3）在讲解植物生长调节剂应用方面，融入案例3：生态文明建设功在当代，利在千秋。随着人口的增加及食物的过度消费导致食品供需关系间的鸿沟日益扩大，而果蔬采摘后的损失和浪费更令人触目惊心。常规使用的低温贮藏等物理方法能耗高，且有效性因瓜果蔬菜产品而异；化学方法虽简单有效，但因其化学残留危害使消费者无法接受；通过生物技术方法合理调控植物激素能够安全、无毒、高效延长新鲜农产品的贮藏期。研究表明，赤霉素类、细胞分裂素类、油菜素内酯类等六类植物激素可以通过激活防御基因表达和抑制衰老相关基因表达等途径参与果蔬采后保鲜的调控机制，以达到高效绿色贮藏采后农产品的目标。此外，生长素类、细胞分裂素类、赤霉素类植物生长调节剂能够微量高效的调控植物生长；脱落酸类、水杨酸类及乙烯类植物生长调节剂能够有效提升植物的抗逆及抗病性，进而减少化学农药的使用，以达到高效绿色的农业生产目标。</w:t>
      </w:r>
    </w:p>
    <w:p>
      <w:pPr>
        <w:widowControl/>
        <w:snapToGrid w:val="0"/>
        <w:spacing w:line="360" w:lineRule="auto"/>
        <w:jc w:val="left"/>
        <w:rPr>
          <w:kern w:val="0"/>
          <w:szCs w:val="21"/>
        </w:rPr>
      </w:pPr>
      <w:r>
        <w:rPr>
          <w:rFonts w:hint="eastAsia" w:hAnsi="宋体"/>
          <w:b/>
          <w:bCs/>
          <w:kern w:val="0"/>
          <w:szCs w:val="21"/>
        </w:rPr>
        <w:t>六</w:t>
      </w:r>
      <w:r>
        <w:rPr>
          <w:rFonts w:hAnsi="宋体"/>
          <w:b/>
          <w:bCs/>
          <w:kern w:val="0"/>
          <w:szCs w:val="21"/>
        </w:rPr>
        <w:t>、教材</w:t>
      </w:r>
      <w:r>
        <w:rPr>
          <w:rFonts w:hint="eastAsia" w:hAnsi="宋体"/>
          <w:b/>
          <w:bCs/>
          <w:kern w:val="0"/>
          <w:szCs w:val="21"/>
        </w:rPr>
        <w:t>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snapToGrid w:val="0"/>
        <w:spacing w:line="360" w:lineRule="auto"/>
        <w:ind w:firstLine="420" w:firstLineChars="200"/>
        <w:rPr>
          <w:rFonts w:hAnsi="宋体"/>
          <w:bCs/>
          <w:kern w:val="0"/>
          <w:szCs w:val="21"/>
        </w:rPr>
      </w:pPr>
      <w:r>
        <w:rPr>
          <w:rFonts w:hint="eastAsia" w:hAnsi="宋体"/>
          <w:bCs/>
          <w:kern w:val="0"/>
          <w:szCs w:val="21"/>
        </w:rPr>
        <w:t>理论课教材：</w:t>
      </w:r>
      <w:r>
        <w:rPr>
          <w:rFonts w:hAnsi="宋体"/>
          <w:bCs/>
          <w:kern w:val="0"/>
          <w:szCs w:val="21"/>
        </w:rPr>
        <w:t>植物激素作用的分子机理，许智宏，薛红卫编著，上海科学技术出版社出版社，2023年</w:t>
      </w:r>
      <w:r>
        <w:rPr>
          <w:rFonts w:hint="eastAsia" w:hAnsi="宋体"/>
          <w:bCs/>
          <w:kern w:val="0"/>
          <w:szCs w:val="21"/>
        </w:rPr>
        <w:t>。</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napToGrid w:val="0"/>
        <w:spacing w:line="360" w:lineRule="auto"/>
        <w:ind w:firstLine="420" w:firstLineChars="200"/>
        <w:rPr>
          <w:rFonts w:hAnsi="宋体"/>
          <w:bCs/>
          <w:kern w:val="0"/>
          <w:szCs w:val="21"/>
        </w:rPr>
      </w:pPr>
      <w:r>
        <w:rPr>
          <w:rFonts w:hAnsi="宋体"/>
          <w:bCs/>
          <w:kern w:val="0"/>
          <w:szCs w:val="21"/>
        </w:rPr>
        <w:t>（1）植物生长调节剂科学使用指南</w:t>
      </w:r>
      <w:r>
        <w:rPr>
          <w:rFonts w:hint="eastAsia" w:hAnsi="宋体"/>
          <w:bCs/>
          <w:kern w:val="0"/>
          <w:szCs w:val="21"/>
        </w:rPr>
        <w:t>．</w:t>
      </w:r>
      <w:r>
        <w:fldChar w:fldCharType="begin"/>
      </w:r>
      <w:r>
        <w:instrText xml:space="preserve"> HYPERLINK "http://search.dangdang.com/?key2=%D5%C5%D7%DA%BC%F3&amp;medium=01&amp;category_path=01.00.00.00.00.00" \t "_blank" </w:instrText>
      </w:r>
      <w:r>
        <w:fldChar w:fldCharType="separate"/>
      </w:r>
      <w:r>
        <w:rPr>
          <w:rFonts w:hAnsi="宋体"/>
          <w:bCs/>
          <w:kern w:val="0"/>
          <w:szCs w:val="21"/>
        </w:rPr>
        <w:t>张宗俭</w:t>
      </w:r>
      <w:r>
        <w:rPr>
          <w:rFonts w:hAnsi="宋体"/>
          <w:bCs/>
          <w:kern w:val="0"/>
          <w:szCs w:val="21"/>
        </w:rPr>
        <w:fldChar w:fldCharType="end"/>
      </w:r>
      <w:r>
        <w:rPr>
          <w:rFonts w:hAnsi="宋体"/>
          <w:bCs/>
          <w:kern w:val="0"/>
          <w:szCs w:val="21"/>
        </w:rPr>
        <w:t>、</w:t>
      </w:r>
      <w:r>
        <w:fldChar w:fldCharType="begin"/>
      </w:r>
      <w:r>
        <w:instrText xml:space="preserve"> HYPERLINK "http://search.dangdang.com/?key2=%C9%DB%D5%F1%C8%F3&amp;medium=01&amp;category_path=01.00.00.00.00.00" \t "_blank" </w:instrText>
      </w:r>
      <w:r>
        <w:fldChar w:fldCharType="separate"/>
      </w:r>
      <w:r>
        <w:rPr>
          <w:rFonts w:hAnsi="宋体"/>
          <w:bCs/>
          <w:kern w:val="0"/>
          <w:szCs w:val="21"/>
        </w:rPr>
        <w:t>邵振润</w:t>
      </w:r>
      <w:r>
        <w:rPr>
          <w:rFonts w:hAnsi="宋体"/>
          <w:bCs/>
          <w:kern w:val="0"/>
          <w:szCs w:val="21"/>
        </w:rPr>
        <w:fldChar w:fldCharType="end"/>
      </w:r>
      <w:r>
        <w:rPr>
          <w:rFonts w:hAnsi="宋体"/>
          <w:bCs/>
          <w:kern w:val="0"/>
          <w:szCs w:val="21"/>
        </w:rPr>
        <w:t>、</w:t>
      </w:r>
      <w:r>
        <w:fldChar w:fldCharType="begin"/>
      </w:r>
      <w:r>
        <w:instrText xml:space="preserve"> HYPERLINK "http://search.dangdang.com/?key2=%CA%F8%B7%C5&amp;medium=01&amp;category_path=01.00.00.00.00.00" \t "_blank" </w:instrText>
      </w:r>
      <w:r>
        <w:fldChar w:fldCharType="separate"/>
      </w:r>
      <w:r>
        <w:rPr>
          <w:rFonts w:hAnsi="宋体"/>
          <w:bCs/>
          <w:kern w:val="0"/>
          <w:szCs w:val="21"/>
        </w:rPr>
        <w:t>束放</w:t>
      </w:r>
      <w:r>
        <w:rPr>
          <w:rFonts w:hAnsi="宋体"/>
          <w:bCs/>
          <w:kern w:val="0"/>
          <w:szCs w:val="21"/>
        </w:rPr>
        <w:fldChar w:fldCharType="end"/>
      </w:r>
      <w:r>
        <w:rPr>
          <w:rFonts w:hint="eastAsia" w:hAnsi="宋体"/>
          <w:bCs/>
          <w:kern w:val="0"/>
          <w:szCs w:val="21"/>
        </w:rPr>
        <w:t>．</w:t>
      </w:r>
      <w:r>
        <w:rPr>
          <w:rFonts w:hAnsi="宋体"/>
          <w:bCs/>
          <w:kern w:val="0"/>
          <w:szCs w:val="21"/>
        </w:rPr>
        <w:t>化学工业出版社</w:t>
      </w:r>
      <w:r>
        <w:rPr>
          <w:rFonts w:hint="eastAsia" w:hAnsi="宋体"/>
          <w:bCs/>
          <w:kern w:val="0"/>
          <w:szCs w:val="21"/>
        </w:rPr>
        <w:t>, 2</w:t>
      </w:r>
      <w:r>
        <w:rPr>
          <w:rFonts w:hAnsi="宋体"/>
          <w:bCs/>
          <w:kern w:val="0"/>
          <w:szCs w:val="21"/>
        </w:rPr>
        <w:t>015</w:t>
      </w:r>
    </w:p>
    <w:p>
      <w:pPr>
        <w:snapToGrid w:val="0"/>
        <w:spacing w:line="360" w:lineRule="auto"/>
        <w:ind w:firstLine="420" w:firstLineChars="200"/>
        <w:rPr>
          <w:rFonts w:hAnsi="宋体"/>
          <w:bCs/>
          <w:kern w:val="0"/>
          <w:szCs w:val="21"/>
        </w:rPr>
      </w:pPr>
      <w:r>
        <w:rPr>
          <w:rFonts w:hAnsi="宋体"/>
          <w:bCs/>
          <w:kern w:val="0"/>
          <w:szCs w:val="21"/>
        </w:rPr>
        <w:t>（</w:t>
      </w:r>
      <w:r>
        <w:rPr>
          <w:bCs/>
          <w:kern w:val="0"/>
          <w:szCs w:val="21"/>
        </w:rPr>
        <w:t>2</w:t>
      </w:r>
      <w:r>
        <w:rPr>
          <w:rFonts w:hAnsi="宋体"/>
          <w:bCs/>
          <w:kern w:val="0"/>
          <w:szCs w:val="21"/>
        </w:rPr>
        <w:t>）</w:t>
      </w:r>
      <w:r>
        <w:rPr>
          <w:rFonts w:hint="eastAsia" w:asciiTheme="minorEastAsia" w:hAnsiTheme="minorEastAsia"/>
          <w:bCs/>
          <w:kern w:val="0"/>
          <w:szCs w:val="21"/>
        </w:rPr>
        <w:t>《现代</w:t>
      </w:r>
      <w:r>
        <w:rPr>
          <w:rFonts w:asciiTheme="minorEastAsia" w:hAnsiTheme="minorEastAsia"/>
          <w:bCs/>
          <w:kern w:val="0"/>
          <w:szCs w:val="21"/>
        </w:rPr>
        <w:t>植物生长调节剂技术手册》</w:t>
      </w:r>
      <w:r>
        <w:rPr>
          <w:rFonts w:hint="eastAsia" w:asciiTheme="minorEastAsia" w:hAnsiTheme="minorEastAsia"/>
          <w:bCs/>
          <w:kern w:val="0"/>
          <w:szCs w:val="21"/>
        </w:rPr>
        <w:t>。</w:t>
      </w:r>
      <w:r>
        <w:rPr>
          <w:rFonts w:asciiTheme="minorEastAsia" w:hAnsiTheme="minorEastAsia"/>
          <w:bCs/>
          <w:kern w:val="0"/>
          <w:szCs w:val="21"/>
        </w:rPr>
        <w:t>李</w:t>
      </w:r>
      <w:r>
        <w:rPr>
          <w:rFonts w:hint="eastAsia" w:asciiTheme="minorEastAsia" w:hAnsiTheme="minorEastAsia"/>
          <w:bCs/>
          <w:kern w:val="0"/>
          <w:szCs w:val="21"/>
        </w:rPr>
        <w:t>玲</w:t>
      </w:r>
      <w:r>
        <w:rPr>
          <w:rFonts w:asciiTheme="minorEastAsia" w:hAnsiTheme="minorEastAsia"/>
          <w:bCs/>
          <w:kern w:val="0"/>
          <w:szCs w:val="21"/>
        </w:rPr>
        <w:t>，肖浪涛，谭伟</w:t>
      </w:r>
      <w:r>
        <w:rPr>
          <w:rFonts w:hint="eastAsia" w:asciiTheme="minorEastAsia" w:hAnsiTheme="minorEastAsia"/>
          <w:bCs/>
          <w:kern w:val="0"/>
          <w:szCs w:val="21"/>
        </w:rPr>
        <w:t>明</w:t>
      </w:r>
      <w:r>
        <w:rPr>
          <w:rFonts w:asciiTheme="minorEastAsia" w:hAnsiTheme="minorEastAsia"/>
          <w:bCs/>
          <w:kern w:val="0"/>
          <w:szCs w:val="21"/>
        </w:rPr>
        <w:t>，化学工业出版社，</w:t>
      </w:r>
      <w:r>
        <w:rPr>
          <w:rFonts w:hint="eastAsia" w:asciiTheme="minorEastAsia" w:hAnsiTheme="minorEastAsia"/>
          <w:bCs/>
          <w:kern w:val="0"/>
          <w:szCs w:val="21"/>
        </w:rPr>
        <w:t>2018</w:t>
      </w:r>
    </w:p>
    <w:p>
      <w:pPr>
        <w:pStyle w:val="6"/>
        <w:spacing w:line="360" w:lineRule="auto"/>
        <w:ind w:right="4" w:firstLine="420" w:firstLineChars="200"/>
        <w:rPr>
          <w:szCs w:val="21"/>
        </w:rPr>
      </w:pPr>
      <w:r>
        <w:rPr>
          <w:rFonts w:hint="eastAsia" w:hAnsi="宋体"/>
          <w:bCs/>
          <w:kern w:val="0"/>
          <w:szCs w:val="21"/>
        </w:rPr>
        <w:t>（3）</w:t>
      </w:r>
      <w:r>
        <w:rPr>
          <w:rFonts w:hint="eastAsia"/>
          <w:szCs w:val="21"/>
        </w:rPr>
        <w:t>《</w:t>
      </w:r>
      <w:r>
        <w:fldChar w:fldCharType="begin"/>
      </w:r>
      <w:r>
        <w:instrText xml:space="preserve"> HYPERLINK "http://product.dangdang.com/21099824.html" \t "http://search.dangdang.com/_blank" \o " 植物生长调节剂原理与应用   " </w:instrText>
      </w:r>
      <w:r>
        <w:fldChar w:fldCharType="separate"/>
      </w:r>
      <w:r>
        <w:rPr>
          <w:rFonts w:hint="eastAsia"/>
          <w:szCs w:val="21"/>
        </w:rPr>
        <w:t>植物生长调节剂原理与应用</w:t>
      </w:r>
      <w:r>
        <w:rPr>
          <w:rFonts w:hint="eastAsia"/>
          <w:szCs w:val="21"/>
        </w:rPr>
        <w:fldChar w:fldCharType="end"/>
      </w:r>
      <w:r>
        <w:rPr>
          <w:rFonts w:hint="eastAsia"/>
          <w:szCs w:val="21"/>
        </w:rPr>
        <w:t>》。潘瑞炽，李玲编著。广东高等教育出版社，2007。</w:t>
      </w:r>
    </w:p>
    <w:p>
      <w:pPr>
        <w:widowControl/>
        <w:snapToGrid w:val="0"/>
        <w:spacing w:line="360" w:lineRule="auto"/>
        <w:ind w:firstLine="422" w:firstLineChars="200"/>
        <w:jc w:val="left"/>
        <w:rPr>
          <w:b/>
          <w:kern w:val="0"/>
          <w:szCs w:val="21"/>
        </w:rPr>
      </w:pPr>
      <w:r>
        <w:rPr>
          <w:b/>
          <w:kern w:val="0"/>
          <w:szCs w:val="21"/>
        </w:rPr>
        <w:t>3.推荐网站</w:t>
      </w:r>
      <w:r>
        <w:rPr>
          <w:rFonts w:hint="eastAsia"/>
          <w:b/>
          <w:kern w:val="0"/>
          <w:szCs w:val="21"/>
        </w:rPr>
        <w:t>（线上资源）</w:t>
      </w:r>
      <w:r>
        <w:rPr>
          <w:b/>
          <w:kern w:val="0"/>
          <w:szCs w:val="21"/>
        </w:rPr>
        <w:t>：</w:t>
      </w:r>
    </w:p>
    <w:p>
      <w:pPr>
        <w:snapToGrid w:val="0"/>
        <w:spacing w:line="360" w:lineRule="auto"/>
        <w:ind w:firstLine="420" w:firstLineChars="200"/>
        <w:rPr>
          <w:rFonts w:asciiTheme="minorEastAsia" w:hAnsiTheme="minorEastAsia"/>
          <w:szCs w:val="21"/>
        </w:rPr>
      </w:pPr>
      <w:r>
        <w:rPr>
          <w:rFonts w:hint="eastAsia" w:asciiTheme="minorEastAsia" w:hAnsiTheme="minorEastAsia"/>
          <w:szCs w:val="21"/>
        </w:rPr>
        <w:t>（1）美国</w:t>
      </w:r>
      <w:r>
        <w:rPr>
          <w:rFonts w:asciiTheme="minorEastAsia" w:hAnsiTheme="minorEastAsia"/>
          <w:szCs w:val="21"/>
        </w:rPr>
        <w:t>国家生物信息中心</w:t>
      </w:r>
      <w:r>
        <w:rPr>
          <w:rFonts w:hint="eastAsia" w:asciiTheme="minorEastAsia" w:hAnsiTheme="minorEastAsia"/>
          <w:szCs w:val="21"/>
        </w:rPr>
        <w:t>搜索</w:t>
      </w:r>
      <w:r>
        <w:rPr>
          <w:rFonts w:asciiTheme="minorEastAsia" w:hAnsiTheme="minorEastAsia"/>
          <w:szCs w:val="21"/>
        </w:rPr>
        <w:t>，</w:t>
      </w:r>
      <w:r>
        <w:rPr>
          <w:rFonts w:asciiTheme="minorEastAsia" w:hAnsiTheme="minorEastAsia"/>
        </w:rPr>
        <w:t>http://www.ncbi.nlm.nih.gov/pubmed/</w:t>
      </w:r>
    </w:p>
    <w:p>
      <w:pPr>
        <w:widowControl/>
        <w:snapToGrid w:val="0"/>
        <w:spacing w:line="360" w:lineRule="auto"/>
        <w:ind w:firstLine="420" w:firstLineChars="200"/>
        <w:jc w:val="left"/>
        <w:rPr>
          <w:rFonts w:asciiTheme="minorEastAsia" w:hAnsiTheme="minorEastAsia"/>
          <w:kern w:val="0"/>
        </w:rPr>
      </w:pPr>
      <w:r>
        <w:rPr>
          <w:rFonts w:hint="eastAsia" w:asciiTheme="minorEastAsia" w:hAnsiTheme="minorEastAsia"/>
          <w:szCs w:val="21"/>
        </w:rPr>
        <w:t>（2）C</w:t>
      </w:r>
      <w:r>
        <w:rPr>
          <w:rFonts w:asciiTheme="minorEastAsia" w:hAnsiTheme="minorEastAsia"/>
          <w:szCs w:val="21"/>
        </w:rPr>
        <w:t>NKI</w:t>
      </w:r>
      <w:r>
        <w:rPr>
          <w:rFonts w:hint="eastAsia" w:asciiTheme="minorEastAsia" w:hAnsiTheme="minorEastAsia"/>
          <w:szCs w:val="21"/>
        </w:rPr>
        <w:t>全文</w:t>
      </w:r>
      <w:r>
        <w:rPr>
          <w:rFonts w:asciiTheme="minorEastAsia" w:hAnsiTheme="minorEastAsia"/>
          <w:szCs w:val="21"/>
        </w:rPr>
        <w:t>数据库搜索</w:t>
      </w:r>
      <w:r>
        <w:rPr>
          <w:rFonts w:hint="eastAsia" w:asciiTheme="minorEastAsia" w:hAnsiTheme="minorEastAsia"/>
          <w:szCs w:val="21"/>
        </w:rPr>
        <w:t>，</w:t>
      </w:r>
      <w:r>
        <w:rPr>
          <w:rFonts w:asciiTheme="minorEastAsia" w:hAnsiTheme="minorEastAsia"/>
        </w:rPr>
        <w:t>https://www.cnki.net/</w:t>
      </w:r>
    </w:p>
    <w:p>
      <w:pPr>
        <w:widowControl/>
        <w:snapToGrid w:val="0"/>
        <w:spacing w:line="360" w:lineRule="auto"/>
        <w:jc w:val="left"/>
        <w:rPr>
          <w:rFonts w:hAnsi="宋体"/>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color w:val="0000FF"/>
          <w:szCs w:val="21"/>
        </w:rPr>
      </w:pPr>
      <w:r>
        <w:rPr>
          <w:rFonts w:hint="eastAsia" w:ascii="宋体" w:hAnsi="宋体"/>
          <w:szCs w:val="21"/>
        </w:rPr>
        <w:t>教学</w:t>
      </w:r>
      <w:r>
        <w:rPr>
          <w:rFonts w:ascii="宋体" w:hAnsi="宋体"/>
          <w:szCs w:val="21"/>
        </w:rPr>
        <w:t>主要以讲授和讨论等形式开展，需要有</w:t>
      </w:r>
      <w:r>
        <w:rPr>
          <w:rFonts w:hint="eastAsia" w:ascii="宋体" w:hAnsi="宋体"/>
          <w:szCs w:val="21"/>
        </w:rPr>
        <w:t>多媒体</w:t>
      </w:r>
      <w:r>
        <w:rPr>
          <w:rFonts w:ascii="宋体" w:hAnsi="宋体"/>
          <w:szCs w:val="21"/>
        </w:rPr>
        <w:t>教室，安装在线联网</w:t>
      </w:r>
      <w:r>
        <w:rPr>
          <w:rFonts w:hint="eastAsia" w:ascii="宋体" w:hAnsi="宋体"/>
          <w:szCs w:val="21"/>
        </w:rPr>
        <w:t>、</w:t>
      </w:r>
      <w:r>
        <w:rPr>
          <w:rFonts w:ascii="宋体" w:hAnsi="宋体"/>
          <w:szCs w:val="21"/>
        </w:rPr>
        <w:t>超星教育系统等</w:t>
      </w:r>
      <w:r>
        <w:rPr>
          <w:rFonts w:hint="eastAsia" w:ascii="宋体" w:hAnsi="宋体"/>
          <w:color w:val="0000FF"/>
          <w:szCs w:val="21"/>
        </w:rPr>
        <w:t>。</w:t>
      </w:r>
    </w:p>
    <w:p>
      <w:pPr>
        <w:widowControl/>
        <w:snapToGrid w:val="0"/>
        <w:spacing w:line="360" w:lineRule="auto"/>
        <w:jc w:val="left"/>
        <w:rPr>
          <w:rFonts w:hAnsi="宋体"/>
          <w:b/>
          <w:bCs/>
          <w:kern w:val="0"/>
          <w:szCs w:val="21"/>
        </w:rPr>
      </w:pPr>
      <w:r>
        <w:rPr>
          <w:rFonts w:hint="eastAsia" w:hAnsi="宋体"/>
          <w:b/>
          <w:bCs/>
          <w:kern w:val="0"/>
          <w:szCs w:val="21"/>
        </w:rPr>
        <w:t>八、教学考核评价</w:t>
      </w:r>
    </w:p>
    <w:p>
      <w:pPr>
        <w:widowControl/>
        <w:snapToGrid w:val="0"/>
        <w:spacing w:line="360" w:lineRule="auto"/>
        <w:ind w:firstLine="420"/>
        <w:jc w:val="left"/>
        <w:rPr>
          <w:rFonts w:ascii="宋体" w:hAnsi="宋体"/>
          <w:szCs w:val="21"/>
        </w:rPr>
      </w:pPr>
      <w:r>
        <w:rPr>
          <w:rFonts w:hint="eastAsia" w:hAnsi="宋体"/>
          <w:b/>
          <w:bCs/>
          <w:kern w:val="0"/>
          <w:szCs w:val="21"/>
        </w:rPr>
        <w:t>1.过程性评价：</w:t>
      </w:r>
      <w:r>
        <w:rPr>
          <w:rFonts w:hint="eastAsia" w:ascii="宋体" w:hAnsi="宋体"/>
          <w:szCs w:val="21"/>
        </w:rPr>
        <w:t>考勤</w:t>
      </w:r>
      <w:r>
        <w:rPr>
          <w:rFonts w:ascii="宋体" w:hAnsi="宋体"/>
          <w:szCs w:val="21"/>
        </w:rPr>
        <w:t>成绩</w:t>
      </w:r>
      <w:r>
        <w:rPr>
          <w:rFonts w:hint="eastAsia" w:ascii="宋体" w:hAnsi="宋体"/>
          <w:szCs w:val="21"/>
        </w:rPr>
        <w:t>、</w:t>
      </w:r>
      <w:r>
        <w:rPr>
          <w:rFonts w:ascii="宋体" w:hAnsi="宋体"/>
          <w:szCs w:val="21"/>
        </w:rPr>
        <w:t>课堂作业</w:t>
      </w:r>
      <w:r>
        <w:rPr>
          <w:rFonts w:hint="eastAsia" w:ascii="宋体" w:hAnsi="宋体"/>
          <w:szCs w:val="21"/>
        </w:rPr>
        <w:t>、</w:t>
      </w:r>
      <w:r>
        <w:rPr>
          <w:rFonts w:ascii="宋体" w:hAnsi="宋体"/>
          <w:szCs w:val="21"/>
        </w:rPr>
        <w:t>提问回答、上台演讲等均纳入平时成绩进行多元化考核</w:t>
      </w:r>
      <w:r>
        <w:rPr>
          <w:rFonts w:hint="eastAsia" w:ascii="宋体" w:hAnsi="宋体"/>
          <w:szCs w:val="21"/>
        </w:rPr>
        <w:t>，</w:t>
      </w:r>
      <w:r>
        <w:rPr>
          <w:rFonts w:ascii="宋体" w:hAnsi="宋体"/>
          <w:szCs w:val="21"/>
        </w:rPr>
        <w:t>该部分为平时成绩，占比为</w:t>
      </w:r>
      <w:r>
        <w:rPr>
          <w:rFonts w:hint="eastAsia" w:ascii="宋体" w:hAnsi="宋体"/>
          <w:szCs w:val="21"/>
        </w:rPr>
        <w:t>30</w:t>
      </w:r>
      <w:r>
        <w:rPr>
          <w:rFonts w:ascii="宋体" w:hAnsi="宋体"/>
          <w:szCs w:val="21"/>
        </w:rPr>
        <w:t>%。</w:t>
      </w:r>
    </w:p>
    <w:p>
      <w:pPr>
        <w:widowControl/>
        <w:snapToGrid w:val="0"/>
        <w:spacing w:line="360" w:lineRule="auto"/>
        <w:ind w:firstLine="420"/>
        <w:jc w:val="left"/>
        <w:rPr>
          <w:rFonts w:hAnsi="宋体"/>
          <w:b/>
          <w:bCs/>
          <w:kern w:val="0"/>
          <w:szCs w:val="21"/>
        </w:rPr>
      </w:pPr>
      <w:r>
        <w:rPr>
          <w:rFonts w:hint="eastAsia" w:hAnsi="宋体"/>
          <w:b/>
          <w:bCs/>
          <w:kern w:val="0"/>
          <w:szCs w:val="21"/>
        </w:rPr>
        <w:t>2.终结性评价：</w:t>
      </w:r>
    </w:p>
    <w:p>
      <w:pPr>
        <w:widowControl/>
        <w:snapToGrid w:val="0"/>
        <w:spacing w:line="360" w:lineRule="auto"/>
        <w:ind w:firstLine="420"/>
        <w:jc w:val="left"/>
        <w:rPr>
          <w:rFonts w:hAnsi="宋体"/>
          <w:bCs/>
          <w:kern w:val="0"/>
          <w:szCs w:val="21"/>
        </w:rPr>
      </w:pPr>
      <w:r>
        <w:rPr>
          <w:rFonts w:hint="eastAsia" w:hAnsi="宋体"/>
          <w:bCs/>
          <w:kern w:val="0"/>
          <w:szCs w:val="21"/>
        </w:rPr>
        <w:t>采用</w:t>
      </w:r>
      <w:r>
        <w:rPr>
          <w:rFonts w:hint="eastAsia" w:ascii="宋体" w:hAnsi="宋体"/>
        </w:rPr>
        <w:t>课程论文的</w:t>
      </w:r>
      <w:r>
        <w:rPr>
          <w:rFonts w:ascii="宋体" w:hAnsi="宋体"/>
        </w:rPr>
        <w:t>形式进行考核</w:t>
      </w:r>
      <w:r>
        <w:rPr>
          <w:rFonts w:hint="eastAsia" w:ascii="宋体" w:hAnsi="宋体"/>
        </w:rPr>
        <w:t>；占比</w:t>
      </w:r>
      <w:r>
        <w:rPr>
          <w:rFonts w:ascii="宋体" w:hAnsi="宋体"/>
        </w:rPr>
        <w:t>为</w:t>
      </w:r>
      <w:r>
        <w:rPr>
          <w:rFonts w:hint="eastAsia" w:ascii="宋体" w:hAnsi="宋体"/>
        </w:rPr>
        <w:t>70</w:t>
      </w:r>
      <w:r>
        <w:rPr>
          <w:rFonts w:ascii="宋体" w:hAnsi="宋体"/>
        </w:rPr>
        <w:t>%</w:t>
      </w:r>
    </w:p>
    <w:p>
      <w:pPr>
        <w:widowControl/>
        <w:snapToGrid w:val="0"/>
        <w:spacing w:line="360" w:lineRule="auto"/>
        <w:ind w:firstLine="420"/>
        <w:jc w:val="left"/>
        <w:rPr>
          <w:rFonts w:hAnsi="宋体"/>
          <w:bCs/>
          <w:color w:val="0000FF"/>
          <w:kern w:val="0"/>
          <w:szCs w:val="21"/>
        </w:rPr>
      </w:pPr>
      <w:r>
        <w:rPr>
          <w:rFonts w:hint="eastAsia" w:hAnsi="宋体"/>
          <w:b/>
          <w:bCs/>
          <w:kern w:val="0"/>
          <w:szCs w:val="21"/>
        </w:rPr>
        <w:t>3.课程综合评价：</w:t>
      </w:r>
    </w:p>
    <w:p>
      <w:pPr>
        <w:widowControl/>
        <w:snapToGrid w:val="0"/>
        <w:spacing w:line="360" w:lineRule="auto"/>
        <w:ind w:firstLine="420"/>
        <w:jc w:val="left"/>
        <w:rPr>
          <w:szCs w:val="21"/>
        </w:rPr>
      </w:pPr>
      <w:r>
        <w:rPr>
          <w:rFonts w:hint="eastAsia"/>
          <w:szCs w:val="21"/>
        </w:rPr>
        <w:t>综合</w:t>
      </w:r>
      <w:r>
        <w:rPr>
          <w:szCs w:val="21"/>
        </w:rPr>
        <w:t>评价由过程性评价和终结性评价构成。</w:t>
      </w:r>
      <w:r>
        <w:rPr>
          <w:rFonts w:hint="eastAsia"/>
          <w:szCs w:val="21"/>
        </w:rPr>
        <w:t>其中过程性评价包括考勤（40％）、课堂作业/回答提问/演讲（60％</w:t>
      </w:r>
      <w:r>
        <w:rPr>
          <w:szCs w:val="21"/>
        </w:rPr>
        <w:t>）</w:t>
      </w:r>
      <w:r>
        <w:rPr>
          <w:rFonts w:hint="eastAsia"/>
          <w:szCs w:val="21"/>
        </w:rPr>
        <w:t>，</w:t>
      </w:r>
      <w:r>
        <w:rPr>
          <w:szCs w:val="21"/>
        </w:rPr>
        <w:t>这两项为平时成绩</w:t>
      </w:r>
      <w:r>
        <w:rPr>
          <w:rFonts w:hint="eastAsia"/>
          <w:szCs w:val="21"/>
        </w:rPr>
        <w:t>共</w:t>
      </w:r>
      <w:r>
        <w:rPr>
          <w:szCs w:val="21"/>
        </w:rPr>
        <w:t>占综合评价的</w:t>
      </w:r>
      <w:r>
        <w:rPr>
          <w:rFonts w:hint="eastAsia"/>
          <w:szCs w:val="21"/>
        </w:rPr>
        <w:t>30</w:t>
      </w:r>
      <w:r>
        <w:rPr>
          <w:szCs w:val="21"/>
        </w:rPr>
        <w:t>%</w:t>
      </w:r>
      <w:r>
        <w:rPr>
          <w:rFonts w:hint="eastAsia"/>
          <w:szCs w:val="21"/>
        </w:rPr>
        <w:t>，</w:t>
      </w:r>
      <w:r>
        <w:rPr>
          <w:szCs w:val="21"/>
        </w:rPr>
        <w:t>对于</w:t>
      </w:r>
      <w:r>
        <w:rPr>
          <w:rFonts w:hint="eastAsia"/>
          <w:szCs w:val="21"/>
        </w:rPr>
        <w:t>课程</w:t>
      </w:r>
      <w:r>
        <w:rPr>
          <w:szCs w:val="21"/>
        </w:rPr>
        <w:t>目标</w:t>
      </w:r>
      <w:r>
        <w:rPr>
          <w:rFonts w:hint="eastAsia"/>
          <w:szCs w:val="21"/>
        </w:rPr>
        <w:t>1和3；终结性</w:t>
      </w:r>
      <w:r>
        <w:rPr>
          <w:szCs w:val="21"/>
        </w:rPr>
        <w:t>评价</w:t>
      </w:r>
      <w:r>
        <w:rPr>
          <w:rFonts w:hint="eastAsia"/>
          <w:szCs w:val="21"/>
        </w:rPr>
        <w:t>采用课程论文形式，</w:t>
      </w:r>
      <w:r>
        <w:rPr>
          <w:szCs w:val="21"/>
        </w:rPr>
        <w:t>占综合评价的</w:t>
      </w:r>
      <w:r>
        <w:rPr>
          <w:rFonts w:hint="eastAsia"/>
          <w:szCs w:val="21"/>
        </w:rPr>
        <w:t>70％，</w:t>
      </w:r>
      <w:r>
        <w:rPr>
          <w:szCs w:val="21"/>
        </w:rPr>
        <w:t>对应课程目标</w:t>
      </w:r>
      <w:r>
        <w:rPr>
          <w:rFonts w:hint="eastAsia"/>
          <w:szCs w:val="21"/>
        </w:rPr>
        <w:t>2和3。</w:t>
      </w:r>
    </w:p>
    <w:p>
      <w:pPr>
        <w:widowControl/>
        <w:snapToGrid w:val="0"/>
        <w:spacing w:line="360" w:lineRule="auto"/>
        <w:ind w:firstLine="420"/>
        <w:jc w:val="left"/>
        <w:rPr>
          <w:rFonts w:ascii="宋体" w:hAnsi="宋体"/>
        </w:rPr>
      </w:pPr>
      <w:r>
        <w:rPr>
          <w:rFonts w:hint="eastAsia"/>
          <w:szCs w:val="21"/>
        </w:rPr>
        <w:t>总成绩计算=（考勤成绩*40％+课堂作业/回答提问/演讲*60%）*30%+课程论文*70％</w:t>
      </w:r>
    </w:p>
    <w:p>
      <w:pPr>
        <w:rPr>
          <w:sz w:val="28"/>
          <w:szCs w:val="28"/>
        </w:rPr>
      </w:pPr>
      <w:bookmarkStart w:id="413" w:name="_Toc138076635"/>
      <w:bookmarkStart w:id="414" w:name="_Toc138068821"/>
      <w:bookmarkStart w:id="415" w:name="_Toc138070721"/>
      <w:bookmarkStart w:id="416" w:name="_Toc138070451"/>
      <w:bookmarkStart w:id="417" w:name="_Toc2645"/>
      <w:bookmarkStart w:id="418" w:name="_Toc138076340"/>
      <w:bookmarkStart w:id="419" w:name="_Toc138076091"/>
      <w:r>
        <w:rPr>
          <w:rFonts w:hint="eastAsia"/>
          <w:sz w:val="28"/>
          <w:szCs w:val="28"/>
        </w:rPr>
        <w:br w:type="page"/>
      </w:r>
    </w:p>
    <w:p>
      <w:pPr>
        <w:pStyle w:val="21"/>
        <w:rPr>
          <w:bCs w:val="0"/>
          <w:sz w:val="28"/>
          <w:szCs w:val="28"/>
        </w:rPr>
      </w:pPr>
      <w:bookmarkStart w:id="420" w:name="_Toc7482"/>
      <w:r>
        <w:rPr>
          <w:rFonts w:hint="eastAsia"/>
          <w:bCs w:val="0"/>
          <w:sz w:val="28"/>
          <w:szCs w:val="28"/>
        </w:rPr>
        <w:t>文献检索与科技论文写作</w:t>
      </w:r>
      <w:bookmarkEnd w:id="413"/>
      <w:bookmarkEnd w:id="414"/>
      <w:bookmarkEnd w:id="415"/>
      <w:bookmarkEnd w:id="416"/>
      <w:bookmarkEnd w:id="417"/>
      <w:bookmarkEnd w:id="418"/>
      <w:bookmarkEnd w:id="419"/>
      <w:bookmarkEnd w:id="420"/>
    </w:p>
    <w:p>
      <w:pPr>
        <w:snapToGrid w:val="0"/>
        <w:spacing w:line="360" w:lineRule="auto"/>
        <w:jc w:val="center"/>
        <w:rPr>
          <w:iCs/>
          <w:sz w:val="24"/>
        </w:rPr>
      </w:pPr>
      <w:r>
        <w:rPr>
          <w:rFonts w:hint="eastAsia"/>
          <w:iCs/>
          <w:sz w:val="24"/>
        </w:rPr>
        <w:t>（Literature Search and</w:t>
      </w:r>
      <w:r>
        <w:rPr>
          <w:iCs/>
          <w:sz w:val="24"/>
        </w:rPr>
        <w:t xml:space="preserve"> </w:t>
      </w:r>
      <w:r>
        <w:rPr>
          <w:rFonts w:hint="eastAsia"/>
          <w:iCs/>
          <w:sz w:val="24"/>
        </w:rPr>
        <w:t xml:space="preserve">Thesis </w:t>
      </w:r>
      <w:r>
        <w:rPr>
          <w:iCs/>
          <w:sz w:val="24"/>
        </w:rPr>
        <w:t>Writing</w:t>
      </w:r>
      <w:r>
        <w:rPr>
          <w:rFonts w:hint="eastAsia"/>
          <w:iCs/>
          <w:sz w:val="24"/>
        </w:rPr>
        <w:t>）</w:t>
      </w:r>
    </w:p>
    <w:p>
      <w:pPr>
        <w:snapToGrid w:val="0"/>
        <w:spacing w:before="156" w:beforeLines="50" w:line="360" w:lineRule="auto"/>
        <w:jc w:val="center"/>
        <w:rPr>
          <w:rFonts w:hAnsi="宋体"/>
          <w:b/>
          <w:szCs w:val="21"/>
        </w:rPr>
      </w:pPr>
      <w:r>
        <w:rPr>
          <w:rFonts w:hAnsi="宋体"/>
          <w:b/>
          <w:szCs w:val="21"/>
        </w:rPr>
        <w:t>课程基本信息</w:t>
      </w:r>
    </w:p>
    <w:tbl>
      <w:tblPr>
        <w:tblStyle w:val="22"/>
        <w:tblW w:w="8472" w:type="dxa"/>
        <w:tblInd w:w="0" w:type="dxa"/>
        <w:tblLayout w:type="fixed"/>
        <w:tblCellMar>
          <w:top w:w="0" w:type="dxa"/>
          <w:left w:w="108" w:type="dxa"/>
          <w:bottom w:w="0" w:type="dxa"/>
          <w:right w:w="108" w:type="dxa"/>
        </w:tblCellMar>
      </w:tblPr>
      <w:tblGrid>
        <w:gridCol w:w="2824"/>
        <w:gridCol w:w="2462"/>
        <w:gridCol w:w="3118"/>
        <w:gridCol w:w="68"/>
      </w:tblGrid>
      <w:tr>
        <w:trPr>
          <w:gridAfter w:val="1"/>
          <w:wAfter w:w="50" w:type="dxa"/>
        </w:trPr>
        <w:tc>
          <w:tcPr>
            <w:tcW w:w="2627" w:type="dxa"/>
          </w:tcPr>
          <w:p>
            <w:pPr>
              <w:spacing w:line="360" w:lineRule="auto"/>
              <w:rPr>
                <w:rFonts w:hAnsi="宋体"/>
                <w:b/>
                <w:bCs/>
                <w:szCs w:val="21"/>
              </w:rPr>
            </w:pPr>
            <w:r>
              <w:rPr>
                <w:rFonts w:hint="eastAsia" w:hAnsi="宋体"/>
                <w:b/>
                <w:bCs/>
                <w:szCs w:val="21"/>
              </w:rPr>
              <w:t>课程编号：19011055</w:t>
            </w:r>
          </w:p>
        </w:tc>
        <w:tc>
          <w:tcPr>
            <w:tcW w:w="3577" w:type="dxa"/>
          </w:tcPr>
          <w:p>
            <w:pPr>
              <w:spacing w:line="360" w:lineRule="auto"/>
              <w:rPr>
                <w:rFonts w:hAnsi="宋体"/>
                <w:b/>
                <w:bCs/>
                <w:szCs w:val="21"/>
              </w:rPr>
            </w:pPr>
            <w:r>
              <w:rPr>
                <w:rFonts w:hint="eastAsia" w:hAnsi="宋体"/>
                <w:b/>
                <w:bCs/>
                <w:szCs w:val="21"/>
              </w:rPr>
              <w:t>课程总学时：16</w:t>
            </w:r>
          </w:p>
        </w:tc>
        <w:tc>
          <w:tcPr>
            <w:tcW w:w="2268" w:type="dxa"/>
          </w:tcPr>
          <w:p>
            <w:pPr>
              <w:spacing w:line="360" w:lineRule="auto"/>
              <w:rPr>
                <w:rFonts w:hAnsi="宋体"/>
                <w:b/>
                <w:bCs/>
                <w:szCs w:val="21"/>
              </w:rPr>
            </w:pPr>
            <w:r>
              <w:rPr>
                <w:rFonts w:hint="eastAsia" w:hAnsi="宋体"/>
                <w:b/>
                <w:bCs/>
                <w:szCs w:val="21"/>
              </w:rPr>
              <w:t>实验学时：0学时</w:t>
            </w:r>
          </w:p>
        </w:tc>
      </w:tr>
      <w:tr>
        <w:tblPrEx>
          <w:tblCellMar>
            <w:top w:w="0" w:type="dxa"/>
            <w:left w:w="108" w:type="dxa"/>
            <w:bottom w:w="0" w:type="dxa"/>
            <w:right w:w="108" w:type="dxa"/>
          </w:tblCellMar>
        </w:tblPrEx>
        <w:trPr>
          <w:gridAfter w:val="1"/>
          <w:wAfter w:w="50" w:type="dxa"/>
        </w:trPr>
        <w:tc>
          <w:tcPr>
            <w:tcW w:w="2627" w:type="dxa"/>
          </w:tcPr>
          <w:p>
            <w:pPr>
              <w:spacing w:line="360" w:lineRule="auto"/>
              <w:rPr>
                <w:rFonts w:hAnsi="宋体"/>
                <w:b/>
                <w:bCs/>
                <w:szCs w:val="21"/>
              </w:rPr>
            </w:pPr>
            <w:r>
              <w:rPr>
                <w:rFonts w:hint="eastAsia" w:hAnsi="宋体"/>
                <w:b/>
                <w:bCs/>
                <w:szCs w:val="21"/>
              </w:rPr>
              <w:t>课程性质：选修</w:t>
            </w:r>
          </w:p>
        </w:tc>
        <w:tc>
          <w:tcPr>
            <w:tcW w:w="3577" w:type="dxa"/>
          </w:tcPr>
          <w:p>
            <w:pPr>
              <w:spacing w:line="360" w:lineRule="auto"/>
              <w:rPr>
                <w:rFonts w:hAnsi="宋体"/>
                <w:b/>
                <w:bCs/>
                <w:szCs w:val="21"/>
              </w:rPr>
            </w:pPr>
            <w:r>
              <w:rPr>
                <w:rFonts w:hint="eastAsia" w:hAnsi="宋体"/>
                <w:b/>
                <w:bCs/>
                <w:szCs w:val="21"/>
              </w:rPr>
              <w:t>课程属性：专业类</w:t>
            </w:r>
          </w:p>
        </w:tc>
        <w:tc>
          <w:tcPr>
            <w:tcW w:w="2268" w:type="dxa"/>
          </w:tcPr>
          <w:p>
            <w:pPr>
              <w:spacing w:line="360" w:lineRule="auto"/>
              <w:rPr>
                <w:rFonts w:hAnsi="宋体"/>
                <w:b/>
                <w:bCs/>
                <w:szCs w:val="21"/>
              </w:rPr>
            </w:pPr>
            <w:r>
              <w:rPr>
                <w:rFonts w:hint="eastAsia" w:hAnsi="宋体"/>
                <w:b/>
                <w:bCs/>
                <w:szCs w:val="21"/>
              </w:rPr>
              <w:t>开设学期：第8学期</w:t>
            </w:r>
          </w:p>
        </w:tc>
      </w:tr>
      <w:tr>
        <w:tblPrEx>
          <w:tblCellMar>
            <w:top w:w="0" w:type="dxa"/>
            <w:left w:w="108" w:type="dxa"/>
            <w:bottom w:w="0" w:type="dxa"/>
            <w:right w:w="108" w:type="dxa"/>
          </w:tblCellMar>
        </w:tblPrEx>
        <w:trPr>
          <w:gridAfter w:val="1"/>
          <w:wAfter w:w="50" w:type="dxa"/>
        </w:trPr>
        <w:tc>
          <w:tcPr>
            <w:tcW w:w="2627" w:type="dxa"/>
          </w:tcPr>
          <w:p>
            <w:pPr>
              <w:spacing w:line="360" w:lineRule="auto"/>
              <w:rPr>
                <w:rFonts w:hAnsi="宋体"/>
                <w:b/>
                <w:bCs/>
                <w:szCs w:val="21"/>
              </w:rPr>
            </w:pPr>
            <w:r>
              <w:rPr>
                <w:rFonts w:hint="eastAsia" w:hAnsi="宋体"/>
                <w:b/>
                <w:bCs/>
                <w:szCs w:val="21"/>
              </w:rPr>
              <w:t>课程负责人：薛东齐</w:t>
            </w:r>
          </w:p>
        </w:tc>
        <w:tc>
          <w:tcPr>
            <w:tcW w:w="3577" w:type="dxa"/>
          </w:tcPr>
          <w:p>
            <w:pPr>
              <w:spacing w:line="360" w:lineRule="auto"/>
              <w:rPr>
                <w:rFonts w:hAnsi="宋体"/>
                <w:b/>
                <w:bCs/>
                <w:szCs w:val="21"/>
              </w:rPr>
            </w:pPr>
            <w:r>
              <w:rPr>
                <w:rFonts w:hint="eastAsia" w:hAnsi="宋体"/>
                <w:b/>
                <w:bCs/>
                <w:szCs w:val="21"/>
              </w:rPr>
              <w:t>课程团队：薛东齐、豆峻岭、高艳娜</w:t>
            </w:r>
          </w:p>
        </w:tc>
        <w:tc>
          <w:tcPr>
            <w:tcW w:w="2268" w:type="dxa"/>
          </w:tcPr>
          <w:p>
            <w:pPr>
              <w:spacing w:line="360" w:lineRule="auto"/>
              <w:rPr>
                <w:rFonts w:hAnsi="宋体"/>
                <w:b/>
                <w:bCs/>
                <w:szCs w:val="21"/>
              </w:rPr>
            </w:pPr>
            <w:r>
              <w:rPr>
                <w:rFonts w:hint="eastAsia" w:hAnsi="宋体"/>
                <w:b/>
                <w:bCs/>
                <w:szCs w:val="21"/>
              </w:rPr>
              <w:t>授课语言：中文</w:t>
            </w:r>
          </w:p>
        </w:tc>
      </w:tr>
      <w:tr>
        <w:tblPrEx>
          <w:tblCellMar>
            <w:top w:w="0" w:type="dxa"/>
            <w:left w:w="108" w:type="dxa"/>
            <w:bottom w:w="0" w:type="dxa"/>
            <w:right w:w="108" w:type="dxa"/>
          </w:tblCellMar>
        </w:tblPrEx>
        <w:tc>
          <w:tcPr>
            <w:tcW w:w="5000" w:type="pct"/>
            <w:gridSpan w:val="4"/>
          </w:tcPr>
          <w:p>
            <w:pPr>
              <w:spacing w:line="300" w:lineRule="auto"/>
              <w:ind w:right="-170" w:rightChars="-81"/>
              <w:rPr>
                <w:rFonts w:ascii="宋体" w:hAnsi="宋体"/>
                <w:bCs/>
                <w:kern w:val="0"/>
                <w:sz w:val="20"/>
                <w:szCs w:val="21"/>
              </w:rPr>
            </w:pPr>
            <w:r>
              <w:rPr>
                <w:rFonts w:hint="eastAsia" w:ascii="Calibri" w:hAnsi="宋体"/>
                <w:b/>
                <w:bCs/>
                <w:szCs w:val="21"/>
              </w:rPr>
              <w:t>适用专业：园艺、设施农业科学与工程、茶学</w:t>
            </w:r>
          </w:p>
        </w:tc>
      </w:tr>
      <w:tr>
        <w:tblPrEx>
          <w:tblCellMar>
            <w:top w:w="0" w:type="dxa"/>
            <w:left w:w="108" w:type="dxa"/>
            <w:bottom w:w="0" w:type="dxa"/>
            <w:right w:w="108" w:type="dxa"/>
          </w:tblCellMar>
        </w:tblPrEx>
        <w:tc>
          <w:tcPr>
            <w:tcW w:w="5000" w:type="pct"/>
            <w:gridSpan w:val="4"/>
          </w:tcPr>
          <w:p>
            <w:pPr>
              <w:spacing w:line="300" w:lineRule="auto"/>
              <w:rPr>
                <w:rFonts w:ascii="Calibri" w:hAnsi="宋体"/>
                <w:b/>
                <w:bCs/>
                <w:szCs w:val="21"/>
              </w:rPr>
            </w:pPr>
            <w:r>
              <w:rPr>
                <w:rFonts w:hint="eastAsia" w:ascii="Calibri" w:hAnsi="宋体"/>
                <w:b/>
                <w:bCs/>
                <w:szCs w:val="21"/>
              </w:rPr>
              <w:t>对先修的要求：要求学生掌握英语和计算机操作的基础知识，拥有简单查阅资料和总结应用的能力。</w:t>
            </w:r>
          </w:p>
        </w:tc>
      </w:tr>
      <w:tr>
        <w:tblPrEx>
          <w:tblCellMar>
            <w:top w:w="0" w:type="dxa"/>
            <w:left w:w="108" w:type="dxa"/>
            <w:bottom w:w="0" w:type="dxa"/>
            <w:right w:w="108" w:type="dxa"/>
          </w:tblCellMar>
        </w:tblPrEx>
        <w:tc>
          <w:tcPr>
            <w:tcW w:w="5000" w:type="pct"/>
            <w:gridSpan w:val="4"/>
          </w:tcPr>
          <w:p>
            <w:pPr>
              <w:rPr>
                <w:rFonts w:ascii="Calibri" w:hAnsi="宋体"/>
                <w:b/>
                <w:bCs/>
                <w:szCs w:val="21"/>
              </w:rPr>
            </w:pPr>
            <w:r>
              <w:rPr>
                <w:rFonts w:hint="eastAsia" w:ascii="Calibri" w:hAnsi="宋体"/>
                <w:b/>
                <w:bCs/>
                <w:szCs w:val="21"/>
              </w:rPr>
              <w:t>对后续的支撑：要求学生掌握文献信息收集、整理、加工与利用的能力，使学生能够掌握文献信息检索的基础知识，信息处理技能。</w:t>
            </w:r>
          </w:p>
        </w:tc>
      </w:tr>
      <w:tr>
        <w:tblPrEx>
          <w:tblCellMar>
            <w:top w:w="0" w:type="dxa"/>
            <w:left w:w="108" w:type="dxa"/>
            <w:bottom w:w="0" w:type="dxa"/>
            <w:right w:w="108" w:type="dxa"/>
          </w:tblCellMar>
        </w:tblPrEx>
        <w:tc>
          <w:tcPr>
            <w:tcW w:w="1666" w:type="pct"/>
          </w:tcPr>
          <w:p>
            <w:pPr>
              <w:spacing w:line="300" w:lineRule="auto"/>
              <w:rPr>
                <w:rFonts w:ascii="Calibri" w:hAnsi="宋体"/>
                <w:b/>
                <w:bCs/>
                <w:szCs w:val="21"/>
              </w:rPr>
            </w:pPr>
            <w:r>
              <w:rPr>
                <w:rFonts w:hint="eastAsia" w:ascii="Calibri" w:hAnsi="宋体"/>
                <w:b/>
                <w:bCs/>
                <w:szCs w:val="21"/>
              </w:rPr>
              <w:t>主撰人：豆峻岭、高艳娜</w:t>
            </w:r>
          </w:p>
        </w:tc>
        <w:tc>
          <w:tcPr>
            <w:tcW w:w="1453" w:type="pct"/>
          </w:tcPr>
          <w:p>
            <w:pPr>
              <w:spacing w:line="300" w:lineRule="auto"/>
              <w:ind w:firstLine="279"/>
              <w:rPr>
                <w:rFonts w:ascii="Calibri" w:hAnsi="宋体"/>
                <w:b/>
                <w:bCs/>
                <w:szCs w:val="21"/>
              </w:rPr>
            </w:pPr>
            <w:r>
              <w:rPr>
                <w:rFonts w:hint="eastAsia" w:ascii="Calibri" w:hAnsi="宋体"/>
                <w:b/>
                <w:bCs/>
                <w:szCs w:val="21"/>
              </w:rPr>
              <w:t>审核人：薛东齐</w:t>
            </w:r>
          </w:p>
        </w:tc>
        <w:tc>
          <w:tcPr>
            <w:tcW w:w="1881" w:type="pct"/>
            <w:gridSpan w:val="2"/>
          </w:tcPr>
          <w:p>
            <w:pPr>
              <w:spacing w:line="300" w:lineRule="auto"/>
              <w:rPr>
                <w:rFonts w:ascii="Calibri" w:hAnsi="宋体"/>
                <w:b/>
                <w:bCs/>
                <w:szCs w:val="21"/>
              </w:rPr>
            </w:pPr>
            <w:r>
              <w:rPr>
                <w:rFonts w:hint="eastAsia" w:ascii="Calibri" w:hAnsi="宋体"/>
                <w:b/>
                <w:bCs/>
                <w:szCs w:val="21"/>
              </w:rPr>
              <w:t>大纲制定（修订）日期：</w:t>
            </w:r>
            <w:r>
              <w:rPr>
                <w:rFonts w:hint="eastAsia" w:ascii="Calibri" w:hAnsi="Calibri"/>
                <w:b/>
                <w:szCs w:val="21"/>
              </w:rPr>
              <w:t>2023.05</w:t>
            </w:r>
          </w:p>
        </w:tc>
      </w:tr>
    </w:tbl>
    <w:p>
      <w:pPr>
        <w:spacing w:before="156" w:beforeLines="50" w:line="360" w:lineRule="auto"/>
        <w:rPr>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p>
    <w:p>
      <w:pPr>
        <w:widowControl/>
        <w:shd w:val="clear" w:color="auto" w:fill="FFFFFF"/>
        <w:spacing w:line="360" w:lineRule="auto"/>
        <w:ind w:firstLine="480"/>
        <w:jc w:val="left"/>
        <w:rPr>
          <w:rFonts w:hAnsi="宋体"/>
          <w:szCs w:val="21"/>
        </w:rPr>
      </w:pPr>
      <w:r>
        <w:rPr>
          <w:rFonts w:hint="eastAsia" w:hAnsi="宋体"/>
          <w:szCs w:val="21"/>
        </w:rPr>
        <w:t>文献检索与科技论文写作课程是</w:t>
      </w:r>
      <w:r>
        <w:rPr>
          <w:rFonts w:hAnsi="宋体"/>
          <w:szCs w:val="21"/>
        </w:rPr>
        <w:t>园艺学本科及其相关专业的专业选修课程之一</w:t>
      </w:r>
      <w:r>
        <w:rPr>
          <w:rFonts w:hint="eastAsia" w:hAnsi="宋体"/>
          <w:szCs w:val="21"/>
        </w:rPr>
        <w:t>，授课对象主要是开展毕业论文（或毕业设计）的大四年级学生。该课程是一门融理论、方法、实践于一体，能激发大学生创新意识和培养创新能力的科学方法课。其目的就是使大学生、研究生获得一定的文献信息收集、整理、加工与利用能力，以利其课程论文或毕业论文的顺利完成；同时，促进大学生的信息意识、信息价值、信息道德与信息安全等信息素质观念的形成与发展，提高学生学习、研究和创新能力，以便更好地适应当今知识经济时代，满足信息社会的需要。本门课程以全新的视角，将一些检索工具与传统的和现代的手段有机地融为一体，具体内容涉及各种文献特点与分布，传统文献检索工具的编排组织规则和使用方法，电子文献检索技术，国内外著名的题录、文摘或索引数据库、引文数据库、全文数据库的特点及使用方法，文献的合理使用，学术论文的写作规范、撰写方法以及投稿技巧等。</w:t>
      </w:r>
    </w:p>
    <w:p>
      <w:pPr>
        <w:widowControl/>
        <w:snapToGrid w:val="0"/>
        <w:spacing w:before="156" w:beforeLines="50" w:line="360" w:lineRule="auto"/>
        <w:jc w:val="left"/>
        <w:rPr>
          <w:kern w:val="0"/>
          <w:szCs w:val="21"/>
        </w:rPr>
      </w:pPr>
      <w:r>
        <w:rPr>
          <w:rFonts w:hAnsi="宋体"/>
          <w:b/>
          <w:bCs/>
          <w:kern w:val="0"/>
          <w:szCs w:val="21"/>
        </w:rPr>
        <w:t>二、课程教学的基本要求</w:t>
      </w:r>
    </w:p>
    <w:p>
      <w:pPr>
        <w:widowControl/>
        <w:snapToGrid w:val="0"/>
        <w:spacing w:line="360" w:lineRule="auto"/>
        <w:ind w:firstLine="420"/>
        <w:jc w:val="left"/>
        <w:rPr>
          <w:rFonts w:hAnsi="宋体"/>
          <w:kern w:val="0"/>
          <w:szCs w:val="21"/>
        </w:rPr>
      </w:pPr>
      <w:r>
        <w:rPr>
          <w:rFonts w:hAnsi="宋体"/>
          <w:kern w:val="0"/>
          <w:szCs w:val="21"/>
        </w:rPr>
        <w:t>掌握检索语言、文献记录、检索字段等基本知识；熟悉科技论文的体裁、类型及各自写作特点要求，学会分析科技论文的信息，并能正确应用于科研实践</w:t>
      </w:r>
      <w:r>
        <w:rPr>
          <w:rFonts w:hint="eastAsia" w:hAnsi="宋体"/>
          <w:kern w:val="0"/>
          <w:szCs w:val="21"/>
        </w:rPr>
        <w:t>，具体到以下4点：</w:t>
      </w:r>
    </w:p>
    <w:p>
      <w:pPr>
        <w:widowControl/>
        <w:snapToGrid w:val="0"/>
        <w:spacing w:line="360" w:lineRule="auto"/>
        <w:ind w:firstLine="420"/>
        <w:jc w:val="left"/>
        <w:rPr>
          <w:rFonts w:hAnsi="宋体"/>
          <w:kern w:val="0"/>
          <w:szCs w:val="21"/>
        </w:rPr>
      </w:pPr>
      <w:r>
        <w:rPr>
          <w:rFonts w:hint="eastAsia" w:hAnsi="宋体"/>
          <w:kern w:val="0"/>
          <w:szCs w:val="21"/>
        </w:rPr>
        <w:t>1、从培养学生信息意识、自学意识、自学能力和知识创新能力出发，通过本课的教学和实习，使学生养成自主学习的习惯和独立获取信息的能力。</w:t>
      </w:r>
    </w:p>
    <w:p>
      <w:pPr>
        <w:widowControl/>
        <w:snapToGrid w:val="0"/>
        <w:spacing w:line="360" w:lineRule="auto"/>
        <w:ind w:firstLine="420"/>
        <w:jc w:val="left"/>
        <w:rPr>
          <w:rFonts w:hAnsi="宋体"/>
          <w:kern w:val="0"/>
          <w:szCs w:val="21"/>
        </w:rPr>
      </w:pPr>
      <w:r>
        <w:rPr>
          <w:rFonts w:hint="eastAsia" w:hAnsi="宋体"/>
          <w:kern w:val="0"/>
          <w:szCs w:val="21"/>
        </w:rPr>
        <w:t>2、通过本课程的学习，使学生了解信息社会中文献信息检索的重要性及其发展趋势，了解信息与信息检索的基本知识。</w:t>
      </w:r>
    </w:p>
    <w:p>
      <w:pPr>
        <w:widowControl/>
        <w:snapToGrid w:val="0"/>
        <w:spacing w:line="360" w:lineRule="auto"/>
        <w:ind w:firstLine="420"/>
        <w:jc w:val="left"/>
        <w:rPr>
          <w:rFonts w:hAnsi="宋体"/>
          <w:kern w:val="0"/>
          <w:szCs w:val="21"/>
        </w:rPr>
      </w:pPr>
      <w:r>
        <w:rPr>
          <w:rFonts w:hint="eastAsia" w:hAnsi="宋体"/>
          <w:kern w:val="0"/>
          <w:szCs w:val="21"/>
        </w:rPr>
        <w:t>3、通过直接面对各种检索课题，以及具体实例分析和实际操作训练，了解掌握常用各种检索工具的结构及使用方法，熟悉本校图书馆馆藏资源的检索与利用，逐步培养独立分析问题、选择和鉴别信息、获取与处理信息并解决问题的能力。</w:t>
      </w:r>
    </w:p>
    <w:p>
      <w:pPr>
        <w:widowControl/>
        <w:snapToGrid w:val="0"/>
        <w:spacing w:line="360" w:lineRule="auto"/>
        <w:ind w:firstLine="420"/>
        <w:jc w:val="left"/>
        <w:rPr>
          <w:kern w:val="0"/>
          <w:szCs w:val="21"/>
        </w:rPr>
      </w:pPr>
      <w:r>
        <w:rPr>
          <w:rFonts w:hint="eastAsia" w:hAnsi="宋体"/>
          <w:kern w:val="0"/>
          <w:szCs w:val="21"/>
        </w:rPr>
        <w:t>4、通过对综合网络资源的介绍，熟练掌握网络信息资源的检索途径及方法，能利用国内相关数据库迅速获取相关文献信息，鼓励学生将网络运用于学习，提高学生对网络信息资源的获取能力和在信息化、网络化环境中进行创造性学习的能力。</w:t>
      </w:r>
    </w:p>
    <w:p>
      <w:pPr>
        <w:widowControl/>
        <w:snapToGrid w:val="0"/>
        <w:spacing w:before="156" w:beforeLines="50"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spacing w:line="360" w:lineRule="auto"/>
        <w:ind w:firstLine="420" w:firstLineChars="200"/>
        <w:rPr>
          <w:bCs/>
          <w:kern w:val="0"/>
          <w:szCs w:val="21"/>
        </w:rPr>
      </w:pPr>
      <w:r>
        <w:rPr>
          <w:bCs/>
          <w:kern w:val="0"/>
          <w:szCs w:val="21"/>
        </w:rPr>
        <w:t>1.教学设计说明</w:t>
      </w:r>
    </w:p>
    <w:p>
      <w:pPr>
        <w:widowControl/>
        <w:snapToGrid w:val="0"/>
        <w:spacing w:line="360" w:lineRule="auto"/>
        <w:ind w:firstLine="420"/>
        <w:jc w:val="left"/>
        <w:rPr>
          <w:rFonts w:hAnsi="宋体"/>
          <w:bCs/>
          <w:kern w:val="0"/>
          <w:szCs w:val="21"/>
        </w:rPr>
      </w:pPr>
      <w:r>
        <w:rPr>
          <w:rFonts w:hAnsi="宋体"/>
          <w:kern w:val="0"/>
          <w:szCs w:val="21"/>
        </w:rPr>
        <w:t>本课程通过对文献手工检索和计算机检索方法的线下课堂教学，系统和全面地介绍了各类文献检索工具书及其手检和机检的方法、计算机检索的各种渠道、网上检索和阅览技能以及相关网站。本课程是配合学生的毕业论文和设计工作，以及今后从事科学研究而开设的专业选修课程。课程注重对</w:t>
      </w:r>
      <w:r>
        <w:rPr>
          <w:rFonts w:hint="eastAsia" w:hAnsi="宋体"/>
          <w:kern w:val="0"/>
          <w:szCs w:val="21"/>
        </w:rPr>
        <w:t>学生在</w:t>
      </w:r>
      <w:r>
        <w:rPr>
          <w:rFonts w:hAnsi="宋体"/>
          <w:kern w:val="0"/>
          <w:szCs w:val="21"/>
        </w:rPr>
        <w:t>实践检索</w:t>
      </w:r>
      <w:r>
        <w:rPr>
          <w:rFonts w:hint="eastAsia" w:hAnsi="宋体"/>
          <w:kern w:val="0"/>
          <w:szCs w:val="21"/>
        </w:rPr>
        <w:t>、</w:t>
      </w:r>
      <w:r>
        <w:rPr>
          <w:rFonts w:hint="eastAsia"/>
          <w:bCs/>
          <w:kern w:val="0"/>
          <w:szCs w:val="21"/>
        </w:rPr>
        <w:t>论文规范与写作技巧、学位论文与写作要领、课题类型与科研选题、投稿与论文发表、外文科技论文的翻译、科技报告、知识产权等知识。</w:t>
      </w:r>
      <w:r>
        <w:rPr>
          <w:rFonts w:hAnsi="宋体"/>
          <w:kern w:val="0"/>
          <w:szCs w:val="21"/>
        </w:rPr>
        <w:t>为了使学生系统掌握</w:t>
      </w:r>
      <w:r>
        <w:rPr>
          <w:szCs w:val="21"/>
        </w:rPr>
        <w:t>文献检索与科技论文写作</w:t>
      </w:r>
      <w:r>
        <w:rPr>
          <w:rFonts w:hAnsi="宋体"/>
          <w:kern w:val="0"/>
          <w:szCs w:val="21"/>
        </w:rPr>
        <w:t>的理论知识和实践操作技能</w:t>
      </w:r>
      <w:r>
        <w:rPr>
          <w:rFonts w:hAnsi="宋体"/>
          <w:bCs/>
          <w:kern w:val="0"/>
          <w:szCs w:val="21"/>
        </w:rPr>
        <w:t>线下教学方法有教师课堂讲授、小组讨论、翻转课堂、学生上机操作等。</w:t>
      </w:r>
    </w:p>
    <w:p>
      <w:pPr>
        <w:spacing w:line="360" w:lineRule="auto"/>
        <w:ind w:firstLine="420" w:firstLineChars="200"/>
        <w:rPr>
          <w:bCs/>
          <w:kern w:val="0"/>
          <w:szCs w:val="21"/>
        </w:rPr>
      </w:pPr>
      <w:r>
        <w:rPr>
          <w:bCs/>
          <w:kern w:val="0"/>
          <w:szCs w:val="21"/>
        </w:rPr>
        <w:t>2.课程目标及对毕业要求的支撑</w:t>
      </w:r>
    </w:p>
    <w:tbl>
      <w:tblPr>
        <w:tblStyle w:val="2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715"/>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7E6E6"/>
            <w:vAlign w:val="center"/>
          </w:tcPr>
          <w:p>
            <w:pPr>
              <w:spacing w:line="320" w:lineRule="exact"/>
              <w:jc w:val="center"/>
              <w:rPr>
                <w:b/>
                <w:bCs/>
                <w:sz w:val="18"/>
                <w:szCs w:val="18"/>
              </w:rPr>
            </w:pPr>
            <w:r>
              <w:rPr>
                <w:b/>
                <w:bCs/>
                <w:sz w:val="18"/>
                <w:szCs w:val="18"/>
              </w:rPr>
              <w:t>序号</w:t>
            </w:r>
          </w:p>
        </w:tc>
        <w:tc>
          <w:tcPr>
            <w:tcW w:w="6715" w:type="dxa"/>
            <w:tcBorders>
              <w:top w:val="single" w:color="auto" w:sz="4" w:space="0"/>
              <w:left w:val="single" w:color="auto" w:sz="4" w:space="0"/>
              <w:bottom w:val="single" w:color="auto" w:sz="4" w:space="0"/>
              <w:right w:val="single" w:color="auto" w:sz="4" w:space="0"/>
            </w:tcBorders>
            <w:shd w:val="clear" w:color="auto" w:fill="E7E6E6"/>
            <w:vAlign w:val="center"/>
          </w:tcPr>
          <w:p>
            <w:pPr>
              <w:spacing w:line="320" w:lineRule="exact"/>
              <w:jc w:val="center"/>
              <w:rPr>
                <w:b/>
                <w:bCs/>
                <w:sz w:val="18"/>
                <w:szCs w:val="18"/>
              </w:rPr>
            </w:pPr>
            <w:r>
              <w:rPr>
                <w:b/>
                <w:bCs/>
                <w:sz w:val="18"/>
                <w:szCs w:val="18"/>
              </w:rPr>
              <w:t>课程目标</w:t>
            </w:r>
          </w:p>
        </w:tc>
        <w:tc>
          <w:tcPr>
            <w:tcW w:w="1183" w:type="dxa"/>
            <w:tcBorders>
              <w:top w:val="single" w:color="auto" w:sz="4" w:space="0"/>
              <w:left w:val="single" w:color="auto" w:sz="4" w:space="0"/>
              <w:bottom w:val="single" w:color="auto" w:sz="4" w:space="0"/>
              <w:right w:val="single" w:color="auto" w:sz="4" w:space="0"/>
            </w:tcBorders>
            <w:shd w:val="clear" w:color="auto" w:fill="E7E6E6"/>
            <w:vAlign w:val="center"/>
          </w:tcPr>
          <w:p>
            <w:pPr>
              <w:spacing w:line="320" w:lineRule="exact"/>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1</w:t>
            </w:r>
          </w:p>
        </w:tc>
        <w:tc>
          <w:tcPr>
            <w:tcW w:w="671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rFonts w:hint="eastAsia"/>
                <w:sz w:val="18"/>
                <w:szCs w:val="18"/>
              </w:rPr>
              <w:t>目标1：使学生初步具备中英文文献检索的技能。</w:t>
            </w:r>
          </w:p>
        </w:tc>
        <w:tc>
          <w:tcPr>
            <w:tcW w:w="11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2</w:t>
            </w:r>
          </w:p>
        </w:tc>
        <w:tc>
          <w:tcPr>
            <w:tcW w:w="671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highlight w:val="yellow"/>
              </w:rPr>
            </w:pPr>
            <w:r>
              <w:rPr>
                <w:rFonts w:hint="eastAsia"/>
                <w:sz w:val="18"/>
                <w:szCs w:val="18"/>
              </w:rPr>
              <w:t>目标2：使学生掌握科技论文写作的规范与技巧，为后续毕业论文写作以提供指导。</w:t>
            </w:r>
          </w:p>
        </w:tc>
        <w:tc>
          <w:tcPr>
            <w:tcW w:w="11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sz w:val="18"/>
                <w:szCs w:val="18"/>
              </w:rPr>
            </w:pPr>
            <w:r>
              <w:rPr>
                <w:rFonts w:hint="eastAsia"/>
                <w:sz w:val="18"/>
                <w:szCs w:val="18"/>
              </w:rPr>
              <w:t>3</w:t>
            </w:r>
          </w:p>
          <w:p>
            <w:pPr>
              <w:spacing w:line="320" w:lineRule="exact"/>
              <w:jc w:val="center"/>
              <w:rPr>
                <w:sz w:val="18"/>
                <w:szCs w:val="18"/>
              </w:rPr>
            </w:pPr>
            <w:r>
              <w:rPr>
                <w:rFonts w:hint="eastAsia"/>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sz w:val="18"/>
                <w:szCs w:val="18"/>
              </w:rPr>
              <w:t>3</w:t>
            </w:r>
          </w:p>
        </w:tc>
        <w:tc>
          <w:tcPr>
            <w:tcW w:w="6715" w:type="dxa"/>
            <w:tcBorders>
              <w:top w:val="single" w:color="auto" w:sz="4" w:space="0"/>
              <w:left w:val="single" w:color="auto" w:sz="4" w:space="0"/>
              <w:bottom w:val="single" w:color="auto" w:sz="4" w:space="0"/>
              <w:right w:val="single" w:color="auto" w:sz="4" w:space="0"/>
            </w:tcBorders>
            <w:vAlign w:val="center"/>
          </w:tcPr>
          <w:p>
            <w:pPr>
              <w:spacing w:line="320" w:lineRule="exact"/>
              <w:jc w:val="left"/>
              <w:rPr>
                <w:sz w:val="18"/>
                <w:szCs w:val="18"/>
              </w:rPr>
            </w:pPr>
            <w:r>
              <w:rPr>
                <w:rFonts w:hint="eastAsia"/>
                <w:sz w:val="18"/>
                <w:szCs w:val="18"/>
              </w:rPr>
              <w:t>目标3：使学生初步了解科技论文的投稿规则、步骤与发表流程。</w:t>
            </w:r>
          </w:p>
        </w:tc>
        <w:tc>
          <w:tcPr>
            <w:tcW w:w="118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8</w:t>
            </w:r>
          </w:p>
        </w:tc>
      </w:tr>
    </w:tbl>
    <w:p>
      <w:pPr>
        <w:widowControl/>
        <w:snapToGrid w:val="0"/>
        <w:spacing w:line="360" w:lineRule="auto"/>
        <w:jc w:val="left"/>
        <w:rPr>
          <w:rFonts w:hAnsi="宋体"/>
          <w:bCs/>
          <w:kern w:val="0"/>
          <w:szCs w:val="21"/>
        </w:rPr>
      </w:pPr>
    </w:p>
    <w:p>
      <w:pPr>
        <w:widowControl/>
        <w:snapToGrid w:val="0"/>
        <w:spacing w:before="156" w:beforeLines="50" w:line="360" w:lineRule="auto"/>
        <w:jc w:val="left"/>
        <w:rPr>
          <w:b/>
          <w:bCs/>
          <w:kern w:val="0"/>
          <w:szCs w:val="21"/>
        </w:rPr>
      </w:pPr>
      <w:r>
        <w:rPr>
          <w:rFonts w:hint="eastAsia" w:hAnsi="宋体"/>
          <w:b/>
          <w:bCs/>
          <w:kern w:val="0"/>
          <w:szCs w:val="21"/>
        </w:rPr>
        <w:t>四</w:t>
      </w:r>
      <w:r>
        <w:rPr>
          <w:rFonts w:hAnsi="宋体"/>
          <w:b/>
          <w:bCs/>
          <w:kern w:val="0"/>
          <w:szCs w:val="21"/>
        </w:rPr>
        <w:t>、理论教学内容及学时分配（</w:t>
      </w:r>
      <w:r>
        <w:rPr>
          <w:b/>
          <w:bCs/>
          <w:kern w:val="0"/>
          <w:szCs w:val="21"/>
        </w:rPr>
        <w:t>16</w:t>
      </w:r>
      <w:r>
        <w:rPr>
          <w:rFonts w:hAnsi="宋体"/>
          <w:b/>
          <w:bCs/>
          <w:kern w:val="0"/>
          <w:szCs w:val="21"/>
        </w:rPr>
        <w:t>学时）</w:t>
      </w:r>
    </w:p>
    <w:p>
      <w:pPr>
        <w:widowControl/>
        <w:snapToGrid w:val="0"/>
        <w:spacing w:before="156" w:beforeLines="50" w:line="360" w:lineRule="auto"/>
        <w:jc w:val="right"/>
        <w:rPr>
          <w:kern w:val="0"/>
          <w:szCs w:val="21"/>
        </w:rPr>
      </w:pPr>
      <w:r>
        <w:rPr>
          <w:rFonts w:hint="eastAsia" w:hAnsi="宋体"/>
          <w:b/>
          <w:bCs/>
          <w:kern w:val="0"/>
          <w:szCs w:val="21"/>
        </w:rPr>
        <w:t>第一章  文献检索信息概论</w:t>
      </w:r>
      <w:r>
        <w:rPr>
          <w:b/>
          <w:bCs/>
          <w:kern w:val="0"/>
          <w:szCs w:val="21"/>
        </w:rPr>
        <w:t xml:space="preserve">                 </w:t>
      </w:r>
      <w:r>
        <w:rPr>
          <w:rFonts w:hAnsi="宋体"/>
          <w:b/>
          <w:bCs/>
          <w:kern w:val="0"/>
          <w:szCs w:val="21"/>
        </w:rPr>
        <w:t>学时数：</w:t>
      </w:r>
      <w:r>
        <w:rPr>
          <w:b/>
          <w:bCs/>
          <w:kern w:val="0"/>
          <w:szCs w:val="21"/>
        </w:rPr>
        <w:t>1</w:t>
      </w:r>
    </w:p>
    <w:p>
      <w:pPr>
        <w:widowControl/>
        <w:shd w:val="clear" w:color="auto" w:fill="FFFFFF"/>
        <w:spacing w:line="360" w:lineRule="auto"/>
        <w:jc w:val="left"/>
        <w:rPr>
          <w:b/>
          <w:bCs/>
          <w:kern w:val="0"/>
          <w:szCs w:val="21"/>
        </w:rPr>
      </w:pPr>
      <w:r>
        <w:rPr>
          <w:rFonts w:hAnsi="宋体"/>
          <w:b/>
          <w:bCs/>
          <w:szCs w:val="21"/>
        </w:rPr>
        <w:t>教学目</w:t>
      </w:r>
      <w:r>
        <w:rPr>
          <w:rFonts w:hint="eastAsia" w:hAnsi="宋体"/>
          <w:b/>
          <w:bCs/>
          <w:szCs w:val="21"/>
        </w:rPr>
        <w:t>标</w:t>
      </w:r>
      <w:r>
        <w:rPr>
          <w:rFonts w:hAnsi="宋体"/>
          <w:b/>
          <w:bCs/>
          <w:szCs w:val="21"/>
        </w:rPr>
        <w:t>：</w:t>
      </w:r>
      <w:r>
        <w:rPr>
          <w:rFonts w:hint="eastAsia" w:hAnsi="宋体"/>
          <w:szCs w:val="21"/>
        </w:rPr>
        <w:t>了解文献的定义、类型及特点</w:t>
      </w:r>
      <w:r>
        <w:rPr>
          <w:rFonts w:hAnsi="宋体"/>
          <w:kern w:val="0"/>
          <w:szCs w:val="21"/>
        </w:rPr>
        <w:t>及相关基础知识和信息检索概念及信息检原理；</w:t>
      </w:r>
      <w:r>
        <w:rPr>
          <w:rFonts w:hint="eastAsia" w:hAnsi="宋体"/>
          <w:szCs w:val="21"/>
        </w:rPr>
        <w:t>了解文献信息检索基础知识，掌握文献检索的途径、方法与步骤。</w:t>
      </w:r>
    </w:p>
    <w:p>
      <w:pPr>
        <w:widowControl/>
        <w:snapToGrid w:val="0"/>
        <w:spacing w:line="360" w:lineRule="auto"/>
        <w:rPr>
          <w:szCs w:val="21"/>
        </w:rPr>
      </w:pPr>
      <w:r>
        <w:rPr>
          <w:rFonts w:hAnsi="宋体"/>
          <w:b/>
          <w:bCs/>
          <w:szCs w:val="21"/>
        </w:rPr>
        <w:t>教学重点和难点：</w:t>
      </w:r>
      <w:r>
        <w:rPr>
          <w:rFonts w:hAnsi="宋体"/>
          <w:kern w:val="0"/>
          <w:szCs w:val="21"/>
        </w:rPr>
        <w:t>掌握检索语言、文献记录、检索字段等基本知识；</w:t>
      </w:r>
      <w:r>
        <w:rPr>
          <w:rFonts w:hAnsi="宋体"/>
          <w:szCs w:val="21"/>
        </w:rPr>
        <w:t>掌握自然科学方法与社会科学方法、科学方法与技术方法的异同。</w:t>
      </w:r>
    </w:p>
    <w:p>
      <w:pPr>
        <w:widowControl/>
        <w:shd w:val="clear" w:color="auto" w:fill="FFFFFF"/>
        <w:spacing w:line="360" w:lineRule="auto"/>
        <w:jc w:val="left"/>
        <w:rPr>
          <w:b/>
          <w:bCs/>
          <w:szCs w:val="21"/>
        </w:rPr>
      </w:pPr>
      <w:r>
        <w:rPr>
          <w:rFonts w:hAnsi="宋体"/>
          <w:b/>
          <w:bCs/>
          <w:szCs w:val="21"/>
        </w:rPr>
        <w:t>主要教学内容及要求：</w:t>
      </w:r>
    </w:p>
    <w:p>
      <w:pPr>
        <w:widowControl/>
        <w:shd w:val="clear" w:color="auto" w:fill="FFFFFF"/>
        <w:spacing w:line="360" w:lineRule="auto"/>
        <w:ind w:firstLine="411" w:firstLineChars="196"/>
        <w:jc w:val="left"/>
        <w:rPr>
          <w:rFonts w:hAnsi="宋体"/>
          <w:szCs w:val="21"/>
        </w:rPr>
      </w:pPr>
      <w:r>
        <w:rPr>
          <w:rFonts w:hAnsi="宋体"/>
          <w:szCs w:val="21"/>
        </w:rPr>
        <w:t>了解</w:t>
      </w:r>
      <w:r>
        <w:rPr>
          <w:rFonts w:hint="eastAsia" w:hAnsi="宋体"/>
          <w:szCs w:val="21"/>
        </w:rPr>
        <w:t>：</w:t>
      </w:r>
      <w:r>
        <w:rPr>
          <w:rFonts w:hAnsi="宋体"/>
          <w:szCs w:val="21"/>
        </w:rPr>
        <w:t>一般</w:t>
      </w:r>
      <w:r>
        <w:rPr>
          <w:rFonts w:hAnsi="宋体"/>
          <w:kern w:val="0"/>
          <w:szCs w:val="21"/>
          <w:lang w:val="zh-CN"/>
        </w:rPr>
        <w:t>科学技术研究的方法</w:t>
      </w:r>
      <w:r>
        <w:rPr>
          <w:rFonts w:hint="eastAsia" w:hAnsi="宋体"/>
          <w:szCs w:val="21"/>
        </w:rPr>
        <w:t>。</w:t>
      </w:r>
    </w:p>
    <w:p>
      <w:pPr>
        <w:widowControl/>
        <w:shd w:val="clear" w:color="auto" w:fill="FFFFFF"/>
        <w:spacing w:line="360" w:lineRule="auto"/>
        <w:ind w:firstLine="411" w:firstLineChars="196"/>
        <w:jc w:val="left"/>
        <w:rPr>
          <w:kern w:val="0"/>
          <w:szCs w:val="21"/>
          <w:lang w:val="zh-CN"/>
        </w:rPr>
      </w:pPr>
      <w:r>
        <w:rPr>
          <w:rFonts w:hAnsi="宋体"/>
          <w:szCs w:val="21"/>
        </w:rPr>
        <w:t>理解</w:t>
      </w:r>
      <w:r>
        <w:rPr>
          <w:rFonts w:hint="eastAsia" w:hAnsi="宋体"/>
          <w:szCs w:val="21"/>
        </w:rPr>
        <w:t>：</w:t>
      </w:r>
      <w:r>
        <w:rPr>
          <w:rFonts w:hAnsi="宋体"/>
          <w:kern w:val="0"/>
          <w:szCs w:val="21"/>
          <w:lang w:val="zh-CN"/>
        </w:rPr>
        <w:t>自然与社会科学方法的关系</w:t>
      </w:r>
      <w:r>
        <w:rPr>
          <w:rFonts w:hAnsi="宋体"/>
          <w:szCs w:val="21"/>
        </w:rPr>
        <w:t>，</w:t>
      </w:r>
      <w:r>
        <w:rPr>
          <w:rFonts w:hAnsi="宋体"/>
          <w:kern w:val="0"/>
          <w:szCs w:val="21"/>
          <w:lang w:val="zh-CN"/>
        </w:rPr>
        <w:t>科学研究方法的特性和功能</w:t>
      </w:r>
      <w:r>
        <w:rPr>
          <w:rFonts w:hint="eastAsia" w:hAnsi="宋体"/>
          <w:kern w:val="0"/>
          <w:szCs w:val="21"/>
          <w:lang w:val="zh-CN"/>
        </w:rPr>
        <w:t>。</w:t>
      </w:r>
    </w:p>
    <w:p>
      <w:pPr>
        <w:widowControl/>
        <w:shd w:val="clear" w:color="auto" w:fill="FFFFFF"/>
        <w:spacing w:line="360" w:lineRule="auto"/>
        <w:ind w:firstLine="411" w:firstLineChars="196"/>
        <w:jc w:val="left"/>
        <w:rPr>
          <w:rFonts w:hAnsi="宋体"/>
          <w:kern w:val="0"/>
          <w:szCs w:val="21"/>
          <w:lang w:val="zh-CN"/>
        </w:rPr>
      </w:pPr>
      <w:r>
        <w:rPr>
          <w:rFonts w:hAnsi="宋体"/>
          <w:kern w:val="0"/>
          <w:szCs w:val="21"/>
        </w:rPr>
        <w:t>掌握</w:t>
      </w:r>
      <w:r>
        <w:rPr>
          <w:rFonts w:hint="eastAsia" w:hAnsi="宋体"/>
          <w:kern w:val="0"/>
          <w:szCs w:val="21"/>
        </w:rPr>
        <w:t>：</w:t>
      </w:r>
      <w:r>
        <w:rPr>
          <w:rFonts w:hAnsi="宋体"/>
          <w:kern w:val="0"/>
          <w:szCs w:val="21"/>
        </w:rPr>
        <w:t>网络搜索引擎的检索技巧，学会使用搜索引擎快速、全面、准确的查询网络信息资源；掌握常用中文数据库的各种检索方法，能按照检索要求独立地完成电子图书、电子期刊、论文等多种类型的信息资源的查询任务。</w:t>
      </w:r>
      <w:r>
        <w:rPr>
          <w:rFonts w:hAnsi="宋体"/>
          <w:kern w:val="0"/>
          <w:szCs w:val="21"/>
          <w:lang w:val="zh-CN"/>
        </w:rPr>
        <w:t>科学技术写作的概述；学习科技方法与写作的意义</w:t>
      </w:r>
      <w:r>
        <w:rPr>
          <w:rFonts w:hint="eastAsia" w:hAnsi="宋体"/>
          <w:kern w:val="0"/>
          <w:szCs w:val="21"/>
          <w:lang w:val="zh-CN"/>
        </w:rPr>
        <w:t>。</w:t>
      </w:r>
    </w:p>
    <w:p>
      <w:pPr>
        <w:widowControl/>
        <w:shd w:val="clear" w:color="auto" w:fill="FFFFFF"/>
        <w:spacing w:line="360" w:lineRule="auto"/>
        <w:ind w:firstLine="411" w:firstLineChars="196"/>
        <w:jc w:val="left"/>
        <w:rPr>
          <w:rFonts w:hAnsi="宋体"/>
          <w:szCs w:val="21"/>
        </w:rPr>
      </w:pPr>
      <w:r>
        <w:rPr>
          <w:rFonts w:hAnsi="宋体"/>
          <w:szCs w:val="21"/>
        </w:rPr>
        <w:t>熟练掌握</w:t>
      </w:r>
      <w:r>
        <w:rPr>
          <w:rFonts w:hint="eastAsia" w:hAnsi="宋体"/>
          <w:szCs w:val="21"/>
        </w:rPr>
        <w:t>：</w:t>
      </w:r>
      <w:r>
        <w:rPr>
          <w:rFonts w:hAnsi="宋体"/>
          <w:szCs w:val="21"/>
        </w:rPr>
        <w:t>论文的要素与功能、科技写作人称的选择与运用</w:t>
      </w:r>
      <w:r>
        <w:rPr>
          <w:rFonts w:hint="eastAsia" w:hAnsi="宋体"/>
          <w:szCs w:val="21"/>
        </w:rPr>
        <w:t>，</w:t>
      </w:r>
      <w:r>
        <w:rPr>
          <w:rFonts w:hAnsi="宋体"/>
          <w:szCs w:val="21"/>
        </w:rPr>
        <w:t>通过学习达到掌握科技论文写作的特点和应用科研资料撰写科技论文的要求。</w:t>
      </w:r>
    </w:p>
    <w:p>
      <w:pPr>
        <w:spacing w:line="360" w:lineRule="auto"/>
        <w:rPr>
          <w:b/>
          <w:bCs/>
          <w:szCs w:val="21"/>
        </w:rPr>
      </w:pPr>
      <w:r>
        <w:rPr>
          <w:rFonts w:hAnsi="宋体"/>
          <w:b/>
          <w:bCs/>
          <w:szCs w:val="21"/>
        </w:rPr>
        <w:t>教学</w:t>
      </w:r>
      <w:r>
        <w:rPr>
          <w:rFonts w:hint="eastAsia" w:hAnsi="宋体"/>
          <w:b/>
          <w:bCs/>
          <w:szCs w:val="21"/>
        </w:rPr>
        <w:t>组织与实施</w:t>
      </w:r>
      <w:r>
        <w:rPr>
          <w:rFonts w:hAnsi="宋体"/>
          <w:b/>
          <w:bCs/>
          <w:szCs w:val="21"/>
        </w:rPr>
        <w:t>：</w:t>
      </w:r>
    </w:p>
    <w:p>
      <w:pPr>
        <w:spacing w:line="360" w:lineRule="auto"/>
        <w:ind w:firstLine="420"/>
        <w:rPr>
          <w:szCs w:val="21"/>
          <w:lang w:val="zh-CN"/>
        </w:rPr>
      </w:pPr>
      <w:r>
        <w:rPr>
          <w:rFonts w:hint="eastAsia"/>
          <w:szCs w:val="21"/>
          <w:lang w:val="zh-CN"/>
        </w:rPr>
        <w:t>采用教师课堂讲授为主，设置文献检索信息的相关话题，学生积极参与课堂讨论，分组与学生课堂提问等环节互动。</w:t>
      </w:r>
    </w:p>
    <w:p>
      <w:pPr>
        <w:widowControl/>
        <w:snapToGrid w:val="0"/>
        <w:spacing w:before="156" w:beforeLines="50" w:line="360" w:lineRule="auto"/>
        <w:jc w:val="right"/>
        <w:rPr>
          <w:kern w:val="0"/>
          <w:szCs w:val="21"/>
        </w:rPr>
      </w:pPr>
      <w:r>
        <w:rPr>
          <w:rFonts w:hAnsi="宋体"/>
          <w:b/>
          <w:bCs/>
          <w:kern w:val="0"/>
          <w:szCs w:val="21"/>
        </w:rPr>
        <w:t>第</w:t>
      </w:r>
      <w:r>
        <w:rPr>
          <w:rFonts w:hint="eastAsia" w:hAnsi="宋体"/>
          <w:b/>
          <w:bCs/>
          <w:kern w:val="0"/>
          <w:szCs w:val="21"/>
        </w:rPr>
        <w:t>二</w:t>
      </w:r>
      <w:r>
        <w:rPr>
          <w:rFonts w:hAnsi="宋体"/>
          <w:b/>
          <w:bCs/>
          <w:kern w:val="0"/>
          <w:szCs w:val="21"/>
        </w:rPr>
        <w:t>章</w:t>
      </w:r>
      <w:r>
        <w:rPr>
          <w:rFonts w:hint="eastAsia"/>
          <w:b/>
          <w:bCs/>
          <w:kern w:val="0"/>
          <w:szCs w:val="21"/>
        </w:rPr>
        <w:t xml:space="preserve">  </w:t>
      </w:r>
      <w:r>
        <w:rPr>
          <w:rFonts w:hAnsi="宋体"/>
          <w:b/>
          <w:bCs/>
          <w:kern w:val="0"/>
          <w:szCs w:val="21"/>
        </w:rPr>
        <w:t>信息资源及信息检索原理</w:t>
      </w:r>
      <w:r>
        <w:rPr>
          <w:rFonts w:hint="eastAsia"/>
          <w:b/>
          <w:bCs/>
          <w:kern w:val="0"/>
          <w:szCs w:val="21"/>
        </w:rPr>
        <w:t xml:space="preserve"> </w:t>
      </w:r>
      <w:r>
        <w:rPr>
          <w:b/>
          <w:bCs/>
          <w:kern w:val="0"/>
          <w:szCs w:val="21"/>
        </w:rPr>
        <w:t xml:space="preserve">         </w:t>
      </w:r>
      <w:r>
        <w:rPr>
          <w:rFonts w:hint="eastAsia"/>
          <w:b/>
          <w:bCs/>
          <w:kern w:val="0"/>
          <w:szCs w:val="21"/>
        </w:rPr>
        <w:t xml:space="preserve">    </w:t>
      </w:r>
      <w:r>
        <w:rPr>
          <w:rFonts w:hAnsi="宋体"/>
          <w:b/>
          <w:bCs/>
          <w:kern w:val="0"/>
          <w:szCs w:val="21"/>
        </w:rPr>
        <w:t>学时数：</w:t>
      </w:r>
      <w:r>
        <w:rPr>
          <w:b/>
          <w:bCs/>
          <w:kern w:val="0"/>
          <w:szCs w:val="21"/>
        </w:rPr>
        <w:t>3</w:t>
      </w:r>
    </w:p>
    <w:p>
      <w:pPr>
        <w:widowControl/>
        <w:shd w:val="clear" w:color="auto" w:fill="FFFFFF"/>
        <w:spacing w:line="360" w:lineRule="auto"/>
        <w:jc w:val="left"/>
        <w:rPr>
          <w:szCs w:val="21"/>
        </w:rPr>
      </w:pPr>
      <w:r>
        <w:rPr>
          <w:rFonts w:hAnsi="宋体"/>
          <w:b/>
          <w:bCs/>
          <w:szCs w:val="21"/>
        </w:rPr>
        <w:t>教学目</w:t>
      </w:r>
      <w:r>
        <w:rPr>
          <w:rFonts w:hint="eastAsia" w:hAnsi="宋体"/>
          <w:b/>
          <w:bCs/>
          <w:szCs w:val="21"/>
        </w:rPr>
        <w:t>标</w:t>
      </w:r>
      <w:r>
        <w:rPr>
          <w:rFonts w:hAnsi="宋体"/>
          <w:b/>
          <w:bCs/>
          <w:szCs w:val="21"/>
        </w:rPr>
        <w:t>：</w:t>
      </w:r>
      <w:r>
        <w:rPr>
          <w:rFonts w:hAnsi="宋体"/>
          <w:szCs w:val="21"/>
        </w:rPr>
        <w:t>了解积累资料的作用、科技文献的种类和资料搜集的途径</w:t>
      </w:r>
      <w:r>
        <w:rPr>
          <w:rFonts w:hint="eastAsia" w:hAnsi="宋体"/>
          <w:szCs w:val="21"/>
        </w:rPr>
        <w:t>；掌握</w:t>
      </w:r>
      <w:r>
        <w:rPr>
          <w:rFonts w:hAnsi="宋体"/>
          <w:szCs w:val="21"/>
        </w:rPr>
        <w:t>信息知识、文献、情报的概念和明确资源及其类型</w:t>
      </w:r>
      <w:r>
        <w:rPr>
          <w:rFonts w:hint="eastAsia" w:hAnsi="宋体"/>
          <w:szCs w:val="21"/>
        </w:rPr>
        <w:t>。</w:t>
      </w:r>
    </w:p>
    <w:p>
      <w:pPr>
        <w:widowControl/>
        <w:shd w:val="clear" w:color="auto" w:fill="FFFFFF"/>
        <w:spacing w:line="360" w:lineRule="auto"/>
        <w:jc w:val="left"/>
        <w:rPr>
          <w:szCs w:val="21"/>
        </w:rPr>
      </w:pPr>
      <w:r>
        <w:rPr>
          <w:rFonts w:hAnsi="宋体"/>
          <w:b/>
          <w:bCs/>
          <w:szCs w:val="21"/>
        </w:rPr>
        <w:t>教学重点和难点：</w:t>
      </w:r>
      <w:r>
        <w:rPr>
          <w:rFonts w:hAnsi="宋体"/>
          <w:szCs w:val="21"/>
        </w:rPr>
        <w:t>不同文献出版形式的信息资源多种类型；信息与知识、文献、情报的关系。网络检索方法与本专业主要网址；科技综述的概念与特点、作用与意义；科技综述写作方法。</w:t>
      </w:r>
    </w:p>
    <w:p>
      <w:pPr>
        <w:widowControl/>
        <w:shd w:val="clear" w:color="auto" w:fill="FFFFFF"/>
        <w:spacing w:line="360" w:lineRule="auto"/>
        <w:jc w:val="left"/>
        <w:rPr>
          <w:b/>
          <w:bCs/>
          <w:szCs w:val="21"/>
        </w:rPr>
      </w:pPr>
      <w:r>
        <w:rPr>
          <w:rFonts w:hAnsi="宋体"/>
          <w:b/>
          <w:bCs/>
          <w:szCs w:val="21"/>
        </w:rPr>
        <w:t>主要教学内容及要求：</w:t>
      </w:r>
    </w:p>
    <w:p>
      <w:pPr>
        <w:widowControl/>
        <w:shd w:val="clear" w:color="auto" w:fill="FFFFFF"/>
        <w:spacing w:line="360" w:lineRule="auto"/>
        <w:ind w:firstLine="420" w:firstLineChars="200"/>
        <w:jc w:val="left"/>
        <w:rPr>
          <w:kern w:val="0"/>
          <w:szCs w:val="21"/>
        </w:rPr>
      </w:pPr>
      <w:r>
        <w:rPr>
          <w:rFonts w:hAnsi="宋体"/>
          <w:szCs w:val="21"/>
        </w:rPr>
        <w:t>了解</w:t>
      </w:r>
      <w:r>
        <w:rPr>
          <w:rFonts w:hint="eastAsia" w:hAnsi="宋体"/>
          <w:szCs w:val="21"/>
        </w:rPr>
        <w:t>：</w:t>
      </w:r>
      <w:r>
        <w:rPr>
          <w:rFonts w:hAnsi="宋体"/>
          <w:szCs w:val="21"/>
        </w:rPr>
        <w:t>科技信息获取的途径与方法及</w:t>
      </w:r>
      <w:r>
        <w:rPr>
          <w:rFonts w:hAnsi="宋体"/>
          <w:kern w:val="0"/>
          <w:szCs w:val="21"/>
        </w:rPr>
        <w:t>搜索引擎定义及构成；理解搜索引擎工作原理及任务</w:t>
      </w:r>
      <w:r>
        <w:rPr>
          <w:rFonts w:hint="eastAsia" w:hAnsi="宋体"/>
          <w:kern w:val="0"/>
          <w:szCs w:val="21"/>
        </w:rPr>
        <w:t>。</w:t>
      </w:r>
    </w:p>
    <w:p>
      <w:pPr>
        <w:widowControl/>
        <w:shd w:val="clear" w:color="auto" w:fill="FFFFFF"/>
        <w:spacing w:line="360" w:lineRule="auto"/>
        <w:ind w:firstLine="420" w:firstLineChars="200"/>
        <w:jc w:val="left"/>
        <w:rPr>
          <w:szCs w:val="21"/>
        </w:rPr>
      </w:pPr>
      <w:r>
        <w:rPr>
          <w:rFonts w:hAnsi="宋体"/>
          <w:szCs w:val="21"/>
        </w:rPr>
        <w:t>理解</w:t>
      </w:r>
      <w:r>
        <w:rPr>
          <w:rFonts w:hint="eastAsia" w:hAnsi="宋体"/>
          <w:szCs w:val="21"/>
        </w:rPr>
        <w:t>：</w:t>
      </w:r>
      <w:r>
        <w:rPr>
          <w:rFonts w:hAnsi="宋体"/>
          <w:szCs w:val="21"/>
        </w:rPr>
        <w:t>不同文献出版形式的信息资源多种类型；信息与知识、文献、情报的关系</w:t>
      </w:r>
      <w:r>
        <w:rPr>
          <w:rFonts w:hint="eastAsia" w:hAnsi="宋体"/>
          <w:szCs w:val="21"/>
        </w:rPr>
        <w:t>。</w:t>
      </w:r>
    </w:p>
    <w:p>
      <w:pPr>
        <w:widowControl/>
        <w:shd w:val="clear" w:color="auto" w:fill="FFFFFF"/>
        <w:spacing w:line="360" w:lineRule="auto"/>
        <w:ind w:firstLine="420" w:firstLineChars="200"/>
        <w:jc w:val="left"/>
        <w:rPr>
          <w:rFonts w:hAnsi="宋体"/>
          <w:szCs w:val="21"/>
        </w:rPr>
      </w:pPr>
      <w:r>
        <w:rPr>
          <w:rFonts w:hAnsi="宋体"/>
          <w:kern w:val="0"/>
          <w:szCs w:val="21"/>
        </w:rPr>
        <w:t>掌握</w:t>
      </w:r>
      <w:r>
        <w:rPr>
          <w:rFonts w:hint="eastAsia" w:hAnsi="宋体"/>
          <w:szCs w:val="21"/>
        </w:rPr>
        <w:t>：</w:t>
      </w:r>
      <w:r>
        <w:rPr>
          <w:rFonts w:hAnsi="宋体"/>
          <w:kern w:val="0"/>
          <w:szCs w:val="21"/>
        </w:rPr>
        <w:t>常用中文搜索引擎的使用技巧和常用搜索引擎的检索方法；</w:t>
      </w:r>
      <w:r>
        <w:rPr>
          <w:rFonts w:hAnsi="宋体"/>
          <w:szCs w:val="21"/>
        </w:rPr>
        <w:t>理解科技综述的特点、作用和写作方法；掌握科技文献分类及文献资料检索内容、文献资料检索途径与方法</w:t>
      </w:r>
      <w:r>
        <w:rPr>
          <w:rFonts w:hint="eastAsia" w:hAnsi="宋体"/>
          <w:szCs w:val="21"/>
        </w:rPr>
        <w:t>。</w:t>
      </w:r>
    </w:p>
    <w:p>
      <w:pPr>
        <w:widowControl/>
        <w:shd w:val="clear" w:color="auto" w:fill="FFFFFF"/>
        <w:spacing w:line="360" w:lineRule="auto"/>
        <w:ind w:firstLine="420" w:firstLineChars="200"/>
        <w:jc w:val="left"/>
        <w:rPr>
          <w:szCs w:val="21"/>
        </w:rPr>
      </w:pPr>
      <w:r>
        <w:rPr>
          <w:rFonts w:hAnsi="宋体"/>
          <w:szCs w:val="21"/>
        </w:rPr>
        <w:t>熟练掌握</w:t>
      </w:r>
      <w:r>
        <w:rPr>
          <w:rFonts w:hint="eastAsia" w:hAnsi="宋体"/>
          <w:szCs w:val="21"/>
        </w:rPr>
        <w:t>：</w:t>
      </w:r>
      <w:r>
        <w:rPr>
          <w:rFonts w:hAnsi="宋体"/>
          <w:szCs w:val="21"/>
        </w:rPr>
        <w:t>文献资料检索主要方法。</w:t>
      </w:r>
    </w:p>
    <w:p>
      <w:pPr>
        <w:spacing w:line="360" w:lineRule="auto"/>
        <w:ind w:firstLine="420"/>
        <w:rPr>
          <w:szCs w:val="21"/>
        </w:rPr>
      </w:pPr>
      <w:r>
        <w:rPr>
          <w:rFonts w:hAnsi="宋体"/>
          <w:szCs w:val="21"/>
        </w:rPr>
        <w:t>主要的基本概念和知识点：</w:t>
      </w:r>
    </w:p>
    <w:p>
      <w:pPr>
        <w:spacing w:line="360" w:lineRule="auto"/>
        <w:ind w:firstLine="420" w:firstLineChars="200"/>
        <w:rPr>
          <w:szCs w:val="21"/>
        </w:rPr>
      </w:pPr>
      <w:r>
        <w:rPr>
          <w:rFonts w:hAnsi="宋体"/>
          <w:szCs w:val="21"/>
        </w:rPr>
        <w:t>（</w:t>
      </w:r>
      <w:r>
        <w:rPr>
          <w:szCs w:val="21"/>
        </w:rPr>
        <w:t>1</w:t>
      </w:r>
      <w:r>
        <w:rPr>
          <w:rFonts w:hAnsi="宋体"/>
          <w:szCs w:val="21"/>
        </w:rPr>
        <w:t>）基本概念：文献出版形式；文献</w:t>
      </w:r>
      <w:r>
        <w:rPr>
          <w:rFonts w:hAnsi="宋体"/>
          <w:kern w:val="0"/>
          <w:szCs w:val="21"/>
        </w:rPr>
        <w:t>检索语言；</w:t>
      </w:r>
      <w:r>
        <w:rPr>
          <w:rFonts w:hAnsi="宋体"/>
          <w:szCs w:val="21"/>
        </w:rPr>
        <w:t>科技综述；科技报告；文献资料检索。</w:t>
      </w:r>
    </w:p>
    <w:p>
      <w:pPr>
        <w:spacing w:line="360" w:lineRule="auto"/>
        <w:ind w:firstLine="420" w:firstLineChars="200"/>
        <w:rPr>
          <w:szCs w:val="21"/>
        </w:rPr>
      </w:pPr>
      <w:r>
        <w:rPr>
          <w:rFonts w:hAnsi="宋体"/>
          <w:szCs w:val="21"/>
        </w:rPr>
        <w:t>（</w:t>
      </w:r>
      <w:r>
        <w:rPr>
          <w:szCs w:val="21"/>
        </w:rPr>
        <w:t>2</w:t>
      </w:r>
      <w:r>
        <w:rPr>
          <w:rFonts w:hAnsi="宋体"/>
          <w:szCs w:val="21"/>
        </w:rPr>
        <w:t>）知识点：网络检索方法；科技综述观点的提炼。</w:t>
      </w:r>
    </w:p>
    <w:p>
      <w:pPr>
        <w:widowControl/>
        <w:shd w:val="clear" w:color="auto" w:fill="FFFFFF"/>
        <w:spacing w:line="360" w:lineRule="auto"/>
        <w:ind w:firstLine="420" w:firstLineChars="200"/>
        <w:jc w:val="left"/>
        <w:rPr>
          <w:rFonts w:hAnsi="宋体"/>
          <w:szCs w:val="21"/>
        </w:rPr>
      </w:pPr>
      <w:r>
        <w:rPr>
          <w:rFonts w:hAnsi="宋体"/>
          <w:szCs w:val="21"/>
        </w:rPr>
        <w:t>（</w:t>
      </w:r>
      <w:r>
        <w:rPr>
          <w:szCs w:val="21"/>
        </w:rPr>
        <w:t>3</w:t>
      </w:r>
      <w:r>
        <w:rPr>
          <w:rFonts w:hAnsi="宋体"/>
          <w:szCs w:val="21"/>
        </w:rPr>
        <w:t>）学会使用</w:t>
      </w:r>
      <w:r>
        <w:rPr>
          <w:rFonts w:hint="eastAsia" w:hAnsi="宋体"/>
          <w:szCs w:val="21"/>
        </w:rPr>
        <w:t>中国知网</w:t>
      </w:r>
      <w:r>
        <w:rPr>
          <w:rFonts w:hAnsi="宋体"/>
          <w:szCs w:val="21"/>
        </w:rPr>
        <w:t>数据资源系统的单库检索和跨库检索，能根据检索要求正确选择多个或单个数据库进行检索。</w:t>
      </w:r>
    </w:p>
    <w:p>
      <w:pPr>
        <w:spacing w:line="360" w:lineRule="auto"/>
        <w:rPr>
          <w:b/>
          <w:bCs/>
          <w:szCs w:val="21"/>
        </w:rPr>
      </w:pPr>
      <w:r>
        <w:rPr>
          <w:rFonts w:hAnsi="宋体"/>
          <w:b/>
          <w:bCs/>
          <w:szCs w:val="21"/>
        </w:rPr>
        <w:t>教学</w:t>
      </w:r>
      <w:r>
        <w:rPr>
          <w:rFonts w:hint="eastAsia" w:hAnsi="宋体"/>
          <w:b/>
          <w:bCs/>
          <w:szCs w:val="21"/>
        </w:rPr>
        <w:t>组织与实施</w:t>
      </w:r>
      <w:r>
        <w:rPr>
          <w:rFonts w:hAnsi="宋体"/>
          <w:b/>
          <w:bCs/>
          <w:szCs w:val="21"/>
        </w:rPr>
        <w:t>：</w:t>
      </w:r>
    </w:p>
    <w:p>
      <w:pPr>
        <w:widowControl/>
        <w:shd w:val="clear" w:color="auto" w:fill="FFFFFF"/>
        <w:spacing w:line="360" w:lineRule="auto"/>
        <w:ind w:firstLine="420" w:firstLineChars="200"/>
        <w:jc w:val="left"/>
        <w:rPr>
          <w:kern w:val="0"/>
          <w:szCs w:val="21"/>
        </w:rPr>
      </w:pPr>
      <w:r>
        <w:rPr>
          <w:rFonts w:hint="eastAsia"/>
          <w:szCs w:val="21"/>
          <w:lang w:val="zh-CN"/>
        </w:rPr>
        <w:t>采用教师课堂讲授为主，讲授</w:t>
      </w:r>
      <w:r>
        <w:rPr>
          <w:rFonts w:hAnsi="宋体"/>
          <w:szCs w:val="21"/>
        </w:rPr>
        <w:t>信息知识、文献、情报的概念和类型</w:t>
      </w:r>
      <w:r>
        <w:rPr>
          <w:rFonts w:hint="eastAsia" w:hAnsi="宋体"/>
          <w:szCs w:val="21"/>
        </w:rPr>
        <w:t>，分组与学生探讨</w:t>
      </w:r>
      <w:r>
        <w:rPr>
          <w:rFonts w:hAnsi="宋体"/>
          <w:szCs w:val="21"/>
        </w:rPr>
        <w:t>科技文献的种类和资料搜集的途径</w:t>
      </w:r>
      <w:r>
        <w:rPr>
          <w:rFonts w:hint="eastAsia"/>
          <w:szCs w:val="21"/>
          <w:lang w:val="zh-CN"/>
        </w:rPr>
        <w:t>。</w:t>
      </w:r>
    </w:p>
    <w:p>
      <w:pPr>
        <w:spacing w:before="156" w:beforeLines="50" w:line="360" w:lineRule="auto"/>
        <w:ind w:firstLine="1054" w:firstLineChars="500"/>
        <w:jc w:val="right"/>
        <w:rPr>
          <w:b/>
          <w:bCs/>
          <w:kern w:val="0"/>
          <w:szCs w:val="21"/>
        </w:rPr>
      </w:pPr>
      <w:r>
        <w:rPr>
          <w:rFonts w:hAnsi="宋体"/>
          <w:b/>
          <w:bCs/>
          <w:kern w:val="0"/>
          <w:szCs w:val="21"/>
        </w:rPr>
        <w:t>第</w:t>
      </w:r>
      <w:r>
        <w:rPr>
          <w:rFonts w:hint="eastAsia" w:hAnsi="宋体"/>
          <w:b/>
          <w:bCs/>
          <w:kern w:val="0"/>
          <w:szCs w:val="21"/>
        </w:rPr>
        <w:t>三</w:t>
      </w:r>
      <w:r>
        <w:rPr>
          <w:rFonts w:hAnsi="宋体"/>
          <w:b/>
          <w:bCs/>
          <w:kern w:val="0"/>
          <w:szCs w:val="21"/>
        </w:rPr>
        <w:t>章</w:t>
      </w:r>
      <w:r>
        <w:rPr>
          <w:b/>
          <w:bCs/>
          <w:kern w:val="0"/>
          <w:szCs w:val="21"/>
        </w:rPr>
        <w:t xml:space="preserve">  </w:t>
      </w:r>
      <w:r>
        <w:rPr>
          <w:rFonts w:hAnsi="宋体"/>
          <w:b/>
          <w:bCs/>
          <w:kern w:val="0"/>
          <w:szCs w:val="21"/>
        </w:rPr>
        <w:t>课题类型与科研选题</w:t>
      </w:r>
      <w:r>
        <w:rPr>
          <w:b/>
          <w:bCs/>
          <w:kern w:val="0"/>
          <w:szCs w:val="21"/>
        </w:rPr>
        <w:t xml:space="preserve">  </w:t>
      </w:r>
      <w:r>
        <w:rPr>
          <w:b/>
          <w:szCs w:val="21"/>
        </w:rPr>
        <w:t xml:space="preserve">                 </w:t>
      </w:r>
      <w:r>
        <w:rPr>
          <w:rFonts w:hAnsi="宋体"/>
          <w:b/>
          <w:bCs/>
          <w:kern w:val="0"/>
          <w:szCs w:val="21"/>
        </w:rPr>
        <w:t>学时数：</w:t>
      </w:r>
      <w:r>
        <w:rPr>
          <w:b/>
          <w:bCs/>
          <w:kern w:val="0"/>
          <w:szCs w:val="21"/>
        </w:rPr>
        <w:t>2</w:t>
      </w:r>
    </w:p>
    <w:p>
      <w:pPr>
        <w:widowControl/>
        <w:snapToGrid w:val="0"/>
        <w:spacing w:line="360" w:lineRule="auto"/>
        <w:rPr>
          <w:b/>
          <w:bCs/>
          <w:kern w:val="0"/>
          <w:szCs w:val="21"/>
        </w:rPr>
      </w:pPr>
      <w:r>
        <w:rPr>
          <w:rFonts w:hAnsi="宋体"/>
          <w:b/>
          <w:bCs/>
          <w:szCs w:val="21"/>
        </w:rPr>
        <w:t>教学目的：</w:t>
      </w:r>
      <w:r>
        <w:rPr>
          <w:rFonts w:hAnsi="宋体"/>
          <w:szCs w:val="21"/>
        </w:rPr>
        <w:t>了解</w:t>
      </w:r>
      <w:r>
        <w:rPr>
          <w:rFonts w:hAnsi="宋体"/>
          <w:szCs w:val="21"/>
          <w:lang w:val="zh-CN"/>
        </w:rPr>
        <w:t>科学研究课题的类型、科研选题的基本概念与目的意义</w:t>
      </w:r>
      <w:r>
        <w:rPr>
          <w:rFonts w:hint="eastAsia" w:hAnsi="宋体"/>
          <w:szCs w:val="21"/>
          <w:lang w:val="zh-CN"/>
        </w:rPr>
        <w:t>。</w:t>
      </w:r>
    </w:p>
    <w:p>
      <w:pPr>
        <w:widowControl/>
        <w:snapToGrid w:val="0"/>
        <w:spacing w:line="360" w:lineRule="auto"/>
        <w:rPr>
          <w:b/>
          <w:bCs/>
          <w:kern w:val="0"/>
          <w:szCs w:val="21"/>
        </w:rPr>
      </w:pPr>
      <w:r>
        <w:rPr>
          <w:rFonts w:hAnsi="宋体"/>
          <w:b/>
          <w:bCs/>
          <w:szCs w:val="21"/>
        </w:rPr>
        <w:t>教学重点和难点：</w:t>
      </w:r>
      <w:r>
        <w:rPr>
          <w:rFonts w:hAnsi="宋体"/>
          <w:szCs w:val="21"/>
        </w:rPr>
        <w:t>科研选题的一般程序与注意事项</w:t>
      </w:r>
      <w:r>
        <w:rPr>
          <w:rFonts w:hint="eastAsia" w:hAnsi="宋体"/>
          <w:szCs w:val="21"/>
        </w:rPr>
        <w:t>。</w:t>
      </w:r>
    </w:p>
    <w:p>
      <w:pPr>
        <w:widowControl/>
        <w:snapToGrid w:val="0"/>
        <w:spacing w:line="360" w:lineRule="auto"/>
        <w:rPr>
          <w:rFonts w:hAnsi="宋体"/>
          <w:b/>
          <w:bCs/>
          <w:szCs w:val="21"/>
        </w:rPr>
      </w:pPr>
      <w:r>
        <w:rPr>
          <w:rFonts w:hAnsi="宋体"/>
          <w:b/>
          <w:bCs/>
          <w:szCs w:val="21"/>
        </w:rPr>
        <w:t>主要教学内容及要求：</w:t>
      </w:r>
    </w:p>
    <w:p>
      <w:pPr>
        <w:widowControl/>
        <w:snapToGrid w:val="0"/>
        <w:spacing w:line="360" w:lineRule="auto"/>
        <w:ind w:firstLine="420" w:firstLineChars="200"/>
        <w:rPr>
          <w:rFonts w:hAnsi="宋体"/>
          <w:szCs w:val="21"/>
          <w:lang w:val="zh-CN"/>
        </w:rPr>
      </w:pPr>
      <w:r>
        <w:rPr>
          <w:rFonts w:hint="eastAsia" w:hAnsi="宋体"/>
          <w:bCs/>
          <w:szCs w:val="21"/>
        </w:rPr>
        <w:t>了解：</w:t>
      </w:r>
      <w:r>
        <w:rPr>
          <w:rFonts w:hAnsi="宋体"/>
          <w:szCs w:val="21"/>
          <w:lang w:val="zh-CN"/>
        </w:rPr>
        <w:t>科学研究课题的类型</w:t>
      </w:r>
      <w:r>
        <w:rPr>
          <w:rFonts w:hint="eastAsia" w:hAnsi="宋体"/>
          <w:szCs w:val="21"/>
          <w:lang w:val="zh-CN"/>
        </w:rPr>
        <w:t>。</w:t>
      </w:r>
    </w:p>
    <w:p>
      <w:pPr>
        <w:widowControl/>
        <w:snapToGrid w:val="0"/>
        <w:spacing w:line="360" w:lineRule="auto"/>
        <w:ind w:firstLine="420" w:firstLineChars="200"/>
        <w:rPr>
          <w:kern w:val="0"/>
          <w:szCs w:val="21"/>
        </w:rPr>
      </w:pPr>
      <w:r>
        <w:rPr>
          <w:rFonts w:hint="eastAsia" w:hAnsi="宋体"/>
          <w:szCs w:val="21"/>
          <w:lang w:val="zh-CN"/>
        </w:rPr>
        <w:t>理解：</w:t>
      </w:r>
      <w:r>
        <w:rPr>
          <w:rFonts w:hAnsi="宋体"/>
          <w:szCs w:val="21"/>
        </w:rPr>
        <w:t>科学研究选题的方法</w:t>
      </w:r>
      <w:r>
        <w:rPr>
          <w:rFonts w:hint="eastAsia" w:hAnsi="宋体"/>
          <w:szCs w:val="21"/>
        </w:rPr>
        <w:t>。</w:t>
      </w:r>
    </w:p>
    <w:p>
      <w:pPr>
        <w:widowControl/>
        <w:snapToGrid w:val="0"/>
        <w:spacing w:line="360" w:lineRule="auto"/>
        <w:ind w:firstLine="420" w:firstLineChars="200"/>
        <w:rPr>
          <w:kern w:val="0"/>
          <w:szCs w:val="21"/>
          <w:highlight w:val="yellow"/>
        </w:rPr>
      </w:pPr>
      <w:r>
        <w:rPr>
          <w:rFonts w:hAnsi="宋体"/>
          <w:szCs w:val="21"/>
        </w:rPr>
        <w:t>掌握</w:t>
      </w:r>
      <w:r>
        <w:rPr>
          <w:rFonts w:hint="eastAsia" w:hAnsi="宋体"/>
          <w:szCs w:val="21"/>
        </w:rPr>
        <w:t>：</w:t>
      </w:r>
      <w:r>
        <w:rPr>
          <w:rFonts w:hAnsi="宋体"/>
          <w:szCs w:val="21"/>
        </w:rPr>
        <w:t>科研选题的基本原则。</w:t>
      </w:r>
    </w:p>
    <w:p>
      <w:pPr>
        <w:spacing w:line="360" w:lineRule="auto"/>
        <w:ind w:firstLine="420"/>
        <w:rPr>
          <w:szCs w:val="21"/>
        </w:rPr>
      </w:pPr>
      <w:r>
        <w:rPr>
          <w:rFonts w:hAnsi="宋体"/>
          <w:szCs w:val="21"/>
        </w:rPr>
        <w:t>教学的基本概念和知识点</w:t>
      </w:r>
      <w:r>
        <w:rPr>
          <w:rFonts w:hint="eastAsia" w:hAnsi="宋体"/>
          <w:szCs w:val="21"/>
        </w:rPr>
        <w:t>：</w:t>
      </w:r>
    </w:p>
    <w:p>
      <w:pPr>
        <w:spacing w:line="360" w:lineRule="auto"/>
        <w:ind w:firstLine="420"/>
        <w:rPr>
          <w:szCs w:val="21"/>
        </w:rPr>
      </w:pPr>
      <w:r>
        <w:rPr>
          <w:rFonts w:hAnsi="宋体"/>
          <w:szCs w:val="21"/>
        </w:rPr>
        <w:t>（</w:t>
      </w:r>
      <w:r>
        <w:rPr>
          <w:szCs w:val="21"/>
        </w:rPr>
        <w:t>1</w:t>
      </w:r>
      <w:r>
        <w:rPr>
          <w:rFonts w:hAnsi="宋体"/>
          <w:szCs w:val="21"/>
        </w:rPr>
        <w:t>）基本概念：课题</w:t>
      </w:r>
      <w:r>
        <w:rPr>
          <w:rFonts w:hint="eastAsia" w:hAnsi="宋体"/>
          <w:szCs w:val="21"/>
        </w:rPr>
        <w:t>、</w:t>
      </w:r>
      <w:r>
        <w:rPr>
          <w:rFonts w:hAnsi="宋体"/>
          <w:szCs w:val="21"/>
        </w:rPr>
        <w:t>论题</w:t>
      </w:r>
      <w:r>
        <w:rPr>
          <w:rFonts w:hint="eastAsia" w:hAnsi="宋体"/>
          <w:szCs w:val="21"/>
        </w:rPr>
        <w:t>、</w:t>
      </w:r>
      <w:r>
        <w:rPr>
          <w:rFonts w:hAnsi="宋体"/>
          <w:szCs w:val="21"/>
        </w:rPr>
        <w:t>题目</w:t>
      </w:r>
      <w:r>
        <w:rPr>
          <w:rFonts w:hint="eastAsia" w:hAnsi="宋体"/>
          <w:szCs w:val="21"/>
        </w:rPr>
        <w:t>、</w:t>
      </w:r>
      <w:r>
        <w:rPr>
          <w:rFonts w:hAnsi="宋体"/>
          <w:szCs w:val="21"/>
        </w:rPr>
        <w:t>选题。</w:t>
      </w:r>
    </w:p>
    <w:p>
      <w:pPr>
        <w:spacing w:line="360" w:lineRule="auto"/>
        <w:ind w:firstLine="420"/>
        <w:rPr>
          <w:szCs w:val="21"/>
        </w:rPr>
      </w:pPr>
      <w:r>
        <w:rPr>
          <w:rFonts w:hAnsi="宋体"/>
          <w:szCs w:val="21"/>
        </w:rPr>
        <w:t>（</w:t>
      </w:r>
      <w:r>
        <w:rPr>
          <w:szCs w:val="21"/>
        </w:rPr>
        <w:t>2</w:t>
      </w:r>
      <w:r>
        <w:rPr>
          <w:rFonts w:hAnsi="宋体"/>
          <w:szCs w:val="21"/>
        </w:rPr>
        <w:t>）知识点：选题的主要途径与注意事项。</w:t>
      </w:r>
    </w:p>
    <w:p>
      <w:pPr>
        <w:spacing w:line="360" w:lineRule="auto"/>
        <w:rPr>
          <w:b/>
          <w:bCs/>
          <w:szCs w:val="21"/>
        </w:rPr>
      </w:pPr>
      <w:r>
        <w:rPr>
          <w:rFonts w:hAnsi="宋体"/>
          <w:b/>
          <w:bCs/>
          <w:szCs w:val="21"/>
        </w:rPr>
        <w:t>教学</w:t>
      </w:r>
      <w:r>
        <w:rPr>
          <w:rFonts w:hint="eastAsia" w:hAnsi="宋体"/>
          <w:b/>
          <w:bCs/>
          <w:szCs w:val="21"/>
        </w:rPr>
        <w:t>组织与实施</w:t>
      </w:r>
      <w:r>
        <w:rPr>
          <w:rFonts w:hAnsi="宋体"/>
          <w:b/>
          <w:bCs/>
          <w:szCs w:val="21"/>
        </w:rPr>
        <w:t>：</w:t>
      </w:r>
    </w:p>
    <w:p>
      <w:pPr>
        <w:widowControl/>
        <w:shd w:val="clear" w:color="auto" w:fill="FFFFFF"/>
        <w:spacing w:line="360" w:lineRule="auto"/>
        <w:ind w:firstLine="420" w:firstLineChars="200"/>
        <w:jc w:val="left"/>
        <w:rPr>
          <w:szCs w:val="21"/>
          <w:lang w:val="zh-CN"/>
        </w:rPr>
      </w:pPr>
      <w:r>
        <w:rPr>
          <w:rFonts w:hint="eastAsia"/>
          <w:szCs w:val="21"/>
          <w:lang w:val="zh-CN"/>
        </w:rPr>
        <w:t>采用教师课堂讲授为主，讲授</w:t>
      </w:r>
      <w:r>
        <w:rPr>
          <w:rFonts w:hAnsi="宋体"/>
          <w:szCs w:val="21"/>
          <w:lang w:val="zh-CN"/>
        </w:rPr>
        <w:t>科研选题的基本概念</w:t>
      </w:r>
      <w:r>
        <w:rPr>
          <w:rFonts w:hint="eastAsia" w:hAnsi="宋体"/>
          <w:szCs w:val="21"/>
          <w:lang w:val="zh-CN"/>
        </w:rPr>
        <w:t>和</w:t>
      </w:r>
      <w:r>
        <w:rPr>
          <w:rFonts w:hAnsi="宋体"/>
          <w:szCs w:val="21"/>
          <w:lang w:val="zh-CN"/>
        </w:rPr>
        <w:t>类型</w:t>
      </w:r>
      <w:r>
        <w:rPr>
          <w:rFonts w:hint="eastAsia" w:hAnsi="宋体"/>
          <w:szCs w:val="21"/>
          <w:lang w:val="zh-CN"/>
        </w:rPr>
        <w:t>，</w:t>
      </w:r>
      <w:r>
        <w:rPr>
          <w:rFonts w:hint="eastAsia" w:hAnsi="宋体"/>
          <w:szCs w:val="21"/>
        </w:rPr>
        <w:t>分组与学生探讨</w:t>
      </w:r>
      <w:r>
        <w:rPr>
          <w:rFonts w:hAnsi="宋体"/>
          <w:szCs w:val="21"/>
        </w:rPr>
        <w:t>科学研究选题的方法</w:t>
      </w:r>
      <w:r>
        <w:rPr>
          <w:rFonts w:hint="eastAsia"/>
          <w:szCs w:val="21"/>
          <w:lang w:val="zh-CN"/>
        </w:rPr>
        <w:t>。</w:t>
      </w:r>
    </w:p>
    <w:p>
      <w:pPr>
        <w:spacing w:before="156" w:beforeLines="50" w:line="360" w:lineRule="auto"/>
        <w:ind w:firstLine="1687" w:firstLineChars="800"/>
        <w:jc w:val="right"/>
        <w:rPr>
          <w:b/>
          <w:bCs/>
          <w:kern w:val="0"/>
          <w:szCs w:val="21"/>
        </w:rPr>
      </w:pPr>
      <w:r>
        <w:rPr>
          <w:rFonts w:hAnsi="宋体"/>
          <w:b/>
          <w:bCs/>
          <w:kern w:val="0"/>
          <w:szCs w:val="21"/>
        </w:rPr>
        <w:t>第</w:t>
      </w:r>
      <w:r>
        <w:rPr>
          <w:rFonts w:hint="eastAsia" w:hAnsi="宋体"/>
          <w:b/>
          <w:bCs/>
          <w:kern w:val="0"/>
          <w:szCs w:val="21"/>
        </w:rPr>
        <w:t>四</w:t>
      </w:r>
      <w:r>
        <w:rPr>
          <w:rFonts w:hAnsi="宋体"/>
          <w:b/>
          <w:bCs/>
          <w:kern w:val="0"/>
          <w:szCs w:val="21"/>
        </w:rPr>
        <w:t>章</w:t>
      </w:r>
      <w:r>
        <w:rPr>
          <w:b/>
          <w:bCs/>
          <w:kern w:val="0"/>
          <w:szCs w:val="21"/>
        </w:rPr>
        <w:t xml:space="preserve">  </w:t>
      </w:r>
      <w:r>
        <w:rPr>
          <w:rFonts w:hAnsi="宋体"/>
          <w:b/>
          <w:bCs/>
          <w:kern w:val="0"/>
          <w:szCs w:val="21"/>
        </w:rPr>
        <w:t>论文规范与写作技巧</w:t>
      </w:r>
      <w:r>
        <w:rPr>
          <w:b/>
          <w:bCs/>
          <w:kern w:val="0"/>
          <w:szCs w:val="21"/>
        </w:rPr>
        <w:t xml:space="preserve">    </w:t>
      </w:r>
      <w:r>
        <w:rPr>
          <w:b/>
          <w:szCs w:val="21"/>
        </w:rPr>
        <w:t xml:space="preserve">              </w:t>
      </w:r>
      <w:r>
        <w:rPr>
          <w:rFonts w:hAnsi="宋体"/>
          <w:b/>
          <w:bCs/>
          <w:kern w:val="0"/>
          <w:szCs w:val="21"/>
        </w:rPr>
        <w:t>学时数：</w:t>
      </w:r>
      <w:r>
        <w:rPr>
          <w:rFonts w:hint="eastAsia"/>
          <w:b/>
          <w:bCs/>
          <w:kern w:val="0"/>
          <w:szCs w:val="21"/>
        </w:rPr>
        <w:t>3</w:t>
      </w:r>
    </w:p>
    <w:p>
      <w:pPr>
        <w:widowControl/>
        <w:snapToGrid w:val="0"/>
        <w:spacing w:line="360" w:lineRule="auto"/>
        <w:rPr>
          <w:b/>
          <w:bCs/>
          <w:kern w:val="0"/>
          <w:szCs w:val="21"/>
        </w:rPr>
      </w:pPr>
      <w:r>
        <w:rPr>
          <w:rFonts w:hAnsi="宋体"/>
          <w:b/>
          <w:bCs/>
          <w:szCs w:val="21"/>
        </w:rPr>
        <w:t>教学目的：</w:t>
      </w:r>
      <w:r>
        <w:rPr>
          <w:rFonts w:hAnsi="宋体"/>
          <w:szCs w:val="21"/>
        </w:rPr>
        <w:t>了解</w:t>
      </w:r>
      <w:r>
        <w:rPr>
          <w:rFonts w:hAnsi="宋体"/>
          <w:szCs w:val="21"/>
          <w:lang w:val="zh-CN"/>
        </w:rPr>
        <w:t>科技论文的基本要求与撰写步骤</w:t>
      </w:r>
      <w:r>
        <w:rPr>
          <w:rFonts w:hint="eastAsia" w:hAnsi="宋体"/>
          <w:szCs w:val="21"/>
          <w:lang w:val="zh-CN"/>
        </w:rPr>
        <w:t>。</w:t>
      </w:r>
    </w:p>
    <w:p>
      <w:pPr>
        <w:widowControl/>
        <w:snapToGrid w:val="0"/>
        <w:spacing w:line="360" w:lineRule="auto"/>
        <w:rPr>
          <w:b/>
          <w:bCs/>
          <w:kern w:val="0"/>
          <w:szCs w:val="21"/>
        </w:rPr>
      </w:pPr>
      <w:r>
        <w:rPr>
          <w:rFonts w:hAnsi="宋体"/>
          <w:b/>
          <w:bCs/>
          <w:szCs w:val="21"/>
        </w:rPr>
        <w:t>教学重点和难点：</w:t>
      </w:r>
      <w:r>
        <w:rPr>
          <w:rFonts w:hAnsi="宋体"/>
          <w:szCs w:val="21"/>
        </w:rPr>
        <w:t>科研选题的一般程序与注意事项</w:t>
      </w:r>
      <w:r>
        <w:rPr>
          <w:rFonts w:hint="eastAsia" w:hAnsi="宋体"/>
          <w:szCs w:val="21"/>
        </w:rPr>
        <w:t>。</w:t>
      </w:r>
    </w:p>
    <w:p>
      <w:pPr>
        <w:spacing w:line="360" w:lineRule="auto"/>
        <w:rPr>
          <w:rFonts w:hAnsi="宋体"/>
          <w:b/>
          <w:bCs/>
          <w:szCs w:val="21"/>
        </w:rPr>
      </w:pPr>
      <w:r>
        <w:rPr>
          <w:rFonts w:hAnsi="宋体"/>
          <w:b/>
          <w:bCs/>
          <w:szCs w:val="21"/>
        </w:rPr>
        <w:t>主要教学内容及要求：</w:t>
      </w:r>
    </w:p>
    <w:p>
      <w:pPr>
        <w:spacing w:line="360" w:lineRule="auto"/>
        <w:ind w:firstLine="420" w:firstLineChars="200"/>
        <w:rPr>
          <w:rFonts w:hAnsi="宋体"/>
          <w:szCs w:val="21"/>
          <w:lang w:val="zh-CN"/>
        </w:rPr>
      </w:pPr>
      <w:r>
        <w:rPr>
          <w:rFonts w:hAnsi="宋体"/>
          <w:szCs w:val="21"/>
        </w:rPr>
        <w:t>了解</w:t>
      </w:r>
      <w:r>
        <w:rPr>
          <w:rFonts w:hint="eastAsia" w:hAnsi="宋体"/>
          <w:szCs w:val="21"/>
        </w:rPr>
        <w:t>：</w:t>
      </w:r>
      <w:r>
        <w:rPr>
          <w:rFonts w:hAnsi="宋体"/>
          <w:szCs w:val="21"/>
          <w:lang w:val="zh-CN"/>
        </w:rPr>
        <w:t>科技论文的基本要求与撰写</w:t>
      </w:r>
      <w:r>
        <w:rPr>
          <w:rFonts w:hint="eastAsia" w:hAnsi="宋体"/>
          <w:szCs w:val="21"/>
          <w:lang w:val="zh-CN"/>
        </w:rPr>
        <w:t>规范。</w:t>
      </w:r>
    </w:p>
    <w:p>
      <w:pPr>
        <w:spacing w:line="360" w:lineRule="auto"/>
        <w:ind w:firstLine="420" w:firstLineChars="200"/>
        <w:rPr>
          <w:rFonts w:hAnsi="宋体"/>
          <w:szCs w:val="21"/>
        </w:rPr>
      </w:pPr>
      <w:r>
        <w:rPr>
          <w:rFonts w:hAnsi="宋体"/>
          <w:szCs w:val="21"/>
        </w:rPr>
        <w:t>掌握</w:t>
      </w:r>
      <w:r>
        <w:rPr>
          <w:rFonts w:hint="eastAsia" w:hAnsi="宋体"/>
          <w:szCs w:val="21"/>
        </w:rPr>
        <w:t>：</w:t>
      </w:r>
      <w:r>
        <w:rPr>
          <w:rFonts w:hAnsi="宋体"/>
          <w:szCs w:val="21"/>
          <w:lang w:val="zh-CN"/>
        </w:rPr>
        <w:t>科技论文的表达方式与写作技巧</w:t>
      </w:r>
      <w:r>
        <w:rPr>
          <w:rFonts w:hint="eastAsia" w:hAnsi="宋体"/>
          <w:szCs w:val="21"/>
        </w:rPr>
        <w:t>。</w:t>
      </w:r>
    </w:p>
    <w:p>
      <w:pPr>
        <w:spacing w:line="360" w:lineRule="auto"/>
        <w:ind w:firstLine="420" w:firstLineChars="200"/>
        <w:rPr>
          <w:szCs w:val="21"/>
        </w:rPr>
      </w:pPr>
      <w:r>
        <w:rPr>
          <w:rFonts w:hAnsi="宋体"/>
          <w:szCs w:val="21"/>
        </w:rPr>
        <w:t>熟练掌握</w:t>
      </w:r>
      <w:r>
        <w:rPr>
          <w:rFonts w:hint="eastAsia" w:hAnsi="宋体"/>
          <w:szCs w:val="21"/>
        </w:rPr>
        <w:t>：</w:t>
      </w:r>
      <w:r>
        <w:rPr>
          <w:rFonts w:hAnsi="宋体"/>
          <w:szCs w:val="21"/>
          <w:lang w:val="zh-CN"/>
        </w:rPr>
        <w:t>科技论文的写作格式</w:t>
      </w:r>
      <w:r>
        <w:rPr>
          <w:rFonts w:hAnsi="宋体"/>
          <w:szCs w:val="21"/>
        </w:rPr>
        <w:t>。</w:t>
      </w:r>
    </w:p>
    <w:p>
      <w:pPr>
        <w:spacing w:line="360" w:lineRule="auto"/>
        <w:ind w:firstLine="420" w:firstLineChars="200"/>
        <w:rPr>
          <w:szCs w:val="21"/>
        </w:rPr>
      </w:pPr>
      <w:r>
        <w:rPr>
          <w:rFonts w:hint="eastAsia" w:hAnsi="宋体"/>
          <w:szCs w:val="21"/>
        </w:rPr>
        <w:t>1、</w:t>
      </w:r>
      <w:r>
        <w:rPr>
          <w:rFonts w:hAnsi="宋体"/>
          <w:szCs w:val="21"/>
        </w:rPr>
        <w:t>教学主要内容</w:t>
      </w:r>
      <w:r>
        <w:rPr>
          <w:rFonts w:hint="eastAsia" w:hAnsi="宋体"/>
          <w:szCs w:val="21"/>
        </w:rPr>
        <w:t>：</w:t>
      </w:r>
    </w:p>
    <w:p>
      <w:pPr>
        <w:spacing w:line="360" w:lineRule="auto"/>
        <w:ind w:firstLine="420" w:firstLineChars="200"/>
        <w:rPr>
          <w:szCs w:val="21"/>
        </w:rPr>
      </w:pPr>
      <w:r>
        <w:rPr>
          <w:rFonts w:hAnsi="宋体"/>
          <w:szCs w:val="21"/>
        </w:rPr>
        <w:t>（</w:t>
      </w:r>
      <w:r>
        <w:rPr>
          <w:szCs w:val="21"/>
        </w:rPr>
        <w:t>1</w:t>
      </w:r>
      <w:r>
        <w:rPr>
          <w:rFonts w:hAnsi="宋体"/>
          <w:szCs w:val="21"/>
        </w:rPr>
        <w:t>）学术论文分类；</w:t>
      </w:r>
    </w:p>
    <w:p>
      <w:pPr>
        <w:spacing w:line="360" w:lineRule="auto"/>
        <w:ind w:firstLine="420" w:firstLineChars="200"/>
        <w:rPr>
          <w:szCs w:val="21"/>
        </w:rPr>
      </w:pPr>
      <w:r>
        <w:rPr>
          <w:rFonts w:hAnsi="宋体"/>
          <w:szCs w:val="21"/>
        </w:rPr>
        <w:t>（</w:t>
      </w:r>
      <w:r>
        <w:rPr>
          <w:szCs w:val="21"/>
        </w:rPr>
        <w:t>2</w:t>
      </w:r>
      <w:r>
        <w:rPr>
          <w:rFonts w:hAnsi="宋体"/>
          <w:szCs w:val="21"/>
        </w:rPr>
        <w:t>）学术论文格式；</w:t>
      </w:r>
    </w:p>
    <w:p>
      <w:pPr>
        <w:spacing w:line="360" w:lineRule="auto"/>
        <w:ind w:firstLine="420" w:firstLineChars="200"/>
        <w:rPr>
          <w:szCs w:val="21"/>
        </w:rPr>
      </w:pPr>
      <w:r>
        <w:rPr>
          <w:rFonts w:hAnsi="宋体"/>
          <w:szCs w:val="21"/>
        </w:rPr>
        <w:t>（</w:t>
      </w:r>
      <w:r>
        <w:rPr>
          <w:szCs w:val="21"/>
        </w:rPr>
        <w:t>3</w:t>
      </w:r>
      <w:r>
        <w:rPr>
          <w:rFonts w:hAnsi="宋体"/>
          <w:szCs w:val="21"/>
        </w:rPr>
        <w:t>）学术论文写作标准；</w:t>
      </w:r>
    </w:p>
    <w:p>
      <w:pPr>
        <w:spacing w:line="360" w:lineRule="auto"/>
        <w:ind w:firstLine="420" w:firstLineChars="200"/>
        <w:rPr>
          <w:szCs w:val="21"/>
        </w:rPr>
      </w:pPr>
      <w:r>
        <w:rPr>
          <w:rFonts w:hAnsi="宋体"/>
          <w:szCs w:val="21"/>
        </w:rPr>
        <w:t>（</w:t>
      </w:r>
      <w:r>
        <w:rPr>
          <w:szCs w:val="21"/>
        </w:rPr>
        <w:t>4</w:t>
      </w:r>
      <w:r>
        <w:rPr>
          <w:rFonts w:hAnsi="宋体"/>
          <w:szCs w:val="21"/>
        </w:rPr>
        <w:t>）学术论文的编排结构；</w:t>
      </w:r>
    </w:p>
    <w:p>
      <w:pPr>
        <w:spacing w:line="360" w:lineRule="auto"/>
        <w:ind w:firstLine="420" w:firstLineChars="200"/>
        <w:rPr>
          <w:szCs w:val="21"/>
        </w:rPr>
      </w:pPr>
      <w:r>
        <w:rPr>
          <w:rFonts w:hAnsi="宋体"/>
          <w:szCs w:val="21"/>
        </w:rPr>
        <w:t>（</w:t>
      </w:r>
      <w:r>
        <w:rPr>
          <w:szCs w:val="21"/>
        </w:rPr>
        <w:t>5</w:t>
      </w:r>
      <w:r>
        <w:rPr>
          <w:rFonts w:hAnsi="宋体"/>
          <w:szCs w:val="21"/>
        </w:rPr>
        <w:t>）学术论文的题目及署名；</w:t>
      </w:r>
    </w:p>
    <w:p>
      <w:pPr>
        <w:spacing w:line="360" w:lineRule="auto"/>
        <w:ind w:firstLine="420" w:firstLineChars="200"/>
        <w:rPr>
          <w:szCs w:val="21"/>
        </w:rPr>
      </w:pPr>
      <w:r>
        <w:rPr>
          <w:rFonts w:hAnsi="宋体"/>
          <w:szCs w:val="21"/>
        </w:rPr>
        <w:t>（</w:t>
      </w:r>
      <w:r>
        <w:rPr>
          <w:szCs w:val="21"/>
        </w:rPr>
        <w:t>6</w:t>
      </w:r>
      <w:r>
        <w:rPr>
          <w:rFonts w:hAnsi="宋体"/>
          <w:szCs w:val="21"/>
        </w:rPr>
        <w:t>）学术论文的摘要、关键词及外文翻译；</w:t>
      </w:r>
    </w:p>
    <w:p>
      <w:pPr>
        <w:spacing w:line="360" w:lineRule="auto"/>
        <w:ind w:firstLine="420" w:firstLineChars="200"/>
        <w:rPr>
          <w:szCs w:val="21"/>
        </w:rPr>
      </w:pPr>
      <w:r>
        <w:rPr>
          <w:rFonts w:hAnsi="宋体"/>
          <w:szCs w:val="21"/>
        </w:rPr>
        <w:t>（</w:t>
      </w:r>
      <w:r>
        <w:rPr>
          <w:szCs w:val="21"/>
        </w:rPr>
        <w:t>7</w:t>
      </w:r>
      <w:r>
        <w:rPr>
          <w:rFonts w:hAnsi="宋体"/>
          <w:szCs w:val="21"/>
        </w:rPr>
        <w:t>）学术论文（引言、正文、结论、致谢等）；</w:t>
      </w:r>
    </w:p>
    <w:p>
      <w:pPr>
        <w:spacing w:line="360" w:lineRule="auto"/>
        <w:ind w:firstLine="420" w:firstLineChars="200"/>
        <w:rPr>
          <w:szCs w:val="21"/>
        </w:rPr>
      </w:pPr>
      <w:r>
        <w:rPr>
          <w:rFonts w:hAnsi="宋体"/>
          <w:szCs w:val="21"/>
        </w:rPr>
        <w:t>（</w:t>
      </w:r>
      <w:r>
        <w:rPr>
          <w:szCs w:val="21"/>
        </w:rPr>
        <w:t>8</w:t>
      </w:r>
      <w:r>
        <w:rPr>
          <w:rFonts w:hAnsi="宋体"/>
          <w:szCs w:val="21"/>
        </w:rPr>
        <w:t>）学术论文的参考文献及其格式；</w:t>
      </w:r>
    </w:p>
    <w:p>
      <w:pPr>
        <w:spacing w:line="360" w:lineRule="auto"/>
        <w:ind w:firstLine="420" w:firstLineChars="200"/>
        <w:rPr>
          <w:szCs w:val="21"/>
        </w:rPr>
      </w:pPr>
      <w:r>
        <w:rPr>
          <w:rFonts w:hAnsi="宋体"/>
          <w:szCs w:val="21"/>
          <w:lang w:val="zh-CN"/>
        </w:rPr>
        <w:t>（</w:t>
      </w:r>
      <w:r>
        <w:rPr>
          <w:szCs w:val="21"/>
          <w:lang w:val="zh-CN"/>
        </w:rPr>
        <w:t>9</w:t>
      </w:r>
      <w:r>
        <w:rPr>
          <w:rFonts w:hAnsi="宋体"/>
          <w:szCs w:val="21"/>
          <w:lang w:val="zh-CN"/>
        </w:rPr>
        <w:t>）科技论文的写作技巧</w:t>
      </w:r>
      <w:r>
        <w:rPr>
          <w:rFonts w:hint="eastAsia" w:hAnsi="宋体"/>
          <w:szCs w:val="21"/>
          <w:lang w:val="zh-CN"/>
        </w:rPr>
        <w:t>。</w:t>
      </w:r>
    </w:p>
    <w:p>
      <w:pPr>
        <w:spacing w:line="360" w:lineRule="auto"/>
        <w:ind w:left="540"/>
        <w:rPr>
          <w:szCs w:val="21"/>
        </w:rPr>
      </w:pPr>
      <w:r>
        <w:rPr>
          <w:rFonts w:hint="eastAsia"/>
          <w:szCs w:val="21"/>
        </w:rPr>
        <w:t>2、</w:t>
      </w:r>
      <w:r>
        <w:rPr>
          <w:rFonts w:hAnsi="宋体"/>
          <w:szCs w:val="21"/>
        </w:rPr>
        <w:t>基本概念和知识点</w:t>
      </w:r>
      <w:r>
        <w:rPr>
          <w:rFonts w:hint="eastAsia" w:hAnsi="宋体"/>
          <w:szCs w:val="21"/>
        </w:rPr>
        <w:t>：</w:t>
      </w:r>
    </w:p>
    <w:p>
      <w:pPr>
        <w:spacing w:line="360" w:lineRule="auto"/>
        <w:ind w:left="142" w:firstLine="396" w:firstLineChars="189"/>
        <w:rPr>
          <w:szCs w:val="21"/>
        </w:rPr>
      </w:pPr>
      <w:r>
        <w:rPr>
          <w:rFonts w:hAnsi="宋体"/>
          <w:szCs w:val="21"/>
        </w:rPr>
        <w:t>（</w:t>
      </w:r>
      <w:r>
        <w:rPr>
          <w:szCs w:val="21"/>
        </w:rPr>
        <w:t>1</w:t>
      </w:r>
      <w:r>
        <w:rPr>
          <w:rFonts w:hAnsi="宋体"/>
          <w:szCs w:val="21"/>
        </w:rPr>
        <w:t>）基本概念：科研论文</w:t>
      </w:r>
      <w:r>
        <w:rPr>
          <w:rFonts w:hint="eastAsia" w:hAnsi="宋体"/>
          <w:szCs w:val="21"/>
        </w:rPr>
        <w:t>、</w:t>
      </w:r>
      <w:r>
        <w:rPr>
          <w:rFonts w:hAnsi="宋体"/>
          <w:szCs w:val="21"/>
          <w:lang w:val="zh-CN"/>
        </w:rPr>
        <w:t>报道性文摘</w:t>
      </w:r>
      <w:r>
        <w:rPr>
          <w:rFonts w:hint="eastAsia" w:hAnsi="宋体"/>
          <w:szCs w:val="21"/>
          <w:lang w:val="zh-CN"/>
        </w:rPr>
        <w:t>、</w:t>
      </w:r>
      <w:r>
        <w:rPr>
          <w:rFonts w:hAnsi="宋体"/>
          <w:szCs w:val="21"/>
          <w:lang w:val="zh-CN"/>
        </w:rPr>
        <w:t>指示性文摘</w:t>
      </w:r>
      <w:r>
        <w:rPr>
          <w:rFonts w:hint="eastAsia" w:hAnsi="宋体"/>
          <w:szCs w:val="21"/>
          <w:lang w:val="zh-CN"/>
        </w:rPr>
        <w:t>、</w:t>
      </w:r>
      <w:r>
        <w:rPr>
          <w:rFonts w:hAnsi="宋体"/>
          <w:szCs w:val="21"/>
          <w:lang w:val="zh-CN"/>
        </w:rPr>
        <w:t>报道</w:t>
      </w:r>
      <w:r>
        <w:rPr>
          <w:szCs w:val="21"/>
          <w:lang w:val="zh-CN"/>
        </w:rPr>
        <w:t>-</w:t>
      </w:r>
      <w:r>
        <w:rPr>
          <w:rFonts w:hAnsi="宋体"/>
          <w:szCs w:val="21"/>
          <w:lang w:val="zh-CN"/>
        </w:rPr>
        <w:t>指示性文摘</w:t>
      </w:r>
      <w:r>
        <w:rPr>
          <w:rFonts w:hint="eastAsia" w:hAnsi="宋体"/>
          <w:szCs w:val="21"/>
          <w:lang w:val="zh-CN"/>
        </w:rPr>
        <w:t>、</w:t>
      </w:r>
      <w:r>
        <w:rPr>
          <w:rFonts w:hAnsi="宋体"/>
          <w:szCs w:val="21"/>
          <w:lang w:val="zh-CN"/>
        </w:rPr>
        <w:t>关键词</w:t>
      </w:r>
      <w:r>
        <w:rPr>
          <w:rFonts w:hint="eastAsia" w:hAnsi="宋体"/>
          <w:szCs w:val="21"/>
          <w:lang w:val="zh-CN"/>
        </w:rPr>
        <w:t>、</w:t>
      </w:r>
      <w:r>
        <w:rPr>
          <w:rFonts w:hAnsi="宋体"/>
          <w:szCs w:val="21"/>
          <w:lang w:val="zh-CN"/>
        </w:rPr>
        <w:t>主题词</w:t>
      </w:r>
      <w:r>
        <w:rPr>
          <w:rFonts w:hint="eastAsia" w:hAnsi="宋体"/>
          <w:szCs w:val="21"/>
          <w:lang w:val="zh-CN"/>
        </w:rPr>
        <w:t>、</w:t>
      </w:r>
      <w:r>
        <w:rPr>
          <w:rFonts w:hAnsi="宋体"/>
          <w:szCs w:val="21"/>
          <w:lang w:val="zh-CN"/>
        </w:rPr>
        <w:t>分类号</w:t>
      </w:r>
      <w:r>
        <w:rPr>
          <w:rFonts w:hint="eastAsia" w:hAnsi="宋体"/>
          <w:szCs w:val="21"/>
          <w:lang w:val="zh-CN"/>
        </w:rPr>
        <w:t>、</w:t>
      </w:r>
      <w:r>
        <w:rPr>
          <w:rFonts w:hAnsi="宋体"/>
          <w:szCs w:val="21"/>
          <w:lang w:val="zh-CN"/>
        </w:rPr>
        <w:t>顺序编码制</w:t>
      </w:r>
      <w:r>
        <w:rPr>
          <w:rFonts w:hint="eastAsia" w:hAnsi="宋体"/>
          <w:szCs w:val="21"/>
          <w:lang w:val="zh-CN"/>
        </w:rPr>
        <w:t>、</w:t>
      </w:r>
      <w:r>
        <w:rPr>
          <w:rFonts w:hAnsi="宋体"/>
          <w:szCs w:val="21"/>
          <w:lang w:val="zh-CN"/>
        </w:rPr>
        <w:t>著者</w:t>
      </w:r>
      <w:r>
        <w:rPr>
          <w:szCs w:val="21"/>
          <w:lang w:val="zh-CN"/>
        </w:rPr>
        <w:t>—</w:t>
      </w:r>
      <w:r>
        <w:rPr>
          <w:rFonts w:hAnsi="宋体"/>
          <w:szCs w:val="21"/>
          <w:lang w:val="zh-CN"/>
        </w:rPr>
        <w:t>出版年制。</w:t>
      </w:r>
    </w:p>
    <w:p>
      <w:pPr>
        <w:spacing w:line="360" w:lineRule="auto"/>
        <w:ind w:left="540"/>
        <w:rPr>
          <w:szCs w:val="21"/>
        </w:rPr>
      </w:pPr>
      <w:r>
        <w:rPr>
          <w:rFonts w:hAnsi="宋体"/>
          <w:szCs w:val="21"/>
        </w:rPr>
        <w:t>（</w:t>
      </w:r>
      <w:r>
        <w:rPr>
          <w:szCs w:val="21"/>
        </w:rPr>
        <w:t>2</w:t>
      </w:r>
      <w:r>
        <w:rPr>
          <w:rFonts w:hAnsi="宋体"/>
          <w:szCs w:val="21"/>
        </w:rPr>
        <w:t>）知识点：</w:t>
      </w:r>
      <w:r>
        <w:rPr>
          <w:rFonts w:hAnsi="宋体"/>
          <w:szCs w:val="21"/>
          <w:lang w:val="zh-CN"/>
        </w:rPr>
        <w:t>科技论文的表达方式与写作技巧。</w:t>
      </w:r>
    </w:p>
    <w:p>
      <w:pPr>
        <w:spacing w:line="360" w:lineRule="auto"/>
        <w:rPr>
          <w:b/>
          <w:bCs/>
          <w:szCs w:val="21"/>
        </w:rPr>
      </w:pPr>
      <w:r>
        <w:rPr>
          <w:rFonts w:hAnsi="宋体"/>
          <w:b/>
          <w:bCs/>
          <w:szCs w:val="21"/>
        </w:rPr>
        <w:t>教学</w:t>
      </w:r>
      <w:r>
        <w:rPr>
          <w:rFonts w:hint="eastAsia" w:hAnsi="宋体"/>
          <w:b/>
          <w:bCs/>
          <w:szCs w:val="21"/>
        </w:rPr>
        <w:t>组织与实施</w:t>
      </w:r>
      <w:r>
        <w:rPr>
          <w:rFonts w:hAnsi="宋体"/>
          <w:b/>
          <w:bCs/>
          <w:szCs w:val="21"/>
        </w:rPr>
        <w:t>：</w:t>
      </w:r>
    </w:p>
    <w:p>
      <w:pPr>
        <w:widowControl/>
        <w:shd w:val="clear" w:color="auto" w:fill="FFFFFF"/>
        <w:spacing w:line="360" w:lineRule="auto"/>
        <w:ind w:firstLine="420" w:firstLineChars="200"/>
        <w:jc w:val="left"/>
        <w:rPr>
          <w:szCs w:val="21"/>
          <w:lang w:val="zh-CN"/>
        </w:rPr>
      </w:pPr>
      <w:r>
        <w:rPr>
          <w:rFonts w:hint="eastAsia"/>
          <w:szCs w:val="21"/>
          <w:lang w:val="zh-CN"/>
        </w:rPr>
        <w:t>采用教师课堂讲授为主，讲授科技论文的撰写规范，以及相关的写作技巧，并就科技论文的分类、写作标准等进行详细讲述。课堂布置2-3个课堂讨论，增加学生对论文写作规范和写作技巧的认知。</w:t>
      </w:r>
    </w:p>
    <w:p>
      <w:pPr>
        <w:spacing w:before="156" w:beforeLines="50" w:line="360" w:lineRule="auto"/>
        <w:jc w:val="right"/>
        <w:rPr>
          <w:b/>
          <w:bCs/>
          <w:kern w:val="0"/>
          <w:szCs w:val="21"/>
        </w:rPr>
      </w:pPr>
      <w:r>
        <w:rPr>
          <w:rFonts w:hAnsi="宋体"/>
          <w:b/>
          <w:bCs/>
          <w:kern w:val="0"/>
          <w:szCs w:val="21"/>
        </w:rPr>
        <w:t>第</w:t>
      </w:r>
      <w:r>
        <w:rPr>
          <w:rFonts w:hint="eastAsia" w:hAnsi="宋体"/>
          <w:b/>
          <w:bCs/>
          <w:kern w:val="0"/>
          <w:szCs w:val="21"/>
        </w:rPr>
        <w:t>五</w:t>
      </w:r>
      <w:r>
        <w:rPr>
          <w:rFonts w:hAnsi="宋体"/>
          <w:b/>
          <w:bCs/>
          <w:kern w:val="0"/>
          <w:szCs w:val="21"/>
        </w:rPr>
        <w:t>章</w:t>
      </w:r>
      <w:r>
        <w:rPr>
          <w:b/>
          <w:bCs/>
          <w:kern w:val="0"/>
          <w:szCs w:val="21"/>
        </w:rPr>
        <w:t xml:space="preserve">  </w:t>
      </w:r>
      <w:r>
        <w:rPr>
          <w:rFonts w:hAnsi="宋体"/>
          <w:b/>
          <w:bCs/>
          <w:kern w:val="0"/>
          <w:szCs w:val="21"/>
        </w:rPr>
        <w:t>学位论文与写作要领</w:t>
      </w:r>
      <w:r>
        <w:rPr>
          <w:b/>
          <w:bCs/>
          <w:kern w:val="0"/>
          <w:szCs w:val="21"/>
        </w:rPr>
        <w:t xml:space="preserve">          </w:t>
      </w:r>
      <w:r>
        <w:rPr>
          <w:b/>
          <w:szCs w:val="21"/>
        </w:rPr>
        <w:t xml:space="preserve">       </w:t>
      </w:r>
      <w:r>
        <w:rPr>
          <w:rFonts w:hAnsi="宋体"/>
          <w:b/>
          <w:bCs/>
          <w:kern w:val="0"/>
          <w:szCs w:val="21"/>
        </w:rPr>
        <w:t>学时数：</w:t>
      </w:r>
      <w:r>
        <w:rPr>
          <w:rFonts w:hint="eastAsia"/>
          <w:b/>
          <w:bCs/>
          <w:kern w:val="0"/>
          <w:szCs w:val="21"/>
        </w:rPr>
        <w:t>3</w:t>
      </w:r>
    </w:p>
    <w:p>
      <w:pPr>
        <w:widowControl/>
        <w:snapToGrid w:val="0"/>
        <w:spacing w:line="360" w:lineRule="auto"/>
        <w:rPr>
          <w:b/>
          <w:bCs/>
          <w:kern w:val="0"/>
          <w:szCs w:val="21"/>
        </w:rPr>
      </w:pPr>
      <w:r>
        <w:rPr>
          <w:rFonts w:hAnsi="宋体"/>
          <w:b/>
          <w:bCs/>
          <w:szCs w:val="21"/>
        </w:rPr>
        <w:t>教学目的：</w:t>
      </w:r>
      <w:r>
        <w:rPr>
          <w:rFonts w:hAnsi="宋体"/>
          <w:szCs w:val="21"/>
        </w:rPr>
        <w:t>了解</w:t>
      </w:r>
      <w:r>
        <w:rPr>
          <w:rFonts w:hAnsi="宋体"/>
          <w:szCs w:val="21"/>
          <w:lang w:val="zh-CN"/>
        </w:rPr>
        <w:t>学位论文的基本概念与意义</w:t>
      </w:r>
      <w:r>
        <w:rPr>
          <w:rFonts w:hint="eastAsia" w:hAnsi="宋体"/>
          <w:szCs w:val="21"/>
          <w:lang w:val="zh-CN"/>
        </w:rPr>
        <w:t>。</w:t>
      </w:r>
    </w:p>
    <w:p>
      <w:pPr>
        <w:widowControl/>
        <w:snapToGrid w:val="0"/>
        <w:spacing w:line="360" w:lineRule="auto"/>
        <w:rPr>
          <w:b/>
          <w:bCs/>
          <w:kern w:val="0"/>
          <w:szCs w:val="21"/>
        </w:rPr>
      </w:pPr>
      <w:r>
        <w:rPr>
          <w:rFonts w:hAnsi="宋体"/>
          <w:b/>
          <w:bCs/>
          <w:szCs w:val="21"/>
        </w:rPr>
        <w:t>教学重点和难点：</w:t>
      </w:r>
      <w:r>
        <w:rPr>
          <w:rFonts w:hAnsi="宋体"/>
          <w:szCs w:val="21"/>
        </w:rPr>
        <w:t>学位论文的规格；</w:t>
      </w:r>
      <w:r>
        <w:rPr>
          <w:rFonts w:hAnsi="宋体"/>
          <w:szCs w:val="21"/>
          <w:lang w:val="zh-CN"/>
        </w:rPr>
        <w:t>学位论文的选题；</w:t>
      </w:r>
      <w:r>
        <w:rPr>
          <w:rFonts w:hAnsi="宋体"/>
          <w:szCs w:val="21"/>
        </w:rPr>
        <w:t>开题报告的写作及规范要求</w:t>
      </w:r>
      <w:r>
        <w:rPr>
          <w:rFonts w:hint="eastAsia" w:hAnsi="宋体"/>
          <w:szCs w:val="21"/>
        </w:rPr>
        <w:t>。</w:t>
      </w:r>
    </w:p>
    <w:p>
      <w:pPr>
        <w:spacing w:line="360" w:lineRule="auto"/>
        <w:rPr>
          <w:szCs w:val="21"/>
        </w:rPr>
      </w:pPr>
      <w:r>
        <w:rPr>
          <w:rFonts w:hAnsi="宋体"/>
          <w:b/>
          <w:bCs/>
          <w:szCs w:val="21"/>
        </w:rPr>
        <w:t>主要教学内容及要求：</w:t>
      </w:r>
      <w:r>
        <w:rPr>
          <w:szCs w:val="21"/>
        </w:rPr>
        <w:t xml:space="preserve"> </w:t>
      </w:r>
    </w:p>
    <w:p>
      <w:pPr>
        <w:spacing w:line="360" w:lineRule="auto"/>
        <w:ind w:firstLine="525" w:firstLineChars="250"/>
        <w:rPr>
          <w:szCs w:val="21"/>
        </w:rPr>
      </w:pPr>
      <w:r>
        <w:rPr>
          <w:rFonts w:hAnsi="宋体"/>
          <w:szCs w:val="21"/>
        </w:rPr>
        <w:t>了解</w:t>
      </w:r>
      <w:r>
        <w:rPr>
          <w:rFonts w:hint="eastAsia" w:hAnsi="宋体"/>
          <w:szCs w:val="21"/>
        </w:rPr>
        <w:t>：</w:t>
      </w:r>
      <w:r>
        <w:rPr>
          <w:rFonts w:hAnsi="宋体"/>
          <w:szCs w:val="21"/>
        </w:rPr>
        <w:t>学位论文的概念、特点、作用与要求</w:t>
      </w:r>
      <w:r>
        <w:rPr>
          <w:rFonts w:hint="eastAsia" w:hAnsi="宋体"/>
          <w:szCs w:val="21"/>
        </w:rPr>
        <w:t>。</w:t>
      </w:r>
    </w:p>
    <w:p>
      <w:pPr>
        <w:spacing w:line="360" w:lineRule="auto"/>
        <w:ind w:firstLine="525" w:firstLineChars="250"/>
        <w:rPr>
          <w:szCs w:val="21"/>
        </w:rPr>
      </w:pPr>
      <w:r>
        <w:rPr>
          <w:rFonts w:hAnsi="宋体"/>
          <w:szCs w:val="21"/>
        </w:rPr>
        <w:t>掌握</w:t>
      </w:r>
      <w:r>
        <w:rPr>
          <w:rFonts w:hint="eastAsia" w:hAnsi="宋体"/>
          <w:szCs w:val="21"/>
        </w:rPr>
        <w:t>：</w:t>
      </w:r>
      <w:r>
        <w:rPr>
          <w:rFonts w:hAnsi="宋体"/>
          <w:szCs w:val="21"/>
        </w:rPr>
        <w:t>学位论文的选题原则，试验结果的正确处理与整理</w:t>
      </w:r>
      <w:r>
        <w:rPr>
          <w:rFonts w:hint="eastAsia" w:hAnsi="宋体"/>
          <w:szCs w:val="21"/>
        </w:rPr>
        <w:t>。</w:t>
      </w:r>
    </w:p>
    <w:p>
      <w:pPr>
        <w:spacing w:line="360" w:lineRule="auto"/>
        <w:ind w:firstLine="525" w:firstLineChars="250"/>
        <w:rPr>
          <w:szCs w:val="21"/>
        </w:rPr>
      </w:pPr>
      <w:r>
        <w:rPr>
          <w:rFonts w:hAnsi="宋体"/>
          <w:szCs w:val="21"/>
        </w:rPr>
        <w:t>熟练掌握</w:t>
      </w:r>
      <w:r>
        <w:rPr>
          <w:rFonts w:hint="eastAsia" w:hAnsi="宋体"/>
          <w:szCs w:val="21"/>
        </w:rPr>
        <w:t>：</w:t>
      </w:r>
      <w:r>
        <w:rPr>
          <w:rFonts w:hAnsi="宋体"/>
          <w:szCs w:val="21"/>
          <w:lang w:val="zh-CN"/>
        </w:rPr>
        <w:t>学位论文的撰写与答辩</w:t>
      </w:r>
      <w:r>
        <w:rPr>
          <w:rFonts w:hAnsi="宋体"/>
          <w:szCs w:val="21"/>
        </w:rPr>
        <w:t>。</w:t>
      </w:r>
    </w:p>
    <w:p>
      <w:pPr>
        <w:spacing w:line="360" w:lineRule="auto"/>
        <w:ind w:left="540"/>
        <w:rPr>
          <w:szCs w:val="21"/>
        </w:rPr>
      </w:pPr>
      <w:r>
        <w:rPr>
          <w:rFonts w:hAnsi="宋体"/>
          <w:szCs w:val="21"/>
        </w:rPr>
        <w:t>基本概念和知识点</w:t>
      </w:r>
      <w:r>
        <w:rPr>
          <w:rFonts w:hint="eastAsia" w:hAnsi="宋体"/>
          <w:szCs w:val="21"/>
        </w:rPr>
        <w:t>：</w:t>
      </w:r>
    </w:p>
    <w:p>
      <w:pPr>
        <w:spacing w:line="360" w:lineRule="auto"/>
        <w:ind w:left="540"/>
        <w:rPr>
          <w:szCs w:val="21"/>
        </w:rPr>
      </w:pPr>
      <w:r>
        <w:rPr>
          <w:rFonts w:hAnsi="宋体"/>
          <w:szCs w:val="21"/>
        </w:rPr>
        <w:t>（</w:t>
      </w:r>
      <w:r>
        <w:rPr>
          <w:szCs w:val="21"/>
        </w:rPr>
        <w:t>1</w:t>
      </w:r>
      <w:r>
        <w:rPr>
          <w:rFonts w:hAnsi="宋体"/>
          <w:szCs w:val="21"/>
        </w:rPr>
        <w:t>）基本概念：毕业论文</w:t>
      </w:r>
      <w:r>
        <w:rPr>
          <w:rFonts w:hint="eastAsia" w:hAnsi="宋体"/>
          <w:szCs w:val="21"/>
        </w:rPr>
        <w:t>、</w:t>
      </w:r>
      <w:r>
        <w:rPr>
          <w:rFonts w:hAnsi="宋体"/>
          <w:szCs w:val="21"/>
        </w:rPr>
        <w:t>学位论文</w:t>
      </w:r>
      <w:r>
        <w:rPr>
          <w:rFonts w:hint="eastAsia" w:hAnsi="宋体"/>
          <w:szCs w:val="21"/>
        </w:rPr>
        <w:t>、</w:t>
      </w:r>
      <w:r>
        <w:rPr>
          <w:rFonts w:hAnsi="宋体"/>
          <w:szCs w:val="21"/>
        </w:rPr>
        <w:t>毕业设计</w:t>
      </w:r>
      <w:r>
        <w:rPr>
          <w:rFonts w:hint="eastAsia" w:hAnsi="宋体"/>
          <w:szCs w:val="21"/>
        </w:rPr>
        <w:t>、</w:t>
      </w:r>
      <w:r>
        <w:rPr>
          <w:rFonts w:hAnsi="宋体"/>
          <w:szCs w:val="21"/>
          <w:lang w:val="zh-CN"/>
        </w:rPr>
        <w:t>变异本式摘要</w:t>
      </w:r>
      <w:r>
        <w:rPr>
          <w:rFonts w:hint="eastAsia" w:hAnsi="宋体"/>
          <w:szCs w:val="21"/>
          <w:lang w:val="zh-CN"/>
        </w:rPr>
        <w:t>、</w:t>
      </w:r>
      <w:r>
        <w:rPr>
          <w:rFonts w:hAnsi="宋体"/>
          <w:szCs w:val="21"/>
          <w:lang w:val="zh-CN"/>
        </w:rPr>
        <w:t>附录</w:t>
      </w:r>
      <w:r>
        <w:rPr>
          <w:rFonts w:hint="eastAsia" w:hAnsi="宋体"/>
          <w:szCs w:val="21"/>
          <w:lang w:val="zh-CN"/>
        </w:rPr>
        <w:t>、</w:t>
      </w:r>
      <w:r>
        <w:rPr>
          <w:rFonts w:hAnsi="宋体"/>
          <w:szCs w:val="21"/>
        </w:rPr>
        <w:t>注释表。</w:t>
      </w:r>
    </w:p>
    <w:p>
      <w:pPr>
        <w:spacing w:line="360" w:lineRule="auto"/>
        <w:ind w:left="540"/>
        <w:rPr>
          <w:rFonts w:hAnsi="宋体"/>
          <w:szCs w:val="21"/>
          <w:lang w:val="zh-CN"/>
        </w:rPr>
      </w:pPr>
      <w:r>
        <w:rPr>
          <w:rFonts w:hAnsi="宋体"/>
          <w:szCs w:val="21"/>
        </w:rPr>
        <w:t>（</w:t>
      </w:r>
      <w:r>
        <w:rPr>
          <w:szCs w:val="21"/>
        </w:rPr>
        <w:t>2</w:t>
      </w:r>
      <w:r>
        <w:rPr>
          <w:rFonts w:hAnsi="宋体"/>
          <w:szCs w:val="21"/>
        </w:rPr>
        <w:t>）知识点：</w:t>
      </w:r>
      <w:r>
        <w:rPr>
          <w:rFonts w:hAnsi="宋体"/>
          <w:szCs w:val="21"/>
          <w:lang w:val="zh-CN"/>
        </w:rPr>
        <w:t>学位论文的特点与撰写。</w:t>
      </w:r>
    </w:p>
    <w:p>
      <w:pPr>
        <w:spacing w:line="360" w:lineRule="auto"/>
        <w:rPr>
          <w:b/>
          <w:bCs/>
          <w:szCs w:val="21"/>
        </w:rPr>
      </w:pPr>
      <w:r>
        <w:rPr>
          <w:rFonts w:hAnsi="宋体"/>
          <w:b/>
          <w:bCs/>
          <w:szCs w:val="21"/>
        </w:rPr>
        <w:t>教学</w:t>
      </w:r>
      <w:r>
        <w:rPr>
          <w:rFonts w:hint="eastAsia" w:hAnsi="宋体"/>
          <w:b/>
          <w:bCs/>
          <w:szCs w:val="21"/>
        </w:rPr>
        <w:t>组织与实施</w:t>
      </w:r>
      <w:r>
        <w:rPr>
          <w:rFonts w:hAnsi="宋体"/>
          <w:b/>
          <w:bCs/>
          <w:szCs w:val="21"/>
        </w:rPr>
        <w:t>：</w:t>
      </w:r>
    </w:p>
    <w:p>
      <w:pPr>
        <w:widowControl/>
        <w:shd w:val="clear" w:color="auto" w:fill="FFFFFF"/>
        <w:spacing w:line="360" w:lineRule="auto"/>
        <w:ind w:firstLine="420" w:firstLineChars="200"/>
        <w:jc w:val="left"/>
        <w:rPr>
          <w:szCs w:val="21"/>
          <w:lang w:val="zh-CN"/>
        </w:rPr>
      </w:pPr>
      <w:r>
        <w:rPr>
          <w:rFonts w:hint="eastAsia"/>
          <w:szCs w:val="21"/>
          <w:lang w:val="zh-CN"/>
        </w:rPr>
        <w:t>采用教师课堂讲授为主，讲授学位论文的选题、开题报道的撰写和写作规范，并以“河南农业大学学位论文撰写规范”为例与学生共同探讨学位论文的撰写要领。</w:t>
      </w:r>
    </w:p>
    <w:p>
      <w:pPr>
        <w:spacing w:before="156" w:beforeLines="50" w:line="360" w:lineRule="auto"/>
        <w:jc w:val="right"/>
        <w:rPr>
          <w:b/>
          <w:bCs/>
          <w:kern w:val="0"/>
          <w:szCs w:val="21"/>
        </w:rPr>
      </w:pPr>
      <w:r>
        <w:rPr>
          <w:rFonts w:hAnsi="宋体"/>
          <w:b/>
          <w:bCs/>
          <w:kern w:val="0"/>
          <w:szCs w:val="21"/>
        </w:rPr>
        <w:t>第</w:t>
      </w:r>
      <w:r>
        <w:rPr>
          <w:rFonts w:hint="eastAsia" w:hAnsi="宋体"/>
          <w:b/>
          <w:bCs/>
          <w:kern w:val="0"/>
          <w:szCs w:val="21"/>
        </w:rPr>
        <w:t>六</w:t>
      </w:r>
      <w:r>
        <w:rPr>
          <w:rFonts w:hAnsi="宋体"/>
          <w:b/>
          <w:bCs/>
          <w:kern w:val="0"/>
          <w:szCs w:val="21"/>
        </w:rPr>
        <w:t>章</w:t>
      </w:r>
      <w:r>
        <w:rPr>
          <w:b/>
          <w:bCs/>
          <w:kern w:val="0"/>
          <w:szCs w:val="21"/>
        </w:rPr>
        <w:t xml:space="preserve">  </w:t>
      </w:r>
      <w:r>
        <w:rPr>
          <w:rFonts w:hAnsi="宋体"/>
          <w:b/>
          <w:bCs/>
          <w:kern w:val="0"/>
          <w:szCs w:val="21"/>
        </w:rPr>
        <w:t>投稿与论文发表</w:t>
      </w:r>
      <w:r>
        <w:rPr>
          <w:b/>
          <w:bCs/>
          <w:kern w:val="0"/>
          <w:szCs w:val="21"/>
        </w:rPr>
        <w:t xml:space="preserve">        </w:t>
      </w:r>
      <w:r>
        <w:rPr>
          <w:b/>
          <w:szCs w:val="21"/>
        </w:rPr>
        <w:t xml:space="preserve">  </w:t>
      </w:r>
      <w:r>
        <w:rPr>
          <w:rFonts w:hint="eastAsia"/>
          <w:b/>
          <w:szCs w:val="21"/>
        </w:rPr>
        <w:t xml:space="preserve"> </w:t>
      </w:r>
      <w:r>
        <w:rPr>
          <w:b/>
          <w:szCs w:val="21"/>
        </w:rPr>
        <w:t xml:space="preserve">        </w:t>
      </w:r>
      <w:r>
        <w:rPr>
          <w:rFonts w:hAnsi="宋体"/>
          <w:b/>
          <w:bCs/>
          <w:kern w:val="0"/>
          <w:szCs w:val="21"/>
        </w:rPr>
        <w:t>学时数：</w:t>
      </w:r>
      <w:r>
        <w:rPr>
          <w:b/>
          <w:bCs/>
          <w:kern w:val="0"/>
          <w:szCs w:val="21"/>
        </w:rPr>
        <w:t>2</w:t>
      </w:r>
    </w:p>
    <w:p>
      <w:pPr>
        <w:widowControl/>
        <w:snapToGrid w:val="0"/>
        <w:spacing w:line="360" w:lineRule="auto"/>
        <w:rPr>
          <w:b/>
          <w:bCs/>
          <w:kern w:val="0"/>
          <w:szCs w:val="21"/>
        </w:rPr>
      </w:pPr>
      <w:r>
        <w:rPr>
          <w:rFonts w:hAnsi="宋体"/>
          <w:b/>
          <w:bCs/>
          <w:szCs w:val="21"/>
        </w:rPr>
        <w:t>教学目的：</w:t>
      </w:r>
      <w:r>
        <w:rPr>
          <w:rFonts w:hAnsi="宋体"/>
          <w:szCs w:val="21"/>
        </w:rPr>
        <w:t>了解学术刊物的一般特点与分类</w:t>
      </w:r>
      <w:r>
        <w:rPr>
          <w:rFonts w:hint="eastAsia" w:hAnsi="宋体"/>
          <w:szCs w:val="21"/>
        </w:rPr>
        <w:t>。</w:t>
      </w:r>
    </w:p>
    <w:p>
      <w:pPr>
        <w:widowControl/>
        <w:snapToGrid w:val="0"/>
        <w:spacing w:line="360" w:lineRule="auto"/>
        <w:rPr>
          <w:b/>
          <w:bCs/>
          <w:kern w:val="0"/>
          <w:szCs w:val="21"/>
        </w:rPr>
      </w:pPr>
      <w:r>
        <w:rPr>
          <w:rFonts w:hAnsi="宋体"/>
          <w:b/>
          <w:bCs/>
          <w:szCs w:val="21"/>
        </w:rPr>
        <w:t>教学重点和难点：</w:t>
      </w:r>
      <w:r>
        <w:rPr>
          <w:rFonts w:hAnsi="宋体"/>
          <w:szCs w:val="21"/>
        </w:rPr>
        <w:t>国内外科技刊物的特点与投稿注意事项</w:t>
      </w:r>
      <w:r>
        <w:rPr>
          <w:rFonts w:hint="eastAsia" w:hAnsi="宋体"/>
          <w:szCs w:val="21"/>
        </w:rPr>
        <w:t>。</w:t>
      </w:r>
    </w:p>
    <w:p>
      <w:pPr>
        <w:spacing w:line="360" w:lineRule="auto"/>
        <w:rPr>
          <w:b/>
          <w:bCs/>
          <w:szCs w:val="21"/>
        </w:rPr>
      </w:pPr>
      <w:r>
        <w:rPr>
          <w:rFonts w:hAnsi="宋体"/>
          <w:b/>
          <w:bCs/>
          <w:szCs w:val="21"/>
        </w:rPr>
        <w:t>主要教学内容及要求：</w:t>
      </w:r>
    </w:p>
    <w:p>
      <w:pPr>
        <w:spacing w:line="360" w:lineRule="auto"/>
        <w:ind w:firstLine="420" w:firstLineChars="200"/>
        <w:rPr>
          <w:szCs w:val="21"/>
        </w:rPr>
      </w:pPr>
      <w:r>
        <w:rPr>
          <w:rFonts w:hAnsi="宋体"/>
          <w:szCs w:val="21"/>
        </w:rPr>
        <w:t>了解</w:t>
      </w:r>
      <w:r>
        <w:rPr>
          <w:rFonts w:hint="eastAsia" w:hAnsi="宋体"/>
          <w:szCs w:val="21"/>
        </w:rPr>
        <w:t>：</w:t>
      </w:r>
      <w:r>
        <w:rPr>
          <w:rFonts w:hAnsi="宋体"/>
          <w:szCs w:val="21"/>
          <w:lang w:val="zh-CN"/>
        </w:rPr>
        <w:t>适合本专业投稿的国外刊物信息</w:t>
      </w:r>
      <w:r>
        <w:rPr>
          <w:rFonts w:hint="eastAsia" w:hAnsi="宋体"/>
          <w:szCs w:val="21"/>
        </w:rPr>
        <w:t>。</w:t>
      </w:r>
    </w:p>
    <w:p>
      <w:pPr>
        <w:spacing w:line="360" w:lineRule="auto"/>
        <w:ind w:firstLine="420" w:firstLineChars="200"/>
        <w:rPr>
          <w:szCs w:val="21"/>
          <w:lang w:val="zh-CN"/>
        </w:rPr>
      </w:pPr>
      <w:r>
        <w:rPr>
          <w:rFonts w:hAnsi="宋体"/>
          <w:szCs w:val="21"/>
        </w:rPr>
        <w:t>掌握</w:t>
      </w:r>
      <w:r>
        <w:rPr>
          <w:rFonts w:hint="eastAsia" w:hAnsi="宋体"/>
          <w:szCs w:val="21"/>
        </w:rPr>
        <w:t>：</w:t>
      </w:r>
      <w:r>
        <w:rPr>
          <w:rFonts w:hAnsi="宋体"/>
          <w:szCs w:val="21"/>
        </w:rPr>
        <w:t>期刊级别及投稿的方式和技巧；中、外文献期刊投稿模板；</w:t>
      </w:r>
      <w:r>
        <w:rPr>
          <w:rFonts w:hAnsi="宋体"/>
          <w:szCs w:val="21"/>
          <w:lang w:val="zh-CN"/>
        </w:rPr>
        <w:t>科技论文的投稿与校对</w:t>
      </w:r>
      <w:r>
        <w:rPr>
          <w:rFonts w:hint="eastAsia" w:hAnsi="宋体"/>
          <w:szCs w:val="21"/>
          <w:lang w:val="zh-CN"/>
        </w:rPr>
        <w:t>。</w:t>
      </w:r>
    </w:p>
    <w:p>
      <w:pPr>
        <w:spacing w:line="360" w:lineRule="auto"/>
        <w:ind w:firstLine="420" w:firstLineChars="200"/>
        <w:rPr>
          <w:szCs w:val="21"/>
        </w:rPr>
      </w:pPr>
      <w:r>
        <w:rPr>
          <w:rFonts w:hAnsi="宋体"/>
          <w:szCs w:val="21"/>
        </w:rPr>
        <w:t>熟练掌握</w:t>
      </w:r>
      <w:r>
        <w:rPr>
          <w:rFonts w:hint="eastAsia" w:hAnsi="宋体"/>
          <w:szCs w:val="21"/>
        </w:rPr>
        <w:t>：</w:t>
      </w:r>
      <w:r>
        <w:rPr>
          <w:rFonts w:hAnsi="宋体"/>
          <w:szCs w:val="21"/>
          <w:lang w:val="zh-CN"/>
        </w:rPr>
        <w:t>科技论文的投稿与校对</w:t>
      </w:r>
      <w:r>
        <w:rPr>
          <w:rFonts w:hAnsi="宋体"/>
          <w:szCs w:val="21"/>
        </w:rPr>
        <w:t>，学术论文的评审；电子信息类核心期刊及投稿技巧。</w:t>
      </w:r>
    </w:p>
    <w:p>
      <w:pPr>
        <w:spacing w:line="360" w:lineRule="auto"/>
        <w:ind w:firstLine="420"/>
        <w:rPr>
          <w:szCs w:val="21"/>
        </w:rPr>
      </w:pPr>
      <w:r>
        <w:rPr>
          <w:rFonts w:hAnsi="宋体"/>
          <w:szCs w:val="21"/>
        </w:rPr>
        <w:t>基本概念和知识点</w:t>
      </w:r>
      <w:r>
        <w:rPr>
          <w:rFonts w:hint="eastAsia" w:hAnsi="宋体"/>
          <w:szCs w:val="21"/>
        </w:rPr>
        <w:t>：</w:t>
      </w:r>
    </w:p>
    <w:p>
      <w:pPr>
        <w:spacing w:line="360" w:lineRule="auto"/>
        <w:ind w:firstLine="420"/>
        <w:rPr>
          <w:szCs w:val="21"/>
        </w:rPr>
      </w:pPr>
      <w:r>
        <w:rPr>
          <w:rFonts w:hAnsi="宋体"/>
          <w:szCs w:val="21"/>
        </w:rPr>
        <w:t>（</w:t>
      </w:r>
      <w:r>
        <w:rPr>
          <w:szCs w:val="21"/>
        </w:rPr>
        <w:t>1</w:t>
      </w:r>
      <w:r>
        <w:rPr>
          <w:rFonts w:hAnsi="宋体"/>
          <w:szCs w:val="21"/>
        </w:rPr>
        <w:t>）基本概念：投稿</w:t>
      </w:r>
      <w:r>
        <w:rPr>
          <w:rFonts w:hint="eastAsia" w:hAnsi="宋体"/>
          <w:szCs w:val="21"/>
        </w:rPr>
        <w:t>、</w:t>
      </w:r>
      <w:r>
        <w:rPr>
          <w:rFonts w:hAnsi="宋体"/>
          <w:szCs w:val="21"/>
        </w:rPr>
        <w:t>录用</w:t>
      </w:r>
      <w:r>
        <w:rPr>
          <w:rFonts w:hint="eastAsia" w:hAnsi="宋体"/>
          <w:szCs w:val="21"/>
        </w:rPr>
        <w:t>、</w:t>
      </w:r>
      <w:r>
        <w:rPr>
          <w:rFonts w:hAnsi="宋体"/>
          <w:szCs w:val="21"/>
        </w:rPr>
        <w:t>发表</w:t>
      </w:r>
      <w:r>
        <w:rPr>
          <w:rFonts w:hint="eastAsia" w:hAnsi="宋体"/>
          <w:szCs w:val="21"/>
        </w:rPr>
        <w:t>、</w:t>
      </w:r>
      <w:r>
        <w:rPr>
          <w:rFonts w:hAnsi="宋体"/>
          <w:szCs w:val="21"/>
        </w:rPr>
        <w:t>退修</w:t>
      </w:r>
      <w:r>
        <w:rPr>
          <w:rFonts w:hint="eastAsia" w:hAnsi="宋体"/>
          <w:szCs w:val="21"/>
        </w:rPr>
        <w:t>、</w:t>
      </w:r>
      <w:r>
        <w:rPr>
          <w:rFonts w:hAnsi="宋体"/>
          <w:szCs w:val="21"/>
        </w:rPr>
        <w:t>退稿</w:t>
      </w:r>
      <w:r>
        <w:rPr>
          <w:rFonts w:hint="eastAsia" w:hAnsi="宋体"/>
          <w:szCs w:val="21"/>
        </w:rPr>
        <w:t>、</w:t>
      </w:r>
      <w:r>
        <w:rPr>
          <w:rFonts w:hAnsi="宋体"/>
          <w:szCs w:val="21"/>
        </w:rPr>
        <w:t>校对。</w:t>
      </w:r>
    </w:p>
    <w:p>
      <w:pPr>
        <w:spacing w:line="360" w:lineRule="auto"/>
        <w:ind w:firstLine="420" w:firstLineChars="200"/>
        <w:rPr>
          <w:rFonts w:hAnsi="宋体"/>
          <w:szCs w:val="21"/>
        </w:rPr>
      </w:pPr>
      <w:r>
        <w:rPr>
          <w:rFonts w:hAnsi="宋体"/>
          <w:szCs w:val="21"/>
        </w:rPr>
        <w:t>（</w:t>
      </w:r>
      <w:r>
        <w:rPr>
          <w:szCs w:val="21"/>
        </w:rPr>
        <w:t>2</w:t>
      </w:r>
      <w:r>
        <w:rPr>
          <w:rFonts w:hAnsi="宋体"/>
          <w:szCs w:val="21"/>
        </w:rPr>
        <w:t>）知识点：投稿刊物的选择与论文修稿。</w:t>
      </w:r>
    </w:p>
    <w:p>
      <w:pPr>
        <w:spacing w:line="360" w:lineRule="auto"/>
        <w:rPr>
          <w:b/>
          <w:bCs/>
          <w:szCs w:val="21"/>
        </w:rPr>
      </w:pPr>
      <w:r>
        <w:rPr>
          <w:rFonts w:hAnsi="宋体"/>
          <w:b/>
          <w:bCs/>
          <w:szCs w:val="21"/>
        </w:rPr>
        <w:t>教学</w:t>
      </w:r>
      <w:r>
        <w:rPr>
          <w:rFonts w:hint="eastAsia" w:hAnsi="宋体"/>
          <w:b/>
          <w:bCs/>
          <w:szCs w:val="21"/>
        </w:rPr>
        <w:t>组织与实施</w:t>
      </w:r>
      <w:r>
        <w:rPr>
          <w:rFonts w:hAnsi="宋体"/>
          <w:b/>
          <w:bCs/>
          <w:szCs w:val="21"/>
        </w:rPr>
        <w:t>：</w:t>
      </w:r>
    </w:p>
    <w:p>
      <w:pPr>
        <w:widowControl/>
        <w:shd w:val="clear" w:color="auto" w:fill="FFFFFF"/>
        <w:spacing w:line="360" w:lineRule="auto"/>
        <w:ind w:firstLine="420" w:firstLineChars="200"/>
        <w:jc w:val="left"/>
        <w:rPr>
          <w:szCs w:val="21"/>
        </w:rPr>
      </w:pPr>
      <w:r>
        <w:rPr>
          <w:rFonts w:hint="eastAsia"/>
          <w:szCs w:val="21"/>
          <w:lang w:val="zh-CN"/>
        </w:rPr>
        <w:t>采用教师课堂讲授为主，讲授</w:t>
      </w:r>
      <w:r>
        <w:rPr>
          <w:rFonts w:hAnsi="宋体"/>
          <w:szCs w:val="21"/>
        </w:rPr>
        <w:t>学术刊物的一般特点与分类</w:t>
      </w:r>
      <w:r>
        <w:rPr>
          <w:rFonts w:hint="eastAsia" w:hAnsi="宋体"/>
          <w:szCs w:val="21"/>
        </w:rPr>
        <w:t>，重点讲述科技期刊的</w:t>
      </w:r>
      <w:r>
        <w:rPr>
          <w:rFonts w:hAnsi="宋体"/>
          <w:szCs w:val="21"/>
        </w:rPr>
        <w:t>投稿注意事项</w:t>
      </w:r>
      <w:r>
        <w:rPr>
          <w:rFonts w:hint="eastAsia"/>
          <w:szCs w:val="21"/>
          <w:lang w:val="zh-CN"/>
        </w:rPr>
        <w:t>，并与学生就期刊的</w:t>
      </w:r>
      <w:r>
        <w:rPr>
          <w:rFonts w:hAnsi="宋体"/>
          <w:szCs w:val="21"/>
        </w:rPr>
        <w:t>投稿</w:t>
      </w:r>
      <w:r>
        <w:rPr>
          <w:rFonts w:hint="eastAsia" w:hAnsi="宋体"/>
          <w:szCs w:val="21"/>
        </w:rPr>
        <w:t>、</w:t>
      </w:r>
      <w:r>
        <w:rPr>
          <w:rFonts w:hAnsi="宋体"/>
          <w:szCs w:val="21"/>
        </w:rPr>
        <w:t>录用</w:t>
      </w:r>
      <w:r>
        <w:rPr>
          <w:rFonts w:hint="eastAsia" w:hAnsi="宋体"/>
          <w:szCs w:val="21"/>
        </w:rPr>
        <w:t>、</w:t>
      </w:r>
      <w:r>
        <w:rPr>
          <w:rFonts w:hAnsi="宋体"/>
          <w:szCs w:val="21"/>
        </w:rPr>
        <w:t>发表</w:t>
      </w:r>
      <w:r>
        <w:rPr>
          <w:rFonts w:hint="eastAsia" w:hAnsi="宋体"/>
          <w:szCs w:val="21"/>
        </w:rPr>
        <w:t>、</w:t>
      </w:r>
      <w:r>
        <w:rPr>
          <w:rFonts w:hAnsi="宋体"/>
          <w:szCs w:val="21"/>
        </w:rPr>
        <w:t>退修</w:t>
      </w:r>
      <w:r>
        <w:rPr>
          <w:rFonts w:hint="eastAsia" w:hAnsi="宋体"/>
          <w:szCs w:val="21"/>
        </w:rPr>
        <w:t>、</w:t>
      </w:r>
      <w:r>
        <w:rPr>
          <w:rFonts w:hAnsi="宋体"/>
          <w:szCs w:val="21"/>
        </w:rPr>
        <w:t>退稿</w:t>
      </w:r>
      <w:r>
        <w:rPr>
          <w:rFonts w:hint="eastAsia" w:hAnsi="宋体"/>
          <w:szCs w:val="21"/>
        </w:rPr>
        <w:t>、</w:t>
      </w:r>
      <w:r>
        <w:rPr>
          <w:rFonts w:hAnsi="宋体"/>
          <w:szCs w:val="21"/>
        </w:rPr>
        <w:t>校对</w:t>
      </w:r>
      <w:r>
        <w:rPr>
          <w:rFonts w:hint="eastAsia" w:hAnsi="宋体"/>
          <w:szCs w:val="21"/>
        </w:rPr>
        <w:t>等环节的注意事项进行讨论。</w:t>
      </w:r>
    </w:p>
    <w:p>
      <w:pPr>
        <w:spacing w:before="156" w:beforeLines="50" w:line="360" w:lineRule="auto"/>
        <w:ind w:firstLine="1476" w:firstLineChars="700"/>
        <w:jc w:val="right"/>
        <w:rPr>
          <w:b/>
          <w:szCs w:val="21"/>
        </w:rPr>
      </w:pPr>
      <w:r>
        <w:rPr>
          <w:rFonts w:hAnsi="宋体"/>
          <w:b/>
          <w:bCs/>
          <w:kern w:val="0"/>
          <w:szCs w:val="21"/>
        </w:rPr>
        <w:t>第</w:t>
      </w:r>
      <w:r>
        <w:rPr>
          <w:rFonts w:hint="eastAsia" w:hAnsi="宋体"/>
          <w:b/>
          <w:bCs/>
          <w:kern w:val="0"/>
          <w:szCs w:val="21"/>
        </w:rPr>
        <w:t>七</w:t>
      </w:r>
      <w:r>
        <w:rPr>
          <w:rFonts w:hAnsi="宋体"/>
          <w:b/>
          <w:bCs/>
          <w:kern w:val="0"/>
          <w:szCs w:val="21"/>
        </w:rPr>
        <w:t>章</w:t>
      </w:r>
      <w:r>
        <w:rPr>
          <w:b/>
          <w:bCs/>
          <w:kern w:val="0"/>
          <w:szCs w:val="21"/>
        </w:rPr>
        <w:t xml:space="preserve">  </w:t>
      </w:r>
      <w:r>
        <w:rPr>
          <w:rFonts w:hAnsi="宋体"/>
          <w:b/>
          <w:bCs/>
          <w:kern w:val="0"/>
          <w:szCs w:val="21"/>
        </w:rPr>
        <w:t>外文科技论文的翻译及示例分析</w:t>
      </w:r>
      <w:r>
        <w:rPr>
          <w:b/>
          <w:bCs/>
          <w:kern w:val="0"/>
          <w:szCs w:val="21"/>
        </w:rPr>
        <w:t xml:space="preserve">    </w:t>
      </w:r>
      <w:r>
        <w:rPr>
          <w:b/>
          <w:szCs w:val="21"/>
        </w:rPr>
        <w:t xml:space="preserve">       </w:t>
      </w:r>
      <w:r>
        <w:rPr>
          <w:rFonts w:hAnsi="宋体"/>
          <w:b/>
          <w:bCs/>
          <w:kern w:val="0"/>
          <w:szCs w:val="21"/>
        </w:rPr>
        <w:t>学时数：</w:t>
      </w:r>
      <w:r>
        <w:rPr>
          <w:b/>
          <w:bCs/>
          <w:kern w:val="0"/>
          <w:szCs w:val="21"/>
        </w:rPr>
        <w:t>2</w:t>
      </w:r>
    </w:p>
    <w:p>
      <w:pPr>
        <w:widowControl/>
        <w:snapToGrid w:val="0"/>
        <w:spacing w:line="360" w:lineRule="auto"/>
        <w:rPr>
          <w:b/>
          <w:bCs/>
          <w:kern w:val="0"/>
          <w:szCs w:val="21"/>
        </w:rPr>
      </w:pPr>
      <w:r>
        <w:rPr>
          <w:rFonts w:hAnsi="宋体"/>
          <w:b/>
          <w:bCs/>
          <w:szCs w:val="21"/>
        </w:rPr>
        <w:t>教学目的：</w:t>
      </w:r>
      <w:r>
        <w:rPr>
          <w:rFonts w:hAnsi="宋体"/>
          <w:szCs w:val="21"/>
        </w:rPr>
        <w:t>了解国外先进</w:t>
      </w:r>
      <w:r>
        <w:rPr>
          <w:rFonts w:hAnsi="宋体"/>
          <w:szCs w:val="21"/>
          <w:lang w:val="zh-CN"/>
        </w:rPr>
        <w:t>科学研究的国际动向，为科研选题提供参考</w:t>
      </w:r>
      <w:r>
        <w:rPr>
          <w:rFonts w:hint="eastAsia" w:hAnsi="宋体"/>
          <w:szCs w:val="21"/>
          <w:lang w:val="zh-CN"/>
        </w:rPr>
        <w:t>。</w:t>
      </w:r>
    </w:p>
    <w:p>
      <w:pPr>
        <w:widowControl/>
        <w:snapToGrid w:val="0"/>
        <w:spacing w:line="360" w:lineRule="auto"/>
        <w:rPr>
          <w:b/>
          <w:bCs/>
          <w:kern w:val="0"/>
          <w:szCs w:val="21"/>
        </w:rPr>
      </w:pPr>
      <w:r>
        <w:rPr>
          <w:rFonts w:hAnsi="宋体"/>
          <w:b/>
          <w:bCs/>
          <w:szCs w:val="21"/>
        </w:rPr>
        <w:t>教学重点和难点：</w:t>
      </w:r>
      <w:r>
        <w:rPr>
          <w:rFonts w:hAnsi="宋体"/>
          <w:szCs w:val="21"/>
        </w:rPr>
        <w:t>最新专业期刊的研读</w:t>
      </w:r>
      <w:r>
        <w:rPr>
          <w:rFonts w:hint="eastAsia" w:hAnsi="宋体"/>
          <w:szCs w:val="21"/>
        </w:rPr>
        <w:t>。</w:t>
      </w:r>
    </w:p>
    <w:p>
      <w:pPr>
        <w:spacing w:line="360" w:lineRule="auto"/>
        <w:rPr>
          <w:rFonts w:hAnsi="宋体"/>
          <w:szCs w:val="21"/>
        </w:rPr>
      </w:pPr>
      <w:r>
        <w:rPr>
          <w:rFonts w:hAnsi="宋体"/>
          <w:b/>
          <w:bCs/>
          <w:szCs w:val="21"/>
        </w:rPr>
        <w:t>主要教学内容及要求：</w:t>
      </w:r>
      <w:r>
        <w:rPr>
          <w:rFonts w:hAnsi="宋体"/>
          <w:szCs w:val="21"/>
        </w:rPr>
        <w:t>选取</w:t>
      </w:r>
      <w:r>
        <w:rPr>
          <w:szCs w:val="21"/>
        </w:rPr>
        <w:t>2</w:t>
      </w:r>
      <w:r>
        <w:rPr>
          <w:rFonts w:hAnsi="宋体"/>
          <w:szCs w:val="21"/>
        </w:rPr>
        <w:t>到</w:t>
      </w:r>
      <w:r>
        <w:rPr>
          <w:szCs w:val="21"/>
        </w:rPr>
        <w:t>3</w:t>
      </w:r>
      <w:r>
        <w:rPr>
          <w:rFonts w:hAnsi="宋体"/>
          <w:szCs w:val="21"/>
        </w:rPr>
        <w:t>篇有代表性的与本专业相关的外文科技论文进行翻译，讲解翻译技巧和方法以及注意问题。掌握外文科技论文翻译技巧和方法。</w:t>
      </w:r>
    </w:p>
    <w:p>
      <w:pPr>
        <w:spacing w:line="360" w:lineRule="auto"/>
        <w:rPr>
          <w:b/>
          <w:bCs/>
          <w:szCs w:val="21"/>
        </w:rPr>
      </w:pPr>
      <w:r>
        <w:rPr>
          <w:rFonts w:hAnsi="宋体"/>
          <w:b/>
          <w:bCs/>
          <w:szCs w:val="21"/>
        </w:rPr>
        <w:t>教学</w:t>
      </w:r>
      <w:r>
        <w:rPr>
          <w:rFonts w:hint="eastAsia" w:hAnsi="宋体"/>
          <w:b/>
          <w:bCs/>
          <w:szCs w:val="21"/>
        </w:rPr>
        <w:t>组织与实施</w:t>
      </w:r>
      <w:r>
        <w:rPr>
          <w:rFonts w:hAnsi="宋体"/>
          <w:b/>
          <w:bCs/>
          <w:szCs w:val="21"/>
        </w:rPr>
        <w:t>：</w:t>
      </w:r>
    </w:p>
    <w:p>
      <w:pPr>
        <w:widowControl/>
        <w:shd w:val="clear" w:color="auto" w:fill="FFFFFF"/>
        <w:spacing w:line="360" w:lineRule="auto"/>
        <w:ind w:firstLine="420" w:firstLineChars="200"/>
        <w:jc w:val="left"/>
        <w:rPr>
          <w:rFonts w:hAnsi="宋体"/>
          <w:szCs w:val="21"/>
        </w:rPr>
      </w:pPr>
      <w:r>
        <w:rPr>
          <w:rFonts w:hint="eastAsia"/>
          <w:szCs w:val="21"/>
          <w:lang w:val="zh-CN"/>
        </w:rPr>
        <w:t>采用学生讲授为主，对学生进行分组，每组选取一个本专业相关的外文文献进行翻译，并分组进行课堂讲述，教师以及其他学生提出问题，并讨论</w:t>
      </w:r>
      <w:r>
        <w:rPr>
          <w:rFonts w:hAnsi="宋体"/>
          <w:szCs w:val="21"/>
        </w:rPr>
        <w:t>外文科技论文翻译技巧</w:t>
      </w:r>
      <w:r>
        <w:rPr>
          <w:rFonts w:hint="eastAsia" w:hAnsi="宋体"/>
          <w:szCs w:val="21"/>
        </w:rPr>
        <w:t>。</w:t>
      </w:r>
    </w:p>
    <w:p>
      <w:pPr>
        <w:widowControl/>
        <w:shd w:val="clear" w:color="auto" w:fill="FFFFFF"/>
        <w:spacing w:line="360" w:lineRule="auto"/>
        <w:ind w:firstLine="420" w:firstLineChars="200"/>
        <w:jc w:val="left"/>
        <w:rPr>
          <w:szCs w:val="21"/>
          <w:lang w:val="zh-CN"/>
        </w:rPr>
      </w:pPr>
    </w:p>
    <w:p>
      <w:pPr>
        <w:snapToGrid w:val="0"/>
        <w:spacing w:line="360" w:lineRule="auto"/>
        <w:rPr>
          <w:b/>
          <w:szCs w:val="21"/>
        </w:rPr>
      </w:pPr>
      <w:r>
        <w:rPr>
          <w:rFonts w:hint="eastAsia"/>
          <w:b/>
          <w:szCs w:val="21"/>
        </w:rPr>
        <w:t>五</w:t>
      </w:r>
      <w:r>
        <w:rPr>
          <w:b/>
          <w:szCs w:val="21"/>
        </w:rPr>
        <w:t>、课程思政</w:t>
      </w:r>
    </w:p>
    <w:p>
      <w:pPr>
        <w:spacing w:line="360" w:lineRule="auto"/>
        <w:ind w:firstLine="420" w:firstLineChars="200"/>
        <w:rPr>
          <w:szCs w:val="21"/>
        </w:rPr>
      </w:pPr>
      <w:r>
        <w:rPr>
          <w:szCs w:val="21"/>
        </w:rPr>
        <w:t>在课程教学过程中将思政元素与专业课教育、学科教育相结合，注重教学内容与最新科研成果相结合、理论教学与实践教学相结合、线上教学与线下教学相结合，并将思政元素有效融入各个环节当中，使得专业课学习具有连贯性、系统性与引导性。</w:t>
      </w:r>
    </w:p>
    <w:p>
      <w:pPr>
        <w:spacing w:line="360" w:lineRule="auto"/>
        <w:ind w:firstLine="420" w:firstLineChars="200"/>
      </w:pPr>
      <w:r>
        <w:rPr>
          <w:szCs w:val="21"/>
        </w:rPr>
        <w:t>例如，</w:t>
      </w:r>
      <w:r>
        <w:t>在讲解</w:t>
      </w:r>
      <w:r>
        <w:rPr>
          <w:rFonts w:hint="eastAsia"/>
        </w:rPr>
        <w:t>论文的写作与发表时要引入我国论文发表数量的变化，以此来了解我国科研能力的提升，国家强则科研强，科研强映射出国家强，国家的荣辱与个人命运息息相关，从而提高国家的民族自豪感与个人荣誉感。在讲解投稿时，要引入学术道德与学术诚信，引导学生树立正确的人生观、价值观。</w:t>
      </w:r>
    </w:p>
    <w:p>
      <w:pPr>
        <w:widowControl/>
        <w:snapToGrid w:val="0"/>
        <w:spacing w:before="156" w:beforeLines="50" w:line="360" w:lineRule="auto"/>
        <w:jc w:val="left"/>
        <w:rPr>
          <w:b/>
          <w:bCs/>
          <w:kern w:val="0"/>
          <w:szCs w:val="21"/>
        </w:rPr>
      </w:pPr>
      <w:r>
        <w:rPr>
          <w:rFonts w:hint="eastAsia" w:hAnsi="宋体"/>
          <w:b/>
          <w:bCs/>
          <w:kern w:val="0"/>
          <w:szCs w:val="21"/>
        </w:rPr>
        <w:t>六</w:t>
      </w:r>
      <w:r>
        <w:rPr>
          <w:rFonts w:hAnsi="宋体"/>
          <w:b/>
          <w:bCs/>
          <w:kern w:val="0"/>
          <w:szCs w:val="21"/>
        </w:rPr>
        <w:t>、</w:t>
      </w:r>
      <w:r>
        <w:rPr>
          <w:rFonts w:hint="eastAsia" w:hAnsi="宋体"/>
          <w:b/>
          <w:bCs/>
          <w:kern w:val="0"/>
          <w:szCs w:val="21"/>
        </w:rPr>
        <w:t>使用</w:t>
      </w:r>
      <w:r>
        <w:rPr>
          <w:rFonts w:hAnsi="宋体"/>
          <w:b/>
          <w:bCs/>
          <w:kern w:val="0"/>
          <w:szCs w:val="21"/>
        </w:rPr>
        <w:t>教材</w:t>
      </w:r>
    </w:p>
    <w:p>
      <w:pPr>
        <w:widowControl/>
        <w:snapToGrid w:val="0"/>
        <w:spacing w:line="360" w:lineRule="auto"/>
        <w:ind w:firstLine="420"/>
        <w:jc w:val="left"/>
        <w:rPr>
          <w:b/>
          <w:bCs/>
          <w:kern w:val="0"/>
          <w:szCs w:val="21"/>
        </w:rPr>
      </w:pPr>
      <w:r>
        <w:rPr>
          <w:b/>
          <w:bCs/>
          <w:kern w:val="0"/>
          <w:szCs w:val="21"/>
        </w:rPr>
        <w:t>1</w:t>
      </w:r>
      <w:r>
        <w:rPr>
          <w:rFonts w:hAnsi="宋体"/>
          <w:b/>
          <w:bCs/>
          <w:kern w:val="0"/>
          <w:szCs w:val="21"/>
        </w:rPr>
        <w:t>、选用教材：</w:t>
      </w:r>
    </w:p>
    <w:p>
      <w:pPr>
        <w:adjustRightInd w:val="0"/>
        <w:snapToGrid w:val="0"/>
        <w:spacing w:line="360" w:lineRule="auto"/>
        <w:ind w:firstLine="420"/>
        <w:rPr>
          <w:szCs w:val="21"/>
        </w:rPr>
      </w:pPr>
      <w:r>
        <w:rPr>
          <w:rFonts w:hint="eastAsia" w:hAnsi="宋体"/>
          <w:szCs w:val="21"/>
        </w:rPr>
        <w:t xml:space="preserve">（1）文献检索与科技论文写作（第三版），黄军左 </w:t>
      </w:r>
      <w:r>
        <w:rPr>
          <w:rFonts w:hAnsi="宋体"/>
          <w:szCs w:val="21"/>
        </w:rPr>
        <w:t>编著，</w:t>
      </w:r>
      <w:r>
        <w:rPr>
          <w:rFonts w:hint="eastAsia" w:hAnsi="宋体"/>
          <w:szCs w:val="21"/>
        </w:rPr>
        <w:t>中国石化出版社</w:t>
      </w:r>
      <w:r>
        <w:rPr>
          <w:rFonts w:hAnsi="宋体"/>
          <w:szCs w:val="21"/>
        </w:rPr>
        <w:t>，</w:t>
      </w:r>
      <w:r>
        <w:rPr>
          <w:szCs w:val="21"/>
        </w:rPr>
        <w:t>201</w:t>
      </w:r>
      <w:r>
        <w:rPr>
          <w:rFonts w:hint="eastAsia"/>
          <w:szCs w:val="21"/>
        </w:rPr>
        <w:t>9年</w:t>
      </w:r>
    </w:p>
    <w:p>
      <w:pPr>
        <w:adjustRightInd w:val="0"/>
        <w:snapToGrid w:val="0"/>
        <w:spacing w:line="360" w:lineRule="auto"/>
        <w:ind w:firstLine="420"/>
        <w:rPr>
          <w:szCs w:val="21"/>
        </w:rPr>
      </w:pPr>
      <w:r>
        <w:rPr>
          <w:rFonts w:hint="eastAsia" w:hAnsi="宋体"/>
          <w:szCs w:val="21"/>
        </w:rPr>
        <w:t>（2）科技文献检索与利用（第二版），马三梅</w:t>
      </w:r>
      <w:r>
        <w:rPr>
          <w:rFonts w:hint="eastAsia"/>
          <w:szCs w:val="21"/>
        </w:rPr>
        <w:t xml:space="preserve"> </w:t>
      </w:r>
      <w:r>
        <w:rPr>
          <w:rFonts w:hAnsi="宋体"/>
          <w:szCs w:val="21"/>
        </w:rPr>
        <w:t>编著</w:t>
      </w:r>
      <w:r>
        <w:rPr>
          <w:rFonts w:hint="eastAsia"/>
          <w:szCs w:val="21"/>
        </w:rPr>
        <w:t>，</w:t>
      </w:r>
      <w:r>
        <w:rPr>
          <w:rFonts w:hint="eastAsia" w:hAnsi="宋体"/>
          <w:szCs w:val="21"/>
        </w:rPr>
        <w:t>科学出版社</w:t>
      </w:r>
      <w:r>
        <w:rPr>
          <w:rFonts w:hint="eastAsia"/>
          <w:szCs w:val="21"/>
        </w:rPr>
        <w:t>，</w:t>
      </w:r>
      <w:r>
        <w:rPr>
          <w:szCs w:val="21"/>
        </w:rPr>
        <w:t>20</w:t>
      </w:r>
      <w:r>
        <w:rPr>
          <w:rFonts w:hint="eastAsia"/>
          <w:szCs w:val="21"/>
        </w:rPr>
        <w:t>19年</w:t>
      </w:r>
    </w:p>
    <w:p>
      <w:pPr>
        <w:widowControl/>
        <w:snapToGrid w:val="0"/>
        <w:spacing w:line="360" w:lineRule="auto"/>
        <w:ind w:firstLine="420"/>
        <w:jc w:val="left"/>
        <w:rPr>
          <w:b/>
          <w:bCs/>
          <w:kern w:val="0"/>
          <w:szCs w:val="21"/>
        </w:rPr>
      </w:pPr>
      <w:r>
        <w:rPr>
          <w:b/>
          <w:bCs/>
          <w:kern w:val="0"/>
          <w:szCs w:val="21"/>
        </w:rPr>
        <w:t>2</w:t>
      </w:r>
      <w:r>
        <w:rPr>
          <w:rFonts w:hAnsi="宋体"/>
          <w:b/>
          <w:bCs/>
          <w:kern w:val="0"/>
          <w:szCs w:val="21"/>
        </w:rPr>
        <w:t>、参考书：</w:t>
      </w:r>
    </w:p>
    <w:p>
      <w:pPr>
        <w:spacing w:line="360" w:lineRule="auto"/>
        <w:ind w:left="420" w:leftChars="200"/>
        <w:rPr>
          <w:szCs w:val="21"/>
        </w:rPr>
      </w:pPr>
      <w:r>
        <w:rPr>
          <w:rFonts w:hint="eastAsia" w:hAnsi="宋体"/>
          <w:szCs w:val="21"/>
        </w:rPr>
        <w:t>（1）文献检索与论文写作</w:t>
      </w:r>
      <w:r>
        <w:rPr>
          <w:rFonts w:hint="eastAsia"/>
          <w:szCs w:val="21"/>
        </w:rPr>
        <w:t>．李振华 编著．清华大学出版社，2016年</w:t>
      </w:r>
    </w:p>
    <w:p>
      <w:pPr>
        <w:widowControl/>
        <w:spacing w:line="360" w:lineRule="auto"/>
        <w:ind w:left="420" w:leftChars="200"/>
        <w:jc w:val="left"/>
        <w:rPr>
          <w:szCs w:val="21"/>
        </w:rPr>
      </w:pPr>
      <w:r>
        <w:rPr>
          <w:rFonts w:hint="eastAsia" w:hAnsi="宋体"/>
          <w:szCs w:val="21"/>
        </w:rPr>
        <w:t>（2）文献检索与论文写作（第二版）</w:t>
      </w:r>
      <w:r>
        <w:rPr>
          <w:rFonts w:hint="eastAsia"/>
          <w:szCs w:val="21"/>
        </w:rPr>
        <w:t>．</w:t>
      </w:r>
      <w:r>
        <w:rPr>
          <w:rFonts w:hint="eastAsia" w:hAnsi="宋体"/>
          <w:szCs w:val="21"/>
        </w:rPr>
        <w:t>邓富民 编著</w:t>
      </w:r>
      <w:r>
        <w:rPr>
          <w:rFonts w:hint="eastAsia"/>
          <w:szCs w:val="21"/>
        </w:rPr>
        <w:t>．</w:t>
      </w:r>
      <w:r>
        <w:rPr>
          <w:rFonts w:hint="eastAsia" w:hAnsi="宋体"/>
          <w:szCs w:val="21"/>
        </w:rPr>
        <w:t>经济管理出版社，2017年</w:t>
      </w:r>
    </w:p>
    <w:p>
      <w:pPr>
        <w:spacing w:line="360" w:lineRule="auto"/>
        <w:ind w:left="420" w:leftChars="200"/>
        <w:rPr>
          <w:szCs w:val="21"/>
        </w:rPr>
      </w:pPr>
      <w:r>
        <w:rPr>
          <w:rFonts w:hint="eastAsia" w:hAnsi="宋体"/>
          <w:szCs w:val="21"/>
        </w:rPr>
        <w:t>（3）科技文献检索与科教论文写作</w:t>
      </w:r>
      <w:r>
        <w:rPr>
          <w:rFonts w:hint="eastAsia"/>
          <w:szCs w:val="21"/>
        </w:rPr>
        <w:t>．</w:t>
      </w:r>
      <w:r>
        <w:rPr>
          <w:rFonts w:hint="eastAsia" w:hAnsi="宋体"/>
          <w:szCs w:val="21"/>
        </w:rPr>
        <w:t>张虎芳 编著</w:t>
      </w:r>
      <w:r>
        <w:rPr>
          <w:rFonts w:hint="eastAsia"/>
          <w:szCs w:val="21"/>
        </w:rPr>
        <w:t>．</w:t>
      </w:r>
      <w:r>
        <w:rPr>
          <w:rFonts w:hint="eastAsia" w:hAnsi="宋体"/>
          <w:szCs w:val="21"/>
        </w:rPr>
        <w:t>中国石化出版社，2017年</w:t>
      </w:r>
    </w:p>
    <w:p>
      <w:pPr>
        <w:spacing w:line="360" w:lineRule="auto"/>
        <w:ind w:left="420" w:leftChars="200"/>
        <w:rPr>
          <w:szCs w:val="21"/>
        </w:rPr>
      </w:pPr>
      <w:r>
        <w:rPr>
          <w:b/>
          <w:bCs/>
          <w:kern w:val="0"/>
          <w:szCs w:val="21"/>
        </w:rPr>
        <w:t>3</w:t>
      </w:r>
      <w:r>
        <w:rPr>
          <w:rFonts w:hAnsi="宋体"/>
          <w:b/>
          <w:bCs/>
          <w:kern w:val="0"/>
          <w:szCs w:val="21"/>
        </w:rPr>
        <w:t>、参考网站</w:t>
      </w:r>
      <w:r>
        <w:rPr>
          <w:rFonts w:hAnsi="宋体"/>
          <w:kern w:val="0"/>
          <w:szCs w:val="21"/>
        </w:rPr>
        <w:t>：</w:t>
      </w:r>
    </w:p>
    <w:p>
      <w:pPr>
        <w:spacing w:line="360" w:lineRule="auto"/>
        <w:ind w:left="420" w:leftChars="200"/>
        <w:rPr>
          <w:szCs w:val="21"/>
        </w:rPr>
      </w:pPr>
      <w:r>
        <w:rPr>
          <w:rFonts w:hint="eastAsia"/>
          <w:kern w:val="0"/>
          <w:szCs w:val="21"/>
        </w:rPr>
        <w:t>（1）中国知网CNKI学术，https://www.cnki.net/</w:t>
      </w:r>
    </w:p>
    <w:p>
      <w:pPr>
        <w:widowControl/>
        <w:snapToGrid w:val="0"/>
        <w:spacing w:before="156" w:beforeLines="50" w:line="360" w:lineRule="auto"/>
        <w:jc w:val="left"/>
        <w:rPr>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spacing w:line="360" w:lineRule="auto"/>
        <w:ind w:firstLine="420"/>
        <w:rPr>
          <w:rFonts w:hAnsi="宋体"/>
          <w:szCs w:val="21"/>
        </w:rPr>
      </w:pPr>
      <w:r>
        <w:rPr>
          <w:rFonts w:hint="eastAsia" w:hAnsi="宋体"/>
          <w:szCs w:val="21"/>
        </w:rPr>
        <w:t>学校图书馆具备完善的科技文献和图书管理系统，并购置有中国知网、万方、</w:t>
      </w:r>
      <w:r>
        <w:rPr>
          <w:rFonts w:hAnsi="宋体"/>
          <w:szCs w:val="21"/>
        </w:rPr>
        <w:t>Springer</w:t>
      </w:r>
      <w:r>
        <w:rPr>
          <w:rFonts w:hint="eastAsia" w:hAnsi="宋体"/>
          <w:szCs w:val="21"/>
        </w:rPr>
        <w:t>等中英文数据库的使用权，可供学生充分学习科技文献的检索；园艺学院具备配套的计算机机房，可供学生进行相应的上机操作练习。</w:t>
      </w:r>
    </w:p>
    <w:p>
      <w:pPr>
        <w:widowControl/>
        <w:snapToGrid w:val="0"/>
        <w:spacing w:before="156" w:beforeLines="50" w:line="360" w:lineRule="auto"/>
        <w:jc w:val="left"/>
        <w:rPr>
          <w:rFonts w:hAnsi="宋体"/>
          <w:b/>
          <w:bCs/>
          <w:kern w:val="0"/>
          <w:szCs w:val="21"/>
        </w:rPr>
      </w:pPr>
      <w:r>
        <w:rPr>
          <w:rFonts w:hint="eastAsia" w:hAnsi="宋体"/>
          <w:b/>
          <w:bCs/>
          <w:kern w:val="0"/>
          <w:szCs w:val="21"/>
        </w:rPr>
        <w:t>八、教学考核评价</w:t>
      </w:r>
    </w:p>
    <w:p>
      <w:pPr>
        <w:snapToGrid w:val="0"/>
        <w:spacing w:line="360" w:lineRule="auto"/>
        <w:ind w:firstLine="422" w:firstLineChars="200"/>
        <w:rPr>
          <w:rFonts w:hAnsi="宋体"/>
          <w:kern w:val="0"/>
          <w:szCs w:val="21"/>
        </w:rPr>
      </w:pPr>
      <w:r>
        <w:rPr>
          <w:rFonts w:hint="eastAsia"/>
          <w:b/>
          <w:bCs/>
          <w:kern w:val="0"/>
          <w:szCs w:val="21"/>
        </w:rPr>
        <w:t>1．考试方法：</w:t>
      </w:r>
      <w:r>
        <w:rPr>
          <w:rFonts w:hAnsi="宋体"/>
          <w:kern w:val="0"/>
          <w:szCs w:val="21"/>
        </w:rPr>
        <w:t>本门课程的考核分为平时</w:t>
      </w:r>
      <w:r>
        <w:rPr>
          <w:rFonts w:hint="eastAsia" w:hAnsi="宋体"/>
          <w:kern w:val="0"/>
          <w:szCs w:val="21"/>
        </w:rPr>
        <w:t>成绩和</w:t>
      </w:r>
      <w:r>
        <w:rPr>
          <w:rFonts w:hAnsi="宋体"/>
          <w:kern w:val="0"/>
          <w:szCs w:val="21"/>
        </w:rPr>
        <w:t>期末课程论文</w:t>
      </w:r>
      <w:r>
        <w:rPr>
          <w:rFonts w:hint="eastAsia" w:hAnsi="宋体"/>
          <w:kern w:val="0"/>
          <w:szCs w:val="21"/>
        </w:rPr>
        <w:t>成绩两部分</w:t>
      </w:r>
      <w:r>
        <w:rPr>
          <w:rFonts w:hAnsi="宋体"/>
          <w:kern w:val="0"/>
          <w:szCs w:val="21"/>
        </w:rPr>
        <w:t>。平时成绩包括课堂提问、小组讨论表现、作业、考勤；期末</w:t>
      </w:r>
      <w:r>
        <w:rPr>
          <w:rFonts w:hint="eastAsia" w:hAnsi="宋体"/>
          <w:kern w:val="0"/>
          <w:szCs w:val="21"/>
        </w:rPr>
        <w:t>考核</w:t>
      </w:r>
      <w:r>
        <w:rPr>
          <w:rFonts w:hAnsi="宋体"/>
          <w:kern w:val="0"/>
          <w:szCs w:val="21"/>
        </w:rPr>
        <w:t>为每人撰写一份符合河南农业大学本科毕业论文写作规范的科技论文。期末课程论文</w:t>
      </w:r>
      <w:r>
        <w:rPr>
          <w:rFonts w:hint="eastAsia" w:hAnsi="宋体"/>
          <w:kern w:val="0"/>
          <w:szCs w:val="21"/>
        </w:rPr>
        <w:t>成绩满分100分，</w:t>
      </w:r>
      <w:r>
        <w:rPr>
          <w:rFonts w:hint="eastAsia" w:cs="宋体"/>
          <w:bCs/>
          <w:kern w:val="0"/>
          <w:szCs w:val="21"/>
        </w:rPr>
        <w:t>占课程成绩的60%，平时成绩满分为100分，占课程成绩的40%。</w:t>
      </w:r>
    </w:p>
    <w:p>
      <w:pPr>
        <w:spacing w:line="360" w:lineRule="auto"/>
        <w:ind w:firstLine="420"/>
      </w:pPr>
      <w:r>
        <w:rPr>
          <w:rFonts w:hint="eastAsia"/>
          <w:b/>
          <w:bCs/>
          <w:kern w:val="0"/>
          <w:szCs w:val="21"/>
        </w:rPr>
        <w:t>2．过程性评价：</w:t>
      </w:r>
    </w:p>
    <w:p>
      <w:pPr>
        <w:spacing w:line="360" w:lineRule="auto"/>
        <w:ind w:firstLine="420" w:firstLineChars="200"/>
        <w:rPr>
          <w:rFonts w:cs="宋体"/>
          <w:bCs/>
          <w:kern w:val="0"/>
          <w:szCs w:val="21"/>
        </w:rPr>
      </w:pPr>
      <w:r>
        <w:rPr>
          <w:rFonts w:hint="eastAsia" w:cs="宋体"/>
          <w:bCs/>
          <w:kern w:val="0"/>
          <w:szCs w:val="21"/>
        </w:rPr>
        <w:t>任课教师在授课过程中随时观察、分析学生在课堂讨论、课程作业、课程评价中的反馈情况，及时解决和完善课程教学中存在的问题和不足，并给出合理的学习建议。课程结束后，任课教师对本门课程的整体考试情况，综合分析学生在知识掌握、论文撰写、学习方法等方面的问题，提出学习建议和在今后教学中应注意的事项。</w:t>
      </w:r>
    </w:p>
    <w:p>
      <w:pPr>
        <w:pStyle w:val="21"/>
        <w:rPr>
          <w:bCs w:val="0"/>
          <w:sz w:val="28"/>
          <w:szCs w:val="28"/>
        </w:rPr>
      </w:pPr>
      <w:bookmarkStart w:id="421" w:name="_Toc489359107"/>
      <w:bookmarkStart w:id="422" w:name="_Toc138068822"/>
      <w:bookmarkStart w:id="423" w:name="_Toc138070722"/>
      <w:bookmarkStart w:id="424" w:name="_Toc138070452"/>
    </w:p>
    <w:p>
      <w:pPr>
        <w:rPr>
          <w:sz w:val="28"/>
          <w:szCs w:val="28"/>
        </w:rPr>
      </w:pPr>
      <w:bookmarkStart w:id="425" w:name="_Toc138076636"/>
      <w:bookmarkStart w:id="426" w:name="_Toc138076341"/>
      <w:bookmarkStart w:id="427" w:name="_Toc138076092"/>
      <w:r>
        <w:rPr>
          <w:rFonts w:hint="eastAsia"/>
          <w:sz w:val="28"/>
          <w:szCs w:val="28"/>
        </w:rPr>
        <w:br w:type="page"/>
      </w:r>
    </w:p>
    <w:p>
      <w:pPr>
        <w:pStyle w:val="21"/>
        <w:rPr>
          <w:bCs w:val="0"/>
          <w:sz w:val="28"/>
          <w:szCs w:val="28"/>
        </w:rPr>
      </w:pPr>
      <w:bookmarkStart w:id="428" w:name="_Toc6791"/>
      <w:r>
        <w:rPr>
          <w:rFonts w:hint="eastAsia"/>
          <w:bCs w:val="0"/>
          <w:sz w:val="28"/>
          <w:szCs w:val="28"/>
        </w:rPr>
        <w:t>园艺产品营养学</w:t>
      </w:r>
      <w:bookmarkEnd w:id="421"/>
      <w:bookmarkEnd w:id="422"/>
      <w:bookmarkEnd w:id="423"/>
      <w:bookmarkEnd w:id="424"/>
      <w:bookmarkEnd w:id="425"/>
      <w:bookmarkEnd w:id="426"/>
      <w:bookmarkEnd w:id="427"/>
      <w:bookmarkEnd w:id="428"/>
    </w:p>
    <w:p>
      <w:pPr>
        <w:snapToGrid w:val="0"/>
        <w:spacing w:line="360" w:lineRule="auto"/>
        <w:jc w:val="center"/>
        <w:rPr>
          <w:i/>
          <w:sz w:val="24"/>
        </w:rPr>
      </w:pPr>
      <w:r>
        <w:rPr>
          <w:sz w:val="24"/>
        </w:rPr>
        <w:t>（Horticultural products nutriology）</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课程编号：</w:t>
            </w:r>
            <w:r>
              <w:rPr>
                <w:rFonts w:eastAsiaTheme="minorEastAsia"/>
                <w:b/>
                <w:bCs/>
                <w:szCs w:val="21"/>
              </w:rPr>
              <w:t>19011061</w:t>
            </w:r>
          </w:p>
        </w:tc>
        <w:tc>
          <w:tcPr>
            <w:tcW w:w="1453" w:type="pct"/>
          </w:tcPr>
          <w:p>
            <w:pPr>
              <w:spacing w:line="300" w:lineRule="auto"/>
              <w:rPr>
                <w:rFonts w:ascii="宋体" w:hAnsi="宋体"/>
                <w:b/>
                <w:bCs/>
                <w:szCs w:val="21"/>
              </w:rPr>
            </w:pPr>
            <w:r>
              <w:rPr>
                <w:rFonts w:hint="eastAsia" w:ascii="宋体" w:hAnsi="宋体"/>
                <w:b/>
                <w:bCs/>
                <w:szCs w:val="21"/>
              </w:rPr>
              <w:t>课程总学时：</w:t>
            </w:r>
            <w:r>
              <w:rPr>
                <w:rFonts w:eastAsiaTheme="minorEastAsia"/>
                <w:b/>
                <w:bCs/>
                <w:szCs w:val="21"/>
              </w:rPr>
              <w:t>32</w:t>
            </w:r>
          </w:p>
        </w:tc>
        <w:tc>
          <w:tcPr>
            <w:tcW w:w="1881" w:type="pct"/>
          </w:tcPr>
          <w:p>
            <w:pPr>
              <w:spacing w:line="300" w:lineRule="auto"/>
              <w:rPr>
                <w:rFonts w:ascii="宋体" w:hAnsi="宋体"/>
                <w:b/>
                <w:bCs/>
                <w:szCs w:val="21"/>
              </w:rPr>
            </w:pPr>
            <w:r>
              <w:rPr>
                <w:rFonts w:hint="eastAsia" w:ascii="宋体" w:hAnsi="宋体"/>
                <w:b/>
                <w:bCs/>
                <w:szCs w:val="21"/>
              </w:rPr>
              <w:t>实验学时：</w:t>
            </w:r>
            <w:r>
              <w:rPr>
                <w:rFonts w:eastAsiaTheme="minorEastAsia"/>
                <w:b/>
                <w:bCs/>
                <w:szCs w:val="21"/>
              </w:rPr>
              <w:t>0</w:t>
            </w:r>
            <w:r>
              <w:rPr>
                <w:rFonts w:hint="eastAsia" w:ascii="宋体" w:hAnsi="宋体"/>
                <w:b/>
                <w:bCs/>
                <w:szCs w:val="21"/>
              </w:rPr>
              <w:t xml:space="preserve">  学时</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课程性质：</w:t>
            </w:r>
            <w:r>
              <w:rPr>
                <w:rFonts w:hAnsiTheme="minorEastAsia" w:eastAsiaTheme="minorEastAsia"/>
                <w:b/>
                <w:bCs/>
                <w:szCs w:val="21"/>
              </w:rPr>
              <w:t>选修</w:t>
            </w:r>
          </w:p>
        </w:tc>
        <w:tc>
          <w:tcPr>
            <w:tcW w:w="1453" w:type="pct"/>
          </w:tcPr>
          <w:p>
            <w:pPr>
              <w:spacing w:line="300" w:lineRule="auto"/>
              <w:rPr>
                <w:rFonts w:ascii="宋体" w:hAnsi="宋体"/>
                <w:b/>
                <w:bCs/>
                <w:szCs w:val="21"/>
              </w:rPr>
            </w:pPr>
            <w:r>
              <w:rPr>
                <w:rFonts w:hint="eastAsia" w:ascii="宋体" w:hAnsi="宋体"/>
                <w:b/>
                <w:szCs w:val="21"/>
              </w:rPr>
              <w:t>课程属性:</w:t>
            </w:r>
            <w:r>
              <w:rPr>
                <w:rFonts w:hAnsiTheme="minorEastAsia" w:eastAsiaTheme="minorEastAsia"/>
                <w:b/>
                <w:szCs w:val="21"/>
              </w:rPr>
              <w:t xml:space="preserve"> 专业类</w:t>
            </w:r>
          </w:p>
        </w:tc>
        <w:tc>
          <w:tcPr>
            <w:tcW w:w="1881" w:type="pct"/>
          </w:tcPr>
          <w:p>
            <w:pPr>
              <w:spacing w:line="300" w:lineRule="auto"/>
              <w:rPr>
                <w:rFonts w:ascii="宋体" w:hAnsi="宋体"/>
                <w:b/>
                <w:bCs/>
                <w:szCs w:val="21"/>
              </w:rPr>
            </w:pPr>
            <w:r>
              <w:rPr>
                <w:rFonts w:hint="eastAsia" w:ascii="宋体" w:hAnsi="宋体"/>
                <w:b/>
                <w:bCs/>
                <w:szCs w:val="21"/>
              </w:rPr>
              <w:t>开设学期：第 8 学期</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课程负责人：贾</w:t>
            </w:r>
            <w:r>
              <w:rPr>
                <w:rFonts w:hAnsiTheme="minorEastAsia" w:eastAsiaTheme="minorEastAsia"/>
                <w:b/>
                <w:bCs/>
                <w:szCs w:val="21"/>
              </w:rPr>
              <w:t>芝琪</w:t>
            </w:r>
          </w:p>
        </w:tc>
        <w:tc>
          <w:tcPr>
            <w:tcW w:w="1453" w:type="pct"/>
          </w:tcPr>
          <w:p>
            <w:pPr>
              <w:spacing w:line="300" w:lineRule="auto"/>
              <w:rPr>
                <w:rFonts w:ascii="宋体" w:hAnsi="宋体"/>
                <w:b/>
                <w:bCs/>
                <w:szCs w:val="21"/>
              </w:rPr>
            </w:pPr>
            <w:r>
              <w:rPr>
                <w:rFonts w:hint="eastAsia" w:ascii="宋体" w:hAnsi="宋体"/>
                <w:b/>
                <w:bCs/>
                <w:szCs w:val="21"/>
              </w:rPr>
              <w:t>课程团队：园艺产品营养学教学团队</w:t>
            </w:r>
          </w:p>
        </w:tc>
        <w:tc>
          <w:tcPr>
            <w:tcW w:w="1881" w:type="pct"/>
          </w:tcPr>
          <w:p>
            <w:pPr>
              <w:spacing w:line="300" w:lineRule="auto"/>
              <w:rPr>
                <w:rFonts w:ascii="宋体" w:hAnsi="宋体"/>
                <w:b/>
                <w:bCs/>
                <w:szCs w:val="21"/>
              </w:rPr>
            </w:pPr>
            <w:r>
              <w:rPr>
                <w:rFonts w:hint="eastAsia" w:ascii="宋体" w:hAnsi="宋体"/>
                <w:b/>
                <w:bCs/>
                <w:szCs w:val="21"/>
              </w:rPr>
              <w:t>授课语言：中文</w:t>
            </w:r>
          </w:p>
        </w:tc>
      </w:tr>
      <w:tr>
        <w:tblPrEx>
          <w:tblCellMar>
            <w:top w:w="0" w:type="dxa"/>
            <w:left w:w="108" w:type="dxa"/>
            <w:bottom w:w="0" w:type="dxa"/>
            <w:right w:w="108" w:type="dxa"/>
          </w:tblCellMar>
        </w:tblPrEx>
        <w:tc>
          <w:tcPr>
            <w:tcW w:w="5000" w:type="pct"/>
            <w:gridSpan w:val="3"/>
          </w:tcPr>
          <w:p>
            <w:pPr>
              <w:spacing w:line="300" w:lineRule="auto"/>
              <w:ind w:right="-170" w:rightChars="-81"/>
              <w:rPr>
                <w:rFonts w:ascii="宋体" w:hAnsi="宋体"/>
                <w:bCs/>
                <w:color w:val="0000FF"/>
                <w:szCs w:val="21"/>
              </w:rPr>
            </w:pPr>
            <w:r>
              <w:rPr>
                <w:rFonts w:hint="eastAsia" w:ascii="宋体" w:hAnsi="宋体"/>
                <w:b/>
                <w:bCs/>
                <w:szCs w:val="21"/>
              </w:rPr>
              <w:t>适用专业：</w:t>
            </w:r>
            <w:r>
              <w:rPr>
                <w:rFonts w:hAnsiTheme="minorEastAsia" w:eastAsiaTheme="minorEastAsia"/>
                <w:b/>
                <w:szCs w:val="21"/>
              </w:rPr>
              <w:t>园艺、设施农业与工程、茶学</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对先修的要求：要求学生掌握</w:t>
            </w:r>
            <w:r>
              <w:rPr>
                <w:rFonts w:hAnsiTheme="minorEastAsia" w:eastAsiaTheme="minorEastAsia"/>
                <w:b/>
                <w:bCs/>
                <w:szCs w:val="21"/>
              </w:rPr>
              <w:t>有机化学、生物化学</w:t>
            </w:r>
            <w:r>
              <w:rPr>
                <w:rFonts w:hint="eastAsia" w:hAnsiTheme="minorEastAsia" w:eastAsiaTheme="minorEastAsia"/>
                <w:b/>
                <w:bCs/>
                <w:szCs w:val="21"/>
              </w:rPr>
              <w:t>、蔬菜栽培学、果树栽培学的基础知识，拥有简单的查阅资料能力。</w:t>
            </w:r>
          </w:p>
        </w:tc>
      </w:tr>
      <w:tr>
        <w:tblPrEx>
          <w:tblCellMar>
            <w:top w:w="0" w:type="dxa"/>
            <w:left w:w="108" w:type="dxa"/>
            <w:bottom w:w="0" w:type="dxa"/>
            <w:right w:w="108" w:type="dxa"/>
          </w:tblCellMar>
        </w:tblPrEx>
        <w:tc>
          <w:tcPr>
            <w:tcW w:w="5000" w:type="pct"/>
            <w:gridSpan w:val="3"/>
          </w:tcPr>
          <w:p>
            <w:pPr>
              <w:spacing w:line="300" w:lineRule="auto"/>
              <w:rPr>
                <w:rFonts w:ascii="宋体" w:hAnsi="宋体"/>
                <w:b/>
                <w:bCs/>
                <w:szCs w:val="21"/>
              </w:rPr>
            </w:pPr>
            <w:r>
              <w:rPr>
                <w:rFonts w:hint="eastAsia" w:ascii="宋体" w:hAnsi="宋体"/>
                <w:b/>
                <w:bCs/>
                <w:szCs w:val="21"/>
              </w:rPr>
              <w:t>对后续的支撑：</w:t>
            </w:r>
            <w:r>
              <w:rPr>
                <w:rFonts w:hint="eastAsia" w:hAnsiTheme="minorEastAsia" w:eastAsiaTheme="minorEastAsia"/>
                <w:b/>
                <w:bCs/>
                <w:szCs w:val="21"/>
              </w:rPr>
              <w:t>通过学生掌握的园艺产品的营养成分、功能及营养素形成调控，可为后期进行相关科研研究提供兴趣思路，并培养学生的综合素质能力。</w:t>
            </w:r>
          </w:p>
        </w:tc>
      </w:tr>
      <w:tr>
        <w:tblPrEx>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主撰人：贾</w:t>
            </w:r>
            <w:r>
              <w:rPr>
                <w:rFonts w:hAnsiTheme="minorEastAsia" w:eastAsiaTheme="minorEastAsia"/>
                <w:b/>
                <w:bCs/>
                <w:szCs w:val="21"/>
              </w:rPr>
              <w:t>芝琪</w:t>
            </w:r>
            <w:r>
              <w:rPr>
                <w:rFonts w:hint="eastAsia" w:hAnsiTheme="minorEastAsia" w:eastAsiaTheme="minorEastAsia"/>
                <w:b/>
                <w:bCs/>
                <w:szCs w:val="21"/>
              </w:rPr>
              <w:t xml:space="preserve"> 侯娟 张海朋</w:t>
            </w:r>
          </w:p>
        </w:tc>
        <w:tc>
          <w:tcPr>
            <w:tcW w:w="1453" w:type="pct"/>
          </w:tcPr>
          <w:p>
            <w:pPr>
              <w:spacing w:line="300" w:lineRule="auto"/>
              <w:rPr>
                <w:rFonts w:ascii="宋体" w:hAnsi="宋体"/>
                <w:b/>
                <w:bCs/>
                <w:szCs w:val="21"/>
              </w:rPr>
            </w:pPr>
            <w:r>
              <w:rPr>
                <w:rFonts w:hint="eastAsia" w:ascii="宋体" w:hAnsi="宋体"/>
                <w:b/>
                <w:bCs/>
                <w:szCs w:val="21"/>
              </w:rPr>
              <w:t>审核人：</w:t>
            </w:r>
            <w:r>
              <w:rPr>
                <w:rFonts w:hAnsiTheme="minorEastAsia" w:eastAsiaTheme="minorEastAsia"/>
                <w:b/>
                <w:bCs/>
                <w:szCs w:val="21"/>
              </w:rPr>
              <w:t>王兰菊</w:t>
            </w:r>
          </w:p>
        </w:tc>
        <w:tc>
          <w:tcPr>
            <w:tcW w:w="1881"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rPr>
          <w:rFonts w:hAnsi="宋体"/>
          <w:b/>
          <w:bCs/>
          <w:kern w:val="0"/>
          <w:szCs w:val="21"/>
        </w:rPr>
      </w:pPr>
    </w:p>
    <w:p>
      <w:pPr>
        <w:widowControl/>
        <w:snapToGrid w:val="0"/>
        <w:spacing w:line="360" w:lineRule="auto"/>
        <w:jc w:val="left"/>
        <w:rPr>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r>
        <w:rPr>
          <w:rFonts w:hint="eastAsia" w:ascii="宋体" w:hAnsi="宋体" w:cs="宋体"/>
          <w:b/>
          <w:bCs/>
          <w:kern w:val="0"/>
          <w:szCs w:val="21"/>
        </w:rPr>
        <w:t></w:t>
      </w:r>
    </w:p>
    <w:p>
      <w:pPr>
        <w:widowControl/>
        <w:snapToGrid w:val="0"/>
        <w:spacing w:line="360" w:lineRule="auto"/>
        <w:ind w:firstLine="420"/>
        <w:jc w:val="left"/>
        <w:rPr>
          <w:rFonts w:hAnsiTheme="minorEastAsia"/>
          <w:szCs w:val="21"/>
        </w:rPr>
      </w:pPr>
      <w:r>
        <w:rPr>
          <w:rFonts w:hint="eastAsia" w:asciiTheme="minorEastAsia" w:hAnsiTheme="minorEastAsia" w:cstheme="minorEastAsia"/>
          <w:kern w:val="0"/>
          <w:szCs w:val="21"/>
        </w:rPr>
        <w:t>《园艺产品营养学》是</w:t>
      </w:r>
      <w:r>
        <w:rPr>
          <w:rFonts w:hAnsiTheme="minorEastAsia"/>
          <w:szCs w:val="21"/>
        </w:rPr>
        <w:t>园艺、茶学、设施农业科学与工程专业的选修课</w:t>
      </w:r>
      <w:r>
        <w:rPr>
          <w:rFonts w:hint="eastAsia" w:asciiTheme="minorEastAsia" w:hAnsiTheme="minorEastAsia" w:cstheme="minorEastAsia"/>
          <w:kern w:val="0"/>
          <w:szCs w:val="21"/>
        </w:rPr>
        <w:t>，</w:t>
      </w:r>
      <w:r>
        <w:rPr>
          <w:rFonts w:hint="eastAsia"/>
          <w:color w:val="000000"/>
          <w:szCs w:val="21"/>
          <w:shd w:val="clear" w:color="auto" w:fill="FFFFFF"/>
        </w:rPr>
        <w:t>园艺产品在人们生活中，最重要的作用之一就是提供人们日常食物中所需的果蔬产品。随着园艺产业的发展以及人们对“吃”的方面要求的提高，目前人们对果蔬等园艺产品的消费需求方向也在不断发生变化，在园艺产品的消费过程中更加注重营养品质，由此园艺产业的发展也从数量型向质量型转变。</w:t>
      </w:r>
      <w:r>
        <w:rPr>
          <w:rFonts w:hint="eastAsia" w:asciiTheme="minorEastAsia" w:hAnsiTheme="minorEastAsia" w:cstheme="minorEastAsia"/>
          <w:kern w:val="0"/>
          <w:szCs w:val="21"/>
        </w:rPr>
        <w:t>本课程从营养学角度对不同种类的园艺产品及其功能成分进行分析阐述，重点介绍了基础营养学、园艺产品的营养构成、园艺产品的营养与功能、园艺产品营养的形成与调控等。</w:t>
      </w:r>
      <w:r>
        <w:rPr>
          <w:rFonts w:hAnsiTheme="minorEastAsia"/>
          <w:szCs w:val="21"/>
        </w:rPr>
        <w:t>本课程的开设可进一步</w:t>
      </w:r>
      <w:r>
        <w:rPr>
          <w:rFonts w:hint="eastAsia" w:hAnsiTheme="minorEastAsia"/>
          <w:szCs w:val="21"/>
        </w:rPr>
        <w:t>让学生了解</w:t>
      </w:r>
      <w:r>
        <w:rPr>
          <w:rFonts w:hint="eastAsia"/>
          <w:color w:val="000000"/>
          <w:szCs w:val="21"/>
          <w:shd w:val="clear" w:color="auto" w:fill="FFFFFF"/>
        </w:rPr>
        <w:t>园艺产品与人类生活、人体健康、产业发展等的联系</w:t>
      </w:r>
      <w:r>
        <w:rPr>
          <w:rFonts w:hint="eastAsia" w:hAnsiTheme="minorEastAsia"/>
          <w:szCs w:val="21"/>
        </w:rPr>
        <w:t>，提高对园艺产品的认知水平，</w:t>
      </w:r>
      <w:r>
        <w:rPr>
          <w:rFonts w:hAnsiTheme="minorEastAsia"/>
          <w:szCs w:val="21"/>
        </w:rPr>
        <w:t>加强学生的综合素质培养，增强学生发现问题、分析问题和解决问题的能力，推动我国</w:t>
      </w:r>
      <w:r>
        <w:rPr>
          <w:rFonts w:hint="eastAsia" w:hAnsiTheme="minorEastAsia"/>
          <w:szCs w:val="21"/>
        </w:rPr>
        <w:t>园艺产品品质调控的</w:t>
      </w:r>
      <w:r>
        <w:rPr>
          <w:rFonts w:hAnsiTheme="minorEastAsia"/>
          <w:szCs w:val="21"/>
        </w:rPr>
        <w:t>研究与应用。</w:t>
      </w:r>
      <w:r>
        <w:rPr>
          <w:rFonts w:hint="eastAsia" w:hAnsiTheme="minorEastAsia"/>
          <w:szCs w:val="21"/>
        </w:rPr>
        <w:t>本课程最重要的教学理念就是以学生为本，一切为了学生的发展，采用教师讲授和翻转课堂相结合的教学方法。</w:t>
      </w:r>
      <w:r>
        <w:rPr>
          <w:rFonts w:hint="eastAsia" w:asciiTheme="minorEastAsia" w:hAnsiTheme="minorEastAsia" w:cstheme="minorEastAsia"/>
          <w:kern w:val="0"/>
          <w:szCs w:val="21"/>
        </w:rPr>
        <w:t>通过该课程的学习，</w:t>
      </w:r>
      <w:r>
        <w:rPr>
          <w:rFonts w:hint="eastAsia" w:asciiTheme="minorEastAsia" w:hAnsiTheme="minorEastAsia" w:cstheme="minorEastAsia"/>
        </w:rPr>
        <w:t>学生能全面了解园艺产品营养学理论，掌握园艺营养保健相关的功能成分、营养价值及其应用前景；熟悉园艺产品的营养保健功能，园艺产品营养形成与调控的路径，为开发高营养价值的园艺产品，调整人们膳食结构提供基本知识和信息。</w:t>
      </w:r>
    </w:p>
    <w:p>
      <w:pPr>
        <w:widowControl/>
        <w:snapToGrid w:val="0"/>
        <w:spacing w:line="360" w:lineRule="auto"/>
        <w:jc w:val="left"/>
        <w:rPr>
          <w:kern w:val="0"/>
          <w:szCs w:val="21"/>
        </w:rPr>
      </w:pPr>
      <w:r>
        <w:rPr>
          <w:rFonts w:hAnsi="宋体"/>
          <w:b/>
          <w:bCs/>
          <w:kern w:val="0"/>
          <w:szCs w:val="21"/>
        </w:rPr>
        <w:t>二、课程教学的基本要求</w:t>
      </w:r>
    </w:p>
    <w:p>
      <w:pPr>
        <w:widowControl/>
        <w:snapToGrid w:val="0"/>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本课程在教学中应注重理论联系实际，通过本课程的学习，学生能结合实际生活中的遇到的问题，加以科学分析，从理论上了解园艺产品营养成分和功能，为科学制定膳食营养计划、园艺产品的开发和利用、改善人民营养水平、增进人民体质做出贡献。</w:t>
      </w:r>
    </w:p>
    <w:p>
      <w:pPr>
        <w:widowControl/>
        <w:snapToGrid w:val="0"/>
        <w:spacing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spacing w:line="360" w:lineRule="auto"/>
        <w:ind w:firstLine="420" w:firstLineChars="200"/>
        <w:rPr>
          <w:rFonts w:hAnsi="宋体"/>
          <w:bCs/>
          <w:kern w:val="0"/>
          <w:szCs w:val="21"/>
        </w:rPr>
      </w:pPr>
      <w:r>
        <w:rPr>
          <w:rFonts w:hint="eastAsia" w:hAnsi="宋体"/>
          <w:bCs/>
          <w:kern w:val="0"/>
          <w:szCs w:val="21"/>
        </w:rPr>
        <w:t>1.教学设计说明</w:t>
      </w:r>
    </w:p>
    <w:p>
      <w:pPr>
        <w:pStyle w:val="10"/>
        <w:snapToGrid w:val="0"/>
        <w:spacing w:line="360" w:lineRule="auto"/>
        <w:ind w:right="-290" w:rightChars="-138" w:firstLine="420" w:firstLineChars="200"/>
        <w:rPr>
          <w:rFonts w:ascii="Times New Roman" w:hAnsi="宋体" w:cs="Times New Roman"/>
          <w:bCs/>
          <w:kern w:val="0"/>
        </w:rPr>
      </w:pPr>
      <w:r>
        <w:rPr>
          <w:rFonts w:hint="eastAsia" w:ascii="Times New Roman" w:hAnsi="宋体" w:cs="Times New Roman"/>
          <w:bCs/>
          <w:kern w:val="0"/>
        </w:rPr>
        <w:t>围绕课程教学目标及教学内容，</w:t>
      </w:r>
      <w:r>
        <w:rPr>
          <w:rFonts w:ascii="Times New Roman" w:hAnsi="宋体" w:cs="Times New Roman"/>
          <w:bCs/>
          <w:kern w:val="0"/>
        </w:rPr>
        <w:t>总体上采取“教—学—</w:t>
      </w:r>
      <w:r>
        <w:rPr>
          <w:rFonts w:hint="eastAsia" w:ascii="Times New Roman" w:hAnsi="宋体" w:cs="Times New Roman"/>
          <w:bCs/>
          <w:kern w:val="0"/>
        </w:rPr>
        <w:t>讨论</w:t>
      </w:r>
      <w:r>
        <w:rPr>
          <w:rFonts w:ascii="Times New Roman" w:hAnsi="宋体" w:cs="Times New Roman"/>
          <w:bCs/>
          <w:kern w:val="0"/>
        </w:rPr>
        <w:t>—</w:t>
      </w:r>
      <w:r>
        <w:rPr>
          <w:rFonts w:hint="eastAsia" w:ascii="Times New Roman" w:hAnsi="宋体" w:cs="Times New Roman"/>
          <w:bCs/>
          <w:kern w:val="0"/>
        </w:rPr>
        <w:t>翻转课堂</w:t>
      </w:r>
      <w:r>
        <w:rPr>
          <w:rFonts w:ascii="Times New Roman" w:hAnsi="宋体" w:cs="Times New Roman"/>
          <w:bCs/>
          <w:kern w:val="0"/>
        </w:rPr>
        <w:t>”一体化的教学</w:t>
      </w:r>
      <w:r>
        <w:rPr>
          <w:rFonts w:hint="eastAsia" w:ascii="Times New Roman" w:hAnsi="宋体" w:cs="Times New Roman"/>
          <w:bCs/>
          <w:kern w:val="0"/>
        </w:rPr>
        <w:t>策略</w:t>
      </w:r>
      <w:r>
        <w:rPr>
          <w:rFonts w:ascii="Times New Roman" w:hAnsi="宋体" w:cs="Times New Roman"/>
          <w:bCs/>
          <w:kern w:val="0"/>
        </w:rPr>
        <w:t>，</w:t>
      </w:r>
      <w:r>
        <w:rPr>
          <w:rFonts w:hint="eastAsia" w:ascii="Times New Roman" w:hAnsi="宋体" w:cs="Times New Roman"/>
          <w:bCs/>
          <w:kern w:val="0"/>
        </w:rPr>
        <w:t>基础营养学部分</w:t>
      </w:r>
      <w:r>
        <w:rPr>
          <w:rFonts w:ascii="Times New Roman" w:hAnsi="宋体" w:cs="Times New Roman"/>
          <w:bCs/>
          <w:kern w:val="0"/>
        </w:rPr>
        <w:t>以教师为主导、学生为主体的方式，</w:t>
      </w:r>
      <w:r>
        <w:rPr>
          <w:rFonts w:hint="eastAsia" w:ascii="Times New Roman" w:hAnsi="宋体" w:cs="Times New Roman"/>
          <w:bCs/>
          <w:kern w:val="0"/>
        </w:rPr>
        <w:t>园艺产品营养各论部分</w:t>
      </w:r>
      <w:r>
        <w:rPr>
          <w:rFonts w:ascii="Times New Roman" w:hAnsi="宋体" w:cs="Times New Roman"/>
          <w:bCs/>
          <w:kern w:val="0"/>
        </w:rPr>
        <w:t>以学生为主导、</w:t>
      </w:r>
      <w:r>
        <w:rPr>
          <w:rFonts w:hint="eastAsia" w:ascii="Times New Roman" w:hAnsi="宋体" w:cs="Times New Roman"/>
          <w:bCs/>
          <w:kern w:val="0"/>
        </w:rPr>
        <w:t>教师</w:t>
      </w:r>
      <w:r>
        <w:rPr>
          <w:rFonts w:ascii="Times New Roman" w:hAnsi="宋体" w:cs="Times New Roman"/>
          <w:bCs/>
          <w:kern w:val="0"/>
        </w:rPr>
        <w:t>辅助的方式开展教学工作。主要</w:t>
      </w:r>
      <w:r>
        <w:rPr>
          <w:rFonts w:hint="eastAsia" w:ascii="Times New Roman" w:hAnsi="宋体" w:cs="Times New Roman"/>
          <w:bCs/>
          <w:kern w:val="0"/>
        </w:rPr>
        <w:t>采用以下</w:t>
      </w:r>
      <w:r>
        <w:rPr>
          <w:rFonts w:ascii="Times New Roman" w:hAnsi="宋体" w:cs="Times New Roman"/>
          <w:bCs/>
          <w:kern w:val="0"/>
        </w:rPr>
        <w:t>教学方法：教学团队专题式教学，成立课程</w:t>
      </w:r>
      <w:r>
        <w:rPr>
          <w:rFonts w:hint="eastAsia" w:ascii="Times New Roman" w:hAnsi="宋体" w:cs="Times New Roman"/>
          <w:bCs/>
          <w:kern w:val="0"/>
        </w:rPr>
        <w:t>团队</w:t>
      </w:r>
      <w:r>
        <w:rPr>
          <w:rFonts w:ascii="Times New Roman" w:hAnsi="宋体" w:cs="Times New Roman"/>
          <w:bCs/>
          <w:kern w:val="0"/>
        </w:rPr>
        <w:t>，</w:t>
      </w:r>
      <w:r>
        <w:rPr>
          <w:rFonts w:hint="eastAsia" w:ascii="Times New Roman" w:hAnsi="宋体" w:cs="Times New Roman"/>
          <w:bCs/>
          <w:kern w:val="0"/>
        </w:rPr>
        <w:t>每位老师</w:t>
      </w:r>
      <w:r>
        <w:rPr>
          <w:rFonts w:ascii="Times New Roman" w:hAnsi="宋体" w:cs="Times New Roman"/>
          <w:bCs/>
          <w:kern w:val="0"/>
        </w:rPr>
        <w:t>分别在自己</w:t>
      </w:r>
      <w:r>
        <w:rPr>
          <w:rFonts w:hint="eastAsia" w:ascii="Times New Roman" w:hAnsi="宋体" w:cs="Times New Roman"/>
          <w:bCs/>
          <w:kern w:val="0"/>
        </w:rPr>
        <w:t>最</w:t>
      </w:r>
      <w:r>
        <w:rPr>
          <w:rFonts w:ascii="Times New Roman" w:hAnsi="宋体" w:cs="Times New Roman"/>
          <w:bCs/>
          <w:kern w:val="0"/>
        </w:rPr>
        <w:t>擅长的方面，给学生进行专题教学；结合教学大纲，将章节内容系统化，突出重难点、考核目标，让学生明确考</w:t>
      </w:r>
      <w:r>
        <w:rPr>
          <w:rFonts w:hint="eastAsia" w:ascii="Times New Roman" w:hAnsi="宋体" w:cs="Times New Roman"/>
          <w:bCs/>
          <w:kern w:val="0"/>
        </w:rPr>
        <w:t>核</w:t>
      </w:r>
      <w:r>
        <w:rPr>
          <w:rFonts w:ascii="Times New Roman" w:hAnsi="宋体" w:cs="Times New Roman"/>
          <w:bCs/>
          <w:kern w:val="0"/>
        </w:rPr>
        <w:t>内容和要求，更有方向地学习本课程；</w:t>
      </w:r>
      <w:r>
        <w:rPr>
          <w:rFonts w:hint="eastAsia" w:ascii="Times New Roman" w:hAnsi="宋体" w:cs="Times New Roman"/>
          <w:bCs/>
          <w:kern w:val="0"/>
        </w:rPr>
        <w:t>基础营养学部分，</w:t>
      </w:r>
      <w:r>
        <w:rPr>
          <w:rFonts w:ascii="Times New Roman" w:hAnsi="宋体" w:cs="Times New Roman"/>
          <w:bCs/>
          <w:kern w:val="0"/>
        </w:rPr>
        <w:t>理论课小班授课，以教师为主导、学生为主体，采用案例启示、课堂讲授、观摩相关视频、与学生互动，鼓励学生积极参与教学中等多种教学方法，最大程度地激发学生的主观能动性；</w:t>
      </w:r>
      <w:r>
        <w:rPr>
          <w:rFonts w:hint="eastAsia" w:ascii="Times New Roman" w:hAnsi="宋体" w:cs="Times New Roman"/>
          <w:bCs/>
          <w:kern w:val="0"/>
        </w:rPr>
        <w:t>园艺产品营养各论部分及营养形成调控部分，以学生为主导</w:t>
      </w:r>
      <w:r>
        <w:rPr>
          <w:rFonts w:ascii="Times New Roman" w:hAnsi="宋体" w:cs="Times New Roman"/>
          <w:bCs/>
          <w:kern w:val="0"/>
        </w:rPr>
        <w:t>、老师进行辅助，</w:t>
      </w:r>
      <w:r>
        <w:rPr>
          <w:rFonts w:hint="eastAsia" w:ascii="Times New Roman" w:hAnsi="宋体" w:cs="Times New Roman"/>
          <w:bCs/>
          <w:kern w:val="0"/>
        </w:rPr>
        <w:t>采用翻转课堂，让学生搜集信息、制作课程内容讲解与讨论，</w:t>
      </w:r>
      <w:r>
        <w:rPr>
          <w:rFonts w:ascii="Times New Roman" w:hAnsi="宋体" w:cs="Times New Roman"/>
          <w:bCs/>
          <w:kern w:val="0"/>
        </w:rPr>
        <w:t>鼓励学生动手操作，加强动手操作能力培养；并对</w:t>
      </w:r>
      <w:r>
        <w:rPr>
          <w:rFonts w:hint="eastAsia" w:ascii="Times New Roman" w:hAnsi="宋体" w:cs="Times New Roman"/>
          <w:bCs/>
          <w:kern w:val="0"/>
        </w:rPr>
        <w:t>课堂讨论、学生讲解内容丰富度、充实度、准确度、层次性、讲解表达仪态等方面</w:t>
      </w:r>
      <w:r>
        <w:rPr>
          <w:rFonts w:ascii="Times New Roman" w:hAnsi="宋体" w:cs="Times New Roman"/>
          <w:bCs/>
          <w:kern w:val="0"/>
        </w:rPr>
        <w:t>进行</w:t>
      </w:r>
      <w:r>
        <w:rPr>
          <w:rFonts w:hint="eastAsia" w:ascii="Times New Roman" w:hAnsi="宋体" w:cs="Times New Roman"/>
          <w:bCs/>
          <w:kern w:val="0"/>
        </w:rPr>
        <w:t>过程性评价，最后以课程论文形式进行终结性评价，促使学生</w:t>
      </w:r>
      <w:r>
        <w:rPr>
          <w:rFonts w:ascii="Times New Roman" w:hAnsi="宋体" w:cs="Times New Roman"/>
          <w:bCs/>
          <w:kern w:val="0"/>
        </w:rPr>
        <w:t>更好的掌握相关知识。</w:t>
      </w:r>
    </w:p>
    <w:p>
      <w:pPr>
        <w:spacing w:line="360" w:lineRule="auto"/>
        <w:ind w:firstLine="420" w:firstLineChars="200"/>
        <w:rPr>
          <w:rFonts w:hAnsi="宋体"/>
          <w:bCs/>
          <w:kern w:val="0"/>
          <w:szCs w:val="21"/>
        </w:rPr>
      </w:pPr>
      <w:r>
        <w:rPr>
          <w:rFonts w:hint="eastAsia" w:hAnsi="宋体"/>
          <w:bCs/>
          <w:kern w:val="0"/>
          <w:szCs w:val="21"/>
        </w:rPr>
        <w:t>2.课程目标及对毕业要求的支撑</w:t>
      </w:r>
    </w:p>
    <w:tbl>
      <w:tblPr>
        <w:tblStyle w:val="22"/>
        <w:tblW w:w="8897" w:type="dxa"/>
        <w:jc w:val="center"/>
        <w:tblLayout w:type="autofit"/>
        <w:tblCellMar>
          <w:top w:w="0" w:type="dxa"/>
          <w:left w:w="108" w:type="dxa"/>
          <w:bottom w:w="0" w:type="dxa"/>
          <w:right w:w="108" w:type="dxa"/>
        </w:tblCellMar>
      </w:tblPr>
      <w:tblGrid>
        <w:gridCol w:w="999"/>
        <w:gridCol w:w="6846"/>
        <w:gridCol w:w="1052"/>
      </w:tblGrid>
      <w:tr>
        <w:tblPrEx>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ind w:firstLine="361"/>
              <w:jc w:val="center"/>
              <w:rPr>
                <w:rFonts w:ascii="宋体" w:hAnsi="宋体" w:cs="宋体"/>
                <w:b/>
                <w:bCs/>
                <w:sz w:val="18"/>
                <w:szCs w:val="18"/>
              </w:rPr>
            </w:pPr>
            <w:r>
              <w:rPr>
                <w:rFonts w:hint="eastAsia" w:ascii="宋体" w:hAnsi="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rPr>
                <w:rFonts w:ascii="宋体" w:hAnsi="宋体" w:cs="宋体"/>
                <w:b/>
                <w:bCs/>
                <w:sz w:val="18"/>
                <w:szCs w:val="18"/>
              </w:rPr>
            </w:pPr>
            <w:r>
              <w:rPr>
                <w:rFonts w:hint="eastAsia" w:ascii="宋体" w:hAnsi="宋体" w:cs="宋体"/>
                <w:b/>
                <w:bCs/>
                <w:sz w:val="18"/>
                <w:szCs w:val="18"/>
              </w:rPr>
              <w:t>毕业要求</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rPr>
            </w:pPr>
            <w:r>
              <w:rPr>
                <w:rFonts w:hint="eastAsia" w:hAnsiTheme="minorEastAsia" w:eastAsiaTheme="minorEastAsia"/>
                <w:sz w:val="18"/>
                <w:szCs w:val="21"/>
              </w:rPr>
              <w:t>目标1：通过课程的学习，培养学生热爱祖国，热爱人民，具有正确的政治方向，拥护中国共产党的领导。树立正确的世界观、价值观和人生观，自觉践行社会主义核心价值观，做到四个自信。</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eastAsiaTheme="minorEastAsia"/>
                <w:sz w:val="18"/>
                <w:szCs w:val="18"/>
              </w:rPr>
              <w:t>1</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hAnsiTheme="minorEastAsia" w:eastAsiaTheme="minorEastAsia"/>
                <w:sz w:val="18"/>
                <w:szCs w:val="18"/>
                <w:highlight w:val="yellow"/>
              </w:rPr>
            </w:pPr>
            <w:r>
              <w:rPr>
                <w:rFonts w:hint="eastAsia" w:hAnsiTheme="minorEastAsia" w:eastAsiaTheme="minorEastAsia"/>
                <w:sz w:val="18"/>
                <w:szCs w:val="21"/>
              </w:rPr>
              <w:t>目标2：</w:t>
            </w:r>
            <w:r>
              <w:rPr>
                <w:rFonts w:hAnsiTheme="minorEastAsia" w:eastAsiaTheme="minorEastAsia"/>
                <w:sz w:val="18"/>
                <w:szCs w:val="21"/>
              </w:rPr>
              <w:t>本课程的开设可进一步加强学生的综合素质和创新能力的培养，增强学生在植物生产中发现问题、分析问题和解决问题的能力，推动我国</w:t>
            </w:r>
            <w:r>
              <w:rPr>
                <w:rFonts w:hint="eastAsia" w:hAnsiTheme="minorEastAsia" w:eastAsiaTheme="minorEastAsia"/>
                <w:sz w:val="18"/>
                <w:szCs w:val="21"/>
              </w:rPr>
              <w:t>园艺产品品质营养调控的</w:t>
            </w:r>
            <w:r>
              <w:rPr>
                <w:rFonts w:hAnsiTheme="minorEastAsia" w:eastAsiaTheme="minorEastAsia"/>
                <w:sz w:val="18"/>
                <w:szCs w:val="21"/>
              </w:rPr>
              <w:t>研究与应用。</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eastAsiaTheme="minorEastAsia"/>
                <w:sz w:val="18"/>
                <w:szCs w:val="18"/>
              </w:rPr>
            </w:pPr>
            <w:r>
              <w:rPr>
                <w:rFonts w:hint="eastAsia" w:eastAsiaTheme="minorEastAsia"/>
                <w:sz w:val="18"/>
                <w:szCs w:val="18"/>
              </w:rPr>
              <w:t>4</w:t>
            </w:r>
          </w:p>
        </w:tc>
      </w:tr>
      <w:tr>
        <w:tblPrEx>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left"/>
              <w:rPr>
                <w:rFonts w:eastAsiaTheme="minorEastAsia"/>
                <w:sz w:val="18"/>
                <w:szCs w:val="18"/>
              </w:rPr>
            </w:pPr>
            <w:r>
              <w:rPr>
                <w:rFonts w:hAnsiTheme="minorEastAsia" w:eastAsiaTheme="minorEastAsia"/>
                <w:sz w:val="18"/>
                <w:szCs w:val="21"/>
              </w:rPr>
              <w:t>目标3：</w:t>
            </w:r>
            <w:r>
              <w:rPr>
                <w:rFonts w:hint="eastAsia" w:hAnsiTheme="minorEastAsia" w:eastAsiaTheme="minorEastAsia"/>
                <w:sz w:val="18"/>
                <w:szCs w:val="21"/>
              </w:rPr>
              <w:t>通过课程的学习，使学生了解园艺产品的营养成分、园艺产品与人类生活、营养成分与人体健康、产业发展等的联系，提高对园艺产品的认知水平</w:t>
            </w:r>
            <w:r>
              <w:rPr>
                <w:rFonts w:hAnsiTheme="minorEastAsia" w:eastAsiaTheme="minorEastAsia"/>
                <w:sz w:val="18"/>
                <w:szCs w:val="21"/>
              </w:rPr>
              <w:t>，为学生将来从事</w:t>
            </w:r>
            <w:r>
              <w:rPr>
                <w:rFonts w:hint="eastAsia" w:hAnsiTheme="minorEastAsia" w:eastAsiaTheme="minorEastAsia"/>
                <w:sz w:val="18"/>
                <w:szCs w:val="21"/>
              </w:rPr>
              <w:t>园艺产品营养学</w:t>
            </w:r>
            <w:r>
              <w:rPr>
                <w:rFonts w:hAnsiTheme="minorEastAsia" w:eastAsiaTheme="minorEastAsia"/>
                <w:sz w:val="18"/>
                <w:szCs w:val="21"/>
              </w:rPr>
              <w:t>相关教学、科研和经营</w:t>
            </w:r>
            <w:r>
              <w:rPr>
                <w:rFonts w:hint="eastAsia" w:hAnsiTheme="minorEastAsia" w:eastAsiaTheme="minorEastAsia"/>
                <w:sz w:val="18"/>
                <w:szCs w:val="21"/>
              </w:rPr>
              <w:t>实践</w:t>
            </w:r>
            <w:r>
              <w:rPr>
                <w:rFonts w:hAnsiTheme="minorEastAsia" w:eastAsiaTheme="minorEastAsia"/>
                <w:sz w:val="18"/>
                <w:szCs w:val="21"/>
              </w:rPr>
              <w:t>等多方面工作奠定良好的基础。</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ind w:firstLine="360"/>
              <w:jc w:val="both"/>
              <w:rPr>
                <w:rFonts w:hint="eastAsia" w:eastAsiaTheme="minorEastAsia"/>
                <w:sz w:val="18"/>
                <w:szCs w:val="18"/>
              </w:rPr>
            </w:pPr>
            <w:r>
              <w:rPr>
                <w:rFonts w:hint="eastAsia" w:eastAsiaTheme="minorEastAsia"/>
                <w:sz w:val="18"/>
                <w:szCs w:val="18"/>
              </w:rPr>
              <w:t>5</w:t>
            </w:r>
          </w:p>
          <w:p>
            <w:pPr>
              <w:spacing w:line="320" w:lineRule="exact"/>
              <w:ind w:firstLine="360"/>
              <w:jc w:val="both"/>
              <w:rPr>
                <w:rFonts w:eastAsiaTheme="minorEastAsia"/>
                <w:sz w:val="18"/>
                <w:szCs w:val="18"/>
              </w:rPr>
            </w:pPr>
            <w:r>
              <w:rPr>
                <w:rFonts w:hint="eastAsia" w:eastAsiaTheme="minorEastAsia"/>
                <w:sz w:val="18"/>
                <w:szCs w:val="18"/>
              </w:rPr>
              <w:t>7</w:t>
            </w:r>
          </w:p>
        </w:tc>
      </w:tr>
    </w:tbl>
    <w:p>
      <w:pPr>
        <w:pStyle w:val="10"/>
        <w:snapToGrid w:val="0"/>
        <w:spacing w:line="360" w:lineRule="auto"/>
        <w:ind w:right="-290" w:rightChars="-138" w:firstLine="420" w:firstLineChars="200"/>
        <w:rPr>
          <w:rFonts w:ascii="Times New Roman" w:hAnsi="宋体" w:cs="Times New Roman"/>
          <w:bCs/>
          <w:kern w:val="0"/>
        </w:rPr>
      </w:pPr>
    </w:p>
    <w:p>
      <w:pPr>
        <w:widowControl/>
        <w:numPr>
          <w:ilvl w:val="0"/>
          <w:numId w:val="43"/>
        </w:numPr>
        <w:snapToGrid w:val="0"/>
        <w:spacing w:line="360" w:lineRule="auto"/>
        <w:jc w:val="left"/>
        <w:rPr>
          <w:rFonts w:hAnsi="宋体"/>
          <w:b/>
          <w:bCs/>
          <w:kern w:val="0"/>
          <w:szCs w:val="21"/>
        </w:rPr>
      </w:pPr>
      <w:r>
        <w:rPr>
          <w:rFonts w:hAnsi="宋体"/>
          <w:b/>
          <w:bCs/>
          <w:kern w:val="0"/>
          <w:szCs w:val="21"/>
        </w:rPr>
        <w:t>理论教学内容及学时分配</w:t>
      </w:r>
      <w:r>
        <w:rPr>
          <w:rFonts w:hint="eastAsia" w:hAnsi="宋体"/>
          <w:b/>
          <w:bCs/>
          <w:kern w:val="0"/>
          <w:szCs w:val="21"/>
        </w:rPr>
        <w:t>（32学时）</w:t>
      </w:r>
    </w:p>
    <w:p>
      <w:pPr>
        <w:widowControl/>
        <w:wordWrap w:val="0"/>
        <w:snapToGrid w:val="0"/>
        <w:spacing w:line="360" w:lineRule="auto"/>
        <w:jc w:val="right"/>
        <w:rPr>
          <w:rFonts w:ascii="宋体" w:hAnsi="宋体"/>
          <w:b/>
          <w:bCs/>
        </w:rPr>
      </w:pPr>
      <w:r>
        <w:rPr>
          <w:rFonts w:hint="eastAsia" w:hAnsi="宋体"/>
          <w:b/>
          <w:bCs/>
          <w:kern w:val="0"/>
          <w:szCs w:val="21"/>
        </w:rPr>
        <w:t></w:t>
      </w:r>
      <w:r>
        <w:rPr>
          <w:b/>
          <w:bCs/>
          <w:kern w:val="0"/>
          <w:szCs w:val="21"/>
        </w:rPr>
        <w:t> </w:t>
      </w:r>
      <w:r>
        <w:rPr>
          <w:rFonts w:hint="eastAsia" w:asciiTheme="minorEastAsia" w:hAnsiTheme="minorEastAsia" w:cstheme="minorEastAsia"/>
          <w:b/>
          <w:bCs/>
          <w:kern w:val="0"/>
          <w:szCs w:val="21"/>
        </w:rPr>
        <w:t>绪  论</w:t>
      </w:r>
      <w:r>
        <w:rPr>
          <w:b/>
          <w:bCs/>
          <w:kern w:val="0"/>
          <w:szCs w:val="21"/>
        </w:rPr>
        <w:t>     </w:t>
      </w:r>
      <w:r>
        <w:rPr>
          <w:rFonts w:hint="eastAsia"/>
          <w:b/>
          <w:bCs/>
          <w:kern w:val="0"/>
          <w:szCs w:val="21"/>
        </w:rPr>
        <w:t xml:space="preserve">              </w:t>
      </w:r>
      <w:r>
        <w:rPr>
          <w:b/>
          <w:bCs/>
          <w:kern w:val="0"/>
          <w:szCs w:val="21"/>
        </w:rPr>
        <w:t>                     </w:t>
      </w:r>
      <w:r>
        <w:rPr>
          <w:rFonts w:hAnsi="宋体"/>
          <w:b/>
          <w:bCs/>
          <w:kern w:val="0"/>
          <w:szCs w:val="21"/>
        </w:rPr>
        <w:t>学时</w:t>
      </w:r>
      <w:r>
        <w:rPr>
          <w:rFonts w:hint="eastAsia" w:hAnsi="宋体"/>
          <w:b/>
          <w:bCs/>
          <w:kern w:val="0"/>
          <w:szCs w:val="21"/>
        </w:rPr>
        <w:t>数：</w:t>
      </w:r>
      <w:r>
        <w:rPr>
          <w:rFonts w:hint="eastAsia" w:hAnsi="宋体"/>
          <w:b/>
          <w:bCs/>
          <w:color w:val="000000" w:themeColor="text1"/>
          <w:kern w:val="0"/>
          <w:szCs w:val="21"/>
          <w14:textFill>
            <w14:solidFill>
              <w14:schemeClr w14:val="tx1"/>
            </w14:solidFill>
          </w14:textFill>
        </w:rPr>
        <w:t>2学时</w:t>
      </w:r>
    </w:p>
    <w:p>
      <w:pPr>
        <w:spacing w:line="360" w:lineRule="auto"/>
        <w:rPr>
          <w:b/>
          <w:kern w:val="0"/>
          <w:szCs w:val="21"/>
        </w:rPr>
      </w:pPr>
      <w:r>
        <w:rPr>
          <w:rFonts w:hint="eastAsia"/>
          <w:b/>
          <w:kern w:val="0"/>
          <w:szCs w:val="21"/>
        </w:rPr>
        <w:t>教学目标：</w:t>
      </w:r>
    </w:p>
    <w:p>
      <w:pPr>
        <w:spacing w:line="360" w:lineRule="auto"/>
        <w:ind w:firstLine="420"/>
        <w:rPr>
          <w:rFonts w:asciiTheme="minorEastAsia" w:hAnsiTheme="minorEastAsia" w:cstheme="minorEastAsia"/>
          <w:szCs w:val="21"/>
        </w:rPr>
      </w:pPr>
      <w:r>
        <w:rPr>
          <w:rFonts w:hint="eastAsia" w:asciiTheme="minorEastAsia" w:hAnsiTheme="minorEastAsia" w:cstheme="minorEastAsia"/>
          <w:szCs w:val="21"/>
        </w:rPr>
        <w:t>1．</w:t>
      </w:r>
      <w:r>
        <w:rPr>
          <w:rFonts w:hint="eastAsia" w:asciiTheme="minorEastAsia" w:hAnsiTheme="minorEastAsia" w:cstheme="minorEastAsia"/>
        </w:rPr>
        <w:t>明确本课程的学习目标及主要学习内容，掌握营养学的相关概念，了解食品营养学的发展历史以及国内外的饮食营养状况</w:t>
      </w:r>
      <w:r>
        <w:rPr>
          <w:rFonts w:hint="eastAsia" w:asciiTheme="minorEastAsia" w:hAnsiTheme="minorEastAsia" w:cstheme="minorEastAsia"/>
          <w:szCs w:val="21"/>
        </w:rPr>
        <w:t>，熟悉我国居民的主要营养问题。</w:t>
      </w:r>
    </w:p>
    <w:p>
      <w:pPr>
        <w:spacing w:line="360" w:lineRule="auto"/>
        <w:ind w:firstLine="420"/>
        <w:rPr>
          <w:b/>
          <w:kern w:val="0"/>
          <w:szCs w:val="21"/>
        </w:rPr>
      </w:pPr>
      <w:r>
        <w:rPr>
          <w:rFonts w:hint="eastAsia" w:asciiTheme="minorEastAsia" w:hAnsiTheme="minorEastAsia" w:cstheme="minorEastAsia"/>
          <w:szCs w:val="21"/>
        </w:rPr>
        <w:t>2.通过对营养学相关知识的探讨，使学生充分认识到食物、营养与健康的关系。</w:t>
      </w:r>
    </w:p>
    <w:p>
      <w:pPr>
        <w:spacing w:line="360" w:lineRule="auto"/>
        <w:rPr>
          <w:b/>
          <w:kern w:val="0"/>
          <w:szCs w:val="21"/>
        </w:rPr>
      </w:pPr>
      <w:r>
        <w:rPr>
          <w:rFonts w:hint="eastAsia"/>
          <w:b/>
          <w:kern w:val="0"/>
          <w:szCs w:val="21"/>
        </w:rPr>
        <w:t>教学重点和难点：</w:t>
      </w:r>
      <w:r>
        <w:rPr>
          <w:rFonts w:hint="eastAsia" w:asciiTheme="minorEastAsia" w:hAnsiTheme="minorEastAsia" w:cstheme="minorEastAsia"/>
          <w:bCs/>
        </w:rPr>
        <w:t>园艺产品营养学的重要意义；中国居民膳食指南的内容。</w:t>
      </w:r>
    </w:p>
    <w:p>
      <w:pPr>
        <w:spacing w:line="360" w:lineRule="auto"/>
        <w:rPr>
          <w:b/>
          <w:kern w:val="0"/>
          <w:szCs w:val="21"/>
        </w:rPr>
      </w:pPr>
      <w:r>
        <w:rPr>
          <w:rFonts w:hint="eastAsia"/>
          <w:b/>
          <w:kern w:val="0"/>
          <w:szCs w:val="21"/>
        </w:rPr>
        <w:t>主要教学内容及要求：</w:t>
      </w:r>
    </w:p>
    <w:p>
      <w:pPr>
        <w:pStyle w:val="10"/>
        <w:spacing w:line="36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主要内容：</w:t>
      </w:r>
    </w:p>
    <w:p>
      <w:pPr>
        <w:pStyle w:val="10"/>
        <w:spacing w:line="360" w:lineRule="auto"/>
        <w:ind w:firstLine="420" w:firstLineChars="200"/>
        <w:rPr>
          <w:rFonts w:asciiTheme="minorEastAsia" w:hAnsiTheme="minorEastAsia" w:eastAsiaTheme="minorEastAsia" w:cstheme="minorEastAsia"/>
          <w:kern w:val="0"/>
        </w:rPr>
      </w:pPr>
      <w:r>
        <w:rPr>
          <w:rFonts w:hint="eastAsia" w:asciiTheme="minorEastAsia" w:hAnsiTheme="minorEastAsia" w:eastAsiaTheme="minorEastAsia" w:cstheme="minorEastAsia"/>
          <w:bCs/>
        </w:rPr>
        <w:t>营养学基本概念及发展简史；营养与人体健康；营养平衡与膳食指南；</w:t>
      </w:r>
      <w:r>
        <w:rPr>
          <w:rFonts w:hint="eastAsia" w:asciiTheme="minorEastAsia" w:hAnsiTheme="minorEastAsia" w:eastAsiaTheme="minorEastAsia" w:cstheme="minorEastAsia"/>
        </w:rPr>
        <w:t>园艺产品营养学的形成和发展；</w:t>
      </w:r>
      <w:r>
        <w:rPr>
          <w:rFonts w:hint="eastAsia" w:asciiTheme="minorEastAsia" w:hAnsiTheme="minorEastAsia" w:eastAsiaTheme="minorEastAsia" w:cstheme="minorEastAsia"/>
          <w:bCs/>
        </w:rPr>
        <w:t>学习园艺产品营养学的重要意义。</w:t>
      </w:r>
      <w:r>
        <w:rPr>
          <w:rFonts w:hint="eastAsia" w:asciiTheme="minorEastAsia" w:hAnsiTheme="minorEastAsia" w:eastAsiaTheme="minorEastAsia" w:cstheme="minorEastAsia"/>
          <w:kern w:val="0"/>
        </w:rPr>
        <w:t></w:t>
      </w:r>
    </w:p>
    <w:p>
      <w:pPr>
        <w:spacing w:line="360" w:lineRule="auto"/>
        <w:rPr>
          <w:rFonts w:asciiTheme="minorEastAsia" w:hAnsiTheme="minorEastAsia" w:cstheme="minorEastAsia"/>
          <w:kern w:val="0"/>
          <w:szCs w:val="21"/>
        </w:rPr>
      </w:pPr>
      <w:r>
        <w:rPr>
          <w:rFonts w:hint="eastAsia" w:asciiTheme="minorEastAsia" w:hAnsiTheme="minorEastAsia" w:cstheme="minorEastAsia"/>
          <w:b/>
          <w:bCs/>
          <w:kern w:val="0"/>
          <w:szCs w:val="21"/>
        </w:rPr>
        <w:t>要求：</w:t>
      </w:r>
    </w:p>
    <w:p>
      <w:pPr>
        <w:spacing w:line="360" w:lineRule="auto"/>
        <w:ind w:firstLine="420" w:firstLineChars="200"/>
        <w:rPr>
          <w:kern w:val="0"/>
          <w:szCs w:val="21"/>
        </w:rPr>
      </w:pPr>
      <w:r>
        <w:rPr>
          <w:rFonts w:hint="eastAsia"/>
          <w:kern w:val="0"/>
          <w:szCs w:val="21"/>
        </w:rPr>
        <w:t>了解：</w:t>
      </w:r>
      <w:r>
        <w:rPr>
          <w:rFonts w:hint="eastAsia" w:asciiTheme="minorEastAsia" w:hAnsiTheme="minorEastAsia" w:cstheme="minorEastAsia"/>
          <w:bCs/>
        </w:rPr>
        <w:t>营养学基本概念及发展简史。</w:t>
      </w:r>
    </w:p>
    <w:p>
      <w:pPr>
        <w:spacing w:line="360" w:lineRule="auto"/>
        <w:ind w:firstLine="420" w:firstLineChars="200"/>
        <w:rPr>
          <w:kern w:val="0"/>
          <w:szCs w:val="21"/>
        </w:rPr>
      </w:pPr>
      <w:r>
        <w:rPr>
          <w:rFonts w:hint="eastAsia"/>
          <w:kern w:val="0"/>
          <w:szCs w:val="21"/>
        </w:rPr>
        <w:t>理解：</w:t>
      </w:r>
      <w:r>
        <w:rPr>
          <w:rFonts w:hint="eastAsia" w:asciiTheme="minorEastAsia" w:hAnsiTheme="minorEastAsia" w:cstheme="minorEastAsia"/>
          <w:bCs/>
        </w:rPr>
        <w:t>园艺产品营养学的重要意义；</w:t>
      </w:r>
      <w:r>
        <w:rPr>
          <w:rFonts w:hint="eastAsia" w:asciiTheme="minorEastAsia" w:hAnsiTheme="minorEastAsia" w:cstheme="minorEastAsia"/>
        </w:rPr>
        <w:t>园艺产品营养学的形成和发展过程</w:t>
      </w:r>
      <w:r>
        <w:rPr>
          <w:rFonts w:hint="eastAsia" w:asciiTheme="minorEastAsia" w:hAnsiTheme="minorEastAsia" w:cstheme="minorEastAsia"/>
          <w:bCs/>
        </w:rPr>
        <w:t>。</w:t>
      </w:r>
    </w:p>
    <w:p>
      <w:pPr>
        <w:spacing w:line="360" w:lineRule="auto"/>
        <w:ind w:firstLine="420" w:firstLineChars="200"/>
        <w:rPr>
          <w:kern w:val="0"/>
          <w:szCs w:val="21"/>
        </w:rPr>
      </w:pPr>
      <w:r>
        <w:rPr>
          <w:rFonts w:hint="eastAsia"/>
          <w:kern w:val="0"/>
          <w:szCs w:val="21"/>
        </w:rPr>
        <w:t>掌握：</w:t>
      </w:r>
      <w:r>
        <w:rPr>
          <w:rFonts w:hint="eastAsia" w:asciiTheme="minorEastAsia" w:hAnsiTheme="minorEastAsia" w:cstheme="minorEastAsia"/>
          <w:szCs w:val="21"/>
        </w:rPr>
        <w:t>食物、营养与健康的关系。</w:t>
      </w:r>
    </w:p>
    <w:p>
      <w:pPr>
        <w:spacing w:line="360" w:lineRule="auto"/>
        <w:ind w:firstLine="420" w:firstLineChars="200"/>
        <w:rPr>
          <w:rFonts w:ascii="宋体" w:hAnsi="宋体"/>
          <w:b/>
          <w:bCs/>
        </w:rPr>
      </w:pPr>
      <w:r>
        <w:rPr>
          <w:rFonts w:hint="eastAsia"/>
          <w:kern w:val="0"/>
          <w:szCs w:val="21"/>
        </w:rPr>
        <w:t>熟练掌握：</w:t>
      </w:r>
      <w:r>
        <w:rPr>
          <w:rFonts w:hint="eastAsia" w:asciiTheme="minorEastAsia" w:hAnsiTheme="minorEastAsia" w:cstheme="minorEastAsia"/>
          <w:bCs/>
        </w:rPr>
        <w:t>中国居民膳食指南的内容。</w:t>
      </w:r>
    </w:p>
    <w:p>
      <w:pPr>
        <w:widowControl/>
        <w:snapToGrid w:val="0"/>
        <w:spacing w:line="360" w:lineRule="auto"/>
        <w:rPr>
          <w:rFonts w:hAnsi="宋体"/>
          <w:b/>
          <w:bCs/>
          <w:kern w:val="0"/>
          <w:szCs w:val="21"/>
        </w:rPr>
      </w:pPr>
      <w:r>
        <w:rPr>
          <w:rFonts w:hint="eastAsia" w:ascii="宋体" w:hAnsi="宋体"/>
          <w:b/>
          <w:bCs/>
        </w:rPr>
        <w:t>教学组织与实施：</w:t>
      </w:r>
      <w:r>
        <w:rPr>
          <w:rFonts w:hint="eastAsia" w:ascii="宋体" w:hAnsi="宋体"/>
        </w:rPr>
        <w:t>课堂讲授方式结合大量图片资料介绍营养学的意义和发展过程，通过实例介绍中国居民膳食指南内容，引导学生分析自己的膳食结构是否合理。</w:t>
      </w:r>
    </w:p>
    <w:p>
      <w:pPr>
        <w:widowControl/>
        <w:wordWrap w:val="0"/>
        <w:snapToGrid w:val="0"/>
        <w:spacing w:before="156" w:beforeLines="50" w:line="360" w:lineRule="auto"/>
        <w:jc w:val="right"/>
        <w:rPr>
          <w:rFonts w:asciiTheme="minorEastAsia" w:hAnsiTheme="minorEastAsia" w:cstheme="minorEastAsia"/>
          <w:b/>
          <w:bCs/>
          <w:kern w:val="0"/>
          <w:szCs w:val="21"/>
        </w:rPr>
      </w:pPr>
      <w:r>
        <w:rPr>
          <w:rFonts w:hint="eastAsia" w:asciiTheme="minorEastAsia" w:hAnsiTheme="minorEastAsia" w:cstheme="minorEastAsia"/>
          <w:b/>
          <w:bCs/>
          <w:kern w:val="0"/>
          <w:szCs w:val="21"/>
        </w:rPr>
        <w:t xml:space="preserve">                            第一章  营养学基础 </w:t>
      </w:r>
      <w:r>
        <w:rPr>
          <w:rFonts w:asciiTheme="minorEastAsia" w:hAnsiTheme="minorEastAsia" w:cstheme="minorEastAsia"/>
          <w:b/>
          <w:bCs/>
          <w:kern w:val="0"/>
          <w:szCs w:val="21"/>
        </w:rPr>
        <w:t xml:space="preserve">    </w:t>
      </w:r>
      <w:r>
        <w:rPr>
          <w:rFonts w:hint="eastAsia" w:asciiTheme="minorEastAsia" w:hAnsiTheme="minorEastAsia" w:cstheme="minorEastAsia"/>
          <w:b/>
          <w:bCs/>
          <w:kern w:val="0"/>
          <w:szCs w:val="21"/>
        </w:rPr>
        <w:t xml:space="preserve">         </w:t>
      </w:r>
      <w:r>
        <w:rPr>
          <w:rFonts w:asciiTheme="minorEastAsia" w:hAnsiTheme="minorEastAsia" w:cstheme="minorEastAsia"/>
          <w:b/>
          <w:bCs/>
          <w:kern w:val="0"/>
          <w:szCs w:val="21"/>
        </w:rPr>
        <w:t xml:space="preserve">         </w:t>
      </w:r>
      <w:r>
        <w:rPr>
          <w:rFonts w:hint="eastAsia" w:asciiTheme="minorEastAsia" w:hAnsiTheme="minorEastAsia" w:cstheme="minorEastAsia"/>
          <w:b/>
          <w:bCs/>
          <w:kern w:val="0"/>
          <w:szCs w:val="21"/>
        </w:rPr>
        <w:t>学时数：6</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 xml:space="preserve">第一节  </w:t>
      </w:r>
      <w:r>
        <w:rPr>
          <w:rFonts w:hint="eastAsia" w:asciiTheme="minorEastAsia" w:hAnsiTheme="minorEastAsia" w:cstheme="minorEastAsia"/>
          <w:b/>
          <w:szCs w:val="21"/>
        </w:rPr>
        <w:t>能量</w:t>
      </w:r>
      <w:r>
        <w:rPr>
          <w:rFonts w:hint="eastAsia" w:asciiTheme="minorEastAsia" w:hAnsiTheme="minorEastAsia" w:cstheme="minorEastAsia"/>
          <w:b/>
          <w:bCs/>
        </w:rPr>
        <w:t xml:space="preserve">    1学时</w:t>
      </w:r>
    </w:p>
    <w:p>
      <w:pPr>
        <w:widowControl/>
        <w:snapToGrid w:val="0"/>
        <w:spacing w:line="360" w:lineRule="auto"/>
        <w:rPr>
          <w:rFonts w:asciiTheme="minorEastAsia" w:hAnsiTheme="minorEastAsia" w:cstheme="minorEastAsia"/>
          <w:b/>
          <w:bCs/>
          <w:kern w:val="0"/>
          <w:szCs w:val="21"/>
        </w:rPr>
      </w:pPr>
      <w:r>
        <w:rPr>
          <w:rFonts w:hint="eastAsia" w:asciiTheme="minorEastAsia" w:hAnsiTheme="minorEastAsia" w:cstheme="minorEastAsia"/>
          <w:b/>
          <w:bCs/>
        </w:rPr>
        <w:t>教学目标：</w:t>
      </w:r>
      <w:r>
        <w:rPr>
          <w:rFonts w:hint="eastAsia" w:asciiTheme="minorEastAsia" w:hAnsiTheme="minorEastAsia" w:cstheme="minorEastAsia"/>
        </w:rPr>
        <w:t>学习与人体能量相关的一些概念，要求掌握影响人体能量消耗的因素。</w:t>
      </w:r>
      <w:r>
        <w:rPr>
          <w:rFonts w:hint="eastAsia" w:asciiTheme="minorEastAsia" w:hAnsiTheme="minorEastAsia" w:cstheme="minorEastAsia"/>
          <w:kern w:val="0"/>
          <w:szCs w:val="21"/>
        </w:rPr>
        <w:t></w:t>
      </w:r>
    </w:p>
    <w:p>
      <w:pPr>
        <w:pStyle w:val="10"/>
        <w:spacing w:line="36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教学重点和难点：</w:t>
      </w:r>
    </w:p>
    <w:p>
      <w:pPr>
        <w:pStyle w:val="10"/>
        <w:spacing w:line="360" w:lineRule="auto"/>
        <w:ind w:firstLine="420" w:firstLineChars="200"/>
        <w:rPr>
          <w:rFonts w:asciiTheme="minorEastAsia" w:hAnsiTheme="minorEastAsia" w:eastAsiaTheme="minorEastAsia" w:cstheme="minorEastAsia"/>
          <w:b/>
          <w:bCs/>
          <w:kern w:val="0"/>
        </w:rPr>
      </w:pPr>
      <w:r>
        <w:rPr>
          <w:rFonts w:hint="eastAsia" w:asciiTheme="minorEastAsia" w:hAnsiTheme="minorEastAsia" w:eastAsiaTheme="minorEastAsia" w:cstheme="minorEastAsia"/>
        </w:rPr>
        <w:t>基础代谢（率）的概念；影响人体能量消耗的因素；影响基础代谢率的因素。</w:t>
      </w:r>
      <w:r>
        <w:rPr>
          <w:rFonts w:hint="eastAsia" w:asciiTheme="minorEastAsia" w:hAnsiTheme="minorEastAsia" w:eastAsiaTheme="minorEastAsia" w:cstheme="minorEastAsia"/>
          <w:bCs/>
        </w:rPr>
        <w:t>几种产能营养素的生理有效能量的计算；人体消能量耗的测定与计算。</w:t>
      </w:r>
      <w:r>
        <w:rPr>
          <w:rFonts w:hint="eastAsia" w:asciiTheme="minorEastAsia" w:hAnsiTheme="minorEastAsia" w:eastAsiaTheme="minorEastAsia" w:cstheme="minorEastAsia"/>
          <w:kern w:val="0"/>
        </w:rPr>
        <w:t></w:t>
      </w:r>
    </w:p>
    <w:p>
      <w:pPr>
        <w:widowControl/>
        <w:snapToGrid w:val="0"/>
        <w:spacing w:line="360" w:lineRule="auto"/>
        <w:rPr>
          <w:rFonts w:asciiTheme="minorEastAsia" w:hAnsiTheme="minorEastAsia" w:cstheme="minorEastAsia"/>
          <w:kern w:val="0"/>
          <w:szCs w:val="21"/>
        </w:rPr>
      </w:pPr>
      <w:r>
        <w:rPr>
          <w:rFonts w:hint="eastAsia" w:asciiTheme="minorEastAsia" w:hAnsiTheme="minorEastAsia" w:cstheme="minorEastAsia"/>
          <w:b/>
          <w:bCs/>
        </w:rPr>
        <w:t>主要教学内容及要求：</w:t>
      </w:r>
      <w:r>
        <w:rPr>
          <w:rFonts w:hint="eastAsia" w:asciiTheme="minorEastAsia" w:hAnsiTheme="minorEastAsia" w:cstheme="minorEastAsia"/>
          <w:kern w:val="0"/>
          <w:szCs w:val="21"/>
        </w:rPr>
        <w:t></w:t>
      </w:r>
    </w:p>
    <w:p>
      <w:pPr>
        <w:spacing w:line="360" w:lineRule="auto"/>
        <w:rPr>
          <w:rFonts w:asciiTheme="minorEastAsia" w:hAnsiTheme="minorEastAsia" w:cstheme="minorEastAsia"/>
        </w:rPr>
      </w:pPr>
      <w:r>
        <w:rPr>
          <w:rFonts w:hint="eastAsia" w:asciiTheme="minorEastAsia" w:hAnsiTheme="minorEastAsia" w:cstheme="minorEastAsia"/>
          <w:b/>
          <w:bCs/>
        </w:rPr>
        <w:t>内容：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能量的来源与能量系数；人体能量消耗的构成因素；人体能量消耗的测定方法；能量平衡及其影响因素；能量的供给量与食物来源。</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left="420" w:leftChars="200"/>
        <w:rPr>
          <w:rFonts w:asciiTheme="minorEastAsia" w:hAnsiTheme="minorEastAsia" w:cstheme="minorEastAsia"/>
        </w:rPr>
      </w:pPr>
      <w:r>
        <w:rPr>
          <w:rFonts w:hint="eastAsia" w:asciiTheme="minorEastAsia" w:hAnsiTheme="minorEastAsia" w:cstheme="minorEastAsia"/>
        </w:rPr>
        <w:t>了解：基础代谢、食物热效应的概念。</w:t>
      </w:r>
    </w:p>
    <w:p>
      <w:pPr>
        <w:spacing w:line="360" w:lineRule="auto"/>
        <w:ind w:left="420" w:leftChars="200"/>
        <w:rPr>
          <w:rFonts w:asciiTheme="minorEastAsia" w:hAnsiTheme="minorEastAsia" w:cstheme="minorEastAsia"/>
        </w:rPr>
      </w:pPr>
      <w:r>
        <w:rPr>
          <w:rFonts w:hint="eastAsia" w:asciiTheme="minorEastAsia" w:hAnsiTheme="minorEastAsia" w:cstheme="minorEastAsia"/>
        </w:rPr>
        <w:t>理解：人体能量消耗的测定。</w:t>
      </w:r>
    </w:p>
    <w:p>
      <w:pPr>
        <w:spacing w:line="360" w:lineRule="auto"/>
        <w:ind w:left="420" w:leftChars="200"/>
        <w:rPr>
          <w:rFonts w:asciiTheme="minorEastAsia" w:hAnsiTheme="minorEastAsia" w:cstheme="minorEastAsia"/>
        </w:rPr>
      </w:pPr>
      <w:r>
        <w:rPr>
          <w:rFonts w:hint="eastAsia" w:asciiTheme="minorEastAsia" w:hAnsiTheme="minorEastAsia" w:cstheme="minorEastAsia"/>
        </w:rPr>
        <w:t>掌握：能量的供给量标准与食物来源。</w:t>
      </w:r>
    </w:p>
    <w:p>
      <w:pPr>
        <w:spacing w:line="360" w:lineRule="auto"/>
        <w:ind w:left="420" w:leftChars="200"/>
        <w:rPr>
          <w:rFonts w:asciiTheme="minorEastAsia" w:hAnsiTheme="minorEastAsia" w:cstheme="minorEastAsia"/>
        </w:rPr>
      </w:pPr>
      <w:r>
        <w:rPr>
          <w:rFonts w:hint="eastAsia" w:asciiTheme="minorEastAsia" w:hAnsiTheme="minorEastAsia" w:cstheme="minorEastAsia"/>
        </w:rPr>
        <w:t>熟练掌握：影响人体能量消耗的因素。</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szCs w:val="20"/>
        </w:rPr>
        <w:t>通过课堂讲授介绍能量的来源，人体消耗能量的测定方法，能量的供给量，组织学生讨论并计算自己每天的能量摄入量和能量消耗量是否平衡。</w:t>
      </w:r>
    </w:p>
    <w:p>
      <w:pPr>
        <w:snapToGrid w:val="0"/>
        <w:spacing w:before="156" w:beforeLines="50" w:line="360" w:lineRule="auto"/>
        <w:rPr>
          <w:rFonts w:asciiTheme="minorEastAsia" w:hAnsiTheme="minorEastAsia" w:cstheme="minorEastAsia"/>
          <w:b/>
          <w:bCs/>
        </w:rPr>
      </w:pPr>
      <w:r>
        <w:rPr>
          <w:rFonts w:hint="eastAsia" w:asciiTheme="minorEastAsia" w:hAnsiTheme="minorEastAsia" w:cstheme="minorEastAsia"/>
          <w:b/>
          <w:bCs/>
        </w:rPr>
        <w:t xml:space="preserve">第二节  </w:t>
      </w:r>
      <w:r>
        <w:rPr>
          <w:rFonts w:hint="eastAsia" w:asciiTheme="minorEastAsia" w:hAnsiTheme="minorEastAsia" w:cstheme="minorEastAsia"/>
          <w:b/>
          <w:bCs/>
          <w:szCs w:val="21"/>
        </w:rPr>
        <w:t>碳水化合物</w:t>
      </w:r>
      <w:r>
        <w:rPr>
          <w:rFonts w:hint="eastAsia" w:asciiTheme="minorEastAsia" w:hAnsiTheme="minorEastAsia" w:cstheme="minorEastAsia"/>
          <w:b/>
          <w:bCs/>
        </w:rPr>
        <w:t xml:space="preserve">    1学时</w:t>
      </w:r>
    </w:p>
    <w:p>
      <w:pPr>
        <w:pStyle w:val="10"/>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b/>
          <w:bCs/>
        </w:rPr>
        <w:t>教学目标：</w:t>
      </w:r>
      <w:r>
        <w:rPr>
          <w:rFonts w:hint="eastAsia" w:asciiTheme="minorEastAsia" w:hAnsiTheme="minorEastAsia" w:eastAsiaTheme="minorEastAsia" w:cstheme="minorEastAsia"/>
        </w:rPr>
        <w:t>学习碳水化合物的分类及生理功能，要求掌握碳水化合物的供给量及食物来源。</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spacing w:line="360" w:lineRule="auto"/>
        <w:ind w:firstLine="420"/>
        <w:rPr>
          <w:rFonts w:asciiTheme="minorEastAsia" w:hAnsiTheme="minorEastAsia" w:cstheme="minorEastAsia"/>
        </w:rPr>
      </w:pPr>
      <w:r>
        <w:rPr>
          <w:rFonts w:hint="eastAsia" w:asciiTheme="minorEastAsia" w:hAnsiTheme="minorEastAsia" w:cstheme="minorEastAsia"/>
        </w:rPr>
        <w:t>节约蛋白质作用、抗生酮作用；食物的血糖指生成数的概念和应用。</w:t>
      </w:r>
    </w:p>
    <w:p>
      <w:pPr>
        <w:spacing w:line="360" w:lineRule="auto"/>
        <w:rPr>
          <w:rFonts w:asciiTheme="minorEastAsia" w:hAnsiTheme="minorEastAsia" w:cstheme="minorEastAsia"/>
        </w:rPr>
      </w:pPr>
      <w:r>
        <w:rPr>
          <w:rFonts w:hint="eastAsia" w:asciiTheme="minorEastAsia" w:hAnsiTheme="minorEastAsia" w:cstheme="minorEastAsia"/>
          <w:b/>
          <w:bCs/>
        </w:rPr>
        <w:t>主要教学内容及要求：</w:t>
      </w:r>
    </w:p>
    <w:p>
      <w:pPr>
        <w:spacing w:line="360" w:lineRule="auto"/>
        <w:rPr>
          <w:rFonts w:asciiTheme="minorEastAsia" w:hAnsiTheme="minorEastAsia" w:cstheme="minorEastAsia"/>
          <w:b/>
          <w:bCs/>
        </w:rPr>
      </w:pPr>
      <w:r>
        <w:rPr>
          <w:rFonts w:hint="eastAsia" w:asciiTheme="minorEastAsia" w:hAnsiTheme="minorEastAsia" w:cstheme="minorEastAsia"/>
          <w:b/>
          <w:bCs/>
        </w:rPr>
        <w:t>内容：</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碳水化合物的分类；碳水化合物的生理功能；碳水化合物的代谢；碳水化合物在食品加工中的变化；食物的血糖指生成数；碳水化合物的参考摄入量与食物来源。</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了解：</w:t>
      </w:r>
      <w:r>
        <w:rPr>
          <w:rFonts w:hint="eastAsia" w:asciiTheme="minorEastAsia" w:hAnsiTheme="minorEastAsia" w:cstheme="minorEastAsia"/>
        </w:rPr>
        <w:t>节约蛋白质作用、抗生酮作用、血糖指数的定义和作用</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理解：</w:t>
      </w:r>
      <w:r>
        <w:rPr>
          <w:rFonts w:hint="eastAsia" w:asciiTheme="minorEastAsia" w:hAnsiTheme="minorEastAsia" w:cstheme="minorEastAsia"/>
        </w:rPr>
        <w:t>碳水化合物在食品加工中的变化</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掌握：</w:t>
      </w:r>
      <w:r>
        <w:rPr>
          <w:rFonts w:hint="eastAsia" w:asciiTheme="minorEastAsia" w:hAnsiTheme="minorEastAsia" w:cstheme="minorEastAsia"/>
        </w:rPr>
        <w:t>食品中碳水化合物的分类和生理功能</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熟练掌握：</w:t>
      </w:r>
      <w:r>
        <w:rPr>
          <w:rFonts w:hint="eastAsia" w:asciiTheme="minorEastAsia" w:hAnsiTheme="minorEastAsia" w:cstheme="minorEastAsia"/>
        </w:rPr>
        <w:t>碳水化合物的供给量及食物来源</w:t>
      </w:r>
      <w:r>
        <w:rPr>
          <w:rFonts w:hint="eastAsia" w:asciiTheme="minorEastAsia" w:hAnsiTheme="minorEastAsia" w:cstheme="minorEastAsia"/>
          <w:lang w:val="en-GB"/>
        </w:rPr>
        <w:t>。</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课堂讲授结合大量图片和视频介绍碳水化合物的分类和生理功能，结合学生自身情况分析</w:t>
      </w:r>
      <w:r>
        <w:rPr>
          <w:rFonts w:hint="eastAsia" w:asciiTheme="minorEastAsia" w:hAnsiTheme="minorEastAsia" w:cstheme="minorEastAsia"/>
        </w:rPr>
        <w:t>血糖指数的定义和作用</w:t>
      </w:r>
      <w:r>
        <w:rPr>
          <w:rFonts w:hint="eastAsia" w:asciiTheme="minorEastAsia" w:hAnsiTheme="minorEastAsia" w:cstheme="minorEastAsia"/>
          <w:lang w:val="en-GB"/>
        </w:rPr>
        <w:t>。</w:t>
      </w:r>
    </w:p>
    <w:p>
      <w:pPr>
        <w:snapToGrid w:val="0"/>
        <w:spacing w:before="156" w:beforeLines="50" w:line="360" w:lineRule="auto"/>
        <w:rPr>
          <w:rFonts w:asciiTheme="minorEastAsia" w:hAnsiTheme="minorEastAsia" w:cstheme="minorEastAsia"/>
        </w:rPr>
      </w:pPr>
      <w:r>
        <w:rPr>
          <w:rFonts w:hint="eastAsia" w:asciiTheme="minorEastAsia" w:hAnsiTheme="minorEastAsia" w:cstheme="minorEastAsia"/>
          <w:b/>
          <w:bCs/>
        </w:rPr>
        <w:t xml:space="preserve">第三节  </w:t>
      </w:r>
      <w:r>
        <w:rPr>
          <w:rFonts w:hint="eastAsia" w:asciiTheme="minorEastAsia" w:hAnsiTheme="minorEastAsia" w:cstheme="minorEastAsia"/>
          <w:b/>
          <w:bCs/>
          <w:szCs w:val="21"/>
        </w:rPr>
        <w:t>脂类</w:t>
      </w:r>
      <w:r>
        <w:rPr>
          <w:rFonts w:hint="eastAsia" w:asciiTheme="minorEastAsia" w:hAnsiTheme="minorEastAsia" w:cstheme="minorEastAsia"/>
          <w:b/>
          <w:bCs/>
        </w:rPr>
        <w:t xml:space="preserve">    1学时</w:t>
      </w:r>
    </w:p>
    <w:p>
      <w:pPr>
        <w:pStyle w:val="10"/>
        <w:spacing w:line="360" w:lineRule="auto"/>
        <w:rPr>
          <w:rFonts w:asciiTheme="minorEastAsia" w:hAnsiTheme="minorEastAsia" w:eastAsiaTheme="minorEastAsia" w:cstheme="minorEastAsia"/>
        </w:rPr>
      </w:pPr>
      <w:r>
        <w:rPr>
          <w:rFonts w:hint="eastAsia" w:asciiTheme="minorEastAsia" w:hAnsiTheme="minorEastAsia" w:eastAsiaTheme="minorEastAsia" w:cstheme="minorEastAsia"/>
          <w:b/>
          <w:bCs/>
        </w:rPr>
        <w:t>教学目标：</w:t>
      </w:r>
      <w:r>
        <w:rPr>
          <w:rFonts w:hint="eastAsia" w:asciiTheme="minorEastAsia" w:hAnsiTheme="minorEastAsia" w:eastAsiaTheme="minorEastAsia" w:cstheme="minorEastAsia"/>
        </w:rPr>
        <w:t>学习脂类的分类及生理功能，脂类在食品加工中的变化，脂类的参考摄入量及食物来源。</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spacing w:line="360" w:lineRule="auto"/>
        <w:ind w:firstLine="420"/>
        <w:rPr>
          <w:rFonts w:asciiTheme="minorEastAsia" w:hAnsiTheme="minorEastAsia" w:cstheme="minorEastAsia"/>
        </w:rPr>
      </w:pPr>
      <w:r>
        <w:rPr>
          <w:rFonts w:hint="eastAsia" w:asciiTheme="minorEastAsia" w:hAnsiTheme="minorEastAsia" w:cstheme="minorEastAsia"/>
        </w:rPr>
        <w:t>脂类的生理功能；必需脂肪酸及其生理功能；评价油脂的营养价值的指标；饱和脂肪酸，不饱和脂肪酸，必须脂肪酸，脂蛋白的概念。</w:t>
      </w:r>
    </w:p>
    <w:p>
      <w:pPr>
        <w:spacing w:line="360" w:lineRule="auto"/>
        <w:rPr>
          <w:rFonts w:asciiTheme="minorEastAsia" w:hAnsiTheme="minorEastAsia" w:cstheme="minorEastAsia"/>
        </w:rPr>
      </w:pPr>
      <w:r>
        <w:rPr>
          <w:rFonts w:hint="eastAsia" w:asciiTheme="minorEastAsia" w:hAnsiTheme="minorEastAsia" w:cstheme="minorEastAsia"/>
          <w:b/>
          <w:bCs/>
        </w:rPr>
        <w:t>主要教学内容及要求：</w:t>
      </w:r>
    </w:p>
    <w:p>
      <w:pPr>
        <w:pStyle w:val="10"/>
        <w:spacing w:line="36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内容：</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脂类的分类；脂类的生理功能；脂肪酸的分类；必须脂肪酸的定义和生理功能；磷脂和胆固醇的生理功能；脂类的营养价值评价；脂肪在食品加工中的变化；脂类的参考摄入量及食物来源。</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了解：</w:t>
      </w:r>
      <w:r>
        <w:rPr>
          <w:rFonts w:hint="eastAsia" w:asciiTheme="minorEastAsia" w:hAnsiTheme="minorEastAsia" w:cstheme="minorEastAsia"/>
        </w:rPr>
        <w:t>从哪些方面评价油脂的营养价值。</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理解：</w:t>
      </w:r>
      <w:r>
        <w:rPr>
          <w:rFonts w:hint="eastAsia" w:asciiTheme="minorEastAsia" w:hAnsiTheme="minorEastAsia" w:cstheme="minorEastAsia"/>
        </w:rPr>
        <w:t>食品加工对脂类的变化</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掌握：</w:t>
      </w:r>
      <w:r>
        <w:rPr>
          <w:rFonts w:hint="eastAsia" w:asciiTheme="minorEastAsia" w:hAnsiTheme="minorEastAsia" w:cstheme="minorEastAsia"/>
        </w:rPr>
        <w:t>脂类的供给量及食物来源</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熟练掌握：</w:t>
      </w:r>
      <w:r>
        <w:rPr>
          <w:rFonts w:hint="eastAsia" w:asciiTheme="minorEastAsia" w:hAnsiTheme="minorEastAsia" w:cstheme="minorEastAsia"/>
        </w:rPr>
        <w:t>脂类的分类和生理功能；掌握必需脂肪酸及其生理功能</w:t>
      </w:r>
      <w:r>
        <w:rPr>
          <w:rFonts w:hint="eastAsia" w:asciiTheme="minorEastAsia" w:hAnsiTheme="minorEastAsia" w:cstheme="minorEastAsia"/>
          <w:lang w:val="en-GB"/>
        </w:rPr>
        <w:t>。</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课堂讲授结合大量图片与视频介绍脂类的分类和生理功能，让学生学会辨别和评价油脂的营养价值</w:t>
      </w:r>
      <w:r>
        <w:rPr>
          <w:rFonts w:hint="eastAsia" w:asciiTheme="minorEastAsia" w:hAnsiTheme="minorEastAsia" w:cstheme="minorEastAsia"/>
          <w:lang w:val="en-GB"/>
        </w:rPr>
        <w:t>。</w:t>
      </w:r>
    </w:p>
    <w:p>
      <w:pPr>
        <w:spacing w:line="360" w:lineRule="auto"/>
        <w:rPr>
          <w:rFonts w:asciiTheme="minorEastAsia" w:hAnsiTheme="minorEastAsia" w:cstheme="minorEastAsia"/>
          <w:lang w:val="en-GB"/>
        </w:rPr>
      </w:pPr>
      <w:r>
        <w:rPr>
          <w:rFonts w:hint="eastAsia" w:asciiTheme="minorEastAsia" w:hAnsiTheme="minorEastAsia" w:cstheme="minorEastAsia"/>
          <w:b/>
          <w:bCs/>
          <w:lang w:val="en-GB"/>
        </w:rPr>
        <w:t>第四节</w:t>
      </w:r>
      <w:r>
        <w:rPr>
          <w:rFonts w:hint="eastAsia" w:asciiTheme="minorEastAsia" w:hAnsiTheme="minorEastAsia" w:cstheme="minorEastAsia"/>
          <w:b/>
          <w:bCs/>
        </w:rPr>
        <w:t xml:space="preserve">  </w:t>
      </w:r>
      <w:r>
        <w:rPr>
          <w:rFonts w:hint="eastAsia" w:asciiTheme="minorEastAsia" w:hAnsiTheme="minorEastAsia" w:cstheme="minorEastAsia"/>
          <w:b/>
          <w:bCs/>
          <w:szCs w:val="21"/>
        </w:rPr>
        <w:t>蛋白质</w:t>
      </w:r>
      <w:r>
        <w:rPr>
          <w:rFonts w:hint="eastAsia" w:asciiTheme="minorEastAsia" w:hAnsiTheme="minorEastAsia" w:cstheme="minorEastAsia"/>
          <w:szCs w:val="21"/>
        </w:rPr>
        <w:t xml:space="preserve">    </w:t>
      </w:r>
      <w:r>
        <w:rPr>
          <w:rFonts w:hint="eastAsia" w:asciiTheme="minorEastAsia" w:hAnsiTheme="minorEastAsia" w:cstheme="minorEastAsia"/>
          <w:b/>
          <w:bCs/>
        </w:rPr>
        <w:t>1学时</w:t>
      </w:r>
    </w:p>
    <w:p>
      <w:pPr>
        <w:spacing w:line="360" w:lineRule="auto"/>
        <w:rPr>
          <w:rFonts w:asciiTheme="minorEastAsia" w:hAnsiTheme="minorEastAsia" w:cstheme="minorEastAsia"/>
        </w:rPr>
      </w:pPr>
      <w:r>
        <w:rPr>
          <w:rFonts w:hint="eastAsia" w:asciiTheme="minorEastAsia" w:hAnsiTheme="minorEastAsia" w:cstheme="minorEastAsia"/>
          <w:b/>
          <w:bCs/>
        </w:rPr>
        <w:t>教学目标：</w:t>
      </w:r>
      <w:r>
        <w:rPr>
          <w:rFonts w:hint="eastAsia" w:asciiTheme="minorEastAsia" w:hAnsiTheme="minorEastAsia" w:cstheme="minorEastAsia"/>
        </w:rPr>
        <w:t>学习蛋白质的分类、功能及营养价值评价，掌握蛋白质的生理功能及加工过程中对蛋白质的影响。</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蛋白质的生理功能；必需氨基酸的概念；蛋白质互补作用及应用；食物蛋白质营养价值的主要评价指标；蛋白质在食品加工中的变化；食物蛋白质营养价值的主要评价指标。</w:t>
      </w:r>
    </w:p>
    <w:p>
      <w:pPr>
        <w:spacing w:line="360" w:lineRule="auto"/>
        <w:rPr>
          <w:rFonts w:asciiTheme="minorEastAsia" w:hAnsiTheme="minorEastAsia" w:cstheme="minorEastAsia"/>
        </w:rPr>
      </w:pPr>
      <w:r>
        <w:rPr>
          <w:rFonts w:hint="eastAsia" w:asciiTheme="minorEastAsia" w:hAnsiTheme="minorEastAsia" w:cstheme="minorEastAsia"/>
          <w:b/>
          <w:bCs/>
        </w:rPr>
        <w:t>主要教学内容及要求：</w:t>
      </w:r>
    </w:p>
    <w:p>
      <w:pPr>
        <w:spacing w:line="360" w:lineRule="auto"/>
        <w:rPr>
          <w:rFonts w:asciiTheme="minorEastAsia" w:hAnsiTheme="minorEastAsia" w:cstheme="minorEastAsia"/>
          <w:b/>
          <w:bCs/>
        </w:rPr>
      </w:pPr>
      <w:r>
        <w:rPr>
          <w:rFonts w:hint="eastAsia" w:asciiTheme="minorEastAsia" w:hAnsiTheme="minorEastAsia" w:cstheme="minorEastAsia"/>
          <w:b/>
          <w:bCs/>
        </w:rPr>
        <w:t>内容：</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蛋白质的分类、生理功能；氨基酸的分类；必需氨基酸、限制氨基酸、蛋白质互补作用的定义；食物蛋白质的营养价值评价；蛋白质的代谢及氮平衡；蛋白质营养不良；蛋白质在食品加工中的变化；蛋白质的参考摄入量及食物来源。</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了解：食物蛋白质营养价值的主要评价指标，氨基酸模式、限制氨基酸、蛋白质互补作用的概念及应用。</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理解：食品加工对蛋白质和氨基酸的变化。</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掌握：膳食蛋白质供给量及食物来源。</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熟练掌握：蛋白质的生理功能、食物蛋白质的分类及各类蛋白质的主要限制氨基酸。</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课堂讲授结合大量图片和视频介绍蛋白质的分类和生理功能，引导学生分析食物中的蛋白质的含量，组织讨论蛋白质缺乏对人体的危害。</w:t>
      </w:r>
    </w:p>
    <w:p>
      <w:pPr>
        <w:spacing w:line="360" w:lineRule="auto"/>
        <w:rPr>
          <w:rFonts w:asciiTheme="minorEastAsia" w:hAnsiTheme="minorEastAsia" w:cstheme="minorEastAsia"/>
          <w:kern w:val="0"/>
          <w:szCs w:val="21"/>
        </w:rPr>
      </w:pPr>
      <w:r>
        <w:rPr>
          <w:rFonts w:hint="eastAsia" w:asciiTheme="minorEastAsia" w:hAnsiTheme="minorEastAsia" w:cstheme="minorEastAsia"/>
          <w:b/>
          <w:bCs/>
          <w:kern w:val="0"/>
          <w:szCs w:val="21"/>
        </w:rPr>
        <w:t>第五节  矿物质</w:t>
      </w:r>
      <w:r>
        <w:rPr>
          <w:rFonts w:hint="eastAsia" w:asciiTheme="minorEastAsia" w:hAnsiTheme="minorEastAsia" w:cstheme="minorEastAsia"/>
          <w:kern w:val="0"/>
          <w:szCs w:val="21"/>
        </w:rPr>
        <w:t xml:space="preserve">    </w:t>
      </w:r>
      <w:r>
        <w:rPr>
          <w:rFonts w:hint="eastAsia" w:asciiTheme="minorEastAsia" w:hAnsiTheme="minorEastAsia" w:cstheme="minorEastAsia"/>
          <w:b/>
          <w:bCs/>
        </w:rPr>
        <w:t>1学时</w:t>
      </w:r>
    </w:p>
    <w:p>
      <w:pPr>
        <w:spacing w:line="360" w:lineRule="auto"/>
        <w:rPr>
          <w:rFonts w:asciiTheme="minorEastAsia" w:hAnsiTheme="minorEastAsia" w:cstheme="minorEastAsia"/>
        </w:rPr>
      </w:pPr>
      <w:r>
        <w:rPr>
          <w:rFonts w:hint="eastAsia" w:asciiTheme="minorEastAsia" w:hAnsiTheme="minorEastAsia" w:cstheme="minorEastAsia"/>
          <w:b/>
          <w:bCs/>
        </w:rPr>
        <w:t>教学目标：</w:t>
      </w:r>
      <w:r>
        <w:rPr>
          <w:rFonts w:hint="eastAsia" w:asciiTheme="minorEastAsia" w:hAnsiTheme="minorEastAsia" w:cstheme="minorEastAsia"/>
        </w:rPr>
        <w:t>学习矿物元素的分类、特点和生理功能，要求掌握各种矿物质的生理功能、吸收与代谢、缺乏症与过量、参考摄入量与及食物来源。</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钙、铁、碘、锌、硒的生理功能、吸收与代谢、缺乏症与过量、参考摄入量与及食物来源。</w:t>
      </w:r>
    </w:p>
    <w:p>
      <w:pPr>
        <w:spacing w:line="360" w:lineRule="auto"/>
        <w:rPr>
          <w:rFonts w:asciiTheme="minorEastAsia" w:hAnsiTheme="minorEastAsia" w:cstheme="minorEastAsia"/>
        </w:rPr>
      </w:pPr>
      <w:r>
        <w:rPr>
          <w:rFonts w:hint="eastAsia" w:asciiTheme="minorEastAsia" w:hAnsiTheme="minorEastAsia" w:cstheme="minorEastAsia"/>
          <w:b/>
          <w:bCs/>
        </w:rPr>
        <w:t>主要教学内容及要求：</w:t>
      </w:r>
    </w:p>
    <w:p>
      <w:pPr>
        <w:spacing w:line="360" w:lineRule="auto"/>
        <w:rPr>
          <w:rFonts w:asciiTheme="minorEastAsia" w:hAnsiTheme="minorEastAsia" w:cstheme="minorEastAsia"/>
          <w:b/>
          <w:bCs/>
        </w:rPr>
      </w:pPr>
      <w:r>
        <w:rPr>
          <w:rFonts w:hint="eastAsia" w:asciiTheme="minorEastAsia" w:hAnsiTheme="minorEastAsia" w:cstheme="minorEastAsia"/>
          <w:b/>
          <w:bCs/>
        </w:rPr>
        <w:t>内容：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矿物元素的分类、特点和生理功能；成酸食品和成碱食品；钙、磷、镁、钾、钠、铁、碘、锌、硒、铜、氟等矿物质的生理功能、吸收与代谢、缺乏症与过量、参考摄入量与及食物来源等；矿物质在食品加工中的变化。</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了解：</w:t>
      </w:r>
      <w:r>
        <w:rPr>
          <w:rFonts w:hint="eastAsia" w:asciiTheme="minorEastAsia" w:hAnsiTheme="minorEastAsia" w:cstheme="minorEastAsia"/>
        </w:rPr>
        <w:t>矿物元素的分类、特点和生理功能</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理解：</w:t>
      </w:r>
      <w:r>
        <w:rPr>
          <w:rFonts w:hint="eastAsia" w:asciiTheme="minorEastAsia" w:hAnsiTheme="minorEastAsia" w:cstheme="minorEastAsia"/>
        </w:rPr>
        <w:t>矿物质在食品加工中的变化</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掌握：</w:t>
      </w:r>
      <w:r>
        <w:rPr>
          <w:rFonts w:hint="eastAsia" w:asciiTheme="minorEastAsia" w:hAnsiTheme="minorEastAsia" w:cstheme="minorEastAsia"/>
        </w:rPr>
        <w:t>各种矿物质的生理功能、吸收与代谢、缺乏症与过量、参考摄入量与及食物来源。</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熟练掌握：</w:t>
      </w:r>
      <w:r>
        <w:rPr>
          <w:rFonts w:hint="eastAsia" w:asciiTheme="minorEastAsia" w:hAnsiTheme="minorEastAsia" w:cstheme="minorEastAsia"/>
        </w:rPr>
        <w:t>矿物元素的共同特点和生理功能</w:t>
      </w:r>
      <w:r>
        <w:rPr>
          <w:rFonts w:hint="eastAsia" w:asciiTheme="minorEastAsia" w:hAnsiTheme="minorEastAsia" w:cstheme="minorEastAsia"/>
          <w:lang w:val="en-GB"/>
        </w:rPr>
        <w:t>。</w:t>
      </w:r>
    </w:p>
    <w:p>
      <w:pPr>
        <w:widowControl/>
        <w:snapToGrid w:val="0"/>
        <w:spacing w:line="360" w:lineRule="auto"/>
        <w:rPr>
          <w:rFonts w:ascii="宋体" w:hAnsi="宋体"/>
          <w:b/>
          <w:bCs/>
        </w:rPr>
      </w:pPr>
      <w:r>
        <w:rPr>
          <w:rFonts w:hint="eastAsia" w:ascii="宋体" w:hAnsi="宋体"/>
          <w:b/>
          <w:bCs/>
        </w:rPr>
        <w:t>教学组织与实施：</w:t>
      </w:r>
      <w:r>
        <w:rPr>
          <w:rFonts w:hint="eastAsia" w:ascii="宋体" w:hAnsi="宋体"/>
        </w:rPr>
        <w:t>课堂讲授结合大量图片与视频介绍蛋白质的分类和生理功能，引导学生学会分析食物成分表，了解矿物质在食物中的含量。</w:t>
      </w:r>
    </w:p>
    <w:p>
      <w:pPr>
        <w:spacing w:line="360" w:lineRule="auto"/>
        <w:rPr>
          <w:rFonts w:asciiTheme="minorEastAsia" w:hAnsiTheme="minorEastAsia" w:cstheme="minorEastAsia"/>
          <w:b/>
          <w:szCs w:val="21"/>
        </w:rPr>
      </w:pPr>
      <w:r>
        <w:rPr>
          <w:rFonts w:hint="eastAsia" w:asciiTheme="minorEastAsia" w:hAnsiTheme="minorEastAsia" w:cstheme="minorEastAsia"/>
          <w:b/>
          <w:szCs w:val="21"/>
        </w:rPr>
        <w:t xml:space="preserve">第六节  </w:t>
      </w:r>
      <w:r>
        <w:rPr>
          <w:rFonts w:hint="eastAsia" w:asciiTheme="minorEastAsia" w:hAnsiTheme="minorEastAsia" w:cstheme="minorEastAsia"/>
          <w:b/>
          <w:bCs/>
          <w:szCs w:val="21"/>
        </w:rPr>
        <w:t xml:space="preserve">维生素 </w:t>
      </w:r>
      <w:r>
        <w:rPr>
          <w:rFonts w:hint="eastAsia" w:asciiTheme="minorEastAsia" w:hAnsiTheme="minorEastAsia" w:cstheme="minorEastAsia"/>
          <w:b/>
          <w:szCs w:val="21"/>
        </w:rPr>
        <w:t xml:space="preserve">   </w:t>
      </w:r>
      <w:r>
        <w:rPr>
          <w:rFonts w:hint="eastAsia" w:asciiTheme="minorEastAsia" w:hAnsiTheme="minorEastAsia" w:cstheme="minorEastAsia"/>
          <w:b/>
          <w:bCs/>
        </w:rPr>
        <w:t>1学时</w:t>
      </w:r>
    </w:p>
    <w:p>
      <w:pPr>
        <w:spacing w:line="360" w:lineRule="auto"/>
        <w:rPr>
          <w:rFonts w:asciiTheme="minorEastAsia" w:hAnsiTheme="minorEastAsia" w:cstheme="minorEastAsia"/>
        </w:rPr>
      </w:pPr>
      <w:r>
        <w:rPr>
          <w:rFonts w:hint="eastAsia" w:asciiTheme="minorEastAsia" w:hAnsiTheme="minorEastAsia" w:cstheme="minorEastAsia"/>
          <w:b/>
          <w:bCs/>
        </w:rPr>
        <w:t>教学目标：</w:t>
      </w:r>
      <w:r>
        <w:rPr>
          <w:rFonts w:hint="eastAsia" w:asciiTheme="minorEastAsia" w:hAnsiTheme="minorEastAsia" w:cstheme="minorEastAsia"/>
        </w:rPr>
        <w:t>学习维生素的概念、共同特点、分类、缺乏症的原因；要求掌握各种维生素的理化性质、生理功能、吸收与代谢、缺乏症和过量、参考摄入量与膳食来源。</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pStyle w:val="10"/>
        <w:spacing w:line="360" w:lineRule="auto"/>
        <w:ind w:firstLine="413"/>
        <w:rPr>
          <w:rFonts w:asciiTheme="minorEastAsia" w:hAnsiTheme="minorEastAsia" w:eastAsiaTheme="minorEastAsia" w:cstheme="minorEastAsia"/>
        </w:rPr>
      </w:pPr>
      <w:r>
        <w:rPr>
          <w:rFonts w:hint="eastAsia" w:asciiTheme="minorEastAsia" w:hAnsiTheme="minorEastAsia" w:eastAsiaTheme="minorEastAsia" w:cstheme="minorEastAsia"/>
        </w:rPr>
        <w:t>各种维生素的生理功能、吸收与代谢、缺乏症和过量；烫漂与沥滤、冷冻、脱水、加热、食品添加剂、辐射对维生素的影响。</w:t>
      </w:r>
    </w:p>
    <w:p>
      <w:pPr>
        <w:spacing w:line="360" w:lineRule="auto"/>
        <w:rPr>
          <w:rFonts w:asciiTheme="minorEastAsia" w:hAnsiTheme="minorEastAsia" w:cstheme="minorEastAsia"/>
        </w:rPr>
      </w:pPr>
      <w:r>
        <w:rPr>
          <w:rFonts w:hint="eastAsia" w:asciiTheme="minorEastAsia" w:hAnsiTheme="minorEastAsia" w:cstheme="minorEastAsia"/>
          <w:b/>
          <w:bCs/>
        </w:rPr>
        <w:t>主要教学内容及要求：</w:t>
      </w:r>
    </w:p>
    <w:p>
      <w:pPr>
        <w:spacing w:line="360" w:lineRule="auto"/>
        <w:rPr>
          <w:rFonts w:asciiTheme="minorEastAsia" w:hAnsiTheme="minorEastAsia" w:cstheme="minorEastAsia"/>
          <w:b/>
          <w:bCs/>
        </w:rPr>
      </w:pPr>
      <w:r>
        <w:rPr>
          <w:rFonts w:hint="eastAsia" w:asciiTheme="minorEastAsia" w:hAnsiTheme="minorEastAsia" w:cstheme="minorEastAsia"/>
          <w:b/>
          <w:bCs/>
        </w:rPr>
        <w:t>内容：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维生素的概念、共同特点、分类、缺乏症的原因；脂溶性维生素A、D、E、K和水溶性维生素C、B1、B2 、PP、B6、B12、叶酸、泛酸、生物素、胆碱的理化性质、生理功能、吸收与代谢、缺乏症和过量、参考摄入量与膳食来源。</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了解：</w:t>
      </w:r>
      <w:r>
        <w:rPr>
          <w:rFonts w:hint="eastAsia" w:asciiTheme="minorEastAsia" w:hAnsiTheme="minorEastAsia" w:cstheme="minorEastAsia"/>
        </w:rPr>
        <w:t>维生素的概念、分类</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理解：</w:t>
      </w:r>
      <w:r>
        <w:rPr>
          <w:rFonts w:hint="eastAsia" w:asciiTheme="minorEastAsia" w:hAnsiTheme="minorEastAsia" w:cstheme="minorEastAsia"/>
        </w:rPr>
        <w:t>维生素在食品加工中的变化</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掌握：</w:t>
      </w:r>
      <w:r>
        <w:rPr>
          <w:rFonts w:hint="eastAsia" w:asciiTheme="minorEastAsia" w:hAnsiTheme="minorEastAsia" w:cstheme="minorEastAsia"/>
        </w:rPr>
        <w:t>维生素的共同特点和缺乏症的原因</w:t>
      </w:r>
      <w:r>
        <w:rPr>
          <w:rFonts w:hint="eastAsia" w:asciiTheme="minorEastAsia" w:hAnsiTheme="minorEastAsia" w:cstheme="minorEastAsia"/>
          <w:lang w:val="en-GB"/>
        </w:rPr>
        <w:t>。</w:t>
      </w:r>
    </w:p>
    <w:p>
      <w:pPr>
        <w:spacing w:line="360" w:lineRule="auto"/>
        <w:ind w:firstLine="420" w:firstLineChars="200"/>
        <w:rPr>
          <w:rFonts w:asciiTheme="minorEastAsia" w:hAnsiTheme="minorEastAsia" w:cstheme="minorEastAsia"/>
          <w:lang w:val="en-GB"/>
        </w:rPr>
      </w:pPr>
      <w:r>
        <w:rPr>
          <w:rFonts w:hint="eastAsia" w:asciiTheme="minorEastAsia" w:hAnsiTheme="minorEastAsia" w:cstheme="minorEastAsia"/>
          <w:lang w:val="en-GB"/>
        </w:rPr>
        <w:t>熟练掌握：</w:t>
      </w:r>
      <w:r>
        <w:rPr>
          <w:rFonts w:hint="eastAsia" w:asciiTheme="minorEastAsia" w:hAnsiTheme="minorEastAsia" w:cstheme="minorEastAsia"/>
        </w:rPr>
        <w:t>各种维生素的理化性质、生理功能、吸收与代谢、缺乏症和过量、参考摄入量与膳食来源</w:t>
      </w:r>
      <w:r>
        <w:rPr>
          <w:rFonts w:hint="eastAsia" w:asciiTheme="minorEastAsia" w:hAnsiTheme="minorEastAsia" w:cstheme="minorEastAsia"/>
          <w:lang w:val="en-GB"/>
        </w:rPr>
        <w:t>。</w:t>
      </w:r>
    </w:p>
    <w:p>
      <w:pPr>
        <w:widowControl/>
        <w:snapToGrid w:val="0"/>
        <w:spacing w:line="360" w:lineRule="auto"/>
        <w:rPr>
          <w:rFonts w:hAnsi="宋体"/>
          <w:b/>
          <w:bCs/>
          <w:kern w:val="0"/>
          <w:szCs w:val="21"/>
        </w:rPr>
      </w:pPr>
      <w:r>
        <w:rPr>
          <w:rFonts w:hint="eastAsia" w:ascii="宋体" w:hAnsi="宋体"/>
          <w:b/>
          <w:bCs/>
        </w:rPr>
        <w:t>教学组织与实施：</w:t>
      </w:r>
      <w:r>
        <w:rPr>
          <w:rFonts w:hint="eastAsia" w:ascii="宋体" w:hAnsi="宋体"/>
        </w:rPr>
        <w:t>课堂讲授结合大量图片与视频介绍维生素的种类和功能，带领学生分析维生素缺乏导致的疾病问题，引导学生形成健康的饮食习惯。</w:t>
      </w:r>
      <w:r>
        <w:rPr>
          <w:rFonts w:hint="eastAsia" w:hAnsi="宋体"/>
          <w:b/>
          <w:bCs/>
          <w:kern w:val="0"/>
          <w:szCs w:val="21"/>
        </w:rPr>
        <w:t></w:t>
      </w:r>
    </w:p>
    <w:p>
      <w:pPr>
        <w:wordWrap w:val="0"/>
        <w:spacing w:line="360" w:lineRule="auto"/>
        <w:jc w:val="right"/>
        <w:rPr>
          <w:rFonts w:asciiTheme="minorEastAsia" w:hAnsiTheme="minorEastAsia" w:cstheme="minorEastAsia"/>
          <w:b/>
          <w:bCs/>
        </w:rPr>
      </w:pPr>
      <w:r>
        <w:rPr>
          <w:rFonts w:hint="eastAsia" w:asciiTheme="minorEastAsia" w:hAnsiTheme="minorEastAsia" w:cstheme="minorEastAsia"/>
          <w:b/>
          <w:bCs/>
        </w:rPr>
        <w:t xml:space="preserve">    第二章  园艺产品的营养成分 </w:t>
      </w:r>
      <w:r>
        <w:rPr>
          <w:rFonts w:asciiTheme="minorEastAsia" w:hAnsiTheme="minorEastAsia" w:cstheme="minorEastAsia"/>
          <w:b/>
          <w:bCs/>
        </w:rPr>
        <w:t xml:space="preserve"> </w:t>
      </w:r>
      <w:r>
        <w:rPr>
          <w:rFonts w:hint="eastAsia" w:asciiTheme="minorEastAsia" w:hAnsiTheme="minorEastAsia" w:cstheme="minorEastAsia"/>
          <w:b/>
          <w:bCs/>
        </w:rPr>
        <w:t xml:space="preserve">                  </w:t>
      </w:r>
      <w:r>
        <w:rPr>
          <w:rFonts w:hAnsiTheme="minorEastAsia"/>
          <w:b/>
          <w:bCs/>
          <w:kern w:val="0"/>
          <w:szCs w:val="21"/>
        </w:rPr>
        <w:t>学时数</w:t>
      </w:r>
      <w:r>
        <w:rPr>
          <w:b/>
          <w:bCs/>
          <w:kern w:val="0"/>
          <w:szCs w:val="21"/>
        </w:rPr>
        <w:t>：</w:t>
      </w:r>
      <w:r>
        <w:rPr>
          <w:rFonts w:hint="eastAsia"/>
          <w:b/>
          <w:bCs/>
          <w:kern w:val="0"/>
          <w:szCs w:val="21"/>
        </w:rPr>
        <w:t>8</w:t>
      </w:r>
    </w:p>
    <w:p>
      <w:pPr>
        <w:spacing w:line="360" w:lineRule="auto"/>
        <w:rPr>
          <w:rFonts w:asciiTheme="minorEastAsia" w:hAnsiTheme="minorEastAsia" w:cstheme="minorEastAsia"/>
          <w:b/>
          <w:bCs/>
        </w:rPr>
      </w:pPr>
      <w:r>
        <w:rPr>
          <w:rFonts w:hint="eastAsia" w:asciiTheme="minorEastAsia" w:hAnsiTheme="minorEastAsia" w:cstheme="minorEastAsia"/>
          <w:b/>
          <w:bCs/>
          <w:szCs w:val="21"/>
        </w:rPr>
        <w:t xml:space="preserve">第一节  </w:t>
      </w:r>
      <w:r>
        <w:rPr>
          <w:rFonts w:hint="eastAsia" w:asciiTheme="minorEastAsia" w:hAnsiTheme="minorEastAsia" w:cstheme="minorEastAsia"/>
          <w:b/>
          <w:bCs/>
        </w:rPr>
        <w:t>园艺产品的生化属性</w:t>
      </w:r>
      <w:r>
        <w:rPr>
          <w:rFonts w:hint="eastAsia" w:asciiTheme="minorEastAsia" w:hAnsiTheme="minorEastAsia" w:cstheme="minorEastAsia"/>
        </w:rPr>
        <w:t xml:space="preserve">    </w:t>
      </w:r>
      <w:r>
        <w:rPr>
          <w:rFonts w:hint="eastAsia" w:asciiTheme="minorEastAsia" w:hAnsiTheme="minorEastAsia" w:cstheme="minorEastAsia"/>
          <w:b/>
          <w:bCs/>
        </w:rPr>
        <w:t>3学时</w:t>
      </w:r>
    </w:p>
    <w:p>
      <w:pPr>
        <w:widowControl/>
        <w:snapToGrid w:val="0"/>
        <w:spacing w:line="360" w:lineRule="auto"/>
        <w:rPr>
          <w:rFonts w:asciiTheme="minorEastAsia" w:hAnsiTheme="minorEastAsia" w:cstheme="minorEastAsia"/>
          <w:b/>
          <w:bCs/>
          <w:kern w:val="0"/>
          <w:szCs w:val="21"/>
        </w:rPr>
      </w:pPr>
      <w:r>
        <w:rPr>
          <w:rFonts w:hint="eastAsia" w:asciiTheme="minorEastAsia" w:hAnsiTheme="minorEastAsia" w:cstheme="minorEastAsia"/>
          <w:b/>
          <w:bCs/>
        </w:rPr>
        <w:t>教学目</w:t>
      </w:r>
      <w:r>
        <w:rPr>
          <w:rFonts w:hint="eastAsia" w:ascii="宋体" w:hAnsi="宋体"/>
          <w:b/>
          <w:bCs/>
        </w:rPr>
        <w:t>标</w:t>
      </w:r>
      <w:r>
        <w:rPr>
          <w:rFonts w:hint="eastAsia" w:asciiTheme="minorEastAsia" w:hAnsiTheme="minorEastAsia" w:cstheme="minorEastAsia"/>
          <w:b/>
          <w:bCs/>
        </w:rPr>
        <w:t>：</w:t>
      </w:r>
      <w:r>
        <w:rPr>
          <w:rFonts w:hint="eastAsia" w:asciiTheme="minorEastAsia" w:hAnsiTheme="minorEastAsia" w:cstheme="minorEastAsia"/>
        </w:rPr>
        <w:t>介绍主要园艺产品包括水果蔬菜富含的生化属性营养物质，包括水分、碳水化合物、蛋白质、脂肪、矿物质、维生素，以及相应的营养特点。</w:t>
      </w:r>
      <w:r>
        <w:rPr>
          <w:rFonts w:hint="eastAsia" w:asciiTheme="minorEastAsia" w:hAnsiTheme="minorEastAsia" w:cstheme="minorEastAsia"/>
          <w:kern w:val="0"/>
          <w:szCs w:val="21"/>
        </w:rPr>
        <w:t></w:t>
      </w:r>
    </w:p>
    <w:p>
      <w:pPr>
        <w:pStyle w:val="10"/>
        <w:spacing w:line="36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教学重点和难点：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bCs/>
        </w:rPr>
        <w:t>重点：</w:t>
      </w:r>
      <w:r>
        <w:rPr>
          <w:rFonts w:hint="eastAsia" w:asciiTheme="minorEastAsia" w:hAnsiTheme="minorEastAsia" w:eastAsiaTheme="minorEastAsia" w:cstheme="minorEastAsia"/>
        </w:rPr>
        <w:t>园艺产品中含有的生化属性营养成分及其种类。</w:t>
      </w:r>
    </w:p>
    <w:p>
      <w:pPr>
        <w:widowControl/>
        <w:snapToGrid w:val="0"/>
        <w:spacing w:line="360" w:lineRule="auto"/>
        <w:ind w:firstLine="420" w:firstLineChars="200"/>
        <w:rPr>
          <w:rFonts w:asciiTheme="minorEastAsia" w:hAnsiTheme="minorEastAsia" w:cstheme="minorEastAsia"/>
          <w:b/>
          <w:bCs/>
          <w:kern w:val="0"/>
          <w:szCs w:val="21"/>
        </w:rPr>
      </w:pPr>
      <w:r>
        <w:rPr>
          <w:rFonts w:hint="eastAsia" w:asciiTheme="minorEastAsia" w:hAnsiTheme="minorEastAsia" w:cstheme="minorEastAsia"/>
          <w:bCs/>
        </w:rPr>
        <w:t>难点：</w:t>
      </w:r>
      <w:r>
        <w:rPr>
          <w:rFonts w:hint="eastAsia" w:asciiTheme="minorEastAsia" w:hAnsiTheme="minorEastAsia" w:cstheme="minorEastAsia"/>
        </w:rPr>
        <w:t>园艺产品生化属性营养成分的营养特点。</w:t>
      </w:r>
      <w:r>
        <w:rPr>
          <w:rFonts w:hint="eastAsia" w:asciiTheme="minorEastAsia" w:hAnsiTheme="minorEastAsia" w:cstheme="minorEastAsia"/>
          <w:kern w:val="0"/>
          <w:szCs w:val="21"/>
        </w:rPr>
        <w:t></w:t>
      </w:r>
    </w:p>
    <w:p>
      <w:pPr>
        <w:widowControl/>
        <w:snapToGrid w:val="0"/>
        <w:spacing w:line="360" w:lineRule="auto"/>
        <w:rPr>
          <w:rFonts w:asciiTheme="minorEastAsia" w:hAnsiTheme="minorEastAsia" w:cstheme="minorEastAsia"/>
          <w:kern w:val="0"/>
          <w:szCs w:val="21"/>
        </w:rPr>
      </w:pPr>
      <w:r>
        <w:rPr>
          <w:rFonts w:hint="eastAsia" w:asciiTheme="minorEastAsia" w:hAnsiTheme="minorEastAsia" w:cstheme="minorEastAsia"/>
          <w:b/>
          <w:bCs/>
        </w:rPr>
        <w:t>主要教学内容及要求：</w:t>
      </w:r>
      <w:r>
        <w:rPr>
          <w:rFonts w:hint="eastAsia" w:asciiTheme="minorEastAsia" w:hAnsiTheme="minorEastAsia" w:cstheme="minorEastAsia"/>
          <w:kern w:val="0"/>
          <w:szCs w:val="21"/>
        </w:rPr>
        <w:t></w:t>
      </w:r>
    </w:p>
    <w:p>
      <w:pPr>
        <w:spacing w:line="360" w:lineRule="auto"/>
        <w:rPr>
          <w:rFonts w:asciiTheme="minorEastAsia" w:hAnsiTheme="minorEastAsia" w:cstheme="minorEastAsia"/>
        </w:rPr>
      </w:pPr>
      <w:r>
        <w:rPr>
          <w:rFonts w:hint="eastAsia" w:asciiTheme="minorEastAsia" w:hAnsiTheme="minorEastAsia" w:cstheme="minorEastAsia"/>
          <w:b/>
          <w:bCs/>
        </w:rPr>
        <w:t>内容：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一、园艺产品中的生化属性营养成分；</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二、园艺产品生化属性营养成分的营养特点及保健功能。</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了解：生化属性包括哪些营养元素种类及其在果蔬中的含量范围。</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理解：园艺产品中的生化属性营养成分及其功能。</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掌握：园艺产品中含有的生化属性营养成分及其种类。</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熟练掌握：园艺产品生化属性营养成分特点。</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教学组织与实施：</w:t>
      </w:r>
    </w:p>
    <w:p>
      <w:pPr>
        <w:widowControl/>
        <w:snapToGrid w:val="0"/>
        <w:spacing w:line="360" w:lineRule="auto"/>
        <w:ind w:firstLine="420" w:firstLineChars="200"/>
        <w:rPr>
          <w:kern w:val="0"/>
          <w:szCs w:val="21"/>
        </w:rPr>
      </w:pPr>
      <w:r>
        <w:rPr>
          <w:rFonts w:hint="eastAsia"/>
          <w:kern w:val="0"/>
          <w:szCs w:val="21"/>
        </w:rPr>
        <w:t xml:space="preserve">以班级授课的形式讲授园艺产品中所含有的生化属性营养成分，授课过程中在课件里添加大量园艺产品中生化属性营养成分及功能的相关图片与视频，使学生掌握园艺产品中所含有的生化属性功能成分及保健功能（3学时）。 </w:t>
      </w:r>
    </w:p>
    <w:p>
      <w:pPr>
        <w:spacing w:line="360" w:lineRule="auto"/>
        <w:rPr>
          <w:rFonts w:asciiTheme="minorEastAsia" w:hAnsiTheme="minorEastAsia" w:cstheme="minorEastAsia"/>
          <w:b/>
          <w:bCs/>
        </w:rPr>
      </w:pPr>
      <w:r>
        <w:rPr>
          <w:rFonts w:hint="eastAsia" w:asciiTheme="minorEastAsia" w:hAnsiTheme="minorEastAsia" w:cstheme="minorEastAsia"/>
          <w:b/>
          <w:bCs/>
          <w:szCs w:val="21"/>
        </w:rPr>
        <w:t xml:space="preserve">第二节  </w:t>
      </w:r>
      <w:r>
        <w:rPr>
          <w:rFonts w:hint="eastAsia" w:asciiTheme="minorEastAsia" w:hAnsiTheme="minorEastAsia" w:cstheme="minorEastAsia"/>
          <w:b/>
          <w:bCs/>
        </w:rPr>
        <w:t>园艺产品的感官属性</w:t>
      </w:r>
      <w:r>
        <w:rPr>
          <w:rFonts w:hint="eastAsia" w:asciiTheme="minorEastAsia" w:hAnsiTheme="minorEastAsia" w:cstheme="minorEastAsia"/>
        </w:rPr>
        <w:t xml:space="preserve">    </w:t>
      </w:r>
      <w:r>
        <w:rPr>
          <w:rFonts w:hint="eastAsia" w:asciiTheme="minorEastAsia" w:hAnsiTheme="minorEastAsia" w:cstheme="minorEastAsia"/>
          <w:b/>
          <w:bCs/>
        </w:rPr>
        <w:t>3学时</w:t>
      </w:r>
    </w:p>
    <w:p>
      <w:pPr>
        <w:widowControl/>
        <w:snapToGrid w:val="0"/>
        <w:spacing w:line="360" w:lineRule="auto"/>
        <w:rPr>
          <w:rFonts w:asciiTheme="minorEastAsia" w:hAnsiTheme="minorEastAsia" w:cstheme="minorEastAsia"/>
          <w:b/>
          <w:bCs/>
          <w:kern w:val="0"/>
          <w:szCs w:val="21"/>
        </w:rPr>
      </w:pPr>
      <w:r>
        <w:rPr>
          <w:rFonts w:hint="eastAsia" w:asciiTheme="minorEastAsia" w:hAnsiTheme="minorEastAsia" w:cstheme="minorEastAsia"/>
          <w:b/>
          <w:bCs/>
        </w:rPr>
        <w:t>教学目</w:t>
      </w:r>
      <w:r>
        <w:rPr>
          <w:rFonts w:hint="eastAsia" w:ascii="宋体" w:hAnsi="宋体"/>
          <w:b/>
          <w:bCs/>
        </w:rPr>
        <w:t>标</w:t>
      </w:r>
      <w:r>
        <w:rPr>
          <w:rFonts w:hint="eastAsia" w:asciiTheme="minorEastAsia" w:hAnsiTheme="minorEastAsia" w:cstheme="minorEastAsia"/>
          <w:b/>
          <w:bCs/>
        </w:rPr>
        <w:t>：</w:t>
      </w:r>
      <w:r>
        <w:rPr>
          <w:rFonts w:hint="eastAsia" w:asciiTheme="minorEastAsia" w:hAnsiTheme="minorEastAsia" w:cstheme="minorEastAsia"/>
        </w:rPr>
        <w:t>介绍主要园艺产品包括水果蔬菜富含的感官属性营养物质，包括色泽功能成分（各类色素）、风味物质功能成分（糖、酸、苦、涩、辣、鲜味）、香气功能成分（酯类、醇类、酮类、醛类、酚类等）、质地功能成分（果胶）等，及其生理功能和保健应用。</w:t>
      </w:r>
      <w:r>
        <w:rPr>
          <w:rFonts w:hint="eastAsia" w:asciiTheme="minorEastAsia" w:hAnsiTheme="minorEastAsia" w:cstheme="minorEastAsia"/>
          <w:kern w:val="0"/>
          <w:szCs w:val="21"/>
        </w:rPr>
        <w:t></w:t>
      </w:r>
    </w:p>
    <w:p>
      <w:pPr>
        <w:pStyle w:val="10"/>
        <w:spacing w:line="36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教学重点和难点：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bCs/>
        </w:rPr>
        <w:t>重点：</w:t>
      </w:r>
      <w:r>
        <w:rPr>
          <w:rFonts w:hint="eastAsia" w:asciiTheme="minorEastAsia" w:hAnsiTheme="minorEastAsia" w:eastAsiaTheme="minorEastAsia" w:cstheme="minorEastAsia"/>
        </w:rPr>
        <w:t>园艺产品中含有的感官属性营养成分及其种类。</w:t>
      </w:r>
    </w:p>
    <w:p>
      <w:pPr>
        <w:widowControl/>
        <w:snapToGrid w:val="0"/>
        <w:spacing w:line="360" w:lineRule="auto"/>
        <w:ind w:firstLine="420" w:firstLineChars="200"/>
        <w:rPr>
          <w:rFonts w:asciiTheme="minorEastAsia" w:hAnsiTheme="minorEastAsia" w:cstheme="minorEastAsia"/>
          <w:b/>
          <w:bCs/>
          <w:kern w:val="0"/>
          <w:szCs w:val="21"/>
        </w:rPr>
      </w:pPr>
      <w:r>
        <w:rPr>
          <w:rFonts w:hint="eastAsia" w:asciiTheme="minorEastAsia" w:hAnsiTheme="minorEastAsia" w:cstheme="minorEastAsia"/>
          <w:bCs/>
        </w:rPr>
        <w:t>难点：</w:t>
      </w:r>
      <w:r>
        <w:rPr>
          <w:rFonts w:hint="eastAsia" w:asciiTheme="minorEastAsia" w:hAnsiTheme="minorEastAsia" w:cstheme="minorEastAsia"/>
        </w:rPr>
        <w:t>园艺产品感官属性营养成分的营养特点。</w:t>
      </w:r>
      <w:r>
        <w:rPr>
          <w:rFonts w:hint="eastAsia" w:asciiTheme="minorEastAsia" w:hAnsiTheme="minorEastAsia" w:cstheme="minorEastAsia"/>
          <w:kern w:val="0"/>
          <w:szCs w:val="21"/>
        </w:rPr>
        <w:t></w:t>
      </w:r>
    </w:p>
    <w:p>
      <w:pPr>
        <w:widowControl/>
        <w:snapToGrid w:val="0"/>
        <w:spacing w:line="360" w:lineRule="auto"/>
        <w:rPr>
          <w:rFonts w:asciiTheme="minorEastAsia" w:hAnsiTheme="minorEastAsia" w:cstheme="minorEastAsia"/>
          <w:kern w:val="0"/>
          <w:szCs w:val="21"/>
        </w:rPr>
      </w:pPr>
      <w:r>
        <w:rPr>
          <w:rFonts w:hint="eastAsia" w:asciiTheme="minorEastAsia" w:hAnsiTheme="minorEastAsia" w:cstheme="minorEastAsia"/>
          <w:b/>
          <w:bCs/>
        </w:rPr>
        <w:t>主要教学内容及要求：</w:t>
      </w:r>
      <w:r>
        <w:rPr>
          <w:rFonts w:hint="eastAsia" w:asciiTheme="minorEastAsia" w:hAnsiTheme="minorEastAsia" w:cstheme="minorEastAsia"/>
          <w:kern w:val="0"/>
          <w:szCs w:val="21"/>
        </w:rPr>
        <w:t></w:t>
      </w:r>
    </w:p>
    <w:p>
      <w:pPr>
        <w:spacing w:line="360" w:lineRule="auto"/>
        <w:rPr>
          <w:rFonts w:asciiTheme="minorEastAsia" w:hAnsiTheme="minorEastAsia" w:cstheme="minorEastAsia"/>
        </w:rPr>
      </w:pPr>
      <w:r>
        <w:rPr>
          <w:rFonts w:hint="eastAsia" w:asciiTheme="minorEastAsia" w:hAnsiTheme="minorEastAsia" w:cstheme="minorEastAsia"/>
          <w:b/>
          <w:bCs/>
        </w:rPr>
        <w:t>内容：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一、园艺产品中的感官属性营养成分；</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二、园艺产品感官属性营养成分的营养特点及保健功能。</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了解：感官属性包括哪些营养元素种类及其含量丰富的园艺产品。</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理解：园艺产品中的感官属性营养成分及其功能。</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掌握：园艺产品中含有的感官属性营养成分及其种类。</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熟练掌握：园艺产品感官属性营养成分特点。</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以班级授课的形式讲授园艺产品中所含有的</w:t>
      </w:r>
      <w:r>
        <w:rPr>
          <w:rFonts w:hint="eastAsia" w:asciiTheme="minorEastAsia" w:hAnsiTheme="minorEastAsia" w:cstheme="minorEastAsia"/>
        </w:rPr>
        <w:t>感官</w:t>
      </w:r>
      <w:r>
        <w:rPr>
          <w:rFonts w:hint="eastAsia"/>
          <w:kern w:val="0"/>
          <w:szCs w:val="21"/>
        </w:rPr>
        <w:t>属性营养成分，授课过程中在课件里添加园艺产品中</w:t>
      </w:r>
      <w:r>
        <w:rPr>
          <w:rFonts w:hint="eastAsia" w:asciiTheme="minorEastAsia" w:hAnsiTheme="minorEastAsia" w:cstheme="minorEastAsia"/>
        </w:rPr>
        <w:t>感官</w:t>
      </w:r>
      <w:r>
        <w:rPr>
          <w:rFonts w:hint="eastAsia"/>
          <w:kern w:val="0"/>
          <w:szCs w:val="21"/>
        </w:rPr>
        <w:t>属性营养成分及功能的相关图片与视频，使学生掌握园艺产品中所含有的</w:t>
      </w:r>
      <w:r>
        <w:rPr>
          <w:rFonts w:hint="eastAsia" w:asciiTheme="minorEastAsia" w:hAnsiTheme="minorEastAsia" w:cstheme="minorEastAsia"/>
        </w:rPr>
        <w:t>感官</w:t>
      </w:r>
      <w:r>
        <w:rPr>
          <w:rFonts w:hint="eastAsia"/>
          <w:kern w:val="0"/>
          <w:szCs w:val="21"/>
        </w:rPr>
        <w:t>属性功能成分及保健功能（3学时）。</w:t>
      </w:r>
    </w:p>
    <w:p>
      <w:pPr>
        <w:spacing w:line="360" w:lineRule="auto"/>
        <w:rPr>
          <w:rFonts w:asciiTheme="minorEastAsia" w:hAnsiTheme="minorEastAsia" w:cstheme="minorEastAsia"/>
          <w:b/>
          <w:bCs/>
          <w:szCs w:val="21"/>
        </w:rPr>
      </w:pPr>
      <w:r>
        <w:rPr>
          <w:rFonts w:hint="eastAsia" w:asciiTheme="minorEastAsia" w:hAnsiTheme="minorEastAsia" w:cstheme="minorEastAsia"/>
          <w:b/>
          <w:bCs/>
          <w:szCs w:val="21"/>
        </w:rPr>
        <w:t>第三节  园艺产品功能成分、嫌忌成分与人体健康    2学时</w:t>
      </w:r>
    </w:p>
    <w:p>
      <w:pPr>
        <w:widowControl/>
        <w:snapToGrid w:val="0"/>
        <w:spacing w:line="360" w:lineRule="auto"/>
        <w:rPr>
          <w:rFonts w:asciiTheme="minorEastAsia" w:hAnsiTheme="minorEastAsia" w:cstheme="minorEastAsia"/>
          <w:b/>
          <w:bCs/>
          <w:kern w:val="0"/>
          <w:szCs w:val="21"/>
        </w:rPr>
      </w:pPr>
      <w:r>
        <w:rPr>
          <w:rFonts w:hint="eastAsia" w:asciiTheme="minorEastAsia" w:hAnsiTheme="minorEastAsia" w:cstheme="minorEastAsia"/>
          <w:b/>
          <w:bCs/>
        </w:rPr>
        <w:t>教学目</w:t>
      </w:r>
      <w:r>
        <w:rPr>
          <w:rFonts w:hint="eastAsia" w:ascii="宋体" w:hAnsi="宋体"/>
          <w:b/>
          <w:bCs/>
        </w:rPr>
        <w:t>标</w:t>
      </w:r>
      <w:r>
        <w:rPr>
          <w:rFonts w:hint="eastAsia" w:asciiTheme="minorEastAsia" w:hAnsiTheme="minorEastAsia" w:cstheme="minorEastAsia"/>
          <w:b/>
          <w:bCs/>
        </w:rPr>
        <w:t>：</w:t>
      </w:r>
      <w:r>
        <w:rPr>
          <w:rFonts w:hint="eastAsia" w:asciiTheme="minorEastAsia" w:hAnsiTheme="minorEastAsia" w:cstheme="minorEastAsia"/>
        </w:rPr>
        <w:t>介绍园艺产品中主要的功能活性物质和嫌忌成分，包括功能活性物质（活性低聚糖、活性多糖、活性脂、活性肽、白藜芦醇、大豆异黄酮等）、嫌忌成分（龙葵素、凝集素、蛋白酶抑制剂、毒苷等），及其相应功能和危害。</w:t>
      </w:r>
    </w:p>
    <w:p>
      <w:pPr>
        <w:pStyle w:val="10"/>
        <w:spacing w:line="360" w:lineRule="auto"/>
        <w:rPr>
          <w:rFonts w:asciiTheme="minorEastAsia" w:hAnsiTheme="minorEastAsia" w:eastAsiaTheme="minorEastAsia" w:cstheme="minorEastAsia"/>
          <w:b/>
          <w:bCs/>
        </w:rPr>
      </w:pPr>
      <w:r>
        <w:rPr>
          <w:rFonts w:hint="eastAsia" w:asciiTheme="minorEastAsia" w:hAnsiTheme="minorEastAsia" w:eastAsiaTheme="minorEastAsia" w:cstheme="minorEastAsia"/>
          <w:b/>
          <w:bCs/>
        </w:rPr>
        <w:t>教学重点和难点：</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bCs/>
        </w:rPr>
        <w:t>重点：</w:t>
      </w:r>
      <w:r>
        <w:rPr>
          <w:rFonts w:hint="eastAsia" w:asciiTheme="minorEastAsia" w:hAnsiTheme="minorEastAsia" w:eastAsiaTheme="minorEastAsia" w:cstheme="minorEastAsia"/>
        </w:rPr>
        <w:t>园艺产品中呈味物质的种类；</w:t>
      </w:r>
    </w:p>
    <w:p>
      <w:pPr>
        <w:widowControl/>
        <w:snapToGrid w:val="0"/>
        <w:spacing w:line="360" w:lineRule="auto"/>
        <w:ind w:firstLine="420" w:firstLineChars="200"/>
        <w:rPr>
          <w:rFonts w:asciiTheme="minorEastAsia" w:hAnsiTheme="minorEastAsia" w:cstheme="minorEastAsia"/>
          <w:b/>
          <w:bCs/>
          <w:kern w:val="0"/>
          <w:szCs w:val="21"/>
        </w:rPr>
      </w:pPr>
      <w:r>
        <w:rPr>
          <w:rFonts w:hint="eastAsia" w:asciiTheme="minorEastAsia" w:hAnsiTheme="minorEastAsia" w:cstheme="minorEastAsia"/>
          <w:bCs/>
        </w:rPr>
        <w:t>难点：</w:t>
      </w:r>
      <w:r>
        <w:rPr>
          <w:rFonts w:hint="eastAsia" w:asciiTheme="minorEastAsia" w:hAnsiTheme="minorEastAsia" w:cstheme="minorEastAsia"/>
        </w:rPr>
        <w:t>烹调对维生素的稳定性的影响</w:t>
      </w:r>
      <w:r>
        <w:rPr>
          <w:rFonts w:hint="eastAsia" w:asciiTheme="minorEastAsia" w:hAnsiTheme="minorEastAsia" w:cstheme="minorEastAsia"/>
          <w:kern w:val="0"/>
          <w:szCs w:val="21"/>
        </w:rPr>
        <w:t>。</w:t>
      </w:r>
    </w:p>
    <w:p>
      <w:pPr>
        <w:widowControl/>
        <w:snapToGrid w:val="0"/>
        <w:spacing w:line="360" w:lineRule="auto"/>
        <w:rPr>
          <w:rFonts w:asciiTheme="minorEastAsia" w:hAnsiTheme="minorEastAsia" w:cstheme="minorEastAsia"/>
          <w:kern w:val="0"/>
          <w:szCs w:val="21"/>
        </w:rPr>
      </w:pPr>
      <w:r>
        <w:rPr>
          <w:rFonts w:hint="eastAsia" w:asciiTheme="minorEastAsia" w:hAnsiTheme="minorEastAsia" w:cstheme="minorEastAsia"/>
          <w:b/>
          <w:bCs/>
        </w:rPr>
        <w:t>主要教学内容及要求：</w:t>
      </w:r>
    </w:p>
    <w:p>
      <w:pPr>
        <w:widowControl/>
        <w:snapToGrid w:val="0"/>
        <w:spacing w:line="360" w:lineRule="auto"/>
        <w:rPr>
          <w:rFonts w:asciiTheme="minorEastAsia" w:hAnsiTheme="minorEastAsia" w:cstheme="minorEastAsia"/>
        </w:rPr>
      </w:pPr>
      <w:r>
        <w:rPr>
          <w:rFonts w:hint="eastAsia" w:asciiTheme="minorEastAsia" w:hAnsiTheme="minorEastAsia" w:cstheme="minorEastAsia"/>
          <w:b/>
          <w:bCs/>
        </w:rPr>
        <w:t>内容：</w:t>
      </w:r>
    </w:p>
    <w:p>
      <w:pPr>
        <w:pStyle w:val="10"/>
        <w:spacing w:line="360" w:lineRule="auto"/>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一、园艺产品中其它功能活性物质；</w:t>
      </w:r>
    </w:p>
    <w:p>
      <w:pPr>
        <w:pStyle w:val="10"/>
        <w:spacing w:line="360" w:lineRule="auto"/>
        <w:ind w:firstLine="420"/>
        <w:rPr>
          <w:rFonts w:asciiTheme="minorEastAsia" w:hAnsiTheme="minorEastAsia" w:eastAsiaTheme="minorEastAsia" w:cstheme="minorEastAsia"/>
        </w:rPr>
      </w:pPr>
      <w:r>
        <w:rPr>
          <w:rFonts w:hint="eastAsia" w:asciiTheme="minorEastAsia" w:hAnsiTheme="minorEastAsia" w:eastAsiaTheme="minorEastAsia" w:cstheme="minorEastAsia"/>
        </w:rPr>
        <w:t>二、园艺产品中的嫌忌成分；</w:t>
      </w:r>
    </w:p>
    <w:p>
      <w:pPr>
        <w:pStyle w:val="10"/>
        <w:spacing w:line="360" w:lineRule="auto"/>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三、相应成分的功能和危害。</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要求：</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了解：园艺产品中其它功能活性物质。</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理解：园艺产品中的嫌忌成分。</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掌握：园艺产品中的其它功能活性物质和保健功能。</w:t>
      </w:r>
    </w:p>
    <w:p>
      <w:pPr>
        <w:spacing w:line="360" w:lineRule="auto"/>
        <w:ind w:firstLine="420" w:firstLineChars="200"/>
        <w:rPr>
          <w:rFonts w:asciiTheme="minorEastAsia" w:hAnsiTheme="minorEastAsia" w:cstheme="minorEastAsia"/>
        </w:rPr>
      </w:pPr>
      <w:r>
        <w:rPr>
          <w:rFonts w:hint="eastAsia" w:asciiTheme="minorEastAsia" w:hAnsiTheme="minorEastAsia" w:cstheme="minorEastAsia"/>
        </w:rPr>
        <w:t>熟练掌握：富含功能成分的园艺产品品类。</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以班级授课的形式讲授园艺产品中所含有的</w:t>
      </w:r>
      <w:r>
        <w:rPr>
          <w:rFonts w:hint="eastAsia" w:asciiTheme="minorEastAsia" w:hAnsiTheme="minorEastAsia" w:cstheme="minorEastAsia"/>
        </w:rPr>
        <w:t>其它活性功能</w:t>
      </w:r>
      <w:r>
        <w:rPr>
          <w:rFonts w:hint="eastAsia"/>
          <w:kern w:val="0"/>
          <w:szCs w:val="21"/>
        </w:rPr>
        <w:t>成分和嫌忌成分，授课过程中在课件里添加园艺产品</w:t>
      </w:r>
      <w:r>
        <w:rPr>
          <w:rFonts w:hint="eastAsia" w:asciiTheme="minorEastAsia" w:hAnsiTheme="minorEastAsia" w:cstheme="minorEastAsia"/>
        </w:rPr>
        <w:t>活性功能</w:t>
      </w:r>
      <w:r>
        <w:rPr>
          <w:rFonts w:hint="eastAsia"/>
          <w:kern w:val="0"/>
          <w:szCs w:val="21"/>
        </w:rPr>
        <w:t>成分和嫌忌成分及功能的相关图片与视频，使学生掌握园艺产品中所含有的</w:t>
      </w:r>
      <w:r>
        <w:rPr>
          <w:rFonts w:hint="eastAsia" w:asciiTheme="minorEastAsia" w:hAnsiTheme="minorEastAsia" w:cstheme="minorEastAsia"/>
        </w:rPr>
        <w:t>其它活性功能</w:t>
      </w:r>
      <w:r>
        <w:rPr>
          <w:rFonts w:hint="eastAsia"/>
          <w:kern w:val="0"/>
          <w:szCs w:val="21"/>
        </w:rPr>
        <w:t>成分、保健功能及嫌忌成分、危害（2学时）。</w:t>
      </w:r>
    </w:p>
    <w:p>
      <w:pPr>
        <w:widowControl/>
        <w:wordWrap w:val="0"/>
        <w:snapToGrid w:val="0"/>
        <w:spacing w:before="156" w:beforeLines="50" w:line="360" w:lineRule="auto"/>
        <w:jc w:val="right"/>
        <w:rPr>
          <w:rFonts w:asciiTheme="minorEastAsia" w:hAnsiTheme="minorEastAsia" w:cstheme="minorEastAsia"/>
          <w:kern w:val="0"/>
          <w:szCs w:val="21"/>
        </w:rPr>
      </w:pPr>
      <w:r>
        <w:rPr>
          <w:rFonts w:hint="eastAsia" w:asciiTheme="minorEastAsia" w:hAnsiTheme="minorEastAsia" w:cstheme="minorEastAsia"/>
          <w:b/>
          <w:bCs/>
          <w:kern w:val="0"/>
          <w:szCs w:val="21"/>
        </w:rPr>
        <w:t xml:space="preserve">第三章 </w:t>
      </w:r>
      <w:r>
        <w:rPr>
          <w:rFonts w:asciiTheme="minorEastAsia" w:hAnsiTheme="minorEastAsia" w:cstheme="minorEastAsia"/>
          <w:b/>
          <w:bCs/>
          <w:kern w:val="0"/>
          <w:szCs w:val="21"/>
        </w:rPr>
        <w:t xml:space="preserve"> </w:t>
      </w:r>
      <w:r>
        <w:rPr>
          <w:rFonts w:hint="eastAsia" w:asciiTheme="minorEastAsia" w:hAnsiTheme="minorEastAsia" w:cstheme="minorEastAsia"/>
          <w:b/>
          <w:bCs/>
          <w:kern w:val="0"/>
          <w:szCs w:val="21"/>
        </w:rPr>
        <w:t xml:space="preserve">园艺产品营养各论                   </w:t>
      </w:r>
      <w:r>
        <w:rPr>
          <w:rFonts w:asciiTheme="minorEastAsia" w:hAnsiTheme="minorEastAsia" w:cstheme="minorEastAsia"/>
          <w:b/>
          <w:bCs/>
          <w:kern w:val="0"/>
          <w:szCs w:val="21"/>
        </w:rPr>
        <w:t xml:space="preserve">  </w:t>
      </w:r>
      <w:r>
        <w:rPr>
          <w:rFonts w:hint="eastAsia" w:asciiTheme="minorEastAsia" w:hAnsiTheme="minorEastAsia" w:cstheme="minorEastAsia"/>
          <w:b/>
          <w:bCs/>
          <w:kern w:val="0"/>
          <w:szCs w:val="21"/>
        </w:rPr>
        <w:t>学时</w:t>
      </w:r>
      <w:r>
        <w:rPr>
          <w:rFonts w:hAnsiTheme="minorEastAsia"/>
          <w:b/>
          <w:bCs/>
          <w:kern w:val="0"/>
          <w:szCs w:val="21"/>
        </w:rPr>
        <w:t>数：</w:t>
      </w:r>
      <w:r>
        <w:rPr>
          <w:rFonts w:hint="eastAsia"/>
          <w:b/>
          <w:bCs/>
          <w:kern w:val="0"/>
          <w:szCs w:val="21"/>
        </w:rPr>
        <w:t>10</w:t>
      </w:r>
    </w:p>
    <w:p>
      <w:pPr>
        <w:snapToGrid w:val="0"/>
        <w:spacing w:line="360" w:lineRule="auto"/>
        <w:rPr>
          <w:rFonts w:asciiTheme="minorEastAsia" w:hAnsiTheme="minorEastAsia" w:cstheme="minorEastAsia"/>
          <w:b/>
          <w:bCs/>
        </w:rPr>
      </w:pPr>
      <w:r>
        <w:rPr>
          <w:rFonts w:hint="eastAsia" w:asciiTheme="minorEastAsia" w:hAnsiTheme="minorEastAsia" w:cstheme="minorEastAsia"/>
          <w:b/>
          <w:bCs/>
        </w:rPr>
        <w:t>第一节  果品的营养与功能    5学时</w:t>
      </w:r>
    </w:p>
    <w:p>
      <w:pPr>
        <w:widowControl/>
        <w:snapToGrid w:val="0"/>
        <w:spacing w:line="360" w:lineRule="auto"/>
        <w:rPr>
          <w:rFonts w:asciiTheme="minorEastAsia" w:hAnsiTheme="minorEastAsia" w:cstheme="minorEastAsia"/>
          <w:b/>
          <w:bCs/>
          <w:kern w:val="0"/>
          <w:szCs w:val="21"/>
        </w:rPr>
      </w:pPr>
      <w:r>
        <w:rPr>
          <w:rFonts w:hint="eastAsia" w:asciiTheme="minorEastAsia" w:hAnsiTheme="minorEastAsia" w:cstheme="minorEastAsia"/>
          <w:b/>
          <w:bCs/>
        </w:rPr>
        <w:t>教学目</w:t>
      </w:r>
      <w:r>
        <w:rPr>
          <w:rFonts w:hint="eastAsia" w:ascii="宋体" w:hAnsi="宋体"/>
          <w:b/>
          <w:bCs/>
        </w:rPr>
        <w:t>标</w:t>
      </w:r>
      <w:r>
        <w:rPr>
          <w:rFonts w:hint="eastAsia" w:asciiTheme="minorEastAsia" w:hAnsiTheme="minorEastAsia" w:cstheme="minorEastAsia"/>
          <w:b/>
          <w:bCs/>
        </w:rPr>
        <w:t>：</w:t>
      </w:r>
      <w:r>
        <w:rPr>
          <w:rFonts w:hint="eastAsia" w:asciiTheme="minorEastAsia" w:hAnsiTheme="minorEastAsia" w:cstheme="minorEastAsia"/>
          <w:kern w:val="0"/>
          <w:szCs w:val="21"/>
        </w:rPr>
        <w:t>学习各类水果的营养特点及功能。</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widowControl/>
        <w:snapToGrid w:val="0"/>
        <w:spacing w:line="360" w:lineRule="auto"/>
        <w:ind w:firstLine="420" w:firstLineChars="200"/>
        <w:rPr>
          <w:rFonts w:asciiTheme="minorEastAsia" w:hAnsiTheme="minorEastAsia" w:cstheme="minorEastAsia"/>
          <w:bCs/>
        </w:rPr>
      </w:pPr>
      <w:r>
        <w:rPr>
          <w:rFonts w:hint="eastAsia" w:asciiTheme="minorEastAsia" w:hAnsiTheme="minorEastAsia" w:cstheme="minorEastAsia"/>
          <w:bCs/>
        </w:rPr>
        <w:t>重点：</w:t>
      </w:r>
      <w:r>
        <w:rPr>
          <w:rFonts w:hint="eastAsia" w:asciiTheme="minorEastAsia" w:hAnsiTheme="minorEastAsia" w:cstheme="minorEastAsia"/>
          <w:kern w:val="0"/>
          <w:szCs w:val="21"/>
        </w:rPr>
        <w:t>各类果品所具有的营养成分。</w:t>
      </w:r>
    </w:p>
    <w:p>
      <w:pPr>
        <w:widowControl/>
        <w:snapToGrid w:val="0"/>
        <w:spacing w:line="360" w:lineRule="auto"/>
        <w:ind w:firstLine="420" w:firstLineChars="200"/>
        <w:rPr>
          <w:rFonts w:asciiTheme="minorEastAsia" w:hAnsiTheme="minorEastAsia" w:cstheme="minorEastAsia"/>
          <w:b/>
          <w:bCs/>
          <w:kern w:val="0"/>
          <w:szCs w:val="21"/>
        </w:rPr>
      </w:pPr>
      <w:r>
        <w:rPr>
          <w:rFonts w:hint="eastAsia" w:asciiTheme="minorEastAsia" w:hAnsiTheme="minorEastAsia" w:cstheme="minorEastAsia"/>
          <w:bCs/>
        </w:rPr>
        <w:t>难点：</w:t>
      </w:r>
      <w:r>
        <w:rPr>
          <w:rFonts w:hint="eastAsia" w:asciiTheme="minorEastAsia" w:hAnsiTheme="minorEastAsia" w:cstheme="minorEastAsia"/>
          <w:kern w:val="0"/>
          <w:szCs w:val="21"/>
        </w:rPr>
        <w:t>果品中各种营养成分的功能。</w:t>
      </w:r>
    </w:p>
    <w:p>
      <w:pPr>
        <w:widowControl/>
        <w:snapToGrid w:val="0"/>
        <w:spacing w:line="360" w:lineRule="auto"/>
        <w:rPr>
          <w:rFonts w:asciiTheme="minorEastAsia" w:hAnsiTheme="minorEastAsia" w:cstheme="minorEastAsia"/>
          <w:kern w:val="0"/>
          <w:szCs w:val="21"/>
        </w:rPr>
      </w:pPr>
      <w:r>
        <w:rPr>
          <w:rFonts w:hint="eastAsia" w:asciiTheme="minorEastAsia" w:hAnsiTheme="minorEastAsia" w:cstheme="minorEastAsia"/>
          <w:b/>
          <w:bCs/>
        </w:rPr>
        <w:t>主要教学内容及要求：</w:t>
      </w:r>
      <w:r>
        <w:rPr>
          <w:rFonts w:hint="eastAsia" w:asciiTheme="minorEastAsia" w:hAnsiTheme="minorEastAsia" w:cstheme="minorEastAsia"/>
          <w:kern w:val="0"/>
          <w:szCs w:val="21"/>
        </w:rPr>
        <w:t></w:t>
      </w:r>
    </w:p>
    <w:p>
      <w:pPr>
        <w:widowControl/>
        <w:snapToGrid w:val="0"/>
        <w:spacing w:line="360" w:lineRule="auto"/>
        <w:rPr>
          <w:rFonts w:asciiTheme="minorEastAsia" w:hAnsiTheme="minorEastAsia" w:cstheme="minorEastAsia"/>
          <w:b/>
          <w:kern w:val="0"/>
          <w:szCs w:val="21"/>
        </w:rPr>
      </w:pPr>
      <w:r>
        <w:rPr>
          <w:rFonts w:hint="eastAsia" w:asciiTheme="minorEastAsia" w:hAnsiTheme="minorEastAsia" w:cstheme="minorEastAsia"/>
          <w:b/>
          <w:kern w:val="0"/>
          <w:szCs w:val="21"/>
        </w:rPr>
        <w:t>内容：</w:t>
      </w:r>
    </w:p>
    <w:p>
      <w:pPr>
        <w:pStyle w:val="48"/>
        <w:widowControl/>
        <w:snapToGrid w:val="0"/>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一、仁果类水果（梨、苹果、枇杷和山楂）的营养成分及功能</w:t>
      </w:r>
    </w:p>
    <w:p>
      <w:pPr>
        <w:pStyle w:val="48"/>
        <w:widowControl/>
        <w:snapToGrid w:val="0"/>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二、核果类水果（芒果、桃、李、枣、樱桃和杨梅）的营养成分及功能</w:t>
      </w:r>
    </w:p>
    <w:p>
      <w:pPr>
        <w:pStyle w:val="48"/>
        <w:widowControl/>
        <w:snapToGrid w:val="0"/>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三、浆果类水果（猕猴桃、葡萄、柿、香蕉、蓝莓、番木瓜和石榴）的营养成分及功能</w:t>
      </w:r>
    </w:p>
    <w:p>
      <w:pPr>
        <w:pStyle w:val="48"/>
        <w:widowControl/>
        <w:snapToGrid w:val="0"/>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四、柑果类水果（柑橘、脐橙、柠檬、柚子）的营养成分及功能</w:t>
      </w:r>
    </w:p>
    <w:p>
      <w:pPr>
        <w:pStyle w:val="48"/>
        <w:widowControl/>
        <w:snapToGrid w:val="0"/>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五、荔果类水果（荔枝和龙眼）的营养成分及功能</w:t>
      </w:r>
    </w:p>
    <w:p>
      <w:pPr>
        <w:pStyle w:val="48"/>
        <w:widowControl/>
        <w:snapToGrid w:val="0"/>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六、聚复果类水果（菠萝和草莓）的营养成分及功能</w:t>
      </w:r>
    </w:p>
    <w:p>
      <w:pPr>
        <w:pStyle w:val="48"/>
        <w:widowControl/>
        <w:snapToGrid w:val="0"/>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七、坚果类（板栗、核桃、松子、开心果和巴旦木）的营养成分及功能</w:t>
      </w:r>
    </w:p>
    <w:p>
      <w:pPr>
        <w:widowControl/>
        <w:snapToGrid w:val="0"/>
        <w:spacing w:line="360" w:lineRule="auto"/>
        <w:rPr>
          <w:rFonts w:asciiTheme="minorEastAsia" w:hAnsiTheme="minorEastAsia" w:cstheme="minorEastAsia"/>
          <w:b/>
          <w:kern w:val="0"/>
          <w:szCs w:val="21"/>
        </w:rPr>
      </w:pPr>
      <w:r>
        <w:rPr>
          <w:rFonts w:hint="eastAsia" w:asciiTheme="minorEastAsia" w:hAnsiTheme="minorEastAsia" w:cstheme="minorEastAsia"/>
          <w:b/>
          <w:kern w:val="0"/>
          <w:szCs w:val="21"/>
        </w:rPr>
        <w:t>要求：</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了解：各类果品的基本概况。</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理解：各类果品的基本生物学特性。</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掌握：各类果品所具有的营养成分功能。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熟练掌握：常见果品的营养特点及功能。</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教学组织与实施：</w:t>
      </w:r>
    </w:p>
    <w:p>
      <w:pPr>
        <w:widowControl/>
        <w:snapToGrid w:val="0"/>
        <w:spacing w:line="360" w:lineRule="auto"/>
        <w:ind w:firstLine="420" w:firstLineChars="200"/>
        <w:rPr>
          <w:kern w:val="0"/>
          <w:szCs w:val="21"/>
        </w:rPr>
      </w:pPr>
      <w:r>
        <w:rPr>
          <w:rFonts w:hint="eastAsia"/>
          <w:kern w:val="0"/>
          <w:szCs w:val="21"/>
        </w:rPr>
        <w:t>以学生为主，利用翻转课堂的形式，学生选取一类水果，来讲授相应水果中所含有的</w:t>
      </w:r>
      <w:r>
        <w:rPr>
          <w:rFonts w:hint="eastAsia" w:asciiTheme="minorEastAsia" w:hAnsiTheme="minorEastAsia" w:cstheme="minorEastAsia"/>
        </w:rPr>
        <w:t>营养成分及功能</w:t>
      </w:r>
      <w:r>
        <w:rPr>
          <w:rFonts w:hint="eastAsia"/>
          <w:kern w:val="0"/>
          <w:szCs w:val="21"/>
        </w:rPr>
        <w:t>，要求学生在课件中加入相关图片与视频，深入使学生掌握各类果品中所含有的</w:t>
      </w:r>
      <w:r>
        <w:rPr>
          <w:rFonts w:hint="eastAsia" w:asciiTheme="minorEastAsia" w:hAnsiTheme="minorEastAsia" w:cstheme="minorEastAsia"/>
        </w:rPr>
        <w:t>营养成分及保健功能</w:t>
      </w:r>
      <w:r>
        <w:rPr>
          <w:rFonts w:hint="eastAsia"/>
          <w:kern w:val="0"/>
          <w:szCs w:val="21"/>
        </w:rPr>
        <w:t>（5学时）。</w:t>
      </w:r>
    </w:p>
    <w:p>
      <w:pPr>
        <w:snapToGrid w:val="0"/>
        <w:spacing w:line="360" w:lineRule="auto"/>
        <w:rPr>
          <w:rFonts w:asciiTheme="minorEastAsia" w:hAnsiTheme="minorEastAsia" w:cstheme="minorEastAsia"/>
          <w:b/>
          <w:bCs/>
        </w:rPr>
      </w:pPr>
      <w:r>
        <w:rPr>
          <w:rFonts w:hint="eastAsia" w:asciiTheme="minorEastAsia" w:hAnsiTheme="minorEastAsia" w:cstheme="minorEastAsia"/>
          <w:b/>
          <w:bCs/>
        </w:rPr>
        <w:t>第二节  蔬菜的营养与功能    5学时</w:t>
      </w:r>
    </w:p>
    <w:p>
      <w:pPr>
        <w:widowControl/>
        <w:snapToGrid w:val="0"/>
        <w:spacing w:line="360" w:lineRule="auto"/>
        <w:rPr>
          <w:rFonts w:asciiTheme="minorEastAsia" w:hAnsiTheme="minorEastAsia" w:cstheme="minorEastAsia"/>
          <w:b/>
          <w:bCs/>
          <w:kern w:val="0"/>
          <w:szCs w:val="21"/>
        </w:rPr>
      </w:pPr>
      <w:r>
        <w:rPr>
          <w:rFonts w:hint="eastAsia" w:asciiTheme="minorEastAsia" w:hAnsiTheme="minorEastAsia" w:cstheme="minorEastAsia"/>
          <w:b/>
          <w:bCs/>
        </w:rPr>
        <w:t>教学目</w:t>
      </w:r>
      <w:r>
        <w:rPr>
          <w:rFonts w:hint="eastAsia" w:ascii="宋体" w:hAnsi="宋体"/>
          <w:b/>
          <w:bCs/>
        </w:rPr>
        <w:t>标</w:t>
      </w:r>
      <w:r>
        <w:rPr>
          <w:rFonts w:hint="eastAsia" w:asciiTheme="minorEastAsia" w:hAnsiTheme="minorEastAsia" w:cstheme="minorEastAsia"/>
          <w:b/>
          <w:bCs/>
        </w:rPr>
        <w:t>：</w:t>
      </w:r>
      <w:r>
        <w:rPr>
          <w:rFonts w:hint="eastAsia" w:asciiTheme="minorEastAsia" w:hAnsiTheme="minorEastAsia" w:cstheme="minorEastAsia"/>
          <w:kern w:val="0"/>
          <w:szCs w:val="21"/>
        </w:rPr>
        <w:t>学习各类蔬菜的营养特点及功能，并理解部分蔬菜中的有害化学成分对人体健康的危害。</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widowControl/>
        <w:snapToGrid w:val="0"/>
        <w:spacing w:line="360" w:lineRule="auto"/>
        <w:ind w:firstLine="420" w:firstLineChars="200"/>
        <w:rPr>
          <w:rFonts w:asciiTheme="minorEastAsia" w:hAnsiTheme="minorEastAsia" w:cstheme="minorEastAsia"/>
          <w:bCs/>
        </w:rPr>
      </w:pPr>
      <w:r>
        <w:rPr>
          <w:rFonts w:hint="eastAsia" w:asciiTheme="minorEastAsia" w:hAnsiTheme="minorEastAsia" w:cstheme="minorEastAsia"/>
          <w:bCs/>
        </w:rPr>
        <w:t>重点：</w:t>
      </w:r>
      <w:r>
        <w:rPr>
          <w:rFonts w:hint="eastAsia" w:asciiTheme="minorEastAsia" w:hAnsiTheme="minorEastAsia" w:cstheme="minorEastAsia"/>
          <w:kern w:val="0"/>
          <w:szCs w:val="21"/>
        </w:rPr>
        <w:t>各类蔬菜所具有的营养成分。</w:t>
      </w:r>
    </w:p>
    <w:p>
      <w:pPr>
        <w:widowControl/>
        <w:snapToGrid w:val="0"/>
        <w:spacing w:line="360" w:lineRule="auto"/>
        <w:ind w:firstLine="420" w:firstLineChars="200"/>
        <w:rPr>
          <w:rFonts w:asciiTheme="minorEastAsia" w:hAnsiTheme="minorEastAsia" w:cstheme="minorEastAsia"/>
          <w:b/>
          <w:bCs/>
          <w:kern w:val="0"/>
          <w:szCs w:val="21"/>
        </w:rPr>
      </w:pPr>
      <w:r>
        <w:rPr>
          <w:rFonts w:hint="eastAsia" w:asciiTheme="minorEastAsia" w:hAnsiTheme="minorEastAsia" w:cstheme="minorEastAsia"/>
          <w:bCs/>
        </w:rPr>
        <w:t>难点：</w:t>
      </w:r>
      <w:r>
        <w:rPr>
          <w:rFonts w:hint="eastAsia" w:asciiTheme="minorEastAsia" w:hAnsiTheme="minorEastAsia" w:cstheme="minorEastAsia"/>
          <w:kern w:val="0"/>
          <w:szCs w:val="21"/>
        </w:rPr>
        <w:t>蔬菜中各种营养成分的功能以及部分蔬菜中有害化学成分的危害。</w:t>
      </w:r>
    </w:p>
    <w:p>
      <w:pPr>
        <w:widowControl/>
        <w:snapToGrid w:val="0"/>
        <w:spacing w:line="360" w:lineRule="auto"/>
        <w:rPr>
          <w:rFonts w:asciiTheme="minorEastAsia" w:hAnsiTheme="minorEastAsia" w:cstheme="minorEastAsia"/>
          <w:kern w:val="0"/>
          <w:szCs w:val="21"/>
        </w:rPr>
      </w:pPr>
      <w:r>
        <w:rPr>
          <w:rFonts w:hint="eastAsia" w:asciiTheme="minorEastAsia" w:hAnsiTheme="minorEastAsia" w:cstheme="minorEastAsia"/>
          <w:b/>
          <w:bCs/>
        </w:rPr>
        <w:t>主要教学内容及要求：</w:t>
      </w:r>
      <w:r>
        <w:rPr>
          <w:rFonts w:hint="eastAsia" w:asciiTheme="minorEastAsia" w:hAnsiTheme="minorEastAsia" w:cstheme="minorEastAsia"/>
          <w:kern w:val="0"/>
          <w:szCs w:val="21"/>
        </w:rPr>
        <w:t></w:t>
      </w:r>
    </w:p>
    <w:p>
      <w:pPr>
        <w:widowControl/>
        <w:snapToGrid w:val="0"/>
        <w:spacing w:line="360" w:lineRule="auto"/>
        <w:rPr>
          <w:rFonts w:asciiTheme="minorEastAsia" w:hAnsiTheme="minorEastAsia" w:cstheme="minorEastAsia"/>
          <w:b/>
          <w:kern w:val="0"/>
          <w:szCs w:val="21"/>
        </w:rPr>
      </w:pPr>
      <w:r>
        <w:rPr>
          <w:rFonts w:hint="eastAsia" w:asciiTheme="minorEastAsia" w:hAnsiTheme="minorEastAsia" w:cstheme="minorEastAsia"/>
          <w:b/>
          <w:kern w:val="0"/>
          <w:szCs w:val="21"/>
        </w:rPr>
        <w:t>内容：</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一、叶菜类蔬菜（大白菜、菠菜、芹菜、莴苣、茼蒿、苋菜、甘蓝、芥菜、荠菜）的营养成分及相应功能，有害化学成分及相应危害。</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二、根菜类蔬菜（萝卜、胡萝卜、根甜菜）的营养成分及功能。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三、茄果类蔬菜（番茄、茄子、辣椒、茄瓜）的营养成分及功能，有害化学成分及相应危害。</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四、瓜类蔬菜（黄瓜、冬瓜、南瓜、西瓜、丝瓜、苦瓜、佛手瓜）的营养成分及功能。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五、豆类蔬菜（菜豆、毛豆、豌豆、扁豆、）的营养成分及功能，有害化学成分及相应危害。</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六、葱蒜类蔬菜（大葱、洋葱、大蒜）的营养成分及功能。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七、花菜类蔬菜（花椰菜、青花菜、黄花菜）的营养成分及功能。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八、薯芋类蔬菜（马铃薯、姜、芋、山药、甘薯、魔芋、葛、菊芋）的营养成分及功能。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九、水生类蔬菜（莲藕、茭白、荸荠、海带、紫菜）的营养成分及功能。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十、多年生蔬菜（竹笋、芦笋、百合、香椿、枸杞）的营养成分及功能。</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十一、食用菌类蔬菜（黑木耳、银耳、香菇、金针菇、茶树菇、杏鲍菇、牛肝菌、竹荪）的营养成分及功能，有害化学成分及相应危害。</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十二、野生类蔬菜（蕨菜、鱼腥草、马齿苋、小根蒜、蒲公英、地耳）的营养成分及功能。</w:t>
      </w:r>
    </w:p>
    <w:p>
      <w:pPr>
        <w:widowControl/>
        <w:snapToGrid w:val="0"/>
        <w:spacing w:line="360" w:lineRule="auto"/>
        <w:rPr>
          <w:rFonts w:asciiTheme="minorEastAsia" w:hAnsiTheme="minorEastAsia" w:cstheme="minorEastAsia"/>
          <w:b/>
          <w:kern w:val="0"/>
          <w:szCs w:val="21"/>
        </w:rPr>
      </w:pPr>
      <w:r>
        <w:rPr>
          <w:rFonts w:hint="eastAsia" w:asciiTheme="minorEastAsia" w:hAnsiTheme="minorEastAsia" w:cstheme="minorEastAsia"/>
          <w:b/>
          <w:kern w:val="0"/>
          <w:szCs w:val="21"/>
        </w:rPr>
        <w:t>要求：</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了解：各类蔬菜的基本概况。</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理解：各类蔬菜的基本生物学特性。</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掌握：蔬菜中所含的营养成分的功能以及天然有害化学成分的危害。</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熟练掌握：常见蔬菜的营养特点及功能。</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教学组织与实施：</w:t>
      </w:r>
    </w:p>
    <w:p>
      <w:pPr>
        <w:widowControl/>
        <w:snapToGrid w:val="0"/>
        <w:spacing w:line="360" w:lineRule="auto"/>
        <w:ind w:firstLine="420" w:firstLineChars="200"/>
        <w:rPr>
          <w:kern w:val="0"/>
          <w:szCs w:val="21"/>
        </w:rPr>
      </w:pPr>
      <w:r>
        <w:rPr>
          <w:rFonts w:hint="eastAsia"/>
          <w:kern w:val="0"/>
          <w:szCs w:val="21"/>
        </w:rPr>
        <w:t>以学生为主，利用翻转课堂的形式，学生选取一类蔬菜，来讲授相应蔬菜中所含有的</w:t>
      </w:r>
      <w:r>
        <w:rPr>
          <w:rFonts w:hint="eastAsia" w:asciiTheme="minorEastAsia" w:hAnsiTheme="minorEastAsia" w:cstheme="minorEastAsia"/>
        </w:rPr>
        <w:t>营养成分及功能、嫌忌成分及功能</w:t>
      </w:r>
      <w:r>
        <w:rPr>
          <w:rFonts w:hint="eastAsia"/>
          <w:kern w:val="0"/>
          <w:szCs w:val="21"/>
        </w:rPr>
        <w:t>，要求学生在课件中加入相关图片与视频，深入使学生掌握各类蔬菜中所含有的</w:t>
      </w:r>
      <w:r>
        <w:rPr>
          <w:rFonts w:hint="eastAsia" w:asciiTheme="minorEastAsia" w:hAnsiTheme="minorEastAsia" w:cstheme="minorEastAsia"/>
        </w:rPr>
        <w:t>营养成分及保健功能、嫌忌成分及功能</w:t>
      </w:r>
      <w:r>
        <w:rPr>
          <w:rFonts w:hint="eastAsia"/>
          <w:kern w:val="0"/>
          <w:szCs w:val="21"/>
        </w:rPr>
        <w:t>（5学时）。</w:t>
      </w:r>
    </w:p>
    <w:p>
      <w:pPr>
        <w:widowControl/>
        <w:snapToGrid w:val="0"/>
        <w:spacing w:before="156" w:beforeLines="50" w:line="360" w:lineRule="auto"/>
        <w:jc w:val="right"/>
        <w:rPr>
          <w:rFonts w:asciiTheme="minorEastAsia" w:hAnsiTheme="minorEastAsia" w:cstheme="minorEastAsia"/>
          <w:b/>
          <w:bCs/>
        </w:rPr>
      </w:pPr>
      <w:r>
        <w:rPr>
          <w:rFonts w:hint="eastAsia" w:asciiTheme="minorEastAsia" w:hAnsiTheme="minorEastAsia" w:cstheme="minorEastAsia"/>
          <w:b/>
          <w:bCs/>
          <w:kern w:val="0"/>
          <w:szCs w:val="21"/>
        </w:rPr>
        <w:t>第四章  园艺产品营养的形成与调控             学时数：6</w:t>
      </w:r>
    </w:p>
    <w:p>
      <w:pPr>
        <w:widowControl/>
        <w:snapToGrid w:val="0"/>
        <w:spacing w:line="360" w:lineRule="auto"/>
        <w:rPr>
          <w:rFonts w:asciiTheme="minorEastAsia" w:hAnsiTheme="minorEastAsia" w:cstheme="minorEastAsia"/>
          <w:b/>
          <w:bCs/>
          <w:kern w:val="0"/>
          <w:szCs w:val="21"/>
        </w:rPr>
      </w:pPr>
      <w:r>
        <w:rPr>
          <w:rFonts w:hint="eastAsia" w:asciiTheme="minorEastAsia" w:hAnsiTheme="minorEastAsia" w:cstheme="minorEastAsia"/>
          <w:b/>
          <w:bCs/>
        </w:rPr>
        <w:t>教学目</w:t>
      </w:r>
      <w:r>
        <w:rPr>
          <w:rFonts w:hint="eastAsia" w:ascii="宋体" w:hAnsi="宋体"/>
          <w:b/>
          <w:bCs/>
        </w:rPr>
        <w:t>标</w:t>
      </w:r>
      <w:r>
        <w:rPr>
          <w:rFonts w:hint="eastAsia" w:asciiTheme="minorEastAsia" w:hAnsiTheme="minorEastAsia" w:cstheme="minorEastAsia"/>
          <w:b/>
          <w:bCs/>
        </w:rPr>
        <w:t>：</w:t>
      </w:r>
      <w:r>
        <w:rPr>
          <w:rFonts w:hint="eastAsia" w:asciiTheme="minorEastAsia" w:hAnsiTheme="minorEastAsia" w:cstheme="minorEastAsia"/>
          <w:kern w:val="0"/>
          <w:szCs w:val="21"/>
        </w:rPr>
        <w:t>学习园艺产品营养素的形成及影响因素，并理解营养素的调控技术及采后加工、储藏对营养素的影响。</w:t>
      </w:r>
    </w:p>
    <w:p>
      <w:pPr>
        <w:widowControl/>
        <w:snapToGrid w:val="0"/>
        <w:spacing w:line="360" w:lineRule="auto"/>
        <w:rPr>
          <w:rFonts w:asciiTheme="minorEastAsia" w:hAnsiTheme="minorEastAsia" w:cstheme="minorEastAsia"/>
          <w:b/>
          <w:bCs/>
        </w:rPr>
      </w:pPr>
      <w:r>
        <w:rPr>
          <w:rFonts w:hint="eastAsia" w:asciiTheme="minorEastAsia" w:hAnsiTheme="minorEastAsia" w:cstheme="minorEastAsia"/>
          <w:b/>
          <w:bCs/>
        </w:rPr>
        <w:t>教学重点和难点：</w:t>
      </w:r>
    </w:p>
    <w:p>
      <w:pPr>
        <w:widowControl/>
        <w:snapToGrid w:val="0"/>
        <w:spacing w:line="360" w:lineRule="auto"/>
        <w:ind w:firstLine="420" w:firstLineChars="200"/>
        <w:rPr>
          <w:rFonts w:asciiTheme="minorEastAsia" w:hAnsiTheme="minorEastAsia" w:cstheme="minorEastAsia"/>
          <w:bCs/>
        </w:rPr>
      </w:pPr>
      <w:r>
        <w:rPr>
          <w:rFonts w:hint="eastAsia" w:asciiTheme="minorEastAsia" w:hAnsiTheme="minorEastAsia" w:cstheme="minorEastAsia"/>
          <w:bCs/>
        </w:rPr>
        <w:t>重点：园艺产品营养素形成的影响因素及调控技术。</w:t>
      </w:r>
    </w:p>
    <w:p>
      <w:pPr>
        <w:widowControl/>
        <w:snapToGrid w:val="0"/>
        <w:spacing w:line="360" w:lineRule="auto"/>
        <w:ind w:firstLine="420" w:firstLineChars="200"/>
        <w:rPr>
          <w:rFonts w:asciiTheme="minorEastAsia" w:hAnsiTheme="minorEastAsia" w:cstheme="minorEastAsia"/>
          <w:bCs/>
          <w:kern w:val="0"/>
          <w:szCs w:val="21"/>
        </w:rPr>
      </w:pPr>
      <w:r>
        <w:rPr>
          <w:rFonts w:hint="eastAsia" w:asciiTheme="minorEastAsia" w:hAnsiTheme="minorEastAsia" w:cstheme="minorEastAsia"/>
          <w:bCs/>
        </w:rPr>
        <w:t>难点：</w:t>
      </w:r>
      <w:r>
        <w:rPr>
          <w:rFonts w:hint="eastAsia" w:asciiTheme="minorEastAsia" w:hAnsiTheme="minorEastAsia" w:cstheme="minorEastAsia"/>
          <w:bCs/>
          <w:kern w:val="0"/>
          <w:szCs w:val="21"/>
        </w:rPr>
        <w:t>采后加工和贮藏对营养价值的影响。</w:t>
      </w:r>
    </w:p>
    <w:p>
      <w:pPr>
        <w:widowControl/>
        <w:snapToGrid w:val="0"/>
        <w:spacing w:line="360" w:lineRule="auto"/>
        <w:rPr>
          <w:rFonts w:asciiTheme="minorEastAsia" w:hAnsiTheme="minorEastAsia" w:cstheme="minorEastAsia"/>
          <w:kern w:val="0"/>
          <w:szCs w:val="21"/>
        </w:rPr>
      </w:pPr>
      <w:r>
        <w:rPr>
          <w:rFonts w:hint="eastAsia" w:asciiTheme="minorEastAsia" w:hAnsiTheme="minorEastAsia" w:cstheme="minorEastAsia"/>
          <w:b/>
          <w:bCs/>
        </w:rPr>
        <w:t>主要教学内容及要求：</w:t>
      </w:r>
      <w:r>
        <w:rPr>
          <w:rFonts w:hint="eastAsia" w:asciiTheme="minorEastAsia" w:hAnsiTheme="minorEastAsia" w:cstheme="minorEastAsia"/>
          <w:kern w:val="0"/>
          <w:szCs w:val="21"/>
        </w:rPr>
        <w:t></w:t>
      </w:r>
    </w:p>
    <w:p>
      <w:pPr>
        <w:widowControl/>
        <w:snapToGrid w:val="0"/>
        <w:spacing w:line="360" w:lineRule="auto"/>
        <w:rPr>
          <w:rFonts w:asciiTheme="minorEastAsia" w:hAnsiTheme="minorEastAsia" w:cstheme="minorEastAsia"/>
          <w:b/>
          <w:kern w:val="0"/>
          <w:szCs w:val="21"/>
        </w:rPr>
      </w:pPr>
      <w:r>
        <w:rPr>
          <w:rFonts w:hint="eastAsia" w:asciiTheme="minorEastAsia" w:hAnsiTheme="minorEastAsia" w:cstheme="minorEastAsia"/>
          <w:b/>
          <w:kern w:val="0"/>
          <w:szCs w:val="21"/>
        </w:rPr>
        <w:t>内容：</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一、园艺产品营养素的形成及其影响因素。</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二、园艺产品营养素的调控技术途径。</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三、园艺产品营养素的保藏。</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四、加工对园艺产品营养素的影响</w:t>
      </w:r>
    </w:p>
    <w:p>
      <w:pPr>
        <w:widowControl/>
        <w:snapToGrid w:val="0"/>
        <w:spacing w:line="360" w:lineRule="auto"/>
        <w:rPr>
          <w:rFonts w:asciiTheme="minorEastAsia" w:hAnsiTheme="minorEastAsia" w:cstheme="minorEastAsia"/>
          <w:b/>
          <w:kern w:val="0"/>
          <w:szCs w:val="21"/>
        </w:rPr>
      </w:pPr>
      <w:r>
        <w:rPr>
          <w:rFonts w:hint="eastAsia" w:asciiTheme="minorEastAsia" w:hAnsiTheme="minorEastAsia" w:cstheme="minorEastAsia"/>
          <w:b/>
          <w:kern w:val="0"/>
          <w:szCs w:val="21"/>
        </w:rPr>
        <w:t>要求：</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了解：园艺产品营养素的形成。</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理解：采后贮藏和加工对园艺产品营养素的影响。</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掌握：园艺产品营养素形成的影响因素。</w:t>
      </w:r>
    </w:p>
    <w:p>
      <w:pPr>
        <w:widowControl/>
        <w:snapToGrid w:val="0"/>
        <w:spacing w:line="360" w:lineRule="auto"/>
        <w:ind w:firstLine="420" w:firstLineChars="200"/>
        <w:rPr>
          <w:rFonts w:asciiTheme="minorEastAsia" w:hAnsiTheme="minorEastAsia" w:cstheme="minorEastAsia"/>
          <w:kern w:val="0"/>
          <w:szCs w:val="21"/>
        </w:rPr>
      </w:pPr>
      <w:r>
        <w:rPr>
          <w:rFonts w:hint="eastAsia" w:asciiTheme="minorEastAsia" w:hAnsiTheme="minorEastAsia" w:cstheme="minorEastAsia"/>
          <w:kern w:val="0"/>
          <w:szCs w:val="21"/>
        </w:rPr>
        <w:t>熟练掌握：园艺产品营养素的调控技术。</w:t>
      </w:r>
    </w:p>
    <w:p>
      <w:pPr>
        <w:spacing w:line="360" w:lineRule="auto"/>
        <w:rPr>
          <w:rFonts w:asciiTheme="minorEastAsia" w:hAnsiTheme="minorEastAsia" w:cstheme="minorEastAsia"/>
          <w:b/>
          <w:bCs/>
          <w:lang w:val="en-GB"/>
        </w:rPr>
      </w:pPr>
      <w:r>
        <w:rPr>
          <w:rFonts w:hint="eastAsia" w:asciiTheme="minorEastAsia" w:hAnsiTheme="minorEastAsia" w:cstheme="minorEastAsia"/>
          <w:b/>
          <w:bCs/>
          <w:lang w:val="en-GB"/>
        </w:rPr>
        <w:t>教学组织与实施：</w:t>
      </w:r>
    </w:p>
    <w:p>
      <w:pPr>
        <w:widowControl/>
        <w:snapToGrid w:val="0"/>
        <w:spacing w:line="360" w:lineRule="auto"/>
        <w:ind w:firstLine="420" w:firstLineChars="200"/>
        <w:rPr>
          <w:kern w:val="0"/>
          <w:szCs w:val="21"/>
        </w:rPr>
      </w:pPr>
      <w:r>
        <w:rPr>
          <w:rFonts w:hint="eastAsia"/>
          <w:kern w:val="0"/>
          <w:szCs w:val="21"/>
        </w:rPr>
        <w:t>以班级授课的形式讲授园艺产品中营养素的形成与调控机制，授课过程中在课件里添加最新的园艺产品营养调控相关的研究进展，使学生深入理解园艺产品营养素形成调控原理（2学时）。</w:t>
      </w:r>
    </w:p>
    <w:p>
      <w:pPr>
        <w:widowControl/>
        <w:snapToGrid w:val="0"/>
        <w:spacing w:line="360" w:lineRule="auto"/>
        <w:ind w:firstLine="420" w:firstLineChars="200"/>
        <w:rPr>
          <w:kern w:val="0"/>
          <w:szCs w:val="21"/>
        </w:rPr>
      </w:pPr>
      <w:r>
        <w:rPr>
          <w:rFonts w:hint="eastAsia"/>
          <w:kern w:val="0"/>
          <w:szCs w:val="21"/>
        </w:rPr>
        <w:t>以学生为主，利用翻转课堂的形式，分小组来讲授最新园艺产品中营养素调控的相关文章，让学生理解园艺产品营养素调控相关的研究，为其以后的科研工作、以及生产中园艺产品营养素保藏调控提供一定的指导（4学时）。</w:t>
      </w:r>
    </w:p>
    <w:p>
      <w:pPr>
        <w:snapToGrid w:val="0"/>
        <w:spacing w:line="360" w:lineRule="auto"/>
        <w:rPr>
          <w:rFonts w:ascii="宋体" w:hAnsi="宋体"/>
          <w:b/>
          <w:szCs w:val="21"/>
        </w:rPr>
      </w:pPr>
      <w:r>
        <w:rPr>
          <w:rFonts w:hint="eastAsia" w:hAnsi="宋体"/>
          <w:b/>
          <w:bCs/>
          <w:kern w:val="0"/>
          <w:szCs w:val="21"/>
        </w:rPr>
        <w:t>五</w:t>
      </w:r>
      <w:r>
        <w:rPr>
          <w:rFonts w:ascii="宋体" w:hAnsi="宋体"/>
          <w:b/>
          <w:szCs w:val="21"/>
        </w:rPr>
        <w:t>、</w:t>
      </w:r>
      <w:r>
        <w:rPr>
          <w:rFonts w:hint="eastAsia" w:ascii="宋体" w:hAnsi="宋体"/>
          <w:b/>
          <w:szCs w:val="21"/>
        </w:rPr>
        <w:t>课程思政</w:t>
      </w:r>
    </w:p>
    <w:p>
      <w:pPr>
        <w:snapToGrid w:val="0"/>
        <w:spacing w:line="360" w:lineRule="auto"/>
        <w:ind w:firstLine="420" w:firstLineChars="200"/>
      </w:pPr>
      <w:r>
        <w:rPr>
          <w:rFonts w:hint="eastAsia"/>
        </w:rPr>
        <w:t>坚持“实现立德树人根本任务”的大思政综合教育理念，在课程教学过程中将政治认同、家国情怀、文化素养、宪法法治意识、道德修养等思想政治元素融入专业教育，隐性和显性教育相融合，知识育才和精神育才相结合。</w:t>
      </w:r>
    </w:p>
    <w:p>
      <w:pPr>
        <w:snapToGrid w:val="0"/>
        <w:spacing w:line="360" w:lineRule="auto"/>
        <w:ind w:firstLine="420" w:firstLineChars="200"/>
      </w:pPr>
      <w:r>
        <w:t>例如</w:t>
      </w:r>
      <w:r>
        <w:rPr>
          <w:rFonts w:hint="eastAsia"/>
        </w:rPr>
        <w:t>，在讲授植园艺产品及其中的营养成分在我们生活中的重要性时，介绍一下园艺产业在人们生活中的地位、现状：随着园艺产业的发展以及人们对“吃”及健康等的方面要求的提高，人们对果蔬等园艺产品的消费需求方向不断发生变化，也就是在园艺产品的消费过程中更加注重品质及营养，园艺产业的发展也在从数量型向质量型转变，在人们生活中占据着非常重要的地位，通过这些讲述使学生潜移默化的树立专业自信及三农情怀；在讲解园艺产品营养的形成与调控章节时，有效融入我国园艺产品品质营养调控的最新研究成果，让学生更直观的了解我国的基础科学研究水平已经处于世界前列，而科学技术发展的前提就是国家稳定与国力强盛，国力的强盛才能带动更多的科研投入，推动我国农业现代化的发展，进而激发学生的民族自豪感和爱国主义情怀。通过这些讲述使学生潜移默化的树立爱国意识、家国情怀，实现高校“立德树人”的人才培养目标</w:t>
      </w:r>
      <w:r>
        <w:t>。</w:t>
      </w:r>
    </w:p>
    <w:p>
      <w:pPr>
        <w:widowControl/>
        <w:snapToGrid w:val="0"/>
        <w:spacing w:line="360" w:lineRule="auto"/>
        <w:rPr>
          <w:kern w:val="0"/>
          <w:szCs w:val="21"/>
        </w:rPr>
      </w:pPr>
      <w:r>
        <w:rPr>
          <w:rFonts w:hint="eastAsia" w:hAnsi="宋体"/>
          <w:b/>
          <w:bCs/>
          <w:kern w:val="0"/>
          <w:szCs w:val="21"/>
        </w:rPr>
        <w:t>六</w:t>
      </w:r>
      <w:r>
        <w:rPr>
          <w:rFonts w:hAnsi="宋体"/>
          <w:b/>
          <w:bCs/>
          <w:kern w:val="0"/>
          <w:szCs w:val="21"/>
        </w:rPr>
        <w:t>、教材</w:t>
      </w:r>
      <w:r>
        <w:rPr>
          <w:rFonts w:hint="eastAsia" w:hAnsi="宋体"/>
          <w:b/>
          <w:bCs/>
          <w:kern w:val="0"/>
          <w:szCs w:val="21"/>
        </w:rPr>
        <w:t>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firstLine="420" w:firstLineChars="200"/>
        <w:jc w:val="left"/>
        <w:rPr>
          <w:rFonts w:asciiTheme="minorEastAsia" w:hAnsiTheme="minorEastAsia" w:cstheme="minorEastAsia"/>
          <w:b/>
          <w:bCs/>
          <w:strike/>
          <w:color w:val="0000FF"/>
          <w:kern w:val="0"/>
          <w:szCs w:val="21"/>
        </w:rPr>
      </w:pPr>
      <w:r>
        <w:rPr>
          <w:rFonts w:hint="eastAsia" w:asciiTheme="minorEastAsia" w:hAnsiTheme="minorEastAsia" w:cstheme="minorEastAsia"/>
          <w:bCs/>
          <w:kern w:val="0"/>
          <w:szCs w:val="21"/>
        </w:rPr>
        <w:t>果蔬营养与健康，王仁才 编著，化学工业出版社，2013年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snapToGrid w:val="0"/>
        <w:spacing w:line="360" w:lineRule="auto"/>
        <w:ind w:firstLine="420" w:firstLineChars="200"/>
        <w:rPr>
          <w:rFonts w:asciiTheme="minorEastAsia" w:hAnsiTheme="minorEastAsia" w:cstheme="minorEastAsia"/>
          <w:bCs/>
          <w:kern w:val="0"/>
          <w:szCs w:val="21"/>
        </w:rPr>
      </w:pPr>
      <w:r>
        <w:rPr>
          <w:rFonts w:hint="eastAsia" w:asciiTheme="minorEastAsia" w:hAnsiTheme="minorEastAsia" w:cstheme="minorEastAsia"/>
          <w:bCs/>
          <w:kern w:val="0"/>
          <w:szCs w:val="21"/>
        </w:rPr>
        <w:t>（1）园艺产品营养与品质分析，童斌、杨薇红 编著，西北农林科技大学出版社，2006年</w:t>
      </w:r>
    </w:p>
    <w:p>
      <w:pPr>
        <w:snapToGrid w:val="0"/>
        <w:spacing w:line="360" w:lineRule="auto"/>
        <w:ind w:firstLine="420" w:firstLineChars="200"/>
        <w:rPr>
          <w:rFonts w:asciiTheme="minorEastAsia" w:hAnsiTheme="minorEastAsia" w:cstheme="minorEastAsia"/>
          <w:bCs/>
          <w:kern w:val="0"/>
          <w:szCs w:val="21"/>
        </w:rPr>
      </w:pPr>
      <w:r>
        <w:rPr>
          <w:rFonts w:hint="eastAsia" w:asciiTheme="minorEastAsia" w:hAnsiTheme="minorEastAsia" w:cstheme="minorEastAsia"/>
          <w:bCs/>
          <w:kern w:val="0"/>
          <w:szCs w:val="21"/>
        </w:rPr>
        <w:t>（2）果蔬营养与健康，王仁才 编著，化学工业出版社，2013年</w:t>
      </w:r>
    </w:p>
    <w:p>
      <w:pPr>
        <w:snapToGrid w:val="0"/>
        <w:spacing w:line="360" w:lineRule="auto"/>
        <w:ind w:firstLine="420" w:firstLineChars="200"/>
        <w:rPr>
          <w:rFonts w:asciiTheme="minorEastAsia" w:hAnsiTheme="minorEastAsia" w:cstheme="minorEastAsia"/>
          <w:bCs/>
          <w:kern w:val="0"/>
          <w:szCs w:val="21"/>
        </w:rPr>
      </w:pPr>
      <w:r>
        <w:rPr>
          <w:rFonts w:hint="eastAsia" w:asciiTheme="minorEastAsia" w:hAnsiTheme="minorEastAsia" w:cstheme="minorEastAsia"/>
          <w:bCs/>
          <w:kern w:val="0"/>
          <w:szCs w:val="21"/>
        </w:rPr>
        <w:t>（3）园艺产品功能成分，马兆成、徐娟 编著，中国农业出版社，2015年</w:t>
      </w:r>
    </w:p>
    <w:p>
      <w:pPr>
        <w:snapToGrid w:val="0"/>
        <w:spacing w:line="360" w:lineRule="auto"/>
        <w:ind w:firstLine="420" w:firstLineChars="200"/>
        <w:rPr>
          <w:rFonts w:asciiTheme="minorEastAsia" w:hAnsiTheme="minorEastAsia" w:cstheme="minorEastAsia"/>
          <w:bCs/>
          <w:kern w:val="0"/>
          <w:szCs w:val="21"/>
        </w:rPr>
      </w:pPr>
      <w:r>
        <w:rPr>
          <w:rFonts w:hint="eastAsia" w:asciiTheme="minorEastAsia" w:hAnsiTheme="minorEastAsia" w:cstheme="minorEastAsia"/>
          <w:bCs/>
          <w:kern w:val="0"/>
          <w:szCs w:val="21"/>
        </w:rPr>
        <w:t>（4）蔬菜营养与健康，张和义、李苏迎 编著，西北农林科技大学出版社，2012年</w:t>
      </w:r>
    </w:p>
    <w:p>
      <w:pPr>
        <w:snapToGrid w:val="0"/>
        <w:spacing w:line="360" w:lineRule="auto"/>
        <w:ind w:firstLine="420" w:firstLineChars="200"/>
        <w:rPr>
          <w:rFonts w:asciiTheme="minorEastAsia" w:hAnsiTheme="minorEastAsia" w:cstheme="minorEastAsia"/>
          <w:bCs/>
          <w:kern w:val="0"/>
          <w:szCs w:val="21"/>
        </w:rPr>
      </w:pPr>
      <w:r>
        <w:rPr>
          <w:rFonts w:hint="eastAsia" w:asciiTheme="minorEastAsia" w:hAnsiTheme="minorEastAsia" w:cstheme="minorEastAsia"/>
          <w:bCs/>
          <w:kern w:val="0"/>
          <w:szCs w:val="21"/>
        </w:rPr>
        <w:t>（5）蔬菜营养分析，任虹、曹学丽 编著，化学工业出版社，2010年</w:t>
      </w:r>
    </w:p>
    <w:p>
      <w:pPr>
        <w:snapToGrid w:val="0"/>
        <w:spacing w:line="360" w:lineRule="auto"/>
        <w:ind w:firstLine="420" w:firstLineChars="200"/>
        <w:rPr>
          <w:rFonts w:asciiTheme="minorEastAsia" w:hAnsiTheme="minorEastAsia" w:cstheme="minorEastAsia"/>
          <w:b/>
          <w:bCs/>
          <w:strike/>
          <w:color w:val="0000FF"/>
          <w:kern w:val="0"/>
          <w:szCs w:val="21"/>
        </w:rPr>
      </w:pPr>
      <w:r>
        <w:rPr>
          <w:rFonts w:hint="eastAsia" w:asciiTheme="minorEastAsia" w:hAnsiTheme="minorEastAsia" w:cstheme="minorEastAsia"/>
          <w:bCs/>
          <w:kern w:val="0"/>
          <w:szCs w:val="21"/>
        </w:rPr>
        <w:t>（6）果品营养与健康，王云 编著，中国农业出版社，2012年</w:t>
      </w:r>
    </w:p>
    <w:p>
      <w:pPr>
        <w:widowControl/>
        <w:snapToGrid w:val="0"/>
        <w:spacing w:line="360" w:lineRule="auto"/>
        <w:ind w:firstLine="422" w:firstLineChars="200"/>
        <w:jc w:val="left"/>
        <w:rPr>
          <w:b/>
          <w:kern w:val="0"/>
          <w:szCs w:val="21"/>
        </w:rPr>
      </w:pPr>
      <w:r>
        <w:rPr>
          <w:rFonts w:hint="eastAsia"/>
          <w:b/>
          <w:kern w:val="0"/>
          <w:szCs w:val="21"/>
        </w:rPr>
        <w:t>3.推荐网站：</w:t>
      </w:r>
    </w:p>
    <w:p>
      <w:pPr>
        <w:snapToGrid w:val="0"/>
        <w:spacing w:line="360" w:lineRule="auto"/>
        <w:ind w:firstLine="420" w:firstLineChars="200"/>
      </w:pPr>
      <w:r>
        <w:t>（1）中国食品营养网，网址http://www.chinafcd.com/</w:t>
      </w:r>
    </w:p>
    <w:p>
      <w:pPr>
        <w:snapToGrid w:val="0"/>
        <w:spacing w:line="360" w:lineRule="auto"/>
        <w:ind w:firstLine="420" w:firstLineChars="200"/>
      </w:pPr>
      <w:r>
        <w:t>（2）天天营养网，网址 http://eat.51ttyy.com/</w:t>
      </w:r>
    </w:p>
    <w:p>
      <w:pPr>
        <w:widowControl/>
        <w:snapToGrid w:val="0"/>
        <w:spacing w:line="360" w:lineRule="auto"/>
        <w:ind w:firstLine="420" w:firstLineChars="200"/>
        <w:jc w:val="left"/>
      </w:pPr>
      <w:r>
        <w:rPr>
          <w:rFonts w:hint="eastAsia"/>
        </w:rPr>
        <w:t>（3）中国大学MOOC《园艺产品品质与营养健康》，网址</w:t>
      </w:r>
      <w:r>
        <w:t>https://www.icourse163.org/course/ZJU-1206619848?from=searchPage&amp;outVendor=zw_mooc_pcssjg_</w:t>
      </w:r>
    </w:p>
    <w:p>
      <w:pPr>
        <w:widowControl/>
        <w:snapToGrid w:val="0"/>
        <w:spacing w:line="360" w:lineRule="auto"/>
        <w:jc w:val="left"/>
        <w:rPr>
          <w:rFonts w:hAnsi="宋体"/>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本课程教学要求授课教师具备从事园艺专业相关教学、园艺产品品质调控相关知识及研究的背景，并具备从事多媒体教学的技能；授课教室需具备多媒体设备。</w:t>
      </w:r>
    </w:p>
    <w:p>
      <w:pPr>
        <w:widowControl/>
        <w:snapToGrid w:val="0"/>
        <w:spacing w:line="360" w:lineRule="auto"/>
        <w:jc w:val="left"/>
        <w:rPr>
          <w:rFonts w:hAnsi="宋体"/>
          <w:b/>
          <w:bCs/>
          <w:kern w:val="0"/>
          <w:szCs w:val="21"/>
        </w:rPr>
      </w:pPr>
      <w:r>
        <w:rPr>
          <w:rFonts w:hint="eastAsia" w:hAnsi="宋体"/>
          <w:b/>
          <w:bCs/>
          <w:kern w:val="0"/>
          <w:szCs w:val="21"/>
        </w:rPr>
        <w:t>八、教学考核评价</w:t>
      </w:r>
    </w:p>
    <w:p>
      <w:pPr>
        <w:widowControl/>
        <w:snapToGrid w:val="0"/>
        <w:spacing w:line="360" w:lineRule="auto"/>
        <w:ind w:firstLine="420"/>
        <w:jc w:val="left"/>
        <w:rPr>
          <w:rFonts w:ascii="宋体" w:hAnsi="宋体"/>
          <w:szCs w:val="21"/>
        </w:rPr>
      </w:pPr>
      <w:r>
        <w:rPr>
          <w:rFonts w:hint="eastAsia" w:hAnsi="宋体"/>
          <w:b/>
          <w:bCs/>
          <w:kern w:val="0"/>
          <w:szCs w:val="21"/>
        </w:rPr>
        <w:t>1.过程性评价：</w:t>
      </w:r>
    </w:p>
    <w:p>
      <w:pPr>
        <w:snapToGrid w:val="0"/>
        <w:spacing w:line="360" w:lineRule="auto"/>
        <w:ind w:firstLine="630" w:firstLineChars="300"/>
        <w:rPr>
          <w:rFonts w:ascii="宋体" w:hAnsi="宋体"/>
          <w:szCs w:val="21"/>
        </w:rPr>
      </w:pPr>
      <w:r>
        <w:rPr>
          <w:rFonts w:hint="eastAsia" w:hAnsiTheme="minorEastAsia"/>
          <w:szCs w:val="21"/>
        </w:rPr>
        <w:t>针对本门课程提高学生园艺产品营养学认知水平的教学目标</w:t>
      </w:r>
      <w:r>
        <w:rPr>
          <w:rFonts w:hint="eastAsia" w:ascii="宋体" w:hAnsi="宋体"/>
          <w:szCs w:val="21"/>
        </w:rPr>
        <w:t>，考核方式采用过程性考核与终结性考核相结合的方式。过程性评价主要体现于考勤、课堂教学活动参与度、翻转课堂分组讲课答辩环节；对于课堂教学活动参与度，是将</w:t>
      </w:r>
      <w:r>
        <w:rPr>
          <w:rFonts w:hint="eastAsia" w:hAnsiTheme="minorEastAsia"/>
          <w:szCs w:val="21"/>
        </w:rPr>
        <w:t>学生参与问答、讨论、作业等教学内容相关活动设定不同分数，计入平时成绩，从而进行过程性评价；对于</w:t>
      </w:r>
      <w:r>
        <w:rPr>
          <w:rFonts w:hint="eastAsia" w:ascii="宋体" w:hAnsi="宋体"/>
          <w:szCs w:val="21"/>
        </w:rPr>
        <w:t>翻转课堂分组讲课答辩，从学生课程PPT制作、课程内容丰富度、充实度、准确度、层次性、讲解表达仪态等方面进行过程性评价。</w:t>
      </w:r>
      <w:r>
        <w:rPr>
          <w:szCs w:val="21"/>
        </w:rPr>
        <w:t>过程性考核分为平时成绩</w:t>
      </w:r>
      <w:r>
        <w:rPr>
          <w:rFonts w:hint="eastAsia"/>
          <w:szCs w:val="21"/>
        </w:rPr>
        <w:t>和</w:t>
      </w:r>
      <w:r>
        <w:rPr>
          <w:szCs w:val="21"/>
        </w:rPr>
        <w:t>翻转课堂</w:t>
      </w:r>
      <w:r>
        <w:rPr>
          <w:rFonts w:hint="eastAsia"/>
          <w:szCs w:val="21"/>
        </w:rPr>
        <w:t>考核，占比55%。</w:t>
      </w:r>
      <w:r>
        <w:rPr>
          <w:szCs w:val="21"/>
        </w:rPr>
        <w:t>平时成绩包括平时学习情况、课堂提问、小组讨论表现、作业、考勤等，占比</w:t>
      </w:r>
      <w:r>
        <w:rPr>
          <w:rFonts w:hint="eastAsia"/>
          <w:szCs w:val="21"/>
        </w:rPr>
        <w:t>1</w:t>
      </w:r>
      <w:r>
        <w:rPr>
          <w:szCs w:val="21"/>
        </w:rPr>
        <w:t>0%；翻转课堂主要是分小组进行课程相关内容</w:t>
      </w:r>
      <w:r>
        <w:rPr>
          <w:rFonts w:hint="eastAsia"/>
          <w:szCs w:val="21"/>
        </w:rPr>
        <w:t>的PPT制作及</w:t>
      </w:r>
      <w:r>
        <w:rPr>
          <w:szCs w:val="21"/>
        </w:rPr>
        <w:t>讲解，占比</w:t>
      </w:r>
      <w:r>
        <w:rPr>
          <w:rFonts w:hint="eastAsia"/>
          <w:szCs w:val="21"/>
        </w:rPr>
        <w:t>45</w:t>
      </w:r>
      <w:r>
        <w:rPr>
          <w:szCs w:val="21"/>
        </w:rPr>
        <w:t>%。</w:t>
      </w:r>
    </w:p>
    <w:p>
      <w:pPr>
        <w:widowControl/>
        <w:snapToGrid w:val="0"/>
        <w:spacing w:line="360" w:lineRule="auto"/>
        <w:ind w:firstLine="420"/>
        <w:jc w:val="left"/>
        <w:rPr>
          <w:b/>
          <w:bCs/>
          <w:kern w:val="0"/>
          <w:szCs w:val="21"/>
        </w:rPr>
      </w:pPr>
      <w:r>
        <w:rPr>
          <w:rFonts w:hint="eastAsia" w:hAnsi="宋体"/>
          <w:b/>
          <w:bCs/>
          <w:kern w:val="0"/>
          <w:szCs w:val="21"/>
        </w:rPr>
        <w:t>2.终结性评价：</w:t>
      </w:r>
      <w:r>
        <w:rPr>
          <w:kern w:val="0"/>
          <w:szCs w:val="21"/>
        </w:rPr>
        <w:t>主要以期末</w:t>
      </w:r>
      <w:r>
        <w:rPr>
          <w:rFonts w:hint="eastAsia"/>
          <w:kern w:val="0"/>
          <w:szCs w:val="21"/>
        </w:rPr>
        <w:t>课程论文</w:t>
      </w:r>
      <w:r>
        <w:rPr>
          <w:kern w:val="0"/>
          <w:szCs w:val="21"/>
        </w:rPr>
        <w:t>为主，</w:t>
      </w:r>
      <w:r>
        <w:rPr>
          <w:rFonts w:hint="eastAsia"/>
          <w:kern w:val="0"/>
          <w:szCs w:val="21"/>
        </w:rPr>
        <w:t>要求学生撰写园艺产品营养学相关的课程论文，</w:t>
      </w:r>
      <w:r>
        <w:rPr>
          <w:kern w:val="0"/>
          <w:szCs w:val="21"/>
        </w:rPr>
        <w:t>占比</w:t>
      </w:r>
      <w:r>
        <w:rPr>
          <w:rFonts w:hint="eastAsia"/>
          <w:kern w:val="0"/>
          <w:szCs w:val="21"/>
        </w:rPr>
        <w:t>4</w:t>
      </w:r>
      <w:r>
        <w:rPr>
          <w:kern w:val="0"/>
          <w:szCs w:val="21"/>
        </w:rPr>
        <w:t>0%。</w:t>
      </w:r>
    </w:p>
    <w:p>
      <w:pPr>
        <w:widowControl/>
        <w:snapToGrid w:val="0"/>
        <w:spacing w:line="360" w:lineRule="auto"/>
        <w:ind w:firstLine="420"/>
        <w:jc w:val="left"/>
      </w:pPr>
      <w:r>
        <w:rPr>
          <w:rFonts w:hint="eastAsia" w:hAnsi="宋体"/>
          <w:b/>
          <w:bCs/>
          <w:kern w:val="0"/>
          <w:szCs w:val="21"/>
        </w:rPr>
        <w:t>3.课程综合评价：</w:t>
      </w:r>
      <w:r>
        <w:rPr>
          <w:kern w:val="0"/>
          <w:szCs w:val="21"/>
        </w:rPr>
        <w:t>过程性评价</w:t>
      </w:r>
      <w:r>
        <w:rPr>
          <w:rFonts w:hint="eastAsia"/>
          <w:kern w:val="0"/>
          <w:szCs w:val="21"/>
        </w:rPr>
        <w:t>平时成绩10%+过程性评价翻转课堂成绩45%</w:t>
      </w:r>
      <w:r>
        <w:rPr>
          <w:kern w:val="0"/>
          <w:szCs w:val="21"/>
        </w:rPr>
        <w:t>+</w:t>
      </w:r>
      <w:r>
        <w:rPr>
          <w:rFonts w:hint="eastAsia"/>
          <w:kern w:val="0"/>
          <w:szCs w:val="21"/>
        </w:rPr>
        <w:t xml:space="preserve"> 终结性课程论文</w:t>
      </w:r>
      <w:r>
        <w:rPr>
          <w:kern w:val="0"/>
          <w:szCs w:val="21"/>
        </w:rPr>
        <w:t>评价</w:t>
      </w:r>
      <w:r>
        <w:rPr>
          <w:rFonts w:hint="eastAsia"/>
          <w:kern w:val="0"/>
          <w:szCs w:val="21"/>
        </w:rPr>
        <w:t>45</w:t>
      </w:r>
      <w:r>
        <w:rPr>
          <w:kern w:val="0"/>
          <w:szCs w:val="21"/>
        </w:rPr>
        <w:t>%</w:t>
      </w:r>
    </w:p>
    <w:p>
      <w:pPr>
        <w:rPr>
          <w:sz w:val="28"/>
          <w:szCs w:val="28"/>
        </w:rPr>
      </w:pPr>
      <w:bookmarkStart w:id="429" w:name="_Toc138076342"/>
      <w:bookmarkStart w:id="430" w:name="_Toc138070453"/>
      <w:bookmarkStart w:id="431" w:name="_Toc138070723"/>
      <w:bookmarkStart w:id="432" w:name="_Toc138076093"/>
      <w:bookmarkStart w:id="433" w:name="_Toc138076637"/>
      <w:bookmarkStart w:id="434" w:name="_Toc138068823"/>
      <w:r>
        <w:rPr>
          <w:rFonts w:hint="eastAsia"/>
          <w:sz w:val="28"/>
          <w:szCs w:val="28"/>
        </w:rPr>
        <w:br w:type="page"/>
      </w:r>
    </w:p>
    <w:bookmarkEnd w:id="429"/>
    <w:bookmarkEnd w:id="430"/>
    <w:bookmarkEnd w:id="431"/>
    <w:bookmarkEnd w:id="432"/>
    <w:bookmarkEnd w:id="433"/>
    <w:bookmarkEnd w:id="434"/>
    <w:p>
      <w:pPr>
        <w:snapToGrid w:val="0"/>
        <w:spacing w:line="360" w:lineRule="auto"/>
        <w:jc w:val="center"/>
        <w:rPr>
          <w:b/>
          <w:sz w:val="28"/>
          <w:szCs w:val="28"/>
        </w:rPr>
      </w:pPr>
      <w:bookmarkStart w:id="435" w:name="_Toc138076343"/>
      <w:bookmarkStart w:id="436" w:name="_Toc138076094"/>
      <w:bookmarkStart w:id="437" w:name="_Toc138076638"/>
      <w:r>
        <w:rPr>
          <w:b/>
          <w:sz w:val="28"/>
          <w:szCs w:val="28"/>
        </w:rPr>
        <w:t>生物育种</w:t>
      </w:r>
    </w:p>
    <w:p>
      <w:pPr>
        <w:snapToGrid w:val="0"/>
        <w:spacing w:line="360" w:lineRule="auto"/>
        <w:jc w:val="center"/>
        <w:rPr>
          <w:sz w:val="24"/>
        </w:rPr>
      </w:pPr>
      <w:r>
        <w:rPr>
          <w:sz w:val="24"/>
        </w:rPr>
        <w:t>（</w:t>
      </w:r>
      <w:r>
        <w:rPr>
          <w:iCs/>
          <w:sz w:val="24"/>
        </w:rPr>
        <w:t xml:space="preserve">Biological </w:t>
      </w:r>
      <w:r>
        <w:rPr>
          <w:rFonts w:hint="eastAsia"/>
          <w:iCs/>
          <w:sz w:val="24"/>
        </w:rPr>
        <w:t>B</w:t>
      </w:r>
      <w:r>
        <w:rPr>
          <w:iCs/>
          <w:sz w:val="24"/>
        </w:rPr>
        <w:t>reeding</w:t>
      </w:r>
      <w:r>
        <w:rPr>
          <w:sz w:val="24"/>
        </w:rPr>
        <w:t>）</w:t>
      </w:r>
    </w:p>
    <w:p>
      <w:pPr>
        <w:snapToGrid w:val="0"/>
        <w:spacing w:line="360" w:lineRule="auto"/>
        <w:jc w:val="center"/>
        <w:rPr>
          <w:b/>
          <w:szCs w:val="21"/>
        </w:rPr>
      </w:pPr>
    </w:p>
    <w:p>
      <w:pPr>
        <w:snapToGrid w:val="0"/>
        <w:spacing w:line="360" w:lineRule="auto"/>
        <w:jc w:val="center"/>
        <w:rPr>
          <w:b/>
          <w:szCs w:val="21"/>
        </w:rPr>
      </w:pPr>
      <w:r>
        <w:rPr>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85"/>
        <w:gridCol w:w="3296"/>
        <w:gridCol w:w="3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8" w:type="pct"/>
          </w:tcPr>
          <w:p>
            <w:pPr>
              <w:spacing w:line="300" w:lineRule="auto"/>
              <w:rPr>
                <w:b/>
                <w:bCs/>
                <w:szCs w:val="21"/>
              </w:rPr>
            </w:pPr>
            <w:r>
              <w:rPr>
                <w:b/>
                <w:bCs/>
                <w:szCs w:val="21"/>
              </w:rPr>
              <w:t>课程编号：19011126</w:t>
            </w:r>
          </w:p>
        </w:tc>
        <w:tc>
          <w:tcPr>
            <w:tcW w:w="1808" w:type="pct"/>
          </w:tcPr>
          <w:p>
            <w:pPr>
              <w:spacing w:line="300" w:lineRule="auto"/>
              <w:rPr>
                <w:b/>
                <w:bCs/>
                <w:szCs w:val="21"/>
              </w:rPr>
            </w:pPr>
            <w:r>
              <w:rPr>
                <w:b/>
                <w:bCs/>
                <w:szCs w:val="21"/>
              </w:rPr>
              <w:t>课程总学时：32</w:t>
            </w:r>
          </w:p>
        </w:tc>
        <w:tc>
          <w:tcPr>
            <w:tcW w:w="1882" w:type="pct"/>
          </w:tcPr>
          <w:p>
            <w:pPr>
              <w:spacing w:line="300" w:lineRule="auto"/>
              <w:rPr>
                <w:b/>
                <w:bCs/>
                <w:szCs w:val="21"/>
              </w:rPr>
            </w:pPr>
            <w:r>
              <w:rPr>
                <w:b/>
                <w:bCs/>
                <w:szCs w:val="21"/>
              </w:rPr>
              <w:t>实验学时： 8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8" w:type="pct"/>
          </w:tcPr>
          <w:p>
            <w:pPr>
              <w:spacing w:line="300" w:lineRule="auto"/>
              <w:rPr>
                <w:b/>
                <w:bCs/>
                <w:szCs w:val="21"/>
              </w:rPr>
            </w:pPr>
            <w:r>
              <w:rPr>
                <w:b/>
                <w:bCs/>
                <w:szCs w:val="21"/>
              </w:rPr>
              <w:t>课程性质：</w:t>
            </w:r>
            <w:r>
              <w:rPr>
                <w:b/>
                <w:bCs/>
                <w:kern w:val="0"/>
                <w:szCs w:val="21"/>
              </w:rPr>
              <w:t>选修</w:t>
            </w:r>
          </w:p>
        </w:tc>
        <w:tc>
          <w:tcPr>
            <w:tcW w:w="1808" w:type="pct"/>
          </w:tcPr>
          <w:p>
            <w:pPr>
              <w:spacing w:line="300" w:lineRule="auto"/>
              <w:rPr>
                <w:b/>
                <w:bCs/>
                <w:szCs w:val="21"/>
              </w:rPr>
            </w:pPr>
            <w:r>
              <w:rPr>
                <w:b/>
                <w:bCs/>
                <w:szCs w:val="21"/>
              </w:rPr>
              <w:t>课程属性:</w:t>
            </w:r>
            <w:r>
              <w:rPr>
                <w:b/>
                <w:bCs/>
                <w:kern w:val="0"/>
                <w:szCs w:val="21"/>
              </w:rPr>
              <w:t>专业类</w:t>
            </w:r>
          </w:p>
        </w:tc>
        <w:tc>
          <w:tcPr>
            <w:tcW w:w="1882" w:type="pct"/>
          </w:tcPr>
          <w:p>
            <w:pPr>
              <w:spacing w:line="300" w:lineRule="auto"/>
              <w:rPr>
                <w:b/>
                <w:bCs/>
                <w:szCs w:val="21"/>
              </w:rPr>
            </w:pPr>
            <w:r>
              <w:rPr>
                <w:b/>
                <w:bCs/>
                <w:szCs w:val="21"/>
              </w:rPr>
              <w:t>开设学期：第 8 学期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8" w:type="pct"/>
          </w:tcPr>
          <w:p>
            <w:pPr>
              <w:spacing w:line="300" w:lineRule="auto"/>
              <w:rPr>
                <w:b/>
                <w:bCs/>
                <w:szCs w:val="21"/>
              </w:rPr>
            </w:pPr>
            <w:r>
              <w:rPr>
                <w:b/>
                <w:bCs/>
                <w:szCs w:val="21"/>
              </w:rPr>
              <w:t>课程负责人：谭彬</w:t>
            </w:r>
          </w:p>
        </w:tc>
        <w:tc>
          <w:tcPr>
            <w:tcW w:w="1808" w:type="pct"/>
          </w:tcPr>
          <w:p>
            <w:pPr>
              <w:spacing w:line="300" w:lineRule="auto"/>
              <w:rPr>
                <w:b/>
                <w:bCs/>
                <w:szCs w:val="21"/>
              </w:rPr>
            </w:pPr>
            <w:r>
              <w:rPr>
                <w:b/>
                <w:bCs/>
                <w:szCs w:val="21"/>
              </w:rPr>
              <w:t>课程团队：谭彬、孙守如、吴国良、贾芝琪、刘东明、王小贝、张海朋</w:t>
            </w:r>
          </w:p>
        </w:tc>
        <w:tc>
          <w:tcPr>
            <w:tcW w:w="1882" w:type="pct"/>
          </w:tcPr>
          <w:p>
            <w:pPr>
              <w:spacing w:line="300" w:lineRule="auto"/>
              <w:rPr>
                <w:b/>
                <w:bCs/>
                <w:szCs w:val="21"/>
              </w:rPr>
            </w:pPr>
            <w:r>
              <w:rPr>
                <w:b/>
                <w:bCs/>
                <w:szCs w:val="21"/>
              </w:rPr>
              <w:t>授课语言：中文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b/>
                <w:bCs/>
                <w:szCs w:val="21"/>
              </w:rPr>
            </w:pPr>
            <w:r>
              <w:rPr>
                <w:b/>
                <w:bCs/>
                <w:szCs w:val="21"/>
              </w:rPr>
              <w:t>适用专业：园艺学</w:t>
            </w:r>
            <w:r>
              <w:rPr>
                <w:rFonts w:hint="eastAsia"/>
                <w:b/>
                <w:bCs/>
                <w:szCs w:val="21"/>
              </w:rPr>
              <w:t>、设施科学与工程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b/>
                <w:bCs/>
                <w:szCs w:val="21"/>
              </w:rPr>
            </w:pPr>
            <w:r>
              <w:rPr>
                <w:b/>
                <w:bCs/>
                <w:szCs w:val="21"/>
              </w:rPr>
              <w:t>对先修的要求：植物育种学、分子生物学基础、遗传学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3"/>
          </w:tcPr>
          <w:p>
            <w:pPr>
              <w:spacing w:line="300" w:lineRule="auto"/>
              <w:rPr>
                <w:b/>
                <w:bCs/>
                <w:szCs w:val="21"/>
              </w:rPr>
            </w:pPr>
            <w:r>
              <w:rPr>
                <w:b/>
                <w:bCs/>
                <w:szCs w:val="21"/>
              </w:rPr>
              <w:t>对后续的支撑：</w:t>
            </w:r>
            <w:r>
              <w:rPr>
                <w:rFonts w:hint="eastAsia"/>
                <w:b/>
                <w:bCs/>
                <w:szCs w:val="21"/>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08" w:type="pct"/>
          </w:tcPr>
          <w:p>
            <w:pPr>
              <w:spacing w:line="300" w:lineRule="auto"/>
              <w:rPr>
                <w:b/>
                <w:bCs/>
                <w:szCs w:val="21"/>
              </w:rPr>
            </w:pPr>
            <w:r>
              <w:rPr>
                <w:b/>
                <w:bCs/>
                <w:szCs w:val="21"/>
              </w:rPr>
              <w:t>主撰人：贾芝琪、刘东明、王小贝、张海朋</w:t>
            </w:r>
          </w:p>
        </w:tc>
        <w:tc>
          <w:tcPr>
            <w:tcW w:w="1808" w:type="pct"/>
          </w:tcPr>
          <w:p>
            <w:pPr>
              <w:spacing w:line="300" w:lineRule="auto"/>
              <w:rPr>
                <w:b/>
                <w:bCs/>
                <w:szCs w:val="21"/>
              </w:rPr>
            </w:pPr>
            <w:r>
              <w:rPr>
                <w:b/>
                <w:bCs/>
                <w:szCs w:val="21"/>
              </w:rPr>
              <w:t>审核人：谭彬</w:t>
            </w:r>
          </w:p>
        </w:tc>
        <w:tc>
          <w:tcPr>
            <w:tcW w:w="1882" w:type="pct"/>
          </w:tcPr>
          <w:p>
            <w:pPr>
              <w:spacing w:line="300" w:lineRule="auto"/>
              <w:rPr>
                <w:b/>
                <w:bCs/>
                <w:szCs w:val="21"/>
              </w:rPr>
            </w:pPr>
            <w:r>
              <w:rPr>
                <w:b/>
                <w:bCs/>
                <w:szCs w:val="21"/>
              </w:rPr>
              <w:t>大纲制定（修订）日期：2023</w:t>
            </w:r>
            <w:r>
              <w:rPr>
                <w:rFonts w:hint="eastAsia"/>
                <w:b/>
                <w:bCs/>
                <w:szCs w:val="21"/>
              </w:rPr>
              <w:t>.05</w:t>
            </w:r>
          </w:p>
        </w:tc>
      </w:tr>
    </w:tbl>
    <w:p>
      <w:pPr>
        <w:widowControl/>
        <w:snapToGrid w:val="0"/>
        <w:spacing w:line="360" w:lineRule="auto"/>
        <w:jc w:val="left"/>
        <w:rPr>
          <w:b/>
          <w:bCs/>
          <w:kern w:val="0"/>
          <w:szCs w:val="21"/>
        </w:rPr>
      </w:pPr>
    </w:p>
    <w:p>
      <w:pPr>
        <w:widowControl/>
        <w:snapToGrid w:val="0"/>
        <w:spacing w:line="360" w:lineRule="auto"/>
        <w:jc w:val="left"/>
        <w:rPr>
          <w:b/>
          <w:kern w:val="0"/>
          <w:szCs w:val="21"/>
        </w:rPr>
      </w:pPr>
      <w:r>
        <w:rPr>
          <w:b/>
          <w:bCs/>
          <w:kern w:val="0"/>
          <w:szCs w:val="21"/>
        </w:rPr>
        <w:t>一、课程的教学理念、性质、目标和任务</w:t>
      </w:r>
    </w:p>
    <w:p>
      <w:pPr>
        <w:spacing w:line="360" w:lineRule="auto"/>
        <w:ind w:firstLine="420" w:firstLineChars="200"/>
        <w:rPr>
          <w:kern w:val="0"/>
          <w:szCs w:val="21"/>
        </w:rPr>
      </w:pPr>
      <w:r>
        <w:rPr>
          <w:kern w:val="0"/>
          <w:szCs w:val="21"/>
        </w:rPr>
        <w:t>《生物育种学》是以新方法新途径研究植物品种选育原理和方法的科学，本课程是园艺专业深化专业类课程。</w:t>
      </w:r>
    </w:p>
    <w:p>
      <w:pPr>
        <w:widowControl/>
        <w:snapToGrid w:val="0"/>
        <w:spacing w:line="360" w:lineRule="auto"/>
        <w:ind w:firstLine="420"/>
        <w:jc w:val="left"/>
        <w:rPr>
          <w:kern w:val="0"/>
          <w:szCs w:val="21"/>
        </w:rPr>
      </w:pPr>
      <w:r>
        <w:rPr>
          <w:kern w:val="0"/>
          <w:szCs w:val="21"/>
        </w:rPr>
        <w:t>学习本课程的主要目的是使学生在掌握常规园艺植物新品种的方法的基础上，进一步提升育种新方法新技术。掌握细胞工程、基因工程、基因编辑、全基因组选择、多组学和分子设计育种的原理和方法。课程教学以学生为主体，科研为载体，实践为中心，采用线下授课模式，引入课堂思政，旨在培养学生的育种学理论知识和实践技能，提高学生的综合素质，培养适应创新型、复合型、应用型人才需要。本课程任务是利用最新研究方法培育园艺生产需要的新品种，以满足人民生活、多种经营、对外贸易、美化环境等各方面对园艺生产提出的复杂要求。</w:t>
      </w:r>
    </w:p>
    <w:p>
      <w:pPr>
        <w:widowControl/>
        <w:snapToGrid w:val="0"/>
        <w:spacing w:line="360" w:lineRule="auto"/>
        <w:jc w:val="left"/>
        <w:rPr>
          <w:kern w:val="0"/>
          <w:szCs w:val="21"/>
        </w:rPr>
      </w:pPr>
      <w:r>
        <w:rPr>
          <w:b/>
          <w:bCs/>
          <w:kern w:val="0"/>
          <w:szCs w:val="21"/>
        </w:rPr>
        <w:t>二、课程教学的基本要求</w:t>
      </w:r>
    </w:p>
    <w:p>
      <w:pPr>
        <w:widowControl/>
        <w:snapToGrid w:val="0"/>
        <w:spacing w:line="360" w:lineRule="auto"/>
        <w:ind w:firstLine="420" w:firstLineChars="200"/>
        <w:jc w:val="left"/>
        <w:rPr>
          <w:bCs/>
          <w:kern w:val="0"/>
          <w:szCs w:val="21"/>
        </w:rPr>
      </w:pPr>
      <w:r>
        <w:rPr>
          <w:kern w:val="0"/>
          <w:szCs w:val="21"/>
        </w:rPr>
        <w:t>1.理论知识方面：</w:t>
      </w:r>
    </w:p>
    <w:p>
      <w:pPr>
        <w:widowControl/>
        <w:snapToGrid w:val="0"/>
        <w:spacing w:line="360" w:lineRule="auto"/>
        <w:ind w:firstLine="420" w:firstLineChars="200"/>
        <w:jc w:val="left"/>
        <w:rPr>
          <w:bCs/>
          <w:kern w:val="0"/>
          <w:szCs w:val="21"/>
        </w:rPr>
      </w:pPr>
      <w:r>
        <w:rPr>
          <w:bCs/>
          <w:kern w:val="0"/>
          <w:szCs w:val="21"/>
        </w:rPr>
        <w:t>（1）系统地掌握生物育种的研究历史和发展趋势，明确生物育种的任务及其与其他学科的关系，</w:t>
      </w:r>
      <w:r>
        <w:rPr>
          <w:kern w:val="0"/>
          <w:szCs w:val="21"/>
        </w:rPr>
        <w:t>使学生了解本课程在本专业中的地位；</w:t>
      </w:r>
      <w:r>
        <w:rPr>
          <w:bCs/>
          <w:kern w:val="0"/>
          <w:szCs w:val="21"/>
        </w:rPr>
        <w:t>（2）明确细胞工程的原</w:t>
      </w:r>
      <w:r>
        <w:rPr>
          <w:kern w:val="0"/>
          <w:szCs w:val="21"/>
        </w:rPr>
        <w:t>理和技术，掌握体细胞杂交的的原理和方法，了解其在园艺植物研究中的应用；（3）了解基因工程在育种中的作用和程序，掌握转基因技术在园艺植物育种中的应用；（4）掌握基因编辑的技术特点和理论特点，及其在园艺植物研究中的应用；（5）了解全基因组选择适用范围及技术特点，及在植物育种中的作用；（6）多组学关联分析对重要性状关键基因的研究，及在植物育种中的作用；（7）掌握分子设计育种概念，及分子标记在植物育种中的应用。</w:t>
      </w:r>
    </w:p>
    <w:p>
      <w:pPr>
        <w:widowControl/>
        <w:snapToGrid w:val="0"/>
        <w:spacing w:line="360" w:lineRule="auto"/>
        <w:ind w:firstLine="420" w:firstLineChars="200"/>
        <w:jc w:val="left"/>
        <w:rPr>
          <w:bCs/>
          <w:kern w:val="0"/>
          <w:szCs w:val="21"/>
        </w:rPr>
      </w:pPr>
      <w:r>
        <w:rPr>
          <w:kern w:val="0"/>
          <w:szCs w:val="21"/>
        </w:rPr>
        <w:t>2.实验技能方面：</w:t>
      </w:r>
    </w:p>
    <w:p>
      <w:pPr>
        <w:widowControl/>
        <w:snapToGrid w:val="0"/>
        <w:spacing w:line="360" w:lineRule="auto"/>
        <w:ind w:firstLine="420" w:firstLineChars="200"/>
        <w:jc w:val="left"/>
        <w:rPr>
          <w:bCs/>
          <w:kern w:val="0"/>
          <w:szCs w:val="21"/>
        </w:rPr>
      </w:pPr>
      <w:r>
        <w:rPr>
          <w:bCs/>
          <w:kern w:val="0"/>
          <w:szCs w:val="21"/>
        </w:rPr>
        <w:t>（1）掌握生物育种3.0时代常用育种技术</w:t>
      </w:r>
      <w:r>
        <w:rPr>
          <w:rFonts w:hint="eastAsia"/>
          <w:bCs/>
          <w:kern w:val="0"/>
          <w:szCs w:val="21"/>
        </w:rPr>
        <w:t>手段</w:t>
      </w:r>
      <w:r>
        <w:rPr>
          <w:kern w:val="0"/>
          <w:szCs w:val="21"/>
        </w:rPr>
        <w:t>；</w:t>
      </w:r>
      <w:r>
        <w:rPr>
          <w:bCs/>
          <w:kern w:val="0"/>
          <w:szCs w:val="21"/>
        </w:rPr>
        <w:t>（2）掌握基因定位技术在育种中的分析技术方法；（3）掌握分子标记开发及电泳检测。</w:t>
      </w:r>
    </w:p>
    <w:p>
      <w:pPr>
        <w:widowControl/>
        <w:snapToGrid w:val="0"/>
        <w:spacing w:line="360" w:lineRule="auto"/>
        <w:jc w:val="left"/>
        <w:rPr>
          <w:b/>
          <w:bCs/>
          <w:kern w:val="0"/>
          <w:szCs w:val="21"/>
        </w:rPr>
      </w:pPr>
      <w:r>
        <w:rPr>
          <w:b/>
          <w:bCs/>
          <w:kern w:val="0"/>
          <w:szCs w:val="21"/>
        </w:rPr>
        <w:t>三、课程的教学设计</w:t>
      </w:r>
    </w:p>
    <w:p>
      <w:pPr>
        <w:spacing w:line="360" w:lineRule="auto"/>
        <w:ind w:firstLine="420" w:firstLineChars="200"/>
        <w:rPr>
          <w:bCs/>
          <w:kern w:val="0"/>
          <w:szCs w:val="21"/>
        </w:rPr>
      </w:pPr>
      <w:r>
        <w:rPr>
          <w:bCs/>
          <w:kern w:val="0"/>
          <w:szCs w:val="21"/>
        </w:rPr>
        <w:t>1.教学设计说明</w:t>
      </w:r>
    </w:p>
    <w:p>
      <w:pPr>
        <w:widowControl/>
        <w:snapToGrid w:val="0"/>
        <w:spacing w:line="360" w:lineRule="auto"/>
        <w:ind w:firstLine="420" w:firstLineChars="200"/>
        <w:jc w:val="left"/>
        <w:rPr>
          <w:bCs/>
          <w:kern w:val="0"/>
          <w:szCs w:val="21"/>
        </w:rPr>
      </w:pPr>
      <w:r>
        <w:rPr>
          <w:bCs/>
          <w:kern w:val="0"/>
          <w:szCs w:val="21"/>
        </w:rPr>
        <w:t>生物育种系统讲述了育种3.0技术研究中常用的方法与技术在植物中的应用及其发展趋势，重点讲述了细胞工程、基因工程、基因编辑、全基因组选择、多组学联合分析和分子设计育种。根据教学内容精心设计试验环节，期望学生通过理论学习和试验操作，掌握生物育种3.0技术研究中常用的方法，为从事园艺植物新品种选育相关研究及其产业应用奠定良好的理论和技术基础。</w:t>
      </w:r>
    </w:p>
    <w:p>
      <w:pPr>
        <w:spacing w:line="360" w:lineRule="auto"/>
        <w:ind w:firstLine="420" w:firstLineChars="200"/>
        <w:rPr>
          <w:bCs/>
          <w:kern w:val="0"/>
          <w:szCs w:val="21"/>
        </w:rPr>
      </w:pPr>
      <w:r>
        <w:rPr>
          <w:bCs/>
          <w:kern w:val="0"/>
          <w:szCs w:val="21"/>
        </w:rPr>
        <w:t>2.课程目标及对毕业要求的支撑</w:t>
      </w:r>
    </w:p>
    <w:tbl>
      <w:tblPr>
        <w:tblStyle w:val="23"/>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b/>
                <w:bCs/>
                <w:sz w:val="18"/>
                <w:szCs w:val="18"/>
              </w:rPr>
            </w:pPr>
            <w:r>
              <w:rPr>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b/>
                <w:bCs/>
                <w:sz w:val="18"/>
                <w:szCs w:val="18"/>
              </w:rPr>
            </w:pPr>
            <w:r>
              <w:rPr>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b/>
                <w:bCs/>
                <w:sz w:val="18"/>
                <w:szCs w:val="18"/>
              </w:rPr>
            </w:pPr>
            <w:r>
              <w:rPr>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1</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rPr>
                <w:bCs/>
                <w:sz w:val="18"/>
                <w:szCs w:val="18"/>
              </w:rPr>
            </w:pPr>
            <w:r>
              <w:rPr>
                <w:bCs/>
                <w:sz w:val="18"/>
                <w:szCs w:val="18"/>
              </w:rPr>
              <w:t>目标1：了解生物育种3.0中常用育种技术，掌握细胞工程、基因工程、基因编辑、全基因组选择、多组学关联和分子设计育种等技术的基本原理和技术。</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Cs/>
                <w:sz w:val="18"/>
                <w:szCs w:val="18"/>
              </w:rPr>
            </w:pPr>
            <w:r>
              <w:rPr>
                <w:bCs/>
                <w:sz w:val="18"/>
                <w:szCs w:val="18"/>
              </w:rPr>
              <w:t>4</w:t>
            </w:r>
          </w:p>
          <w:p>
            <w:pPr>
              <w:spacing w:line="320" w:lineRule="exact"/>
              <w:jc w:val="center"/>
              <w:rPr>
                <w:bCs/>
                <w:sz w:val="18"/>
                <w:szCs w:val="18"/>
              </w:rPr>
            </w:pPr>
            <w:r>
              <w:rPr>
                <w:bCs/>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2</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rPr>
                <w:bCs/>
                <w:sz w:val="18"/>
                <w:szCs w:val="18"/>
              </w:rPr>
            </w:pPr>
            <w:r>
              <w:rPr>
                <w:bCs/>
                <w:sz w:val="18"/>
                <w:szCs w:val="18"/>
              </w:rPr>
              <w:t>目标2：掌握生物育种3.0时代育种技术的常用的方法与技术在园艺植物中的应用及其发展趋势.</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Cs/>
                <w:sz w:val="18"/>
                <w:szCs w:val="18"/>
              </w:rPr>
            </w:pPr>
            <w:r>
              <w:rPr>
                <w:bCs/>
                <w:sz w:val="18"/>
                <w:szCs w:val="18"/>
              </w:rPr>
              <w:t>6</w:t>
            </w:r>
          </w:p>
          <w:p>
            <w:pPr>
              <w:spacing w:line="320" w:lineRule="exact"/>
              <w:jc w:val="center"/>
              <w:rPr>
                <w:bCs/>
                <w:sz w:val="18"/>
                <w:szCs w:val="18"/>
              </w:rPr>
            </w:pPr>
            <w:r>
              <w:rPr>
                <w:bCs/>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eastAsiaTheme="minorEastAsia"/>
                <w:sz w:val="18"/>
                <w:szCs w:val="18"/>
              </w:rPr>
            </w:pPr>
            <w:r>
              <w:rPr>
                <w:rFonts w:eastAsiaTheme="minorEastAsia"/>
                <w:sz w:val="18"/>
                <w:szCs w:val="18"/>
              </w:rPr>
              <w:t>3</w:t>
            </w:r>
          </w:p>
        </w:tc>
        <w:tc>
          <w:tcPr>
            <w:tcW w:w="6846" w:type="dxa"/>
            <w:tcBorders>
              <w:top w:val="single" w:color="auto" w:sz="4" w:space="0"/>
              <w:left w:val="single" w:color="auto" w:sz="4" w:space="0"/>
              <w:bottom w:val="single" w:color="auto" w:sz="4" w:space="0"/>
              <w:right w:val="single" w:color="auto" w:sz="4" w:space="0"/>
            </w:tcBorders>
            <w:vAlign w:val="center"/>
          </w:tcPr>
          <w:p>
            <w:pPr>
              <w:spacing w:line="320" w:lineRule="exact"/>
              <w:rPr>
                <w:bCs/>
                <w:sz w:val="18"/>
                <w:szCs w:val="18"/>
              </w:rPr>
            </w:pPr>
            <w:r>
              <w:rPr>
                <w:bCs/>
                <w:sz w:val="18"/>
                <w:szCs w:val="18"/>
              </w:rPr>
              <w:t>目标3：为从事园艺植物生物育种相关研究及其产业应用奠定良好的理论和技术基础。</w:t>
            </w:r>
          </w:p>
        </w:tc>
        <w:tc>
          <w:tcPr>
            <w:tcW w:w="105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bCs/>
                <w:sz w:val="18"/>
                <w:szCs w:val="18"/>
              </w:rPr>
            </w:pPr>
            <w:r>
              <w:rPr>
                <w:bCs/>
                <w:sz w:val="18"/>
                <w:szCs w:val="18"/>
              </w:rPr>
              <w:t>6</w:t>
            </w:r>
          </w:p>
        </w:tc>
      </w:tr>
    </w:tbl>
    <w:p>
      <w:pPr>
        <w:spacing w:line="360" w:lineRule="auto"/>
        <w:ind w:firstLine="420" w:firstLineChars="200"/>
        <w:rPr>
          <w:bCs/>
          <w:kern w:val="0"/>
          <w:szCs w:val="21"/>
        </w:rPr>
      </w:pPr>
    </w:p>
    <w:p>
      <w:pPr>
        <w:widowControl/>
        <w:snapToGrid w:val="0"/>
        <w:spacing w:line="360" w:lineRule="auto"/>
        <w:jc w:val="left"/>
        <w:rPr>
          <w:bCs/>
          <w:kern w:val="0"/>
          <w:szCs w:val="21"/>
        </w:rPr>
      </w:pPr>
      <w:r>
        <w:rPr>
          <w:b/>
          <w:bCs/>
          <w:kern w:val="0"/>
          <w:szCs w:val="21"/>
        </w:rPr>
        <w:t>四、理论教学内容及学时分配（24学时）</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bCs/>
                <w:kern w:val="0"/>
                <w:szCs w:val="21"/>
              </w:rPr>
            </w:pPr>
            <w:r>
              <w:rPr>
                <w:b/>
                <w:bCs/>
                <w:kern w:val="0"/>
                <w:szCs w:val="21"/>
              </w:rPr>
              <w:t>绪论</w:t>
            </w:r>
          </w:p>
        </w:tc>
        <w:tc>
          <w:tcPr>
            <w:tcW w:w="2966" w:type="dxa"/>
            <w:tcBorders>
              <w:top w:val="nil"/>
              <w:left w:val="nil"/>
              <w:bottom w:val="nil"/>
              <w:right w:val="nil"/>
            </w:tcBorders>
            <w:vAlign w:val="center"/>
          </w:tcPr>
          <w:p>
            <w:pPr>
              <w:widowControl/>
              <w:snapToGrid w:val="0"/>
              <w:spacing w:line="360" w:lineRule="auto"/>
              <w:jc w:val="right"/>
              <w:rPr>
                <w:b/>
                <w:bCs/>
                <w:kern w:val="0"/>
                <w:szCs w:val="21"/>
              </w:rPr>
            </w:pPr>
            <w:r>
              <w:rPr>
                <w:b/>
                <w:bCs/>
                <w:kern w:val="0"/>
                <w:szCs w:val="21"/>
              </w:rPr>
              <w:t>学时数：2</w:t>
            </w:r>
          </w:p>
        </w:tc>
      </w:tr>
    </w:tbl>
    <w:p>
      <w:pPr>
        <w:widowControl/>
        <w:snapToGrid w:val="0"/>
        <w:spacing w:before="156" w:beforeLines="50" w:line="360" w:lineRule="auto"/>
        <w:rPr>
          <w:b/>
          <w:bCs/>
          <w:kern w:val="0"/>
          <w:szCs w:val="21"/>
        </w:rPr>
      </w:pPr>
      <w:r>
        <w:rPr>
          <w:b/>
          <w:bCs/>
        </w:rPr>
        <w:t>教学目标：</w:t>
      </w:r>
      <w:r>
        <w:rPr>
          <w:bCs/>
        </w:rPr>
        <w:t>了解生物育种概念，生物育种发展史，及未来育种发展方向。</w:t>
      </w:r>
      <w:r>
        <w:rPr>
          <w:kern w:val="0"/>
          <w:szCs w:val="21"/>
        </w:rPr>
        <w:t></w:t>
      </w:r>
    </w:p>
    <w:p>
      <w:pPr>
        <w:widowControl/>
        <w:snapToGrid w:val="0"/>
        <w:spacing w:line="360" w:lineRule="auto"/>
        <w:rPr>
          <w:b/>
          <w:bCs/>
          <w:kern w:val="0"/>
          <w:szCs w:val="21"/>
        </w:rPr>
      </w:pPr>
      <w:r>
        <w:rPr>
          <w:b/>
          <w:bCs/>
        </w:rPr>
        <w:t>教学重点和难点：</w:t>
      </w:r>
      <w:r>
        <w:rPr>
          <w:bCs/>
        </w:rPr>
        <w:t>生物育种概念、未来育种发展的重点方向和技术。</w:t>
      </w:r>
    </w:p>
    <w:p>
      <w:pPr>
        <w:widowControl/>
        <w:adjustRightInd w:val="0"/>
        <w:snapToGrid w:val="0"/>
        <w:spacing w:line="360" w:lineRule="auto"/>
        <w:jc w:val="left"/>
        <w:rPr>
          <w:b/>
        </w:rPr>
      </w:pPr>
      <w:r>
        <w:rPr>
          <w:b/>
        </w:rPr>
        <w:t>主要教学内容及要求：</w:t>
      </w:r>
    </w:p>
    <w:p>
      <w:pPr>
        <w:widowControl/>
        <w:adjustRightInd w:val="0"/>
        <w:snapToGrid w:val="0"/>
        <w:spacing w:line="360" w:lineRule="auto"/>
        <w:ind w:firstLine="422" w:firstLineChars="200"/>
        <w:jc w:val="left"/>
        <w:rPr>
          <w:b/>
        </w:rPr>
      </w:pPr>
      <w:r>
        <w:rPr>
          <w:b/>
        </w:rPr>
        <w:t>了解：</w:t>
      </w:r>
      <w:r>
        <w:rPr>
          <w:bCs/>
        </w:rPr>
        <w:t>了解生物育种在植物中的应用，及生物育种主要内容和发展方向。</w:t>
      </w:r>
    </w:p>
    <w:p>
      <w:pPr>
        <w:widowControl/>
        <w:adjustRightInd w:val="0"/>
        <w:snapToGrid w:val="0"/>
        <w:spacing w:line="360" w:lineRule="auto"/>
        <w:ind w:firstLine="422" w:firstLineChars="200"/>
        <w:jc w:val="left"/>
      </w:pPr>
      <w:r>
        <w:rPr>
          <w:b/>
        </w:rPr>
        <w:t>理解：</w:t>
      </w:r>
      <w:r>
        <w:t>生物育种对植物育种发展的贡献。</w:t>
      </w:r>
    </w:p>
    <w:p>
      <w:pPr>
        <w:widowControl/>
        <w:adjustRightInd w:val="0"/>
        <w:snapToGrid w:val="0"/>
        <w:spacing w:line="360" w:lineRule="auto"/>
        <w:ind w:firstLine="422" w:firstLineChars="200"/>
        <w:jc w:val="left"/>
      </w:pPr>
      <w:r>
        <w:rPr>
          <w:b/>
        </w:rPr>
        <w:t>掌握：</w:t>
      </w:r>
      <w:r>
        <w:t>生物育种的概念。</w:t>
      </w:r>
    </w:p>
    <w:p>
      <w:pPr>
        <w:widowControl/>
        <w:adjustRightInd w:val="0"/>
        <w:snapToGrid w:val="0"/>
        <w:spacing w:line="360" w:lineRule="auto"/>
        <w:ind w:firstLine="422" w:firstLineChars="200"/>
        <w:jc w:val="left"/>
        <w:rPr>
          <w:b/>
        </w:rPr>
      </w:pPr>
      <w:r>
        <w:rPr>
          <w:b/>
        </w:rPr>
        <w:t>熟练掌握：</w:t>
      </w:r>
      <w:r>
        <w:t>生物育种未来发展方向。</w:t>
      </w:r>
    </w:p>
    <w:p>
      <w:pPr>
        <w:widowControl/>
        <w:adjustRightInd w:val="0"/>
        <w:snapToGrid w:val="0"/>
        <w:spacing w:line="360" w:lineRule="auto"/>
        <w:jc w:val="left"/>
        <w:rPr>
          <w:b/>
          <w:bCs/>
          <w:kern w:val="0"/>
          <w:szCs w:val="21"/>
        </w:rPr>
      </w:pPr>
      <w:r>
        <w:rPr>
          <w:b/>
          <w:bCs/>
          <w:kern w:val="0"/>
          <w:szCs w:val="21"/>
        </w:rPr>
        <w:t>教学组织与实施：</w:t>
      </w:r>
      <w:r>
        <w:rPr>
          <w:bCs/>
          <w:kern w:val="0"/>
          <w:szCs w:val="21"/>
        </w:rPr>
        <w:t>通过课堂教学，结合大量图片资料和实例介绍生物育种在对植物科学的贡献及生物育种技术的主要研究内容，让学生对生物育种技术相关概念和仪器有进一步的理解。</w:t>
      </w:r>
      <w:r>
        <w:rPr>
          <w:kern w:val="0"/>
          <w:szCs w:val="21"/>
        </w:rPr>
        <w:t></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bCs/>
                <w:kern w:val="0"/>
                <w:szCs w:val="21"/>
              </w:rPr>
            </w:pPr>
            <w:r>
              <w:rPr>
                <w:b/>
                <w:bCs/>
                <w:kern w:val="0"/>
                <w:szCs w:val="21"/>
              </w:rPr>
              <w:t xml:space="preserve">第一章  </w:t>
            </w:r>
            <w:r>
              <w:rPr>
                <w:b/>
                <w:szCs w:val="21"/>
              </w:rPr>
              <w:t>细胞工程育种</w:t>
            </w:r>
          </w:p>
        </w:tc>
        <w:tc>
          <w:tcPr>
            <w:tcW w:w="2966" w:type="dxa"/>
            <w:tcBorders>
              <w:top w:val="nil"/>
              <w:left w:val="nil"/>
              <w:bottom w:val="nil"/>
              <w:right w:val="nil"/>
            </w:tcBorders>
            <w:vAlign w:val="center"/>
          </w:tcPr>
          <w:p>
            <w:pPr>
              <w:widowControl/>
              <w:snapToGrid w:val="0"/>
              <w:spacing w:line="360" w:lineRule="auto"/>
              <w:jc w:val="right"/>
              <w:rPr>
                <w:b/>
                <w:bCs/>
                <w:kern w:val="0"/>
                <w:szCs w:val="21"/>
              </w:rPr>
            </w:pPr>
            <w:r>
              <w:rPr>
                <w:b/>
                <w:bCs/>
                <w:kern w:val="0"/>
                <w:szCs w:val="21"/>
              </w:rPr>
              <w:t>学时数：2</w:t>
            </w:r>
          </w:p>
        </w:tc>
      </w:tr>
    </w:tbl>
    <w:p>
      <w:pPr>
        <w:snapToGrid w:val="0"/>
        <w:spacing w:line="360" w:lineRule="auto"/>
        <w:rPr>
          <w:b/>
          <w:bCs/>
        </w:rPr>
      </w:pPr>
    </w:p>
    <w:p>
      <w:pPr>
        <w:widowControl/>
        <w:snapToGrid w:val="0"/>
        <w:spacing w:line="360" w:lineRule="auto"/>
        <w:rPr>
          <w:b/>
          <w:bCs/>
          <w:kern w:val="0"/>
          <w:szCs w:val="21"/>
        </w:rPr>
      </w:pPr>
      <w:r>
        <w:rPr>
          <w:b/>
          <w:bCs/>
        </w:rPr>
        <w:t>教学目标：</w:t>
      </w:r>
      <w:r>
        <w:rPr>
          <w:kern w:val="0"/>
          <w:szCs w:val="21"/>
        </w:rPr>
        <w:t>通过本章的学习，了解植物细胞工程的概念、基本原理，掌握体细胞杂交的步骤和在育种中的应用。</w:t>
      </w:r>
    </w:p>
    <w:p>
      <w:pPr>
        <w:widowControl/>
        <w:snapToGrid w:val="0"/>
        <w:spacing w:line="360" w:lineRule="auto"/>
        <w:rPr>
          <w:b/>
          <w:bCs/>
          <w:kern w:val="0"/>
          <w:szCs w:val="21"/>
        </w:rPr>
      </w:pPr>
      <w:r>
        <w:rPr>
          <w:b/>
          <w:bCs/>
        </w:rPr>
        <w:t>教学重点和难点：</w:t>
      </w:r>
      <w:r>
        <w:rPr>
          <w:kern w:val="0"/>
          <w:szCs w:val="21"/>
        </w:rPr>
        <w:t>体细胞杂交的原理及方法</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w:t>
      </w:r>
    </w:p>
    <w:p>
      <w:pPr>
        <w:pStyle w:val="7"/>
        <w:snapToGrid w:val="0"/>
        <w:spacing w:line="360" w:lineRule="auto"/>
        <w:rPr>
          <w:rFonts w:ascii="Times New Roman"/>
        </w:rPr>
      </w:pPr>
      <w:r>
        <w:rPr>
          <w:rFonts w:ascii="Times New Roman"/>
        </w:rPr>
        <w:t>了解：</w:t>
      </w:r>
      <w:r>
        <w:rPr>
          <w:rFonts w:ascii="Times New Roman"/>
          <w:kern w:val="0"/>
          <w:szCs w:val="21"/>
        </w:rPr>
        <w:t>细胞工程的基本概念。</w:t>
      </w:r>
    </w:p>
    <w:p>
      <w:pPr>
        <w:pStyle w:val="7"/>
        <w:snapToGrid w:val="0"/>
        <w:spacing w:line="360" w:lineRule="auto"/>
        <w:rPr>
          <w:rFonts w:ascii="Times New Roman"/>
        </w:rPr>
      </w:pPr>
      <w:r>
        <w:rPr>
          <w:rFonts w:ascii="Times New Roman"/>
        </w:rPr>
        <w:t>理解：</w:t>
      </w:r>
      <w:r>
        <w:rPr>
          <w:rFonts w:ascii="Times New Roman"/>
          <w:kern w:val="0"/>
          <w:szCs w:val="21"/>
        </w:rPr>
        <w:t>花药培养的基本程序；原生质体培养和体细胞杂交的程序</w:t>
      </w:r>
      <w:r>
        <w:rPr>
          <w:rFonts w:ascii="Times New Roman"/>
        </w:rPr>
        <w:t>。</w:t>
      </w:r>
    </w:p>
    <w:p>
      <w:pPr>
        <w:pStyle w:val="7"/>
        <w:snapToGrid w:val="0"/>
        <w:spacing w:line="360" w:lineRule="auto"/>
        <w:rPr>
          <w:rFonts w:ascii="Times New Roman"/>
        </w:rPr>
      </w:pPr>
      <w:r>
        <w:rPr>
          <w:rFonts w:ascii="Times New Roman"/>
        </w:rPr>
        <w:t>掌握：</w:t>
      </w:r>
      <w:r>
        <w:rPr>
          <w:rFonts w:ascii="Times New Roman"/>
          <w:kern w:val="0"/>
          <w:szCs w:val="21"/>
        </w:rPr>
        <w:t>组织和器官培养的类型；体细胞突变体的筛选，植物体细胞杂交的基本原理</w:t>
      </w:r>
      <w:r>
        <w:rPr>
          <w:rFonts w:ascii="Times New Roman"/>
        </w:rPr>
        <w:t>。</w:t>
      </w:r>
    </w:p>
    <w:p>
      <w:pPr>
        <w:pStyle w:val="7"/>
        <w:snapToGrid w:val="0"/>
        <w:spacing w:line="360" w:lineRule="auto"/>
        <w:rPr>
          <w:rFonts w:ascii="Times New Roman"/>
        </w:rPr>
      </w:pPr>
      <w:r>
        <w:rPr>
          <w:rFonts w:ascii="Times New Roman"/>
        </w:rPr>
        <w:t>熟练掌握：</w:t>
      </w:r>
      <w:r>
        <w:rPr>
          <w:rFonts w:ascii="Times New Roman"/>
          <w:kern w:val="0"/>
          <w:szCs w:val="21"/>
        </w:rPr>
        <w:t>细胞工程在园艺植物育种中的应用</w:t>
      </w:r>
      <w:r>
        <w:rPr>
          <w:rFonts w:ascii="Times New Roman"/>
        </w:rPr>
        <w:t xml:space="preserve">。 </w:t>
      </w:r>
    </w:p>
    <w:p>
      <w:pPr>
        <w:widowControl/>
        <w:snapToGrid w:val="0"/>
        <w:spacing w:line="360" w:lineRule="auto"/>
        <w:rPr>
          <w:b/>
          <w:bCs/>
          <w:kern w:val="0"/>
          <w:szCs w:val="21"/>
        </w:rPr>
      </w:pPr>
      <w:r>
        <w:rPr>
          <w:b/>
          <w:bCs/>
        </w:rPr>
        <w:t>教学组织与实施：</w:t>
      </w:r>
      <w:r>
        <w:t>通过课堂讲授结合大量图片资料介绍</w:t>
      </w:r>
      <w:r>
        <w:rPr>
          <w:kern w:val="0"/>
          <w:szCs w:val="21"/>
        </w:rPr>
        <w:t>细胞工程的方法及其在育种中的应用，学生可通过自学深入学习细胞工程在园艺植物育种中的应用</w:t>
      </w:r>
      <w:r>
        <w:rPr>
          <w:szCs w:val="20"/>
        </w:rPr>
        <w:t>。</w:t>
      </w:r>
      <w:r>
        <w:rPr>
          <w:kern w:val="0"/>
          <w:szCs w:val="21"/>
        </w:rPr>
        <w:t></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bCs/>
                <w:kern w:val="0"/>
                <w:szCs w:val="21"/>
              </w:rPr>
            </w:pPr>
            <w:r>
              <w:rPr>
                <w:b/>
                <w:bCs/>
                <w:kern w:val="0"/>
                <w:szCs w:val="21"/>
              </w:rPr>
              <w:t xml:space="preserve">第二章  </w:t>
            </w:r>
            <w:r>
              <w:rPr>
                <w:b/>
                <w:szCs w:val="21"/>
              </w:rPr>
              <w:t>基因工程育种</w:t>
            </w:r>
          </w:p>
        </w:tc>
        <w:tc>
          <w:tcPr>
            <w:tcW w:w="2966" w:type="dxa"/>
            <w:tcBorders>
              <w:top w:val="nil"/>
              <w:left w:val="nil"/>
              <w:bottom w:val="nil"/>
              <w:right w:val="nil"/>
            </w:tcBorders>
            <w:vAlign w:val="center"/>
          </w:tcPr>
          <w:p>
            <w:pPr>
              <w:widowControl/>
              <w:snapToGrid w:val="0"/>
              <w:spacing w:line="360" w:lineRule="auto"/>
              <w:jc w:val="right"/>
              <w:rPr>
                <w:b/>
                <w:bCs/>
                <w:kern w:val="0"/>
                <w:szCs w:val="21"/>
              </w:rPr>
            </w:pPr>
            <w:r>
              <w:rPr>
                <w:b/>
                <w:bCs/>
                <w:kern w:val="0"/>
                <w:szCs w:val="21"/>
              </w:rPr>
              <w:t>学时数：4</w:t>
            </w:r>
          </w:p>
        </w:tc>
      </w:tr>
    </w:tbl>
    <w:p>
      <w:pPr>
        <w:snapToGrid w:val="0"/>
        <w:spacing w:line="360" w:lineRule="auto"/>
        <w:rPr>
          <w:b/>
          <w:bCs/>
        </w:rPr>
      </w:pPr>
    </w:p>
    <w:p>
      <w:pPr>
        <w:widowControl/>
        <w:snapToGrid w:val="0"/>
        <w:spacing w:line="360" w:lineRule="auto"/>
        <w:rPr>
          <w:kern w:val="0"/>
          <w:szCs w:val="21"/>
        </w:rPr>
      </w:pPr>
      <w:r>
        <w:rPr>
          <w:b/>
          <w:bCs/>
        </w:rPr>
        <w:t>教学目标：</w:t>
      </w:r>
      <w:r>
        <w:rPr>
          <w:kern w:val="0"/>
          <w:szCs w:val="21"/>
        </w:rPr>
        <w:t>通过本章的学习掌握基因工程的基本原理、步骤。</w:t>
      </w:r>
    </w:p>
    <w:p>
      <w:pPr>
        <w:widowControl/>
        <w:snapToGrid w:val="0"/>
        <w:spacing w:line="360" w:lineRule="auto"/>
        <w:rPr>
          <w:b/>
          <w:bCs/>
          <w:kern w:val="0"/>
          <w:szCs w:val="21"/>
        </w:rPr>
      </w:pPr>
      <w:r>
        <w:rPr>
          <w:b/>
          <w:bCs/>
        </w:rPr>
        <w:t>教学重点和难点：</w:t>
      </w:r>
      <w:r>
        <w:rPr>
          <w:kern w:val="0"/>
          <w:szCs w:val="21"/>
        </w:rPr>
        <w:t>基因工程在园艺植物育种中的应用。</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 xml:space="preserve"> </w:t>
      </w:r>
    </w:p>
    <w:p>
      <w:pPr>
        <w:pStyle w:val="7"/>
        <w:snapToGrid w:val="0"/>
        <w:spacing w:line="360" w:lineRule="auto"/>
        <w:rPr>
          <w:rFonts w:ascii="Times New Roman"/>
        </w:rPr>
      </w:pPr>
      <w:r>
        <w:rPr>
          <w:rFonts w:ascii="Times New Roman"/>
        </w:rPr>
        <w:t>了解：</w:t>
      </w:r>
      <w:r>
        <w:rPr>
          <w:rFonts w:ascii="Times New Roman"/>
          <w:kern w:val="0"/>
          <w:szCs w:val="21"/>
        </w:rPr>
        <w:t>基因工程的概念。</w:t>
      </w:r>
    </w:p>
    <w:p>
      <w:pPr>
        <w:pStyle w:val="7"/>
        <w:snapToGrid w:val="0"/>
        <w:spacing w:line="360" w:lineRule="auto"/>
        <w:rPr>
          <w:rFonts w:ascii="Times New Roman"/>
          <w:kern w:val="0"/>
          <w:szCs w:val="21"/>
        </w:rPr>
      </w:pPr>
      <w:r>
        <w:rPr>
          <w:rFonts w:ascii="Times New Roman"/>
        </w:rPr>
        <w:t>理解：</w:t>
      </w:r>
      <w:r>
        <w:rPr>
          <w:rFonts w:ascii="Times New Roman"/>
          <w:kern w:val="0"/>
          <w:szCs w:val="21"/>
        </w:rPr>
        <w:t>目的基因克隆和转基因植物鉴定的方法。</w:t>
      </w:r>
    </w:p>
    <w:p>
      <w:pPr>
        <w:pStyle w:val="7"/>
        <w:snapToGrid w:val="0"/>
        <w:spacing w:line="360" w:lineRule="auto"/>
        <w:rPr>
          <w:rFonts w:ascii="Times New Roman"/>
        </w:rPr>
      </w:pPr>
      <w:r>
        <w:rPr>
          <w:rFonts w:ascii="Times New Roman"/>
        </w:rPr>
        <w:t>掌握：</w:t>
      </w:r>
      <w:r>
        <w:rPr>
          <w:rFonts w:ascii="Times New Roman"/>
          <w:kern w:val="0"/>
          <w:szCs w:val="21"/>
        </w:rPr>
        <w:t>植物基因工程的基本步骤</w:t>
      </w:r>
      <w:r>
        <w:rPr>
          <w:rFonts w:ascii="Times New Roman"/>
        </w:rPr>
        <w:t>。</w:t>
      </w:r>
    </w:p>
    <w:p>
      <w:pPr>
        <w:pStyle w:val="7"/>
        <w:snapToGrid w:val="0"/>
        <w:spacing w:line="360" w:lineRule="auto"/>
        <w:rPr>
          <w:rFonts w:ascii="Times New Roman"/>
          <w:kern w:val="0"/>
          <w:szCs w:val="21"/>
        </w:rPr>
      </w:pPr>
      <w:r>
        <w:rPr>
          <w:rFonts w:ascii="Times New Roman"/>
        </w:rPr>
        <w:t>熟练掌握：</w:t>
      </w:r>
      <w:r>
        <w:rPr>
          <w:rFonts w:ascii="Times New Roman"/>
          <w:kern w:val="0"/>
          <w:szCs w:val="21"/>
        </w:rPr>
        <w:t xml:space="preserve">植物基因工程在园艺植物育种中的应用。 </w:t>
      </w:r>
    </w:p>
    <w:p>
      <w:pPr>
        <w:widowControl/>
        <w:snapToGrid w:val="0"/>
        <w:spacing w:line="360" w:lineRule="auto"/>
        <w:ind w:firstLine="422" w:firstLineChars="200"/>
        <w:rPr>
          <w:b/>
          <w:bCs/>
          <w:kern w:val="0"/>
          <w:szCs w:val="21"/>
        </w:rPr>
      </w:pPr>
      <w:r>
        <w:rPr>
          <w:b/>
          <w:bCs/>
        </w:rPr>
        <w:t>教学组织与实施：</w:t>
      </w:r>
      <w:r>
        <w:rPr>
          <w:kern w:val="0"/>
          <w:szCs w:val="21"/>
        </w:rPr>
        <w:t>在课堂讲授中结合大量的实例、图片、视频等资料介绍基因工程的基本步骤及在园艺植物育种中的应用，学生可以通过查阅资料深入掌握基因工程在园艺植物育种中的应用。</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bCs/>
                <w:kern w:val="0"/>
                <w:szCs w:val="21"/>
              </w:rPr>
            </w:pPr>
            <w:r>
              <w:rPr>
                <w:b/>
                <w:bCs/>
                <w:kern w:val="0"/>
                <w:szCs w:val="21"/>
              </w:rPr>
              <w:t>第三章  基因编辑育种</w:t>
            </w:r>
          </w:p>
        </w:tc>
        <w:tc>
          <w:tcPr>
            <w:tcW w:w="2966" w:type="dxa"/>
            <w:tcBorders>
              <w:top w:val="nil"/>
              <w:left w:val="nil"/>
              <w:bottom w:val="nil"/>
              <w:right w:val="nil"/>
            </w:tcBorders>
            <w:vAlign w:val="center"/>
          </w:tcPr>
          <w:p>
            <w:pPr>
              <w:widowControl/>
              <w:snapToGrid w:val="0"/>
              <w:spacing w:line="360" w:lineRule="auto"/>
              <w:jc w:val="right"/>
              <w:rPr>
                <w:b/>
                <w:bCs/>
                <w:kern w:val="0"/>
                <w:szCs w:val="21"/>
              </w:rPr>
            </w:pPr>
            <w:r>
              <w:rPr>
                <w:b/>
                <w:bCs/>
                <w:kern w:val="0"/>
                <w:szCs w:val="21"/>
              </w:rPr>
              <w:t>学时数：4</w:t>
            </w:r>
          </w:p>
        </w:tc>
      </w:tr>
    </w:tbl>
    <w:p>
      <w:pPr>
        <w:snapToGrid w:val="0"/>
        <w:spacing w:line="360" w:lineRule="auto"/>
        <w:rPr>
          <w:b/>
          <w:bCs/>
        </w:rPr>
      </w:pPr>
    </w:p>
    <w:p>
      <w:pPr>
        <w:widowControl/>
        <w:snapToGrid w:val="0"/>
        <w:spacing w:line="360" w:lineRule="auto"/>
        <w:rPr>
          <w:b/>
          <w:bCs/>
          <w:kern w:val="0"/>
          <w:szCs w:val="21"/>
        </w:rPr>
      </w:pPr>
      <w:r>
        <w:rPr>
          <w:b/>
          <w:bCs/>
        </w:rPr>
        <w:t>教学目标：</w:t>
      </w:r>
      <w:r>
        <w:rPr>
          <w:bCs/>
        </w:rPr>
        <w:t>掌握基因编辑概念、原理和方法，及其在植物育种中的作用。</w:t>
      </w:r>
    </w:p>
    <w:p>
      <w:pPr>
        <w:widowControl/>
        <w:snapToGrid w:val="0"/>
        <w:spacing w:line="360" w:lineRule="auto"/>
        <w:rPr>
          <w:b/>
          <w:bCs/>
          <w:kern w:val="0"/>
          <w:szCs w:val="21"/>
        </w:rPr>
      </w:pPr>
      <w:r>
        <w:rPr>
          <w:b/>
          <w:bCs/>
        </w:rPr>
        <w:t>教学重点和难点：</w:t>
      </w:r>
      <w:r>
        <w:rPr>
          <w:kern w:val="0"/>
          <w:szCs w:val="21"/>
        </w:rPr>
        <w:t>基因编辑的原理和在育种中的应用。</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w:t>
      </w:r>
    </w:p>
    <w:p>
      <w:pPr>
        <w:pStyle w:val="7"/>
        <w:snapToGrid w:val="0"/>
        <w:spacing w:line="360" w:lineRule="auto"/>
        <w:rPr>
          <w:rFonts w:ascii="Times New Roman"/>
        </w:rPr>
      </w:pPr>
      <w:r>
        <w:rPr>
          <w:rFonts w:ascii="Times New Roman"/>
        </w:rPr>
        <w:t>了解：基因编辑</w:t>
      </w:r>
      <w:r>
        <w:rPr>
          <w:rFonts w:ascii="Times New Roman"/>
          <w:kern w:val="0"/>
          <w:szCs w:val="21"/>
        </w:rPr>
        <w:t>的概念。</w:t>
      </w:r>
    </w:p>
    <w:p>
      <w:pPr>
        <w:pStyle w:val="7"/>
        <w:snapToGrid w:val="0"/>
        <w:spacing w:line="360" w:lineRule="auto"/>
        <w:rPr>
          <w:rFonts w:ascii="Times New Roman"/>
          <w:kern w:val="0"/>
          <w:szCs w:val="21"/>
        </w:rPr>
      </w:pPr>
      <w:r>
        <w:rPr>
          <w:rFonts w:ascii="Times New Roman"/>
        </w:rPr>
        <w:t>理解：</w:t>
      </w:r>
      <w:r>
        <w:rPr>
          <w:rFonts w:ascii="Times New Roman"/>
          <w:bCs/>
        </w:rPr>
        <w:t>基因编辑技术的原理</w:t>
      </w:r>
      <w:r>
        <w:rPr>
          <w:rFonts w:ascii="Times New Roman"/>
          <w:kern w:val="0"/>
          <w:szCs w:val="21"/>
        </w:rPr>
        <w:t>和检测方法。</w:t>
      </w:r>
    </w:p>
    <w:p>
      <w:pPr>
        <w:pStyle w:val="7"/>
        <w:snapToGrid w:val="0"/>
        <w:spacing w:line="360" w:lineRule="auto"/>
        <w:rPr>
          <w:rFonts w:ascii="Times New Roman"/>
        </w:rPr>
      </w:pPr>
      <w:r>
        <w:rPr>
          <w:rFonts w:ascii="Times New Roman"/>
        </w:rPr>
        <w:t>掌握：基因编辑在植物育种中的作用。</w:t>
      </w:r>
    </w:p>
    <w:p>
      <w:pPr>
        <w:pStyle w:val="7"/>
        <w:snapToGrid w:val="0"/>
        <w:spacing w:line="360" w:lineRule="auto"/>
        <w:rPr>
          <w:rFonts w:ascii="Times New Roman"/>
        </w:rPr>
      </w:pPr>
      <w:r>
        <w:rPr>
          <w:rFonts w:ascii="Times New Roman"/>
        </w:rPr>
        <w:t>熟练掌握：</w:t>
      </w:r>
      <w:r>
        <w:rPr>
          <w:rFonts w:ascii="Times New Roman"/>
          <w:kern w:val="0"/>
          <w:szCs w:val="21"/>
        </w:rPr>
        <w:t>植物基因编辑技术在园艺植物育种中的应用。</w:t>
      </w:r>
      <w:r>
        <w:rPr>
          <w:rFonts w:ascii="Times New Roman"/>
        </w:rPr>
        <w:t xml:space="preserve"> </w:t>
      </w:r>
    </w:p>
    <w:p>
      <w:pPr>
        <w:widowControl/>
        <w:snapToGrid w:val="0"/>
        <w:spacing w:line="360" w:lineRule="auto"/>
        <w:rPr>
          <w:szCs w:val="20"/>
        </w:rPr>
      </w:pPr>
      <w:r>
        <w:rPr>
          <w:b/>
          <w:bCs/>
        </w:rPr>
        <w:t>教学组织与实施：</w:t>
      </w:r>
      <w:r>
        <w:rPr>
          <w:szCs w:val="20"/>
        </w:rPr>
        <w:t>以案例先引入基因的重要性，部分基因突变会有很大的表性变异，对这些基因的修饰尤为重要。根据学生认知规律，利用高水平论文创新教与学模式，促进师生沟通、资源共享和知识生成，及时反馈教学信息，显著提高教学效果。</w:t>
      </w:r>
    </w:p>
    <w:p>
      <w:pPr>
        <w:widowControl/>
        <w:snapToGrid w:val="0"/>
        <w:spacing w:line="360" w:lineRule="auto"/>
        <w:rPr>
          <w:b/>
          <w:bCs/>
          <w:kern w:val="0"/>
          <w:szCs w:val="21"/>
        </w:rPr>
      </w:pPr>
      <w:r>
        <w:rPr>
          <w:kern w:val="0"/>
          <w:szCs w:val="21"/>
        </w:rPr>
        <w:t></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bCs/>
                <w:kern w:val="0"/>
                <w:szCs w:val="21"/>
              </w:rPr>
            </w:pPr>
            <w:r>
              <w:rPr>
                <w:b/>
                <w:bCs/>
                <w:kern w:val="0"/>
                <w:szCs w:val="21"/>
              </w:rPr>
              <w:t xml:space="preserve">第四章  </w:t>
            </w:r>
            <w:r>
              <w:rPr>
                <w:b/>
                <w:szCs w:val="21"/>
              </w:rPr>
              <w:t>全基因选择育种</w:t>
            </w:r>
          </w:p>
        </w:tc>
        <w:tc>
          <w:tcPr>
            <w:tcW w:w="2966" w:type="dxa"/>
            <w:tcBorders>
              <w:top w:val="nil"/>
              <w:left w:val="nil"/>
              <w:bottom w:val="nil"/>
              <w:right w:val="nil"/>
            </w:tcBorders>
            <w:vAlign w:val="center"/>
          </w:tcPr>
          <w:p>
            <w:pPr>
              <w:widowControl/>
              <w:snapToGrid w:val="0"/>
              <w:spacing w:line="360" w:lineRule="auto"/>
              <w:jc w:val="right"/>
              <w:rPr>
                <w:b/>
                <w:bCs/>
                <w:kern w:val="0"/>
                <w:szCs w:val="21"/>
              </w:rPr>
            </w:pPr>
            <w:r>
              <w:rPr>
                <w:b/>
                <w:bCs/>
                <w:kern w:val="0"/>
                <w:szCs w:val="21"/>
              </w:rPr>
              <w:t>学时数：4</w:t>
            </w:r>
          </w:p>
        </w:tc>
      </w:tr>
    </w:tbl>
    <w:p>
      <w:pPr>
        <w:snapToGrid w:val="0"/>
        <w:spacing w:line="360" w:lineRule="auto"/>
        <w:rPr>
          <w:b/>
          <w:bCs/>
        </w:rPr>
      </w:pPr>
    </w:p>
    <w:p>
      <w:pPr>
        <w:widowControl/>
        <w:snapToGrid w:val="0"/>
        <w:spacing w:before="156" w:beforeLines="50" w:line="360" w:lineRule="auto"/>
        <w:rPr>
          <w:b/>
          <w:bCs/>
          <w:kern w:val="0"/>
          <w:szCs w:val="21"/>
        </w:rPr>
      </w:pPr>
      <w:r>
        <w:rPr>
          <w:b/>
          <w:bCs/>
        </w:rPr>
        <w:t>教学目标：</w:t>
      </w:r>
      <w:r>
        <w:rPr>
          <w:bCs/>
        </w:rPr>
        <w:t>了解全基因选择的概念，全基因选择的原理及在育种中的作用。</w:t>
      </w:r>
      <w:r>
        <w:rPr>
          <w:kern w:val="0"/>
          <w:szCs w:val="21"/>
        </w:rPr>
        <w:t></w:t>
      </w:r>
    </w:p>
    <w:p>
      <w:pPr>
        <w:widowControl/>
        <w:snapToGrid w:val="0"/>
        <w:spacing w:line="360" w:lineRule="auto"/>
        <w:rPr>
          <w:b/>
          <w:bCs/>
          <w:kern w:val="0"/>
          <w:szCs w:val="21"/>
        </w:rPr>
      </w:pPr>
      <w:r>
        <w:rPr>
          <w:b/>
          <w:bCs/>
        </w:rPr>
        <w:t>教学重点和难点：</w:t>
      </w:r>
      <w:r>
        <w:rPr>
          <w:bCs/>
        </w:rPr>
        <w:t>全基因选择概念、全基因选择的技术和原理。</w:t>
      </w:r>
    </w:p>
    <w:p>
      <w:pPr>
        <w:widowControl/>
        <w:adjustRightInd w:val="0"/>
        <w:snapToGrid w:val="0"/>
        <w:spacing w:line="360" w:lineRule="auto"/>
        <w:jc w:val="left"/>
        <w:rPr>
          <w:b/>
        </w:rPr>
      </w:pPr>
      <w:r>
        <w:rPr>
          <w:b/>
        </w:rPr>
        <w:t>主要教学内容及要求：</w:t>
      </w:r>
    </w:p>
    <w:p>
      <w:pPr>
        <w:widowControl/>
        <w:adjustRightInd w:val="0"/>
        <w:snapToGrid w:val="0"/>
        <w:spacing w:line="360" w:lineRule="auto"/>
        <w:ind w:firstLine="422" w:firstLineChars="200"/>
        <w:jc w:val="left"/>
        <w:rPr>
          <w:b/>
        </w:rPr>
      </w:pPr>
      <w:r>
        <w:rPr>
          <w:b/>
        </w:rPr>
        <w:t>了解：</w:t>
      </w:r>
      <w:r>
        <w:rPr>
          <w:bCs/>
        </w:rPr>
        <w:t>了解全基因选择在植物中的应用，全基因选择的主要内容。</w:t>
      </w:r>
    </w:p>
    <w:p>
      <w:pPr>
        <w:widowControl/>
        <w:adjustRightInd w:val="0"/>
        <w:snapToGrid w:val="0"/>
        <w:spacing w:line="360" w:lineRule="auto"/>
        <w:ind w:firstLine="422" w:firstLineChars="200"/>
        <w:jc w:val="left"/>
      </w:pPr>
      <w:r>
        <w:rPr>
          <w:b/>
        </w:rPr>
        <w:t>理解：</w:t>
      </w:r>
      <w:r>
        <w:rPr>
          <w:bCs/>
        </w:rPr>
        <w:t>全基因选择在</w:t>
      </w:r>
      <w:r>
        <w:t>育种发展中的贡献。</w:t>
      </w:r>
    </w:p>
    <w:p>
      <w:pPr>
        <w:widowControl/>
        <w:adjustRightInd w:val="0"/>
        <w:snapToGrid w:val="0"/>
        <w:spacing w:line="360" w:lineRule="auto"/>
        <w:ind w:firstLine="422" w:firstLineChars="200"/>
        <w:jc w:val="left"/>
      </w:pPr>
      <w:r>
        <w:rPr>
          <w:b/>
        </w:rPr>
        <w:t>掌握：</w:t>
      </w:r>
      <w:r>
        <w:rPr>
          <w:bCs/>
        </w:rPr>
        <w:t>全基因选择育种</w:t>
      </w:r>
      <w:r>
        <w:t>的概念。</w:t>
      </w:r>
    </w:p>
    <w:p>
      <w:pPr>
        <w:widowControl/>
        <w:adjustRightInd w:val="0"/>
        <w:snapToGrid w:val="0"/>
        <w:spacing w:line="360" w:lineRule="auto"/>
        <w:ind w:firstLine="422" w:firstLineChars="200"/>
        <w:jc w:val="left"/>
        <w:rPr>
          <w:b/>
        </w:rPr>
      </w:pPr>
      <w:r>
        <w:rPr>
          <w:b/>
        </w:rPr>
        <w:t>熟练掌握：</w:t>
      </w:r>
      <w:r>
        <w:rPr>
          <w:bCs/>
        </w:rPr>
        <w:t>全基因选择的原理和作用</w:t>
      </w:r>
      <w:r>
        <w:t>。</w:t>
      </w:r>
    </w:p>
    <w:p>
      <w:pPr>
        <w:widowControl/>
        <w:adjustRightInd w:val="0"/>
        <w:snapToGrid w:val="0"/>
        <w:spacing w:line="360" w:lineRule="auto"/>
        <w:jc w:val="left"/>
        <w:rPr>
          <w:b/>
          <w:bCs/>
          <w:kern w:val="0"/>
          <w:szCs w:val="21"/>
        </w:rPr>
      </w:pPr>
      <w:r>
        <w:rPr>
          <w:b/>
          <w:bCs/>
          <w:kern w:val="0"/>
          <w:szCs w:val="21"/>
        </w:rPr>
        <w:t>教学组织与实施：</w:t>
      </w:r>
      <w:r>
        <w:rPr>
          <w:bCs/>
          <w:kern w:val="0"/>
          <w:szCs w:val="21"/>
        </w:rPr>
        <w:t>通过课堂教学，结合最新文献报道和实例，讲述</w:t>
      </w:r>
      <w:r>
        <w:rPr>
          <w:bCs/>
        </w:rPr>
        <w:t>全基因选择</w:t>
      </w:r>
      <w:r>
        <w:rPr>
          <w:bCs/>
          <w:kern w:val="0"/>
          <w:szCs w:val="21"/>
        </w:rPr>
        <w:t>在对植物育种科学的贡献，</w:t>
      </w:r>
      <w:r>
        <w:rPr>
          <w:bCs/>
        </w:rPr>
        <w:t>全基因选择</w:t>
      </w:r>
      <w:r>
        <w:rPr>
          <w:bCs/>
          <w:kern w:val="0"/>
          <w:szCs w:val="21"/>
        </w:rPr>
        <w:t>的主要研究内容及在提升育种效率的目的，让学生对</w:t>
      </w:r>
      <w:r>
        <w:rPr>
          <w:bCs/>
        </w:rPr>
        <w:t>全基因选择</w:t>
      </w:r>
      <w:r>
        <w:rPr>
          <w:bCs/>
          <w:kern w:val="0"/>
          <w:szCs w:val="21"/>
        </w:rPr>
        <w:t>育种技术相关概念和步骤有进一步的理解。</w:t>
      </w:r>
      <w:r>
        <w:rPr>
          <w:kern w:val="0"/>
          <w:szCs w:val="21"/>
        </w:rPr>
        <w:t></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bCs/>
                <w:kern w:val="0"/>
                <w:szCs w:val="21"/>
              </w:rPr>
            </w:pPr>
            <w:r>
              <w:rPr>
                <w:b/>
                <w:bCs/>
                <w:kern w:val="0"/>
                <w:szCs w:val="21"/>
              </w:rPr>
              <w:t xml:space="preserve">第五章  </w:t>
            </w:r>
            <w:r>
              <w:rPr>
                <w:b/>
                <w:szCs w:val="21"/>
              </w:rPr>
              <w:t>多组学技术育种</w:t>
            </w:r>
          </w:p>
        </w:tc>
        <w:tc>
          <w:tcPr>
            <w:tcW w:w="2966" w:type="dxa"/>
            <w:tcBorders>
              <w:top w:val="nil"/>
              <w:left w:val="nil"/>
              <w:bottom w:val="nil"/>
              <w:right w:val="nil"/>
            </w:tcBorders>
            <w:vAlign w:val="center"/>
          </w:tcPr>
          <w:p>
            <w:pPr>
              <w:widowControl/>
              <w:snapToGrid w:val="0"/>
              <w:spacing w:line="360" w:lineRule="auto"/>
              <w:jc w:val="right"/>
              <w:rPr>
                <w:b/>
                <w:bCs/>
                <w:kern w:val="0"/>
                <w:szCs w:val="21"/>
              </w:rPr>
            </w:pPr>
            <w:r>
              <w:rPr>
                <w:b/>
                <w:bCs/>
                <w:kern w:val="0"/>
                <w:szCs w:val="21"/>
              </w:rPr>
              <w:t>学时数：4</w:t>
            </w:r>
          </w:p>
        </w:tc>
      </w:tr>
    </w:tbl>
    <w:p>
      <w:pPr>
        <w:snapToGrid w:val="0"/>
        <w:spacing w:line="360" w:lineRule="auto"/>
        <w:rPr>
          <w:b/>
          <w:bCs/>
        </w:rPr>
      </w:pPr>
    </w:p>
    <w:p>
      <w:pPr>
        <w:widowControl/>
        <w:snapToGrid w:val="0"/>
        <w:spacing w:before="156" w:beforeLines="50" w:line="360" w:lineRule="auto"/>
        <w:rPr>
          <w:b/>
          <w:bCs/>
          <w:kern w:val="0"/>
          <w:szCs w:val="21"/>
        </w:rPr>
      </w:pPr>
      <w:r>
        <w:rPr>
          <w:b/>
          <w:bCs/>
        </w:rPr>
        <w:t>教学目标：</w:t>
      </w:r>
      <w:r>
        <w:rPr>
          <w:bCs/>
        </w:rPr>
        <w:t>了解基因组学、转录组学、蛋白组学和代谢组学等的概念，多组学的发展史，及在育种中的作用。</w:t>
      </w:r>
      <w:r>
        <w:rPr>
          <w:kern w:val="0"/>
          <w:szCs w:val="21"/>
        </w:rPr>
        <w:t></w:t>
      </w:r>
    </w:p>
    <w:p>
      <w:pPr>
        <w:widowControl/>
        <w:snapToGrid w:val="0"/>
        <w:spacing w:line="360" w:lineRule="auto"/>
        <w:rPr>
          <w:b/>
          <w:bCs/>
          <w:kern w:val="0"/>
          <w:szCs w:val="21"/>
        </w:rPr>
      </w:pPr>
      <w:r>
        <w:rPr>
          <w:b/>
          <w:bCs/>
        </w:rPr>
        <w:t>教学重点和难点：</w:t>
      </w:r>
      <w:r>
        <w:rPr>
          <w:bCs/>
        </w:rPr>
        <w:t>多组学概念、多组学联合分析在育种中的技术和方法。</w:t>
      </w:r>
    </w:p>
    <w:p>
      <w:pPr>
        <w:widowControl/>
        <w:adjustRightInd w:val="0"/>
        <w:snapToGrid w:val="0"/>
        <w:spacing w:line="360" w:lineRule="auto"/>
        <w:jc w:val="left"/>
        <w:rPr>
          <w:b/>
        </w:rPr>
      </w:pPr>
      <w:r>
        <w:rPr>
          <w:b/>
        </w:rPr>
        <w:t>主要教学内容及要求：</w:t>
      </w:r>
    </w:p>
    <w:p>
      <w:pPr>
        <w:widowControl/>
        <w:adjustRightInd w:val="0"/>
        <w:snapToGrid w:val="0"/>
        <w:spacing w:line="360" w:lineRule="auto"/>
        <w:ind w:firstLine="422" w:firstLineChars="200"/>
        <w:jc w:val="left"/>
        <w:rPr>
          <w:b/>
        </w:rPr>
      </w:pPr>
      <w:r>
        <w:rPr>
          <w:b/>
        </w:rPr>
        <w:t>了解：</w:t>
      </w:r>
      <w:r>
        <w:rPr>
          <w:bCs/>
        </w:rPr>
        <w:t>多组学技术在植物育种中的应用、主要内容和发展方向。</w:t>
      </w:r>
    </w:p>
    <w:p>
      <w:pPr>
        <w:widowControl/>
        <w:adjustRightInd w:val="0"/>
        <w:snapToGrid w:val="0"/>
        <w:spacing w:line="360" w:lineRule="auto"/>
        <w:ind w:firstLine="422" w:firstLineChars="200"/>
        <w:jc w:val="left"/>
      </w:pPr>
      <w:r>
        <w:rPr>
          <w:b/>
        </w:rPr>
        <w:t>理解：</w:t>
      </w:r>
      <w:r>
        <w:rPr>
          <w:bCs/>
        </w:rPr>
        <w:t>多组学技术</w:t>
      </w:r>
      <w:r>
        <w:t>对植物育种发展的贡献。</w:t>
      </w:r>
    </w:p>
    <w:p>
      <w:pPr>
        <w:widowControl/>
        <w:adjustRightInd w:val="0"/>
        <w:snapToGrid w:val="0"/>
        <w:spacing w:line="360" w:lineRule="auto"/>
        <w:ind w:firstLine="422" w:firstLineChars="200"/>
        <w:jc w:val="left"/>
      </w:pPr>
      <w:r>
        <w:rPr>
          <w:b/>
        </w:rPr>
        <w:t>掌握：</w:t>
      </w:r>
      <w:r>
        <w:rPr>
          <w:bCs/>
        </w:rPr>
        <w:t>多组学技术</w:t>
      </w:r>
      <w:r>
        <w:t>的概念。</w:t>
      </w:r>
    </w:p>
    <w:p>
      <w:pPr>
        <w:widowControl/>
        <w:adjustRightInd w:val="0"/>
        <w:snapToGrid w:val="0"/>
        <w:spacing w:line="360" w:lineRule="auto"/>
        <w:ind w:firstLine="422" w:firstLineChars="200"/>
        <w:jc w:val="left"/>
        <w:rPr>
          <w:b/>
        </w:rPr>
      </w:pPr>
      <w:r>
        <w:rPr>
          <w:b/>
        </w:rPr>
        <w:t>熟练掌握：</w:t>
      </w:r>
      <w:r>
        <w:rPr>
          <w:bCs/>
        </w:rPr>
        <w:t>多组学技术的技术和方法</w:t>
      </w:r>
      <w:r>
        <w:t>。</w:t>
      </w:r>
    </w:p>
    <w:p>
      <w:pPr>
        <w:widowControl/>
        <w:adjustRightInd w:val="0"/>
        <w:snapToGrid w:val="0"/>
        <w:spacing w:line="360" w:lineRule="auto"/>
        <w:jc w:val="left"/>
        <w:rPr>
          <w:szCs w:val="20"/>
        </w:rPr>
      </w:pPr>
      <w:r>
        <w:rPr>
          <w:b/>
          <w:bCs/>
          <w:kern w:val="0"/>
          <w:szCs w:val="21"/>
        </w:rPr>
        <w:t>教学组织与实施：</w:t>
      </w:r>
      <w:r>
        <w:rPr>
          <w:bCs/>
          <w:kern w:val="0"/>
          <w:szCs w:val="21"/>
        </w:rPr>
        <w:t>结合实例和高水平论文等材料介绍</w:t>
      </w:r>
      <w:r>
        <w:rPr>
          <w:bCs/>
        </w:rPr>
        <w:t>多组学技术</w:t>
      </w:r>
      <w:r>
        <w:rPr>
          <w:bCs/>
          <w:kern w:val="0"/>
          <w:szCs w:val="21"/>
        </w:rPr>
        <w:t>在对植物科学的贡献及</w:t>
      </w:r>
      <w:r>
        <w:rPr>
          <w:bCs/>
        </w:rPr>
        <w:t>多组学技术分析</w:t>
      </w:r>
      <w:r>
        <w:rPr>
          <w:bCs/>
          <w:kern w:val="0"/>
          <w:szCs w:val="21"/>
        </w:rPr>
        <w:t>技术的主要研究内容，使学生对</w:t>
      </w:r>
      <w:r>
        <w:rPr>
          <w:bCs/>
        </w:rPr>
        <w:t>多组学技术</w:t>
      </w:r>
      <w:r>
        <w:rPr>
          <w:bCs/>
          <w:kern w:val="0"/>
          <w:szCs w:val="21"/>
        </w:rPr>
        <w:t>相关概念，和在育种中的作用有进一步的理解。</w:t>
      </w:r>
    </w:p>
    <w:tbl>
      <w:tblPr>
        <w:tblStyle w:val="23"/>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bCs/>
                <w:kern w:val="0"/>
                <w:szCs w:val="21"/>
              </w:rPr>
            </w:pPr>
            <w:r>
              <w:rPr>
                <w:b/>
                <w:bCs/>
                <w:kern w:val="0"/>
                <w:szCs w:val="21"/>
              </w:rPr>
              <w:t xml:space="preserve">第六章  </w:t>
            </w:r>
            <w:r>
              <w:rPr>
                <w:b/>
                <w:szCs w:val="21"/>
              </w:rPr>
              <w:t>分子设计育种</w:t>
            </w:r>
          </w:p>
        </w:tc>
        <w:tc>
          <w:tcPr>
            <w:tcW w:w="2966" w:type="dxa"/>
            <w:tcBorders>
              <w:top w:val="nil"/>
              <w:left w:val="nil"/>
              <w:bottom w:val="nil"/>
              <w:right w:val="nil"/>
            </w:tcBorders>
            <w:vAlign w:val="center"/>
          </w:tcPr>
          <w:p>
            <w:pPr>
              <w:widowControl/>
              <w:snapToGrid w:val="0"/>
              <w:spacing w:line="360" w:lineRule="auto"/>
              <w:jc w:val="right"/>
              <w:rPr>
                <w:b/>
                <w:bCs/>
                <w:kern w:val="0"/>
                <w:szCs w:val="21"/>
              </w:rPr>
            </w:pPr>
            <w:r>
              <w:rPr>
                <w:b/>
                <w:bCs/>
                <w:kern w:val="0"/>
                <w:szCs w:val="21"/>
              </w:rPr>
              <w:t>学时数：4</w:t>
            </w:r>
          </w:p>
        </w:tc>
      </w:tr>
    </w:tbl>
    <w:p>
      <w:pPr>
        <w:snapToGrid w:val="0"/>
        <w:spacing w:line="360" w:lineRule="auto"/>
        <w:rPr>
          <w:b/>
          <w:bCs/>
        </w:rPr>
      </w:pPr>
    </w:p>
    <w:p>
      <w:pPr>
        <w:widowControl/>
        <w:snapToGrid w:val="0"/>
        <w:spacing w:line="360" w:lineRule="auto"/>
        <w:rPr>
          <w:b/>
          <w:bCs/>
          <w:kern w:val="0"/>
          <w:szCs w:val="21"/>
        </w:rPr>
      </w:pPr>
      <w:r>
        <w:rPr>
          <w:b/>
          <w:bCs/>
        </w:rPr>
        <w:t>教学目标：</w:t>
      </w:r>
      <w:r>
        <w:rPr>
          <w:bCs/>
        </w:rPr>
        <w:t>了解分子标记的类型和特点，学习分子标记与重要性状之间的关系，根据分子标记与性状的关联性，学习分子标记在育种中的作用。根据分子标记结果，实现分子设计育种。</w:t>
      </w:r>
    </w:p>
    <w:p>
      <w:pPr>
        <w:widowControl/>
        <w:snapToGrid w:val="0"/>
        <w:spacing w:line="360" w:lineRule="auto"/>
        <w:rPr>
          <w:b/>
          <w:bCs/>
          <w:kern w:val="0"/>
          <w:szCs w:val="21"/>
        </w:rPr>
      </w:pPr>
      <w:r>
        <w:rPr>
          <w:b/>
          <w:bCs/>
        </w:rPr>
        <w:t>教学重点和难点：</w:t>
      </w:r>
      <w:r>
        <w:rPr>
          <w:bCs/>
        </w:rPr>
        <w:t>分子标记类型、分子标记在植物育种中的作用、分子标记设计育种程序。</w:t>
      </w:r>
      <w:r>
        <w:rPr>
          <w:kern w:val="0"/>
          <w:szCs w:val="21"/>
        </w:rPr>
        <w:t></w:t>
      </w:r>
    </w:p>
    <w:p>
      <w:pPr>
        <w:pStyle w:val="7"/>
        <w:snapToGrid w:val="0"/>
        <w:spacing w:line="360" w:lineRule="auto"/>
        <w:ind w:firstLine="0" w:firstLineChars="0"/>
        <w:rPr>
          <w:rFonts w:ascii="Times New Roman"/>
        </w:rPr>
      </w:pPr>
      <w:r>
        <w:rPr>
          <w:rFonts w:ascii="Times New Roman"/>
          <w:b/>
        </w:rPr>
        <w:t>主要教学内容及要求：</w:t>
      </w:r>
      <w:r>
        <w:rPr>
          <w:rFonts w:ascii="Times New Roman"/>
        </w:rPr>
        <w:t></w:t>
      </w:r>
    </w:p>
    <w:p>
      <w:pPr>
        <w:widowControl/>
        <w:adjustRightInd w:val="0"/>
        <w:snapToGrid w:val="0"/>
        <w:spacing w:line="360" w:lineRule="auto"/>
        <w:ind w:firstLine="422" w:firstLineChars="200"/>
        <w:jc w:val="left"/>
        <w:rPr>
          <w:b/>
        </w:rPr>
      </w:pPr>
      <w:r>
        <w:rPr>
          <w:b/>
        </w:rPr>
        <w:t>了解：</w:t>
      </w:r>
      <w:r>
        <w:rPr>
          <w:bCs/>
        </w:rPr>
        <w:t>分子标记技术在植物育种中的应用、主要内容和发展方向。</w:t>
      </w:r>
    </w:p>
    <w:p>
      <w:pPr>
        <w:widowControl/>
        <w:adjustRightInd w:val="0"/>
        <w:snapToGrid w:val="0"/>
        <w:spacing w:line="360" w:lineRule="auto"/>
        <w:ind w:firstLine="422" w:firstLineChars="200"/>
        <w:jc w:val="left"/>
      </w:pPr>
      <w:r>
        <w:rPr>
          <w:b/>
        </w:rPr>
        <w:t>理解：</w:t>
      </w:r>
      <w:r>
        <w:rPr>
          <w:bCs/>
        </w:rPr>
        <w:t>分子标记技术</w:t>
      </w:r>
      <w:r>
        <w:t>对植物育种发展的贡献。</w:t>
      </w:r>
    </w:p>
    <w:p>
      <w:pPr>
        <w:widowControl/>
        <w:adjustRightInd w:val="0"/>
        <w:snapToGrid w:val="0"/>
        <w:spacing w:line="360" w:lineRule="auto"/>
        <w:ind w:firstLine="422" w:firstLineChars="200"/>
        <w:jc w:val="left"/>
      </w:pPr>
      <w:r>
        <w:rPr>
          <w:b/>
        </w:rPr>
        <w:t>掌握：</w:t>
      </w:r>
      <w:r>
        <w:rPr>
          <w:bCs/>
        </w:rPr>
        <w:t>分子标记技术</w:t>
      </w:r>
      <w:r>
        <w:t>的概念。</w:t>
      </w:r>
    </w:p>
    <w:p>
      <w:pPr>
        <w:widowControl/>
        <w:adjustRightInd w:val="0"/>
        <w:snapToGrid w:val="0"/>
        <w:spacing w:line="360" w:lineRule="auto"/>
        <w:ind w:firstLine="422" w:firstLineChars="200"/>
        <w:jc w:val="left"/>
        <w:rPr>
          <w:b/>
        </w:rPr>
      </w:pPr>
      <w:r>
        <w:rPr>
          <w:b/>
        </w:rPr>
        <w:t>熟练掌握：</w:t>
      </w:r>
      <w:r>
        <w:rPr>
          <w:bCs/>
        </w:rPr>
        <w:t>分子标记技术的技术和方法，分子设计育种程序</w:t>
      </w:r>
      <w:r>
        <w:t>。</w:t>
      </w:r>
    </w:p>
    <w:p>
      <w:pPr>
        <w:widowControl/>
        <w:adjustRightInd w:val="0"/>
        <w:snapToGrid w:val="0"/>
        <w:spacing w:line="360" w:lineRule="auto"/>
        <w:jc w:val="left"/>
        <w:rPr>
          <w:bCs/>
          <w:kern w:val="0"/>
          <w:szCs w:val="21"/>
        </w:rPr>
      </w:pPr>
      <w:r>
        <w:rPr>
          <w:b/>
          <w:bCs/>
          <w:kern w:val="0"/>
          <w:szCs w:val="21"/>
        </w:rPr>
        <w:t>教学组织与实施：</w:t>
      </w:r>
      <w:r>
        <w:rPr>
          <w:bCs/>
          <w:kern w:val="0"/>
          <w:szCs w:val="21"/>
        </w:rPr>
        <w:t>结合实例和高水平论文等材料介绍</w:t>
      </w:r>
      <w:r>
        <w:rPr>
          <w:bCs/>
        </w:rPr>
        <w:t>分子标记技术</w:t>
      </w:r>
      <w:r>
        <w:rPr>
          <w:bCs/>
          <w:kern w:val="0"/>
          <w:szCs w:val="21"/>
        </w:rPr>
        <w:t>在对植物科学的贡献及</w:t>
      </w:r>
      <w:r>
        <w:rPr>
          <w:bCs/>
        </w:rPr>
        <w:t>分子标记技术分析</w:t>
      </w:r>
      <w:r>
        <w:rPr>
          <w:bCs/>
          <w:kern w:val="0"/>
          <w:szCs w:val="21"/>
        </w:rPr>
        <w:t>技术的主要研究内容，使学生对</w:t>
      </w:r>
      <w:r>
        <w:rPr>
          <w:bCs/>
        </w:rPr>
        <w:t>分子标记技术</w:t>
      </w:r>
      <w:r>
        <w:rPr>
          <w:bCs/>
          <w:kern w:val="0"/>
          <w:szCs w:val="21"/>
        </w:rPr>
        <w:t>相关概念，加深对分子设计育种中的作用有进一步的理解。</w:t>
      </w:r>
    </w:p>
    <w:p>
      <w:pPr>
        <w:widowControl/>
        <w:snapToGrid w:val="0"/>
        <w:spacing w:line="360" w:lineRule="auto"/>
        <w:jc w:val="left"/>
        <w:rPr>
          <w:bCs/>
          <w:kern w:val="0"/>
          <w:szCs w:val="21"/>
        </w:rPr>
      </w:pPr>
      <w:r>
        <w:rPr>
          <w:b/>
          <w:bCs/>
          <w:kern w:val="0"/>
          <w:szCs w:val="21"/>
        </w:rPr>
        <w:t xml:space="preserve">五、实验教学内容及学时分配（8学时） </w:t>
      </w:r>
    </w:p>
    <w:p>
      <w:pPr>
        <w:snapToGrid w:val="0"/>
        <w:spacing w:line="360" w:lineRule="auto"/>
        <w:rPr>
          <w:b/>
          <w:bCs/>
          <w:szCs w:val="21"/>
        </w:rPr>
      </w:pPr>
      <w:r>
        <w:rPr>
          <w:b/>
          <w:szCs w:val="21"/>
        </w:rPr>
        <w:t>（一）</w:t>
      </w:r>
      <w:r>
        <w:rPr>
          <w:b/>
          <w:bCs/>
          <w:szCs w:val="21"/>
        </w:rPr>
        <w:t>实验课程简介</w:t>
      </w:r>
    </w:p>
    <w:p>
      <w:pPr>
        <w:snapToGrid w:val="0"/>
        <w:spacing w:line="360" w:lineRule="auto"/>
        <w:ind w:firstLine="420" w:firstLineChars="200"/>
        <w:rPr>
          <w:bCs/>
          <w:szCs w:val="21"/>
        </w:rPr>
      </w:pPr>
      <w:r>
        <w:rPr>
          <w:bCs/>
          <w:szCs w:val="21"/>
        </w:rPr>
        <w:t>该课程是《生物育种》的重要组成部分，共8学时，为《生物育种》教学中联络理论与实践操作的重要内容，是提高教学质量的重要环节。</w:t>
      </w:r>
    </w:p>
    <w:p>
      <w:pPr>
        <w:snapToGrid w:val="0"/>
        <w:spacing w:line="360" w:lineRule="auto"/>
        <w:rPr>
          <w:b/>
          <w:bCs/>
          <w:szCs w:val="21"/>
        </w:rPr>
      </w:pPr>
      <w:r>
        <w:rPr>
          <w:b/>
          <w:bCs/>
          <w:szCs w:val="21"/>
        </w:rPr>
        <w:t>（二）实验教学目的和基本要求</w:t>
      </w:r>
    </w:p>
    <w:p>
      <w:pPr>
        <w:snapToGrid w:val="0"/>
        <w:spacing w:line="360" w:lineRule="auto"/>
        <w:ind w:firstLine="420" w:firstLineChars="200"/>
      </w:pPr>
      <w:r>
        <w:t>通过该课程的学习，使学生学会利用现代技术运用至育种的理论知识，使学生掌握生物育种的基本操作技术，培养学生利用理论教学的相关知识，采用适当的方法和技术进行育种等。</w:t>
      </w:r>
    </w:p>
    <w:p>
      <w:pPr>
        <w:snapToGrid w:val="0"/>
        <w:spacing w:line="360" w:lineRule="auto"/>
        <w:ind w:firstLine="420" w:firstLineChars="200"/>
      </w:pPr>
      <w:r>
        <w:t>要求学生必须掌握最新生物技术的基本操作、主要仪器操作等，掌握从技术理论基础到的基本方法和操作技能，掌握仪器使用、技术操作和生物信息学等常见技术的操作方法，并能应用到生产实践中去。</w:t>
      </w:r>
    </w:p>
    <w:p>
      <w:pPr>
        <w:snapToGrid w:val="0"/>
        <w:spacing w:line="360" w:lineRule="auto"/>
        <w:rPr>
          <w:b/>
        </w:rPr>
      </w:pPr>
      <w:r>
        <w:rPr>
          <w:b/>
        </w:rPr>
        <w:t>（三）实验安全操作规范</w:t>
      </w:r>
    </w:p>
    <w:p>
      <w:pPr>
        <w:snapToGrid w:val="0"/>
        <w:spacing w:line="360" w:lineRule="auto"/>
        <w:ind w:firstLine="420" w:firstLineChars="200"/>
      </w:pPr>
      <w:r>
        <w:t>实验安全是最基本的要求之一，规范操作是实验结果可靠的保障。要求同学们首先要保护好自己，佩戴实验服、手套和口罩等防护措施。其次，要正确规范使用仪器设备。</w:t>
      </w:r>
    </w:p>
    <w:p>
      <w:pPr>
        <w:snapToGrid w:val="0"/>
        <w:spacing w:line="360" w:lineRule="auto"/>
        <w:rPr>
          <w:b/>
          <w:bCs/>
          <w:szCs w:val="21"/>
        </w:rPr>
      </w:pPr>
      <w:r>
        <w:rPr>
          <w:b/>
          <w:bCs/>
          <w:szCs w:val="21"/>
        </w:rPr>
        <w:t>（四）实验项目名称与学时分配</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3109"/>
        <w:gridCol w:w="915"/>
        <w:gridCol w:w="1122"/>
        <w:gridCol w:w="1487"/>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EEECE1" w:themeFill="background2"/>
            <w:vAlign w:val="center"/>
          </w:tcPr>
          <w:p>
            <w:pPr>
              <w:jc w:val="center"/>
              <w:rPr>
                <w:b/>
                <w:bCs/>
                <w:sz w:val="18"/>
                <w:szCs w:val="18"/>
              </w:rPr>
            </w:pPr>
            <w:r>
              <w:rPr>
                <w:b/>
                <w:bCs/>
                <w:sz w:val="18"/>
                <w:szCs w:val="18"/>
              </w:rPr>
              <w:t>序号</w:t>
            </w:r>
          </w:p>
        </w:tc>
        <w:tc>
          <w:tcPr>
            <w:tcW w:w="3109" w:type="dxa"/>
            <w:shd w:val="clear" w:color="auto" w:fill="EEECE1" w:themeFill="background2"/>
            <w:vAlign w:val="center"/>
          </w:tcPr>
          <w:p>
            <w:pPr>
              <w:jc w:val="center"/>
              <w:rPr>
                <w:b/>
                <w:bCs/>
                <w:sz w:val="18"/>
                <w:szCs w:val="18"/>
              </w:rPr>
            </w:pPr>
            <w:r>
              <w:rPr>
                <w:b/>
                <w:bCs/>
                <w:sz w:val="18"/>
                <w:szCs w:val="18"/>
              </w:rPr>
              <w:t>实验名称</w:t>
            </w:r>
          </w:p>
        </w:tc>
        <w:tc>
          <w:tcPr>
            <w:tcW w:w="915" w:type="dxa"/>
            <w:shd w:val="clear" w:color="auto" w:fill="EEECE1" w:themeFill="background2"/>
            <w:vAlign w:val="center"/>
          </w:tcPr>
          <w:p>
            <w:pPr>
              <w:jc w:val="center"/>
              <w:rPr>
                <w:b/>
                <w:bCs/>
                <w:sz w:val="18"/>
                <w:szCs w:val="18"/>
              </w:rPr>
            </w:pPr>
            <w:r>
              <w:rPr>
                <w:b/>
                <w:bCs/>
                <w:sz w:val="18"/>
                <w:szCs w:val="18"/>
              </w:rPr>
              <w:t>学时</w:t>
            </w:r>
          </w:p>
        </w:tc>
        <w:tc>
          <w:tcPr>
            <w:tcW w:w="1122" w:type="dxa"/>
            <w:shd w:val="clear" w:color="auto" w:fill="EEECE1" w:themeFill="background2"/>
            <w:vAlign w:val="center"/>
          </w:tcPr>
          <w:p>
            <w:pPr>
              <w:jc w:val="center"/>
              <w:rPr>
                <w:b/>
                <w:bCs/>
                <w:sz w:val="18"/>
                <w:szCs w:val="18"/>
              </w:rPr>
            </w:pPr>
            <w:r>
              <w:rPr>
                <w:b/>
                <w:bCs/>
                <w:sz w:val="18"/>
                <w:szCs w:val="18"/>
              </w:rPr>
              <w:t>类型</w:t>
            </w:r>
          </w:p>
        </w:tc>
        <w:tc>
          <w:tcPr>
            <w:tcW w:w="1487" w:type="dxa"/>
            <w:shd w:val="clear" w:color="auto" w:fill="EEECE1" w:themeFill="background2"/>
            <w:vAlign w:val="center"/>
          </w:tcPr>
          <w:p>
            <w:pPr>
              <w:jc w:val="center"/>
              <w:rPr>
                <w:b/>
                <w:bCs/>
                <w:sz w:val="18"/>
                <w:szCs w:val="18"/>
              </w:rPr>
            </w:pPr>
            <w:r>
              <w:rPr>
                <w:b/>
                <w:bCs/>
                <w:sz w:val="18"/>
                <w:szCs w:val="18"/>
              </w:rPr>
              <w:t>实验要求</w:t>
            </w:r>
          </w:p>
        </w:tc>
        <w:tc>
          <w:tcPr>
            <w:tcW w:w="1338" w:type="dxa"/>
            <w:shd w:val="clear" w:color="auto" w:fill="EEECE1" w:themeFill="background2"/>
            <w:vAlign w:val="center"/>
          </w:tcPr>
          <w:p>
            <w:pPr>
              <w:jc w:val="center"/>
              <w:rPr>
                <w:b/>
                <w:bCs/>
                <w:sz w:val="18"/>
                <w:szCs w:val="18"/>
              </w:rPr>
            </w:pPr>
            <w:r>
              <w:rPr>
                <w:b/>
                <w:bCs/>
                <w:sz w:val="18"/>
                <w:szCs w:val="18"/>
              </w:rPr>
              <w:t>每组人数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pPr>
              <w:widowControl/>
              <w:jc w:val="left"/>
              <w:rPr>
                <w:sz w:val="18"/>
                <w:szCs w:val="18"/>
              </w:rPr>
            </w:pPr>
            <w:r>
              <w:rPr>
                <w:kern w:val="0"/>
                <w:sz w:val="18"/>
                <w:szCs w:val="18"/>
                <w:lang w:bidi="ar"/>
              </w:rPr>
              <w:t>19011126</w:t>
            </w:r>
            <w:r>
              <w:rPr>
                <w:sz w:val="18"/>
                <w:szCs w:val="18"/>
              </w:rPr>
              <w:t>01</w:t>
            </w:r>
          </w:p>
        </w:tc>
        <w:tc>
          <w:tcPr>
            <w:tcW w:w="3109" w:type="dxa"/>
            <w:vAlign w:val="center"/>
          </w:tcPr>
          <w:p>
            <w:pPr>
              <w:rPr>
                <w:sz w:val="18"/>
                <w:szCs w:val="18"/>
              </w:rPr>
            </w:pPr>
            <w:r>
              <w:rPr>
                <w:sz w:val="18"/>
                <w:szCs w:val="18"/>
              </w:rPr>
              <w:t>番茄全基因选择育种技术</w:t>
            </w:r>
          </w:p>
        </w:tc>
        <w:tc>
          <w:tcPr>
            <w:tcW w:w="915" w:type="dxa"/>
            <w:vAlign w:val="center"/>
          </w:tcPr>
          <w:p>
            <w:pPr>
              <w:jc w:val="center"/>
              <w:rPr>
                <w:sz w:val="18"/>
                <w:szCs w:val="18"/>
              </w:rPr>
            </w:pPr>
            <w:r>
              <w:rPr>
                <w:sz w:val="18"/>
                <w:szCs w:val="18"/>
              </w:rPr>
              <w:t>4</w:t>
            </w:r>
          </w:p>
        </w:tc>
        <w:tc>
          <w:tcPr>
            <w:tcW w:w="1122" w:type="dxa"/>
            <w:vAlign w:val="center"/>
          </w:tcPr>
          <w:p>
            <w:pPr>
              <w:jc w:val="center"/>
              <w:rPr>
                <w:sz w:val="18"/>
                <w:szCs w:val="18"/>
              </w:rPr>
            </w:pPr>
            <w:r>
              <w:rPr>
                <w:sz w:val="18"/>
                <w:szCs w:val="18"/>
              </w:rPr>
              <w:t>综合性</w:t>
            </w:r>
          </w:p>
        </w:tc>
        <w:tc>
          <w:tcPr>
            <w:tcW w:w="1487" w:type="dxa"/>
            <w:vAlign w:val="center"/>
          </w:tcPr>
          <w:p>
            <w:pPr>
              <w:jc w:val="center"/>
              <w:rPr>
                <w:sz w:val="18"/>
                <w:szCs w:val="18"/>
              </w:rPr>
            </w:pPr>
            <w:r>
              <w:rPr>
                <w:sz w:val="18"/>
                <w:szCs w:val="18"/>
              </w:rPr>
              <w:t>必做</w:t>
            </w:r>
          </w:p>
        </w:tc>
        <w:tc>
          <w:tcPr>
            <w:tcW w:w="1338" w:type="dxa"/>
            <w:vAlign w:val="center"/>
          </w:tcPr>
          <w:p>
            <w:pPr>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pPr>
              <w:widowControl/>
              <w:jc w:val="left"/>
              <w:rPr>
                <w:sz w:val="18"/>
                <w:szCs w:val="18"/>
              </w:rPr>
            </w:pPr>
            <w:r>
              <w:rPr>
                <w:kern w:val="0"/>
                <w:sz w:val="18"/>
                <w:szCs w:val="18"/>
                <w:lang w:bidi="ar"/>
              </w:rPr>
              <w:t>19011126</w:t>
            </w:r>
            <w:r>
              <w:rPr>
                <w:sz w:val="18"/>
                <w:szCs w:val="18"/>
              </w:rPr>
              <w:t>02</w:t>
            </w:r>
          </w:p>
        </w:tc>
        <w:tc>
          <w:tcPr>
            <w:tcW w:w="3109" w:type="dxa"/>
            <w:vAlign w:val="center"/>
          </w:tcPr>
          <w:p>
            <w:pPr>
              <w:jc w:val="left"/>
              <w:rPr>
                <w:sz w:val="18"/>
                <w:szCs w:val="18"/>
              </w:rPr>
            </w:pPr>
            <w:r>
              <w:rPr>
                <w:sz w:val="18"/>
                <w:szCs w:val="18"/>
              </w:rPr>
              <w:t>分子标记辅助育种选择实验</w:t>
            </w:r>
          </w:p>
        </w:tc>
        <w:tc>
          <w:tcPr>
            <w:tcW w:w="915" w:type="dxa"/>
            <w:vAlign w:val="center"/>
          </w:tcPr>
          <w:p>
            <w:pPr>
              <w:jc w:val="center"/>
              <w:rPr>
                <w:sz w:val="18"/>
                <w:szCs w:val="18"/>
              </w:rPr>
            </w:pPr>
            <w:r>
              <w:rPr>
                <w:sz w:val="18"/>
                <w:szCs w:val="18"/>
              </w:rPr>
              <w:t>2</w:t>
            </w:r>
          </w:p>
        </w:tc>
        <w:tc>
          <w:tcPr>
            <w:tcW w:w="1122" w:type="dxa"/>
            <w:vAlign w:val="center"/>
          </w:tcPr>
          <w:p>
            <w:pPr>
              <w:jc w:val="center"/>
              <w:rPr>
                <w:sz w:val="18"/>
                <w:szCs w:val="18"/>
              </w:rPr>
            </w:pPr>
            <w:r>
              <w:rPr>
                <w:sz w:val="18"/>
                <w:szCs w:val="18"/>
              </w:rPr>
              <w:t>设计性</w:t>
            </w:r>
          </w:p>
        </w:tc>
        <w:tc>
          <w:tcPr>
            <w:tcW w:w="1487" w:type="dxa"/>
            <w:vAlign w:val="center"/>
          </w:tcPr>
          <w:p>
            <w:pPr>
              <w:jc w:val="center"/>
              <w:rPr>
                <w:sz w:val="18"/>
                <w:szCs w:val="18"/>
              </w:rPr>
            </w:pPr>
            <w:r>
              <w:rPr>
                <w:sz w:val="18"/>
                <w:szCs w:val="18"/>
              </w:rPr>
              <w:t>必做</w:t>
            </w:r>
          </w:p>
        </w:tc>
        <w:tc>
          <w:tcPr>
            <w:tcW w:w="1338" w:type="dxa"/>
          </w:tcPr>
          <w:p>
            <w:pPr>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Align w:val="center"/>
          </w:tcPr>
          <w:p>
            <w:pPr>
              <w:widowControl/>
              <w:jc w:val="left"/>
              <w:rPr>
                <w:sz w:val="18"/>
                <w:szCs w:val="18"/>
              </w:rPr>
            </w:pPr>
            <w:r>
              <w:rPr>
                <w:kern w:val="0"/>
                <w:sz w:val="18"/>
                <w:szCs w:val="18"/>
                <w:lang w:bidi="ar"/>
              </w:rPr>
              <w:t>19011126</w:t>
            </w:r>
            <w:r>
              <w:rPr>
                <w:sz w:val="18"/>
                <w:szCs w:val="18"/>
              </w:rPr>
              <w:t>03</w:t>
            </w:r>
          </w:p>
        </w:tc>
        <w:tc>
          <w:tcPr>
            <w:tcW w:w="3109" w:type="dxa"/>
            <w:vAlign w:val="center"/>
          </w:tcPr>
          <w:p>
            <w:pPr>
              <w:jc w:val="left"/>
              <w:rPr>
                <w:sz w:val="18"/>
                <w:szCs w:val="18"/>
              </w:rPr>
            </w:pPr>
            <w:r>
              <w:rPr>
                <w:sz w:val="18"/>
                <w:szCs w:val="18"/>
              </w:rPr>
              <w:t>全基因组关联分析辅助选择实验</w:t>
            </w:r>
          </w:p>
        </w:tc>
        <w:tc>
          <w:tcPr>
            <w:tcW w:w="915" w:type="dxa"/>
            <w:vAlign w:val="center"/>
          </w:tcPr>
          <w:p>
            <w:pPr>
              <w:jc w:val="center"/>
              <w:rPr>
                <w:sz w:val="18"/>
                <w:szCs w:val="18"/>
              </w:rPr>
            </w:pPr>
            <w:r>
              <w:rPr>
                <w:sz w:val="18"/>
                <w:szCs w:val="18"/>
              </w:rPr>
              <w:t>2</w:t>
            </w:r>
          </w:p>
        </w:tc>
        <w:tc>
          <w:tcPr>
            <w:tcW w:w="1122" w:type="dxa"/>
            <w:vAlign w:val="center"/>
          </w:tcPr>
          <w:p>
            <w:pPr>
              <w:jc w:val="center"/>
              <w:rPr>
                <w:sz w:val="18"/>
                <w:szCs w:val="18"/>
              </w:rPr>
            </w:pPr>
            <w:r>
              <w:rPr>
                <w:sz w:val="18"/>
                <w:szCs w:val="18"/>
              </w:rPr>
              <w:t>设计性</w:t>
            </w:r>
          </w:p>
        </w:tc>
        <w:tc>
          <w:tcPr>
            <w:tcW w:w="1487" w:type="dxa"/>
            <w:vAlign w:val="center"/>
          </w:tcPr>
          <w:p>
            <w:pPr>
              <w:jc w:val="center"/>
              <w:rPr>
                <w:sz w:val="18"/>
                <w:szCs w:val="18"/>
              </w:rPr>
            </w:pPr>
            <w:r>
              <w:rPr>
                <w:sz w:val="18"/>
                <w:szCs w:val="18"/>
              </w:rPr>
              <w:t>必做</w:t>
            </w:r>
          </w:p>
        </w:tc>
        <w:tc>
          <w:tcPr>
            <w:tcW w:w="1338" w:type="dxa"/>
          </w:tcPr>
          <w:p>
            <w:pPr>
              <w:jc w:val="center"/>
              <w:rPr>
                <w:sz w:val="18"/>
                <w:szCs w:val="18"/>
              </w:rPr>
            </w:pPr>
            <w:r>
              <w:rPr>
                <w:sz w:val="18"/>
                <w:szCs w:val="18"/>
              </w:rPr>
              <w:t>6</w:t>
            </w:r>
          </w:p>
        </w:tc>
      </w:tr>
    </w:tbl>
    <w:p>
      <w:pPr>
        <w:snapToGrid w:val="0"/>
        <w:spacing w:line="360" w:lineRule="auto"/>
        <w:rPr>
          <w:b/>
          <w:bCs/>
          <w:szCs w:val="21"/>
        </w:rPr>
      </w:pPr>
      <w:r>
        <w:rPr>
          <w:b/>
          <w:bCs/>
          <w:szCs w:val="21"/>
        </w:rPr>
        <w:t>（五）实验方式及基本要求</w:t>
      </w:r>
    </w:p>
    <w:p>
      <w:pPr>
        <w:snapToGrid w:val="0"/>
        <w:spacing w:line="360" w:lineRule="auto"/>
        <w:ind w:firstLine="420" w:firstLineChars="200"/>
        <w:rPr>
          <w:szCs w:val="21"/>
        </w:rPr>
      </w:pPr>
      <w:r>
        <w:rPr>
          <w:szCs w:val="21"/>
        </w:rPr>
        <w:t>课程以设计性和综合性实验为主，以室内和室外实验相结合，要求学生课前预习，了解实验原理，学会理论联系实际、分析和解决遇到的实际问题。要求每个学生必需认真完成每个实验，并提交实验报告。</w:t>
      </w:r>
    </w:p>
    <w:p>
      <w:pPr>
        <w:snapToGrid w:val="0"/>
        <w:spacing w:line="360" w:lineRule="auto"/>
        <w:rPr>
          <w:b/>
          <w:szCs w:val="21"/>
        </w:rPr>
      </w:pPr>
      <w:r>
        <w:rPr>
          <w:b/>
          <w:bCs/>
          <w:szCs w:val="21"/>
        </w:rPr>
        <w:t>（六）</w:t>
      </w:r>
      <w:r>
        <w:rPr>
          <w:b/>
          <w:szCs w:val="21"/>
        </w:rPr>
        <w:t>实验内容安排</w:t>
      </w:r>
    </w:p>
    <w:p>
      <w:pPr>
        <w:pStyle w:val="20"/>
        <w:snapToGrid w:val="0"/>
        <w:spacing w:before="0" w:beforeAutospacing="0" w:after="0" w:afterAutospacing="0" w:line="360" w:lineRule="auto"/>
        <w:rPr>
          <w:rFonts w:ascii="Times New Roman" w:hAnsi="Times New Roman" w:cs="Times New Roman"/>
          <w:b/>
          <w:sz w:val="21"/>
          <w:szCs w:val="21"/>
        </w:rPr>
      </w:pPr>
      <w:r>
        <w:rPr>
          <w:rFonts w:ascii="Times New Roman" w:hAnsi="Times New Roman" w:cs="Times New Roman"/>
          <w:b/>
          <w:sz w:val="21"/>
          <w:szCs w:val="21"/>
        </w:rPr>
        <w:t>【实验一】番茄全基因选择育种技术</w:t>
      </w:r>
    </w:p>
    <w:p>
      <w:pPr>
        <w:snapToGrid w:val="0"/>
        <w:spacing w:line="360" w:lineRule="auto"/>
        <w:ind w:firstLine="422" w:firstLineChars="200"/>
      </w:pPr>
      <w:r>
        <w:rPr>
          <w:b/>
          <w:szCs w:val="21"/>
        </w:rPr>
        <w:t>1.实验学时：</w:t>
      </w:r>
      <w:r>
        <w:rPr>
          <w:bCs/>
        </w:rPr>
        <w:t>4学时</w:t>
      </w:r>
    </w:p>
    <w:p>
      <w:pPr>
        <w:snapToGrid w:val="0"/>
        <w:spacing w:line="360" w:lineRule="auto"/>
        <w:ind w:firstLine="422" w:firstLineChars="200"/>
        <w:rPr>
          <w:bCs/>
          <w:szCs w:val="21"/>
        </w:rPr>
      </w:pPr>
      <w:r>
        <w:rPr>
          <w:b/>
          <w:szCs w:val="21"/>
        </w:rPr>
        <w:t>2.实验目的：</w:t>
      </w:r>
      <w:r>
        <w:rPr>
          <w:bCs/>
        </w:rPr>
        <w:t>通过在实验基地参观和实验室实验操作训练，掌握番茄全基因选择技术的主要技术操作。</w:t>
      </w:r>
    </w:p>
    <w:p>
      <w:pPr>
        <w:snapToGrid w:val="0"/>
        <w:spacing w:line="360" w:lineRule="auto"/>
        <w:ind w:firstLine="422" w:firstLineChars="200"/>
        <w:rPr>
          <w:bCs/>
          <w:szCs w:val="21"/>
        </w:rPr>
      </w:pPr>
      <w:r>
        <w:rPr>
          <w:b/>
          <w:szCs w:val="21"/>
        </w:rPr>
        <w:t>3.实验内容：</w:t>
      </w:r>
      <w:r>
        <w:rPr>
          <w:bCs/>
          <w:szCs w:val="21"/>
        </w:rPr>
        <w:t>通过实验室操作对番茄的全基因组进行扫描，基于不同选择位点进行选择优化，再通过实验基地参观，观测已有全基因选择育种的实际案例，加深全基因选择育种的技术要点。</w:t>
      </w:r>
    </w:p>
    <w:p>
      <w:pPr>
        <w:snapToGrid w:val="0"/>
        <w:spacing w:line="360" w:lineRule="auto"/>
        <w:ind w:firstLine="422" w:firstLineChars="200"/>
        <w:rPr>
          <w:bCs/>
          <w:szCs w:val="21"/>
        </w:rPr>
      </w:pPr>
      <w:r>
        <w:rPr>
          <w:b/>
          <w:szCs w:val="21"/>
        </w:rPr>
        <w:t>4.实验要求：</w:t>
      </w:r>
      <w:r>
        <w:rPr>
          <w:bCs/>
        </w:rPr>
        <w:t>初步掌握全基因选择育种的原理和技术特点。</w:t>
      </w:r>
    </w:p>
    <w:p>
      <w:pPr>
        <w:snapToGrid w:val="0"/>
        <w:spacing w:line="360" w:lineRule="auto"/>
        <w:ind w:firstLine="422" w:firstLineChars="200"/>
        <w:rPr>
          <w:bCs/>
          <w:szCs w:val="21"/>
        </w:rPr>
      </w:pPr>
      <w:r>
        <w:rPr>
          <w:b/>
          <w:szCs w:val="21"/>
        </w:rPr>
        <w:t>5.实验设备及器材：</w:t>
      </w:r>
      <w:r>
        <w:rPr>
          <w:bCs/>
          <w:szCs w:val="21"/>
        </w:rPr>
        <w:t>生物信息学服务器平台、计算机等。</w:t>
      </w:r>
    </w:p>
    <w:p>
      <w:pPr>
        <w:pStyle w:val="20"/>
        <w:snapToGrid w:val="0"/>
        <w:spacing w:before="0" w:beforeAutospacing="0" w:after="0" w:afterAutospacing="0" w:line="360" w:lineRule="auto"/>
        <w:rPr>
          <w:rFonts w:ascii="Times New Roman" w:hAnsi="Times New Roman" w:cs="Times New Roman"/>
          <w:b/>
          <w:sz w:val="21"/>
          <w:szCs w:val="21"/>
        </w:rPr>
      </w:pPr>
      <w:r>
        <w:rPr>
          <w:rFonts w:ascii="Times New Roman" w:hAnsi="Times New Roman" w:cs="Times New Roman"/>
          <w:b/>
          <w:sz w:val="21"/>
          <w:szCs w:val="21"/>
        </w:rPr>
        <w:t>【实验</w:t>
      </w:r>
      <w:r>
        <w:rPr>
          <w:rFonts w:ascii="Times New Roman" w:hAnsi="Times New Roman" w:eastAsia="宋体" w:cs="Times New Roman"/>
          <w:b/>
          <w:sz w:val="21"/>
          <w:szCs w:val="21"/>
        </w:rPr>
        <w:t>二</w:t>
      </w:r>
      <w:r>
        <w:rPr>
          <w:rFonts w:ascii="Times New Roman" w:hAnsi="Times New Roman" w:cs="Times New Roman"/>
          <w:b/>
          <w:sz w:val="21"/>
          <w:szCs w:val="21"/>
        </w:rPr>
        <w:t>】分子标记辅助育种选择实验</w:t>
      </w:r>
    </w:p>
    <w:p>
      <w:pPr>
        <w:snapToGrid w:val="0"/>
        <w:spacing w:line="360" w:lineRule="auto"/>
        <w:ind w:firstLine="422" w:firstLineChars="200"/>
      </w:pPr>
      <w:r>
        <w:rPr>
          <w:b/>
          <w:szCs w:val="21"/>
        </w:rPr>
        <w:t>1.实验学时：</w:t>
      </w:r>
      <w:r>
        <w:rPr>
          <w:bCs/>
        </w:rPr>
        <w:t>2学时</w:t>
      </w:r>
    </w:p>
    <w:p>
      <w:pPr>
        <w:snapToGrid w:val="0"/>
        <w:spacing w:line="360" w:lineRule="auto"/>
        <w:ind w:firstLine="422" w:firstLineChars="200"/>
        <w:rPr>
          <w:bCs/>
          <w:szCs w:val="21"/>
        </w:rPr>
      </w:pPr>
      <w:r>
        <w:rPr>
          <w:b/>
          <w:szCs w:val="21"/>
        </w:rPr>
        <w:t>2.实验目的：</w:t>
      </w:r>
      <w:r>
        <w:rPr>
          <w:bCs/>
        </w:rPr>
        <w:t>通过基础实验操作，掌握常用实验仪器使用方法、学习分子标记作用原理和方法；练习DNA琼脂糖凝胶电泳的原理和方法。</w:t>
      </w:r>
    </w:p>
    <w:p>
      <w:pPr>
        <w:snapToGrid w:val="0"/>
        <w:spacing w:line="360" w:lineRule="auto"/>
        <w:ind w:firstLine="422" w:firstLineChars="200"/>
        <w:rPr>
          <w:bCs/>
          <w:szCs w:val="21"/>
        </w:rPr>
      </w:pPr>
      <w:r>
        <w:rPr>
          <w:b/>
          <w:szCs w:val="21"/>
        </w:rPr>
        <w:t>3.实验内容：</w:t>
      </w:r>
      <w:r>
        <w:rPr>
          <w:bCs/>
        </w:rPr>
        <w:t>学习移液枪的正确使用方法，按照PCR克隆说明书配置反应体系，在PCR仪中克隆，配置琼脂糖凝胶，并使用电泳仪电泳，并利用紫外凝胶成像仪检测分子标记分离效果。</w:t>
      </w:r>
    </w:p>
    <w:p>
      <w:pPr>
        <w:snapToGrid w:val="0"/>
        <w:spacing w:line="360" w:lineRule="auto"/>
        <w:ind w:firstLine="422" w:firstLineChars="200"/>
        <w:rPr>
          <w:bCs/>
          <w:szCs w:val="21"/>
        </w:rPr>
      </w:pPr>
      <w:r>
        <w:rPr>
          <w:b/>
          <w:szCs w:val="21"/>
        </w:rPr>
        <w:t>4.实验要求：</w:t>
      </w:r>
      <w:r>
        <w:rPr>
          <w:bCs/>
        </w:rPr>
        <w:t>掌握分子标记原理及DNA琼脂让凝胶电泳的原理及操作方法。</w:t>
      </w:r>
    </w:p>
    <w:p>
      <w:pPr>
        <w:snapToGrid w:val="0"/>
        <w:spacing w:line="360" w:lineRule="auto"/>
        <w:ind w:firstLine="422" w:firstLineChars="200"/>
        <w:rPr>
          <w:bCs/>
          <w:szCs w:val="21"/>
        </w:rPr>
      </w:pPr>
      <w:r>
        <w:rPr>
          <w:b/>
          <w:szCs w:val="21"/>
        </w:rPr>
        <w:t>5.实验设备及器材：</w:t>
      </w:r>
      <w:r>
        <w:rPr>
          <w:bCs/>
        </w:rPr>
        <w:t>移液枪、PCR仪、水平式电泳装置、电泳仪、微波炉，紫外凝胶成像仪等。</w:t>
      </w:r>
    </w:p>
    <w:p>
      <w:pPr>
        <w:pStyle w:val="20"/>
        <w:snapToGrid w:val="0"/>
        <w:spacing w:before="0" w:beforeAutospacing="0" w:after="0" w:afterAutospacing="0" w:line="360" w:lineRule="auto"/>
        <w:rPr>
          <w:rFonts w:ascii="Times New Roman" w:hAnsi="Times New Roman" w:cs="Times New Roman"/>
          <w:b/>
          <w:sz w:val="21"/>
          <w:szCs w:val="21"/>
        </w:rPr>
      </w:pPr>
      <w:r>
        <w:rPr>
          <w:rFonts w:ascii="Times New Roman" w:hAnsi="Times New Roman" w:cs="Times New Roman"/>
          <w:b/>
          <w:sz w:val="21"/>
          <w:szCs w:val="21"/>
        </w:rPr>
        <w:t>【实验</w:t>
      </w:r>
      <w:r>
        <w:rPr>
          <w:rFonts w:ascii="Times New Roman" w:hAnsi="Times New Roman" w:eastAsia="宋体" w:cs="Times New Roman"/>
          <w:b/>
          <w:sz w:val="21"/>
          <w:szCs w:val="21"/>
        </w:rPr>
        <w:t>三</w:t>
      </w:r>
      <w:r>
        <w:rPr>
          <w:rFonts w:ascii="Times New Roman" w:hAnsi="Times New Roman" w:cs="Times New Roman"/>
          <w:b/>
          <w:sz w:val="21"/>
          <w:szCs w:val="21"/>
        </w:rPr>
        <w:t>】全基因组关联分析辅助选择实验</w:t>
      </w:r>
    </w:p>
    <w:p>
      <w:pPr>
        <w:snapToGrid w:val="0"/>
        <w:spacing w:line="360" w:lineRule="auto"/>
        <w:ind w:firstLine="422" w:firstLineChars="200"/>
      </w:pPr>
      <w:r>
        <w:rPr>
          <w:b/>
          <w:szCs w:val="21"/>
        </w:rPr>
        <w:t>1.实验学时：</w:t>
      </w:r>
      <w:r>
        <w:rPr>
          <w:bCs/>
        </w:rPr>
        <w:t>2学时</w:t>
      </w:r>
    </w:p>
    <w:p>
      <w:pPr>
        <w:snapToGrid w:val="0"/>
        <w:spacing w:line="360" w:lineRule="auto"/>
        <w:ind w:firstLine="422" w:firstLineChars="200"/>
        <w:rPr>
          <w:bCs/>
          <w:szCs w:val="21"/>
        </w:rPr>
      </w:pPr>
      <w:r>
        <w:rPr>
          <w:b/>
          <w:szCs w:val="21"/>
        </w:rPr>
        <w:t>2.实验目的：</w:t>
      </w:r>
      <w:r>
        <w:rPr>
          <w:bCs/>
        </w:rPr>
        <w:t>通过在生物信息学服务器平台上进行操作训练，掌握基因定位基本原理和操作方法，掌握基因筛选的基本原则。</w:t>
      </w:r>
    </w:p>
    <w:p>
      <w:pPr>
        <w:snapToGrid w:val="0"/>
        <w:spacing w:line="360" w:lineRule="auto"/>
        <w:ind w:firstLine="422" w:firstLineChars="200"/>
        <w:rPr>
          <w:bCs/>
          <w:szCs w:val="21"/>
        </w:rPr>
      </w:pPr>
      <w:r>
        <w:rPr>
          <w:b/>
          <w:szCs w:val="21"/>
        </w:rPr>
        <w:t>3.实验内容：</w:t>
      </w:r>
      <w:r>
        <w:rPr>
          <w:bCs/>
        </w:rPr>
        <w:t>利用桃重测序数据，进行分析变异位点，根据变异位点和表型数据进行关联分析，定位候选基因，再利用基因注释等信息，筛选候选基因。</w:t>
      </w:r>
    </w:p>
    <w:p>
      <w:pPr>
        <w:snapToGrid w:val="0"/>
        <w:spacing w:line="360" w:lineRule="auto"/>
        <w:ind w:firstLine="422" w:firstLineChars="200"/>
        <w:rPr>
          <w:bCs/>
          <w:szCs w:val="21"/>
        </w:rPr>
      </w:pPr>
      <w:r>
        <w:rPr>
          <w:b/>
          <w:szCs w:val="21"/>
        </w:rPr>
        <w:t>4.实验要求：</w:t>
      </w:r>
      <w:r>
        <w:rPr>
          <w:bCs/>
        </w:rPr>
        <w:t>掌握全基因组关联分析的基本原理和技术操作。</w:t>
      </w:r>
    </w:p>
    <w:p>
      <w:pPr>
        <w:snapToGrid w:val="0"/>
        <w:spacing w:line="360" w:lineRule="auto"/>
        <w:ind w:firstLine="422" w:firstLineChars="200"/>
        <w:rPr>
          <w:bCs/>
          <w:szCs w:val="21"/>
        </w:rPr>
      </w:pPr>
      <w:r>
        <w:rPr>
          <w:b/>
          <w:szCs w:val="21"/>
        </w:rPr>
        <w:t>5.实验设备及器材：</w:t>
      </w:r>
      <w:r>
        <w:rPr>
          <w:bCs/>
          <w:szCs w:val="21"/>
        </w:rPr>
        <w:t>生物信息学服务器平台、计算机、桃基因组文件、重测序文件、杂交群体表型数据文件等。</w:t>
      </w:r>
    </w:p>
    <w:p>
      <w:pPr>
        <w:snapToGrid w:val="0"/>
        <w:spacing w:line="360" w:lineRule="auto"/>
        <w:rPr>
          <w:bCs/>
          <w:szCs w:val="21"/>
        </w:rPr>
      </w:pPr>
      <w:r>
        <w:rPr>
          <w:b/>
          <w:szCs w:val="21"/>
        </w:rPr>
        <w:t>(七)</w:t>
      </w:r>
      <w:r>
        <w:rPr>
          <w:b/>
          <w:bCs/>
          <w:szCs w:val="21"/>
        </w:rPr>
        <w:t>考核方式及成绩评定</w:t>
      </w:r>
    </w:p>
    <w:p>
      <w:pPr>
        <w:snapToGrid w:val="0"/>
        <w:spacing w:line="360" w:lineRule="auto"/>
        <w:ind w:firstLine="420" w:firstLineChars="200"/>
        <w:rPr>
          <w:bCs/>
        </w:rPr>
      </w:pPr>
      <w:r>
        <w:rPr>
          <w:bCs/>
        </w:rPr>
        <w:t>试验报告成绩</w:t>
      </w:r>
      <w:r>
        <w:rPr>
          <w:bCs/>
          <w:szCs w:val="21"/>
        </w:rPr>
        <w:t>。</w:t>
      </w:r>
    </w:p>
    <w:p>
      <w:pPr>
        <w:snapToGrid w:val="0"/>
        <w:spacing w:line="360" w:lineRule="auto"/>
        <w:rPr>
          <w:b/>
          <w:szCs w:val="21"/>
        </w:rPr>
      </w:pPr>
      <w:r>
        <w:rPr>
          <w:b/>
          <w:szCs w:val="21"/>
        </w:rPr>
        <w:t>六、课程思政</w:t>
      </w:r>
    </w:p>
    <w:p>
      <w:pPr>
        <w:widowControl/>
        <w:snapToGrid w:val="0"/>
        <w:spacing w:line="360" w:lineRule="auto"/>
        <w:ind w:firstLine="420" w:firstLineChars="200"/>
        <w:rPr>
          <w:szCs w:val="32"/>
        </w:rPr>
      </w:pPr>
      <w:r>
        <w:rPr>
          <w:bCs/>
        </w:rPr>
        <w:t>教学过程中，提炼课程中蕴含的思政教育，讲述专业课程的同时，也要注重学生的责任感和使命感，运用新技术进行科学育种，加速育种成效</w:t>
      </w:r>
      <w:r>
        <w:rPr>
          <w:szCs w:val="32"/>
        </w:rPr>
        <w:t>，把科技论文写在祖国大地上。例如在绪论中，讲述生物育种的发展及应用，可通过回顾传统育种的同时，引入生物育种，可在追忆科研工作者通过不懈努力解决农业生产中存在的实际问题，保障广大人民群众的“饭碗”做出的突出贡献，使各位同学提升专业自豪感和使命感。</w:t>
      </w:r>
    </w:p>
    <w:p>
      <w:pPr>
        <w:widowControl/>
        <w:snapToGrid w:val="0"/>
        <w:spacing w:line="360" w:lineRule="auto"/>
        <w:ind w:firstLine="420" w:firstLineChars="200"/>
        <w:rPr>
          <w:bCs/>
        </w:rPr>
      </w:pPr>
      <w:r>
        <w:rPr>
          <w:bCs/>
        </w:rPr>
        <w:t>通过基因编辑育种的学习，让学生深刻理解基因编辑的本质，明确基因编辑和转基因技术的区别，通过国家法规的宣讲，明确基因编辑在育种中的作用。在授课过程中，传播广大科学家在育种新技术中探索而表现出的坚韧不拔的勇气和锲而不舍的精神，培养学生献身科学和传播科学的精神。</w:t>
      </w:r>
    </w:p>
    <w:p>
      <w:pPr>
        <w:widowControl/>
        <w:snapToGrid w:val="0"/>
        <w:spacing w:line="360" w:lineRule="auto"/>
        <w:jc w:val="left"/>
        <w:rPr>
          <w:kern w:val="0"/>
          <w:szCs w:val="21"/>
        </w:rPr>
      </w:pPr>
      <w:r>
        <w:rPr>
          <w:b/>
          <w:bCs/>
          <w:kern w:val="0"/>
          <w:szCs w:val="21"/>
        </w:rPr>
        <w:t>七、教材及教学参考书</w:t>
      </w:r>
    </w:p>
    <w:p>
      <w:pPr>
        <w:widowControl/>
        <w:snapToGrid w:val="0"/>
        <w:spacing w:line="360" w:lineRule="auto"/>
        <w:ind w:firstLine="422" w:firstLineChars="200"/>
        <w:jc w:val="left"/>
        <w:rPr>
          <w:b/>
          <w:bCs/>
          <w:kern w:val="0"/>
          <w:szCs w:val="21"/>
        </w:rPr>
      </w:pPr>
      <w:r>
        <w:rPr>
          <w:b/>
          <w:bCs/>
          <w:kern w:val="0"/>
          <w:szCs w:val="21"/>
        </w:rPr>
        <w:t>1.选用教材：</w:t>
      </w:r>
    </w:p>
    <w:p>
      <w:pPr>
        <w:widowControl/>
        <w:snapToGrid w:val="0"/>
        <w:spacing w:line="360" w:lineRule="auto"/>
        <w:ind w:firstLine="420" w:firstLineChars="200"/>
        <w:jc w:val="left"/>
        <w:rPr>
          <w:bCs/>
          <w:kern w:val="0"/>
          <w:szCs w:val="21"/>
        </w:rPr>
      </w:pPr>
      <w:r>
        <w:rPr>
          <w:bCs/>
          <w:kern w:val="0"/>
          <w:szCs w:val="21"/>
        </w:rPr>
        <w:t>（1）理论课教材：现代生物技术导论，汤立军编著，人民卫生出版社，2022年</w:t>
      </w:r>
    </w:p>
    <w:p>
      <w:pPr>
        <w:widowControl/>
        <w:snapToGrid w:val="0"/>
        <w:spacing w:line="360" w:lineRule="auto"/>
        <w:ind w:firstLine="420" w:firstLineChars="200"/>
        <w:jc w:val="left"/>
        <w:rPr>
          <w:bCs/>
          <w:kern w:val="0"/>
          <w:szCs w:val="21"/>
        </w:rPr>
      </w:pPr>
      <w:r>
        <w:t>（2）实验课教材：高校生物学专业类实验教学建议性规范</w:t>
      </w:r>
      <w:r>
        <w:rPr>
          <w:bCs/>
          <w:kern w:val="0"/>
          <w:szCs w:val="21"/>
        </w:rPr>
        <w:t>，腾利荣编著，高等教育出版社，2021年</w:t>
      </w:r>
    </w:p>
    <w:p>
      <w:pPr>
        <w:widowControl/>
        <w:snapToGrid w:val="0"/>
        <w:spacing w:line="360" w:lineRule="auto"/>
        <w:ind w:firstLine="422" w:firstLineChars="200"/>
        <w:jc w:val="left"/>
        <w:rPr>
          <w:kern w:val="0"/>
          <w:szCs w:val="21"/>
        </w:rPr>
      </w:pPr>
      <w:r>
        <w:rPr>
          <w:b/>
          <w:bCs/>
          <w:kern w:val="0"/>
          <w:szCs w:val="21"/>
        </w:rPr>
        <w:t>2.参考书：</w:t>
      </w:r>
    </w:p>
    <w:p>
      <w:pPr>
        <w:snapToGrid w:val="0"/>
        <w:spacing w:line="360" w:lineRule="auto"/>
        <w:ind w:firstLine="420" w:firstLineChars="200"/>
        <w:rPr>
          <w:bCs/>
          <w:kern w:val="0"/>
          <w:szCs w:val="21"/>
        </w:rPr>
      </w:pPr>
      <w:r>
        <w:rPr>
          <w:bCs/>
          <w:kern w:val="0"/>
          <w:szCs w:val="21"/>
        </w:rPr>
        <w:t>（1）植物育种学．胡延吉．高等教育出版社, 2007</w:t>
      </w:r>
    </w:p>
    <w:p>
      <w:pPr>
        <w:snapToGrid w:val="0"/>
        <w:spacing w:line="360" w:lineRule="auto"/>
        <w:ind w:firstLine="420" w:firstLineChars="200"/>
        <w:rPr>
          <w:bCs/>
          <w:kern w:val="0"/>
          <w:szCs w:val="21"/>
        </w:rPr>
      </w:pPr>
      <w:r>
        <w:rPr>
          <w:bCs/>
          <w:kern w:val="0"/>
          <w:szCs w:val="21"/>
        </w:rPr>
        <w:t>（2）张献龙．植物生物技术．科学出版社, 2012</w:t>
      </w:r>
    </w:p>
    <w:p>
      <w:pPr>
        <w:widowControl/>
        <w:snapToGrid w:val="0"/>
        <w:spacing w:line="360" w:lineRule="auto"/>
        <w:ind w:firstLine="422" w:firstLineChars="200"/>
        <w:jc w:val="left"/>
        <w:rPr>
          <w:b/>
          <w:kern w:val="0"/>
          <w:szCs w:val="21"/>
        </w:rPr>
      </w:pPr>
      <w:r>
        <w:rPr>
          <w:b/>
          <w:kern w:val="0"/>
          <w:szCs w:val="21"/>
        </w:rPr>
        <w:t>3.推荐网站（线上资源）：</w:t>
      </w:r>
    </w:p>
    <w:p>
      <w:pPr>
        <w:snapToGrid w:val="0"/>
        <w:spacing w:line="360" w:lineRule="auto"/>
        <w:ind w:firstLine="420" w:firstLineChars="200"/>
        <w:rPr>
          <w:szCs w:val="21"/>
        </w:rPr>
      </w:pPr>
      <w:r>
        <w:rPr>
          <w:szCs w:val="21"/>
        </w:rPr>
        <w:t>（1）蔷薇科植物基因组，https://www.rosaceae.org/</w:t>
      </w:r>
    </w:p>
    <w:p>
      <w:pPr>
        <w:widowControl/>
        <w:snapToGrid w:val="0"/>
        <w:spacing w:line="360" w:lineRule="auto"/>
        <w:ind w:firstLine="420" w:firstLineChars="200"/>
        <w:jc w:val="left"/>
        <w:rPr>
          <w:kern w:val="0"/>
        </w:rPr>
      </w:pPr>
      <w:r>
        <w:rPr>
          <w:szCs w:val="21"/>
        </w:rPr>
        <w:t>（2）国际番茄基因组，https://solgenomics.net/organism/solanum_lycopersicum/genome</w:t>
      </w:r>
    </w:p>
    <w:p>
      <w:pPr>
        <w:widowControl/>
        <w:snapToGrid w:val="0"/>
        <w:spacing w:line="360" w:lineRule="auto"/>
        <w:jc w:val="left"/>
        <w:rPr>
          <w:b/>
          <w:bCs/>
          <w:kern w:val="0"/>
          <w:szCs w:val="21"/>
        </w:rPr>
      </w:pPr>
      <w:r>
        <w:rPr>
          <w:b/>
          <w:bCs/>
          <w:kern w:val="0"/>
          <w:szCs w:val="21"/>
        </w:rPr>
        <w:t>八、教学条件</w:t>
      </w:r>
    </w:p>
    <w:p>
      <w:pPr>
        <w:snapToGrid w:val="0"/>
        <w:spacing w:line="360" w:lineRule="auto"/>
        <w:ind w:firstLine="420" w:firstLineChars="200"/>
        <w:rPr>
          <w:szCs w:val="21"/>
        </w:rPr>
      </w:pPr>
      <w:r>
        <w:rPr>
          <w:szCs w:val="21"/>
        </w:rPr>
        <w:t>生物育种教学团队教学设施完备，教学条件优良，目前本教学团队拥有园艺植物生理生态、园艺植物种质资源与遗传育种和园艺植物分子生物学等4个校内实验室，可以满足学生教学和专业实践需要，同时，也为教师、学生的科研任务提供良好的工作和学习空间，教学科研水平稳步提高。</w:t>
      </w:r>
    </w:p>
    <w:p>
      <w:pPr>
        <w:widowControl/>
        <w:snapToGrid w:val="0"/>
        <w:spacing w:line="360" w:lineRule="auto"/>
        <w:jc w:val="left"/>
        <w:rPr>
          <w:b/>
          <w:bCs/>
          <w:kern w:val="0"/>
          <w:szCs w:val="21"/>
        </w:rPr>
      </w:pPr>
      <w:r>
        <w:rPr>
          <w:b/>
          <w:bCs/>
          <w:kern w:val="0"/>
          <w:szCs w:val="21"/>
        </w:rPr>
        <w:t>九、教学考核评价</w:t>
      </w:r>
    </w:p>
    <w:p>
      <w:pPr>
        <w:widowControl/>
        <w:snapToGrid w:val="0"/>
        <w:spacing w:line="360" w:lineRule="auto"/>
        <w:ind w:firstLine="420"/>
        <w:jc w:val="left"/>
      </w:pPr>
      <w:r>
        <w:rPr>
          <w:b/>
          <w:bCs/>
          <w:kern w:val="0"/>
          <w:szCs w:val="21"/>
        </w:rPr>
        <w:t>1.过程性评价：</w:t>
      </w:r>
    </w:p>
    <w:p>
      <w:pPr>
        <w:snapToGrid w:val="0"/>
        <w:spacing w:line="360" w:lineRule="auto"/>
        <w:ind w:firstLine="420" w:firstLineChars="200"/>
        <w:rPr>
          <w:bCs/>
          <w:kern w:val="0"/>
          <w:szCs w:val="21"/>
        </w:rPr>
      </w:pPr>
      <w:r>
        <w:rPr>
          <w:bCs/>
          <w:kern w:val="0"/>
          <w:szCs w:val="21"/>
        </w:rPr>
        <w:t>过程性评价包括追踪学生出勤情况、课堂表现情况（课堂讨论参与度、回答问题积极性等）、学习讨论情况、课后作业完成情况、实验报告完成情况及成绩等，采用多元化综合考核评价方法；占比40%。</w:t>
      </w:r>
    </w:p>
    <w:p>
      <w:pPr>
        <w:widowControl/>
        <w:snapToGrid w:val="0"/>
        <w:spacing w:line="360" w:lineRule="auto"/>
        <w:ind w:firstLine="420"/>
        <w:jc w:val="left"/>
        <w:rPr>
          <w:b/>
          <w:bCs/>
          <w:kern w:val="0"/>
          <w:szCs w:val="21"/>
        </w:rPr>
      </w:pPr>
      <w:r>
        <w:rPr>
          <w:b/>
          <w:bCs/>
          <w:kern w:val="0"/>
          <w:szCs w:val="21"/>
        </w:rPr>
        <w:t>2.终结性评价：</w:t>
      </w:r>
      <w:r>
        <w:t>期末考试方式为课程论文，成绩满分100分，占总成绩的60%，平时成绩占总成绩的40%。</w:t>
      </w:r>
    </w:p>
    <w:p>
      <w:pPr>
        <w:widowControl/>
        <w:snapToGrid w:val="0"/>
        <w:spacing w:line="360" w:lineRule="auto"/>
        <w:ind w:firstLine="420"/>
        <w:jc w:val="left"/>
      </w:pPr>
      <w:r>
        <w:rPr>
          <w:b/>
          <w:bCs/>
          <w:kern w:val="0"/>
          <w:szCs w:val="21"/>
        </w:rPr>
        <w:t>3.课程综合评价：</w:t>
      </w:r>
      <w:r>
        <w:rPr>
          <w:bCs/>
          <w:kern w:val="0"/>
          <w:szCs w:val="21"/>
        </w:rPr>
        <w:t>过程性评价×40%+终结性评价×60%。</w:t>
      </w:r>
    </w:p>
    <w:p>
      <w:pPr>
        <w:rPr>
          <w:rStyle w:val="29"/>
          <w:rFonts w:ascii="Times New Roman" w:hAnsi="Times New Roman" w:cs="Times New Roman"/>
          <w:bCs w:val="0"/>
        </w:rPr>
      </w:pPr>
      <w:r>
        <w:rPr>
          <w:rStyle w:val="29"/>
          <w:rFonts w:ascii="Times New Roman" w:hAnsi="Times New Roman" w:cs="Times New Roman"/>
          <w:bCs w:val="0"/>
        </w:rPr>
        <w:br w:type="page"/>
      </w:r>
    </w:p>
    <w:p>
      <w:pPr>
        <w:pStyle w:val="21"/>
        <w:rPr>
          <w:rStyle w:val="29"/>
          <w:rFonts w:ascii="Times New Roman" w:hAnsi="Times New Roman" w:cs="Times New Roman"/>
          <w:b/>
          <w:bCs/>
        </w:rPr>
      </w:pPr>
      <w:bookmarkStart w:id="438" w:name="_Toc3249"/>
      <w:r>
        <w:rPr>
          <w:rStyle w:val="29"/>
          <w:rFonts w:ascii="Times New Roman" w:hAnsi="Times New Roman" w:cs="Times New Roman"/>
          <w:b/>
          <w:bCs w:val="0"/>
        </w:rPr>
        <w:t>农业信息技术</w:t>
      </w:r>
      <w:bookmarkEnd w:id="435"/>
      <w:bookmarkEnd w:id="436"/>
      <w:bookmarkEnd w:id="437"/>
      <w:bookmarkEnd w:id="438"/>
    </w:p>
    <w:p>
      <w:pPr>
        <w:snapToGrid w:val="0"/>
        <w:spacing w:line="360" w:lineRule="auto"/>
        <w:jc w:val="center"/>
        <w:rPr>
          <w:sz w:val="28"/>
        </w:rPr>
      </w:pPr>
      <w:r>
        <w:rPr>
          <w:sz w:val="28"/>
        </w:rPr>
        <w:t>（</w:t>
      </w:r>
      <w:r>
        <w:rPr>
          <w:i w:val="0"/>
          <w:iCs/>
          <w:sz w:val="24"/>
        </w:rPr>
        <w:t>Agricultural Information Technology</w:t>
      </w:r>
      <w:r>
        <w:rPr>
          <w:sz w:val="28"/>
        </w:rPr>
        <w:t>）</w:t>
      </w:r>
    </w:p>
    <w:p>
      <w:pPr>
        <w:snapToGrid w:val="0"/>
        <w:spacing w:line="360" w:lineRule="auto"/>
        <w:jc w:val="center"/>
        <w:rPr>
          <w:b/>
          <w:szCs w:val="21"/>
        </w:rPr>
      </w:pPr>
      <w:r>
        <w:rPr>
          <w:b/>
          <w:szCs w:val="21"/>
        </w:rPr>
        <w:t>课程基本信息</w:t>
      </w:r>
    </w:p>
    <w:tbl>
      <w:tblPr>
        <w:tblStyle w:val="22"/>
        <w:tblW w:w="9116" w:type="dxa"/>
        <w:tblInd w:w="0" w:type="dxa"/>
        <w:tblLayout w:type="fixed"/>
        <w:tblCellMar>
          <w:top w:w="0" w:type="dxa"/>
          <w:left w:w="108" w:type="dxa"/>
          <w:bottom w:w="0" w:type="dxa"/>
          <w:right w:w="108" w:type="dxa"/>
        </w:tblCellMar>
      </w:tblPr>
      <w:tblGrid>
        <w:gridCol w:w="3038"/>
        <w:gridCol w:w="2649"/>
        <w:gridCol w:w="91"/>
        <w:gridCol w:w="3338"/>
      </w:tblGrid>
      <w:tr>
        <w:tblPrEx>
          <w:tblCellMar>
            <w:top w:w="0" w:type="dxa"/>
            <w:left w:w="108" w:type="dxa"/>
            <w:bottom w:w="0" w:type="dxa"/>
            <w:right w:w="108" w:type="dxa"/>
          </w:tblCellMar>
        </w:tblPrEx>
        <w:tc>
          <w:tcPr>
            <w:tcW w:w="3038" w:type="dxa"/>
          </w:tcPr>
          <w:p>
            <w:pPr>
              <w:spacing w:line="300" w:lineRule="auto"/>
              <w:rPr>
                <w:b/>
                <w:bCs/>
                <w:szCs w:val="21"/>
              </w:rPr>
            </w:pPr>
            <w:r>
              <w:rPr>
                <w:b/>
                <w:bCs/>
                <w:szCs w:val="21"/>
              </w:rPr>
              <w:t>课程编号：</w:t>
            </w:r>
            <w:r>
              <w:rPr>
                <w:b/>
                <w:bCs/>
                <w:color w:val="000000" w:themeColor="text1"/>
                <w:szCs w:val="21"/>
                <w14:textFill>
                  <w14:solidFill>
                    <w14:schemeClr w14:val="tx1"/>
                  </w14:solidFill>
                </w14:textFill>
              </w:rPr>
              <w:t>19011060</w:t>
            </w:r>
          </w:p>
        </w:tc>
        <w:tc>
          <w:tcPr>
            <w:tcW w:w="2649" w:type="dxa"/>
          </w:tcPr>
          <w:p>
            <w:pPr>
              <w:spacing w:line="300" w:lineRule="auto"/>
              <w:rPr>
                <w:b/>
                <w:bCs/>
                <w:szCs w:val="21"/>
              </w:rPr>
            </w:pPr>
            <w:r>
              <w:rPr>
                <w:b/>
                <w:bCs/>
                <w:szCs w:val="21"/>
              </w:rPr>
              <w:t>课程总学时：</w:t>
            </w:r>
            <w:r>
              <w:rPr>
                <w:b/>
                <w:bCs/>
                <w:color w:val="000000" w:themeColor="text1"/>
                <w:szCs w:val="21"/>
                <w14:textFill>
                  <w14:solidFill>
                    <w14:schemeClr w14:val="tx1"/>
                  </w14:solidFill>
                </w14:textFill>
              </w:rPr>
              <w:t>32</w:t>
            </w:r>
          </w:p>
        </w:tc>
        <w:tc>
          <w:tcPr>
            <w:tcW w:w="3429" w:type="dxa"/>
            <w:gridSpan w:val="2"/>
          </w:tcPr>
          <w:p>
            <w:pPr>
              <w:spacing w:line="300" w:lineRule="auto"/>
              <w:rPr>
                <w:b/>
                <w:bCs/>
                <w:szCs w:val="21"/>
              </w:rPr>
            </w:pPr>
            <w:r>
              <w:rPr>
                <w:b/>
                <w:bCs/>
                <w:szCs w:val="21"/>
              </w:rPr>
              <w:t>实验学时：</w:t>
            </w:r>
            <w:r>
              <w:rPr>
                <w:b/>
                <w:bCs/>
                <w:color w:val="000000" w:themeColor="text1"/>
                <w:szCs w:val="21"/>
                <w14:textFill>
                  <w14:solidFill>
                    <w14:schemeClr w14:val="tx1"/>
                  </w14:solidFill>
                </w14:textFill>
              </w:rPr>
              <w:t>0</w:t>
            </w:r>
          </w:p>
        </w:tc>
      </w:tr>
      <w:tr>
        <w:tblPrEx>
          <w:tblCellMar>
            <w:top w:w="0" w:type="dxa"/>
            <w:left w:w="108" w:type="dxa"/>
            <w:bottom w:w="0" w:type="dxa"/>
            <w:right w:w="108" w:type="dxa"/>
          </w:tblCellMar>
        </w:tblPrEx>
        <w:tc>
          <w:tcPr>
            <w:tcW w:w="3038" w:type="dxa"/>
          </w:tcPr>
          <w:p>
            <w:pPr>
              <w:spacing w:line="300" w:lineRule="auto"/>
              <w:rPr>
                <w:b/>
                <w:bCs/>
                <w:color w:val="FF0000"/>
                <w:szCs w:val="21"/>
              </w:rPr>
            </w:pPr>
            <w:r>
              <w:rPr>
                <w:b/>
                <w:bCs/>
                <w:szCs w:val="21"/>
              </w:rPr>
              <w:t>课程性质：</w:t>
            </w:r>
            <w:r>
              <w:rPr>
                <w:b/>
                <w:bCs/>
                <w:color w:val="000000" w:themeColor="text1"/>
                <w:szCs w:val="21"/>
                <w14:textFill>
                  <w14:solidFill>
                    <w14:schemeClr w14:val="tx1"/>
                  </w14:solidFill>
                </w14:textFill>
              </w:rPr>
              <w:t>选修</w:t>
            </w:r>
          </w:p>
        </w:tc>
        <w:tc>
          <w:tcPr>
            <w:tcW w:w="2649" w:type="dxa"/>
          </w:tcPr>
          <w:p>
            <w:pPr>
              <w:spacing w:line="300" w:lineRule="auto"/>
              <w:rPr>
                <w:b/>
                <w:bCs/>
                <w:color w:val="FF0000"/>
                <w:szCs w:val="21"/>
              </w:rPr>
            </w:pPr>
            <w:r>
              <w:rPr>
                <w:b/>
                <w:bCs/>
                <w:szCs w:val="21"/>
              </w:rPr>
              <w:t>课程属性：</w:t>
            </w:r>
            <w:r>
              <w:rPr>
                <w:b/>
                <w:bCs/>
                <w:color w:val="000000" w:themeColor="text1"/>
                <w:szCs w:val="21"/>
                <w14:textFill>
                  <w14:solidFill>
                    <w14:schemeClr w14:val="tx1"/>
                  </w14:solidFill>
                </w14:textFill>
              </w:rPr>
              <w:t>专业类</w:t>
            </w:r>
          </w:p>
        </w:tc>
        <w:tc>
          <w:tcPr>
            <w:tcW w:w="3429" w:type="dxa"/>
            <w:gridSpan w:val="2"/>
          </w:tcPr>
          <w:p>
            <w:pPr>
              <w:spacing w:line="300" w:lineRule="auto"/>
              <w:rPr>
                <w:b/>
                <w:bCs/>
                <w:szCs w:val="21"/>
              </w:rPr>
            </w:pPr>
            <w:r>
              <w:rPr>
                <w:b/>
                <w:bCs/>
                <w:szCs w:val="21"/>
              </w:rPr>
              <w:t>开设学期：</w:t>
            </w:r>
            <w:r>
              <w:rPr>
                <w:b/>
                <w:bCs/>
                <w:color w:val="000000" w:themeColor="text1"/>
                <w:szCs w:val="21"/>
                <w14:textFill>
                  <w14:solidFill>
                    <w14:schemeClr w14:val="tx1"/>
                  </w14:solidFill>
                </w14:textFill>
              </w:rPr>
              <w:t>第8学期</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8" w:type="dxa"/>
            <w:tcBorders>
              <w:top w:val="nil"/>
              <w:left w:val="nil"/>
              <w:bottom w:val="nil"/>
              <w:right w:val="nil"/>
            </w:tcBorders>
          </w:tcPr>
          <w:p>
            <w:pPr>
              <w:spacing w:line="300" w:lineRule="auto"/>
              <w:rPr>
                <w:b/>
                <w:bCs/>
                <w:szCs w:val="21"/>
              </w:rPr>
            </w:pPr>
            <w:r>
              <w:rPr>
                <w:rFonts w:hint="eastAsia" w:ascii="宋体" w:hAnsi="宋体" w:cs="宋体"/>
                <w:b/>
                <w:bCs/>
              </w:rPr>
              <w:t>课程负责人：</w:t>
            </w:r>
            <w:r>
              <w:rPr>
                <w:b/>
                <w:bCs/>
                <w:szCs w:val="21"/>
              </w:rPr>
              <w:t>何畅</w:t>
            </w:r>
          </w:p>
        </w:tc>
        <w:tc>
          <w:tcPr>
            <w:tcW w:w="2740" w:type="dxa"/>
            <w:gridSpan w:val="2"/>
            <w:tcBorders>
              <w:top w:val="nil"/>
              <w:left w:val="nil"/>
              <w:bottom w:val="nil"/>
              <w:right w:val="nil"/>
            </w:tcBorders>
          </w:tcPr>
          <w:p>
            <w:pPr>
              <w:spacing w:line="300" w:lineRule="auto"/>
              <w:jc w:val="left"/>
              <w:rPr>
                <w:b/>
                <w:bCs/>
              </w:rPr>
            </w:pPr>
            <w:r>
              <w:rPr>
                <w:rFonts w:hint="eastAsia" w:ascii="宋体" w:hAnsi="宋体" w:cs="宋体"/>
                <w:b/>
                <w:bCs/>
              </w:rPr>
              <w:t>课程团队：</w:t>
            </w:r>
            <w:r>
              <w:rPr>
                <w:b/>
                <w:bCs/>
              </w:rPr>
              <w:t>毛文文</w:t>
            </w:r>
          </w:p>
        </w:tc>
        <w:tc>
          <w:tcPr>
            <w:tcW w:w="3338" w:type="dxa"/>
            <w:tcBorders>
              <w:top w:val="nil"/>
              <w:left w:val="nil"/>
              <w:bottom w:val="nil"/>
              <w:right w:val="nil"/>
            </w:tcBorders>
          </w:tcPr>
          <w:p>
            <w:pPr>
              <w:spacing w:line="300" w:lineRule="auto"/>
              <w:jc w:val="left"/>
              <w:rPr>
                <w:rFonts w:eastAsia="Times New Roman"/>
                <w:b/>
                <w:bCs/>
              </w:rPr>
            </w:pPr>
            <w:r>
              <w:rPr>
                <w:rFonts w:hint="eastAsia" w:ascii="宋体" w:hAnsi="宋体" w:cs="宋体"/>
                <w:b/>
                <w:bCs/>
              </w:rPr>
              <w:t>授课语言：</w:t>
            </w:r>
            <w:r>
              <w:rPr>
                <w:b/>
                <w:bCs/>
                <w:color w:val="000000" w:themeColor="text1"/>
                <w14:textFill>
                  <w14:solidFill>
                    <w14:schemeClr w14:val="tx1"/>
                  </w14:solidFill>
                </w14:textFill>
              </w:rPr>
              <w:t>中文</w:t>
            </w:r>
          </w:p>
        </w:tc>
      </w:tr>
    </w:tbl>
    <w:p>
      <w:pPr>
        <w:rPr>
          <w:vanish/>
        </w:rPr>
      </w:pPr>
    </w:p>
    <w:tbl>
      <w:tblPr>
        <w:tblStyle w:val="22"/>
        <w:tblW w:w="9116" w:type="dxa"/>
        <w:tblInd w:w="0" w:type="dxa"/>
        <w:tblLayout w:type="fixed"/>
        <w:tblCellMar>
          <w:top w:w="0" w:type="dxa"/>
          <w:left w:w="108" w:type="dxa"/>
          <w:bottom w:w="0" w:type="dxa"/>
          <w:right w:w="108" w:type="dxa"/>
        </w:tblCellMar>
      </w:tblPr>
      <w:tblGrid>
        <w:gridCol w:w="3038"/>
        <w:gridCol w:w="2649"/>
        <w:gridCol w:w="3429"/>
      </w:tblGrid>
      <w:tr>
        <w:tblPrEx>
          <w:tblCellMar>
            <w:top w:w="0" w:type="dxa"/>
            <w:left w:w="108" w:type="dxa"/>
            <w:bottom w:w="0" w:type="dxa"/>
            <w:right w:w="108" w:type="dxa"/>
          </w:tblCellMar>
        </w:tblPrEx>
        <w:tc>
          <w:tcPr>
            <w:tcW w:w="9116" w:type="dxa"/>
            <w:gridSpan w:val="3"/>
          </w:tcPr>
          <w:p>
            <w:pPr>
              <w:spacing w:line="300" w:lineRule="auto"/>
              <w:rPr>
                <w:b/>
                <w:bCs/>
                <w:szCs w:val="21"/>
              </w:rPr>
            </w:pPr>
            <w:r>
              <w:rPr>
                <w:b/>
                <w:bCs/>
                <w:szCs w:val="21"/>
              </w:rPr>
              <w:t>适用专业：</w:t>
            </w:r>
            <w:r>
              <w:rPr>
                <w:b/>
                <w:bCs/>
                <w:color w:val="000000" w:themeColor="text1"/>
                <w:szCs w:val="21"/>
                <w14:textFill>
                  <w14:solidFill>
                    <w14:schemeClr w14:val="tx1"/>
                  </w14:solidFill>
                </w14:textFill>
              </w:rPr>
              <w:t>园艺</w:t>
            </w:r>
          </w:p>
        </w:tc>
      </w:tr>
      <w:tr>
        <w:tblPrEx>
          <w:tblCellMar>
            <w:top w:w="0" w:type="dxa"/>
            <w:left w:w="108" w:type="dxa"/>
            <w:bottom w:w="0" w:type="dxa"/>
            <w:right w:w="108" w:type="dxa"/>
          </w:tblCellMar>
        </w:tblPrEx>
        <w:tc>
          <w:tcPr>
            <w:tcW w:w="9116" w:type="dxa"/>
            <w:gridSpan w:val="3"/>
          </w:tcPr>
          <w:p>
            <w:pPr>
              <w:spacing w:line="300" w:lineRule="auto"/>
              <w:rPr>
                <w:b/>
                <w:bCs/>
                <w:szCs w:val="21"/>
              </w:rPr>
            </w:pPr>
            <w:r>
              <w:rPr>
                <w:b/>
                <w:bCs/>
              </w:rPr>
              <w:t>对先修的要求：植物生理学、植物学、</w:t>
            </w:r>
            <w:r>
              <w:rPr>
                <w:b/>
                <w:bCs/>
                <w:color w:val="000000" w:themeColor="text1"/>
                <w14:textFill>
                  <w14:solidFill>
                    <w14:schemeClr w14:val="tx1"/>
                  </w14:solidFill>
                </w14:textFill>
              </w:rPr>
              <w:t>农业气象学、设施园艺学</w:t>
            </w:r>
          </w:p>
          <w:p>
            <w:pPr>
              <w:spacing w:line="300" w:lineRule="auto"/>
              <w:rPr>
                <w:b/>
                <w:bCs/>
                <w:szCs w:val="21"/>
              </w:rPr>
            </w:pPr>
            <w:r>
              <w:rPr>
                <w:b/>
                <w:bCs/>
                <w:szCs w:val="21"/>
              </w:rPr>
              <w:t>对后续的支撑：</w:t>
            </w:r>
            <w:r>
              <w:rPr>
                <w:b/>
                <w:bCs/>
                <w:color w:val="000000" w:themeColor="text1"/>
                <w:szCs w:val="21"/>
                <w14:textFill>
                  <w14:solidFill>
                    <w14:schemeClr w14:val="tx1"/>
                  </w14:solidFill>
                </w14:textFill>
              </w:rPr>
              <w:t>对后续的《智慧园艺》、《设施装备与智能化》等选修课程中的农业智能化、自动化、信息化、智慧园艺、信息管理技术要点提供理论和技术支撑。</w:t>
            </w:r>
          </w:p>
        </w:tc>
      </w:tr>
      <w:tr>
        <w:tblPrEx>
          <w:tblCellMar>
            <w:top w:w="0" w:type="dxa"/>
            <w:left w:w="108" w:type="dxa"/>
            <w:bottom w:w="0" w:type="dxa"/>
            <w:right w:w="108" w:type="dxa"/>
          </w:tblCellMar>
        </w:tblPrEx>
        <w:tc>
          <w:tcPr>
            <w:tcW w:w="3038" w:type="dxa"/>
          </w:tcPr>
          <w:p>
            <w:pPr>
              <w:spacing w:line="300" w:lineRule="auto"/>
              <w:rPr>
                <w:b/>
                <w:bCs/>
                <w:szCs w:val="21"/>
              </w:rPr>
            </w:pPr>
            <w:r>
              <w:rPr>
                <w:b/>
                <w:bCs/>
                <w:szCs w:val="21"/>
              </w:rPr>
              <w:t>主撰人：</w:t>
            </w:r>
            <w:r>
              <w:rPr>
                <w:b/>
                <w:bCs/>
                <w:color w:val="000000" w:themeColor="text1"/>
                <w:szCs w:val="21"/>
                <w14:textFill>
                  <w14:solidFill>
                    <w14:schemeClr w14:val="tx1"/>
                  </w14:solidFill>
                </w14:textFill>
              </w:rPr>
              <w:t>毛文文</w:t>
            </w:r>
          </w:p>
        </w:tc>
        <w:tc>
          <w:tcPr>
            <w:tcW w:w="2649" w:type="dxa"/>
          </w:tcPr>
          <w:p>
            <w:pPr>
              <w:spacing w:line="300" w:lineRule="auto"/>
              <w:rPr>
                <w:b/>
                <w:bCs/>
                <w:szCs w:val="21"/>
              </w:rPr>
            </w:pPr>
            <w:r>
              <w:rPr>
                <w:b/>
                <w:bCs/>
                <w:szCs w:val="21"/>
              </w:rPr>
              <w:t>审核人：何畅</w:t>
            </w:r>
          </w:p>
        </w:tc>
        <w:tc>
          <w:tcPr>
            <w:tcW w:w="3429" w:type="dxa"/>
          </w:tcPr>
          <w:p>
            <w:pPr>
              <w:spacing w:line="300" w:lineRule="auto"/>
              <w:rPr>
                <w:b/>
                <w:bCs/>
                <w:szCs w:val="21"/>
              </w:rPr>
            </w:pPr>
            <w:r>
              <w:rPr>
                <w:b/>
                <w:bCs/>
                <w:szCs w:val="21"/>
              </w:rPr>
              <w:t>大纲制定（修订）日期：</w:t>
            </w:r>
            <w:r>
              <w:rPr>
                <w:rFonts w:hint="eastAsia"/>
                <w:b/>
                <w:bCs/>
                <w:color w:val="000000" w:themeColor="text1"/>
                <w:szCs w:val="21"/>
                <w14:textFill>
                  <w14:solidFill>
                    <w14:schemeClr w14:val="tx1"/>
                  </w14:solidFill>
                </w14:textFill>
              </w:rPr>
              <w:t>2023.05</w:t>
            </w:r>
          </w:p>
        </w:tc>
      </w:tr>
    </w:tbl>
    <w:p>
      <w:pPr>
        <w:widowControl/>
        <w:snapToGrid w:val="0"/>
        <w:spacing w:line="360" w:lineRule="auto"/>
        <w:jc w:val="left"/>
        <w:rPr>
          <w:b/>
          <w:bCs/>
          <w:kern w:val="0"/>
          <w:szCs w:val="21"/>
        </w:rPr>
      </w:pPr>
    </w:p>
    <w:p>
      <w:pPr>
        <w:pStyle w:val="3"/>
        <w:spacing w:before="0" w:after="0" w:line="360" w:lineRule="auto"/>
        <w:rPr>
          <w:sz w:val="21"/>
          <w:szCs w:val="21"/>
        </w:rPr>
      </w:pPr>
      <w:bookmarkStart w:id="439" w:name="_Toc138076095"/>
      <w:bookmarkStart w:id="440" w:name="_Toc138076344"/>
      <w:bookmarkStart w:id="441" w:name="_Toc32553"/>
      <w:bookmarkStart w:id="442" w:name="_Toc138076639"/>
      <w:r>
        <w:rPr>
          <w:sz w:val="21"/>
          <w:szCs w:val="21"/>
        </w:rPr>
        <w:t>一、课程的教学理念、性质、目标和任务</w:t>
      </w:r>
      <w:bookmarkEnd w:id="439"/>
      <w:bookmarkEnd w:id="440"/>
      <w:bookmarkEnd w:id="441"/>
      <w:bookmarkEnd w:id="442"/>
    </w:p>
    <w:p>
      <w:pPr>
        <w:spacing w:line="360" w:lineRule="auto"/>
        <w:ind w:firstLine="420" w:firstLineChars="200"/>
        <w:rPr>
          <w:color w:val="262600"/>
        </w:rPr>
      </w:pPr>
      <w:r>
        <w:rPr>
          <w:color w:val="262600"/>
        </w:rPr>
        <w:t>《农业信息技术》是园艺本科专业的选修课程之一，是一门现代信息科学技术迅猛发展和农业产业内部需求结合的新兴交叉学科。通过本课程的学习，要求学生初步了解并掌握农业信息技术的基本理论和技术体系、农业信息采集与处理、农业数据库系统、农业数据分析等内容，具备利用现代化信息技术对传统农业进行改造的思想和能力，是园艺专业应当掌握的一门重要的专业选修课。</w:t>
      </w:r>
    </w:p>
    <w:p>
      <w:pPr>
        <w:spacing w:line="360" w:lineRule="auto"/>
        <w:ind w:firstLine="420" w:firstLineChars="200"/>
        <w:rPr>
          <w:color w:val="262600"/>
        </w:rPr>
      </w:pPr>
      <w:r>
        <w:rPr>
          <w:color w:val="262600"/>
        </w:rPr>
        <w:t>在教学理念上，本课程立足“乡村振兴”举措和“科技兴农”战略，课程教学以学生为中心，根据学生身心发展和信息技术学习特点，激发学生的主动意识和进取精神，倡导自主、合作、探究的学习方式，注重学科渗透、学科交叉，坚持立德树人根本任务，培养德、智、体、美、劳全面发展，具有一定的科学文化水平和较强的专业应用能力的新型交叉农业人才。</w:t>
      </w:r>
    </w:p>
    <w:p>
      <w:pPr>
        <w:pStyle w:val="3"/>
        <w:spacing w:before="0" w:after="0" w:line="360" w:lineRule="auto"/>
        <w:rPr>
          <w:sz w:val="21"/>
          <w:szCs w:val="21"/>
        </w:rPr>
      </w:pPr>
      <w:bookmarkStart w:id="443" w:name="_Toc138076096"/>
      <w:bookmarkStart w:id="444" w:name="_Toc138076640"/>
      <w:bookmarkStart w:id="445" w:name="_Toc11913"/>
      <w:bookmarkStart w:id="446" w:name="_Toc138076345"/>
      <w:r>
        <w:rPr>
          <w:sz w:val="21"/>
          <w:szCs w:val="21"/>
        </w:rPr>
        <w:t>二、课程教学的基本要求</w:t>
      </w:r>
      <w:bookmarkEnd w:id="443"/>
      <w:bookmarkEnd w:id="444"/>
      <w:bookmarkEnd w:id="445"/>
      <w:bookmarkEnd w:id="446"/>
    </w:p>
    <w:p>
      <w:pPr>
        <w:spacing w:line="360" w:lineRule="auto"/>
        <w:ind w:firstLine="420" w:firstLineChars="200"/>
        <w:rPr>
          <w:kern w:val="0"/>
          <w:szCs w:val="21"/>
        </w:rPr>
      </w:pPr>
      <w:r>
        <w:rPr>
          <w:kern w:val="0"/>
          <w:szCs w:val="21"/>
        </w:rPr>
        <w:t>1.理论知识方面：</w:t>
      </w:r>
    </w:p>
    <w:p>
      <w:pPr>
        <w:spacing w:line="360" w:lineRule="auto"/>
        <w:ind w:firstLine="420" w:firstLineChars="200"/>
        <w:rPr>
          <w:color w:val="262600"/>
        </w:rPr>
      </w:pPr>
      <w:r>
        <w:rPr>
          <w:color w:val="262600"/>
        </w:rPr>
        <w:t>了解农业信息技术的基本内涵、主要研究内容及发展趋势，理解现代农业信息技术的基本理论和技术体系，掌握各类信息技术基本原理，具备利用信息技术理论分析和理解实际问题的能力。</w:t>
      </w:r>
    </w:p>
    <w:p>
      <w:pPr>
        <w:spacing w:line="360" w:lineRule="auto"/>
        <w:ind w:firstLine="420" w:firstLineChars="200"/>
        <w:rPr>
          <w:kern w:val="0"/>
          <w:szCs w:val="21"/>
        </w:rPr>
      </w:pPr>
      <w:r>
        <w:rPr>
          <w:kern w:val="0"/>
          <w:szCs w:val="21"/>
        </w:rPr>
        <w:t>2.操作技能方面：</w:t>
      </w:r>
    </w:p>
    <w:p>
      <w:pPr>
        <w:spacing w:line="360" w:lineRule="auto"/>
        <w:ind w:firstLine="420" w:firstLineChars="200"/>
        <w:rPr>
          <w:color w:val="262600"/>
        </w:rPr>
      </w:pPr>
      <w:r>
        <w:rPr>
          <w:kern w:val="0"/>
          <w:szCs w:val="21"/>
        </w:rPr>
        <w:t>要求学生能够利用所学知识，掌握相关分析软件、农业数据库、以及农业专家系统平台的使用。</w:t>
      </w:r>
    </w:p>
    <w:p>
      <w:pPr>
        <w:pStyle w:val="3"/>
        <w:spacing w:before="0" w:after="0" w:line="360" w:lineRule="auto"/>
        <w:rPr>
          <w:sz w:val="21"/>
          <w:szCs w:val="21"/>
        </w:rPr>
      </w:pPr>
      <w:bookmarkStart w:id="447" w:name="_Toc138076641"/>
      <w:bookmarkStart w:id="448" w:name="_Toc138076346"/>
      <w:bookmarkStart w:id="449" w:name="_Toc138076097"/>
      <w:bookmarkStart w:id="450" w:name="_Toc17282"/>
      <w:r>
        <w:rPr>
          <w:sz w:val="21"/>
          <w:szCs w:val="21"/>
        </w:rPr>
        <w:t>三、课程的教学设计</w:t>
      </w:r>
      <w:bookmarkEnd w:id="447"/>
      <w:bookmarkEnd w:id="448"/>
      <w:bookmarkEnd w:id="449"/>
      <w:bookmarkEnd w:id="450"/>
    </w:p>
    <w:p>
      <w:pPr>
        <w:autoSpaceDE w:val="0"/>
        <w:spacing w:line="360" w:lineRule="auto"/>
        <w:ind w:firstLine="420" w:firstLineChars="20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1.教学设计说明</w:t>
      </w:r>
    </w:p>
    <w:p>
      <w:pPr>
        <w:spacing w:line="360" w:lineRule="auto"/>
        <w:ind w:firstLine="420" w:firstLineChars="200"/>
        <w:rPr>
          <w:color w:val="262600"/>
        </w:rPr>
      </w:pPr>
      <w:r>
        <w:rPr>
          <w:color w:val="262600"/>
        </w:rPr>
        <w:t>课程组按照课程实验教学大纲要求，建立完善的课堂教学体系。以教师为主导、学生为主体的方式授课，采用课堂教学与计算机演示教学相结合的方法，通过多媒体课件教学、演示观摩、课堂提问、互动、案例分析、视频演示、分组汇报、讨论交流等方法，培养学生系统分析问题、交流合作、开拓创新的能力，充分调动学生学习积极性，培养学生独立获取知识的能力、观察问题、发现问题、思考问题、解决问题的能力。</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2.课程目标及对毕业要求的支撑</w:t>
      </w:r>
    </w:p>
    <w:tbl>
      <w:tblPr>
        <w:tblStyle w:val="22"/>
        <w:tblW w:w="8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676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11" w:type="dxa"/>
            <w:tcBorders>
              <w:top w:val="single" w:color="auto" w:sz="4" w:space="0"/>
              <w:left w:val="single" w:color="auto" w:sz="4" w:space="0"/>
              <w:bottom w:val="single" w:color="auto" w:sz="4" w:space="0"/>
              <w:right w:val="single" w:color="auto" w:sz="4" w:space="0"/>
            </w:tcBorders>
            <w:shd w:val="clear" w:color="auto" w:fill="EEECE1"/>
            <w:vAlign w:val="center"/>
          </w:tcPr>
          <w:p>
            <w:pPr>
              <w:spacing w:line="360" w:lineRule="auto"/>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序号</w:t>
            </w:r>
          </w:p>
        </w:tc>
        <w:tc>
          <w:tcPr>
            <w:tcW w:w="6769" w:type="dxa"/>
            <w:tcBorders>
              <w:top w:val="single" w:color="auto" w:sz="4" w:space="0"/>
              <w:left w:val="nil"/>
              <w:bottom w:val="single" w:color="auto" w:sz="4" w:space="0"/>
              <w:right w:val="single" w:color="auto" w:sz="4" w:space="0"/>
            </w:tcBorders>
            <w:shd w:val="clear" w:color="auto" w:fill="EEECE1"/>
            <w:vAlign w:val="center"/>
          </w:tcPr>
          <w:p>
            <w:pPr>
              <w:spacing w:line="360" w:lineRule="auto"/>
              <w:ind w:firstLine="361" w:firstLineChars="20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课程目标</w:t>
            </w:r>
          </w:p>
        </w:tc>
        <w:tc>
          <w:tcPr>
            <w:tcW w:w="1129" w:type="dxa"/>
            <w:tcBorders>
              <w:top w:val="single" w:color="auto" w:sz="4" w:space="0"/>
              <w:left w:val="nil"/>
              <w:bottom w:val="single" w:color="auto" w:sz="4" w:space="0"/>
              <w:right w:val="single" w:color="auto" w:sz="4" w:space="0"/>
            </w:tcBorders>
            <w:shd w:val="clear" w:color="auto" w:fill="EEECE1"/>
            <w:vAlign w:val="center"/>
          </w:tcPr>
          <w:p>
            <w:pPr>
              <w:spacing w:line="360" w:lineRule="auto"/>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1</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目标1：通过课程的学习，掌握农业信息技术的发展现状及趋势，开拓学生改造传统农业的视野</w:t>
            </w:r>
            <w:r>
              <w:rPr>
                <w:rFonts w:hint="eastAsia"/>
                <w:color w:val="000000" w:themeColor="text1"/>
                <w:sz w:val="18"/>
                <w:szCs w:val="18"/>
                <w14:textFill>
                  <w14:solidFill>
                    <w14:schemeClr w14:val="tx1"/>
                  </w14:solidFill>
                </w14:textFill>
              </w:rPr>
              <w:t>，培养学生爱国情怀和民族振兴使命感</w:t>
            </w:r>
            <w:r>
              <w:rPr>
                <w:color w:val="000000" w:themeColor="text1"/>
                <w:sz w:val="18"/>
                <w:szCs w:val="18"/>
                <w14:textFill>
                  <w14:solidFill>
                    <w14:schemeClr w14:val="tx1"/>
                  </w14:solidFill>
                </w14:textFill>
              </w:rPr>
              <w:t>。</w:t>
            </w:r>
          </w:p>
        </w:tc>
        <w:tc>
          <w:tcPr>
            <w:tcW w:w="1129" w:type="dxa"/>
            <w:tcBorders>
              <w:top w:val="single" w:color="auto" w:sz="4" w:space="0"/>
              <w:left w:val="nil"/>
              <w:bottom w:val="single" w:color="auto" w:sz="4" w:space="0"/>
              <w:right w:val="single" w:color="auto" w:sz="4" w:space="0"/>
            </w:tcBorders>
            <w:vAlign w:val="center"/>
          </w:tcPr>
          <w:p>
            <w:pPr>
              <w:spacing w:line="36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2</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themeColor="text1"/>
                <w:sz w:val="18"/>
                <w:szCs w:val="18"/>
                <w:highlight w:val="yellow"/>
                <w14:textFill>
                  <w14:solidFill>
                    <w14:schemeClr w14:val="tx1"/>
                  </w14:solidFill>
                </w14:textFill>
              </w:rPr>
            </w:pPr>
            <w:r>
              <w:rPr>
                <w:color w:val="000000" w:themeColor="text1"/>
                <w:sz w:val="18"/>
                <w:szCs w:val="18"/>
                <w14:textFill>
                  <w14:solidFill>
                    <w14:schemeClr w14:val="tx1"/>
                  </w14:solidFill>
                </w14:textFill>
              </w:rPr>
              <w:t>目标2：通过课程学习，使学生了解农业信息技术的主要内容、应用情况、技术现状，掌握常用农业信息系统的功能和方法，为从事与农业信息技术相关的学习与实践奠定基础。</w:t>
            </w:r>
          </w:p>
        </w:tc>
        <w:tc>
          <w:tcPr>
            <w:tcW w:w="1129" w:type="dxa"/>
            <w:tcBorders>
              <w:top w:val="single" w:color="auto" w:sz="4" w:space="0"/>
              <w:left w:val="nil"/>
              <w:bottom w:val="single" w:color="auto" w:sz="4" w:space="0"/>
              <w:right w:val="single" w:color="auto" w:sz="4" w:space="0"/>
            </w:tcBorders>
            <w:vAlign w:val="center"/>
          </w:tcPr>
          <w:p>
            <w:pPr>
              <w:spacing w:line="36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3</w:t>
            </w:r>
          </w:p>
        </w:tc>
        <w:tc>
          <w:tcPr>
            <w:tcW w:w="6769"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目标3：通过课程学习，使学生具备较强的自我学习能力、沟通表达和协调能力，培养开拓创新能力。</w:t>
            </w:r>
          </w:p>
        </w:tc>
        <w:tc>
          <w:tcPr>
            <w:tcW w:w="1129" w:type="dxa"/>
            <w:tcBorders>
              <w:top w:val="single" w:color="auto" w:sz="4" w:space="0"/>
              <w:left w:val="nil"/>
              <w:bottom w:val="single" w:color="auto" w:sz="4" w:space="0"/>
              <w:right w:val="single" w:color="auto" w:sz="4" w:space="0"/>
            </w:tcBorders>
            <w:vAlign w:val="center"/>
          </w:tcPr>
          <w:p>
            <w:pPr>
              <w:spacing w:line="360" w:lineRule="auto"/>
              <w:jc w:val="center"/>
              <w:rPr>
                <w:rFonts w:eastAsia="等线"/>
                <w:color w:val="000000" w:themeColor="text1"/>
                <w:sz w:val="18"/>
                <w:szCs w:val="18"/>
                <w14:textFill>
                  <w14:solidFill>
                    <w14:schemeClr w14:val="tx1"/>
                  </w14:solidFill>
                </w14:textFill>
              </w:rPr>
            </w:pPr>
            <w:r>
              <w:rPr>
                <w:rFonts w:eastAsia="等线"/>
                <w:color w:val="000000" w:themeColor="text1"/>
                <w:sz w:val="18"/>
                <w:szCs w:val="18"/>
                <w14:textFill>
                  <w14:solidFill>
                    <w14:schemeClr w14:val="tx1"/>
                  </w14:solidFill>
                </w14:textFill>
              </w:rPr>
              <w:t>6</w:t>
            </w:r>
          </w:p>
        </w:tc>
      </w:tr>
    </w:tbl>
    <w:p>
      <w:pPr>
        <w:pStyle w:val="3"/>
        <w:spacing w:before="0" w:after="0" w:line="360" w:lineRule="auto"/>
      </w:pPr>
      <w:bookmarkStart w:id="451" w:name="_Toc138076098"/>
      <w:bookmarkStart w:id="452" w:name="_Toc138076347"/>
      <w:bookmarkStart w:id="453" w:name="_Toc138076642"/>
      <w:bookmarkStart w:id="454" w:name="_Toc13561"/>
      <w:r>
        <w:rPr>
          <w:sz w:val="21"/>
          <w:szCs w:val="21"/>
        </w:rPr>
        <w:t>四、理论教学内容及学时分配（32学时）</w:t>
      </w:r>
      <w:bookmarkEnd w:id="451"/>
      <w:bookmarkEnd w:id="452"/>
      <w:bookmarkEnd w:id="453"/>
      <w:bookmarkEnd w:id="454"/>
    </w:p>
    <w:p>
      <w:pPr>
        <w:spacing w:line="360" w:lineRule="auto"/>
        <w:jc w:val="right"/>
        <w:rPr>
          <w:b/>
          <w:bCs/>
        </w:rPr>
      </w:pPr>
      <w:r>
        <w:rPr>
          <w:b/>
          <w:bCs/>
        </w:rPr>
        <w:t>第一章  绪论                                                   学时数：2</w:t>
      </w:r>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kern w:val="0"/>
          <w:szCs w:val="21"/>
        </w:rPr>
        <w:t>介绍本课程的特点、目的、要求、学习方法和考核方式，让学生初步了解本课程，激发学习兴趣。通过</w:t>
      </w:r>
      <w:r>
        <w:rPr>
          <w:color w:val="262600"/>
        </w:rPr>
        <w:t>农业信息技术的发展背景与形成过程学习，了解国内外农业信息技术发展现状。</w:t>
      </w:r>
    </w:p>
    <w:p>
      <w:pPr>
        <w:pageBreakBefore w:val="0"/>
        <w:kinsoku/>
        <w:wordWrap/>
        <w:overflowPunct/>
        <w:topLinePunct w:val="0"/>
        <w:autoSpaceDE/>
        <w:autoSpaceDN/>
        <w:bidi w:val="0"/>
        <w:adjustRightInd/>
        <w:spacing w:line="360" w:lineRule="auto"/>
        <w:textAlignment w:val="auto"/>
      </w:pPr>
      <w:r>
        <w:rPr>
          <w:b/>
          <w:bCs/>
        </w:rPr>
        <w:t>教学重点和难点</w:t>
      </w:r>
      <w:r>
        <w:t>：</w:t>
      </w:r>
    </w:p>
    <w:p>
      <w:pPr>
        <w:pageBreakBefore w:val="0"/>
        <w:kinsoku/>
        <w:wordWrap/>
        <w:overflowPunct/>
        <w:topLinePunct w:val="0"/>
        <w:autoSpaceDE/>
        <w:autoSpaceDN/>
        <w:bidi w:val="0"/>
        <w:adjustRightInd/>
        <w:spacing w:line="360" w:lineRule="auto"/>
        <w:ind w:firstLine="420" w:firstLineChars="200"/>
        <w:textAlignment w:val="auto"/>
        <w:rPr>
          <w:b/>
          <w:bCs/>
          <w:color w:val="FF0000"/>
        </w:rPr>
      </w:pPr>
      <w:r>
        <w:rPr>
          <w:color w:val="262600"/>
        </w:rPr>
        <w:t>农业信息技术发展历程及其包含内容。</w:t>
      </w:r>
    </w:p>
    <w:p>
      <w:pPr>
        <w:pageBreakBefore w:val="0"/>
        <w:kinsoku/>
        <w:wordWrap/>
        <w:overflowPunct/>
        <w:topLinePunct w:val="0"/>
        <w:autoSpaceDE/>
        <w:autoSpaceDN/>
        <w:bidi w:val="0"/>
        <w:adjustRightInd/>
        <w:spacing w:line="360" w:lineRule="auto"/>
        <w:textAlignment w:val="auto"/>
        <w:rPr>
          <w:color w:val="262600"/>
        </w:rPr>
      </w:pPr>
      <w:r>
        <w:rPr>
          <w:b/>
          <w:bCs/>
        </w:rPr>
        <w:t>主要教学内容及要求</w:t>
      </w:r>
      <w: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本章主要介绍本课程的内容及主要任务、农业信息技术的发展历史、现状，以及在园艺及相关农业领域中的作用。</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要求学生了解农业信息技术的发展历史和现状。</w:t>
      </w:r>
    </w:p>
    <w:p>
      <w:pPr>
        <w:pageBreakBefore w:val="0"/>
        <w:kinsoku/>
        <w:wordWrap/>
        <w:overflowPunct/>
        <w:topLinePunct w:val="0"/>
        <w:autoSpaceDE/>
        <w:autoSpaceDN/>
        <w:bidi w:val="0"/>
        <w:adjustRightInd/>
        <w:spacing w:line="360" w:lineRule="auto"/>
        <w:textAlignment w:val="auto"/>
        <w:rPr>
          <w:b/>
          <w:bCs/>
          <w:szCs w:val="21"/>
        </w:rPr>
      </w:pPr>
      <w:r>
        <w:rPr>
          <w:b/>
          <w:bCs/>
          <w:szCs w:val="21"/>
        </w:rPr>
        <w:t>教学组织与实施：</w:t>
      </w:r>
    </w:p>
    <w:p>
      <w:pPr>
        <w:pageBreakBefore w:val="0"/>
        <w:kinsoku/>
        <w:wordWrap/>
        <w:overflowPunct/>
        <w:topLinePunct w:val="0"/>
        <w:autoSpaceDE/>
        <w:autoSpaceDN/>
        <w:bidi w:val="0"/>
        <w:adjustRightInd/>
        <w:spacing w:line="360" w:lineRule="auto"/>
        <w:ind w:firstLine="420" w:firstLineChars="200"/>
        <w:textAlignment w:val="auto"/>
        <w:rPr>
          <w:szCs w:val="21"/>
        </w:rPr>
      </w:pPr>
      <w:r>
        <w:rPr>
          <w:color w:val="262600"/>
        </w:rPr>
        <w:t>本章是《农业信息技术》课程的第一章节，以激发学生兴趣为主，通过案例分析、数据图例分析法，收集当前农业信息技术的应用，采用图文并茂并结合教学视频的方式展示农业信息技术发展现状，</w:t>
      </w:r>
      <w:r>
        <w:rPr>
          <w:kern w:val="0"/>
          <w:szCs w:val="21"/>
        </w:rPr>
        <w:t>开展政治认同和家国情怀的教学。</w:t>
      </w:r>
    </w:p>
    <w:p>
      <w:pPr>
        <w:pStyle w:val="4"/>
        <w:pageBreakBefore w:val="0"/>
        <w:kinsoku/>
        <w:wordWrap/>
        <w:overflowPunct/>
        <w:topLinePunct w:val="0"/>
        <w:autoSpaceDE/>
        <w:autoSpaceDN/>
        <w:bidi w:val="0"/>
        <w:adjustRightInd/>
        <w:spacing w:before="0" w:after="0" w:line="360" w:lineRule="auto"/>
        <w:ind w:firstLine="1476" w:firstLineChars="700"/>
        <w:textAlignment w:val="auto"/>
        <w:rPr>
          <w:sz w:val="21"/>
          <w:szCs w:val="21"/>
        </w:rPr>
      </w:pPr>
      <w:bookmarkStart w:id="455" w:name="_Toc16995"/>
      <w:bookmarkStart w:id="456" w:name="_Toc138076348"/>
      <w:bookmarkStart w:id="457" w:name="_Toc138076643"/>
      <w:bookmarkStart w:id="458" w:name="_Toc138076099"/>
      <w:r>
        <w:rPr>
          <w:sz w:val="21"/>
          <w:szCs w:val="21"/>
        </w:rPr>
        <w:t>第二章  农业信息技术概述                                      学时数：2</w:t>
      </w:r>
      <w:bookmarkEnd w:id="455"/>
      <w:bookmarkEnd w:id="456"/>
      <w:bookmarkEnd w:id="457"/>
      <w:bookmarkEnd w:id="458"/>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通过对农业信息技术的概念、国内外农业信息技术发展现状、“数字农业”技术的学习，为农业信息技术的学习奠定基础。</w:t>
      </w:r>
    </w:p>
    <w:p>
      <w:pPr>
        <w:pageBreakBefore w:val="0"/>
        <w:kinsoku/>
        <w:wordWrap/>
        <w:overflowPunct/>
        <w:topLinePunct w:val="0"/>
        <w:autoSpaceDE/>
        <w:autoSpaceDN/>
        <w:bidi w:val="0"/>
        <w:adjustRightInd/>
        <w:spacing w:line="360" w:lineRule="auto"/>
        <w:textAlignment w:val="auto"/>
        <w:rPr>
          <w:color w:val="262600"/>
        </w:rPr>
      </w:pPr>
      <w:r>
        <w:rPr>
          <w:b/>
          <w:bCs/>
        </w:rPr>
        <w:t>教学重点和难点</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农业信息技术的概念，数字地球的含义。</w:t>
      </w:r>
    </w:p>
    <w:p>
      <w:pPr>
        <w:pageBreakBefore w:val="0"/>
        <w:kinsoku/>
        <w:wordWrap/>
        <w:overflowPunct/>
        <w:topLinePunct w:val="0"/>
        <w:autoSpaceDE/>
        <w:autoSpaceDN/>
        <w:bidi w:val="0"/>
        <w:adjustRightInd/>
        <w:spacing w:line="360" w:lineRule="auto"/>
        <w:textAlignment w:val="auto"/>
        <w:rPr>
          <w:color w:val="262600"/>
        </w:rPr>
      </w:pPr>
      <w:r>
        <w:rPr>
          <w:b/>
          <w:bCs/>
        </w:rPr>
        <w:t>主要教学内容及要求</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bookmarkStart w:id="459" w:name="_Hlk138023730"/>
      <w:r>
        <w:rPr>
          <w:color w:val="262600"/>
        </w:rPr>
        <w:t>本章主要简述农业信息技术的概念、现代信息技术内容、“数字地球”的基本概念与发展现状。</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要求学生掌握农业信息技术的定义、内涵与基本特征，了解农业信息技术研究的关键技术，了解农业信息技术的地位与作用。</w:t>
      </w:r>
    </w:p>
    <w:bookmarkEnd w:id="459"/>
    <w:p>
      <w:pPr>
        <w:pageBreakBefore w:val="0"/>
        <w:kinsoku/>
        <w:wordWrap/>
        <w:overflowPunct/>
        <w:topLinePunct w:val="0"/>
        <w:autoSpaceDE/>
        <w:autoSpaceDN/>
        <w:bidi w:val="0"/>
        <w:adjustRightInd/>
        <w:spacing w:line="360" w:lineRule="auto"/>
        <w:textAlignment w:val="auto"/>
        <w:rPr>
          <w:b/>
          <w:bCs/>
          <w:szCs w:val="21"/>
        </w:rPr>
      </w:pPr>
      <w:r>
        <w:rPr>
          <w:b/>
          <w:bCs/>
          <w:szCs w:val="21"/>
        </w:rPr>
        <w:t>教学组织与实施：</w:t>
      </w:r>
    </w:p>
    <w:p>
      <w:pPr>
        <w:pageBreakBefore w:val="0"/>
        <w:kinsoku/>
        <w:wordWrap/>
        <w:overflowPunct/>
        <w:topLinePunct w:val="0"/>
        <w:autoSpaceDE/>
        <w:autoSpaceDN/>
        <w:bidi w:val="0"/>
        <w:adjustRightInd/>
        <w:spacing w:line="360" w:lineRule="auto"/>
        <w:ind w:firstLine="420" w:firstLineChars="200"/>
        <w:textAlignment w:val="auto"/>
        <w:rPr>
          <w:szCs w:val="21"/>
        </w:rPr>
      </w:pPr>
      <w:r>
        <w:rPr>
          <w:szCs w:val="21"/>
        </w:rPr>
        <w:t>本章是农业信息技术的基础知识，课程教学过程中通过引导学生思考总结农业信息技术的特点，并充分</w:t>
      </w:r>
      <w:r>
        <w:t>利用图片和动画，</w:t>
      </w:r>
      <w:r>
        <w:rPr>
          <w:color w:val="262600"/>
        </w:rPr>
        <w:t>采用图文并茂并结合教学视频的方式讲授本章内容，</w:t>
      </w:r>
      <w:r>
        <w:t>让授课内容更加生动。</w:t>
      </w:r>
    </w:p>
    <w:p>
      <w:pPr>
        <w:pStyle w:val="4"/>
        <w:pageBreakBefore w:val="0"/>
        <w:kinsoku/>
        <w:wordWrap/>
        <w:overflowPunct/>
        <w:topLinePunct w:val="0"/>
        <w:autoSpaceDE/>
        <w:autoSpaceDN/>
        <w:bidi w:val="0"/>
        <w:adjustRightInd/>
        <w:spacing w:before="0" w:after="0" w:line="360" w:lineRule="auto"/>
        <w:ind w:firstLine="1687" w:firstLineChars="800"/>
        <w:textAlignment w:val="auto"/>
        <w:rPr>
          <w:sz w:val="21"/>
          <w:szCs w:val="21"/>
        </w:rPr>
      </w:pPr>
      <w:bookmarkStart w:id="460" w:name="_Toc138076349"/>
      <w:bookmarkStart w:id="461" w:name="_Toc138076644"/>
      <w:bookmarkStart w:id="462" w:name="_Toc23524"/>
      <w:bookmarkStart w:id="463" w:name="_Toc138076100"/>
      <w:r>
        <w:rPr>
          <w:sz w:val="21"/>
          <w:szCs w:val="21"/>
        </w:rPr>
        <w:t>第三章  农业信息采集                                        学时数：4</w:t>
      </w:r>
      <w:bookmarkEnd w:id="460"/>
      <w:bookmarkEnd w:id="461"/>
      <w:bookmarkEnd w:id="462"/>
      <w:bookmarkEnd w:id="463"/>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bookmarkStart w:id="464" w:name="_Hlk138023954"/>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了解田间生物、气象、土壤信息采集仪器的一般原理</w:t>
      </w:r>
      <w:bookmarkEnd w:id="464"/>
      <w:r>
        <w:rPr>
          <w:color w:val="262600"/>
        </w:rPr>
        <w:t>，掌握其使用方法，了解设施园艺中的信息采集过程。</w:t>
      </w:r>
    </w:p>
    <w:p>
      <w:pPr>
        <w:pageBreakBefore w:val="0"/>
        <w:kinsoku/>
        <w:wordWrap/>
        <w:overflowPunct/>
        <w:topLinePunct w:val="0"/>
        <w:autoSpaceDE/>
        <w:autoSpaceDN/>
        <w:bidi w:val="0"/>
        <w:adjustRightInd/>
        <w:spacing w:line="360" w:lineRule="auto"/>
        <w:textAlignment w:val="auto"/>
        <w:rPr>
          <w:color w:val="262600"/>
        </w:rPr>
      </w:pPr>
      <w:r>
        <w:rPr>
          <w:b/>
          <w:bCs/>
        </w:rPr>
        <w:t>教学重点和难点</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计算机数据采集管理系统的结构和功能是本章的重点，各类信息技术采集与处理的方法和原理是本章的难点。</w:t>
      </w:r>
    </w:p>
    <w:p>
      <w:pPr>
        <w:pageBreakBefore w:val="0"/>
        <w:kinsoku/>
        <w:wordWrap/>
        <w:overflowPunct/>
        <w:topLinePunct w:val="0"/>
        <w:autoSpaceDE/>
        <w:autoSpaceDN/>
        <w:bidi w:val="0"/>
        <w:adjustRightInd/>
        <w:spacing w:line="360" w:lineRule="auto"/>
        <w:textAlignment w:val="auto"/>
        <w:rPr>
          <w:color w:val="262600"/>
        </w:rPr>
      </w:pPr>
      <w:r>
        <w:rPr>
          <w:b/>
          <w:bCs/>
        </w:rPr>
        <w:t>主要教学内容及要求</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本章主要概述计算机数据采集管理系统，农田生物信息、气候信息、土壤信息的采集与处理，数字图像与数字信号的一般原理，以及农业信息采集的过程。</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要求学生了解田间生物、气象、土壤信息采集仪器的一般原理，掌握田间生物、气象、土壤信息采集仪器的使用方法。</w:t>
      </w:r>
    </w:p>
    <w:p>
      <w:pPr>
        <w:pageBreakBefore w:val="0"/>
        <w:kinsoku/>
        <w:wordWrap/>
        <w:overflowPunct/>
        <w:topLinePunct w:val="0"/>
        <w:autoSpaceDE/>
        <w:autoSpaceDN/>
        <w:bidi w:val="0"/>
        <w:adjustRightInd/>
        <w:spacing w:line="360" w:lineRule="auto"/>
        <w:textAlignment w:val="auto"/>
        <w:rPr>
          <w:b/>
          <w:bCs/>
          <w:szCs w:val="21"/>
        </w:rPr>
      </w:pPr>
      <w:r>
        <w:rPr>
          <w:b/>
          <w:bCs/>
          <w:szCs w:val="21"/>
        </w:rPr>
        <w:t>教学组织与实施：</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szCs w:val="21"/>
        </w:rPr>
        <w:t>通过</w:t>
      </w:r>
      <w:r>
        <w:rPr>
          <w:color w:val="262600"/>
        </w:rPr>
        <w:t>图文并茂并结合视频演示，让学生在课堂中观察、体会田间生物、气象、土壤信息采集仪器的使用方法，掌握和熟悉各种仪器的原理及使用方法，结合课堂作业和提问互动增强学生掌握重点内容。</w:t>
      </w:r>
    </w:p>
    <w:p>
      <w:pPr>
        <w:pStyle w:val="4"/>
        <w:pageBreakBefore w:val="0"/>
        <w:kinsoku/>
        <w:wordWrap/>
        <w:overflowPunct/>
        <w:topLinePunct w:val="0"/>
        <w:autoSpaceDE/>
        <w:autoSpaceDN/>
        <w:bidi w:val="0"/>
        <w:adjustRightInd/>
        <w:spacing w:before="0" w:after="0" w:line="360" w:lineRule="auto"/>
        <w:ind w:firstLine="1476" w:firstLineChars="700"/>
        <w:textAlignment w:val="auto"/>
        <w:rPr>
          <w:sz w:val="21"/>
          <w:szCs w:val="21"/>
        </w:rPr>
      </w:pPr>
      <w:bookmarkStart w:id="465" w:name="_Toc138076645"/>
      <w:bookmarkStart w:id="466" w:name="_Toc138076101"/>
      <w:bookmarkStart w:id="467" w:name="_Toc138076350"/>
      <w:bookmarkStart w:id="468" w:name="_Toc21650"/>
      <w:r>
        <w:rPr>
          <w:sz w:val="21"/>
          <w:szCs w:val="21"/>
        </w:rPr>
        <w:t>第四章  农业数据库系统                                        学时数：4</w:t>
      </w:r>
      <w:bookmarkEnd w:id="465"/>
      <w:bookmarkEnd w:id="466"/>
      <w:bookmarkEnd w:id="467"/>
      <w:bookmarkEnd w:id="468"/>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通过对农业数据库系统的学习，了解数据库数据与数据组织方法，数据库系统的构成，掌握国内外农业数据库及农业信息网络发展状况及发展趋势。</w:t>
      </w:r>
    </w:p>
    <w:p>
      <w:pPr>
        <w:pageBreakBefore w:val="0"/>
        <w:kinsoku/>
        <w:wordWrap/>
        <w:overflowPunct/>
        <w:topLinePunct w:val="0"/>
        <w:autoSpaceDE/>
        <w:autoSpaceDN/>
        <w:bidi w:val="0"/>
        <w:adjustRightInd/>
        <w:spacing w:line="360" w:lineRule="auto"/>
        <w:textAlignment w:val="auto"/>
        <w:rPr>
          <w:color w:val="262600"/>
        </w:rPr>
      </w:pPr>
      <w:r>
        <w:rPr>
          <w:b/>
          <w:bCs/>
        </w:rPr>
        <w:t>教学重点和难点</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数据库系统概述及构成，数据库管理系统（DBMS）。</w:t>
      </w:r>
    </w:p>
    <w:p>
      <w:pPr>
        <w:pageBreakBefore w:val="0"/>
        <w:kinsoku/>
        <w:wordWrap/>
        <w:overflowPunct/>
        <w:topLinePunct w:val="0"/>
        <w:autoSpaceDE/>
        <w:autoSpaceDN/>
        <w:bidi w:val="0"/>
        <w:adjustRightInd/>
        <w:spacing w:line="360" w:lineRule="auto"/>
        <w:textAlignment w:val="auto"/>
        <w:rPr>
          <w:color w:val="262600"/>
        </w:rPr>
      </w:pPr>
      <w:r>
        <w:rPr>
          <w:b/>
          <w:bCs/>
        </w:rPr>
        <w:t>主要教学内容及要求</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本章主要概述</w:t>
      </w:r>
      <w:r>
        <w:rPr>
          <w:color w:val="000000"/>
          <w:szCs w:val="21"/>
          <w:shd w:val="clear" w:color="auto" w:fill="FFFFFF"/>
        </w:rPr>
        <w:t>数据库系统：信息、数据与数据处理，数据库系统的构成，数据库管理系统（DBMS），数据模型</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要求学生理解农业数据库、农业信息网络、农业信息系统以及三者之间的关系，了解数据库数据与数据组织方法、数据库系统的构成，掌握世界大型农业数据库的基本情况，对国内外农业数据库及农业信息网络的发展状况及发展趋势有一定的认识。</w:t>
      </w:r>
    </w:p>
    <w:p>
      <w:pPr>
        <w:pageBreakBefore w:val="0"/>
        <w:kinsoku/>
        <w:wordWrap/>
        <w:overflowPunct/>
        <w:topLinePunct w:val="0"/>
        <w:autoSpaceDE/>
        <w:autoSpaceDN/>
        <w:bidi w:val="0"/>
        <w:adjustRightInd/>
        <w:spacing w:line="360" w:lineRule="auto"/>
        <w:textAlignment w:val="auto"/>
        <w:rPr>
          <w:b/>
          <w:bCs/>
          <w:szCs w:val="21"/>
        </w:rPr>
      </w:pPr>
      <w:r>
        <w:rPr>
          <w:b/>
          <w:bCs/>
          <w:szCs w:val="21"/>
        </w:rPr>
        <w:t>教学组织与实施：</w:t>
      </w:r>
    </w:p>
    <w:p>
      <w:pPr>
        <w:pageBreakBefore w:val="0"/>
        <w:kinsoku/>
        <w:wordWrap/>
        <w:overflowPunct/>
        <w:topLinePunct w:val="0"/>
        <w:autoSpaceDE/>
        <w:autoSpaceDN/>
        <w:bidi w:val="0"/>
        <w:adjustRightInd/>
        <w:spacing w:line="360" w:lineRule="auto"/>
        <w:ind w:firstLine="420" w:firstLineChars="200"/>
        <w:textAlignment w:val="auto"/>
        <w:rPr>
          <w:b/>
          <w:bCs/>
          <w:kern w:val="0"/>
          <w:szCs w:val="21"/>
        </w:rPr>
      </w:pPr>
      <w:r>
        <w:rPr>
          <w:szCs w:val="21"/>
        </w:rPr>
        <w:t>本章内容</w:t>
      </w:r>
      <w:r>
        <w:rPr>
          <w:color w:val="262600"/>
        </w:rPr>
        <w:t>以课堂讲授为主，结合案例分析法，展示国内外农业数据库；并结合课堂提问互动测试学生掌握情况。</w:t>
      </w:r>
    </w:p>
    <w:p>
      <w:pPr>
        <w:pStyle w:val="4"/>
        <w:pageBreakBefore w:val="0"/>
        <w:kinsoku/>
        <w:wordWrap/>
        <w:overflowPunct/>
        <w:topLinePunct w:val="0"/>
        <w:autoSpaceDE/>
        <w:autoSpaceDN/>
        <w:bidi w:val="0"/>
        <w:adjustRightInd/>
        <w:spacing w:before="0" w:after="0" w:line="360" w:lineRule="auto"/>
        <w:ind w:firstLine="1476" w:firstLineChars="700"/>
        <w:textAlignment w:val="auto"/>
        <w:rPr>
          <w:sz w:val="21"/>
          <w:szCs w:val="21"/>
        </w:rPr>
      </w:pPr>
      <w:bookmarkStart w:id="469" w:name="_Toc138076102"/>
      <w:bookmarkStart w:id="470" w:name="_Toc138076646"/>
      <w:bookmarkStart w:id="471" w:name="_Toc15271"/>
      <w:bookmarkStart w:id="472" w:name="_Toc138076351"/>
      <w:r>
        <w:rPr>
          <w:sz w:val="21"/>
          <w:szCs w:val="21"/>
        </w:rPr>
        <w:t>第五章  农业遥感监测                                         学时数：4</w:t>
      </w:r>
      <w:bookmarkEnd w:id="469"/>
      <w:bookmarkEnd w:id="470"/>
      <w:bookmarkEnd w:id="471"/>
      <w:bookmarkEnd w:id="472"/>
    </w:p>
    <w:p>
      <w:pPr>
        <w:pageBreakBefore w:val="0"/>
        <w:kinsoku/>
        <w:wordWrap/>
        <w:overflowPunct/>
        <w:topLinePunct w:val="0"/>
        <w:autoSpaceDE/>
        <w:autoSpaceDN/>
        <w:bidi w:val="0"/>
        <w:adjustRightInd/>
        <w:spacing w:line="360" w:lineRule="auto"/>
        <w:textAlignment w:val="auto"/>
      </w:pPr>
      <w:r>
        <w:rPr>
          <w:b/>
          <w:bCs/>
        </w:rPr>
        <w:t>教学目标</w:t>
      </w:r>
      <w:r>
        <w:t>：</w:t>
      </w:r>
    </w:p>
    <w:p>
      <w:pPr>
        <w:pageBreakBefore w:val="0"/>
        <w:kinsoku/>
        <w:wordWrap/>
        <w:overflowPunct/>
        <w:topLinePunct w:val="0"/>
        <w:autoSpaceDE/>
        <w:autoSpaceDN/>
        <w:bidi w:val="0"/>
        <w:adjustRightInd/>
        <w:spacing w:line="360" w:lineRule="auto"/>
        <w:ind w:firstLine="420" w:firstLineChars="200"/>
        <w:textAlignment w:val="auto"/>
      </w:pPr>
      <w:r>
        <w:t>通过对农业遥感技术相关概念、分类、系统的理论学习，为遥感技术在园艺领域的应用开发奠定理论基础。</w:t>
      </w:r>
    </w:p>
    <w:p>
      <w:pPr>
        <w:pageBreakBefore w:val="0"/>
        <w:kinsoku/>
        <w:wordWrap/>
        <w:overflowPunct/>
        <w:topLinePunct w:val="0"/>
        <w:autoSpaceDE/>
        <w:autoSpaceDN/>
        <w:bidi w:val="0"/>
        <w:adjustRightInd/>
        <w:spacing w:line="360" w:lineRule="auto"/>
        <w:textAlignment w:val="auto"/>
      </w:pPr>
      <w:r>
        <w:rPr>
          <w:b/>
          <w:bCs/>
        </w:rPr>
        <w:t>教学重点和难点</w:t>
      </w:r>
      <w:r>
        <w:t>：</w:t>
      </w:r>
    </w:p>
    <w:p>
      <w:pPr>
        <w:pageBreakBefore w:val="0"/>
        <w:kinsoku/>
        <w:wordWrap/>
        <w:overflowPunct/>
        <w:topLinePunct w:val="0"/>
        <w:autoSpaceDE/>
        <w:autoSpaceDN/>
        <w:bidi w:val="0"/>
        <w:adjustRightInd/>
        <w:spacing w:line="360" w:lineRule="auto"/>
        <w:ind w:firstLine="420" w:firstLineChars="200"/>
        <w:textAlignment w:val="auto"/>
      </w:pPr>
      <w:r>
        <w:t>遥感技术的概念、类型、构成及特点是本章的重点，电磁波普的概念。</w:t>
      </w:r>
    </w:p>
    <w:p>
      <w:pPr>
        <w:pageBreakBefore w:val="0"/>
        <w:kinsoku/>
        <w:wordWrap/>
        <w:overflowPunct/>
        <w:topLinePunct w:val="0"/>
        <w:autoSpaceDE/>
        <w:autoSpaceDN/>
        <w:bidi w:val="0"/>
        <w:adjustRightInd/>
        <w:spacing w:line="360" w:lineRule="auto"/>
        <w:textAlignment w:val="auto"/>
      </w:pPr>
      <w:r>
        <w:rPr>
          <w:b/>
          <w:bCs/>
        </w:rPr>
        <w:t>主要教学内容及要求</w:t>
      </w:r>
      <w: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本章主要讲述遥感技术的概念、遥感技术系统；遥感技术的类型，遥感技术的特点，电磁波谱与地物波谱特征，大气窗口，物体的电磁波反射特性，遥感技术发展与展望与农业领域的应用。</w:t>
      </w:r>
    </w:p>
    <w:p>
      <w:pPr>
        <w:pageBreakBefore w:val="0"/>
        <w:kinsoku/>
        <w:wordWrap/>
        <w:overflowPunct/>
        <w:topLinePunct w:val="0"/>
        <w:autoSpaceDE/>
        <w:autoSpaceDN/>
        <w:bidi w:val="0"/>
        <w:adjustRightInd/>
        <w:spacing w:line="360" w:lineRule="auto"/>
        <w:ind w:firstLine="420" w:firstLineChars="200"/>
        <w:textAlignment w:val="auto"/>
      </w:pPr>
      <w:r>
        <w:rPr>
          <w:color w:val="262600"/>
        </w:rPr>
        <w:t>要求学生了解遥感技术发展史，应用与开发历史与现状，遥感的主要理论依据，农业遥感监测应用实例，掌握遥感概念、分类、系统构成。</w:t>
      </w:r>
    </w:p>
    <w:p>
      <w:pPr>
        <w:pageBreakBefore w:val="0"/>
        <w:kinsoku/>
        <w:wordWrap/>
        <w:overflowPunct/>
        <w:topLinePunct w:val="0"/>
        <w:autoSpaceDE/>
        <w:autoSpaceDN/>
        <w:bidi w:val="0"/>
        <w:adjustRightInd/>
        <w:spacing w:line="360" w:lineRule="auto"/>
        <w:textAlignment w:val="auto"/>
        <w:rPr>
          <w:b/>
          <w:bCs/>
          <w:szCs w:val="21"/>
        </w:rPr>
      </w:pPr>
      <w:r>
        <w:rPr>
          <w:b/>
          <w:bCs/>
          <w:szCs w:val="21"/>
        </w:rPr>
        <w:t>教学组织与实施：</w:t>
      </w:r>
    </w:p>
    <w:p>
      <w:pPr>
        <w:pageBreakBefore w:val="0"/>
        <w:kinsoku/>
        <w:wordWrap/>
        <w:overflowPunct/>
        <w:topLinePunct w:val="0"/>
        <w:autoSpaceDE/>
        <w:autoSpaceDN/>
        <w:bidi w:val="0"/>
        <w:adjustRightInd/>
        <w:spacing w:line="360" w:lineRule="auto"/>
        <w:ind w:firstLine="420" w:firstLineChars="200"/>
        <w:textAlignment w:val="auto"/>
        <w:rPr>
          <w:b/>
          <w:bCs/>
          <w:kern w:val="0"/>
          <w:szCs w:val="21"/>
        </w:rPr>
      </w:pPr>
      <w:r>
        <w:rPr>
          <w:szCs w:val="21"/>
        </w:rPr>
        <w:t>以教师主讲，多媒体演示结合</w:t>
      </w:r>
      <w:r>
        <w:rPr>
          <w:color w:val="262600"/>
        </w:rPr>
        <w:t>案例分析，课堂提问互动培养学生专业学习兴趣。</w:t>
      </w:r>
    </w:p>
    <w:p>
      <w:pPr>
        <w:pStyle w:val="4"/>
        <w:pageBreakBefore w:val="0"/>
        <w:kinsoku/>
        <w:wordWrap/>
        <w:overflowPunct/>
        <w:topLinePunct w:val="0"/>
        <w:autoSpaceDE/>
        <w:autoSpaceDN/>
        <w:bidi w:val="0"/>
        <w:adjustRightInd/>
        <w:spacing w:before="0" w:after="0" w:line="360" w:lineRule="auto"/>
        <w:ind w:firstLine="1265" w:firstLineChars="600"/>
        <w:textAlignment w:val="auto"/>
        <w:rPr>
          <w:sz w:val="21"/>
          <w:szCs w:val="21"/>
        </w:rPr>
      </w:pPr>
      <w:bookmarkStart w:id="473" w:name="_Toc138076103"/>
      <w:bookmarkStart w:id="474" w:name="_Toc138076352"/>
      <w:bookmarkStart w:id="475" w:name="_Toc28924"/>
      <w:bookmarkStart w:id="476" w:name="_Toc138076647"/>
      <w:r>
        <w:rPr>
          <w:sz w:val="21"/>
          <w:szCs w:val="21"/>
        </w:rPr>
        <w:t>第六章  地理信息系统                                         学时数：4</w:t>
      </w:r>
      <w:bookmarkEnd w:id="473"/>
      <w:bookmarkEnd w:id="474"/>
      <w:bookmarkEnd w:id="475"/>
      <w:bookmarkEnd w:id="476"/>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通过对地理信息系统基本概念、构成、原理的学习，为其在农业领域的应用奠定基础。</w:t>
      </w:r>
    </w:p>
    <w:p>
      <w:pPr>
        <w:pageBreakBefore w:val="0"/>
        <w:tabs>
          <w:tab w:val="left" w:pos="4770"/>
        </w:tabs>
        <w:kinsoku/>
        <w:wordWrap/>
        <w:overflowPunct/>
        <w:topLinePunct w:val="0"/>
        <w:autoSpaceDE/>
        <w:autoSpaceDN/>
        <w:bidi w:val="0"/>
        <w:adjustRightInd/>
        <w:spacing w:line="360" w:lineRule="auto"/>
        <w:textAlignment w:val="auto"/>
        <w:rPr>
          <w:color w:val="262600"/>
        </w:rPr>
      </w:pPr>
      <w:r>
        <w:rPr>
          <w:b/>
          <w:bCs/>
        </w:rPr>
        <w:t>教学重点和难点</w:t>
      </w:r>
      <w:r>
        <w:rPr>
          <w:color w:val="262600"/>
        </w:rPr>
        <w:t>：</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r>
        <w:rPr>
          <w:color w:val="262600"/>
        </w:rPr>
        <w:t>地理信息系统的概念、功能与构成，基本原理与数字地图是本章的重点和难点。</w:t>
      </w:r>
    </w:p>
    <w:p>
      <w:pPr>
        <w:pageBreakBefore w:val="0"/>
        <w:kinsoku/>
        <w:wordWrap/>
        <w:overflowPunct/>
        <w:topLinePunct w:val="0"/>
        <w:autoSpaceDE/>
        <w:autoSpaceDN/>
        <w:bidi w:val="0"/>
        <w:adjustRightInd/>
        <w:spacing w:line="360" w:lineRule="auto"/>
        <w:textAlignment w:val="auto"/>
        <w:rPr>
          <w:color w:val="262600"/>
        </w:rPr>
      </w:pPr>
      <w:r>
        <w:rPr>
          <w:b/>
          <w:bCs/>
        </w:rPr>
        <w:t>主要教学内容及要求</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本章主要讲述地理信息系统的定义、产生与发展、功能、类型、主要用途、构成、基本原理，地图的基本原理，数字地图的存储、显示与输出、数据组织与处理方法、数据来源，地理信息系统在农业领域的应用。</w:t>
      </w:r>
    </w:p>
    <w:p>
      <w:pPr>
        <w:pageBreakBefore w:val="0"/>
        <w:kinsoku/>
        <w:wordWrap/>
        <w:overflowPunct/>
        <w:topLinePunct w:val="0"/>
        <w:autoSpaceDE/>
        <w:autoSpaceDN/>
        <w:bidi w:val="0"/>
        <w:adjustRightInd/>
        <w:spacing w:line="360" w:lineRule="auto"/>
        <w:ind w:firstLine="420" w:firstLineChars="200"/>
        <w:textAlignment w:val="auto"/>
      </w:pPr>
      <w:r>
        <w:rPr>
          <w:color w:val="262600"/>
        </w:rPr>
        <w:t>要求学生了解地理信息系统技术发展史，应用与开发历史与现状，主要理论依据，软件系统构成、常用工具软件，掌握地理信息系统的概念、功能和构成，以及其在农业领域的应用实例。</w:t>
      </w:r>
    </w:p>
    <w:p>
      <w:pPr>
        <w:pageBreakBefore w:val="0"/>
        <w:widowControl/>
        <w:kinsoku/>
        <w:wordWrap/>
        <w:overflowPunct/>
        <w:topLinePunct w:val="0"/>
        <w:autoSpaceDE/>
        <w:autoSpaceDN/>
        <w:bidi w:val="0"/>
        <w:adjustRightInd/>
        <w:snapToGrid w:val="0"/>
        <w:spacing w:line="360" w:lineRule="auto"/>
        <w:textAlignment w:val="auto"/>
        <w:rPr>
          <w:b/>
          <w:bCs/>
          <w:szCs w:val="21"/>
        </w:rPr>
      </w:pPr>
      <w:r>
        <w:rPr>
          <w:b/>
          <w:bCs/>
          <w:szCs w:val="21"/>
        </w:rPr>
        <w:t>教学组织与实施：</w:t>
      </w:r>
    </w:p>
    <w:p>
      <w:pPr>
        <w:pageBreakBefore w:val="0"/>
        <w:widowControl/>
        <w:kinsoku/>
        <w:wordWrap/>
        <w:overflowPunct/>
        <w:topLinePunct w:val="0"/>
        <w:autoSpaceDE/>
        <w:autoSpaceDN/>
        <w:bidi w:val="0"/>
        <w:adjustRightInd/>
        <w:snapToGrid w:val="0"/>
        <w:spacing w:line="360" w:lineRule="auto"/>
        <w:ind w:firstLine="420" w:firstLineChars="200"/>
        <w:textAlignment w:val="auto"/>
        <w:rPr>
          <w:szCs w:val="21"/>
        </w:rPr>
      </w:pPr>
      <w:r>
        <w:rPr>
          <w:szCs w:val="21"/>
        </w:rPr>
        <w:t>本章以讲授为主，并结合图片、视频、时事等让学生掌握本章重点、难点，增加课堂互动、提问，了解学生掌握情况，系统全面的掌握本章内容。</w:t>
      </w:r>
    </w:p>
    <w:p>
      <w:pPr>
        <w:pStyle w:val="4"/>
        <w:pageBreakBefore w:val="0"/>
        <w:kinsoku/>
        <w:wordWrap/>
        <w:overflowPunct/>
        <w:topLinePunct w:val="0"/>
        <w:autoSpaceDE/>
        <w:autoSpaceDN/>
        <w:bidi w:val="0"/>
        <w:adjustRightInd/>
        <w:spacing w:before="0" w:after="0" w:line="360" w:lineRule="auto"/>
        <w:ind w:firstLine="1476" w:firstLineChars="700"/>
        <w:textAlignment w:val="auto"/>
        <w:rPr>
          <w:sz w:val="21"/>
          <w:szCs w:val="21"/>
        </w:rPr>
      </w:pPr>
      <w:bookmarkStart w:id="477" w:name="_Toc138076353"/>
      <w:bookmarkStart w:id="478" w:name="_Toc138076648"/>
      <w:bookmarkStart w:id="479" w:name="_Toc14195"/>
      <w:bookmarkStart w:id="480" w:name="_Toc138076104"/>
      <w:r>
        <w:rPr>
          <w:sz w:val="21"/>
          <w:szCs w:val="21"/>
        </w:rPr>
        <w:t xml:space="preserve">第七章  </w:t>
      </w:r>
      <w:r>
        <w:rPr>
          <w:color w:val="262600"/>
          <w:sz w:val="21"/>
          <w:szCs w:val="21"/>
        </w:rPr>
        <w:t>农业专家系统</w:t>
      </w:r>
      <w:r>
        <w:rPr>
          <w:sz w:val="21"/>
          <w:szCs w:val="21"/>
        </w:rPr>
        <w:t xml:space="preserve">                                         学时数：4</w:t>
      </w:r>
      <w:bookmarkEnd w:id="477"/>
      <w:bookmarkEnd w:id="478"/>
      <w:bookmarkEnd w:id="479"/>
      <w:bookmarkEnd w:id="480"/>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通过学习农业专家系统的基本结构、开发工具、发展概况等内容的学习，掌握农业专家系统的概念、结构、特点与应用。</w:t>
      </w:r>
    </w:p>
    <w:p>
      <w:pPr>
        <w:pageBreakBefore w:val="0"/>
        <w:tabs>
          <w:tab w:val="left" w:pos="4770"/>
        </w:tabs>
        <w:kinsoku/>
        <w:wordWrap/>
        <w:overflowPunct/>
        <w:topLinePunct w:val="0"/>
        <w:autoSpaceDE/>
        <w:autoSpaceDN/>
        <w:bidi w:val="0"/>
        <w:adjustRightInd/>
        <w:spacing w:line="360" w:lineRule="auto"/>
        <w:textAlignment w:val="auto"/>
        <w:rPr>
          <w:color w:val="262600"/>
        </w:rPr>
      </w:pPr>
      <w:r>
        <w:rPr>
          <w:b/>
          <w:bCs/>
        </w:rPr>
        <w:t>教学重点和难点</w:t>
      </w:r>
      <w:r>
        <w:rPr>
          <w:color w:val="262600"/>
        </w:rPr>
        <w:t>：</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r>
        <w:rPr>
          <w:color w:val="262600"/>
        </w:rPr>
        <w:t>专家系统的概念、结构和基本原理，农业专家系统的特点与类型。</w:t>
      </w:r>
    </w:p>
    <w:p>
      <w:pPr>
        <w:pageBreakBefore w:val="0"/>
        <w:tabs>
          <w:tab w:val="left" w:pos="4770"/>
        </w:tabs>
        <w:kinsoku/>
        <w:wordWrap/>
        <w:overflowPunct/>
        <w:topLinePunct w:val="0"/>
        <w:autoSpaceDE/>
        <w:autoSpaceDN/>
        <w:bidi w:val="0"/>
        <w:adjustRightInd/>
        <w:spacing w:line="360" w:lineRule="auto"/>
        <w:textAlignment w:val="auto"/>
        <w:rPr>
          <w:color w:val="262600"/>
        </w:rPr>
      </w:pPr>
      <w:r>
        <w:rPr>
          <w:b/>
          <w:bCs/>
        </w:rPr>
        <w:t>主要教学内容及要求</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本章主要讲述农业专家系统基本原理，基本结构，知识表示技术，知识获取，专家系统开发工具，发展概况，特点，类型以及农业专家系统研究和应用中存在的问题。</w:t>
      </w:r>
    </w:p>
    <w:p>
      <w:pPr>
        <w:pageBreakBefore w:val="0"/>
        <w:kinsoku/>
        <w:wordWrap/>
        <w:overflowPunct/>
        <w:topLinePunct w:val="0"/>
        <w:autoSpaceDE/>
        <w:autoSpaceDN/>
        <w:bidi w:val="0"/>
        <w:adjustRightInd/>
        <w:spacing w:line="360" w:lineRule="auto"/>
        <w:ind w:firstLine="420" w:firstLineChars="200"/>
        <w:textAlignment w:val="auto"/>
      </w:pPr>
      <w:r>
        <w:rPr>
          <w:color w:val="262600"/>
        </w:rPr>
        <w:t>要求学生了解农业专家系统基本原理，掌握农业专家系统的概念、结构、特点与应用。</w:t>
      </w:r>
    </w:p>
    <w:p>
      <w:pPr>
        <w:pageBreakBefore w:val="0"/>
        <w:widowControl/>
        <w:kinsoku/>
        <w:wordWrap/>
        <w:overflowPunct/>
        <w:topLinePunct w:val="0"/>
        <w:autoSpaceDE/>
        <w:autoSpaceDN/>
        <w:bidi w:val="0"/>
        <w:adjustRightInd/>
        <w:snapToGrid w:val="0"/>
        <w:spacing w:line="360" w:lineRule="auto"/>
        <w:textAlignment w:val="auto"/>
        <w:rPr>
          <w:b/>
          <w:bCs/>
          <w:szCs w:val="21"/>
        </w:rPr>
      </w:pPr>
      <w:r>
        <w:rPr>
          <w:b/>
          <w:bCs/>
          <w:szCs w:val="21"/>
        </w:rPr>
        <w:t>教学组织与实施：</w:t>
      </w:r>
    </w:p>
    <w:p>
      <w:pPr>
        <w:pageBreakBefore w:val="0"/>
        <w:widowControl/>
        <w:kinsoku/>
        <w:wordWrap/>
        <w:overflowPunct/>
        <w:topLinePunct w:val="0"/>
        <w:autoSpaceDE/>
        <w:autoSpaceDN/>
        <w:bidi w:val="0"/>
        <w:adjustRightInd/>
        <w:snapToGrid w:val="0"/>
        <w:spacing w:line="360" w:lineRule="auto"/>
        <w:ind w:firstLine="420" w:firstLineChars="200"/>
        <w:textAlignment w:val="auto"/>
        <w:rPr>
          <w:szCs w:val="21"/>
        </w:rPr>
      </w:pPr>
      <w:r>
        <w:rPr>
          <w:szCs w:val="21"/>
        </w:rPr>
        <w:t>通过课堂讲解，视频资料分享，课下查阅、课上分组讨论的讲授体系，让学生们系统全面的掌握本章内容。</w:t>
      </w:r>
    </w:p>
    <w:p>
      <w:pPr>
        <w:pStyle w:val="4"/>
        <w:pageBreakBefore w:val="0"/>
        <w:kinsoku/>
        <w:wordWrap/>
        <w:overflowPunct/>
        <w:topLinePunct w:val="0"/>
        <w:autoSpaceDE/>
        <w:autoSpaceDN/>
        <w:bidi w:val="0"/>
        <w:adjustRightInd/>
        <w:spacing w:before="0" w:after="0" w:line="360" w:lineRule="auto"/>
        <w:ind w:firstLine="1476" w:firstLineChars="700"/>
        <w:textAlignment w:val="auto"/>
        <w:rPr>
          <w:kern w:val="0"/>
          <w:sz w:val="21"/>
          <w:szCs w:val="21"/>
        </w:rPr>
      </w:pPr>
      <w:bookmarkStart w:id="481" w:name="_Toc32287"/>
      <w:bookmarkStart w:id="482" w:name="_Toc138076354"/>
      <w:bookmarkStart w:id="483" w:name="_Toc138076105"/>
      <w:bookmarkStart w:id="484" w:name="_Toc138076649"/>
      <w:r>
        <w:rPr>
          <w:kern w:val="0"/>
          <w:sz w:val="21"/>
          <w:szCs w:val="21"/>
        </w:rPr>
        <w:t>第八章  精确农业技术</w:t>
      </w:r>
      <w:r>
        <w:rPr>
          <w:sz w:val="21"/>
          <w:szCs w:val="21"/>
        </w:rPr>
        <w:t xml:space="preserve">                                         </w:t>
      </w:r>
      <w:r>
        <w:rPr>
          <w:kern w:val="0"/>
          <w:sz w:val="21"/>
          <w:szCs w:val="21"/>
        </w:rPr>
        <w:t>学时数：4</w:t>
      </w:r>
      <w:bookmarkEnd w:id="481"/>
      <w:bookmarkEnd w:id="482"/>
      <w:bookmarkEnd w:id="483"/>
      <w:bookmarkEnd w:id="484"/>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精确农业的概念、技术体系与关键技术，了解智能化农业机械装备。</w:t>
      </w:r>
    </w:p>
    <w:p>
      <w:pPr>
        <w:pageBreakBefore w:val="0"/>
        <w:tabs>
          <w:tab w:val="left" w:pos="4770"/>
        </w:tabs>
        <w:kinsoku/>
        <w:wordWrap/>
        <w:overflowPunct/>
        <w:topLinePunct w:val="0"/>
        <w:autoSpaceDE/>
        <w:autoSpaceDN/>
        <w:bidi w:val="0"/>
        <w:adjustRightInd/>
        <w:spacing w:line="360" w:lineRule="auto"/>
        <w:textAlignment w:val="auto"/>
        <w:rPr>
          <w:color w:val="262600"/>
        </w:rPr>
      </w:pPr>
      <w:r>
        <w:rPr>
          <w:b/>
          <w:bCs/>
        </w:rPr>
        <w:t>教学重点和难点</w:t>
      </w:r>
      <w:r>
        <w:rPr>
          <w:color w:val="262600"/>
        </w:rPr>
        <w:t>：</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r>
        <w:rPr>
          <w:color w:val="262600"/>
        </w:rPr>
        <w:t>精确农业的概念、技术体系与关键技术，GPS系统是本章的重点和难点。</w:t>
      </w:r>
    </w:p>
    <w:p>
      <w:pPr>
        <w:pageBreakBefore w:val="0"/>
        <w:tabs>
          <w:tab w:val="left" w:pos="4770"/>
        </w:tabs>
        <w:kinsoku/>
        <w:wordWrap/>
        <w:overflowPunct/>
        <w:topLinePunct w:val="0"/>
        <w:autoSpaceDE/>
        <w:autoSpaceDN/>
        <w:bidi w:val="0"/>
        <w:adjustRightInd/>
        <w:spacing w:line="360" w:lineRule="auto"/>
        <w:textAlignment w:val="auto"/>
        <w:rPr>
          <w:color w:val="262600"/>
        </w:rPr>
      </w:pPr>
      <w:r>
        <w:rPr>
          <w:b/>
          <w:bCs/>
        </w:rPr>
        <w:t>主要教学内容及要求</w:t>
      </w:r>
      <w:r>
        <w:rPr>
          <w:color w:val="262600"/>
        </w:rPr>
        <w:t>：</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bookmarkStart w:id="485" w:name="_Hlk138028538"/>
      <w:r>
        <w:rPr>
          <w:color w:val="262600"/>
        </w:rPr>
        <w:t>本章主要讲述精确农业技术概念、产生与发展、技术体系、关键技术、发展的主要问题与发展方向及GPS简介。</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r>
        <w:rPr>
          <w:color w:val="262600"/>
        </w:rPr>
        <w:t>要求学生了解智能化农业机械装备，理解并掌握精确农业的概念、技术体系与关键技术、主要问题与发展方向。</w:t>
      </w:r>
    </w:p>
    <w:bookmarkEnd w:id="485"/>
    <w:p>
      <w:pPr>
        <w:pageBreakBefore w:val="0"/>
        <w:tabs>
          <w:tab w:val="left" w:pos="4770"/>
        </w:tabs>
        <w:kinsoku/>
        <w:wordWrap/>
        <w:overflowPunct/>
        <w:topLinePunct w:val="0"/>
        <w:autoSpaceDE/>
        <w:autoSpaceDN/>
        <w:bidi w:val="0"/>
        <w:adjustRightInd/>
        <w:spacing w:line="360" w:lineRule="auto"/>
        <w:textAlignment w:val="auto"/>
        <w:rPr>
          <w:b/>
          <w:bCs/>
          <w:szCs w:val="21"/>
        </w:rPr>
      </w:pPr>
      <w:r>
        <w:rPr>
          <w:b/>
          <w:bCs/>
          <w:szCs w:val="21"/>
        </w:rPr>
        <w:t>教学组织与实施：</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szCs w:val="21"/>
        </w:rPr>
      </w:pPr>
      <w:r>
        <w:rPr>
          <w:szCs w:val="21"/>
        </w:rPr>
        <w:t>本章以PPT为主，视频为辅，</w:t>
      </w:r>
      <w:r>
        <w:rPr>
          <w:color w:val="262600"/>
        </w:rPr>
        <w:t>通过课堂讲解，视频资料让学生们系统全面的掌握本章内容，培养学生专业学习兴趣。</w:t>
      </w:r>
    </w:p>
    <w:p>
      <w:pPr>
        <w:pStyle w:val="4"/>
        <w:pageBreakBefore w:val="0"/>
        <w:kinsoku/>
        <w:wordWrap/>
        <w:overflowPunct/>
        <w:topLinePunct w:val="0"/>
        <w:autoSpaceDE/>
        <w:autoSpaceDN/>
        <w:bidi w:val="0"/>
        <w:adjustRightInd/>
        <w:spacing w:before="0" w:after="0" w:line="360" w:lineRule="auto"/>
        <w:ind w:firstLine="1265" w:firstLineChars="600"/>
        <w:textAlignment w:val="auto"/>
        <w:rPr>
          <w:kern w:val="0"/>
          <w:sz w:val="21"/>
          <w:szCs w:val="21"/>
        </w:rPr>
      </w:pPr>
      <w:bookmarkStart w:id="486" w:name="_Toc13203"/>
      <w:bookmarkStart w:id="487" w:name="_Toc138076355"/>
      <w:bookmarkStart w:id="488" w:name="_Toc138076106"/>
      <w:bookmarkStart w:id="489" w:name="_Toc138076650"/>
      <w:r>
        <w:rPr>
          <w:kern w:val="0"/>
          <w:sz w:val="21"/>
          <w:szCs w:val="21"/>
        </w:rPr>
        <w:t xml:space="preserve">第九章  </w:t>
      </w:r>
      <w:r>
        <w:rPr>
          <w:sz w:val="21"/>
          <w:szCs w:val="21"/>
        </w:rPr>
        <w:t xml:space="preserve">农业信息网络                                         </w:t>
      </w:r>
      <w:r>
        <w:rPr>
          <w:kern w:val="0"/>
          <w:sz w:val="21"/>
          <w:szCs w:val="21"/>
        </w:rPr>
        <w:t>学时数：4</w:t>
      </w:r>
      <w:bookmarkEnd w:id="486"/>
      <w:bookmarkEnd w:id="487"/>
      <w:bookmarkEnd w:id="488"/>
      <w:bookmarkEnd w:id="489"/>
    </w:p>
    <w:p>
      <w:pPr>
        <w:pageBreakBefore w:val="0"/>
        <w:kinsoku/>
        <w:wordWrap/>
        <w:overflowPunct/>
        <w:topLinePunct w:val="0"/>
        <w:autoSpaceDE/>
        <w:autoSpaceDN/>
        <w:bidi w:val="0"/>
        <w:adjustRightInd/>
        <w:spacing w:line="360" w:lineRule="auto"/>
        <w:textAlignment w:val="auto"/>
        <w:rPr>
          <w:color w:val="262600"/>
        </w:rPr>
      </w:pPr>
      <w:r>
        <w:rPr>
          <w:b/>
          <w:bCs/>
        </w:rPr>
        <w:t>教学目标</w:t>
      </w:r>
      <w:r>
        <w:rPr>
          <w:color w:val="262600"/>
        </w:rPr>
        <w:t>：</w:t>
      </w:r>
    </w:p>
    <w:p>
      <w:pPr>
        <w:pageBreakBefore w:val="0"/>
        <w:kinsoku/>
        <w:wordWrap/>
        <w:overflowPunct/>
        <w:topLinePunct w:val="0"/>
        <w:autoSpaceDE/>
        <w:autoSpaceDN/>
        <w:bidi w:val="0"/>
        <w:adjustRightInd/>
        <w:spacing w:line="360" w:lineRule="auto"/>
        <w:ind w:firstLine="420" w:firstLineChars="200"/>
        <w:textAlignment w:val="auto"/>
        <w:rPr>
          <w:color w:val="262600"/>
        </w:rPr>
      </w:pPr>
      <w:r>
        <w:rPr>
          <w:color w:val="262600"/>
        </w:rPr>
        <w:t>通过对计算机网络一般原理功能、分类及相关内容的学习，为园艺电子商务的发展奠定基础。</w:t>
      </w:r>
    </w:p>
    <w:p>
      <w:pPr>
        <w:pageBreakBefore w:val="0"/>
        <w:tabs>
          <w:tab w:val="left" w:pos="4770"/>
        </w:tabs>
        <w:kinsoku/>
        <w:wordWrap/>
        <w:overflowPunct/>
        <w:topLinePunct w:val="0"/>
        <w:autoSpaceDE/>
        <w:autoSpaceDN/>
        <w:bidi w:val="0"/>
        <w:adjustRightInd/>
        <w:spacing w:line="360" w:lineRule="auto"/>
        <w:textAlignment w:val="auto"/>
        <w:rPr>
          <w:color w:val="262600"/>
        </w:rPr>
      </w:pPr>
      <w:r>
        <w:rPr>
          <w:b/>
          <w:bCs/>
        </w:rPr>
        <w:t>教学重点和难点</w:t>
      </w:r>
      <w:r>
        <w:rPr>
          <w:color w:val="262600"/>
        </w:rPr>
        <w:t>：</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r>
        <w:rPr>
          <w:color w:val="262600"/>
        </w:rPr>
        <w:t>计算机网络的一般原理与结构为本章的重点，农业电子商务发展现状与特点为本章的难点。</w:t>
      </w:r>
    </w:p>
    <w:p>
      <w:pPr>
        <w:pageBreakBefore w:val="0"/>
        <w:kinsoku/>
        <w:wordWrap/>
        <w:overflowPunct/>
        <w:topLinePunct w:val="0"/>
        <w:autoSpaceDE/>
        <w:autoSpaceDN/>
        <w:bidi w:val="0"/>
        <w:adjustRightInd/>
        <w:spacing w:line="360" w:lineRule="auto"/>
        <w:textAlignment w:val="auto"/>
        <w:rPr>
          <w:color w:val="262600"/>
        </w:rPr>
      </w:pPr>
      <w:r>
        <w:rPr>
          <w:b/>
          <w:bCs/>
        </w:rPr>
        <w:t>主要教学内容及要求</w:t>
      </w:r>
      <w:r>
        <w:rPr>
          <w:color w:val="262600"/>
        </w:rPr>
        <w:t>：</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r>
        <w:rPr>
          <w:color w:val="262600"/>
        </w:rPr>
        <w:t>本章主要讲述计算机网络的定义和功能，分类和拓扑结构，局域网基础，Internet基础，互联网上的主要农业信息资源，农业信息资源的检索。</w:t>
      </w:r>
    </w:p>
    <w:p>
      <w:pPr>
        <w:pageBreakBefore w:val="0"/>
        <w:tabs>
          <w:tab w:val="left" w:pos="4770"/>
        </w:tabs>
        <w:kinsoku/>
        <w:wordWrap/>
        <w:overflowPunct/>
        <w:topLinePunct w:val="0"/>
        <w:autoSpaceDE/>
        <w:autoSpaceDN/>
        <w:bidi w:val="0"/>
        <w:adjustRightInd/>
        <w:spacing w:line="360" w:lineRule="auto"/>
        <w:ind w:firstLine="420" w:firstLineChars="200"/>
        <w:textAlignment w:val="auto"/>
        <w:rPr>
          <w:color w:val="262600"/>
        </w:rPr>
      </w:pPr>
      <w:r>
        <w:rPr>
          <w:color w:val="262600"/>
        </w:rPr>
        <w:t>要求学生了解计算机网络一般原理功能、计算机网络的分类、理解局域网与Internet的基本原理，电子商务的概念与类型，农业电子商务发展现状与特点，初步掌握农业网络信息的获取与农业信息资源的检索。</w:t>
      </w:r>
    </w:p>
    <w:p>
      <w:pPr>
        <w:pageBreakBefore w:val="0"/>
        <w:widowControl/>
        <w:kinsoku/>
        <w:wordWrap/>
        <w:overflowPunct/>
        <w:topLinePunct w:val="0"/>
        <w:autoSpaceDE/>
        <w:autoSpaceDN/>
        <w:bidi w:val="0"/>
        <w:adjustRightInd/>
        <w:snapToGrid w:val="0"/>
        <w:spacing w:line="360" w:lineRule="auto"/>
        <w:textAlignment w:val="auto"/>
        <w:rPr>
          <w:b/>
          <w:bCs/>
          <w:szCs w:val="21"/>
        </w:rPr>
      </w:pPr>
      <w:r>
        <w:rPr>
          <w:b/>
          <w:bCs/>
          <w:szCs w:val="21"/>
        </w:rPr>
        <w:t>教学组织与实施：</w:t>
      </w:r>
    </w:p>
    <w:p>
      <w:pPr>
        <w:pageBreakBefore w:val="0"/>
        <w:widowControl/>
        <w:kinsoku/>
        <w:wordWrap/>
        <w:overflowPunct/>
        <w:topLinePunct w:val="0"/>
        <w:autoSpaceDE/>
        <w:autoSpaceDN/>
        <w:bidi w:val="0"/>
        <w:adjustRightInd/>
        <w:snapToGrid w:val="0"/>
        <w:spacing w:line="360" w:lineRule="auto"/>
        <w:ind w:firstLine="420" w:firstLineChars="200"/>
        <w:textAlignment w:val="auto"/>
        <w:rPr>
          <w:b/>
          <w:bCs/>
          <w:szCs w:val="21"/>
        </w:rPr>
      </w:pPr>
      <w:r>
        <w:rPr>
          <w:szCs w:val="21"/>
        </w:rPr>
        <w:t>本章通过</w:t>
      </w:r>
      <w:r>
        <w:rPr>
          <w:szCs w:val="20"/>
        </w:rPr>
        <w:t>教师主讲，多媒体演示，</w:t>
      </w:r>
      <w:r>
        <w:rPr>
          <w:szCs w:val="21"/>
        </w:rPr>
        <w:t>视频资料分享，课下查阅、课上分组讨论的讲授体系，让学生们系统全面的掌握本章内容。</w:t>
      </w:r>
    </w:p>
    <w:p>
      <w:pPr>
        <w:pStyle w:val="3"/>
        <w:pageBreakBefore w:val="0"/>
        <w:kinsoku/>
        <w:wordWrap/>
        <w:overflowPunct/>
        <w:topLinePunct w:val="0"/>
        <w:autoSpaceDE/>
        <w:autoSpaceDN/>
        <w:bidi w:val="0"/>
        <w:adjustRightInd/>
        <w:spacing w:before="0" w:after="0" w:line="360" w:lineRule="auto"/>
        <w:textAlignment w:val="auto"/>
      </w:pPr>
      <w:bookmarkStart w:id="490" w:name="_Toc138076651"/>
      <w:bookmarkStart w:id="491" w:name="_Toc12220"/>
      <w:bookmarkStart w:id="492" w:name="_Toc138076356"/>
      <w:bookmarkStart w:id="493" w:name="_Toc138076107"/>
      <w:r>
        <w:rPr>
          <w:sz w:val="21"/>
          <w:szCs w:val="21"/>
        </w:rPr>
        <w:t>五、课程思政</w:t>
      </w:r>
      <w:bookmarkEnd w:id="490"/>
      <w:bookmarkEnd w:id="491"/>
      <w:bookmarkEnd w:id="492"/>
      <w:bookmarkEnd w:id="493"/>
    </w:p>
    <w:p>
      <w:pPr>
        <w:pageBreakBefore w:val="0"/>
        <w:kinsoku/>
        <w:wordWrap/>
        <w:overflowPunct/>
        <w:topLinePunct w:val="0"/>
        <w:autoSpaceDE/>
        <w:autoSpaceDN/>
        <w:bidi w:val="0"/>
        <w:adjustRightInd/>
        <w:spacing w:line="360" w:lineRule="auto"/>
        <w:ind w:firstLine="420" w:firstLineChars="200"/>
        <w:textAlignment w:val="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在课程思政教学的目标指导下，本课程结合学生的学情特点，从学生价值观、专业素养、产业发展和国家需求等方面，培养学生悯农爱农、服务三农的信念，为国家和社会培养德才兼备的复合型人才。</w:t>
      </w:r>
      <w:r>
        <w:rPr>
          <w:bCs/>
          <w:color w:val="000000" w:themeColor="text1"/>
          <w:kern w:val="0"/>
          <w:szCs w:val="21"/>
          <w14:textFill>
            <w14:solidFill>
              <w14:schemeClr w14:val="tx1"/>
            </w14:solidFill>
          </w14:textFill>
        </w:rPr>
        <w:t>具体目标如下：</w:t>
      </w:r>
    </w:p>
    <w:p>
      <w:pPr>
        <w:pageBreakBefore w:val="0"/>
        <w:kinsoku/>
        <w:wordWrap/>
        <w:overflowPunct/>
        <w:topLinePunct w:val="0"/>
        <w:autoSpaceDE/>
        <w:autoSpaceDN/>
        <w:bidi w:val="0"/>
        <w:adjustRightInd/>
        <w:spacing w:line="360" w:lineRule="auto"/>
        <w:ind w:firstLine="420" w:firstLineChars="200"/>
        <w:textAlignment w:val="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（1）通过介绍农业信息技术的基础知识及发展现状，强调其在农业农村现代化中的重要性，引出乡村振兴战略，增强学生为农业农村现代化服务的意识。</w:t>
      </w:r>
    </w:p>
    <w:p>
      <w:pPr>
        <w:pageBreakBefore w:val="0"/>
        <w:kinsoku/>
        <w:wordWrap/>
        <w:overflowPunct/>
        <w:topLinePunct w:val="0"/>
        <w:autoSpaceDE/>
        <w:autoSpaceDN/>
        <w:bidi w:val="0"/>
        <w:adjustRightInd/>
        <w:spacing w:line="360" w:lineRule="auto"/>
        <w:ind w:firstLine="420" w:firstLineChars="200"/>
        <w:textAlignment w:val="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（2）通过国内外农业数据库发展状况及发展趋势的介绍，强调农业数据库的重要性，引出科技强国的重要性，增强学生的专业自豪感和爱国主义意识。</w:t>
      </w:r>
    </w:p>
    <w:p>
      <w:pPr>
        <w:pageBreakBefore w:val="0"/>
        <w:kinsoku/>
        <w:wordWrap/>
        <w:overflowPunct/>
        <w:topLinePunct w:val="0"/>
        <w:autoSpaceDE/>
        <w:autoSpaceDN/>
        <w:bidi w:val="0"/>
        <w:adjustRightInd/>
        <w:spacing w:line="360" w:lineRule="auto"/>
        <w:ind w:firstLine="420" w:firstLineChars="200"/>
        <w:textAlignment w:val="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（3）通过农业遥感检测领域的介绍，精心选择跟课程内容相关的、生动鲜活的案例，引发学生思考，激发学生的求知欲，强调农业遥感技术在农业及军事决策方面的重要性,增强学生的爱国主义意识。</w:t>
      </w:r>
    </w:p>
    <w:p>
      <w:pPr>
        <w:pageBreakBefore w:val="0"/>
        <w:kinsoku/>
        <w:wordWrap/>
        <w:overflowPunct/>
        <w:topLinePunct w:val="0"/>
        <w:autoSpaceDE/>
        <w:autoSpaceDN/>
        <w:bidi w:val="0"/>
        <w:adjustRightInd/>
        <w:spacing w:line="360" w:lineRule="auto"/>
        <w:ind w:firstLine="420" w:firstLineChars="200"/>
        <w:textAlignment w:val="auto"/>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（4）通过对农业电子商务的了解，明白农业信息技术的重要性，以此为切入点，引出农业信息技术在农业农村现代化和乡村振兴中的作用，增强学生为农业农村现代化服务的意识。</w:t>
      </w:r>
    </w:p>
    <w:p>
      <w:pPr>
        <w:pageBreakBefore w:val="0"/>
        <w:kinsoku/>
        <w:wordWrap/>
        <w:overflowPunct/>
        <w:topLinePunct w:val="0"/>
        <w:autoSpaceDE/>
        <w:autoSpaceDN/>
        <w:bidi w:val="0"/>
        <w:adjustRightInd/>
        <w:spacing w:line="360" w:lineRule="auto"/>
        <w:ind w:firstLine="420" w:firstLineChars="200"/>
        <w:textAlignment w:val="auto"/>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5</w:t>
      </w:r>
      <w:r>
        <w:rPr>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开展“以学生为主体，教师为引导”的课程思政活动，通过查阅文献、头脑风暴</w:t>
      </w:r>
      <w:r>
        <w:rPr>
          <w:bCs/>
          <w:color w:val="000000" w:themeColor="text1"/>
          <w:kern w:val="0"/>
          <w:szCs w:val="21"/>
          <w14:textFill>
            <w14:solidFill>
              <w14:schemeClr w14:val="tx1"/>
            </w14:solidFill>
          </w14:textFill>
        </w:rPr>
        <w:t>、案例</w:t>
      </w:r>
      <w:r>
        <w:rPr>
          <w:rFonts w:hint="eastAsia"/>
          <w:bCs/>
          <w:color w:val="000000" w:themeColor="text1"/>
          <w:kern w:val="0"/>
          <w:szCs w:val="21"/>
          <w14:textFill>
            <w14:solidFill>
              <w14:schemeClr w14:val="tx1"/>
            </w14:solidFill>
          </w14:textFill>
        </w:rPr>
        <w:t>讲解</w:t>
      </w:r>
      <w:r>
        <w:rPr>
          <w:bCs/>
          <w:color w:val="000000" w:themeColor="text1"/>
          <w:kern w:val="0"/>
          <w:szCs w:val="21"/>
          <w14:textFill>
            <w14:solidFill>
              <w14:schemeClr w14:val="tx1"/>
            </w14:solidFill>
          </w14:textFill>
        </w:rPr>
        <w:t>等</w:t>
      </w:r>
      <w:r>
        <w:rPr>
          <w:rFonts w:hint="eastAsia"/>
          <w:bCs/>
          <w:color w:val="000000" w:themeColor="text1"/>
          <w:kern w:val="0"/>
          <w:szCs w:val="21"/>
          <w14:textFill>
            <w14:solidFill>
              <w14:schemeClr w14:val="tx1"/>
            </w14:solidFill>
          </w14:textFill>
        </w:rPr>
        <w:t>方式</w:t>
      </w:r>
      <w:r>
        <w:rPr>
          <w:bCs/>
          <w:color w:val="000000" w:themeColor="text1"/>
          <w:kern w:val="0"/>
          <w:szCs w:val="21"/>
          <w14:textFill>
            <w14:solidFill>
              <w14:schemeClr w14:val="tx1"/>
            </w14:solidFill>
          </w14:textFill>
        </w:rPr>
        <w:t>，</w:t>
      </w:r>
      <w:r>
        <w:rPr>
          <w:rFonts w:hint="eastAsia"/>
          <w:bCs/>
          <w:color w:val="000000" w:themeColor="text1"/>
          <w:kern w:val="0"/>
          <w:szCs w:val="21"/>
          <w14:textFill>
            <w14:solidFill>
              <w14:schemeClr w14:val="tx1"/>
            </w14:solidFill>
          </w14:textFill>
        </w:rPr>
        <w:t>组织学生分组合作，</w:t>
      </w:r>
      <w:r>
        <w:rPr>
          <w:rFonts w:hint="eastAsia" w:ascii="宋体" w:cs="宋体"/>
          <w:kern w:val="0"/>
          <w:szCs w:val="21"/>
        </w:rPr>
        <w:t>激发学生的主动参与意识和自我教育能力，提高学生查阅资料、总结概括和语言表达的能力。</w:t>
      </w:r>
    </w:p>
    <w:p>
      <w:pPr>
        <w:pStyle w:val="3"/>
        <w:pageBreakBefore w:val="0"/>
        <w:kinsoku/>
        <w:wordWrap/>
        <w:overflowPunct/>
        <w:topLinePunct w:val="0"/>
        <w:autoSpaceDE/>
        <w:autoSpaceDN/>
        <w:bidi w:val="0"/>
        <w:adjustRightInd/>
        <w:spacing w:before="0" w:after="0" w:line="360" w:lineRule="auto"/>
        <w:textAlignment w:val="auto"/>
        <w:rPr>
          <w:sz w:val="21"/>
          <w:szCs w:val="21"/>
        </w:rPr>
      </w:pPr>
      <w:bookmarkStart w:id="494" w:name="_Toc138076652"/>
      <w:bookmarkStart w:id="495" w:name="_Toc31461"/>
      <w:bookmarkStart w:id="496" w:name="_Toc138076108"/>
      <w:bookmarkStart w:id="497" w:name="_Toc138076357"/>
      <w:r>
        <w:rPr>
          <w:rStyle w:val="57"/>
          <w:b/>
          <w:bCs/>
          <w:sz w:val="21"/>
          <w:szCs w:val="21"/>
        </w:rPr>
        <w:t>六、使用教材</w:t>
      </w:r>
      <w:bookmarkEnd w:id="494"/>
      <w:bookmarkEnd w:id="495"/>
      <w:bookmarkEnd w:id="496"/>
      <w:bookmarkEnd w:id="497"/>
    </w:p>
    <w:p>
      <w:pPr>
        <w:pageBreakBefore w:val="0"/>
        <w:widowControl/>
        <w:kinsoku/>
        <w:wordWrap/>
        <w:overflowPunct/>
        <w:topLinePunct w:val="0"/>
        <w:autoSpaceDE/>
        <w:autoSpaceDN/>
        <w:bidi w:val="0"/>
        <w:adjustRightInd/>
        <w:snapToGrid w:val="0"/>
        <w:spacing w:line="360" w:lineRule="auto"/>
        <w:ind w:firstLine="422" w:firstLineChars="200"/>
        <w:jc w:val="left"/>
        <w:textAlignment w:val="auto"/>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1.选用教材：</w:t>
      </w:r>
    </w:p>
    <w:p>
      <w:pPr>
        <w:pageBreakBefore w:val="0"/>
        <w:widowControl/>
        <w:kinsoku/>
        <w:wordWrap/>
        <w:overflowPunct/>
        <w:topLinePunct w:val="0"/>
        <w:autoSpaceDE/>
        <w:autoSpaceDN/>
        <w:bidi w:val="0"/>
        <w:adjustRightInd/>
        <w:snapToGrid w:val="0"/>
        <w:spacing w:line="360" w:lineRule="auto"/>
        <w:ind w:firstLine="420" w:firstLineChars="200"/>
        <w:jc w:val="left"/>
        <w:textAlignment w:val="auto"/>
        <w:rPr>
          <w:kern w:val="0"/>
          <w:szCs w:val="21"/>
        </w:rPr>
      </w:pPr>
      <w:r>
        <w:rPr>
          <w:kern w:val="0"/>
          <w:szCs w:val="21"/>
        </w:rPr>
        <w:t>（1）理论课教材：《农业信息技术》第二版，李军主编，科学出版社，2012年。</w:t>
      </w:r>
    </w:p>
    <w:p>
      <w:pPr>
        <w:pageBreakBefore w:val="0"/>
        <w:widowControl/>
        <w:kinsoku/>
        <w:wordWrap/>
        <w:overflowPunct/>
        <w:topLinePunct w:val="0"/>
        <w:autoSpaceDE/>
        <w:autoSpaceDN/>
        <w:bidi w:val="0"/>
        <w:adjustRightInd/>
        <w:snapToGrid w:val="0"/>
        <w:spacing w:line="360" w:lineRule="auto"/>
        <w:ind w:firstLine="422" w:firstLineChars="200"/>
        <w:jc w:val="left"/>
        <w:textAlignment w:val="auto"/>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2.参考书：</w:t>
      </w:r>
    </w:p>
    <w:p>
      <w:pPr>
        <w:pageBreakBefore w:val="0"/>
        <w:widowControl/>
        <w:kinsoku/>
        <w:wordWrap/>
        <w:overflowPunct/>
        <w:topLinePunct w:val="0"/>
        <w:autoSpaceDE/>
        <w:autoSpaceDN/>
        <w:bidi w:val="0"/>
        <w:adjustRightInd/>
        <w:snapToGrid w:val="0"/>
        <w:spacing w:line="360" w:lineRule="auto"/>
        <w:ind w:firstLine="420" w:firstLineChars="200"/>
        <w:jc w:val="left"/>
        <w:textAlignment w:val="auto"/>
        <w:rPr>
          <w:kern w:val="0"/>
          <w:szCs w:val="21"/>
        </w:rPr>
      </w:pPr>
      <w:r>
        <w:rPr>
          <w:kern w:val="0"/>
          <w:szCs w:val="21"/>
        </w:rPr>
        <w:t>（1）《农业信息学》，曹卫星主编，中国农业出版社，2010年。</w:t>
      </w:r>
    </w:p>
    <w:p>
      <w:pPr>
        <w:pageBreakBefore w:val="0"/>
        <w:widowControl/>
        <w:kinsoku/>
        <w:wordWrap/>
        <w:overflowPunct/>
        <w:topLinePunct w:val="0"/>
        <w:autoSpaceDE/>
        <w:autoSpaceDN/>
        <w:bidi w:val="0"/>
        <w:adjustRightInd/>
        <w:snapToGrid w:val="0"/>
        <w:spacing w:line="360" w:lineRule="auto"/>
        <w:ind w:firstLine="420" w:firstLineChars="200"/>
        <w:jc w:val="left"/>
        <w:textAlignment w:val="auto"/>
        <w:rPr>
          <w:kern w:val="0"/>
          <w:szCs w:val="21"/>
        </w:rPr>
      </w:pPr>
      <w:r>
        <w:rPr>
          <w:kern w:val="0"/>
          <w:szCs w:val="21"/>
        </w:rPr>
        <w:t>（2）《农业信息化技术导论》，马新明主编，中国农业科学技术出版社，2012年。</w:t>
      </w:r>
    </w:p>
    <w:p>
      <w:pPr>
        <w:pageBreakBefore w:val="0"/>
        <w:widowControl/>
        <w:kinsoku/>
        <w:wordWrap/>
        <w:overflowPunct/>
        <w:topLinePunct w:val="0"/>
        <w:autoSpaceDE/>
        <w:autoSpaceDN/>
        <w:bidi w:val="0"/>
        <w:adjustRightInd/>
        <w:snapToGrid w:val="0"/>
        <w:spacing w:line="360" w:lineRule="auto"/>
        <w:ind w:firstLine="422" w:firstLineChars="200"/>
        <w:jc w:val="left"/>
        <w:textAlignment w:val="auto"/>
        <w:rPr>
          <w:b/>
          <w:bCs/>
          <w:kern w:val="0"/>
          <w:szCs w:val="21"/>
        </w:rPr>
      </w:pPr>
      <w:r>
        <w:rPr>
          <w:b/>
          <w:bCs/>
          <w:kern w:val="0"/>
          <w:szCs w:val="21"/>
        </w:rPr>
        <w:t>3．推荐网站：</w:t>
      </w:r>
    </w:p>
    <w:p>
      <w:pPr>
        <w:pageBreakBefore w:val="0"/>
        <w:widowControl/>
        <w:kinsoku/>
        <w:wordWrap/>
        <w:overflowPunct/>
        <w:topLinePunct w:val="0"/>
        <w:autoSpaceDE/>
        <w:autoSpaceDN/>
        <w:bidi w:val="0"/>
        <w:adjustRightInd/>
        <w:snapToGrid w:val="0"/>
        <w:spacing w:line="360" w:lineRule="auto"/>
        <w:ind w:left="991" w:leftChars="200" w:hanging="571" w:hangingChars="272"/>
        <w:jc w:val="left"/>
        <w:textAlignment w:val="auto"/>
        <w:rPr>
          <w:kern w:val="0"/>
          <w:szCs w:val="21"/>
        </w:rPr>
      </w:pPr>
      <w:r>
        <w:rPr>
          <w:kern w:val="0"/>
          <w:szCs w:val="21"/>
        </w:rPr>
        <w:t>（1）农业信息学—智慧树网，https://coursehome.zhihuishu.com/courseHome/1000010 729#teachTeam</w:t>
      </w:r>
    </w:p>
    <w:p>
      <w:pPr>
        <w:pageBreakBefore w:val="0"/>
        <w:widowControl/>
        <w:kinsoku/>
        <w:wordWrap/>
        <w:overflowPunct/>
        <w:topLinePunct w:val="0"/>
        <w:autoSpaceDE/>
        <w:autoSpaceDN/>
        <w:bidi w:val="0"/>
        <w:adjustRightInd/>
        <w:snapToGrid w:val="0"/>
        <w:spacing w:line="360" w:lineRule="auto"/>
        <w:ind w:left="991" w:leftChars="200" w:hanging="571" w:hangingChars="272"/>
        <w:jc w:val="left"/>
        <w:textAlignment w:val="auto"/>
        <w:rPr>
          <w:kern w:val="0"/>
          <w:szCs w:val="21"/>
        </w:rPr>
      </w:pPr>
      <w:r>
        <w:rPr>
          <w:rFonts w:hint="eastAsia"/>
          <w:kern w:val="0"/>
          <w:szCs w:val="21"/>
        </w:rPr>
        <w:t>（2）国际农业科技情报系统（AGRIS），</w:t>
      </w:r>
      <w:r>
        <w:rPr>
          <w:kern w:val="0"/>
          <w:szCs w:val="21"/>
        </w:rPr>
        <w:t>http://www.fao.org/Agris/</w:t>
      </w:r>
    </w:p>
    <w:p>
      <w:pPr>
        <w:pStyle w:val="3"/>
        <w:pageBreakBefore w:val="0"/>
        <w:kinsoku/>
        <w:wordWrap/>
        <w:overflowPunct/>
        <w:topLinePunct w:val="0"/>
        <w:autoSpaceDE/>
        <w:autoSpaceDN/>
        <w:bidi w:val="0"/>
        <w:adjustRightInd/>
        <w:spacing w:before="0" w:after="0" w:line="360" w:lineRule="auto"/>
        <w:textAlignment w:val="auto"/>
        <w:rPr>
          <w:sz w:val="21"/>
          <w:szCs w:val="21"/>
        </w:rPr>
      </w:pPr>
      <w:bookmarkStart w:id="498" w:name="_Toc23275"/>
      <w:bookmarkStart w:id="499" w:name="_Toc138076109"/>
      <w:bookmarkStart w:id="500" w:name="_Toc138076653"/>
      <w:bookmarkStart w:id="501" w:name="_Toc138076358"/>
      <w:r>
        <w:rPr>
          <w:sz w:val="21"/>
          <w:szCs w:val="21"/>
        </w:rPr>
        <w:t>七、教学条件</w:t>
      </w:r>
      <w:bookmarkEnd w:id="498"/>
      <w:bookmarkEnd w:id="499"/>
      <w:bookmarkEnd w:id="500"/>
      <w:bookmarkEnd w:id="501"/>
    </w:p>
    <w:p>
      <w:pPr>
        <w:pageBreakBefore w:val="0"/>
        <w:kinsoku/>
        <w:wordWrap/>
        <w:overflowPunct/>
        <w:topLinePunct w:val="0"/>
        <w:autoSpaceDE/>
        <w:autoSpaceDN/>
        <w:bidi w:val="0"/>
        <w:adjustRightInd/>
        <w:snapToGrid w:val="0"/>
        <w:spacing w:line="360" w:lineRule="auto"/>
        <w:ind w:firstLine="420" w:firstLineChars="2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农业信息技术</w:t>
      </w:r>
      <w:r>
        <w:rPr>
          <w:color w:val="000000" w:themeColor="text1"/>
          <w:szCs w:val="21"/>
          <w14:textFill>
            <w14:solidFill>
              <w14:schemeClr w14:val="tx1"/>
            </w14:solidFill>
          </w14:textFill>
        </w:rPr>
        <w:t>》课程</w:t>
      </w:r>
      <w:r>
        <w:rPr>
          <w:rFonts w:hint="eastAsia"/>
          <w:color w:val="000000" w:themeColor="text1"/>
          <w:szCs w:val="21"/>
          <w14:textFill>
            <w14:solidFill>
              <w14:schemeClr w14:val="tx1"/>
            </w14:solidFill>
          </w14:textFill>
        </w:rPr>
        <w:t>采用启发引导式、精讲式、讨论式、互动式等灵活多样的主动式教学方法，主要介绍现代信息技术在农业领域应用的技术与理论。加强学生创新精神和创新能力培养，充分调动学生的积极性、主动性、创造性，锻炼学生探索问题、分析问题和组织能力。该课程课堂教学主要采用讲授和多媒体教学手段。通过多媒体、幻灯片、课外实验等方法，增加学生的理论知识和实践能力，提高教学效果。</w:t>
      </w:r>
    </w:p>
    <w:p>
      <w:pPr>
        <w:pStyle w:val="3"/>
        <w:pageBreakBefore w:val="0"/>
        <w:kinsoku/>
        <w:wordWrap/>
        <w:overflowPunct/>
        <w:topLinePunct w:val="0"/>
        <w:autoSpaceDE/>
        <w:autoSpaceDN/>
        <w:bidi w:val="0"/>
        <w:adjustRightInd/>
        <w:spacing w:before="0" w:after="0" w:line="360" w:lineRule="auto"/>
        <w:textAlignment w:val="auto"/>
        <w:rPr>
          <w:sz w:val="21"/>
          <w:szCs w:val="21"/>
        </w:rPr>
      </w:pPr>
      <w:bookmarkStart w:id="502" w:name="_Toc13577"/>
      <w:bookmarkStart w:id="503" w:name="_Toc138076110"/>
      <w:bookmarkStart w:id="504" w:name="_Toc138076359"/>
      <w:bookmarkStart w:id="505" w:name="_Toc138076654"/>
      <w:r>
        <w:rPr>
          <w:sz w:val="21"/>
          <w:szCs w:val="21"/>
        </w:rPr>
        <w:t>八、教学考核评价</w:t>
      </w:r>
      <w:bookmarkEnd w:id="502"/>
      <w:bookmarkEnd w:id="503"/>
      <w:bookmarkEnd w:id="504"/>
      <w:bookmarkEnd w:id="505"/>
    </w:p>
    <w:p>
      <w:pPr>
        <w:pageBreakBefore w:val="0"/>
        <w:widowControl/>
        <w:kinsoku/>
        <w:wordWrap/>
        <w:overflowPunct/>
        <w:topLinePunct w:val="0"/>
        <w:autoSpaceDE/>
        <w:autoSpaceDN/>
        <w:bidi w:val="0"/>
        <w:adjustRightInd/>
        <w:snapToGrid w:val="0"/>
        <w:spacing w:line="360" w:lineRule="auto"/>
        <w:ind w:firstLine="420"/>
        <w:jc w:val="left"/>
        <w:textAlignment w:val="auto"/>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1.过程性评价：</w:t>
      </w:r>
    </w:p>
    <w:p>
      <w:pPr>
        <w:pageBreakBefore w:val="0"/>
        <w:widowControl/>
        <w:kinsoku/>
        <w:wordWrap/>
        <w:overflowPunct/>
        <w:topLinePunct w:val="0"/>
        <w:autoSpaceDE/>
        <w:autoSpaceDN/>
        <w:bidi w:val="0"/>
        <w:adjustRightInd/>
        <w:snapToGrid w:val="0"/>
        <w:spacing w:line="360" w:lineRule="auto"/>
        <w:ind w:firstLine="420"/>
        <w:jc w:val="left"/>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本科的平时成绩（40%）：含课堂表现、小组交流讨论、考勤、课后作业等。</w:t>
      </w:r>
    </w:p>
    <w:p>
      <w:pPr>
        <w:pageBreakBefore w:val="0"/>
        <w:widowControl/>
        <w:kinsoku/>
        <w:wordWrap/>
        <w:overflowPunct/>
        <w:topLinePunct w:val="0"/>
        <w:autoSpaceDE/>
        <w:autoSpaceDN/>
        <w:bidi w:val="0"/>
        <w:adjustRightInd/>
        <w:snapToGrid w:val="0"/>
        <w:spacing w:line="360" w:lineRule="auto"/>
        <w:ind w:firstLine="420"/>
        <w:jc w:val="left"/>
        <w:textAlignment w:val="auto"/>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2.终结性评价：</w:t>
      </w:r>
      <w:r>
        <w:t>笔试闭卷</w:t>
      </w:r>
      <w:r>
        <w:rPr>
          <w:rFonts w:hint="eastAsia"/>
        </w:rPr>
        <w:t>，</w:t>
      </w:r>
      <w:r>
        <w:t>占总成绩</w:t>
      </w:r>
      <w:r>
        <w:rPr>
          <w:bCs/>
          <w:color w:val="000000" w:themeColor="text1"/>
          <w:kern w:val="0"/>
          <w:szCs w:val="21"/>
          <w14:textFill>
            <w14:solidFill>
              <w14:schemeClr w14:val="tx1"/>
            </w14:solidFill>
          </w14:textFill>
        </w:rPr>
        <w:t>60%。</w:t>
      </w:r>
    </w:p>
    <w:p>
      <w:pPr>
        <w:pageBreakBefore w:val="0"/>
        <w:widowControl/>
        <w:kinsoku/>
        <w:wordWrap/>
        <w:overflowPunct/>
        <w:topLinePunct w:val="0"/>
        <w:autoSpaceDE/>
        <w:autoSpaceDN/>
        <w:bidi w:val="0"/>
        <w:adjustRightInd/>
        <w:snapToGrid w:val="0"/>
        <w:spacing w:line="360" w:lineRule="auto"/>
        <w:ind w:firstLine="420"/>
        <w:jc w:val="left"/>
        <w:textAlignment w:val="auto"/>
        <w:rPr>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3.课程综合评价：</w:t>
      </w:r>
      <w:r>
        <w:rPr>
          <w:rFonts w:hint="eastAsia"/>
          <w:color w:val="000000" w:themeColor="text1"/>
          <w:kern w:val="0"/>
          <w:szCs w:val="21"/>
          <w14:textFill>
            <w14:solidFill>
              <w14:schemeClr w14:val="tx1"/>
            </w14:solidFill>
          </w14:textFill>
        </w:rPr>
        <w:t>根据本课程的性质和教学目标，课程成绩考核拟采取过程性考核和终结性考核相结合的形式综合评定，</w:t>
      </w:r>
      <w:r>
        <w:rPr>
          <w:rFonts w:hint="eastAsia"/>
          <w:color w:val="000000" w:themeColor="text1"/>
          <w:szCs w:val="21"/>
          <w14:textFill>
            <w14:solidFill>
              <w14:schemeClr w14:val="tx1"/>
            </w14:solidFill>
          </w14:textFill>
        </w:rPr>
        <w:t>过程性评价</w:t>
      </w:r>
      <w:r>
        <w:rPr>
          <w:color w:val="000000" w:themeColor="text1"/>
          <w:szCs w:val="21"/>
          <w14:textFill>
            <w14:solidFill>
              <w14:schemeClr w14:val="tx1"/>
            </w14:solidFill>
          </w14:textFill>
        </w:rPr>
        <w:t>（40%）+</w:t>
      </w:r>
      <w:r>
        <w:rPr>
          <w:rFonts w:hint="eastAsia"/>
          <w:color w:val="000000" w:themeColor="text1"/>
          <w:szCs w:val="21"/>
          <w14:textFill>
            <w14:solidFill>
              <w14:schemeClr w14:val="tx1"/>
            </w14:solidFill>
          </w14:textFill>
        </w:rPr>
        <w:t>终结性评价</w:t>
      </w:r>
      <w:r>
        <w:rPr>
          <w:color w:val="000000" w:themeColor="text1"/>
          <w:szCs w:val="21"/>
          <w14:textFill>
            <w14:solidFill>
              <w14:schemeClr w14:val="tx1"/>
            </w14:solidFill>
          </w14:textFill>
        </w:rPr>
        <w:t>（60%）</w:t>
      </w:r>
      <w:r>
        <w:rPr>
          <w:rFonts w:hint="eastAsia"/>
          <w:color w:val="000000" w:themeColor="text1"/>
          <w:szCs w:val="21"/>
          <w14:textFill>
            <w14:solidFill>
              <w14:schemeClr w14:val="tx1"/>
            </w14:solidFill>
          </w14:textFill>
        </w:rPr>
        <w:t>。</w:t>
      </w:r>
    </w:p>
    <w:p>
      <w:pPr>
        <w:spacing w:line="360" w:lineRule="auto"/>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hint="eastAsia" w:ascii="宋体" w:hAnsi="宋体"/>
          <w:b/>
          <w:bCs/>
          <w:kern w:val="36"/>
          <w:sz w:val="28"/>
          <w:szCs w:val="28"/>
        </w:rPr>
      </w:pPr>
      <w:r>
        <w:rPr>
          <w:rFonts w:hint="eastAsia" w:ascii="宋体" w:hAnsi="宋体"/>
          <w:b/>
          <w:bCs/>
          <w:kern w:val="36"/>
          <w:sz w:val="28"/>
          <w:szCs w:val="28"/>
        </w:rPr>
        <w:br w:type="page"/>
      </w:r>
    </w:p>
    <w:p>
      <w:pPr>
        <w:pStyle w:val="2"/>
        <w:bidi w:val="0"/>
        <w:rPr>
          <w:rFonts w:ascii="黑体" w:hAnsi="宋体" w:eastAsia="黑体"/>
          <w:b/>
          <w:bCs/>
          <w:szCs w:val="28"/>
        </w:rPr>
      </w:pPr>
      <w:r>
        <w:rPr>
          <w:rFonts w:hint="eastAsia"/>
        </w:rPr>
        <w:t>园艺学概论</w:t>
      </w:r>
    </w:p>
    <w:p>
      <w:pPr>
        <w:spacing w:line="360" w:lineRule="auto"/>
        <w:jc w:val="center"/>
        <w:rPr>
          <w:rFonts w:hint="eastAsia" w:ascii="Times New Roman" w:hAnsi="Times New Roman"/>
          <w:i/>
          <w:iCs/>
          <w:sz w:val="24"/>
        </w:rPr>
      </w:pPr>
      <w:r>
        <w:rPr>
          <w:rFonts w:hint="eastAsia" w:ascii="宋体" w:hAnsi="宋体"/>
          <w:iCs/>
          <w:sz w:val="24"/>
        </w:rPr>
        <w:t>（</w:t>
      </w:r>
      <w:r>
        <w:rPr>
          <w:rFonts w:hint="eastAsia" w:ascii="Times New Roman" w:hAnsi="Times New Roman"/>
          <w:sz w:val="24"/>
        </w:rPr>
        <w:t>General Horticulture</w:t>
      </w:r>
      <w:r>
        <w:rPr>
          <w:rFonts w:hint="eastAsia" w:ascii="宋体" w:hAnsi="宋体"/>
          <w:iCs/>
          <w:sz w:val="24"/>
        </w:rPr>
        <w:t>）</w:t>
      </w:r>
    </w:p>
    <w:p>
      <w:pPr>
        <w:spacing w:line="360" w:lineRule="auto"/>
        <w:jc w:val="center"/>
        <w:rPr>
          <w:rFonts w:hint="eastAsia" w:ascii="宋体" w:hAnsi="宋体"/>
          <w:b/>
          <w:bCs/>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2507"/>
        <w:gridCol w:w="3349"/>
        <w:gridCol w:w="3260"/>
      </w:tblGrid>
      <w:tr>
        <w:tblPrEx>
          <w:tblCellMar>
            <w:top w:w="0" w:type="dxa"/>
            <w:left w:w="108" w:type="dxa"/>
            <w:bottom w:w="0" w:type="dxa"/>
            <w:right w:w="108" w:type="dxa"/>
          </w:tblCellMar>
        </w:tblPrEx>
        <w:tc>
          <w:tcPr>
            <w:tcW w:w="1375" w:type="pct"/>
            <w:noWrap w:val="0"/>
            <w:vAlign w:val="top"/>
          </w:tcPr>
          <w:p>
            <w:pPr>
              <w:spacing w:line="300" w:lineRule="auto"/>
              <w:rPr>
                <w:rFonts w:hint="default" w:ascii="宋体" w:hAnsi="宋体" w:eastAsia="宋体"/>
                <w:b/>
                <w:bCs/>
                <w:szCs w:val="21"/>
                <w:lang w:val="en-US" w:eastAsia="zh-CN"/>
              </w:rPr>
            </w:pPr>
            <w:r>
              <w:rPr>
                <w:rFonts w:hint="eastAsia" w:ascii="宋体" w:hAnsi="宋体"/>
                <w:b/>
                <w:bCs/>
                <w:szCs w:val="21"/>
              </w:rPr>
              <w:t>课程编号：</w:t>
            </w:r>
            <w:r>
              <w:rPr>
                <w:rFonts w:hint="eastAsia" w:ascii="宋体" w:hAnsi="宋体"/>
                <w:b/>
                <w:bCs/>
                <w:szCs w:val="21"/>
                <w:lang w:val="en-US" w:eastAsia="zh-CN"/>
              </w:rPr>
              <w:t>19011063</w:t>
            </w:r>
          </w:p>
        </w:tc>
        <w:tc>
          <w:tcPr>
            <w:tcW w:w="1837" w:type="pct"/>
            <w:noWrap w:val="0"/>
            <w:vAlign w:val="top"/>
          </w:tcPr>
          <w:p>
            <w:pPr>
              <w:spacing w:line="300" w:lineRule="auto"/>
              <w:rPr>
                <w:rFonts w:ascii="宋体" w:hAnsi="宋体"/>
                <w:b/>
                <w:bCs/>
                <w:szCs w:val="21"/>
              </w:rPr>
            </w:pPr>
            <w:r>
              <w:rPr>
                <w:rFonts w:hint="eastAsia" w:ascii="宋体" w:hAnsi="宋体"/>
                <w:b/>
                <w:bCs/>
                <w:szCs w:val="21"/>
              </w:rPr>
              <w:t>课程总学时：32</w:t>
            </w:r>
          </w:p>
        </w:tc>
        <w:tc>
          <w:tcPr>
            <w:tcW w:w="1786" w:type="pct"/>
            <w:noWrap w:val="0"/>
            <w:vAlign w:val="top"/>
          </w:tcPr>
          <w:p>
            <w:pPr>
              <w:spacing w:line="300" w:lineRule="auto"/>
              <w:rPr>
                <w:rFonts w:ascii="宋体" w:hAnsi="宋体"/>
                <w:b/>
                <w:bCs/>
                <w:szCs w:val="21"/>
              </w:rPr>
            </w:pPr>
            <w:r>
              <w:rPr>
                <w:rFonts w:hint="eastAsia" w:ascii="宋体" w:hAnsi="宋体"/>
                <w:b/>
                <w:bCs/>
                <w:szCs w:val="21"/>
              </w:rPr>
              <w:t>实验学时：0学时</w:t>
            </w:r>
          </w:p>
        </w:tc>
      </w:tr>
      <w:tr>
        <w:tblPrEx>
          <w:tblCellMar>
            <w:top w:w="0" w:type="dxa"/>
            <w:left w:w="108" w:type="dxa"/>
            <w:bottom w:w="0" w:type="dxa"/>
            <w:right w:w="108" w:type="dxa"/>
          </w:tblCellMar>
        </w:tblPrEx>
        <w:tc>
          <w:tcPr>
            <w:tcW w:w="1375" w:type="pct"/>
            <w:noWrap w:val="0"/>
            <w:vAlign w:val="top"/>
          </w:tcPr>
          <w:p>
            <w:pPr>
              <w:spacing w:line="300" w:lineRule="auto"/>
              <w:rPr>
                <w:rFonts w:hint="eastAsia" w:ascii="宋体" w:hAnsi="宋体" w:eastAsia="宋体"/>
                <w:b/>
                <w:bCs/>
                <w:szCs w:val="21"/>
                <w:lang w:val="en-US" w:eastAsia="zh-CN"/>
              </w:rPr>
            </w:pPr>
            <w:r>
              <w:rPr>
                <w:rFonts w:hint="eastAsia" w:ascii="宋体" w:hAnsi="宋体"/>
                <w:b/>
                <w:bCs/>
                <w:szCs w:val="21"/>
              </w:rPr>
              <w:t>课程性质：</w:t>
            </w:r>
            <w:r>
              <w:rPr>
                <w:rFonts w:hint="eastAsia" w:ascii="宋体" w:hAnsi="宋体"/>
                <w:b/>
                <w:bCs/>
                <w:szCs w:val="21"/>
                <w:lang w:val="en-US" w:eastAsia="zh-CN"/>
              </w:rPr>
              <w:t>公共</w:t>
            </w:r>
            <w:r>
              <w:rPr>
                <w:rFonts w:hint="eastAsia" w:ascii="宋体" w:hAnsi="宋体"/>
                <w:b/>
                <w:bCs/>
                <w:szCs w:val="21"/>
              </w:rPr>
              <w:t>选修</w:t>
            </w:r>
            <w:r>
              <w:rPr>
                <w:rFonts w:hint="eastAsia" w:ascii="宋体" w:hAnsi="宋体"/>
                <w:b/>
                <w:bCs/>
                <w:szCs w:val="21"/>
                <w:lang w:val="en-US" w:eastAsia="zh-CN"/>
              </w:rPr>
              <w:t>课</w:t>
            </w:r>
          </w:p>
        </w:tc>
        <w:tc>
          <w:tcPr>
            <w:tcW w:w="1837" w:type="pct"/>
            <w:noWrap w:val="0"/>
            <w:vAlign w:val="top"/>
          </w:tcPr>
          <w:p>
            <w:pPr>
              <w:spacing w:line="300" w:lineRule="auto"/>
              <w:rPr>
                <w:rFonts w:ascii="宋体" w:hAnsi="宋体"/>
                <w:b/>
                <w:bCs/>
                <w:szCs w:val="21"/>
              </w:rPr>
            </w:pPr>
            <w:r>
              <w:rPr>
                <w:rFonts w:hint="eastAsia" w:ascii="宋体" w:hAnsi="宋体"/>
                <w:b/>
                <w:szCs w:val="21"/>
              </w:rPr>
              <w:t>课程属性:基础类</w:t>
            </w:r>
          </w:p>
        </w:tc>
        <w:tc>
          <w:tcPr>
            <w:tcW w:w="1786" w:type="pct"/>
            <w:noWrap w:val="0"/>
            <w:vAlign w:val="top"/>
          </w:tcPr>
          <w:p>
            <w:pPr>
              <w:spacing w:line="300" w:lineRule="auto"/>
              <w:rPr>
                <w:rFonts w:ascii="宋体" w:hAnsi="宋体"/>
                <w:b/>
                <w:bCs/>
                <w:szCs w:val="21"/>
              </w:rPr>
            </w:pPr>
            <w:r>
              <w:rPr>
                <w:rFonts w:hint="eastAsia" w:ascii="宋体" w:hAnsi="宋体"/>
                <w:b/>
                <w:bCs/>
                <w:szCs w:val="21"/>
              </w:rPr>
              <w:t>开设学期：第7学期</w:t>
            </w:r>
          </w:p>
        </w:tc>
      </w:tr>
      <w:tr>
        <w:tblPrEx>
          <w:tblCellMar>
            <w:top w:w="0" w:type="dxa"/>
            <w:left w:w="108" w:type="dxa"/>
            <w:bottom w:w="0" w:type="dxa"/>
            <w:right w:w="108" w:type="dxa"/>
          </w:tblCellMar>
        </w:tblPrEx>
        <w:tc>
          <w:tcPr>
            <w:tcW w:w="1375" w:type="pct"/>
            <w:noWrap w:val="0"/>
            <w:vAlign w:val="top"/>
          </w:tcPr>
          <w:p>
            <w:pPr>
              <w:spacing w:line="300" w:lineRule="auto"/>
              <w:rPr>
                <w:rFonts w:ascii="宋体" w:hAnsi="宋体"/>
                <w:b/>
                <w:bCs/>
                <w:szCs w:val="21"/>
              </w:rPr>
            </w:pPr>
            <w:r>
              <w:rPr>
                <w:rFonts w:hint="eastAsia" w:ascii="宋体" w:hAnsi="宋体"/>
                <w:b/>
                <w:bCs/>
                <w:szCs w:val="21"/>
              </w:rPr>
              <w:t>课程负责人：</w:t>
            </w:r>
            <w:r>
              <w:rPr>
                <w:rFonts w:hint="eastAsia" w:ascii="宋体" w:hAnsi="宋体"/>
                <w:b/>
                <w:bCs/>
                <w:kern w:val="0"/>
              </w:rPr>
              <w:t>郑先波</w:t>
            </w:r>
          </w:p>
        </w:tc>
        <w:tc>
          <w:tcPr>
            <w:tcW w:w="1837" w:type="pct"/>
            <w:noWrap w:val="0"/>
            <w:vAlign w:val="top"/>
          </w:tcPr>
          <w:p>
            <w:pPr>
              <w:spacing w:line="300" w:lineRule="auto"/>
              <w:ind w:right="-170" w:rightChars="-81"/>
              <w:rPr>
                <w:rFonts w:hint="eastAsia" w:ascii="宋体" w:hAnsi="宋体" w:eastAsia="宋体"/>
                <w:b/>
                <w:bCs/>
                <w:szCs w:val="21"/>
                <w:highlight w:val="yellow"/>
                <w:lang w:eastAsia="zh-CN"/>
              </w:rPr>
            </w:pPr>
            <w:r>
              <w:rPr>
                <w:rFonts w:hint="eastAsia" w:ascii="宋体" w:hAnsi="宋体"/>
                <w:b/>
                <w:bCs/>
                <w:szCs w:val="21"/>
              </w:rPr>
              <w:t>课程团队：谭彬、杨路明</w:t>
            </w:r>
            <w:r>
              <w:rPr>
                <w:rFonts w:hint="eastAsia" w:ascii="宋体" w:hAnsi="宋体"/>
                <w:b/>
                <w:bCs/>
                <w:szCs w:val="21"/>
                <w:lang w:eastAsia="zh-CN"/>
              </w:rPr>
              <w:t>、</w:t>
            </w:r>
            <w:r>
              <w:rPr>
                <w:rFonts w:hint="eastAsia" w:ascii="宋体" w:hAnsi="宋体"/>
                <w:b/>
                <w:bCs/>
                <w:szCs w:val="21"/>
              </w:rPr>
              <w:t>肖怀娟、焦健、侯娟、刘珂珂、薛东齐</w:t>
            </w:r>
          </w:p>
        </w:tc>
        <w:tc>
          <w:tcPr>
            <w:tcW w:w="1786" w:type="pct"/>
            <w:noWrap w:val="0"/>
            <w:vAlign w:val="top"/>
          </w:tcPr>
          <w:p>
            <w:pPr>
              <w:spacing w:line="300" w:lineRule="auto"/>
              <w:rPr>
                <w:rFonts w:hint="eastAsia" w:ascii="宋体" w:hAnsi="宋体" w:eastAsia="宋体"/>
                <w:b/>
                <w:bCs/>
                <w:szCs w:val="21"/>
                <w:lang w:eastAsia="zh-CN"/>
              </w:rPr>
            </w:pPr>
            <w:r>
              <w:rPr>
                <w:rFonts w:hint="eastAsia" w:ascii="宋体" w:hAnsi="宋体"/>
                <w:b/>
                <w:bCs/>
                <w:szCs w:val="21"/>
              </w:rPr>
              <w:t>授课语言：</w:t>
            </w:r>
            <w:r>
              <w:rPr>
                <w:rFonts w:hint="eastAsia" w:ascii="宋体" w:hAnsi="宋体"/>
                <w:b/>
                <w:bCs/>
                <w:szCs w:val="21"/>
                <w:lang w:val="en-US" w:eastAsia="zh-CN"/>
              </w:rPr>
              <w:t>中文</w:t>
            </w:r>
          </w:p>
        </w:tc>
      </w:tr>
      <w:tr>
        <w:tblPrEx>
          <w:tblCellMar>
            <w:top w:w="0" w:type="dxa"/>
            <w:left w:w="108" w:type="dxa"/>
            <w:bottom w:w="0" w:type="dxa"/>
            <w:right w:w="108" w:type="dxa"/>
          </w:tblCellMar>
        </w:tblPrEx>
        <w:tc>
          <w:tcPr>
            <w:tcW w:w="5000" w:type="pct"/>
            <w:gridSpan w:val="3"/>
            <w:noWrap w:val="0"/>
            <w:vAlign w:val="top"/>
          </w:tcPr>
          <w:p>
            <w:pPr>
              <w:spacing w:line="300" w:lineRule="auto"/>
              <w:ind w:right="-170" w:rightChars="-81"/>
              <w:rPr>
                <w:rFonts w:ascii="宋体" w:hAnsi="宋体"/>
                <w:bCs/>
                <w:color w:val="0000FF"/>
                <w:szCs w:val="21"/>
              </w:rPr>
            </w:pPr>
            <w:r>
              <w:rPr>
                <w:rFonts w:hint="eastAsia" w:ascii="宋体" w:hAnsi="宋体"/>
                <w:b/>
                <w:bCs/>
                <w:szCs w:val="21"/>
              </w:rPr>
              <w:t>适用专业：非</w:t>
            </w:r>
            <w:r>
              <w:rPr>
                <w:rFonts w:hint="eastAsia" w:ascii="宋体" w:hAnsi="宋体"/>
                <w:b/>
              </w:rPr>
              <w:t>园艺</w:t>
            </w:r>
            <w:r>
              <w:rPr>
                <w:rFonts w:hint="eastAsia" w:ascii="宋体" w:hAnsi="宋体"/>
                <w:b/>
                <w:kern w:val="0"/>
              </w:rPr>
              <w:t>专业类</w:t>
            </w:r>
          </w:p>
        </w:tc>
      </w:tr>
      <w:tr>
        <w:tblPrEx>
          <w:tblCellMar>
            <w:top w:w="0" w:type="dxa"/>
            <w:left w:w="108" w:type="dxa"/>
            <w:bottom w:w="0" w:type="dxa"/>
            <w:right w:w="108" w:type="dxa"/>
          </w:tblCellMar>
        </w:tblPrEx>
        <w:tc>
          <w:tcPr>
            <w:tcW w:w="5000" w:type="pct"/>
            <w:gridSpan w:val="3"/>
            <w:noWrap w:val="0"/>
            <w:vAlign w:val="top"/>
          </w:tcPr>
          <w:p>
            <w:pPr>
              <w:spacing w:line="300" w:lineRule="auto"/>
              <w:rPr>
                <w:rFonts w:ascii="宋体" w:hAnsi="宋体"/>
                <w:b/>
                <w:bCs/>
                <w:szCs w:val="21"/>
              </w:rPr>
            </w:pPr>
            <w:r>
              <w:rPr>
                <w:rFonts w:hint="eastAsia" w:ascii="宋体" w:hAnsi="宋体"/>
                <w:b/>
                <w:bCs/>
                <w:szCs w:val="21"/>
              </w:rPr>
              <w:t>对先修的要求：无</w:t>
            </w:r>
          </w:p>
          <w:p>
            <w:pPr>
              <w:spacing w:line="300" w:lineRule="auto"/>
              <w:rPr>
                <w:rFonts w:ascii="宋体" w:hAnsi="宋体"/>
                <w:b/>
                <w:bCs/>
                <w:szCs w:val="21"/>
              </w:rPr>
            </w:pPr>
            <w:r>
              <w:rPr>
                <w:rFonts w:hint="eastAsia" w:ascii="宋体" w:hAnsi="宋体"/>
                <w:b/>
                <w:bCs/>
                <w:szCs w:val="21"/>
              </w:rPr>
              <w:t>对后续的支撑：无</w:t>
            </w:r>
          </w:p>
        </w:tc>
      </w:tr>
      <w:tr>
        <w:tblPrEx>
          <w:tblCellMar>
            <w:top w:w="0" w:type="dxa"/>
            <w:left w:w="108" w:type="dxa"/>
            <w:bottom w:w="0" w:type="dxa"/>
            <w:right w:w="108" w:type="dxa"/>
          </w:tblCellMar>
        </w:tblPrEx>
        <w:tc>
          <w:tcPr>
            <w:tcW w:w="1375" w:type="pct"/>
            <w:noWrap w:val="0"/>
            <w:vAlign w:val="top"/>
          </w:tcPr>
          <w:p>
            <w:pPr>
              <w:spacing w:line="300" w:lineRule="auto"/>
              <w:rPr>
                <w:rFonts w:ascii="宋体" w:hAnsi="宋体"/>
                <w:b/>
                <w:bCs/>
                <w:szCs w:val="21"/>
              </w:rPr>
            </w:pPr>
            <w:r>
              <w:rPr>
                <w:rFonts w:hint="eastAsia" w:ascii="宋体" w:hAnsi="宋体"/>
                <w:b/>
                <w:bCs/>
                <w:szCs w:val="21"/>
              </w:rPr>
              <w:t>主撰人：</w:t>
            </w:r>
            <w:r>
              <w:rPr>
                <w:rFonts w:hint="eastAsia" w:ascii="宋体" w:hAnsi="宋体"/>
                <w:b/>
                <w:bCs/>
                <w:kern w:val="0"/>
              </w:rPr>
              <w:t>谭彬、杨路明</w:t>
            </w:r>
          </w:p>
        </w:tc>
        <w:tc>
          <w:tcPr>
            <w:tcW w:w="1837" w:type="pct"/>
            <w:noWrap w:val="0"/>
            <w:vAlign w:val="top"/>
          </w:tcPr>
          <w:p>
            <w:pPr>
              <w:spacing w:line="300" w:lineRule="auto"/>
              <w:rPr>
                <w:rFonts w:hint="eastAsia" w:ascii="宋体" w:hAnsi="宋体" w:eastAsia="宋体"/>
                <w:b/>
                <w:bCs/>
                <w:szCs w:val="21"/>
                <w:lang w:eastAsia="zh-CN"/>
              </w:rPr>
            </w:pPr>
            <w:r>
              <w:rPr>
                <w:rFonts w:hint="eastAsia" w:ascii="宋体" w:hAnsi="宋体"/>
                <w:b/>
                <w:bCs/>
                <w:szCs w:val="21"/>
              </w:rPr>
              <w:t>审核人：</w:t>
            </w:r>
            <w:r>
              <w:rPr>
                <w:rFonts w:hint="eastAsia" w:ascii="宋体" w:hAnsi="宋体"/>
                <w:b/>
                <w:bCs/>
                <w:szCs w:val="21"/>
                <w:lang w:val="en-US" w:eastAsia="zh-CN"/>
              </w:rPr>
              <w:t>贾芝琪</w:t>
            </w:r>
          </w:p>
        </w:tc>
        <w:tc>
          <w:tcPr>
            <w:tcW w:w="1786" w:type="pct"/>
            <w:noWrap w:val="0"/>
            <w:vAlign w:val="top"/>
          </w:tcPr>
          <w:p>
            <w:pPr>
              <w:spacing w:line="300" w:lineRule="auto"/>
              <w:rPr>
                <w:rFonts w:ascii="宋体" w:hAnsi="宋体"/>
                <w:b/>
                <w:bCs/>
                <w:szCs w:val="21"/>
              </w:rPr>
            </w:pPr>
            <w:r>
              <w:rPr>
                <w:rFonts w:hint="eastAsia" w:ascii="宋体" w:hAnsi="宋体"/>
                <w:b/>
                <w:bCs/>
                <w:szCs w:val="21"/>
              </w:rPr>
              <w:t>大纲制定（修订）日期：20</w:t>
            </w:r>
            <w:r>
              <w:rPr>
                <w:rFonts w:ascii="宋体" w:hAnsi="宋体"/>
                <w:b/>
                <w:bCs/>
                <w:szCs w:val="21"/>
              </w:rPr>
              <w:t>23</w:t>
            </w:r>
            <w:r>
              <w:rPr>
                <w:rFonts w:hint="eastAsia" w:ascii="宋体" w:hAnsi="宋体"/>
                <w:b/>
                <w:bCs/>
                <w:szCs w:val="21"/>
                <w:lang w:val="en-US" w:eastAsia="zh-CN"/>
              </w:rPr>
              <w:t>.5</w:t>
            </w:r>
          </w:p>
        </w:tc>
      </w:tr>
    </w:tbl>
    <w:p>
      <w:pPr>
        <w:spacing w:line="360" w:lineRule="auto"/>
        <w:jc w:val="center"/>
        <w:rPr>
          <w:rFonts w:hint="eastAsia" w:ascii="宋体" w:hAnsi="宋体"/>
          <w:b/>
          <w:bCs/>
        </w:rPr>
      </w:pPr>
    </w:p>
    <w:p>
      <w:pPr>
        <w:widowControl/>
        <w:adjustRightInd w:val="0"/>
        <w:snapToGrid w:val="0"/>
        <w:spacing w:line="360" w:lineRule="auto"/>
        <w:jc w:val="left"/>
        <w:rPr>
          <w:rFonts w:hint="eastAsia" w:hAnsi="宋体"/>
          <w:b/>
          <w:bCs/>
          <w:kern w:val="0"/>
          <w:szCs w:val="21"/>
        </w:rPr>
      </w:pPr>
      <w:r>
        <w:rPr>
          <w:rFonts w:hAnsi="宋体"/>
          <w:b/>
          <w:bCs/>
          <w:kern w:val="0"/>
          <w:szCs w:val="21"/>
        </w:rPr>
        <w:t>一、课程的</w:t>
      </w:r>
      <w:r>
        <w:rPr>
          <w:rFonts w:hint="eastAsia" w:hAnsi="宋体"/>
          <w:b/>
          <w:bCs/>
          <w:kern w:val="0"/>
          <w:szCs w:val="21"/>
        </w:rPr>
        <w:t>教学理念、性质、目标和</w:t>
      </w:r>
      <w:r>
        <w:rPr>
          <w:rFonts w:hAnsi="宋体"/>
          <w:b/>
          <w:bCs/>
          <w:kern w:val="0"/>
          <w:szCs w:val="21"/>
        </w:rPr>
        <w:t>任务</w:t>
      </w:r>
    </w:p>
    <w:p>
      <w:pPr>
        <w:widowControl/>
        <w:adjustRightInd w:val="0"/>
        <w:snapToGrid w:val="0"/>
        <w:spacing w:line="360" w:lineRule="auto"/>
        <w:ind w:firstLine="420"/>
        <w:jc w:val="left"/>
        <w:rPr>
          <w:rFonts w:hint="eastAsia" w:ascii="宋体" w:hAnsi="宋体"/>
          <w:kern w:val="0"/>
        </w:rPr>
      </w:pPr>
      <w:r>
        <w:rPr>
          <w:rFonts w:hint="eastAsia" w:ascii="宋体" w:hAnsi="宋体"/>
        </w:rPr>
        <w:t>《园艺学概论》是为农科种植类园艺专业以外的其他专业，如农学、植保、农经、</w:t>
      </w:r>
      <w:r>
        <w:rPr>
          <w:rFonts w:hint="eastAsia" w:ascii="宋体" w:hAnsi="宋体"/>
          <w:kern w:val="0"/>
        </w:rPr>
        <w:t>食品、资环等专业学生提供的一门拓展专业类选修课程。园艺学内容包括广泛，有果树、蔬菜和园林等方面，这些内容之下又包括很多内容。本课程将这些内容作了概述性介绍，基础知识部分包括生物学基础、生长发育与环境、园艺植物的分类、园艺植物的生物学特性及其与环境条件的关系、园艺植物的品种选育、改良及繁殖、园艺设施、园艺生产的基本技术、果树园艺、蔬菜园艺、观赏园艺、园艺产品采后处理、贮藏、加工、市场等内容。使学生对园艺学的基本知识、基本理论有所了解和掌握，为进一步学习其它园艺专业课程打下基础。</w:t>
      </w:r>
    </w:p>
    <w:p>
      <w:pPr>
        <w:widowControl/>
        <w:adjustRightInd w:val="0"/>
        <w:snapToGrid w:val="0"/>
        <w:spacing w:line="360" w:lineRule="auto"/>
        <w:ind w:firstLine="420" w:firstLineChars="200"/>
        <w:jc w:val="left"/>
        <w:rPr>
          <w:rFonts w:hint="eastAsia" w:ascii="宋体" w:hAnsi="宋体"/>
        </w:rPr>
      </w:pPr>
      <w:r>
        <w:rPr>
          <w:rFonts w:hint="eastAsia" w:ascii="宋体" w:hAnsi="宋体"/>
          <w:kern w:val="0"/>
        </w:rPr>
        <w:t>本课程目的是使学生对园艺作物特征特性、生长发育特点、繁殖、生产的基本技术、产品采后处理及贮藏的基本方法有一个较为全面的了解。在此基础上，能够利用现代园艺产业的优势和先进的管理技术来关心园艺产业、发展和促进园艺生产，促进学生感知园艺生产的乐趣，创造适宜于园艺生产的基本条件，以获得</w:t>
      </w:r>
      <w:r>
        <w:rPr>
          <w:rFonts w:hint="eastAsia" w:ascii="宋体" w:hAnsi="宋体"/>
        </w:rPr>
        <w:t>和具备一定的园艺生产技艺，成为一个亲近自然和热爱生活的人。</w:t>
      </w:r>
    </w:p>
    <w:p>
      <w:pPr>
        <w:widowControl/>
        <w:snapToGrid w:val="0"/>
        <w:spacing w:line="360" w:lineRule="auto"/>
        <w:jc w:val="left"/>
        <w:rPr>
          <w:kern w:val="0"/>
          <w:szCs w:val="21"/>
        </w:rPr>
      </w:pPr>
      <w:r>
        <w:rPr>
          <w:rFonts w:hAnsi="宋体"/>
          <w:b/>
          <w:bCs/>
          <w:kern w:val="0"/>
          <w:szCs w:val="21"/>
        </w:rPr>
        <w:t>二、课程教学的基本要求</w:t>
      </w:r>
    </w:p>
    <w:p>
      <w:pPr>
        <w:widowControl/>
        <w:adjustRightInd w:val="0"/>
        <w:snapToGrid w:val="0"/>
        <w:spacing w:line="360" w:lineRule="auto"/>
        <w:ind w:firstLine="420" w:firstLineChars="200"/>
        <w:jc w:val="left"/>
        <w:rPr>
          <w:rFonts w:ascii="宋体" w:hAnsi="宋体" w:cs="Calibri"/>
          <w:kern w:val="0"/>
        </w:rPr>
      </w:pPr>
      <w:r>
        <w:rPr>
          <w:rFonts w:hint="eastAsia" w:ascii="宋体" w:hAnsi="宋体"/>
          <w:kern w:val="0"/>
        </w:rPr>
        <w:t>本课程主要通过理论教学达到以下要求：</w:t>
      </w:r>
    </w:p>
    <w:p>
      <w:pPr>
        <w:widowControl/>
        <w:adjustRightInd w:val="0"/>
        <w:snapToGrid w:val="0"/>
        <w:spacing w:line="360" w:lineRule="auto"/>
        <w:ind w:firstLine="420" w:firstLineChars="200"/>
        <w:jc w:val="left"/>
        <w:rPr>
          <w:rFonts w:hint="eastAsia" w:ascii="宋体" w:hAnsi="宋体"/>
          <w:kern w:val="0"/>
        </w:rPr>
      </w:pPr>
      <w:r>
        <w:rPr>
          <w:rFonts w:hint="eastAsia" w:ascii="宋体" w:hAnsi="宋体"/>
          <w:kern w:val="0"/>
        </w:rPr>
        <w:t>认识主要的园艺植物，识别其种类、品种及产品器官。初步掌握园艺植物的生物学特性及其与环境条件的关系、掌握园艺植物的繁殖改良原理及技术、掌握园艺植物的栽培技术，了解园艺产品采后处理与贮藏的技术和方法。</w:t>
      </w:r>
    </w:p>
    <w:p>
      <w:pPr>
        <w:widowControl/>
        <w:snapToGrid w:val="0"/>
        <w:spacing w:line="360" w:lineRule="auto"/>
        <w:jc w:val="left"/>
        <w:rPr>
          <w:rFonts w:hAnsi="宋体"/>
          <w:b/>
          <w:bCs/>
          <w:kern w:val="0"/>
          <w:szCs w:val="21"/>
        </w:rPr>
      </w:pPr>
      <w:r>
        <w:rPr>
          <w:rFonts w:hAnsi="宋体"/>
          <w:b/>
          <w:bCs/>
          <w:kern w:val="0"/>
          <w:szCs w:val="21"/>
        </w:rPr>
        <w:t>三、</w:t>
      </w:r>
      <w:r>
        <w:rPr>
          <w:rFonts w:hint="eastAsia" w:hAnsi="宋体"/>
          <w:b/>
          <w:bCs/>
          <w:kern w:val="0"/>
          <w:szCs w:val="21"/>
        </w:rPr>
        <w:t>课程的教学设计</w:t>
      </w:r>
    </w:p>
    <w:p>
      <w:pPr>
        <w:widowControl/>
        <w:snapToGrid w:val="0"/>
        <w:spacing w:line="360" w:lineRule="auto"/>
        <w:ind w:firstLine="420" w:firstLineChars="200"/>
        <w:jc w:val="left"/>
        <w:rPr>
          <w:rFonts w:hint="eastAsia" w:hAnsi="宋体"/>
          <w:kern w:val="0"/>
          <w:szCs w:val="21"/>
        </w:rPr>
      </w:pPr>
      <w:r>
        <w:rPr>
          <w:rFonts w:hint="eastAsia" w:hAnsi="宋体"/>
          <w:kern w:val="0"/>
          <w:szCs w:val="21"/>
        </w:rPr>
        <w:t>1</w:t>
      </w:r>
      <w:r>
        <w:rPr>
          <w:rFonts w:hAnsi="宋体"/>
          <w:kern w:val="0"/>
          <w:szCs w:val="21"/>
        </w:rPr>
        <w:t>.</w:t>
      </w:r>
      <w:r>
        <w:rPr>
          <w:rFonts w:hint="eastAsia" w:hAnsi="宋体"/>
          <w:kern w:val="0"/>
          <w:szCs w:val="21"/>
        </w:rPr>
        <w:t>教学设计说明</w:t>
      </w:r>
    </w:p>
    <w:p>
      <w:pPr>
        <w:widowControl/>
        <w:adjustRightInd w:val="0"/>
        <w:snapToGrid w:val="0"/>
        <w:spacing w:line="360" w:lineRule="auto"/>
        <w:ind w:firstLine="420" w:firstLineChars="200"/>
        <w:jc w:val="left"/>
        <w:rPr>
          <w:rFonts w:ascii="宋体" w:hAnsi="宋体"/>
          <w:kern w:val="0"/>
        </w:rPr>
      </w:pPr>
      <w:r>
        <w:rPr>
          <w:rFonts w:hint="eastAsia" w:ascii="宋体" w:hAnsi="宋体"/>
          <w:kern w:val="0"/>
        </w:rPr>
        <w:t>本课程采用课堂</w:t>
      </w:r>
      <w:r>
        <w:rPr>
          <w:rFonts w:ascii="Times New Roman" w:hAnsi="宋体"/>
          <w:bCs/>
          <w:kern w:val="0"/>
          <w:szCs w:val="21"/>
        </w:rPr>
        <w:t>讲授</w:t>
      </w:r>
      <w:r>
        <w:rPr>
          <w:rFonts w:hint="eastAsia" w:ascii="宋体" w:hAnsi="宋体"/>
          <w:kern w:val="0"/>
        </w:rPr>
        <w:t>、多媒体教学、音像教学、</w:t>
      </w:r>
      <w:r>
        <w:rPr>
          <w:rFonts w:ascii="Times New Roman" w:hAnsi="宋体"/>
          <w:bCs/>
          <w:kern w:val="0"/>
          <w:szCs w:val="21"/>
        </w:rPr>
        <w:t>小组讨论、翻转课堂</w:t>
      </w:r>
      <w:r>
        <w:rPr>
          <w:rFonts w:hint="eastAsia" w:ascii="Times New Roman" w:hAnsi="宋体"/>
          <w:bCs/>
          <w:kern w:val="0"/>
          <w:szCs w:val="21"/>
        </w:rPr>
        <w:t>等</w:t>
      </w:r>
      <w:r>
        <w:rPr>
          <w:rFonts w:hint="eastAsia" w:ascii="宋体" w:hAnsi="宋体"/>
          <w:kern w:val="0"/>
        </w:rPr>
        <w:t>相结合的方法进行，以加深学习者的印象并开阔视野。在教学过程中力求突出重点、难点精讲，及时补充国内外的新理论、新技术和新品种，使学生及时了解园艺学科的重要进展及发展动向。</w:t>
      </w:r>
    </w:p>
    <w:p>
      <w:pPr>
        <w:widowControl/>
        <w:adjustRightInd w:val="0"/>
        <w:snapToGrid w:val="0"/>
        <w:spacing w:line="360" w:lineRule="auto"/>
        <w:ind w:firstLine="420" w:firstLineChars="200"/>
        <w:jc w:val="left"/>
        <w:rPr>
          <w:rFonts w:ascii="宋体" w:hAnsi="宋体"/>
          <w:kern w:val="0"/>
        </w:rPr>
      </w:pPr>
      <w:r>
        <w:rPr>
          <w:rFonts w:hint="eastAsia" w:ascii="宋体" w:hAnsi="宋体"/>
          <w:kern w:val="0"/>
        </w:rPr>
        <w:t>2</w:t>
      </w:r>
      <w:r>
        <w:rPr>
          <w:rFonts w:ascii="宋体" w:hAnsi="宋体"/>
          <w:kern w:val="0"/>
        </w:rPr>
        <w:t>.</w:t>
      </w:r>
      <w:r>
        <w:rPr>
          <w:rFonts w:hint="eastAsia" w:ascii="宋体" w:hAnsi="宋体"/>
          <w:kern w:val="0"/>
        </w:rPr>
        <w:t>课程目标及对毕业要求的支撑</w:t>
      </w:r>
    </w:p>
    <w:tbl>
      <w:tblPr>
        <w:tblStyle w:val="22"/>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846"/>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E7E6E6"/>
            <w:noWrap w:val="0"/>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6846" w:type="dxa"/>
            <w:tcBorders>
              <w:top w:val="single" w:color="auto" w:sz="4" w:space="0"/>
              <w:left w:val="single" w:color="auto" w:sz="4" w:space="0"/>
              <w:bottom w:val="single" w:color="auto" w:sz="4" w:space="0"/>
              <w:right w:val="single" w:color="auto" w:sz="4" w:space="0"/>
            </w:tcBorders>
            <w:shd w:val="clear" w:color="auto" w:fill="E7E6E6"/>
            <w:noWrap w:val="0"/>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课程目标</w:t>
            </w:r>
          </w:p>
        </w:tc>
        <w:tc>
          <w:tcPr>
            <w:tcW w:w="1052" w:type="dxa"/>
            <w:tcBorders>
              <w:top w:val="single" w:color="auto" w:sz="4" w:space="0"/>
              <w:left w:val="single" w:color="auto" w:sz="4" w:space="0"/>
              <w:bottom w:val="single" w:color="auto" w:sz="4" w:space="0"/>
              <w:right w:val="single" w:color="auto" w:sz="4" w:space="0"/>
            </w:tcBorders>
            <w:shd w:val="clear" w:color="auto" w:fill="E7E6E6"/>
            <w:noWrap w:val="0"/>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eastAsia" w:ascii="宋体" w:hAnsi="宋体" w:eastAsia="宋体" w:cs="宋体"/>
                <w:sz w:val="18"/>
                <w:szCs w:val="18"/>
              </w:rPr>
            </w:pPr>
            <w:r>
              <w:rPr>
                <w:rFonts w:hint="eastAsia" w:ascii="宋体" w:hAnsi="宋体" w:eastAsia="宋体" w:cs="宋体"/>
                <w:sz w:val="18"/>
                <w:szCs w:val="18"/>
              </w:rPr>
              <w:t>1</w:t>
            </w:r>
          </w:p>
        </w:tc>
        <w:tc>
          <w:tcPr>
            <w:tcW w:w="684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left"/>
              <w:rPr>
                <w:rFonts w:hint="eastAsia" w:ascii="宋体" w:hAnsi="宋体" w:eastAsia="宋体" w:cs="宋体"/>
                <w:sz w:val="18"/>
                <w:szCs w:val="18"/>
              </w:rPr>
            </w:pPr>
            <w:r>
              <w:rPr>
                <w:rFonts w:hint="eastAsia" w:ascii="宋体" w:hAnsi="宋体" w:eastAsia="宋体" w:cs="宋体"/>
                <w:sz w:val="18"/>
                <w:szCs w:val="18"/>
              </w:rPr>
              <w:t>目标1：通过课程学习，让同学们对园艺植物的分类、育种、栽培和采后相关知识有一定的了解，并了解园艺产业在农业生产中的重要作用。</w:t>
            </w:r>
          </w:p>
        </w:tc>
        <w:tc>
          <w:tcPr>
            <w:tcW w:w="105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eastAsia" w:ascii="宋体" w:hAnsi="宋体" w:eastAsia="宋体" w:cs="宋体"/>
                <w:sz w:val="18"/>
                <w:szCs w:val="18"/>
              </w:rPr>
            </w:pPr>
            <w:r>
              <w:rPr>
                <w:rFonts w:hint="eastAsia" w:ascii="宋体" w:hAnsi="宋体" w:eastAsia="宋体" w:cs="宋体"/>
                <w:sz w:val="18"/>
                <w:szCs w:val="18"/>
              </w:rPr>
              <w:t>三农情怀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eastAsia" w:ascii="宋体" w:hAnsi="宋体" w:eastAsia="宋体" w:cs="宋体"/>
                <w:sz w:val="18"/>
                <w:szCs w:val="18"/>
              </w:rPr>
            </w:pPr>
            <w:r>
              <w:rPr>
                <w:rFonts w:hint="eastAsia" w:ascii="宋体" w:hAnsi="宋体" w:eastAsia="宋体" w:cs="宋体"/>
                <w:sz w:val="18"/>
                <w:szCs w:val="18"/>
              </w:rPr>
              <w:t>2</w:t>
            </w:r>
          </w:p>
        </w:tc>
        <w:tc>
          <w:tcPr>
            <w:tcW w:w="684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left"/>
              <w:rPr>
                <w:rFonts w:hint="eastAsia" w:ascii="宋体" w:hAnsi="宋体" w:eastAsia="宋体" w:cs="宋体"/>
                <w:sz w:val="18"/>
                <w:szCs w:val="18"/>
                <w:highlight w:val="yellow"/>
              </w:rPr>
            </w:pPr>
            <w:r>
              <w:rPr>
                <w:rFonts w:hint="eastAsia" w:ascii="宋体" w:hAnsi="宋体" w:eastAsia="宋体" w:cs="宋体"/>
                <w:sz w:val="18"/>
                <w:szCs w:val="18"/>
              </w:rPr>
              <w:t>目标2：通过课程的学习，使学生了解到专业学习之外还有更广阔的天地，从而促进学生不断学习新的知识。</w:t>
            </w:r>
          </w:p>
        </w:tc>
        <w:tc>
          <w:tcPr>
            <w:tcW w:w="105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eastAsia" w:ascii="宋体" w:hAnsi="宋体" w:eastAsia="宋体" w:cs="宋体"/>
                <w:sz w:val="18"/>
                <w:szCs w:val="18"/>
              </w:rPr>
            </w:pPr>
            <w:r>
              <w:rPr>
                <w:rFonts w:hint="eastAsia" w:ascii="宋体" w:hAnsi="宋体" w:eastAsia="宋体" w:cs="宋体"/>
                <w:sz w:val="18"/>
                <w:szCs w:val="18"/>
              </w:rPr>
              <w:t>终身学习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999"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eastAsia" w:ascii="宋体" w:hAnsi="宋体" w:eastAsia="宋体" w:cs="宋体"/>
                <w:sz w:val="18"/>
                <w:szCs w:val="18"/>
              </w:rPr>
            </w:pPr>
            <w:r>
              <w:rPr>
                <w:rFonts w:hint="eastAsia" w:ascii="宋体" w:hAnsi="宋体" w:eastAsia="宋体" w:cs="宋体"/>
                <w:sz w:val="18"/>
                <w:szCs w:val="18"/>
              </w:rPr>
              <w:t>3</w:t>
            </w:r>
          </w:p>
        </w:tc>
        <w:tc>
          <w:tcPr>
            <w:tcW w:w="6846"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left"/>
              <w:rPr>
                <w:rFonts w:hint="eastAsia" w:ascii="宋体" w:hAnsi="宋体" w:eastAsia="宋体" w:cs="宋体"/>
                <w:sz w:val="18"/>
                <w:szCs w:val="18"/>
              </w:rPr>
            </w:pPr>
            <w:r>
              <w:rPr>
                <w:rFonts w:hint="eastAsia" w:ascii="宋体" w:hAnsi="宋体" w:eastAsia="宋体" w:cs="宋体"/>
                <w:sz w:val="18"/>
                <w:szCs w:val="18"/>
              </w:rPr>
              <w:t>目标3：通过课程的学习，使学生对我国丰富的园艺植物种质资源和培育的各种园艺植物新品种、先进的栽培技术有一定的了解，从而提高学生的文化自信。</w:t>
            </w:r>
          </w:p>
        </w:tc>
        <w:tc>
          <w:tcPr>
            <w:tcW w:w="1052"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320" w:lineRule="exact"/>
              <w:jc w:val="center"/>
              <w:rPr>
                <w:rFonts w:hint="eastAsia" w:ascii="宋体" w:hAnsi="宋体" w:eastAsia="宋体" w:cs="宋体"/>
                <w:sz w:val="18"/>
                <w:szCs w:val="18"/>
              </w:rPr>
            </w:pPr>
            <w:r>
              <w:rPr>
                <w:rFonts w:hint="eastAsia" w:ascii="宋体" w:hAnsi="宋体" w:eastAsia="宋体" w:cs="宋体"/>
                <w:sz w:val="18"/>
                <w:szCs w:val="18"/>
              </w:rPr>
              <w:t>文化自信</w:t>
            </w:r>
          </w:p>
        </w:tc>
      </w:tr>
    </w:tbl>
    <w:p>
      <w:pPr>
        <w:widowControl/>
        <w:adjustRightInd w:val="0"/>
        <w:snapToGrid w:val="0"/>
        <w:spacing w:line="360" w:lineRule="auto"/>
        <w:ind w:firstLine="420" w:firstLineChars="200"/>
        <w:jc w:val="left"/>
        <w:rPr>
          <w:rFonts w:hint="eastAsia" w:ascii="Times New Roman" w:hAnsi="Times New Roman"/>
          <w:kern w:val="0"/>
        </w:rPr>
      </w:pPr>
    </w:p>
    <w:p>
      <w:pPr>
        <w:widowControl/>
        <w:snapToGrid w:val="0"/>
        <w:spacing w:line="360" w:lineRule="auto"/>
        <w:jc w:val="left"/>
        <w:rPr>
          <w:rFonts w:hAnsi="宋体"/>
          <w:b/>
          <w:bCs/>
          <w:kern w:val="0"/>
          <w:szCs w:val="21"/>
        </w:rPr>
      </w:pPr>
      <w:r>
        <w:rPr>
          <w:rFonts w:hint="eastAsia" w:hAnsi="宋体"/>
          <w:b/>
          <w:bCs/>
          <w:kern w:val="0"/>
          <w:szCs w:val="21"/>
        </w:rPr>
        <w:t>四</w:t>
      </w:r>
      <w:r>
        <w:rPr>
          <w:rFonts w:hAnsi="宋体"/>
          <w:b/>
          <w:bCs/>
          <w:kern w:val="0"/>
          <w:szCs w:val="21"/>
        </w:rPr>
        <w:t>、理论教学内容及学时分配</w:t>
      </w:r>
      <w:r>
        <w:rPr>
          <w:rFonts w:hint="eastAsia" w:hAnsi="宋体"/>
          <w:b/>
          <w:bCs/>
          <w:kern w:val="0"/>
          <w:szCs w:val="21"/>
        </w:rPr>
        <w:t>（32学时）</w:t>
      </w:r>
    </w:p>
    <w:p>
      <w:pPr>
        <w:widowControl/>
        <w:adjustRightInd w:val="0"/>
        <w:snapToGrid w:val="0"/>
        <w:spacing w:line="360" w:lineRule="auto"/>
        <w:ind w:firstLine="3162" w:firstLineChars="1500"/>
        <w:jc w:val="right"/>
        <w:rPr>
          <w:rFonts w:hint="eastAsia" w:ascii="宋体" w:hAnsi="宋体"/>
          <w:b/>
          <w:bCs/>
        </w:rPr>
      </w:pPr>
      <w:r>
        <w:rPr>
          <w:rFonts w:hint="eastAsia" w:ascii="宋体" w:hAnsi="宋体"/>
          <w:b/>
          <w:bCs/>
        </w:rPr>
        <w:t>绪  论                          学时数：</w:t>
      </w:r>
      <w:r>
        <w:rPr>
          <w:rFonts w:ascii="宋体" w:hAnsi="宋体"/>
          <w:b/>
          <w:bCs/>
        </w:rPr>
        <w:t>2</w:t>
      </w:r>
    </w:p>
    <w:p>
      <w:pPr>
        <w:widowControl/>
        <w:snapToGrid w:val="0"/>
        <w:spacing w:line="360" w:lineRule="auto"/>
        <w:rPr>
          <w:rFonts w:hint="eastAsia" w:ascii="Times New Roman" w:hAnsi="Times New Roman"/>
          <w:b/>
          <w:bCs/>
          <w:kern w:val="0"/>
        </w:rPr>
      </w:pPr>
      <w:r>
        <w:rPr>
          <w:rFonts w:hint="eastAsia" w:ascii="宋体" w:hAnsi="宋体"/>
          <w:b/>
          <w:bCs/>
        </w:rPr>
        <w:t>教学目标：</w:t>
      </w:r>
      <w:r>
        <w:rPr>
          <w:rFonts w:hint="eastAsia" w:ascii="宋体" w:hAnsi="宋体"/>
          <w:kern w:val="0"/>
        </w:rPr>
        <w:t>使学生了解园艺学的概念、发展历史及应用领域，熟识园艺科学和技术的重要性。</w:t>
      </w:r>
    </w:p>
    <w:p>
      <w:pPr>
        <w:widowControl/>
        <w:snapToGrid w:val="0"/>
        <w:spacing w:line="360" w:lineRule="auto"/>
        <w:rPr>
          <w:rFonts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重点：园艺学的含义和基本概念及园艺产品在人类生活中的作用，园艺学的发展历程。</w:t>
      </w:r>
    </w:p>
    <w:p>
      <w:pPr>
        <w:widowControl/>
        <w:snapToGrid w:val="0"/>
        <w:spacing w:line="360" w:lineRule="auto"/>
        <w:ind w:left="420" w:leftChars="200"/>
        <w:rPr>
          <w:rFonts w:ascii="Times New Roman" w:hAnsi="Times New Roman"/>
          <w:b/>
          <w:bCs/>
          <w:kern w:val="0"/>
        </w:rPr>
      </w:pPr>
      <w:r>
        <w:rPr>
          <w:rFonts w:hint="eastAsia" w:ascii="宋体" w:hAnsi="宋体"/>
          <w:kern w:val="0"/>
        </w:rPr>
        <w:t>难点：我国园艺业发展现状与存在的问题，园艺学研究其在园艺植物生产中的应用。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firstLine="420" w:firstLineChars="200"/>
        <w:rPr>
          <w:rFonts w:ascii="Times New Roman" w:hAnsi="Times New Roman"/>
          <w:kern w:val="0"/>
        </w:rPr>
      </w:pPr>
      <w:r>
        <w:rPr>
          <w:rFonts w:hint="eastAsia" w:ascii="宋体" w:hAnsi="宋体"/>
          <w:kern w:val="0"/>
        </w:rPr>
        <w:t>了解：园艺学在现代农业生产中的地位，我国园艺植物栽培简史及园艺学的发展简史。</w:t>
      </w:r>
    </w:p>
    <w:p>
      <w:pPr>
        <w:widowControl/>
        <w:snapToGrid w:val="0"/>
        <w:spacing w:line="360" w:lineRule="auto"/>
        <w:ind w:firstLine="420" w:firstLineChars="200"/>
        <w:rPr>
          <w:rFonts w:hint="eastAsia" w:ascii="宋体" w:hAnsi="宋体"/>
          <w:kern w:val="0"/>
        </w:rPr>
      </w:pPr>
      <w:r>
        <w:rPr>
          <w:rFonts w:hint="eastAsia" w:ascii="宋体" w:hAnsi="宋体"/>
          <w:kern w:val="0"/>
        </w:rPr>
        <w:t>掌握：园艺学的概念及分类，园艺科学在园艺植物生产中的应用。</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本章采用课堂讲授、课堂讨论相结合的方式进行，在园艺学理论讲授的基础上，分小组讨论</w:t>
      </w:r>
      <w:r>
        <w:rPr>
          <w:rFonts w:hint="eastAsia" w:ascii="宋体" w:hAnsi="宋体"/>
          <w:kern w:val="0"/>
        </w:rPr>
        <w:t>我国园艺业发展现状与存在的问题</w:t>
      </w:r>
      <w:r>
        <w:rPr>
          <w:rFonts w:hint="eastAsia" w:ascii="Times New Roman" w:hAnsi="Times New Roman"/>
          <w:kern w:val="0"/>
        </w:rPr>
        <w:t>。</w:t>
      </w:r>
    </w:p>
    <w:p>
      <w:pPr>
        <w:widowControl/>
        <w:adjustRightInd w:val="0"/>
        <w:snapToGrid w:val="0"/>
        <w:spacing w:line="360" w:lineRule="auto"/>
        <w:ind w:firstLine="2108" w:firstLineChars="1000"/>
        <w:jc w:val="right"/>
        <w:rPr>
          <w:rFonts w:ascii="宋体" w:hAnsi="宋体"/>
          <w:b/>
          <w:bCs/>
        </w:rPr>
      </w:pPr>
      <w:r>
        <w:rPr>
          <w:rFonts w:hint="eastAsia" w:ascii="宋体" w:hAnsi="宋体"/>
          <w:b/>
          <w:bCs/>
        </w:rPr>
        <w:t>第一章  园艺植物分类与识别                学时数：</w:t>
      </w:r>
      <w:r>
        <w:rPr>
          <w:rFonts w:ascii="宋体" w:hAnsi="宋体"/>
          <w:b/>
          <w:bCs/>
        </w:rPr>
        <w:t>2</w:t>
      </w:r>
    </w:p>
    <w:p>
      <w:pPr>
        <w:widowControl/>
        <w:snapToGrid w:val="0"/>
        <w:spacing w:line="360" w:lineRule="auto"/>
        <w:rPr>
          <w:rFonts w:hint="eastAsia" w:ascii="Times New Roman" w:hAnsi="Times New Roman" w:cs="Calibri"/>
          <w:b/>
          <w:bCs/>
          <w:kern w:val="0"/>
          <w:szCs w:val="21"/>
        </w:rPr>
      </w:pPr>
      <w:r>
        <w:rPr>
          <w:rFonts w:hint="eastAsia" w:ascii="宋体" w:hAnsi="宋体"/>
          <w:b/>
          <w:bCs/>
        </w:rPr>
        <w:t>教学目标：</w:t>
      </w:r>
      <w:r>
        <w:rPr>
          <w:rFonts w:hint="eastAsia" w:ascii="宋体" w:hAnsi="宋体"/>
          <w:kern w:val="0"/>
        </w:rPr>
        <w:t>使学生</w:t>
      </w:r>
      <w:r>
        <w:rPr>
          <w:rFonts w:hint="eastAsia" w:ascii="宋体" w:hAnsi="宋体"/>
          <w:bCs/>
        </w:rPr>
        <w:t>明确</w:t>
      </w:r>
      <w:r>
        <w:rPr>
          <w:rFonts w:hint="eastAsia" w:ascii="宋体" w:hAnsi="宋体"/>
          <w:kern w:val="0"/>
        </w:rPr>
        <w:t>园艺植物分类的概念，了解和掌握园艺植物分类的重要性。</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重点：植物学分类法。</w:t>
      </w:r>
    </w:p>
    <w:p>
      <w:pPr>
        <w:widowControl/>
        <w:snapToGrid w:val="0"/>
        <w:spacing w:line="360" w:lineRule="auto"/>
        <w:ind w:left="420" w:leftChars="200"/>
        <w:rPr>
          <w:rFonts w:ascii="Times New Roman" w:hAnsi="Times New Roman"/>
          <w:b/>
          <w:bCs/>
          <w:kern w:val="0"/>
        </w:rPr>
      </w:pPr>
      <w:r>
        <w:rPr>
          <w:rFonts w:hint="eastAsia" w:ascii="宋体" w:hAnsi="宋体"/>
          <w:kern w:val="0"/>
        </w:rPr>
        <w:t>难点：几种分类法及其在园艺植物生产中的应用。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firstLine="420" w:firstLineChars="200"/>
        <w:rPr>
          <w:rFonts w:ascii="Times New Roman" w:hAnsi="Times New Roman"/>
          <w:kern w:val="0"/>
        </w:rPr>
      </w:pPr>
      <w:r>
        <w:rPr>
          <w:rFonts w:hint="eastAsia" w:ascii="宋体" w:hAnsi="宋体"/>
          <w:kern w:val="0"/>
        </w:rPr>
        <w:t>了解：植物不同分类法的特点。</w:t>
      </w:r>
    </w:p>
    <w:p>
      <w:pPr>
        <w:widowControl/>
        <w:snapToGrid w:val="0"/>
        <w:spacing w:line="360" w:lineRule="auto"/>
        <w:ind w:firstLine="420" w:firstLineChars="200"/>
        <w:rPr>
          <w:rFonts w:hint="eastAsia" w:ascii="宋体" w:hAnsi="宋体"/>
          <w:kern w:val="0"/>
        </w:rPr>
      </w:pPr>
      <w:r>
        <w:rPr>
          <w:rFonts w:hint="eastAsia" w:ascii="宋体" w:hAnsi="宋体"/>
          <w:kern w:val="0"/>
        </w:rPr>
        <w:t>掌握：常见园艺植物的分类法，果、菜、花、茶等园艺植物分类法在园艺植物生产中的应用。</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本章采用课堂讲授、课堂讨论相结合的方式进行，在讲授植物学分类的基础上，分小组讨论</w:t>
      </w:r>
      <w:r>
        <w:rPr>
          <w:rFonts w:hint="eastAsia" w:ascii="宋体" w:hAnsi="宋体"/>
          <w:kern w:val="0"/>
        </w:rPr>
        <w:t>果、菜、花、茶等园艺植物分类法的应用</w:t>
      </w:r>
      <w:r>
        <w:rPr>
          <w:rFonts w:hint="eastAsia" w:ascii="Times New Roman" w:hAnsi="Times New Roman"/>
          <w:kern w:val="0"/>
        </w:rPr>
        <w:t>。</w:t>
      </w:r>
    </w:p>
    <w:p>
      <w:pPr>
        <w:widowControl/>
        <w:adjustRightInd w:val="0"/>
        <w:snapToGrid w:val="0"/>
        <w:spacing w:line="360" w:lineRule="auto"/>
        <w:ind w:firstLine="2108" w:firstLineChars="1000"/>
        <w:jc w:val="right"/>
        <w:rPr>
          <w:rFonts w:ascii="宋体" w:hAnsi="宋体"/>
          <w:b/>
          <w:bCs/>
        </w:rPr>
      </w:pPr>
      <w:r>
        <w:rPr>
          <w:rFonts w:hint="eastAsia" w:ascii="宋体" w:hAnsi="宋体"/>
          <w:b/>
          <w:bCs/>
        </w:rPr>
        <w:t>第二章  园艺植物生物学                 学时数：3</w:t>
      </w:r>
    </w:p>
    <w:p>
      <w:pPr>
        <w:widowControl/>
        <w:snapToGrid w:val="0"/>
        <w:spacing w:line="360" w:lineRule="auto"/>
        <w:rPr>
          <w:rFonts w:hint="eastAsia" w:ascii="Times New Roman" w:hAnsi="Times New Roman"/>
          <w:b/>
          <w:bCs/>
          <w:kern w:val="0"/>
        </w:rPr>
      </w:pPr>
      <w:r>
        <w:rPr>
          <w:rFonts w:hint="eastAsia" w:ascii="宋体" w:hAnsi="宋体"/>
          <w:b/>
          <w:bCs/>
        </w:rPr>
        <w:t>教学目标：</w:t>
      </w:r>
      <w:r>
        <w:rPr>
          <w:rFonts w:hint="eastAsia" w:ascii="宋体" w:hAnsi="宋体"/>
          <w:kern w:val="0"/>
        </w:rPr>
        <w:t>介绍园艺植物生物学主要内容及应用领域，使学生了解植物生长发育的主要规律。</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重点：植物生长和发育的生物学原理。</w:t>
      </w:r>
    </w:p>
    <w:p>
      <w:pPr>
        <w:widowControl/>
        <w:snapToGrid w:val="0"/>
        <w:spacing w:line="360" w:lineRule="auto"/>
        <w:ind w:left="420" w:leftChars="200"/>
        <w:rPr>
          <w:rFonts w:ascii="Times New Roman" w:hAnsi="Times New Roman"/>
          <w:b/>
          <w:bCs/>
          <w:kern w:val="0"/>
        </w:rPr>
      </w:pPr>
      <w:r>
        <w:rPr>
          <w:rFonts w:hint="eastAsia" w:ascii="宋体" w:hAnsi="宋体"/>
          <w:kern w:val="0"/>
        </w:rPr>
        <w:t>难点：影响园艺植物生长发育的环境条件及其在园艺植物生产中的应用。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left="420" w:leftChars="200"/>
        <w:rPr>
          <w:rFonts w:ascii="宋体" w:hAnsi="宋体" w:cs="Calibri"/>
          <w:kern w:val="0"/>
        </w:rPr>
      </w:pPr>
      <w:r>
        <w:rPr>
          <w:rFonts w:hint="eastAsia" w:ascii="宋体" w:hAnsi="宋体"/>
          <w:kern w:val="0"/>
        </w:rPr>
        <w:t>了解：园艺植物器官形态与结构（根、茎、叶、花、果实、种子）。</w:t>
      </w:r>
    </w:p>
    <w:p>
      <w:pPr>
        <w:widowControl/>
        <w:adjustRightInd w:val="0"/>
        <w:snapToGrid w:val="0"/>
        <w:spacing w:line="360" w:lineRule="auto"/>
        <w:ind w:firstLine="420" w:firstLineChars="200"/>
        <w:jc w:val="left"/>
        <w:rPr>
          <w:rFonts w:hint="eastAsia" w:ascii="宋体" w:hAnsi="宋体"/>
          <w:kern w:val="0"/>
        </w:rPr>
      </w:pPr>
      <w:r>
        <w:rPr>
          <w:rFonts w:hint="eastAsia" w:ascii="宋体" w:hAnsi="宋体"/>
          <w:kern w:val="0"/>
        </w:rPr>
        <w:t>掌握：园艺作物生长发育的过程；园艺植物生长发育的理论；园艺植物器官生长相关性；园艺植物对环境条件的要求（温度、光照、水分、土壤与营养、环境污染）。</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本章采用课堂讲授、课堂讨论、翻转课堂相结合的方式进行，在了解</w:t>
      </w:r>
      <w:r>
        <w:rPr>
          <w:rFonts w:hint="eastAsia" w:ascii="宋体" w:hAnsi="宋体"/>
          <w:kern w:val="0"/>
        </w:rPr>
        <w:t>园艺植物器官形态与结构</w:t>
      </w:r>
      <w:r>
        <w:rPr>
          <w:rFonts w:hint="eastAsia" w:ascii="Times New Roman" w:hAnsi="Times New Roman"/>
          <w:kern w:val="0"/>
        </w:rPr>
        <w:t>的基础上，分小组讨论和讲授</w:t>
      </w:r>
      <w:r>
        <w:rPr>
          <w:rFonts w:hint="eastAsia" w:ascii="宋体" w:hAnsi="宋体"/>
          <w:kern w:val="0"/>
        </w:rPr>
        <w:t>园艺植物的生长发育、生长相关等内容</w:t>
      </w:r>
      <w:r>
        <w:rPr>
          <w:rFonts w:hint="eastAsia" w:ascii="Times New Roman" w:hAnsi="Times New Roman"/>
          <w:kern w:val="0"/>
        </w:rPr>
        <w:t>。</w:t>
      </w:r>
    </w:p>
    <w:p>
      <w:pPr>
        <w:widowControl/>
        <w:adjustRightInd w:val="0"/>
        <w:snapToGrid w:val="0"/>
        <w:spacing w:line="360" w:lineRule="auto"/>
        <w:ind w:firstLine="1897" w:firstLineChars="900"/>
        <w:jc w:val="right"/>
        <w:rPr>
          <w:rFonts w:hint="eastAsia" w:ascii="宋体" w:hAnsi="宋体"/>
          <w:b/>
          <w:bCs/>
        </w:rPr>
      </w:pPr>
      <w:r>
        <w:rPr>
          <w:rFonts w:hint="eastAsia" w:ascii="宋体" w:hAnsi="宋体"/>
          <w:b/>
          <w:bCs/>
        </w:rPr>
        <w:t>第三章  园艺植物的品种改良                学时数：3</w:t>
      </w:r>
    </w:p>
    <w:p>
      <w:pPr>
        <w:widowControl/>
        <w:snapToGrid w:val="0"/>
        <w:spacing w:line="360" w:lineRule="auto"/>
        <w:rPr>
          <w:rFonts w:hint="eastAsia" w:ascii="Times New Roman" w:hAnsi="Times New Roman"/>
          <w:b/>
          <w:bCs/>
          <w:kern w:val="0"/>
        </w:rPr>
      </w:pPr>
      <w:r>
        <w:rPr>
          <w:rFonts w:hint="eastAsia" w:ascii="宋体" w:hAnsi="宋体"/>
          <w:b/>
          <w:bCs/>
        </w:rPr>
        <w:t>教学目标：</w:t>
      </w:r>
      <w:r>
        <w:rPr>
          <w:rFonts w:hint="eastAsia" w:ascii="宋体" w:hAnsi="宋体"/>
          <w:kern w:val="0"/>
        </w:rPr>
        <w:t>介绍园艺植物育种学的主要内容及方法，使学生了解育种的主要规律。</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重点：植物品种选育的生物学原理。</w:t>
      </w:r>
    </w:p>
    <w:p>
      <w:pPr>
        <w:widowControl/>
        <w:snapToGrid w:val="0"/>
        <w:spacing w:line="360" w:lineRule="auto"/>
        <w:ind w:left="420" w:leftChars="200"/>
        <w:rPr>
          <w:rFonts w:ascii="Times New Roman" w:hAnsi="Times New Roman"/>
          <w:b/>
          <w:bCs/>
          <w:kern w:val="0"/>
        </w:rPr>
      </w:pPr>
      <w:r>
        <w:rPr>
          <w:rFonts w:hint="eastAsia" w:ascii="宋体" w:hAnsi="宋体"/>
          <w:kern w:val="0"/>
        </w:rPr>
        <w:t>难点：杂种优势利用及其在园艺植物生产中的应用。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adjustRightInd w:val="0"/>
        <w:snapToGrid w:val="0"/>
        <w:spacing w:line="360" w:lineRule="auto"/>
        <w:ind w:firstLine="420" w:firstLineChars="200"/>
        <w:jc w:val="left"/>
        <w:rPr>
          <w:rFonts w:ascii="宋体" w:hAnsi="宋体" w:cs="Calibri"/>
          <w:kern w:val="0"/>
        </w:rPr>
      </w:pPr>
      <w:r>
        <w:rPr>
          <w:rFonts w:hint="eastAsia" w:ascii="宋体" w:hAnsi="宋体"/>
          <w:kern w:val="0"/>
        </w:rPr>
        <w:t>了解：园艺植物育种的主要途径（选种、引种、常规育种、杂种优势利用、其他育种途径），新品种保护及品种审定。</w:t>
      </w:r>
    </w:p>
    <w:p>
      <w:pPr>
        <w:widowControl/>
        <w:adjustRightInd w:val="0"/>
        <w:snapToGrid w:val="0"/>
        <w:spacing w:line="360" w:lineRule="auto"/>
        <w:ind w:firstLine="420" w:firstLineChars="200"/>
        <w:jc w:val="left"/>
        <w:rPr>
          <w:rFonts w:hint="eastAsia" w:ascii="宋体" w:hAnsi="宋体"/>
          <w:kern w:val="0"/>
        </w:rPr>
      </w:pPr>
      <w:r>
        <w:rPr>
          <w:rFonts w:hint="eastAsia" w:ascii="宋体" w:hAnsi="宋体"/>
          <w:kern w:val="0"/>
        </w:rPr>
        <w:t>掌握：园艺植物主要育种途径的生物学原理；园艺植物育种的主要理论和技术。</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本章采用课堂讲授、课堂讨论、翻转课堂相结合的方式进行，在了解</w:t>
      </w:r>
      <w:r>
        <w:rPr>
          <w:rFonts w:hint="eastAsia" w:ascii="宋体" w:hAnsi="宋体"/>
          <w:kern w:val="0"/>
        </w:rPr>
        <w:t>植物品种选育</w:t>
      </w:r>
      <w:r>
        <w:rPr>
          <w:rFonts w:hint="eastAsia" w:ascii="Times New Roman" w:hAnsi="Times New Roman"/>
          <w:kern w:val="0"/>
        </w:rPr>
        <w:t>的基础上，分小组讨论</w:t>
      </w:r>
      <w:r>
        <w:rPr>
          <w:rFonts w:hint="eastAsia" w:ascii="宋体" w:hAnsi="宋体"/>
          <w:kern w:val="0"/>
        </w:rPr>
        <w:t>杂种优势利用及其在园艺植物生产中的应用</w:t>
      </w:r>
      <w:r>
        <w:rPr>
          <w:rFonts w:hint="eastAsia" w:ascii="Times New Roman" w:hAnsi="Times New Roman"/>
          <w:kern w:val="0"/>
        </w:rPr>
        <w:t>。</w:t>
      </w:r>
    </w:p>
    <w:p>
      <w:pPr>
        <w:widowControl/>
        <w:adjustRightInd w:val="0"/>
        <w:snapToGrid w:val="0"/>
        <w:spacing w:line="360" w:lineRule="auto"/>
        <w:ind w:firstLine="632" w:firstLineChars="300"/>
        <w:jc w:val="right"/>
        <w:rPr>
          <w:rFonts w:hint="eastAsia" w:ascii="宋体" w:hAnsi="宋体"/>
          <w:b/>
          <w:bCs/>
        </w:rPr>
      </w:pPr>
      <w:r>
        <w:rPr>
          <w:rFonts w:hint="eastAsia" w:ascii="宋体" w:hAnsi="宋体"/>
          <w:b/>
          <w:bCs/>
        </w:rPr>
        <w:t>第四章  园艺设施及其利用                  学时数：3</w:t>
      </w:r>
    </w:p>
    <w:p>
      <w:pPr>
        <w:widowControl/>
        <w:snapToGrid w:val="0"/>
        <w:spacing w:line="360" w:lineRule="auto"/>
        <w:rPr>
          <w:rFonts w:hint="eastAsia" w:ascii="Times New Roman" w:hAnsi="Times New Roman"/>
          <w:b/>
          <w:bCs/>
          <w:kern w:val="0"/>
        </w:rPr>
      </w:pPr>
      <w:r>
        <w:rPr>
          <w:rFonts w:hint="eastAsia" w:ascii="宋体" w:hAnsi="宋体"/>
          <w:b/>
          <w:bCs/>
        </w:rPr>
        <w:t>教学目标：</w:t>
      </w:r>
      <w:r>
        <w:rPr>
          <w:rFonts w:hint="eastAsia" w:ascii="宋体" w:hAnsi="宋体"/>
          <w:kern w:val="0"/>
        </w:rPr>
        <w:t>介绍园艺设施的主要内容及建造方法，使学生了解设施应用的主要规律。</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重点：无土栽培的生物学原理。</w:t>
      </w:r>
    </w:p>
    <w:p>
      <w:pPr>
        <w:widowControl/>
        <w:snapToGrid w:val="0"/>
        <w:spacing w:line="360" w:lineRule="auto"/>
        <w:ind w:left="420" w:leftChars="200"/>
        <w:rPr>
          <w:rFonts w:ascii="Times New Roman" w:hAnsi="Times New Roman"/>
          <w:b/>
          <w:bCs/>
          <w:kern w:val="0"/>
        </w:rPr>
      </w:pPr>
      <w:r>
        <w:rPr>
          <w:rFonts w:hint="eastAsia" w:ascii="宋体" w:hAnsi="宋体"/>
          <w:kern w:val="0"/>
        </w:rPr>
        <w:t>难点：现代设施的利用及其在园艺植物生产中的应用。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adjustRightInd w:val="0"/>
        <w:snapToGrid w:val="0"/>
        <w:spacing w:line="360" w:lineRule="auto"/>
        <w:ind w:firstLine="420" w:firstLineChars="200"/>
        <w:jc w:val="left"/>
        <w:rPr>
          <w:rFonts w:ascii="宋体" w:hAnsi="宋体" w:cs="Calibri"/>
          <w:kern w:val="0"/>
        </w:rPr>
      </w:pPr>
      <w:r>
        <w:rPr>
          <w:rFonts w:hint="eastAsia" w:ascii="宋体" w:hAnsi="宋体"/>
          <w:kern w:val="0"/>
        </w:rPr>
        <w:t>了解：园艺设施的主要类型（冷床、温床、塑料薄膜拱棚、温室、遮阳网、防虫网覆盖等）。</w:t>
      </w:r>
    </w:p>
    <w:p>
      <w:pPr>
        <w:widowControl/>
        <w:adjustRightInd w:val="0"/>
        <w:snapToGrid w:val="0"/>
        <w:spacing w:line="360" w:lineRule="auto"/>
        <w:ind w:firstLine="420" w:firstLineChars="200"/>
        <w:jc w:val="left"/>
        <w:rPr>
          <w:rFonts w:hint="eastAsia" w:ascii="宋体" w:hAnsi="宋体"/>
          <w:kern w:val="0"/>
        </w:rPr>
      </w:pPr>
      <w:r>
        <w:rPr>
          <w:rFonts w:hint="eastAsia" w:ascii="宋体" w:hAnsi="宋体"/>
          <w:kern w:val="0"/>
        </w:rPr>
        <w:t>掌握：园艺设施主要类型的工作原理；无土栽培及新技术在设施园艺中的应用。</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本章采用课堂讲授、课堂讨论、翻转课堂相结合的方式进行，在了解</w:t>
      </w:r>
      <w:r>
        <w:rPr>
          <w:rFonts w:hint="eastAsia" w:ascii="宋体" w:hAnsi="宋体"/>
          <w:kern w:val="0"/>
        </w:rPr>
        <w:t>无土栽培</w:t>
      </w:r>
      <w:r>
        <w:rPr>
          <w:rFonts w:hint="eastAsia" w:ascii="Times New Roman" w:hAnsi="Times New Roman"/>
          <w:kern w:val="0"/>
        </w:rPr>
        <w:t>的基础上，分小组讨论</w:t>
      </w:r>
      <w:r>
        <w:rPr>
          <w:rFonts w:hint="eastAsia" w:ascii="宋体" w:hAnsi="宋体"/>
          <w:kern w:val="0"/>
        </w:rPr>
        <w:t>现代设施的利用及其在园艺植物生产中的应用</w:t>
      </w:r>
      <w:r>
        <w:rPr>
          <w:rFonts w:hint="eastAsia" w:ascii="Times New Roman" w:hAnsi="Times New Roman"/>
          <w:kern w:val="0"/>
        </w:rPr>
        <w:t>。</w:t>
      </w:r>
    </w:p>
    <w:p>
      <w:pPr>
        <w:widowControl/>
        <w:adjustRightInd w:val="0"/>
        <w:snapToGrid w:val="0"/>
        <w:spacing w:line="360" w:lineRule="auto"/>
        <w:ind w:firstLine="1897" w:firstLineChars="900"/>
        <w:jc w:val="right"/>
        <w:rPr>
          <w:rFonts w:hint="eastAsia" w:ascii="宋体" w:hAnsi="宋体"/>
          <w:b/>
          <w:bCs/>
        </w:rPr>
      </w:pPr>
      <w:r>
        <w:rPr>
          <w:rFonts w:hint="eastAsia" w:ascii="宋体" w:hAnsi="宋体"/>
          <w:b/>
          <w:bCs/>
        </w:rPr>
        <w:t>第五章  园艺生产基本技术               学时数：4</w:t>
      </w:r>
    </w:p>
    <w:p>
      <w:pPr>
        <w:widowControl/>
        <w:snapToGrid w:val="0"/>
        <w:spacing w:line="360" w:lineRule="auto"/>
        <w:rPr>
          <w:rFonts w:hint="eastAsia" w:ascii="Times New Roman" w:hAnsi="Times New Roman"/>
          <w:b/>
          <w:bCs/>
          <w:kern w:val="0"/>
          <w:szCs w:val="21"/>
        </w:rPr>
      </w:pPr>
      <w:r>
        <w:rPr>
          <w:rFonts w:hint="eastAsia" w:ascii="宋体" w:hAnsi="宋体"/>
          <w:b/>
          <w:bCs/>
        </w:rPr>
        <w:t>教学目标：</w:t>
      </w:r>
      <w:r>
        <w:rPr>
          <w:rFonts w:hint="eastAsia" w:ascii="宋体" w:hAnsi="宋体"/>
          <w:kern w:val="0"/>
        </w:rPr>
        <w:t>介绍园艺植物繁殖的主要内容及方法，使学生了解园艺植物生产的主要技术。</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重点：植物生长和发育的生物学原理及其应用；</w:t>
      </w:r>
    </w:p>
    <w:p>
      <w:pPr>
        <w:widowControl/>
        <w:snapToGrid w:val="0"/>
        <w:spacing w:line="360" w:lineRule="auto"/>
        <w:ind w:left="420" w:leftChars="200"/>
        <w:rPr>
          <w:rFonts w:ascii="Times New Roman" w:hAnsi="Times New Roman"/>
          <w:b/>
          <w:bCs/>
          <w:kern w:val="0"/>
        </w:rPr>
      </w:pPr>
      <w:r>
        <w:rPr>
          <w:rFonts w:hint="eastAsia" w:ascii="宋体" w:hAnsi="宋体"/>
          <w:kern w:val="0"/>
        </w:rPr>
        <w:t>难点：影响园艺植物生长发育的环境条件及其在生产中的应用。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left="420" w:leftChars="200"/>
        <w:rPr>
          <w:rFonts w:ascii="宋体" w:hAnsi="宋体" w:cs="Calibri"/>
          <w:kern w:val="0"/>
        </w:rPr>
      </w:pPr>
      <w:r>
        <w:rPr>
          <w:rFonts w:hint="eastAsia" w:ascii="宋体" w:hAnsi="宋体"/>
          <w:kern w:val="0"/>
        </w:rPr>
        <w:t>了解：园艺植物繁殖的类型及方法。</w:t>
      </w:r>
    </w:p>
    <w:p>
      <w:pPr>
        <w:widowControl/>
        <w:adjustRightInd w:val="0"/>
        <w:snapToGrid w:val="0"/>
        <w:spacing w:line="360" w:lineRule="auto"/>
        <w:ind w:firstLine="420" w:firstLineChars="200"/>
        <w:jc w:val="left"/>
        <w:rPr>
          <w:rFonts w:hint="eastAsia" w:ascii="宋体" w:hAnsi="宋体"/>
          <w:kern w:val="0"/>
        </w:rPr>
      </w:pPr>
      <w:r>
        <w:rPr>
          <w:rFonts w:hint="eastAsia" w:ascii="宋体" w:hAnsi="宋体"/>
          <w:kern w:val="0"/>
        </w:rPr>
        <w:t>掌握：常见嫁接技术；园艺植物播种与定植；种植园土壤改良与管理制度；园艺植物的施肥；园艺植物的灌水；园艺植物植株调整与整形修剪技术。</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本章采用课堂讲授、课堂讨论、翻转课堂相结合的方式进行，在了解</w:t>
      </w:r>
      <w:r>
        <w:rPr>
          <w:rFonts w:hint="eastAsia" w:ascii="宋体" w:hAnsi="宋体"/>
          <w:kern w:val="0"/>
        </w:rPr>
        <w:t>园艺植物繁殖的类型及方法</w:t>
      </w:r>
      <w:r>
        <w:rPr>
          <w:rFonts w:hint="eastAsia" w:ascii="Times New Roman" w:hAnsi="Times New Roman"/>
          <w:kern w:val="0"/>
        </w:rPr>
        <w:t>的基础上，分小组讨论和讲授嫁接、栽培管理等技术。</w:t>
      </w:r>
    </w:p>
    <w:p>
      <w:pPr>
        <w:widowControl/>
        <w:adjustRightInd w:val="0"/>
        <w:snapToGrid w:val="0"/>
        <w:spacing w:line="360" w:lineRule="auto"/>
        <w:ind w:firstLine="1897" w:firstLineChars="900"/>
        <w:jc w:val="right"/>
        <w:rPr>
          <w:rFonts w:hint="eastAsia" w:ascii="宋体" w:hAnsi="宋体"/>
          <w:b/>
          <w:bCs/>
        </w:rPr>
      </w:pPr>
      <w:r>
        <w:rPr>
          <w:rFonts w:hint="eastAsia" w:ascii="宋体" w:hAnsi="宋体"/>
          <w:b/>
          <w:bCs/>
        </w:rPr>
        <w:t>第六章  果树园艺                    学时数：4</w:t>
      </w:r>
    </w:p>
    <w:p>
      <w:pPr>
        <w:widowControl/>
        <w:snapToGrid w:val="0"/>
        <w:spacing w:line="360" w:lineRule="auto"/>
        <w:rPr>
          <w:rFonts w:hint="eastAsia" w:ascii="Times New Roman" w:hAnsi="Times New Roman"/>
          <w:b/>
          <w:bCs/>
          <w:kern w:val="0"/>
          <w:szCs w:val="21"/>
        </w:rPr>
      </w:pPr>
      <w:r>
        <w:rPr>
          <w:rFonts w:hint="eastAsia" w:ascii="宋体" w:hAnsi="宋体"/>
          <w:b/>
          <w:bCs/>
        </w:rPr>
        <w:t>教学目标：</w:t>
      </w:r>
      <w:r>
        <w:rPr>
          <w:rFonts w:hint="eastAsia" w:ascii="宋体" w:hAnsi="宋体"/>
          <w:kern w:val="0"/>
        </w:rPr>
        <w:t>介绍北方落叶果树的主要种类，使学生了解常见果树生产的主要技术。</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重点：苹果高品质生产的原理及其应用。</w:t>
      </w:r>
    </w:p>
    <w:p>
      <w:pPr>
        <w:widowControl/>
        <w:snapToGrid w:val="0"/>
        <w:spacing w:line="360" w:lineRule="auto"/>
        <w:ind w:left="420" w:leftChars="200"/>
        <w:rPr>
          <w:rFonts w:ascii="Times New Roman" w:hAnsi="Times New Roman"/>
          <w:b/>
          <w:bCs/>
          <w:kern w:val="0"/>
        </w:rPr>
      </w:pPr>
      <w:r>
        <w:rPr>
          <w:rFonts w:hint="eastAsia" w:ascii="宋体" w:hAnsi="宋体"/>
          <w:kern w:val="0"/>
        </w:rPr>
        <w:t>难点：影响果树品质发育的环境条件及其在生产中的应用。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left="420" w:leftChars="200"/>
        <w:rPr>
          <w:rFonts w:ascii="宋体" w:hAnsi="宋体" w:cs="Calibri"/>
          <w:kern w:val="0"/>
        </w:rPr>
      </w:pPr>
      <w:r>
        <w:rPr>
          <w:rFonts w:hint="eastAsia" w:ascii="宋体" w:hAnsi="宋体"/>
          <w:kern w:val="0"/>
        </w:rPr>
        <w:t>了解：核桃、枣、柿、葡萄的类型及生产应用。</w:t>
      </w:r>
    </w:p>
    <w:p>
      <w:pPr>
        <w:widowControl/>
        <w:snapToGrid w:val="0"/>
        <w:spacing w:line="360" w:lineRule="auto"/>
        <w:ind w:left="420" w:leftChars="200"/>
        <w:rPr>
          <w:rFonts w:hint="eastAsia" w:ascii="宋体" w:hAnsi="宋体"/>
          <w:kern w:val="0"/>
        </w:rPr>
      </w:pPr>
      <w:r>
        <w:rPr>
          <w:rFonts w:hint="eastAsia" w:ascii="宋体" w:hAnsi="宋体"/>
          <w:kern w:val="0"/>
        </w:rPr>
        <w:t>掌握：苹果、桃、葡萄优质化生产的主要技术。</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本章采用课堂讲授、课堂讨论、翻转课堂相结合的方式进行，在学习</w:t>
      </w:r>
      <w:r>
        <w:rPr>
          <w:rFonts w:hint="eastAsia" w:ascii="宋体" w:hAnsi="宋体"/>
          <w:kern w:val="0"/>
        </w:rPr>
        <w:t>核桃、枣、柿、葡萄等北方落叶果树</w:t>
      </w:r>
      <w:r>
        <w:rPr>
          <w:rFonts w:hint="eastAsia" w:ascii="Times New Roman" w:hAnsi="Times New Roman"/>
          <w:kern w:val="0"/>
        </w:rPr>
        <w:t>的基础上，分小组讨论和讲授</w:t>
      </w:r>
      <w:r>
        <w:rPr>
          <w:rFonts w:hint="eastAsia" w:ascii="宋体" w:hAnsi="宋体"/>
          <w:kern w:val="0"/>
        </w:rPr>
        <w:t>苹果、桃、葡萄优质化生产的主要技术</w:t>
      </w:r>
      <w:r>
        <w:rPr>
          <w:rFonts w:hint="eastAsia" w:ascii="Times New Roman" w:hAnsi="Times New Roman"/>
          <w:kern w:val="0"/>
        </w:rPr>
        <w:t>。</w:t>
      </w:r>
    </w:p>
    <w:p>
      <w:pPr>
        <w:widowControl/>
        <w:adjustRightInd w:val="0"/>
        <w:snapToGrid w:val="0"/>
        <w:spacing w:line="360" w:lineRule="auto"/>
        <w:ind w:firstLine="2108" w:firstLineChars="1000"/>
        <w:jc w:val="right"/>
        <w:rPr>
          <w:rFonts w:hint="eastAsia" w:ascii="宋体" w:hAnsi="宋体"/>
          <w:b/>
          <w:bCs/>
        </w:rPr>
      </w:pPr>
      <w:r>
        <w:rPr>
          <w:rFonts w:hint="eastAsia" w:ascii="宋体" w:hAnsi="宋体"/>
          <w:b/>
          <w:bCs/>
        </w:rPr>
        <w:t>第七章  蔬菜园艺                     学时数：4</w:t>
      </w:r>
    </w:p>
    <w:p>
      <w:pPr>
        <w:widowControl/>
        <w:snapToGrid w:val="0"/>
        <w:spacing w:line="360" w:lineRule="auto"/>
        <w:rPr>
          <w:rFonts w:hint="eastAsia" w:ascii="Times New Roman" w:hAnsi="Times New Roman"/>
          <w:b/>
          <w:bCs/>
          <w:kern w:val="0"/>
          <w:szCs w:val="21"/>
        </w:rPr>
      </w:pPr>
      <w:r>
        <w:rPr>
          <w:rFonts w:hint="eastAsia" w:ascii="宋体" w:hAnsi="宋体"/>
          <w:b/>
          <w:bCs/>
        </w:rPr>
        <w:t>教学目标：</w:t>
      </w:r>
      <w:r>
        <w:rPr>
          <w:rFonts w:hint="eastAsia" w:ascii="宋体" w:hAnsi="宋体"/>
          <w:kern w:val="0"/>
        </w:rPr>
        <w:t>介绍主要的蔬菜种类，使学生了解常见蔬菜生产的主要技术。</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重点：提高蔬菜品质生产的原理及其应用。</w:t>
      </w:r>
    </w:p>
    <w:p>
      <w:pPr>
        <w:widowControl/>
        <w:snapToGrid w:val="0"/>
        <w:spacing w:line="360" w:lineRule="auto"/>
        <w:ind w:left="420" w:leftChars="200"/>
        <w:rPr>
          <w:rFonts w:ascii="Times New Roman" w:hAnsi="Times New Roman"/>
          <w:b/>
          <w:bCs/>
          <w:kern w:val="0"/>
        </w:rPr>
      </w:pPr>
      <w:r>
        <w:rPr>
          <w:rFonts w:hint="eastAsia" w:ascii="宋体" w:hAnsi="宋体"/>
          <w:kern w:val="0"/>
        </w:rPr>
        <w:t>难点：影响蔬菜品质发育的环境条件及其在生产中的应用。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left="420" w:leftChars="200"/>
        <w:rPr>
          <w:rFonts w:ascii="宋体" w:hAnsi="宋体" w:cs="Calibri"/>
          <w:kern w:val="0"/>
        </w:rPr>
      </w:pPr>
      <w:r>
        <w:rPr>
          <w:rFonts w:hint="eastAsia" w:ascii="宋体" w:hAnsi="宋体"/>
          <w:kern w:val="0"/>
        </w:rPr>
        <w:t>了解：叶菜类、薯芋类、葱蒜类的生产过程。</w:t>
      </w:r>
    </w:p>
    <w:p>
      <w:pPr>
        <w:widowControl/>
        <w:snapToGrid w:val="0"/>
        <w:spacing w:line="360" w:lineRule="auto"/>
        <w:ind w:left="420" w:leftChars="200"/>
        <w:rPr>
          <w:rFonts w:hint="eastAsia" w:ascii="宋体" w:hAnsi="宋体"/>
          <w:kern w:val="0"/>
        </w:rPr>
      </w:pPr>
      <w:r>
        <w:rPr>
          <w:rFonts w:hint="eastAsia" w:ascii="宋体" w:hAnsi="宋体"/>
          <w:kern w:val="0"/>
        </w:rPr>
        <w:t>掌握：茄果类、瓜类蔬菜优质化生产的主要原理和技术特点。</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本章采用课堂讲授、课堂讨论、翻转课堂相结合的方式进行，在学习</w:t>
      </w:r>
      <w:r>
        <w:rPr>
          <w:rFonts w:hint="eastAsia" w:ascii="宋体" w:hAnsi="宋体"/>
          <w:kern w:val="0"/>
        </w:rPr>
        <w:t>蔬菜品质生产的原理</w:t>
      </w:r>
      <w:r>
        <w:rPr>
          <w:rFonts w:hint="eastAsia" w:ascii="Times New Roman" w:hAnsi="Times New Roman"/>
          <w:kern w:val="0"/>
        </w:rPr>
        <w:t>的基础上，分小组讨论</w:t>
      </w:r>
      <w:r>
        <w:rPr>
          <w:rFonts w:hint="eastAsia" w:ascii="宋体" w:hAnsi="宋体"/>
          <w:kern w:val="0"/>
        </w:rPr>
        <w:t>影响蔬菜品质发育的环境条件及其在生产中的应用</w:t>
      </w:r>
      <w:r>
        <w:rPr>
          <w:rFonts w:hint="eastAsia" w:ascii="Times New Roman" w:hAnsi="Times New Roman"/>
          <w:kern w:val="0"/>
        </w:rPr>
        <w:t>。</w:t>
      </w:r>
    </w:p>
    <w:p>
      <w:pPr>
        <w:widowControl/>
        <w:adjustRightInd w:val="0"/>
        <w:snapToGrid w:val="0"/>
        <w:spacing w:line="360" w:lineRule="auto"/>
        <w:ind w:firstLine="2108" w:firstLineChars="1000"/>
        <w:jc w:val="right"/>
        <w:rPr>
          <w:rFonts w:hint="eastAsia" w:ascii="宋体" w:hAnsi="宋体"/>
          <w:b/>
          <w:bCs/>
        </w:rPr>
      </w:pPr>
      <w:r>
        <w:rPr>
          <w:rFonts w:hint="eastAsia" w:ascii="宋体" w:hAnsi="宋体"/>
          <w:b/>
          <w:bCs/>
        </w:rPr>
        <w:t>第八章  观赏园艺                     学时数：4</w:t>
      </w:r>
    </w:p>
    <w:p>
      <w:pPr>
        <w:widowControl/>
        <w:snapToGrid w:val="0"/>
        <w:spacing w:line="360" w:lineRule="auto"/>
        <w:rPr>
          <w:rFonts w:hint="eastAsia" w:ascii="Times New Roman" w:hAnsi="Times New Roman"/>
          <w:b/>
          <w:bCs/>
          <w:kern w:val="0"/>
          <w:szCs w:val="21"/>
        </w:rPr>
      </w:pPr>
      <w:r>
        <w:rPr>
          <w:rFonts w:hint="eastAsia" w:ascii="宋体" w:hAnsi="宋体"/>
          <w:b/>
          <w:bCs/>
        </w:rPr>
        <w:t>教学目标：</w:t>
      </w:r>
      <w:r>
        <w:rPr>
          <w:rFonts w:hint="eastAsia" w:ascii="宋体" w:hAnsi="宋体"/>
          <w:kern w:val="0"/>
        </w:rPr>
        <w:t>介绍主要的花卉种类，使学生了解常见花卉生产的主要技术。</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重点：我国主要花卉生产区的分布及其特色。</w:t>
      </w:r>
    </w:p>
    <w:p>
      <w:pPr>
        <w:widowControl/>
        <w:snapToGrid w:val="0"/>
        <w:spacing w:line="360" w:lineRule="auto"/>
        <w:ind w:left="420" w:leftChars="200"/>
        <w:rPr>
          <w:rFonts w:ascii="Times New Roman" w:hAnsi="Times New Roman"/>
          <w:b/>
          <w:bCs/>
          <w:kern w:val="0"/>
        </w:rPr>
      </w:pPr>
      <w:r>
        <w:rPr>
          <w:rFonts w:hint="eastAsia" w:ascii="宋体" w:hAnsi="宋体"/>
          <w:kern w:val="0"/>
        </w:rPr>
        <w:t>难点：提高花卉种苗质量的环境条件及其在生产中的应用。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left="420" w:leftChars="200"/>
        <w:rPr>
          <w:rFonts w:ascii="宋体" w:hAnsi="宋体" w:cs="Calibri"/>
          <w:kern w:val="0"/>
        </w:rPr>
      </w:pPr>
      <w:r>
        <w:rPr>
          <w:rFonts w:hint="eastAsia" w:ascii="宋体" w:hAnsi="宋体"/>
          <w:kern w:val="0"/>
        </w:rPr>
        <w:t>了解：木本花卉、室内观叶植物类的生产过程。</w:t>
      </w:r>
    </w:p>
    <w:p>
      <w:pPr>
        <w:widowControl/>
        <w:snapToGrid w:val="0"/>
        <w:spacing w:line="360" w:lineRule="auto"/>
        <w:ind w:left="420" w:leftChars="200"/>
        <w:rPr>
          <w:rFonts w:hint="eastAsia" w:ascii="宋体" w:hAnsi="宋体"/>
          <w:kern w:val="0"/>
        </w:rPr>
      </w:pPr>
      <w:r>
        <w:rPr>
          <w:rFonts w:hint="eastAsia" w:ascii="宋体" w:hAnsi="宋体"/>
          <w:kern w:val="0"/>
        </w:rPr>
        <w:t>掌握：球根花卉类、一二年生花卉类、宿根花卉类优质化生产的主要原理和技术特点。</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rPr>
          <w:rFonts w:ascii="Times New Roman" w:hAnsi="Times New Roman"/>
          <w:b/>
          <w:kern w:val="0"/>
        </w:rPr>
      </w:pPr>
      <w:r>
        <w:rPr>
          <w:rFonts w:hint="eastAsia" w:ascii="Times New Roman" w:hAnsi="Times New Roman"/>
          <w:kern w:val="0"/>
        </w:rPr>
        <w:t>本章采用课堂讲授、课堂讨论相结合的方式进行，在了解</w:t>
      </w:r>
      <w:r>
        <w:rPr>
          <w:rFonts w:hint="eastAsia" w:ascii="宋体" w:hAnsi="宋体"/>
          <w:kern w:val="0"/>
        </w:rPr>
        <w:t>木本花卉生产过程的基础上</w:t>
      </w:r>
      <w:r>
        <w:rPr>
          <w:rFonts w:hint="eastAsia" w:ascii="Times New Roman" w:hAnsi="Times New Roman"/>
          <w:kern w:val="0"/>
        </w:rPr>
        <w:t>，分小组讨论</w:t>
      </w:r>
      <w:r>
        <w:rPr>
          <w:rFonts w:hint="eastAsia" w:ascii="宋体" w:hAnsi="宋体"/>
          <w:kern w:val="0"/>
        </w:rPr>
        <w:t>提高花卉种苗质量的环境条件及其在生产中的应用</w:t>
      </w:r>
      <w:r>
        <w:rPr>
          <w:rFonts w:hint="eastAsia" w:ascii="Times New Roman" w:hAnsi="Times New Roman"/>
          <w:kern w:val="0"/>
        </w:rPr>
        <w:t>。</w:t>
      </w:r>
    </w:p>
    <w:p>
      <w:pPr>
        <w:widowControl/>
        <w:adjustRightInd w:val="0"/>
        <w:snapToGrid w:val="0"/>
        <w:spacing w:line="360" w:lineRule="auto"/>
        <w:ind w:left="1680"/>
        <w:jc w:val="right"/>
        <w:rPr>
          <w:rFonts w:hint="eastAsia" w:ascii="宋体" w:hAnsi="宋体"/>
          <w:b/>
          <w:bCs/>
        </w:rPr>
      </w:pPr>
      <w:r>
        <w:rPr>
          <w:rFonts w:hint="eastAsia" w:ascii="宋体" w:hAnsi="宋体"/>
          <w:b/>
          <w:bCs/>
        </w:rPr>
        <w:t>第九章  园艺产品采后商品处理及贮藏         学时数：3</w:t>
      </w:r>
    </w:p>
    <w:p>
      <w:pPr>
        <w:widowControl/>
        <w:snapToGrid w:val="0"/>
        <w:spacing w:line="360" w:lineRule="auto"/>
        <w:rPr>
          <w:rFonts w:hint="eastAsia" w:ascii="Times New Roman" w:hAnsi="Times New Roman"/>
          <w:b/>
          <w:bCs/>
          <w:kern w:val="0"/>
        </w:rPr>
      </w:pPr>
      <w:r>
        <w:rPr>
          <w:rFonts w:hint="eastAsia" w:ascii="宋体" w:hAnsi="宋体"/>
          <w:b/>
          <w:bCs/>
        </w:rPr>
        <w:t>教学目标：</w:t>
      </w:r>
      <w:r>
        <w:rPr>
          <w:rFonts w:hint="eastAsia" w:ascii="宋体" w:hAnsi="宋体"/>
          <w:kern w:val="0"/>
        </w:rPr>
        <w:t>介绍主要的园艺产品商品处理的方法和种类，使学生了解常见采后处理的主要技术。</w:t>
      </w:r>
    </w:p>
    <w:p>
      <w:pPr>
        <w:widowControl/>
        <w:snapToGrid w:val="0"/>
        <w:spacing w:line="360" w:lineRule="auto"/>
        <w:rPr>
          <w:rFonts w:hint="eastAsia" w:ascii="Times New Roman" w:hAnsi="宋体"/>
          <w:b/>
          <w:bCs/>
        </w:rPr>
      </w:pPr>
      <w:r>
        <w:rPr>
          <w:rFonts w:hint="eastAsia" w:ascii="宋体" w:hAnsi="宋体"/>
          <w:b/>
          <w:bCs/>
        </w:rPr>
        <w:t>教学重点和难点：</w:t>
      </w:r>
    </w:p>
    <w:p>
      <w:pPr>
        <w:widowControl/>
        <w:snapToGrid w:val="0"/>
        <w:spacing w:line="360" w:lineRule="auto"/>
        <w:ind w:left="420" w:leftChars="200"/>
        <w:rPr>
          <w:rFonts w:ascii="Times New Roman" w:hAnsi="宋体"/>
          <w:kern w:val="0"/>
        </w:rPr>
      </w:pPr>
      <w:r>
        <w:rPr>
          <w:rFonts w:hint="eastAsia" w:ascii="宋体" w:hAnsi="宋体"/>
          <w:kern w:val="0"/>
        </w:rPr>
        <w:t>重点：我国主要园艺植物的贮藏方法及其特色；</w:t>
      </w:r>
    </w:p>
    <w:p>
      <w:pPr>
        <w:widowControl/>
        <w:snapToGrid w:val="0"/>
        <w:spacing w:line="360" w:lineRule="auto"/>
        <w:ind w:left="420" w:leftChars="200"/>
        <w:rPr>
          <w:rFonts w:ascii="Times New Roman" w:hAnsi="Times New Roman"/>
          <w:b/>
          <w:bCs/>
          <w:kern w:val="0"/>
        </w:rPr>
      </w:pPr>
      <w:r>
        <w:rPr>
          <w:rFonts w:hint="eastAsia" w:ascii="宋体" w:hAnsi="宋体"/>
          <w:kern w:val="0"/>
        </w:rPr>
        <w:t>难点：提高采后贮藏质量的技术条件及其在生产中的应用。</w:t>
      </w:r>
    </w:p>
    <w:p>
      <w:pPr>
        <w:widowControl/>
        <w:snapToGrid w:val="0"/>
        <w:spacing w:line="360" w:lineRule="auto"/>
        <w:rPr>
          <w:rFonts w:ascii="Times New Roman" w:hAnsi="Times New Roman"/>
          <w:kern w:val="0"/>
        </w:rPr>
      </w:pPr>
      <w:r>
        <w:rPr>
          <w:rFonts w:hint="eastAsia" w:ascii="宋体" w:hAnsi="宋体"/>
          <w:b/>
          <w:bCs/>
        </w:rPr>
        <w:t>主要教学内容及要求：</w:t>
      </w:r>
    </w:p>
    <w:p>
      <w:pPr>
        <w:widowControl/>
        <w:snapToGrid w:val="0"/>
        <w:spacing w:line="360" w:lineRule="auto"/>
        <w:ind w:left="420" w:leftChars="200"/>
        <w:rPr>
          <w:rFonts w:ascii="宋体" w:hAnsi="宋体" w:cs="Calibri"/>
          <w:kern w:val="0"/>
        </w:rPr>
      </w:pPr>
      <w:r>
        <w:rPr>
          <w:rFonts w:hint="eastAsia" w:ascii="宋体" w:hAnsi="宋体"/>
          <w:kern w:val="0"/>
        </w:rPr>
        <w:t>了解：采后处理的主要生产过程（分级、包装、预冷及其他采后处理）。</w:t>
      </w:r>
    </w:p>
    <w:p>
      <w:pPr>
        <w:widowControl/>
        <w:snapToGrid w:val="0"/>
        <w:spacing w:line="360" w:lineRule="auto"/>
        <w:ind w:left="420" w:leftChars="200"/>
        <w:rPr>
          <w:rFonts w:hint="eastAsia" w:ascii="宋体" w:hAnsi="宋体"/>
          <w:kern w:val="0"/>
        </w:rPr>
      </w:pPr>
      <w:r>
        <w:rPr>
          <w:rFonts w:hint="eastAsia" w:ascii="宋体" w:hAnsi="宋体"/>
          <w:kern w:val="0"/>
        </w:rPr>
        <w:t>掌握：简易贮藏、通风贮藏库、机械冷藏、气调贮藏的主要原理和技术特点。</w:t>
      </w:r>
    </w:p>
    <w:p>
      <w:pPr>
        <w:widowControl/>
        <w:snapToGrid w:val="0"/>
        <w:spacing w:line="360" w:lineRule="auto"/>
        <w:rPr>
          <w:rFonts w:hint="eastAsia" w:ascii="Times New Roman" w:hAnsi="Times New Roman"/>
          <w:b/>
          <w:kern w:val="0"/>
        </w:rPr>
      </w:pPr>
      <w:r>
        <w:rPr>
          <w:rFonts w:hint="eastAsia" w:ascii="Times New Roman" w:hAnsi="Times New Roman"/>
          <w:b/>
          <w:kern w:val="0"/>
        </w:rPr>
        <w:t>教学组织与实施：</w:t>
      </w:r>
    </w:p>
    <w:p>
      <w:pPr>
        <w:widowControl/>
        <w:snapToGrid w:val="0"/>
        <w:spacing w:line="360" w:lineRule="auto"/>
        <w:ind w:firstLine="420" w:firstLineChars="200"/>
        <w:rPr>
          <w:rFonts w:ascii="Times New Roman" w:hAnsi="Times New Roman"/>
          <w:kern w:val="0"/>
        </w:rPr>
      </w:pPr>
      <w:r>
        <w:rPr>
          <w:rFonts w:hint="eastAsia" w:ascii="Times New Roman" w:hAnsi="Times New Roman"/>
          <w:kern w:val="0"/>
        </w:rPr>
        <w:t>本章采用课堂讲授、课堂讨论、翻转课堂相结合的方式进行，在学习</w:t>
      </w:r>
      <w:r>
        <w:rPr>
          <w:rFonts w:hint="eastAsia" w:ascii="宋体" w:hAnsi="宋体"/>
          <w:kern w:val="0"/>
        </w:rPr>
        <w:t>园艺植物主要贮藏方法</w:t>
      </w:r>
      <w:r>
        <w:rPr>
          <w:rFonts w:hint="eastAsia" w:ascii="Times New Roman" w:hAnsi="Times New Roman"/>
          <w:kern w:val="0"/>
        </w:rPr>
        <w:t>的基础上，分小组讨论</w:t>
      </w:r>
      <w:r>
        <w:rPr>
          <w:rFonts w:hint="eastAsia" w:ascii="宋体" w:hAnsi="宋体"/>
          <w:kern w:val="0"/>
        </w:rPr>
        <w:t>提高采后贮藏质量的技术条件及其在生产中的应用</w:t>
      </w:r>
      <w:r>
        <w:rPr>
          <w:rFonts w:hint="eastAsia" w:ascii="Times New Roman" w:hAnsi="Times New Roman"/>
          <w:kern w:val="0"/>
        </w:rPr>
        <w:t>。</w:t>
      </w:r>
    </w:p>
    <w:p>
      <w:pPr>
        <w:widowControl/>
        <w:snapToGrid w:val="0"/>
        <w:spacing w:line="360" w:lineRule="auto"/>
        <w:rPr>
          <w:rFonts w:ascii="宋体" w:hAnsi="宋体"/>
          <w:b/>
          <w:bCs/>
        </w:rPr>
      </w:pPr>
      <w:r>
        <w:rPr>
          <w:rFonts w:hint="eastAsia" w:ascii="宋体" w:hAnsi="宋体"/>
          <w:b/>
          <w:bCs/>
        </w:rPr>
        <w:t>五、课程思政</w:t>
      </w:r>
    </w:p>
    <w:p>
      <w:pPr>
        <w:widowControl/>
        <w:snapToGrid w:val="0"/>
        <w:spacing w:line="360" w:lineRule="auto"/>
        <w:ind w:firstLine="420" w:firstLineChars="200"/>
        <w:rPr>
          <w:rFonts w:hint="eastAsia" w:ascii="Times New Roman" w:hAnsi="Times New Roman"/>
          <w:kern w:val="0"/>
        </w:rPr>
      </w:pPr>
      <w:r>
        <w:rPr>
          <w:rFonts w:hint="eastAsia" w:ascii="Times New Roman" w:hAnsi="Times New Roman"/>
          <w:kern w:val="0"/>
        </w:rPr>
        <w:t>将思政教育融入“园艺学概论”专业课程教学中，潜移默化地引领学生思想观念和价值追求，培养学生的“大国三农”情怀，增强学生的专业认同感，从而满足“新农科”人才培养的建设发展需求。如在讲授“园艺植物分类”的内容时，通过园艺植物流失国外的案例，使学生明白园艺植物资源的可贵以及加强学生生态文明教育；在讲授“园艺植物品种改良”内容的重要性时，引入育种的失败案例———水葫芦的盲目引种，告诉学生育种目标的重要性以及在水葫芦的后续治理过程中国人的智慧，同时可结合本校的科研实际情况，介绍同学们身边的最新科技成果，为同学们创设情境：“如果出现这样的问题，你会怎么做？”“如果有了这样的技术，我们还能做什么？”等多种形式，引发学生思考，在丰富课程内容的同时，增加了课程的难度和拓展了广度，以及如何利用最新的科技成果促进当地农业现代化转型等，都是未来学生们需要思考的方向。</w:t>
      </w:r>
    </w:p>
    <w:p>
      <w:pPr>
        <w:widowControl/>
        <w:snapToGrid w:val="0"/>
        <w:spacing w:line="360" w:lineRule="auto"/>
        <w:rPr>
          <w:rFonts w:hint="eastAsia" w:ascii="Times New Roman" w:hAnsi="宋体"/>
          <w:b/>
          <w:bCs/>
        </w:rPr>
      </w:pPr>
      <w:r>
        <w:rPr>
          <w:rFonts w:hint="eastAsia" w:ascii="宋体" w:hAnsi="宋体"/>
          <w:b/>
          <w:bCs/>
        </w:rPr>
        <w:t>六、教材及教学参考书</w:t>
      </w:r>
    </w:p>
    <w:p>
      <w:pPr>
        <w:widowControl/>
        <w:snapToGrid w:val="0"/>
        <w:spacing w:line="360" w:lineRule="auto"/>
        <w:ind w:firstLine="422" w:firstLineChars="200"/>
        <w:jc w:val="left"/>
        <w:rPr>
          <w:rFonts w:hAnsi="宋体"/>
          <w:b/>
          <w:bCs/>
          <w:kern w:val="0"/>
          <w:szCs w:val="21"/>
        </w:rPr>
      </w:pPr>
      <w:r>
        <w:rPr>
          <w:b/>
          <w:bCs/>
          <w:kern w:val="0"/>
          <w:szCs w:val="21"/>
        </w:rPr>
        <w:t>1</w:t>
      </w:r>
      <w:r>
        <w:rPr>
          <w:rFonts w:hint="eastAsia" w:hAnsi="宋体"/>
          <w:b/>
          <w:bCs/>
          <w:kern w:val="0"/>
          <w:szCs w:val="21"/>
        </w:rPr>
        <w:t>.选用</w:t>
      </w:r>
      <w:r>
        <w:rPr>
          <w:rFonts w:hAnsi="宋体"/>
          <w:b/>
          <w:bCs/>
          <w:kern w:val="0"/>
          <w:szCs w:val="21"/>
        </w:rPr>
        <w:t>教材：</w:t>
      </w:r>
    </w:p>
    <w:p>
      <w:pPr>
        <w:widowControl/>
        <w:snapToGrid w:val="0"/>
        <w:spacing w:line="360" w:lineRule="auto"/>
        <w:ind w:left="420" w:leftChars="200"/>
        <w:rPr>
          <w:rFonts w:hint="eastAsia" w:ascii="宋体" w:hAnsi="宋体"/>
          <w:kern w:val="0"/>
        </w:rPr>
      </w:pPr>
      <w:r>
        <w:rPr>
          <w:rFonts w:hint="eastAsia" w:ascii="宋体" w:hAnsi="宋体"/>
          <w:kern w:val="0"/>
        </w:rPr>
        <w:t>（1）理论课教材：园艺学概论(第二版)，程智慧编著，中国农业出版社，2003年</w:t>
      </w:r>
    </w:p>
    <w:p>
      <w:pPr>
        <w:widowControl/>
        <w:snapToGrid w:val="0"/>
        <w:spacing w:line="360" w:lineRule="auto"/>
        <w:ind w:firstLine="422" w:firstLineChars="200"/>
        <w:jc w:val="left"/>
        <w:rPr>
          <w:kern w:val="0"/>
          <w:szCs w:val="21"/>
        </w:rPr>
      </w:pPr>
      <w:r>
        <w:rPr>
          <w:b/>
          <w:bCs/>
          <w:kern w:val="0"/>
          <w:szCs w:val="21"/>
        </w:rPr>
        <w:t>2</w:t>
      </w:r>
      <w:r>
        <w:rPr>
          <w:rFonts w:hint="eastAsia" w:hAnsi="宋体"/>
          <w:b/>
          <w:bCs/>
          <w:kern w:val="0"/>
          <w:szCs w:val="21"/>
        </w:rPr>
        <w:t>.</w:t>
      </w:r>
      <w:r>
        <w:rPr>
          <w:rFonts w:hAnsi="宋体"/>
          <w:b/>
          <w:bCs/>
          <w:kern w:val="0"/>
          <w:szCs w:val="21"/>
        </w:rPr>
        <w:t>参考书：</w:t>
      </w:r>
    </w:p>
    <w:p>
      <w:pPr>
        <w:widowControl/>
        <w:snapToGrid w:val="0"/>
        <w:spacing w:line="360" w:lineRule="auto"/>
        <w:ind w:left="420" w:leftChars="200"/>
        <w:rPr>
          <w:rFonts w:hint="eastAsia" w:ascii="宋体" w:hAnsi="宋体"/>
          <w:kern w:val="0"/>
        </w:rPr>
      </w:pPr>
      <w:r>
        <w:rPr>
          <w:rFonts w:hint="eastAsia" w:ascii="宋体" w:hAnsi="宋体"/>
          <w:kern w:val="0"/>
        </w:rPr>
        <w:t>（1）园艺学概论,何志华,重庆大学出版社,2014年</w:t>
      </w:r>
    </w:p>
    <w:p>
      <w:pPr>
        <w:widowControl/>
        <w:snapToGrid w:val="0"/>
        <w:spacing w:line="360" w:lineRule="auto"/>
        <w:ind w:left="420" w:leftChars="200"/>
        <w:rPr>
          <w:rFonts w:hint="eastAsia" w:ascii="宋体" w:hAnsi="宋体"/>
          <w:kern w:val="0"/>
        </w:rPr>
      </w:pPr>
      <w:r>
        <w:rPr>
          <w:rFonts w:hint="eastAsia" w:ascii="宋体" w:hAnsi="宋体"/>
          <w:kern w:val="0"/>
        </w:rPr>
        <w:t>（2）果树栽培学总论(第四版)，张玉星，中国农业出版社，2018年</w:t>
      </w:r>
    </w:p>
    <w:p>
      <w:pPr>
        <w:widowControl/>
        <w:snapToGrid w:val="0"/>
        <w:spacing w:line="360" w:lineRule="auto"/>
        <w:ind w:left="420" w:leftChars="200"/>
        <w:rPr>
          <w:rFonts w:hint="eastAsia" w:ascii="宋体" w:hAnsi="宋体"/>
          <w:kern w:val="0"/>
        </w:rPr>
      </w:pPr>
      <w:r>
        <w:rPr>
          <w:rFonts w:hint="eastAsia" w:ascii="宋体" w:hAnsi="宋体"/>
          <w:kern w:val="0"/>
        </w:rPr>
        <w:t>（3）蔬菜栽培学总论(第二版)，程智慧，科学出版社，2019年</w:t>
      </w:r>
    </w:p>
    <w:p>
      <w:pPr>
        <w:widowControl/>
        <w:snapToGrid w:val="0"/>
        <w:spacing w:line="360" w:lineRule="auto"/>
        <w:ind w:left="420" w:leftChars="200"/>
        <w:rPr>
          <w:rFonts w:hint="eastAsia" w:ascii="宋体" w:hAnsi="宋体"/>
          <w:kern w:val="0"/>
        </w:rPr>
      </w:pPr>
      <w:r>
        <w:rPr>
          <w:rFonts w:hint="eastAsia" w:ascii="宋体" w:hAnsi="宋体"/>
          <w:kern w:val="0"/>
        </w:rPr>
        <w:t>（4）花卉学，王奎玲，化学工业出版社，2016年</w:t>
      </w:r>
    </w:p>
    <w:p>
      <w:pPr>
        <w:widowControl/>
        <w:snapToGrid w:val="0"/>
        <w:spacing w:line="360" w:lineRule="auto"/>
        <w:ind w:firstLine="422" w:firstLineChars="200"/>
        <w:jc w:val="left"/>
        <w:rPr>
          <w:b/>
          <w:kern w:val="0"/>
          <w:szCs w:val="21"/>
        </w:rPr>
      </w:pPr>
      <w:r>
        <w:rPr>
          <w:rFonts w:hint="eastAsia"/>
          <w:b/>
          <w:kern w:val="0"/>
          <w:szCs w:val="21"/>
        </w:rPr>
        <w:t>3.推荐网站（线上资源）：</w:t>
      </w:r>
    </w:p>
    <w:p>
      <w:pPr>
        <w:widowControl/>
        <w:snapToGrid w:val="0"/>
        <w:spacing w:line="360" w:lineRule="auto"/>
        <w:ind w:left="420" w:leftChars="200"/>
        <w:rPr>
          <w:rFonts w:ascii="宋体" w:hAnsi="宋体"/>
          <w:kern w:val="0"/>
        </w:rPr>
      </w:pPr>
      <w:r>
        <w:rPr>
          <w:rFonts w:hint="eastAsia" w:ascii="宋体" w:hAnsi="宋体"/>
          <w:kern w:val="0"/>
        </w:rPr>
        <w:t>（1）中国农业大学园艺学概论公开课，</w:t>
      </w:r>
      <w:r>
        <w:rPr>
          <w:rFonts w:ascii="宋体" w:hAnsi="宋体"/>
          <w:kern w:val="0"/>
        </w:rPr>
        <w:t>http://www.xxw001.com/show.php?id=1651</w:t>
      </w:r>
    </w:p>
    <w:p>
      <w:pPr>
        <w:widowControl/>
        <w:snapToGrid w:val="0"/>
        <w:spacing w:line="360" w:lineRule="auto"/>
        <w:jc w:val="left"/>
        <w:rPr>
          <w:rFonts w:hAnsi="宋体"/>
          <w:b/>
          <w:bCs/>
          <w:kern w:val="0"/>
          <w:szCs w:val="21"/>
        </w:rPr>
      </w:pPr>
      <w:r>
        <w:rPr>
          <w:rFonts w:hint="eastAsia" w:hAnsi="宋体"/>
          <w:b/>
          <w:bCs/>
          <w:kern w:val="0"/>
          <w:szCs w:val="21"/>
        </w:rPr>
        <w:t>七</w:t>
      </w:r>
      <w:r>
        <w:rPr>
          <w:rFonts w:hAnsi="宋体"/>
          <w:b/>
          <w:bCs/>
          <w:kern w:val="0"/>
          <w:szCs w:val="21"/>
        </w:rPr>
        <w:t>、</w:t>
      </w:r>
      <w:r>
        <w:rPr>
          <w:rFonts w:hint="eastAsia" w:hAnsi="宋体"/>
          <w:b/>
          <w:bCs/>
          <w:kern w:val="0"/>
          <w:szCs w:val="21"/>
        </w:rPr>
        <w:t>教学条件</w:t>
      </w:r>
    </w:p>
    <w:p>
      <w:pPr>
        <w:widowControl/>
        <w:adjustRightInd w:val="0"/>
        <w:snapToGrid w:val="0"/>
        <w:spacing w:line="360" w:lineRule="auto"/>
        <w:ind w:firstLine="420" w:firstLineChars="200"/>
        <w:jc w:val="left"/>
        <w:rPr>
          <w:rFonts w:hint="eastAsia" w:ascii="宋体" w:hAnsi="宋体"/>
          <w:kern w:val="0"/>
          <w:szCs w:val="21"/>
        </w:rPr>
      </w:pPr>
      <w:r>
        <w:rPr>
          <w:rFonts w:hint="eastAsia" w:ascii="宋体" w:hAnsi="宋体"/>
          <w:kern w:val="0"/>
          <w:szCs w:val="21"/>
        </w:rPr>
        <w:t>1．课程师资情况：园艺学概论课题组现有教师6人承担授课任务，每年该课程开设1-2个班级，充足的师资能够保证正常的授课计划。</w:t>
      </w:r>
    </w:p>
    <w:p>
      <w:pPr>
        <w:widowControl/>
        <w:adjustRightInd w:val="0"/>
        <w:snapToGrid w:val="0"/>
        <w:spacing w:line="360" w:lineRule="auto"/>
        <w:ind w:firstLine="420" w:firstLineChars="200"/>
        <w:jc w:val="left"/>
        <w:rPr>
          <w:rFonts w:hint="eastAsia" w:ascii="宋体" w:hAnsi="宋体"/>
          <w:kern w:val="0"/>
          <w:szCs w:val="21"/>
        </w:rPr>
      </w:pPr>
      <w:r>
        <w:rPr>
          <w:rFonts w:hint="eastAsia" w:ascii="宋体" w:hAnsi="宋体"/>
          <w:kern w:val="0"/>
          <w:szCs w:val="21"/>
        </w:rPr>
        <w:t>2．授课场地条件：授课教室选用多媒体教室进行，具有一定的</w:t>
      </w:r>
      <w:r>
        <w:rPr>
          <w:rFonts w:hint="eastAsia" w:ascii="宋体" w:hAnsi="宋体"/>
          <w:kern w:val="0"/>
        </w:rPr>
        <w:t>音像教学资料</w:t>
      </w:r>
      <w:r>
        <w:rPr>
          <w:rFonts w:hint="eastAsia" w:ascii="宋体" w:hAnsi="宋体"/>
          <w:kern w:val="0"/>
          <w:szCs w:val="21"/>
        </w:rPr>
        <w:t>。</w:t>
      </w:r>
    </w:p>
    <w:p>
      <w:pPr>
        <w:widowControl/>
        <w:snapToGrid w:val="0"/>
        <w:spacing w:line="360" w:lineRule="auto"/>
        <w:jc w:val="left"/>
        <w:rPr>
          <w:rFonts w:hAnsi="宋体"/>
          <w:b/>
          <w:bCs/>
          <w:kern w:val="0"/>
          <w:szCs w:val="21"/>
        </w:rPr>
      </w:pPr>
      <w:r>
        <w:rPr>
          <w:rFonts w:hint="eastAsia" w:hAnsi="宋体"/>
          <w:b/>
          <w:bCs/>
          <w:kern w:val="0"/>
          <w:szCs w:val="21"/>
        </w:rPr>
        <w:t>八、教学考核评价</w:t>
      </w:r>
    </w:p>
    <w:p>
      <w:pPr>
        <w:widowControl/>
        <w:snapToGrid w:val="0"/>
        <w:spacing w:line="360" w:lineRule="auto"/>
        <w:ind w:firstLine="420"/>
        <w:jc w:val="left"/>
        <w:rPr>
          <w:rFonts w:ascii="Times New Roman" w:hAnsi="Times New Roman"/>
          <w:kern w:val="0"/>
          <w:szCs w:val="21"/>
        </w:rPr>
      </w:pPr>
      <w:r>
        <w:rPr>
          <w:rFonts w:ascii="Times New Roman" w:hAnsi="Times New Roman"/>
          <w:b/>
          <w:bCs/>
          <w:kern w:val="0"/>
          <w:szCs w:val="21"/>
        </w:rPr>
        <w:t>1.过程性评价：</w:t>
      </w:r>
      <w:r>
        <w:rPr>
          <w:rFonts w:ascii="Times New Roman" w:hAnsi="Times New Roman"/>
          <w:kern w:val="0"/>
          <w:szCs w:val="21"/>
        </w:rPr>
        <w:t>任课教师在授课过程中及时记录学生的</w:t>
      </w:r>
      <w:r>
        <w:rPr>
          <w:rFonts w:ascii="Times New Roman" w:hAnsi="Times New Roman"/>
          <w:color w:val="353535"/>
          <w:kern w:val="0"/>
          <w:szCs w:val="21"/>
        </w:rPr>
        <w:t>课堂提问、</w:t>
      </w:r>
      <w:r>
        <w:rPr>
          <w:rFonts w:ascii="Times New Roman" w:hAnsi="Times New Roman"/>
          <w:kern w:val="0"/>
          <w:szCs w:val="21"/>
          <w:lang w:val="zh-CN"/>
        </w:rPr>
        <w:t>小</w:t>
      </w:r>
      <w:r>
        <w:rPr>
          <w:rFonts w:ascii="Times New Roman" w:hAnsi="Times New Roman"/>
          <w:color w:val="353535"/>
          <w:kern w:val="0"/>
          <w:szCs w:val="21"/>
        </w:rPr>
        <w:t>组讨论表现、作业、考勤</w:t>
      </w:r>
      <w:r>
        <w:rPr>
          <w:rFonts w:hint="eastAsia" w:ascii="Times New Roman" w:hAnsi="Times New Roman"/>
          <w:color w:val="353535"/>
          <w:kern w:val="0"/>
          <w:szCs w:val="21"/>
        </w:rPr>
        <w:t>情况，总成绩1</w:t>
      </w:r>
      <w:r>
        <w:rPr>
          <w:rFonts w:ascii="Times New Roman" w:hAnsi="Times New Roman"/>
          <w:color w:val="353535"/>
          <w:kern w:val="0"/>
          <w:szCs w:val="21"/>
        </w:rPr>
        <w:t>00</w:t>
      </w:r>
      <w:r>
        <w:rPr>
          <w:rFonts w:hint="eastAsia" w:ascii="Times New Roman" w:hAnsi="Times New Roman"/>
          <w:color w:val="353535"/>
          <w:kern w:val="0"/>
          <w:szCs w:val="21"/>
        </w:rPr>
        <w:t>分作为平时成绩，</w:t>
      </w:r>
      <w:r>
        <w:rPr>
          <w:rFonts w:ascii="Times New Roman" w:hAnsi="Times New Roman"/>
          <w:szCs w:val="21"/>
        </w:rPr>
        <w:t>四个部分各占比25%</w:t>
      </w:r>
      <w:r>
        <w:rPr>
          <w:rFonts w:ascii="Times New Roman" w:hAnsi="Times New Roman"/>
          <w:kern w:val="0"/>
          <w:szCs w:val="21"/>
        </w:rPr>
        <w:t>。</w:t>
      </w:r>
    </w:p>
    <w:p>
      <w:pPr>
        <w:widowControl/>
        <w:snapToGrid w:val="0"/>
        <w:spacing w:line="360" w:lineRule="auto"/>
        <w:ind w:firstLine="420"/>
        <w:jc w:val="left"/>
        <w:rPr>
          <w:rFonts w:ascii="Times New Roman" w:hAnsi="Times New Roman"/>
          <w:kern w:val="0"/>
          <w:szCs w:val="21"/>
        </w:rPr>
      </w:pPr>
      <w:r>
        <w:rPr>
          <w:rFonts w:ascii="Times New Roman" w:hAnsi="Times New Roman"/>
          <w:b/>
          <w:bCs/>
          <w:kern w:val="0"/>
          <w:szCs w:val="21"/>
        </w:rPr>
        <w:t>2.终结性评价：</w:t>
      </w:r>
      <w:r>
        <w:rPr>
          <w:rFonts w:ascii="Times New Roman" w:hAnsi="Times New Roman"/>
          <w:szCs w:val="21"/>
        </w:rPr>
        <w:t>期末考试方式为笔试，闭卷，考试时间为120分钟；</w:t>
      </w:r>
      <w:r>
        <w:rPr>
          <w:rFonts w:ascii="Times New Roman" w:hAnsi="Times New Roman"/>
          <w:kern w:val="0"/>
          <w:szCs w:val="21"/>
        </w:rPr>
        <w:t>题型包括：</w:t>
      </w:r>
      <w:r>
        <w:rPr>
          <w:rFonts w:ascii="Times New Roman" w:hAnsi="Times New Roman"/>
          <w:szCs w:val="21"/>
        </w:rPr>
        <w:t>名词解释、填空题、判读题、简答题、问答题，</w:t>
      </w:r>
      <w:r>
        <w:rPr>
          <w:rFonts w:ascii="Times New Roman" w:hAnsi="Times New Roman"/>
          <w:kern w:val="0"/>
          <w:szCs w:val="21"/>
        </w:rPr>
        <w:t>期末考试成绩满分为100分，占课程成绩60%.</w:t>
      </w:r>
    </w:p>
    <w:p>
      <w:pPr>
        <w:widowControl/>
        <w:snapToGrid w:val="0"/>
        <w:spacing w:line="360" w:lineRule="auto"/>
        <w:ind w:firstLine="420"/>
        <w:jc w:val="left"/>
        <w:rPr>
          <w:rFonts w:hint="eastAsia" w:ascii="Times New Roman" w:hAnsi="Times New Roman"/>
        </w:rPr>
      </w:pPr>
      <w:r>
        <w:rPr>
          <w:rFonts w:ascii="Times New Roman" w:hAnsi="Times New Roman"/>
          <w:b/>
          <w:bCs/>
          <w:kern w:val="0"/>
          <w:szCs w:val="21"/>
        </w:rPr>
        <w:t>3.课程综合评价：</w:t>
      </w:r>
      <w:r>
        <w:rPr>
          <w:rFonts w:ascii="Times New Roman" w:hAnsi="Times New Roman"/>
          <w:kern w:val="0"/>
          <w:szCs w:val="21"/>
        </w:rPr>
        <w:t>课程过程性评价×40%+终结性评价×60%</w:t>
      </w:r>
    </w:p>
    <w:p>
      <w:pPr>
        <w:rPr>
          <w:rFonts w:ascii="宋体" w:hAnsi="宋体"/>
        </w:rPr>
      </w:pPr>
    </w:p>
    <w:p>
      <w:pPr>
        <w:rPr>
          <w:rFonts w:ascii="宋体" w:hAnsi="宋体"/>
        </w:rPr>
      </w:pPr>
    </w:p>
    <w:p>
      <w:pPr>
        <w:rPr>
          <w:rFonts w:hint="eastAsia" w:ascii="宋体" w:hAnsi="宋体"/>
          <w:b/>
          <w:sz w:val="28"/>
          <w:szCs w:val="28"/>
          <w:lang w:val="en-US" w:eastAsia="zh-CN"/>
        </w:rPr>
      </w:pPr>
      <w:r>
        <w:rPr>
          <w:rFonts w:hint="eastAsia" w:ascii="宋体" w:hAnsi="宋体"/>
          <w:b/>
          <w:sz w:val="28"/>
          <w:szCs w:val="28"/>
          <w:lang w:val="en-US" w:eastAsia="zh-CN"/>
        </w:rPr>
        <w:br w:type="page"/>
      </w:r>
    </w:p>
    <w:p>
      <w:pPr>
        <w:pStyle w:val="2"/>
        <w:bidi w:val="0"/>
        <w:rPr>
          <w:rFonts w:hint="default"/>
          <w:lang w:val="en-US" w:eastAsia="zh-CN"/>
        </w:rPr>
      </w:pPr>
      <w:r>
        <w:rPr>
          <w:rFonts w:hint="eastAsia"/>
          <w:lang w:val="en-US" w:eastAsia="zh-CN"/>
        </w:rPr>
        <w:t>阳台园艺</w:t>
      </w:r>
    </w:p>
    <w:p>
      <w:pPr>
        <w:snapToGrid w:val="0"/>
        <w:spacing w:line="360" w:lineRule="auto"/>
        <w:jc w:val="center"/>
        <w:rPr>
          <w:rFonts w:hint="default" w:ascii="Times New Roman" w:hAnsi="Times New Roman" w:cs="Times New Roman"/>
          <w:i w:val="0"/>
          <w:iCs w:val="0"/>
          <w:sz w:val="28"/>
          <w:szCs w:val="28"/>
        </w:rPr>
      </w:pPr>
      <w:r>
        <w:rPr>
          <w:rFonts w:hint="default" w:ascii="Times New Roman" w:hAnsi="Times New Roman" w:cs="Times New Roman"/>
          <w:i w:val="0"/>
          <w:iCs w:val="0"/>
          <w:sz w:val="28"/>
          <w:szCs w:val="28"/>
        </w:rPr>
        <w:t>（</w:t>
      </w:r>
      <w:r>
        <w:rPr>
          <w:rFonts w:hint="default" w:ascii="Times New Roman" w:hAnsi="Times New Roman" w:eastAsia="黑体" w:cs="Times New Roman"/>
          <w:bCs/>
          <w:i w:val="0"/>
          <w:iCs w:val="0"/>
          <w:kern w:val="36"/>
          <w:sz w:val="24"/>
          <w:lang w:val="en-US" w:eastAsia="zh-CN"/>
        </w:rPr>
        <w:t xml:space="preserve">Balcony </w:t>
      </w:r>
      <w:r>
        <w:rPr>
          <w:rFonts w:hint="eastAsia" w:ascii="Times New Roman" w:hAnsi="Times New Roman" w:eastAsia="黑体" w:cs="Times New Roman"/>
          <w:bCs/>
          <w:i w:val="0"/>
          <w:iCs w:val="0"/>
          <w:kern w:val="36"/>
          <w:sz w:val="24"/>
          <w:lang w:val="en-US" w:eastAsia="zh-CN"/>
        </w:rPr>
        <w:t>G</w:t>
      </w:r>
      <w:r>
        <w:rPr>
          <w:rFonts w:hint="default" w:ascii="Times New Roman" w:hAnsi="Times New Roman" w:eastAsia="黑体" w:cs="Times New Roman"/>
          <w:bCs/>
          <w:i w:val="0"/>
          <w:iCs w:val="0"/>
          <w:kern w:val="36"/>
          <w:sz w:val="24"/>
          <w:lang w:val="en-US" w:eastAsia="zh-CN"/>
        </w:rPr>
        <w:t>ardening</w:t>
      </w:r>
      <w:r>
        <w:rPr>
          <w:rFonts w:hint="default" w:ascii="Times New Roman" w:hAnsi="Times New Roman" w:cs="Times New Roman"/>
          <w:i w:val="0"/>
          <w:iCs w:val="0"/>
          <w:sz w:val="28"/>
          <w:szCs w:val="28"/>
        </w:rPr>
        <w:t>）</w:t>
      </w:r>
    </w:p>
    <w:p>
      <w:pPr>
        <w:snapToGrid w:val="0"/>
        <w:spacing w:line="360" w:lineRule="auto"/>
        <w:jc w:val="center"/>
        <w:rPr>
          <w:rFonts w:hint="default" w:ascii="Times New Roman" w:hAnsi="Times New Roman" w:cs="Times New Roman"/>
          <w:i w:val="0"/>
          <w:iCs w:val="0"/>
          <w:sz w:val="28"/>
          <w:szCs w:val="28"/>
        </w:rPr>
      </w:pPr>
    </w:p>
    <w:tbl>
      <w:tblPr>
        <w:tblStyle w:val="22"/>
        <w:tblW w:w="8522" w:type="dxa"/>
        <w:tblInd w:w="0" w:type="dxa"/>
        <w:tblLayout w:type="fixed"/>
        <w:tblCellMar>
          <w:top w:w="0" w:type="dxa"/>
          <w:left w:w="108" w:type="dxa"/>
          <w:bottom w:w="0" w:type="dxa"/>
          <w:right w:w="108" w:type="dxa"/>
        </w:tblCellMar>
      </w:tblPr>
      <w:tblGrid>
        <w:gridCol w:w="2840"/>
        <w:gridCol w:w="2476"/>
        <w:gridCol w:w="3206"/>
      </w:tblGrid>
      <w:tr>
        <w:tblPrEx>
          <w:tblCellMar>
            <w:top w:w="0" w:type="dxa"/>
            <w:left w:w="108" w:type="dxa"/>
            <w:bottom w:w="0" w:type="dxa"/>
            <w:right w:w="108" w:type="dxa"/>
          </w:tblCellMar>
        </w:tblPrEx>
        <w:tc>
          <w:tcPr>
            <w:tcW w:w="2840" w:type="dxa"/>
          </w:tcPr>
          <w:p>
            <w:pPr>
              <w:spacing w:line="300" w:lineRule="auto"/>
              <w:rPr>
                <w:rFonts w:hint="default" w:ascii="宋体" w:hAnsi="宋体" w:eastAsia="宋体"/>
                <w:b/>
                <w:bCs/>
                <w:kern w:val="0"/>
                <w:szCs w:val="21"/>
                <w:lang w:val="en-US" w:eastAsia="zh-CN"/>
              </w:rPr>
            </w:pPr>
            <w:r>
              <w:rPr>
                <w:rFonts w:hint="eastAsia" w:ascii="宋体" w:hAnsi="宋体"/>
                <w:b/>
                <w:bCs/>
                <w:kern w:val="0"/>
                <w:szCs w:val="21"/>
              </w:rPr>
              <w:t>课程编号：</w:t>
            </w:r>
            <w:r>
              <w:rPr>
                <w:rFonts w:hint="eastAsia" w:ascii="宋体" w:hAnsi="宋体"/>
                <w:b/>
                <w:bCs/>
                <w:kern w:val="0"/>
                <w:szCs w:val="21"/>
                <w:lang w:val="en-US" w:eastAsia="zh-CN"/>
              </w:rPr>
              <w:t>19011165</w:t>
            </w:r>
          </w:p>
        </w:tc>
        <w:tc>
          <w:tcPr>
            <w:tcW w:w="2476" w:type="dxa"/>
          </w:tcPr>
          <w:p>
            <w:pPr>
              <w:spacing w:line="300" w:lineRule="auto"/>
              <w:rPr>
                <w:rFonts w:hint="default" w:ascii="宋体" w:hAnsi="宋体" w:eastAsia="宋体"/>
                <w:b/>
                <w:bCs/>
                <w:kern w:val="0"/>
                <w:szCs w:val="21"/>
                <w:lang w:val="en-US" w:eastAsia="zh-CN"/>
              </w:rPr>
            </w:pPr>
            <w:r>
              <w:rPr>
                <w:rFonts w:hint="eastAsia" w:ascii="宋体" w:hAnsi="宋体"/>
                <w:b/>
                <w:bCs/>
                <w:kern w:val="0"/>
                <w:szCs w:val="21"/>
              </w:rPr>
              <w:t>课程总学时：</w:t>
            </w:r>
            <w:r>
              <w:rPr>
                <w:rFonts w:hint="eastAsia" w:ascii="宋体" w:hAnsi="宋体"/>
                <w:b/>
                <w:bCs/>
                <w:kern w:val="0"/>
                <w:szCs w:val="21"/>
                <w:lang w:val="en-US" w:eastAsia="zh-CN"/>
              </w:rPr>
              <w:t>16</w:t>
            </w:r>
          </w:p>
        </w:tc>
        <w:tc>
          <w:tcPr>
            <w:tcW w:w="3206" w:type="dxa"/>
          </w:tcPr>
          <w:p>
            <w:pPr>
              <w:spacing w:line="300" w:lineRule="auto"/>
              <w:rPr>
                <w:rFonts w:hint="eastAsia" w:ascii="宋体" w:hAnsi="宋体" w:eastAsia="宋体"/>
                <w:b/>
                <w:bCs/>
                <w:kern w:val="0"/>
                <w:szCs w:val="21"/>
                <w:lang w:eastAsia="zh-CN"/>
              </w:rPr>
            </w:pPr>
            <w:r>
              <w:rPr>
                <w:rFonts w:hint="eastAsia" w:ascii="宋体" w:hAnsi="宋体"/>
                <w:b/>
                <w:bCs/>
                <w:kern w:val="0"/>
                <w:szCs w:val="21"/>
              </w:rPr>
              <w:t>实验学时：</w:t>
            </w:r>
            <w:r>
              <w:rPr>
                <w:rFonts w:hint="eastAsia" w:ascii="宋体" w:hAnsi="宋体"/>
                <w:b/>
                <w:bCs/>
                <w:kern w:val="0"/>
                <w:szCs w:val="21"/>
                <w:lang w:val="en-US" w:eastAsia="zh-CN"/>
              </w:rPr>
              <w:t>0</w:t>
            </w:r>
          </w:p>
        </w:tc>
      </w:tr>
      <w:tr>
        <w:tblPrEx>
          <w:tblCellMar>
            <w:top w:w="0" w:type="dxa"/>
            <w:left w:w="108" w:type="dxa"/>
            <w:bottom w:w="0" w:type="dxa"/>
            <w:right w:w="108" w:type="dxa"/>
          </w:tblCellMar>
        </w:tblPrEx>
        <w:tc>
          <w:tcPr>
            <w:tcW w:w="2840" w:type="dxa"/>
          </w:tcPr>
          <w:p>
            <w:pPr>
              <w:spacing w:line="300" w:lineRule="auto"/>
              <w:rPr>
                <w:rFonts w:hint="eastAsia" w:ascii="宋体" w:hAnsi="宋体" w:eastAsia="宋体"/>
                <w:b/>
                <w:bCs/>
                <w:kern w:val="0"/>
                <w:szCs w:val="21"/>
                <w:lang w:val="en-US" w:eastAsia="zh-CN"/>
              </w:rPr>
            </w:pPr>
            <w:r>
              <w:rPr>
                <w:rFonts w:hint="eastAsia" w:ascii="宋体" w:hAnsi="宋体"/>
                <w:b/>
                <w:bCs/>
                <w:kern w:val="0"/>
                <w:szCs w:val="21"/>
              </w:rPr>
              <w:t>课程性质：</w:t>
            </w:r>
            <w:r>
              <w:rPr>
                <w:rFonts w:hint="eastAsia" w:ascii="宋体" w:hAnsi="宋体"/>
                <w:b/>
                <w:bCs/>
                <w:kern w:val="0"/>
                <w:szCs w:val="21"/>
                <w:lang w:val="en-US" w:eastAsia="zh-CN"/>
              </w:rPr>
              <w:t>公共</w:t>
            </w:r>
            <w:r>
              <w:rPr>
                <w:rFonts w:hint="eastAsia" w:ascii="宋体" w:hAnsi="宋体"/>
                <w:b/>
                <w:bCs/>
                <w:kern w:val="0"/>
                <w:szCs w:val="21"/>
              </w:rPr>
              <w:t>选修</w:t>
            </w:r>
            <w:r>
              <w:rPr>
                <w:rFonts w:hint="eastAsia" w:ascii="宋体" w:hAnsi="宋体"/>
                <w:b/>
                <w:bCs/>
                <w:kern w:val="0"/>
                <w:szCs w:val="21"/>
                <w:lang w:val="en-US" w:eastAsia="zh-CN"/>
              </w:rPr>
              <w:t>课</w:t>
            </w:r>
          </w:p>
        </w:tc>
        <w:tc>
          <w:tcPr>
            <w:tcW w:w="2476" w:type="dxa"/>
          </w:tcPr>
          <w:p>
            <w:pPr>
              <w:spacing w:line="300" w:lineRule="auto"/>
              <w:rPr>
                <w:rFonts w:ascii="宋体" w:hAnsi="宋体"/>
                <w:b/>
                <w:bCs/>
                <w:kern w:val="0"/>
                <w:szCs w:val="21"/>
              </w:rPr>
            </w:pPr>
            <w:r>
              <w:rPr>
                <w:rFonts w:hint="eastAsia" w:ascii="宋体" w:hAnsi="宋体"/>
                <w:b/>
                <w:kern w:val="0"/>
                <w:szCs w:val="21"/>
              </w:rPr>
              <w:t>课程属性:</w:t>
            </w:r>
            <w:r>
              <w:rPr>
                <w:rFonts w:hint="eastAsia" w:ascii="宋体" w:hAnsi="宋体"/>
                <w:b/>
                <w:kern w:val="0"/>
                <w:szCs w:val="21"/>
                <w:lang w:val="en-US" w:eastAsia="zh-CN"/>
              </w:rPr>
              <w:t>公共选修</w:t>
            </w:r>
            <w:r>
              <w:rPr>
                <w:rFonts w:hint="eastAsia" w:ascii="宋体" w:hAnsi="宋体"/>
                <w:b/>
                <w:kern w:val="0"/>
                <w:szCs w:val="21"/>
              </w:rPr>
              <w:t>课</w:t>
            </w:r>
          </w:p>
        </w:tc>
        <w:tc>
          <w:tcPr>
            <w:tcW w:w="3206" w:type="dxa"/>
          </w:tcPr>
          <w:p>
            <w:pPr>
              <w:spacing w:line="300" w:lineRule="auto"/>
              <w:rPr>
                <w:rFonts w:ascii="宋体" w:hAnsi="宋体"/>
                <w:b/>
                <w:bCs/>
                <w:kern w:val="0"/>
                <w:szCs w:val="21"/>
              </w:rPr>
            </w:pPr>
            <w:r>
              <w:rPr>
                <w:rFonts w:hint="eastAsia" w:ascii="宋体" w:hAnsi="宋体"/>
                <w:b/>
                <w:bCs/>
                <w:kern w:val="0"/>
                <w:szCs w:val="21"/>
              </w:rPr>
              <w:t>开设学期：</w:t>
            </w:r>
          </w:p>
        </w:tc>
      </w:tr>
      <w:tr>
        <w:tblPrEx>
          <w:tblCellMar>
            <w:top w:w="0" w:type="dxa"/>
            <w:left w:w="108" w:type="dxa"/>
            <w:bottom w:w="0" w:type="dxa"/>
            <w:right w:w="108" w:type="dxa"/>
          </w:tblCellMar>
        </w:tblPrEx>
        <w:tc>
          <w:tcPr>
            <w:tcW w:w="8522" w:type="dxa"/>
            <w:gridSpan w:val="3"/>
          </w:tcPr>
          <w:p>
            <w:pPr>
              <w:spacing w:line="300" w:lineRule="auto"/>
              <w:rPr>
                <w:rFonts w:hint="eastAsia" w:ascii="宋体" w:hAnsi="宋体"/>
                <w:b/>
                <w:bCs/>
                <w:color w:val="000000"/>
                <w:kern w:val="0"/>
                <w:szCs w:val="21"/>
                <w:lang w:val="en-US" w:eastAsia="zh-CN"/>
              </w:rPr>
            </w:pPr>
            <w:r>
              <w:rPr>
                <w:rFonts w:hint="eastAsia" w:ascii="宋体" w:hAnsi="宋体"/>
                <w:b/>
                <w:bCs/>
                <w:kern w:val="0"/>
                <w:szCs w:val="21"/>
                <w:lang w:val="en-US" w:eastAsia="zh-CN"/>
              </w:rPr>
              <w:t>课程负责人</w:t>
            </w:r>
            <w:r>
              <w:rPr>
                <w:rFonts w:hint="eastAsia" w:ascii="宋体" w:hAnsi="宋体"/>
                <w:b/>
                <w:bCs/>
                <w:kern w:val="0"/>
                <w:szCs w:val="21"/>
              </w:rPr>
              <w:t>：</w:t>
            </w:r>
            <w:r>
              <w:rPr>
                <w:rFonts w:hint="eastAsia" w:ascii="宋体" w:hAnsi="宋体"/>
                <w:b/>
                <w:bCs/>
                <w:color w:val="000000"/>
                <w:kern w:val="0"/>
                <w:szCs w:val="21"/>
                <w:lang w:val="en-US" w:eastAsia="zh-CN"/>
              </w:rPr>
              <w:t xml:space="preserve">刘珂珂         课程团队：薛东齐 高艳娜 朱磊 杨路明 牛欢欢 </w:t>
            </w:r>
          </w:p>
          <w:p>
            <w:pPr>
              <w:spacing w:line="300" w:lineRule="auto"/>
              <w:rPr>
                <w:rFonts w:hint="default" w:ascii="宋体" w:hAnsi="宋体"/>
                <w:b/>
                <w:bCs/>
                <w:color w:val="000000"/>
                <w:kern w:val="0"/>
                <w:szCs w:val="21"/>
                <w:lang w:val="en-US" w:eastAsia="zh-CN"/>
              </w:rPr>
            </w:pPr>
            <w:r>
              <w:rPr>
                <w:rFonts w:hint="eastAsia" w:ascii="宋体" w:hAnsi="宋体"/>
                <w:b/>
                <w:bCs/>
                <w:color w:val="000000"/>
                <w:kern w:val="0"/>
                <w:szCs w:val="21"/>
                <w:lang w:val="en-US" w:eastAsia="zh-CN"/>
              </w:rPr>
              <w:t>授课语言：中文</w:t>
            </w:r>
          </w:p>
        </w:tc>
      </w:tr>
      <w:tr>
        <w:tblPrEx>
          <w:tblCellMar>
            <w:top w:w="0" w:type="dxa"/>
            <w:left w:w="108" w:type="dxa"/>
            <w:bottom w:w="0" w:type="dxa"/>
            <w:right w:w="108" w:type="dxa"/>
          </w:tblCellMar>
        </w:tblPrEx>
        <w:tc>
          <w:tcPr>
            <w:tcW w:w="8522" w:type="dxa"/>
            <w:gridSpan w:val="3"/>
          </w:tcPr>
          <w:p>
            <w:pPr>
              <w:spacing w:line="300" w:lineRule="auto"/>
              <w:rPr>
                <w:rFonts w:hint="eastAsia" w:ascii="宋体" w:hAnsi="宋体"/>
                <w:b/>
                <w:bCs/>
                <w:kern w:val="0"/>
                <w:szCs w:val="21"/>
              </w:rPr>
            </w:pPr>
            <w:r>
              <w:rPr>
                <w:rFonts w:hint="eastAsia" w:ascii="宋体" w:hAnsi="宋体"/>
                <w:b/>
                <w:bCs/>
                <w:kern w:val="0"/>
                <w:szCs w:val="21"/>
              </w:rPr>
              <w:t>对先修的要求：此课为通识课，适合所有方向的学习人群。要求学生掌握</w:t>
            </w:r>
            <w:r>
              <w:rPr>
                <w:rFonts w:hint="eastAsia" w:ascii="宋体" w:hAnsi="宋体"/>
                <w:b/>
                <w:bCs/>
                <w:kern w:val="0"/>
                <w:szCs w:val="21"/>
                <w:lang w:val="en-US" w:eastAsia="zh-CN"/>
              </w:rPr>
              <w:t>基本的生物学知识</w:t>
            </w:r>
            <w:r>
              <w:rPr>
                <w:rFonts w:hint="eastAsia" w:ascii="宋体" w:hAnsi="宋体"/>
                <w:b/>
                <w:bCs/>
                <w:kern w:val="0"/>
                <w:szCs w:val="21"/>
              </w:rPr>
              <w:t>，拥有简单查阅资料和总结应用的能力。</w:t>
            </w:r>
          </w:p>
          <w:p>
            <w:pPr>
              <w:spacing w:line="300" w:lineRule="auto"/>
              <w:rPr>
                <w:rFonts w:ascii="宋体" w:hAnsi="宋体"/>
                <w:b/>
                <w:bCs/>
                <w:kern w:val="0"/>
                <w:szCs w:val="21"/>
              </w:rPr>
            </w:pPr>
            <w:r>
              <w:rPr>
                <w:rFonts w:hint="eastAsia" w:ascii="宋体" w:hAnsi="宋体"/>
                <w:b/>
                <w:bCs/>
                <w:szCs w:val="21"/>
              </w:rPr>
              <w:t>对后续的支撑：</w:t>
            </w:r>
            <w:r>
              <w:rPr>
                <w:rFonts w:hint="eastAsia" w:ascii="宋体" w:hAnsi="宋体"/>
                <w:b/>
                <w:bCs/>
                <w:kern w:val="0"/>
                <w:szCs w:val="21"/>
              </w:rPr>
              <w:t xml:space="preserve"> </w:t>
            </w:r>
            <w:r>
              <w:rPr>
                <w:rFonts w:hint="eastAsia" w:ascii="宋体" w:hAnsi="宋体"/>
                <w:b/>
                <w:bCs/>
                <w:kern w:val="0"/>
                <w:szCs w:val="21"/>
                <w:lang w:val="en-US" w:eastAsia="zh-CN"/>
              </w:rPr>
              <w:t>可以为后续选修园艺类课程奠定部分基础</w:t>
            </w:r>
            <w:r>
              <w:rPr>
                <w:rFonts w:hint="eastAsia" w:ascii="宋体" w:hAnsi="宋体"/>
                <w:b/>
                <w:bCs/>
                <w:kern w:val="0"/>
                <w:szCs w:val="21"/>
              </w:rPr>
              <w:t>。</w:t>
            </w:r>
          </w:p>
        </w:tc>
      </w:tr>
      <w:tr>
        <w:tblPrEx>
          <w:tblCellMar>
            <w:top w:w="0" w:type="dxa"/>
            <w:left w:w="108" w:type="dxa"/>
            <w:bottom w:w="0" w:type="dxa"/>
            <w:right w:w="108" w:type="dxa"/>
          </w:tblCellMar>
        </w:tblPrEx>
        <w:tc>
          <w:tcPr>
            <w:tcW w:w="2840" w:type="dxa"/>
          </w:tcPr>
          <w:p>
            <w:pPr>
              <w:spacing w:line="300" w:lineRule="auto"/>
              <w:rPr>
                <w:rFonts w:ascii="宋体" w:hAnsi="宋体"/>
                <w:b/>
                <w:bCs/>
                <w:kern w:val="0"/>
                <w:szCs w:val="21"/>
              </w:rPr>
            </w:pPr>
            <w:r>
              <w:rPr>
                <w:rFonts w:hint="eastAsia" w:ascii="宋体" w:hAnsi="宋体"/>
                <w:b/>
                <w:bCs/>
                <w:kern w:val="0"/>
                <w:szCs w:val="21"/>
              </w:rPr>
              <w:t>主撰人：</w:t>
            </w:r>
            <w:r>
              <w:rPr>
                <w:rFonts w:ascii="宋体" w:hAnsi="宋体"/>
                <w:b/>
                <w:bCs/>
                <w:kern w:val="0"/>
                <w:szCs w:val="21"/>
              </w:rPr>
              <w:t xml:space="preserve"> </w:t>
            </w:r>
            <w:r>
              <w:rPr>
                <w:rFonts w:hint="eastAsia" w:ascii="宋体" w:hAnsi="宋体"/>
                <w:b/>
                <w:bCs/>
                <w:kern w:val="0"/>
                <w:szCs w:val="21"/>
              </w:rPr>
              <w:t>刘珂珂</w:t>
            </w:r>
          </w:p>
        </w:tc>
        <w:tc>
          <w:tcPr>
            <w:tcW w:w="2476" w:type="dxa"/>
          </w:tcPr>
          <w:p>
            <w:pPr>
              <w:spacing w:line="300" w:lineRule="auto"/>
              <w:rPr>
                <w:rFonts w:hint="eastAsia" w:ascii="宋体" w:hAnsi="宋体" w:eastAsia="宋体"/>
                <w:b/>
                <w:bCs/>
                <w:kern w:val="0"/>
                <w:szCs w:val="21"/>
                <w:lang w:val="en-US" w:eastAsia="zh-CN"/>
              </w:rPr>
            </w:pPr>
            <w:r>
              <w:rPr>
                <w:rFonts w:hint="eastAsia" w:ascii="宋体" w:hAnsi="宋体"/>
                <w:b/>
                <w:bCs/>
                <w:kern w:val="0"/>
                <w:szCs w:val="21"/>
              </w:rPr>
              <w:t>审核人：</w:t>
            </w:r>
            <w:r>
              <w:rPr>
                <w:rFonts w:hint="eastAsia" w:ascii="宋体" w:hAnsi="宋体"/>
                <w:b/>
                <w:bCs/>
                <w:kern w:val="0"/>
                <w:szCs w:val="21"/>
                <w:lang w:val="en-US" w:eastAsia="zh-CN"/>
              </w:rPr>
              <w:t>贾芝琪</w:t>
            </w:r>
          </w:p>
        </w:tc>
        <w:tc>
          <w:tcPr>
            <w:tcW w:w="3206" w:type="dxa"/>
          </w:tcPr>
          <w:p>
            <w:pPr>
              <w:spacing w:line="300" w:lineRule="auto"/>
              <w:rPr>
                <w:rFonts w:ascii="宋体" w:hAnsi="宋体"/>
                <w:b/>
                <w:bCs/>
                <w:kern w:val="0"/>
                <w:szCs w:val="21"/>
              </w:rPr>
            </w:pPr>
            <w:r>
              <w:rPr>
                <w:rFonts w:hint="eastAsia" w:ascii="宋体" w:hAnsi="宋体"/>
                <w:b/>
                <w:bCs/>
                <w:kern w:val="0"/>
                <w:szCs w:val="21"/>
              </w:rPr>
              <w:t>大纲制定（修订）</w:t>
            </w:r>
            <w:r>
              <w:rPr>
                <w:rFonts w:hint="eastAsia" w:ascii="宋体" w:hAnsi="宋体"/>
                <w:b/>
                <w:bCs/>
                <w:kern w:val="0"/>
                <w:szCs w:val="21"/>
                <w:lang w:val="en-US" w:eastAsia="zh-CN"/>
              </w:rPr>
              <w:t>日期：</w:t>
            </w:r>
            <w:r>
              <w:rPr>
                <w:rFonts w:hint="eastAsia" w:ascii="宋体" w:hAnsi="宋体"/>
                <w:b/>
                <w:bCs/>
                <w:kern w:val="0"/>
                <w:szCs w:val="21"/>
              </w:rPr>
              <w:t xml:space="preserve"> 20</w:t>
            </w:r>
            <w:r>
              <w:rPr>
                <w:rFonts w:hint="eastAsia" w:ascii="宋体" w:hAnsi="宋体"/>
                <w:b/>
                <w:bCs/>
                <w:kern w:val="0"/>
                <w:szCs w:val="21"/>
                <w:lang w:val="en-US" w:eastAsia="zh-CN"/>
              </w:rPr>
              <w:t>23.</w:t>
            </w:r>
            <w:r>
              <w:rPr>
                <w:rFonts w:hint="eastAsia" w:ascii="宋体" w:hAnsi="宋体"/>
                <w:b/>
                <w:bCs/>
                <w:kern w:val="0"/>
                <w:szCs w:val="21"/>
              </w:rPr>
              <w:t>0</w:t>
            </w:r>
            <w:r>
              <w:rPr>
                <w:rFonts w:hint="eastAsia" w:ascii="宋体" w:hAnsi="宋体"/>
                <w:b/>
                <w:bCs/>
                <w:kern w:val="0"/>
                <w:szCs w:val="21"/>
                <w:lang w:val="en-US" w:eastAsia="zh-CN"/>
              </w:rPr>
              <w:t>5</w:t>
            </w:r>
          </w:p>
        </w:tc>
      </w:tr>
    </w:tbl>
    <w:p>
      <w:pPr>
        <w:widowControl/>
        <w:adjustRightInd w:val="0"/>
        <w:snapToGrid w:val="0"/>
        <w:spacing w:line="360" w:lineRule="auto"/>
        <w:jc w:val="left"/>
        <w:rPr>
          <w:rFonts w:ascii="宋体" w:hAnsi="宋体"/>
          <w:b/>
          <w:bCs/>
          <w:color w:val="000000"/>
          <w:kern w:val="0"/>
          <w:sz w:val="21"/>
          <w:szCs w:val="21"/>
        </w:rPr>
      </w:pPr>
    </w:p>
    <w:p>
      <w:pPr>
        <w:widowControl/>
        <w:adjustRightInd w:val="0"/>
        <w:snapToGrid w:val="0"/>
        <w:spacing w:line="360" w:lineRule="auto"/>
        <w:jc w:val="left"/>
        <w:rPr>
          <w:kern w:val="0"/>
          <w:sz w:val="21"/>
          <w:szCs w:val="21"/>
        </w:rPr>
      </w:pPr>
      <w:r>
        <w:rPr>
          <w:rFonts w:ascii="宋体" w:hAnsi="宋体"/>
          <w:b/>
          <w:bCs/>
          <w:color w:val="000000"/>
          <w:kern w:val="0"/>
          <w:sz w:val="21"/>
          <w:szCs w:val="21"/>
        </w:rPr>
        <w:t>一、课程的</w:t>
      </w:r>
      <w:r>
        <w:rPr>
          <w:rFonts w:hint="eastAsia" w:ascii="宋体" w:hAnsi="宋体"/>
          <w:b/>
          <w:bCs/>
          <w:color w:val="000000"/>
          <w:kern w:val="0"/>
          <w:sz w:val="21"/>
          <w:szCs w:val="21"/>
        </w:rPr>
        <w:t>教学理念、</w:t>
      </w:r>
      <w:r>
        <w:rPr>
          <w:rFonts w:ascii="宋体" w:hAnsi="宋体"/>
          <w:b/>
          <w:bCs/>
          <w:color w:val="000000"/>
          <w:kern w:val="0"/>
          <w:sz w:val="21"/>
          <w:szCs w:val="21"/>
        </w:rPr>
        <w:t>性质、</w:t>
      </w:r>
      <w:r>
        <w:rPr>
          <w:rFonts w:hint="eastAsia" w:ascii="宋体" w:hAnsi="宋体"/>
          <w:b/>
          <w:bCs/>
          <w:color w:val="000000"/>
          <w:kern w:val="0"/>
          <w:sz w:val="21"/>
          <w:szCs w:val="21"/>
        </w:rPr>
        <w:t>目标</w:t>
      </w:r>
      <w:r>
        <w:rPr>
          <w:rFonts w:ascii="宋体" w:hAnsi="宋体"/>
          <w:b/>
          <w:bCs/>
          <w:color w:val="000000"/>
          <w:kern w:val="0"/>
          <w:sz w:val="21"/>
          <w:szCs w:val="21"/>
        </w:rPr>
        <w:t>和任务</w:t>
      </w:r>
      <w:r>
        <w:rPr>
          <w:rFonts w:hint="eastAsia" w:ascii="宋体" w:hAnsi="宋体" w:cs="宋体"/>
          <w:b/>
          <w:bCs/>
          <w:kern w:val="0"/>
          <w:sz w:val="21"/>
          <w:szCs w:val="21"/>
        </w:rPr>
        <w:t></w:t>
      </w:r>
    </w:p>
    <w:p>
      <w:pPr>
        <w:widowControl/>
        <w:snapToGrid w:val="0"/>
        <w:spacing w:line="360" w:lineRule="auto"/>
        <w:ind w:firstLine="420" w:firstLineChars="200"/>
        <w:jc w:val="left"/>
        <w:rPr>
          <w:rFonts w:hint="default" w:ascii="宋体" w:hAnsi="宋体" w:eastAsia="宋体"/>
          <w:kern w:val="0"/>
          <w:sz w:val="21"/>
          <w:szCs w:val="21"/>
          <w:lang w:val="en-US" w:eastAsia="zh-CN"/>
        </w:rPr>
      </w:pPr>
      <w:r>
        <w:rPr>
          <w:rFonts w:hint="eastAsia" w:ascii="宋体" w:hAnsi="宋体"/>
          <w:kern w:val="0"/>
          <w:sz w:val="21"/>
          <w:szCs w:val="21"/>
        </w:rPr>
        <w:t>《阳台园艺》是</w:t>
      </w:r>
      <w:r>
        <w:rPr>
          <w:rFonts w:hint="eastAsia" w:ascii="宋体" w:hAnsi="宋体"/>
          <w:kern w:val="0"/>
          <w:sz w:val="21"/>
          <w:szCs w:val="21"/>
          <w:lang w:val="en-US" w:eastAsia="zh-CN"/>
        </w:rPr>
        <w:t>园艺学院教师</w:t>
      </w:r>
      <w:r>
        <w:rPr>
          <w:rFonts w:hint="eastAsia" w:ascii="宋体" w:hAnsi="宋体"/>
          <w:kern w:val="0"/>
          <w:sz w:val="21"/>
          <w:szCs w:val="21"/>
        </w:rPr>
        <w:t>面向所有热爱园艺植物的学生、专业和非专业人士，精心奉献的</w:t>
      </w:r>
      <w:r>
        <w:rPr>
          <w:rFonts w:hint="eastAsia" w:ascii="宋体" w:hAnsi="宋体"/>
          <w:kern w:val="0"/>
          <w:sz w:val="21"/>
          <w:szCs w:val="21"/>
          <w:lang w:val="en-US" w:eastAsia="zh-CN"/>
        </w:rPr>
        <w:t>公共选修</w:t>
      </w:r>
      <w:r>
        <w:rPr>
          <w:rFonts w:hint="eastAsia" w:ascii="宋体" w:hAnsi="宋体"/>
          <w:kern w:val="0"/>
          <w:sz w:val="21"/>
          <w:szCs w:val="21"/>
        </w:rPr>
        <w:t>课程。课程</w:t>
      </w:r>
      <w:r>
        <w:rPr>
          <w:rFonts w:hint="eastAsia" w:ascii="宋体" w:hAnsi="宋体"/>
          <w:kern w:val="0"/>
          <w:sz w:val="21"/>
          <w:szCs w:val="21"/>
          <w:lang w:val="en-US" w:eastAsia="zh-CN"/>
        </w:rPr>
        <w:t>对</w:t>
      </w:r>
      <w:r>
        <w:rPr>
          <w:rFonts w:hint="eastAsia" w:ascii="宋体" w:hAnsi="宋体"/>
          <w:kern w:val="0"/>
          <w:sz w:val="21"/>
          <w:szCs w:val="21"/>
        </w:rPr>
        <w:t>阳台园艺基本知识、阳台花园、阳台菜园等知识的学习，使学习者掌握阳台园艺种植技术，感受阳台园艺之美。</w:t>
      </w:r>
      <w:r>
        <w:rPr>
          <w:rFonts w:hint="eastAsia" w:ascii="宋体" w:hAnsi="宋体"/>
          <w:kern w:val="0"/>
          <w:sz w:val="21"/>
          <w:szCs w:val="21"/>
          <w:lang w:val="en-US" w:eastAsia="zh-CN"/>
        </w:rPr>
        <w:t>培养学习者绿色生态的理念和感受美好、创造美好的能力。</w:t>
      </w:r>
    </w:p>
    <w:p>
      <w:pPr>
        <w:widowControl/>
        <w:adjustRightInd w:val="0"/>
        <w:snapToGrid w:val="0"/>
        <w:spacing w:line="360" w:lineRule="auto"/>
        <w:jc w:val="left"/>
        <w:rPr>
          <w:rFonts w:ascii="宋体" w:hAnsi="宋体"/>
          <w:b/>
          <w:bCs/>
          <w:color w:val="000000"/>
          <w:kern w:val="0"/>
          <w:sz w:val="21"/>
          <w:szCs w:val="21"/>
        </w:rPr>
      </w:pPr>
      <w:r>
        <w:rPr>
          <w:rFonts w:ascii="宋体" w:hAnsi="宋体"/>
          <w:b/>
          <w:bCs/>
          <w:color w:val="000000"/>
          <w:kern w:val="0"/>
          <w:sz w:val="21"/>
          <w:szCs w:val="21"/>
        </w:rPr>
        <w:t>二、课程教学的基本要求</w:t>
      </w:r>
    </w:p>
    <w:p>
      <w:pPr>
        <w:widowControl/>
        <w:snapToGrid w:val="0"/>
        <w:spacing w:line="360" w:lineRule="auto"/>
        <w:jc w:val="left"/>
        <w:rPr>
          <w:rFonts w:ascii="宋体" w:hAnsi="宋体"/>
          <w:kern w:val="0"/>
          <w:sz w:val="21"/>
          <w:szCs w:val="21"/>
        </w:rPr>
      </w:pPr>
      <w:r>
        <w:rPr>
          <w:kern w:val="0"/>
          <w:sz w:val="21"/>
          <w:szCs w:val="21"/>
        </w:rPr>
        <w:t xml:space="preserve">    </w:t>
      </w:r>
      <w:r>
        <w:rPr>
          <w:rFonts w:hint="eastAsia"/>
          <w:kern w:val="0"/>
          <w:sz w:val="21"/>
          <w:szCs w:val="21"/>
        </w:rPr>
        <w:t xml:space="preserve"> </w:t>
      </w:r>
      <w:r>
        <w:rPr>
          <w:rFonts w:ascii="宋体" w:hAnsi="宋体"/>
          <w:kern w:val="0"/>
          <w:sz w:val="21"/>
          <w:szCs w:val="21"/>
        </w:rPr>
        <w:t>理论知识方面：</w:t>
      </w:r>
      <w:r>
        <w:rPr>
          <w:rFonts w:ascii="Times New Roman"/>
          <w:sz w:val="21"/>
          <w:szCs w:val="21"/>
        </w:rPr>
        <w:t>使学生了解园艺</w:t>
      </w:r>
      <w:r>
        <w:rPr>
          <w:rFonts w:hint="eastAsia" w:ascii="Times New Roman"/>
          <w:sz w:val="21"/>
          <w:szCs w:val="21"/>
          <w:lang w:val="en-US" w:eastAsia="zh-CN"/>
        </w:rPr>
        <w:t>阳台园艺</w:t>
      </w:r>
      <w:r>
        <w:rPr>
          <w:rFonts w:ascii="Times New Roman"/>
          <w:sz w:val="21"/>
          <w:szCs w:val="21"/>
        </w:rPr>
        <w:t>的</w:t>
      </w:r>
      <w:r>
        <w:rPr>
          <w:rFonts w:hint="eastAsia" w:ascii="Times New Roman"/>
          <w:sz w:val="21"/>
          <w:szCs w:val="21"/>
          <w:lang w:val="en-US" w:eastAsia="zh-CN"/>
        </w:rPr>
        <w:t>设施、工具、基质、类型</w:t>
      </w:r>
      <w:r>
        <w:rPr>
          <w:rFonts w:ascii="Times New Roman"/>
          <w:sz w:val="21"/>
          <w:szCs w:val="21"/>
        </w:rPr>
        <w:t>，了解和掌握</w:t>
      </w:r>
      <w:r>
        <w:rPr>
          <w:rFonts w:hint="eastAsia" w:ascii="Times New Roman"/>
          <w:sz w:val="21"/>
          <w:szCs w:val="21"/>
          <w:lang w:val="en-US" w:eastAsia="zh-CN"/>
        </w:rPr>
        <w:t>常见阳台园艺植物的栽植和管理技术。能够根据不同阳台环境选择合适园艺植物，制定合理的栽培措施。</w:t>
      </w:r>
      <w:r>
        <w:rPr>
          <w:rFonts w:ascii="宋体" w:hAnsi="宋体"/>
          <w:kern w:val="0"/>
          <w:sz w:val="21"/>
          <w:szCs w:val="21"/>
        </w:rPr>
        <w:t>  </w:t>
      </w:r>
    </w:p>
    <w:p>
      <w:pPr>
        <w:widowControl/>
        <w:adjustRightInd w:val="0"/>
        <w:snapToGrid w:val="0"/>
        <w:spacing w:line="360" w:lineRule="auto"/>
        <w:jc w:val="left"/>
        <w:rPr>
          <w:rFonts w:ascii="宋体" w:hAnsi="宋体"/>
          <w:b/>
          <w:bCs/>
          <w:color w:val="000000"/>
          <w:kern w:val="0"/>
          <w:sz w:val="21"/>
          <w:szCs w:val="21"/>
        </w:rPr>
      </w:pPr>
      <w:r>
        <w:rPr>
          <w:rFonts w:hint="eastAsia" w:ascii="宋体" w:hAnsi="宋体"/>
          <w:b/>
          <w:bCs/>
          <w:color w:val="000000"/>
          <w:kern w:val="0"/>
          <w:sz w:val="21"/>
          <w:szCs w:val="21"/>
        </w:rPr>
        <w:t>三</w:t>
      </w:r>
      <w:r>
        <w:rPr>
          <w:rFonts w:ascii="宋体" w:hAnsi="宋体"/>
          <w:b/>
          <w:bCs/>
          <w:color w:val="000000"/>
          <w:kern w:val="0"/>
          <w:sz w:val="21"/>
          <w:szCs w:val="21"/>
        </w:rPr>
        <w:t>、课程</w:t>
      </w:r>
      <w:r>
        <w:rPr>
          <w:rFonts w:hint="eastAsia" w:ascii="宋体" w:hAnsi="宋体"/>
          <w:b/>
          <w:bCs/>
          <w:color w:val="000000"/>
          <w:kern w:val="0"/>
          <w:sz w:val="21"/>
          <w:szCs w:val="21"/>
        </w:rPr>
        <w:t>的</w:t>
      </w:r>
      <w:r>
        <w:rPr>
          <w:rFonts w:ascii="宋体" w:hAnsi="宋体"/>
          <w:b/>
          <w:bCs/>
          <w:color w:val="000000"/>
          <w:kern w:val="0"/>
          <w:sz w:val="21"/>
          <w:szCs w:val="21"/>
        </w:rPr>
        <w:t>教学</w:t>
      </w:r>
      <w:r>
        <w:rPr>
          <w:rFonts w:hint="eastAsia" w:ascii="宋体" w:hAnsi="宋体"/>
          <w:b/>
          <w:bCs/>
          <w:color w:val="000000"/>
          <w:kern w:val="0"/>
          <w:sz w:val="21"/>
          <w:szCs w:val="21"/>
        </w:rPr>
        <w:t>设计</w:t>
      </w:r>
    </w:p>
    <w:p>
      <w:pPr>
        <w:pStyle w:val="20"/>
        <w:spacing w:before="0" w:beforeAutospacing="0" w:after="0" w:afterAutospacing="0" w:line="360" w:lineRule="auto"/>
        <w:ind w:firstLine="420" w:firstLineChars="200"/>
        <w:rPr>
          <w:rFonts w:hint="eastAsia" w:ascii="Times New Roman"/>
          <w:sz w:val="21"/>
          <w:szCs w:val="21"/>
        </w:rPr>
      </w:pPr>
      <w:r>
        <w:rPr>
          <w:rFonts w:hint="eastAsia" w:ascii="Calibri" w:hAnsi="宋体" w:eastAsia="宋体" w:cs="Times New Roman"/>
          <w:bCs/>
          <w:color w:val="auto"/>
          <w:kern w:val="0"/>
          <w:sz w:val="21"/>
          <w:szCs w:val="21"/>
          <w:lang w:val="en-US" w:eastAsia="zh-CN" w:bidi="ar-SA"/>
        </w:rPr>
        <w:t>1.教学设计说明</w:t>
      </w:r>
    </w:p>
    <w:p>
      <w:pPr>
        <w:pStyle w:val="20"/>
        <w:spacing w:before="0" w:beforeAutospacing="0" w:after="0" w:afterAutospacing="0" w:line="360" w:lineRule="auto"/>
        <w:ind w:firstLine="420" w:firstLineChars="200"/>
        <w:rPr>
          <w:rFonts w:hint="eastAsia" w:ascii="Times New Roman" w:hAnsi="Times New Roman"/>
          <w:sz w:val="21"/>
          <w:szCs w:val="21"/>
        </w:rPr>
      </w:pPr>
      <w:r>
        <w:rPr>
          <w:rFonts w:hint="eastAsia" w:ascii="Times New Roman"/>
          <w:sz w:val="21"/>
          <w:szCs w:val="21"/>
        </w:rPr>
        <w:t>采用课堂教学和</w:t>
      </w:r>
      <w:r>
        <w:rPr>
          <w:rFonts w:hint="eastAsia" w:ascii="Times New Roman"/>
          <w:sz w:val="21"/>
          <w:szCs w:val="21"/>
          <w:lang w:val="en-US" w:eastAsia="zh-CN"/>
        </w:rPr>
        <w:t>网络</w:t>
      </w:r>
      <w:r>
        <w:rPr>
          <w:rFonts w:hint="eastAsia" w:ascii="Times New Roman"/>
          <w:sz w:val="21"/>
          <w:szCs w:val="21"/>
        </w:rPr>
        <w:t>教学相结合的手段</w:t>
      </w:r>
      <w:r>
        <w:rPr>
          <w:rFonts w:hint="eastAsia" w:ascii="Times New Roman" w:hAnsi="Times New Roman"/>
          <w:sz w:val="21"/>
          <w:szCs w:val="21"/>
        </w:rPr>
        <w:t>，其中</w:t>
      </w:r>
      <w:r>
        <w:rPr>
          <w:rFonts w:hint="eastAsia" w:ascii="Times New Roman" w:hAnsi="Times New Roman"/>
          <w:sz w:val="21"/>
          <w:szCs w:val="21"/>
          <w:lang w:val="en-US" w:eastAsia="zh-CN"/>
        </w:rPr>
        <w:t>16</w:t>
      </w:r>
      <w:r>
        <w:rPr>
          <w:rFonts w:hint="eastAsia" w:ascii="Times New Roman" w:hAnsi="Times New Roman"/>
          <w:sz w:val="21"/>
          <w:szCs w:val="21"/>
        </w:rPr>
        <w:t>学时理论课采用多媒体教学。</w:t>
      </w:r>
    </w:p>
    <w:p>
      <w:pPr>
        <w:spacing w:line="360" w:lineRule="auto"/>
        <w:ind w:firstLine="420" w:firstLineChars="200"/>
        <w:rPr>
          <w:rFonts w:hint="eastAsia" w:ascii="宋体" w:hAnsi="宋体" w:cs="宋体"/>
          <w:bCs/>
          <w:kern w:val="0"/>
          <w:sz w:val="21"/>
          <w:szCs w:val="21"/>
        </w:rPr>
      </w:pPr>
      <w:r>
        <w:rPr>
          <w:rFonts w:hint="eastAsia" w:ascii="宋体" w:hAnsi="宋体" w:cs="宋体"/>
          <w:bCs/>
          <w:kern w:val="0"/>
          <w:sz w:val="21"/>
          <w:szCs w:val="21"/>
          <w:lang w:val="en-US" w:eastAsia="zh-CN"/>
        </w:rPr>
        <w:t>“阳台园艺”以线下</w:t>
      </w:r>
      <w:r>
        <w:rPr>
          <w:rFonts w:hint="eastAsia" w:ascii="宋体" w:hAnsi="宋体" w:cs="宋体"/>
          <w:bCs/>
          <w:kern w:val="0"/>
          <w:sz w:val="21"/>
          <w:szCs w:val="21"/>
        </w:rPr>
        <w:t>教学</w:t>
      </w:r>
      <w:r>
        <w:rPr>
          <w:rFonts w:hint="eastAsia" w:ascii="宋体" w:hAnsi="宋体" w:cs="宋体"/>
          <w:bCs/>
          <w:kern w:val="0"/>
          <w:sz w:val="21"/>
          <w:szCs w:val="21"/>
          <w:lang w:val="en-US" w:eastAsia="zh-CN"/>
        </w:rPr>
        <w:t>为主，有效利用线上教学手段进行预习、复习和作业，线下教学</w:t>
      </w:r>
      <w:r>
        <w:rPr>
          <w:rFonts w:hint="eastAsia" w:ascii="宋体" w:hAnsi="宋体" w:cs="宋体"/>
          <w:bCs/>
          <w:kern w:val="0"/>
          <w:sz w:val="21"/>
          <w:szCs w:val="21"/>
        </w:rPr>
        <w:t>有教师课堂讲授、小组讨论、翻转课堂学生实验等。教学时注意和老师们的科研相结合，传递最近的技术和科研成果。</w:t>
      </w:r>
    </w:p>
    <w:p>
      <w:pPr>
        <w:spacing w:line="360" w:lineRule="auto"/>
        <w:ind w:firstLine="420" w:firstLineChars="200"/>
        <w:rPr>
          <w:rFonts w:hint="eastAsia" w:ascii="宋体" w:hAnsi="宋体" w:cs="宋体"/>
          <w:bCs/>
          <w:kern w:val="0"/>
          <w:sz w:val="21"/>
          <w:szCs w:val="21"/>
          <w:lang w:val="en-US" w:eastAsia="zh-CN"/>
        </w:rPr>
      </w:pPr>
      <w:r>
        <w:rPr>
          <w:rFonts w:hint="eastAsia" w:ascii="宋体" w:hAnsi="宋体" w:cs="宋体"/>
          <w:bCs/>
          <w:kern w:val="0"/>
          <w:sz w:val="21"/>
          <w:szCs w:val="21"/>
          <w:lang w:val="en-US" w:eastAsia="zh-CN"/>
        </w:rPr>
        <w:t>“阳台园艺”要求学生查阅有关园艺植物栽植、阳台园艺景观设计等相关的文献资料，书写进展报告或作读书报告，扩大园艺科学知识面。</w:t>
      </w:r>
    </w:p>
    <w:p>
      <w:pPr>
        <w:keepNext w:val="0"/>
        <w:keepLines w:val="0"/>
        <w:pageBreakBefore w:val="0"/>
        <w:kinsoku/>
        <w:wordWrap/>
        <w:overflowPunct/>
        <w:topLinePunct w:val="0"/>
        <w:autoSpaceDE/>
        <w:autoSpaceDN/>
        <w:bidi w:val="0"/>
        <w:adjustRightInd/>
        <w:spacing w:line="360" w:lineRule="auto"/>
        <w:ind w:firstLine="420" w:firstLineChars="200"/>
        <w:textAlignment w:val="auto"/>
        <w:rPr>
          <w:rFonts w:hint="eastAsia" w:ascii="宋体" w:hAnsi="宋体" w:cs="宋体"/>
          <w:bCs/>
          <w:kern w:val="0"/>
          <w:sz w:val="21"/>
          <w:szCs w:val="21"/>
          <w:lang w:val="en-US" w:eastAsia="zh-CN"/>
        </w:rPr>
      </w:pPr>
      <w:r>
        <w:rPr>
          <w:rFonts w:hint="eastAsia" w:hAnsi="宋体"/>
          <w:bCs/>
          <w:color w:val="auto"/>
          <w:kern w:val="0"/>
          <w:szCs w:val="21"/>
          <w:lang w:val="en-US" w:eastAsia="zh-CN"/>
        </w:rPr>
        <w:t>2.课程目标及对毕业要求的支撑</w:t>
      </w:r>
    </w:p>
    <w:p>
      <w:pPr>
        <w:spacing w:line="360" w:lineRule="auto"/>
        <w:ind w:firstLine="420" w:firstLineChars="200"/>
        <w:rPr>
          <w:rFonts w:hint="default" w:ascii="宋体" w:hAnsi="宋体" w:cs="宋体"/>
          <w:bCs/>
          <w:kern w:val="0"/>
          <w:sz w:val="21"/>
          <w:szCs w:val="21"/>
          <w:lang w:val="en-US" w:eastAsia="zh-CN"/>
        </w:rPr>
      </w:pPr>
    </w:p>
    <w:p>
      <w:pPr>
        <w:spacing w:line="360" w:lineRule="auto"/>
        <w:ind w:firstLine="420" w:firstLineChars="200"/>
        <w:rPr>
          <w:rFonts w:hint="default" w:ascii="宋体" w:hAnsi="宋体" w:cs="宋体"/>
          <w:bCs/>
          <w:kern w:val="0"/>
          <w:sz w:val="21"/>
          <w:szCs w:val="21"/>
          <w:lang w:val="en-US" w:eastAsia="zh-CN"/>
        </w:rPr>
      </w:pPr>
    </w:p>
    <w:p>
      <w:pPr>
        <w:spacing w:line="360" w:lineRule="auto"/>
        <w:ind w:firstLine="420" w:firstLineChars="200"/>
        <w:rPr>
          <w:rFonts w:hint="default" w:ascii="宋体" w:hAnsi="宋体" w:cs="宋体"/>
          <w:bCs/>
          <w:kern w:val="0"/>
          <w:sz w:val="21"/>
          <w:szCs w:val="21"/>
          <w:lang w:val="en-US" w:eastAsia="zh-CN"/>
        </w:rPr>
      </w:pPr>
    </w:p>
    <w:tbl>
      <w:tblPr>
        <w:tblStyle w:val="23"/>
        <w:tblpPr w:leftFromText="180" w:rightFromText="180" w:vertAnchor="text" w:horzAnchor="page" w:tblpX="1697" w:tblpY="144"/>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6756"/>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99"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6756"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课程目标</w:t>
            </w:r>
          </w:p>
        </w:tc>
        <w:tc>
          <w:tcPr>
            <w:tcW w:w="1142" w:type="dxa"/>
            <w:tcBorders>
              <w:top w:val="single" w:color="auto" w:sz="4" w:space="0"/>
              <w:left w:val="single" w:color="auto" w:sz="4" w:space="0"/>
              <w:bottom w:val="single" w:color="auto" w:sz="4" w:space="0"/>
              <w:right w:val="single" w:color="auto" w:sz="4" w:space="0"/>
            </w:tcBorders>
            <w:shd w:val="clear" w:color="auto" w:fill="EEECE1" w:themeFill="background2"/>
            <w:vAlign w:val="center"/>
          </w:tcPr>
          <w:p>
            <w:pPr>
              <w:spacing w:line="320" w:lineRule="exact"/>
              <w:jc w:val="center"/>
              <w:rPr>
                <w:rFonts w:hint="eastAsia" w:ascii="宋体" w:hAnsi="宋体" w:eastAsia="宋体" w:cs="宋体"/>
                <w:b/>
                <w:bCs/>
                <w:sz w:val="18"/>
                <w:szCs w:val="18"/>
              </w:rPr>
            </w:pPr>
            <w:r>
              <w:rPr>
                <w:rFonts w:hint="eastAsia" w:ascii="宋体" w:hAnsi="宋体" w:eastAsia="宋体" w:cs="宋体"/>
                <w:b/>
                <w:bCs/>
                <w:sz w:val="18"/>
                <w:szCs w:val="18"/>
              </w:rPr>
              <w:t>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lang w:val="en-US" w:eastAsia="zh-CN"/>
              </w:rPr>
            </w:pPr>
            <w:r>
              <w:rPr>
                <w:rFonts w:hint="eastAsia" w:eastAsiaTheme="minorEastAsia"/>
                <w:sz w:val="18"/>
                <w:szCs w:val="18"/>
                <w:lang w:val="en-US" w:eastAsia="zh-CN"/>
              </w:rPr>
              <w:t>1</w:t>
            </w:r>
          </w:p>
        </w:tc>
        <w:tc>
          <w:tcPr>
            <w:tcW w:w="6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eastAsia="宋体" w:cs="宋体"/>
                <w:color w:val="353535"/>
                <w:kern w:val="0"/>
                <w:szCs w:val="21"/>
                <w:lang w:eastAsia="zh-CN"/>
              </w:rPr>
            </w:pPr>
            <w:r>
              <w:rPr>
                <w:rFonts w:hint="eastAsia" w:ascii="宋体" w:hAnsi="宋体" w:cs="宋体"/>
                <w:color w:val="353535"/>
                <w:kern w:val="0"/>
                <w:szCs w:val="21"/>
                <w:lang w:val="en-US" w:eastAsia="zh-CN"/>
              </w:rPr>
              <w:t>目标1：</w:t>
            </w:r>
            <w:r>
              <w:rPr>
                <w:rFonts w:hint="eastAsia" w:ascii="宋体" w:hAnsi="宋体" w:cs="宋体"/>
                <w:color w:val="353535"/>
                <w:kern w:val="0"/>
                <w:szCs w:val="21"/>
              </w:rPr>
              <w:t>使学生了解</w:t>
            </w:r>
            <w:r>
              <w:rPr>
                <w:rFonts w:hint="eastAsia" w:ascii="宋体" w:hAnsi="宋体" w:cs="宋体"/>
                <w:color w:val="353535"/>
                <w:kern w:val="0"/>
                <w:szCs w:val="21"/>
                <w:lang w:val="en-US" w:eastAsia="zh-CN"/>
              </w:rPr>
              <w:t>园艺植物和阳台园艺的环境、设施、适合阳台栽植的园艺作物基本的栽培技术</w:t>
            </w:r>
            <w:r>
              <w:rPr>
                <w:rFonts w:hint="eastAsia" w:ascii="宋体" w:hAnsi="宋体" w:cs="宋体"/>
                <w:color w:val="353535"/>
                <w:kern w:val="0"/>
                <w:szCs w:val="21"/>
                <w:lang w:eastAsia="zh-CN"/>
              </w:rPr>
              <w:t>。</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default" w:ascii="宋体" w:hAnsi="宋体" w:eastAsia="宋体" w:cs="宋体"/>
                <w:color w:val="353535"/>
                <w:kern w:val="0"/>
                <w:sz w:val="21"/>
                <w:szCs w:val="21"/>
                <w:lang w:val="en-US" w:eastAsia="zh-CN"/>
              </w:rPr>
            </w:pPr>
            <w:r>
              <w:rPr>
                <w:rFonts w:hint="eastAsia" w:ascii="宋体" w:hAnsi="宋体" w:cs="宋体"/>
                <w:color w:val="353535"/>
                <w:kern w:val="0"/>
                <w:sz w:val="21"/>
                <w:szCs w:val="21"/>
                <w:lang w:val="en-US" w:eastAsia="zh-CN"/>
              </w:rPr>
              <w:t>专业能力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lang w:val="en-US" w:eastAsia="zh-CN"/>
              </w:rPr>
            </w:pPr>
            <w:r>
              <w:rPr>
                <w:rFonts w:hint="eastAsia" w:eastAsiaTheme="minorEastAsia"/>
                <w:sz w:val="18"/>
                <w:szCs w:val="18"/>
                <w:lang w:val="en-US" w:eastAsia="zh-CN"/>
              </w:rPr>
              <w:t>2</w:t>
            </w:r>
          </w:p>
        </w:tc>
        <w:tc>
          <w:tcPr>
            <w:tcW w:w="6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default" w:ascii="宋体" w:hAnsi="宋体" w:eastAsia="宋体" w:cs="宋体"/>
                <w:color w:val="353535"/>
                <w:kern w:val="0"/>
                <w:szCs w:val="21"/>
                <w:lang w:val="en-US" w:eastAsia="zh-CN"/>
              </w:rPr>
            </w:pPr>
            <w:r>
              <w:rPr>
                <w:rFonts w:hint="eastAsia" w:ascii="宋体" w:hAnsi="宋体" w:cs="宋体"/>
                <w:color w:val="353535"/>
                <w:kern w:val="0"/>
                <w:szCs w:val="21"/>
                <w:lang w:val="en-US" w:eastAsia="zh-CN"/>
              </w:rPr>
              <w:t>目标2：</w:t>
            </w:r>
            <w:r>
              <w:rPr>
                <w:rFonts w:hint="eastAsia" w:ascii="宋体" w:hAnsi="宋体" w:cs="宋体"/>
                <w:color w:val="353535"/>
                <w:kern w:val="0"/>
                <w:szCs w:val="21"/>
              </w:rPr>
              <w:t>使学生</w:t>
            </w:r>
            <w:r>
              <w:rPr>
                <w:rFonts w:hint="eastAsia" w:ascii="宋体" w:hAnsi="宋体" w:cs="宋体"/>
                <w:color w:val="353535"/>
                <w:kern w:val="0"/>
                <w:szCs w:val="21"/>
                <w:lang w:val="en-US" w:eastAsia="zh-CN"/>
              </w:rPr>
              <w:t>掌握适地适令栽培的基本原则，学会阳台微景观创造，学会分析问题并解决问题，学会欣赏美、创造美。</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default" w:ascii="宋体" w:hAnsi="宋体" w:eastAsia="宋体" w:cs="宋体"/>
                <w:color w:val="353535"/>
                <w:kern w:val="0"/>
                <w:sz w:val="21"/>
                <w:szCs w:val="21"/>
                <w:lang w:val="en-US" w:eastAsia="zh-CN"/>
              </w:rPr>
            </w:pPr>
            <w:r>
              <w:rPr>
                <w:rFonts w:hint="eastAsia" w:ascii="宋体" w:hAnsi="宋体" w:cs="宋体"/>
                <w:color w:val="353535"/>
                <w:kern w:val="0"/>
                <w:sz w:val="21"/>
                <w:szCs w:val="21"/>
                <w:lang w:val="en-US" w:eastAsia="zh-CN"/>
              </w:rPr>
              <w:t>人文素养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999"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eastAsiaTheme="minorEastAsia"/>
                <w:sz w:val="18"/>
                <w:szCs w:val="18"/>
                <w:lang w:val="en-US" w:eastAsia="zh-CN"/>
              </w:rPr>
            </w:pPr>
            <w:r>
              <w:rPr>
                <w:rFonts w:hint="eastAsia" w:eastAsiaTheme="minorEastAsia"/>
                <w:sz w:val="18"/>
                <w:szCs w:val="18"/>
                <w:lang w:val="en-US" w:eastAsia="zh-CN"/>
              </w:rPr>
              <w:t>3</w:t>
            </w:r>
          </w:p>
        </w:tc>
        <w:tc>
          <w:tcPr>
            <w:tcW w:w="675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eastAsia" w:ascii="宋体" w:hAnsi="宋体" w:eastAsia="宋体" w:cs="宋体"/>
                <w:color w:val="353535"/>
                <w:kern w:val="0"/>
                <w:szCs w:val="21"/>
                <w:lang w:eastAsia="zh-CN"/>
              </w:rPr>
            </w:pPr>
            <w:r>
              <w:rPr>
                <w:rFonts w:hint="eastAsia" w:ascii="宋体" w:hAnsi="宋体" w:cs="宋体"/>
                <w:color w:val="353535"/>
                <w:kern w:val="0"/>
                <w:szCs w:val="21"/>
                <w:lang w:val="en-US" w:eastAsia="zh-CN"/>
              </w:rPr>
              <w:t>目标3：通过课程学习，使学生了解更为广阔的世界并认识到事物是发展的，从而敦促学生不断提到学习能力，不断更新自身知识</w:t>
            </w:r>
            <w:r>
              <w:rPr>
                <w:rFonts w:hint="eastAsia" w:ascii="宋体" w:hAnsi="宋体" w:cs="宋体"/>
                <w:color w:val="353535"/>
                <w:kern w:val="0"/>
                <w:szCs w:val="21"/>
                <w:lang w:eastAsia="zh-CN"/>
              </w:rPr>
              <w:t>。</w:t>
            </w:r>
          </w:p>
        </w:tc>
        <w:tc>
          <w:tcPr>
            <w:tcW w:w="1142"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rPr>
                <w:rFonts w:hint="default" w:ascii="宋体" w:hAnsi="宋体" w:eastAsia="宋体" w:cs="宋体"/>
                <w:color w:val="353535"/>
                <w:kern w:val="0"/>
                <w:sz w:val="21"/>
                <w:szCs w:val="21"/>
                <w:lang w:val="en-US" w:eastAsia="zh-CN"/>
              </w:rPr>
            </w:pPr>
            <w:r>
              <w:rPr>
                <w:rFonts w:hint="eastAsia" w:ascii="宋体" w:hAnsi="宋体" w:cs="宋体"/>
                <w:color w:val="353535"/>
                <w:kern w:val="0"/>
                <w:sz w:val="21"/>
                <w:szCs w:val="21"/>
                <w:lang w:val="en-US" w:eastAsia="zh-CN"/>
              </w:rPr>
              <w:t>终身学习</w:t>
            </w:r>
          </w:p>
        </w:tc>
      </w:tr>
    </w:tbl>
    <w:p>
      <w:pPr>
        <w:spacing w:line="360" w:lineRule="auto"/>
        <w:rPr>
          <w:rFonts w:hint="default" w:ascii="宋体" w:hAnsi="宋体" w:cs="宋体"/>
          <w:bCs/>
          <w:kern w:val="0"/>
          <w:sz w:val="21"/>
          <w:szCs w:val="21"/>
          <w:lang w:val="en-US" w:eastAsia="zh-CN"/>
        </w:rPr>
      </w:pPr>
    </w:p>
    <w:p>
      <w:pPr>
        <w:pStyle w:val="20"/>
        <w:spacing w:before="0" w:beforeAutospacing="0" w:after="0" w:afterAutospacing="0" w:line="360" w:lineRule="auto"/>
        <w:rPr>
          <w:rFonts w:ascii="Times New Roman" w:hAnsi="Times New Roman"/>
          <w:sz w:val="21"/>
          <w:szCs w:val="21"/>
        </w:rPr>
      </w:pPr>
      <w:r>
        <w:rPr>
          <w:rFonts w:hint="eastAsia"/>
          <w:b/>
          <w:bCs/>
          <w:sz w:val="21"/>
          <w:szCs w:val="21"/>
        </w:rPr>
        <w:t>四</w:t>
      </w:r>
      <w:r>
        <w:rPr>
          <w:b/>
          <w:bCs/>
          <w:sz w:val="21"/>
          <w:szCs w:val="21"/>
        </w:rPr>
        <w:t>、理论教学内容及学时分配</w:t>
      </w:r>
      <w:r>
        <w:rPr>
          <w:rFonts w:hint="eastAsia"/>
          <w:b/>
          <w:bCs/>
          <w:sz w:val="21"/>
          <w:szCs w:val="21"/>
        </w:rPr>
        <w:t>（</w:t>
      </w:r>
      <w:r>
        <w:rPr>
          <w:rFonts w:hint="eastAsia"/>
          <w:b/>
          <w:bCs/>
          <w:sz w:val="21"/>
          <w:szCs w:val="21"/>
          <w:lang w:val="en-US" w:eastAsia="zh-CN"/>
        </w:rPr>
        <w:t>16</w:t>
      </w:r>
      <w:r>
        <w:rPr>
          <w:rFonts w:hint="eastAsia"/>
          <w:b/>
          <w:bCs/>
          <w:sz w:val="21"/>
          <w:szCs w:val="21"/>
        </w:rPr>
        <w:t>学时）</w:t>
      </w:r>
    </w:p>
    <w:p>
      <w:pPr>
        <w:pStyle w:val="20"/>
        <w:spacing w:before="0" w:beforeAutospacing="0" w:after="0" w:afterAutospacing="0"/>
        <w:ind w:firstLine="413" w:firstLineChars="196"/>
        <w:jc w:val="center"/>
        <w:rPr>
          <w:b/>
          <w:bCs/>
          <w:sz w:val="21"/>
          <w:szCs w:val="21"/>
        </w:rPr>
      </w:pPr>
      <w:r>
        <w:rPr>
          <w:rFonts w:hint="eastAsia" w:ascii="Times New Roman"/>
          <w:b/>
          <w:sz w:val="21"/>
          <w:szCs w:val="21"/>
        </w:rPr>
        <w:t xml:space="preserve"> </w:t>
      </w:r>
      <w:r>
        <w:rPr>
          <w:rFonts w:ascii="Times New Roman"/>
          <w:b/>
          <w:sz w:val="21"/>
          <w:szCs w:val="21"/>
        </w:rPr>
        <w:t xml:space="preserve">                      </w:t>
      </w:r>
      <w:r>
        <w:rPr>
          <w:rFonts w:hint="eastAsia" w:ascii="Times New Roman"/>
          <w:b/>
          <w:sz w:val="21"/>
          <w:szCs w:val="21"/>
          <w:lang w:val="en-US" w:eastAsia="zh-CN"/>
        </w:rPr>
        <w:t xml:space="preserve">         </w:t>
      </w:r>
      <w:r>
        <w:rPr>
          <w:rFonts w:ascii="Times New Roman"/>
          <w:b/>
          <w:sz w:val="21"/>
          <w:szCs w:val="21"/>
        </w:rPr>
        <w:t xml:space="preserve">    </w:t>
      </w:r>
      <w:r>
        <w:rPr>
          <w:b/>
          <w:bCs/>
          <w:sz w:val="21"/>
          <w:szCs w:val="21"/>
        </w:rPr>
        <w:t>绪论</w:t>
      </w:r>
      <w:r>
        <w:rPr>
          <w:rFonts w:hint="eastAsia"/>
          <w:b/>
          <w:bCs/>
          <w:sz w:val="21"/>
          <w:szCs w:val="21"/>
        </w:rPr>
        <w:t xml:space="preserve"> </w:t>
      </w:r>
      <w:r>
        <w:rPr>
          <w:b/>
          <w:bCs/>
          <w:sz w:val="21"/>
          <w:szCs w:val="21"/>
        </w:rPr>
        <w:t xml:space="preserve">                       </w:t>
      </w:r>
      <w:r>
        <w:rPr>
          <w:rFonts w:hint="eastAsia"/>
          <w:b/>
          <w:bCs/>
          <w:sz w:val="21"/>
          <w:szCs w:val="21"/>
          <w:lang w:val="en-US" w:eastAsia="zh-CN"/>
        </w:rPr>
        <w:t xml:space="preserve">     </w:t>
      </w:r>
      <w:r>
        <w:rPr>
          <w:b/>
          <w:bCs/>
          <w:sz w:val="21"/>
          <w:szCs w:val="21"/>
        </w:rPr>
        <w:t xml:space="preserve">   </w:t>
      </w:r>
      <w:r>
        <w:rPr>
          <w:rFonts w:hint="eastAsia"/>
          <w:b/>
          <w:bCs/>
          <w:sz w:val="21"/>
          <w:szCs w:val="21"/>
        </w:rPr>
        <w:t>学时数：</w:t>
      </w:r>
      <w:r>
        <w:rPr>
          <w:b/>
          <w:bCs/>
          <w:sz w:val="21"/>
          <w:szCs w:val="21"/>
        </w:rPr>
        <w:t>1</w:t>
      </w:r>
    </w:p>
    <w:p>
      <w:pPr>
        <w:spacing w:line="360" w:lineRule="auto"/>
        <w:rPr>
          <w:rFonts w:hAnsi="宋体"/>
          <w:sz w:val="21"/>
          <w:szCs w:val="21"/>
        </w:rPr>
      </w:pPr>
      <w:r>
        <w:rPr>
          <w:rFonts w:hint="eastAsia" w:ascii="宋体" w:hAnsi="宋体"/>
          <w:b/>
          <w:bCs/>
          <w:sz w:val="21"/>
          <w:szCs w:val="21"/>
        </w:rPr>
        <w:t>教学目的：</w:t>
      </w:r>
      <w:r>
        <w:rPr>
          <w:rFonts w:hAnsi="宋体"/>
          <w:sz w:val="21"/>
          <w:szCs w:val="21"/>
        </w:rPr>
        <w:t>了解</w:t>
      </w:r>
      <w:r>
        <w:rPr>
          <w:rFonts w:hint="eastAsia" w:hAnsi="宋体"/>
          <w:sz w:val="21"/>
          <w:szCs w:val="21"/>
          <w:lang w:val="en-US" w:eastAsia="zh-CN"/>
        </w:rPr>
        <w:t>阳台园艺</w:t>
      </w:r>
      <w:r>
        <w:rPr>
          <w:rFonts w:hAnsi="宋体"/>
          <w:sz w:val="21"/>
          <w:szCs w:val="21"/>
        </w:rPr>
        <w:t>的发展</w:t>
      </w:r>
      <w:r>
        <w:rPr>
          <w:rFonts w:hint="eastAsia" w:hAnsi="宋体"/>
          <w:sz w:val="21"/>
          <w:szCs w:val="21"/>
        </w:rPr>
        <w:t xml:space="preserve">。 </w:t>
      </w:r>
    </w:p>
    <w:p>
      <w:pPr>
        <w:spacing w:line="360" w:lineRule="auto"/>
        <w:rPr>
          <w:rFonts w:hAnsi="宋体"/>
          <w:sz w:val="21"/>
          <w:szCs w:val="21"/>
        </w:rPr>
      </w:pPr>
      <w:r>
        <w:rPr>
          <w:rFonts w:hint="eastAsia" w:ascii="宋体" w:hAnsi="宋体"/>
          <w:b/>
          <w:bCs/>
          <w:sz w:val="21"/>
          <w:szCs w:val="21"/>
        </w:rPr>
        <w:t>重点和难点</w:t>
      </w:r>
      <w:r>
        <w:rPr>
          <w:rFonts w:hint="eastAsia" w:ascii="宋体" w:hAnsi="宋体" w:cs="宋体"/>
          <w:b/>
          <w:bCs/>
          <w:color w:val="353535"/>
          <w:kern w:val="0"/>
          <w:sz w:val="21"/>
          <w:szCs w:val="21"/>
        </w:rPr>
        <w:t>：</w:t>
      </w:r>
      <w:r>
        <w:rPr>
          <w:rFonts w:hint="eastAsia" w:hAnsi="宋体"/>
          <w:sz w:val="21"/>
          <w:szCs w:val="21"/>
          <w:lang w:val="en-US" w:eastAsia="zh-CN"/>
        </w:rPr>
        <w:t>园艺</w:t>
      </w:r>
      <w:r>
        <w:rPr>
          <w:rFonts w:hAnsi="宋体"/>
          <w:sz w:val="21"/>
          <w:szCs w:val="21"/>
        </w:rPr>
        <w:t>的涵义</w:t>
      </w:r>
      <w:r>
        <w:rPr>
          <w:rFonts w:hint="eastAsia" w:hAnsi="宋体"/>
          <w:sz w:val="21"/>
          <w:szCs w:val="21"/>
        </w:rPr>
        <w:t>；</w:t>
      </w:r>
      <w:r>
        <w:rPr>
          <w:rFonts w:hint="eastAsia" w:hAnsi="宋体"/>
          <w:sz w:val="21"/>
          <w:szCs w:val="21"/>
          <w:lang w:val="en-US" w:eastAsia="zh-CN"/>
        </w:rPr>
        <w:t>阳台园艺</w:t>
      </w:r>
      <w:r>
        <w:rPr>
          <w:rFonts w:hAnsi="宋体"/>
          <w:sz w:val="21"/>
          <w:szCs w:val="21"/>
        </w:rPr>
        <w:t>的概况</w:t>
      </w:r>
      <w:r>
        <w:rPr>
          <w:rFonts w:hint="eastAsia" w:hAnsi="宋体"/>
          <w:sz w:val="21"/>
          <w:szCs w:val="21"/>
        </w:rPr>
        <w:t xml:space="preserve">。 </w:t>
      </w:r>
    </w:p>
    <w:p>
      <w:pPr>
        <w:widowControl/>
        <w:spacing w:line="360" w:lineRule="auto"/>
        <w:jc w:val="left"/>
        <w:rPr>
          <w:rFonts w:ascii="宋体" w:hAnsi="宋体" w:cs="宋体"/>
          <w:b/>
          <w:bCs/>
          <w:color w:val="353535"/>
          <w:kern w:val="0"/>
          <w:sz w:val="21"/>
          <w:szCs w:val="21"/>
        </w:rPr>
      </w:pPr>
      <w:r>
        <w:rPr>
          <w:rFonts w:hint="eastAsia" w:ascii="宋体" w:hAnsi="宋体"/>
          <w:b/>
          <w:bCs/>
          <w:sz w:val="21"/>
          <w:szCs w:val="21"/>
        </w:rPr>
        <w:t>主要教学内容及要求：</w:t>
      </w:r>
    </w:p>
    <w:p>
      <w:pPr>
        <w:spacing w:line="360" w:lineRule="auto"/>
        <w:ind w:firstLine="420" w:firstLineChars="200"/>
        <w:rPr>
          <w:rFonts w:hint="eastAsia" w:hAnsi="宋体"/>
          <w:sz w:val="21"/>
          <w:szCs w:val="21"/>
        </w:rPr>
      </w:pPr>
      <w:r>
        <w:rPr>
          <w:rFonts w:hint="eastAsia" w:hAnsi="宋体"/>
          <w:sz w:val="21"/>
          <w:szCs w:val="21"/>
        </w:rPr>
        <w:t>了解：</w:t>
      </w:r>
      <w:r>
        <w:rPr>
          <w:rFonts w:hint="eastAsia" w:hAnsi="宋体"/>
          <w:sz w:val="21"/>
          <w:szCs w:val="21"/>
          <w:lang w:val="en-US" w:eastAsia="zh-CN"/>
        </w:rPr>
        <w:t>园艺</w:t>
      </w:r>
      <w:r>
        <w:rPr>
          <w:rFonts w:hAnsi="宋体"/>
          <w:sz w:val="21"/>
          <w:szCs w:val="21"/>
        </w:rPr>
        <w:t>的涵义</w:t>
      </w:r>
      <w:r>
        <w:rPr>
          <w:rFonts w:hint="eastAsia" w:hAnsi="宋体"/>
          <w:sz w:val="21"/>
          <w:szCs w:val="21"/>
          <w:lang w:eastAsia="zh-CN"/>
        </w:rPr>
        <w:t>；</w:t>
      </w:r>
      <w:r>
        <w:rPr>
          <w:rFonts w:hint="eastAsia" w:hAnsi="宋体"/>
          <w:sz w:val="21"/>
          <w:szCs w:val="21"/>
          <w:lang w:val="en-US" w:eastAsia="zh-CN"/>
        </w:rPr>
        <w:t>阳台园艺</w:t>
      </w:r>
      <w:r>
        <w:rPr>
          <w:rFonts w:hAnsi="宋体"/>
          <w:sz w:val="21"/>
          <w:szCs w:val="21"/>
        </w:rPr>
        <w:t>的发展</w:t>
      </w:r>
      <w:r>
        <w:rPr>
          <w:rFonts w:hint="eastAsia" w:hAnsi="宋体"/>
          <w:sz w:val="21"/>
          <w:szCs w:val="21"/>
        </w:rPr>
        <w:t>。</w:t>
      </w:r>
    </w:p>
    <w:p>
      <w:pPr>
        <w:spacing w:line="360" w:lineRule="auto"/>
        <w:ind w:firstLine="420" w:firstLineChars="200"/>
        <w:rPr>
          <w:rFonts w:hint="eastAsia" w:hAnsi="宋体" w:eastAsia="宋体"/>
          <w:sz w:val="21"/>
          <w:szCs w:val="21"/>
          <w:lang w:eastAsia="zh-CN"/>
        </w:rPr>
      </w:pPr>
      <w:r>
        <w:rPr>
          <w:rFonts w:hint="eastAsia" w:hAnsi="宋体"/>
          <w:sz w:val="21"/>
          <w:szCs w:val="21"/>
        </w:rPr>
        <w:t>理解：</w:t>
      </w:r>
      <w:r>
        <w:rPr>
          <w:rFonts w:hAnsi="宋体"/>
          <w:sz w:val="21"/>
          <w:szCs w:val="21"/>
        </w:rPr>
        <w:t>本课程的内容和任务</w:t>
      </w:r>
      <w:r>
        <w:rPr>
          <w:rFonts w:hint="eastAsia" w:hAnsi="宋体"/>
          <w:sz w:val="21"/>
          <w:szCs w:val="21"/>
          <w:lang w:eastAsia="zh-CN"/>
        </w:rPr>
        <w:t>。</w:t>
      </w:r>
    </w:p>
    <w:p>
      <w:pPr>
        <w:spacing w:line="360" w:lineRule="auto"/>
        <w:rPr>
          <w:rFonts w:hint="eastAsia" w:eastAsia="宋体"/>
          <w:b/>
          <w:bCs/>
          <w:sz w:val="21"/>
          <w:szCs w:val="21"/>
          <w:lang w:val="en-US" w:eastAsia="zh-CN"/>
        </w:rPr>
      </w:pPr>
      <w:r>
        <w:rPr>
          <w:rFonts w:hint="eastAsia" w:ascii="宋体" w:hAnsi="宋体"/>
          <w:b/>
          <w:bCs/>
          <w:sz w:val="21"/>
          <w:szCs w:val="21"/>
        </w:rPr>
        <w:t>教学组织与实施：</w:t>
      </w:r>
      <w:r>
        <w:rPr>
          <w:rFonts w:hint="eastAsia" w:hAnsi="宋体"/>
          <w:kern w:val="0"/>
          <w:sz w:val="21"/>
          <w:szCs w:val="21"/>
        </w:rPr>
        <w:t>教师提前发布要求，学生通过自主观察、查询资料了解什么是</w:t>
      </w:r>
      <w:r>
        <w:rPr>
          <w:rFonts w:hint="eastAsia" w:hAnsi="宋体"/>
          <w:kern w:val="0"/>
          <w:sz w:val="21"/>
          <w:szCs w:val="21"/>
          <w:lang w:val="en-US" w:eastAsia="zh-CN"/>
        </w:rPr>
        <w:t>园艺</w:t>
      </w:r>
      <w:r>
        <w:rPr>
          <w:rFonts w:hint="eastAsia" w:hAnsi="宋体"/>
          <w:kern w:val="0"/>
          <w:sz w:val="21"/>
          <w:szCs w:val="21"/>
        </w:rPr>
        <w:t>、</w:t>
      </w:r>
      <w:r>
        <w:rPr>
          <w:rFonts w:hint="eastAsia" w:hAnsi="宋体"/>
          <w:kern w:val="0"/>
          <w:sz w:val="21"/>
          <w:szCs w:val="21"/>
          <w:lang w:val="en-US" w:eastAsia="zh-CN"/>
        </w:rPr>
        <w:t>阳台园艺</w:t>
      </w:r>
      <w:r>
        <w:rPr>
          <w:rFonts w:hint="eastAsia" w:hAnsi="宋体"/>
          <w:kern w:val="0"/>
          <w:sz w:val="21"/>
          <w:szCs w:val="21"/>
        </w:rPr>
        <w:t>学习的意义，教师通过课堂提问让学生自己讲解，教师课堂讲解</w:t>
      </w:r>
      <w:r>
        <w:rPr>
          <w:rFonts w:hint="eastAsia" w:hAnsi="宋体"/>
          <w:kern w:val="0"/>
          <w:sz w:val="21"/>
          <w:szCs w:val="21"/>
          <w:lang w:val="en-US" w:eastAsia="zh-CN"/>
        </w:rPr>
        <w:t>阳台园艺</w:t>
      </w:r>
      <w:r>
        <w:rPr>
          <w:rFonts w:hint="eastAsia" w:hAnsi="宋体"/>
          <w:kern w:val="0"/>
          <w:sz w:val="21"/>
          <w:szCs w:val="21"/>
        </w:rPr>
        <w:t>发展趋势、发展历史与现状。</w:t>
      </w:r>
      <w:r>
        <w:rPr>
          <w:rFonts w:hint="eastAsia" w:hAnsi="宋体"/>
          <w:kern w:val="0"/>
          <w:sz w:val="21"/>
          <w:szCs w:val="21"/>
          <w:lang w:val="en-US" w:eastAsia="zh-CN"/>
        </w:rPr>
        <w:t xml:space="preserve"> </w:t>
      </w:r>
    </w:p>
    <w:p>
      <w:pPr>
        <w:pStyle w:val="20"/>
        <w:numPr>
          <w:ilvl w:val="0"/>
          <w:numId w:val="44"/>
        </w:numPr>
        <w:spacing w:before="0" w:beforeAutospacing="0" w:after="0" w:afterAutospacing="0" w:line="360" w:lineRule="auto"/>
        <w:ind w:firstLine="1687" w:firstLineChars="800"/>
        <w:rPr>
          <w:rFonts w:hint="eastAsia" w:eastAsia="宋体"/>
          <w:b/>
          <w:bCs/>
          <w:sz w:val="21"/>
          <w:szCs w:val="21"/>
          <w:lang w:eastAsia="zh-CN"/>
        </w:rPr>
      </w:pPr>
      <w:r>
        <w:rPr>
          <w:rFonts w:hint="eastAsia"/>
          <w:b/>
          <w:bCs/>
          <w:sz w:val="21"/>
          <w:szCs w:val="21"/>
          <w:lang w:val="en-US" w:eastAsia="zh-CN"/>
        </w:rPr>
        <w:t xml:space="preserve">   </w:t>
      </w:r>
      <w:r>
        <w:rPr>
          <w:b/>
          <w:bCs/>
          <w:sz w:val="21"/>
          <w:szCs w:val="21"/>
        </w:rPr>
        <w:t xml:space="preserve"> </w:t>
      </w:r>
      <w:r>
        <w:rPr>
          <w:rFonts w:hint="eastAsia"/>
          <w:b/>
          <w:bCs/>
          <w:sz w:val="21"/>
          <w:szCs w:val="21"/>
          <w:lang w:val="en-US" w:eastAsia="zh-CN"/>
        </w:rPr>
        <w:t>阳台园艺的设施工具和栽培基质</w:t>
      </w:r>
      <w:r>
        <w:rPr>
          <w:b/>
          <w:bCs/>
          <w:sz w:val="21"/>
          <w:szCs w:val="21"/>
        </w:rPr>
        <w:t xml:space="preserve">      </w:t>
      </w:r>
      <w:r>
        <w:rPr>
          <w:rFonts w:hint="eastAsia"/>
          <w:b/>
          <w:bCs/>
          <w:sz w:val="21"/>
          <w:szCs w:val="21"/>
          <w:lang w:val="en-US" w:eastAsia="zh-CN"/>
        </w:rPr>
        <w:t xml:space="preserve">            </w:t>
      </w:r>
      <w:r>
        <w:rPr>
          <w:b/>
          <w:bCs/>
          <w:sz w:val="21"/>
          <w:szCs w:val="21"/>
        </w:rPr>
        <w:t xml:space="preserve"> </w:t>
      </w:r>
      <w:r>
        <w:rPr>
          <w:rFonts w:hint="eastAsia"/>
          <w:b/>
          <w:bCs/>
          <w:sz w:val="21"/>
          <w:szCs w:val="21"/>
        </w:rPr>
        <w:t xml:space="preserve">学时数： </w:t>
      </w:r>
      <w:r>
        <w:rPr>
          <w:rFonts w:hint="eastAsia"/>
          <w:b/>
          <w:bCs/>
          <w:sz w:val="21"/>
          <w:szCs w:val="21"/>
          <w:lang w:val="en-US" w:eastAsia="zh-CN"/>
        </w:rPr>
        <w:t>2</w:t>
      </w:r>
    </w:p>
    <w:p>
      <w:pPr>
        <w:spacing w:line="360" w:lineRule="auto"/>
        <w:rPr>
          <w:rFonts w:hAnsi="宋体"/>
          <w:sz w:val="21"/>
          <w:szCs w:val="21"/>
        </w:rPr>
      </w:pPr>
      <w:r>
        <w:rPr>
          <w:rFonts w:hint="eastAsia" w:ascii="宋体" w:hAnsi="宋体"/>
          <w:b/>
          <w:bCs/>
          <w:sz w:val="21"/>
          <w:szCs w:val="21"/>
        </w:rPr>
        <w:t>教学目的：</w:t>
      </w:r>
      <w:r>
        <w:rPr>
          <w:rFonts w:hint="eastAsia" w:hAnsi="宋体"/>
          <w:kern w:val="0"/>
          <w:sz w:val="21"/>
          <w:szCs w:val="21"/>
        </w:rPr>
        <w:t>了解</w:t>
      </w:r>
      <w:r>
        <w:rPr>
          <w:rFonts w:hint="eastAsia" w:hAnsi="宋体"/>
          <w:kern w:val="0"/>
          <w:sz w:val="21"/>
          <w:szCs w:val="21"/>
          <w:lang w:val="en-US" w:eastAsia="zh-CN"/>
        </w:rPr>
        <w:t>阳台园艺的设施工具和栽培基质都有哪些；</w:t>
      </w:r>
      <w:r>
        <w:rPr>
          <w:rFonts w:hint="eastAsia" w:hAnsi="宋体"/>
          <w:kern w:val="0"/>
          <w:sz w:val="21"/>
          <w:szCs w:val="21"/>
        </w:rPr>
        <w:t>掌握</w:t>
      </w:r>
      <w:r>
        <w:rPr>
          <w:rFonts w:hint="eastAsia" w:hAnsi="宋体"/>
          <w:kern w:val="0"/>
          <w:sz w:val="21"/>
          <w:szCs w:val="21"/>
          <w:lang w:val="en-US" w:eastAsia="zh-CN"/>
        </w:rPr>
        <w:t>栽培基质的选择的原则；掌握不同园艺工具的使用</w:t>
      </w:r>
      <w:r>
        <w:rPr>
          <w:rFonts w:hint="eastAsia" w:hAnsi="宋体"/>
          <w:kern w:val="0"/>
          <w:sz w:val="21"/>
          <w:szCs w:val="21"/>
        </w:rPr>
        <w:t>。</w:t>
      </w:r>
    </w:p>
    <w:p>
      <w:pPr>
        <w:spacing w:line="360" w:lineRule="auto"/>
        <w:rPr>
          <w:sz w:val="21"/>
          <w:szCs w:val="21"/>
        </w:rPr>
      </w:pPr>
      <w:r>
        <w:rPr>
          <w:rFonts w:hint="eastAsia" w:ascii="宋体" w:hAnsi="宋体"/>
          <w:b/>
          <w:bCs/>
          <w:sz w:val="21"/>
          <w:szCs w:val="21"/>
        </w:rPr>
        <w:t>重点和难点</w:t>
      </w:r>
      <w:r>
        <w:rPr>
          <w:rFonts w:hint="eastAsia" w:ascii="宋体" w:hAnsi="宋体" w:cs="宋体"/>
          <w:b/>
          <w:bCs/>
          <w:color w:val="353535"/>
          <w:kern w:val="0"/>
          <w:sz w:val="21"/>
          <w:szCs w:val="21"/>
        </w:rPr>
        <w:t>：</w:t>
      </w:r>
      <w:r>
        <w:rPr>
          <w:rFonts w:hint="eastAsia" w:hAnsi="宋体"/>
          <w:kern w:val="0"/>
          <w:sz w:val="21"/>
          <w:szCs w:val="21"/>
          <w:lang w:val="en-US" w:eastAsia="zh-CN"/>
        </w:rPr>
        <w:t>不同情况下栽培基质的选择。</w:t>
      </w:r>
    </w:p>
    <w:p>
      <w:pPr>
        <w:widowControl/>
        <w:spacing w:line="360" w:lineRule="auto"/>
        <w:jc w:val="left"/>
        <w:rPr>
          <w:rFonts w:ascii="宋体" w:hAnsi="宋体" w:cs="宋体"/>
          <w:b/>
          <w:bCs/>
          <w:color w:val="353535"/>
          <w:kern w:val="0"/>
          <w:sz w:val="21"/>
          <w:szCs w:val="21"/>
        </w:rPr>
      </w:pPr>
      <w:r>
        <w:rPr>
          <w:rFonts w:hint="eastAsia" w:ascii="宋体" w:hAnsi="宋体"/>
          <w:b/>
          <w:bCs/>
          <w:sz w:val="21"/>
          <w:szCs w:val="21"/>
        </w:rPr>
        <w:t>主要教学内容及要求：</w:t>
      </w:r>
    </w:p>
    <w:p>
      <w:pPr>
        <w:spacing w:line="360" w:lineRule="auto"/>
        <w:ind w:firstLine="420"/>
        <w:rPr>
          <w:rFonts w:hint="eastAsia" w:hAnsi="宋体"/>
          <w:sz w:val="21"/>
          <w:szCs w:val="21"/>
        </w:rPr>
      </w:pPr>
      <w:r>
        <w:rPr>
          <w:rFonts w:hAnsi="宋体"/>
          <w:sz w:val="21"/>
          <w:szCs w:val="21"/>
        </w:rPr>
        <w:t>了解</w:t>
      </w:r>
      <w:r>
        <w:rPr>
          <w:rFonts w:hint="eastAsia" w:hAnsi="宋体"/>
          <w:sz w:val="21"/>
          <w:szCs w:val="21"/>
        </w:rPr>
        <w:t>：</w:t>
      </w:r>
      <w:r>
        <w:rPr>
          <w:rFonts w:hint="eastAsia" w:hAnsi="宋体"/>
          <w:kern w:val="0"/>
          <w:sz w:val="21"/>
          <w:szCs w:val="21"/>
          <w:lang w:val="en-US" w:eastAsia="zh-CN"/>
        </w:rPr>
        <w:t>阳台园艺的设施工具和栽培基质都有哪些；</w:t>
      </w:r>
    </w:p>
    <w:p>
      <w:pPr>
        <w:spacing w:line="360" w:lineRule="auto"/>
        <w:ind w:firstLine="420"/>
        <w:rPr>
          <w:sz w:val="21"/>
          <w:szCs w:val="21"/>
        </w:rPr>
      </w:pPr>
      <w:r>
        <w:rPr>
          <w:rFonts w:hint="eastAsia" w:hAnsi="宋体"/>
          <w:sz w:val="21"/>
          <w:szCs w:val="21"/>
        </w:rPr>
        <w:t>理解：</w:t>
      </w:r>
      <w:r>
        <w:rPr>
          <w:rFonts w:hint="eastAsia" w:hAnsi="宋体"/>
          <w:kern w:val="0"/>
          <w:sz w:val="21"/>
          <w:szCs w:val="21"/>
          <w:lang w:val="en-US" w:eastAsia="zh-CN"/>
        </w:rPr>
        <w:t>栽培基质的选择的原则；</w:t>
      </w:r>
    </w:p>
    <w:p>
      <w:pPr>
        <w:spacing w:line="360" w:lineRule="auto"/>
        <w:ind w:firstLine="420"/>
        <w:rPr>
          <w:sz w:val="21"/>
          <w:szCs w:val="21"/>
        </w:rPr>
      </w:pPr>
      <w:r>
        <w:rPr>
          <w:rFonts w:hAnsi="宋体"/>
          <w:sz w:val="21"/>
          <w:szCs w:val="21"/>
        </w:rPr>
        <w:t>掌握</w:t>
      </w:r>
      <w:r>
        <w:rPr>
          <w:rFonts w:hint="eastAsia" w:hAnsi="宋体"/>
          <w:sz w:val="21"/>
          <w:szCs w:val="21"/>
        </w:rPr>
        <w:t>：</w:t>
      </w:r>
      <w:r>
        <w:rPr>
          <w:rFonts w:hint="eastAsia" w:hAnsi="宋体"/>
          <w:kern w:val="0"/>
          <w:sz w:val="21"/>
          <w:szCs w:val="21"/>
          <w:lang w:val="en-US" w:eastAsia="zh-CN"/>
        </w:rPr>
        <w:t>掌握不同园艺工具的使用</w:t>
      </w:r>
      <w:r>
        <w:rPr>
          <w:rFonts w:hint="eastAsia" w:hAnsi="宋体"/>
          <w:sz w:val="21"/>
          <w:szCs w:val="21"/>
        </w:rPr>
        <w:t>；</w:t>
      </w:r>
      <w:r>
        <w:rPr>
          <w:rFonts w:hint="eastAsia" w:hAnsi="宋体"/>
          <w:kern w:val="0"/>
          <w:sz w:val="21"/>
          <w:szCs w:val="21"/>
          <w:lang w:val="en-US" w:eastAsia="zh-CN"/>
        </w:rPr>
        <w:t>掌握不同情况下栽培基质的选择。</w:t>
      </w:r>
    </w:p>
    <w:p>
      <w:pPr>
        <w:spacing w:line="360" w:lineRule="auto"/>
        <w:rPr>
          <w:rFonts w:hint="eastAsia" w:eastAsia="宋体"/>
          <w:sz w:val="21"/>
          <w:szCs w:val="21"/>
          <w:lang w:val="en-US" w:eastAsia="zh-CN"/>
        </w:rPr>
      </w:pPr>
      <w:r>
        <w:rPr>
          <w:rFonts w:hint="eastAsia" w:ascii="宋体" w:hAnsi="宋体"/>
          <w:b/>
          <w:bCs/>
          <w:sz w:val="21"/>
          <w:szCs w:val="21"/>
        </w:rPr>
        <w:t>教学组织与实施：</w:t>
      </w:r>
      <w:r>
        <w:rPr>
          <w:rFonts w:hint="eastAsia"/>
          <w:sz w:val="21"/>
          <w:szCs w:val="21"/>
        </w:rPr>
        <w:t>本节作为一般性的基础知识，要求学生进行课前预习，课堂讲授完成；对知识点采用启发式的教学方法讲授，并介绍相关的课外知识及学科进展。</w:t>
      </w:r>
    </w:p>
    <w:p>
      <w:pPr>
        <w:pStyle w:val="20"/>
        <w:spacing w:before="0" w:beforeAutospacing="0" w:after="0" w:afterAutospacing="0" w:line="360" w:lineRule="auto"/>
        <w:ind w:firstLine="2741" w:firstLineChars="1300"/>
        <w:rPr>
          <w:rFonts w:hint="eastAsia" w:ascii="Times New Roman" w:hAnsi="Times New Roman" w:eastAsia="宋体"/>
          <w:sz w:val="21"/>
          <w:szCs w:val="21"/>
          <w:lang w:eastAsia="zh-CN"/>
        </w:rPr>
      </w:pPr>
      <w:r>
        <w:rPr>
          <w:b/>
          <w:bCs/>
          <w:sz w:val="21"/>
          <w:szCs w:val="21"/>
        </w:rPr>
        <w:t xml:space="preserve">第二章  </w:t>
      </w:r>
      <w:r>
        <w:rPr>
          <w:rFonts w:hint="eastAsia"/>
          <w:b/>
          <w:bCs/>
          <w:sz w:val="21"/>
          <w:szCs w:val="21"/>
          <w:lang w:val="en-US" w:eastAsia="zh-CN"/>
        </w:rPr>
        <w:t>阳台环境</w:t>
      </w:r>
      <w:r>
        <w:rPr>
          <w:b/>
          <w:bCs/>
          <w:sz w:val="21"/>
          <w:szCs w:val="21"/>
        </w:rPr>
        <w:t xml:space="preserve">        </w:t>
      </w:r>
      <w:r>
        <w:rPr>
          <w:rFonts w:hint="eastAsia"/>
          <w:b/>
          <w:bCs/>
          <w:sz w:val="21"/>
          <w:szCs w:val="21"/>
          <w:lang w:val="en-US" w:eastAsia="zh-CN"/>
        </w:rPr>
        <w:t xml:space="preserve">             </w:t>
      </w:r>
      <w:r>
        <w:rPr>
          <w:b/>
          <w:bCs/>
          <w:sz w:val="21"/>
          <w:szCs w:val="21"/>
        </w:rPr>
        <w:t xml:space="preserve">   </w:t>
      </w:r>
      <w:r>
        <w:rPr>
          <w:rFonts w:hint="eastAsia"/>
          <w:b/>
          <w:bCs/>
          <w:sz w:val="21"/>
          <w:szCs w:val="21"/>
          <w:lang w:val="en-US" w:eastAsia="zh-CN"/>
        </w:rPr>
        <w:t xml:space="preserve">       </w:t>
      </w:r>
      <w:r>
        <w:rPr>
          <w:b/>
          <w:bCs/>
          <w:sz w:val="21"/>
          <w:szCs w:val="21"/>
        </w:rPr>
        <w:t xml:space="preserve"> </w:t>
      </w:r>
      <w:r>
        <w:rPr>
          <w:rFonts w:hint="eastAsia"/>
          <w:b/>
          <w:bCs/>
          <w:sz w:val="21"/>
          <w:szCs w:val="21"/>
        </w:rPr>
        <w:t>学时数：</w:t>
      </w:r>
      <w:r>
        <w:rPr>
          <w:rFonts w:hint="eastAsia"/>
          <w:b/>
          <w:bCs/>
          <w:sz w:val="21"/>
          <w:szCs w:val="21"/>
          <w:lang w:val="en-US" w:eastAsia="zh-CN"/>
        </w:rPr>
        <w:t>4</w:t>
      </w:r>
    </w:p>
    <w:p>
      <w:pPr>
        <w:spacing w:line="360" w:lineRule="auto"/>
        <w:rPr>
          <w:rFonts w:hint="eastAsia" w:ascii="宋体" w:hAnsi="宋体" w:eastAsia="宋体" w:cs="宋体"/>
          <w:color w:val="353535"/>
          <w:kern w:val="0"/>
          <w:sz w:val="21"/>
          <w:szCs w:val="21"/>
          <w:lang w:eastAsia="zh-CN"/>
        </w:rPr>
      </w:pPr>
      <w:r>
        <w:rPr>
          <w:rFonts w:hint="eastAsia" w:ascii="宋体" w:hAnsi="宋体"/>
          <w:b/>
          <w:bCs/>
          <w:sz w:val="21"/>
          <w:szCs w:val="21"/>
        </w:rPr>
        <w:t>教学目的：</w:t>
      </w:r>
      <w:r>
        <w:rPr>
          <w:rFonts w:hint="eastAsia" w:ascii="宋体" w:hAnsi="宋体" w:cs="宋体"/>
          <w:bCs/>
          <w:color w:val="auto"/>
          <w:kern w:val="0"/>
          <w:sz w:val="21"/>
          <w:szCs w:val="21"/>
        </w:rPr>
        <w:t>了</w:t>
      </w:r>
      <w:r>
        <w:rPr>
          <w:rFonts w:hint="eastAsia" w:ascii="宋体" w:hAnsi="宋体" w:cs="宋体"/>
          <w:color w:val="auto"/>
          <w:kern w:val="0"/>
          <w:sz w:val="21"/>
          <w:szCs w:val="21"/>
        </w:rPr>
        <w:t>解</w:t>
      </w:r>
      <w:r>
        <w:rPr>
          <w:rFonts w:hint="eastAsia" w:ascii="宋体" w:hAnsi="宋体" w:cs="宋体"/>
          <w:color w:val="auto"/>
          <w:kern w:val="0"/>
          <w:sz w:val="21"/>
          <w:szCs w:val="21"/>
          <w:lang w:val="en-US" w:eastAsia="zh-CN"/>
        </w:rPr>
        <w:t>园艺</w:t>
      </w:r>
      <w:r>
        <w:rPr>
          <w:rFonts w:hint="eastAsia" w:ascii="宋体" w:hAnsi="宋体" w:cs="宋体"/>
          <w:color w:val="auto"/>
          <w:kern w:val="0"/>
          <w:sz w:val="21"/>
          <w:szCs w:val="21"/>
        </w:rPr>
        <w:t>植物生长发育与</w:t>
      </w:r>
      <w:r>
        <w:rPr>
          <w:rFonts w:hint="eastAsia" w:hAnsi="宋体"/>
          <w:color w:val="auto"/>
          <w:sz w:val="21"/>
          <w:szCs w:val="21"/>
          <w:lang w:val="en-US" w:eastAsia="zh-CN"/>
        </w:rPr>
        <w:t>温、光、水、肥、气</w:t>
      </w:r>
      <w:r>
        <w:rPr>
          <w:rFonts w:hint="eastAsia" w:ascii="宋体" w:hAnsi="宋体" w:cs="宋体"/>
          <w:color w:val="auto"/>
          <w:kern w:val="0"/>
          <w:sz w:val="21"/>
          <w:szCs w:val="21"/>
          <w:lang w:val="en-US" w:eastAsia="zh-CN"/>
        </w:rPr>
        <w:t>等</w:t>
      </w:r>
      <w:r>
        <w:rPr>
          <w:rFonts w:hint="eastAsia" w:ascii="宋体" w:hAnsi="宋体" w:cs="宋体"/>
          <w:color w:val="auto"/>
          <w:kern w:val="0"/>
          <w:sz w:val="21"/>
          <w:szCs w:val="21"/>
        </w:rPr>
        <w:t>环境的相互关系</w:t>
      </w:r>
      <w:r>
        <w:rPr>
          <w:rFonts w:hint="eastAsia" w:ascii="宋体" w:hAnsi="宋体" w:cs="宋体"/>
          <w:color w:val="auto"/>
          <w:kern w:val="0"/>
          <w:sz w:val="21"/>
          <w:szCs w:val="21"/>
          <w:lang w:eastAsia="zh-CN"/>
        </w:rPr>
        <w:t>。</w:t>
      </w:r>
    </w:p>
    <w:p>
      <w:pPr>
        <w:widowControl/>
        <w:spacing w:line="360" w:lineRule="auto"/>
        <w:jc w:val="left"/>
        <w:rPr>
          <w:rFonts w:ascii="宋体" w:hAnsi="宋体" w:cs="宋体"/>
          <w:b/>
          <w:bCs/>
          <w:color w:val="353535"/>
          <w:kern w:val="0"/>
          <w:sz w:val="21"/>
          <w:szCs w:val="21"/>
        </w:rPr>
      </w:pPr>
      <w:r>
        <w:rPr>
          <w:rFonts w:hint="eastAsia" w:ascii="宋体" w:hAnsi="宋体"/>
          <w:b/>
          <w:bCs/>
          <w:sz w:val="21"/>
          <w:szCs w:val="21"/>
        </w:rPr>
        <w:t>重点和难点</w:t>
      </w:r>
      <w:r>
        <w:rPr>
          <w:rFonts w:hint="eastAsia" w:ascii="宋体" w:hAnsi="宋体" w:cs="宋体"/>
          <w:b/>
          <w:bCs/>
          <w:color w:val="353535"/>
          <w:kern w:val="0"/>
          <w:sz w:val="21"/>
          <w:szCs w:val="21"/>
        </w:rPr>
        <w:t>：</w:t>
      </w:r>
      <w:r>
        <w:rPr>
          <w:rFonts w:hint="eastAsia" w:ascii="宋体" w:hAnsi="宋体" w:cs="宋体"/>
          <w:color w:val="auto"/>
          <w:kern w:val="0"/>
          <w:sz w:val="21"/>
          <w:szCs w:val="21"/>
        </w:rPr>
        <w:t>本节重点内容为光照与温度</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水分</w:t>
      </w:r>
      <w:r>
        <w:rPr>
          <w:rFonts w:hint="eastAsia" w:ascii="宋体" w:hAnsi="宋体" w:cs="宋体"/>
          <w:color w:val="auto"/>
          <w:kern w:val="0"/>
          <w:sz w:val="21"/>
          <w:szCs w:val="21"/>
        </w:rPr>
        <w:t>对</w:t>
      </w:r>
      <w:r>
        <w:rPr>
          <w:rFonts w:hint="eastAsia" w:ascii="宋体" w:hAnsi="宋体" w:cs="宋体"/>
          <w:color w:val="auto"/>
          <w:kern w:val="0"/>
          <w:sz w:val="21"/>
          <w:szCs w:val="21"/>
          <w:lang w:val="en-US" w:eastAsia="zh-CN"/>
        </w:rPr>
        <w:t>园艺</w:t>
      </w:r>
      <w:r>
        <w:rPr>
          <w:rFonts w:hint="eastAsia" w:ascii="宋体" w:hAnsi="宋体" w:cs="宋体"/>
          <w:color w:val="auto"/>
          <w:kern w:val="0"/>
          <w:sz w:val="21"/>
          <w:szCs w:val="21"/>
        </w:rPr>
        <w:t>植物生长发育的影响，难点为</w:t>
      </w:r>
      <w:r>
        <w:rPr>
          <w:rFonts w:hint="eastAsia" w:cs="宋体"/>
          <w:bCs/>
          <w:color w:val="auto"/>
          <w:kern w:val="0"/>
          <w:sz w:val="21"/>
          <w:szCs w:val="21"/>
        </w:rPr>
        <w:t>蔬菜生长发育对环境条件的要求与栽培措施的关系。</w:t>
      </w:r>
    </w:p>
    <w:p>
      <w:pPr>
        <w:widowControl/>
        <w:spacing w:line="360" w:lineRule="auto"/>
        <w:jc w:val="left"/>
        <w:rPr>
          <w:rFonts w:ascii="宋体" w:hAnsi="宋体" w:cs="宋体"/>
          <w:b/>
          <w:bCs/>
          <w:color w:val="353535"/>
          <w:kern w:val="0"/>
          <w:sz w:val="21"/>
          <w:szCs w:val="21"/>
        </w:rPr>
      </w:pPr>
      <w:r>
        <w:rPr>
          <w:rFonts w:hint="eastAsia" w:ascii="宋体" w:hAnsi="宋体"/>
          <w:b/>
          <w:bCs/>
          <w:sz w:val="21"/>
          <w:szCs w:val="21"/>
        </w:rPr>
        <w:t>主要教学内容及要求：</w:t>
      </w:r>
    </w:p>
    <w:p>
      <w:pPr>
        <w:widowControl/>
        <w:adjustRightInd w:val="0"/>
        <w:snapToGrid w:val="0"/>
        <w:spacing w:line="360" w:lineRule="auto"/>
        <w:ind w:firstLine="420" w:firstLineChars="200"/>
        <w:jc w:val="left"/>
        <w:rPr>
          <w:rFonts w:hint="eastAsia" w:ascii="宋体" w:hAnsi="宋体" w:cs="宋体"/>
          <w:color w:val="auto"/>
          <w:kern w:val="0"/>
          <w:sz w:val="21"/>
          <w:szCs w:val="21"/>
        </w:rPr>
      </w:pPr>
      <w:r>
        <w:rPr>
          <w:rFonts w:hint="eastAsia" w:ascii="宋体" w:hAnsi="宋体" w:cs="宋体"/>
          <w:color w:val="auto"/>
          <w:kern w:val="0"/>
          <w:sz w:val="21"/>
          <w:szCs w:val="21"/>
        </w:rPr>
        <w:t>了解：</w:t>
      </w:r>
      <w:r>
        <w:rPr>
          <w:rFonts w:hint="eastAsia" w:ascii="宋体" w:hAnsi="宋体" w:cs="宋体"/>
          <w:color w:val="auto"/>
          <w:kern w:val="0"/>
          <w:sz w:val="21"/>
          <w:szCs w:val="21"/>
          <w:lang w:val="en-US" w:eastAsia="zh-CN"/>
        </w:rPr>
        <w:t>园艺植物</w:t>
      </w:r>
      <w:r>
        <w:rPr>
          <w:rFonts w:hint="eastAsia" w:ascii="宋体" w:hAnsi="宋体" w:cs="宋体"/>
          <w:color w:val="auto"/>
          <w:kern w:val="0"/>
          <w:sz w:val="21"/>
          <w:szCs w:val="21"/>
        </w:rPr>
        <w:t>对温度、光照、水分、气体以及土壤微生物的要求。气体条件对蔬菜植物生长发育的影响，有毒气体形成及对</w:t>
      </w:r>
      <w:r>
        <w:rPr>
          <w:rFonts w:hint="eastAsia" w:ascii="宋体" w:hAnsi="宋体" w:cs="宋体"/>
          <w:color w:val="auto"/>
          <w:kern w:val="0"/>
          <w:sz w:val="21"/>
          <w:szCs w:val="21"/>
          <w:lang w:val="en-US" w:eastAsia="zh-CN"/>
        </w:rPr>
        <w:t>园艺</w:t>
      </w:r>
      <w:r>
        <w:rPr>
          <w:rFonts w:hint="eastAsia" w:ascii="宋体" w:hAnsi="宋体" w:cs="宋体"/>
          <w:color w:val="auto"/>
          <w:kern w:val="0"/>
          <w:sz w:val="21"/>
          <w:szCs w:val="21"/>
        </w:rPr>
        <w:t>植物危害的特点及判断方法。</w:t>
      </w:r>
    </w:p>
    <w:p>
      <w:pPr>
        <w:widowControl/>
        <w:adjustRightInd w:val="0"/>
        <w:snapToGrid w:val="0"/>
        <w:spacing w:line="360" w:lineRule="auto"/>
        <w:ind w:firstLine="420" w:firstLineChars="200"/>
        <w:jc w:val="left"/>
        <w:rPr>
          <w:rFonts w:hint="eastAsia" w:ascii="宋体" w:hAnsi="宋体" w:cs="宋体"/>
          <w:color w:val="auto"/>
          <w:kern w:val="0"/>
          <w:sz w:val="21"/>
          <w:szCs w:val="21"/>
        </w:rPr>
      </w:pPr>
      <w:r>
        <w:rPr>
          <w:rFonts w:hint="eastAsia" w:ascii="宋体" w:hAnsi="宋体" w:cs="宋体"/>
          <w:color w:val="auto"/>
          <w:kern w:val="0"/>
          <w:sz w:val="21"/>
          <w:szCs w:val="21"/>
        </w:rPr>
        <w:t>理解：环境条件对</w:t>
      </w:r>
      <w:r>
        <w:rPr>
          <w:rFonts w:hint="eastAsia" w:ascii="宋体" w:hAnsi="宋体" w:cs="宋体"/>
          <w:color w:val="auto"/>
          <w:kern w:val="0"/>
          <w:sz w:val="21"/>
          <w:szCs w:val="21"/>
          <w:lang w:val="en-US" w:eastAsia="zh-CN"/>
        </w:rPr>
        <w:t>园艺植物</w:t>
      </w:r>
      <w:r>
        <w:rPr>
          <w:rFonts w:hint="eastAsia" w:ascii="宋体" w:hAnsi="宋体" w:cs="宋体"/>
          <w:color w:val="auto"/>
          <w:kern w:val="0"/>
          <w:sz w:val="21"/>
          <w:szCs w:val="21"/>
        </w:rPr>
        <w:t>生长发育的影响。</w:t>
      </w:r>
    </w:p>
    <w:p>
      <w:pPr>
        <w:spacing w:line="360" w:lineRule="auto"/>
        <w:ind w:firstLine="420" w:firstLineChars="200"/>
        <w:rPr>
          <w:rFonts w:hint="eastAsia" w:ascii="宋体" w:hAnsi="宋体" w:cs="宋体"/>
          <w:color w:val="auto"/>
          <w:kern w:val="0"/>
          <w:sz w:val="21"/>
          <w:szCs w:val="21"/>
        </w:rPr>
      </w:pPr>
      <w:r>
        <w:rPr>
          <w:rFonts w:hint="eastAsia" w:ascii="宋体" w:hAnsi="宋体" w:cs="宋体"/>
          <w:color w:val="auto"/>
          <w:kern w:val="0"/>
          <w:sz w:val="21"/>
          <w:szCs w:val="21"/>
        </w:rPr>
        <w:t>掌握：不同作物、不同生育阶段、不同天气状况、不同土壤水分状况下</w:t>
      </w:r>
      <w:r>
        <w:rPr>
          <w:rFonts w:hint="eastAsia" w:ascii="宋体" w:hAnsi="宋体" w:cs="宋体"/>
          <w:color w:val="auto"/>
          <w:kern w:val="0"/>
          <w:sz w:val="21"/>
          <w:szCs w:val="21"/>
          <w:lang w:val="en-US" w:eastAsia="zh-CN"/>
        </w:rPr>
        <w:t>园艺植物</w:t>
      </w:r>
      <w:r>
        <w:rPr>
          <w:rFonts w:hint="eastAsia" w:ascii="宋体" w:hAnsi="宋体" w:cs="宋体"/>
          <w:color w:val="auto"/>
          <w:kern w:val="0"/>
          <w:sz w:val="21"/>
          <w:szCs w:val="21"/>
        </w:rPr>
        <w:t>作物对温度条件的要求。</w:t>
      </w:r>
      <w:r>
        <w:rPr>
          <w:rFonts w:hint="eastAsia" w:ascii="宋体" w:hAnsi="宋体" w:cs="宋体"/>
          <w:color w:val="auto"/>
          <w:kern w:val="0"/>
          <w:sz w:val="21"/>
          <w:szCs w:val="21"/>
          <w:lang w:val="en-US" w:eastAsia="zh-CN"/>
        </w:rPr>
        <w:t>不同朝向阳台环境条件的特点</w:t>
      </w:r>
      <w:r>
        <w:rPr>
          <w:rFonts w:hint="eastAsia" w:ascii="宋体" w:hAnsi="宋体" w:cs="宋体"/>
          <w:color w:val="auto"/>
          <w:kern w:val="0"/>
          <w:sz w:val="21"/>
          <w:szCs w:val="21"/>
        </w:rPr>
        <w:t>。</w:t>
      </w:r>
    </w:p>
    <w:p>
      <w:pPr>
        <w:spacing w:line="360" w:lineRule="auto"/>
        <w:rPr>
          <w:rFonts w:hint="default" w:eastAsia="宋体"/>
          <w:sz w:val="21"/>
          <w:szCs w:val="21"/>
          <w:lang w:val="en-US" w:eastAsia="zh-CN"/>
        </w:rPr>
      </w:pPr>
      <w:r>
        <w:rPr>
          <w:rFonts w:hint="eastAsia" w:ascii="宋体" w:hAnsi="宋体"/>
          <w:b/>
          <w:bCs/>
          <w:sz w:val="21"/>
          <w:szCs w:val="21"/>
        </w:rPr>
        <w:t>教学组织与实施：</w:t>
      </w:r>
      <w:r>
        <w:rPr>
          <w:rFonts w:hint="eastAsia"/>
          <w:sz w:val="21"/>
          <w:szCs w:val="21"/>
        </w:rPr>
        <w:t>本节作为重要性的基础知识，要求学生进行课前预习，课堂讲授完成；对知识点采用启发式的教学方法讲授，并介绍相关的课外知识及学科进展。</w:t>
      </w:r>
      <w:r>
        <w:rPr>
          <w:rFonts w:hint="eastAsia"/>
          <w:sz w:val="21"/>
          <w:szCs w:val="21"/>
          <w:lang w:val="en-US" w:eastAsia="zh-CN"/>
        </w:rPr>
        <w:t>本章较难，不同朝向阳台的特点可以提前让学生感受与观察，课堂通过举例分析。</w:t>
      </w:r>
    </w:p>
    <w:p>
      <w:pPr>
        <w:pStyle w:val="20"/>
        <w:spacing w:before="0" w:beforeAutospacing="0" w:after="0" w:afterAutospacing="0" w:line="360" w:lineRule="auto"/>
        <w:ind w:firstLine="2521" w:firstLineChars="1196"/>
        <w:rPr>
          <w:rFonts w:ascii="Times New Roman" w:hAnsi="Times New Roman"/>
          <w:b/>
          <w:sz w:val="21"/>
          <w:szCs w:val="21"/>
        </w:rPr>
      </w:pPr>
      <w:r>
        <w:rPr>
          <w:b/>
          <w:bCs/>
          <w:sz w:val="21"/>
          <w:szCs w:val="21"/>
        </w:rPr>
        <w:t xml:space="preserve">第三章  </w:t>
      </w:r>
      <w:r>
        <w:rPr>
          <w:rFonts w:hint="eastAsia"/>
          <w:b/>
          <w:bCs/>
          <w:sz w:val="21"/>
          <w:szCs w:val="21"/>
          <w:lang w:val="en-US" w:eastAsia="zh-CN"/>
        </w:rPr>
        <w:t xml:space="preserve">阳台上的菜园  </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学时数： </w:t>
      </w:r>
      <w:r>
        <w:rPr>
          <w:b/>
          <w:bCs/>
          <w:sz w:val="21"/>
          <w:szCs w:val="21"/>
        </w:rPr>
        <w:t>4</w:t>
      </w:r>
    </w:p>
    <w:p>
      <w:pPr>
        <w:spacing w:line="360" w:lineRule="auto"/>
        <w:rPr>
          <w:rFonts w:hint="default" w:ascii="宋体" w:hAnsi="宋体" w:eastAsia="宋体"/>
          <w:b/>
          <w:bCs/>
          <w:sz w:val="21"/>
          <w:szCs w:val="21"/>
          <w:lang w:val="en-US" w:eastAsia="zh-CN"/>
        </w:rPr>
      </w:pPr>
      <w:r>
        <w:rPr>
          <w:rFonts w:hint="eastAsia" w:ascii="宋体" w:hAnsi="宋体"/>
          <w:b/>
          <w:bCs/>
          <w:sz w:val="21"/>
          <w:szCs w:val="21"/>
        </w:rPr>
        <w:t>教学目的：</w:t>
      </w:r>
      <w:r>
        <w:rPr>
          <w:rFonts w:hint="eastAsia" w:hAnsi="宋体"/>
          <w:sz w:val="21"/>
          <w:szCs w:val="21"/>
          <w:lang w:val="en-US" w:eastAsia="zh-CN"/>
        </w:rPr>
        <w:t>了解阳台种菜的选择依据与准备；了解阳台叶菜类、茄果类、瓜类、根菜类和豆类的基本栽植方法。</w:t>
      </w:r>
    </w:p>
    <w:p>
      <w:pPr>
        <w:spacing w:line="360" w:lineRule="auto"/>
        <w:rPr>
          <w:rFonts w:hint="default" w:hAnsi="宋体"/>
          <w:sz w:val="21"/>
          <w:szCs w:val="21"/>
          <w:lang w:val="en-US" w:eastAsia="zh-CN"/>
        </w:rPr>
      </w:pPr>
      <w:r>
        <w:rPr>
          <w:rFonts w:hint="eastAsia" w:ascii="宋体" w:hAnsi="宋体"/>
          <w:b/>
          <w:bCs/>
          <w:sz w:val="21"/>
          <w:szCs w:val="21"/>
        </w:rPr>
        <w:t>重点和难点</w:t>
      </w:r>
      <w:r>
        <w:rPr>
          <w:rFonts w:hint="eastAsia" w:ascii="宋体" w:hAnsi="宋体" w:cs="宋体"/>
          <w:b/>
          <w:bCs/>
          <w:color w:val="353535"/>
          <w:kern w:val="0"/>
          <w:sz w:val="21"/>
          <w:szCs w:val="21"/>
        </w:rPr>
        <w:t>：</w:t>
      </w:r>
      <w:r>
        <w:rPr>
          <w:rFonts w:hint="eastAsia" w:hAnsi="宋体"/>
          <w:sz w:val="21"/>
          <w:szCs w:val="21"/>
          <w:lang w:val="en-US" w:eastAsia="zh-CN"/>
        </w:rPr>
        <w:t>本章重点是阳台叶菜类、茄果类、瓜类的基本栽植方法；难点是阳台种菜的选择。</w:t>
      </w:r>
    </w:p>
    <w:p>
      <w:pPr>
        <w:widowControl/>
        <w:spacing w:line="360" w:lineRule="auto"/>
        <w:jc w:val="left"/>
        <w:rPr>
          <w:rFonts w:ascii="宋体" w:hAnsi="宋体" w:cs="宋体"/>
          <w:b/>
          <w:bCs/>
          <w:color w:val="353535"/>
          <w:kern w:val="0"/>
          <w:sz w:val="21"/>
          <w:szCs w:val="21"/>
        </w:rPr>
      </w:pPr>
      <w:r>
        <w:rPr>
          <w:rFonts w:hint="eastAsia" w:ascii="宋体" w:hAnsi="宋体"/>
          <w:b/>
          <w:bCs/>
          <w:sz w:val="21"/>
          <w:szCs w:val="21"/>
        </w:rPr>
        <w:t>主要教学内容及要求：</w:t>
      </w:r>
    </w:p>
    <w:p>
      <w:pPr>
        <w:spacing w:line="360" w:lineRule="auto"/>
        <w:ind w:firstLine="420" w:firstLineChars="200"/>
        <w:rPr>
          <w:rFonts w:hint="eastAsia" w:hAnsi="宋体" w:eastAsia="宋体"/>
          <w:sz w:val="21"/>
          <w:szCs w:val="21"/>
          <w:lang w:eastAsia="zh-CN"/>
        </w:rPr>
      </w:pPr>
      <w:r>
        <w:rPr>
          <w:rFonts w:hAnsi="宋体"/>
          <w:sz w:val="21"/>
          <w:szCs w:val="21"/>
        </w:rPr>
        <w:t>掌握</w:t>
      </w:r>
      <w:r>
        <w:rPr>
          <w:rFonts w:hint="eastAsia" w:hAnsi="宋体"/>
          <w:sz w:val="21"/>
          <w:szCs w:val="21"/>
          <w:lang w:eastAsia="zh-CN"/>
        </w:rPr>
        <w:t>：</w:t>
      </w:r>
      <w:r>
        <w:rPr>
          <w:rFonts w:hint="eastAsia" w:hAnsi="宋体"/>
          <w:sz w:val="21"/>
          <w:szCs w:val="21"/>
          <w:lang w:val="en-US" w:eastAsia="zh-CN"/>
        </w:rPr>
        <w:t>叶菜类、茄果类、瓜类、根菜类和豆类的的基本栽植方法</w:t>
      </w:r>
      <w:r>
        <w:rPr>
          <w:rFonts w:hint="eastAsia" w:hAnsi="宋体"/>
          <w:sz w:val="21"/>
          <w:szCs w:val="21"/>
          <w:lang w:eastAsia="zh-CN"/>
        </w:rPr>
        <w:t>。</w:t>
      </w:r>
    </w:p>
    <w:p>
      <w:pPr>
        <w:spacing w:line="360" w:lineRule="auto"/>
        <w:ind w:firstLine="420" w:firstLineChars="200"/>
        <w:rPr>
          <w:rFonts w:hint="default" w:hAnsi="宋体"/>
          <w:sz w:val="21"/>
          <w:szCs w:val="21"/>
          <w:lang w:val="en-US" w:eastAsia="zh-CN"/>
        </w:rPr>
      </w:pPr>
      <w:r>
        <w:rPr>
          <w:rFonts w:hint="eastAsia" w:hAnsi="宋体"/>
          <w:sz w:val="21"/>
          <w:szCs w:val="21"/>
          <w:lang w:val="en-US" w:eastAsia="zh-CN"/>
        </w:rPr>
        <w:t>理</w:t>
      </w:r>
      <w:r>
        <w:rPr>
          <w:rFonts w:hAnsi="宋体"/>
          <w:sz w:val="21"/>
          <w:szCs w:val="21"/>
        </w:rPr>
        <w:t>解</w:t>
      </w:r>
      <w:r>
        <w:rPr>
          <w:rFonts w:hint="eastAsia" w:hAnsi="宋体"/>
          <w:sz w:val="21"/>
          <w:szCs w:val="21"/>
        </w:rPr>
        <w:t>：</w:t>
      </w:r>
      <w:r>
        <w:rPr>
          <w:rFonts w:hint="eastAsia" w:hAnsi="宋体"/>
          <w:sz w:val="21"/>
          <w:szCs w:val="21"/>
          <w:lang w:val="en-US" w:eastAsia="zh-CN"/>
        </w:rPr>
        <w:t>阳台种菜的选择依据。</w:t>
      </w:r>
    </w:p>
    <w:p>
      <w:pPr>
        <w:spacing w:line="360" w:lineRule="auto"/>
        <w:rPr>
          <w:rFonts w:hint="eastAsia"/>
          <w:sz w:val="21"/>
          <w:szCs w:val="21"/>
        </w:rPr>
      </w:pPr>
      <w:r>
        <w:rPr>
          <w:rFonts w:hint="eastAsia" w:ascii="宋体" w:hAnsi="宋体"/>
          <w:b/>
          <w:bCs/>
          <w:sz w:val="21"/>
          <w:szCs w:val="21"/>
        </w:rPr>
        <w:t>教学组织与实施：</w:t>
      </w:r>
      <w:r>
        <w:rPr>
          <w:rFonts w:hint="eastAsia"/>
          <w:sz w:val="21"/>
          <w:szCs w:val="21"/>
        </w:rPr>
        <w:t>本节要求学生进行课前预习，课堂讲授完成；对知识点采用启发式的教学方法讲授，</w:t>
      </w:r>
      <w:r>
        <w:rPr>
          <w:rFonts w:hint="eastAsia"/>
          <w:sz w:val="21"/>
          <w:szCs w:val="21"/>
          <w:lang w:val="en-US" w:eastAsia="zh-CN"/>
        </w:rPr>
        <w:t>具体蔬菜种类栽植采用案例式教学</w:t>
      </w:r>
      <w:r>
        <w:rPr>
          <w:rFonts w:hint="eastAsia"/>
          <w:sz w:val="21"/>
          <w:szCs w:val="21"/>
        </w:rPr>
        <w:t>。</w:t>
      </w:r>
    </w:p>
    <w:p>
      <w:pPr>
        <w:pStyle w:val="20"/>
        <w:spacing w:before="0" w:beforeAutospacing="0" w:after="0" w:afterAutospacing="0" w:line="360" w:lineRule="auto"/>
        <w:jc w:val="center"/>
        <w:rPr>
          <w:b/>
          <w:bCs/>
          <w:sz w:val="21"/>
          <w:szCs w:val="21"/>
        </w:rPr>
      </w:pPr>
      <w:r>
        <w:rPr>
          <w:rFonts w:hint="eastAsia"/>
          <w:b/>
          <w:bCs/>
          <w:sz w:val="21"/>
          <w:szCs w:val="21"/>
          <w:lang w:val="en-US" w:eastAsia="zh-CN"/>
        </w:rPr>
        <w:t xml:space="preserve">                        </w:t>
      </w:r>
      <w:r>
        <w:rPr>
          <w:b/>
          <w:bCs/>
          <w:sz w:val="21"/>
          <w:szCs w:val="21"/>
        </w:rPr>
        <w:t xml:space="preserve">第四章  </w:t>
      </w:r>
      <w:r>
        <w:rPr>
          <w:rFonts w:hint="eastAsia"/>
          <w:b/>
          <w:bCs/>
          <w:sz w:val="21"/>
          <w:szCs w:val="21"/>
          <w:lang w:val="en-US" w:eastAsia="zh-CN"/>
        </w:rPr>
        <w:t>阳台上的花园</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w:t>
      </w:r>
      <w:r>
        <w:rPr>
          <w:rFonts w:hint="eastAsia"/>
          <w:b/>
          <w:bCs/>
          <w:sz w:val="21"/>
          <w:szCs w:val="21"/>
          <w:lang w:val="en-US" w:eastAsia="zh-CN"/>
        </w:rPr>
        <w:t xml:space="preserve">    </w:t>
      </w:r>
      <w:r>
        <w:rPr>
          <w:rFonts w:hint="eastAsia"/>
          <w:b/>
          <w:bCs/>
          <w:sz w:val="21"/>
          <w:szCs w:val="21"/>
        </w:rPr>
        <w:t xml:space="preserve">     学时数： </w:t>
      </w:r>
      <w:r>
        <w:rPr>
          <w:b/>
          <w:bCs/>
          <w:sz w:val="21"/>
          <w:szCs w:val="21"/>
        </w:rPr>
        <w:t>4</w:t>
      </w:r>
    </w:p>
    <w:p>
      <w:pPr>
        <w:spacing w:line="360" w:lineRule="auto"/>
        <w:rPr>
          <w:rFonts w:hint="default" w:hAnsi="宋体"/>
          <w:sz w:val="21"/>
          <w:szCs w:val="21"/>
          <w:lang w:val="en-US" w:eastAsia="zh-CN"/>
        </w:rPr>
      </w:pPr>
      <w:r>
        <w:rPr>
          <w:rFonts w:hint="eastAsia" w:ascii="宋体" w:hAnsi="宋体"/>
          <w:b/>
          <w:bCs/>
          <w:sz w:val="21"/>
          <w:szCs w:val="21"/>
        </w:rPr>
        <w:t>教学目的：</w:t>
      </w:r>
      <w:r>
        <w:rPr>
          <w:rFonts w:hint="eastAsia" w:hAnsi="宋体"/>
          <w:sz w:val="21"/>
          <w:szCs w:val="21"/>
          <w:lang w:val="en-US" w:eastAsia="zh-CN"/>
        </w:rPr>
        <w:t>了解阳台花卉的选择依据与准备；掌握阳台观花植物、观叶植物、多肉植物的基本栽植方法；了解阳台微景观。</w:t>
      </w:r>
    </w:p>
    <w:p>
      <w:pPr>
        <w:spacing w:line="360" w:lineRule="auto"/>
        <w:rPr>
          <w:rFonts w:hint="default" w:hAnsi="宋体"/>
          <w:sz w:val="21"/>
          <w:szCs w:val="21"/>
          <w:lang w:val="en-US" w:eastAsia="zh-CN"/>
        </w:rPr>
      </w:pPr>
      <w:r>
        <w:rPr>
          <w:rFonts w:hint="eastAsia" w:ascii="宋体" w:hAnsi="宋体"/>
          <w:b/>
          <w:bCs/>
          <w:sz w:val="21"/>
          <w:szCs w:val="21"/>
        </w:rPr>
        <w:t>重点和难点</w:t>
      </w:r>
      <w:r>
        <w:rPr>
          <w:rFonts w:hint="eastAsia" w:ascii="宋体" w:hAnsi="宋体" w:cs="宋体"/>
          <w:b/>
          <w:bCs/>
          <w:color w:val="353535"/>
          <w:kern w:val="0"/>
          <w:sz w:val="21"/>
          <w:szCs w:val="21"/>
        </w:rPr>
        <w:t>：</w:t>
      </w:r>
      <w:r>
        <w:rPr>
          <w:rFonts w:hint="eastAsia" w:hAnsi="宋体"/>
          <w:sz w:val="21"/>
          <w:szCs w:val="21"/>
          <w:lang w:val="en-US" w:eastAsia="zh-CN"/>
        </w:rPr>
        <w:t>本章重点是阳台观花植物、观叶植物、多肉植物的基本栽植方法；难点是阳台花卉的选择。</w:t>
      </w:r>
    </w:p>
    <w:p>
      <w:pPr>
        <w:widowControl/>
        <w:spacing w:line="360" w:lineRule="auto"/>
        <w:jc w:val="left"/>
        <w:rPr>
          <w:rFonts w:ascii="宋体" w:hAnsi="宋体" w:cs="宋体"/>
          <w:b/>
          <w:bCs/>
          <w:color w:val="353535"/>
          <w:kern w:val="0"/>
          <w:sz w:val="21"/>
          <w:szCs w:val="21"/>
        </w:rPr>
      </w:pPr>
      <w:r>
        <w:rPr>
          <w:rFonts w:hint="eastAsia" w:ascii="宋体" w:hAnsi="宋体"/>
          <w:b/>
          <w:bCs/>
          <w:sz w:val="21"/>
          <w:szCs w:val="21"/>
        </w:rPr>
        <w:t>主要教学内容及要求：</w:t>
      </w:r>
    </w:p>
    <w:p>
      <w:pPr>
        <w:spacing w:line="360" w:lineRule="auto"/>
        <w:ind w:firstLine="420" w:firstLineChars="200"/>
        <w:rPr>
          <w:rFonts w:hint="eastAsia"/>
          <w:sz w:val="21"/>
          <w:szCs w:val="21"/>
        </w:rPr>
      </w:pPr>
      <w:r>
        <w:rPr>
          <w:sz w:val="21"/>
          <w:szCs w:val="21"/>
        </w:rPr>
        <w:t>了解</w:t>
      </w:r>
      <w:r>
        <w:rPr>
          <w:rFonts w:hint="eastAsia"/>
          <w:sz w:val="21"/>
          <w:szCs w:val="21"/>
        </w:rPr>
        <w:t>：</w:t>
      </w:r>
      <w:r>
        <w:rPr>
          <w:rFonts w:hint="eastAsia" w:hAnsi="宋体"/>
          <w:sz w:val="21"/>
          <w:szCs w:val="21"/>
          <w:lang w:val="en-US" w:eastAsia="zh-CN"/>
        </w:rPr>
        <w:t>阳台花卉的选择依据与准备；阳台微景观</w:t>
      </w:r>
      <w:r>
        <w:rPr>
          <w:rFonts w:hint="eastAsia" w:hAnsi="宋体"/>
          <w:sz w:val="21"/>
          <w:szCs w:val="21"/>
          <w:lang w:eastAsia="zh-CN"/>
        </w:rPr>
        <w:t>。</w:t>
      </w:r>
    </w:p>
    <w:p>
      <w:pPr>
        <w:spacing w:line="360" w:lineRule="auto"/>
        <w:ind w:firstLine="420" w:firstLineChars="200"/>
        <w:rPr>
          <w:sz w:val="21"/>
          <w:szCs w:val="21"/>
        </w:rPr>
      </w:pPr>
      <w:r>
        <w:rPr>
          <w:rFonts w:hint="eastAsia" w:hAnsi="宋体"/>
          <w:sz w:val="21"/>
          <w:szCs w:val="21"/>
        </w:rPr>
        <w:t>掌握：</w:t>
      </w:r>
      <w:r>
        <w:rPr>
          <w:rFonts w:hint="eastAsia" w:hAnsi="宋体"/>
          <w:sz w:val="21"/>
          <w:szCs w:val="21"/>
          <w:lang w:val="en-US" w:eastAsia="zh-CN"/>
        </w:rPr>
        <w:t>阳台观花植物、观叶植物、多肉植物的基本栽植方法。</w:t>
      </w:r>
    </w:p>
    <w:p>
      <w:pPr>
        <w:spacing w:line="360" w:lineRule="auto"/>
        <w:rPr>
          <w:rFonts w:hint="eastAsia"/>
          <w:sz w:val="21"/>
          <w:szCs w:val="21"/>
        </w:rPr>
      </w:pPr>
      <w:r>
        <w:rPr>
          <w:rFonts w:hint="eastAsia" w:ascii="宋体" w:hAnsi="宋体"/>
          <w:b/>
          <w:bCs/>
          <w:sz w:val="21"/>
          <w:szCs w:val="21"/>
        </w:rPr>
        <w:t>教学组织与实施：</w:t>
      </w:r>
      <w:r>
        <w:rPr>
          <w:rFonts w:hint="eastAsia"/>
          <w:sz w:val="21"/>
          <w:szCs w:val="21"/>
        </w:rPr>
        <w:t>本节作为一般性的基础知识，要求学生进行课前预习，课堂讲授完成；对知识点采用启发式的教学方法讲授，</w:t>
      </w:r>
      <w:r>
        <w:rPr>
          <w:rFonts w:hint="eastAsia"/>
          <w:sz w:val="21"/>
          <w:szCs w:val="21"/>
          <w:lang w:val="en-US" w:eastAsia="zh-CN"/>
        </w:rPr>
        <w:t>具体花卉种类栽植采用案例式教学</w:t>
      </w:r>
      <w:r>
        <w:rPr>
          <w:rFonts w:hint="eastAsia"/>
          <w:sz w:val="21"/>
          <w:szCs w:val="21"/>
        </w:rPr>
        <w:t>。</w:t>
      </w:r>
    </w:p>
    <w:p>
      <w:pPr>
        <w:pStyle w:val="20"/>
        <w:spacing w:before="0" w:beforeAutospacing="0" w:after="0" w:afterAutospacing="0" w:line="360" w:lineRule="auto"/>
        <w:jc w:val="center"/>
        <w:rPr>
          <w:rFonts w:hint="eastAsia" w:eastAsia="宋体"/>
          <w:b/>
          <w:bCs/>
          <w:sz w:val="21"/>
          <w:szCs w:val="21"/>
          <w:lang w:eastAsia="zh-CN"/>
        </w:rPr>
      </w:pPr>
      <w:r>
        <w:rPr>
          <w:rFonts w:hint="eastAsia"/>
          <w:b/>
          <w:bCs/>
          <w:sz w:val="21"/>
          <w:szCs w:val="21"/>
          <w:lang w:val="en-US" w:eastAsia="zh-CN"/>
        </w:rPr>
        <w:t xml:space="preserve">                      </w:t>
      </w:r>
      <w:r>
        <w:rPr>
          <w:b/>
          <w:bCs/>
          <w:sz w:val="21"/>
          <w:szCs w:val="21"/>
        </w:rPr>
        <w:t xml:space="preserve">第五章  </w:t>
      </w:r>
      <w:r>
        <w:rPr>
          <w:rFonts w:hint="eastAsia"/>
          <w:b/>
          <w:bCs/>
          <w:sz w:val="21"/>
          <w:szCs w:val="21"/>
          <w:lang w:val="en-US" w:eastAsia="zh-CN"/>
        </w:rPr>
        <w:t>阳台植物常见病虫害</w:t>
      </w:r>
      <w:r>
        <w:rPr>
          <w:rFonts w:hint="eastAsia"/>
          <w:b/>
          <w:bCs/>
          <w:sz w:val="21"/>
          <w:szCs w:val="21"/>
        </w:rPr>
        <w:t xml:space="preserve">  </w:t>
      </w:r>
      <w:r>
        <w:rPr>
          <w:b/>
          <w:bCs/>
          <w:sz w:val="21"/>
          <w:szCs w:val="21"/>
        </w:rPr>
        <w:t xml:space="preserve">   </w:t>
      </w:r>
      <w:r>
        <w:rPr>
          <w:rFonts w:hint="eastAsia"/>
          <w:b/>
          <w:bCs/>
          <w:sz w:val="21"/>
          <w:szCs w:val="21"/>
          <w:lang w:val="en-US" w:eastAsia="zh-CN"/>
        </w:rPr>
        <w:t xml:space="preserve">                 </w:t>
      </w:r>
      <w:r>
        <w:rPr>
          <w:b/>
          <w:bCs/>
          <w:sz w:val="21"/>
          <w:szCs w:val="21"/>
        </w:rPr>
        <w:t xml:space="preserve">  </w:t>
      </w:r>
      <w:r>
        <w:rPr>
          <w:rFonts w:hint="eastAsia"/>
          <w:b/>
          <w:bCs/>
          <w:sz w:val="21"/>
          <w:szCs w:val="21"/>
        </w:rPr>
        <w:t xml:space="preserve">  学时数： </w:t>
      </w:r>
      <w:r>
        <w:rPr>
          <w:rFonts w:hint="eastAsia"/>
          <w:b/>
          <w:bCs/>
          <w:sz w:val="21"/>
          <w:szCs w:val="21"/>
          <w:lang w:val="en-US" w:eastAsia="zh-CN"/>
        </w:rPr>
        <w:t>1</w:t>
      </w:r>
    </w:p>
    <w:p>
      <w:pPr>
        <w:spacing w:line="360" w:lineRule="auto"/>
        <w:rPr>
          <w:rFonts w:hint="default" w:hAnsi="宋体"/>
          <w:sz w:val="21"/>
          <w:szCs w:val="21"/>
          <w:lang w:val="en-US" w:eastAsia="zh-CN"/>
        </w:rPr>
      </w:pPr>
      <w:r>
        <w:rPr>
          <w:rFonts w:hint="eastAsia" w:ascii="宋体" w:hAnsi="宋体"/>
          <w:b/>
          <w:bCs/>
          <w:sz w:val="21"/>
          <w:szCs w:val="21"/>
        </w:rPr>
        <w:t>教学目的：</w:t>
      </w:r>
      <w:r>
        <w:rPr>
          <w:rFonts w:hint="eastAsia" w:hAnsi="宋体"/>
          <w:sz w:val="21"/>
          <w:szCs w:val="21"/>
        </w:rPr>
        <w:t>了解</w:t>
      </w:r>
      <w:r>
        <w:rPr>
          <w:rFonts w:hint="eastAsia" w:hAnsi="宋体"/>
          <w:sz w:val="21"/>
          <w:szCs w:val="21"/>
          <w:lang w:val="en-US" w:eastAsia="zh-CN"/>
        </w:rPr>
        <w:t>阳台植物常见病虫害类型及防治方法。</w:t>
      </w:r>
    </w:p>
    <w:p>
      <w:pPr>
        <w:spacing w:line="360" w:lineRule="auto"/>
        <w:rPr>
          <w:sz w:val="21"/>
          <w:szCs w:val="21"/>
        </w:rPr>
      </w:pPr>
      <w:r>
        <w:rPr>
          <w:rFonts w:hint="eastAsia" w:ascii="宋体" w:hAnsi="宋体"/>
          <w:b/>
          <w:bCs/>
          <w:sz w:val="21"/>
          <w:szCs w:val="21"/>
        </w:rPr>
        <w:t>重点和难点</w:t>
      </w:r>
      <w:r>
        <w:rPr>
          <w:rFonts w:hint="eastAsia" w:ascii="宋体" w:hAnsi="宋体" w:cs="宋体"/>
          <w:b/>
          <w:bCs/>
          <w:color w:val="353535"/>
          <w:kern w:val="0"/>
          <w:sz w:val="21"/>
          <w:szCs w:val="21"/>
        </w:rPr>
        <w:t>：</w:t>
      </w:r>
      <w:r>
        <w:rPr>
          <w:rFonts w:hint="eastAsia" w:hAnsi="宋体"/>
          <w:sz w:val="21"/>
          <w:szCs w:val="21"/>
          <w:lang w:val="en-US" w:eastAsia="zh-CN"/>
        </w:rPr>
        <w:t>阳台植物常见病虫害无农药防治方法</w:t>
      </w:r>
      <w:r>
        <w:rPr>
          <w:rFonts w:hint="eastAsia" w:hAnsi="宋体"/>
          <w:sz w:val="21"/>
          <w:szCs w:val="21"/>
        </w:rPr>
        <w:t>。</w:t>
      </w:r>
    </w:p>
    <w:p>
      <w:pPr>
        <w:widowControl/>
        <w:spacing w:line="360" w:lineRule="auto"/>
        <w:jc w:val="left"/>
        <w:rPr>
          <w:rFonts w:ascii="宋体" w:hAnsi="宋体" w:cs="宋体"/>
          <w:b/>
          <w:bCs/>
          <w:color w:val="353535"/>
          <w:kern w:val="0"/>
          <w:sz w:val="21"/>
          <w:szCs w:val="21"/>
        </w:rPr>
      </w:pPr>
      <w:r>
        <w:rPr>
          <w:rFonts w:hint="eastAsia" w:ascii="宋体" w:hAnsi="宋体"/>
          <w:b/>
          <w:bCs/>
          <w:sz w:val="21"/>
          <w:szCs w:val="21"/>
        </w:rPr>
        <w:t>主要教学内容及要求：</w:t>
      </w:r>
    </w:p>
    <w:p>
      <w:pPr>
        <w:spacing w:line="360" w:lineRule="auto"/>
        <w:ind w:firstLine="420" w:firstLineChars="200"/>
        <w:rPr>
          <w:rFonts w:hint="eastAsia"/>
          <w:sz w:val="21"/>
          <w:szCs w:val="21"/>
        </w:rPr>
      </w:pPr>
      <w:r>
        <w:rPr>
          <w:sz w:val="21"/>
          <w:szCs w:val="21"/>
        </w:rPr>
        <w:t>了解</w:t>
      </w:r>
      <w:r>
        <w:rPr>
          <w:rFonts w:hint="eastAsia"/>
          <w:sz w:val="21"/>
          <w:szCs w:val="21"/>
        </w:rPr>
        <w:t>：</w:t>
      </w:r>
      <w:r>
        <w:rPr>
          <w:rFonts w:hint="eastAsia" w:hAnsi="宋体"/>
          <w:sz w:val="21"/>
          <w:szCs w:val="21"/>
        </w:rPr>
        <w:t>了解</w:t>
      </w:r>
      <w:r>
        <w:rPr>
          <w:rFonts w:hint="eastAsia" w:hAnsi="宋体"/>
          <w:sz w:val="21"/>
          <w:szCs w:val="21"/>
          <w:lang w:val="en-US" w:eastAsia="zh-CN"/>
        </w:rPr>
        <w:t>阳台植物常见病虫害类型。</w:t>
      </w:r>
    </w:p>
    <w:p>
      <w:pPr>
        <w:spacing w:line="360" w:lineRule="auto"/>
        <w:ind w:firstLine="420" w:firstLineChars="200"/>
        <w:rPr>
          <w:sz w:val="21"/>
          <w:szCs w:val="21"/>
        </w:rPr>
      </w:pPr>
      <w:r>
        <w:rPr>
          <w:rFonts w:hint="eastAsia"/>
          <w:sz w:val="21"/>
          <w:szCs w:val="21"/>
          <w:lang w:val="en-US" w:eastAsia="zh-CN"/>
        </w:rPr>
        <w:t>掌握</w:t>
      </w:r>
      <w:r>
        <w:rPr>
          <w:rFonts w:hint="eastAsia"/>
          <w:sz w:val="21"/>
          <w:szCs w:val="21"/>
        </w:rPr>
        <w:t>：</w:t>
      </w:r>
      <w:r>
        <w:rPr>
          <w:rFonts w:hint="eastAsia" w:hAnsi="宋体"/>
          <w:sz w:val="21"/>
          <w:szCs w:val="21"/>
          <w:lang w:val="en-US" w:eastAsia="zh-CN"/>
        </w:rPr>
        <w:t>阳台植物常见病虫害无农药防治方法</w:t>
      </w:r>
      <w:r>
        <w:rPr>
          <w:rFonts w:hint="eastAsia" w:hAnsi="宋体"/>
          <w:sz w:val="21"/>
          <w:szCs w:val="21"/>
        </w:rPr>
        <w:t>。</w:t>
      </w:r>
    </w:p>
    <w:p>
      <w:pPr>
        <w:spacing w:line="360" w:lineRule="auto"/>
        <w:rPr>
          <w:rFonts w:hint="eastAsia"/>
          <w:sz w:val="21"/>
          <w:szCs w:val="21"/>
        </w:rPr>
      </w:pPr>
      <w:r>
        <w:rPr>
          <w:rFonts w:hint="eastAsia" w:ascii="宋体" w:hAnsi="宋体"/>
          <w:b/>
          <w:bCs/>
          <w:sz w:val="21"/>
          <w:szCs w:val="21"/>
        </w:rPr>
        <w:t>教学组织与实施：</w:t>
      </w:r>
      <w:r>
        <w:rPr>
          <w:rFonts w:hint="eastAsia"/>
          <w:sz w:val="21"/>
          <w:szCs w:val="21"/>
        </w:rPr>
        <w:t>本节作为一般性的基础知识，要求学生进行课前预习，课堂讲授完成；对知识点采用启发式的教学方法讲授，并介绍相关的课外知识及学科进展。</w:t>
      </w:r>
    </w:p>
    <w:p>
      <w:pPr>
        <w:spacing w:line="360" w:lineRule="auto"/>
        <w:rPr>
          <w:b/>
          <w:bCs/>
          <w:sz w:val="21"/>
          <w:szCs w:val="21"/>
          <w:shd w:val="clear" w:color="auto" w:fill="FFFFFF"/>
        </w:rPr>
      </w:pPr>
      <w:r>
        <w:rPr>
          <w:rFonts w:hint="eastAsia"/>
          <w:b/>
          <w:bCs/>
          <w:sz w:val="21"/>
          <w:szCs w:val="21"/>
          <w:shd w:val="clear" w:color="auto" w:fill="FFFFFF"/>
          <w:lang w:val="en-US" w:eastAsia="zh-CN"/>
        </w:rPr>
        <w:t>五</w:t>
      </w:r>
      <w:r>
        <w:rPr>
          <w:rFonts w:hint="eastAsia"/>
          <w:b/>
          <w:bCs/>
          <w:sz w:val="21"/>
          <w:szCs w:val="21"/>
          <w:shd w:val="clear" w:color="auto" w:fill="FFFFFF"/>
        </w:rPr>
        <w:t>、使用教材</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sz w:val="21"/>
          <w:szCs w:val="21"/>
        </w:rPr>
      </w:pPr>
      <w:r>
        <w:rPr>
          <w:rFonts w:hint="eastAsia"/>
          <w:sz w:val="21"/>
          <w:szCs w:val="21"/>
          <w:lang w:val="en-US" w:eastAsia="zh-CN"/>
        </w:rPr>
        <w:t>1</w:t>
      </w:r>
      <w:r>
        <w:rPr>
          <w:rFonts w:hint="eastAsia"/>
          <w:sz w:val="21"/>
          <w:szCs w:val="21"/>
        </w:rPr>
        <w:t>．</w:t>
      </w:r>
      <w:r>
        <w:rPr>
          <w:sz w:val="21"/>
          <w:szCs w:val="21"/>
        </w:rPr>
        <w:t>参考书目：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sz w:val="21"/>
          <w:szCs w:val="21"/>
        </w:rPr>
      </w:pPr>
      <w:r>
        <w:rPr>
          <w:sz w:val="21"/>
          <w:szCs w:val="21"/>
        </w:rPr>
        <w:t>（1）</w:t>
      </w:r>
      <w:r>
        <w:rPr>
          <w:rFonts w:hint="eastAsia" w:ascii="宋体" w:hAnsi="宋体"/>
          <w:sz w:val="21"/>
          <w:szCs w:val="21"/>
        </w:rPr>
        <w:t>蔬菜栽培学总论，程智慧 编著，科学出版社，20</w:t>
      </w:r>
      <w:r>
        <w:rPr>
          <w:rFonts w:ascii="宋体" w:hAnsi="宋体"/>
          <w:sz w:val="21"/>
          <w:szCs w:val="21"/>
        </w:rPr>
        <w:t>19</w:t>
      </w:r>
      <w:r>
        <w:rPr>
          <w:rFonts w:hint="eastAsia" w:ascii="宋体" w:hAnsi="宋体"/>
          <w:sz w:val="21"/>
          <w:szCs w:val="21"/>
        </w:rPr>
        <w:t>年1月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sz w:val="21"/>
          <w:szCs w:val="21"/>
        </w:rPr>
      </w:pPr>
      <w:r>
        <w:rPr>
          <w:sz w:val="21"/>
          <w:szCs w:val="21"/>
        </w:rPr>
        <w:t>（2）</w:t>
      </w:r>
      <w:r>
        <w:rPr>
          <w:rFonts w:hint="eastAsia" w:ascii="宋体" w:hAnsi="宋体"/>
          <w:sz w:val="21"/>
          <w:szCs w:val="21"/>
        </w:rPr>
        <w:t>蔬菜栽培学各论，程智慧 编著，科学出版社，2017年1月</w:t>
      </w:r>
      <w:r>
        <w:rPr>
          <w:rFonts w:hint="eastAsia" w:ascii="宋体" w:hAnsi="宋体"/>
          <w:bCs/>
          <w:kern w:val="0"/>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sz w:val="21"/>
          <w:szCs w:val="21"/>
        </w:rPr>
      </w:pPr>
      <w:r>
        <w:rPr>
          <w:sz w:val="21"/>
          <w:szCs w:val="21"/>
        </w:rPr>
        <w:t>（3）</w:t>
      </w:r>
      <w:r>
        <w:rPr>
          <w:rFonts w:hint="eastAsia"/>
          <w:sz w:val="21"/>
          <w:szCs w:val="21"/>
          <w:lang w:val="en-US" w:eastAsia="zh-CN"/>
        </w:rPr>
        <w:t>花卉学</w:t>
      </w:r>
      <w:r>
        <w:rPr>
          <w:sz w:val="21"/>
          <w:szCs w:val="21"/>
        </w:rPr>
        <w:t>.</w:t>
      </w:r>
      <w:r>
        <w:rPr>
          <w:rFonts w:hint="eastAsia"/>
          <w:sz w:val="21"/>
          <w:szCs w:val="21"/>
        </w:rPr>
        <w:t xml:space="preserve"> </w:t>
      </w:r>
      <w:r>
        <w:rPr>
          <w:rFonts w:hint="eastAsia"/>
          <w:sz w:val="21"/>
          <w:szCs w:val="21"/>
          <w:lang w:val="en-US" w:eastAsia="zh-CN"/>
        </w:rPr>
        <w:t>包满珠</w:t>
      </w:r>
      <w:r>
        <w:rPr>
          <w:sz w:val="21"/>
          <w:szCs w:val="21"/>
        </w:rPr>
        <w:t>主编.</w:t>
      </w:r>
      <w:r>
        <w:rPr>
          <w:rFonts w:hint="eastAsia"/>
          <w:sz w:val="21"/>
          <w:szCs w:val="21"/>
        </w:rPr>
        <w:t xml:space="preserve"> </w:t>
      </w:r>
      <w:r>
        <w:rPr>
          <w:sz w:val="21"/>
          <w:szCs w:val="21"/>
        </w:rPr>
        <w:t>中国农业出版社</w:t>
      </w:r>
      <w:r>
        <w:rPr>
          <w:rFonts w:hint="eastAsia"/>
          <w:sz w:val="21"/>
          <w:szCs w:val="21"/>
        </w:rPr>
        <w:t xml:space="preserve">. </w:t>
      </w:r>
      <w:r>
        <w:rPr>
          <w:sz w:val="21"/>
          <w:szCs w:val="21"/>
        </w:rPr>
        <w:t>20</w:t>
      </w:r>
      <w:r>
        <w:rPr>
          <w:rFonts w:hint="eastAsia"/>
          <w:sz w:val="21"/>
          <w:szCs w:val="21"/>
          <w:lang w:val="en-US" w:eastAsia="zh-CN"/>
        </w:rPr>
        <w:t>11</w:t>
      </w:r>
      <w:r>
        <w:rPr>
          <w:rFonts w:hint="eastAsia"/>
          <w:sz w:val="21"/>
          <w:szCs w:val="21"/>
        </w:rPr>
        <w:t>年</w:t>
      </w:r>
    </w:p>
    <w:p>
      <w:pPr>
        <w:spacing w:line="360" w:lineRule="auto"/>
        <w:rPr>
          <w:rFonts w:ascii="Times New Roman" w:hAnsi="Times New Roman"/>
          <w:b/>
          <w:bCs/>
          <w:sz w:val="21"/>
          <w:szCs w:val="21"/>
          <w:shd w:val="clear" w:color="auto" w:fill="FFFFFF"/>
        </w:rPr>
      </w:pPr>
      <w:r>
        <w:rPr>
          <w:rFonts w:hint="eastAsia"/>
          <w:b/>
          <w:bCs/>
          <w:sz w:val="21"/>
          <w:szCs w:val="21"/>
          <w:shd w:val="clear" w:color="auto" w:fill="FFFFFF"/>
          <w:lang w:val="en-US" w:eastAsia="zh-CN"/>
        </w:rPr>
        <w:t>六</w:t>
      </w:r>
      <w:r>
        <w:rPr>
          <w:rFonts w:hint="eastAsia"/>
          <w:b/>
          <w:bCs/>
          <w:sz w:val="21"/>
          <w:szCs w:val="21"/>
          <w:shd w:val="clear" w:color="auto" w:fill="FFFFFF"/>
        </w:rPr>
        <w:t>、教学条件</w:t>
      </w:r>
    </w:p>
    <w:p>
      <w:pPr>
        <w:snapToGrid w:val="0"/>
        <w:spacing w:line="360" w:lineRule="auto"/>
        <w:ind w:firstLine="420" w:firstLineChars="200"/>
        <w:rPr>
          <w:rFonts w:ascii="宋体" w:hAnsi="宋体" w:cs="宋体"/>
          <w:color w:val="353535"/>
          <w:kern w:val="0"/>
          <w:sz w:val="21"/>
          <w:szCs w:val="21"/>
        </w:rPr>
      </w:pPr>
      <w:r>
        <w:rPr>
          <w:rFonts w:hint="eastAsia" w:ascii="宋体" w:hAnsi="宋体" w:cs="宋体"/>
          <w:color w:val="353535"/>
          <w:kern w:val="0"/>
          <w:sz w:val="21"/>
          <w:szCs w:val="21"/>
        </w:rPr>
        <w:t>每个课头至少需要1名专职教师。</w:t>
      </w:r>
    </w:p>
    <w:p>
      <w:pPr>
        <w:spacing w:line="360" w:lineRule="auto"/>
        <w:rPr>
          <w:rFonts w:hAnsi="宋体"/>
          <w:b/>
          <w:bCs/>
          <w:kern w:val="0"/>
          <w:sz w:val="21"/>
          <w:szCs w:val="21"/>
        </w:rPr>
      </w:pPr>
      <w:r>
        <w:rPr>
          <w:rFonts w:hint="eastAsia" w:hAnsi="宋体"/>
          <w:b/>
          <w:bCs/>
          <w:kern w:val="0"/>
          <w:sz w:val="21"/>
          <w:szCs w:val="21"/>
          <w:lang w:val="en-US" w:eastAsia="zh-CN"/>
        </w:rPr>
        <w:t>七</w:t>
      </w:r>
      <w:r>
        <w:rPr>
          <w:rFonts w:hint="eastAsia" w:hAnsi="宋体"/>
          <w:b/>
          <w:bCs/>
          <w:kern w:val="0"/>
          <w:sz w:val="21"/>
          <w:szCs w:val="21"/>
        </w:rPr>
        <w:t>、教学考核评价</w:t>
      </w:r>
    </w:p>
    <w:p>
      <w:pPr>
        <w:widowControl/>
        <w:snapToGrid w:val="0"/>
        <w:spacing w:line="360" w:lineRule="auto"/>
        <w:jc w:val="left"/>
        <w:rPr>
          <w:rFonts w:ascii="宋体" w:hAnsi="宋体"/>
          <w:color w:val="auto"/>
          <w:sz w:val="21"/>
          <w:szCs w:val="21"/>
        </w:rPr>
      </w:pPr>
      <w:r>
        <w:rPr>
          <w:rFonts w:hint="eastAsia" w:hAnsi="宋体"/>
          <w:b/>
          <w:bCs/>
          <w:color w:val="auto"/>
          <w:kern w:val="0"/>
          <w:sz w:val="21"/>
          <w:szCs w:val="21"/>
          <w:lang w:val="en-US" w:eastAsia="zh-CN"/>
        </w:rPr>
        <w:t>1</w:t>
      </w:r>
      <w:r>
        <w:rPr>
          <w:rFonts w:hAnsi="宋体"/>
          <w:b/>
          <w:bCs/>
          <w:color w:val="auto"/>
          <w:kern w:val="0"/>
          <w:sz w:val="21"/>
          <w:szCs w:val="21"/>
        </w:rPr>
        <w:t>.</w:t>
      </w:r>
      <w:r>
        <w:rPr>
          <w:rFonts w:hint="eastAsia" w:hAnsi="宋体"/>
          <w:b/>
          <w:bCs/>
          <w:color w:val="auto"/>
          <w:kern w:val="0"/>
          <w:sz w:val="21"/>
          <w:szCs w:val="21"/>
        </w:rPr>
        <w:t>过程性评价：</w:t>
      </w:r>
      <w:r>
        <w:rPr>
          <w:rFonts w:hint="eastAsia" w:ascii="宋体" w:hAnsi="宋体"/>
          <w:color w:val="auto"/>
          <w:sz w:val="21"/>
          <w:szCs w:val="21"/>
        </w:rPr>
        <w:t xml:space="preserve"> </w:t>
      </w:r>
    </w:p>
    <w:p>
      <w:pPr>
        <w:widowControl/>
        <w:spacing w:line="360" w:lineRule="auto"/>
        <w:ind w:firstLine="420" w:firstLineChars="200"/>
        <w:jc w:val="left"/>
        <w:rPr>
          <w:rFonts w:hint="eastAsia" w:ascii="宋体" w:hAnsi="宋体" w:cs="宋体"/>
          <w:color w:val="auto"/>
          <w:kern w:val="0"/>
          <w:sz w:val="21"/>
          <w:szCs w:val="21"/>
        </w:rPr>
      </w:pPr>
      <w:r>
        <w:rPr>
          <w:rFonts w:hint="eastAsia" w:ascii="宋体" w:hAnsi="宋体" w:cs="宋体"/>
          <w:color w:val="auto"/>
          <w:kern w:val="0"/>
          <w:sz w:val="21"/>
          <w:szCs w:val="21"/>
        </w:rPr>
        <w:t>本门课程的考核分为平时、期末和实验考核四个环节。平时成绩包括平时学习情况、课堂提问、小组讨论表现、作业、考勤等</w:t>
      </w:r>
      <w:r>
        <w:rPr>
          <w:rFonts w:hint="eastAsia" w:ascii="宋体" w:hAnsi="宋体" w:cs="宋体"/>
          <w:color w:val="auto"/>
          <w:kern w:val="0"/>
          <w:sz w:val="21"/>
          <w:szCs w:val="21"/>
          <w:lang w:eastAsia="zh-CN"/>
        </w:rPr>
        <w:t>，</w:t>
      </w:r>
      <w:r>
        <w:rPr>
          <w:rFonts w:hint="eastAsia" w:ascii="宋体" w:hAnsi="宋体" w:cs="宋体"/>
          <w:color w:val="auto"/>
          <w:kern w:val="0"/>
          <w:sz w:val="21"/>
          <w:szCs w:val="21"/>
          <w:lang w:val="en-US" w:eastAsia="zh-CN"/>
        </w:rPr>
        <w:t>占总成绩的20-30%</w:t>
      </w:r>
      <w:r>
        <w:rPr>
          <w:rFonts w:hint="eastAsia" w:ascii="宋体" w:hAnsi="宋体" w:cs="宋体"/>
          <w:color w:val="auto"/>
          <w:kern w:val="0"/>
          <w:sz w:val="21"/>
          <w:szCs w:val="21"/>
        </w:rPr>
        <w:t>；实验考核包括考勤和实验报告等</w:t>
      </w:r>
      <w:r>
        <w:rPr>
          <w:rFonts w:hint="eastAsia" w:ascii="宋体" w:hAnsi="宋体" w:cs="宋体"/>
          <w:color w:val="auto"/>
          <w:kern w:val="0"/>
          <w:sz w:val="21"/>
          <w:szCs w:val="21"/>
          <w:lang w:val="en-US" w:eastAsia="zh-CN"/>
        </w:rPr>
        <w:t>，占20-30%</w:t>
      </w:r>
      <w:r>
        <w:rPr>
          <w:rFonts w:hint="eastAsia" w:ascii="宋体" w:hAnsi="宋体" w:cs="宋体"/>
          <w:color w:val="auto"/>
          <w:kern w:val="0"/>
          <w:sz w:val="21"/>
          <w:szCs w:val="21"/>
        </w:rPr>
        <w:t>；期末考试为</w:t>
      </w:r>
      <w:r>
        <w:rPr>
          <w:rFonts w:hint="eastAsia" w:ascii="宋体" w:hAnsi="宋体" w:cs="宋体"/>
          <w:color w:val="auto"/>
          <w:kern w:val="0"/>
          <w:sz w:val="21"/>
          <w:szCs w:val="21"/>
          <w:lang w:val="en-US" w:eastAsia="zh-CN"/>
        </w:rPr>
        <w:t>考查</w:t>
      </w:r>
      <w:r>
        <w:rPr>
          <w:rFonts w:hint="eastAsia" w:ascii="宋体" w:hAnsi="宋体" w:cs="宋体"/>
          <w:color w:val="auto"/>
          <w:kern w:val="0"/>
          <w:sz w:val="21"/>
          <w:szCs w:val="21"/>
        </w:rPr>
        <w:t>。</w:t>
      </w:r>
    </w:p>
    <w:p>
      <w:pPr>
        <w:widowControl/>
        <w:snapToGrid w:val="0"/>
        <w:spacing w:line="360" w:lineRule="auto"/>
        <w:jc w:val="left"/>
        <w:rPr>
          <w:rFonts w:hint="default" w:hAnsi="宋体"/>
          <w:b/>
          <w:bCs/>
          <w:color w:val="auto"/>
          <w:kern w:val="0"/>
          <w:sz w:val="21"/>
          <w:szCs w:val="21"/>
          <w:lang w:val="en-US" w:eastAsia="zh-CN"/>
        </w:rPr>
      </w:pPr>
      <w:r>
        <w:rPr>
          <w:rFonts w:hint="eastAsia" w:hAnsi="宋体"/>
          <w:b/>
          <w:bCs/>
          <w:color w:val="auto"/>
          <w:kern w:val="0"/>
          <w:sz w:val="21"/>
          <w:szCs w:val="21"/>
          <w:lang w:val="en-US" w:eastAsia="zh-CN"/>
        </w:rPr>
        <w:t>2.终结性评价：</w:t>
      </w:r>
    </w:p>
    <w:p>
      <w:pPr>
        <w:snapToGrid w:val="0"/>
        <w:spacing w:line="360" w:lineRule="auto"/>
        <w:ind w:firstLine="420" w:firstLineChars="200"/>
        <w:rPr>
          <w:rFonts w:hint="eastAsia" w:ascii="宋体" w:hAnsi="宋体"/>
          <w:color w:val="auto"/>
          <w:sz w:val="21"/>
          <w:szCs w:val="21"/>
        </w:rPr>
      </w:pPr>
      <w:r>
        <w:rPr>
          <w:rFonts w:hint="eastAsia" w:ascii="宋体" w:hAnsi="宋体"/>
          <w:color w:val="auto"/>
          <w:sz w:val="21"/>
          <w:szCs w:val="21"/>
          <w:lang w:val="en-US" w:eastAsia="zh-CN"/>
        </w:rPr>
        <w:t>采用论文</w:t>
      </w:r>
      <w:r>
        <w:rPr>
          <w:rFonts w:hint="eastAsia" w:ascii="宋体" w:hAnsi="宋体"/>
          <w:color w:val="auto"/>
          <w:sz w:val="21"/>
          <w:szCs w:val="21"/>
        </w:rPr>
        <w:t>的考核方式，占总成绩</w:t>
      </w:r>
      <w:r>
        <w:rPr>
          <w:rFonts w:ascii="宋体" w:hAnsi="宋体"/>
          <w:color w:val="auto"/>
          <w:sz w:val="21"/>
          <w:szCs w:val="21"/>
        </w:rPr>
        <w:t>的</w:t>
      </w:r>
      <w:r>
        <w:rPr>
          <w:rFonts w:hint="eastAsia" w:ascii="宋体" w:hAnsi="宋体"/>
          <w:color w:val="auto"/>
          <w:sz w:val="21"/>
          <w:szCs w:val="21"/>
          <w:lang w:val="en-US" w:eastAsia="zh-CN"/>
        </w:rPr>
        <w:t>40-</w:t>
      </w:r>
      <w:r>
        <w:rPr>
          <w:rFonts w:hint="eastAsia" w:ascii="宋体" w:hAnsi="宋体"/>
          <w:color w:val="auto"/>
          <w:sz w:val="21"/>
          <w:szCs w:val="21"/>
        </w:rPr>
        <w:t>50</w:t>
      </w:r>
      <w:r>
        <w:rPr>
          <w:rFonts w:ascii="宋体" w:hAnsi="宋体"/>
          <w:color w:val="auto"/>
          <w:sz w:val="21"/>
          <w:szCs w:val="21"/>
        </w:rPr>
        <w:t>%</w:t>
      </w:r>
      <w:r>
        <w:rPr>
          <w:rFonts w:hint="eastAsia" w:ascii="宋体" w:hAnsi="宋体"/>
          <w:color w:val="auto"/>
          <w:sz w:val="21"/>
          <w:szCs w:val="21"/>
        </w:rPr>
        <w:t>。</w:t>
      </w:r>
    </w:p>
    <w:p>
      <w:pPr>
        <w:widowControl/>
        <w:snapToGrid w:val="0"/>
        <w:spacing w:line="360" w:lineRule="auto"/>
        <w:jc w:val="left"/>
        <w:rPr>
          <w:rFonts w:hint="default" w:hAnsi="宋体"/>
          <w:b/>
          <w:bCs/>
          <w:color w:val="auto"/>
          <w:kern w:val="0"/>
          <w:sz w:val="21"/>
          <w:szCs w:val="21"/>
          <w:lang w:val="en-US" w:eastAsia="zh-CN"/>
        </w:rPr>
      </w:pPr>
      <w:r>
        <w:rPr>
          <w:rFonts w:hint="eastAsia" w:hAnsi="宋体"/>
          <w:b/>
          <w:bCs/>
          <w:color w:val="auto"/>
          <w:kern w:val="0"/>
          <w:sz w:val="21"/>
          <w:szCs w:val="21"/>
          <w:lang w:val="en-US" w:eastAsia="zh-CN"/>
        </w:rPr>
        <w:t>3.课程综合评价：</w:t>
      </w:r>
    </w:p>
    <w:p>
      <w:pPr>
        <w:widowControl/>
        <w:snapToGrid w:val="0"/>
        <w:spacing w:line="360" w:lineRule="auto"/>
        <w:jc w:val="left"/>
        <w:rPr>
          <w:rFonts w:hint="eastAsia" w:hAnsi="宋体" w:eastAsia="宋体"/>
          <w:b/>
          <w:bCs/>
          <w:color w:val="auto"/>
          <w:kern w:val="0"/>
          <w:sz w:val="21"/>
          <w:szCs w:val="21"/>
          <w:lang w:val="en-US" w:eastAsia="zh-CN"/>
        </w:rPr>
      </w:pPr>
      <w:r>
        <w:rPr>
          <w:rFonts w:hint="eastAsia" w:hAnsi="宋体"/>
          <w:b/>
          <w:bCs/>
          <w:color w:val="auto"/>
          <w:kern w:val="0"/>
          <w:sz w:val="21"/>
          <w:szCs w:val="21"/>
          <w:lang w:val="en-US" w:eastAsia="zh-CN"/>
        </w:rPr>
        <w:t xml:space="preserve">    </w:t>
      </w:r>
      <w:r>
        <w:rPr>
          <w:rFonts w:hint="eastAsia" w:ascii="宋体" w:hAnsi="宋体"/>
          <w:sz w:val="21"/>
          <w:szCs w:val="21"/>
        </w:rPr>
        <w:t>总成绩＝</w:t>
      </w:r>
      <w:r>
        <w:rPr>
          <w:rFonts w:hint="eastAsia" w:ascii="宋体" w:hAnsi="宋体"/>
          <w:sz w:val="21"/>
          <w:szCs w:val="21"/>
          <w:lang w:val="en-US" w:eastAsia="zh-CN"/>
        </w:rPr>
        <w:t>课程论文</w:t>
      </w:r>
      <w:r>
        <w:rPr>
          <w:rFonts w:hint="eastAsia" w:ascii="宋体" w:hAnsi="宋体"/>
          <w:sz w:val="21"/>
          <w:szCs w:val="21"/>
        </w:rPr>
        <w:t>成绩</w:t>
      </w:r>
      <w:r>
        <w:rPr>
          <w:rFonts w:hint="eastAsia" w:ascii="宋体" w:hAnsi="宋体"/>
          <w:bCs/>
          <w:color w:val="auto"/>
          <w:sz w:val="21"/>
          <w:szCs w:val="21"/>
        </w:rPr>
        <w:t>×</w:t>
      </w:r>
      <w:r>
        <w:rPr>
          <w:rFonts w:hint="eastAsia" w:ascii="宋体" w:hAnsi="宋体"/>
          <w:sz w:val="21"/>
          <w:szCs w:val="21"/>
          <w:lang w:val="en-US" w:eastAsia="zh-CN"/>
        </w:rPr>
        <w:t>40-</w:t>
      </w:r>
      <w:r>
        <w:rPr>
          <w:rFonts w:ascii="宋体" w:hAnsi="宋体"/>
          <w:sz w:val="21"/>
          <w:szCs w:val="21"/>
        </w:rPr>
        <w:t>5</w:t>
      </w:r>
      <w:r>
        <w:rPr>
          <w:rFonts w:hint="eastAsia" w:ascii="宋体" w:hAnsi="宋体"/>
          <w:sz w:val="21"/>
          <w:szCs w:val="21"/>
        </w:rPr>
        <w:t>0%+平时成绩</w:t>
      </w:r>
      <w:r>
        <w:rPr>
          <w:rFonts w:hint="eastAsia" w:ascii="宋体" w:hAnsi="宋体"/>
          <w:bCs/>
          <w:color w:val="auto"/>
          <w:sz w:val="21"/>
          <w:szCs w:val="21"/>
        </w:rPr>
        <w:t>×</w:t>
      </w:r>
      <w:r>
        <w:rPr>
          <w:rFonts w:hint="eastAsia" w:ascii="宋体" w:hAnsi="宋体"/>
          <w:sz w:val="21"/>
          <w:szCs w:val="21"/>
          <w:lang w:val="en-US" w:eastAsia="zh-CN"/>
        </w:rPr>
        <w:t>20-3</w:t>
      </w:r>
      <w:r>
        <w:rPr>
          <w:rFonts w:hint="eastAsia" w:ascii="宋体" w:hAnsi="宋体"/>
          <w:sz w:val="21"/>
          <w:szCs w:val="21"/>
        </w:rPr>
        <w:t>0%+</w:t>
      </w:r>
      <w:r>
        <w:rPr>
          <w:rFonts w:hint="eastAsia" w:ascii="宋体" w:hAnsi="宋体"/>
          <w:sz w:val="21"/>
          <w:szCs w:val="21"/>
          <w:lang w:val="en-US" w:eastAsia="zh-CN"/>
        </w:rPr>
        <w:t>实验</w:t>
      </w:r>
      <w:r>
        <w:rPr>
          <w:rFonts w:hint="eastAsia" w:ascii="宋体" w:hAnsi="宋体"/>
          <w:sz w:val="21"/>
          <w:szCs w:val="21"/>
        </w:rPr>
        <w:t>成绩</w:t>
      </w:r>
      <w:r>
        <w:rPr>
          <w:rFonts w:hint="eastAsia" w:ascii="宋体" w:hAnsi="宋体"/>
          <w:bCs/>
          <w:color w:val="auto"/>
          <w:sz w:val="21"/>
          <w:szCs w:val="21"/>
        </w:rPr>
        <w:t>×</w:t>
      </w:r>
      <w:r>
        <w:rPr>
          <w:rFonts w:hint="eastAsia" w:ascii="宋体" w:hAnsi="宋体"/>
          <w:sz w:val="21"/>
          <w:szCs w:val="21"/>
          <w:lang w:val="en-US" w:eastAsia="zh-CN"/>
        </w:rPr>
        <w:t>2</w:t>
      </w:r>
      <w:r>
        <w:rPr>
          <w:rFonts w:hint="eastAsia" w:ascii="宋体" w:hAnsi="宋体"/>
          <w:sz w:val="21"/>
          <w:szCs w:val="21"/>
        </w:rPr>
        <w:t>0</w:t>
      </w:r>
      <w:r>
        <w:rPr>
          <w:rFonts w:hint="eastAsia" w:ascii="宋体" w:hAnsi="宋体"/>
          <w:sz w:val="21"/>
          <w:szCs w:val="21"/>
          <w:lang w:val="en-US" w:eastAsia="zh-CN"/>
        </w:rPr>
        <w:t>-30</w:t>
      </w:r>
      <w:r>
        <w:rPr>
          <w:rFonts w:hint="eastAsia" w:ascii="宋体" w:hAnsi="宋体"/>
          <w:sz w:val="21"/>
          <w:szCs w:val="21"/>
        </w:rPr>
        <w:t>%</w:t>
      </w:r>
      <w:r>
        <w:rPr>
          <w:rFonts w:hint="eastAsia" w:ascii="宋体" w:hAnsi="宋体"/>
          <w:sz w:val="21"/>
          <w:szCs w:val="21"/>
          <w:lang w:eastAsia="zh-CN"/>
        </w:rPr>
        <w:t>。</w:t>
      </w:r>
    </w:p>
    <w:p>
      <w:pPr>
        <w:rPr>
          <w:rFonts w:asciiTheme="majorHAnsi" w:hAnsiTheme="majorHAnsi" w:eastAsiaTheme="majorEastAsia" w:cstheme="majorBidi"/>
          <w:szCs w:val="32"/>
        </w:rPr>
      </w:pPr>
      <w:r>
        <w:br w:type="page"/>
      </w:r>
    </w:p>
    <w:p>
      <w:pPr>
        <w:widowControl/>
        <w:jc w:val="center"/>
        <w:rPr>
          <w:rFonts w:ascii="宋体" w:hAnsi="宋体"/>
          <w:b/>
          <w:color w:val="000000" w:themeColor="text1"/>
          <w:sz w:val="32"/>
          <w:szCs w:val="28"/>
          <w14:textFill>
            <w14:solidFill>
              <w14:schemeClr w14:val="tx1"/>
            </w14:solidFill>
          </w14:textFill>
        </w:rPr>
      </w:pPr>
    </w:p>
    <w:p>
      <w:pPr>
        <w:widowControl/>
        <w:jc w:val="center"/>
        <w:rPr>
          <w:rFonts w:ascii="宋体" w:hAnsi="宋体"/>
          <w:b/>
          <w:color w:val="000000" w:themeColor="text1"/>
          <w:sz w:val="32"/>
          <w:szCs w:val="28"/>
          <w14:textFill>
            <w14:solidFill>
              <w14:schemeClr w14:val="tx1"/>
            </w14:solidFill>
          </w14:textFill>
        </w:rPr>
      </w:pPr>
    </w:p>
    <w:p>
      <w:pPr>
        <w:widowControl/>
        <w:jc w:val="center"/>
        <w:rPr>
          <w:rFonts w:ascii="宋体" w:hAnsi="宋体"/>
          <w:b/>
          <w:color w:val="000000" w:themeColor="text1"/>
          <w:sz w:val="32"/>
          <w:szCs w:val="28"/>
          <w14:textFill>
            <w14:solidFill>
              <w14:schemeClr w14:val="tx1"/>
            </w14:solidFill>
          </w14:textFill>
        </w:rPr>
      </w:pPr>
    </w:p>
    <w:p>
      <w:pPr>
        <w:widowControl/>
        <w:jc w:val="center"/>
        <w:rPr>
          <w:rFonts w:ascii="宋体" w:hAnsi="宋体"/>
          <w:b/>
          <w:color w:val="000000" w:themeColor="text1"/>
          <w:sz w:val="32"/>
          <w:szCs w:val="28"/>
          <w14:textFill>
            <w14:solidFill>
              <w14:schemeClr w14:val="tx1"/>
            </w14:solidFill>
          </w14:textFill>
        </w:rPr>
      </w:pPr>
    </w:p>
    <w:p>
      <w:pPr>
        <w:widowControl/>
        <w:jc w:val="center"/>
        <w:rPr>
          <w:rFonts w:ascii="宋体" w:hAnsi="宋体"/>
          <w:b/>
          <w:color w:val="000000" w:themeColor="text1"/>
          <w:sz w:val="32"/>
          <w:szCs w:val="28"/>
          <w14:textFill>
            <w14:solidFill>
              <w14:schemeClr w14:val="tx1"/>
            </w14:solidFill>
          </w14:textFill>
        </w:rPr>
      </w:pPr>
    </w:p>
    <w:p>
      <w:pPr>
        <w:widowControl/>
        <w:jc w:val="center"/>
        <w:rPr>
          <w:rFonts w:ascii="宋体" w:hAnsi="宋体"/>
          <w:b/>
          <w:color w:val="000000" w:themeColor="text1"/>
          <w:sz w:val="32"/>
          <w:szCs w:val="28"/>
          <w14:textFill>
            <w14:solidFill>
              <w14:schemeClr w14:val="tx1"/>
            </w14:solidFill>
          </w14:textFill>
        </w:rPr>
      </w:pPr>
    </w:p>
    <w:p>
      <w:pPr>
        <w:widowControl/>
        <w:jc w:val="center"/>
        <w:rPr>
          <w:rFonts w:ascii="宋体" w:hAnsi="宋体"/>
          <w:b/>
          <w:color w:val="000000" w:themeColor="text1"/>
          <w:sz w:val="32"/>
          <w:szCs w:val="28"/>
          <w14:textFill>
            <w14:solidFill>
              <w14:schemeClr w14:val="tx1"/>
            </w14:solidFill>
          </w14:textFill>
        </w:rPr>
      </w:pPr>
    </w:p>
    <w:p>
      <w:pPr>
        <w:widowControl/>
        <w:jc w:val="center"/>
        <w:rPr>
          <w:rFonts w:ascii="宋体" w:hAnsi="宋体"/>
          <w:b/>
          <w:color w:val="000000" w:themeColor="text1"/>
          <w:sz w:val="44"/>
          <w:szCs w:val="40"/>
          <w14:textFill>
            <w14:solidFill>
              <w14:schemeClr w14:val="tx1"/>
            </w14:solidFill>
          </w14:textFill>
        </w:rPr>
      </w:pPr>
      <w:r>
        <w:rPr>
          <w:rFonts w:ascii="宋体" w:hAnsi="宋体"/>
          <w:b/>
          <w:color w:val="000000" w:themeColor="text1"/>
          <w:sz w:val="44"/>
          <w:szCs w:val="40"/>
          <w14:textFill>
            <w14:solidFill>
              <w14:schemeClr w14:val="tx1"/>
            </w14:solidFill>
          </w14:textFill>
        </w:rPr>
        <w:t>第二篇</w:t>
      </w:r>
      <w:r>
        <w:rPr>
          <w:rFonts w:hint="eastAsia" w:ascii="宋体" w:hAnsi="宋体"/>
          <w:b/>
          <w:color w:val="000000" w:themeColor="text1"/>
          <w:sz w:val="44"/>
          <w:szCs w:val="40"/>
          <w14:textFill>
            <w14:solidFill>
              <w14:schemeClr w14:val="tx1"/>
            </w14:solidFill>
          </w14:textFill>
        </w:rPr>
        <w:t xml:space="preserve"> 实习教学大纲</w:t>
      </w:r>
    </w:p>
    <w:p>
      <w:pPr>
        <w:rPr>
          <w:rFonts w:hint="eastAsia"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br w:type="page"/>
      </w:r>
    </w:p>
    <w:p>
      <w:pPr>
        <w:snapToGrid w:val="0"/>
        <w:spacing w:line="360" w:lineRule="auto"/>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 xml:space="preserve">园艺专业实习教学大纲 </w:t>
      </w:r>
    </w:p>
    <w:p>
      <w:pPr>
        <w:snapToGrid w:val="0"/>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(Internship of Horticultural Science)</w:t>
      </w:r>
    </w:p>
    <w:p>
      <w:pPr>
        <w:spacing w:line="300" w:lineRule="auto"/>
        <w:rPr>
          <w:color w:val="000000" w:themeColor="text1"/>
          <w14:textFill>
            <w14:solidFill>
              <w14:schemeClr w14:val="tx1"/>
            </w14:solidFill>
          </w14:textFill>
        </w:rPr>
      </w:pP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一、前言</w:t>
      </w:r>
    </w:p>
    <w:p>
      <w:pPr>
        <w:tabs>
          <w:tab w:val="left" w:pos="3720"/>
          <w:tab w:val="left" w:pos="3780"/>
          <w:tab w:val="left" w:pos="4305"/>
        </w:tabs>
        <w:adjustRightInd w:val="0"/>
        <w:snapToGrid w:val="0"/>
        <w:spacing w:line="360" w:lineRule="auto"/>
        <w:ind w:firstLine="411" w:firstLineChars="196"/>
        <w:rPr>
          <w:rFonts w:ascii="宋体" w:hAnsi="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园艺专业是一门注重培养具备分析和解决“三农”领域问题的实践能力，能从事果树、蔬菜、观赏园艺、设施园艺及其他涉农领域的科研、教学、技术研发、推广及经营管理等业务工作的高级复合型人才的学科。园艺专业实习包括军事理论及训练、课程实习、生产实习、毕业实习（毕业论文或毕业设计）、社会实践等层次实践教学环节。军事理论及训练在入学后进行，由校武装部组织开展，本大纲不涉及。课程实习主要包括园艺植物育种学实习、果树栽培学实习、蔬菜栽培学实习、花卉栽培学实习和设施园艺学实习。生产实习结合毕业实习进行，安排在第六学期，可以使学生进行一个生产周期的实习。毕业论文数据的收集结合生产实习进行。毕业论文的撰写和答辩安排在第八学期进行。社会实践活动贯穿在整个学习周期，第一学期以了解专业内容、巩固专业思想组织专业参观学习，第二学期以后主要结合课程的展开，以暑期社会实践活动的形式，围绕专业开展社会调查和考察进行，使实践教学贯穿于整个学习过程。</w:t>
      </w:r>
    </w:p>
    <w:p>
      <w:pPr>
        <w:snapToGrid w:val="0"/>
        <w:spacing w:line="360" w:lineRule="auto"/>
        <w:jc w:val="center"/>
        <w:rPr>
          <w:rFonts w:ascii="宋体" w:hAnsi="宋体"/>
          <w:b/>
          <w:color w:val="000000"/>
          <w:szCs w:val="21"/>
        </w:rPr>
      </w:pPr>
      <w:r>
        <w:rPr>
          <w:rFonts w:ascii="宋体" w:hAnsi="宋体" w:cs="宋体"/>
          <w:b/>
          <w:kern w:val="0"/>
          <w:szCs w:val="21"/>
        </w:rPr>
        <w:t>总体要求与学分分配</w:t>
      </w:r>
    </w:p>
    <w:tbl>
      <w:tblPr>
        <w:tblStyle w:val="22"/>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2"/>
        <w:gridCol w:w="1168"/>
        <w:gridCol w:w="1023"/>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90" w:type="pct"/>
            <w:tcBorders>
              <w:left w:val="single" w:color="auto" w:sz="4" w:space="0"/>
            </w:tcBorders>
            <w:shd w:val="clear" w:color="auto" w:fill="EEECE1" w:themeFill="background2"/>
          </w:tcPr>
          <w:p>
            <w:pPr>
              <w:jc w:val="center"/>
              <w:rPr>
                <w:rFonts w:ascii="宋体" w:hAnsi="宋体"/>
                <w:b/>
                <w:sz w:val="18"/>
                <w:szCs w:val="18"/>
              </w:rPr>
            </w:pPr>
            <w:r>
              <w:rPr>
                <w:rFonts w:hint="eastAsia" w:ascii="宋体" w:hAnsi="宋体"/>
                <w:b/>
                <w:sz w:val="18"/>
                <w:szCs w:val="18"/>
              </w:rPr>
              <w:t>实践环节</w:t>
            </w:r>
          </w:p>
        </w:tc>
        <w:tc>
          <w:tcPr>
            <w:tcW w:w="655" w:type="pct"/>
            <w:shd w:val="clear" w:color="auto" w:fill="EEECE1" w:themeFill="background2"/>
          </w:tcPr>
          <w:p>
            <w:pPr>
              <w:jc w:val="center"/>
              <w:rPr>
                <w:rFonts w:ascii="宋体" w:hAnsi="宋体"/>
                <w:b/>
                <w:sz w:val="18"/>
                <w:szCs w:val="18"/>
              </w:rPr>
            </w:pPr>
            <w:r>
              <w:rPr>
                <w:rFonts w:hint="eastAsia" w:ascii="宋体" w:hAnsi="宋体"/>
                <w:b/>
                <w:sz w:val="18"/>
                <w:szCs w:val="18"/>
              </w:rPr>
              <w:t>学时（周）</w:t>
            </w:r>
          </w:p>
        </w:tc>
        <w:tc>
          <w:tcPr>
            <w:tcW w:w="574" w:type="pct"/>
            <w:shd w:val="clear" w:color="auto" w:fill="EEECE1" w:themeFill="background2"/>
          </w:tcPr>
          <w:p>
            <w:pPr>
              <w:jc w:val="center"/>
              <w:rPr>
                <w:rFonts w:ascii="宋体" w:hAnsi="宋体"/>
                <w:b/>
                <w:sz w:val="18"/>
                <w:szCs w:val="18"/>
              </w:rPr>
            </w:pPr>
            <w:r>
              <w:rPr>
                <w:rFonts w:hint="eastAsia" w:ascii="宋体" w:hAnsi="宋体"/>
                <w:b/>
                <w:sz w:val="18"/>
                <w:szCs w:val="18"/>
              </w:rPr>
              <w:t>学分</w:t>
            </w:r>
          </w:p>
        </w:tc>
        <w:tc>
          <w:tcPr>
            <w:tcW w:w="1479" w:type="pct"/>
            <w:tcBorders>
              <w:right w:val="single" w:color="auto" w:sz="4" w:space="0"/>
            </w:tcBorders>
            <w:shd w:val="clear" w:color="auto" w:fill="EEECE1" w:themeFill="background2"/>
          </w:tcPr>
          <w:p>
            <w:pPr>
              <w:jc w:val="center"/>
              <w:rPr>
                <w:rFonts w:ascii="宋体" w:hAnsi="宋体"/>
                <w:b/>
                <w:sz w:val="18"/>
                <w:szCs w:val="18"/>
              </w:rPr>
            </w:pPr>
            <w:r>
              <w:rPr>
                <w:rFonts w:hint="eastAsia" w:ascii="宋体" w:hAnsi="宋体"/>
                <w:b/>
                <w:sz w:val="18"/>
                <w:szCs w:val="18"/>
              </w:rPr>
              <w:t>时间安排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hint="eastAsia" w:ascii="宋体" w:hAnsi="宋体" w:eastAsia="宋体"/>
                <w:sz w:val="18"/>
                <w:szCs w:val="18"/>
                <w:lang w:val="en-US" w:eastAsia="zh-CN"/>
              </w:rPr>
            </w:pPr>
            <w:r>
              <w:rPr>
                <w:rFonts w:hint="eastAsia" w:ascii="宋体" w:hAnsi="宋体"/>
                <w:sz w:val="18"/>
                <w:szCs w:val="18"/>
              </w:rPr>
              <w:t>园艺植物育种学</w:t>
            </w:r>
            <w:r>
              <w:rPr>
                <w:rFonts w:hint="eastAsia" w:ascii="宋体" w:hAnsi="宋体"/>
                <w:sz w:val="18"/>
                <w:szCs w:val="18"/>
                <w:lang w:val="en-US" w:eastAsia="zh-CN"/>
              </w:rPr>
              <w:t>实习</w:t>
            </w:r>
          </w:p>
        </w:tc>
        <w:tc>
          <w:tcPr>
            <w:tcW w:w="655" w:type="pct"/>
            <w:vAlign w:val="center"/>
          </w:tcPr>
          <w:p>
            <w:pPr>
              <w:jc w:val="center"/>
              <w:rPr>
                <w:rFonts w:ascii="宋体" w:hAnsi="宋体"/>
                <w:sz w:val="18"/>
                <w:szCs w:val="18"/>
              </w:rPr>
            </w:pPr>
            <w:r>
              <w:rPr>
                <w:rFonts w:hint="eastAsia" w:ascii="宋体" w:hAnsi="宋体"/>
                <w:sz w:val="18"/>
                <w:szCs w:val="18"/>
              </w:rPr>
              <w:t>0.5</w:t>
            </w:r>
          </w:p>
        </w:tc>
        <w:tc>
          <w:tcPr>
            <w:tcW w:w="574" w:type="pct"/>
            <w:vAlign w:val="center"/>
          </w:tcPr>
          <w:p>
            <w:pPr>
              <w:jc w:val="center"/>
              <w:rPr>
                <w:rFonts w:ascii="宋体" w:hAnsi="宋体"/>
                <w:sz w:val="18"/>
                <w:szCs w:val="18"/>
              </w:rPr>
            </w:pPr>
            <w:r>
              <w:rPr>
                <w:rFonts w:hint="eastAsia" w:ascii="宋体" w:hAnsi="宋体"/>
                <w:sz w:val="18"/>
                <w:szCs w:val="18"/>
              </w:rPr>
              <w:t>0.5</w:t>
            </w:r>
          </w:p>
        </w:tc>
        <w:tc>
          <w:tcPr>
            <w:tcW w:w="1479" w:type="pct"/>
            <w:tcBorders>
              <w:right w:val="single" w:color="auto" w:sz="4" w:space="0"/>
            </w:tcBorders>
            <w:vAlign w:val="center"/>
          </w:tcPr>
          <w:p>
            <w:pPr>
              <w:jc w:val="center"/>
              <w:rPr>
                <w:rFonts w:ascii="宋体" w:hAnsi="宋体"/>
                <w:sz w:val="18"/>
                <w:szCs w:val="18"/>
              </w:rPr>
            </w:pPr>
            <w:r>
              <w:rPr>
                <w:rFonts w:hint="eastAsia" w:ascii="宋体" w:hAnsi="宋体"/>
                <w:sz w:val="18"/>
                <w:szCs w:val="18"/>
              </w:rPr>
              <w:t>第4学期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ascii="宋体" w:hAnsi="宋体"/>
                <w:sz w:val="18"/>
                <w:szCs w:val="18"/>
              </w:rPr>
            </w:pPr>
            <w:r>
              <w:rPr>
                <w:rFonts w:hint="eastAsia" w:ascii="宋体" w:hAnsi="宋体"/>
                <w:sz w:val="18"/>
                <w:szCs w:val="18"/>
              </w:rPr>
              <w:t>蔬菜栽培学实习</w:t>
            </w:r>
          </w:p>
        </w:tc>
        <w:tc>
          <w:tcPr>
            <w:tcW w:w="655" w:type="pct"/>
            <w:vAlign w:val="center"/>
          </w:tcPr>
          <w:p>
            <w:pPr>
              <w:jc w:val="center"/>
              <w:rPr>
                <w:rFonts w:ascii="宋体" w:hAnsi="宋体"/>
                <w:sz w:val="18"/>
                <w:szCs w:val="18"/>
              </w:rPr>
            </w:pPr>
            <w:r>
              <w:rPr>
                <w:rFonts w:hint="eastAsia" w:ascii="宋体" w:hAnsi="宋体"/>
                <w:sz w:val="18"/>
                <w:szCs w:val="18"/>
              </w:rPr>
              <w:t>1</w:t>
            </w:r>
          </w:p>
        </w:tc>
        <w:tc>
          <w:tcPr>
            <w:tcW w:w="574" w:type="pct"/>
            <w:vAlign w:val="center"/>
          </w:tcPr>
          <w:p>
            <w:pPr>
              <w:jc w:val="center"/>
              <w:rPr>
                <w:rFonts w:ascii="宋体" w:hAnsi="宋体"/>
                <w:sz w:val="18"/>
                <w:szCs w:val="18"/>
              </w:rPr>
            </w:pPr>
            <w:r>
              <w:rPr>
                <w:rFonts w:hint="eastAsia" w:ascii="宋体" w:hAnsi="宋体"/>
                <w:sz w:val="18"/>
                <w:szCs w:val="18"/>
              </w:rPr>
              <w:t>1</w:t>
            </w:r>
          </w:p>
        </w:tc>
        <w:tc>
          <w:tcPr>
            <w:tcW w:w="1479" w:type="pct"/>
            <w:tcBorders>
              <w:right w:val="single" w:color="auto" w:sz="4" w:space="0"/>
            </w:tcBorders>
            <w:vAlign w:val="center"/>
          </w:tcPr>
          <w:p>
            <w:pPr>
              <w:jc w:val="center"/>
              <w:rPr>
                <w:rFonts w:ascii="宋体" w:hAnsi="宋体"/>
                <w:sz w:val="18"/>
                <w:szCs w:val="18"/>
              </w:rPr>
            </w:pPr>
            <w:r>
              <w:rPr>
                <w:rFonts w:hint="eastAsia" w:ascii="宋体" w:hAnsi="宋体"/>
                <w:sz w:val="18"/>
                <w:szCs w:val="18"/>
              </w:rPr>
              <w:t>第4学期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ascii="宋体" w:hAnsi="宋体"/>
                <w:sz w:val="18"/>
                <w:szCs w:val="18"/>
              </w:rPr>
            </w:pPr>
            <w:r>
              <w:rPr>
                <w:rFonts w:hint="eastAsia"/>
                <w:sz w:val="18"/>
                <w:szCs w:val="18"/>
              </w:rPr>
              <w:t>《果树栽培学》实习Ⅰ</w:t>
            </w:r>
          </w:p>
        </w:tc>
        <w:tc>
          <w:tcPr>
            <w:tcW w:w="655" w:type="pct"/>
            <w:vAlign w:val="center"/>
          </w:tcPr>
          <w:p>
            <w:pPr>
              <w:jc w:val="center"/>
              <w:rPr>
                <w:rFonts w:ascii="宋体" w:hAnsi="宋体"/>
                <w:sz w:val="18"/>
                <w:szCs w:val="18"/>
              </w:rPr>
            </w:pPr>
            <w:r>
              <w:rPr>
                <w:rFonts w:hint="eastAsia" w:ascii="宋体" w:hAnsi="宋体"/>
                <w:sz w:val="18"/>
                <w:szCs w:val="18"/>
              </w:rPr>
              <w:t>1</w:t>
            </w:r>
          </w:p>
        </w:tc>
        <w:tc>
          <w:tcPr>
            <w:tcW w:w="574" w:type="pct"/>
            <w:vAlign w:val="center"/>
          </w:tcPr>
          <w:p>
            <w:pPr>
              <w:jc w:val="center"/>
              <w:rPr>
                <w:rFonts w:ascii="宋体" w:hAnsi="宋体"/>
                <w:sz w:val="18"/>
                <w:szCs w:val="18"/>
              </w:rPr>
            </w:pPr>
            <w:r>
              <w:rPr>
                <w:rFonts w:hint="eastAsia" w:ascii="宋体" w:hAnsi="宋体"/>
                <w:sz w:val="18"/>
                <w:szCs w:val="18"/>
              </w:rPr>
              <w:t>1</w:t>
            </w:r>
          </w:p>
        </w:tc>
        <w:tc>
          <w:tcPr>
            <w:tcW w:w="1479" w:type="pct"/>
            <w:tcBorders>
              <w:right w:val="single" w:color="auto" w:sz="4" w:space="0"/>
            </w:tcBorders>
            <w:vAlign w:val="center"/>
          </w:tcPr>
          <w:p>
            <w:pPr>
              <w:jc w:val="center"/>
              <w:rPr>
                <w:rFonts w:ascii="宋体" w:hAnsi="宋体"/>
                <w:sz w:val="18"/>
                <w:szCs w:val="18"/>
              </w:rPr>
            </w:pPr>
            <w:r>
              <w:rPr>
                <w:rFonts w:hint="eastAsia" w:ascii="宋体" w:hAnsi="宋体"/>
                <w:sz w:val="18"/>
                <w:szCs w:val="18"/>
              </w:rPr>
              <w:t>第</w:t>
            </w:r>
            <w:r>
              <w:rPr>
                <w:rFonts w:ascii="宋体" w:hAnsi="宋体"/>
                <w:sz w:val="18"/>
                <w:szCs w:val="18"/>
              </w:rPr>
              <w:t>4</w:t>
            </w:r>
            <w:r>
              <w:rPr>
                <w:rFonts w:hint="eastAsia" w:ascii="宋体" w:hAnsi="宋体"/>
                <w:sz w:val="18"/>
                <w:szCs w:val="1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ascii="宋体" w:hAnsi="宋体"/>
                <w:sz w:val="18"/>
                <w:szCs w:val="18"/>
              </w:rPr>
            </w:pPr>
            <w:r>
              <w:rPr>
                <w:rFonts w:hint="eastAsia" w:ascii="宋体" w:hAnsi="宋体"/>
                <w:sz w:val="18"/>
                <w:szCs w:val="18"/>
              </w:rPr>
              <w:t>《果树栽培学》实习</w:t>
            </w:r>
            <w:r>
              <w:rPr>
                <w:rFonts w:hint="eastAsia"/>
                <w:sz w:val="18"/>
                <w:szCs w:val="18"/>
              </w:rPr>
              <w:t>Ⅱ</w:t>
            </w:r>
          </w:p>
        </w:tc>
        <w:tc>
          <w:tcPr>
            <w:tcW w:w="655" w:type="pct"/>
            <w:vAlign w:val="center"/>
          </w:tcPr>
          <w:p>
            <w:pPr>
              <w:jc w:val="center"/>
              <w:rPr>
                <w:rFonts w:ascii="宋体" w:hAnsi="宋体"/>
                <w:sz w:val="18"/>
                <w:szCs w:val="18"/>
              </w:rPr>
            </w:pPr>
            <w:r>
              <w:rPr>
                <w:rFonts w:hint="eastAsia" w:ascii="宋体" w:hAnsi="宋体"/>
                <w:sz w:val="18"/>
                <w:szCs w:val="18"/>
              </w:rPr>
              <w:t>1</w:t>
            </w:r>
          </w:p>
        </w:tc>
        <w:tc>
          <w:tcPr>
            <w:tcW w:w="574" w:type="pct"/>
            <w:vAlign w:val="center"/>
          </w:tcPr>
          <w:p>
            <w:pPr>
              <w:jc w:val="center"/>
              <w:rPr>
                <w:rFonts w:ascii="宋体" w:hAnsi="宋体"/>
                <w:sz w:val="18"/>
                <w:szCs w:val="18"/>
              </w:rPr>
            </w:pPr>
            <w:r>
              <w:rPr>
                <w:rFonts w:hint="eastAsia" w:ascii="宋体" w:hAnsi="宋体"/>
                <w:sz w:val="18"/>
                <w:szCs w:val="18"/>
              </w:rPr>
              <w:t>1</w:t>
            </w:r>
          </w:p>
        </w:tc>
        <w:tc>
          <w:tcPr>
            <w:tcW w:w="1479" w:type="pct"/>
            <w:tcBorders>
              <w:right w:val="single" w:color="auto" w:sz="4" w:space="0"/>
            </w:tcBorders>
          </w:tcPr>
          <w:p>
            <w:pPr>
              <w:jc w:val="center"/>
            </w:pPr>
            <w:r>
              <w:rPr>
                <w:rFonts w:hint="eastAsia" w:ascii="宋体" w:hAnsi="宋体"/>
                <w:sz w:val="18"/>
                <w:szCs w:val="18"/>
              </w:rPr>
              <w:t>第</w:t>
            </w:r>
            <w:r>
              <w:rPr>
                <w:rFonts w:ascii="宋体" w:hAnsi="宋体"/>
                <w:sz w:val="18"/>
                <w:szCs w:val="18"/>
              </w:rPr>
              <w:t>5</w:t>
            </w:r>
            <w:r>
              <w:rPr>
                <w:rFonts w:hint="eastAsia" w:ascii="宋体" w:hAnsi="宋体"/>
                <w:sz w:val="18"/>
                <w:szCs w:val="18"/>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ascii="宋体" w:hAnsi="宋体"/>
                <w:sz w:val="18"/>
                <w:szCs w:val="18"/>
              </w:rPr>
            </w:pPr>
            <w:r>
              <w:rPr>
                <w:rFonts w:hint="eastAsia" w:ascii="宋体" w:hAnsi="宋体"/>
                <w:sz w:val="18"/>
                <w:szCs w:val="18"/>
              </w:rPr>
              <w:t>花卉栽培学实习</w:t>
            </w:r>
          </w:p>
        </w:tc>
        <w:tc>
          <w:tcPr>
            <w:tcW w:w="655" w:type="pct"/>
            <w:vAlign w:val="center"/>
          </w:tcPr>
          <w:p>
            <w:pPr>
              <w:jc w:val="center"/>
              <w:rPr>
                <w:rFonts w:ascii="宋体" w:hAnsi="宋体"/>
                <w:sz w:val="18"/>
                <w:szCs w:val="18"/>
              </w:rPr>
            </w:pPr>
            <w:r>
              <w:rPr>
                <w:rFonts w:hint="eastAsia" w:ascii="宋体" w:hAnsi="宋体"/>
                <w:sz w:val="18"/>
                <w:szCs w:val="18"/>
              </w:rPr>
              <w:t>1</w:t>
            </w:r>
          </w:p>
        </w:tc>
        <w:tc>
          <w:tcPr>
            <w:tcW w:w="574" w:type="pct"/>
            <w:vAlign w:val="center"/>
          </w:tcPr>
          <w:p>
            <w:pPr>
              <w:jc w:val="center"/>
              <w:rPr>
                <w:rFonts w:ascii="宋体" w:hAnsi="宋体"/>
                <w:sz w:val="18"/>
                <w:szCs w:val="18"/>
              </w:rPr>
            </w:pPr>
            <w:r>
              <w:rPr>
                <w:rFonts w:hint="eastAsia" w:ascii="宋体" w:hAnsi="宋体"/>
                <w:sz w:val="18"/>
                <w:szCs w:val="18"/>
              </w:rPr>
              <w:t>1</w:t>
            </w:r>
          </w:p>
        </w:tc>
        <w:tc>
          <w:tcPr>
            <w:tcW w:w="1479" w:type="pct"/>
            <w:tcBorders>
              <w:right w:val="single" w:color="auto" w:sz="4" w:space="0"/>
            </w:tcBorders>
          </w:tcPr>
          <w:p>
            <w:pPr>
              <w:jc w:val="center"/>
            </w:pPr>
            <w:r>
              <w:rPr>
                <w:rFonts w:hint="eastAsia" w:ascii="宋体" w:hAnsi="宋体"/>
                <w:sz w:val="18"/>
                <w:szCs w:val="18"/>
              </w:rPr>
              <w:t>第5学期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ascii="宋体" w:hAnsi="宋体"/>
                <w:sz w:val="18"/>
                <w:szCs w:val="18"/>
              </w:rPr>
            </w:pPr>
            <w:r>
              <w:rPr>
                <w:rFonts w:hint="eastAsia" w:ascii="宋体" w:hAnsi="宋体"/>
                <w:sz w:val="18"/>
                <w:szCs w:val="18"/>
              </w:rPr>
              <w:t>设施园艺学实习</w:t>
            </w:r>
          </w:p>
        </w:tc>
        <w:tc>
          <w:tcPr>
            <w:tcW w:w="655" w:type="pct"/>
            <w:vAlign w:val="center"/>
          </w:tcPr>
          <w:p>
            <w:pPr>
              <w:jc w:val="center"/>
              <w:rPr>
                <w:rFonts w:ascii="宋体" w:hAnsi="宋体"/>
                <w:sz w:val="18"/>
                <w:szCs w:val="18"/>
              </w:rPr>
            </w:pPr>
            <w:r>
              <w:rPr>
                <w:rFonts w:hint="eastAsia" w:ascii="宋体" w:hAnsi="宋体"/>
                <w:sz w:val="18"/>
                <w:szCs w:val="18"/>
              </w:rPr>
              <w:t>0.5</w:t>
            </w:r>
          </w:p>
        </w:tc>
        <w:tc>
          <w:tcPr>
            <w:tcW w:w="574" w:type="pct"/>
            <w:vAlign w:val="center"/>
          </w:tcPr>
          <w:p>
            <w:pPr>
              <w:jc w:val="center"/>
              <w:rPr>
                <w:rFonts w:ascii="宋体" w:hAnsi="宋体"/>
                <w:sz w:val="18"/>
                <w:szCs w:val="18"/>
              </w:rPr>
            </w:pPr>
            <w:r>
              <w:rPr>
                <w:rFonts w:hint="eastAsia" w:ascii="宋体" w:hAnsi="宋体"/>
                <w:sz w:val="18"/>
                <w:szCs w:val="18"/>
              </w:rPr>
              <w:t>0.5</w:t>
            </w:r>
          </w:p>
        </w:tc>
        <w:tc>
          <w:tcPr>
            <w:tcW w:w="1479" w:type="pct"/>
            <w:tcBorders>
              <w:right w:val="single" w:color="auto" w:sz="4" w:space="0"/>
            </w:tcBorders>
          </w:tcPr>
          <w:p>
            <w:pPr>
              <w:jc w:val="center"/>
            </w:pPr>
            <w:r>
              <w:rPr>
                <w:rFonts w:hint="eastAsia" w:ascii="宋体" w:hAnsi="宋体"/>
                <w:sz w:val="18"/>
                <w:szCs w:val="18"/>
              </w:rPr>
              <w:t>第5学期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ascii="宋体" w:hAnsi="宋体"/>
                <w:sz w:val="18"/>
                <w:szCs w:val="18"/>
              </w:rPr>
            </w:pPr>
            <w:r>
              <w:rPr>
                <w:rFonts w:hint="eastAsia" w:ascii="宋体" w:hAnsi="宋体"/>
                <w:sz w:val="18"/>
                <w:szCs w:val="18"/>
              </w:rPr>
              <w:t>生产实习</w:t>
            </w:r>
          </w:p>
        </w:tc>
        <w:tc>
          <w:tcPr>
            <w:tcW w:w="655" w:type="pct"/>
            <w:vAlign w:val="center"/>
          </w:tcPr>
          <w:p>
            <w:pPr>
              <w:jc w:val="center"/>
              <w:rPr>
                <w:rFonts w:ascii="宋体" w:hAnsi="宋体"/>
                <w:sz w:val="18"/>
                <w:szCs w:val="18"/>
              </w:rPr>
            </w:pPr>
            <w:r>
              <w:rPr>
                <w:rFonts w:hint="eastAsia" w:ascii="宋体" w:hAnsi="宋体"/>
                <w:sz w:val="18"/>
                <w:szCs w:val="18"/>
              </w:rPr>
              <w:t>19</w:t>
            </w:r>
          </w:p>
        </w:tc>
        <w:tc>
          <w:tcPr>
            <w:tcW w:w="574" w:type="pct"/>
            <w:vAlign w:val="center"/>
          </w:tcPr>
          <w:p>
            <w:pPr>
              <w:jc w:val="center"/>
              <w:rPr>
                <w:rFonts w:ascii="宋体" w:hAnsi="宋体"/>
                <w:sz w:val="18"/>
                <w:szCs w:val="18"/>
              </w:rPr>
            </w:pPr>
            <w:r>
              <w:rPr>
                <w:rFonts w:hint="eastAsia" w:ascii="宋体" w:hAnsi="宋体"/>
                <w:sz w:val="18"/>
                <w:szCs w:val="18"/>
              </w:rPr>
              <w:t>19</w:t>
            </w:r>
          </w:p>
        </w:tc>
        <w:tc>
          <w:tcPr>
            <w:tcW w:w="1479" w:type="pct"/>
            <w:tcBorders>
              <w:right w:val="single" w:color="auto" w:sz="4" w:space="0"/>
            </w:tcBorders>
            <w:vAlign w:val="center"/>
          </w:tcPr>
          <w:p>
            <w:pPr>
              <w:jc w:val="center"/>
              <w:rPr>
                <w:rFonts w:ascii="宋体" w:hAnsi="宋体"/>
                <w:sz w:val="18"/>
                <w:szCs w:val="18"/>
              </w:rPr>
            </w:pPr>
            <w:r>
              <w:rPr>
                <w:rFonts w:hint="eastAsia" w:ascii="宋体" w:hAnsi="宋体"/>
                <w:sz w:val="18"/>
                <w:szCs w:val="18"/>
              </w:rPr>
              <w:t>第6学期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0" w:type="pct"/>
            <w:tcBorders>
              <w:left w:val="single" w:color="auto" w:sz="4" w:space="0"/>
            </w:tcBorders>
            <w:vAlign w:val="center"/>
          </w:tcPr>
          <w:p>
            <w:pPr>
              <w:jc w:val="left"/>
              <w:rPr>
                <w:rFonts w:ascii="宋体" w:hAnsi="宋体"/>
                <w:sz w:val="18"/>
                <w:szCs w:val="18"/>
              </w:rPr>
            </w:pPr>
            <w:r>
              <w:rPr>
                <w:rFonts w:hint="eastAsia" w:ascii="宋体" w:hAnsi="宋体"/>
                <w:sz w:val="18"/>
                <w:szCs w:val="18"/>
              </w:rPr>
              <w:t>合计</w:t>
            </w:r>
          </w:p>
        </w:tc>
        <w:tc>
          <w:tcPr>
            <w:tcW w:w="655" w:type="pct"/>
            <w:vAlign w:val="center"/>
          </w:tcPr>
          <w:p>
            <w:pPr>
              <w:jc w:val="center"/>
              <w:rPr>
                <w:rFonts w:ascii="宋体" w:hAnsi="宋体"/>
                <w:sz w:val="18"/>
                <w:szCs w:val="18"/>
              </w:rPr>
            </w:pPr>
            <w:r>
              <w:rPr>
                <w:rFonts w:hint="eastAsia" w:ascii="宋体" w:hAnsi="宋体"/>
                <w:sz w:val="18"/>
                <w:szCs w:val="18"/>
              </w:rPr>
              <w:t>24</w:t>
            </w:r>
          </w:p>
        </w:tc>
        <w:tc>
          <w:tcPr>
            <w:tcW w:w="574" w:type="pct"/>
            <w:vAlign w:val="center"/>
          </w:tcPr>
          <w:p>
            <w:pPr>
              <w:jc w:val="center"/>
              <w:rPr>
                <w:rFonts w:ascii="宋体" w:hAnsi="宋体"/>
                <w:sz w:val="18"/>
                <w:szCs w:val="18"/>
              </w:rPr>
            </w:pPr>
            <w:r>
              <w:rPr>
                <w:rFonts w:hint="eastAsia" w:ascii="宋体" w:hAnsi="宋体"/>
                <w:sz w:val="18"/>
                <w:szCs w:val="18"/>
              </w:rPr>
              <w:t>24</w:t>
            </w:r>
          </w:p>
        </w:tc>
        <w:tc>
          <w:tcPr>
            <w:tcW w:w="1479" w:type="pct"/>
            <w:tcBorders>
              <w:right w:val="single" w:color="auto" w:sz="4" w:space="0"/>
            </w:tcBorders>
            <w:vAlign w:val="center"/>
          </w:tcPr>
          <w:p>
            <w:pPr>
              <w:jc w:val="center"/>
              <w:rPr>
                <w:rFonts w:ascii="宋体" w:hAnsi="宋体"/>
                <w:sz w:val="18"/>
                <w:szCs w:val="18"/>
              </w:rPr>
            </w:pPr>
          </w:p>
        </w:tc>
      </w:tr>
    </w:tbl>
    <w:p>
      <w:pPr>
        <w:snapToGrid w:val="0"/>
        <w:spacing w:before="156" w:beforeLines="50" w:line="360" w:lineRule="auto"/>
        <w:rPr>
          <w:rFonts w:ascii="宋体" w:hAnsi="宋体"/>
          <w:b/>
          <w:bCs/>
          <w:szCs w:val="21"/>
        </w:rPr>
      </w:pPr>
      <w:r>
        <w:rPr>
          <w:rFonts w:hint="eastAsia" w:ascii="宋体" w:hAnsi="宋体"/>
          <w:b/>
          <w:bCs/>
          <w:szCs w:val="21"/>
        </w:rPr>
        <w:t>二、专业课程名称实习教学大纲</w:t>
      </w:r>
    </w:p>
    <w:p>
      <w:pPr>
        <w:pStyle w:val="21"/>
        <w:jc w:val="left"/>
        <w:rPr>
          <w:sz w:val="21"/>
          <w:szCs w:val="21"/>
        </w:rPr>
      </w:pPr>
      <w:bookmarkStart w:id="506" w:name="_Toc15374"/>
      <w:bookmarkStart w:id="507" w:name="_Toc138075641"/>
      <w:bookmarkStart w:id="508" w:name="_Toc138076360"/>
      <w:bookmarkStart w:id="509" w:name="_Toc138076111"/>
      <w:bookmarkStart w:id="510" w:name="_Toc138076655"/>
      <w:r>
        <w:rPr>
          <w:rFonts w:hint="eastAsia"/>
          <w:sz w:val="21"/>
          <w:szCs w:val="21"/>
        </w:rPr>
        <w:t>（一）园艺植物育种学实习</w:t>
      </w:r>
      <w:bookmarkEnd w:id="506"/>
      <w:bookmarkEnd w:id="507"/>
      <w:bookmarkEnd w:id="508"/>
      <w:bookmarkEnd w:id="509"/>
      <w:bookmarkEnd w:id="510"/>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ascii="黑体" w:eastAsia="黑体"/>
              </w:rPr>
            </w:pPr>
            <w:r>
              <w:rPr>
                <w:rFonts w:hint="eastAsia" w:ascii="宋体" w:hAnsi="宋体"/>
                <w:b/>
              </w:rPr>
              <w:t>开设学期</w:t>
            </w:r>
            <w:r>
              <w:rPr>
                <w:rFonts w:hint="eastAsia" w:ascii="宋体" w:hAnsi="宋体"/>
                <w:szCs w:val="21"/>
              </w:rPr>
              <w:t>：</w:t>
            </w:r>
            <w:r>
              <w:rPr>
                <w:rFonts w:hAnsiTheme="minorEastAsia" w:eastAsiaTheme="minorEastAsia"/>
                <w:b/>
                <w:szCs w:val="21"/>
              </w:rPr>
              <w:t>第</w:t>
            </w:r>
            <w:r>
              <w:rPr>
                <w:rFonts w:hint="eastAsia" w:hAnsiTheme="minorEastAsia" w:eastAsiaTheme="minorEastAsia"/>
                <w:b/>
                <w:szCs w:val="21"/>
              </w:rPr>
              <w:t>四</w:t>
            </w:r>
            <w:r>
              <w:rPr>
                <w:rFonts w:hAnsiTheme="minorEastAsia" w:eastAsiaTheme="minorEastAsia"/>
                <w:b/>
                <w:szCs w:val="21"/>
              </w:rPr>
              <w:t>学期</w:t>
            </w:r>
          </w:p>
        </w:tc>
        <w:tc>
          <w:tcPr>
            <w:tcW w:w="1453" w:type="pct"/>
            <w:vAlign w:val="center"/>
          </w:tcPr>
          <w:p>
            <w:pPr>
              <w:rPr>
                <w:rFonts w:ascii="黑体"/>
              </w:rPr>
            </w:pPr>
            <w:r>
              <w:rPr>
                <w:rFonts w:hint="eastAsia" w:ascii="宋体" w:hAnsi="宋体"/>
                <w:b/>
              </w:rPr>
              <w:t>实习周数</w:t>
            </w:r>
            <w:r>
              <w:rPr>
                <w:rFonts w:hint="eastAsia" w:ascii="宋体" w:hAnsi="宋体"/>
                <w:szCs w:val="21"/>
              </w:rPr>
              <w:t>：</w:t>
            </w:r>
            <w:r>
              <w:rPr>
                <w:rFonts w:hint="eastAsia" w:hAnsiTheme="minorEastAsia" w:eastAsiaTheme="minorEastAsia"/>
                <w:b/>
                <w:szCs w:val="21"/>
              </w:rPr>
              <w:t>0.5周</w:t>
            </w:r>
          </w:p>
        </w:tc>
        <w:tc>
          <w:tcPr>
            <w:tcW w:w="1881" w:type="pct"/>
            <w:vAlign w:val="center"/>
          </w:tcPr>
          <w:p>
            <w:pPr>
              <w:rPr>
                <w:rFonts w:ascii="黑体"/>
              </w:rPr>
            </w:pPr>
            <w:r>
              <w:rPr>
                <w:rFonts w:hint="eastAsia" w:ascii="宋体" w:hAnsi="宋体"/>
                <w:b/>
              </w:rPr>
              <w:t>学分</w:t>
            </w:r>
            <w:r>
              <w:rPr>
                <w:rFonts w:hint="eastAsia" w:hAnsiTheme="minorEastAsia" w:eastAsiaTheme="minorEastAsia"/>
                <w:b/>
                <w:szCs w:val="21"/>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ascii="黑体" w:eastAsia="黑体"/>
                <w:color w:val="0000FF"/>
              </w:rPr>
            </w:pPr>
            <w:r>
              <w:rPr>
                <w:rFonts w:hint="eastAsia" w:ascii="宋体" w:hAnsi="宋体"/>
                <w:b/>
              </w:rPr>
              <w:t>适用专业</w:t>
            </w:r>
            <w:r>
              <w:rPr>
                <w:rFonts w:hint="eastAsia" w:ascii="宋体" w:hAnsi="宋体"/>
              </w:rPr>
              <w:t>：</w:t>
            </w:r>
            <w:r>
              <w:rPr>
                <w:rFonts w:hAnsiTheme="minorEastAsia" w:eastAsiaTheme="minorEastAsia"/>
                <w:b/>
                <w:szCs w:val="21"/>
              </w:rPr>
              <w:t>园艺、设施园艺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ascii="黑体" w:eastAsia="黑体"/>
              </w:rPr>
            </w:pPr>
            <w:r>
              <w:rPr>
                <w:rFonts w:hint="eastAsia" w:ascii="宋体" w:hAnsi="宋体"/>
                <w:b/>
              </w:rPr>
              <w:t>先修课程</w:t>
            </w:r>
            <w:r>
              <w:rPr>
                <w:rFonts w:hint="eastAsia" w:ascii="黑体" w:eastAsia="黑体"/>
              </w:rPr>
              <w:t>：</w:t>
            </w:r>
            <w:r>
              <w:rPr>
                <w:rFonts w:hint="eastAsia" w:ascii="宋体" w:hAnsi="宋体"/>
              </w:rPr>
              <w:t xml:space="preserve"> </w:t>
            </w:r>
            <w:r>
              <w:rPr>
                <w:rFonts w:hAnsiTheme="minorEastAsia" w:eastAsiaTheme="minorEastAsia"/>
                <w:b/>
                <w:szCs w:val="21"/>
              </w:rPr>
              <w:t>遗传学、植物生理学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ascii="宋体" w:hAnsi="宋体"/>
              </w:rPr>
            </w:pPr>
            <w:r>
              <w:rPr>
                <w:rFonts w:hint="eastAsia" w:ascii="宋体" w:hAnsi="宋体"/>
                <w:b/>
              </w:rPr>
              <w:t>主撰人</w:t>
            </w:r>
            <w:r>
              <w:rPr>
                <w:rFonts w:hint="eastAsia" w:ascii="宋体" w:hAnsi="宋体"/>
              </w:rPr>
              <w:t>：</w:t>
            </w:r>
            <w:r>
              <w:rPr>
                <w:rFonts w:hint="eastAsia" w:hAnsiTheme="minorEastAsia" w:eastAsiaTheme="minorEastAsia"/>
                <w:b/>
                <w:szCs w:val="21"/>
              </w:rPr>
              <w:t xml:space="preserve"> 谭彬，贾芝琪</w:t>
            </w:r>
          </w:p>
        </w:tc>
        <w:tc>
          <w:tcPr>
            <w:tcW w:w="1453" w:type="pct"/>
            <w:vAlign w:val="center"/>
          </w:tcPr>
          <w:p>
            <w:pPr>
              <w:rPr>
                <w:rFonts w:ascii="黑体" w:eastAsia="黑体"/>
              </w:rPr>
            </w:pPr>
            <w:r>
              <w:rPr>
                <w:rFonts w:hint="eastAsia" w:ascii="宋体" w:hAnsi="宋体"/>
                <w:b/>
              </w:rPr>
              <w:t>审核人</w:t>
            </w:r>
            <w:r>
              <w:rPr>
                <w:rFonts w:hint="eastAsia" w:ascii="宋体" w:hAnsi="宋体"/>
              </w:rPr>
              <w:t>：</w:t>
            </w:r>
            <w:r>
              <w:rPr>
                <w:rFonts w:hint="eastAsia" w:hAnsiTheme="minorEastAsia" w:eastAsiaTheme="minorEastAsia"/>
                <w:b/>
                <w:szCs w:val="21"/>
              </w:rPr>
              <w:t xml:space="preserve"> 孙守如</w:t>
            </w:r>
          </w:p>
        </w:tc>
        <w:tc>
          <w:tcPr>
            <w:tcW w:w="1881" w:type="pct"/>
            <w:vAlign w:val="center"/>
          </w:tcPr>
          <w:p>
            <w:pPr>
              <w:rPr>
                <w:rFonts w:ascii="宋体" w:hAnsi="宋体"/>
                <w:b/>
                <w:bCs w:val="0"/>
              </w:rPr>
            </w:pPr>
            <w:r>
              <w:rPr>
                <w:rFonts w:hint="eastAsia" w:ascii="宋体" w:hAnsi="宋体"/>
                <w:b/>
                <w:bCs w:val="0"/>
              </w:rPr>
              <w:t>大纲制定（修订）日期：</w:t>
            </w:r>
            <w:r>
              <w:rPr>
                <w:rFonts w:hint="eastAsia" w:asciiTheme="majorEastAsia" w:hAnsiTheme="majorEastAsia" w:eastAsiaTheme="majorEastAsia" w:cstheme="majorEastAsia"/>
                <w:b/>
                <w:bCs w:val="0"/>
              </w:rPr>
              <w:t>2023.05</w:t>
            </w:r>
          </w:p>
        </w:tc>
      </w:tr>
    </w:tbl>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1.课程简介</w:t>
      </w:r>
    </w:p>
    <w:p>
      <w:pPr>
        <w:spacing w:line="360" w:lineRule="auto"/>
        <w:ind w:firstLine="420" w:firstLineChars="200"/>
        <w:rPr>
          <w:rFonts w:eastAsiaTheme="minorEastAsia"/>
          <w:b/>
          <w:bCs/>
          <w:kern w:val="0"/>
          <w:szCs w:val="21"/>
        </w:rPr>
      </w:pPr>
      <w:r>
        <w:rPr>
          <w:rFonts w:hAnsiTheme="minorEastAsia" w:eastAsiaTheme="minorEastAsia"/>
          <w:szCs w:val="21"/>
        </w:rPr>
        <w:t>园艺植物育种学是研究园艺植物品种选育原理和方法、良种繁育原理和方法的科学，本课程是园艺专业的核心课程。</w:t>
      </w:r>
    </w:p>
    <w:p>
      <w:pPr>
        <w:widowControl/>
        <w:adjustRightInd w:val="0"/>
        <w:snapToGrid w:val="0"/>
        <w:spacing w:line="360" w:lineRule="auto"/>
        <w:ind w:firstLine="420" w:firstLineChars="200"/>
        <w:rPr>
          <w:rFonts w:eastAsiaTheme="minorEastAsia"/>
          <w:bCs/>
          <w:kern w:val="0"/>
          <w:szCs w:val="21"/>
        </w:rPr>
      </w:pPr>
      <w:r>
        <w:rPr>
          <w:rFonts w:hAnsiTheme="minorEastAsia" w:eastAsiaTheme="minorEastAsia"/>
          <w:bCs/>
          <w:kern w:val="0"/>
          <w:szCs w:val="21"/>
        </w:rPr>
        <w:t>学习本课程的主要目的是使学生系统掌握培育园艺植物新品种的方法和良种繁育的基本措施，掌握不同繁殖途径的</w:t>
      </w:r>
      <w:r>
        <w:rPr>
          <w:rFonts w:hAnsiTheme="minorEastAsia" w:eastAsiaTheme="minorEastAsia"/>
          <w:szCs w:val="21"/>
        </w:rPr>
        <w:t>园艺植物的育种特点，学会制定培育新品种的方案。</w:t>
      </w:r>
    </w:p>
    <w:p>
      <w:pPr>
        <w:tabs>
          <w:tab w:val="left" w:pos="3720"/>
          <w:tab w:val="left" w:pos="3780"/>
          <w:tab w:val="left" w:pos="4305"/>
        </w:tabs>
        <w:adjustRightInd w:val="0"/>
        <w:snapToGrid w:val="0"/>
        <w:spacing w:line="360" w:lineRule="auto"/>
        <w:ind w:firstLine="411" w:firstLineChars="196"/>
        <w:rPr>
          <w:rFonts w:eastAsiaTheme="minorEastAsia"/>
          <w:color w:val="0000FF"/>
          <w:szCs w:val="21"/>
        </w:rPr>
      </w:pPr>
      <w:r>
        <w:rPr>
          <w:rFonts w:hAnsiTheme="minorEastAsia" w:eastAsiaTheme="minorEastAsia"/>
          <w:bCs/>
          <w:kern w:val="0"/>
          <w:szCs w:val="21"/>
        </w:rPr>
        <w:t>主要任务是利用园艺植物丰富的种质资源，培育园艺生产需要的新品种，以满足人民生活、多种经营、对外贸易、美化环境等各方面对园艺生产提出的复杂要求。</w:t>
      </w:r>
    </w:p>
    <w:p>
      <w:pPr>
        <w:numPr>
          <w:ilvl w:val="0"/>
          <w:numId w:val="45"/>
        </w:numPr>
        <w:spacing w:line="360" w:lineRule="auto"/>
        <w:ind w:firstLine="422" w:firstLineChars="200"/>
        <w:rPr>
          <w:rFonts w:ascii="宋体" w:hAnsi="宋体"/>
          <w:b/>
          <w:szCs w:val="21"/>
        </w:rPr>
      </w:pPr>
      <w:r>
        <w:rPr>
          <w:rFonts w:hint="eastAsia" w:ascii="宋体" w:hAnsi="宋体"/>
          <w:b/>
          <w:szCs w:val="21"/>
        </w:rPr>
        <w:t>课程劳动教育</w:t>
      </w:r>
    </w:p>
    <w:p>
      <w:pPr>
        <w:spacing w:line="360" w:lineRule="auto"/>
        <w:ind w:firstLine="420" w:firstLineChars="200"/>
        <w:rPr>
          <w:rFonts w:ascii="宋体" w:hAnsi="宋体"/>
          <w:szCs w:val="21"/>
        </w:rPr>
      </w:pPr>
      <w:r>
        <w:rPr>
          <w:rFonts w:hint="eastAsia" w:ascii="宋体" w:hAnsi="宋体"/>
          <w:szCs w:val="21"/>
        </w:rPr>
        <w:t>通过到中国农科院郑州果树研究所、河南省农业科学院、郑州市蔬菜所、郑州市园林科研所等国家级、省市级科研院所及其基地的参观学习，使学生能够近距离接触园艺生产和科研一线，增强学生服务“三农”和农业农村现代化的使命感和责任感，让学生走进农村、走近农民、走向农业，了解乡情民情，学习乡土文化，提升学生学农知农爱农素养和专业实践能力。</w:t>
      </w:r>
    </w:p>
    <w:p>
      <w:pPr>
        <w:spacing w:line="360" w:lineRule="auto"/>
        <w:ind w:firstLine="422" w:firstLineChars="200"/>
        <w:rPr>
          <w:rFonts w:ascii="宋体" w:hAnsi="宋体"/>
          <w:b/>
          <w:szCs w:val="21"/>
        </w:rPr>
      </w:pPr>
      <w:r>
        <w:rPr>
          <w:rFonts w:hint="eastAsia" w:ascii="宋体" w:hAnsi="宋体"/>
          <w:b/>
          <w:szCs w:val="21"/>
        </w:rPr>
        <w:t>3</w:t>
      </w:r>
      <w:r>
        <w:rPr>
          <w:rFonts w:hint="eastAsia" w:ascii="宋体" w:hAnsi="宋体" w:cs="宋体"/>
          <w:b/>
          <w:kern w:val="0"/>
          <w:szCs w:val="21"/>
        </w:rPr>
        <w:t>.</w:t>
      </w:r>
      <w:r>
        <w:rPr>
          <w:rFonts w:hint="eastAsia" w:ascii="宋体" w:hAnsi="宋体"/>
          <w:b/>
          <w:szCs w:val="21"/>
        </w:rPr>
        <w:t>实习目的和要求</w:t>
      </w:r>
    </w:p>
    <w:p>
      <w:pPr>
        <w:tabs>
          <w:tab w:val="left" w:pos="3720"/>
          <w:tab w:val="left" w:pos="3780"/>
          <w:tab w:val="left" w:pos="4305"/>
        </w:tabs>
        <w:adjustRightInd w:val="0"/>
        <w:snapToGrid w:val="0"/>
        <w:spacing w:before="156" w:beforeLines="50" w:line="360" w:lineRule="auto"/>
        <w:ind w:firstLine="411" w:firstLineChars="196"/>
        <w:rPr>
          <w:rFonts w:ascii="宋体" w:hAnsi="宋体"/>
          <w:szCs w:val="21"/>
        </w:rPr>
      </w:pPr>
      <w:r>
        <w:rPr>
          <w:rFonts w:hint="eastAsia" w:ascii="宋体" w:hAnsi="宋体"/>
          <w:szCs w:val="21"/>
        </w:rPr>
        <w:t>教学实习是育种学教学中的一个重要组成部分，通过教学实习可以对理论讲授内容进一步加深理解、巩固和验证；</w:t>
      </w:r>
    </w:p>
    <w:p>
      <w:pPr>
        <w:spacing w:line="360" w:lineRule="auto"/>
        <w:ind w:firstLine="420" w:firstLineChars="200"/>
        <w:rPr>
          <w:rFonts w:ascii="宋体" w:hAnsi="宋体"/>
          <w:szCs w:val="21"/>
        </w:rPr>
      </w:pPr>
      <w:r>
        <w:rPr>
          <w:rFonts w:hint="eastAsia" w:ascii="宋体" w:hAnsi="宋体"/>
          <w:szCs w:val="21"/>
        </w:rPr>
        <w:t>通过教学实习使学生了解主要园艺植物的育种途径、育种目标的发展趋势、育种成果及单倍体育种等先进技术手段；使学生能够将引种理论依据与实践结合，达到能独立设计引种方案,指导进行引种试验的目的；激发学生对育种学的学习兴趣，认识育种工作的创造性，了解育种工作者的成就感以及优良品种在园艺生产中的重要作用。</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cs="宋体"/>
          <w:b/>
          <w:kern w:val="0"/>
          <w:szCs w:val="21"/>
        </w:rPr>
        <w:t>.</w:t>
      </w:r>
      <w:r>
        <w:rPr>
          <w:rFonts w:hint="eastAsia" w:ascii="宋体" w:hAnsi="宋体"/>
          <w:b/>
          <w:szCs w:val="21"/>
        </w:rPr>
        <w:t>实习地点及内容</w:t>
      </w:r>
    </w:p>
    <w:p>
      <w:pPr>
        <w:tabs>
          <w:tab w:val="left" w:pos="3720"/>
          <w:tab w:val="left" w:pos="3780"/>
          <w:tab w:val="left" w:pos="4305"/>
        </w:tabs>
        <w:adjustRightInd w:val="0"/>
        <w:snapToGrid w:val="0"/>
        <w:spacing w:line="360" w:lineRule="auto"/>
        <w:ind w:firstLine="422" w:firstLineChars="200"/>
        <w:rPr>
          <w:rFonts w:hAnsiTheme="minorEastAsia" w:eastAsiaTheme="minorEastAsia"/>
          <w:b/>
          <w:szCs w:val="21"/>
        </w:rPr>
      </w:pPr>
      <w:r>
        <w:rPr>
          <w:rFonts w:hAnsiTheme="minorEastAsia" w:eastAsiaTheme="minorEastAsia"/>
          <w:b/>
          <w:szCs w:val="21"/>
        </w:rPr>
        <w:t>（</w:t>
      </w:r>
      <w:r>
        <w:rPr>
          <w:rFonts w:eastAsiaTheme="minorEastAsia"/>
          <w:b/>
          <w:szCs w:val="21"/>
        </w:rPr>
        <w:t>1</w:t>
      </w:r>
      <w:r>
        <w:rPr>
          <w:rFonts w:hAnsiTheme="minorEastAsia" w:eastAsiaTheme="minorEastAsia"/>
          <w:b/>
          <w:szCs w:val="21"/>
        </w:rPr>
        <w:t>）</w:t>
      </w:r>
      <w:r>
        <w:rPr>
          <w:rFonts w:hAnsiTheme="minorEastAsia" w:eastAsiaTheme="minorEastAsia"/>
          <w:b/>
          <w:bCs/>
          <w:szCs w:val="21"/>
        </w:rPr>
        <w:t>实习</w:t>
      </w:r>
      <w:r>
        <w:rPr>
          <w:rFonts w:hAnsiTheme="minorEastAsia" w:eastAsiaTheme="minorEastAsia"/>
          <w:b/>
          <w:szCs w:val="21"/>
        </w:rPr>
        <w:t>地点：</w:t>
      </w:r>
    </w:p>
    <w:p>
      <w:pPr>
        <w:tabs>
          <w:tab w:val="left" w:pos="3720"/>
          <w:tab w:val="left" w:pos="3780"/>
          <w:tab w:val="left" w:pos="4305"/>
        </w:tabs>
        <w:adjustRightInd w:val="0"/>
        <w:snapToGrid w:val="0"/>
        <w:spacing w:line="360" w:lineRule="auto"/>
        <w:ind w:firstLine="420" w:firstLineChars="200"/>
        <w:rPr>
          <w:rFonts w:eastAsiaTheme="minorEastAsia"/>
          <w:color w:val="0000FF"/>
          <w:szCs w:val="21"/>
        </w:rPr>
      </w:pPr>
      <w:r>
        <w:rPr>
          <w:rFonts w:hAnsiTheme="minorEastAsia" w:eastAsiaTheme="minorEastAsia"/>
          <w:szCs w:val="21"/>
        </w:rPr>
        <w:t>河南农业大学园艺试验站；中国农科院郑州果树研究所；郑州市园林科研所；河南农科院园艺所</w:t>
      </w:r>
      <w:r>
        <w:rPr>
          <w:rFonts w:hint="eastAsia" w:hAnsiTheme="minorEastAsia" w:eastAsiaTheme="minorEastAsia"/>
          <w:szCs w:val="21"/>
        </w:rPr>
        <w:t>。</w:t>
      </w:r>
    </w:p>
    <w:p>
      <w:pPr>
        <w:tabs>
          <w:tab w:val="left" w:pos="3720"/>
          <w:tab w:val="left" w:pos="3780"/>
          <w:tab w:val="left" w:pos="4305"/>
        </w:tabs>
        <w:adjustRightInd w:val="0"/>
        <w:snapToGrid w:val="0"/>
        <w:spacing w:line="360" w:lineRule="auto"/>
        <w:ind w:firstLine="422" w:firstLineChars="200"/>
        <w:rPr>
          <w:rFonts w:hAnsiTheme="minorEastAsia" w:eastAsiaTheme="minorEastAsia"/>
          <w:b/>
          <w:bCs/>
          <w:szCs w:val="21"/>
        </w:rPr>
      </w:pPr>
      <w:r>
        <w:rPr>
          <w:rFonts w:hAnsiTheme="minorEastAsia" w:eastAsiaTheme="minorEastAsia"/>
          <w:b/>
          <w:szCs w:val="21"/>
        </w:rPr>
        <w:t>（</w:t>
      </w:r>
      <w:r>
        <w:rPr>
          <w:rFonts w:eastAsiaTheme="minorEastAsia"/>
          <w:b/>
          <w:szCs w:val="21"/>
        </w:rPr>
        <w:t>2</w:t>
      </w:r>
      <w:r>
        <w:rPr>
          <w:rFonts w:hAnsiTheme="minorEastAsia" w:eastAsiaTheme="minorEastAsia"/>
          <w:b/>
          <w:szCs w:val="21"/>
        </w:rPr>
        <w:t>）</w:t>
      </w:r>
      <w:r>
        <w:rPr>
          <w:rFonts w:hAnsiTheme="minorEastAsia" w:eastAsiaTheme="minorEastAsia"/>
          <w:b/>
          <w:bCs/>
          <w:szCs w:val="21"/>
        </w:rPr>
        <w:t>实习内容：</w:t>
      </w:r>
    </w:p>
    <w:p>
      <w:pPr>
        <w:tabs>
          <w:tab w:val="left" w:pos="3720"/>
          <w:tab w:val="left" w:pos="3780"/>
          <w:tab w:val="left" w:pos="4305"/>
        </w:tabs>
        <w:adjustRightInd w:val="0"/>
        <w:snapToGrid w:val="0"/>
        <w:spacing w:line="360" w:lineRule="auto"/>
        <w:ind w:firstLine="420" w:firstLineChars="200"/>
        <w:rPr>
          <w:rFonts w:eastAsiaTheme="minorEastAsia"/>
          <w:color w:val="0000FF"/>
          <w:szCs w:val="21"/>
        </w:rPr>
      </w:pPr>
      <w:r>
        <w:rPr>
          <w:rFonts w:hAnsiTheme="minorEastAsia" w:eastAsiaTheme="minorEastAsia"/>
          <w:szCs w:val="21"/>
        </w:rPr>
        <w:t>桃开花习性的观察；中国农科院郑州果树研究所实习；郑州市园林科研所实习；河南省农业科学院园艺所实习；某一种园艺植物引种计划的制定。</w:t>
      </w:r>
    </w:p>
    <w:p>
      <w:pPr>
        <w:spacing w:line="360" w:lineRule="auto"/>
        <w:ind w:firstLine="422" w:firstLineChars="200"/>
        <w:rPr>
          <w:rFonts w:ascii="宋体" w:hAnsi="宋体"/>
          <w:b/>
          <w:szCs w:val="21"/>
        </w:rPr>
      </w:pPr>
      <w:r>
        <w:rPr>
          <w:rFonts w:hint="eastAsia" w:ascii="宋体" w:hAnsi="宋体"/>
          <w:b/>
          <w:szCs w:val="21"/>
        </w:rPr>
        <w:t>5</w:t>
      </w:r>
      <w:r>
        <w:rPr>
          <w:rFonts w:hint="eastAsia" w:ascii="宋体" w:hAnsi="宋体" w:cs="宋体"/>
          <w:b/>
          <w:kern w:val="0"/>
          <w:szCs w:val="21"/>
        </w:rPr>
        <w:t>.</w:t>
      </w:r>
      <w:r>
        <w:rPr>
          <w:rFonts w:hint="eastAsia" w:ascii="宋体" w:hAnsi="宋体"/>
          <w:b/>
          <w:szCs w:val="21"/>
        </w:rPr>
        <w:t>实习时间安排</w:t>
      </w:r>
    </w:p>
    <w:p>
      <w:pPr>
        <w:spacing w:line="360" w:lineRule="auto"/>
        <w:ind w:firstLine="420" w:firstLineChars="200"/>
        <w:rPr>
          <w:rFonts w:ascii="宋体" w:hAnsi="宋体"/>
          <w:szCs w:val="21"/>
        </w:rPr>
      </w:pPr>
      <w:r>
        <w:rPr>
          <w:rFonts w:hint="eastAsia" w:ascii="宋体" w:hAnsi="宋体"/>
          <w:szCs w:val="21"/>
        </w:rPr>
        <w:t>5.1参观中国农科院郑州果树研究所   4月份在郑州果树所进行；需要0.5天。</w:t>
      </w:r>
    </w:p>
    <w:p>
      <w:pPr>
        <w:spacing w:line="360" w:lineRule="auto"/>
        <w:ind w:firstLine="420" w:firstLineChars="200"/>
        <w:rPr>
          <w:rFonts w:ascii="宋体" w:hAnsi="宋体"/>
          <w:szCs w:val="21"/>
        </w:rPr>
      </w:pPr>
      <w:r>
        <w:rPr>
          <w:rFonts w:hint="eastAsia" w:ascii="宋体" w:hAnsi="宋体"/>
          <w:szCs w:val="21"/>
        </w:rPr>
        <w:t>5.2郑州市园林科研所实习   4月份在郑州市园林科研所进行，时间为0.5天。</w:t>
      </w:r>
    </w:p>
    <w:p>
      <w:pPr>
        <w:spacing w:line="360" w:lineRule="auto"/>
        <w:ind w:firstLine="420" w:firstLineChars="200"/>
        <w:rPr>
          <w:rFonts w:ascii="宋体" w:hAnsi="宋体"/>
          <w:szCs w:val="21"/>
        </w:rPr>
      </w:pPr>
      <w:r>
        <w:rPr>
          <w:rFonts w:hint="eastAsia" w:ascii="宋体" w:hAnsi="宋体"/>
          <w:szCs w:val="21"/>
        </w:rPr>
        <w:t>5.3郑州市蔬菜所  4月份在郑州市蔬菜所进行，时间为0.5天。</w:t>
      </w:r>
    </w:p>
    <w:p>
      <w:pPr>
        <w:spacing w:line="360" w:lineRule="auto"/>
        <w:ind w:firstLine="420" w:firstLineChars="200"/>
        <w:rPr>
          <w:rFonts w:ascii="宋体" w:hAnsi="宋体"/>
          <w:szCs w:val="21"/>
        </w:rPr>
      </w:pPr>
      <w:r>
        <w:rPr>
          <w:rFonts w:hint="eastAsia" w:ascii="宋体" w:hAnsi="宋体"/>
          <w:szCs w:val="21"/>
        </w:rPr>
        <w:t>5.4河南省农业科学院  4月份在河南省农业科学院园艺所进行，时间为0.5天。</w:t>
      </w:r>
    </w:p>
    <w:p>
      <w:pPr>
        <w:spacing w:line="360" w:lineRule="auto"/>
        <w:ind w:firstLine="420" w:firstLineChars="200"/>
        <w:rPr>
          <w:rFonts w:ascii="宋体" w:hAnsi="宋体"/>
          <w:szCs w:val="21"/>
        </w:rPr>
      </w:pPr>
      <w:r>
        <w:rPr>
          <w:rFonts w:hint="eastAsia" w:ascii="宋体" w:hAnsi="宋体"/>
          <w:szCs w:val="21"/>
        </w:rPr>
        <w:t>5.5制定某一种园艺植物的引种计划  5月份进行，在学校图书馆、资料室查阅资料，制定一份引种计划。大约需要2—3天，分配时间为0.5天。</w:t>
      </w:r>
    </w:p>
    <w:p>
      <w:pPr>
        <w:spacing w:line="360" w:lineRule="auto"/>
        <w:ind w:firstLine="422" w:firstLineChars="200"/>
        <w:rPr>
          <w:rFonts w:ascii="宋体" w:hAnsi="宋体"/>
          <w:b/>
          <w:szCs w:val="21"/>
        </w:rPr>
      </w:pPr>
      <w:r>
        <w:rPr>
          <w:rFonts w:hint="eastAsia" w:ascii="宋体" w:hAnsi="宋体"/>
          <w:b/>
          <w:szCs w:val="21"/>
        </w:rPr>
        <w:t>6</w:t>
      </w:r>
      <w:r>
        <w:rPr>
          <w:rFonts w:hint="eastAsia" w:ascii="宋体" w:hAnsi="宋体" w:cs="宋体"/>
          <w:b/>
          <w:kern w:val="0"/>
          <w:szCs w:val="21"/>
        </w:rPr>
        <w:t xml:space="preserve">. </w:t>
      </w:r>
      <w:r>
        <w:rPr>
          <w:rFonts w:hint="eastAsia" w:ascii="宋体" w:hAnsi="宋体"/>
          <w:b/>
          <w:szCs w:val="21"/>
        </w:rPr>
        <w:t>实习具体要求</w:t>
      </w:r>
    </w:p>
    <w:p>
      <w:pPr>
        <w:widowControl/>
        <w:spacing w:line="360" w:lineRule="auto"/>
        <w:ind w:firstLine="420" w:firstLineChars="200"/>
        <w:jc w:val="left"/>
        <w:rPr>
          <w:rFonts w:ascii="宋体" w:hAnsi="宋体"/>
          <w:szCs w:val="21"/>
        </w:rPr>
      </w:pPr>
      <w:r>
        <w:rPr>
          <w:rFonts w:hint="eastAsia" w:ascii="宋体" w:hAnsi="宋体"/>
          <w:szCs w:val="21"/>
        </w:rPr>
        <w:t>每人需要交报告5份。</w:t>
      </w:r>
    </w:p>
    <w:p>
      <w:pPr>
        <w:widowControl/>
        <w:spacing w:line="360" w:lineRule="auto"/>
        <w:ind w:firstLine="420" w:firstLineChars="200"/>
        <w:jc w:val="left"/>
        <w:rPr>
          <w:rFonts w:ascii="宋体" w:hAnsi="宋体"/>
          <w:szCs w:val="21"/>
        </w:rPr>
      </w:pPr>
      <w:r>
        <w:rPr>
          <w:rFonts w:hint="eastAsia" w:ascii="宋体" w:hAnsi="宋体"/>
          <w:szCs w:val="21"/>
        </w:rPr>
        <w:t>6.1依在中国农科院郑州果树研究所参观实习内容写出心得体会一份。内容包括参观的园艺植物的主要育种目标和途径，参观以后的体会。</w:t>
      </w:r>
    </w:p>
    <w:p>
      <w:pPr>
        <w:widowControl/>
        <w:spacing w:line="360" w:lineRule="auto"/>
        <w:ind w:firstLine="420" w:firstLineChars="200"/>
        <w:jc w:val="left"/>
        <w:rPr>
          <w:rFonts w:ascii="宋体" w:hAnsi="宋体"/>
          <w:szCs w:val="21"/>
        </w:rPr>
      </w:pPr>
      <w:r>
        <w:rPr>
          <w:rFonts w:hint="eastAsia" w:ascii="宋体" w:hAnsi="宋体"/>
          <w:szCs w:val="21"/>
        </w:rPr>
        <w:t>6.2每人描述不同种类的月季品种3个（植株和花的形态特征），并比较月季和桃杂交技术的不同点。</w:t>
      </w:r>
    </w:p>
    <w:p>
      <w:pPr>
        <w:widowControl/>
        <w:spacing w:line="360" w:lineRule="auto"/>
        <w:ind w:firstLine="420" w:firstLineChars="200"/>
        <w:jc w:val="left"/>
        <w:rPr>
          <w:rFonts w:ascii="宋体" w:hAnsi="宋体"/>
          <w:szCs w:val="21"/>
        </w:rPr>
      </w:pPr>
      <w:r>
        <w:rPr>
          <w:rFonts w:hint="eastAsia" w:ascii="宋体" w:hAnsi="宋体"/>
          <w:szCs w:val="21"/>
        </w:rPr>
        <w:t>6.3依在郑州市蔬菜所参观实习内容写出心得体会一份。内容包括参观的十字花科园艺植物的主要育种目标和途径，参观以后的体会。</w:t>
      </w:r>
    </w:p>
    <w:p>
      <w:pPr>
        <w:widowControl/>
        <w:spacing w:line="360" w:lineRule="auto"/>
        <w:ind w:firstLine="420" w:firstLineChars="200"/>
        <w:jc w:val="left"/>
        <w:rPr>
          <w:rFonts w:ascii="宋体" w:hAnsi="宋体"/>
          <w:szCs w:val="21"/>
        </w:rPr>
      </w:pPr>
      <w:r>
        <w:rPr>
          <w:rFonts w:hint="eastAsia" w:ascii="宋体" w:hAnsi="宋体"/>
          <w:szCs w:val="21"/>
        </w:rPr>
        <w:t>6.4依在河南省农业科学院园艺所参观实习内容写出心得体会一份。内容包括参观的单倍体培养技术在园艺植物育种中的意义、操作步骤及注意事项，参观以后的体会。</w:t>
      </w:r>
    </w:p>
    <w:p>
      <w:pPr>
        <w:widowControl/>
        <w:spacing w:line="360" w:lineRule="auto"/>
        <w:ind w:firstLine="420" w:firstLineChars="200"/>
        <w:jc w:val="left"/>
        <w:rPr>
          <w:rFonts w:ascii="宋体" w:hAnsi="宋体"/>
          <w:color w:val="0000FF"/>
          <w:szCs w:val="21"/>
        </w:rPr>
      </w:pPr>
      <w:r>
        <w:rPr>
          <w:rFonts w:hint="eastAsia" w:ascii="宋体" w:hAnsi="宋体"/>
          <w:szCs w:val="21"/>
        </w:rPr>
        <w:t>6.5每人自定引种植物和确定的引进地，制定3000字左右的引种计划一份。要求文字简练,图、表并用，引种理论要运用自如.所用资料应融会贯通形成一体.</w:t>
      </w:r>
    </w:p>
    <w:p>
      <w:pPr>
        <w:widowControl/>
        <w:spacing w:line="360" w:lineRule="auto"/>
        <w:ind w:firstLine="422" w:firstLineChars="200"/>
        <w:jc w:val="left"/>
        <w:rPr>
          <w:rFonts w:ascii="宋体" w:hAnsi="宋体" w:cs="宋体"/>
          <w:b/>
          <w:kern w:val="0"/>
          <w:szCs w:val="21"/>
        </w:rPr>
      </w:pPr>
      <w:r>
        <w:rPr>
          <w:rFonts w:hint="eastAsia" w:ascii="宋体" w:hAnsi="宋体"/>
          <w:b/>
          <w:szCs w:val="21"/>
        </w:rPr>
        <w:t>7</w:t>
      </w:r>
      <w:r>
        <w:rPr>
          <w:rFonts w:hint="eastAsia" w:ascii="宋体" w:hAnsi="宋体" w:cs="宋体"/>
          <w:b/>
          <w:kern w:val="0"/>
          <w:szCs w:val="21"/>
        </w:rPr>
        <w:t>. 考核方式与成绩评定标准</w:t>
      </w:r>
    </w:p>
    <w:p>
      <w:pPr>
        <w:spacing w:line="360" w:lineRule="auto"/>
        <w:ind w:firstLine="420" w:firstLineChars="200"/>
        <w:rPr>
          <w:rFonts w:ascii="宋体" w:hAnsi="宋体"/>
          <w:szCs w:val="21"/>
        </w:rPr>
      </w:pPr>
      <w:r>
        <w:rPr>
          <w:rFonts w:hint="eastAsia" w:hAnsi="华文细黑" w:cs="宋体"/>
          <w:szCs w:val="21"/>
        </w:rPr>
        <w:t>采</w:t>
      </w:r>
      <w:r>
        <w:rPr>
          <w:rFonts w:hint="eastAsia" w:ascii="宋体" w:hAnsi="宋体"/>
          <w:szCs w:val="21"/>
        </w:rPr>
        <w:t>用现场考察考核和批改实习报告的方式进行成绩评定。</w:t>
      </w:r>
    </w:p>
    <w:p>
      <w:pPr>
        <w:widowControl/>
        <w:spacing w:line="300" w:lineRule="auto"/>
        <w:ind w:firstLine="420" w:firstLineChars="200"/>
        <w:jc w:val="left"/>
        <w:rPr>
          <w:rFonts w:ascii="宋体" w:hAnsi="宋体"/>
          <w:szCs w:val="21"/>
        </w:rPr>
      </w:pPr>
      <w:r>
        <w:rPr>
          <w:rFonts w:hint="eastAsia" w:ascii="宋体" w:hAnsi="宋体"/>
          <w:szCs w:val="21"/>
        </w:rPr>
        <w:t>参观中国农科院郑州果树研究所20分；郑州市园林科研所实习20分；郑州市蔬菜所实习20分；河南省农业科学院园艺所20分；园艺植物引种计划的制定20分。</w:t>
      </w:r>
    </w:p>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8. 教材及主要参考资料</w:t>
      </w:r>
    </w:p>
    <w:p>
      <w:pPr>
        <w:tabs>
          <w:tab w:val="left" w:pos="3720"/>
          <w:tab w:val="left" w:pos="3780"/>
          <w:tab w:val="left" w:pos="4305"/>
        </w:tabs>
        <w:adjustRightInd w:val="0"/>
        <w:snapToGrid w:val="0"/>
        <w:spacing w:before="156" w:beforeLines="50" w:line="360" w:lineRule="auto"/>
        <w:ind w:firstLine="411" w:firstLineChars="196"/>
        <w:rPr>
          <w:rFonts w:ascii="宋体" w:hAnsi="宋体"/>
          <w:b/>
          <w:szCs w:val="21"/>
        </w:rPr>
      </w:pPr>
      <w:r>
        <w:rPr>
          <w:rFonts w:hint="eastAsia" w:ascii="宋体" w:hAnsi="宋体"/>
          <w:szCs w:val="21"/>
        </w:rPr>
        <w:t>《园艺植物育种学实验指导书》，申书兴主编，中国农业大学出版社，2001</w:t>
      </w:r>
    </w:p>
    <w:p>
      <w:pPr>
        <w:pStyle w:val="21"/>
        <w:jc w:val="left"/>
        <w:rPr>
          <w:sz w:val="21"/>
          <w:szCs w:val="21"/>
        </w:rPr>
      </w:pPr>
      <w:bookmarkStart w:id="511" w:name="_Toc138076656"/>
      <w:bookmarkStart w:id="512" w:name="_Toc138076361"/>
      <w:bookmarkStart w:id="513" w:name="_Toc6931"/>
      <w:bookmarkStart w:id="514" w:name="_Toc138075642"/>
      <w:bookmarkStart w:id="515" w:name="_Toc138076112"/>
      <w:r>
        <w:rPr>
          <w:rFonts w:hint="eastAsia"/>
          <w:sz w:val="21"/>
          <w:szCs w:val="21"/>
        </w:rPr>
        <w:t>（二）蔬菜栽培学实习</w:t>
      </w:r>
      <w:bookmarkEnd w:id="511"/>
      <w:bookmarkEnd w:id="512"/>
      <w:bookmarkEnd w:id="513"/>
      <w:bookmarkEnd w:id="514"/>
      <w:bookmarkEnd w:id="515"/>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hint="eastAsia" w:ascii="宋体" w:hAnsi="宋体" w:eastAsia="宋体" w:cs="宋体"/>
                <w:b/>
                <w:bCs w:val="0"/>
              </w:rPr>
            </w:pPr>
            <w:r>
              <w:rPr>
                <w:rFonts w:hint="eastAsia" w:ascii="宋体" w:hAnsi="宋体" w:eastAsia="宋体" w:cs="宋体"/>
                <w:b/>
                <w:bCs w:val="0"/>
              </w:rPr>
              <w:t>开设学期</w:t>
            </w:r>
            <w:r>
              <w:rPr>
                <w:rFonts w:hint="eastAsia" w:ascii="宋体" w:hAnsi="宋体" w:eastAsia="宋体" w:cs="宋体"/>
                <w:b/>
                <w:bCs w:val="0"/>
                <w:szCs w:val="21"/>
              </w:rPr>
              <w:t>：第4学期</w:t>
            </w:r>
          </w:p>
        </w:tc>
        <w:tc>
          <w:tcPr>
            <w:tcW w:w="1453" w:type="pct"/>
            <w:vAlign w:val="center"/>
          </w:tcPr>
          <w:p>
            <w:pPr>
              <w:rPr>
                <w:rFonts w:hint="eastAsia" w:ascii="宋体" w:hAnsi="宋体" w:eastAsia="宋体" w:cs="宋体"/>
                <w:b/>
                <w:bCs w:val="0"/>
              </w:rPr>
            </w:pPr>
            <w:r>
              <w:rPr>
                <w:rFonts w:hint="eastAsia" w:ascii="宋体" w:hAnsi="宋体" w:eastAsia="宋体" w:cs="宋体"/>
                <w:b/>
                <w:bCs w:val="0"/>
              </w:rPr>
              <w:t>实习周数</w:t>
            </w:r>
            <w:r>
              <w:rPr>
                <w:rFonts w:hint="eastAsia" w:ascii="宋体" w:hAnsi="宋体" w:eastAsia="宋体" w:cs="宋体"/>
                <w:b/>
                <w:bCs w:val="0"/>
                <w:szCs w:val="21"/>
              </w:rPr>
              <w:t>：1周</w:t>
            </w:r>
          </w:p>
        </w:tc>
        <w:tc>
          <w:tcPr>
            <w:tcW w:w="1881" w:type="pct"/>
            <w:vAlign w:val="center"/>
          </w:tcPr>
          <w:p>
            <w:pPr>
              <w:rPr>
                <w:rFonts w:hint="eastAsia" w:ascii="宋体" w:hAnsi="宋体" w:eastAsia="宋体" w:cs="宋体"/>
                <w:b/>
                <w:bCs w:val="0"/>
              </w:rPr>
            </w:pPr>
            <w:r>
              <w:rPr>
                <w:rFonts w:hint="eastAsia" w:ascii="宋体" w:hAnsi="宋体" w:eastAsia="宋体" w:cs="宋体"/>
                <w:b/>
                <w:bCs w:val="0"/>
              </w:rPr>
              <w:t>学分</w:t>
            </w:r>
            <w:r>
              <w:rPr>
                <w:rFonts w:hint="eastAsia" w:ascii="宋体" w:hAnsi="宋体" w:eastAsia="宋体" w:cs="宋体"/>
                <w:b/>
                <w:bCs w:val="0"/>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hint="eastAsia" w:ascii="宋体" w:hAnsi="宋体" w:eastAsia="宋体" w:cs="宋体"/>
                <w:b/>
                <w:bCs w:val="0"/>
                <w:color w:val="0000FF"/>
              </w:rPr>
            </w:pPr>
            <w:r>
              <w:rPr>
                <w:rFonts w:hint="eastAsia" w:ascii="宋体" w:hAnsi="宋体" w:eastAsia="宋体" w:cs="宋体"/>
                <w:b/>
                <w:bCs w:val="0"/>
              </w:rPr>
              <w:t xml:space="preserve">适用专业：园艺专业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hint="eastAsia" w:ascii="宋体" w:hAnsi="宋体" w:eastAsia="宋体" w:cs="宋体"/>
                <w:b/>
                <w:bCs w:val="0"/>
              </w:rPr>
            </w:pPr>
            <w:r>
              <w:rPr>
                <w:rFonts w:hint="eastAsia" w:ascii="宋体" w:hAnsi="宋体" w:eastAsia="宋体" w:cs="宋体"/>
                <w:b/>
                <w:bCs w:val="0"/>
              </w:rPr>
              <w:t>先修课程：植物学、植物生理学、土壤肥料学、作物病虫害防治学、园艺植物育种学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hint="eastAsia" w:ascii="宋体" w:hAnsi="宋体" w:eastAsia="宋体" w:cs="宋体"/>
                <w:b/>
                <w:bCs w:val="0"/>
              </w:rPr>
            </w:pPr>
            <w:r>
              <w:rPr>
                <w:rFonts w:hint="eastAsia" w:ascii="宋体" w:hAnsi="宋体" w:eastAsia="宋体" w:cs="宋体"/>
                <w:b/>
                <w:bCs w:val="0"/>
              </w:rPr>
              <w:t>主撰人：蔬菜栽培学课程组</w:t>
            </w:r>
          </w:p>
        </w:tc>
        <w:tc>
          <w:tcPr>
            <w:tcW w:w="1453" w:type="pct"/>
            <w:vAlign w:val="center"/>
          </w:tcPr>
          <w:p>
            <w:pPr>
              <w:rPr>
                <w:rFonts w:hint="eastAsia" w:ascii="宋体" w:hAnsi="宋体" w:eastAsia="宋体" w:cs="宋体"/>
                <w:b/>
                <w:bCs w:val="0"/>
              </w:rPr>
            </w:pPr>
            <w:r>
              <w:rPr>
                <w:rFonts w:hint="eastAsia" w:ascii="宋体" w:hAnsi="宋体" w:eastAsia="宋体" w:cs="宋体"/>
                <w:b/>
                <w:bCs w:val="0"/>
              </w:rPr>
              <w:t>审核人：刘珂珂</w:t>
            </w:r>
          </w:p>
        </w:tc>
        <w:tc>
          <w:tcPr>
            <w:tcW w:w="1881" w:type="pct"/>
            <w:vAlign w:val="center"/>
          </w:tcPr>
          <w:p>
            <w:pPr>
              <w:rPr>
                <w:rFonts w:hint="eastAsia" w:ascii="宋体" w:hAnsi="宋体" w:eastAsia="宋体" w:cs="宋体"/>
                <w:b/>
                <w:bCs w:val="0"/>
              </w:rPr>
            </w:pPr>
            <w:r>
              <w:rPr>
                <w:rFonts w:hint="eastAsia" w:ascii="宋体" w:hAnsi="宋体" w:eastAsia="宋体" w:cs="宋体"/>
                <w:b/>
                <w:bCs w:val="0"/>
              </w:rPr>
              <w:t>大纲制定（修订）日期：2023.05</w:t>
            </w:r>
          </w:p>
        </w:tc>
      </w:tr>
    </w:tbl>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1.课程简介</w:t>
      </w:r>
    </w:p>
    <w:p>
      <w:pPr>
        <w:tabs>
          <w:tab w:val="left" w:pos="3720"/>
          <w:tab w:val="left" w:pos="3780"/>
          <w:tab w:val="left" w:pos="4305"/>
        </w:tabs>
        <w:adjustRightInd w:val="0"/>
        <w:snapToGrid w:val="0"/>
        <w:spacing w:line="360" w:lineRule="auto"/>
        <w:ind w:firstLine="420" w:firstLineChars="200"/>
        <w:rPr>
          <w:rFonts w:ascii="宋体" w:hAnsi="宋体"/>
          <w:bCs/>
          <w:color w:val="0000FF"/>
          <w:szCs w:val="21"/>
        </w:rPr>
      </w:pPr>
      <w:r>
        <w:rPr>
          <w:rFonts w:hint="eastAsia" w:hAnsi="宋体"/>
          <w:szCs w:val="21"/>
        </w:rPr>
        <w:t>《蔬菜栽培学》是园艺本科专业的核心课程，蔬菜栽培学教学实习是蔬菜栽培学重要的实践教学部分，本课程为园艺本科专业必修的专业课，该课程目的在于培养学生理论联系实际的能力，实际动手的能力，灵活进行蔬菜的生产</w:t>
      </w:r>
      <w:r>
        <w:rPr>
          <w:rFonts w:hint="eastAsia"/>
          <w:szCs w:val="21"/>
        </w:rPr>
        <w:t>管理，</w:t>
      </w:r>
      <w:r>
        <w:rPr>
          <w:rFonts w:hAnsi="宋体"/>
          <w:szCs w:val="21"/>
        </w:rPr>
        <w:t>掌握蔬菜生产、科研的基本操作技能</w:t>
      </w:r>
      <w:r>
        <w:rPr>
          <w:rFonts w:hint="eastAsia" w:hAnsi="宋体"/>
          <w:szCs w:val="21"/>
        </w:rPr>
        <w:t>，</w:t>
      </w:r>
      <w:r>
        <w:rPr>
          <w:rFonts w:hint="eastAsia"/>
          <w:szCs w:val="21"/>
        </w:rPr>
        <w:t>为将来从事蔬菜生产工作打下基础。</w:t>
      </w:r>
    </w:p>
    <w:p>
      <w:pPr>
        <w:spacing w:line="360" w:lineRule="auto"/>
        <w:ind w:firstLine="422" w:firstLineChars="200"/>
        <w:rPr>
          <w:rFonts w:ascii="宋体" w:hAnsi="宋体"/>
          <w:b/>
          <w:szCs w:val="21"/>
        </w:rPr>
      </w:pPr>
      <w:r>
        <w:rPr>
          <w:rFonts w:ascii="宋体" w:hAnsi="宋体"/>
          <w:b/>
          <w:szCs w:val="21"/>
        </w:rPr>
        <w:t>2.</w:t>
      </w:r>
      <w:r>
        <w:rPr>
          <w:rFonts w:hint="eastAsia" w:ascii="宋体" w:hAnsi="宋体"/>
          <w:b/>
          <w:szCs w:val="21"/>
        </w:rPr>
        <w:t>课程劳动教育</w:t>
      </w:r>
    </w:p>
    <w:p>
      <w:pPr>
        <w:spacing w:line="360" w:lineRule="auto"/>
        <w:ind w:firstLine="420" w:firstLineChars="200"/>
        <w:rPr>
          <w:rFonts w:ascii="宋体" w:hAnsi="宋体"/>
          <w:b/>
          <w:szCs w:val="21"/>
        </w:rPr>
      </w:pPr>
      <w:r>
        <w:rPr>
          <w:rFonts w:hint="eastAsia" w:hAnsi="宋体"/>
          <w:szCs w:val="21"/>
        </w:rPr>
        <w:t>蔬菜栽培学实习的开展，在于让学生走出校门，深入生产实际，通过实地观察、典型调查、听取介绍、座谈讨论、实践操作等形式，了解主要蔬菜生产的全过程，将所学的理论知识与生产实际相结合，使所学知识得以巩固和提高。通过实习使学生更多地了解社会和蔬</w:t>
      </w:r>
      <w:r>
        <w:rPr>
          <w:rFonts w:hAnsi="宋体"/>
          <w:szCs w:val="21"/>
        </w:rPr>
        <w:t>菜产业产前、产中、产后的联系</w:t>
      </w:r>
      <w:r>
        <w:rPr>
          <w:rFonts w:hint="eastAsia" w:hAnsi="宋体"/>
          <w:szCs w:val="21"/>
        </w:rPr>
        <w:t>，学习总结生产经验，培养学生调查研究、发现问题、分析问题和解决问题的能力，激发学生学习的自觉性，培养学生的学习兴趣。蔬菜栽培学课程实习可抵25个劳动教育学时。</w:t>
      </w:r>
    </w:p>
    <w:p>
      <w:pPr>
        <w:spacing w:line="360" w:lineRule="auto"/>
        <w:ind w:firstLine="422" w:firstLineChars="200"/>
        <w:rPr>
          <w:rFonts w:ascii="宋体" w:hAnsi="宋体"/>
          <w:b/>
          <w:szCs w:val="21"/>
        </w:rPr>
      </w:pPr>
      <w:r>
        <w:rPr>
          <w:rFonts w:hint="eastAsia" w:ascii="宋体" w:hAnsi="宋体"/>
          <w:b/>
          <w:szCs w:val="21"/>
        </w:rPr>
        <w:t>3</w:t>
      </w:r>
      <w:r>
        <w:rPr>
          <w:rFonts w:hint="eastAsia" w:ascii="宋体" w:hAnsi="宋体" w:cs="宋体"/>
          <w:b/>
          <w:kern w:val="0"/>
          <w:szCs w:val="21"/>
        </w:rPr>
        <w:t>.</w:t>
      </w:r>
      <w:r>
        <w:rPr>
          <w:rFonts w:hint="eastAsia" w:ascii="宋体" w:hAnsi="宋体"/>
          <w:b/>
          <w:szCs w:val="21"/>
        </w:rPr>
        <w:t>实习目的和要求</w:t>
      </w:r>
    </w:p>
    <w:p>
      <w:pPr>
        <w:spacing w:line="360" w:lineRule="auto"/>
        <w:ind w:firstLine="420" w:firstLineChars="200"/>
        <w:rPr>
          <w:szCs w:val="21"/>
        </w:rPr>
      </w:pPr>
      <w:r>
        <w:rPr>
          <w:rFonts w:hint="eastAsia" w:hAnsi="宋体"/>
          <w:szCs w:val="21"/>
        </w:rPr>
        <w:t>“一丝一缕当思来之不易，一粥一饭恒念物力维艰”，通过课程实习，让同学们</w:t>
      </w:r>
      <w:r>
        <w:rPr>
          <w:rFonts w:hAnsi="宋体"/>
          <w:szCs w:val="21"/>
        </w:rPr>
        <w:t>系统掌握蔬菜育苗技术，定植技术，植株调整技术，田间调查方法；使学生了解蔬菜科研、生产现状，了解蔬菜产业产前、产中、产后的联系；熟练掌握蔬菜种植园构成要素及设计、蔬菜生产计划制定的方法；获取蔬菜生产有关劳动定额参数，掌握蔬菜生产成本及经济效益分析的简单方法，掌握蔬菜生产项目申请报告的撰写方法。</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cs="宋体"/>
          <w:b/>
          <w:kern w:val="0"/>
          <w:szCs w:val="21"/>
        </w:rPr>
        <w:t>.</w:t>
      </w:r>
      <w:r>
        <w:rPr>
          <w:rFonts w:hint="eastAsia" w:ascii="宋体" w:hAnsi="宋体"/>
          <w:b/>
          <w:szCs w:val="21"/>
        </w:rPr>
        <w:t>实习地点及内容</w:t>
      </w:r>
    </w:p>
    <w:p>
      <w:pPr>
        <w:tabs>
          <w:tab w:val="left" w:pos="3720"/>
          <w:tab w:val="left" w:pos="3780"/>
          <w:tab w:val="left" w:pos="4305"/>
        </w:tabs>
        <w:adjustRightInd w:val="0"/>
        <w:snapToGrid w:val="0"/>
        <w:spacing w:line="360" w:lineRule="auto"/>
        <w:ind w:firstLine="422" w:firstLineChars="200"/>
        <w:rPr>
          <w:rFonts w:ascii="宋体" w:hAnsi="宋体"/>
          <w:bCs/>
          <w:color w:val="0000FF"/>
          <w:szCs w:val="21"/>
        </w:rPr>
      </w:pPr>
      <w:r>
        <w:rPr>
          <w:rFonts w:hint="eastAsia" w:ascii="宋体" w:hAnsi="宋体"/>
          <w:b/>
          <w:szCs w:val="21"/>
        </w:rPr>
        <w:t>（1）</w:t>
      </w:r>
      <w:r>
        <w:rPr>
          <w:rFonts w:hint="eastAsia" w:ascii="宋体" w:hAnsi="宋体"/>
          <w:b/>
          <w:bCs/>
          <w:szCs w:val="21"/>
        </w:rPr>
        <w:t>实习</w:t>
      </w:r>
      <w:r>
        <w:rPr>
          <w:rFonts w:hint="eastAsia" w:ascii="宋体" w:hAnsi="宋体"/>
          <w:b/>
          <w:szCs w:val="21"/>
        </w:rPr>
        <w:t>地点：</w:t>
      </w:r>
    </w:p>
    <w:p>
      <w:pPr>
        <w:tabs>
          <w:tab w:val="left" w:pos="3720"/>
          <w:tab w:val="left" w:pos="3780"/>
          <w:tab w:val="left" w:pos="4305"/>
        </w:tabs>
        <w:adjustRightInd w:val="0"/>
        <w:snapToGrid w:val="0"/>
        <w:spacing w:line="360" w:lineRule="auto"/>
        <w:ind w:firstLine="420" w:firstLineChars="200"/>
        <w:rPr>
          <w:rFonts w:ascii="宋体" w:hAnsi="宋体"/>
          <w:color w:val="0000FF"/>
          <w:szCs w:val="21"/>
        </w:rPr>
      </w:pPr>
      <w:r>
        <w:rPr>
          <w:rFonts w:hAnsi="宋体"/>
          <w:szCs w:val="21"/>
        </w:rPr>
        <w:t>河南农业大学毛庄科教试验园区、郑州蔬菜研究所、郑州</w:t>
      </w:r>
      <w:r>
        <w:rPr>
          <w:rFonts w:hint="eastAsia" w:hAnsi="宋体"/>
          <w:szCs w:val="21"/>
        </w:rPr>
        <w:t>双桥花卉市场</w:t>
      </w:r>
      <w:r>
        <w:rPr>
          <w:rFonts w:hAnsi="宋体"/>
          <w:szCs w:val="21"/>
        </w:rPr>
        <w:t>、郑州陈寨蔬菜批发市场</w:t>
      </w:r>
      <w:r>
        <w:rPr>
          <w:rFonts w:hint="eastAsia" w:hAnsi="宋体"/>
          <w:szCs w:val="21"/>
        </w:rPr>
        <w:t>、</w:t>
      </w:r>
      <w:r>
        <w:rPr>
          <w:rFonts w:hAnsi="宋体"/>
          <w:szCs w:val="21"/>
        </w:rPr>
        <w:t>郑州万邦农产品物流园</w:t>
      </w:r>
      <w:r>
        <w:rPr>
          <w:rFonts w:hint="eastAsia" w:hAnsi="宋体"/>
          <w:szCs w:val="21"/>
        </w:rPr>
        <w:t>、开封爱思嘉现代农业生态园、焦作马村区河马鲜果小镇</w:t>
      </w:r>
      <w:r>
        <w:rPr>
          <w:rFonts w:hAnsi="宋体"/>
          <w:szCs w:val="21"/>
        </w:rPr>
        <w:t>。</w:t>
      </w:r>
    </w:p>
    <w:p>
      <w:pPr>
        <w:tabs>
          <w:tab w:val="left" w:pos="3720"/>
          <w:tab w:val="left" w:pos="3780"/>
          <w:tab w:val="left" w:pos="4305"/>
        </w:tabs>
        <w:adjustRightInd w:val="0"/>
        <w:snapToGrid w:val="0"/>
        <w:spacing w:line="360" w:lineRule="auto"/>
        <w:ind w:firstLine="422" w:firstLineChars="200"/>
        <w:rPr>
          <w:rFonts w:ascii="宋体" w:hAnsi="宋体"/>
          <w:color w:val="0000FF"/>
          <w:szCs w:val="21"/>
        </w:rPr>
      </w:pPr>
      <w:r>
        <w:rPr>
          <w:rFonts w:hint="eastAsia" w:ascii="宋体" w:hAnsi="宋体"/>
          <w:b/>
          <w:szCs w:val="21"/>
        </w:rPr>
        <w:t>（2）</w:t>
      </w:r>
      <w:r>
        <w:rPr>
          <w:rFonts w:hint="eastAsia" w:ascii="宋体" w:hAnsi="宋体"/>
          <w:b/>
          <w:bCs/>
          <w:szCs w:val="21"/>
        </w:rPr>
        <w:t>实习内容：</w:t>
      </w:r>
    </w:p>
    <w:p>
      <w:pPr>
        <w:spacing w:line="360" w:lineRule="auto"/>
        <w:ind w:firstLine="420" w:firstLineChars="200"/>
        <w:rPr>
          <w:bCs/>
          <w:szCs w:val="21"/>
        </w:rPr>
      </w:pPr>
      <w:r>
        <w:rPr>
          <w:rFonts w:hAnsi="宋体"/>
          <w:bCs/>
          <w:szCs w:val="21"/>
        </w:rPr>
        <w:t>（</w:t>
      </w:r>
      <w:r>
        <w:rPr>
          <w:bCs/>
          <w:szCs w:val="21"/>
        </w:rPr>
        <w:t>1</w:t>
      </w:r>
      <w:r>
        <w:rPr>
          <w:rFonts w:hAnsi="宋体"/>
          <w:bCs/>
          <w:szCs w:val="21"/>
        </w:rPr>
        <w:t>）</w:t>
      </w:r>
      <w:r>
        <w:rPr>
          <w:rFonts w:hint="eastAsia" w:hAnsi="宋体"/>
          <w:bCs/>
          <w:szCs w:val="21"/>
        </w:rPr>
        <w:t>了解</w:t>
      </w:r>
      <w:r>
        <w:rPr>
          <w:rFonts w:hAnsi="宋体"/>
          <w:bCs/>
          <w:szCs w:val="21"/>
        </w:rPr>
        <w:t>蔬菜科研单位蔬菜科研现状。</w:t>
      </w:r>
    </w:p>
    <w:p>
      <w:pPr>
        <w:spacing w:line="360" w:lineRule="auto"/>
        <w:ind w:firstLine="420" w:firstLineChars="200"/>
        <w:rPr>
          <w:bCs/>
          <w:szCs w:val="21"/>
        </w:rPr>
      </w:pPr>
      <w:r>
        <w:rPr>
          <w:rFonts w:hAnsi="宋体"/>
          <w:bCs/>
          <w:szCs w:val="21"/>
        </w:rPr>
        <w:t>（</w:t>
      </w:r>
      <w:r>
        <w:rPr>
          <w:bCs/>
          <w:szCs w:val="21"/>
        </w:rPr>
        <w:t>2</w:t>
      </w:r>
      <w:r>
        <w:rPr>
          <w:rFonts w:hAnsi="宋体"/>
          <w:bCs/>
          <w:szCs w:val="21"/>
        </w:rPr>
        <w:t>）调查</w:t>
      </w:r>
      <w:r>
        <w:rPr>
          <w:rFonts w:hint="eastAsia" w:hAnsi="宋体"/>
          <w:bCs/>
          <w:szCs w:val="21"/>
        </w:rPr>
        <w:t>大型</w:t>
      </w:r>
      <w:r>
        <w:rPr>
          <w:rFonts w:hAnsi="宋体"/>
          <w:bCs/>
          <w:szCs w:val="21"/>
        </w:rPr>
        <w:t>蔬菜种植</w:t>
      </w:r>
      <w:r>
        <w:rPr>
          <w:rFonts w:hint="eastAsia" w:hAnsi="宋体"/>
          <w:bCs/>
          <w:szCs w:val="21"/>
        </w:rPr>
        <w:t>现代化园区的</w:t>
      </w:r>
      <w:r>
        <w:rPr>
          <w:rFonts w:hAnsi="宋体"/>
          <w:bCs/>
          <w:szCs w:val="21"/>
        </w:rPr>
        <w:t>生产</w:t>
      </w:r>
      <w:r>
        <w:rPr>
          <w:rFonts w:hint="eastAsia" w:hAnsi="宋体"/>
          <w:bCs/>
          <w:szCs w:val="21"/>
        </w:rPr>
        <w:t>现状</w:t>
      </w:r>
      <w:r>
        <w:rPr>
          <w:rFonts w:hAnsi="宋体"/>
          <w:bCs/>
          <w:szCs w:val="21"/>
        </w:rPr>
        <w:t>及运行机制。</w:t>
      </w:r>
    </w:p>
    <w:p>
      <w:pPr>
        <w:spacing w:line="360" w:lineRule="auto"/>
        <w:ind w:firstLine="420" w:firstLineChars="200"/>
        <w:rPr>
          <w:rFonts w:hAnsi="宋体"/>
          <w:bCs/>
          <w:szCs w:val="21"/>
        </w:rPr>
      </w:pPr>
      <w:r>
        <w:rPr>
          <w:rFonts w:hAnsi="宋体"/>
          <w:bCs/>
          <w:szCs w:val="21"/>
        </w:rPr>
        <w:t>（</w:t>
      </w:r>
      <w:r>
        <w:rPr>
          <w:bCs/>
          <w:szCs w:val="21"/>
        </w:rPr>
        <w:t>3</w:t>
      </w:r>
      <w:r>
        <w:rPr>
          <w:rFonts w:hAnsi="宋体"/>
          <w:bCs/>
          <w:szCs w:val="21"/>
        </w:rPr>
        <w:t>）了解蔬菜</w:t>
      </w:r>
      <w:r>
        <w:rPr>
          <w:rFonts w:hint="eastAsia" w:hAnsi="宋体"/>
          <w:bCs/>
          <w:szCs w:val="21"/>
        </w:rPr>
        <w:t>产业</w:t>
      </w:r>
      <w:r>
        <w:rPr>
          <w:rFonts w:hAnsi="宋体"/>
          <w:bCs/>
          <w:szCs w:val="21"/>
        </w:rPr>
        <w:t>在旅游观光、休闲</w:t>
      </w:r>
      <w:r>
        <w:rPr>
          <w:rFonts w:hint="eastAsia" w:hAnsi="宋体"/>
          <w:bCs/>
          <w:szCs w:val="21"/>
        </w:rPr>
        <w:t>农业</w:t>
      </w:r>
      <w:r>
        <w:rPr>
          <w:rFonts w:hAnsi="宋体"/>
          <w:bCs/>
          <w:szCs w:val="21"/>
        </w:rPr>
        <w:t>、都市农业中的功能和作用。</w:t>
      </w:r>
    </w:p>
    <w:p>
      <w:pPr>
        <w:spacing w:line="360" w:lineRule="auto"/>
        <w:ind w:firstLine="420" w:firstLineChars="200"/>
        <w:rPr>
          <w:rFonts w:hAnsi="宋体"/>
          <w:bCs/>
          <w:szCs w:val="21"/>
        </w:rPr>
      </w:pPr>
      <w:r>
        <w:rPr>
          <w:rFonts w:hint="eastAsia" w:hAnsi="宋体"/>
          <w:bCs/>
          <w:szCs w:val="21"/>
        </w:rPr>
        <w:t>（4）系统了解蔬菜生产基地的品种资源、茬口安排、栽培管理技术、病虫害防治措施，总结生产中的丰产栽培经验和新技术。</w:t>
      </w:r>
    </w:p>
    <w:p>
      <w:pPr>
        <w:spacing w:line="360" w:lineRule="auto"/>
        <w:ind w:firstLine="420" w:firstLineChars="200"/>
        <w:rPr>
          <w:bCs/>
          <w:szCs w:val="21"/>
        </w:rPr>
      </w:pPr>
      <w:r>
        <w:rPr>
          <w:rFonts w:hAnsi="宋体"/>
          <w:bCs/>
          <w:szCs w:val="21"/>
        </w:rPr>
        <w:t>（</w:t>
      </w:r>
      <w:r>
        <w:rPr>
          <w:bCs/>
          <w:szCs w:val="21"/>
        </w:rPr>
        <w:t>4</w:t>
      </w:r>
      <w:r>
        <w:rPr>
          <w:rFonts w:hAnsi="宋体"/>
          <w:bCs/>
          <w:szCs w:val="21"/>
        </w:rPr>
        <w:t>）</w:t>
      </w:r>
      <w:r>
        <w:rPr>
          <w:rFonts w:hint="eastAsia" w:hAnsi="宋体"/>
          <w:bCs/>
          <w:szCs w:val="21"/>
        </w:rPr>
        <w:t>调查</w:t>
      </w:r>
      <w:r>
        <w:rPr>
          <w:rFonts w:hAnsi="宋体"/>
          <w:bCs/>
          <w:szCs w:val="21"/>
        </w:rPr>
        <w:t>蔬菜生产资料供应途径与价格，了解蔬菜产品交易过程。</w:t>
      </w:r>
    </w:p>
    <w:p>
      <w:pPr>
        <w:spacing w:line="360" w:lineRule="auto"/>
        <w:ind w:firstLine="420" w:firstLineChars="200"/>
        <w:rPr>
          <w:rFonts w:hAnsi="宋体"/>
          <w:szCs w:val="21"/>
        </w:rPr>
      </w:pPr>
      <w:r>
        <w:rPr>
          <w:rFonts w:hAnsi="宋体"/>
          <w:szCs w:val="21"/>
        </w:rPr>
        <w:t>（</w:t>
      </w:r>
      <w:r>
        <w:rPr>
          <w:szCs w:val="21"/>
        </w:rPr>
        <w:t>5</w:t>
      </w:r>
      <w:r>
        <w:rPr>
          <w:rFonts w:hAnsi="宋体"/>
          <w:szCs w:val="21"/>
        </w:rPr>
        <w:t>）</w:t>
      </w:r>
      <w:r>
        <w:rPr>
          <w:rFonts w:hint="eastAsia" w:hAnsi="宋体"/>
          <w:szCs w:val="21"/>
        </w:rPr>
        <w:t>掌握</w:t>
      </w:r>
      <w:r>
        <w:rPr>
          <w:rFonts w:hAnsi="宋体"/>
          <w:szCs w:val="21"/>
        </w:rPr>
        <w:t>蔬菜示范园项目</w:t>
      </w:r>
      <w:r>
        <w:rPr>
          <w:rFonts w:hint="eastAsia" w:hAnsi="宋体"/>
          <w:szCs w:val="21"/>
        </w:rPr>
        <w:t>建设、运营、管理</w:t>
      </w:r>
      <w:r>
        <w:rPr>
          <w:rFonts w:hAnsi="宋体"/>
          <w:szCs w:val="21"/>
        </w:rPr>
        <w:t>报告的撰写方法。</w:t>
      </w:r>
    </w:p>
    <w:p>
      <w:pPr>
        <w:spacing w:line="360" w:lineRule="auto"/>
        <w:ind w:firstLine="422" w:firstLineChars="200"/>
        <w:rPr>
          <w:rFonts w:ascii="宋体" w:hAnsi="宋体"/>
          <w:b/>
          <w:szCs w:val="21"/>
        </w:rPr>
      </w:pPr>
      <w:r>
        <w:rPr>
          <w:rFonts w:hint="eastAsia" w:ascii="宋体" w:hAnsi="宋体"/>
          <w:b/>
          <w:szCs w:val="21"/>
        </w:rPr>
        <w:t>5</w:t>
      </w:r>
      <w:r>
        <w:rPr>
          <w:rFonts w:hint="eastAsia" w:ascii="宋体" w:hAnsi="宋体" w:cs="宋体"/>
          <w:b/>
          <w:kern w:val="0"/>
          <w:szCs w:val="21"/>
        </w:rPr>
        <w:t>.</w:t>
      </w:r>
      <w:r>
        <w:rPr>
          <w:rFonts w:hint="eastAsia" w:ascii="宋体" w:hAnsi="宋体"/>
          <w:b/>
          <w:szCs w:val="21"/>
        </w:rPr>
        <w:t>实习时间安排</w:t>
      </w:r>
    </w:p>
    <w:p>
      <w:pPr>
        <w:spacing w:line="360" w:lineRule="auto"/>
        <w:ind w:firstLine="420" w:firstLineChars="200"/>
        <w:rPr>
          <w:szCs w:val="21"/>
        </w:rPr>
      </w:pPr>
      <w:r>
        <w:rPr>
          <w:rFonts w:hAnsi="宋体"/>
          <w:szCs w:val="21"/>
        </w:rPr>
        <w:t>（</w:t>
      </w:r>
      <w:r>
        <w:rPr>
          <w:szCs w:val="21"/>
        </w:rPr>
        <w:t>1</w:t>
      </w:r>
      <w:r>
        <w:rPr>
          <w:rFonts w:hAnsi="宋体"/>
          <w:szCs w:val="21"/>
        </w:rPr>
        <w:t>）科研</w:t>
      </w:r>
      <w:r>
        <w:rPr>
          <w:rFonts w:hint="eastAsia" w:hAnsi="宋体"/>
          <w:szCs w:val="21"/>
        </w:rPr>
        <w:t>院所</w:t>
      </w:r>
      <w:r>
        <w:rPr>
          <w:rFonts w:hAnsi="宋体"/>
          <w:szCs w:val="21"/>
        </w:rPr>
        <w:t>及</w:t>
      </w:r>
      <w:r>
        <w:rPr>
          <w:rFonts w:hint="eastAsia" w:hAnsi="宋体"/>
          <w:szCs w:val="21"/>
        </w:rPr>
        <w:t>现代农业</w:t>
      </w:r>
      <w:r>
        <w:rPr>
          <w:rFonts w:hAnsi="宋体"/>
          <w:szCs w:val="21"/>
        </w:rPr>
        <w:t>科技</w:t>
      </w:r>
      <w:r>
        <w:rPr>
          <w:rFonts w:hint="eastAsia" w:hAnsi="宋体"/>
          <w:szCs w:val="21"/>
        </w:rPr>
        <w:t>产业</w:t>
      </w:r>
      <w:r>
        <w:rPr>
          <w:rFonts w:hAnsi="宋体"/>
          <w:szCs w:val="21"/>
        </w:rPr>
        <w:t>园区参观与调查，时间</w:t>
      </w:r>
      <w:r>
        <w:rPr>
          <w:rFonts w:hint="eastAsia"/>
          <w:szCs w:val="21"/>
        </w:rPr>
        <w:t>2</w:t>
      </w:r>
      <w:r>
        <w:rPr>
          <w:rFonts w:hAnsi="宋体"/>
          <w:szCs w:val="21"/>
        </w:rPr>
        <w:t>天。</w:t>
      </w:r>
    </w:p>
    <w:p>
      <w:pPr>
        <w:spacing w:line="360" w:lineRule="auto"/>
        <w:ind w:firstLine="420" w:firstLineChars="200"/>
        <w:rPr>
          <w:szCs w:val="21"/>
        </w:rPr>
      </w:pPr>
      <w:r>
        <w:rPr>
          <w:rFonts w:hAnsi="宋体"/>
          <w:szCs w:val="21"/>
        </w:rPr>
        <w:t>（</w:t>
      </w:r>
      <w:r>
        <w:rPr>
          <w:szCs w:val="21"/>
        </w:rPr>
        <w:t>2</w:t>
      </w:r>
      <w:r>
        <w:rPr>
          <w:rFonts w:hAnsi="宋体"/>
          <w:szCs w:val="21"/>
        </w:rPr>
        <w:t>）蔬菜生产资料</w:t>
      </w:r>
      <w:r>
        <w:rPr>
          <w:rFonts w:hint="eastAsia" w:hAnsi="宋体"/>
          <w:szCs w:val="21"/>
        </w:rPr>
        <w:t>仓储、管理、物流</w:t>
      </w:r>
      <w:r>
        <w:rPr>
          <w:rFonts w:hAnsi="宋体"/>
          <w:szCs w:val="21"/>
        </w:rPr>
        <w:t>及交易市场调查，时间</w:t>
      </w:r>
      <w:r>
        <w:rPr>
          <w:szCs w:val="21"/>
        </w:rPr>
        <w:t>1</w:t>
      </w:r>
      <w:r>
        <w:rPr>
          <w:rFonts w:hAnsi="宋体"/>
          <w:szCs w:val="21"/>
        </w:rPr>
        <w:t>天。</w:t>
      </w:r>
    </w:p>
    <w:p>
      <w:pPr>
        <w:spacing w:line="360" w:lineRule="auto"/>
        <w:ind w:firstLine="420" w:firstLineChars="200"/>
        <w:rPr>
          <w:szCs w:val="21"/>
        </w:rPr>
      </w:pPr>
      <w:r>
        <w:rPr>
          <w:rFonts w:hAnsi="宋体"/>
          <w:szCs w:val="21"/>
        </w:rPr>
        <w:t>（</w:t>
      </w:r>
      <w:r>
        <w:rPr>
          <w:szCs w:val="21"/>
        </w:rPr>
        <w:t>3</w:t>
      </w:r>
      <w:r>
        <w:rPr>
          <w:rFonts w:hAnsi="宋体"/>
          <w:szCs w:val="21"/>
        </w:rPr>
        <w:t>）</w:t>
      </w:r>
      <w:r>
        <w:rPr>
          <w:rFonts w:hint="eastAsia" w:hAnsi="宋体"/>
          <w:szCs w:val="21"/>
        </w:rPr>
        <w:t>现代</w:t>
      </w:r>
      <w:r>
        <w:rPr>
          <w:rFonts w:hAnsi="宋体"/>
          <w:szCs w:val="21"/>
        </w:rPr>
        <w:t>蔬菜</w:t>
      </w:r>
      <w:r>
        <w:rPr>
          <w:rFonts w:hint="eastAsia" w:hAnsi="宋体"/>
          <w:szCs w:val="21"/>
        </w:rPr>
        <w:t>产业耕读教育基地学习</w:t>
      </w:r>
      <w:r>
        <w:rPr>
          <w:rFonts w:hAnsi="宋体"/>
          <w:szCs w:val="21"/>
        </w:rPr>
        <w:t>，时间</w:t>
      </w:r>
      <w:r>
        <w:rPr>
          <w:szCs w:val="21"/>
        </w:rPr>
        <w:t>1</w:t>
      </w:r>
      <w:r>
        <w:rPr>
          <w:rFonts w:hAnsi="宋体"/>
          <w:szCs w:val="21"/>
        </w:rPr>
        <w:t>天。</w:t>
      </w:r>
    </w:p>
    <w:p>
      <w:pPr>
        <w:spacing w:line="360" w:lineRule="auto"/>
        <w:ind w:firstLine="420" w:firstLineChars="200"/>
        <w:rPr>
          <w:szCs w:val="21"/>
        </w:rPr>
      </w:pPr>
      <w:r>
        <w:rPr>
          <w:rFonts w:hAnsi="宋体"/>
          <w:szCs w:val="21"/>
        </w:rPr>
        <w:t>（</w:t>
      </w:r>
      <w:r>
        <w:rPr>
          <w:szCs w:val="21"/>
        </w:rPr>
        <w:t>4</w:t>
      </w:r>
      <w:r>
        <w:rPr>
          <w:rFonts w:hAnsi="宋体"/>
          <w:szCs w:val="21"/>
        </w:rPr>
        <w:t>）综合性实习报告《百亩蔬菜示范园</w:t>
      </w:r>
      <w:r>
        <w:rPr>
          <w:rFonts w:hint="eastAsia" w:hAnsi="宋体"/>
          <w:szCs w:val="21"/>
        </w:rPr>
        <w:t>区</w:t>
      </w:r>
      <w:r>
        <w:rPr>
          <w:rFonts w:hAnsi="宋体"/>
          <w:szCs w:val="21"/>
        </w:rPr>
        <w:t>》</w:t>
      </w:r>
      <w:r>
        <w:rPr>
          <w:rFonts w:hint="eastAsia" w:hAnsi="宋体"/>
          <w:szCs w:val="21"/>
        </w:rPr>
        <w:t>规划的撰写和</w:t>
      </w:r>
      <w:r>
        <w:rPr>
          <w:rFonts w:hAnsi="宋体"/>
          <w:szCs w:val="21"/>
        </w:rPr>
        <w:t>讲评，时间</w:t>
      </w:r>
      <w:r>
        <w:rPr>
          <w:rFonts w:hint="eastAsia"/>
          <w:szCs w:val="21"/>
        </w:rPr>
        <w:t>1</w:t>
      </w:r>
      <w:r>
        <w:rPr>
          <w:rFonts w:hAnsi="宋体"/>
          <w:szCs w:val="21"/>
        </w:rPr>
        <w:t>天。</w:t>
      </w:r>
    </w:p>
    <w:p>
      <w:pPr>
        <w:spacing w:line="360" w:lineRule="auto"/>
        <w:ind w:firstLine="422" w:firstLineChars="200"/>
        <w:rPr>
          <w:rFonts w:ascii="宋体" w:hAnsi="宋体"/>
          <w:b/>
          <w:szCs w:val="21"/>
        </w:rPr>
      </w:pPr>
      <w:r>
        <w:rPr>
          <w:rFonts w:hint="eastAsia" w:ascii="宋体" w:hAnsi="宋体"/>
          <w:b/>
          <w:szCs w:val="21"/>
        </w:rPr>
        <w:t>6</w:t>
      </w:r>
      <w:r>
        <w:rPr>
          <w:rFonts w:hint="eastAsia" w:ascii="宋体" w:hAnsi="宋体" w:cs="宋体"/>
          <w:b/>
          <w:kern w:val="0"/>
          <w:szCs w:val="21"/>
        </w:rPr>
        <w:t xml:space="preserve">. </w:t>
      </w:r>
      <w:r>
        <w:rPr>
          <w:rFonts w:hint="eastAsia" w:ascii="宋体" w:hAnsi="宋体"/>
          <w:b/>
          <w:szCs w:val="21"/>
        </w:rPr>
        <w:t>实习具体要求</w:t>
      </w:r>
    </w:p>
    <w:p>
      <w:pPr>
        <w:spacing w:line="360" w:lineRule="auto"/>
        <w:ind w:firstLine="420" w:firstLineChars="200"/>
        <w:rPr>
          <w:szCs w:val="21"/>
        </w:rPr>
      </w:pPr>
      <w:r>
        <w:rPr>
          <w:rFonts w:hAnsi="宋体"/>
          <w:szCs w:val="21"/>
        </w:rPr>
        <w:t>（</w:t>
      </w:r>
      <w:r>
        <w:rPr>
          <w:szCs w:val="21"/>
        </w:rPr>
        <w:t>1</w:t>
      </w:r>
      <w:r>
        <w:rPr>
          <w:rFonts w:hAnsi="宋体"/>
          <w:szCs w:val="21"/>
        </w:rPr>
        <w:t>）了解蔬菜科研单位的科研成果</w:t>
      </w:r>
      <w:r>
        <w:rPr>
          <w:rFonts w:hint="eastAsia" w:hAnsi="宋体"/>
          <w:szCs w:val="21"/>
        </w:rPr>
        <w:t>和科研现状</w:t>
      </w:r>
      <w:r>
        <w:rPr>
          <w:rFonts w:hAnsi="宋体"/>
          <w:szCs w:val="21"/>
        </w:rPr>
        <w:t>，学习科技人员扎实研究的作风。</w:t>
      </w:r>
    </w:p>
    <w:p>
      <w:pPr>
        <w:spacing w:line="360" w:lineRule="auto"/>
        <w:ind w:firstLine="420" w:firstLineChars="200"/>
        <w:rPr>
          <w:bCs/>
          <w:szCs w:val="21"/>
        </w:rPr>
      </w:pPr>
      <w:r>
        <w:rPr>
          <w:rFonts w:hAnsi="宋体"/>
          <w:bCs/>
          <w:color w:val="000000"/>
          <w:szCs w:val="21"/>
        </w:rPr>
        <w:t>（</w:t>
      </w:r>
      <w:r>
        <w:rPr>
          <w:bCs/>
          <w:color w:val="000000"/>
          <w:szCs w:val="21"/>
        </w:rPr>
        <w:t>2</w:t>
      </w:r>
      <w:r>
        <w:rPr>
          <w:rFonts w:hAnsi="宋体"/>
          <w:bCs/>
          <w:color w:val="000000"/>
          <w:szCs w:val="21"/>
        </w:rPr>
        <w:t>）了解</w:t>
      </w:r>
      <w:r>
        <w:rPr>
          <w:rFonts w:hint="eastAsia" w:hAnsi="宋体"/>
          <w:bCs/>
          <w:szCs w:val="21"/>
        </w:rPr>
        <w:t>现代蔬菜产业</w:t>
      </w:r>
      <w:r>
        <w:rPr>
          <w:rFonts w:hAnsi="宋体"/>
          <w:bCs/>
          <w:szCs w:val="21"/>
        </w:rPr>
        <w:t>园区</w:t>
      </w:r>
      <w:r>
        <w:rPr>
          <w:rFonts w:hint="eastAsia" w:hAnsi="宋体"/>
          <w:bCs/>
          <w:szCs w:val="21"/>
        </w:rPr>
        <w:t>的</w:t>
      </w:r>
      <w:r>
        <w:rPr>
          <w:rFonts w:hAnsi="宋体"/>
          <w:bCs/>
          <w:szCs w:val="21"/>
        </w:rPr>
        <w:t>蔬菜栽培制度、茬次</w:t>
      </w:r>
      <w:r>
        <w:rPr>
          <w:rFonts w:hint="eastAsia" w:hAnsi="宋体"/>
          <w:bCs/>
          <w:szCs w:val="21"/>
        </w:rPr>
        <w:t>安排</w:t>
      </w:r>
      <w:r>
        <w:rPr>
          <w:rFonts w:hAnsi="宋体"/>
          <w:bCs/>
          <w:szCs w:val="21"/>
        </w:rPr>
        <w:t>、</w:t>
      </w:r>
      <w:r>
        <w:rPr>
          <w:rFonts w:hint="eastAsia" w:hAnsi="宋体"/>
          <w:bCs/>
          <w:szCs w:val="21"/>
        </w:rPr>
        <w:t>栽培管理技术、病虫害防治措施、生产</w:t>
      </w:r>
      <w:r>
        <w:rPr>
          <w:rFonts w:hAnsi="宋体"/>
          <w:bCs/>
          <w:szCs w:val="21"/>
        </w:rPr>
        <w:t>投入、</w:t>
      </w:r>
      <w:r>
        <w:rPr>
          <w:rFonts w:hint="eastAsia" w:hAnsi="宋体"/>
          <w:bCs/>
          <w:szCs w:val="21"/>
        </w:rPr>
        <w:t>蔬菜销售</w:t>
      </w:r>
      <w:r>
        <w:rPr>
          <w:rFonts w:hAnsi="宋体"/>
          <w:bCs/>
          <w:szCs w:val="21"/>
        </w:rPr>
        <w:t>等</w:t>
      </w:r>
      <w:r>
        <w:rPr>
          <w:rFonts w:hint="eastAsia" w:hAnsi="宋体"/>
          <w:bCs/>
          <w:szCs w:val="21"/>
        </w:rPr>
        <w:t>环节</w:t>
      </w:r>
      <w:r>
        <w:rPr>
          <w:rFonts w:hAnsi="宋体"/>
          <w:bCs/>
          <w:szCs w:val="21"/>
        </w:rPr>
        <w:t>；了解蔬菜种植园构成要素及运行机制。</w:t>
      </w:r>
    </w:p>
    <w:p>
      <w:pPr>
        <w:spacing w:line="360" w:lineRule="auto"/>
        <w:ind w:firstLine="420" w:firstLineChars="200"/>
        <w:rPr>
          <w:bCs/>
          <w:szCs w:val="21"/>
        </w:rPr>
      </w:pPr>
      <w:r>
        <w:rPr>
          <w:rFonts w:hAnsi="宋体"/>
          <w:bCs/>
          <w:color w:val="000000"/>
          <w:szCs w:val="21"/>
        </w:rPr>
        <w:t>（</w:t>
      </w:r>
      <w:r>
        <w:rPr>
          <w:bCs/>
          <w:color w:val="000000"/>
          <w:szCs w:val="21"/>
        </w:rPr>
        <w:t>3</w:t>
      </w:r>
      <w:r>
        <w:rPr>
          <w:rFonts w:hAnsi="宋体"/>
          <w:bCs/>
          <w:color w:val="000000"/>
          <w:szCs w:val="21"/>
        </w:rPr>
        <w:t>）了解</w:t>
      </w:r>
      <w:r>
        <w:rPr>
          <w:rFonts w:hAnsi="宋体"/>
          <w:bCs/>
          <w:szCs w:val="21"/>
        </w:rPr>
        <w:t>蔬菜</w:t>
      </w:r>
      <w:r>
        <w:rPr>
          <w:rFonts w:hAnsi="宋体"/>
          <w:bCs/>
          <w:color w:val="000000"/>
          <w:szCs w:val="21"/>
        </w:rPr>
        <w:t>主要</w:t>
      </w:r>
      <w:r>
        <w:rPr>
          <w:rFonts w:hAnsi="宋体"/>
          <w:bCs/>
          <w:szCs w:val="21"/>
        </w:rPr>
        <w:t>生产资料</w:t>
      </w:r>
      <w:r>
        <w:rPr>
          <w:rFonts w:hint="eastAsia" w:hAnsi="宋体"/>
          <w:bCs/>
          <w:szCs w:val="21"/>
        </w:rPr>
        <w:t>的</w:t>
      </w:r>
      <w:r>
        <w:rPr>
          <w:rFonts w:hAnsi="宋体"/>
          <w:bCs/>
          <w:szCs w:val="21"/>
        </w:rPr>
        <w:t>供应途径与价格，</w:t>
      </w:r>
      <w:r>
        <w:rPr>
          <w:rFonts w:hint="eastAsia" w:hAnsi="宋体"/>
          <w:bCs/>
          <w:szCs w:val="21"/>
        </w:rPr>
        <w:t>熟悉</w:t>
      </w:r>
      <w:r>
        <w:rPr>
          <w:rFonts w:hAnsi="宋体"/>
          <w:bCs/>
          <w:szCs w:val="21"/>
        </w:rPr>
        <w:t>主要蔬菜产品价格，熟悉从产地到交易的诸环节。</w:t>
      </w:r>
    </w:p>
    <w:p>
      <w:pPr>
        <w:spacing w:line="360" w:lineRule="auto"/>
        <w:ind w:firstLine="420" w:firstLineChars="200"/>
        <w:rPr>
          <w:bCs/>
          <w:szCs w:val="21"/>
        </w:rPr>
      </w:pPr>
      <w:r>
        <w:rPr>
          <w:rFonts w:hAnsi="宋体"/>
          <w:bCs/>
          <w:szCs w:val="21"/>
        </w:rPr>
        <w:t>（</w:t>
      </w:r>
      <w:r>
        <w:rPr>
          <w:bCs/>
          <w:szCs w:val="21"/>
        </w:rPr>
        <w:t>4</w:t>
      </w:r>
      <w:r>
        <w:rPr>
          <w:rFonts w:hAnsi="宋体"/>
          <w:bCs/>
          <w:szCs w:val="21"/>
        </w:rPr>
        <w:t>）了解蔬菜</w:t>
      </w:r>
      <w:r>
        <w:rPr>
          <w:rFonts w:hint="eastAsia" w:hAnsi="宋体"/>
          <w:bCs/>
          <w:szCs w:val="21"/>
        </w:rPr>
        <w:t>生产</w:t>
      </w:r>
      <w:r>
        <w:rPr>
          <w:rFonts w:hAnsi="宋体"/>
          <w:bCs/>
          <w:szCs w:val="21"/>
        </w:rPr>
        <w:t>的</w:t>
      </w:r>
      <w:r>
        <w:rPr>
          <w:rFonts w:hint="eastAsia" w:hAnsi="宋体"/>
          <w:bCs/>
          <w:szCs w:val="21"/>
        </w:rPr>
        <w:t>先进技术和设备</w:t>
      </w:r>
      <w:r>
        <w:rPr>
          <w:rFonts w:hAnsi="宋体"/>
          <w:bCs/>
          <w:szCs w:val="21"/>
        </w:rPr>
        <w:t>，了解蔬菜</w:t>
      </w:r>
      <w:r>
        <w:rPr>
          <w:rFonts w:hint="eastAsia" w:hAnsi="宋体"/>
          <w:bCs/>
          <w:szCs w:val="21"/>
        </w:rPr>
        <w:t>产业在</w:t>
      </w:r>
      <w:r>
        <w:rPr>
          <w:rFonts w:hAnsi="宋体"/>
          <w:bCs/>
          <w:szCs w:val="21"/>
        </w:rPr>
        <w:t>旅游观光、休闲</w:t>
      </w:r>
      <w:r>
        <w:rPr>
          <w:rFonts w:hint="eastAsia" w:hAnsi="宋体"/>
          <w:bCs/>
          <w:szCs w:val="21"/>
        </w:rPr>
        <w:t>农业</w:t>
      </w:r>
      <w:r>
        <w:rPr>
          <w:rFonts w:hAnsi="宋体"/>
          <w:bCs/>
          <w:szCs w:val="21"/>
        </w:rPr>
        <w:t>、都市农业中的功能和作用。</w:t>
      </w:r>
    </w:p>
    <w:p>
      <w:pPr>
        <w:spacing w:line="360" w:lineRule="auto"/>
        <w:ind w:firstLine="420" w:firstLineChars="200"/>
        <w:rPr>
          <w:bCs/>
          <w:szCs w:val="21"/>
        </w:rPr>
      </w:pPr>
      <w:r>
        <w:rPr>
          <w:rFonts w:hAnsi="宋体"/>
          <w:bCs/>
          <w:szCs w:val="21"/>
        </w:rPr>
        <w:t>（</w:t>
      </w:r>
      <w:r>
        <w:rPr>
          <w:bCs/>
          <w:szCs w:val="21"/>
        </w:rPr>
        <w:t>5</w:t>
      </w:r>
      <w:r>
        <w:rPr>
          <w:rFonts w:hAnsi="宋体"/>
          <w:bCs/>
          <w:szCs w:val="21"/>
        </w:rPr>
        <w:t>）</w:t>
      </w:r>
      <w:r>
        <w:rPr>
          <w:rFonts w:hint="eastAsia" w:hAnsi="宋体"/>
          <w:bCs/>
          <w:szCs w:val="21"/>
        </w:rPr>
        <w:t>撰写</w:t>
      </w:r>
      <w:r>
        <w:rPr>
          <w:rFonts w:hAnsi="宋体"/>
          <w:bCs/>
          <w:szCs w:val="21"/>
        </w:rPr>
        <w:t>《</w:t>
      </w:r>
      <w:r>
        <w:rPr>
          <w:rFonts w:hAnsi="宋体"/>
          <w:szCs w:val="21"/>
        </w:rPr>
        <w:t>百亩蔬菜示范园</w:t>
      </w:r>
      <w:r>
        <w:rPr>
          <w:rFonts w:hint="eastAsia" w:hAnsi="宋体"/>
          <w:szCs w:val="21"/>
        </w:rPr>
        <w:t>区</w:t>
      </w:r>
      <w:r>
        <w:rPr>
          <w:rFonts w:hAnsi="宋体"/>
          <w:szCs w:val="21"/>
        </w:rPr>
        <w:t>》</w:t>
      </w:r>
      <w:r>
        <w:rPr>
          <w:rFonts w:hint="eastAsia" w:hAnsi="宋体"/>
          <w:szCs w:val="21"/>
        </w:rPr>
        <w:t>规划</w:t>
      </w:r>
      <w:r>
        <w:rPr>
          <w:rFonts w:hAnsi="宋体"/>
          <w:szCs w:val="21"/>
        </w:rPr>
        <w:t>报告：</w:t>
      </w:r>
    </w:p>
    <w:p>
      <w:pPr>
        <w:spacing w:line="360" w:lineRule="auto"/>
        <w:ind w:firstLine="420" w:firstLineChars="200"/>
        <w:rPr>
          <w:rFonts w:hAnsi="宋体"/>
          <w:szCs w:val="21"/>
        </w:rPr>
      </w:pPr>
      <w:r>
        <w:rPr>
          <w:rFonts w:hAnsi="宋体"/>
          <w:szCs w:val="21"/>
        </w:rPr>
        <w:t>①</w:t>
      </w:r>
      <w:r>
        <w:rPr>
          <w:rFonts w:hint="eastAsia" w:hAnsi="宋体"/>
          <w:szCs w:val="21"/>
        </w:rPr>
        <w:t>项目名称、建设地点、规划年限、规划的理念、规划的原则、规划的主题、规划的功能、规划的目标、规划主体方案。</w:t>
      </w:r>
    </w:p>
    <w:p>
      <w:pPr>
        <w:spacing w:line="360" w:lineRule="auto"/>
        <w:ind w:left="420"/>
        <w:rPr>
          <w:szCs w:val="21"/>
        </w:rPr>
      </w:pPr>
      <w:r>
        <w:rPr>
          <w:rFonts w:hAnsi="宋体"/>
          <w:szCs w:val="21"/>
        </w:rPr>
        <w:t>②选果菜类（</w:t>
      </w:r>
      <w:r>
        <w:rPr>
          <w:rFonts w:hint="eastAsia"/>
          <w:szCs w:val="21"/>
        </w:rPr>
        <w:t>5</w:t>
      </w:r>
      <w:r>
        <w:rPr>
          <w:rFonts w:hAnsi="宋体"/>
          <w:szCs w:val="21"/>
        </w:rPr>
        <w:t>种）、根菜类（</w:t>
      </w:r>
      <w:r>
        <w:rPr>
          <w:rFonts w:hint="eastAsia"/>
          <w:szCs w:val="21"/>
        </w:rPr>
        <w:t>5</w:t>
      </w:r>
      <w:r>
        <w:rPr>
          <w:rFonts w:hAnsi="宋体"/>
          <w:szCs w:val="21"/>
        </w:rPr>
        <w:t>种）</w:t>
      </w:r>
      <w:r>
        <w:rPr>
          <w:rFonts w:hint="eastAsia" w:hAnsi="宋体"/>
          <w:szCs w:val="21"/>
        </w:rPr>
        <w:t>、</w:t>
      </w:r>
      <w:r>
        <w:rPr>
          <w:rFonts w:hAnsi="宋体"/>
          <w:szCs w:val="21"/>
        </w:rPr>
        <w:t>叶菜类（</w:t>
      </w:r>
      <w:r>
        <w:rPr>
          <w:rFonts w:hint="eastAsia"/>
          <w:szCs w:val="21"/>
        </w:rPr>
        <w:t>5</w:t>
      </w:r>
      <w:r>
        <w:rPr>
          <w:rFonts w:hAnsi="宋体"/>
          <w:szCs w:val="21"/>
        </w:rPr>
        <w:t>种）</w:t>
      </w:r>
      <w:r>
        <w:rPr>
          <w:rFonts w:hint="eastAsia" w:hAnsi="宋体"/>
          <w:szCs w:val="21"/>
        </w:rPr>
        <w:t>、花菜类（5种）</w:t>
      </w:r>
      <w:r>
        <w:rPr>
          <w:rFonts w:hAnsi="宋体"/>
          <w:szCs w:val="21"/>
        </w:rPr>
        <w:t>制定周年上市计划（必要时可采用冷库保鲜，注意各种蔬菜日上市量、不同种类上市种植面积的协调）。</w:t>
      </w:r>
    </w:p>
    <w:p>
      <w:pPr>
        <w:spacing w:line="360" w:lineRule="auto"/>
        <w:ind w:firstLine="420" w:firstLineChars="200"/>
        <w:rPr>
          <w:szCs w:val="21"/>
        </w:rPr>
      </w:pPr>
      <w:r>
        <w:rPr>
          <w:rFonts w:hAnsi="宋体"/>
          <w:szCs w:val="21"/>
        </w:rPr>
        <w:t>③建设内容，包括生产、生活设施，道路、水电、仓库，农业机械、运输设备等。</w:t>
      </w:r>
    </w:p>
    <w:p>
      <w:pPr>
        <w:spacing w:line="360" w:lineRule="auto"/>
        <w:ind w:firstLine="420" w:firstLineChars="200"/>
        <w:rPr>
          <w:szCs w:val="21"/>
        </w:rPr>
      </w:pPr>
      <w:r>
        <w:rPr>
          <w:rFonts w:hAnsi="宋体"/>
          <w:szCs w:val="21"/>
        </w:rPr>
        <w:t>④投资</w:t>
      </w:r>
      <w:r>
        <w:rPr>
          <w:rFonts w:hint="eastAsia" w:hAnsi="宋体"/>
          <w:szCs w:val="21"/>
        </w:rPr>
        <w:t>估算</w:t>
      </w:r>
      <w:r>
        <w:rPr>
          <w:rFonts w:hAnsi="宋体"/>
          <w:szCs w:val="21"/>
        </w:rPr>
        <w:t>（固定投资、资金筹措</w:t>
      </w:r>
      <w:r>
        <w:rPr>
          <w:rFonts w:hint="eastAsia" w:hAnsi="宋体"/>
          <w:szCs w:val="21"/>
        </w:rPr>
        <w:t>等</w:t>
      </w:r>
      <w:r>
        <w:rPr>
          <w:rFonts w:hAnsi="宋体"/>
          <w:szCs w:val="21"/>
        </w:rPr>
        <w:t>）。</w:t>
      </w:r>
    </w:p>
    <w:p>
      <w:pPr>
        <w:spacing w:line="360" w:lineRule="auto"/>
        <w:ind w:firstLine="420" w:firstLineChars="200"/>
        <w:rPr>
          <w:szCs w:val="21"/>
        </w:rPr>
      </w:pPr>
      <w:r>
        <w:rPr>
          <w:rFonts w:hAnsi="宋体"/>
          <w:szCs w:val="21"/>
        </w:rPr>
        <w:t>⑤人员编制。</w:t>
      </w:r>
    </w:p>
    <w:p>
      <w:pPr>
        <w:spacing w:line="360" w:lineRule="auto"/>
        <w:ind w:firstLine="420" w:firstLineChars="200"/>
        <w:rPr>
          <w:szCs w:val="21"/>
        </w:rPr>
      </w:pPr>
      <w:r>
        <w:rPr>
          <w:rFonts w:hAnsi="宋体"/>
          <w:szCs w:val="21"/>
        </w:rPr>
        <w:t>⑥效益分析（税前利润）。</w:t>
      </w:r>
    </w:p>
    <w:p>
      <w:pPr>
        <w:spacing w:line="360" w:lineRule="auto"/>
        <w:ind w:firstLine="420" w:firstLineChars="200"/>
        <w:rPr>
          <w:szCs w:val="21"/>
        </w:rPr>
      </w:pPr>
      <w:r>
        <w:rPr>
          <w:rFonts w:hAnsi="宋体"/>
          <w:szCs w:val="21"/>
        </w:rPr>
        <w:t>⑦示范园规划图。</w:t>
      </w:r>
    </w:p>
    <w:p>
      <w:pPr>
        <w:spacing w:line="360" w:lineRule="auto"/>
        <w:ind w:firstLine="420" w:firstLineChars="200"/>
        <w:rPr>
          <w:rFonts w:hAnsi="宋体"/>
          <w:szCs w:val="21"/>
        </w:rPr>
      </w:pPr>
      <w:r>
        <w:rPr>
          <w:rFonts w:hAnsi="宋体"/>
          <w:szCs w:val="21"/>
        </w:rPr>
        <w:t>⑧</w:t>
      </w:r>
      <w:r>
        <w:rPr>
          <w:rFonts w:hint="eastAsia" w:hAnsi="宋体"/>
          <w:szCs w:val="21"/>
        </w:rPr>
        <w:t>产业现状及项目可行性分析</w:t>
      </w:r>
    </w:p>
    <w:p>
      <w:pPr>
        <w:widowControl/>
        <w:spacing w:line="360" w:lineRule="auto"/>
        <w:ind w:firstLine="422" w:firstLineChars="200"/>
        <w:jc w:val="left"/>
        <w:rPr>
          <w:rFonts w:ascii="宋体" w:hAnsi="宋体" w:cs="宋体"/>
          <w:b/>
          <w:kern w:val="0"/>
          <w:szCs w:val="21"/>
        </w:rPr>
      </w:pPr>
      <w:r>
        <w:rPr>
          <w:rFonts w:hint="eastAsia" w:ascii="宋体" w:hAnsi="宋体"/>
          <w:b/>
          <w:szCs w:val="21"/>
        </w:rPr>
        <w:t>7</w:t>
      </w:r>
      <w:r>
        <w:rPr>
          <w:rFonts w:hint="eastAsia" w:ascii="宋体" w:hAnsi="宋体" w:cs="宋体"/>
          <w:b/>
          <w:kern w:val="0"/>
          <w:szCs w:val="21"/>
        </w:rPr>
        <w:t>. 考核方式与成绩评定标准</w:t>
      </w:r>
    </w:p>
    <w:p>
      <w:pPr>
        <w:adjustRightInd w:val="0"/>
        <w:spacing w:line="360" w:lineRule="auto"/>
        <w:ind w:firstLine="420" w:firstLineChars="200"/>
        <w:rPr>
          <w:szCs w:val="21"/>
        </w:rPr>
      </w:pPr>
      <w:r>
        <w:rPr>
          <w:rFonts w:hAnsi="宋体"/>
          <w:szCs w:val="21"/>
        </w:rPr>
        <w:t>采用综合性</w:t>
      </w:r>
      <w:r>
        <w:rPr>
          <w:rFonts w:hint="eastAsia" w:hAnsi="宋体"/>
          <w:szCs w:val="21"/>
        </w:rPr>
        <w:t>实习</w:t>
      </w:r>
      <w:r>
        <w:rPr>
          <w:rFonts w:hAnsi="宋体"/>
          <w:szCs w:val="21"/>
        </w:rPr>
        <w:t>报告</w:t>
      </w:r>
      <w:r>
        <w:rPr>
          <w:rFonts w:hint="eastAsia" w:hAnsi="宋体"/>
          <w:szCs w:val="21"/>
        </w:rPr>
        <w:t>、学生参与度（主要从考勤、态度、自主探究情况）</w:t>
      </w:r>
      <w:r>
        <w:rPr>
          <w:rFonts w:hAnsi="宋体"/>
          <w:szCs w:val="21"/>
        </w:rPr>
        <w:t>、</w:t>
      </w:r>
      <w:r>
        <w:rPr>
          <w:rFonts w:hint="eastAsia" w:hAnsi="宋体"/>
          <w:szCs w:val="21"/>
        </w:rPr>
        <w:t>实习</w:t>
      </w:r>
      <w:r>
        <w:rPr>
          <w:rFonts w:hAnsi="宋体"/>
          <w:szCs w:val="21"/>
        </w:rPr>
        <w:t>讲评三者相结合的方式进行考核，</w:t>
      </w:r>
      <w:r>
        <w:rPr>
          <w:rFonts w:hint="eastAsia" w:hAnsi="宋体"/>
          <w:szCs w:val="21"/>
        </w:rPr>
        <w:t>学生参与度</w:t>
      </w:r>
      <w:r>
        <w:rPr>
          <w:rFonts w:hAnsi="宋体"/>
          <w:szCs w:val="21"/>
        </w:rPr>
        <w:t>占</w:t>
      </w:r>
      <w:r>
        <w:rPr>
          <w:rFonts w:hint="eastAsia"/>
          <w:szCs w:val="21"/>
        </w:rPr>
        <w:t>30</w:t>
      </w:r>
      <w:r>
        <w:rPr>
          <w:szCs w:val="21"/>
        </w:rPr>
        <w:t>%</w:t>
      </w:r>
      <w:r>
        <w:rPr>
          <w:rFonts w:hAnsi="宋体"/>
          <w:szCs w:val="21"/>
        </w:rPr>
        <w:t>，综合性实习报告占</w:t>
      </w:r>
      <w:r>
        <w:rPr>
          <w:rFonts w:hint="eastAsia"/>
          <w:szCs w:val="21"/>
        </w:rPr>
        <w:t>50</w:t>
      </w:r>
      <w:r>
        <w:rPr>
          <w:szCs w:val="21"/>
        </w:rPr>
        <w:t>%</w:t>
      </w:r>
      <w:r>
        <w:rPr>
          <w:rFonts w:hAnsi="宋体"/>
          <w:szCs w:val="21"/>
        </w:rPr>
        <w:t>，讲评效果占</w:t>
      </w:r>
      <w:r>
        <w:rPr>
          <w:rFonts w:hint="eastAsia"/>
          <w:szCs w:val="21"/>
        </w:rPr>
        <w:t>20</w:t>
      </w:r>
      <w:r>
        <w:rPr>
          <w:szCs w:val="21"/>
        </w:rPr>
        <w:t>%</w:t>
      </w:r>
      <w:r>
        <w:rPr>
          <w:rFonts w:hAnsi="宋体"/>
          <w:szCs w:val="21"/>
        </w:rPr>
        <w:t>。</w:t>
      </w:r>
    </w:p>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8. 教材及主要参考资料</w:t>
      </w:r>
    </w:p>
    <w:p>
      <w:pPr>
        <w:snapToGrid w:val="0"/>
        <w:spacing w:line="360" w:lineRule="auto"/>
        <w:ind w:firstLine="420" w:firstLineChars="200"/>
        <w:rPr>
          <w:szCs w:val="21"/>
        </w:rPr>
      </w:pPr>
      <w:r>
        <w:rPr>
          <w:rFonts w:hAnsi="宋体"/>
          <w:szCs w:val="21"/>
        </w:rPr>
        <w:t>（</w:t>
      </w:r>
      <w:r>
        <w:rPr>
          <w:szCs w:val="21"/>
        </w:rPr>
        <w:t>1</w:t>
      </w:r>
      <w:r>
        <w:rPr>
          <w:rFonts w:hAnsi="宋体"/>
          <w:szCs w:val="21"/>
        </w:rPr>
        <w:t>）蔬菜栽培学总论</w:t>
      </w:r>
      <w:r>
        <w:rPr>
          <w:rFonts w:hint="eastAsia" w:hAnsi="宋体"/>
          <w:szCs w:val="21"/>
        </w:rPr>
        <w:t>（第二版）</w:t>
      </w:r>
      <w:r>
        <w:rPr>
          <w:rFonts w:hAnsi="宋体"/>
          <w:szCs w:val="21"/>
        </w:rPr>
        <w:t>，程智慧</w:t>
      </w:r>
      <w:r>
        <w:rPr>
          <w:szCs w:val="21"/>
        </w:rPr>
        <w:t xml:space="preserve"> </w:t>
      </w:r>
      <w:r>
        <w:rPr>
          <w:rFonts w:hAnsi="宋体"/>
          <w:szCs w:val="21"/>
        </w:rPr>
        <w:t>主编，科学出版社，</w:t>
      </w:r>
      <w:r>
        <w:rPr>
          <w:szCs w:val="21"/>
        </w:rPr>
        <w:t>201</w:t>
      </w:r>
      <w:r>
        <w:rPr>
          <w:rFonts w:hint="eastAsia"/>
          <w:szCs w:val="21"/>
        </w:rPr>
        <w:t>9</w:t>
      </w:r>
      <w:r>
        <w:rPr>
          <w:rFonts w:hAnsi="宋体"/>
          <w:szCs w:val="21"/>
        </w:rPr>
        <w:t>年</w:t>
      </w:r>
    </w:p>
    <w:p>
      <w:pPr>
        <w:snapToGrid w:val="0"/>
        <w:spacing w:line="360" w:lineRule="auto"/>
        <w:ind w:firstLine="420" w:firstLineChars="200"/>
        <w:rPr>
          <w:rFonts w:hAnsi="宋体"/>
          <w:szCs w:val="21"/>
        </w:rPr>
      </w:pPr>
      <w:r>
        <w:rPr>
          <w:rFonts w:hAnsi="宋体"/>
          <w:szCs w:val="21"/>
        </w:rPr>
        <w:t>（</w:t>
      </w:r>
      <w:r>
        <w:rPr>
          <w:szCs w:val="21"/>
        </w:rPr>
        <w:t>2</w:t>
      </w:r>
      <w:r>
        <w:rPr>
          <w:rFonts w:hAnsi="宋体"/>
          <w:szCs w:val="21"/>
        </w:rPr>
        <w:t>）蔬菜栽培学各论，程智慧</w:t>
      </w:r>
      <w:r>
        <w:rPr>
          <w:szCs w:val="21"/>
        </w:rPr>
        <w:t xml:space="preserve"> </w:t>
      </w:r>
      <w:r>
        <w:rPr>
          <w:rFonts w:hAnsi="宋体"/>
          <w:szCs w:val="21"/>
        </w:rPr>
        <w:t>主编，科学出版社，</w:t>
      </w:r>
      <w:r>
        <w:rPr>
          <w:szCs w:val="21"/>
        </w:rPr>
        <w:t>201</w:t>
      </w:r>
      <w:r>
        <w:rPr>
          <w:rFonts w:hint="eastAsia"/>
          <w:szCs w:val="21"/>
        </w:rPr>
        <w:t>9</w:t>
      </w:r>
      <w:r>
        <w:rPr>
          <w:rFonts w:hAnsi="宋体"/>
          <w:szCs w:val="21"/>
        </w:rPr>
        <w:t>年</w:t>
      </w:r>
    </w:p>
    <w:p>
      <w:pPr>
        <w:snapToGrid w:val="0"/>
        <w:spacing w:line="360" w:lineRule="auto"/>
        <w:ind w:firstLine="420" w:firstLineChars="200"/>
        <w:rPr>
          <w:szCs w:val="21"/>
        </w:rPr>
      </w:pPr>
      <w:r>
        <w:rPr>
          <w:rFonts w:hAnsi="宋体"/>
          <w:szCs w:val="21"/>
        </w:rPr>
        <w:t>（</w:t>
      </w:r>
      <w:r>
        <w:rPr>
          <w:rFonts w:hint="eastAsia"/>
          <w:szCs w:val="21"/>
        </w:rPr>
        <w:t>3</w:t>
      </w:r>
      <w:r>
        <w:rPr>
          <w:rFonts w:hAnsi="宋体"/>
          <w:szCs w:val="21"/>
        </w:rPr>
        <w:t>）蔬菜栽培学总论</w:t>
      </w:r>
      <w:r>
        <w:rPr>
          <w:rFonts w:hint="eastAsia" w:hAnsi="宋体"/>
          <w:szCs w:val="21"/>
        </w:rPr>
        <w:t>（第三版）</w:t>
      </w:r>
      <w:r>
        <w:rPr>
          <w:rFonts w:hAnsi="宋体"/>
          <w:szCs w:val="21"/>
        </w:rPr>
        <w:t>，</w:t>
      </w:r>
      <w:r>
        <w:rPr>
          <w:rFonts w:hint="eastAsia"/>
          <w:szCs w:val="21"/>
        </w:rPr>
        <w:t xml:space="preserve">喻景权 </w:t>
      </w:r>
      <w:r>
        <w:rPr>
          <w:rFonts w:hAnsi="宋体"/>
          <w:szCs w:val="21"/>
        </w:rPr>
        <w:t>主编，</w:t>
      </w:r>
      <w:r>
        <w:rPr>
          <w:rFonts w:hint="eastAsia" w:hAnsi="宋体"/>
          <w:szCs w:val="21"/>
        </w:rPr>
        <w:t>中国农业</w:t>
      </w:r>
      <w:r>
        <w:rPr>
          <w:rFonts w:hAnsi="宋体"/>
          <w:szCs w:val="21"/>
        </w:rPr>
        <w:t>出版社，</w:t>
      </w:r>
      <w:r>
        <w:rPr>
          <w:rFonts w:hint="eastAsia"/>
          <w:szCs w:val="21"/>
        </w:rPr>
        <w:t>2020</w:t>
      </w:r>
      <w:r>
        <w:rPr>
          <w:rFonts w:hAnsi="宋体"/>
          <w:szCs w:val="21"/>
        </w:rPr>
        <w:t>年</w:t>
      </w:r>
    </w:p>
    <w:p>
      <w:pPr>
        <w:widowControl/>
        <w:adjustRightInd w:val="0"/>
        <w:snapToGrid w:val="0"/>
        <w:spacing w:line="360" w:lineRule="auto"/>
        <w:ind w:firstLine="420" w:firstLineChars="200"/>
        <w:jc w:val="left"/>
        <w:rPr>
          <w:rFonts w:hAnsi="宋体"/>
          <w:szCs w:val="21"/>
        </w:rPr>
      </w:pPr>
      <w:r>
        <w:rPr>
          <w:rFonts w:hAnsi="宋体"/>
          <w:kern w:val="0"/>
          <w:szCs w:val="21"/>
        </w:rPr>
        <w:t>（</w:t>
      </w:r>
      <w:r>
        <w:rPr>
          <w:rFonts w:hint="eastAsia"/>
          <w:kern w:val="0"/>
          <w:szCs w:val="21"/>
        </w:rPr>
        <w:t>4</w:t>
      </w:r>
      <w:r>
        <w:rPr>
          <w:rFonts w:hAnsi="宋体"/>
          <w:kern w:val="0"/>
          <w:szCs w:val="21"/>
        </w:rPr>
        <w:t>）</w:t>
      </w:r>
      <w:r>
        <w:rPr>
          <w:rFonts w:hint="eastAsia" w:hAnsi="宋体"/>
          <w:szCs w:val="21"/>
        </w:rPr>
        <w:t>蔬菜栽培学各论北方本（第四版）</w:t>
      </w:r>
      <w:r>
        <w:rPr>
          <w:rFonts w:hAnsi="宋体"/>
          <w:szCs w:val="21"/>
        </w:rPr>
        <w:t>，</w:t>
      </w:r>
      <w:r>
        <w:rPr>
          <w:rFonts w:hint="eastAsia" w:hAnsi="宋体"/>
          <w:szCs w:val="21"/>
        </w:rPr>
        <w:t>王秀峰 主编，中国农业出版社，2011年</w:t>
      </w:r>
    </w:p>
    <w:p>
      <w:pPr>
        <w:pStyle w:val="21"/>
        <w:jc w:val="left"/>
        <w:rPr>
          <w:rFonts w:ascii="宋体" w:hAnsi="宋体"/>
          <w:b/>
          <w:bCs/>
          <w:szCs w:val="21"/>
        </w:rPr>
      </w:pPr>
      <w:bookmarkStart w:id="516" w:name="_Toc138075643"/>
      <w:bookmarkStart w:id="517" w:name="_Toc138076113"/>
      <w:bookmarkStart w:id="518" w:name="_Toc138076362"/>
      <w:bookmarkStart w:id="519" w:name="_Toc17725"/>
      <w:bookmarkStart w:id="520" w:name="_Toc138076657"/>
      <w:r>
        <w:rPr>
          <w:rFonts w:hint="eastAsia" w:ascii="宋体" w:hAnsi="宋体"/>
          <w:sz w:val="21"/>
          <w:szCs w:val="21"/>
        </w:rPr>
        <w:t>（三）</w:t>
      </w:r>
      <w:r>
        <w:rPr>
          <w:rFonts w:hint="eastAsia"/>
          <w:sz w:val="21"/>
          <w:szCs w:val="21"/>
        </w:rPr>
        <w:t>《果树栽培学》</w:t>
      </w:r>
      <w:bookmarkEnd w:id="516"/>
      <w:bookmarkEnd w:id="517"/>
      <w:bookmarkEnd w:id="518"/>
      <w:bookmarkEnd w:id="519"/>
      <w:bookmarkEnd w:id="520"/>
      <w:r>
        <w:rPr>
          <w:rFonts w:hint="eastAsia" w:ascii="宋体" w:hAnsi="宋体"/>
          <w:b/>
          <w:sz w:val="21"/>
          <w:szCs w:val="21"/>
        </w:rPr>
        <w:t>实习</w:t>
      </w:r>
      <w:r>
        <w:rPr>
          <w:rFonts w:hint="eastAsia" w:ascii="宋体" w:hAnsi="宋体"/>
          <w:b/>
          <w:bCs/>
          <w:sz w:val="21"/>
          <w:szCs w:val="21"/>
        </w:rPr>
        <w:t>Ⅰ</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5" w:hRule="atLeast"/>
        </w:trPr>
        <w:tc>
          <w:tcPr>
            <w:tcW w:w="1666" w:type="pct"/>
            <w:vAlign w:val="center"/>
          </w:tcPr>
          <w:p>
            <w:pPr>
              <w:rPr>
                <w:rFonts w:hint="eastAsia" w:ascii="宋体" w:hAnsi="宋体" w:eastAsia="宋体" w:cs="宋体"/>
                <w:b/>
                <w:bCs w:val="0"/>
                <w:sz w:val="21"/>
                <w:szCs w:val="21"/>
              </w:rPr>
            </w:pPr>
            <w:r>
              <w:rPr>
                <w:rFonts w:hint="eastAsia" w:ascii="宋体" w:hAnsi="宋体" w:eastAsia="宋体" w:cs="宋体"/>
                <w:b/>
                <w:bCs w:val="0"/>
                <w:sz w:val="21"/>
                <w:szCs w:val="21"/>
              </w:rPr>
              <w:t>开设学期：4</w:t>
            </w:r>
          </w:p>
        </w:tc>
        <w:tc>
          <w:tcPr>
            <w:tcW w:w="1453" w:type="pct"/>
            <w:vAlign w:val="center"/>
          </w:tcPr>
          <w:p>
            <w:pPr>
              <w:rPr>
                <w:rFonts w:hint="eastAsia" w:ascii="宋体" w:hAnsi="宋体" w:eastAsia="宋体" w:cs="宋体"/>
                <w:b/>
                <w:bCs w:val="0"/>
                <w:sz w:val="21"/>
                <w:szCs w:val="21"/>
              </w:rPr>
            </w:pPr>
            <w:r>
              <w:rPr>
                <w:rFonts w:hint="eastAsia" w:ascii="宋体" w:hAnsi="宋体" w:eastAsia="宋体" w:cs="宋体"/>
                <w:b/>
                <w:bCs w:val="0"/>
                <w:sz w:val="21"/>
                <w:szCs w:val="21"/>
              </w:rPr>
              <w:t>实习周数：1</w:t>
            </w:r>
          </w:p>
        </w:tc>
        <w:tc>
          <w:tcPr>
            <w:tcW w:w="1881" w:type="pct"/>
            <w:vAlign w:val="center"/>
          </w:tcPr>
          <w:p>
            <w:pPr>
              <w:rPr>
                <w:rFonts w:hint="eastAsia" w:ascii="宋体" w:hAnsi="宋体" w:eastAsia="宋体" w:cs="宋体"/>
                <w:b/>
                <w:bCs w:val="0"/>
                <w:sz w:val="21"/>
                <w:szCs w:val="21"/>
              </w:rPr>
            </w:pPr>
            <w:r>
              <w:rPr>
                <w:rFonts w:hint="eastAsia" w:ascii="宋体" w:hAnsi="宋体" w:eastAsia="宋体" w:cs="宋体"/>
                <w:b/>
                <w:bCs w:val="0"/>
                <w:sz w:val="21"/>
                <w:szCs w:val="21"/>
              </w:rPr>
              <w:t>学分：1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hint="eastAsia" w:ascii="宋体" w:hAnsi="宋体" w:eastAsia="宋体" w:cs="宋体"/>
                <w:b/>
                <w:bCs w:val="0"/>
                <w:color w:val="0000FF"/>
                <w:sz w:val="21"/>
                <w:szCs w:val="21"/>
              </w:rPr>
            </w:pPr>
            <w:r>
              <w:rPr>
                <w:rFonts w:hint="eastAsia" w:ascii="宋体" w:hAnsi="宋体" w:eastAsia="宋体" w:cs="宋体"/>
                <w:b/>
                <w:bCs w:val="0"/>
                <w:sz w:val="21"/>
                <w:szCs w:val="21"/>
              </w:rPr>
              <w:t>适用专业：园艺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5" w:hRule="atLeast"/>
        </w:trPr>
        <w:tc>
          <w:tcPr>
            <w:tcW w:w="5000" w:type="pct"/>
            <w:gridSpan w:val="3"/>
            <w:vAlign w:val="center"/>
          </w:tcPr>
          <w:p>
            <w:pPr>
              <w:rPr>
                <w:rFonts w:hint="eastAsia" w:ascii="宋体" w:hAnsi="宋体" w:eastAsia="宋体" w:cs="宋体"/>
                <w:b/>
                <w:bCs w:val="0"/>
                <w:sz w:val="21"/>
                <w:szCs w:val="21"/>
              </w:rPr>
            </w:pPr>
            <w:r>
              <w:rPr>
                <w:rFonts w:hint="eastAsia" w:ascii="宋体" w:hAnsi="宋体" w:eastAsia="宋体" w:cs="宋体"/>
                <w:b/>
                <w:bCs w:val="0"/>
                <w:sz w:val="21"/>
                <w:szCs w:val="21"/>
              </w:rPr>
              <w:t>先修课程：植物学、植物生理学、基础生物化学、土壤与植物营养等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5" w:hRule="atLeast"/>
        </w:trPr>
        <w:tc>
          <w:tcPr>
            <w:tcW w:w="1666" w:type="pct"/>
            <w:vAlign w:val="center"/>
          </w:tcPr>
          <w:p>
            <w:pPr>
              <w:rPr>
                <w:rFonts w:hint="eastAsia" w:ascii="宋体" w:hAnsi="宋体" w:eastAsia="宋体" w:cs="宋体"/>
                <w:b/>
                <w:bCs w:val="0"/>
                <w:sz w:val="21"/>
                <w:szCs w:val="21"/>
              </w:rPr>
            </w:pPr>
            <w:r>
              <w:rPr>
                <w:rFonts w:hint="eastAsia" w:ascii="宋体" w:hAnsi="宋体" w:eastAsia="宋体" w:cs="宋体"/>
                <w:b/>
                <w:bCs w:val="0"/>
                <w:sz w:val="21"/>
                <w:szCs w:val="21"/>
              </w:rPr>
              <w:t>主撰人：白团辉、简在海</w:t>
            </w:r>
          </w:p>
        </w:tc>
        <w:tc>
          <w:tcPr>
            <w:tcW w:w="1453" w:type="pct"/>
            <w:vAlign w:val="center"/>
          </w:tcPr>
          <w:p>
            <w:pPr>
              <w:rPr>
                <w:rFonts w:hint="eastAsia" w:ascii="宋体" w:hAnsi="宋体" w:eastAsia="宋体" w:cs="宋体"/>
                <w:b/>
                <w:bCs w:val="0"/>
                <w:sz w:val="21"/>
                <w:szCs w:val="21"/>
              </w:rPr>
            </w:pPr>
            <w:r>
              <w:rPr>
                <w:rFonts w:hint="eastAsia" w:ascii="宋体" w:hAnsi="宋体" w:eastAsia="宋体" w:cs="宋体"/>
                <w:b/>
                <w:bCs w:val="0"/>
                <w:sz w:val="21"/>
                <w:szCs w:val="21"/>
              </w:rPr>
              <w:t>审核人：冯建灿、郑先波</w:t>
            </w:r>
          </w:p>
        </w:tc>
        <w:tc>
          <w:tcPr>
            <w:tcW w:w="1881" w:type="pct"/>
            <w:vAlign w:val="center"/>
          </w:tcPr>
          <w:p>
            <w:pPr>
              <w:rPr>
                <w:rFonts w:hint="eastAsia" w:ascii="宋体" w:hAnsi="宋体" w:eastAsia="宋体" w:cs="宋体"/>
                <w:b/>
                <w:bCs w:val="0"/>
                <w:sz w:val="21"/>
                <w:szCs w:val="21"/>
              </w:rPr>
            </w:pPr>
            <w:r>
              <w:rPr>
                <w:rFonts w:hint="eastAsia" w:ascii="宋体" w:hAnsi="宋体" w:eastAsia="宋体" w:cs="宋体"/>
                <w:b/>
                <w:bCs w:val="0"/>
                <w:sz w:val="21"/>
                <w:szCs w:val="21"/>
              </w:rPr>
              <w:t>大纲制定（修订）日期： 2023</w:t>
            </w:r>
          </w:p>
        </w:tc>
      </w:tr>
    </w:tbl>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1.课程简介</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果树栽培学》是一门以现代生物科学为基础，研究果树的生长发育、产量品质形成及其内外因关系规律和调控技术的综合性应用技术科学，是园艺专业的核心课程。《果树栽培学》实习是园艺专业实践教学的重要组成部分，通过教学实习，现场组织学生从事实际操作，增强学生的动手能力，加深对果树栽培学理论知识的理解与应用，巩固提高学生的果园管理技术，培养学生果树栽培的实际操作能力，从而运用掌握的知识及技能去分析解决果树生产实际中出现的具体问题。</w:t>
      </w:r>
    </w:p>
    <w:p>
      <w:pPr>
        <w:numPr>
          <w:ilvl w:val="0"/>
          <w:numId w:val="46"/>
        </w:numPr>
        <w:spacing w:line="360" w:lineRule="auto"/>
        <w:ind w:firstLine="422" w:firstLineChars="200"/>
        <w:rPr>
          <w:rFonts w:ascii="宋体" w:hAnsi="宋体"/>
          <w:b/>
          <w:szCs w:val="21"/>
        </w:rPr>
      </w:pPr>
      <w:r>
        <w:rPr>
          <w:rFonts w:hint="eastAsia" w:ascii="宋体" w:hAnsi="宋体"/>
          <w:b/>
          <w:szCs w:val="21"/>
        </w:rPr>
        <w:t>课程劳动教育</w:t>
      </w:r>
    </w:p>
    <w:p>
      <w:pPr>
        <w:spacing w:line="360" w:lineRule="auto"/>
        <w:ind w:firstLine="420" w:firstLineChars="200"/>
        <w:rPr>
          <w:rFonts w:ascii="宋体" w:hAnsi="宋体"/>
          <w:b/>
          <w:szCs w:val="21"/>
        </w:rPr>
      </w:pPr>
      <w:r>
        <w:rPr>
          <w:rFonts w:hint="eastAsia" w:ascii="宋体" w:hAnsi="宋体"/>
          <w:bCs/>
          <w:szCs w:val="21"/>
        </w:rPr>
        <w:t>劳动教育是新时代党对教育的新要求，是中国特色社会主义教育制度的重要内容，是全面发展教育体系的重要组成部分。通过学生以动手实践为主要方式在果园进行的果树栽培实习劳动，引导学生认识社会，增强社会责任感。 通过果园实习劳动增强学生服务“三农”和农业农村现代化的使命感和责任感，让学生走进农村、走近农民、走向农业，了解乡情民情，学习乡土文化，提升学生学农知农爱农素养和专业实践能力。</w:t>
      </w:r>
    </w:p>
    <w:p>
      <w:pPr>
        <w:spacing w:line="360" w:lineRule="auto"/>
        <w:ind w:firstLine="422" w:firstLineChars="200"/>
        <w:rPr>
          <w:rFonts w:ascii="宋体" w:hAnsi="宋体"/>
          <w:b/>
          <w:szCs w:val="21"/>
        </w:rPr>
      </w:pPr>
      <w:r>
        <w:rPr>
          <w:rFonts w:hint="eastAsia" w:ascii="宋体" w:hAnsi="宋体"/>
          <w:b/>
          <w:szCs w:val="21"/>
        </w:rPr>
        <w:t>3</w:t>
      </w:r>
      <w:r>
        <w:rPr>
          <w:rFonts w:hint="eastAsia" w:ascii="宋体" w:hAnsi="宋体" w:cs="宋体"/>
          <w:b/>
          <w:kern w:val="0"/>
          <w:szCs w:val="21"/>
        </w:rPr>
        <w:t>.</w:t>
      </w:r>
      <w:r>
        <w:rPr>
          <w:rFonts w:hint="eastAsia" w:ascii="宋体" w:hAnsi="宋体"/>
          <w:b/>
          <w:szCs w:val="21"/>
        </w:rPr>
        <w:t>实习目的和要求</w:t>
      </w:r>
    </w:p>
    <w:p>
      <w:pPr>
        <w:spacing w:line="360" w:lineRule="auto"/>
        <w:ind w:firstLine="420" w:firstLineChars="200"/>
        <w:rPr>
          <w:rFonts w:ascii="宋体" w:hAnsi="宋体"/>
          <w:szCs w:val="21"/>
        </w:rPr>
      </w:pPr>
      <w:r>
        <w:rPr>
          <w:rFonts w:hint="eastAsia" w:ascii="宋体" w:hAnsi="宋体"/>
          <w:bCs/>
          <w:szCs w:val="21"/>
        </w:rPr>
        <w:t>通过实习，提升学生的劳动素养，提高学生的实践技能，进而深化其所掌握的理论知识，激发学习兴趣，提高学习效果。要求每个学生全程参加课程实习的每一环节，学习掌握果树嫁接、扦插、施肥、修剪、采摘和果园管理体系建立等知识技能，灵活运用所学的理论知识分析解决果树生产中存在问题。</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cs="宋体"/>
          <w:b/>
          <w:kern w:val="0"/>
          <w:szCs w:val="21"/>
        </w:rPr>
        <w:t>.</w:t>
      </w:r>
      <w:r>
        <w:rPr>
          <w:rFonts w:hint="eastAsia" w:ascii="宋体" w:hAnsi="宋体"/>
          <w:b/>
          <w:szCs w:val="21"/>
        </w:rPr>
        <w:t>实习地点及内容</w:t>
      </w:r>
    </w:p>
    <w:p>
      <w:pPr>
        <w:spacing w:line="360" w:lineRule="auto"/>
        <w:ind w:firstLine="420" w:firstLineChars="200"/>
        <w:rPr>
          <w:rFonts w:ascii="宋体" w:hAnsi="宋体"/>
          <w:bCs/>
          <w:szCs w:val="21"/>
        </w:rPr>
      </w:pPr>
      <w:r>
        <w:rPr>
          <w:rFonts w:hint="eastAsia" w:ascii="宋体" w:hAnsi="宋体"/>
          <w:bCs/>
          <w:szCs w:val="21"/>
        </w:rPr>
        <w:t>（1）：</w:t>
      </w:r>
      <w:r>
        <w:rPr>
          <w:rFonts w:hint="eastAsia" w:ascii="宋体" w:hAnsi="宋体"/>
          <w:b/>
          <w:szCs w:val="21"/>
        </w:rPr>
        <w:t>实习地点</w:t>
      </w:r>
      <w:r>
        <w:rPr>
          <w:rFonts w:hint="eastAsia" w:ascii="宋体" w:hAnsi="宋体"/>
          <w:bCs/>
          <w:szCs w:val="21"/>
        </w:rPr>
        <w:t xml:space="preserve">：学校三区教学实习基地。      </w:t>
      </w:r>
    </w:p>
    <w:p>
      <w:pPr>
        <w:spacing w:line="360" w:lineRule="auto"/>
        <w:ind w:firstLine="1054" w:firstLineChars="500"/>
        <w:rPr>
          <w:rFonts w:ascii="宋体" w:hAnsi="宋体"/>
          <w:bCs/>
          <w:szCs w:val="21"/>
        </w:rPr>
      </w:pPr>
      <w:r>
        <w:rPr>
          <w:rFonts w:hint="eastAsia" w:ascii="宋体" w:hAnsi="宋体"/>
          <w:b/>
          <w:szCs w:val="21"/>
        </w:rPr>
        <w:t>实习内容</w:t>
      </w:r>
      <w:r>
        <w:rPr>
          <w:rFonts w:hint="eastAsia" w:ascii="宋体" w:hAnsi="宋体"/>
          <w:bCs/>
          <w:szCs w:val="21"/>
        </w:rPr>
        <w:t>：果树育苗、嫁接、扦插、果树疏花疏果。</w:t>
      </w:r>
    </w:p>
    <w:p>
      <w:pPr>
        <w:spacing w:line="360" w:lineRule="auto"/>
        <w:ind w:firstLine="420" w:firstLineChars="200"/>
        <w:rPr>
          <w:rFonts w:ascii="宋体" w:hAnsi="宋体"/>
          <w:bCs/>
          <w:szCs w:val="21"/>
        </w:rPr>
      </w:pPr>
      <w:r>
        <w:rPr>
          <w:rFonts w:hint="eastAsia" w:ascii="宋体" w:hAnsi="宋体"/>
          <w:bCs/>
          <w:szCs w:val="21"/>
        </w:rPr>
        <w:t>（2）：</w:t>
      </w:r>
      <w:r>
        <w:rPr>
          <w:rFonts w:hint="eastAsia" w:ascii="宋体" w:hAnsi="宋体"/>
          <w:b/>
          <w:szCs w:val="21"/>
        </w:rPr>
        <w:t>实习地点</w:t>
      </w:r>
      <w:r>
        <w:rPr>
          <w:rFonts w:hint="eastAsia" w:ascii="宋体" w:hAnsi="宋体"/>
          <w:bCs/>
          <w:szCs w:val="21"/>
        </w:rPr>
        <w:t xml:space="preserve">：河南农业大学毛庄教学实习基地。      </w:t>
      </w:r>
    </w:p>
    <w:p>
      <w:pPr>
        <w:spacing w:line="360" w:lineRule="auto"/>
        <w:ind w:firstLine="1054" w:firstLineChars="500"/>
        <w:rPr>
          <w:rFonts w:ascii="宋体" w:hAnsi="宋体"/>
          <w:bCs/>
          <w:szCs w:val="21"/>
        </w:rPr>
      </w:pPr>
      <w:r>
        <w:rPr>
          <w:rFonts w:hint="eastAsia" w:ascii="宋体" w:hAnsi="宋体"/>
          <w:b/>
          <w:szCs w:val="21"/>
        </w:rPr>
        <w:t>实习内容</w:t>
      </w:r>
      <w:r>
        <w:rPr>
          <w:rFonts w:hint="eastAsia" w:ascii="宋体" w:hAnsi="宋体"/>
          <w:bCs/>
          <w:szCs w:val="21"/>
        </w:rPr>
        <w:t>：果树建园、果树定植、果树施肥、果树夏季修剪。</w:t>
      </w:r>
    </w:p>
    <w:p>
      <w:pPr>
        <w:spacing w:line="360" w:lineRule="auto"/>
        <w:ind w:firstLine="420" w:firstLineChars="200"/>
        <w:rPr>
          <w:rFonts w:ascii="宋体" w:hAnsi="宋体"/>
          <w:bCs/>
          <w:szCs w:val="21"/>
        </w:rPr>
      </w:pPr>
      <w:r>
        <w:rPr>
          <w:rFonts w:hint="eastAsia" w:ascii="宋体" w:hAnsi="宋体"/>
          <w:bCs/>
          <w:szCs w:val="21"/>
        </w:rPr>
        <w:t>（3）：</w:t>
      </w:r>
      <w:r>
        <w:rPr>
          <w:rFonts w:hint="eastAsia" w:ascii="宋体" w:hAnsi="宋体"/>
          <w:b/>
          <w:szCs w:val="21"/>
        </w:rPr>
        <w:t>实习地点</w:t>
      </w:r>
      <w:r>
        <w:rPr>
          <w:rFonts w:hint="eastAsia" w:ascii="宋体" w:hAnsi="宋体"/>
          <w:bCs/>
          <w:szCs w:val="21"/>
        </w:rPr>
        <w:t xml:space="preserve">：郑州农博园、二仙坡果业公司或农科院原阳基地等现代果树栽培企业参观。    </w:t>
      </w:r>
    </w:p>
    <w:p>
      <w:pPr>
        <w:spacing w:line="360" w:lineRule="auto"/>
        <w:ind w:firstLine="1054" w:firstLineChars="500"/>
        <w:rPr>
          <w:rFonts w:ascii="宋体" w:hAnsi="宋体"/>
          <w:bCs/>
          <w:szCs w:val="21"/>
        </w:rPr>
      </w:pPr>
      <w:r>
        <w:rPr>
          <w:rFonts w:hint="eastAsia" w:ascii="宋体" w:hAnsi="宋体"/>
          <w:b/>
          <w:szCs w:val="21"/>
        </w:rPr>
        <w:t>实习内容</w:t>
      </w:r>
      <w:r>
        <w:rPr>
          <w:rFonts w:hint="eastAsia" w:ascii="宋体" w:hAnsi="宋体"/>
          <w:bCs/>
          <w:szCs w:val="21"/>
        </w:rPr>
        <w:t>：组织学生到附近管理水平较高的果园参观考察（生产示范园）。请专业技术人员向学生介绍建园、树形、品种、栽培管理、经济效益等各方面的情况及生产上存在的问题。</w:t>
      </w:r>
    </w:p>
    <w:p>
      <w:pPr>
        <w:spacing w:line="360" w:lineRule="auto"/>
        <w:ind w:firstLine="422" w:firstLineChars="200"/>
        <w:rPr>
          <w:rFonts w:ascii="宋体" w:hAnsi="宋体"/>
          <w:b/>
          <w:szCs w:val="21"/>
        </w:rPr>
      </w:pPr>
      <w:r>
        <w:rPr>
          <w:rFonts w:hint="eastAsia" w:ascii="宋体" w:hAnsi="宋体"/>
          <w:b/>
          <w:szCs w:val="21"/>
        </w:rPr>
        <w:t>5</w:t>
      </w:r>
      <w:r>
        <w:rPr>
          <w:rFonts w:hint="eastAsia" w:ascii="宋体" w:hAnsi="宋体" w:cs="宋体"/>
          <w:b/>
          <w:kern w:val="0"/>
          <w:szCs w:val="21"/>
        </w:rPr>
        <w:t>.</w:t>
      </w:r>
      <w:r>
        <w:rPr>
          <w:rFonts w:hint="eastAsia" w:ascii="宋体" w:hAnsi="宋体"/>
          <w:b/>
          <w:szCs w:val="21"/>
        </w:rPr>
        <w:t>实习时间安排</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 xml:space="preserve">（1）学校三区教学实习基地   2天   </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 xml:space="preserve">（2）河南农业大学毛庄教学实习基地   2天   </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（3）郑州农博园、二仙坡果业公司或农科院原阳基地等现代果树园区参观    1天</w:t>
      </w:r>
    </w:p>
    <w:p>
      <w:pPr>
        <w:spacing w:line="360" w:lineRule="auto"/>
        <w:ind w:firstLine="422" w:firstLineChars="200"/>
        <w:rPr>
          <w:rFonts w:ascii="宋体" w:hAnsi="宋体"/>
          <w:b/>
          <w:szCs w:val="21"/>
        </w:rPr>
      </w:pPr>
      <w:r>
        <w:rPr>
          <w:rFonts w:hint="eastAsia" w:ascii="宋体" w:hAnsi="宋体"/>
          <w:b/>
          <w:szCs w:val="21"/>
        </w:rPr>
        <w:t>6</w:t>
      </w:r>
      <w:r>
        <w:rPr>
          <w:rFonts w:hint="eastAsia" w:ascii="宋体" w:hAnsi="宋体" w:cs="宋体"/>
          <w:b/>
          <w:kern w:val="0"/>
          <w:szCs w:val="21"/>
        </w:rPr>
        <w:t xml:space="preserve">. </w:t>
      </w:r>
      <w:r>
        <w:rPr>
          <w:rFonts w:hint="eastAsia" w:ascii="宋体" w:hAnsi="宋体"/>
          <w:b/>
          <w:szCs w:val="21"/>
        </w:rPr>
        <w:t>实习具体要求</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每6人为一个实习小组，对每组成员要求进行合理的详细分工。实习期间要求学生以小组为单位共同探讨、学习，协作完成。</w:t>
      </w:r>
    </w:p>
    <w:p>
      <w:pPr>
        <w:tabs>
          <w:tab w:val="left" w:pos="3720"/>
          <w:tab w:val="left" w:pos="3780"/>
          <w:tab w:val="left" w:pos="4305"/>
        </w:tabs>
        <w:adjustRightInd w:val="0"/>
        <w:snapToGrid w:val="0"/>
        <w:spacing w:line="360" w:lineRule="auto"/>
        <w:ind w:firstLine="420" w:firstLineChars="200"/>
        <w:rPr>
          <w:rFonts w:ascii="宋体" w:hAnsi="宋体"/>
          <w:color w:val="0000FF"/>
          <w:szCs w:val="21"/>
        </w:rPr>
      </w:pPr>
      <w:r>
        <w:rPr>
          <w:rFonts w:hint="eastAsia" w:ascii="宋体" w:hAnsi="宋体"/>
          <w:bCs/>
          <w:szCs w:val="21"/>
        </w:rPr>
        <w:t>每次实习结束，学生按照实习指导的作业要求及时完成和上交作业。需要集体完成的必须协作完成，并有小组长负责上交。</w:t>
      </w:r>
    </w:p>
    <w:p>
      <w:pPr>
        <w:widowControl/>
        <w:spacing w:line="360" w:lineRule="auto"/>
        <w:ind w:firstLine="422" w:firstLineChars="200"/>
        <w:jc w:val="left"/>
        <w:rPr>
          <w:rFonts w:ascii="宋体" w:hAnsi="宋体" w:cs="宋体"/>
          <w:b/>
          <w:kern w:val="0"/>
          <w:szCs w:val="21"/>
        </w:rPr>
      </w:pPr>
      <w:r>
        <w:rPr>
          <w:rFonts w:hint="eastAsia" w:ascii="宋体" w:hAnsi="宋体"/>
          <w:b/>
          <w:szCs w:val="21"/>
        </w:rPr>
        <w:t>7</w:t>
      </w:r>
      <w:r>
        <w:rPr>
          <w:rFonts w:hint="eastAsia" w:ascii="宋体" w:hAnsi="宋体" w:cs="宋体"/>
          <w:b/>
          <w:kern w:val="0"/>
          <w:szCs w:val="21"/>
        </w:rPr>
        <w:t>. 考核方式与成绩评定标准</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实习成绩由实习报告和考核成绩构成，实习报告成绩满分100分，占总成绩的50%，实践考试成绩满分100分，占总成绩的50%。</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实习成绩分为优秀（90～100分）、良好（80～90分）、中等（70～80分）、及格（60～70分）和不及格（60分以下）五个等次。</w:t>
      </w:r>
    </w:p>
    <w:p>
      <w:pPr>
        <w:tabs>
          <w:tab w:val="left" w:pos="3720"/>
          <w:tab w:val="left" w:pos="3780"/>
          <w:tab w:val="left" w:pos="4305"/>
        </w:tabs>
        <w:adjustRightInd w:val="0"/>
        <w:snapToGrid w:val="0"/>
        <w:spacing w:line="360" w:lineRule="auto"/>
        <w:ind w:firstLine="420" w:firstLineChars="200"/>
        <w:jc w:val="center"/>
        <w:rPr>
          <w:rFonts w:ascii="宋体" w:hAnsi="宋体"/>
          <w:bCs/>
          <w:szCs w:val="21"/>
        </w:rPr>
      </w:pPr>
      <w:r>
        <w:rPr>
          <w:rFonts w:hint="eastAsia" w:ascii="宋体" w:hAnsi="宋体"/>
          <w:bCs/>
          <w:szCs w:val="21"/>
        </w:rPr>
        <w:t>果树栽培学教学实习考核评分标准</w:t>
      </w:r>
    </w:p>
    <w:tbl>
      <w:tblPr>
        <w:tblStyle w:val="22"/>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276"/>
        <w:gridCol w:w="155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8" w:type="dxa"/>
            <w:vAlign w:val="bottom"/>
          </w:tcPr>
          <w:p>
            <w:pPr>
              <w:spacing w:line="360" w:lineRule="auto"/>
              <w:jc w:val="center"/>
              <w:rPr>
                <w:rFonts w:ascii="宋体" w:hAnsi="宋体"/>
                <w:sz w:val="18"/>
                <w:szCs w:val="18"/>
              </w:rPr>
            </w:pPr>
            <w:r>
              <w:rPr>
                <w:rFonts w:hint="eastAsia" w:ascii="宋体" w:hAnsi="宋体"/>
                <w:sz w:val="18"/>
                <w:szCs w:val="18"/>
              </w:rPr>
              <w:t>优秀</w:t>
            </w:r>
          </w:p>
        </w:tc>
        <w:tc>
          <w:tcPr>
            <w:tcW w:w="1417" w:type="dxa"/>
            <w:vAlign w:val="bottom"/>
          </w:tcPr>
          <w:p>
            <w:pPr>
              <w:spacing w:line="360" w:lineRule="auto"/>
              <w:jc w:val="center"/>
              <w:rPr>
                <w:rFonts w:ascii="宋体" w:hAnsi="宋体"/>
                <w:sz w:val="18"/>
                <w:szCs w:val="18"/>
              </w:rPr>
            </w:pPr>
            <w:r>
              <w:rPr>
                <w:rFonts w:hint="eastAsia" w:ascii="宋体" w:hAnsi="宋体"/>
                <w:sz w:val="18"/>
                <w:szCs w:val="18"/>
              </w:rPr>
              <w:t>良好</w:t>
            </w:r>
          </w:p>
        </w:tc>
        <w:tc>
          <w:tcPr>
            <w:tcW w:w="1276" w:type="dxa"/>
            <w:vAlign w:val="bottom"/>
          </w:tcPr>
          <w:p>
            <w:pPr>
              <w:spacing w:line="360" w:lineRule="auto"/>
              <w:jc w:val="center"/>
              <w:rPr>
                <w:rFonts w:ascii="宋体" w:hAnsi="宋体"/>
                <w:sz w:val="18"/>
                <w:szCs w:val="18"/>
              </w:rPr>
            </w:pPr>
            <w:r>
              <w:rPr>
                <w:rFonts w:hint="eastAsia" w:ascii="宋体" w:hAnsi="宋体"/>
                <w:sz w:val="18"/>
                <w:szCs w:val="18"/>
              </w:rPr>
              <w:t>中等</w:t>
            </w:r>
          </w:p>
        </w:tc>
        <w:tc>
          <w:tcPr>
            <w:tcW w:w="1559" w:type="dxa"/>
            <w:vAlign w:val="bottom"/>
          </w:tcPr>
          <w:p>
            <w:pPr>
              <w:spacing w:line="360" w:lineRule="auto"/>
              <w:jc w:val="center"/>
              <w:rPr>
                <w:rFonts w:ascii="宋体" w:hAnsi="宋体"/>
                <w:sz w:val="18"/>
                <w:szCs w:val="18"/>
              </w:rPr>
            </w:pPr>
            <w:r>
              <w:rPr>
                <w:rFonts w:hint="eastAsia" w:ascii="宋体" w:hAnsi="宋体"/>
                <w:sz w:val="18"/>
                <w:szCs w:val="18"/>
              </w:rPr>
              <w:t>及格</w:t>
            </w:r>
          </w:p>
        </w:tc>
        <w:tc>
          <w:tcPr>
            <w:tcW w:w="2126" w:type="dxa"/>
            <w:vAlign w:val="bottom"/>
          </w:tcPr>
          <w:p>
            <w:pPr>
              <w:spacing w:line="360" w:lineRule="auto"/>
              <w:jc w:val="center"/>
              <w:rPr>
                <w:rFonts w:ascii="宋体" w:hAnsi="宋体"/>
                <w:sz w:val="18"/>
                <w:szCs w:val="18"/>
              </w:rPr>
            </w:pPr>
            <w:r>
              <w:rPr>
                <w:rFonts w:hint="eastAsia" w:ascii="宋体" w:hAnsi="宋体"/>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68" w:type="dxa"/>
            <w:vAlign w:val="bottom"/>
          </w:tcPr>
          <w:p>
            <w:pPr>
              <w:spacing w:line="360" w:lineRule="auto"/>
              <w:jc w:val="center"/>
              <w:rPr>
                <w:rFonts w:ascii="宋体" w:hAnsi="宋体"/>
                <w:sz w:val="18"/>
                <w:szCs w:val="18"/>
              </w:rPr>
            </w:pPr>
            <w:r>
              <w:rPr>
                <w:rFonts w:hint="eastAsia" w:ascii="宋体" w:hAnsi="宋体"/>
                <w:sz w:val="18"/>
                <w:szCs w:val="18"/>
              </w:rPr>
              <w:t>质量高</w:t>
            </w:r>
          </w:p>
        </w:tc>
        <w:tc>
          <w:tcPr>
            <w:tcW w:w="1417" w:type="dxa"/>
            <w:vAlign w:val="bottom"/>
          </w:tcPr>
          <w:p>
            <w:pPr>
              <w:spacing w:line="360" w:lineRule="auto"/>
              <w:jc w:val="center"/>
              <w:rPr>
                <w:rFonts w:ascii="宋体" w:hAnsi="宋体"/>
                <w:sz w:val="18"/>
                <w:szCs w:val="18"/>
              </w:rPr>
            </w:pPr>
            <w:r>
              <w:rPr>
                <w:rFonts w:hint="eastAsia" w:ascii="宋体" w:hAnsi="宋体"/>
                <w:sz w:val="18"/>
                <w:szCs w:val="18"/>
              </w:rPr>
              <w:t>质量好</w:t>
            </w:r>
          </w:p>
        </w:tc>
        <w:tc>
          <w:tcPr>
            <w:tcW w:w="1276" w:type="dxa"/>
            <w:vAlign w:val="bottom"/>
          </w:tcPr>
          <w:p>
            <w:pPr>
              <w:spacing w:line="360" w:lineRule="auto"/>
              <w:jc w:val="center"/>
              <w:rPr>
                <w:rFonts w:ascii="宋体" w:hAnsi="宋体"/>
                <w:sz w:val="18"/>
                <w:szCs w:val="18"/>
              </w:rPr>
            </w:pPr>
            <w:r>
              <w:rPr>
                <w:rFonts w:hint="eastAsia" w:ascii="宋体" w:hAnsi="宋体"/>
                <w:sz w:val="18"/>
                <w:szCs w:val="18"/>
              </w:rPr>
              <w:t>符合要求</w:t>
            </w:r>
          </w:p>
        </w:tc>
        <w:tc>
          <w:tcPr>
            <w:tcW w:w="1559" w:type="dxa"/>
            <w:vAlign w:val="bottom"/>
          </w:tcPr>
          <w:p>
            <w:pPr>
              <w:spacing w:line="360" w:lineRule="auto"/>
              <w:jc w:val="center"/>
              <w:rPr>
                <w:rFonts w:ascii="宋体" w:hAnsi="宋体"/>
                <w:sz w:val="18"/>
                <w:szCs w:val="18"/>
              </w:rPr>
            </w:pPr>
            <w:r>
              <w:rPr>
                <w:rFonts w:hint="eastAsia" w:ascii="宋体" w:hAnsi="宋体"/>
                <w:sz w:val="18"/>
                <w:szCs w:val="18"/>
              </w:rPr>
              <w:t>基本符合要求</w:t>
            </w:r>
          </w:p>
        </w:tc>
        <w:tc>
          <w:tcPr>
            <w:tcW w:w="2126" w:type="dxa"/>
            <w:vAlign w:val="bottom"/>
          </w:tcPr>
          <w:p>
            <w:pPr>
              <w:spacing w:line="360" w:lineRule="auto"/>
              <w:jc w:val="center"/>
              <w:rPr>
                <w:rFonts w:ascii="宋体" w:hAnsi="宋体"/>
                <w:sz w:val="18"/>
                <w:szCs w:val="18"/>
              </w:rPr>
            </w:pPr>
            <w:r>
              <w:rPr>
                <w:rFonts w:hint="eastAsia" w:ascii="宋体" w:hAnsi="宋体"/>
                <w:sz w:val="18"/>
                <w:szCs w:val="18"/>
              </w:rPr>
              <w:t>不符合要求</w:t>
            </w:r>
          </w:p>
        </w:tc>
      </w:tr>
    </w:tbl>
    <w:p>
      <w:pPr>
        <w:tabs>
          <w:tab w:val="left" w:pos="3720"/>
          <w:tab w:val="left" w:pos="3780"/>
          <w:tab w:val="left" w:pos="4305"/>
        </w:tabs>
        <w:adjustRightInd w:val="0"/>
        <w:snapToGrid w:val="0"/>
        <w:spacing w:line="360" w:lineRule="auto"/>
        <w:ind w:firstLine="420" w:firstLineChars="200"/>
        <w:rPr>
          <w:rFonts w:ascii="宋体" w:hAnsi="宋体"/>
          <w:bCs/>
          <w:szCs w:val="21"/>
        </w:rPr>
      </w:pPr>
    </w:p>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8. 教材及主要参考资料</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（1）果树栽培学总论 （第四版），张玉星，中国农业出版社，2011</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（2）园艺植物栽培学（第三版），李光晨、范双喜，中国农业大学出版社，2021</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（3）现代果树生物学，李天忠，张志宏，科学出版社出版，2008</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（4）园艺植物栽培学，夏仁学，高等教育出版社，2004</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（6）苹果栽培学，王宇霖，科学出版社出版时间，2011</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（7）园艺概论（第二版），程智慧，科学出版社，2018</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（8）果树栽培学，郑智龙，中国农业科学技术出版社出版，2011</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（9）果树生理学，杨洪强，中国农业出版社出版，2022</w:t>
      </w:r>
    </w:p>
    <w:p>
      <w:pPr>
        <w:snapToGrid w:val="0"/>
        <w:spacing w:line="360" w:lineRule="auto"/>
        <w:rPr>
          <w:rFonts w:hint="eastAsia" w:asciiTheme="majorHAnsi" w:hAnsiTheme="majorHAnsi" w:eastAsiaTheme="majorEastAsia" w:cstheme="majorBidi"/>
          <w:b/>
          <w:bCs/>
          <w:kern w:val="2"/>
          <w:sz w:val="21"/>
          <w:szCs w:val="21"/>
          <w:lang w:val="en-US" w:eastAsia="zh-CN" w:bidi="ar-SA"/>
        </w:rPr>
      </w:pPr>
      <w:r>
        <w:rPr>
          <w:rFonts w:hint="eastAsia" w:asciiTheme="majorHAnsi" w:hAnsiTheme="majorHAnsi" w:eastAsiaTheme="majorEastAsia" w:cstheme="majorBidi"/>
          <w:b/>
          <w:bCs/>
          <w:kern w:val="2"/>
          <w:sz w:val="21"/>
          <w:szCs w:val="21"/>
          <w:lang w:val="en-US" w:eastAsia="zh-CN" w:bidi="ar-SA"/>
        </w:rPr>
        <w:t>（四）果树栽培学实习Ⅱ</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ascii="黑体"/>
              </w:rPr>
            </w:pPr>
            <w:r>
              <w:rPr>
                <w:rFonts w:hint="eastAsia" w:ascii="宋体" w:hAnsi="宋体"/>
                <w:b/>
              </w:rPr>
              <w:t>开设学期</w:t>
            </w:r>
            <w:r>
              <w:rPr>
                <w:rFonts w:hint="eastAsia" w:ascii="宋体" w:hAnsi="宋体"/>
                <w:szCs w:val="21"/>
              </w:rPr>
              <w:t>：5</w:t>
            </w:r>
          </w:p>
        </w:tc>
        <w:tc>
          <w:tcPr>
            <w:tcW w:w="1453" w:type="pct"/>
            <w:vAlign w:val="center"/>
          </w:tcPr>
          <w:p>
            <w:pPr>
              <w:rPr>
                <w:rFonts w:ascii="黑体"/>
              </w:rPr>
            </w:pPr>
            <w:r>
              <w:rPr>
                <w:rFonts w:hint="eastAsia" w:ascii="宋体" w:hAnsi="宋体"/>
                <w:b/>
              </w:rPr>
              <w:t>实习周数</w:t>
            </w:r>
            <w:r>
              <w:rPr>
                <w:rFonts w:hint="eastAsia" w:ascii="宋体" w:hAnsi="宋体"/>
                <w:szCs w:val="21"/>
              </w:rPr>
              <w:t>：1</w:t>
            </w:r>
          </w:p>
        </w:tc>
        <w:tc>
          <w:tcPr>
            <w:tcW w:w="1881" w:type="pct"/>
            <w:vAlign w:val="center"/>
          </w:tcPr>
          <w:p>
            <w:pPr>
              <w:rPr>
                <w:rFonts w:ascii="黑体"/>
              </w:rPr>
            </w:pPr>
            <w:r>
              <w:rPr>
                <w:rFonts w:hint="eastAsia" w:ascii="宋体" w:hAnsi="宋体"/>
                <w:b/>
              </w:rPr>
              <w:t>学分</w:t>
            </w:r>
            <w:r>
              <w:rPr>
                <w:rFonts w:hint="eastAsia" w:ascii="宋体" w:hAnsi="宋体"/>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ascii="黑体" w:eastAsia="黑体"/>
                <w:color w:val="0000FF"/>
              </w:rPr>
            </w:pPr>
            <w:r>
              <w:rPr>
                <w:rFonts w:hint="eastAsia" w:ascii="宋体" w:hAnsi="宋体"/>
                <w:b/>
              </w:rPr>
              <w:t>适用专业</w:t>
            </w:r>
            <w:r>
              <w:rPr>
                <w:rFonts w:hint="eastAsia" w:ascii="宋体" w:hAnsi="宋体"/>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ascii="黑体" w:eastAsia="黑体"/>
              </w:rPr>
            </w:pPr>
            <w:r>
              <w:rPr>
                <w:rFonts w:hint="eastAsia" w:ascii="宋体" w:hAnsi="宋体"/>
                <w:b/>
              </w:rPr>
              <w:t>先修课程</w:t>
            </w:r>
            <w:r>
              <w:rPr>
                <w:rFonts w:hint="eastAsia" w:ascii="黑体" w:eastAsia="黑体"/>
              </w:rPr>
              <w:t>：</w:t>
            </w:r>
            <w:r>
              <w:rPr>
                <w:rFonts w:hint="eastAsia" w:ascii="宋体" w:hAnsi="宋体"/>
              </w:rPr>
              <w:t>植物学、植物生理学、基础生物化学、土壤与植物营养等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ascii="宋体" w:hAnsi="宋体"/>
              </w:rPr>
            </w:pPr>
            <w:r>
              <w:rPr>
                <w:rFonts w:hint="eastAsia" w:ascii="宋体" w:hAnsi="宋体"/>
                <w:b/>
              </w:rPr>
              <w:t>主撰人</w:t>
            </w:r>
            <w:r>
              <w:rPr>
                <w:rFonts w:hint="eastAsia" w:ascii="宋体" w:hAnsi="宋体"/>
              </w:rPr>
              <w:t>：白团辉、简在海</w:t>
            </w:r>
          </w:p>
        </w:tc>
        <w:tc>
          <w:tcPr>
            <w:tcW w:w="1453" w:type="pct"/>
            <w:vAlign w:val="center"/>
          </w:tcPr>
          <w:p>
            <w:pPr>
              <w:rPr>
                <w:rFonts w:ascii="黑体" w:eastAsia="黑体"/>
              </w:rPr>
            </w:pPr>
            <w:r>
              <w:rPr>
                <w:rFonts w:hint="eastAsia" w:ascii="宋体" w:hAnsi="宋体"/>
                <w:b/>
              </w:rPr>
              <w:t>审核人</w:t>
            </w:r>
            <w:r>
              <w:rPr>
                <w:rFonts w:hint="eastAsia" w:ascii="宋体" w:hAnsi="宋体"/>
              </w:rPr>
              <w:t>：冯建灿、郑先波</w:t>
            </w:r>
          </w:p>
        </w:tc>
        <w:tc>
          <w:tcPr>
            <w:tcW w:w="1881" w:type="pct"/>
            <w:vAlign w:val="center"/>
          </w:tcPr>
          <w:p>
            <w:pPr>
              <w:rPr>
                <w:rFonts w:ascii="宋体" w:hAnsi="宋体"/>
              </w:rPr>
            </w:pPr>
            <w:r>
              <w:rPr>
                <w:rFonts w:hint="eastAsia" w:ascii="宋体" w:hAnsi="宋体"/>
                <w:b/>
              </w:rPr>
              <w:t>大纲制定（修订）日期</w:t>
            </w:r>
            <w:r>
              <w:rPr>
                <w:rFonts w:hint="eastAsia" w:ascii="宋体" w:hAnsi="宋体"/>
              </w:rPr>
              <w:t>：</w:t>
            </w:r>
            <w:r>
              <w:rPr>
                <w:rFonts w:hint="eastAsia" w:ascii="黑体" w:eastAsia="黑体"/>
              </w:rPr>
              <w:t xml:space="preserve"> </w:t>
            </w:r>
            <w:r>
              <w:rPr>
                <w:rFonts w:ascii="宋体" w:hAnsi="宋体"/>
              </w:rPr>
              <w:t>2023</w:t>
            </w:r>
          </w:p>
        </w:tc>
      </w:tr>
    </w:tbl>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1.课程简介</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果树栽培学》是一门以现代生物科学为基础，研究果树的生长发育、产量品质形成及其内外因关系规律和调控技术的综合性应用技术科学，是园艺专业的核心课程。《果树栽培学》实习是园艺专业实践教学的重要组成部分，通过教学实习，现场组织学生从事实际操作，增强学生的动手能力，加深对果树栽培学理论知识的理解与应用，巩固提高学生的果园管理技术，培养学生果树栽培的实际操作能力，从而运用掌握的知识及技能去分析解决果树生产实际中出现的具体问题。</w:t>
      </w:r>
    </w:p>
    <w:p>
      <w:pPr>
        <w:numPr>
          <w:ilvl w:val="0"/>
          <w:numId w:val="46"/>
        </w:numPr>
        <w:spacing w:line="360" w:lineRule="auto"/>
        <w:ind w:firstLine="422" w:firstLineChars="200"/>
        <w:rPr>
          <w:rFonts w:ascii="宋体" w:hAnsi="宋体"/>
          <w:b/>
          <w:szCs w:val="21"/>
        </w:rPr>
      </w:pPr>
      <w:r>
        <w:rPr>
          <w:rFonts w:hint="eastAsia" w:ascii="宋体" w:hAnsi="宋体"/>
          <w:b/>
          <w:szCs w:val="21"/>
        </w:rPr>
        <w:t>课程劳动教育</w:t>
      </w:r>
    </w:p>
    <w:p>
      <w:pPr>
        <w:spacing w:line="360" w:lineRule="auto"/>
        <w:ind w:firstLine="420" w:firstLineChars="200"/>
        <w:rPr>
          <w:rFonts w:ascii="宋体" w:hAnsi="宋体"/>
          <w:b/>
          <w:szCs w:val="21"/>
        </w:rPr>
      </w:pPr>
      <w:r>
        <w:rPr>
          <w:rFonts w:hint="eastAsia" w:ascii="宋体" w:hAnsi="宋体"/>
          <w:bCs/>
          <w:szCs w:val="21"/>
        </w:rPr>
        <w:t>劳动教育是新时代党对教育的新要求，是中国特色社会主义教育制度的重要内容，是全面发展教育体系的重要组成部分。通过学生以动手实践为主要方式在果园进行的果树栽培实习劳动，引导学生认识社会，增强社会责任感。 通过果园实习劳动增强学生服务“三农”和农业农村现代化的使命感和责任感，让学生走进农村、走近农民、走向农业，了解乡情民情，学习乡土文化，提升学生学农知农爱农素养和专业实践能力。</w:t>
      </w:r>
    </w:p>
    <w:p>
      <w:pPr>
        <w:spacing w:line="360" w:lineRule="auto"/>
        <w:ind w:firstLine="422" w:firstLineChars="200"/>
        <w:rPr>
          <w:rFonts w:ascii="宋体" w:hAnsi="宋体"/>
          <w:b/>
          <w:szCs w:val="21"/>
        </w:rPr>
      </w:pPr>
      <w:r>
        <w:rPr>
          <w:rFonts w:hint="eastAsia" w:ascii="宋体" w:hAnsi="宋体"/>
          <w:b/>
          <w:szCs w:val="21"/>
        </w:rPr>
        <w:t>3</w:t>
      </w:r>
      <w:r>
        <w:rPr>
          <w:rFonts w:hint="eastAsia" w:ascii="宋体" w:hAnsi="宋体" w:cs="宋体"/>
          <w:b/>
          <w:kern w:val="0"/>
          <w:szCs w:val="21"/>
        </w:rPr>
        <w:t>.</w:t>
      </w:r>
      <w:r>
        <w:rPr>
          <w:rFonts w:hint="eastAsia" w:ascii="宋体" w:hAnsi="宋体"/>
          <w:b/>
          <w:szCs w:val="21"/>
        </w:rPr>
        <w:t>实习目的和要求</w:t>
      </w:r>
    </w:p>
    <w:p>
      <w:pPr>
        <w:spacing w:line="360" w:lineRule="auto"/>
        <w:ind w:firstLine="420" w:firstLineChars="200"/>
        <w:rPr>
          <w:rFonts w:ascii="宋体" w:hAnsi="宋体"/>
          <w:szCs w:val="21"/>
        </w:rPr>
      </w:pPr>
      <w:r>
        <w:rPr>
          <w:rFonts w:hint="eastAsia" w:ascii="宋体" w:hAnsi="宋体"/>
          <w:bCs/>
          <w:szCs w:val="21"/>
        </w:rPr>
        <w:t>通过实习，提升学生的劳动素养，提高学生的实践技能，进而深化其所掌握的理论知识，激发学习兴趣，提高学习效果。要求每个学生全程参加课程实习的每一环节，学习掌握果树修剪、树形培养和果园休眠期管理等知识技能，灵活运用所学理论知识分析解决果树生产中存在的问题。</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cs="宋体"/>
          <w:b/>
          <w:kern w:val="0"/>
          <w:szCs w:val="21"/>
        </w:rPr>
        <w:t>.</w:t>
      </w:r>
      <w:r>
        <w:rPr>
          <w:rFonts w:hint="eastAsia" w:ascii="宋体" w:hAnsi="宋体"/>
          <w:b/>
          <w:szCs w:val="21"/>
        </w:rPr>
        <w:t>实习地点及内容</w:t>
      </w:r>
    </w:p>
    <w:p>
      <w:pPr>
        <w:spacing w:line="360" w:lineRule="auto"/>
        <w:ind w:firstLine="420" w:firstLineChars="200"/>
        <w:rPr>
          <w:rFonts w:ascii="宋体" w:hAnsi="宋体"/>
          <w:bCs/>
          <w:szCs w:val="21"/>
        </w:rPr>
      </w:pPr>
      <w:r>
        <w:rPr>
          <w:rFonts w:hint="eastAsia" w:ascii="宋体" w:hAnsi="宋体"/>
          <w:bCs/>
          <w:szCs w:val="21"/>
        </w:rPr>
        <w:t>实习地点：三区教学实习基地、毛庄教学实习基地等 （实习地点根据天气和实际情况灵活安排）。</w:t>
      </w:r>
    </w:p>
    <w:p>
      <w:pPr>
        <w:spacing w:line="360" w:lineRule="auto"/>
        <w:ind w:firstLine="420" w:firstLineChars="200"/>
        <w:rPr>
          <w:rFonts w:ascii="宋体" w:hAnsi="宋体"/>
          <w:bCs/>
          <w:szCs w:val="21"/>
        </w:rPr>
      </w:pPr>
      <w:r>
        <w:rPr>
          <w:rFonts w:hint="eastAsia" w:ascii="宋体" w:hAnsi="宋体"/>
          <w:bCs/>
          <w:szCs w:val="21"/>
        </w:rPr>
        <w:t>实习内容：常见北方落叶果树的冬季修剪。</w:t>
      </w:r>
    </w:p>
    <w:p>
      <w:pPr>
        <w:spacing w:line="360" w:lineRule="auto"/>
        <w:ind w:firstLine="422" w:firstLineChars="200"/>
        <w:rPr>
          <w:rFonts w:ascii="宋体" w:hAnsi="宋体"/>
          <w:b/>
          <w:szCs w:val="21"/>
        </w:rPr>
      </w:pPr>
      <w:r>
        <w:rPr>
          <w:rFonts w:hint="eastAsia" w:ascii="宋体" w:hAnsi="宋体"/>
          <w:b/>
          <w:szCs w:val="21"/>
        </w:rPr>
        <w:t>5</w:t>
      </w:r>
      <w:r>
        <w:rPr>
          <w:rFonts w:hint="eastAsia" w:ascii="宋体" w:hAnsi="宋体" w:cs="宋体"/>
          <w:b/>
          <w:kern w:val="0"/>
          <w:szCs w:val="21"/>
        </w:rPr>
        <w:t>.</w:t>
      </w:r>
      <w:r>
        <w:rPr>
          <w:rFonts w:hint="eastAsia" w:ascii="宋体" w:hAnsi="宋体"/>
          <w:b/>
          <w:szCs w:val="21"/>
        </w:rPr>
        <w:t>实习时间安排</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三区教学实习基地   1天</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bCs/>
          <w:szCs w:val="21"/>
        </w:rPr>
        <w:t>毛庄教学实习基地   4天</w:t>
      </w:r>
    </w:p>
    <w:p>
      <w:pPr>
        <w:spacing w:line="360" w:lineRule="auto"/>
        <w:ind w:firstLine="422" w:firstLineChars="200"/>
        <w:rPr>
          <w:rFonts w:ascii="宋体" w:hAnsi="宋体"/>
          <w:b/>
          <w:szCs w:val="21"/>
        </w:rPr>
      </w:pPr>
      <w:r>
        <w:rPr>
          <w:rFonts w:hint="eastAsia" w:ascii="宋体" w:hAnsi="宋体"/>
          <w:b/>
          <w:szCs w:val="21"/>
        </w:rPr>
        <w:t>6</w:t>
      </w:r>
      <w:r>
        <w:rPr>
          <w:rFonts w:hint="eastAsia" w:ascii="宋体" w:hAnsi="宋体" w:cs="宋体"/>
          <w:b/>
          <w:kern w:val="0"/>
          <w:szCs w:val="21"/>
        </w:rPr>
        <w:t xml:space="preserve">. </w:t>
      </w:r>
      <w:r>
        <w:rPr>
          <w:rFonts w:hint="eastAsia" w:ascii="宋体" w:hAnsi="宋体"/>
          <w:b/>
          <w:szCs w:val="21"/>
        </w:rPr>
        <w:t>实习具体要求</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每6人为一个实习小组，对每组成员要求进行合理的详细分工。实习期间要求学生以小组为单位共同探讨、学习，协作完成。</w:t>
      </w:r>
    </w:p>
    <w:p>
      <w:pPr>
        <w:tabs>
          <w:tab w:val="left" w:pos="3720"/>
          <w:tab w:val="left" w:pos="3780"/>
          <w:tab w:val="left" w:pos="4305"/>
        </w:tabs>
        <w:adjustRightInd w:val="0"/>
        <w:snapToGrid w:val="0"/>
        <w:spacing w:line="360" w:lineRule="auto"/>
        <w:ind w:firstLine="420" w:firstLineChars="200"/>
        <w:rPr>
          <w:rFonts w:ascii="宋体" w:hAnsi="宋体"/>
          <w:color w:val="0000FF"/>
          <w:szCs w:val="21"/>
        </w:rPr>
      </w:pPr>
      <w:r>
        <w:rPr>
          <w:rFonts w:hint="eastAsia" w:ascii="宋体" w:hAnsi="宋体"/>
          <w:bCs/>
          <w:szCs w:val="21"/>
        </w:rPr>
        <w:t>每次实习结束，学生按照实习指导的作业要求及时完成和上交作业。需要集体完成的必须协作完成，并有小组长负责上交。</w:t>
      </w:r>
    </w:p>
    <w:p>
      <w:pPr>
        <w:widowControl/>
        <w:spacing w:line="360" w:lineRule="auto"/>
        <w:ind w:firstLine="422" w:firstLineChars="200"/>
        <w:jc w:val="left"/>
        <w:rPr>
          <w:rFonts w:ascii="宋体" w:hAnsi="宋体" w:cs="宋体"/>
          <w:b/>
          <w:kern w:val="0"/>
          <w:szCs w:val="21"/>
        </w:rPr>
      </w:pPr>
      <w:r>
        <w:rPr>
          <w:rFonts w:hint="eastAsia" w:ascii="宋体" w:hAnsi="宋体"/>
          <w:b/>
          <w:szCs w:val="21"/>
        </w:rPr>
        <w:t>7</w:t>
      </w:r>
      <w:r>
        <w:rPr>
          <w:rFonts w:hint="eastAsia" w:ascii="宋体" w:hAnsi="宋体" w:cs="宋体"/>
          <w:b/>
          <w:kern w:val="0"/>
          <w:szCs w:val="21"/>
        </w:rPr>
        <w:t>. 考核方式与成绩评定标准</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实习成绩由实习报告和考核成绩构成，实习报告成绩满分100分，占总成绩的50%，实践考试成绩满分100分，占总成绩的50%。</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实习成绩分为优秀（90～100分）、良好（80～90分）、中等（70～80分）、及格（60～70分）和不及格（60分以下）五个等次。</w:t>
      </w:r>
    </w:p>
    <w:p>
      <w:pPr>
        <w:tabs>
          <w:tab w:val="left" w:pos="3720"/>
          <w:tab w:val="left" w:pos="3780"/>
          <w:tab w:val="left" w:pos="4305"/>
        </w:tabs>
        <w:adjustRightInd w:val="0"/>
        <w:snapToGrid w:val="0"/>
        <w:spacing w:line="360" w:lineRule="auto"/>
        <w:ind w:firstLine="420" w:firstLineChars="200"/>
        <w:jc w:val="center"/>
        <w:rPr>
          <w:rFonts w:ascii="宋体" w:hAnsi="宋体"/>
          <w:bCs/>
          <w:szCs w:val="21"/>
        </w:rPr>
      </w:pPr>
      <w:r>
        <w:rPr>
          <w:rFonts w:hint="eastAsia" w:ascii="宋体" w:hAnsi="宋体"/>
          <w:bCs/>
          <w:szCs w:val="21"/>
        </w:rPr>
        <w:t>果树栽培学教学实习考核评分标准</w:t>
      </w:r>
    </w:p>
    <w:tbl>
      <w:tblPr>
        <w:tblStyle w:val="22"/>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417"/>
        <w:gridCol w:w="1276"/>
        <w:gridCol w:w="1559"/>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68" w:type="dxa"/>
            <w:vAlign w:val="bottom"/>
          </w:tcPr>
          <w:p>
            <w:pPr>
              <w:spacing w:line="360" w:lineRule="auto"/>
              <w:jc w:val="center"/>
              <w:rPr>
                <w:rFonts w:ascii="宋体" w:hAnsi="宋体"/>
                <w:sz w:val="18"/>
                <w:szCs w:val="18"/>
              </w:rPr>
            </w:pPr>
            <w:r>
              <w:rPr>
                <w:rFonts w:hint="eastAsia" w:ascii="宋体" w:hAnsi="宋体"/>
                <w:sz w:val="18"/>
                <w:szCs w:val="18"/>
              </w:rPr>
              <w:t>优秀</w:t>
            </w:r>
          </w:p>
        </w:tc>
        <w:tc>
          <w:tcPr>
            <w:tcW w:w="1417" w:type="dxa"/>
            <w:vAlign w:val="bottom"/>
          </w:tcPr>
          <w:p>
            <w:pPr>
              <w:spacing w:line="360" w:lineRule="auto"/>
              <w:jc w:val="center"/>
              <w:rPr>
                <w:rFonts w:ascii="宋体" w:hAnsi="宋体"/>
                <w:sz w:val="18"/>
                <w:szCs w:val="18"/>
              </w:rPr>
            </w:pPr>
            <w:r>
              <w:rPr>
                <w:rFonts w:hint="eastAsia" w:ascii="宋体" w:hAnsi="宋体"/>
                <w:sz w:val="18"/>
                <w:szCs w:val="18"/>
              </w:rPr>
              <w:t>良好</w:t>
            </w:r>
          </w:p>
        </w:tc>
        <w:tc>
          <w:tcPr>
            <w:tcW w:w="1276" w:type="dxa"/>
            <w:vAlign w:val="bottom"/>
          </w:tcPr>
          <w:p>
            <w:pPr>
              <w:spacing w:line="360" w:lineRule="auto"/>
              <w:jc w:val="center"/>
              <w:rPr>
                <w:rFonts w:ascii="宋体" w:hAnsi="宋体"/>
                <w:sz w:val="18"/>
                <w:szCs w:val="18"/>
              </w:rPr>
            </w:pPr>
            <w:r>
              <w:rPr>
                <w:rFonts w:hint="eastAsia" w:ascii="宋体" w:hAnsi="宋体"/>
                <w:sz w:val="18"/>
                <w:szCs w:val="18"/>
              </w:rPr>
              <w:t>中等</w:t>
            </w:r>
          </w:p>
        </w:tc>
        <w:tc>
          <w:tcPr>
            <w:tcW w:w="1559" w:type="dxa"/>
            <w:vAlign w:val="bottom"/>
          </w:tcPr>
          <w:p>
            <w:pPr>
              <w:spacing w:line="360" w:lineRule="auto"/>
              <w:jc w:val="center"/>
              <w:rPr>
                <w:rFonts w:ascii="宋体" w:hAnsi="宋体"/>
                <w:sz w:val="18"/>
                <w:szCs w:val="18"/>
              </w:rPr>
            </w:pPr>
            <w:r>
              <w:rPr>
                <w:rFonts w:hint="eastAsia" w:ascii="宋体" w:hAnsi="宋体"/>
                <w:sz w:val="18"/>
                <w:szCs w:val="18"/>
              </w:rPr>
              <w:t>及格</w:t>
            </w:r>
          </w:p>
        </w:tc>
        <w:tc>
          <w:tcPr>
            <w:tcW w:w="2126" w:type="dxa"/>
            <w:vAlign w:val="bottom"/>
          </w:tcPr>
          <w:p>
            <w:pPr>
              <w:spacing w:line="360" w:lineRule="auto"/>
              <w:jc w:val="center"/>
              <w:rPr>
                <w:rFonts w:ascii="宋体" w:hAnsi="宋体"/>
                <w:sz w:val="18"/>
                <w:szCs w:val="18"/>
              </w:rPr>
            </w:pPr>
            <w:r>
              <w:rPr>
                <w:rFonts w:hint="eastAsia" w:ascii="宋体" w:hAnsi="宋体"/>
                <w:sz w:val="18"/>
                <w:szCs w:val="18"/>
              </w:rPr>
              <w:t>不及格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668" w:type="dxa"/>
            <w:vAlign w:val="bottom"/>
          </w:tcPr>
          <w:p>
            <w:pPr>
              <w:spacing w:line="360" w:lineRule="auto"/>
              <w:jc w:val="center"/>
              <w:rPr>
                <w:rFonts w:ascii="宋体" w:hAnsi="宋体"/>
                <w:sz w:val="18"/>
                <w:szCs w:val="18"/>
              </w:rPr>
            </w:pPr>
            <w:r>
              <w:rPr>
                <w:rFonts w:hint="eastAsia" w:ascii="宋体" w:hAnsi="宋体"/>
                <w:sz w:val="18"/>
                <w:szCs w:val="18"/>
              </w:rPr>
              <w:t>质量高</w:t>
            </w:r>
          </w:p>
        </w:tc>
        <w:tc>
          <w:tcPr>
            <w:tcW w:w="1417" w:type="dxa"/>
            <w:vAlign w:val="bottom"/>
          </w:tcPr>
          <w:p>
            <w:pPr>
              <w:spacing w:line="360" w:lineRule="auto"/>
              <w:jc w:val="center"/>
              <w:rPr>
                <w:rFonts w:ascii="宋体" w:hAnsi="宋体"/>
                <w:sz w:val="18"/>
                <w:szCs w:val="18"/>
              </w:rPr>
            </w:pPr>
            <w:r>
              <w:rPr>
                <w:rFonts w:hint="eastAsia" w:ascii="宋体" w:hAnsi="宋体"/>
                <w:sz w:val="18"/>
                <w:szCs w:val="18"/>
              </w:rPr>
              <w:t>质量好</w:t>
            </w:r>
          </w:p>
        </w:tc>
        <w:tc>
          <w:tcPr>
            <w:tcW w:w="1276" w:type="dxa"/>
            <w:vAlign w:val="bottom"/>
          </w:tcPr>
          <w:p>
            <w:pPr>
              <w:spacing w:line="360" w:lineRule="auto"/>
              <w:jc w:val="center"/>
              <w:rPr>
                <w:rFonts w:ascii="宋体" w:hAnsi="宋体"/>
                <w:sz w:val="18"/>
                <w:szCs w:val="18"/>
              </w:rPr>
            </w:pPr>
            <w:r>
              <w:rPr>
                <w:rFonts w:hint="eastAsia" w:ascii="宋体" w:hAnsi="宋体"/>
                <w:sz w:val="18"/>
                <w:szCs w:val="18"/>
              </w:rPr>
              <w:t>符合要求</w:t>
            </w:r>
          </w:p>
        </w:tc>
        <w:tc>
          <w:tcPr>
            <w:tcW w:w="1559" w:type="dxa"/>
            <w:vAlign w:val="bottom"/>
          </w:tcPr>
          <w:p>
            <w:pPr>
              <w:spacing w:line="360" w:lineRule="auto"/>
              <w:jc w:val="center"/>
              <w:rPr>
                <w:rFonts w:ascii="宋体" w:hAnsi="宋体"/>
                <w:sz w:val="18"/>
                <w:szCs w:val="18"/>
              </w:rPr>
            </w:pPr>
            <w:r>
              <w:rPr>
                <w:rFonts w:hint="eastAsia" w:ascii="宋体" w:hAnsi="宋体"/>
                <w:sz w:val="18"/>
                <w:szCs w:val="18"/>
              </w:rPr>
              <w:t>基本符合要求</w:t>
            </w:r>
          </w:p>
        </w:tc>
        <w:tc>
          <w:tcPr>
            <w:tcW w:w="2126" w:type="dxa"/>
            <w:vAlign w:val="bottom"/>
          </w:tcPr>
          <w:p>
            <w:pPr>
              <w:spacing w:line="360" w:lineRule="auto"/>
              <w:jc w:val="center"/>
              <w:rPr>
                <w:rFonts w:ascii="宋体" w:hAnsi="宋体"/>
                <w:sz w:val="18"/>
                <w:szCs w:val="18"/>
              </w:rPr>
            </w:pPr>
            <w:r>
              <w:rPr>
                <w:rFonts w:hint="eastAsia" w:ascii="宋体" w:hAnsi="宋体"/>
                <w:sz w:val="18"/>
                <w:szCs w:val="18"/>
              </w:rPr>
              <w:t>不符合要求</w:t>
            </w:r>
          </w:p>
        </w:tc>
      </w:tr>
    </w:tbl>
    <w:p>
      <w:pPr>
        <w:tabs>
          <w:tab w:val="left" w:pos="3720"/>
          <w:tab w:val="left" w:pos="3780"/>
          <w:tab w:val="left" w:pos="4305"/>
        </w:tabs>
        <w:adjustRightInd w:val="0"/>
        <w:snapToGrid w:val="0"/>
        <w:spacing w:line="360" w:lineRule="auto"/>
        <w:ind w:firstLine="420" w:firstLineChars="200"/>
        <w:rPr>
          <w:rFonts w:ascii="宋体" w:hAnsi="宋体"/>
          <w:bCs/>
          <w:szCs w:val="21"/>
        </w:rPr>
      </w:pPr>
    </w:p>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8. 教材及主要参考资料</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（1）果树栽培学总论 （第四版），张玉星，中国农业出版社，2011</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（2）园艺植物栽培学（第三版），李光晨、范双喜，中国农业大学出版社，2021</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（3）现代果树生物学，李天忠，张志宏，科学出版社出版，2008</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（4）园艺植物栽培学，夏仁学，高等教育出版社，2004</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（6）苹果栽培学，王宇霖，科学出版社出版时间，2011</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（7）园艺概论（第二版），程智慧，科学出版社，2018</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（8）果树栽培学，郑智龙，中国农业科学技术出版社出版，2011</w:t>
      </w:r>
    </w:p>
    <w:p>
      <w:pPr>
        <w:tabs>
          <w:tab w:val="left" w:pos="3720"/>
          <w:tab w:val="left" w:pos="3780"/>
          <w:tab w:val="left" w:pos="4305"/>
        </w:tabs>
        <w:adjustRightInd w:val="0"/>
        <w:snapToGrid w:val="0"/>
        <w:spacing w:line="360" w:lineRule="auto"/>
        <w:ind w:firstLine="420" w:firstLineChars="200"/>
        <w:rPr>
          <w:rFonts w:hint="eastAsia" w:eastAsia="宋体"/>
          <w:lang w:eastAsia="zh-CN"/>
        </w:rPr>
      </w:pPr>
      <w:r>
        <w:rPr>
          <w:rFonts w:hint="eastAsia" w:ascii="宋体" w:hAnsi="宋体"/>
          <w:bCs/>
          <w:szCs w:val="21"/>
        </w:rPr>
        <w:t>（9）果树生理学，杨洪强，中国农业出版社出版，2022</w:t>
      </w:r>
    </w:p>
    <w:p>
      <w:pPr>
        <w:pStyle w:val="21"/>
        <w:jc w:val="left"/>
        <w:rPr>
          <w:sz w:val="21"/>
          <w:szCs w:val="21"/>
        </w:rPr>
      </w:pPr>
      <w:bookmarkStart w:id="521" w:name="_Toc138076363"/>
      <w:bookmarkStart w:id="522" w:name="_Toc138075644"/>
      <w:bookmarkStart w:id="523" w:name="_Toc138076658"/>
      <w:bookmarkStart w:id="524" w:name="_Toc138076114"/>
      <w:bookmarkStart w:id="525" w:name="_Toc18114"/>
      <w:r>
        <w:rPr>
          <w:rFonts w:hint="eastAsia"/>
          <w:sz w:val="21"/>
          <w:szCs w:val="21"/>
        </w:rPr>
        <w:t>（</w:t>
      </w:r>
      <w:r>
        <w:rPr>
          <w:rFonts w:hint="eastAsia"/>
          <w:sz w:val="21"/>
          <w:szCs w:val="21"/>
          <w:lang w:val="en-US" w:eastAsia="zh-CN"/>
        </w:rPr>
        <w:t>五</w:t>
      </w:r>
      <w:r>
        <w:rPr>
          <w:rFonts w:hint="eastAsia"/>
          <w:sz w:val="21"/>
          <w:szCs w:val="21"/>
        </w:rPr>
        <w:t>）花卉栽培学实习</w:t>
      </w:r>
      <w:bookmarkEnd w:id="521"/>
      <w:bookmarkEnd w:id="522"/>
      <w:bookmarkEnd w:id="523"/>
      <w:bookmarkEnd w:id="524"/>
      <w:bookmarkEnd w:id="525"/>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hint="eastAsia" w:ascii="宋体" w:hAnsi="宋体" w:eastAsia="宋体" w:cs="宋体"/>
                <w:b/>
                <w:bCs w:val="0"/>
              </w:rPr>
            </w:pPr>
            <w:r>
              <w:rPr>
                <w:rFonts w:hint="eastAsia" w:ascii="宋体" w:hAnsi="宋体" w:eastAsia="宋体" w:cs="宋体"/>
                <w:b/>
                <w:bCs w:val="0"/>
              </w:rPr>
              <w:t>开设学期</w:t>
            </w:r>
            <w:r>
              <w:rPr>
                <w:rFonts w:hint="eastAsia" w:ascii="宋体" w:hAnsi="宋体" w:eastAsia="宋体" w:cs="宋体"/>
                <w:b/>
                <w:bCs w:val="0"/>
                <w:szCs w:val="21"/>
              </w:rPr>
              <w:t>：第5学期</w:t>
            </w:r>
          </w:p>
        </w:tc>
        <w:tc>
          <w:tcPr>
            <w:tcW w:w="1453" w:type="pct"/>
            <w:vAlign w:val="center"/>
          </w:tcPr>
          <w:p>
            <w:pPr>
              <w:rPr>
                <w:rFonts w:hint="eastAsia" w:ascii="宋体" w:hAnsi="宋体" w:eastAsia="宋体" w:cs="宋体"/>
                <w:b/>
                <w:bCs w:val="0"/>
              </w:rPr>
            </w:pPr>
            <w:r>
              <w:rPr>
                <w:rFonts w:hint="eastAsia" w:ascii="宋体" w:hAnsi="宋体" w:eastAsia="宋体" w:cs="宋体"/>
                <w:b/>
                <w:bCs w:val="0"/>
              </w:rPr>
              <w:t>实习周数</w:t>
            </w:r>
            <w:r>
              <w:rPr>
                <w:rFonts w:hint="eastAsia" w:ascii="宋体" w:hAnsi="宋体" w:eastAsia="宋体" w:cs="宋体"/>
                <w:b/>
                <w:bCs w:val="0"/>
                <w:szCs w:val="21"/>
              </w:rPr>
              <w:t>：1</w:t>
            </w:r>
          </w:p>
        </w:tc>
        <w:tc>
          <w:tcPr>
            <w:tcW w:w="1881" w:type="pct"/>
            <w:vAlign w:val="center"/>
          </w:tcPr>
          <w:p>
            <w:pPr>
              <w:rPr>
                <w:rFonts w:hint="eastAsia" w:ascii="宋体" w:hAnsi="宋体" w:eastAsia="宋体" w:cs="宋体"/>
                <w:b/>
                <w:bCs w:val="0"/>
              </w:rPr>
            </w:pPr>
            <w:r>
              <w:rPr>
                <w:rFonts w:hint="eastAsia" w:ascii="宋体" w:hAnsi="宋体" w:eastAsia="宋体" w:cs="宋体"/>
                <w:b/>
                <w:bCs w:val="0"/>
              </w:rPr>
              <w:t>学分</w:t>
            </w:r>
            <w:r>
              <w:rPr>
                <w:rFonts w:hint="eastAsia" w:ascii="宋体" w:hAnsi="宋体" w:eastAsia="宋体" w:cs="宋体"/>
                <w:b/>
                <w:bCs w:val="0"/>
                <w:szCs w:val="21"/>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hint="eastAsia" w:ascii="宋体" w:hAnsi="宋体" w:eastAsia="宋体" w:cs="宋体"/>
                <w:b/>
                <w:bCs w:val="0"/>
              </w:rPr>
            </w:pPr>
            <w:r>
              <w:rPr>
                <w:rFonts w:hint="eastAsia" w:ascii="宋体" w:hAnsi="宋体" w:eastAsia="宋体" w:cs="宋体"/>
                <w:b/>
                <w:bCs w:val="0"/>
              </w:rPr>
              <w:t>适用专业：园艺专业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hint="eastAsia" w:ascii="宋体" w:hAnsi="宋体" w:eastAsia="宋体" w:cs="宋体"/>
                <w:b/>
                <w:bCs w:val="0"/>
              </w:rPr>
            </w:pPr>
            <w:r>
              <w:rPr>
                <w:rFonts w:hint="eastAsia" w:ascii="宋体" w:hAnsi="宋体" w:eastAsia="宋体" w:cs="宋体"/>
                <w:b/>
                <w:bCs w:val="0"/>
              </w:rPr>
              <w:t>先修课程：植物学、植物生理学、土壤肥料学、作物病虫害防治学、园艺植物育种学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5" w:hRule="atLeast"/>
        </w:trPr>
        <w:tc>
          <w:tcPr>
            <w:tcW w:w="1666" w:type="pct"/>
            <w:vAlign w:val="center"/>
          </w:tcPr>
          <w:p>
            <w:pPr>
              <w:rPr>
                <w:rFonts w:hint="eastAsia" w:ascii="宋体" w:hAnsi="宋体" w:eastAsia="宋体" w:cs="宋体"/>
                <w:b/>
                <w:bCs w:val="0"/>
              </w:rPr>
            </w:pPr>
            <w:r>
              <w:rPr>
                <w:rFonts w:hint="eastAsia" w:ascii="宋体" w:hAnsi="宋体" w:eastAsia="宋体" w:cs="宋体"/>
                <w:b/>
                <w:bCs w:val="0"/>
              </w:rPr>
              <w:t xml:space="preserve">主撰人：花卉栽培学课程组 </w:t>
            </w:r>
          </w:p>
        </w:tc>
        <w:tc>
          <w:tcPr>
            <w:tcW w:w="1453" w:type="pct"/>
            <w:vAlign w:val="center"/>
          </w:tcPr>
          <w:p>
            <w:pPr>
              <w:rPr>
                <w:rFonts w:hint="eastAsia" w:ascii="宋体" w:hAnsi="宋体" w:eastAsia="宋体" w:cs="宋体"/>
                <w:b/>
                <w:bCs w:val="0"/>
              </w:rPr>
            </w:pPr>
            <w:r>
              <w:rPr>
                <w:rFonts w:hint="eastAsia" w:ascii="宋体" w:hAnsi="宋体" w:eastAsia="宋体" w:cs="宋体"/>
                <w:b/>
                <w:bCs w:val="0"/>
              </w:rPr>
              <w:t>审核人：薛东齐</w:t>
            </w:r>
          </w:p>
        </w:tc>
        <w:tc>
          <w:tcPr>
            <w:tcW w:w="1881" w:type="pct"/>
            <w:vAlign w:val="center"/>
          </w:tcPr>
          <w:p>
            <w:pPr>
              <w:rPr>
                <w:rFonts w:hint="eastAsia" w:ascii="宋体" w:hAnsi="宋体" w:eastAsia="宋体" w:cs="宋体"/>
                <w:b/>
                <w:bCs w:val="0"/>
              </w:rPr>
            </w:pPr>
            <w:r>
              <w:rPr>
                <w:rFonts w:hint="eastAsia" w:ascii="宋体" w:hAnsi="宋体" w:eastAsia="宋体" w:cs="宋体"/>
                <w:b/>
                <w:bCs w:val="0"/>
              </w:rPr>
              <w:t>大纲制定（修订）日期：2023.05</w:t>
            </w:r>
          </w:p>
        </w:tc>
      </w:tr>
    </w:tbl>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1.课程简介</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通过花卉栽培学理论教学，在掌握花卉栽培学的基本理论、基本知识的基础上，进行花卉栽</w:t>
      </w:r>
    </w:p>
    <w:p>
      <w:pPr>
        <w:tabs>
          <w:tab w:val="left" w:pos="3720"/>
          <w:tab w:val="left" w:pos="3780"/>
          <w:tab w:val="left" w:pos="4305"/>
        </w:tabs>
        <w:adjustRightInd w:val="0"/>
        <w:snapToGrid w:val="0"/>
        <w:spacing w:line="360" w:lineRule="auto"/>
        <w:rPr>
          <w:rFonts w:ascii="宋体" w:hAnsi="宋体"/>
          <w:bCs/>
          <w:szCs w:val="21"/>
        </w:rPr>
      </w:pPr>
      <w:r>
        <w:rPr>
          <w:rFonts w:hint="eastAsia" w:ascii="宋体" w:hAnsi="宋体"/>
          <w:bCs/>
          <w:szCs w:val="21"/>
        </w:rPr>
        <w:t>培学的实习，通过实验要求能够识别花卉种类及常见品种，熟悉各类花卉的生物学特性和生态学</w:t>
      </w:r>
    </w:p>
    <w:p>
      <w:pPr>
        <w:tabs>
          <w:tab w:val="left" w:pos="3720"/>
          <w:tab w:val="left" w:pos="3780"/>
          <w:tab w:val="left" w:pos="4305"/>
        </w:tabs>
        <w:adjustRightInd w:val="0"/>
        <w:snapToGrid w:val="0"/>
        <w:spacing w:line="360" w:lineRule="auto"/>
        <w:rPr>
          <w:rFonts w:ascii="宋体" w:hAnsi="宋体"/>
          <w:szCs w:val="21"/>
        </w:rPr>
      </w:pPr>
      <w:r>
        <w:rPr>
          <w:rFonts w:hint="eastAsia" w:ascii="宋体" w:hAnsi="宋体"/>
          <w:bCs/>
          <w:szCs w:val="21"/>
        </w:rPr>
        <w:t>习性，掌握花卉的繁殖栽培方法，为花卉在园林中应用和实现花卉产业化奠定理论和技术基础。</w:t>
      </w:r>
    </w:p>
    <w:p>
      <w:pPr>
        <w:spacing w:line="360" w:lineRule="auto"/>
        <w:ind w:firstLine="422" w:firstLineChars="200"/>
        <w:rPr>
          <w:rFonts w:ascii="宋体" w:hAnsi="宋体"/>
          <w:b/>
          <w:szCs w:val="21"/>
        </w:rPr>
      </w:pPr>
      <w:r>
        <w:rPr>
          <w:rFonts w:ascii="宋体" w:hAnsi="宋体"/>
          <w:b/>
          <w:szCs w:val="21"/>
        </w:rPr>
        <w:t>2.</w:t>
      </w:r>
      <w:r>
        <w:rPr>
          <w:rFonts w:hint="eastAsia" w:ascii="宋体" w:hAnsi="宋体"/>
          <w:b/>
          <w:szCs w:val="21"/>
        </w:rPr>
        <w:t>课程劳动教育</w:t>
      </w:r>
    </w:p>
    <w:p>
      <w:pPr>
        <w:spacing w:line="360" w:lineRule="auto"/>
        <w:ind w:firstLine="420" w:firstLineChars="200"/>
        <w:rPr>
          <w:rFonts w:ascii="宋体" w:hAnsi="宋体"/>
          <w:szCs w:val="21"/>
        </w:rPr>
      </w:pPr>
      <w:r>
        <w:rPr>
          <w:rFonts w:hint="eastAsia" w:ascii="宋体" w:hAnsi="宋体"/>
          <w:szCs w:val="21"/>
        </w:rPr>
        <w:t>花卉栽培学课程秉持“勤读力耕、立己达人”精神，结合国家发展、“三农发展”和专业特色一方面，安排学生到河南农业大学耕读教育实践基地，进行月季整形和管理，通过“一人一树”“一人一花”“包干到人”的方式，积极引导学生在劳动中结合所学专业深度思考、大胆创新；另一方面，安排学生到开放性公园、植物园、</w:t>
      </w:r>
      <w:r>
        <w:rPr>
          <w:rFonts w:hint="eastAsia" w:ascii="宋体" w:hAnsi="宋体"/>
          <w:bCs/>
          <w:szCs w:val="21"/>
        </w:rPr>
        <w:t>花卉产业园区和科研单位等地，实地调研考察和学习花卉的应用和生产栽培技术，了解花农和花卉产业。</w:t>
      </w:r>
      <w:r>
        <w:rPr>
          <w:rFonts w:hint="eastAsia" w:ascii="宋体" w:hAnsi="宋体"/>
          <w:szCs w:val="21"/>
        </w:rPr>
        <w:t>利用一系列的技能学习和实践活动，提高学生深度分析“三农”的能力，引导学生知农、爱农、强农、兴农。课程劳动教育学时可由实践过程学时进行抵消。</w:t>
      </w:r>
    </w:p>
    <w:p>
      <w:pPr>
        <w:spacing w:line="360" w:lineRule="auto"/>
        <w:ind w:firstLine="422" w:firstLineChars="200"/>
        <w:rPr>
          <w:rFonts w:ascii="宋体" w:hAnsi="宋体"/>
          <w:b/>
          <w:szCs w:val="21"/>
        </w:rPr>
      </w:pPr>
      <w:r>
        <w:rPr>
          <w:rFonts w:hint="eastAsia" w:ascii="宋体" w:hAnsi="宋体"/>
          <w:b/>
          <w:szCs w:val="21"/>
        </w:rPr>
        <w:t>3</w:t>
      </w:r>
      <w:r>
        <w:rPr>
          <w:rFonts w:hint="eastAsia" w:ascii="宋体" w:hAnsi="宋体" w:cs="宋体"/>
          <w:b/>
          <w:kern w:val="0"/>
          <w:szCs w:val="21"/>
        </w:rPr>
        <w:t>.</w:t>
      </w:r>
      <w:r>
        <w:rPr>
          <w:rFonts w:hint="eastAsia" w:ascii="宋体" w:hAnsi="宋体"/>
          <w:b/>
          <w:szCs w:val="21"/>
        </w:rPr>
        <w:t>实习目的和要求</w:t>
      </w:r>
    </w:p>
    <w:p>
      <w:pPr>
        <w:spacing w:line="360" w:lineRule="auto"/>
        <w:ind w:firstLine="420" w:firstLineChars="200"/>
        <w:rPr>
          <w:rFonts w:ascii="宋体" w:hAnsi="宋体"/>
          <w:bCs/>
          <w:szCs w:val="21"/>
        </w:rPr>
      </w:pPr>
      <w:r>
        <w:rPr>
          <w:rFonts w:hint="eastAsia" w:ascii="宋体" w:hAnsi="宋体"/>
          <w:bCs/>
          <w:szCs w:val="21"/>
        </w:rPr>
        <w:t>花卉栽培学实习，目的是让学生走出校门，在公园、植物园、花卉产业园区和科研单位等地，通过实地观察、实地调查、听取介绍和实践操作等形式，将所学的理论知识与生产实际有机结合，更好的了解不同类别花卉的生长习性、栽培特点、应用形式以及产业问题等，达到学以致用的目的，同时培养学生调查研究、发现问题、分析问题和解决问题的能力，激发学生学习的自觉性，培养学生的学习兴趣，使学生更加热爱自己的专业。</w:t>
      </w:r>
    </w:p>
    <w:p>
      <w:pPr>
        <w:spacing w:line="360" w:lineRule="auto"/>
        <w:ind w:firstLine="420" w:firstLineChars="200"/>
        <w:rPr>
          <w:rFonts w:ascii="宋体" w:hAnsi="宋体"/>
          <w:bCs/>
          <w:szCs w:val="21"/>
        </w:rPr>
      </w:pPr>
      <w:r>
        <w:rPr>
          <w:rFonts w:hint="eastAsia" w:ascii="宋体" w:hAnsi="宋体"/>
          <w:bCs/>
          <w:szCs w:val="21"/>
        </w:rPr>
        <w:t>课程实习要求学生必须服从指导教师的安排，严格遵守各项纪律，全程参加课程实习的每一个环节。实习过程中，学生必须做好实习笔记，认真观察和记载，结合实际，综合运用所学知识评价和分析不同类别花卉在实际生产和应用中存在的问题并提出合理有效的解决方案，同时要尊重基层技术人员和花农的劳动成果，严禁随意摘花。实习结束后，要求学生及时进行总结并根据实习教学内容认真撰写实习报告。</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cs="宋体"/>
          <w:b/>
          <w:kern w:val="0"/>
          <w:szCs w:val="21"/>
        </w:rPr>
        <w:t>.</w:t>
      </w:r>
      <w:r>
        <w:rPr>
          <w:rFonts w:hint="eastAsia" w:ascii="宋体" w:hAnsi="宋体"/>
          <w:b/>
          <w:szCs w:val="21"/>
        </w:rPr>
        <w:t>实习地点及内容</w:t>
      </w:r>
    </w:p>
    <w:p>
      <w:pPr>
        <w:tabs>
          <w:tab w:val="left" w:pos="3720"/>
          <w:tab w:val="left" w:pos="3780"/>
          <w:tab w:val="left" w:pos="4305"/>
        </w:tabs>
        <w:adjustRightInd w:val="0"/>
        <w:snapToGrid w:val="0"/>
        <w:spacing w:line="360" w:lineRule="auto"/>
        <w:ind w:firstLine="422" w:firstLineChars="200"/>
        <w:rPr>
          <w:rFonts w:ascii="宋体" w:hAnsi="宋体"/>
          <w:bCs/>
          <w:szCs w:val="21"/>
        </w:rPr>
      </w:pPr>
      <w:r>
        <w:rPr>
          <w:rFonts w:hint="eastAsia" w:ascii="宋体" w:hAnsi="宋体"/>
          <w:b/>
          <w:szCs w:val="21"/>
        </w:rPr>
        <w:t>（1）</w:t>
      </w:r>
      <w:r>
        <w:rPr>
          <w:rFonts w:hint="eastAsia" w:ascii="宋体" w:hAnsi="宋体"/>
          <w:b/>
          <w:bCs/>
          <w:szCs w:val="21"/>
        </w:rPr>
        <w:t>实习</w:t>
      </w:r>
      <w:r>
        <w:rPr>
          <w:rFonts w:hint="eastAsia" w:ascii="宋体" w:hAnsi="宋体"/>
          <w:b/>
          <w:szCs w:val="21"/>
        </w:rPr>
        <w:t>地点：</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河南农业大学耕读教育实践基地、郑州植物园、鄢陵建业绿色基地、河南景逸花卉园艺基地、郑东花卉市场、郑州双桥花卉市场、郑州市林业科技示范中心、郑州月季法桐种质资源及园林科研基地、郑州月季公园、郑州绿博园、郑州北龙湖湿地公园、郑州西流湖公园、郑州龙子湖公园、开封市龙亭公园、开封市天波杨府公园、开封市清明上河园、开封市铁塔公园、。</w:t>
      </w:r>
    </w:p>
    <w:p>
      <w:pPr>
        <w:tabs>
          <w:tab w:val="left" w:pos="3720"/>
          <w:tab w:val="left" w:pos="3780"/>
          <w:tab w:val="left" w:pos="4305"/>
        </w:tabs>
        <w:adjustRightInd w:val="0"/>
        <w:snapToGrid w:val="0"/>
        <w:spacing w:line="360" w:lineRule="auto"/>
        <w:ind w:firstLine="422" w:firstLineChars="200"/>
        <w:rPr>
          <w:rFonts w:ascii="宋体" w:hAnsi="宋体"/>
          <w:szCs w:val="21"/>
        </w:rPr>
      </w:pPr>
      <w:r>
        <w:rPr>
          <w:rFonts w:hint="eastAsia" w:ascii="宋体" w:hAnsi="宋体"/>
          <w:b/>
          <w:szCs w:val="21"/>
        </w:rPr>
        <w:t>（2）</w:t>
      </w:r>
      <w:r>
        <w:rPr>
          <w:rFonts w:hint="eastAsia" w:ascii="宋体" w:hAnsi="宋体"/>
          <w:b/>
          <w:bCs/>
          <w:szCs w:val="21"/>
        </w:rPr>
        <w:t>实习内容：</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① 了解并识别不同种类花卉的形态特征。</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ascii="宋体" w:hAnsi="宋体"/>
          <w:szCs w:val="21"/>
        </w:rPr>
        <w:t>②</w:t>
      </w:r>
      <w:r>
        <w:rPr>
          <w:rFonts w:hint="eastAsia" w:ascii="宋体" w:hAnsi="宋体"/>
          <w:szCs w:val="21"/>
        </w:rPr>
        <w:t xml:space="preserve"> 了解不同花卉的生长习性、观赏及应用特点。</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ascii="宋体" w:hAnsi="宋体"/>
          <w:szCs w:val="21"/>
        </w:rPr>
        <w:t>③</w:t>
      </w:r>
      <w:r>
        <w:rPr>
          <w:rFonts w:hint="eastAsia" w:ascii="宋体" w:hAnsi="宋体"/>
          <w:szCs w:val="21"/>
        </w:rPr>
        <w:t xml:space="preserve"> 了解菊花的种类及其在中国的栽培发展历史和文化内涵。</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ascii="宋体" w:hAnsi="宋体"/>
          <w:szCs w:val="21"/>
        </w:rPr>
        <w:t>④</w:t>
      </w:r>
      <w:r>
        <w:rPr>
          <w:rFonts w:hint="eastAsia" w:ascii="宋体" w:hAnsi="宋体"/>
          <w:szCs w:val="21"/>
        </w:rPr>
        <w:t xml:space="preserve"> 了解菊花的造型艺术以及栽培管理技术。</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⑤ 了解月季的种类及其在中国的起源和发展史。</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⑥ 了解月季的嫁接、扦插、修剪及栽培管理技术。</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⑦ 了解红掌、盆栽木槿等切花及盆花的生产栽培管理技术及生产上存在的问题。</w:t>
      </w:r>
    </w:p>
    <w:p>
      <w:pPr>
        <w:spacing w:line="360" w:lineRule="auto"/>
        <w:ind w:firstLine="422" w:firstLineChars="200"/>
        <w:rPr>
          <w:rFonts w:ascii="宋体" w:hAnsi="宋体"/>
          <w:b/>
          <w:szCs w:val="21"/>
        </w:rPr>
      </w:pPr>
      <w:r>
        <w:rPr>
          <w:rFonts w:hint="eastAsia" w:ascii="宋体" w:hAnsi="宋体"/>
          <w:b/>
          <w:szCs w:val="21"/>
        </w:rPr>
        <w:t>5</w:t>
      </w:r>
      <w:r>
        <w:rPr>
          <w:rFonts w:hint="eastAsia" w:ascii="宋体" w:hAnsi="宋体" w:cs="宋体"/>
          <w:b/>
          <w:kern w:val="0"/>
          <w:szCs w:val="21"/>
        </w:rPr>
        <w:t>.</w:t>
      </w:r>
      <w:r>
        <w:rPr>
          <w:rFonts w:hint="eastAsia" w:ascii="宋体" w:hAnsi="宋体"/>
          <w:b/>
          <w:szCs w:val="21"/>
        </w:rPr>
        <w:t>实习时间安排</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bCs/>
          <w:szCs w:val="21"/>
        </w:rPr>
        <w:t>（1）</w:t>
      </w:r>
      <w:r>
        <w:rPr>
          <w:rFonts w:hint="eastAsia" w:ascii="宋体" w:hAnsi="宋体"/>
          <w:szCs w:val="21"/>
        </w:rPr>
        <w:t>公园及花卉市场参观和调查，时间1天。</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（2）花卉产业园参观和调查，时间1天。</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（3）花卉科研基地参观和调查，时间1天。</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（4）菊花的参观和调查，时间1天。</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szCs w:val="21"/>
        </w:rPr>
        <w:t>（5）月季的参观和调查，以及嫁接、扦插、修剪及栽培管理技术的学习，时间1天。</w:t>
      </w:r>
    </w:p>
    <w:p>
      <w:pPr>
        <w:spacing w:line="360" w:lineRule="auto"/>
        <w:ind w:firstLine="422" w:firstLineChars="200"/>
        <w:rPr>
          <w:rFonts w:ascii="宋体" w:hAnsi="宋体"/>
          <w:b/>
          <w:szCs w:val="21"/>
        </w:rPr>
      </w:pPr>
      <w:r>
        <w:rPr>
          <w:rFonts w:hint="eastAsia" w:ascii="宋体" w:hAnsi="宋体"/>
          <w:b/>
          <w:szCs w:val="21"/>
        </w:rPr>
        <w:t>6</w:t>
      </w:r>
      <w:r>
        <w:rPr>
          <w:rFonts w:hint="eastAsia" w:ascii="宋体" w:hAnsi="宋体" w:cs="宋体"/>
          <w:b/>
          <w:kern w:val="0"/>
          <w:szCs w:val="21"/>
        </w:rPr>
        <w:t xml:space="preserve">. </w:t>
      </w:r>
      <w:r>
        <w:rPr>
          <w:rFonts w:hint="eastAsia" w:ascii="宋体" w:hAnsi="宋体"/>
          <w:b/>
          <w:szCs w:val="21"/>
        </w:rPr>
        <w:t>实习具体要求</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每5人为一个实习小组。实习期间要求以小组为单位带好参考书、相机、笔记本，按照指定时间及时到达实习地点集合，排队或乘车进入实习场地。有事请假，不得无故旷课或迟到。路途中注意交通安全。在实习过程中要遵守纪律，听从指挥，遵守有关单位的规章制度，严禁乱采枝叶花草，注意环境卫生。</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实习的具体要求包括：</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（1）每组交月季和菊花品种的调查记载表1份，并对月季的扦插和管理技术进行总结。</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（2）对菊花品种进行识别，掌握菊花的造型和培管理技术。</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（3）总结</w:t>
      </w:r>
      <w:r>
        <w:rPr>
          <w:rFonts w:hint="eastAsia" w:ascii="宋体" w:hAnsi="宋体"/>
          <w:szCs w:val="21"/>
        </w:rPr>
        <w:t>切花及盆花的生产栽培管理技术及问题，提出解决措施。</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w:t>
      </w:r>
      <w:r>
        <w:rPr>
          <w:rFonts w:ascii="宋体" w:hAnsi="宋体"/>
          <w:bCs/>
          <w:szCs w:val="21"/>
        </w:rPr>
        <w:t>4</w:t>
      </w:r>
      <w:r>
        <w:rPr>
          <w:rFonts w:hint="eastAsia" w:ascii="宋体" w:hAnsi="宋体"/>
          <w:bCs/>
          <w:szCs w:val="21"/>
        </w:rPr>
        <w:t>）识别不同类别花卉，并进行拍照记录，列出植物名录表。</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bCs/>
          <w:szCs w:val="21"/>
        </w:rPr>
        <w:t>（5）实习结束后进行实习总结，完成实习报告。实习报告应写出学生姓名、班级，实习课程名称、实习时间、地点，实习目的要求；实习报告按照实习具体要求整理。</w:t>
      </w:r>
    </w:p>
    <w:p>
      <w:pPr>
        <w:widowControl/>
        <w:spacing w:line="360" w:lineRule="auto"/>
        <w:ind w:firstLine="422" w:firstLineChars="200"/>
        <w:jc w:val="left"/>
        <w:rPr>
          <w:rFonts w:ascii="宋体" w:hAnsi="宋体" w:cs="宋体"/>
          <w:b/>
          <w:kern w:val="0"/>
          <w:szCs w:val="21"/>
        </w:rPr>
      </w:pPr>
      <w:r>
        <w:rPr>
          <w:rFonts w:hint="eastAsia" w:ascii="宋体" w:hAnsi="宋体"/>
          <w:b/>
          <w:szCs w:val="21"/>
        </w:rPr>
        <w:t>7</w:t>
      </w:r>
      <w:r>
        <w:rPr>
          <w:rFonts w:hint="eastAsia" w:ascii="宋体" w:hAnsi="宋体" w:cs="宋体"/>
          <w:b/>
          <w:kern w:val="0"/>
          <w:szCs w:val="21"/>
        </w:rPr>
        <w:t>. 考核方式与成绩评定标准</w:t>
      </w:r>
    </w:p>
    <w:p>
      <w:pPr>
        <w:tabs>
          <w:tab w:val="left" w:pos="3720"/>
          <w:tab w:val="left" w:pos="3780"/>
          <w:tab w:val="left" w:pos="4305"/>
        </w:tabs>
        <w:adjustRightInd w:val="0"/>
        <w:snapToGrid w:val="0"/>
        <w:spacing w:line="360" w:lineRule="auto"/>
        <w:ind w:firstLine="420" w:firstLineChars="200"/>
        <w:rPr>
          <w:rFonts w:ascii="宋体" w:hAnsi="宋体"/>
          <w:szCs w:val="21"/>
        </w:rPr>
      </w:pPr>
      <w:r>
        <w:rPr>
          <w:rFonts w:hint="eastAsia" w:ascii="宋体" w:hAnsi="宋体"/>
          <w:bCs/>
          <w:szCs w:val="21"/>
        </w:rPr>
        <w:t>教学实习以实习期间的考勤（</w:t>
      </w:r>
      <w:r>
        <w:rPr>
          <w:rFonts w:ascii="宋体" w:hAnsi="宋体"/>
          <w:bCs/>
          <w:szCs w:val="21"/>
        </w:rPr>
        <w:t>20%</w:t>
      </w:r>
      <w:r>
        <w:rPr>
          <w:rFonts w:hint="eastAsia" w:ascii="宋体" w:hAnsi="宋体"/>
          <w:bCs/>
          <w:szCs w:val="21"/>
        </w:rPr>
        <w:t>）、互动表现（</w:t>
      </w:r>
      <w:r>
        <w:rPr>
          <w:rFonts w:ascii="宋体" w:hAnsi="宋体"/>
          <w:bCs/>
          <w:szCs w:val="21"/>
        </w:rPr>
        <w:t>30%</w:t>
      </w:r>
      <w:r>
        <w:rPr>
          <w:rFonts w:hint="eastAsia" w:ascii="宋体" w:hAnsi="宋体"/>
          <w:bCs/>
          <w:szCs w:val="21"/>
        </w:rPr>
        <w:t>）以及实习报告（</w:t>
      </w:r>
      <w:r>
        <w:rPr>
          <w:rFonts w:ascii="宋体" w:hAnsi="宋体"/>
          <w:bCs/>
          <w:szCs w:val="21"/>
        </w:rPr>
        <w:t>50%</w:t>
      </w:r>
      <w:r>
        <w:rPr>
          <w:rFonts w:hint="eastAsia" w:ascii="宋体" w:hAnsi="宋体"/>
          <w:bCs/>
          <w:szCs w:val="21"/>
        </w:rPr>
        <w:t>）考核方式进行学生成绩的综合评定，成绩单列。成绩评定根据实习报告确定，分为优秀（90～100分）、良好（80～90分）、中等（70～80分）、及格（60～70分）和不及格（60分以下）五个等次。</w:t>
      </w:r>
    </w:p>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8. 教材及主要参考资料</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（1）《园林花卉学（第三版）》刘燕主编，中国林业出版社，2019年</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（2）《Floriculture: Principles and Species》，John M Dole主编，Pearson，2004年</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（3）《花卉栽培学》，陈发棣、房伟民主编，中国农业出版社，2016年</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（4）《花卉学》（第3版），包满珠主编，中国农业出版社，2011年</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（5）《世界园林植物与花卉百科全书》杨秋生、李振宇主译，河南科学技术出版社，2012年</w:t>
      </w:r>
    </w:p>
    <w:p>
      <w:pPr>
        <w:tabs>
          <w:tab w:val="left" w:pos="3720"/>
          <w:tab w:val="left" w:pos="3780"/>
          <w:tab w:val="left" w:pos="4305"/>
        </w:tabs>
        <w:adjustRightInd w:val="0"/>
        <w:snapToGrid w:val="0"/>
        <w:spacing w:line="360" w:lineRule="auto"/>
        <w:ind w:firstLine="420" w:firstLineChars="200"/>
        <w:rPr>
          <w:rFonts w:ascii="宋体" w:hAnsi="宋体"/>
          <w:bCs/>
          <w:szCs w:val="21"/>
        </w:rPr>
      </w:pPr>
      <w:r>
        <w:rPr>
          <w:rFonts w:hint="eastAsia" w:ascii="宋体" w:hAnsi="宋体"/>
          <w:bCs/>
          <w:szCs w:val="21"/>
        </w:rPr>
        <w:t>（6）《中国月季》张佐双、朱秀珍主编，中国林业出版社，2</w:t>
      </w:r>
      <w:r>
        <w:rPr>
          <w:rFonts w:ascii="宋体" w:hAnsi="宋体"/>
          <w:bCs/>
          <w:szCs w:val="21"/>
        </w:rPr>
        <w:t>006</w:t>
      </w:r>
      <w:r>
        <w:rPr>
          <w:rFonts w:hint="eastAsia" w:ascii="宋体" w:hAnsi="宋体"/>
          <w:bCs/>
          <w:szCs w:val="21"/>
        </w:rPr>
        <w:t>年</w:t>
      </w:r>
    </w:p>
    <w:p>
      <w:pPr>
        <w:pStyle w:val="21"/>
        <w:jc w:val="left"/>
        <w:rPr>
          <w:rFonts w:ascii="宋体" w:hAnsi="宋体"/>
          <w:b w:val="0"/>
          <w:bCs w:val="0"/>
          <w:szCs w:val="21"/>
        </w:rPr>
      </w:pPr>
      <w:bookmarkStart w:id="526" w:name="_Toc280"/>
      <w:bookmarkStart w:id="527" w:name="_Toc138076115"/>
      <w:bookmarkStart w:id="528" w:name="_Toc138076659"/>
      <w:bookmarkStart w:id="529" w:name="_Toc138076364"/>
      <w:bookmarkStart w:id="530" w:name="_Toc138075645"/>
      <w:r>
        <w:rPr>
          <w:rFonts w:hint="eastAsia"/>
          <w:sz w:val="21"/>
          <w:szCs w:val="21"/>
        </w:rPr>
        <w:t>（</w:t>
      </w:r>
      <w:r>
        <w:rPr>
          <w:rFonts w:hint="eastAsia"/>
          <w:sz w:val="21"/>
          <w:szCs w:val="21"/>
          <w:lang w:val="en-US" w:eastAsia="zh-CN"/>
        </w:rPr>
        <w:t>六</w:t>
      </w:r>
      <w:r>
        <w:rPr>
          <w:rFonts w:hint="eastAsia"/>
          <w:sz w:val="21"/>
          <w:szCs w:val="21"/>
        </w:rPr>
        <w:t>）设施园艺学实习</w:t>
      </w:r>
      <w:bookmarkEnd w:id="526"/>
      <w:bookmarkEnd w:id="527"/>
      <w:bookmarkEnd w:id="528"/>
      <w:bookmarkEnd w:id="529"/>
      <w:bookmarkEnd w:id="530"/>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hint="eastAsia" w:ascii="宋体" w:hAnsi="宋体" w:eastAsia="宋体" w:cs="宋体"/>
                <w:b/>
                <w:bCs w:val="0"/>
              </w:rPr>
            </w:pPr>
            <w:r>
              <w:rPr>
                <w:rFonts w:hint="eastAsia" w:ascii="宋体" w:hAnsi="宋体" w:eastAsia="宋体" w:cs="宋体"/>
                <w:b/>
                <w:bCs w:val="0"/>
              </w:rPr>
              <w:t>开设学期</w:t>
            </w:r>
            <w:r>
              <w:rPr>
                <w:rFonts w:hint="eastAsia" w:ascii="宋体" w:hAnsi="宋体" w:eastAsia="宋体" w:cs="宋体"/>
                <w:b/>
                <w:bCs w:val="0"/>
                <w:szCs w:val="21"/>
              </w:rPr>
              <w:t>：第5学期</w:t>
            </w:r>
          </w:p>
        </w:tc>
        <w:tc>
          <w:tcPr>
            <w:tcW w:w="1453" w:type="pct"/>
            <w:vAlign w:val="center"/>
          </w:tcPr>
          <w:p>
            <w:pPr>
              <w:rPr>
                <w:rFonts w:hint="eastAsia" w:ascii="宋体" w:hAnsi="宋体" w:eastAsia="宋体" w:cs="宋体"/>
                <w:b/>
                <w:bCs w:val="0"/>
              </w:rPr>
            </w:pPr>
            <w:r>
              <w:rPr>
                <w:rFonts w:hint="eastAsia" w:ascii="宋体" w:hAnsi="宋体" w:eastAsia="宋体" w:cs="宋体"/>
                <w:b/>
                <w:bCs w:val="0"/>
              </w:rPr>
              <w:t>实习周数</w:t>
            </w:r>
            <w:r>
              <w:rPr>
                <w:rFonts w:hint="eastAsia" w:ascii="宋体" w:hAnsi="宋体" w:eastAsia="宋体" w:cs="宋体"/>
                <w:b/>
                <w:bCs w:val="0"/>
                <w:szCs w:val="21"/>
              </w:rPr>
              <w:t>：0.5周</w:t>
            </w:r>
          </w:p>
        </w:tc>
        <w:tc>
          <w:tcPr>
            <w:tcW w:w="1881" w:type="pct"/>
            <w:vAlign w:val="center"/>
          </w:tcPr>
          <w:p>
            <w:pPr>
              <w:rPr>
                <w:rFonts w:hint="eastAsia" w:ascii="宋体" w:hAnsi="宋体" w:eastAsia="宋体" w:cs="宋体"/>
                <w:b/>
                <w:bCs w:val="0"/>
              </w:rPr>
            </w:pPr>
            <w:r>
              <w:rPr>
                <w:rFonts w:hint="eastAsia" w:ascii="宋体" w:hAnsi="宋体" w:eastAsia="宋体" w:cs="宋体"/>
                <w:b/>
                <w:bCs w:val="0"/>
              </w:rPr>
              <w:t>学分</w:t>
            </w:r>
            <w:r>
              <w:rPr>
                <w:rFonts w:hint="eastAsia" w:ascii="宋体" w:hAnsi="宋体" w:eastAsia="宋体" w:cs="宋体"/>
                <w:b/>
                <w:bCs w:val="0"/>
                <w:szCs w:val="21"/>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hint="eastAsia" w:ascii="宋体" w:hAnsi="宋体" w:eastAsia="宋体" w:cs="宋体"/>
                <w:b/>
                <w:bCs w:val="0"/>
                <w:color w:val="0000FF"/>
              </w:rPr>
            </w:pPr>
            <w:r>
              <w:rPr>
                <w:rFonts w:hint="eastAsia" w:ascii="宋体" w:hAnsi="宋体" w:eastAsia="宋体" w:cs="宋体"/>
                <w:b/>
                <w:bCs w:val="0"/>
              </w:rPr>
              <w:t>适用专业：</w:t>
            </w:r>
            <w:r>
              <w:rPr>
                <w:rFonts w:hint="eastAsia" w:ascii="宋体" w:hAnsi="宋体" w:eastAsia="宋体" w:cs="宋体"/>
                <w:b/>
                <w:bCs w:val="0"/>
                <w:szCs w:val="21"/>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hint="eastAsia" w:ascii="宋体" w:hAnsi="宋体" w:eastAsia="宋体" w:cs="宋体"/>
                <w:b/>
                <w:bCs w:val="0"/>
              </w:rPr>
            </w:pPr>
            <w:r>
              <w:rPr>
                <w:rFonts w:hint="eastAsia" w:ascii="宋体" w:hAnsi="宋体" w:eastAsia="宋体" w:cs="宋体"/>
                <w:b/>
                <w:bCs w:val="0"/>
              </w:rPr>
              <w:t xml:space="preserve">先修课程： </w:t>
            </w:r>
            <w:r>
              <w:rPr>
                <w:rFonts w:hint="eastAsia" w:ascii="宋体" w:hAnsi="宋体" w:eastAsia="宋体" w:cs="宋体"/>
                <w:b/>
                <w:bCs w:val="0"/>
                <w:szCs w:val="21"/>
              </w:rPr>
              <w:t>植物学、植物生理学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hint="eastAsia" w:ascii="宋体" w:hAnsi="宋体" w:eastAsia="宋体" w:cs="宋体"/>
                <w:b/>
                <w:bCs w:val="0"/>
              </w:rPr>
            </w:pPr>
            <w:r>
              <w:rPr>
                <w:rFonts w:hint="eastAsia" w:ascii="宋体" w:hAnsi="宋体" w:eastAsia="宋体" w:cs="宋体"/>
                <w:b/>
                <w:bCs w:val="0"/>
              </w:rPr>
              <w:t>主撰人： 张涛</w:t>
            </w:r>
          </w:p>
        </w:tc>
        <w:tc>
          <w:tcPr>
            <w:tcW w:w="1453" w:type="pct"/>
            <w:vAlign w:val="center"/>
          </w:tcPr>
          <w:p>
            <w:pPr>
              <w:rPr>
                <w:rFonts w:hint="eastAsia" w:ascii="宋体" w:hAnsi="宋体" w:eastAsia="宋体" w:cs="宋体"/>
                <w:b/>
                <w:bCs w:val="0"/>
              </w:rPr>
            </w:pPr>
            <w:r>
              <w:rPr>
                <w:rFonts w:hint="eastAsia" w:ascii="宋体" w:hAnsi="宋体" w:eastAsia="宋体" w:cs="宋体"/>
                <w:b/>
                <w:bCs w:val="0"/>
              </w:rPr>
              <w:t>审核人： 肖怀娟</w:t>
            </w:r>
          </w:p>
        </w:tc>
        <w:tc>
          <w:tcPr>
            <w:tcW w:w="1881" w:type="pct"/>
            <w:vAlign w:val="center"/>
          </w:tcPr>
          <w:p>
            <w:pPr>
              <w:rPr>
                <w:rFonts w:hint="eastAsia" w:ascii="宋体" w:hAnsi="宋体" w:eastAsia="宋体" w:cs="宋体"/>
                <w:b/>
                <w:bCs w:val="0"/>
              </w:rPr>
            </w:pPr>
            <w:r>
              <w:rPr>
                <w:rFonts w:hint="eastAsia" w:ascii="宋体" w:hAnsi="宋体" w:eastAsia="宋体" w:cs="宋体"/>
                <w:b/>
                <w:bCs w:val="0"/>
              </w:rPr>
              <w:t xml:space="preserve">大纲制定（修订）日期：2023.05 </w:t>
            </w:r>
          </w:p>
        </w:tc>
      </w:tr>
    </w:tbl>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1.课程简介</w:t>
      </w:r>
    </w:p>
    <w:p>
      <w:pPr>
        <w:spacing w:line="360" w:lineRule="auto"/>
        <w:ind w:firstLine="420" w:firstLineChars="200"/>
        <w:rPr>
          <w:rFonts w:ascii="宋体" w:hAnsi="宋体"/>
          <w:bCs/>
          <w:szCs w:val="21"/>
        </w:rPr>
      </w:pPr>
      <w:r>
        <w:rPr>
          <w:rFonts w:hint="eastAsia" w:ascii="宋体" w:hAnsi="宋体"/>
          <w:bCs/>
          <w:szCs w:val="21"/>
        </w:rPr>
        <w:t>《设施园艺学》是园艺作物设施生产的一门基础理论与应用技术相结合的科学。是高等农业院校园艺专业的必修课程，通过课堂教学和实验，使学生能了解风障、阳畦、地膜覆盖、遮阳网、防虫网、无纺布覆盖、大、中、小棚、连栋大栅和温室等园艺作物栽培的主要设施类型、结构及性能；掌握塑料大棚建造过程及其技术要点，掌握日光温室的保温和采光设计及建造技术要点，掌握防虫网、遮阳网的使用技术，了解现代温室的各个系统、设施栽培的环境调控技术和栽培技术等，为学生将从事园艺作物设施栽培生产实践打下基础。</w:t>
      </w:r>
    </w:p>
    <w:p>
      <w:pPr>
        <w:spacing w:line="360" w:lineRule="auto"/>
        <w:ind w:firstLine="422" w:firstLineChars="200"/>
        <w:rPr>
          <w:rFonts w:ascii="宋体" w:hAnsi="宋体"/>
          <w:b/>
          <w:szCs w:val="21"/>
        </w:rPr>
      </w:pPr>
      <w:r>
        <w:rPr>
          <w:rFonts w:ascii="宋体" w:hAnsi="宋体"/>
          <w:b/>
          <w:szCs w:val="21"/>
        </w:rPr>
        <w:t>2.</w:t>
      </w:r>
      <w:r>
        <w:rPr>
          <w:rFonts w:hint="eastAsia" w:ascii="宋体" w:hAnsi="宋体"/>
          <w:b/>
          <w:szCs w:val="21"/>
        </w:rPr>
        <w:t>课程劳动教育</w:t>
      </w:r>
    </w:p>
    <w:p>
      <w:pPr>
        <w:spacing w:line="360" w:lineRule="auto"/>
        <w:ind w:firstLine="420" w:firstLineChars="200"/>
        <w:rPr>
          <w:rFonts w:ascii="宋体" w:hAnsi="宋体"/>
          <w:bCs/>
          <w:szCs w:val="21"/>
        </w:rPr>
      </w:pPr>
      <w:r>
        <w:rPr>
          <w:rFonts w:hint="eastAsia" w:ascii="宋体" w:hAnsi="宋体"/>
          <w:bCs/>
          <w:szCs w:val="21"/>
        </w:rPr>
        <w:t>安排学生到河南农大马村优质果蔬研究院调研，了解组装式日光温室、薄膜连栋温室等现代化设施结构，以及</w:t>
      </w:r>
      <w:r>
        <w:rPr>
          <w:rFonts w:ascii="宋体" w:hAnsi="宋体"/>
          <w:bCs/>
          <w:szCs w:val="21"/>
        </w:rPr>
        <w:t>设施内园艺</w:t>
      </w:r>
      <w:r>
        <w:rPr>
          <w:rFonts w:hint="eastAsia" w:ascii="宋体" w:hAnsi="宋体"/>
          <w:bCs/>
          <w:szCs w:val="21"/>
        </w:rPr>
        <w:t>果蔬</w:t>
      </w:r>
      <w:r>
        <w:rPr>
          <w:rFonts w:ascii="宋体" w:hAnsi="宋体"/>
          <w:bCs/>
          <w:szCs w:val="21"/>
        </w:rPr>
        <w:t>作物种植的种类，类型、品种种植时间、种植方式、生长状况等</w:t>
      </w:r>
      <w:r>
        <w:rPr>
          <w:rFonts w:hint="eastAsia" w:ascii="宋体" w:hAnsi="宋体"/>
          <w:bCs/>
          <w:szCs w:val="21"/>
        </w:rPr>
        <w:t>，并进行为期半天的生产劳作，增强学生服务“三农”和农业农村现代化的使命感和责任感，让学生走进农村、走近农民、走向农业，了解乡情民情，学习乡土文化，提升学生学农知农爱农素养和专业实践能力。</w:t>
      </w:r>
    </w:p>
    <w:p>
      <w:pPr>
        <w:spacing w:line="360" w:lineRule="auto"/>
        <w:ind w:firstLine="422" w:firstLineChars="200"/>
        <w:rPr>
          <w:rFonts w:ascii="宋体" w:hAnsi="宋体"/>
          <w:b/>
          <w:szCs w:val="21"/>
        </w:rPr>
      </w:pPr>
      <w:r>
        <w:rPr>
          <w:rFonts w:hint="eastAsia" w:ascii="宋体" w:hAnsi="宋体"/>
          <w:b/>
          <w:szCs w:val="21"/>
        </w:rPr>
        <w:t>3</w:t>
      </w:r>
      <w:r>
        <w:rPr>
          <w:rFonts w:hint="eastAsia" w:ascii="宋体" w:hAnsi="宋体" w:cs="宋体"/>
          <w:b/>
          <w:kern w:val="0"/>
          <w:szCs w:val="21"/>
        </w:rPr>
        <w:t>.</w:t>
      </w:r>
      <w:r>
        <w:rPr>
          <w:rFonts w:hint="eastAsia" w:ascii="宋体" w:hAnsi="宋体"/>
          <w:b/>
          <w:szCs w:val="21"/>
        </w:rPr>
        <w:t>实习目的和要求</w:t>
      </w:r>
    </w:p>
    <w:p>
      <w:pPr>
        <w:spacing w:line="360" w:lineRule="auto"/>
        <w:ind w:firstLine="420" w:firstLineChars="200"/>
        <w:jc w:val="left"/>
        <w:rPr>
          <w:rFonts w:ascii="宋体" w:hAnsi="宋体"/>
          <w:bCs/>
          <w:szCs w:val="21"/>
        </w:rPr>
      </w:pPr>
      <w:r>
        <w:rPr>
          <w:rFonts w:ascii="宋体" w:hAnsi="宋体"/>
          <w:bCs/>
          <w:szCs w:val="21"/>
        </w:rPr>
        <w:t>了解各种园艺设施了类型、应用状况，设施内园艺作物种植和生产状况</w:t>
      </w:r>
      <w:r>
        <w:rPr>
          <w:rFonts w:hint="eastAsia" w:ascii="宋体" w:hAnsi="宋体"/>
          <w:bCs/>
          <w:szCs w:val="21"/>
        </w:rPr>
        <w:t>。</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cs="宋体"/>
          <w:b/>
          <w:kern w:val="0"/>
          <w:szCs w:val="21"/>
        </w:rPr>
        <w:t>.</w:t>
      </w:r>
      <w:r>
        <w:rPr>
          <w:rFonts w:hint="eastAsia" w:ascii="宋体" w:hAnsi="宋体"/>
          <w:b/>
          <w:szCs w:val="21"/>
        </w:rPr>
        <w:t>实习地点及内容</w:t>
      </w:r>
    </w:p>
    <w:p>
      <w:pPr>
        <w:tabs>
          <w:tab w:val="left" w:pos="3720"/>
          <w:tab w:val="left" w:pos="3780"/>
          <w:tab w:val="left" w:pos="4305"/>
        </w:tabs>
        <w:adjustRightInd w:val="0"/>
        <w:snapToGrid w:val="0"/>
        <w:spacing w:line="360" w:lineRule="auto"/>
        <w:ind w:firstLine="422" w:firstLineChars="200"/>
        <w:rPr>
          <w:rFonts w:ascii="宋体" w:hAnsi="宋体"/>
          <w:color w:val="0000FF"/>
          <w:szCs w:val="21"/>
        </w:rPr>
      </w:pPr>
      <w:r>
        <w:rPr>
          <w:rFonts w:hint="eastAsia" w:ascii="宋体" w:hAnsi="宋体"/>
          <w:b/>
          <w:szCs w:val="21"/>
        </w:rPr>
        <w:t>（1）</w:t>
      </w:r>
      <w:r>
        <w:rPr>
          <w:rFonts w:hint="eastAsia" w:ascii="宋体" w:hAnsi="宋体"/>
          <w:b/>
          <w:bCs/>
          <w:szCs w:val="21"/>
        </w:rPr>
        <w:t>实习</w:t>
      </w:r>
      <w:r>
        <w:rPr>
          <w:rFonts w:hint="eastAsia" w:ascii="宋体" w:hAnsi="宋体"/>
          <w:b/>
          <w:szCs w:val="21"/>
        </w:rPr>
        <w:t>地点：</w:t>
      </w:r>
      <w:r>
        <w:rPr>
          <w:rFonts w:ascii="宋体" w:hAnsi="宋体"/>
          <w:bCs/>
          <w:szCs w:val="21"/>
        </w:rPr>
        <w:t>河南省特别是郑州市周边县区的设施园艺基地</w:t>
      </w:r>
      <w:r>
        <w:rPr>
          <w:rFonts w:hint="eastAsia" w:ascii="宋体" w:hAnsi="宋体"/>
          <w:bCs/>
          <w:szCs w:val="21"/>
        </w:rPr>
        <w:t>。</w:t>
      </w:r>
    </w:p>
    <w:p>
      <w:pPr>
        <w:tabs>
          <w:tab w:val="left" w:pos="3720"/>
          <w:tab w:val="left" w:pos="3780"/>
          <w:tab w:val="left" w:pos="4305"/>
        </w:tabs>
        <w:adjustRightInd w:val="0"/>
        <w:snapToGrid w:val="0"/>
        <w:spacing w:line="360" w:lineRule="auto"/>
        <w:ind w:firstLine="422" w:firstLineChars="200"/>
        <w:rPr>
          <w:rFonts w:ascii="宋体" w:hAnsi="宋体"/>
          <w:color w:val="0000FF"/>
          <w:szCs w:val="21"/>
        </w:rPr>
      </w:pPr>
      <w:r>
        <w:rPr>
          <w:rFonts w:hint="eastAsia" w:ascii="宋体" w:hAnsi="宋体"/>
          <w:b/>
          <w:szCs w:val="21"/>
        </w:rPr>
        <w:t>（2）</w:t>
      </w:r>
      <w:r>
        <w:rPr>
          <w:rFonts w:hint="eastAsia" w:ascii="宋体" w:hAnsi="宋体"/>
          <w:b/>
          <w:bCs/>
          <w:szCs w:val="21"/>
        </w:rPr>
        <w:t>实习内容：</w:t>
      </w:r>
      <w:r>
        <w:rPr>
          <w:rFonts w:ascii="宋体" w:hAnsi="宋体"/>
          <w:bCs/>
          <w:szCs w:val="21"/>
        </w:rPr>
        <w:t>参观学习和实地考察</w:t>
      </w:r>
      <w:r>
        <w:rPr>
          <w:rFonts w:hint="eastAsia" w:ascii="宋体" w:hAnsi="宋体"/>
          <w:bCs/>
          <w:szCs w:val="21"/>
        </w:rPr>
        <w:t>。</w:t>
      </w:r>
    </w:p>
    <w:p>
      <w:pPr>
        <w:spacing w:line="360" w:lineRule="auto"/>
        <w:ind w:firstLine="422" w:firstLineChars="200"/>
        <w:rPr>
          <w:rFonts w:ascii="宋体" w:hAnsi="宋体"/>
          <w:b/>
          <w:szCs w:val="21"/>
        </w:rPr>
      </w:pPr>
      <w:r>
        <w:rPr>
          <w:rFonts w:hint="eastAsia" w:ascii="宋体" w:hAnsi="宋体"/>
          <w:b/>
          <w:szCs w:val="21"/>
        </w:rPr>
        <w:t>5</w:t>
      </w:r>
      <w:r>
        <w:rPr>
          <w:rFonts w:hint="eastAsia" w:ascii="宋体" w:hAnsi="宋体" w:cs="宋体"/>
          <w:b/>
          <w:kern w:val="0"/>
          <w:szCs w:val="21"/>
        </w:rPr>
        <w:t>.</w:t>
      </w:r>
      <w:r>
        <w:rPr>
          <w:rFonts w:hint="eastAsia" w:ascii="宋体" w:hAnsi="宋体"/>
          <w:b/>
          <w:szCs w:val="21"/>
        </w:rPr>
        <w:t>实习时间安排</w:t>
      </w:r>
    </w:p>
    <w:p>
      <w:pPr>
        <w:spacing w:line="360" w:lineRule="auto"/>
        <w:ind w:firstLine="420" w:firstLineChars="200"/>
        <w:rPr>
          <w:rFonts w:ascii="宋体" w:hAnsi="宋体"/>
          <w:bCs/>
          <w:szCs w:val="21"/>
        </w:rPr>
      </w:pPr>
      <w:r>
        <w:rPr>
          <w:rFonts w:ascii="宋体" w:hAnsi="宋体"/>
          <w:bCs/>
          <w:szCs w:val="21"/>
        </w:rPr>
        <w:t>每年的11月下旬或12月上旬，时间为2.5天。</w:t>
      </w:r>
    </w:p>
    <w:p>
      <w:pPr>
        <w:spacing w:line="360" w:lineRule="auto"/>
        <w:ind w:firstLine="422" w:firstLineChars="200"/>
        <w:rPr>
          <w:rFonts w:ascii="宋体" w:hAnsi="宋体"/>
          <w:b/>
          <w:szCs w:val="21"/>
        </w:rPr>
      </w:pPr>
      <w:r>
        <w:rPr>
          <w:rFonts w:hint="eastAsia" w:ascii="宋体" w:hAnsi="宋体"/>
          <w:b/>
          <w:szCs w:val="21"/>
        </w:rPr>
        <w:t>6</w:t>
      </w:r>
      <w:r>
        <w:rPr>
          <w:rFonts w:hint="eastAsia" w:ascii="宋体" w:hAnsi="宋体" w:cs="宋体"/>
          <w:b/>
          <w:kern w:val="0"/>
          <w:szCs w:val="21"/>
        </w:rPr>
        <w:t>.</w:t>
      </w:r>
      <w:r>
        <w:rPr>
          <w:rFonts w:hint="eastAsia" w:ascii="宋体" w:hAnsi="宋体"/>
          <w:b/>
          <w:szCs w:val="21"/>
        </w:rPr>
        <w:t>实习具体要求</w:t>
      </w:r>
    </w:p>
    <w:p>
      <w:pPr>
        <w:tabs>
          <w:tab w:val="left" w:pos="3720"/>
          <w:tab w:val="left" w:pos="3780"/>
          <w:tab w:val="left" w:pos="4305"/>
        </w:tabs>
        <w:adjustRightInd w:val="0"/>
        <w:snapToGrid w:val="0"/>
        <w:spacing w:line="360" w:lineRule="auto"/>
        <w:ind w:firstLine="420" w:firstLineChars="200"/>
        <w:rPr>
          <w:rFonts w:ascii="宋体" w:hAnsi="宋体"/>
          <w:color w:val="0000FF"/>
          <w:szCs w:val="21"/>
        </w:rPr>
      </w:pPr>
      <w:r>
        <w:rPr>
          <w:rFonts w:hint="eastAsia" w:ascii="宋体" w:hAnsi="宋体"/>
          <w:bCs/>
          <w:szCs w:val="21"/>
        </w:rPr>
        <w:t>在</w:t>
      </w:r>
      <w:r>
        <w:rPr>
          <w:rFonts w:ascii="宋体" w:hAnsi="宋体"/>
          <w:bCs/>
          <w:szCs w:val="21"/>
        </w:rPr>
        <w:t>设施园艺园区，包括设施蔬菜、设施花卉和设施果蔬的生产、科研基地，进行实地考察各种设施类型（连栋温室、日光温室、塑料大棚等）的结构、各部位构成等；了解设施内园艺作物种植的种类，类型、品种种植时间、种植方式、生长状况等。可以和蔬菜栽培学、园艺研究法等课程结合进行。其中2天时间进行现场学习，半天时间进行总结讨论。</w:t>
      </w:r>
    </w:p>
    <w:p>
      <w:pPr>
        <w:widowControl/>
        <w:spacing w:line="360" w:lineRule="auto"/>
        <w:ind w:firstLine="422" w:firstLineChars="200"/>
        <w:jc w:val="left"/>
        <w:rPr>
          <w:rFonts w:ascii="宋体" w:hAnsi="宋体" w:cs="宋体"/>
          <w:b/>
          <w:kern w:val="0"/>
          <w:szCs w:val="21"/>
        </w:rPr>
      </w:pPr>
      <w:r>
        <w:rPr>
          <w:rFonts w:hint="eastAsia" w:ascii="宋体" w:hAnsi="宋体"/>
          <w:b/>
          <w:szCs w:val="21"/>
        </w:rPr>
        <w:t>7</w:t>
      </w:r>
      <w:r>
        <w:rPr>
          <w:rFonts w:hint="eastAsia" w:ascii="宋体" w:hAnsi="宋体" w:cs="宋体"/>
          <w:b/>
          <w:kern w:val="0"/>
          <w:szCs w:val="21"/>
        </w:rPr>
        <w:t>.考核方式与成绩评定标准</w:t>
      </w:r>
    </w:p>
    <w:p>
      <w:pPr>
        <w:spacing w:line="360" w:lineRule="auto"/>
        <w:ind w:firstLine="420" w:firstLineChars="200"/>
        <w:rPr>
          <w:rFonts w:ascii="宋体" w:hAnsi="宋体"/>
          <w:bCs/>
          <w:szCs w:val="21"/>
        </w:rPr>
      </w:pPr>
      <w:r>
        <w:rPr>
          <w:rFonts w:ascii="宋体" w:hAnsi="宋体"/>
          <w:bCs/>
          <w:szCs w:val="21"/>
        </w:rPr>
        <w:t>实习结束，每个学生写出实习总结，根据实习总结和参与度评定成绩，分为及格、良好和优秀三个档次。</w:t>
      </w:r>
    </w:p>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8.教材及主要参考资料</w:t>
      </w:r>
    </w:p>
    <w:p>
      <w:pPr>
        <w:widowControl/>
        <w:adjustRightInd w:val="0"/>
        <w:snapToGrid w:val="0"/>
        <w:spacing w:line="300" w:lineRule="auto"/>
        <w:ind w:firstLine="210" w:firstLineChars="100"/>
        <w:jc w:val="left"/>
        <w:rPr>
          <w:rFonts w:asciiTheme="minorEastAsia" w:hAnsiTheme="minorEastAsia" w:eastAsiaTheme="minorEastAsia"/>
          <w:szCs w:val="21"/>
        </w:rPr>
      </w:pPr>
      <w:r>
        <w:rPr>
          <w:rFonts w:hint="eastAsia" w:asciiTheme="minorEastAsia" w:hAnsiTheme="minorEastAsia" w:eastAsiaTheme="minorEastAsia"/>
        </w:rPr>
        <w:t>（1）</w:t>
      </w:r>
      <w:r>
        <w:rPr>
          <w:rFonts w:asciiTheme="minorEastAsia" w:hAnsiTheme="minorEastAsia" w:eastAsiaTheme="minorEastAsia"/>
        </w:rPr>
        <w:t>设施园艺学</w:t>
      </w:r>
      <w:r>
        <w:rPr>
          <w:rFonts w:hint="eastAsia" w:ascii="宋体" w:hAnsi="宋体"/>
          <w:szCs w:val="21"/>
        </w:rPr>
        <w:t>（第三版）</w:t>
      </w:r>
      <w:r>
        <w:rPr>
          <w:rFonts w:hint="eastAsia" w:asciiTheme="minorEastAsia" w:hAnsiTheme="minorEastAsia" w:eastAsiaTheme="minorEastAsia"/>
        </w:rPr>
        <w:t>，郭世荣</w:t>
      </w:r>
      <w:r>
        <w:rPr>
          <w:rFonts w:asciiTheme="minorEastAsia" w:hAnsiTheme="minorEastAsia" w:eastAsiaTheme="minorEastAsia"/>
        </w:rPr>
        <w:t>主编</w:t>
      </w:r>
      <w:r>
        <w:rPr>
          <w:rFonts w:hint="eastAsia" w:asciiTheme="minorEastAsia" w:hAnsiTheme="minorEastAsia" w:eastAsiaTheme="minorEastAsia"/>
        </w:rPr>
        <w:t>，</w:t>
      </w:r>
      <w:r>
        <w:rPr>
          <w:rFonts w:asciiTheme="minorEastAsia" w:hAnsiTheme="minorEastAsia" w:eastAsiaTheme="minorEastAsia"/>
        </w:rPr>
        <w:t>中国农业出版社，20</w:t>
      </w:r>
      <w:r>
        <w:rPr>
          <w:rFonts w:hint="eastAsia" w:asciiTheme="minorEastAsia" w:hAnsiTheme="minorEastAsia" w:eastAsiaTheme="minorEastAsia"/>
        </w:rPr>
        <w:t>20</w:t>
      </w:r>
      <w:r>
        <w:rPr>
          <w:rFonts w:asciiTheme="minorEastAsia" w:hAnsiTheme="minorEastAsia" w:eastAsiaTheme="minorEastAsia"/>
        </w:rPr>
        <w:t>年</w:t>
      </w:r>
    </w:p>
    <w:p>
      <w:pPr>
        <w:widowControl/>
        <w:adjustRightInd w:val="0"/>
        <w:snapToGrid w:val="0"/>
        <w:spacing w:line="300" w:lineRule="auto"/>
        <w:ind w:firstLine="210" w:firstLineChars="100"/>
        <w:jc w:val="left"/>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蔬菜栽培学保护地栽培</w:t>
      </w:r>
      <w:r>
        <w:rPr>
          <w:rFonts w:hint="eastAsia" w:asciiTheme="minorEastAsia" w:hAnsiTheme="minorEastAsia" w:eastAsiaTheme="minorEastAsia"/>
        </w:rPr>
        <w:t>，</w:t>
      </w:r>
      <w:r>
        <w:rPr>
          <w:rFonts w:asciiTheme="minorEastAsia" w:hAnsiTheme="minorEastAsia" w:eastAsiaTheme="minorEastAsia"/>
        </w:rPr>
        <w:t>北京农业大学主编</w:t>
      </w:r>
      <w:r>
        <w:rPr>
          <w:rFonts w:hint="eastAsia" w:asciiTheme="minorEastAsia" w:hAnsiTheme="minorEastAsia" w:eastAsiaTheme="minorEastAsia"/>
        </w:rPr>
        <w:t>，</w:t>
      </w:r>
      <w:r>
        <w:rPr>
          <w:rFonts w:asciiTheme="minorEastAsia" w:hAnsiTheme="minorEastAsia" w:eastAsiaTheme="minorEastAsia"/>
        </w:rPr>
        <w:t>中国农业出版社，1989年</w:t>
      </w:r>
    </w:p>
    <w:p>
      <w:pPr>
        <w:widowControl/>
        <w:adjustRightInd w:val="0"/>
        <w:snapToGrid w:val="0"/>
        <w:spacing w:line="300" w:lineRule="auto"/>
        <w:ind w:firstLine="210" w:firstLineChars="100"/>
        <w:jc w:val="left"/>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园艺通论</w:t>
      </w:r>
      <w:r>
        <w:rPr>
          <w:rFonts w:hint="eastAsia" w:asciiTheme="minorEastAsia" w:hAnsiTheme="minorEastAsia" w:eastAsiaTheme="minorEastAsia"/>
        </w:rPr>
        <w:t>，</w:t>
      </w:r>
      <w:r>
        <w:rPr>
          <w:rFonts w:asciiTheme="minorEastAsia" w:hAnsiTheme="minorEastAsia" w:eastAsiaTheme="minorEastAsia"/>
        </w:rPr>
        <w:t>李光晨</w:t>
      </w:r>
      <w:r>
        <w:rPr>
          <w:rFonts w:hint="eastAsia" w:asciiTheme="minorEastAsia" w:hAnsiTheme="minorEastAsia" w:eastAsiaTheme="minorEastAsia"/>
        </w:rPr>
        <w:t>，</w:t>
      </w:r>
      <w:r>
        <w:rPr>
          <w:rFonts w:asciiTheme="minorEastAsia" w:hAnsiTheme="minorEastAsia" w:eastAsiaTheme="minorEastAsia"/>
        </w:rPr>
        <w:t>中国农业大学出版社，2000年</w:t>
      </w:r>
    </w:p>
    <w:p>
      <w:pPr>
        <w:pStyle w:val="21"/>
        <w:jc w:val="left"/>
        <w:rPr>
          <w:rFonts w:ascii="宋体" w:hAnsi="宋体"/>
          <w:b w:val="0"/>
          <w:bCs w:val="0"/>
          <w:szCs w:val="21"/>
        </w:rPr>
      </w:pPr>
      <w:bookmarkStart w:id="531" w:name="_Toc138076660"/>
      <w:bookmarkStart w:id="532" w:name="_Toc138076116"/>
      <w:bookmarkStart w:id="533" w:name="_Toc6288"/>
      <w:bookmarkStart w:id="534" w:name="_Toc138076365"/>
      <w:bookmarkStart w:id="535" w:name="_Toc138075646"/>
      <w:r>
        <w:rPr>
          <w:rFonts w:eastAsia="宋体"/>
          <w:sz w:val="21"/>
          <w:szCs w:val="21"/>
        </w:rPr>
        <w:t>（</w:t>
      </w:r>
      <w:r>
        <w:rPr>
          <w:rFonts w:hint="eastAsia" w:eastAsia="宋体"/>
          <w:sz w:val="21"/>
          <w:szCs w:val="21"/>
          <w:lang w:val="en-US" w:eastAsia="zh-CN"/>
        </w:rPr>
        <w:t>七</w:t>
      </w:r>
      <w:r>
        <w:rPr>
          <w:rFonts w:eastAsia="宋体"/>
          <w:sz w:val="21"/>
          <w:szCs w:val="21"/>
        </w:rPr>
        <w:t>）毕业（生产）实习</w:t>
      </w:r>
      <w:bookmarkEnd w:id="531"/>
      <w:bookmarkEnd w:id="532"/>
      <w:bookmarkEnd w:id="533"/>
      <w:bookmarkEnd w:id="534"/>
      <w:bookmarkEnd w:id="535"/>
      <w:r>
        <w:rPr>
          <w:rFonts w:ascii="䅂䍄䕅⯋컌" w:hAnsi="䅂䍄䕅⯋컌" w:eastAsia="䅂䍄䕅⯋컌" w:cs="䅂䍄䕅⯋컌"/>
          <w:color w:val="000000"/>
          <w:kern w:val="0"/>
          <w:sz w:val="21"/>
          <w:szCs w:val="21"/>
          <w:lang w:bidi="ar"/>
        </w:rPr>
        <w:t xml:space="preserve"> </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ascii="黑体"/>
                <w:b/>
                <w:bCs w:val="0"/>
              </w:rPr>
            </w:pPr>
            <w:r>
              <w:rPr>
                <w:rFonts w:hint="eastAsia" w:ascii="宋体" w:hAnsi="宋体"/>
                <w:b/>
                <w:bCs w:val="0"/>
              </w:rPr>
              <w:t>开设学期</w:t>
            </w:r>
            <w:r>
              <w:rPr>
                <w:rFonts w:hint="eastAsia" w:ascii="宋体" w:hAnsi="宋体"/>
                <w:b/>
                <w:bCs w:val="0"/>
                <w:szCs w:val="21"/>
              </w:rPr>
              <w:t>：</w:t>
            </w:r>
            <w:r>
              <w:rPr>
                <w:rFonts w:hint="eastAsia" w:asciiTheme="minorEastAsia" w:hAnsiTheme="minorEastAsia" w:eastAsiaTheme="minorEastAsia"/>
                <w:b/>
                <w:bCs w:val="0"/>
                <w:szCs w:val="21"/>
              </w:rPr>
              <w:t>第6学期</w:t>
            </w:r>
          </w:p>
        </w:tc>
        <w:tc>
          <w:tcPr>
            <w:tcW w:w="1453" w:type="pct"/>
            <w:vAlign w:val="center"/>
          </w:tcPr>
          <w:p>
            <w:pPr>
              <w:rPr>
                <w:rFonts w:ascii="黑体" w:eastAsia="黑体"/>
                <w:b/>
                <w:bCs w:val="0"/>
              </w:rPr>
            </w:pPr>
            <w:r>
              <w:rPr>
                <w:rFonts w:hint="eastAsia" w:ascii="宋体" w:hAnsi="宋体"/>
                <w:b/>
                <w:bCs w:val="0"/>
              </w:rPr>
              <w:t>实习周数</w:t>
            </w:r>
            <w:r>
              <w:rPr>
                <w:rFonts w:hint="eastAsia" w:ascii="宋体" w:hAnsi="宋体"/>
                <w:b/>
                <w:bCs w:val="0"/>
                <w:szCs w:val="21"/>
              </w:rPr>
              <w:t>：</w:t>
            </w:r>
            <w:r>
              <w:rPr>
                <w:rFonts w:hint="eastAsia" w:asciiTheme="minorEastAsia" w:hAnsiTheme="minorEastAsia" w:eastAsiaTheme="minorEastAsia"/>
                <w:b/>
                <w:bCs w:val="0"/>
                <w:szCs w:val="21"/>
              </w:rPr>
              <w:t>19周</w:t>
            </w:r>
          </w:p>
        </w:tc>
        <w:tc>
          <w:tcPr>
            <w:tcW w:w="1881" w:type="pct"/>
            <w:vAlign w:val="center"/>
          </w:tcPr>
          <w:p>
            <w:pPr>
              <w:rPr>
                <w:rFonts w:ascii="黑体"/>
                <w:b/>
                <w:bCs w:val="0"/>
              </w:rPr>
            </w:pPr>
            <w:r>
              <w:rPr>
                <w:rFonts w:hint="eastAsia" w:ascii="宋体" w:hAnsi="宋体"/>
                <w:b/>
                <w:bCs w:val="0"/>
              </w:rPr>
              <w:t>学分</w:t>
            </w:r>
            <w:r>
              <w:rPr>
                <w:rFonts w:hint="eastAsia" w:ascii="宋体" w:hAnsi="宋体"/>
                <w:b/>
                <w:bCs w:val="0"/>
                <w:szCs w:val="21"/>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ascii="黑体" w:eastAsia="黑体"/>
                <w:b/>
                <w:bCs w:val="0"/>
                <w:color w:val="0000FF"/>
              </w:rPr>
            </w:pPr>
            <w:r>
              <w:rPr>
                <w:rFonts w:hint="eastAsia" w:ascii="宋体" w:hAnsi="宋体"/>
                <w:b/>
                <w:bCs w:val="0"/>
              </w:rPr>
              <w:t>适用专业：</w:t>
            </w:r>
            <w:r>
              <w:rPr>
                <w:rFonts w:hint="eastAsia" w:asciiTheme="minorEastAsia" w:hAnsiTheme="minorEastAsia" w:eastAsiaTheme="minorEastAsia"/>
                <w:b/>
                <w:bCs w:val="0"/>
                <w:szCs w:val="21"/>
              </w:rPr>
              <w:t>园艺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5000" w:type="pct"/>
            <w:gridSpan w:val="3"/>
            <w:vAlign w:val="center"/>
          </w:tcPr>
          <w:p>
            <w:pPr>
              <w:rPr>
                <w:rFonts w:ascii="黑体"/>
                <w:b/>
                <w:bCs w:val="0"/>
              </w:rPr>
            </w:pPr>
            <w:r>
              <w:rPr>
                <w:rFonts w:hint="eastAsia" w:ascii="宋体" w:hAnsi="宋体"/>
                <w:b/>
                <w:bCs w:val="0"/>
              </w:rPr>
              <w:t>先修课程</w:t>
            </w:r>
            <w:r>
              <w:rPr>
                <w:rFonts w:hint="eastAsia" w:ascii="黑体" w:eastAsia="黑体"/>
                <w:b/>
                <w:bCs w:val="0"/>
              </w:rPr>
              <w:t>：</w:t>
            </w:r>
            <w:r>
              <w:rPr>
                <w:rFonts w:hint="eastAsia" w:ascii="宋体" w:hAnsi="宋体"/>
                <w:b/>
                <w:bCs w:val="0"/>
              </w:rPr>
              <w:t xml:space="preserve"> 园艺植物育种学、蔬菜栽培学、果树栽培学、试验设计与统计分析、设施园艺学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666" w:type="pct"/>
            <w:vAlign w:val="center"/>
          </w:tcPr>
          <w:p>
            <w:pPr>
              <w:rPr>
                <w:rFonts w:ascii="宋体" w:hAnsi="宋体"/>
                <w:b/>
                <w:bCs w:val="0"/>
              </w:rPr>
            </w:pPr>
            <w:r>
              <w:rPr>
                <w:rFonts w:hint="eastAsia" w:ascii="宋体" w:hAnsi="宋体"/>
                <w:b/>
                <w:bCs w:val="0"/>
              </w:rPr>
              <w:t>主撰人： 贾芝琪 王伟</w:t>
            </w:r>
          </w:p>
        </w:tc>
        <w:tc>
          <w:tcPr>
            <w:tcW w:w="1453" w:type="pct"/>
            <w:vAlign w:val="center"/>
          </w:tcPr>
          <w:p>
            <w:pPr>
              <w:rPr>
                <w:rFonts w:ascii="黑体" w:eastAsia="黑体"/>
                <w:b/>
                <w:bCs w:val="0"/>
              </w:rPr>
            </w:pPr>
            <w:r>
              <w:rPr>
                <w:rFonts w:hint="eastAsia" w:ascii="宋体" w:hAnsi="宋体"/>
                <w:b/>
                <w:bCs w:val="0"/>
              </w:rPr>
              <w:t>审核人：</w:t>
            </w:r>
            <w:r>
              <w:rPr>
                <w:rFonts w:hint="eastAsia" w:ascii="黑体" w:eastAsia="黑体"/>
                <w:b/>
                <w:bCs w:val="0"/>
              </w:rPr>
              <w:t xml:space="preserve"> </w:t>
            </w:r>
            <w:r>
              <w:rPr>
                <w:rFonts w:hint="eastAsia" w:ascii="宋体" w:hAnsi="宋体"/>
                <w:b/>
                <w:bCs w:val="0"/>
              </w:rPr>
              <w:t>谭彬、杨路明</w:t>
            </w:r>
          </w:p>
        </w:tc>
        <w:tc>
          <w:tcPr>
            <w:tcW w:w="1881" w:type="pct"/>
            <w:vAlign w:val="center"/>
          </w:tcPr>
          <w:p>
            <w:pPr>
              <w:rPr>
                <w:rFonts w:ascii="宋体" w:hAnsi="宋体"/>
                <w:b/>
                <w:bCs w:val="0"/>
              </w:rPr>
            </w:pPr>
            <w:r>
              <w:rPr>
                <w:rFonts w:hint="eastAsia" w:ascii="宋体" w:hAnsi="宋体"/>
                <w:b/>
                <w:bCs w:val="0"/>
              </w:rPr>
              <w:t>大纲制定（修订）日期：2023.05</w:t>
            </w:r>
            <w:r>
              <w:rPr>
                <w:rFonts w:hint="eastAsia" w:ascii="黑体" w:eastAsia="黑体"/>
                <w:b/>
                <w:bCs w:val="0"/>
              </w:rPr>
              <w:t xml:space="preserve"> </w:t>
            </w:r>
          </w:p>
        </w:tc>
      </w:tr>
    </w:tbl>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1.课程简介</w:t>
      </w:r>
    </w:p>
    <w:p>
      <w:pPr>
        <w:widowControl/>
        <w:spacing w:line="360" w:lineRule="auto"/>
        <w:ind w:firstLine="420" w:firstLineChars="200"/>
        <w:jc w:val="left"/>
        <w:rPr>
          <w:rFonts w:ascii="宋体" w:hAnsi="宋体"/>
          <w:bCs/>
          <w:szCs w:val="21"/>
        </w:rPr>
      </w:pPr>
      <w:r>
        <w:rPr>
          <w:rFonts w:ascii="䅂䍄䕅⯋컌" w:hAnsi="䅂䍄䕅⯋컌" w:eastAsia="䅂䍄䕅⯋컌" w:cs="䅂䍄䕅⯋컌"/>
          <w:color w:val="000000"/>
          <w:kern w:val="0"/>
          <w:szCs w:val="21"/>
          <w:lang w:bidi="ar"/>
        </w:rPr>
        <w:t>毕业（生产）实习是</w:t>
      </w:r>
      <w:r>
        <w:rPr>
          <w:rFonts w:hint="eastAsia" w:ascii="䅂䍄䕅⯋컌" w:hAnsi="䅂䍄䕅⯋컌" w:eastAsia="䅂䍄䕅⯋컌" w:cs="䅂䍄䕅⯋컌"/>
          <w:color w:val="000000"/>
          <w:kern w:val="0"/>
          <w:szCs w:val="21"/>
          <w:lang w:bidi="ar"/>
        </w:rPr>
        <w:t>园艺</w:t>
      </w:r>
      <w:r>
        <w:rPr>
          <w:rFonts w:ascii="䅂䍄䕅⯋컌" w:hAnsi="䅂䍄䕅⯋컌" w:eastAsia="䅂䍄䕅⯋컌" w:cs="䅂䍄䕅⯋컌"/>
          <w:color w:val="000000"/>
          <w:kern w:val="0"/>
          <w:szCs w:val="21"/>
          <w:lang w:bidi="ar"/>
        </w:rPr>
        <w:t>专业学生的重要实践性教学环节之一，旨在让学生了解</w:t>
      </w:r>
      <w:r>
        <w:rPr>
          <w:rFonts w:hint="eastAsia" w:ascii="䅂䍄䕅⯋컌" w:hAnsi="䅂䍄䕅⯋컌" w:eastAsia="䅂䍄䕅⯋컌" w:cs="䅂䍄䕅⯋컌"/>
          <w:color w:val="000000"/>
          <w:kern w:val="0"/>
          <w:szCs w:val="21"/>
          <w:lang w:bidi="ar"/>
        </w:rPr>
        <w:t>园艺</w:t>
      </w:r>
      <w:r>
        <w:rPr>
          <w:rFonts w:ascii="䅂䍄䕅⯋컌" w:hAnsi="䅂䍄䕅⯋컌" w:eastAsia="䅂䍄䕅⯋컌" w:cs="䅂䍄䕅⯋컌"/>
          <w:color w:val="000000"/>
          <w:kern w:val="0"/>
          <w:szCs w:val="21"/>
          <w:lang w:bidi="ar"/>
        </w:rPr>
        <w:t>产业</w:t>
      </w:r>
      <w:r>
        <w:rPr>
          <w:rFonts w:hint="eastAsia" w:ascii="䅂䍄䕅⯋컌" w:hAnsi="䅂䍄䕅⯋컌" w:eastAsia="䅂䍄䕅⯋컌" w:cs="䅂䍄䕅⯋컌"/>
          <w:color w:val="000000"/>
          <w:kern w:val="0"/>
          <w:szCs w:val="21"/>
          <w:lang w:bidi="ar"/>
        </w:rPr>
        <w:t>发展，</w:t>
      </w:r>
      <w:r>
        <w:rPr>
          <w:rFonts w:ascii="䅂䍄䕅⯋컌" w:hAnsi="䅂䍄䕅⯋컌" w:eastAsia="䅂䍄䕅⯋컌" w:cs="䅂䍄䕅⯋컌"/>
          <w:color w:val="000000"/>
          <w:kern w:val="0"/>
          <w:szCs w:val="21"/>
          <w:lang w:bidi="ar"/>
        </w:rPr>
        <w:t>接触实际生产</w:t>
      </w:r>
      <w:r>
        <w:rPr>
          <w:rFonts w:hint="eastAsia" w:ascii="䅂䍄䕅⯋컌" w:hAnsi="䅂䍄䕅⯋컌" w:eastAsia="䅂䍄䕅⯋컌" w:cs="䅂䍄䕅⯋컌"/>
          <w:color w:val="000000"/>
          <w:kern w:val="0"/>
          <w:szCs w:val="21"/>
          <w:lang w:bidi="ar"/>
        </w:rPr>
        <w:t>，掌握园艺植物的生产技术及研究方法</w:t>
      </w:r>
      <w:r>
        <w:rPr>
          <w:rFonts w:ascii="䅂䍄䕅⯋컌" w:hAnsi="䅂䍄䕅⯋컌" w:eastAsia="䅂䍄䕅⯋컌" w:cs="䅂䍄䕅⯋컌"/>
          <w:color w:val="000000"/>
          <w:kern w:val="0"/>
          <w:szCs w:val="21"/>
          <w:lang w:bidi="ar"/>
        </w:rPr>
        <w:t>，使理论与实践相结合，巩固所学专业理论知识，培养学生实际工作能力、创新创业能力和专业技能水平，同时为毕业论文搜集有关的技术资料、相关生产数据，为毕业论文的撰写工作打下良好的基础，使学生对</w:t>
      </w:r>
      <w:r>
        <w:rPr>
          <w:rFonts w:hint="eastAsia" w:ascii="䅂䍄䕅⯋컌" w:hAnsi="䅂䍄䕅⯋컌" w:eastAsia="䅂䍄䕅⯋컌" w:cs="䅂䍄䕅⯋컌"/>
          <w:color w:val="000000"/>
          <w:kern w:val="0"/>
          <w:szCs w:val="21"/>
          <w:lang w:bidi="ar"/>
        </w:rPr>
        <w:t>园艺专业</w:t>
      </w:r>
      <w:r>
        <w:rPr>
          <w:rFonts w:ascii="䅂䍄䕅⯋컌" w:hAnsi="䅂䍄䕅⯋컌" w:eastAsia="䅂䍄䕅⯋컌" w:cs="䅂䍄䕅⯋컌"/>
          <w:color w:val="000000"/>
          <w:kern w:val="0"/>
          <w:szCs w:val="21"/>
          <w:lang w:bidi="ar"/>
        </w:rPr>
        <w:t>本身的实践性形成深刻认知，培育学生理论联系实际、从实践中发现问题、思考问题并解决问题的逻辑思维能力，提升学生的实践导向、重视问题导向的综合能力。同时，通过实习</w:t>
      </w:r>
      <w:r>
        <w:rPr>
          <w:rFonts w:hint="eastAsia" w:ascii="䅂䍄䕅⯋컌" w:hAnsi="䅂䍄䕅⯋컌" w:eastAsia="䅂䍄䕅⯋컌" w:cs="䅂䍄䕅⯋컌"/>
          <w:color w:val="000000"/>
          <w:kern w:val="0"/>
          <w:szCs w:val="21"/>
          <w:lang w:bidi="ar"/>
        </w:rPr>
        <w:t>使学生成为懂农业、爱农村、爱农民的专业人才</w:t>
      </w:r>
      <w:r>
        <w:rPr>
          <w:rFonts w:ascii="䅂䍄䕅⯋컌" w:hAnsi="䅂䍄䕅⯋컌" w:eastAsia="䅂䍄䕅⯋컌" w:cs="䅂䍄䕅⯋컌"/>
          <w:color w:val="000000"/>
          <w:kern w:val="0"/>
          <w:szCs w:val="21"/>
          <w:lang w:bidi="ar"/>
        </w:rPr>
        <w:t xml:space="preserve">，激励学生的敬业、创业精神和专业能力提升。 </w:t>
      </w:r>
    </w:p>
    <w:p>
      <w:pPr>
        <w:spacing w:line="360" w:lineRule="auto"/>
        <w:ind w:firstLine="422" w:firstLineChars="200"/>
        <w:rPr>
          <w:rFonts w:ascii="宋体" w:hAnsi="宋体"/>
          <w:b/>
          <w:szCs w:val="21"/>
        </w:rPr>
      </w:pPr>
      <w:r>
        <w:rPr>
          <w:rFonts w:ascii="宋体" w:hAnsi="宋体"/>
          <w:b/>
          <w:szCs w:val="21"/>
        </w:rPr>
        <w:t>2.</w:t>
      </w:r>
      <w:r>
        <w:rPr>
          <w:rFonts w:hint="eastAsia" w:ascii="宋体" w:hAnsi="宋体"/>
          <w:b/>
          <w:szCs w:val="21"/>
        </w:rPr>
        <w:t>课程劳动教育</w:t>
      </w:r>
    </w:p>
    <w:p>
      <w:pPr>
        <w:spacing w:line="360" w:lineRule="auto"/>
        <w:ind w:firstLine="420" w:firstLineChars="200"/>
        <w:rPr>
          <w:rFonts w:ascii="宋体" w:hAnsi="宋体"/>
          <w:bCs/>
          <w:szCs w:val="21"/>
        </w:rPr>
      </w:pPr>
      <w:r>
        <w:rPr>
          <w:rFonts w:hint="eastAsia" w:ascii="宋体" w:hAnsi="宋体"/>
          <w:bCs/>
          <w:szCs w:val="21"/>
        </w:rPr>
        <w:t>生产实习是园艺专业“卓越园艺师”培养计划的主要环节，劳动教育是新时代党对教育的新要求，是中国特色社会主义教育制度的重要内容，是全面发展教育体系的重要组成部分。通过学生在生产第一线的实习劳动，引导学生认识社会，增强社会责任感，增强学生服务“三农”和农业农村现代化的使命感和责任感，让学生走进农村、走近农民、走向农业，了解乡情民情，学习乡土文化，提升学生学农知农爱农素养和专业实践能力。</w:t>
      </w:r>
    </w:p>
    <w:p>
      <w:pPr>
        <w:spacing w:line="360" w:lineRule="auto"/>
        <w:ind w:firstLine="422" w:firstLineChars="200"/>
        <w:rPr>
          <w:rFonts w:ascii="宋体" w:hAnsi="宋体"/>
          <w:b/>
          <w:szCs w:val="21"/>
        </w:rPr>
      </w:pPr>
      <w:r>
        <w:rPr>
          <w:rFonts w:hint="eastAsia" w:ascii="宋体" w:hAnsi="宋体"/>
          <w:b/>
          <w:szCs w:val="21"/>
        </w:rPr>
        <w:t>3</w:t>
      </w:r>
      <w:r>
        <w:rPr>
          <w:rFonts w:hint="eastAsia" w:ascii="宋体" w:hAnsi="宋体" w:cs="宋体"/>
          <w:b/>
          <w:kern w:val="0"/>
          <w:szCs w:val="21"/>
        </w:rPr>
        <w:t>.</w:t>
      </w:r>
      <w:r>
        <w:rPr>
          <w:rFonts w:hint="eastAsia" w:ascii="宋体" w:hAnsi="宋体"/>
          <w:b/>
          <w:szCs w:val="21"/>
        </w:rPr>
        <w:t>实习目的和要求</w:t>
      </w:r>
    </w:p>
    <w:p>
      <w:pPr>
        <w:spacing w:line="360" w:lineRule="auto"/>
        <w:ind w:firstLine="420" w:firstLineChars="200"/>
        <w:rPr>
          <w:rFonts w:ascii="䅂䍄䕅⯋컌" w:hAnsi="䅂䍄䕅⯋컌" w:eastAsia="䅂䍄䕅⯋컌" w:cs="䅂䍄䕅⯋컌"/>
          <w:color w:val="000000"/>
          <w:kern w:val="0"/>
          <w:szCs w:val="21"/>
          <w:lang w:bidi="ar"/>
        </w:rPr>
      </w:pPr>
      <w:r>
        <w:rPr>
          <w:rFonts w:ascii="䅂䍄䕅⯋컌" w:hAnsi="䅂䍄䕅⯋컌" w:eastAsia="䅂䍄䕅⯋컌" w:cs="䅂䍄䕅⯋컌"/>
          <w:color w:val="000000"/>
          <w:kern w:val="0"/>
          <w:szCs w:val="21"/>
          <w:lang w:bidi="ar"/>
        </w:rPr>
        <w:t>了解</w:t>
      </w:r>
      <w:r>
        <w:rPr>
          <w:rFonts w:hint="eastAsia" w:ascii="䅂䍄䕅⯋컌" w:hAnsi="䅂䍄䕅⯋컌" w:eastAsia="䅂䍄䕅⯋컌" w:cs="䅂䍄䕅⯋컌"/>
          <w:color w:val="000000"/>
          <w:kern w:val="0"/>
          <w:szCs w:val="21"/>
          <w:lang w:bidi="ar"/>
        </w:rPr>
        <w:t>园艺</w:t>
      </w:r>
      <w:r>
        <w:rPr>
          <w:rFonts w:ascii="䅂䍄䕅⯋컌" w:hAnsi="䅂䍄䕅⯋컌" w:eastAsia="䅂䍄䕅⯋컌" w:cs="䅂䍄䕅⯋컌"/>
          <w:color w:val="000000"/>
          <w:kern w:val="0"/>
          <w:szCs w:val="21"/>
          <w:lang w:bidi="ar"/>
        </w:rPr>
        <w:t>产业</w:t>
      </w:r>
      <w:r>
        <w:rPr>
          <w:rFonts w:hint="eastAsia" w:ascii="䅂䍄䕅⯋컌" w:hAnsi="䅂䍄䕅⯋컌" w:eastAsia="䅂䍄䕅⯋컌" w:cs="䅂䍄䕅⯋컌"/>
          <w:color w:val="000000"/>
          <w:kern w:val="0"/>
          <w:szCs w:val="21"/>
          <w:lang w:bidi="ar"/>
        </w:rPr>
        <w:t>发展，</w:t>
      </w:r>
      <w:r>
        <w:rPr>
          <w:rFonts w:ascii="䅂䍄䕅⯋컌" w:hAnsi="䅂䍄䕅⯋컌" w:eastAsia="䅂䍄䕅⯋컌" w:cs="䅂䍄䕅⯋컌"/>
          <w:color w:val="000000"/>
          <w:kern w:val="0"/>
          <w:szCs w:val="21"/>
          <w:lang w:bidi="ar"/>
        </w:rPr>
        <w:t>接触实际生产</w:t>
      </w:r>
      <w:r>
        <w:rPr>
          <w:rFonts w:hint="eastAsia" w:ascii="䅂䍄䕅⯋컌" w:hAnsi="䅂䍄䕅⯋컌" w:eastAsia="䅂䍄䕅⯋컌" w:cs="䅂䍄䕅⯋컌"/>
          <w:color w:val="000000"/>
          <w:kern w:val="0"/>
          <w:szCs w:val="21"/>
          <w:lang w:bidi="ar"/>
        </w:rPr>
        <w:t>，掌握园艺植物的生产技术及研究方法</w:t>
      </w:r>
      <w:r>
        <w:rPr>
          <w:rFonts w:ascii="䅂䍄䕅⯋컌" w:hAnsi="䅂䍄䕅⯋컌" w:eastAsia="䅂䍄䕅⯋컌" w:cs="䅂䍄䕅⯋컌"/>
          <w:color w:val="000000"/>
          <w:kern w:val="0"/>
          <w:szCs w:val="21"/>
          <w:lang w:bidi="ar"/>
        </w:rPr>
        <w:t>，使理论与实践相结合，巩固所学专业理论知识，培养学生实际工作能力、创新创业能力和专业技能水平，同时为毕业论文搜集有关的技术资料、相关生产数据，为毕业论文的撰写工作打下良好的基础</w:t>
      </w:r>
      <w:r>
        <w:rPr>
          <w:rFonts w:hint="eastAsia" w:ascii="䅂䍄䕅⯋컌" w:hAnsi="䅂䍄䕅⯋컌" w:eastAsia="䅂䍄䕅⯋컌" w:cs="䅂䍄䕅⯋컌"/>
          <w:color w:val="000000"/>
          <w:kern w:val="0"/>
          <w:szCs w:val="21"/>
          <w:lang w:bidi="ar"/>
        </w:rPr>
        <w:t>。</w:t>
      </w:r>
    </w:p>
    <w:p>
      <w:pPr>
        <w:spacing w:line="360" w:lineRule="auto"/>
        <w:ind w:firstLine="422" w:firstLineChars="200"/>
        <w:rPr>
          <w:rFonts w:ascii="宋体" w:hAnsi="宋体"/>
          <w:b/>
          <w:szCs w:val="21"/>
        </w:rPr>
      </w:pPr>
      <w:r>
        <w:rPr>
          <w:rFonts w:hint="eastAsia" w:ascii="宋体" w:hAnsi="宋体"/>
          <w:b/>
          <w:szCs w:val="21"/>
        </w:rPr>
        <w:t>4</w:t>
      </w:r>
      <w:r>
        <w:rPr>
          <w:rFonts w:hint="eastAsia" w:ascii="宋体" w:hAnsi="宋体" w:cs="宋体"/>
          <w:b/>
          <w:kern w:val="0"/>
          <w:szCs w:val="21"/>
        </w:rPr>
        <w:t>.</w:t>
      </w:r>
      <w:r>
        <w:rPr>
          <w:rFonts w:hint="eastAsia" w:ascii="宋体" w:hAnsi="宋体"/>
          <w:b/>
          <w:szCs w:val="21"/>
        </w:rPr>
        <w:t>实习地点及内容</w:t>
      </w:r>
    </w:p>
    <w:p>
      <w:pPr>
        <w:tabs>
          <w:tab w:val="left" w:pos="3720"/>
          <w:tab w:val="left" w:pos="3780"/>
          <w:tab w:val="left" w:pos="4305"/>
        </w:tabs>
        <w:adjustRightInd w:val="0"/>
        <w:snapToGrid w:val="0"/>
        <w:spacing w:line="360" w:lineRule="auto"/>
        <w:ind w:firstLine="422" w:firstLineChars="200"/>
        <w:rPr>
          <w:rFonts w:ascii="宋体" w:hAnsi="宋体"/>
          <w:bCs/>
          <w:color w:val="0000FF"/>
          <w:szCs w:val="21"/>
        </w:rPr>
      </w:pPr>
      <w:r>
        <w:rPr>
          <w:rFonts w:hint="eastAsia" w:ascii="宋体" w:hAnsi="宋体"/>
          <w:b/>
          <w:szCs w:val="21"/>
        </w:rPr>
        <w:t>（1）</w:t>
      </w:r>
      <w:r>
        <w:rPr>
          <w:rFonts w:hint="eastAsia" w:ascii="宋体" w:hAnsi="宋体"/>
          <w:b/>
          <w:bCs/>
          <w:szCs w:val="21"/>
        </w:rPr>
        <w:t>实习</w:t>
      </w:r>
      <w:r>
        <w:rPr>
          <w:rFonts w:hint="eastAsia" w:ascii="宋体" w:hAnsi="宋体"/>
          <w:b/>
          <w:szCs w:val="21"/>
        </w:rPr>
        <w:t>地点：</w:t>
      </w:r>
      <w:r>
        <w:rPr>
          <w:rFonts w:hint="eastAsia" w:ascii="宋体" w:hAnsi="宋体"/>
          <w:bCs/>
          <w:szCs w:val="21"/>
        </w:rPr>
        <w:t>园艺专业相关的企业、种植园区、生产基地、科研机构等。</w:t>
      </w:r>
    </w:p>
    <w:p>
      <w:pPr>
        <w:tabs>
          <w:tab w:val="left" w:pos="3720"/>
          <w:tab w:val="left" w:pos="3780"/>
          <w:tab w:val="left" w:pos="4305"/>
        </w:tabs>
        <w:adjustRightInd w:val="0"/>
        <w:snapToGrid w:val="0"/>
        <w:spacing w:line="360" w:lineRule="auto"/>
        <w:ind w:firstLine="422" w:firstLineChars="200"/>
        <w:rPr>
          <w:rFonts w:ascii="宋体" w:hAnsi="宋体"/>
          <w:color w:val="0000FF"/>
          <w:szCs w:val="21"/>
        </w:rPr>
      </w:pPr>
      <w:r>
        <w:rPr>
          <w:rFonts w:hint="eastAsia" w:ascii="宋体" w:hAnsi="宋体"/>
          <w:b/>
          <w:szCs w:val="21"/>
        </w:rPr>
        <w:t>（2）</w:t>
      </w:r>
      <w:r>
        <w:rPr>
          <w:rFonts w:hint="eastAsia" w:ascii="宋体" w:hAnsi="宋体"/>
          <w:b/>
          <w:bCs/>
          <w:szCs w:val="21"/>
        </w:rPr>
        <w:t>实习内容：</w:t>
      </w:r>
      <w:r>
        <w:rPr>
          <w:rFonts w:hint="eastAsia" w:ascii="宋体" w:hAnsi="宋体"/>
          <w:szCs w:val="21"/>
        </w:rPr>
        <w:t>园艺产品的栽培、育种、加工等技术的学习和园艺产品生产销售，以及园艺植物的研究方法理论和技术。</w:t>
      </w:r>
    </w:p>
    <w:p>
      <w:pPr>
        <w:spacing w:line="360" w:lineRule="auto"/>
        <w:ind w:firstLine="422" w:firstLineChars="200"/>
        <w:rPr>
          <w:rFonts w:ascii="宋体" w:hAnsi="宋体"/>
          <w:b/>
          <w:szCs w:val="21"/>
        </w:rPr>
      </w:pPr>
      <w:r>
        <w:rPr>
          <w:rFonts w:hint="eastAsia" w:ascii="宋体" w:hAnsi="宋体"/>
          <w:b/>
          <w:szCs w:val="21"/>
        </w:rPr>
        <w:t>5</w:t>
      </w:r>
      <w:r>
        <w:rPr>
          <w:rFonts w:hint="eastAsia" w:ascii="宋体" w:hAnsi="宋体" w:cs="宋体"/>
          <w:b/>
          <w:kern w:val="0"/>
          <w:szCs w:val="21"/>
        </w:rPr>
        <w:t>.</w:t>
      </w:r>
      <w:r>
        <w:rPr>
          <w:rFonts w:hint="eastAsia" w:ascii="宋体" w:hAnsi="宋体"/>
          <w:b/>
          <w:szCs w:val="21"/>
        </w:rPr>
        <w:t>实习时间安排</w:t>
      </w:r>
    </w:p>
    <w:p>
      <w:pPr>
        <w:spacing w:line="360" w:lineRule="auto"/>
        <w:ind w:firstLine="420" w:firstLineChars="200"/>
        <w:rPr>
          <w:rFonts w:ascii="宋体" w:hAnsi="宋体"/>
          <w:bCs/>
          <w:szCs w:val="21"/>
        </w:rPr>
      </w:pPr>
      <w:r>
        <w:rPr>
          <w:rFonts w:ascii="䅂䍄䕅⯋컌" w:hAnsi="䅂䍄䕅⯋컌" w:eastAsia="䅂䍄䕅⯋컌" w:cs="䅂䍄䕅⯋컌"/>
          <w:color w:val="000000"/>
          <w:kern w:val="0"/>
          <w:szCs w:val="21"/>
          <w:lang w:bidi="ar"/>
        </w:rPr>
        <w:t xml:space="preserve">在第 </w:t>
      </w:r>
      <w:r>
        <w:rPr>
          <w:color w:val="000000"/>
          <w:kern w:val="0"/>
          <w:szCs w:val="21"/>
          <w:lang w:bidi="ar"/>
        </w:rPr>
        <w:t xml:space="preserve">6 </w:t>
      </w:r>
      <w:r>
        <w:rPr>
          <w:rFonts w:ascii="䅂䍄䕅⯋컌" w:hAnsi="䅂䍄䕅⯋컌" w:eastAsia="䅂䍄䕅⯋컌" w:cs="䅂䍄䕅⯋컌"/>
          <w:color w:val="000000"/>
          <w:kern w:val="0"/>
          <w:szCs w:val="21"/>
          <w:lang w:bidi="ar"/>
        </w:rPr>
        <w:t xml:space="preserve">学期开展为期 </w:t>
      </w:r>
      <w:r>
        <w:rPr>
          <w:color w:val="000000"/>
          <w:kern w:val="0"/>
          <w:szCs w:val="21"/>
          <w:lang w:bidi="ar"/>
        </w:rPr>
        <w:t xml:space="preserve">19 </w:t>
      </w:r>
      <w:r>
        <w:rPr>
          <w:rFonts w:ascii="䅂䍄䕅⯋컌" w:hAnsi="䅂䍄䕅⯋컌" w:eastAsia="䅂䍄䕅⯋컌" w:cs="䅂䍄䕅⯋컌"/>
          <w:color w:val="000000"/>
          <w:kern w:val="0"/>
          <w:szCs w:val="21"/>
          <w:lang w:bidi="ar"/>
        </w:rPr>
        <w:t>周的实习</w:t>
      </w:r>
      <w:r>
        <w:rPr>
          <w:rFonts w:ascii="宋体" w:hAnsi="宋体"/>
          <w:bCs/>
          <w:szCs w:val="21"/>
        </w:rPr>
        <w:t>。</w:t>
      </w:r>
    </w:p>
    <w:p>
      <w:pPr>
        <w:spacing w:line="360" w:lineRule="auto"/>
        <w:ind w:firstLine="422" w:firstLineChars="200"/>
        <w:rPr>
          <w:rFonts w:ascii="宋体" w:hAnsi="宋体"/>
          <w:b/>
          <w:szCs w:val="21"/>
        </w:rPr>
      </w:pPr>
      <w:r>
        <w:rPr>
          <w:rFonts w:hint="eastAsia" w:ascii="宋体" w:hAnsi="宋体"/>
          <w:b/>
          <w:szCs w:val="21"/>
        </w:rPr>
        <w:t>6</w:t>
      </w:r>
      <w:r>
        <w:rPr>
          <w:rFonts w:hint="eastAsia" w:ascii="宋体" w:hAnsi="宋体" w:cs="宋体"/>
          <w:b/>
          <w:kern w:val="0"/>
          <w:szCs w:val="21"/>
        </w:rPr>
        <w:t>.</w:t>
      </w:r>
      <w:r>
        <w:rPr>
          <w:rFonts w:hint="eastAsia" w:ascii="宋体" w:hAnsi="宋体"/>
          <w:b/>
          <w:szCs w:val="21"/>
        </w:rPr>
        <w:t>实习具体要求</w:t>
      </w:r>
    </w:p>
    <w:p>
      <w:pPr>
        <w:tabs>
          <w:tab w:val="left" w:pos="3720"/>
          <w:tab w:val="left" w:pos="3780"/>
          <w:tab w:val="left" w:pos="4305"/>
        </w:tabs>
        <w:adjustRightInd w:val="0"/>
        <w:snapToGrid w:val="0"/>
        <w:spacing w:line="360" w:lineRule="auto"/>
        <w:ind w:firstLine="420" w:firstLineChars="200"/>
        <w:rPr>
          <w:rFonts w:ascii="宋体" w:hAnsi="宋体"/>
          <w:color w:val="0000FF"/>
          <w:szCs w:val="21"/>
        </w:rPr>
      </w:pPr>
      <w:r>
        <w:rPr>
          <w:rFonts w:hint="eastAsia" w:ascii="䅂䍄䕅⯋컌" w:hAnsi="䅂䍄䕅⯋컌" w:eastAsia="䅂䍄䕅⯋컌" w:cs="䅂䍄䕅⯋컌"/>
          <w:color w:val="000000"/>
          <w:kern w:val="0"/>
          <w:szCs w:val="21"/>
          <w:lang w:bidi="ar"/>
        </w:rPr>
        <w:t>完成实习实习任务，认真记录实习日志，</w:t>
      </w:r>
      <w:r>
        <w:rPr>
          <w:rFonts w:ascii="䅂䍄䕅⯋컌" w:hAnsi="䅂䍄䕅⯋컌" w:eastAsia="䅂䍄䕅⯋컌" w:cs="䅂䍄䕅⯋컌"/>
          <w:color w:val="000000"/>
          <w:kern w:val="0"/>
          <w:szCs w:val="21"/>
          <w:lang w:bidi="ar"/>
        </w:rPr>
        <w:t>了解</w:t>
      </w:r>
      <w:r>
        <w:rPr>
          <w:rFonts w:hint="eastAsia" w:ascii="䅂䍄䕅⯋컌" w:hAnsi="䅂䍄䕅⯋컌" w:eastAsia="䅂䍄䕅⯋컌" w:cs="䅂䍄䕅⯋컌"/>
          <w:color w:val="000000"/>
          <w:kern w:val="0"/>
          <w:szCs w:val="21"/>
          <w:lang w:bidi="ar"/>
        </w:rPr>
        <w:t>园艺</w:t>
      </w:r>
      <w:r>
        <w:rPr>
          <w:rFonts w:ascii="䅂䍄䕅⯋컌" w:hAnsi="䅂䍄䕅⯋컌" w:eastAsia="䅂䍄䕅⯋컌" w:cs="䅂䍄䕅⯋컌"/>
          <w:color w:val="000000"/>
          <w:kern w:val="0"/>
          <w:szCs w:val="21"/>
          <w:lang w:bidi="ar"/>
        </w:rPr>
        <w:t>产业</w:t>
      </w:r>
      <w:r>
        <w:rPr>
          <w:rFonts w:hint="eastAsia" w:ascii="䅂䍄䕅⯋컌" w:hAnsi="䅂䍄䕅⯋컌" w:eastAsia="䅂䍄䕅⯋컌" w:cs="䅂䍄䕅⯋컌"/>
          <w:color w:val="000000"/>
          <w:kern w:val="0"/>
          <w:szCs w:val="21"/>
          <w:lang w:bidi="ar"/>
        </w:rPr>
        <w:t>发展，</w:t>
      </w:r>
      <w:r>
        <w:rPr>
          <w:rFonts w:ascii="䅂䍄䕅⯋컌" w:hAnsi="䅂䍄䕅⯋컌" w:eastAsia="䅂䍄䕅⯋컌" w:cs="䅂䍄䕅⯋컌"/>
          <w:color w:val="000000"/>
          <w:kern w:val="0"/>
          <w:szCs w:val="21"/>
          <w:lang w:bidi="ar"/>
        </w:rPr>
        <w:t>接触实际生产</w:t>
      </w:r>
      <w:r>
        <w:rPr>
          <w:rFonts w:hint="eastAsia" w:ascii="䅂䍄䕅⯋컌" w:hAnsi="䅂䍄䕅⯋컌" w:eastAsia="䅂䍄䕅⯋컌" w:cs="䅂䍄䕅⯋컌"/>
          <w:color w:val="000000"/>
          <w:kern w:val="0"/>
          <w:szCs w:val="21"/>
          <w:lang w:bidi="ar"/>
        </w:rPr>
        <w:t>，掌握园艺植物的生产技术及研究方法</w:t>
      </w:r>
      <w:r>
        <w:rPr>
          <w:rFonts w:ascii="䅂䍄䕅⯋컌" w:hAnsi="䅂䍄䕅⯋컌" w:eastAsia="䅂䍄䕅⯋컌" w:cs="䅂䍄䕅⯋컌"/>
          <w:color w:val="000000"/>
          <w:kern w:val="0"/>
          <w:szCs w:val="21"/>
          <w:lang w:bidi="ar"/>
        </w:rPr>
        <w:t>，使理论与实践相结合，巩固所学专业理论知识，培养学生实际工作能力、创新创业能力和专业技能水平，同时为毕业论文搜集有关的技术资料、相关生产数据，为毕业论文的撰写工作打下良好的基础</w:t>
      </w:r>
      <w:r>
        <w:rPr>
          <w:rFonts w:hint="eastAsia" w:ascii="䅂䍄䕅⯋컌" w:hAnsi="䅂䍄䕅⯋컌" w:eastAsia="䅂䍄䕅⯋컌" w:cs="䅂䍄䕅⯋컌"/>
          <w:color w:val="000000"/>
          <w:kern w:val="0"/>
          <w:szCs w:val="21"/>
          <w:lang w:bidi="ar"/>
        </w:rPr>
        <w:t>。</w:t>
      </w:r>
    </w:p>
    <w:p>
      <w:pPr>
        <w:widowControl/>
        <w:spacing w:line="360" w:lineRule="auto"/>
        <w:ind w:firstLine="422" w:firstLineChars="200"/>
        <w:jc w:val="left"/>
        <w:rPr>
          <w:rFonts w:ascii="宋体" w:hAnsi="宋体" w:cs="宋体"/>
          <w:b/>
          <w:kern w:val="0"/>
          <w:szCs w:val="21"/>
        </w:rPr>
      </w:pPr>
      <w:r>
        <w:rPr>
          <w:rFonts w:hint="eastAsia" w:ascii="宋体" w:hAnsi="宋体"/>
          <w:b/>
          <w:szCs w:val="21"/>
        </w:rPr>
        <w:t>7</w:t>
      </w:r>
      <w:r>
        <w:rPr>
          <w:rFonts w:hint="eastAsia" w:ascii="宋体" w:hAnsi="宋体" w:cs="宋体"/>
          <w:b/>
          <w:kern w:val="0"/>
          <w:szCs w:val="21"/>
        </w:rPr>
        <w:t>.考核方式与成绩评定标准</w:t>
      </w:r>
    </w:p>
    <w:p>
      <w:pPr>
        <w:widowControl/>
        <w:spacing w:line="360" w:lineRule="auto"/>
        <w:ind w:firstLine="420" w:firstLineChars="200"/>
        <w:jc w:val="left"/>
        <w:rPr>
          <w:rFonts w:ascii="宋体" w:hAnsi="宋体"/>
          <w:bCs/>
          <w:szCs w:val="21"/>
        </w:rPr>
      </w:pPr>
      <w:r>
        <w:rPr>
          <w:rFonts w:ascii="䅂䍄䕅⯋컌" w:hAnsi="䅂䍄䕅⯋컌" w:eastAsia="䅂䍄䕅⯋컌" w:cs="䅂䍄䕅⯋컌"/>
          <w:color w:val="000000"/>
          <w:kern w:val="0"/>
          <w:szCs w:val="21"/>
          <w:lang w:bidi="ar"/>
        </w:rPr>
        <w:t>由实习单位、指导教师共同评价学生的实习表现（</w:t>
      </w:r>
      <w:r>
        <w:rPr>
          <w:color w:val="000000"/>
          <w:kern w:val="0"/>
          <w:szCs w:val="21"/>
          <w:lang w:bidi="ar"/>
        </w:rPr>
        <w:t>40%</w:t>
      </w:r>
      <w:r>
        <w:rPr>
          <w:rFonts w:ascii="䅂䍄䕅⯋컌" w:hAnsi="䅂䍄䕅⯋컌" w:eastAsia="䅂䍄䕅⯋컌" w:cs="䅂䍄䕅⯋컌"/>
          <w:color w:val="000000"/>
          <w:kern w:val="0"/>
          <w:szCs w:val="21"/>
          <w:lang w:bidi="ar"/>
        </w:rPr>
        <w:t>），学生</w:t>
      </w:r>
      <w:r>
        <w:rPr>
          <w:rFonts w:hint="eastAsia" w:ascii="䅂䍄䕅⯋컌" w:hAnsi="䅂䍄䕅⯋컌" w:eastAsia="䅂䍄䕅⯋컌" w:cs="䅂䍄䕅⯋컌"/>
          <w:color w:val="000000"/>
          <w:kern w:val="0"/>
          <w:szCs w:val="21"/>
          <w:lang w:bidi="ar"/>
        </w:rPr>
        <w:t>进行实习汇报，专业老师打分</w:t>
      </w:r>
      <w:r>
        <w:rPr>
          <w:rFonts w:ascii="䅂䍄䕅⯋컌" w:hAnsi="䅂䍄䕅⯋컌" w:eastAsia="䅂䍄䕅⯋컌" w:cs="䅂䍄䕅⯋컌"/>
          <w:color w:val="000000"/>
          <w:kern w:val="0"/>
          <w:szCs w:val="21"/>
          <w:lang w:bidi="ar"/>
        </w:rPr>
        <w:t>（</w:t>
      </w:r>
      <w:r>
        <w:rPr>
          <w:color w:val="000000"/>
          <w:kern w:val="0"/>
          <w:szCs w:val="21"/>
          <w:lang w:bidi="ar"/>
        </w:rPr>
        <w:t>40%</w:t>
      </w:r>
      <w:r>
        <w:rPr>
          <w:rFonts w:ascii="䅂䍄䕅⯋컌" w:hAnsi="䅂䍄䕅⯋컌" w:eastAsia="䅂䍄䕅⯋컌" w:cs="䅂䍄䕅⯋컌"/>
          <w:color w:val="000000"/>
          <w:kern w:val="0"/>
          <w:szCs w:val="21"/>
          <w:lang w:bidi="ar"/>
        </w:rPr>
        <w:t>），实习日志 （</w:t>
      </w:r>
      <w:r>
        <w:rPr>
          <w:color w:val="000000"/>
          <w:kern w:val="0"/>
          <w:szCs w:val="21"/>
          <w:lang w:bidi="ar"/>
        </w:rPr>
        <w:t>20%</w:t>
      </w:r>
      <w:r>
        <w:rPr>
          <w:rFonts w:ascii="䅂䍄䕅⯋컌" w:hAnsi="䅂䍄䕅⯋컌" w:eastAsia="䅂䍄䕅⯋컌" w:cs="䅂䍄䕅⯋컌"/>
          <w:color w:val="000000"/>
          <w:kern w:val="0"/>
          <w:szCs w:val="21"/>
          <w:lang w:bidi="ar"/>
        </w:rPr>
        <w:t xml:space="preserve">）。 </w:t>
      </w:r>
    </w:p>
    <w:p>
      <w:pPr>
        <w:widowControl/>
        <w:spacing w:line="360" w:lineRule="auto"/>
        <w:ind w:firstLine="422" w:firstLineChars="200"/>
        <w:jc w:val="left"/>
        <w:rPr>
          <w:rFonts w:ascii="宋体" w:hAnsi="宋体" w:cs="宋体"/>
          <w:b/>
          <w:kern w:val="0"/>
          <w:szCs w:val="21"/>
        </w:rPr>
      </w:pPr>
      <w:r>
        <w:rPr>
          <w:rFonts w:hint="eastAsia" w:ascii="宋体" w:hAnsi="宋体" w:cs="宋体"/>
          <w:b/>
          <w:kern w:val="0"/>
          <w:szCs w:val="21"/>
        </w:rPr>
        <w:t>8.教材及主要参考资料</w:t>
      </w:r>
    </w:p>
    <w:p>
      <w:pPr>
        <w:widowControl/>
        <w:adjustRightInd w:val="0"/>
        <w:snapToGrid w:val="0"/>
        <w:spacing w:line="300" w:lineRule="auto"/>
        <w:ind w:firstLine="210" w:firstLineChars="100"/>
        <w:jc w:val="left"/>
        <w:rPr>
          <w:rFonts w:asciiTheme="minorEastAsia" w:hAnsiTheme="minorEastAsia" w:eastAsiaTheme="minorEastAsia"/>
          <w:szCs w:val="21"/>
        </w:rPr>
      </w:pPr>
      <w:r>
        <w:rPr>
          <w:rFonts w:hint="eastAsia" w:asciiTheme="minorEastAsia" w:hAnsiTheme="minorEastAsia" w:eastAsiaTheme="minorEastAsia"/>
        </w:rPr>
        <w:t>（1）</w:t>
      </w:r>
      <w:r>
        <w:rPr>
          <w:rFonts w:asciiTheme="minorEastAsia" w:hAnsiTheme="minorEastAsia" w:eastAsiaTheme="minorEastAsia"/>
        </w:rPr>
        <w:t>设施园艺学</w:t>
      </w:r>
      <w:r>
        <w:rPr>
          <w:rFonts w:hint="eastAsia" w:ascii="宋体" w:hAnsi="宋体"/>
          <w:szCs w:val="21"/>
        </w:rPr>
        <w:t>（第三版）</w:t>
      </w:r>
      <w:r>
        <w:rPr>
          <w:rFonts w:hint="eastAsia" w:asciiTheme="minorEastAsia" w:hAnsiTheme="minorEastAsia" w:eastAsiaTheme="minorEastAsia"/>
        </w:rPr>
        <w:t>，郭世荣</w:t>
      </w:r>
      <w:r>
        <w:rPr>
          <w:rFonts w:asciiTheme="minorEastAsia" w:hAnsiTheme="minorEastAsia" w:eastAsiaTheme="minorEastAsia"/>
        </w:rPr>
        <w:t>主编</w:t>
      </w:r>
      <w:r>
        <w:rPr>
          <w:rFonts w:hint="eastAsia" w:asciiTheme="minorEastAsia" w:hAnsiTheme="minorEastAsia" w:eastAsiaTheme="minorEastAsia"/>
        </w:rPr>
        <w:t>，</w:t>
      </w:r>
      <w:r>
        <w:rPr>
          <w:rFonts w:asciiTheme="minorEastAsia" w:hAnsiTheme="minorEastAsia" w:eastAsiaTheme="minorEastAsia"/>
        </w:rPr>
        <w:t>中国农业出版社，20</w:t>
      </w:r>
      <w:r>
        <w:rPr>
          <w:rFonts w:hint="eastAsia" w:asciiTheme="minorEastAsia" w:hAnsiTheme="minorEastAsia" w:eastAsiaTheme="minorEastAsia"/>
        </w:rPr>
        <w:t>20</w:t>
      </w:r>
      <w:r>
        <w:rPr>
          <w:rFonts w:asciiTheme="minorEastAsia" w:hAnsiTheme="minorEastAsia" w:eastAsiaTheme="minorEastAsia"/>
        </w:rPr>
        <w:t>年</w:t>
      </w:r>
    </w:p>
    <w:p>
      <w:pPr>
        <w:tabs>
          <w:tab w:val="left" w:pos="3720"/>
          <w:tab w:val="left" w:pos="3780"/>
          <w:tab w:val="left" w:pos="4305"/>
        </w:tabs>
        <w:adjustRightInd w:val="0"/>
        <w:snapToGrid w:val="0"/>
        <w:spacing w:line="360" w:lineRule="auto"/>
        <w:ind w:firstLine="210" w:firstLineChars="100"/>
        <w:rPr>
          <w:rFonts w:ascii="宋体" w:hAnsi="宋体"/>
          <w:bCs/>
          <w:szCs w:val="21"/>
        </w:rPr>
      </w:pPr>
      <w:r>
        <w:rPr>
          <w:rFonts w:hint="eastAsia" w:asciiTheme="minorEastAsia" w:hAnsiTheme="minorEastAsia" w:eastAsiaTheme="minorEastAsia"/>
        </w:rPr>
        <w:t>（2）</w:t>
      </w:r>
      <w:r>
        <w:rPr>
          <w:rFonts w:hint="eastAsia" w:ascii="宋体" w:hAnsi="宋体"/>
          <w:bCs/>
          <w:szCs w:val="21"/>
        </w:rPr>
        <w:t>果树栽培学总论 （第四版），张玉星，中国农业出版社，2011</w:t>
      </w:r>
    </w:p>
    <w:p>
      <w:pPr>
        <w:tabs>
          <w:tab w:val="left" w:pos="3720"/>
          <w:tab w:val="left" w:pos="3780"/>
          <w:tab w:val="left" w:pos="4305"/>
        </w:tabs>
        <w:adjustRightInd w:val="0"/>
        <w:snapToGrid w:val="0"/>
        <w:spacing w:line="360" w:lineRule="auto"/>
        <w:ind w:firstLine="210" w:firstLineChars="100"/>
        <w:rPr>
          <w:rFonts w:ascii="宋体" w:hAnsi="宋体"/>
          <w:bCs/>
          <w:szCs w:val="21"/>
        </w:rPr>
      </w:pPr>
      <w:r>
        <w:rPr>
          <w:rFonts w:hint="eastAsia" w:ascii="宋体" w:hAnsi="宋体"/>
          <w:bCs/>
          <w:szCs w:val="21"/>
        </w:rPr>
        <w:t>（3）园艺植物栽培学，李光晨、范双喜，中国农业大学出版社，2007</w:t>
      </w:r>
    </w:p>
    <w:p>
      <w:pPr>
        <w:widowControl/>
        <w:adjustRightInd w:val="0"/>
        <w:snapToGrid w:val="0"/>
        <w:spacing w:line="300" w:lineRule="auto"/>
        <w:ind w:firstLine="210" w:firstLineChars="100"/>
        <w:jc w:val="left"/>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园艺通论</w:t>
      </w:r>
      <w:r>
        <w:rPr>
          <w:rFonts w:hint="eastAsia" w:asciiTheme="minorEastAsia" w:hAnsiTheme="minorEastAsia" w:eastAsiaTheme="minorEastAsia"/>
        </w:rPr>
        <w:t>，</w:t>
      </w:r>
      <w:r>
        <w:rPr>
          <w:rFonts w:asciiTheme="minorEastAsia" w:hAnsiTheme="minorEastAsia" w:eastAsiaTheme="minorEastAsia"/>
        </w:rPr>
        <w:t>李光晨</w:t>
      </w:r>
      <w:r>
        <w:rPr>
          <w:rFonts w:hint="eastAsia" w:asciiTheme="minorEastAsia" w:hAnsiTheme="minorEastAsia" w:eastAsiaTheme="minorEastAsia"/>
        </w:rPr>
        <w:t>，</w:t>
      </w:r>
      <w:r>
        <w:rPr>
          <w:rFonts w:asciiTheme="minorEastAsia" w:hAnsiTheme="minorEastAsia" w:eastAsiaTheme="minorEastAsia"/>
        </w:rPr>
        <w:t>中国农业大学出版社，2000年</w:t>
      </w:r>
    </w:p>
    <w:p>
      <w:pPr>
        <w:widowControl/>
        <w:adjustRightInd w:val="0"/>
        <w:snapToGrid w:val="0"/>
        <w:spacing w:line="300" w:lineRule="auto"/>
        <w:ind w:firstLine="210" w:firstLineChars="100"/>
        <w:jc w:val="left"/>
        <w:rPr>
          <w:rFonts w:asciiTheme="minorEastAsia" w:hAnsiTheme="minorEastAsia" w:eastAsiaTheme="minorEastAsia"/>
        </w:rPr>
      </w:pPr>
      <w:r>
        <w:rPr>
          <w:rFonts w:hint="eastAsia" w:hAnsi="宋体"/>
          <w:szCs w:val="21"/>
        </w:rPr>
        <w:t>（5）</w:t>
      </w:r>
      <w:r>
        <w:rPr>
          <w:rFonts w:hAnsi="宋体"/>
          <w:szCs w:val="21"/>
        </w:rPr>
        <w:t>蔬菜栽培学总论</w:t>
      </w:r>
      <w:r>
        <w:rPr>
          <w:rFonts w:hint="eastAsia" w:hAnsi="宋体"/>
          <w:szCs w:val="21"/>
        </w:rPr>
        <w:t>（第三版）</w:t>
      </w:r>
      <w:r>
        <w:rPr>
          <w:rFonts w:hAnsi="宋体"/>
          <w:szCs w:val="21"/>
        </w:rPr>
        <w:t>，</w:t>
      </w:r>
      <w:r>
        <w:rPr>
          <w:rFonts w:hint="eastAsia"/>
          <w:szCs w:val="21"/>
        </w:rPr>
        <w:t xml:space="preserve">喻景权 </w:t>
      </w:r>
      <w:r>
        <w:rPr>
          <w:rFonts w:hAnsi="宋体"/>
          <w:szCs w:val="21"/>
        </w:rPr>
        <w:t>主编，</w:t>
      </w:r>
      <w:r>
        <w:rPr>
          <w:rFonts w:hint="eastAsia" w:hAnsi="宋体"/>
          <w:szCs w:val="21"/>
        </w:rPr>
        <w:t>中国农业</w:t>
      </w:r>
      <w:r>
        <w:rPr>
          <w:rFonts w:hAnsi="宋体"/>
          <w:szCs w:val="21"/>
        </w:rPr>
        <w:t>出版社，</w:t>
      </w:r>
      <w:r>
        <w:rPr>
          <w:rFonts w:hint="eastAsia"/>
          <w:szCs w:val="21"/>
        </w:rPr>
        <w:t>2020</w:t>
      </w:r>
      <w:r>
        <w:rPr>
          <w:rFonts w:hAnsi="宋体"/>
          <w:szCs w:val="21"/>
        </w:rPr>
        <w:t>年</w:t>
      </w:r>
    </w:p>
    <w:p>
      <w:pPr>
        <w:widowControl/>
        <w:jc w:val="left"/>
        <w:rPr>
          <w:rFonts w:hint="eastAsia" w:ascii="䅂䍄䕅⯋컌" w:hAnsi="䅂䍄䕅⯋컌" w:cs="䅂䍄䕅⯋컌" w:eastAsiaTheme="minorEastAsia"/>
          <w:b/>
          <w:bCs/>
          <w:color w:val="000000"/>
          <w:kern w:val="0"/>
          <w:szCs w:val="21"/>
          <w:lang w:bidi="ar"/>
        </w:rPr>
      </w:pPr>
    </w:p>
    <w:p>
      <w:pPr>
        <w:widowControl/>
        <w:jc w:val="left"/>
        <w:rPr>
          <w:rFonts w:asciiTheme="majorHAnsi" w:hAnsiTheme="majorHAnsi" w:eastAsiaTheme="majorEastAsia" w:cstheme="majorBidi"/>
          <w:b/>
          <w:bCs/>
          <w:sz w:val="28"/>
          <w:szCs w:val="32"/>
        </w:rPr>
      </w:pPr>
    </w:p>
    <w:p>
      <w:pPr>
        <w:widowControl/>
        <w:jc w:val="left"/>
        <w:rPr>
          <w:rFonts w:asciiTheme="majorHAnsi" w:hAnsiTheme="majorHAnsi" w:eastAsiaTheme="majorEastAsia" w:cstheme="majorBidi"/>
          <w:b/>
          <w:bCs/>
          <w:sz w:val="28"/>
          <w:szCs w:val="32"/>
        </w:rPr>
      </w:pPr>
    </w:p>
    <w:p>
      <w:pPr>
        <w:widowControl/>
        <w:jc w:val="left"/>
        <w:rPr>
          <w:rFonts w:asciiTheme="majorHAnsi" w:hAnsiTheme="majorHAnsi" w:eastAsiaTheme="majorEastAsia" w:cstheme="majorBidi"/>
          <w:b/>
          <w:bCs/>
          <w:sz w:val="28"/>
          <w:szCs w:val="32"/>
        </w:rPr>
      </w:pPr>
    </w:p>
    <w:p>
      <w:pPr>
        <w:widowControl/>
        <w:jc w:val="left"/>
        <w:rPr>
          <w:rFonts w:asciiTheme="majorHAnsi" w:hAnsiTheme="majorHAnsi" w:eastAsiaTheme="majorEastAsia" w:cstheme="majorBidi"/>
          <w:b/>
          <w:bCs/>
          <w:sz w:val="28"/>
          <w:szCs w:val="32"/>
        </w:rPr>
      </w:pPr>
    </w:p>
    <w:p>
      <w:pPr>
        <w:widowControl/>
        <w:jc w:val="left"/>
        <w:rPr>
          <w:rFonts w:asciiTheme="majorHAnsi" w:hAnsiTheme="majorHAnsi" w:eastAsiaTheme="majorEastAsia" w:cstheme="majorBidi"/>
          <w:b/>
          <w:bCs/>
          <w:sz w:val="28"/>
          <w:szCs w:val="32"/>
        </w:rPr>
      </w:pPr>
    </w:p>
    <w:p>
      <w:pPr>
        <w:pStyle w:val="21"/>
        <w:rPr>
          <w:rFonts w:hint="eastAsia"/>
        </w:rPr>
        <w:sectPr>
          <w:footerReference r:id="rId8" w:type="default"/>
          <w:footerReference r:id="rId9" w:type="even"/>
          <w:pgSz w:w="11906" w:h="16838"/>
          <w:pgMar w:top="1418" w:right="1588" w:bottom="1588" w:left="1418" w:header="851" w:footer="850" w:gutter="0"/>
          <w:pgBorders>
            <w:top w:val="none" w:sz="0" w:space="0"/>
            <w:left w:val="none" w:sz="0" w:space="0"/>
            <w:bottom w:val="none" w:sz="0" w:space="0"/>
            <w:right w:val="none" w:sz="0" w:space="0"/>
          </w:pgBorders>
          <w:pgNumType w:start="1"/>
          <w:cols w:space="425" w:num="1"/>
          <w:docGrid w:type="lines" w:linePitch="312" w:charSpace="0"/>
        </w:sectPr>
      </w:pPr>
      <w:bookmarkStart w:id="536" w:name="_Toc138076117"/>
      <w:bookmarkStart w:id="537" w:name="_Toc138076366"/>
      <w:bookmarkStart w:id="538" w:name="_Toc13608"/>
      <w:bookmarkStart w:id="539" w:name="_Toc138076661"/>
    </w:p>
    <w:p>
      <w:pPr>
        <w:rPr>
          <w:rFonts w:hint="eastAsia"/>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21"/>
        <w:rPr>
          <w:rFonts w:hint="eastAsia"/>
        </w:rPr>
      </w:pPr>
    </w:p>
    <w:p>
      <w:pPr>
        <w:pStyle w:val="21"/>
        <w:rPr>
          <w:sz w:val="44"/>
          <w:szCs w:val="44"/>
        </w:rPr>
      </w:pPr>
      <w:r>
        <w:rPr>
          <w:rFonts w:hint="eastAsia"/>
          <w:sz w:val="44"/>
          <w:szCs w:val="44"/>
        </w:rPr>
        <w:t>第三篇 考核大纲</w:t>
      </w:r>
      <w:bookmarkEnd w:id="536"/>
      <w:bookmarkEnd w:id="537"/>
      <w:bookmarkEnd w:id="538"/>
      <w:bookmarkEnd w:id="539"/>
    </w:p>
    <w:p>
      <w:pPr>
        <w:pStyle w:val="21"/>
        <w:rPr>
          <w:rFonts w:hint="eastAsia"/>
          <w:sz w:val="28"/>
        </w:rPr>
        <w:sectPr>
          <w:footerReference r:id="rId10" w:type="default"/>
          <w:footerReference r:id="rId11" w:type="even"/>
          <w:pgSz w:w="11906" w:h="16838"/>
          <w:pgMar w:top="1418" w:right="1588" w:bottom="1588" w:left="1418" w:header="851" w:footer="850" w:gutter="0"/>
          <w:pgBorders>
            <w:top w:val="none" w:sz="0" w:space="0"/>
            <w:left w:val="none" w:sz="0" w:space="0"/>
            <w:bottom w:val="none" w:sz="0" w:space="0"/>
            <w:right w:val="none" w:sz="0" w:space="0"/>
          </w:pgBorders>
          <w:pgNumType w:start="1"/>
          <w:cols w:space="425" w:num="1"/>
          <w:docGrid w:type="lines" w:linePitch="312" w:charSpace="0"/>
        </w:sectPr>
      </w:pPr>
      <w:bookmarkStart w:id="540" w:name="_Toc21267"/>
      <w:bookmarkStart w:id="541" w:name="_Toc138076662"/>
      <w:bookmarkStart w:id="542" w:name="_Toc138076118"/>
    </w:p>
    <w:p>
      <w:pPr>
        <w:pStyle w:val="21"/>
      </w:pPr>
      <w:r>
        <w:rPr>
          <w:rFonts w:hint="eastAsia"/>
          <w:sz w:val="28"/>
        </w:rPr>
        <w:t>现代园艺导论</w:t>
      </w:r>
      <w:bookmarkEnd w:id="540"/>
      <w:bookmarkEnd w:id="541"/>
      <w:bookmarkEnd w:id="542"/>
      <w:r>
        <w:rPr>
          <w:rFonts w:hint="eastAsia"/>
          <w:sz w:val="28"/>
          <w:lang w:val="en-US" w:eastAsia="zh-CN"/>
        </w:rPr>
        <w:t>考核大纲</w:t>
      </w:r>
      <w:r>
        <w:rPr>
          <w:rFonts w:hint="eastAsia"/>
        </w:rPr>
        <w:t xml:space="preserve"> </w:t>
      </w:r>
    </w:p>
    <w:p>
      <w:pPr>
        <w:snapToGrid w:val="0"/>
        <w:spacing w:line="360" w:lineRule="auto"/>
        <w:jc w:val="center"/>
        <w:rPr>
          <w:rFonts w:hAnsi="宋体"/>
          <w:bCs/>
          <w:color w:val="000000"/>
          <w:kern w:val="0"/>
          <w:sz w:val="24"/>
        </w:rPr>
      </w:pPr>
      <w:r>
        <w:rPr>
          <w:rFonts w:hAnsi="宋体"/>
          <w:bCs/>
          <w:color w:val="000000"/>
          <w:kern w:val="0"/>
          <w:sz w:val="24"/>
        </w:rPr>
        <w:t>（</w:t>
      </w:r>
      <w:r>
        <w:rPr>
          <w:rFonts w:hint="eastAsia" w:hAnsi="宋体"/>
          <w:bCs/>
          <w:color w:val="000000"/>
          <w:kern w:val="0"/>
          <w:sz w:val="24"/>
        </w:rPr>
        <w:t>I</w:t>
      </w:r>
      <w:r>
        <w:rPr>
          <w:rFonts w:hAnsi="宋体"/>
          <w:bCs/>
          <w:color w:val="000000"/>
          <w:kern w:val="0"/>
          <w:sz w:val="24"/>
        </w:rPr>
        <w:t>ntroduction to Modern Horticulture）</w:t>
      </w:r>
    </w:p>
    <w:p>
      <w:pPr>
        <w:snapToGrid w:val="0"/>
        <w:spacing w:line="360" w:lineRule="auto"/>
        <w:jc w:val="center"/>
        <w:rPr>
          <w:b/>
          <w:szCs w:val="21"/>
        </w:rPr>
      </w:pP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rFonts w:ascii="宋体"/>
                <w:b/>
                <w:bCs/>
                <w:kern w:val="0"/>
                <w:sz w:val="20"/>
                <w:szCs w:val="21"/>
              </w:rPr>
            </w:pPr>
            <w:r>
              <w:rPr>
                <w:rFonts w:hint="eastAsia" w:ascii="宋体" w:hAnsi="宋体"/>
                <w:b/>
                <w:bCs/>
                <w:kern w:val="0"/>
                <w:sz w:val="20"/>
                <w:szCs w:val="21"/>
              </w:rPr>
              <w:t>课程编号：</w:t>
            </w:r>
            <w:r>
              <w:rPr>
                <w:rFonts w:hint="eastAsia" w:ascii="宋体" w:hAnsi="宋体"/>
                <w:b/>
                <w:bCs/>
                <w:szCs w:val="21"/>
              </w:rPr>
              <w:t>1</w:t>
            </w:r>
            <w:r>
              <w:rPr>
                <w:rFonts w:ascii="宋体" w:hAnsi="宋体"/>
                <w:b/>
                <w:bCs/>
                <w:szCs w:val="21"/>
              </w:rPr>
              <w:t>9011111</w:t>
            </w:r>
          </w:p>
        </w:tc>
        <w:tc>
          <w:tcPr>
            <w:tcW w:w="1453" w:type="pct"/>
          </w:tcPr>
          <w:p>
            <w:pPr>
              <w:spacing w:line="300" w:lineRule="auto"/>
              <w:rPr>
                <w:rFonts w:ascii="宋体"/>
                <w:b/>
                <w:bCs/>
                <w:kern w:val="0"/>
                <w:sz w:val="20"/>
                <w:szCs w:val="21"/>
              </w:rPr>
            </w:pPr>
            <w:r>
              <w:rPr>
                <w:rFonts w:hint="eastAsia" w:ascii="宋体" w:hAnsi="宋体"/>
                <w:b/>
                <w:bCs/>
                <w:kern w:val="0"/>
                <w:sz w:val="20"/>
                <w:szCs w:val="21"/>
              </w:rPr>
              <w:t>课程学时：</w:t>
            </w:r>
            <w:r>
              <w:rPr>
                <w:rFonts w:hint="eastAsia" w:ascii="宋体" w:hAnsi="宋体"/>
                <w:b/>
                <w:bCs/>
                <w:szCs w:val="21"/>
              </w:rPr>
              <w:t>2</w:t>
            </w:r>
            <w:r>
              <w:rPr>
                <w:rFonts w:ascii="宋体" w:hAnsi="宋体"/>
                <w:b/>
                <w:bCs/>
                <w:szCs w:val="21"/>
              </w:rPr>
              <w:t>4</w:t>
            </w:r>
          </w:p>
        </w:tc>
        <w:tc>
          <w:tcPr>
            <w:tcW w:w="1881" w:type="pct"/>
          </w:tcPr>
          <w:p>
            <w:pPr>
              <w:spacing w:line="300" w:lineRule="auto"/>
              <w:rPr>
                <w:rFonts w:ascii="宋体"/>
                <w:b/>
                <w:bCs/>
                <w:kern w:val="0"/>
                <w:sz w:val="20"/>
                <w:szCs w:val="21"/>
              </w:rPr>
            </w:pPr>
            <w:r>
              <w:rPr>
                <w:rFonts w:hint="eastAsia" w:ascii="宋体" w:hAnsi="宋体"/>
                <w:b/>
                <w:bCs/>
                <w:kern w:val="0"/>
                <w:sz w:val="20"/>
                <w:szCs w:val="21"/>
              </w:rPr>
              <w:t>课程学分：1.5</w:t>
            </w:r>
          </w:p>
        </w:tc>
      </w:tr>
      <w:tr>
        <w:tblPrEx>
          <w:tblCellMar>
            <w:top w:w="0" w:type="dxa"/>
            <w:left w:w="108" w:type="dxa"/>
            <w:bottom w:w="0" w:type="dxa"/>
            <w:right w:w="108" w:type="dxa"/>
          </w:tblCellMar>
        </w:tblPrEx>
        <w:tc>
          <w:tcPr>
            <w:tcW w:w="1666" w:type="pct"/>
          </w:tcPr>
          <w:p>
            <w:pPr>
              <w:spacing w:line="300" w:lineRule="auto"/>
              <w:rPr>
                <w:rFonts w:ascii="宋体"/>
                <w:b/>
                <w:bCs/>
                <w:kern w:val="0"/>
                <w:sz w:val="20"/>
                <w:szCs w:val="21"/>
              </w:rPr>
            </w:pPr>
            <w:r>
              <w:rPr>
                <w:rFonts w:hint="eastAsia" w:ascii="宋体" w:hAnsi="宋体"/>
                <w:b/>
                <w:bCs/>
                <w:kern w:val="0"/>
                <w:sz w:val="20"/>
                <w:szCs w:val="21"/>
              </w:rPr>
              <w:t>主撰人：郑先波</w:t>
            </w:r>
          </w:p>
        </w:tc>
        <w:tc>
          <w:tcPr>
            <w:tcW w:w="1453" w:type="pct"/>
          </w:tcPr>
          <w:p>
            <w:pPr>
              <w:spacing w:line="300" w:lineRule="auto"/>
              <w:rPr>
                <w:rFonts w:ascii="宋体"/>
                <w:b/>
                <w:bCs/>
                <w:kern w:val="0"/>
                <w:sz w:val="20"/>
                <w:szCs w:val="21"/>
              </w:rPr>
            </w:pPr>
            <w:r>
              <w:rPr>
                <w:rFonts w:hint="eastAsia" w:ascii="宋体" w:hAnsi="宋体"/>
                <w:b/>
                <w:bCs/>
                <w:kern w:val="0"/>
                <w:sz w:val="20"/>
                <w:szCs w:val="21"/>
              </w:rPr>
              <w:t>审核人：孙守如</w:t>
            </w:r>
          </w:p>
        </w:tc>
        <w:tc>
          <w:tcPr>
            <w:tcW w:w="1881" w:type="pct"/>
          </w:tcPr>
          <w:p>
            <w:pPr>
              <w:spacing w:line="300" w:lineRule="auto"/>
              <w:rPr>
                <w:rFonts w:ascii="宋体"/>
                <w:b/>
                <w:bCs/>
                <w:kern w:val="0"/>
                <w:sz w:val="20"/>
                <w:szCs w:val="21"/>
              </w:rPr>
            </w:pPr>
            <w:r>
              <w:rPr>
                <w:rFonts w:hint="eastAsia" w:ascii="宋体" w:hAnsi="宋体"/>
                <w:b/>
                <w:bCs/>
                <w:kern w:val="0"/>
                <w:sz w:val="20"/>
                <w:szCs w:val="21"/>
              </w:rPr>
              <w:t>大纲制定（修订）日期：20</w:t>
            </w:r>
            <w:r>
              <w:rPr>
                <w:rFonts w:ascii="宋体" w:hAnsi="宋体"/>
                <w:b/>
                <w:bCs/>
                <w:kern w:val="0"/>
                <w:sz w:val="20"/>
                <w:szCs w:val="21"/>
              </w:rPr>
              <w:t>23</w:t>
            </w:r>
            <w:r>
              <w:rPr>
                <w:rFonts w:hint="eastAsia" w:ascii="宋体" w:hAnsi="宋体"/>
                <w:b/>
                <w:bCs/>
                <w:kern w:val="0"/>
                <w:sz w:val="20"/>
                <w:szCs w:val="21"/>
              </w:rPr>
              <w:t>.05</w:t>
            </w:r>
          </w:p>
        </w:tc>
      </w:tr>
    </w:tbl>
    <w:p>
      <w:pPr>
        <w:snapToGrid w:val="0"/>
        <w:spacing w:before="156" w:beforeLines="50" w:line="360" w:lineRule="auto"/>
        <w:rPr>
          <w:rFonts w:ascii="宋体"/>
          <w:b/>
          <w:szCs w:val="21"/>
        </w:rPr>
      </w:pPr>
      <w:r>
        <w:rPr>
          <w:rFonts w:hint="eastAsia" w:ascii="宋体" w:hAnsi="宋体"/>
          <w:b/>
          <w:szCs w:val="21"/>
        </w:rPr>
        <w:t>一、课程的性质、地位和任务</w:t>
      </w:r>
    </w:p>
    <w:p>
      <w:pPr>
        <w:spacing w:line="360" w:lineRule="auto"/>
        <w:ind w:right="-170" w:rightChars="-81" w:firstLine="420" w:firstLineChars="200"/>
        <w:rPr>
          <w:kern w:val="0"/>
          <w:szCs w:val="21"/>
        </w:rPr>
      </w:pPr>
      <w:r>
        <w:rPr>
          <w:rFonts w:hint="eastAsia"/>
          <w:kern w:val="0"/>
          <w:szCs w:val="21"/>
        </w:rPr>
        <w:t>《现代园艺导论》</w:t>
      </w:r>
      <w:r>
        <w:rPr>
          <w:kern w:val="0"/>
          <w:szCs w:val="21"/>
        </w:rPr>
        <w:t xml:space="preserve"> </w:t>
      </w:r>
      <w:r>
        <w:rPr>
          <w:rFonts w:hint="eastAsia"/>
          <w:kern w:val="0"/>
          <w:szCs w:val="21"/>
        </w:rPr>
        <w:t>为植物生产类（园艺类）专业先修课程，开设的主要目的是向大一新生介绍园艺类专业、课程体系及就业和研究方向等。课程主要针对园艺植物的起源、利用、历史与文化、育种、采后、贸易、经营等方面的知识对学生进行介绍。本课程旨在让学生了解这些园艺类的知识，并对园艺类专业产生兴趣，这样他们在四年里将会迎来快乐的专业学习。</w:t>
      </w:r>
    </w:p>
    <w:p>
      <w:pPr>
        <w:spacing w:line="360" w:lineRule="auto"/>
        <w:ind w:right="-170" w:rightChars="-81" w:firstLine="420" w:firstLineChars="200"/>
        <w:rPr>
          <w:kern w:val="0"/>
          <w:szCs w:val="21"/>
        </w:rPr>
      </w:pPr>
      <w:r>
        <w:rPr>
          <w:rFonts w:hint="eastAsia"/>
          <w:kern w:val="0"/>
          <w:szCs w:val="21"/>
        </w:rPr>
        <w:t xml:space="preserve">《现代园艺导论》还针对园艺最新的研究进展向学生进行介绍，这样一方面可以让学生认识到园艺学是一门古老又新潮的学科，另一方面又可以激起学生对园艺学研究的积极性，为学生未来的择业和继续深造打下基础。 </w:t>
      </w:r>
      <w:r>
        <w:rPr>
          <w:kern w:val="0"/>
          <w:szCs w:val="21"/>
        </w:rPr>
        <w:t xml:space="preserve"> </w:t>
      </w:r>
    </w:p>
    <w:p>
      <w:pPr>
        <w:snapToGrid w:val="0"/>
        <w:spacing w:before="156" w:beforeLines="50" w:line="360" w:lineRule="auto"/>
        <w:rPr>
          <w:rFonts w:ascii="宋体"/>
          <w:b/>
          <w:szCs w:val="21"/>
        </w:rPr>
      </w:pPr>
      <w:r>
        <w:rPr>
          <w:rFonts w:hint="eastAsia" w:ascii="宋体" w:hAnsi="宋体"/>
          <w:b/>
          <w:szCs w:val="21"/>
        </w:rPr>
        <w:t>二、理论教学部分的考核目标</w:t>
      </w:r>
    </w:p>
    <w:p>
      <w:pPr>
        <w:snapToGrid w:val="0"/>
        <w:spacing w:line="360" w:lineRule="auto"/>
        <w:ind w:firstLine="420" w:firstLineChars="200"/>
        <w:rPr>
          <w:kern w:val="0"/>
          <w:szCs w:val="21"/>
        </w:rPr>
      </w:pPr>
      <w:r>
        <w:rPr>
          <w:rFonts w:hint="eastAsia"/>
          <w:kern w:val="0"/>
          <w:szCs w:val="21"/>
        </w:rPr>
        <w:t>了解植物生产类（园艺类）专业学习和研究范畴；了解园艺的社会经济作用；了解高新技术在园艺业中的应用；了解植物生产类（园艺类）专业总体思路与培养目标、培养标准、学时分配、最低学分要求、核心课程体系建设和实践环节设置等，引导学生树立终身学习的习惯。</w:t>
      </w:r>
      <w:r>
        <w:rPr>
          <w:kern w:val="0"/>
          <w:szCs w:val="21"/>
        </w:rPr>
        <w:t xml:space="preserve"> </w:t>
      </w:r>
    </w:p>
    <w:p>
      <w:pPr>
        <w:snapToGrid w:val="0"/>
        <w:spacing w:line="360" w:lineRule="auto"/>
        <w:ind w:firstLine="103" w:firstLineChars="49"/>
        <w:jc w:val="center"/>
        <w:rPr>
          <w:b/>
          <w:bCs/>
          <w:szCs w:val="21"/>
        </w:rPr>
      </w:pPr>
      <w:r>
        <w:rPr>
          <w:rFonts w:hint="eastAsia" w:ascii="宋体" w:hAnsi="宋体"/>
          <w:b/>
          <w:szCs w:val="21"/>
        </w:rPr>
        <w:t xml:space="preserve">第一章  </w:t>
      </w:r>
      <w:r>
        <w:rPr>
          <w:rFonts w:hint="eastAsia"/>
          <w:b/>
          <w:bCs/>
          <w:szCs w:val="21"/>
        </w:rPr>
        <w:t>园艺让生活更美好</w:t>
      </w:r>
    </w:p>
    <w:p>
      <w:pPr>
        <w:snapToGrid w:val="0"/>
        <w:spacing w:line="360" w:lineRule="auto"/>
        <w:ind w:firstLine="103" w:firstLineChars="49"/>
        <w:rPr>
          <w:rFonts w:ascii="宋体" w:hAnsi="宋体"/>
          <w:b/>
          <w:szCs w:val="21"/>
        </w:rPr>
      </w:pPr>
      <w:r>
        <w:rPr>
          <w:rFonts w:hint="eastAsia" w:ascii="宋体" w:hAnsi="宋体"/>
          <w:b/>
          <w:szCs w:val="21"/>
        </w:rPr>
        <w:t>（一）学习目标</w:t>
      </w:r>
    </w:p>
    <w:p>
      <w:pPr>
        <w:snapToGrid w:val="0"/>
        <w:spacing w:line="360" w:lineRule="auto"/>
        <w:ind w:firstLine="422" w:firstLineChars="200"/>
        <w:rPr>
          <w:kern w:val="0"/>
          <w:szCs w:val="21"/>
        </w:rPr>
      </w:pPr>
      <w:r>
        <w:rPr>
          <w:rFonts w:hint="eastAsia" w:ascii="宋体" w:hAnsi="宋体"/>
          <w:b/>
          <w:szCs w:val="21"/>
        </w:rPr>
        <w:t>一般</w:t>
      </w:r>
      <w:bookmarkStart w:id="543" w:name="_Hlk137887343"/>
      <w:r>
        <w:rPr>
          <w:rFonts w:hint="eastAsia" w:ascii="宋体" w:hAnsi="宋体"/>
          <w:b/>
          <w:szCs w:val="21"/>
        </w:rPr>
        <w:t>了解</w:t>
      </w:r>
      <w:r>
        <w:rPr>
          <w:rFonts w:hint="eastAsia" w:ascii="宋体" w:hAnsi="宋体"/>
          <w:szCs w:val="21"/>
        </w:rPr>
        <w:t>：植</w:t>
      </w:r>
      <w:r>
        <w:rPr>
          <w:rFonts w:hint="eastAsia" w:hAnsi="宋体"/>
          <w:kern w:val="0"/>
          <w:szCs w:val="21"/>
        </w:rPr>
        <w:t>物生产类（园艺类）专业学习和研究范畴；了解园艺的社会经济作用；了解</w:t>
      </w:r>
      <w:r>
        <w:rPr>
          <w:rFonts w:hint="eastAsia" w:ascii="宋体" w:hAnsi="宋体"/>
          <w:szCs w:val="20"/>
        </w:rPr>
        <w:t>高新技术在园艺业中的应用；</w:t>
      </w:r>
      <w:r>
        <w:rPr>
          <w:rFonts w:hint="eastAsia"/>
          <w:kern w:val="0"/>
          <w:szCs w:val="21"/>
        </w:rPr>
        <w:t>了解植物生产类（园艺类）专业总体思路与培养目标、培养标准、学时分配、最低学分要求、核心课程体系建设和实践环节设置等，</w:t>
      </w:r>
      <w:r>
        <w:rPr>
          <w:rFonts w:hint="eastAsia" w:ascii="宋体" w:hAnsi="宋体"/>
          <w:szCs w:val="20"/>
        </w:rPr>
        <w:t>引导学生树立终身学习的习惯</w:t>
      </w:r>
      <w:r>
        <w:rPr>
          <w:rFonts w:hint="eastAsia" w:ascii="宋体" w:hAnsi="宋体"/>
        </w:rPr>
        <w:t>。</w:t>
      </w:r>
      <w:r>
        <w:rPr>
          <w:rFonts w:ascii="宋体" w:hAnsi="宋体"/>
          <w:szCs w:val="21"/>
        </w:rPr>
        <w:t xml:space="preserve"> </w:t>
      </w:r>
    </w:p>
    <w:bookmarkEnd w:id="543"/>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0"/>
        </w:rPr>
      </w:pPr>
      <w:r>
        <w:rPr>
          <w:rFonts w:hint="eastAsia" w:ascii="宋体" w:hAnsi="宋体"/>
          <w:szCs w:val="21"/>
        </w:rPr>
        <w:t>植</w:t>
      </w:r>
      <w:r>
        <w:rPr>
          <w:rFonts w:hint="eastAsia" w:hAnsi="宋体"/>
          <w:kern w:val="0"/>
          <w:szCs w:val="21"/>
        </w:rPr>
        <w:t>物生产类（园艺类）专业学习和研究范畴；园艺的社会经济作用；</w:t>
      </w:r>
      <w:r>
        <w:rPr>
          <w:rFonts w:hint="eastAsia" w:ascii="宋体" w:hAnsi="宋体"/>
          <w:szCs w:val="20"/>
        </w:rPr>
        <w:t>高新技术在园艺业中的应用；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0"/>
        </w:rPr>
      </w:pPr>
      <w:r>
        <w:rPr>
          <w:rFonts w:hint="eastAsia" w:ascii="宋体" w:hAnsi="宋体"/>
          <w:b/>
          <w:szCs w:val="21"/>
        </w:rPr>
        <w:t>1.识记</w:t>
      </w:r>
      <w:r>
        <w:rPr>
          <w:rFonts w:hint="eastAsia" w:ascii="宋体" w:hAnsi="宋体"/>
          <w:szCs w:val="21"/>
        </w:rPr>
        <w:t>：植</w:t>
      </w:r>
      <w:r>
        <w:rPr>
          <w:rFonts w:hint="eastAsia" w:hAnsi="宋体"/>
          <w:kern w:val="0"/>
          <w:szCs w:val="21"/>
        </w:rPr>
        <w:t>物生产类（园艺类）专业学习和研究范畴；园艺的社会经济作用；</w:t>
      </w:r>
      <w:r>
        <w:rPr>
          <w:rFonts w:hint="eastAsia" w:ascii="宋体" w:hAnsi="宋体"/>
          <w:szCs w:val="20"/>
        </w:rPr>
        <w:t>高新技术在园艺业中的应用</w:t>
      </w:r>
      <w:r>
        <w:rPr>
          <w:rFonts w:hint="eastAsia" w:hAnsi="宋体"/>
          <w:kern w:val="0"/>
          <w:szCs w:val="21"/>
        </w:rPr>
        <w:t>。</w:t>
      </w:r>
    </w:p>
    <w:p>
      <w:pPr>
        <w:pStyle w:val="7"/>
        <w:snapToGrid w:val="0"/>
        <w:spacing w:line="360" w:lineRule="auto"/>
        <w:ind w:firstLine="422"/>
        <w:rPr>
          <w:rFonts w:ascii="宋体" w:hAnsi="宋体"/>
        </w:rPr>
      </w:pPr>
      <w:r>
        <w:rPr>
          <w:rFonts w:ascii="宋体" w:hAnsi="宋体"/>
          <w:b/>
          <w:szCs w:val="21"/>
        </w:rPr>
        <w:t>2</w:t>
      </w:r>
      <w:r>
        <w:rPr>
          <w:rFonts w:hint="eastAsia" w:ascii="宋体" w:hAnsi="宋体"/>
          <w:b/>
          <w:szCs w:val="21"/>
        </w:rPr>
        <w:t>.评价：</w:t>
      </w:r>
      <w:r>
        <w:rPr>
          <w:rFonts w:hint="eastAsia"/>
          <w:kern w:val="0"/>
          <w:szCs w:val="21"/>
        </w:rPr>
        <w:t>植物生产类（园艺类）专业后期如何分流到园艺专业、设施农业科与工程和茶学专业</w:t>
      </w:r>
      <w:r>
        <w:rPr>
          <w:rFonts w:hint="eastAsia" w:ascii="宋体" w:hAnsi="宋体"/>
          <w:szCs w:val="21"/>
        </w:rPr>
        <w:t>。</w:t>
      </w:r>
    </w:p>
    <w:p>
      <w:pPr>
        <w:snapToGrid w:val="0"/>
        <w:spacing w:line="360" w:lineRule="auto"/>
        <w:ind w:firstLine="103" w:firstLineChars="49"/>
        <w:jc w:val="center"/>
        <w:rPr>
          <w:b/>
          <w:color w:val="000000"/>
          <w:szCs w:val="21"/>
        </w:rPr>
      </w:pPr>
      <w:r>
        <w:rPr>
          <w:rFonts w:hint="eastAsia"/>
          <w:b/>
          <w:color w:val="000000"/>
          <w:szCs w:val="21"/>
        </w:rPr>
        <w:t>第二章  设施园艺是现代农业的引领产业</w:t>
      </w:r>
    </w:p>
    <w:p>
      <w:pPr>
        <w:spacing w:line="360" w:lineRule="auto"/>
        <w:rPr>
          <w:rFonts w:ascii="宋体" w:hAnsi="宋体"/>
          <w:b/>
          <w:szCs w:val="21"/>
        </w:rPr>
      </w:pPr>
      <w:r>
        <w:rPr>
          <w:rFonts w:hint="eastAsia" w:ascii="宋体" w:hAnsi="宋体"/>
          <w:b/>
          <w:szCs w:val="21"/>
        </w:rPr>
        <w:t>（一）学习目标</w:t>
      </w:r>
    </w:p>
    <w:p>
      <w:pPr>
        <w:spacing w:line="360" w:lineRule="auto"/>
        <w:ind w:firstLine="420" w:firstLineChars="200"/>
        <w:rPr>
          <w:rFonts w:ascii="宋体" w:hAnsi="宋体"/>
          <w:szCs w:val="21"/>
        </w:rPr>
      </w:pPr>
      <w:r>
        <w:rPr>
          <w:rFonts w:hint="eastAsia" w:ascii="宋体" w:hAnsi="宋体"/>
          <w:szCs w:val="21"/>
        </w:rPr>
        <w:t>1. 一般了解:(1)设施蔬菜产业发展的历史和现状；(2) 设施蔬菜生产和供应的特点。</w:t>
      </w:r>
    </w:p>
    <w:p>
      <w:pPr>
        <w:spacing w:line="360" w:lineRule="auto"/>
        <w:ind w:firstLine="420" w:firstLineChars="200"/>
        <w:rPr>
          <w:rFonts w:ascii="宋体" w:hAnsi="宋体"/>
          <w:szCs w:val="21"/>
        </w:rPr>
      </w:pPr>
      <w:r>
        <w:rPr>
          <w:rFonts w:hint="eastAsia" w:ascii="宋体" w:hAnsi="宋体"/>
          <w:szCs w:val="21"/>
        </w:rPr>
        <w:t>2. 一般掌握: （1）</w:t>
      </w:r>
      <w:bookmarkStart w:id="544" w:name="_Hlk137972711"/>
      <w:r>
        <w:rPr>
          <w:rFonts w:hint="eastAsia" w:ascii="宋体" w:hAnsi="宋体"/>
          <w:szCs w:val="21"/>
        </w:rPr>
        <w:t>发展设施园艺对充分利用农业资源的意义；（2）发展设施园艺对减轻劳动强度、保障食品安全的意义。</w:t>
      </w:r>
    </w:p>
    <w:bookmarkEnd w:id="544"/>
    <w:p>
      <w:pPr>
        <w:spacing w:line="360" w:lineRule="auto"/>
        <w:ind w:firstLine="420" w:firstLineChars="200"/>
        <w:rPr>
          <w:rFonts w:ascii="宋体" w:hAnsi="宋体"/>
          <w:szCs w:val="21"/>
        </w:rPr>
      </w:pPr>
      <w:r>
        <w:rPr>
          <w:rFonts w:hint="eastAsia" w:ascii="宋体" w:hAnsi="宋体"/>
          <w:szCs w:val="21"/>
        </w:rPr>
        <w:t>3. 熟练掌握: (1)</w:t>
      </w:r>
      <w:bookmarkStart w:id="545" w:name="_Hlk137972655"/>
      <w:bookmarkStart w:id="546" w:name="_Hlk137972698"/>
      <w:r>
        <w:rPr>
          <w:rFonts w:hint="eastAsia" w:ascii="宋体" w:hAnsi="宋体"/>
          <w:szCs w:val="21"/>
        </w:rPr>
        <w:t>设施农业的概念</w:t>
      </w:r>
      <w:bookmarkEnd w:id="545"/>
      <w:r>
        <w:rPr>
          <w:rFonts w:hint="eastAsia" w:ascii="宋体" w:hAnsi="宋体"/>
          <w:szCs w:val="21"/>
        </w:rPr>
        <w:t>；(2) 设施园艺的概念；（3）设施产业的概念</w:t>
      </w:r>
      <w:bookmarkEnd w:id="546"/>
      <w:r>
        <w:rPr>
          <w:rFonts w:hint="eastAsia" w:ascii="宋体" w:hAnsi="宋体"/>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spacing w:line="360" w:lineRule="auto"/>
        <w:ind w:firstLine="420" w:firstLineChars="200"/>
        <w:rPr>
          <w:szCs w:val="21"/>
        </w:rPr>
      </w:pPr>
      <w:r>
        <w:rPr>
          <w:rFonts w:hint="eastAsia"/>
          <w:szCs w:val="21"/>
        </w:rPr>
        <w:t>1.</w:t>
      </w:r>
      <w:r>
        <w:rPr>
          <w:rFonts w:hint="eastAsia" w:ascii="宋体" w:hAnsi="宋体"/>
          <w:szCs w:val="21"/>
        </w:rPr>
        <w:t xml:space="preserve"> 设施农业、设施园艺、设施产业的概念</w:t>
      </w:r>
      <w:r>
        <w:rPr>
          <w:rFonts w:hint="eastAsia"/>
          <w:szCs w:val="21"/>
        </w:rPr>
        <w:t>；</w:t>
      </w:r>
    </w:p>
    <w:p>
      <w:pPr>
        <w:spacing w:line="360" w:lineRule="auto"/>
        <w:ind w:firstLine="420" w:firstLineChars="200"/>
        <w:rPr>
          <w:szCs w:val="21"/>
        </w:rPr>
      </w:pPr>
      <w:r>
        <w:rPr>
          <w:rFonts w:hint="eastAsia"/>
          <w:szCs w:val="21"/>
        </w:rPr>
        <w:t>2. 国外发达国家设施园艺的发展现状与趋势；</w:t>
      </w:r>
    </w:p>
    <w:p>
      <w:pPr>
        <w:spacing w:line="360" w:lineRule="auto"/>
        <w:ind w:firstLine="420" w:firstLineChars="200"/>
        <w:rPr>
          <w:szCs w:val="21"/>
        </w:rPr>
      </w:pPr>
      <w:r>
        <w:rPr>
          <w:rFonts w:hint="eastAsia"/>
          <w:szCs w:val="21"/>
        </w:rPr>
        <w:t>3. 我国设施园艺存在的不足与发展趋势；</w:t>
      </w:r>
    </w:p>
    <w:p>
      <w:pPr>
        <w:spacing w:line="360" w:lineRule="auto"/>
        <w:ind w:firstLine="420" w:firstLineChars="200"/>
        <w:rPr>
          <w:szCs w:val="21"/>
        </w:rPr>
      </w:pPr>
      <w:r>
        <w:rPr>
          <w:rFonts w:hint="eastAsia"/>
          <w:szCs w:val="21"/>
        </w:rPr>
        <w:t>4. 我国</w:t>
      </w:r>
      <w:r>
        <w:rPr>
          <w:rFonts w:hint="eastAsia" w:ascii="宋体" w:hAnsi="宋体" w:cs="宋体"/>
          <w:color w:val="353535"/>
          <w:kern w:val="0"/>
          <w:szCs w:val="21"/>
        </w:rPr>
        <w:t>设施园艺科学研究重点和工程技术需要解决的关键问题。</w:t>
      </w:r>
    </w:p>
    <w:p>
      <w:pPr>
        <w:snapToGrid w:val="0"/>
        <w:spacing w:before="156" w:beforeLines="50" w:line="360" w:lineRule="auto"/>
        <w:rPr>
          <w:rFonts w:ascii="宋体" w:hAnsi="宋体"/>
          <w:b/>
          <w:szCs w:val="21"/>
        </w:rPr>
      </w:pPr>
      <w:r>
        <w:rPr>
          <w:rFonts w:hint="eastAsia" w:ascii="宋体" w:hAnsi="宋体"/>
          <w:b/>
          <w:szCs w:val="21"/>
        </w:rPr>
        <w:t>（三）考核要求</w:t>
      </w:r>
    </w:p>
    <w:p>
      <w:pPr>
        <w:spacing w:line="360" w:lineRule="auto"/>
        <w:ind w:firstLine="420" w:firstLineChars="200"/>
        <w:rPr>
          <w:szCs w:val="21"/>
        </w:rPr>
      </w:pPr>
      <w:r>
        <w:rPr>
          <w:rFonts w:hint="eastAsia"/>
          <w:szCs w:val="21"/>
        </w:rPr>
        <w:t xml:space="preserve">1. 识记: </w:t>
      </w:r>
      <w:r>
        <w:rPr>
          <w:rFonts w:hint="eastAsia" w:ascii="宋体" w:hAnsi="宋体"/>
          <w:szCs w:val="21"/>
        </w:rPr>
        <w:t>设施农业、设施园艺、设施产业的概念</w:t>
      </w:r>
      <w:r>
        <w:rPr>
          <w:rFonts w:hint="eastAsia"/>
          <w:szCs w:val="21"/>
        </w:rPr>
        <w:t>；</w:t>
      </w:r>
    </w:p>
    <w:p>
      <w:pPr>
        <w:spacing w:line="360" w:lineRule="auto"/>
        <w:ind w:firstLine="420" w:firstLineChars="200"/>
        <w:rPr>
          <w:rFonts w:ascii="宋体" w:hAnsi="宋体"/>
          <w:szCs w:val="21"/>
        </w:rPr>
      </w:pPr>
      <w:r>
        <w:rPr>
          <w:rFonts w:hint="eastAsia"/>
          <w:szCs w:val="21"/>
        </w:rPr>
        <w:t xml:space="preserve">2. </w:t>
      </w:r>
      <w:r>
        <w:rPr>
          <w:rFonts w:hint="eastAsia" w:asciiTheme="minorEastAsia" w:hAnsiTheme="minorEastAsia" w:eastAsiaTheme="minorEastAsia"/>
          <w:szCs w:val="21"/>
        </w:rPr>
        <w:t xml:space="preserve">领会: </w:t>
      </w:r>
      <w:r>
        <w:rPr>
          <w:rFonts w:hint="eastAsia" w:cs="等线" w:asciiTheme="minorEastAsia" w:hAnsiTheme="minorEastAsia" w:eastAsiaTheme="minorEastAsia"/>
          <w:color w:val="353535"/>
          <w:kern w:val="0"/>
          <w:szCs w:val="21"/>
        </w:rPr>
        <w:t>发展设施园艺对充分利用农业资源、减轻劳动强度、保障食品安全的意义；</w:t>
      </w:r>
    </w:p>
    <w:p>
      <w:pPr>
        <w:spacing w:line="360" w:lineRule="auto"/>
        <w:ind w:firstLine="420" w:firstLineChars="200"/>
        <w:rPr>
          <w:szCs w:val="21"/>
        </w:rPr>
      </w:pPr>
      <w:r>
        <w:rPr>
          <w:rFonts w:hint="eastAsia"/>
          <w:szCs w:val="21"/>
        </w:rPr>
        <w:t>3. 应用：</w:t>
      </w:r>
      <w:bookmarkStart w:id="547" w:name="_Hlk137972836"/>
      <w:r>
        <w:rPr>
          <w:rFonts w:hint="eastAsia"/>
          <w:szCs w:val="21"/>
        </w:rPr>
        <w:t>我国设施园艺科学研究、工程技术发展的趋势</w:t>
      </w:r>
      <w:bookmarkEnd w:id="547"/>
      <w:r>
        <w:rPr>
          <w:rFonts w:hint="eastAsia"/>
          <w:szCs w:val="21"/>
        </w:rPr>
        <w:t>；</w:t>
      </w:r>
    </w:p>
    <w:p>
      <w:pPr>
        <w:spacing w:line="360" w:lineRule="auto"/>
        <w:ind w:firstLine="420" w:firstLineChars="200"/>
        <w:rPr>
          <w:szCs w:val="21"/>
        </w:rPr>
      </w:pPr>
      <w:r>
        <w:rPr>
          <w:rFonts w:hint="eastAsia"/>
          <w:szCs w:val="21"/>
        </w:rPr>
        <w:t>4. 分析：我国设施园艺存在的不足；</w:t>
      </w:r>
    </w:p>
    <w:p>
      <w:pPr>
        <w:spacing w:line="360" w:lineRule="auto"/>
        <w:ind w:firstLine="420" w:firstLineChars="200"/>
        <w:rPr>
          <w:szCs w:val="21"/>
        </w:rPr>
      </w:pPr>
      <w:r>
        <w:rPr>
          <w:rFonts w:hint="eastAsia"/>
          <w:szCs w:val="21"/>
        </w:rPr>
        <w:t>5. 综合：我国</w:t>
      </w:r>
      <w:r>
        <w:rPr>
          <w:rFonts w:hint="eastAsia" w:ascii="宋体" w:hAnsi="宋体" w:cs="宋体"/>
          <w:color w:val="353535"/>
          <w:kern w:val="0"/>
          <w:szCs w:val="21"/>
        </w:rPr>
        <w:t>设施园艺科学研究重点和工程技术需要解决的关键问题</w:t>
      </w:r>
      <w:r>
        <w:rPr>
          <w:rFonts w:hint="eastAsia"/>
          <w:szCs w:val="21"/>
        </w:rPr>
        <w:t>；</w:t>
      </w:r>
    </w:p>
    <w:p>
      <w:pPr>
        <w:spacing w:line="360" w:lineRule="auto"/>
        <w:ind w:firstLine="420" w:firstLineChars="200"/>
        <w:rPr>
          <w:szCs w:val="21"/>
        </w:rPr>
      </w:pPr>
      <w:r>
        <w:rPr>
          <w:rFonts w:hint="eastAsia"/>
          <w:szCs w:val="21"/>
        </w:rPr>
        <w:t>6. 评价：我国日光温室设施的优缺点及地区适应性。</w:t>
      </w:r>
    </w:p>
    <w:p>
      <w:pPr>
        <w:snapToGrid w:val="0"/>
        <w:spacing w:line="360" w:lineRule="auto"/>
        <w:jc w:val="center"/>
        <w:rPr>
          <w:kern w:val="0"/>
          <w:szCs w:val="21"/>
        </w:rPr>
      </w:pPr>
      <w:r>
        <w:rPr>
          <w:rFonts w:hAnsi="宋体"/>
          <w:b/>
          <w:bCs/>
          <w:kern w:val="0"/>
          <w:szCs w:val="21"/>
        </w:rPr>
        <w:t>第</w:t>
      </w:r>
      <w:r>
        <w:rPr>
          <w:rFonts w:hint="eastAsia" w:hAnsi="宋体"/>
          <w:b/>
          <w:bCs/>
          <w:kern w:val="0"/>
          <w:szCs w:val="21"/>
        </w:rPr>
        <w:t>三</w:t>
      </w:r>
      <w:r>
        <w:rPr>
          <w:rFonts w:hAnsi="宋体"/>
          <w:b/>
          <w:bCs/>
          <w:kern w:val="0"/>
          <w:szCs w:val="21"/>
        </w:rPr>
        <w:t>章</w:t>
      </w:r>
      <w:r>
        <w:rPr>
          <w:rFonts w:hint="eastAsia"/>
          <w:b/>
          <w:bCs/>
          <w:kern w:val="0"/>
          <w:szCs w:val="21"/>
        </w:rPr>
        <w:t xml:space="preserve">  </w:t>
      </w:r>
      <w:r>
        <w:rPr>
          <w:rFonts w:hint="eastAsia"/>
          <w:b/>
          <w:color w:val="000000"/>
          <w:szCs w:val="21"/>
        </w:rPr>
        <w:t>茶之源流</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hAnsi="宋体"/>
          <w:kern w:val="0"/>
          <w:szCs w:val="21"/>
        </w:rPr>
        <w:t>茶学专业学习和研究范畴；世界茶叶的起源与发展；茶文化的范畴。</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hAnsi="宋体"/>
          <w:kern w:val="0"/>
          <w:szCs w:val="21"/>
        </w:rPr>
        <w:t>茶学专业学习和研究范畴；世界茶叶的起源与发展；茶文化的范畴。</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hAnsi="宋体"/>
          <w:kern w:val="0"/>
          <w:szCs w:val="21"/>
        </w:rPr>
        <w:t>茶学专业学习和研究范畴；世界茶叶的起源与发展；茶文化的范畴。</w:t>
      </w:r>
    </w:p>
    <w:p>
      <w:pPr>
        <w:spacing w:line="360" w:lineRule="auto"/>
        <w:ind w:firstLine="422" w:firstLineChars="200"/>
      </w:pPr>
      <w:r>
        <w:rPr>
          <w:rFonts w:ascii="宋体" w:hAnsi="宋体"/>
          <w:b/>
          <w:szCs w:val="21"/>
        </w:rPr>
        <w:t>2</w:t>
      </w:r>
      <w:r>
        <w:rPr>
          <w:rFonts w:hint="eastAsia" w:ascii="宋体" w:hAnsi="宋体"/>
          <w:b/>
          <w:szCs w:val="21"/>
        </w:rPr>
        <w:t>.评价：</w:t>
      </w:r>
      <w:r>
        <w:rPr>
          <w:rFonts w:hint="eastAsia" w:ascii="宋体" w:hAnsi="宋体"/>
          <w:szCs w:val="21"/>
        </w:rPr>
        <w:t>茶学专业。</w:t>
      </w:r>
    </w:p>
    <w:p>
      <w:pPr>
        <w:snapToGrid w:val="0"/>
        <w:spacing w:line="360" w:lineRule="auto"/>
        <w:jc w:val="center"/>
        <w:rPr>
          <w:b/>
          <w:color w:val="000000"/>
          <w:szCs w:val="21"/>
        </w:rPr>
      </w:pPr>
      <w:r>
        <w:rPr>
          <w:rFonts w:hAnsi="宋体"/>
          <w:b/>
          <w:bCs/>
          <w:kern w:val="0"/>
          <w:szCs w:val="21"/>
        </w:rPr>
        <w:t>第</w:t>
      </w:r>
      <w:r>
        <w:rPr>
          <w:rFonts w:hint="eastAsia" w:hAnsi="宋体"/>
          <w:b/>
          <w:bCs/>
          <w:kern w:val="0"/>
          <w:szCs w:val="21"/>
        </w:rPr>
        <w:t>四</w:t>
      </w:r>
      <w:r>
        <w:rPr>
          <w:rFonts w:hAnsi="宋体"/>
          <w:b/>
          <w:bCs/>
          <w:kern w:val="0"/>
          <w:szCs w:val="21"/>
        </w:rPr>
        <w:t>章</w:t>
      </w:r>
      <w:r>
        <w:rPr>
          <w:rFonts w:hint="eastAsia"/>
          <w:b/>
          <w:bCs/>
          <w:kern w:val="0"/>
          <w:szCs w:val="21"/>
        </w:rPr>
        <w:t xml:space="preserve">  </w:t>
      </w:r>
      <w:r>
        <w:rPr>
          <w:rFonts w:hint="eastAsia"/>
          <w:b/>
          <w:color w:val="000000"/>
          <w:szCs w:val="21"/>
        </w:rPr>
        <w:t>我国蔬菜产业现状及发展方向</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pPr>
      <w:r>
        <w:rPr>
          <w:rFonts w:hint="eastAsia" w:ascii="宋体" w:hAnsi="宋体"/>
          <w:b/>
          <w:szCs w:val="21"/>
        </w:rPr>
        <w:t>1. 一般了解</w:t>
      </w:r>
      <w:r>
        <w:rPr>
          <w:rFonts w:hint="eastAsia" w:ascii="宋体" w:hAnsi="宋体"/>
          <w:szCs w:val="21"/>
        </w:rPr>
        <w:t>：</w:t>
      </w:r>
      <w:r>
        <w:rPr>
          <w:rFonts w:hint="eastAsia"/>
        </w:rPr>
        <w:t>通过本章的学习，熟悉我国蔬菜生产的历史、现状、问题及发展趋势。了解蔬菜产业在农业和国民经济中的地位，增强学生对园艺专业的认同感。</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：国内外蔬菜生产区域、生产技术和产业形态。</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：栽培、设施、育种等专业知识在蔬菜生产中的应用，解决产业个环节的问题。</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 xml:space="preserve">蔬菜生产区域划分、流通特点、生产方式。 </w:t>
      </w:r>
    </w:p>
    <w:p>
      <w:pPr>
        <w:snapToGrid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园艺专业知识在蔬菜产业发展中的应用。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：蔬菜生产区域布局</w:t>
      </w:r>
      <w:r>
        <w:rPr>
          <w:rFonts w:hint="eastAsia"/>
        </w:rPr>
        <w:t>、生产形式。</w:t>
      </w:r>
    </w:p>
    <w:p>
      <w:pPr>
        <w:snapToGrid w:val="0"/>
        <w:spacing w:line="360" w:lineRule="auto"/>
        <w:ind w:firstLine="422" w:firstLineChars="200"/>
      </w:pPr>
      <w:r>
        <w:rPr>
          <w:rFonts w:hint="eastAsia" w:ascii="宋体" w:hAnsi="宋体"/>
          <w:b/>
          <w:szCs w:val="21"/>
        </w:rPr>
        <w:t>2.领会</w:t>
      </w:r>
      <w:r>
        <w:rPr>
          <w:rFonts w:hint="eastAsia" w:ascii="宋体" w:hAnsi="宋体"/>
          <w:szCs w:val="21"/>
        </w:rPr>
        <w:t>：蔬菜产业在农业中的地位，在国民经济中的重要作用</w:t>
      </w:r>
      <w:r>
        <w:rPr>
          <w:rFonts w:hint="eastAsia"/>
        </w:rPr>
        <w:t>。</w:t>
      </w:r>
    </w:p>
    <w:p>
      <w:pPr>
        <w:snapToGrid w:val="0"/>
        <w:spacing w:line="360" w:lineRule="auto"/>
        <w:ind w:firstLine="422" w:firstLineChars="200"/>
      </w:pPr>
      <w:r>
        <w:rPr>
          <w:rFonts w:hint="eastAsia" w:ascii="宋体" w:hAnsi="宋体"/>
          <w:b/>
          <w:szCs w:val="21"/>
        </w:rPr>
        <w:t>3.应用</w:t>
      </w:r>
      <w:r>
        <w:rPr>
          <w:rFonts w:hint="eastAsia" w:ascii="宋体" w:hAnsi="宋体"/>
          <w:szCs w:val="21"/>
        </w:rPr>
        <w:t>：能够利用气候特点、地理差异、生产传统等</w:t>
      </w:r>
      <w:r>
        <w:rPr>
          <w:rFonts w:hint="eastAsia"/>
        </w:rPr>
        <w:t>解释不同地区蔬菜生产现状及特点。</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szCs w:val="21"/>
        </w:rPr>
        <w:t>：</w:t>
      </w:r>
      <w:r>
        <w:rPr>
          <w:rFonts w:hint="eastAsia"/>
        </w:rPr>
        <w:t>分析蔬菜产业前中后各环节中问题产生的原因及解决途径。</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w:t>
      </w:r>
      <w:r>
        <w:rPr>
          <w:rFonts w:hint="eastAsia"/>
        </w:rPr>
        <w:t>能够利用专业知识分析蔬菜产业中的问题，并提出解决方案。</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rPr>
        <w:t xml:space="preserve">能够利用本章知识初步评价国内外蔬菜产业业态的差异。 </w:t>
      </w:r>
    </w:p>
    <w:tbl>
      <w:tblPr>
        <w:tblStyle w:val="22"/>
        <w:tblW w:w="0" w:type="auto"/>
        <w:tblInd w:w="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5"/>
        <w:gridCol w:w="2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2965" w:type="dxa"/>
            <w:tcBorders>
              <w:top w:val="nil"/>
              <w:left w:val="nil"/>
              <w:bottom w:val="nil"/>
              <w:right w:val="nil"/>
            </w:tcBorders>
            <w:vAlign w:val="center"/>
          </w:tcPr>
          <w:p>
            <w:pPr>
              <w:widowControl/>
              <w:snapToGrid w:val="0"/>
              <w:spacing w:line="360" w:lineRule="auto"/>
              <w:jc w:val="center"/>
              <w:rPr>
                <w:rFonts w:hAnsi="宋体"/>
                <w:b/>
                <w:bCs/>
                <w:kern w:val="0"/>
                <w:szCs w:val="21"/>
              </w:rPr>
            </w:pPr>
          </w:p>
        </w:tc>
        <w:tc>
          <w:tcPr>
            <w:tcW w:w="2965" w:type="dxa"/>
            <w:tcBorders>
              <w:top w:val="nil"/>
              <w:left w:val="nil"/>
              <w:bottom w:val="nil"/>
              <w:right w:val="nil"/>
            </w:tcBorders>
            <w:vAlign w:val="center"/>
          </w:tcPr>
          <w:p>
            <w:pPr>
              <w:widowControl/>
              <w:snapToGrid w:val="0"/>
              <w:spacing w:line="360" w:lineRule="auto"/>
              <w:jc w:val="center"/>
              <w:rPr>
                <w:b/>
                <w:color w:val="000000"/>
                <w:szCs w:val="21"/>
              </w:rPr>
            </w:pPr>
            <w:r>
              <w:rPr>
                <w:b/>
                <w:color w:val="000000"/>
                <w:szCs w:val="21"/>
              </w:rPr>
              <w:t>第</w:t>
            </w:r>
            <w:r>
              <w:rPr>
                <w:rFonts w:hint="eastAsia"/>
                <w:b/>
                <w:color w:val="000000"/>
                <w:szCs w:val="21"/>
              </w:rPr>
              <w:t>五</w:t>
            </w:r>
            <w:r>
              <w:rPr>
                <w:b/>
                <w:color w:val="000000"/>
                <w:szCs w:val="21"/>
              </w:rPr>
              <w:t>章</w:t>
            </w:r>
            <w:r>
              <w:rPr>
                <w:rFonts w:hint="eastAsia"/>
                <w:b/>
                <w:color w:val="000000"/>
                <w:szCs w:val="21"/>
              </w:rPr>
              <w:t xml:space="preserve">  蔬菜基因组与分子育种</w:t>
            </w:r>
          </w:p>
        </w:tc>
      </w:tr>
    </w:tbl>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s="宋体"/>
          <w:kern w:val="0"/>
          <w:szCs w:val="21"/>
        </w:rPr>
      </w:pPr>
      <w:r>
        <w:rPr>
          <w:rFonts w:hint="eastAsia" w:ascii="宋体" w:hAnsi="宋体"/>
          <w:b/>
          <w:szCs w:val="21"/>
        </w:rPr>
        <w:t>1. 一般了解</w:t>
      </w:r>
      <w:r>
        <w:rPr>
          <w:rFonts w:hint="eastAsia" w:ascii="宋体" w:hAnsi="宋体"/>
          <w:szCs w:val="21"/>
        </w:rPr>
        <w:t>：</w:t>
      </w:r>
      <w:r>
        <w:rPr>
          <w:rFonts w:hint="eastAsia" w:ascii="宋体" w:hAnsi="宋体" w:cs="宋体"/>
          <w:kern w:val="0"/>
          <w:szCs w:val="21"/>
        </w:rPr>
        <w:t>基因组的概念及基因组测序的过程和基本原理；了解当前蔬菜作物基因组测序进展及其应用领域；了解分子育种在蔬菜品种改良中的应用及其发展趋势。</w:t>
      </w:r>
    </w:p>
    <w:p>
      <w:pPr>
        <w:snapToGrid w:val="0"/>
        <w:spacing w:line="360" w:lineRule="auto"/>
        <w:rPr>
          <w:rFonts w:ascii="宋体" w:hAnsi="宋体"/>
          <w:b/>
          <w:szCs w:val="21"/>
        </w:rPr>
      </w:pPr>
      <w:r>
        <w:rPr>
          <w:rFonts w:hint="eastAsia" w:ascii="宋体" w:hAnsi="宋体"/>
          <w:b/>
          <w:szCs w:val="21"/>
        </w:rPr>
        <w:t>（二）考核内容</w:t>
      </w:r>
    </w:p>
    <w:p>
      <w:pPr>
        <w:widowControl/>
        <w:adjustRightInd w:val="0"/>
        <w:snapToGrid w:val="0"/>
        <w:spacing w:line="360" w:lineRule="auto"/>
        <w:ind w:firstLine="420" w:firstLineChars="200"/>
        <w:jc w:val="left"/>
        <w:rPr>
          <w:kern w:val="0"/>
          <w:szCs w:val="21"/>
        </w:rPr>
      </w:pPr>
      <w:r>
        <w:rPr>
          <w:rFonts w:hint="eastAsia"/>
          <w:kern w:val="0"/>
          <w:szCs w:val="21"/>
        </w:rPr>
        <w:t>全基因组测序计划及其测序的原理。</w:t>
      </w:r>
    </w:p>
    <w:p>
      <w:pPr>
        <w:snapToGrid w:val="0"/>
        <w:spacing w:line="360" w:lineRule="auto"/>
        <w:rPr>
          <w:rFonts w:ascii="宋体" w:hAnsi="宋体"/>
          <w:b/>
          <w:szCs w:val="21"/>
        </w:rPr>
      </w:pPr>
      <w:r>
        <w:rPr>
          <w:rFonts w:hint="eastAsia" w:ascii="宋体" w:hAnsi="宋体"/>
          <w:b/>
          <w:szCs w:val="21"/>
        </w:rPr>
        <w:t>（三）考核要求</w:t>
      </w:r>
    </w:p>
    <w:p>
      <w:pPr>
        <w:widowControl/>
        <w:adjustRightInd w:val="0"/>
        <w:snapToGrid w:val="0"/>
        <w:spacing w:line="360" w:lineRule="auto"/>
        <w:ind w:firstLine="420"/>
        <w:jc w:val="left"/>
        <w:rPr>
          <w:kern w:val="0"/>
          <w:szCs w:val="21"/>
        </w:rPr>
      </w:pPr>
      <w:r>
        <w:rPr>
          <w:rFonts w:hint="eastAsia" w:ascii="宋体" w:hAnsi="宋体"/>
          <w:b/>
          <w:szCs w:val="21"/>
        </w:rPr>
        <w:t>1.识记</w:t>
      </w:r>
      <w:r>
        <w:rPr>
          <w:rFonts w:hint="eastAsia" w:ascii="宋体" w:hAnsi="宋体"/>
          <w:szCs w:val="21"/>
        </w:rPr>
        <w:t>：</w:t>
      </w:r>
      <w:r>
        <w:rPr>
          <w:rFonts w:hint="eastAsia"/>
          <w:kern w:val="0"/>
          <w:szCs w:val="21"/>
        </w:rPr>
        <w:t>蔬菜作物全基因组测序研究进展；未来生物技术育种的发展趋势。</w:t>
      </w:r>
    </w:p>
    <w:p>
      <w:pPr>
        <w:snapToGrid w:val="0"/>
        <w:spacing w:line="360" w:lineRule="auto"/>
        <w:ind w:firstLine="422" w:firstLineChars="200"/>
      </w:pPr>
      <w:r>
        <w:rPr>
          <w:rFonts w:hint="eastAsia" w:ascii="宋体" w:hAnsi="宋体"/>
          <w:b/>
          <w:szCs w:val="21"/>
        </w:rPr>
        <w:t>2.领会</w:t>
      </w:r>
      <w:r>
        <w:rPr>
          <w:rFonts w:hint="eastAsia" w:ascii="宋体" w:hAnsi="宋体"/>
          <w:szCs w:val="21"/>
        </w:rPr>
        <w:t>：</w:t>
      </w:r>
      <w:r>
        <w:rPr>
          <w:rFonts w:hint="eastAsia"/>
          <w:kern w:val="0"/>
          <w:szCs w:val="21"/>
        </w:rPr>
        <w:t>基因组</w:t>
      </w:r>
      <w:r>
        <w:rPr>
          <w:kern w:val="0"/>
          <w:szCs w:val="21"/>
        </w:rPr>
        <w:t>学的主要研究内容</w:t>
      </w:r>
    </w:p>
    <w:p>
      <w:pPr>
        <w:snapToGrid w:val="0"/>
        <w:spacing w:line="360" w:lineRule="auto"/>
        <w:jc w:val="center"/>
        <w:rPr>
          <w:kern w:val="0"/>
          <w:szCs w:val="21"/>
        </w:rPr>
      </w:pPr>
      <w:r>
        <w:rPr>
          <w:rFonts w:hAnsi="宋体"/>
          <w:b/>
          <w:bCs/>
          <w:kern w:val="0"/>
          <w:szCs w:val="21"/>
        </w:rPr>
        <w:t>第</w:t>
      </w:r>
      <w:r>
        <w:rPr>
          <w:rFonts w:hint="eastAsia" w:hAnsi="宋体"/>
          <w:b/>
          <w:bCs/>
          <w:kern w:val="0"/>
          <w:szCs w:val="21"/>
        </w:rPr>
        <w:t>六</w:t>
      </w:r>
      <w:r>
        <w:rPr>
          <w:rFonts w:hAnsi="宋体"/>
          <w:b/>
          <w:bCs/>
          <w:kern w:val="0"/>
          <w:szCs w:val="21"/>
        </w:rPr>
        <w:t>章</w:t>
      </w:r>
      <w:r>
        <w:rPr>
          <w:rFonts w:hint="eastAsia"/>
          <w:b/>
          <w:bCs/>
          <w:kern w:val="0"/>
          <w:szCs w:val="21"/>
        </w:rPr>
        <w:t xml:space="preserve">  </w:t>
      </w:r>
      <w:r>
        <w:rPr>
          <w:rFonts w:hint="eastAsia"/>
          <w:b/>
          <w:color w:val="000000"/>
          <w:szCs w:val="21"/>
        </w:rPr>
        <w:t>我国茶产业发展现状及研究新进展</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pPr>
      <w:r>
        <w:rPr>
          <w:rFonts w:hint="eastAsia" w:ascii="宋体" w:hAnsi="宋体"/>
          <w:b/>
          <w:szCs w:val="21"/>
        </w:rPr>
        <w:t>1. 一般了解</w:t>
      </w:r>
      <w:r>
        <w:rPr>
          <w:rFonts w:hint="eastAsia" w:ascii="宋体" w:hAnsi="宋体"/>
          <w:szCs w:val="21"/>
        </w:rPr>
        <w:t>：</w:t>
      </w:r>
      <w:r>
        <w:rPr>
          <w:rFonts w:hint="eastAsia"/>
        </w:rPr>
        <w:t>通过本章的学习，熟悉我国茶叶种植的历史、现状、问题及发展趋势。了解茶产业在农业和国民经济中的地位，增强学生对茶学专业的认同感。</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：国内外茶叶种植区域、面积、产量。</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：育种、栽培加工等专业知识在茶叶生产中的应用，解决产业个环节的问题。</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茶学专业知识在蔬菜产业发展中的应用。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：国内外茶叶种植区域、面积、产量</w:t>
      </w:r>
      <w:r>
        <w:rPr>
          <w:rFonts w:hint="eastAsia"/>
        </w:rPr>
        <w:t>。</w:t>
      </w:r>
    </w:p>
    <w:p>
      <w:pPr>
        <w:snapToGrid w:val="0"/>
        <w:spacing w:line="360" w:lineRule="auto"/>
        <w:ind w:firstLine="422" w:firstLineChars="200"/>
      </w:pPr>
      <w:r>
        <w:rPr>
          <w:rFonts w:hint="eastAsia" w:ascii="宋体" w:hAnsi="宋体"/>
          <w:b/>
          <w:szCs w:val="21"/>
        </w:rPr>
        <w:t>2.领会</w:t>
      </w:r>
      <w:r>
        <w:rPr>
          <w:rFonts w:hint="eastAsia" w:ascii="宋体" w:hAnsi="宋体"/>
          <w:szCs w:val="21"/>
        </w:rPr>
        <w:t>：茶产业在农业中的地位，在国民经济中的重要作用</w:t>
      </w:r>
      <w:r>
        <w:rPr>
          <w:rFonts w:hint="eastAsia"/>
        </w:rPr>
        <w:t>。</w:t>
      </w:r>
    </w:p>
    <w:p>
      <w:pPr>
        <w:snapToGrid w:val="0"/>
        <w:spacing w:line="360" w:lineRule="auto"/>
        <w:ind w:firstLine="422" w:firstLineChars="200"/>
        <w:rPr>
          <w:rFonts w:ascii="宋体" w:hAnsi="宋体"/>
          <w:b/>
          <w:szCs w:val="21"/>
        </w:rPr>
      </w:pPr>
      <w:r>
        <w:rPr>
          <w:rFonts w:ascii="宋体" w:hAnsi="宋体"/>
          <w:b/>
          <w:szCs w:val="21"/>
        </w:rPr>
        <w:t>3</w:t>
      </w:r>
      <w:r>
        <w:rPr>
          <w:rFonts w:hint="eastAsia" w:ascii="宋体" w:hAnsi="宋体"/>
          <w:b/>
          <w:szCs w:val="21"/>
        </w:rPr>
        <w:t>.分析</w:t>
      </w:r>
      <w:r>
        <w:rPr>
          <w:rFonts w:hint="eastAsia" w:ascii="宋体" w:hAnsi="宋体"/>
          <w:szCs w:val="21"/>
        </w:rPr>
        <w:t>：</w:t>
      </w:r>
      <w:r>
        <w:rPr>
          <w:rFonts w:hint="eastAsia"/>
        </w:rPr>
        <w:t>分析茶产业前中后各环节中问题产生的原因及解决途径。</w:t>
      </w:r>
    </w:p>
    <w:p>
      <w:pPr>
        <w:snapToGrid w:val="0"/>
        <w:spacing w:line="360" w:lineRule="auto"/>
        <w:jc w:val="center"/>
        <w:rPr>
          <w:kern w:val="0"/>
          <w:szCs w:val="21"/>
        </w:rPr>
      </w:pPr>
      <w:r>
        <w:rPr>
          <w:rFonts w:hAnsi="宋体"/>
          <w:b/>
          <w:bCs/>
          <w:kern w:val="0"/>
          <w:szCs w:val="21"/>
        </w:rPr>
        <w:t>第</w:t>
      </w:r>
      <w:r>
        <w:rPr>
          <w:rFonts w:hint="eastAsia" w:hAnsi="宋体"/>
          <w:b/>
          <w:bCs/>
          <w:kern w:val="0"/>
          <w:szCs w:val="21"/>
        </w:rPr>
        <w:t>七</w:t>
      </w:r>
      <w:r>
        <w:rPr>
          <w:rFonts w:hAnsi="宋体"/>
          <w:b/>
          <w:bCs/>
          <w:kern w:val="0"/>
          <w:szCs w:val="21"/>
        </w:rPr>
        <w:t>章</w:t>
      </w:r>
      <w:r>
        <w:rPr>
          <w:rFonts w:hint="eastAsia"/>
          <w:b/>
          <w:bCs/>
          <w:kern w:val="0"/>
          <w:szCs w:val="21"/>
        </w:rPr>
        <w:t xml:space="preserve">  果树与美好人生</w:t>
      </w:r>
    </w:p>
    <w:p>
      <w:pPr>
        <w:snapToGrid w:val="0"/>
        <w:spacing w:line="360" w:lineRule="auto"/>
        <w:ind w:firstLine="103" w:firstLineChars="49"/>
        <w:rPr>
          <w:rFonts w:ascii="宋体" w:hAnsi="宋体"/>
          <w:b/>
          <w:szCs w:val="21"/>
        </w:rPr>
      </w:pPr>
      <w:r>
        <w:rPr>
          <w:rFonts w:hint="eastAsia" w:ascii="宋体" w:hAnsi="宋体"/>
          <w:b/>
          <w:szCs w:val="21"/>
        </w:rPr>
        <w:t>（一）学习目标</w:t>
      </w:r>
    </w:p>
    <w:p>
      <w:pPr>
        <w:widowControl/>
        <w:snapToGrid w:val="0"/>
        <w:spacing w:line="360" w:lineRule="auto"/>
        <w:ind w:firstLine="422" w:firstLineChars="200"/>
        <w:rPr>
          <w:rFonts w:hAnsi="宋体"/>
          <w:bCs/>
          <w:kern w:val="0"/>
          <w:szCs w:val="21"/>
        </w:rPr>
      </w:pPr>
      <w:r>
        <w:rPr>
          <w:rFonts w:hint="eastAsia" w:ascii="宋体" w:hAnsi="宋体"/>
          <w:b/>
          <w:szCs w:val="21"/>
        </w:rPr>
        <w:t>一般了解</w:t>
      </w:r>
      <w:r>
        <w:rPr>
          <w:rFonts w:hint="eastAsia" w:ascii="宋体" w:hAnsi="宋体"/>
          <w:szCs w:val="21"/>
        </w:rPr>
        <w:t>：</w:t>
      </w:r>
      <w:r>
        <w:rPr>
          <w:rFonts w:hint="eastAsia" w:ascii="宋体" w:hAnsi="宋体"/>
          <w:bCs/>
        </w:rPr>
        <w:t>我国及河南省果树产业发展现状，果树新的栽培技术和模式。</w:t>
      </w:r>
    </w:p>
    <w:p>
      <w:pPr>
        <w:snapToGrid w:val="0"/>
        <w:spacing w:line="360" w:lineRule="auto"/>
        <w:ind w:firstLine="420" w:firstLineChars="200"/>
        <w:rPr>
          <w:rFonts w:ascii="宋体" w:hAnsi="宋体"/>
          <w:szCs w:val="21"/>
        </w:rPr>
      </w:pPr>
      <w:r>
        <w:rPr>
          <w:rFonts w:ascii="宋体" w:hAnsi="宋体"/>
          <w:szCs w:val="21"/>
        </w:rPr>
        <w:t xml:space="preserve"> </w:t>
      </w:r>
      <w:r>
        <w:rPr>
          <w:rFonts w:hint="eastAsia" w:ascii="宋体" w:hAnsi="宋体"/>
          <w:b/>
          <w:szCs w:val="21"/>
        </w:rPr>
        <w:t>（二）考核内容</w:t>
      </w:r>
    </w:p>
    <w:p>
      <w:pPr>
        <w:snapToGrid w:val="0"/>
        <w:spacing w:line="360" w:lineRule="auto"/>
        <w:ind w:firstLine="420" w:firstLineChars="200"/>
        <w:rPr>
          <w:rFonts w:ascii="宋体" w:hAnsi="宋体"/>
          <w:szCs w:val="20"/>
        </w:rPr>
      </w:pPr>
      <w:r>
        <w:rPr>
          <w:rFonts w:hint="eastAsia" w:ascii="宋体" w:hAnsi="宋体"/>
          <w:bCs/>
        </w:rPr>
        <w:t>果树产业发展中的主要品种、栽培技术等。</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0"/>
        </w:rPr>
      </w:pPr>
      <w:r>
        <w:rPr>
          <w:rFonts w:hint="eastAsia" w:ascii="宋体" w:hAnsi="宋体"/>
          <w:b/>
          <w:szCs w:val="21"/>
        </w:rPr>
        <w:t>1.识记</w:t>
      </w:r>
      <w:r>
        <w:rPr>
          <w:rFonts w:hint="eastAsia" w:ascii="宋体" w:hAnsi="宋体"/>
          <w:szCs w:val="21"/>
        </w:rPr>
        <w:t>：</w:t>
      </w:r>
      <w:r>
        <w:rPr>
          <w:rFonts w:hint="eastAsia" w:ascii="宋体" w:hAnsi="宋体"/>
        </w:rPr>
        <w:t>我国果树产业和河南省果树产业发展的现状。</w:t>
      </w:r>
    </w:p>
    <w:p>
      <w:pPr>
        <w:snapToGrid w:val="0"/>
        <w:spacing w:line="360" w:lineRule="auto"/>
        <w:ind w:firstLine="422" w:firstLineChars="200"/>
      </w:pPr>
      <w:r>
        <w:rPr>
          <w:rFonts w:hint="eastAsia" w:ascii="宋体" w:hAnsi="宋体"/>
          <w:b/>
          <w:szCs w:val="21"/>
        </w:rPr>
        <w:t>2.领会</w:t>
      </w:r>
      <w:r>
        <w:rPr>
          <w:rFonts w:hint="eastAsia" w:ascii="宋体" w:hAnsi="宋体"/>
          <w:szCs w:val="21"/>
        </w:rPr>
        <w:t>：果树产业在农业中的地位，在国民经济中的重要作用</w:t>
      </w:r>
      <w:r>
        <w:rPr>
          <w:rFonts w:hint="eastAsia"/>
        </w:rPr>
        <w:t>。</w:t>
      </w:r>
    </w:p>
    <w:p>
      <w:pPr>
        <w:snapToGrid w:val="0"/>
        <w:spacing w:line="360" w:lineRule="auto"/>
        <w:jc w:val="center"/>
        <w:rPr>
          <w:kern w:val="0"/>
          <w:szCs w:val="21"/>
        </w:rPr>
      </w:pPr>
      <w:r>
        <w:rPr>
          <w:rFonts w:hAnsi="宋体"/>
          <w:b/>
          <w:bCs/>
          <w:kern w:val="0"/>
          <w:szCs w:val="21"/>
        </w:rPr>
        <w:t>第</w:t>
      </w:r>
      <w:r>
        <w:rPr>
          <w:rFonts w:hint="eastAsia" w:hAnsi="宋体"/>
          <w:b/>
          <w:bCs/>
          <w:kern w:val="0"/>
          <w:szCs w:val="21"/>
        </w:rPr>
        <w:t>八</w:t>
      </w:r>
      <w:r>
        <w:rPr>
          <w:rFonts w:hAnsi="宋体"/>
          <w:b/>
          <w:bCs/>
          <w:kern w:val="0"/>
          <w:szCs w:val="21"/>
        </w:rPr>
        <w:t>章</w:t>
      </w:r>
      <w:r>
        <w:rPr>
          <w:rFonts w:hint="eastAsia"/>
          <w:b/>
          <w:bCs/>
          <w:kern w:val="0"/>
          <w:szCs w:val="21"/>
        </w:rPr>
        <w:t xml:space="preserve">  </w:t>
      </w:r>
      <w:r>
        <w:rPr>
          <w:rFonts w:hint="eastAsia"/>
          <w:b/>
          <w:bCs/>
          <w:szCs w:val="21"/>
        </w:rPr>
        <w:t>一株幼苗的由来</w:t>
      </w:r>
    </w:p>
    <w:p>
      <w:pPr>
        <w:snapToGrid w:val="0"/>
        <w:spacing w:line="360" w:lineRule="auto"/>
        <w:ind w:firstLine="103" w:firstLineChars="49"/>
        <w:rPr>
          <w:rFonts w:ascii="宋体" w:hAnsi="宋体"/>
          <w:b/>
          <w:szCs w:val="21"/>
        </w:rPr>
      </w:pPr>
      <w:r>
        <w:rPr>
          <w:rFonts w:hint="eastAsia" w:ascii="宋体" w:hAnsi="宋体"/>
          <w:b/>
          <w:szCs w:val="21"/>
        </w:rPr>
        <w:t>（一）学习目标</w:t>
      </w:r>
    </w:p>
    <w:p>
      <w:pPr>
        <w:widowControl/>
        <w:snapToGrid w:val="0"/>
        <w:spacing w:line="360" w:lineRule="auto"/>
        <w:ind w:firstLine="422" w:firstLineChars="200"/>
        <w:rPr>
          <w:rFonts w:hAnsi="宋体"/>
          <w:kern w:val="0"/>
          <w:szCs w:val="21"/>
        </w:rPr>
      </w:pPr>
      <w:r>
        <w:rPr>
          <w:rFonts w:hint="eastAsia" w:ascii="宋体" w:hAnsi="宋体"/>
          <w:b/>
          <w:szCs w:val="21"/>
        </w:rPr>
        <w:t>一般了解</w:t>
      </w:r>
      <w:r>
        <w:rPr>
          <w:rFonts w:hint="eastAsia" w:ascii="宋体" w:hAnsi="宋体"/>
          <w:szCs w:val="21"/>
        </w:rPr>
        <w:t>：</w:t>
      </w:r>
      <w:r>
        <w:rPr>
          <w:rFonts w:hint="eastAsia" w:ascii="宋体" w:hAnsi="宋体"/>
        </w:rPr>
        <w:t>种苗对蔬菜产业的重要性。</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rPr>
      </w:pPr>
      <w:r>
        <w:rPr>
          <w:rFonts w:hint="eastAsia" w:ascii="宋体" w:hAnsi="宋体"/>
        </w:rPr>
        <w:t>为什么要为种苗换一条强大的根系；如何让种苗吃好、住好？</w:t>
      </w:r>
    </w:p>
    <w:p>
      <w:pPr>
        <w:snapToGrid w:val="0"/>
        <w:spacing w:line="360" w:lineRule="auto"/>
        <w:rPr>
          <w:rFonts w:ascii="宋体" w:hAnsi="宋体"/>
          <w:b/>
          <w:szCs w:val="21"/>
        </w:rPr>
      </w:pPr>
      <w:r>
        <w:rPr>
          <w:rFonts w:hint="eastAsia" w:ascii="宋体" w:hAnsi="宋体"/>
          <w:b/>
          <w:szCs w:val="21"/>
        </w:rPr>
        <w:t>（三）考核要求</w:t>
      </w:r>
    </w:p>
    <w:p>
      <w:pPr>
        <w:pStyle w:val="7"/>
        <w:snapToGrid w:val="0"/>
        <w:spacing w:line="360" w:lineRule="auto"/>
        <w:ind w:firstLine="422"/>
        <w:rPr>
          <w:rFonts w:ascii="宋体" w:hAnsi="宋体"/>
          <w:szCs w:val="24"/>
        </w:rPr>
      </w:pPr>
      <w:r>
        <w:rPr>
          <w:rFonts w:hint="eastAsia" w:ascii="宋体" w:hAnsi="宋体"/>
          <w:b/>
          <w:szCs w:val="21"/>
        </w:rPr>
        <w:t>1.识记</w:t>
      </w:r>
      <w:r>
        <w:rPr>
          <w:rFonts w:hint="eastAsia" w:ascii="宋体" w:hAnsi="宋体"/>
          <w:szCs w:val="21"/>
        </w:rPr>
        <w:t>：</w:t>
      </w:r>
      <w:r>
        <w:rPr>
          <w:rFonts w:hint="eastAsia" w:ascii="宋体" w:hAnsi="宋体"/>
          <w:szCs w:val="24"/>
        </w:rPr>
        <w:t>种子、种苗对产业的作用。</w:t>
      </w:r>
    </w:p>
    <w:p>
      <w:pPr>
        <w:snapToGrid w:val="0"/>
        <w:spacing w:line="360" w:lineRule="auto"/>
        <w:ind w:firstLine="422" w:firstLineChars="200"/>
        <w:rPr>
          <w:rFonts w:ascii="宋体" w:hAnsi="宋体"/>
        </w:rPr>
      </w:pPr>
      <w:r>
        <w:rPr>
          <w:rFonts w:hint="eastAsia" w:ascii="宋体" w:hAnsi="宋体"/>
          <w:b/>
          <w:szCs w:val="21"/>
        </w:rPr>
        <w:t>2.领会</w:t>
      </w:r>
      <w:r>
        <w:rPr>
          <w:rFonts w:hint="eastAsia" w:ascii="宋体" w:hAnsi="宋体"/>
          <w:szCs w:val="21"/>
        </w:rPr>
        <w:t>：</w:t>
      </w:r>
      <w:r>
        <w:rPr>
          <w:rFonts w:hint="eastAsia" w:ascii="宋体" w:hAnsi="宋体"/>
        </w:rPr>
        <w:t>种苗、种子质量、种苗质量的内涵。</w:t>
      </w:r>
    </w:p>
    <w:p>
      <w:pPr>
        <w:snapToGrid w:val="0"/>
        <w:spacing w:line="360" w:lineRule="auto"/>
        <w:jc w:val="center"/>
        <w:rPr>
          <w:kern w:val="0"/>
          <w:szCs w:val="21"/>
        </w:rPr>
      </w:pPr>
      <w:r>
        <w:rPr>
          <w:rFonts w:hAnsi="宋体"/>
          <w:b/>
          <w:bCs/>
          <w:kern w:val="0"/>
          <w:szCs w:val="21"/>
        </w:rPr>
        <w:t>第</w:t>
      </w:r>
      <w:r>
        <w:rPr>
          <w:rFonts w:hint="eastAsia" w:hAnsi="宋体"/>
          <w:b/>
          <w:bCs/>
          <w:kern w:val="0"/>
          <w:szCs w:val="21"/>
        </w:rPr>
        <w:t>九</w:t>
      </w:r>
      <w:r>
        <w:rPr>
          <w:rFonts w:hAnsi="宋体"/>
          <w:b/>
          <w:bCs/>
          <w:kern w:val="0"/>
          <w:szCs w:val="21"/>
        </w:rPr>
        <w:t>章</w:t>
      </w:r>
      <w:r>
        <w:rPr>
          <w:rFonts w:hint="eastAsia"/>
          <w:b/>
          <w:bCs/>
          <w:kern w:val="0"/>
          <w:szCs w:val="21"/>
        </w:rPr>
        <w:t xml:space="preserve">  </w:t>
      </w:r>
      <w:r>
        <w:rPr>
          <w:rFonts w:hint="eastAsia"/>
          <w:b/>
          <w:bCs/>
          <w:szCs w:val="21"/>
        </w:rPr>
        <w:t>科技创新与园艺产业未来发展前景</w:t>
      </w:r>
    </w:p>
    <w:p>
      <w:pPr>
        <w:snapToGrid w:val="0"/>
        <w:spacing w:line="360" w:lineRule="auto"/>
        <w:ind w:firstLine="103" w:firstLineChars="49"/>
        <w:rPr>
          <w:rFonts w:ascii="宋体" w:hAnsi="宋体"/>
          <w:b/>
          <w:szCs w:val="21"/>
        </w:rPr>
      </w:pPr>
      <w:r>
        <w:rPr>
          <w:rFonts w:hint="eastAsia" w:ascii="宋体" w:hAnsi="宋体"/>
          <w:b/>
          <w:szCs w:val="21"/>
        </w:rPr>
        <w:t>（一）学习目标</w:t>
      </w:r>
    </w:p>
    <w:p>
      <w:pPr>
        <w:snapToGrid w:val="0"/>
        <w:spacing w:line="360" w:lineRule="auto"/>
        <w:rPr>
          <w:rFonts w:hAnsi="宋体"/>
          <w:kern w:val="0"/>
          <w:szCs w:val="21"/>
        </w:rPr>
      </w:pPr>
      <w:r>
        <w:rPr>
          <w:rFonts w:hint="eastAsia" w:ascii="宋体" w:hAnsi="宋体"/>
          <w:b/>
          <w:szCs w:val="21"/>
        </w:rPr>
        <w:t>一般了解</w:t>
      </w:r>
      <w:r>
        <w:rPr>
          <w:rFonts w:hint="eastAsia" w:ascii="宋体" w:hAnsi="宋体"/>
          <w:szCs w:val="21"/>
        </w:rPr>
        <w:t>：</w:t>
      </w:r>
      <w:r>
        <w:rPr>
          <w:rFonts w:hint="eastAsia"/>
          <w:kern w:val="0"/>
          <w:szCs w:val="21"/>
        </w:rPr>
        <w:t>园艺产业在农业和国民经济中的重要地位，激发学习兴趣，树立专业信心，培育学农爱农情怀。</w:t>
      </w:r>
    </w:p>
    <w:p>
      <w:pPr>
        <w:snapToGrid w:val="0"/>
        <w:spacing w:line="360" w:lineRule="auto"/>
        <w:rPr>
          <w:rFonts w:ascii="宋体" w:hAnsi="宋体"/>
          <w:szCs w:val="21"/>
        </w:rPr>
      </w:pPr>
      <w:r>
        <w:rPr>
          <w:rFonts w:hint="eastAsia" w:ascii="宋体" w:hAnsi="宋体"/>
          <w:b/>
          <w:szCs w:val="21"/>
        </w:rPr>
        <w:t>（二）考核内容</w:t>
      </w:r>
    </w:p>
    <w:p>
      <w:pPr>
        <w:widowControl/>
        <w:snapToGrid w:val="0"/>
        <w:spacing w:line="360" w:lineRule="auto"/>
        <w:ind w:firstLine="420" w:firstLineChars="200"/>
        <w:jc w:val="left"/>
        <w:rPr>
          <w:kern w:val="0"/>
          <w:szCs w:val="21"/>
        </w:rPr>
      </w:pPr>
      <w:r>
        <w:rPr>
          <w:rFonts w:hint="eastAsia"/>
          <w:kern w:val="0"/>
          <w:szCs w:val="21"/>
        </w:rPr>
        <w:t>科技是如何赋能园艺产业高质量发展的，园艺产业在发展中还有哪些卡脖子的关键问题。</w:t>
      </w:r>
    </w:p>
    <w:p>
      <w:pPr>
        <w:snapToGrid w:val="0"/>
        <w:spacing w:line="360" w:lineRule="auto"/>
        <w:rPr>
          <w:rFonts w:ascii="宋体" w:hAnsi="宋体"/>
          <w:b/>
          <w:szCs w:val="21"/>
        </w:rPr>
      </w:pPr>
      <w:r>
        <w:rPr>
          <w:rFonts w:hint="eastAsia" w:ascii="宋体" w:hAnsi="宋体"/>
          <w:b/>
          <w:szCs w:val="21"/>
        </w:rPr>
        <w:t>（三）考核要求</w:t>
      </w:r>
    </w:p>
    <w:p>
      <w:pPr>
        <w:pStyle w:val="7"/>
        <w:snapToGrid w:val="0"/>
        <w:spacing w:line="360" w:lineRule="auto"/>
        <w:ind w:firstLine="422"/>
        <w:rPr>
          <w:rFonts w:ascii="Times New Roman"/>
          <w:kern w:val="0"/>
          <w:szCs w:val="21"/>
        </w:rPr>
      </w:pPr>
      <w:r>
        <w:rPr>
          <w:rFonts w:hint="eastAsia" w:ascii="宋体" w:hAnsi="宋体"/>
          <w:b/>
          <w:szCs w:val="21"/>
        </w:rPr>
        <w:t>1.识记</w:t>
      </w:r>
      <w:r>
        <w:rPr>
          <w:rFonts w:hint="eastAsia" w:ascii="宋体" w:hAnsi="宋体"/>
          <w:szCs w:val="21"/>
        </w:rPr>
        <w:t>：</w:t>
      </w:r>
      <w:r>
        <w:rPr>
          <w:rFonts w:hint="eastAsia" w:ascii="Times New Roman"/>
          <w:kern w:val="0"/>
          <w:szCs w:val="21"/>
        </w:rPr>
        <w:t>园艺业产业发展现状，未来发展趋势。</w:t>
      </w:r>
    </w:p>
    <w:p>
      <w:pPr>
        <w:pStyle w:val="7"/>
        <w:snapToGrid w:val="0"/>
        <w:spacing w:line="360" w:lineRule="auto"/>
        <w:ind w:firstLine="422"/>
        <w:rPr>
          <w:rFonts w:ascii="Times New Roman"/>
          <w:kern w:val="0"/>
          <w:szCs w:val="21"/>
        </w:rPr>
      </w:pPr>
      <w:r>
        <w:rPr>
          <w:rFonts w:hint="eastAsia" w:ascii="宋体" w:hAnsi="宋体"/>
          <w:b/>
          <w:szCs w:val="21"/>
        </w:rPr>
        <w:t>2.领会</w:t>
      </w:r>
      <w:r>
        <w:rPr>
          <w:rFonts w:hint="eastAsia" w:ascii="宋体" w:hAnsi="宋体"/>
          <w:szCs w:val="21"/>
        </w:rPr>
        <w:t>：</w:t>
      </w:r>
      <w:r>
        <w:rPr>
          <w:rFonts w:hint="eastAsia" w:ascii="Times New Roman"/>
          <w:kern w:val="0"/>
          <w:szCs w:val="21"/>
        </w:rPr>
        <w:t>园艺产业发展中已经解决的，未解决的，亟待解决的关键科学问题。</w:t>
      </w:r>
    </w:p>
    <w:p>
      <w:pPr>
        <w:snapToGrid w:val="0"/>
        <w:spacing w:line="360" w:lineRule="auto"/>
        <w:rPr>
          <w:rFonts w:ascii="宋体"/>
          <w:b/>
          <w:szCs w:val="21"/>
        </w:rPr>
      </w:pPr>
      <w:r>
        <w:rPr>
          <w:rFonts w:hint="eastAsia" w:ascii="宋体" w:hAnsi="宋体"/>
          <w:b/>
          <w:szCs w:val="21"/>
        </w:rPr>
        <w:t>三、实验教学部分的考核要求</w:t>
      </w:r>
    </w:p>
    <w:p>
      <w:pPr>
        <w:widowControl/>
        <w:spacing w:line="360" w:lineRule="auto"/>
        <w:ind w:firstLine="420" w:firstLineChars="200"/>
        <w:jc w:val="left"/>
        <w:rPr>
          <w:rFonts w:ascii="宋体"/>
          <w:szCs w:val="21"/>
        </w:rPr>
      </w:pPr>
      <w:r>
        <w:rPr>
          <w:rFonts w:hint="eastAsia" w:ascii="宋体" w:hAnsi="宋体"/>
          <w:bCs/>
          <w:szCs w:val="21"/>
        </w:rPr>
        <w:t>无。</w:t>
      </w:r>
    </w:p>
    <w:p>
      <w:pPr>
        <w:snapToGrid w:val="0"/>
        <w:spacing w:line="360" w:lineRule="auto"/>
        <w:rPr>
          <w:rFonts w:ascii="宋体"/>
          <w:b/>
          <w:szCs w:val="21"/>
        </w:rPr>
      </w:pPr>
      <w:r>
        <w:rPr>
          <w:rFonts w:hint="eastAsia" w:ascii="宋体" w:hAnsi="宋体"/>
          <w:b/>
          <w:szCs w:val="21"/>
        </w:rPr>
        <w:t>四、考核方式</w:t>
      </w:r>
    </w:p>
    <w:p>
      <w:pPr>
        <w:widowControl/>
        <w:snapToGrid w:val="0"/>
        <w:spacing w:line="360" w:lineRule="auto"/>
        <w:ind w:firstLine="420"/>
        <w:jc w:val="left"/>
        <w:rPr>
          <w:szCs w:val="21"/>
        </w:rPr>
      </w:pPr>
      <w:r>
        <w:rPr>
          <w:szCs w:val="21"/>
        </w:rPr>
        <w:t>本课程</w:t>
      </w:r>
      <w:r>
        <w:rPr>
          <w:rFonts w:hint="eastAsia"/>
          <w:szCs w:val="21"/>
        </w:rPr>
        <w:t>期末</w:t>
      </w:r>
      <w:r>
        <w:rPr>
          <w:szCs w:val="21"/>
        </w:rPr>
        <w:t>考核采用</w:t>
      </w:r>
      <w:r>
        <w:rPr>
          <w:rFonts w:hint="eastAsia"/>
          <w:szCs w:val="21"/>
        </w:rPr>
        <w:t>考核的方式，考核方式为撰写课程论文。总成绩计算办法为期末</w:t>
      </w:r>
      <w:r>
        <w:rPr>
          <w:szCs w:val="21"/>
        </w:rPr>
        <w:t>考试占60%，平时成绩为</w:t>
      </w:r>
      <w:r>
        <w:rPr>
          <w:rFonts w:hint="eastAsia"/>
          <w:szCs w:val="21"/>
        </w:rPr>
        <w:t>4</w:t>
      </w:r>
      <w:r>
        <w:rPr>
          <w:szCs w:val="21"/>
        </w:rPr>
        <w:t>0%。</w:t>
      </w:r>
    </w:p>
    <w:p>
      <w:pPr>
        <w:snapToGrid w:val="0"/>
        <w:spacing w:line="360" w:lineRule="auto"/>
        <w:rPr>
          <w:rFonts w:ascii="宋体" w:hAnsi="宋体"/>
          <w:b/>
          <w:szCs w:val="21"/>
        </w:rPr>
      </w:pPr>
      <w:r>
        <w:rPr>
          <w:rFonts w:hint="eastAsia" w:ascii="宋体" w:hAnsi="宋体"/>
          <w:b/>
          <w:szCs w:val="21"/>
        </w:rPr>
        <w:t>五、成绩评定</w:t>
      </w:r>
    </w:p>
    <w:p>
      <w:pPr>
        <w:snapToGrid w:val="0"/>
        <w:spacing w:line="360" w:lineRule="auto"/>
        <w:ind w:firstLine="420" w:firstLineChars="200"/>
        <w:rPr>
          <w:rFonts w:ascii="宋体" w:hAnsi="宋体"/>
          <w:szCs w:val="21"/>
        </w:rPr>
      </w:pPr>
      <w:r>
        <w:rPr>
          <w:rFonts w:hint="eastAsia" w:ascii="宋体" w:hAnsi="宋体"/>
          <w:szCs w:val="21"/>
        </w:rPr>
        <w:t>1.平时成绩以在学习通完成作业、签到结合学生完成教师布置的任务结果进行评价。</w:t>
      </w:r>
    </w:p>
    <w:p>
      <w:pPr>
        <w:snapToGrid w:val="0"/>
        <w:spacing w:line="360" w:lineRule="auto"/>
        <w:ind w:firstLine="420" w:firstLineChars="200"/>
        <w:rPr>
          <w:rFonts w:ascii="宋体" w:hAnsi="宋体"/>
          <w:szCs w:val="21"/>
        </w:rPr>
      </w:pPr>
      <w:r>
        <w:rPr>
          <w:rFonts w:hint="eastAsia" w:ascii="宋体" w:hAnsi="宋体"/>
          <w:szCs w:val="21"/>
        </w:rPr>
        <w:t>2.</w:t>
      </w:r>
      <w:r>
        <w:rPr>
          <w:rFonts w:hint="eastAsia"/>
          <w:szCs w:val="21"/>
        </w:rPr>
        <w:t>最终成绩计算办法为期末</w:t>
      </w:r>
      <w:r>
        <w:rPr>
          <w:szCs w:val="21"/>
        </w:rPr>
        <w:t>考试占</w:t>
      </w:r>
      <w:r>
        <w:rPr>
          <w:rFonts w:hint="eastAsia"/>
          <w:szCs w:val="21"/>
        </w:rPr>
        <w:t>6</w:t>
      </w:r>
      <w:r>
        <w:rPr>
          <w:szCs w:val="21"/>
        </w:rPr>
        <w:t>0%，平时成绩为40%。</w:t>
      </w:r>
    </w:p>
    <w:p>
      <w:pPr>
        <w:snapToGrid w:val="0"/>
        <w:spacing w:line="360" w:lineRule="auto"/>
        <w:rPr>
          <w:rFonts w:ascii="宋体" w:hAnsi="宋体"/>
          <w:b/>
          <w:szCs w:val="21"/>
        </w:rPr>
      </w:pPr>
      <w:r>
        <w:rPr>
          <w:rFonts w:hint="eastAsia" w:ascii="宋体" w:hAnsi="宋体"/>
          <w:b/>
          <w:szCs w:val="21"/>
        </w:rPr>
        <w:t>六、考核结果分析反馈</w:t>
      </w:r>
    </w:p>
    <w:p>
      <w:pPr>
        <w:spacing w:line="360" w:lineRule="auto"/>
        <w:ind w:firstLine="420" w:firstLineChars="200"/>
        <w:rPr>
          <w:rFonts w:ascii="宋体"/>
          <w:szCs w:val="21"/>
        </w:rPr>
      </w:pPr>
      <w:r>
        <w:rPr>
          <w:rFonts w:hint="eastAsia" w:ascii="宋体" w:hAnsi="宋体"/>
          <w:bCs/>
          <w:szCs w:val="21"/>
        </w:rPr>
        <w:t>学生的作业、任务完成结果、项目完成结果会等及时反馈给学生；学生在学习中提出的完善建议、学生对课堂的评价、课堂实际情况、督导和其他教师的听课结果等会适时地反馈给授课教师；学生的择业偏好，最终的就业去向等会经过一定分析结合专业达成度进行反馈。</w:t>
      </w:r>
    </w:p>
    <w:p>
      <w:pPr>
        <w:rPr>
          <w:sz w:val="28"/>
        </w:rPr>
      </w:pPr>
      <w:bookmarkStart w:id="548" w:name="_Toc138076119"/>
      <w:bookmarkStart w:id="549" w:name="_Toc138076663"/>
      <w:r>
        <w:rPr>
          <w:rFonts w:hint="eastAsia"/>
          <w:sz w:val="28"/>
        </w:rPr>
        <w:br w:type="page"/>
      </w:r>
    </w:p>
    <w:p>
      <w:pPr>
        <w:pStyle w:val="21"/>
        <w:rPr>
          <w:sz w:val="28"/>
        </w:rPr>
      </w:pPr>
      <w:bookmarkStart w:id="550" w:name="_Toc2092"/>
      <w:r>
        <w:rPr>
          <w:rFonts w:hint="eastAsia"/>
          <w:sz w:val="28"/>
        </w:rPr>
        <w:t>分子生物学基础</w:t>
      </w:r>
      <w:r>
        <w:rPr>
          <w:rFonts w:hint="eastAsia"/>
          <w:sz w:val="28"/>
          <w:lang w:val="en-US" w:eastAsia="zh-CN"/>
        </w:rPr>
        <w:t>考核</w:t>
      </w:r>
      <w:r>
        <w:rPr>
          <w:sz w:val="28"/>
        </w:rPr>
        <w:t>大纲</w:t>
      </w:r>
      <w:bookmarkEnd w:id="548"/>
      <w:bookmarkEnd w:id="549"/>
      <w:bookmarkEnd w:id="550"/>
    </w:p>
    <w:p>
      <w:pPr>
        <w:adjustRightInd w:val="0"/>
        <w:snapToGrid w:val="0"/>
        <w:spacing w:line="360" w:lineRule="auto"/>
        <w:jc w:val="center"/>
        <w:rPr>
          <w:b/>
          <w:szCs w:val="21"/>
        </w:rPr>
      </w:pPr>
      <w:r>
        <w:rPr>
          <w:sz w:val="24"/>
        </w:rPr>
        <w:t>（</w:t>
      </w:r>
      <w:r>
        <w:rPr>
          <w:i w:val="0"/>
          <w:iCs/>
          <w:sz w:val="24"/>
        </w:rPr>
        <w:t>Molecular Biology</w:t>
      </w:r>
      <w:r>
        <w:rPr>
          <w:sz w:val="24"/>
        </w:rPr>
        <w:t>）</w:t>
      </w:r>
    </w:p>
    <w:p>
      <w:pPr>
        <w:adjustRightInd w:val="0"/>
        <w:snapToGrid w:val="0"/>
        <w:spacing w:line="360" w:lineRule="auto"/>
        <w:jc w:val="center"/>
        <w:rPr>
          <w:b/>
          <w:szCs w:val="21"/>
        </w:rPr>
      </w:pPr>
      <w:r>
        <w:rPr>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rPr>
                <w:b/>
                <w:bCs/>
                <w:szCs w:val="21"/>
              </w:rPr>
            </w:pPr>
            <w:r>
              <w:rPr>
                <w:b/>
                <w:bCs/>
                <w:szCs w:val="21"/>
              </w:rPr>
              <w:t>课程编号：</w:t>
            </w:r>
            <w:r>
              <w:rPr>
                <w:rFonts w:hint="eastAsia" w:ascii="宋体" w:hAnsi="宋体"/>
                <w:b/>
                <w:bCs/>
                <w:szCs w:val="21"/>
              </w:rPr>
              <w:t>19011032</w:t>
            </w:r>
          </w:p>
        </w:tc>
        <w:tc>
          <w:tcPr>
            <w:tcW w:w="1453" w:type="pct"/>
          </w:tcPr>
          <w:p>
            <w:pPr>
              <w:adjustRightInd w:val="0"/>
              <w:snapToGrid w:val="0"/>
              <w:spacing w:line="360" w:lineRule="auto"/>
              <w:rPr>
                <w:b/>
                <w:bCs/>
                <w:szCs w:val="21"/>
              </w:rPr>
            </w:pPr>
            <w:r>
              <w:rPr>
                <w:b/>
                <w:bCs/>
                <w:szCs w:val="21"/>
              </w:rPr>
              <w:t>课程学时：</w:t>
            </w:r>
            <w:r>
              <w:rPr>
                <w:rFonts w:hint="eastAsia"/>
                <w:b/>
                <w:bCs/>
                <w:szCs w:val="21"/>
              </w:rPr>
              <w:t>48</w:t>
            </w:r>
          </w:p>
        </w:tc>
        <w:tc>
          <w:tcPr>
            <w:tcW w:w="1881" w:type="pct"/>
          </w:tcPr>
          <w:p>
            <w:pPr>
              <w:adjustRightInd w:val="0"/>
              <w:snapToGrid w:val="0"/>
              <w:spacing w:line="360" w:lineRule="auto"/>
              <w:rPr>
                <w:b/>
                <w:bCs/>
                <w:szCs w:val="21"/>
              </w:rPr>
            </w:pPr>
            <w:r>
              <w:rPr>
                <w:b/>
                <w:bCs/>
                <w:szCs w:val="21"/>
              </w:rPr>
              <w:t>课程学分：</w:t>
            </w:r>
            <w:r>
              <w:rPr>
                <w:rFonts w:hint="eastAsia"/>
                <w:b/>
                <w:bCs/>
                <w:szCs w:val="21"/>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adjustRightInd w:val="0"/>
              <w:snapToGrid w:val="0"/>
              <w:spacing w:line="360" w:lineRule="auto"/>
              <w:ind w:left="843" w:hanging="843" w:hangingChars="400"/>
              <w:rPr>
                <w:b/>
                <w:bCs/>
                <w:szCs w:val="21"/>
              </w:rPr>
            </w:pPr>
            <w:r>
              <w:rPr>
                <w:b/>
                <w:bCs/>
                <w:szCs w:val="21"/>
              </w:rPr>
              <w:t>主撰人：</w:t>
            </w:r>
            <w:r>
              <w:rPr>
                <w:rFonts w:hint="eastAsia"/>
                <w:b/>
                <w:bCs/>
                <w:szCs w:val="21"/>
              </w:rPr>
              <w:t>杨路明</w:t>
            </w:r>
            <w:r>
              <w:rPr>
                <w:b/>
                <w:bCs/>
                <w:szCs w:val="21"/>
              </w:rPr>
              <w:t xml:space="preserve"> </w:t>
            </w:r>
            <w:r>
              <w:rPr>
                <w:rFonts w:hint="eastAsia"/>
                <w:b/>
                <w:bCs/>
                <w:szCs w:val="21"/>
              </w:rPr>
              <w:t>李营</w:t>
            </w:r>
            <w:r>
              <w:rPr>
                <w:b/>
                <w:bCs/>
                <w:szCs w:val="21"/>
              </w:rPr>
              <w:t xml:space="preserve">  </w:t>
            </w:r>
            <w:r>
              <w:rPr>
                <w:rFonts w:hint="eastAsia"/>
                <w:b/>
                <w:bCs/>
                <w:szCs w:val="21"/>
              </w:rPr>
              <w:t>杨森</w:t>
            </w:r>
            <w:r>
              <w:rPr>
                <w:b/>
                <w:bCs/>
                <w:szCs w:val="21"/>
              </w:rPr>
              <w:t xml:space="preserve"> </w:t>
            </w:r>
            <w:r>
              <w:rPr>
                <w:rFonts w:hint="eastAsia"/>
                <w:b/>
                <w:bCs/>
                <w:szCs w:val="21"/>
              </w:rPr>
              <w:t>孙凯乐</w:t>
            </w:r>
            <w:r>
              <w:rPr>
                <w:b/>
                <w:bCs/>
                <w:szCs w:val="21"/>
              </w:rPr>
              <w:t xml:space="preserve"> </w:t>
            </w:r>
            <w:r>
              <w:rPr>
                <w:rFonts w:hint="eastAsia"/>
                <w:b/>
                <w:bCs/>
                <w:szCs w:val="21"/>
              </w:rPr>
              <w:t>李翔</w:t>
            </w:r>
            <w:r>
              <w:rPr>
                <w:b/>
                <w:bCs/>
                <w:szCs w:val="21"/>
              </w:rPr>
              <w:t xml:space="preserve"> </w:t>
            </w:r>
            <w:r>
              <w:rPr>
                <w:rFonts w:hint="eastAsia"/>
                <w:b/>
                <w:bCs/>
                <w:szCs w:val="21"/>
              </w:rPr>
              <w:t>安光辉</w:t>
            </w:r>
          </w:p>
        </w:tc>
        <w:tc>
          <w:tcPr>
            <w:tcW w:w="1453" w:type="pct"/>
          </w:tcPr>
          <w:p>
            <w:pPr>
              <w:adjustRightInd w:val="0"/>
              <w:snapToGrid w:val="0"/>
              <w:spacing w:line="360" w:lineRule="auto"/>
              <w:rPr>
                <w:b/>
                <w:bCs/>
                <w:szCs w:val="21"/>
              </w:rPr>
            </w:pPr>
            <w:r>
              <w:rPr>
                <w:b/>
                <w:bCs/>
                <w:szCs w:val="21"/>
              </w:rPr>
              <w:t>审核人：</w:t>
            </w:r>
            <w:r>
              <w:rPr>
                <w:rFonts w:hint="eastAsia"/>
                <w:b/>
                <w:bCs/>
                <w:szCs w:val="21"/>
              </w:rPr>
              <w:t>杨路明</w:t>
            </w:r>
          </w:p>
        </w:tc>
        <w:tc>
          <w:tcPr>
            <w:tcW w:w="1881" w:type="pct"/>
          </w:tcPr>
          <w:p>
            <w:pPr>
              <w:adjustRightInd w:val="0"/>
              <w:snapToGrid w:val="0"/>
              <w:spacing w:line="360" w:lineRule="auto"/>
              <w:rPr>
                <w:bCs/>
                <w:szCs w:val="21"/>
              </w:rPr>
            </w:pPr>
            <w:r>
              <w:rPr>
                <w:b/>
                <w:bCs/>
                <w:szCs w:val="21"/>
              </w:rPr>
              <w:t>大纲制定（修订）日期</w:t>
            </w:r>
            <w:r>
              <w:rPr>
                <w:rFonts w:hint="eastAsia"/>
                <w:b/>
                <w:bCs/>
                <w:szCs w:val="21"/>
              </w:rPr>
              <w:t>：</w:t>
            </w:r>
            <w:r>
              <w:rPr>
                <w:b/>
                <w:bCs w:val="0"/>
                <w:szCs w:val="21"/>
              </w:rPr>
              <w:t>2023</w:t>
            </w:r>
            <w:r>
              <w:rPr>
                <w:rFonts w:hint="eastAsia"/>
                <w:b/>
                <w:bCs w:val="0"/>
                <w:szCs w:val="21"/>
              </w:rPr>
              <w:t>.05</w:t>
            </w:r>
          </w:p>
        </w:tc>
      </w:tr>
    </w:tbl>
    <w:p>
      <w:pPr>
        <w:widowControl/>
        <w:adjustRightInd w:val="0"/>
        <w:snapToGrid w:val="0"/>
        <w:spacing w:after="156" w:line="360" w:lineRule="auto"/>
        <w:jc w:val="left"/>
        <w:outlineLvl w:val="1"/>
        <w:rPr>
          <w:b/>
          <w:bCs/>
          <w:kern w:val="0"/>
          <w:szCs w:val="21"/>
        </w:rPr>
      </w:pPr>
      <w:bookmarkStart w:id="551" w:name="_Toc138068427"/>
      <w:bookmarkStart w:id="552" w:name="_Toc138068826"/>
      <w:bookmarkStart w:id="553" w:name="_Toc138076664"/>
      <w:bookmarkStart w:id="554" w:name="_Toc16002"/>
      <w:bookmarkStart w:id="555" w:name="_Toc138070456"/>
      <w:bookmarkStart w:id="556" w:name="_Toc138076120"/>
      <w:bookmarkStart w:id="557" w:name="_Toc138076369"/>
      <w:bookmarkStart w:id="558" w:name="_Toc138070726"/>
      <w:r>
        <w:rPr>
          <w:b/>
          <w:bCs/>
          <w:kern w:val="0"/>
          <w:szCs w:val="21"/>
        </w:rPr>
        <w:t>一、课程的性质和地位</w:t>
      </w:r>
      <w:bookmarkEnd w:id="551"/>
      <w:bookmarkEnd w:id="552"/>
      <w:bookmarkEnd w:id="553"/>
      <w:bookmarkEnd w:id="554"/>
      <w:bookmarkEnd w:id="555"/>
      <w:bookmarkEnd w:id="556"/>
      <w:bookmarkEnd w:id="557"/>
      <w:bookmarkEnd w:id="558"/>
    </w:p>
    <w:p>
      <w:pPr>
        <w:adjustRightInd w:val="0"/>
        <w:snapToGrid w:val="0"/>
        <w:spacing w:line="360" w:lineRule="auto"/>
        <w:ind w:firstLine="420" w:firstLineChars="200"/>
        <w:rPr>
          <w:szCs w:val="21"/>
        </w:rPr>
      </w:pPr>
      <w:r>
        <w:rPr>
          <w:rFonts w:hint="eastAsia"/>
          <w:szCs w:val="21"/>
        </w:rPr>
        <w:t>分子生物学是研究核酸等生物大分子的功能、形态结构特征及其重要性和规律性的科学。分子生物学的理论和方法已在生命科学、医学</w:t>
      </w:r>
      <w:r>
        <w:rPr>
          <w:rFonts w:hint="eastAsia"/>
          <w:kern w:val="0"/>
          <w:szCs w:val="21"/>
        </w:rPr>
        <w:t>、农学、园艺等各个领域里得到广泛应用。通过本课程的学习应使学生了解生命科学发展的方向与前沿，了解分子生物学在生命科学等领域的应用与前景。使学生掌握分子生物学的概念、研究内容与特点，掌握生命活动中重要的生物大分子的结构与功能、遗传信息的表达及其调节控制等内容，</w:t>
      </w:r>
      <w:r>
        <w:rPr>
          <w:szCs w:val="21"/>
        </w:rPr>
        <w:t>是高等院校生物</w:t>
      </w:r>
      <w:r>
        <w:rPr>
          <w:rFonts w:hint="eastAsia"/>
          <w:szCs w:val="21"/>
        </w:rPr>
        <w:t>科</w:t>
      </w:r>
      <w:r>
        <w:rPr>
          <w:szCs w:val="21"/>
        </w:rPr>
        <w:t>学专业必修</w:t>
      </w:r>
      <w:r>
        <w:rPr>
          <w:rFonts w:hint="eastAsia"/>
          <w:szCs w:val="21"/>
        </w:rPr>
        <w:t>基础</w:t>
      </w:r>
      <w:r>
        <w:rPr>
          <w:szCs w:val="21"/>
        </w:rPr>
        <w:t>课程之一。</w:t>
      </w:r>
    </w:p>
    <w:p>
      <w:pPr>
        <w:adjustRightInd w:val="0"/>
        <w:snapToGrid w:val="0"/>
        <w:spacing w:line="360" w:lineRule="auto"/>
        <w:rPr>
          <w:b/>
          <w:szCs w:val="21"/>
        </w:rPr>
      </w:pPr>
      <w:r>
        <w:rPr>
          <w:b/>
          <w:szCs w:val="21"/>
        </w:rPr>
        <w:t>二、理论教学部分的考核目标</w:t>
      </w:r>
    </w:p>
    <w:p>
      <w:pPr>
        <w:adjustRightInd w:val="0"/>
        <w:snapToGrid w:val="0"/>
        <w:spacing w:line="360" w:lineRule="auto"/>
        <w:ind w:firstLine="420" w:firstLineChars="200"/>
        <w:rPr>
          <w:b/>
          <w:szCs w:val="21"/>
        </w:rPr>
      </w:pPr>
      <w:r>
        <w:rPr>
          <w:rFonts w:hint="eastAsia"/>
          <w:kern w:val="0"/>
          <w:szCs w:val="21"/>
        </w:rPr>
        <w:t>考查学生掌握分子生物学的基本理论知识及应用理论知识分析、解决分子生物学问题的能力</w:t>
      </w:r>
      <w:r>
        <w:rPr>
          <w:szCs w:val="21"/>
        </w:rPr>
        <w:t>。</w:t>
      </w:r>
    </w:p>
    <w:p>
      <w:pPr>
        <w:adjustRightInd w:val="0"/>
        <w:snapToGrid w:val="0"/>
        <w:spacing w:after="156" w:afterLines="50" w:line="360" w:lineRule="auto"/>
        <w:ind w:firstLine="103" w:firstLineChars="49"/>
        <w:jc w:val="center"/>
        <w:rPr>
          <w:b/>
          <w:szCs w:val="21"/>
        </w:rPr>
      </w:pPr>
      <w:r>
        <w:rPr>
          <w:rFonts w:hint="eastAsia"/>
          <w:b/>
          <w:szCs w:val="21"/>
        </w:rPr>
        <w:t>绪论</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int="eastAsia"/>
          <w:kern w:val="0"/>
          <w:szCs w:val="21"/>
        </w:rPr>
        <w:t>分子生物学的发展简史及发展前景。</w:t>
      </w:r>
    </w:p>
    <w:p>
      <w:pPr>
        <w:adjustRightInd w:val="0"/>
        <w:snapToGrid w:val="0"/>
        <w:spacing w:line="360" w:lineRule="auto"/>
        <w:ind w:left="420" w:leftChars="200"/>
        <w:rPr>
          <w:szCs w:val="21"/>
        </w:rPr>
      </w:pPr>
      <w:r>
        <w:rPr>
          <w:b/>
          <w:szCs w:val="21"/>
        </w:rPr>
        <w:t>2. 一般掌握</w:t>
      </w:r>
      <w:r>
        <w:rPr>
          <w:szCs w:val="21"/>
        </w:rPr>
        <w:t>：</w:t>
      </w:r>
      <w:r>
        <w:rPr>
          <w:rFonts w:hint="eastAsia"/>
          <w:kern w:val="0"/>
          <w:szCs w:val="21"/>
        </w:rPr>
        <w:t>分子生物学的定义</w:t>
      </w:r>
      <w:r>
        <w:rPr>
          <w:rFonts w:hint="eastAsia"/>
          <w:szCs w:val="21"/>
        </w:rPr>
        <w:t>。</w:t>
      </w:r>
    </w:p>
    <w:p>
      <w:pPr>
        <w:adjustRightInd w:val="0"/>
        <w:snapToGrid w:val="0"/>
        <w:spacing w:line="360" w:lineRule="auto"/>
        <w:ind w:left="420" w:leftChars="200"/>
        <w:rPr>
          <w:b/>
          <w:szCs w:val="21"/>
        </w:rPr>
      </w:pPr>
      <w:r>
        <w:rPr>
          <w:b/>
          <w:szCs w:val="21"/>
        </w:rPr>
        <w:t>3. 熟练掌握</w:t>
      </w:r>
      <w:r>
        <w:rPr>
          <w:szCs w:val="21"/>
        </w:rPr>
        <w:t>：</w:t>
      </w:r>
      <w:r>
        <w:rPr>
          <w:rFonts w:hint="eastAsia"/>
          <w:kern w:val="0"/>
          <w:szCs w:val="21"/>
        </w:rPr>
        <w:t>分子生物学研究的主要内容</w:t>
      </w:r>
      <w:r>
        <w:rPr>
          <w:rFonts w:hint="eastAsia"/>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b/>
          <w:szCs w:val="21"/>
        </w:rPr>
      </w:pPr>
      <w:r>
        <w:rPr>
          <w:rFonts w:hint="eastAsia"/>
          <w:kern w:val="0"/>
          <w:szCs w:val="21"/>
        </w:rPr>
        <w:t>分子生物学定义、发展简史和主要研究内容</w:t>
      </w:r>
      <w:r>
        <w:rPr>
          <w:rFonts w:hint="eastAsia"/>
          <w:szCs w:val="21"/>
        </w:rPr>
        <w:t>。</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w:t>
      </w:r>
      <w:r>
        <w:rPr>
          <w:rFonts w:hint="eastAsia"/>
          <w:kern w:val="0"/>
          <w:szCs w:val="21"/>
        </w:rPr>
        <w:t>分子生物学的发展简史及发展前景</w:t>
      </w:r>
      <w:r>
        <w:rPr>
          <w:kern w:val="0"/>
          <w:szCs w:val="21"/>
        </w:rPr>
        <w:t>。</w:t>
      </w:r>
    </w:p>
    <w:p>
      <w:pPr>
        <w:adjustRightInd w:val="0"/>
        <w:snapToGrid w:val="0"/>
        <w:spacing w:line="360" w:lineRule="auto"/>
        <w:ind w:left="420" w:leftChars="200"/>
        <w:rPr>
          <w:b/>
          <w:szCs w:val="21"/>
        </w:rPr>
      </w:pPr>
      <w:r>
        <w:rPr>
          <w:b/>
          <w:szCs w:val="21"/>
        </w:rPr>
        <w:t>2、领会</w:t>
      </w:r>
      <w:r>
        <w:rPr>
          <w:szCs w:val="21"/>
        </w:rPr>
        <w:t>：</w:t>
      </w:r>
      <w:r>
        <w:rPr>
          <w:rFonts w:hint="eastAsia"/>
          <w:kern w:val="0"/>
          <w:szCs w:val="21"/>
        </w:rPr>
        <w:t>分子生物学的定义</w:t>
      </w:r>
      <w:r>
        <w:rPr>
          <w:rFonts w:hint="eastAsia"/>
          <w:szCs w:val="21"/>
        </w:rPr>
        <w:t>。</w:t>
      </w:r>
    </w:p>
    <w:p>
      <w:pPr>
        <w:adjustRightInd w:val="0"/>
        <w:snapToGrid w:val="0"/>
        <w:spacing w:line="360" w:lineRule="auto"/>
        <w:ind w:left="420" w:leftChars="200"/>
        <w:rPr>
          <w:b/>
          <w:szCs w:val="21"/>
        </w:rPr>
      </w:pPr>
      <w:r>
        <w:rPr>
          <w:b/>
          <w:szCs w:val="21"/>
        </w:rPr>
        <w:t>3、应用</w:t>
      </w:r>
      <w:r>
        <w:rPr>
          <w:szCs w:val="21"/>
        </w:rPr>
        <w:t>：</w:t>
      </w:r>
      <w:r>
        <w:rPr>
          <w:rFonts w:hint="eastAsia"/>
          <w:kern w:val="0"/>
          <w:szCs w:val="21"/>
        </w:rPr>
        <w:t>当代分子生物学研究的主要内容。</w:t>
      </w:r>
    </w:p>
    <w:p>
      <w:pPr>
        <w:adjustRightInd w:val="0"/>
        <w:snapToGrid w:val="0"/>
        <w:spacing w:line="360" w:lineRule="auto"/>
        <w:ind w:left="420" w:leftChars="200"/>
        <w:rPr>
          <w:szCs w:val="21"/>
        </w:rPr>
      </w:pPr>
      <w:r>
        <w:rPr>
          <w:b/>
          <w:szCs w:val="21"/>
        </w:rPr>
        <w:t>4、综合</w:t>
      </w:r>
      <w:r>
        <w:rPr>
          <w:szCs w:val="21"/>
        </w:rPr>
        <w:t>：</w:t>
      </w:r>
      <w:bookmarkStart w:id="559" w:name="OLE_LINK8"/>
      <w:r>
        <w:rPr>
          <w:rFonts w:hint="eastAsia"/>
          <w:szCs w:val="21"/>
        </w:rPr>
        <w:t>当代分子生物学研究展望。</w:t>
      </w:r>
      <w:bookmarkEnd w:id="559"/>
    </w:p>
    <w:p>
      <w:pPr>
        <w:adjustRightInd w:val="0"/>
        <w:snapToGrid w:val="0"/>
        <w:spacing w:line="360" w:lineRule="auto"/>
        <w:ind w:left="420" w:leftChars="200"/>
        <w:rPr>
          <w:b/>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提问和课后</w:t>
      </w:r>
      <w:r>
        <w:rPr>
          <w:rFonts w:hint="eastAsia"/>
          <w:szCs w:val="21"/>
        </w:rPr>
        <w:t>作业。</w:t>
      </w:r>
    </w:p>
    <w:p>
      <w:pPr>
        <w:pStyle w:val="10"/>
        <w:adjustRightInd w:val="0"/>
        <w:snapToGrid w:val="0"/>
        <w:spacing w:line="360" w:lineRule="auto"/>
        <w:jc w:val="center"/>
        <w:rPr>
          <w:rFonts w:ascii="Times New Roman" w:hAnsi="Times New Roman" w:cs="Times New Roman"/>
          <w:b/>
        </w:rPr>
      </w:pP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一</w:t>
      </w:r>
      <w:r>
        <w:rPr>
          <w:rFonts w:ascii="Times New Roman" w:hAnsi="Times New Roman" w:cs="Times New Roman"/>
          <w:b/>
        </w:rPr>
        <w:t>章</w:t>
      </w:r>
      <w:r>
        <w:rPr>
          <w:rFonts w:hint="eastAsia" w:ascii="Times New Roman" w:hAnsi="Times New Roman" w:cs="Times New Roman"/>
          <w:b/>
        </w:rPr>
        <w:t xml:space="preserve">  </w:t>
      </w:r>
      <w:r>
        <w:rPr>
          <w:rFonts w:hint="eastAsia"/>
          <w:b/>
          <w:bCs/>
          <w:kern w:val="0"/>
        </w:rPr>
        <w:t>基因概念的演变与发展</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int="eastAsia"/>
          <w:kern w:val="0"/>
          <w:szCs w:val="21"/>
        </w:rPr>
        <w:t>基因概念的发展历程、转座因子的研究进展</w:t>
      </w:r>
      <w:r>
        <w:rPr>
          <w:rFonts w:hint="eastAsia" w:hAnsi="Arial"/>
          <w:kern w:val="0"/>
          <w:szCs w:val="21"/>
        </w:rPr>
        <w:t>。</w:t>
      </w:r>
    </w:p>
    <w:p>
      <w:pPr>
        <w:adjustRightInd w:val="0"/>
        <w:snapToGrid w:val="0"/>
        <w:spacing w:line="360" w:lineRule="auto"/>
        <w:ind w:left="420" w:leftChars="200"/>
        <w:rPr>
          <w:szCs w:val="21"/>
        </w:rPr>
      </w:pPr>
      <w:r>
        <w:rPr>
          <w:b/>
          <w:szCs w:val="21"/>
        </w:rPr>
        <w:t>2.掌握</w:t>
      </w:r>
      <w:r>
        <w:rPr>
          <w:szCs w:val="21"/>
        </w:rPr>
        <w:t>：</w:t>
      </w:r>
      <w:r>
        <w:rPr>
          <w:rFonts w:hint="eastAsia" w:hAnsi="Arial"/>
          <w:kern w:val="0"/>
          <w:szCs w:val="21"/>
        </w:rPr>
        <w:t>顺反子，重复序列、重叠基因，间隔基因，跳跃基因，假基因的概念以及DNA的变性及复性</w:t>
      </w:r>
      <w:r>
        <w:rPr>
          <w:rFonts w:hint="eastAsia"/>
          <w:szCs w:val="21"/>
        </w:rPr>
        <w:t>。</w:t>
      </w:r>
    </w:p>
    <w:p>
      <w:pPr>
        <w:adjustRightInd w:val="0"/>
        <w:snapToGrid w:val="0"/>
        <w:spacing w:line="360" w:lineRule="auto"/>
        <w:ind w:left="420" w:leftChars="200"/>
        <w:rPr>
          <w:b/>
          <w:szCs w:val="21"/>
        </w:rPr>
      </w:pPr>
      <w:r>
        <w:rPr>
          <w:b/>
          <w:szCs w:val="21"/>
        </w:rPr>
        <w:t>3. 熟练掌握</w:t>
      </w:r>
      <w:r>
        <w:rPr>
          <w:szCs w:val="21"/>
        </w:rPr>
        <w:t>：</w:t>
      </w:r>
      <w:r>
        <w:rPr>
          <w:rFonts w:hint="eastAsia" w:hAnsi="Arial"/>
          <w:kern w:val="0"/>
          <w:szCs w:val="21"/>
        </w:rPr>
        <w:t>DNA的一级、二级、三级结构，DNA 双螺旋结构模型及影响其稳定性的因素。</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rPr>
          <w:rFonts w:hAnsi="Arial"/>
          <w:kern w:val="0"/>
          <w:szCs w:val="21"/>
        </w:rPr>
      </w:pPr>
      <w:r>
        <w:rPr>
          <w:kern w:val="0"/>
          <w:szCs w:val="21"/>
        </w:rPr>
        <w:t>DNA</w:t>
      </w:r>
      <w:r>
        <w:rPr>
          <w:rFonts w:hAnsi="Arial"/>
          <w:kern w:val="0"/>
          <w:szCs w:val="21"/>
        </w:rPr>
        <w:t>的结构、性质和功能</w:t>
      </w:r>
      <w:r>
        <w:rPr>
          <w:rFonts w:hint="eastAsia" w:hAnsi="Arial"/>
          <w:kern w:val="0"/>
          <w:szCs w:val="21"/>
        </w:rPr>
        <w:t>；</w:t>
      </w:r>
      <w:r>
        <w:rPr>
          <w:rFonts w:hAnsi="Arial"/>
          <w:kern w:val="0"/>
          <w:szCs w:val="21"/>
        </w:rPr>
        <w:t>染色体的组装；核酸的变性、复性、分子杂交</w:t>
      </w:r>
      <w:r>
        <w:rPr>
          <w:rFonts w:hint="eastAsia" w:hAnsi="Arial"/>
          <w:kern w:val="0"/>
          <w:szCs w:val="21"/>
        </w:rPr>
        <w:t>及及影响其稳定性的因素，生物进化的C值矛盾。</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w:t>
      </w:r>
      <w:r>
        <w:rPr>
          <w:kern w:val="0"/>
          <w:szCs w:val="21"/>
        </w:rPr>
        <w:t>DNA</w:t>
      </w:r>
      <w:r>
        <w:rPr>
          <w:rFonts w:hAnsi="Arial"/>
          <w:kern w:val="0"/>
          <w:szCs w:val="21"/>
        </w:rPr>
        <w:t>的结构</w:t>
      </w:r>
      <w:r>
        <w:rPr>
          <w:rFonts w:hint="eastAsia" w:hAnsi="Arial"/>
          <w:kern w:val="0"/>
          <w:szCs w:val="21"/>
        </w:rPr>
        <w:t>（分子结构和空间结构）</w:t>
      </w:r>
      <w:r>
        <w:rPr>
          <w:rFonts w:hAnsi="Arial"/>
          <w:kern w:val="0"/>
          <w:szCs w:val="21"/>
        </w:rPr>
        <w:t>、性质和功能</w:t>
      </w:r>
      <w:r>
        <w:rPr>
          <w:rFonts w:hint="eastAsia" w:hAnsi="Arial"/>
          <w:kern w:val="0"/>
          <w:szCs w:val="21"/>
        </w:rPr>
        <w:t>；</w:t>
      </w:r>
      <w:r>
        <w:rPr>
          <w:rFonts w:hAnsi="Arial"/>
          <w:kern w:val="0"/>
          <w:szCs w:val="21"/>
        </w:rPr>
        <w:t>染色体的组装；核酸的变性、复性</w:t>
      </w:r>
      <w:r>
        <w:rPr>
          <w:rFonts w:hint="eastAsia" w:hAnsi="Arial"/>
          <w:kern w:val="0"/>
          <w:szCs w:val="21"/>
        </w:rPr>
        <w:t>。</w:t>
      </w:r>
    </w:p>
    <w:p>
      <w:pPr>
        <w:adjustRightInd w:val="0"/>
        <w:snapToGrid w:val="0"/>
        <w:spacing w:line="360" w:lineRule="auto"/>
        <w:ind w:left="420" w:leftChars="200"/>
        <w:rPr>
          <w:b/>
          <w:szCs w:val="21"/>
        </w:rPr>
      </w:pPr>
      <w:r>
        <w:rPr>
          <w:b/>
          <w:szCs w:val="21"/>
        </w:rPr>
        <w:t>2、领会</w:t>
      </w:r>
      <w:r>
        <w:rPr>
          <w:szCs w:val="21"/>
        </w:rPr>
        <w:t>：</w:t>
      </w:r>
      <w:r>
        <w:rPr>
          <w:kern w:val="0"/>
          <w:szCs w:val="21"/>
        </w:rPr>
        <w:t>DNA</w:t>
      </w:r>
      <w:r>
        <w:rPr>
          <w:rFonts w:hAnsi="Arial"/>
          <w:kern w:val="0"/>
          <w:szCs w:val="21"/>
        </w:rPr>
        <w:t>的结构、性质和功能</w:t>
      </w:r>
      <w:r>
        <w:rPr>
          <w:rFonts w:hint="eastAsia"/>
          <w:szCs w:val="21"/>
        </w:rPr>
        <w:t>。</w:t>
      </w:r>
    </w:p>
    <w:p>
      <w:pPr>
        <w:adjustRightInd w:val="0"/>
        <w:snapToGrid w:val="0"/>
        <w:spacing w:line="360" w:lineRule="auto"/>
        <w:ind w:left="420" w:leftChars="200"/>
        <w:rPr>
          <w:b/>
          <w:szCs w:val="21"/>
        </w:rPr>
      </w:pPr>
      <w:r>
        <w:rPr>
          <w:b/>
          <w:szCs w:val="21"/>
        </w:rPr>
        <w:t>3、应用</w:t>
      </w:r>
      <w:r>
        <w:rPr>
          <w:szCs w:val="21"/>
        </w:rPr>
        <w:t>：</w:t>
      </w:r>
      <w:r>
        <w:rPr>
          <w:kern w:val="0"/>
          <w:szCs w:val="21"/>
        </w:rPr>
        <w:t>DNA</w:t>
      </w:r>
      <w:r>
        <w:rPr>
          <w:rFonts w:hAnsi="Arial"/>
          <w:kern w:val="0"/>
          <w:szCs w:val="21"/>
        </w:rPr>
        <w:t>的结构、性质和功能</w:t>
      </w:r>
      <w:r>
        <w:rPr>
          <w:rFonts w:hint="eastAsia" w:hAnsi="Arial"/>
          <w:kern w:val="0"/>
          <w:szCs w:val="21"/>
        </w:rPr>
        <w:t>。</w:t>
      </w:r>
    </w:p>
    <w:p>
      <w:pPr>
        <w:adjustRightInd w:val="0"/>
        <w:snapToGrid w:val="0"/>
        <w:spacing w:line="360" w:lineRule="auto"/>
        <w:ind w:left="420" w:leftChars="200"/>
        <w:rPr>
          <w:rFonts w:hAnsi="Arial"/>
          <w:kern w:val="0"/>
          <w:szCs w:val="21"/>
        </w:rPr>
      </w:pPr>
      <w:r>
        <w:rPr>
          <w:b/>
          <w:szCs w:val="21"/>
        </w:rPr>
        <w:t>4、综合</w:t>
      </w:r>
      <w:r>
        <w:rPr>
          <w:szCs w:val="21"/>
        </w:rPr>
        <w:t>：</w:t>
      </w:r>
      <w:r>
        <w:rPr>
          <w:rFonts w:hAnsi="Arial"/>
          <w:kern w:val="0"/>
          <w:szCs w:val="21"/>
        </w:rPr>
        <w:t>染色体的组装；核酸的变性、复性</w:t>
      </w:r>
      <w:r>
        <w:rPr>
          <w:rFonts w:hint="eastAsia" w:hAnsi="Arial"/>
          <w:kern w:val="0"/>
          <w:szCs w:val="21"/>
        </w:rPr>
        <w:t>；生物进化的C值矛盾。</w:t>
      </w:r>
    </w:p>
    <w:p>
      <w:pPr>
        <w:adjustRightInd w:val="0"/>
        <w:snapToGrid w:val="0"/>
        <w:spacing w:line="360" w:lineRule="auto"/>
        <w:ind w:left="420" w:leftChars="200"/>
        <w:rPr>
          <w:b/>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二</w:t>
      </w:r>
      <w:r>
        <w:rPr>
          <w:rFonts w:ascii="Times New Roman" w:hAnsi="Times New Roman" w:cs="Times New Roman"/>
          <w:b/>
        </w:rPr>
        <w:t>章</w:t>
      </w:r>
      <w:r>
        <w:rPr>
          <w:rFonts w:hint="eastAsia" w:ascii="Times New Roman" w:hAnsi="Times New Roman" w:cs="Times New Roman"/>
          <w:b/>
        </w:rPr>
        <w:t xml:space="preserve">  </w:t>
      </w:r>
      <w:r>
        <w:rPr>
          <w:rFonts w:hint="eastAsia"/>
          <w:b/>
          <w:bCs/>
          <w:kern w:val="0"/>
        </w:rPr>
        <w:t>DNA复制</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int="eastAsia"/>
          <w:szCs w:val="21"/>
        </w:rPr>
        <w:t>真核生物DNA 复制的特点；DNA复制的调控特征。</w:t>
      </w:r>
    </w:p>
    <w:p>
      <w:pPr>
        <w:adjustRightInd w:val="0"/>
        <w:snapToGrid w:val="0"/>
        <w:spacing w:line="360" w:lineRule="auto"/>
        <w:ind w:left="420" w:leftChars="200"/>
        <w:rPr>
          <w:szCs w:val="21"/>
        </w:rPr>
      </w:pPr>
      <w:r>
        <w:rPr>
          <w:b/>
          <w:szCs w:val="21"/>
        </w:rPr>
        <w:t>2. 一般掌握</w:t>
      </w:r>
      <w:r>
        <w:rPr>
          <w:szCs w:val="21"/>
        </w:rPr>
        <w:t>：</w:t>
      </w:r>
      <w:bookmarkStart w:id="560" w:name="OLE_LINK9"/>
      <w:r>
        <w:rPr>
          <w:rFonts w:hint="eastAsia" w:hAnsi="Arial"/>
          <w:kern w:val="0"/>
          <w:szCs w:val="21"/>
        </w:rPr>
        <w:t>DNA复制的基本特征，DNA复制的方向、起点；细菌DNA复制过程</w:t>
      </w:r>
      <w:r>
        <w:rPr>
          <w:rFonts w:hint="eastAsia"/>
          <w:szCs w:val="21"/>
        </w:rPr>
        <w:t>。</w:t>
      </w:r>
      <w:bookmarkEnd w:id="560"/>
    </w:p>
    <w:p>
      <w:pPr>
        <w:ind w:left="420" w:leftChars="200"/>
        <w:rPr>
          <w:szCs w:val="21"/>
        </w:rPr>
      </w:pPr>
      <w:r>
        <w:rPr>
          <w:b/>
          <w:szCs w:val="21"/>
        </w:rPr>
        <w:t>3. 熟练掌握</w:t>
      </w:r>
      <w:r>
        <w:rPr>
          <w:szCs w:val="21"/>
        </w:rPr>
        <w:t>：</w:t>
      </w:r>
      <w:r>
        <w:rPr>
          <w:rFonts w:hint="eastAsia"/>
          <w:szCs w:val="21"/>
        </w:rPr>
        <w:t>DNA复制中重要的酶和蛋白质；DNA复制的多种模式（滚环复制、D环复制、θ环复制等）。</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b/>
          <w:szCs w:val="21"/>
        </w:rPr>
      </w:pPr>
      <w:r>
        <w:rPr>
          <w:szCs w:val="21"/>
        </w:rPr>
        <w:t>DNA复制的过程</w:t>
      </w:r>
      <w:r>
        <w:rPr>
          <w:rFonts w:hint="eastAsia"/>
          <w:szCs w:val="21"/>
        </w:rPr>
        <w:t>、特征和模式；DNA复制中重要的酶和蛋白质。</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：原核生物DNA复制的过程</w:t>
      </w:r>
      <w:r>
        <w:rPr>
          <w:kern w:val="0"/>
          <w:szCs w:val="21"/>
        </w:rPr>
        <w:t>。</w:t>
      </w:r>
    </w:p>
    <w:p>
      <w:pPr>
        <w:adjustRightInd w:val="0"/>
        <w:snapToGrid w:val="0"/>
        <w:spacing w:line="360" w:lineRule="auto"/>
        <w:ind w:left="420" w:leftChars="200"/>
        <w:rPr>
          <w:b/>
          <w:szCs w:val="21"/>
        </w:rPr>
      </w:pPr>
      <w:r>
        <w:rPr>
          <w:b/>
          <w:szCs w:val="21"/>
        </w:rPr>
        <w:t>2、领会</w:t>
      </w:r>
      <w:r>
        <w:rPr>
          <w:szCs w:val="21"/>
        </w:rPr>
        <w:t>：DNA复制的调控机制</w:t>
      </w:r>
      <w:r>
        <w:rPr>
          <w:rFonts w:hint="eastAsia"/>
          <w:szCs w:val="21"/>
        </w:rPr>
        <w:t>。</w:t>
      </w:r>
    </w:p>
    <w:p>
      <w:pPr>
        <w:adjustRightInd w:val="0"/>
        <w:snapToGrid w:val="0"/>
        <w:spacing w:line="360" w:lineRule="auto"/>
        <w:ind w:left="420" w:leftChars="200"/>
        <w:rPr>
          <w:szCs w:val="21"/>
        </w:rPr>
      </w:pPr>
      <w:r>
        <w:rPr>
          <w:b/>
          <w:szCs w:val="21"/>
        </w:rPr>
        <w:t>3、应用</w:t>
      </w:r>
      <w:r>
        <w:rPr>
          <w:szCs w:val="21"/>
        </w:rPr>
        <w:t>：真核生物</w:t>
      </w:r>
      <w:r>
        <w:rPr>
          <w:rFonts w:hint="eastAsia"/>
          <w:szCs w:val="21"/>
        </w:rPr>
        <w:t>与原核生物</w:t>
      </w:r>
      <w:r>
        <w:rPr>
          <w:szCs w:val="21"/>
        </w:rPr>
        <w:t>DNA复制的</w:t>
      </w:r>
      <w:r>
        <w:rPr>
          <w:rFonts w:hint="eastAsia"/>
          <w:szCs w:val="21"/>
        </w:rPr>
        <w:t>区别；</w:t>
      </w:r>
      <w:r>
        <w:rPr>
          <w:szCs w:val="21"/>
        </w:rPr>
        <w:t>DNA复制的调控机制</w:t>
      </w:r>
      <w:r>
        <w:rPr>
          <w:rFonts w:hint="eastAsia"/>
          <w:szCs w:val="21"/>
        </w:rPr>
        <w:t>。</w:t>
      </w:r>
    </w:p>
    <w:p>
      <w:pPr>
        <w:adjustRightInd w:val="0"/>
        <w:snapToGrid w:val="0"/>
        <w:spacing w:line="360" w:lineRule="auto"/>
        <w:ind w:left="420" w:leftChars="200"/>
        <w:rPr>
          <w:b/>
          <w:szCs w:val="21"/>
        </w:rPr>
      </w:pPr>
      <w:r>
        <w:rPr>
          <w:b/>
          <w:szCs w:val="21"/>
        </w:rPr>
        <w:t>4、综合</w:t>
      </w:r>
      <w:r>
        <w:rPr>
          <w:szCs w:val="21"/>
        </w:rPr>
        <w:t>：原核生物DNA复制的过程</w:t>
      </w:r>
      <w:r>
        <w:rPr>
          <w:rFonts w:hint="eastAsia"/>
          <w:szCs w:val="21"/>
        </w:rPr>
        <w:t>和复制的模式。</w:t>
      </w:r>
    </w:p>
    <w:p>
      <w:pPr>
        <w:adjustRightInd w:val="0"/>
        <w:snapToGrid w:val="0"/>
        <w:spacing w:line="360" w:lineRule="auto"/>
        <w:ind w:left="420" w:leftChars="200"/>
        <w:rPr>
          <w:b/>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、小组</w:t>
      </w:r>
      <w:r>
        <w:rPr>
          <w:szCs w:val="21"/>
        </w:rPr>
        <w:t>讨论和</w:t>
      </w:r>
      <w:r>
        <w:rPr>
          <w:rFonts w:hint="eastAsia"/>
          <w:szCs w:val="21"/>
        </w:rPr>
        <w:t>抢答。</w:t>
      </w: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三</w:t>
      </w:r>
      <w:r>
        <w:rPr>
          <w:rFonts w:ascii="Times New Roman" w:hAnsi="Times New Roman" w:cs="Times New Roman"/>
          <w:b/>
        </w:rPr>
        <w:t>章</w:t>
      </w:r>
      <w:r>
        <w:rPr>
          <w:rFonts w:hint="eastAsia" w:ascii="Times New Roman" w:hAnsi="Times New Roman" w:cs="Times New Roman"/>
          <w:b/>
        </w:rPr>
        <w:t xml:space="preserve">  </w:t>
      </w:r>
      <w:r>
        <w:rPr>
          <w:rFonts w:hint="eastAsia"/>
          <w:b/>
          <w:bCs/>
          <w:kern w:val="0"/>
        </w:rPr>
        <w:t>RNA的转录</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Ansi="Arial"/>
          <w:kern w:val="0"/>
          <w:szCs w:val="21"/>
        </w:rPr>
        <w:t>转录的一般特点；原核生物转录产物的加工</w:t>
      </w:r>
      <w:r>
        <w:rPr>
          <w:rFonts w:hint="eastAsia" w:hAnsi="Arial"/>
          <w:kern w:val="0"/>
          <w:szCs w:val="21"/>
        </w:rPr>
        <w:t>；</w:t>
      </w:r>
      <w:r>
        <w:rPr>
          <w:rFonts w:hAnsi="Arial"/>
          <w:kern w:val="0"/>
          <w:szCs w:val="21"/>
        </w:rPr>
        <w:t>真核生物</w:t>
      </w:r>
      <w:r>
        <w:rPr>
          <w:kern w:val="0"/>
          <w:szCs w:val="21"/>
        </w:rPr>
        <w:t>tRNA</w:t>
      </w:r>
      <w:r>
        <w:rPr>
          <w:rFonts w:hAnsi="Arial"/>
          <w:kern w:val="0"/>
          <w:szCs w:val="21"/>
        </w:rPr>
        <w:t>前体的转录后加工；真核生物</w:t>
      </w:r>
      <w:r>
        <w:rPr>
          <w:kern w:val="0"/>
          <w:szCs w:val="21"/>
        </w:rPr>
        <w:t>rRNA</w:t>
      </w:r>
      <w:r>
        <w:rPr>
          <w:rFonts w:hAnsi="Arial"/>
          <w:kern w:val="0"/>
          <w:szCs w:val="21"/>
        </w:rPr>
        <w:t>前体的转录后加工；</w:t>
      </w:r>
      <w:r>
        <w:rPr>
          <w:kern w:val="0"/>
          <w:szCs w:val="21"/>
        </w:rPr>
        <w:t>RNA</w:t>
      </w:r>
      <w:r>
        <w:rPr>
          <w:rFonts w:hAnsi="Arial"/>
          <w:kern w:val="0"/>
          <w:szCs w:val="21"/>
        </w:rPr>
        <w:t>指导下</w:t>
      </w:r>
      <w:r>
        <w:rPr>
          <w:kern w:val="0"/>
          <w:szCs w:val="21"/>
        </w:rPr>
        <w:t>RNA</w:t>
      </w:r>
      <w:r>
        <w:rPr>
          <w:rFonts w:hAnsi="Arial"/>
          <w:kern w:val="0"/>
          <w:szCs w:val="21"/>
        </w:rPr>
        <w:t>的生物合成</w:t>
      </w:r>
      <w:r>
        <w:rPr>
          <w:rFonts w:hint="eastAsia" w:hAnsi="Arial"/>
          <w:kern w:val="0"/>
          <w:szCs w:val="21"/>
        </w:rPr>
        <w:t>；RNA转录的抑制作用</w:t>
      </w:r>
      <w:r>
        <w:rPr>
          <w:rFonts w:hint="eastAsia"/>
          <w:kern w:val="0"/>
          <w:szCs w:val="21"/>
        </w:rPr>
        <w:t>。</w:t>
      </w:r>
    </w:p>
    <w:p>
      <w:pPr>
        <w:adjustRightInd w:val="0"/>
        <w:snapToGrid w:val="0"/>
        <w:spacing w:line="360" w:lineRule="auto"/>
        <w:ind w:left="420" w:leftChars="200"/>
        <w:rPr>
          <w:szCs w:val="21"/>
        </w:rPr>
      </w:pPr>
      <w:r>
        <w:rPr>
          <w:b/>
          <w:szCs w:val="21"/>
        </w:rPr>
        <w:t>2. 一般掌握</w:t>
      </w:r>
      <w:r>
        <w:rPr>
          <w:szCs w:val="21"/>
        </w:rPr>
        <w:t>：</w:t>
      </w:r>
      <w:r>
        <w:rPr>
          <w:rFonts w:hint="eastAsia" w:hAnsi="Arial"/>
          <w:kern w:val="0"/>
          <w:szCs w:val="21"/>
        </w:rPr>
        <w:t>转录反应的模板；DNA指导的RNA聚合酶；</w:t>
      </w:r>
      <w:r>
        <w:rPr>
          <w:rFonts w:hAnsi="Arial"/>
          <w:kern w:val="0"/>
          <w:szCs w:val="21"/>
        </w:rPr>
        <w:t>真核生物的</w:t>
      </w:r>
      <w:r>
        <w:rPr>
          <w:kern w:val="0"/>
          <w:szCs w:val="21"/>
        </w:rPr>
        <w:t>RNA</w:t>
      </w:r>
      <w:r>
        <w:rPr>
          <w:rFonts w:hAnsi="Arial"/>
          <w:kern w:val="0"/>
          <w:szCs w:val="21"/>
        </w:rPr>
        <w:t>聚合酶</w:t>
      </w:r>
      <w:r>
        <w:rPr>
          <w:rFonts w:hint="eastAsia" w:ascii="宋体" w:hAnsi="宋体"/>
          <w:kern w:val="0"/>
          <w:szCs w:val="21"/>
        </w:rPr>
        <w:t>Ⅱ</w:t>
      </w:r>
      <w:r>
        <w:rPr>
          <w:rFonts w:hint="eastAsia" w:hAnsi="Arial"/>
          <w:kern w:val="0"/>
          <w:szCs w:val="21"/>
        </w:rPr>
        <w:t>催化的转录过程；</w:t>
      </w:r>
      <w:r>
        <w:rPr>
          <w:kern w:val="0"/>
          <w:szCs w:val="21"/>
        </w:rPr>
        <w:t>RNA</w:t>
      </w:r>
      <w:r>
        <w:rPr>
          <w:rFonts w:hAnsi="Arial"/>
          <w:kern w:val="0"/>
          <w:szCs w:val="21"/>
        </w:rPr>
        <w:t>的剪接、编辑和再编码</w:t>
      </w:r>
      <w:r>
        <w:rPr>
          <w:rFonts w:hint="eastAsia"/>
          <w:szCs w:val="21"/>
        </w:rPr>
        <w:t>。</w:t>
      </w:r>
    </w:p>
    <w:p>
      <w:pPr>
        <w:adjustRightInd w:val="0"/>
        <w:snapToGrid w:val="0"/>
        <w:spacing w:line="360" w:lineRule="auto"/>
        <w:ind w:left="420" w:leftChars="200"/>
        <w:rPr>
          <w:b/>
          <w:szCs w:val="21"/>
        </w:rPr>
      </w:pPr>
      <w:r>
        <w:rPr>
          <w:b/>
          <w:szCs w:val="21"/>
        </w:rPr>
        <w:t>3. 熟练掌握</w:t>
      </w:r>
      <w:r>
        <w:rPr>
          <w:szCs w:val="21"/>
        </w:rPr>
        <w:t>：</w:t>
      </w:r>
      <w:r>
        <w:rPr>
          <w:rFonts w:hAnsi="Arial"/>
          <w:kern w:val="0"/>
          <w:szCs w:val="21"/>
        </w:rPr>
        <w:t>转录</w:t>
      </w:r>
      <w:r>
        <w:rPr>
          <w:rFonts w:hint="eastAsia" w:hAnsi="Arial"/>
          <w:kern w:val="0"/>
          <w:szCs w:val="21"/>
        </w:rPr>
        <w:t>的</w:t>
      </w:r>
      <w:r>
        <w:rPr>
          <w:rFonts w:hint="eastAsia"/>
          <w:kern w:val="0"/>
          <w:szCs w:val="21"/>
        </w:rPr>
        <w:t>3</w:t>
      </w:r>
      <w:r>
        <w:rPr>
          <w:rFonts w:hAnsi="Arial"/>
          <w:kern w:val="0"/>
          <w:szCs w:val="21"/>
        </w:rPr>
        <w:t>个主要阶段</w:t>
      </w:r>
      <w:r>
        <w:rPr>
          <w:rFonts w:hint="eastAsia" w:hAnsi="Arial"/>
          <w:kern w:val="0"/>
          <w:szCs w:val="21"/>
        </w:rPr>
        <w:t>；启动子、转录因子、终止子；原核和真核生物RNA聚合酶的种类和作用；</w:t>
      </w:r>
      <w:r>
        <w:rPr>
          <w:rFonts w:hAnsi="Arial"/>
          <w:kern w:val="0"/>
          <w:szCs w:val="21"/>
        </w:rPr>
        <w:t>真核生物</w:t>
      </w:r>
      <w:r>
        <w:rPr>
          <w:kern w:val="0"/>
          <w:szCs w:val="21"/>
        </w:rPr>
        <w:t>mRNA</w:t>
      </w:r>
      <w:r>
        <w:rPr>
          <w:rFonts w:hAnsi="Arial"/>
          <w:kern w:val="0"/>
          <w:szCs w:val="21"/>
        </w:rPr>
        <w:t>前体的剪接</w:t>
      </w:r>
      <w:r>
        <w:rPr>
          <w:rFonts w:hint="eastAsia"/>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szCs w:val="21"/>
        </w:rPr>
      </w:pPr>
      <w:r>
        <w:rPr>
          <w:szCs w:val="21"/>
        </w:rPr>
        <w:t>转录的反应体系。原核生物RNA聚合酶和真核生物中的RNA聚合酶的特点。转录的起始、延长、终止三个阶段。真核RNA的转录后加工，包括各种RNA前体的加工过程。</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：转录的起始、延长、终止三个阶段</w:t>
      </w:r>
      <w:r>
        <w:rPr>
          <w:rFonts w:hint="eastAsia" w:hAnsi="Arial"/>
          <w:kern w:val="0"/>
          <w:szCs w:val="21"/>
        </w:rPr>
        <w:t>；</w:t>
      </w:r>
      <w:r>
        <w:rPr>
          <w:rFonts w:hAnsi="Arial"/>
          <w:kern w:val="0"/>
          <w:szCs w:val="21"/>
        </w:rPr>
        <w:t>真核生物的</w:t>
      </w:r>
      <w:r>
        <w:rPr>
          <w:kern w:val="0"/>
          <w:szCs w:val="21"/>
        </w:rPr>
        <w:t>RNA</w:t>
      </w:r>
      <w:r>
        <w:rPr>
          <w:rFonts w:hAnsi="Arial"/>
          <w:kern w:val="0"/>
          <w:szCs w:val="21"/>
        </w:rPr>
        <w:t>聚合酶</w:t>
      </w:r>
      <w:r>
        <w:rPr>
          <w:rFonts w:hint="eastAsia" w:ascii="宋体" w:hAnsi="宋体"/>
          <w:kern w:val="0"/>
          <w:szCs w:val="21"/>
        </w:rPr>
        <w:t>Ⅱ</w:t>
      </w:r>
      <w:r>
        <w:rPr>
          <w:rFonts w:hint="eastAsia" w:hAnsi="Arial"/>
          <w:kern w:val="0"/>
          <w:szCs w:val="21"/>
        </w:rPr>
        <w:t>催化的转录过程</w:t>
      </w:r>
      <w:r>
        <w:rPr>
          <w:kern w:val="0"/>
          <w:szCs w:val="21"/>
        </w:rPr>
        <w:t>。</w:t>
      </w:r>
    </w:p>
    <w:p>
      <w:pPr>
        <w:adjustRightInd w:val="0"/>
        <w:snapToGrid w:val="0"/>
        <w:spacing w:line="360" w:lineRule="auto"/>
        <w:ind w:left="420" w:leftChars="200"/>
        <w:rPr>
          <w:b/>
          <w:szCs w:val="21"/>
        </w:rPr>
      </w:pPr>
      <w:r>
        <w:rPr>
          <w:b/>
          <w:szCs w:val="21"/>
        </w:rPr>
        <w:t>2、领会</w:t>
      </w:r>
      <w:r>
        <w:rPr>
          <w:szCs w:val="21"/>
        </w:rPr>
        <w:t>：</w:t>
      </w:r>
      <w:r>
        <w:rPr>
          <w:rFonts w:hAnsi="Arial"/>
          <w:kern w:val="0"/>
          <w:szCs w:val="21"/>
        </w:rPr>
        <w:t>原核生物和真核生物基因转录的差异；原核生物转录产物的加工</w:t>
      </w:r>
      <w:r>
        <w:rPr>
          <w:rFonts w:hint="eastAsia" w:hAnsi="Arial"/>
          <w:kern w:val="0"/>
          <w:szCs w:val="21"/>
        </w:rPr>
        <w:t>；</w:t>
      </w:r>
      <w:r>
        <w:rPr>
          <w:rFonts w:hAnsi="Arial"/>
          <w:kern w:val="0"/>
          <w:szCs w:val="21"/>
        </w:rPr>
        <w:t>真核生物</w:t>
      </w:r>
      <w:r>
        <w:rPr>
          <w:kern w:val="0"/>
          <w:szCs w:val="21"/>
        </w:rPr>
        <w:t>tRNA</w:t>
      </w:r>
      <w:r>
        <w:rPr>
          <w:rFonts w:hAnsi="Arial"/>
          <w:kern w:val="0"/>
          <w:szCs w:val="21"/>
        </w:rPr>
        <w:t>前体的转录后加工；真核生物</w:t>
      </w:r>
      <w:r>
        <w:rPr>
          <w:kern w:val="0"/>
          <w:szCs w:val="21"/>
        </w:rPr>
        <w:t>rRNA</w:t>
      </w:r>
      <w:r>
        <w:rPr>
          <w:rFonts w:hAnsi="Arial"/>
          <w:kern w:val="0"/>
          <w:szCs w:val="21"/>
        </w:rPr>
        <w:t>前体的转录后加工；</w:t>
      </w:r>
      <w:r>
        <w:rPr>
          <w:kern w:val="0"/>
          <w:szCs w:val="21"/>
        </w:rPr>
        <w:t>RNA</w:t>
      </w:r>
      <w:r>
        <w:rPr>
          <w:rFonts w:hAnsi="Arial"/>
          <w:kern w:val="0"/>
          <w:szCs w:val="21"/>
        </w:rPr>
        <w:t>的剪接、编辑和再编码</w:t>
      </w:r>
      <w:r>
        <w:rPr>
          <w:rFonts w:hint="eastAsia" w:hAnsi="Arial"/>
          <w:kern w:val="0"/>
          <w:szCs w:val="21"/>
        </w:rPr>
        <w:t>；</w:t>
      </w:r>
      <w:r>
        <w:rPr>
          <w:kern w:val="0"/>
          <w:szCs w:val="21"/>
        </w:rPr>
        <w:t>RNA</w:t>
      </w:r>
      <w:r>
        <w:rPr>
          <w:rFonts w:hAnsi="Arial"/>
          <w:kern w:val="0"/>
          <w:szCs w:val="21"/>
        </w:rPr>
        <w:t>指导下</w:t>
      </w:r>
      <w:r>
        <w:rPr>
          <w:kern w:val="0"/>
          <w:szCs w:val="21"/>
        </w:rPr>
        <w:t>RNA</w:t>
      </w:r>
      <w:r>
        <w:rPr>
          <w:rFonts w:hAnsi="Arial"/>
          <w:kern w:val="0"/>
          <w:szCs w:val="21"/>
        </w:rPr>
        <w:t>的生物合成</w:t>
      </w:r>
      <w:r>
        <w:rPr>
          <w:rFonts w:hint="eastAsia" w:hAnsi="Arial"/>
          <w:kern w:val="0"/>
          <w:szCs w:val="21"/>
        </w:rPr>
        <w:t>；</w:t>
      </w:r>
      <w:r>
        <w:rPr>
          <w:rFonts w:hAnsi="Arial"/>
          <w:kern w:val="0"/>
          <w:szCs w:val="21"/>
        </w:rPr>
        <w:t>真核生物</w:t>
      </w:r>
      <w:r>
        <w:rPr>
          <w:kern w:val="0"/>
          <w:szCs w:val="21"/>
        </w:rPr>
        <w:t>mRNA</w:t>
      </w:r>
      <w:r>
        <w:rPr>
          <w:rFonts w:hAnsi="Arial"/>
          <w:kern w:val="0"/>
          <w:szCs w:val="21"/>
        </w:rPr>
        <w:t>前体剪接的机制</w:t>
      </w:r>
      <w:r>
        <w:rPr>
          <w:rFonts w:hint="eastAsia" w:hAnsi="Arial"/>
          <w:kern w:val="0"/>
          <w:szCs w:val="21"/>
        </w:rPr>
        <w:t>；</w:t>
      </w:r>
      <w:r>
        <w:rPr>
          <w:rFonts w:hAnsi="Arial"/>
          <w:kern w:val="0"/>
          <w:szCs w:val="21"/>
        </w:rPr>
        <w:t>真核生物的</w:t>
      </w:r>
      <w:r>
        <w:rPr>
          <w:kern w:val="0"/>
          <w:szCs w:val="21"/>
        </w:rPr>
        <w:t>RNA</w:t>
      </w:r>
      <w:r>
        <w:rPr>
          <w:rFonts w:hAnsi="Arial"/>
          <w:kern w:val="0"/>
          <w:szCs w:val="21"/>
        </w:rPr>
        <w:t>聚合酶</w:t>
      </w:r>
      <w:r>
        <w:rPr>
          <w:rFonts w:hint="eastAsia" w:ascii="宋体" w:hAnsi="宋体"/>
          <w:kern w:val="0"/>
          <w:szCs w:val="21"/>
        </w:rPr>
        <w:t>Ⅱ</w:t>
      </w:r>
      <w:r>
        <w:rPr>
          <w:rFonts w:hint="eastAsia" w:hAnsi="Arial"/>
          <w:kern w:val="0"/>
          <w:szCs w:val="21"/>
        </w:rPr>
        <w:t>催化的转录过程</w:t>
      </w:r>
      <w:r>
        <w:rPr>
          <w:rFonts w:hint="eastAsia"/>
          <w:szCs w:val="21"/>
        </w:rPr>
        <w:t>。</w:t>
      </w:r>
    </w:p>
    <w:p>
      <w:pPr>
        <w:adjustRightInd w:val="0"/>
        <w:snapToGrid w:val="0"/>
        <w:spacing w:line="360" w:lineRule="auto"/>
        <w:ind w:left="420" w:leftChars="200"/>
        <w:rPr>
          <w:b/>
          <w:szCs w:val="21"/>
        </w:rPr>
      </w:pPr>
      <w:r>
        <w:rPr>
          <w:b/>
          <w:szCs w:val="21"/>
        </w:rPr>
        <w:t>3、应用</w:t>
      </w:r>
      <w:r>
        <w:rPr>
          <w:szCs w:val="21"/>
        </w:rPr>
        <w:t>：</w:t>
      </w:r>
      <w:r>
        <w:rPr>
          <w:rFonts w:hint="eastAsia" w:hAnsi="Arial"/>
          <w:kern w:val="0"/>
          <w:szCs w:val="21"/>
        </w:rPr>
        <w:t>RNA转录的抑制作用。</w:t>
      </w:r>
    </w:p>
    <w:p>
      <w:pPr>
        <w:adjustRightInd w:val="0"/>
        <w:snapToGrid w:val="0"/>
        <w:spacing w:line="360" w:lineRule="auto"/>
        <w:ind w:left="420" w:leftChars="200"/>
        <w:rPr>
          <w:szCs w:val="21"/>
        </w:rPr>
      </w:pPr>
      <w:r>
        <w:rPr>
          <w:b/>
          <w:szCs w:val="21"/>
        </w:rPr>
        <w:t>4、综合</w:t>
      </w:r>
      <w:r>
        <w:rPr>
          <w:szCs w:val="21"/>
        </w:rPr>
        <w:t>：转录的起始、延长、终止三个阶段</w:t>
      </w:r>
      <w:r>
        <w:rPr>
          <w:rFonts w:hint="eastAsia" w:hAnsi="Arial"/>
          <w:kern w:val="0"/>
          <w:szCs w:val="21"/>
        </w:rPr>
        <w:t>；启动子、转录因子、终止子；原核和真核生物RNA聚合酶的种类和作用；</w:t>
      </w:r>
      <w:r>
        <w:rPr>
          <w:rFonts w:hAnsi="Arial"/>
          <w:kern w:val="0"/>
          <w:szCs w:val="21"/>
        </w:rPr>
        <w:t>真核生物</w:t>
      </w:r>
      <w:r>
        <w:rPr>
          <w:kern w:val="0"/>
          <w:szCs w:val="21"/>
        </w:rPr>
        <w:t>mRNA</w:t>
      </w:r>
      <w:r>
        <w:rPr>
          <w:rFonts w:hAnsi="Arial"/>
          <w:kern w:val="0"/>
          <w:szCs w:val="21"/>
        </w:rPr>
        <w:t>前体的剪接</w:t>
      </w:r>
      <w:r>
        <w:rPr>
          <w:rFonts w:hint="eastAsia" w:hAnsi="Arial"/>
          <w:kern w:val="0"/>
          <w:szCs w:val="21"/>
        </w:rPr>
        <w:t>。</w:t>
      </w:r>
    </w:p>
    <w:p>
      <w:pPr>
        <w:adjustRightInd w:val="0"/>
        <w:snapToGrid w:val="0"/>
        <w:spacing w:line="360" w:lineRule="auto"/>
        <w:ind w:left="420" w:leftChars="200"/>
        <w:rPr>
          <w:b/>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、小组</w:t>
      </w:r>
      <w:r>
        <w:rPr>
          <w:szCs w:val="21"/>
        </w:rPr>
        <w:t>讨论和</w:t>
      </w:r>
      <w:r>
        <w:rPr>
          <w:rFonts w:hint="eastAsia"/>
          <w:szCs w:val="21"/>
        </w:rPr>
        <w:t>抢答。</w:t>
      </w: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四</w:t>
      </w:r>
      <w:r>
        <w:rPr>
          <w:rFonts w:ascii="Times New Roman" w:hAnsi="Times New Roman" w:cs="Times New Roman"/>
          <w:b/>
        </w:rPr>
        <w:t>章</w:t>
      </w:r>
      <w:r>
        <w:rPr>
          <w:rFonts w:hint="eastAsia" w:ascii="Times New Roman" w:hAnsi="Times New Roman" w:cs="Times New Roman"/>
          <w:b/>
        </w:rPr>
        <w:t xml:space="preserve">  </w:t>
      </w:r>
      <w:r>
        <w:rPr>
          <w:rFonts w:hint="eastAsia"/>
          <w:b/>
          <w:bCs/>
          <w:kern w:val="0"/>
        </w:rPr>
        <w:t>蛋白质的翻译</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int="eastAsia" w:hAnsi="Arial"/>
          <w:kern w:val="0"/>
          <w:szCs w:val="21"/>
        </w:rPr>
        <w:t>蛋白质前体的加工和运输过程、蛋白质合成抑制剂；</w:t>
      </w:r>
      <w:r>
        <w:rPr>
          <w:rFonts w:hAnsi="Arial"/>
          <w:kern w:val="0"/>
          <w:szCs w:val="21"/>
        </w:rPr>
        <w:t>真</w:t>
      </w:r>
      <w:r>
        <w:rPr>
          <w:kern w:val="0"/>
          <w:szCs w:val="21"/>
        </w:rPr>
        <w:t>核生物蛋白质生物合成机制</w:t>
      </w:r>
      <w:r>
        <w:rPr>
          <w:rFonts w:hint="eastAsia"/>
          <w:kern w:val="0"/>
          <w:szCs w:val="21"/>
        </w:rPr>
        <w:t>（与原核生物的差异）。</w:t>
      </w:r>
    </w:p>
    <w:p>
      <w:pPr>
        <w:adjustRightInd w:val="0"/>
        <w:snapToGrid w:val="0"/>
        <w:spacing w:line="360" w:lineRule="auto"/>
        <w:ind w:left="420" w:leftChars="200"/>
        <w:rPr>
          <w:szCs w:val="21"/>
        </w:rPr>
      </w:pPr>
      <w:r>
        <w:rPr>
          <w:b/>
          <w:szCs w:val="21"/>
        </w:rPr>
        <w:t>2. 一般掌握</w:t>
      </w:r>
      <w:r>
        <w:rPr>
          <w:szCs w:val="21"/>
        </w:rPr>
        <w:t>：</w:t>
      </w:r>
      <w:r>
        <w:rPr>
          <w:rFonts w:hint="eastAsia"/>
          <w:szCs w:val="21"/>
        </w:rPr>
        <w:t>mRNA、tRNA的结构与功能；</w:t>
      </w:r>
      <w:r>
        <w:rPr>
          <w:rFonts w:hint="eastAsia" w:hAnsi="Arial"/>
          <w:kern w:val="0"/>
          <w:szCs w:val="21"/>
        </w:rPr>
        <w:t>密码子的特点；</w:t>
      </w:r>
      <w:r>
        <w:rPr>
          <w:kern w:val="0"/>
          <w:szCs w:val="21"/>
        </w:rPr>
        <w:t>新生多肽链的折叠与加工</w:t>
      </w:r>
      <w:r>
        <w:rPr>
          <w:rFonts w:hint="eastAsia"/>
          <w:kern w:val="0"/>
          <w:szCs w:val="21"/>
        </w:rPr>
        <w:t>；</w:t>
      </w:r>
      <w:r>
        <w:rPr>
          <w:kern w:val="0"/>
          <w:szCs w:val="21"/>
        </w:rPr>
        <w:t>蛋白质的转运</w:t>
      </w:r>
      <w:r>
        <w:rPr>
          <w:rFonts w:hint="eastAsia"/>
          <w:kern w:val="0"/>
          <w:szCs w:val="21"/>
        </w:rPr>
        <w:t>；</w:t>
      </w:r>
      <w:r>
        <w:rPr>
          <w:rFonts w:hAnsi="Arial"/>
          <w:kern w:val="0"/>
          <w:szCs w:val="21"/>
        </w:rPr>
        <w:t>蛋白质的降解</w:t>
      </w:r>
      <w:r>
        <w:rPr>
          <w:rFonts w:hint="eastAsia"/>
          <w:szCs w:val="21"/>
        </w:rPr>
        <w:t>。</w:t>
      </w:r>
    </w:p>
    <w:p>
      <w:pPr>
        <w:adjustRightInd w:val="0"/>
        <w:snapToGrid w:val="0"/>
        <w:spacing w:line="360" w:lineRule="auto"/>
        <w:ind w:left="420" w:leftChars="200"/>
        <w:rPr>
          <w:b/>
          <w:szCs w:val="21"/>
        </w:rPr>
      </w:pPr>
      <w:r>
        <w:rPr>
          <w:b/>
          <w:szCs w:val="21"/>
        </w:rPr>
        <w:t>3. 熟练掌握</w:t>
      </w:r>
      <w:r>
        <w:rPr>
          <w:szCs w:val="21"/>
        </w:rPr>
        <w:t>：</w:t>
      </w:r>
      <w:r>
        <w:rPr>
          <w:rFonts w:hint="eastAsia" w:hAnsi="Arial"/>
          <w:kern w:val="0"/>
          <w:szCs w:val="21"/>
        </w:rPr>
        <w:t>蛋白质合成的反应体系；核糖体的组成，结构和功能；原核生物蛋白质合成的生物学机制；保证蛋白质翻译准确起始的机制</w:t>
      </w:r>
      <w:r>
        <w:rPr>
          <w:rFonts w:hint="eastAsia"/>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b/>
          <w:szCs w:val="21"/>
        </w:rPr>
      </w:pPr>
      <w:r>
        <w:rPr>
          <w:szCs w:val="21"/>
        </w:rPr>
        <w:t>蛋白质合成的反应体系</w:t>
      </w:r>
      <w:r>
        <w:rPr>
          <w:rFonts w:hint="eastAsia"/>
          <w:szCs w:val="21"/>
        </w:rPr>
        <w:t>；</w:t>
      </w:r>
      <w:r>
        <w:rPr>
          <w:szCs w:val="21"/>
        </w:rPr>
        <w:t>三种RNA在翻译中的作用</w:t>
      </w:r>
      <w:r>
        <w:rPr>
          <w:rFonts w:hint="eastAsia"/>
          <w:szCs w:val="21"/>
        </w:rPr>
        <w:t>；</w:t>
      </w:r>
      <w:r>
        <w:rPr>
          <w:szCs w:val="21"/>
        </w:rPr>
        <w:t>蛋白质合成的起始、延长、终止三个阶段</w:t>
      </w:r>
      <w:r>
        <w:rPr>
          <w:rFonts w:hint="eastAsia"/>
          <w:szCs w:val="21"/>
        </w:rPr>
        <w:t>；</w:t>
      </w:r>
      <w:r>
        <w:rPr>
          <w:szCs w:val="21"/>
        </w:rPr>
        <w:t>原核生物翻译起始与真核生物的区别</w:t>
      </w:r>
      <w:r>
        <w:rPr>
          <w:rFonts w:hint="eastAsia"/>
          <w:szCs w:val="21"/>
        </w:rPr>
        <w:t>；</w:t>
      </w:r>
      <w:r>
        <w:rPr>
          <w:szCs w:val="21"/>
        </w:rPr>
        <w:t>肽链合成后的加工修饰</w:t>
      </w:r>
      <w:r>
        <w:rPr>
          <w:rFonts w:hint="eastAsia"/>
          <w:szCs w:val="21"/>
        </w:rPr>
        <w:t>；</w:t>
      </w:r>
      <w:r>
        <w:rPr>
          <w:szCs w:val="21"/>
        </w:rPr>
        <w:t>蛋白质的转运与降解。</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w:t>
      </w:r>
      <w:r>
        <w:rPr>
          <w:rFonts w:hint="eastAsia" w:hAnsi="Arial"/>
          <w:kern w:val="0"/>
          <w:szCs w:val="21"/>
        </w:rPr>
        <w:t>密码子的特点；</w:t>
      </w:r>
      <w:r>
        <w:rPr>
          <w:kern w:val="0"/>
          <w:szCs w:val="21"/>
        </w:rPr>
        <w:t>新生多肽链的折叠与加工</w:t>
      </w:r>
      <w:r>
        <w:rPr>
          <w:rFonts w:hint="eastAsia"/>
          <w:kern w:val="0"/>
          <w:szCs w:val="21"/>
        </w:rPr>
        <w:t>；</w:t>
      </w:r>
      <w:r>
        <w:rPr>
          <w:kern w:val="0"/>
          <w:szCs w:val="21"/>
        </w:rPr>
        <w:t>蛋白质的转运</w:t>
      </w:r>
      <w:r>
        <w:rPr>
          <w:rFonts w:hint="eastAsia"/>
          <w:kern w:val="0"/>
          <w:szCs w:val="21"/>
        </w:rPr>
        <w:t>；</w:t>
      </w:r>
      <w:r>
        <w:rPr>
          <w:rFonts w:hint="eastAsia" w:hAnsi="Arial"/>
          <w:kern w:val="0"/>
          <w:szCs w:val="21"/>
        </w:rPr>
        <w:t>蛋白质合成抑制剂</w:t>
      </w:r>
      <w:r>
        <w:rPr>
          <w:kern w:val="0"/>
          <w:szCs w:val="21"/>
        </w:rPr>
        <w:t>。</w:t>
      </w:r>
    </w:p>
    <w:p>
      <w:pPr>
        <w:adjustRightInd w:val="0"/>
        <w:snapToGrid w:val="0"/>
        <w:spacing w:line="360" w:lineRule="auto"/>
        <w:ind w:left="420" w:leftChars="200"/>
        <w:rPr>
          <w:b/>
          <w:szCs w:val="21"/>
        </w:rPr>
      </w:pPr>
      <w:r>
        <w:rPr>
          <w:b/>
          <w:szCs w:val="21"/>
        </w:rPr>
        <w:t>2、领会</w:t>
      </w:r>
      <w:r>
        <w:rPr>
          <w:szCs w:val="21"/>
        </w:rPr>
        <w:t>：</w:t>
      </w:r>
      <w:r>
        <w:rPr>
          <w:rFonts w:hint="eastAsia" w:hAnsi="Arial"/>
          <w:kern w:val="0"/>
          <w:szCs w:val="21"/>
        </w:rPr>
        <w:t>蛋白质合成的反应体系（mRNA、tRNA、核糖体、酶和各种因子）；原核生物蛋白质合成的生物学机制（氨基酸的活化、翻译的起始、肽链的延伸、肽链的终止）</w:t>
      </w:r>
      <w:r>
        <w:rPr>
          <w:rFonts w:hint="eastAsia"/>
          <w:kern w:val="0"/>
          <w:szCs w:val="21"/>
        </w:rPr>
        <w:t>；</w:t>
      </w:r>
      <w:r>
        <w:rPr>
          <w:kern w:val="0"/>
          <w:szCs w:val="21"/>
        </w:rPr>
        <w:t>新生多肽链的折叠与加工</w:t>
      </w:r>
      <w:r>
        <w:rPr>
          <w:rFonts w:hint="eastAsia"/>
          <w:szCs w:val="21"/>
        </w:rPr>
        <w:t>。</w:t>
      </w:r>
    </w:p>
    <w:p>
      <w:pPr>
        <w:adjustRightInd w:val="0"/>
        <w:snapToGrid w:val="0"/>
        <w:spacing w:line="360" w:lineRule="auto"/>
        <w:ind w:left="420" w:leftChars="200"/>
        <w:rPr>
          <w:b/>
          <w:szCs w:val="21"/>
        </w:rPr>
      </w:pPr>
      <w:r>
        <w:rPr>
          <w:b/>
          <w:szCs w:val="21"/>
        </w:rPr>
        <w:t>3、应用</w:t>
      </w:r>
      <w:r>
        <w:rPr>
          <w:szCs w:val="21"/>
        </w:rPr>
        <w:t>：</w:t>
      </w:r>
      <w:r>
        <w:rPr>
          <w:kern w:val="0"/>
          <w:szCs w:val="21"/>
        </w:rPr>
        <w:t>新生多肽链的折叠与加工</w:t>
      </w:r>
      <w:r>
        <w:rPr>
          <w:rFonts w:hint="eastAsia"/>
          <w:kern w:val="0"/>
          <w:szCs w:val="21"/>
        </w:rPr>
        <w:t>；</w:t>
      </w:r>
      <w:r>
        <w:rPr>
          <w:rFonts w:hAnsi="Arial"/>
          <w:kern w:val="0"/>
          <w:szCs w:val="21"/>
        </w:rPr>
        <w:t>蛋白质生物合成的抑制剂</w:t>
      </w:r>
      <w:r>
        <w:rPr>
          <w:rFonts w:hint="eastAsia" w:hAnsi="Arial"/>
          <w:kern w:val="0"/>
          <w:szCs w:val="21"/>
        </w:rPr>
        <w:t>。</w:t>
      </w:r>
    </w:p>
    <w:p>
      <w:pPr>
        <w:adjustRightInd w:val="0"/>
        <w:snapToGrid w:val="0"/>
        <w:spacing w:line="360" w:lineRule="auto"/>
        <w:ind w:left="420" w:leftChars="200"/>
        <w:rPr>
          <w:szCs w:val="21"/>
        </w:rPr>
      </w:pPr>
      <w:r>
        <w:rPr>
          <w:b/>
          <w:szCs w:val="21"/>
        </w:rPr>
        <w:t>4、综合</w:t>
      </w:r>
      <w:r>
        <w:rPr>
          <w:szCs w:val="21"/>
        </w:rPr>
        <w:t>：</w:t>
      </w:r>
      <w:r>
        <w:rPr>
          <w:rFonts w:hAnsi="Arial"/>
          <w:kern w:val="0"/>
          <w:szCs w:val="21"/>
        </w:rPr>
        <w:t>遗传密码的特性</w:t>
      </w:r>
      <w:r>
        <w:rPr>
          <w:rFonts w:hint="eastAsia" w:hAnsi="Arial"/>
          <w:kern w:val="0"/>
          <w:szCs w:val="21"/>
        </w:rPr>
        <w:t>；</w:t>
      </w:r>
      <w:r>
        <w:rPr>
          <w:rFonts w:hAnsi="Arial"/>
          <w:kern w:val="0"/>
          <w:szCs w:val="21"/>
        </w:rPr>
        <w:t>蛋白质合成的</w:t>
      </w:r>
      <w:r>
        <w:rPr>
          <w:rFonts w:hint="eastAsia" w:hAnsi="Arial"/>
          <w:kern w:val="0"/>
          <w:szCs w:val="21"/>
        </w:rPr>
        <w:t>体系和</w:t>
      </w:r>
      <w:r>
        <w:rPr>
          <w:rFonts w:hAnsi="Arial"/>
          <w:kern w:val="0"/>
          <w:szCs w:val="21"/>
        </w:rPr>
        <w:t>详细过程</w:t>
      </w:r>
      <w:r>
        <w:rPr>
          <w:rFonts w:hint="eastAsia" w:hAnsi="Arial"/>
          <w:kern w:val="0"/>
          <w:szCs w:val="21"/>
        </w:rPr>
        <w:t>；</w:t>
      </w:r>
      <w:r>
        <w:rPr>
          <w:szCs w:val="21"/>
        </w:rPr>
        <w:t>蛋白质的转运与降解</w:t>
      </w:r>
      <w:r>
        <w:rPr>
          <w:rFonts w:hint="eastAsia"/>
          <w:szCs w:val="21"/>
        </w:rPr>
        <w:t>。</w:t>
      </w:r>
    </w:p>
    <w:p>
      <w:pPr>
        <w:adjustRightInd w:val="0"/>
        <w:snapToGrid w:val="0"/>
        <w:spacing w:line="360" w:lineRule="auto"/>
        <w:ind w:left="420" w:leftChars="20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、小组</w:t>
      </w:r>
      <w:r>
        <w:rPr>
          <w:szCs w:val="21"/>
        </w:rPr>
        <w:t>讨论和</w:t>
      </w:r>
      <w:r>
        <w:rPr>
          <w:rFonts w:hint="eastAsia"/>
          <w:szCs w:val="21"/>
        </w:rPr>
        <w:t>抢答。</w:t>
      </w: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五</w:t>
      </w:r>
      <w:r>
        <w:rPr>
          <w:rFonts w:ascii="Times New Roman" w:hAnsi="Times New Roman" w:cs="Times New Roman"/>
          <w:b/>
        </w:rPr>
        <w:t>章</w:t>
      </w:r>
      <w:r>
        <w:rPr>
          <w:rFonts w:hint="eastAsia" w:ascii="Times New Roman" w:hAnsi="Times New Roman" w:cs="Times New Roman"/>
          <w:b/>
        </w:rPr>
        <w:t xml:space="preserve">  基因表达调控</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int="eastAsia" w:hAnsi="宋体"/>
          <w:bCs/>
          <w:szCs w:val="21"/>
        </w:rPr>
        <w:t>真核生物基因表达调控；翻译水平的调控；真核生物的基因表达调控的特殊类型</w:t>
      </w:r>
      <w:r>
        <w:rPr>
          <w:rFonts w:hint="eastAsia"/>
          <w:kern w:val="0"/>
          <w:szCs w:val="21"/>
        </w:rPr>
        <w:t>。</w:t>
      </w:r>
    </w:p>
    <w:p>
      <w:pPr>
        <w:adjustRightInd w:val="0"/>
        <w:snapToGrid w:val="0"/>
        <w:spacing w:line="360" w:lineRule="auto"/>
        <w:ind w:left="420" w:leftChars="200"/>
        <w:rPr>
          <w:szCs w:val="21"/>
        </w:rPr>
      </w:pPr>
      <w:r>
        <w:rPr>
          <w:b/>
          <w:szCs w:val="21"/>
        </w:rPr>
        <w:t>2. 一般掌握</w:t>
      </w:r>
      <w:r>
        <w:rPr>
          <w:szCs w:val="21"/>
        </w:rPr>
        <w:t>：</w:t>
      </w:r>
      <w:r>
        <w:rPr>
          <w:rFonts w:hint="eastAsia"/>
          <w:szCs w:val="21"/>
        </w:rPr>
        <w:t>原核基因调控机制的类型与特点；</w:t>
      </w:r>
      <w:r>
        <w:rPr>
          <w:rFonts w:hint="eastAsia"/>
          <w:kern w:val="0"/>
          <w:szCs w:val="21"/>
        </w:rPr>
        <w:t>翻译后基因表达调控</w:t>
      </w:r>
      <w:r>
        <w:rPr>
          <w:rFonts w:hint="eastAsia"/>
          <w:szCs w:val="21"/>
        </w:rPr>
        <w:t>。</w:t>
      </w:r>
    </w:p>
    <w:p>
      <w:pPr>
        <w:adjustRightInd w:val="0"/>
        <w:snapToGrid w:val="0"/>
        <w:spacing w:line="360" w:lineRule="auto"/>
        <w:ind w:left="420" w:leftChars="200"/>
        <w:rPr>
          <w:b/>
          <w:szCs w:val="21"/>
        </w:rPr>
      </w:pPr>
      <w:r>
        <w:rPr>
          <w:b/>
          <w:szCs w:val="21"/>
        </w:rPr>
        <w:t>3. 熟练掌握</w:t>
      </w:r>
      <w:r>
        <w:rPr>
          <w:szCs w:val="21"/>
        </w:rPr>
        <w:t>：</w:t>
      </w:r>
      <w:r>
        <w:rPr>
          <w:rFonts w:hint="eastAsia"/>
          <w:bCs/>
          <w:szCs w:val="21"/>
        </w:rPr>
        <w:t>真核生物转录后水平的调控—RNAi和反义RNA；</w:t>
      </w:r>
      <w:r>
        <w:rPr>
          <w:rFonts w:hAnsi="Arial"/>
          <w:bCs/>
          <w:kern w:val="0"/>
          <w:szCs w:val="21"/>
        </w:rPr>
        <w:t>乳糖操纵子</w:t>
      </w:r>
      <w:r>
        <w:rPr>
          <w:rFonts w:hint="eastAsia" w:hAnsi="Arial"/>
          <w:bCs/>
          <w:kern w:val="0"/>
          <w:szCs w:val="21"/>
        </w:rPr>
        <w:t>及</w:t>
      </w:r>
      <w:r>
        <w:rPr>
          <w:rFonts w:hAnsi="Arial"/>
          <w:bCs/>
          <w:kern w:val="0"/>
          <w:szCs w:val="21"/>
        </w:rPr>
        <w:t>色氨酸操纵子</w:t>
      </w:r>
      <w:r>
        <w:rPr>
          <w:rFonts w:hint="eastAsia" w:hAnsi="Arial"/>
          <w:bCs/>
          <w:kern w:val="0"/>
          <w:szCs w:val="21"/>
        </w:rPr>
        <w:t>模型</w:t>
      </w:r>
      <w:r>
        <w:rPr>
          <w:rFonts w:hint="eastAsia"/>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b/>
          <w:szCs w:val="21"/>
        </w:rPr>
      </w:pPr>
      <w:r>
        <w:rPr>
          <w:rFonts w:hAnsi="Arial"/>
          <w:bCs/>
          <w:kern w:val="0"/>
          <w:szCs w:val="21"/>
        </w:rPr>
        <w:t>原核生物和真核生物基因表达调控</w:t>
      </w:r>
      <w:r>
        <w:rPr>
          <w:rFonts w:hint="eastAsia"/>
          <w:kern w:val="0"/>
          <w:szCs w:val="21"/>
        </w:rPr>
        <w:t>的类型与特点；RNAi和反义RNA；真核生物DNA甲基化和组蛋白乙酰化与基因活性的调控</w:t>
      </w:r>
      <w:r>
        <w:rPr>
          <w:rFonts w:hint="eastAsia"/>
          <w:szCs w:val="21"/>
        </w:rPr>
        <w:t>。</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w:t>
      </w:r>
      <w:r>
        <w:rPr>
          <w:rFonts w:hint="eastAsia"/>
          <w:kern w:val="0"/>
          <w:szCs w:val="21"/>
        </w:rPr>
        <w:t>原核基因调控机制的类型与特点；乳糖操纵子调控模型和色氨酸操纵子模型；RNAi和反义RNA；</w:t>
      </w:r>
      <w:r>
        <w:rPr>
          <w:rFonts w:hAnsi="Arial"/>
          <w:bCs/>
          <w:kern w:val="0"/>
          <w:szCs w:val="21"/>
        </w:rPr>
        <w:t>乳糖操纵子</w:t>
      </w:r>
      <w:r>
        <w:rPr>
          <w:rFonts w:hint="eastAsia" w:hAnsi="Arial"/>
          <w:bCs/>
          <w:kern w:val="0"/>
          <w:szCs w:val="21"/>
        </w:rPr>
        <w:t>；</w:t>
      </w:r>
      <w:r>
        <w:rPr>
          <w:rFonts w:hAnsi="Arial"/>
          <w:bCs/>
          <w:kern w:val="0"/>
          <w:szCs w:val="21"/>
        </w:rPr>
        <w:t>色氨酸操纵子</w:t>
      </w:r>
      <w:r>
        <w:rPr>
          <w:kern w:val="0"/>
          <w:szCs w:val="21"/>
        </w:rPr>
        <w:t>。</w:t>
      </w:r>
    </w:p>
    <w:p>
      <w:pPr>
        <w:adjustRightInd w:val="0"/>
        <w:snapToGrid w:val="0"/>
        <w:spacing w:line="360" w:lineRule="auto"/>
        <w:ind w:left="420" w:leftChars="200"/>
        <w:rPr>
          <w:b/>
          <w:szCs w:val="21"/>
        </w:rPr>
      </w:pPr>
      <w:r>
        <w:rPr>
          <w:b/>
          <w:szCs w:val="21"/>
        </w:rPr>
        <w:t>2、领会</w:t>
      </w:r>
      <w:r>
        <w:rPr>
          <w:szCs w:val="21"/>
        </w:rPr>
        <w:t>：</w:t>
      </w:r>
      <w:r>
        <w:rPr>
          <w:rFonts w:hint="eastAsia"/>
          <w:szCs w:val="21"/>
        </w:rPr>
        <w:t>原核基因调控机制的类型；RNAi和反义RNA</w:t>
      </w:r>
      <w:r>
        <w:rPr>
          <w:rFonts w:hint="eastAsia"/>
          <w:kern w:val="0"/>
          <w:szCs w:val="21"/>
        </w:rPr>
        <w:t>。</w:t>
      </w:r>
    </w:p>
    <w:p>
      <w:pPr>
        <w:adjustRightInd w:val="0"/>
        <w:snapToGrid w:val="0"/>
        <w:spacing w:line="360" w:lineRule="auto"/>
        <w:ind w:left="420" w:leftChars="200"/>
        <w:rPr>
          <w:b/>
          <w:szCs w:val="21"/>
        </w:rPr>
      </w:pPr>
      <w:r>
        <w:rPr>
          <w:b/>
          <w:szCs w:val="21"/>
        </w:rPr>
        <w:t>3、简单应用</w:t>
      </w:r>
      <w:r>
        <w:rPr>
          <w:szCs w:val="21"/>
        </w:rPr>
        <w:t>：</w:t>
      </w:r>
      <w:r>
        <w:rPr>
          <w:rFonts w:hint="eastAsia"/>
          <w:szCs w:val="21"/>
        </w:rPr>
        <w:t>RNAi和反义RNA；</w:t>
      </w:r>
      <w:r>
        <w:rPr>
          <w:rFonts w:hAnsi="Arial"/>
          <w:bCs/>
          <w:kern w:val="0"/>
          <w:szCs w:val="21"/>
        </w:rPr>
        <w:t>翻译水平的调控</w:t>
      </w:r>
      <w:r>
        <w:rPr>
          <w:rFonts w:hint="eastAsia" w:hAnsi="Arial"/>
          <w:bCs/>
          <w:kern w:val="0"/>
          <w:szCs w:val="21"/>
        </w:rPr>
        <w:t>；</w:t>
      </w:r>
      <w:r>
        <w:rPr>
          <w:rFonts w:hAnsi="Arial"/>
          <w:bCs/>
          <w:kern w:val="0"/>
          <w:szCs w:val="21"/>
        </w:rPr>
        <w:t>翻译后水平上的基因表达调控</w:t>
      </w:r>
      <w:r>
        <w:rPr>
          <w:rFonts w:hint="eastAsia" w:hAnsi="Arial"/>
          <w:kern w:val="0"/>
          <w:szCs w:val="21"/>
        </w:rPr>
        <w:t>。</w:t>
      </w:r>
    </w:p>
    <w:p>
      <w:pPr>
        <w:adjustRightInd w:val="0"/>
        <w:snapToGrid w:val="0"/>
        <w:spacing w:line="360" w:lineRule="auto"/>
        <w:ind w:left="420" w:leftChars="200"/>
        <w:rPr>
          <w:rFonts w:hAnsi="宋体"/>
          <w:bCs/>
          <w:szCs w:val="21"/>
        </w:rPr>
      </w:pPr>
      <w:r>
        <w:rPr>
          <w:b/>
          <w:szCs w:val="21"/>
        </w:rPr>
        <w:t>4、综合应用</w:t>
      </w:r>
      <w:r>
        <w:rPr>
          <w:szCs w:val="21"/>
        </w:rPr>
        <w:t>：</w:t>
      </w:r>
      <w:r>
        <w:rPr>
          <w:rFonts w:hint="eastAsia"/>
          <w:kern w:val="0"/>
          <w:szCs w:val="21"/>
        </w:rPr>
        <w:t>真核生物</w:t>
      </w:r>
      <w:r>
        <w:rPr>
          <w:bCs/>
          <w:kern w:val="0"/>
          <w:szCs w:val="21"/>
        </w:rPr>
        <w:t>DNA</w:t>
      </w:r>
      <w:r>
        <w:rPr>
          <w:rFonts w:hAnsi="Arial"/>
          <w:bCs/>
          <w:kern w:val="0"/>
          <w:szCs w:val="21"/>
        </w:rPr>
        <w:t>水平上的调控</w:t>
      </w:r>
      <w:r>
        <w:rPr>
          <w:rFonts w:hint="eastAsia" w:hAnsi="Arial"/>
          <w:bCs/>
          <w:kern w:val="0"/>
          <w:szCs w:val="21"/>
        </w:rPr>
        <w:t>；</w:t>
      </w:r>
      <w:r>
        <w:rPr>
          <w:rFonts w:hAnsi="Arial"/>
          <w:bCs/>
          <w:kern w:val="0"/>
          <w:szCs w:val="21"/>
        </w:rPr>
        <w:t>染色体水平的调控</w:t>
      </w:r>
      <w:r>
        <w:rPr>
          <w:rFonts w:hint="eastAsia" w:hAnsi="Arial"/>
          <w:bCs/>
          <w:kern w:val="0"/>
          <w:szCs w:val="21"/>
        </w:rPr>
        <w:t>；</w:t>
      </w:r>
      <w:r>
        <w:rPr>
          <w:rFonts w:hAnsi="Arial"/>
          <w:bCs/>
          <w:kern w:val="0"/>
          <w:szCs w:val="21"/>
        </w:rPr>
        <w:t>转录水平上的基因表达调控</w:t>
      </w:r>
      <w:r>
        <w:rPr>
          <w:rFonts w:hint="eastAsia" w:hAnsi="Arial"/>
          <w:bCs/>
          <w:kern w:val="0"/>
          <w:szCs w:val="21"/>
        </w:rPr>
        <w:t>；</w:t>
      </w:r>
      <w:r>
        <w:rPr>
          <w:rFonts w:hAnsi="Arial"/>
          <w:bCs/>
          <w:kern w:val="0"/>
          <w:szCs w:val="21"/>
        </w:rPr>
        <w:t>转录后水平的调控</w:t>
      </w:r>
      <w:r>
        <w:rPr>
          <w:rFonts w:hint="eastAsia" w:hAnsi="Arial"/>
          <w:bCs/>
          <w:kern w:val="0"/>
          <w:szCs w:val="21"/>
        </w:rPr>
        <w:t>。</w:t>
      </w:r>
    </w:p>
    <w:p>
      <w:pPr>
        <w:adjustRightInd w:val="0"/>
        <w:snapToGrid w:val="0"/>
        <w:spacing w:line="360" w:lineRule="auto"/>
        <w:ind w:left="420" w:leftChars="200"/>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六</w:t>
      </w:r>
      <w:r>
        <w:rPr>
          <w:rFonts w:ascii="Times New Roman" w:hAnsi="Times New Roman" w:cs="Times New Roman"/>
          <w:b/>
        </w:rPr>
        <w:t>章</w:t>
      </w:r>
      <w:r>
        <w:rPr>
          <w:rFonts w:hint="eastAsia" w:ascii="Times New Roman" w:hAnsi="Times New Roman" w:cs="Times New Roman"/>
          <w:b/>
        </w:rPr>
        <w:t xml:space="preserve">  </w:t>
      </w:r>
      <w:r>
        <w:rPr>
          <w:rFonts w:hint="eastAsia"/>
          <w:b/>
          <w:bCs/>
          <w:kern w:val="0"/>
        </w:rPr>
        <w:t>基因突变和遗传重组的分子机制</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int="eastAsia"/>
          <w:szCs w:val="21"/>
        </w:rPr>
        <w:t>基因</w:t>
      </w:r>
      <w:r>
        <w:rPr>
          <w:rFonts w:hAnsi="宋体"/>
          <w:bCs/>
          <w:szCs w:val="21"/>
        </w:rPr>
        <w:t>突变的意义</w:t>
      </w:r>
      <w:r>
        <w:rPr>
          <w:rFonts w:hint="eastAsia" w:hAnsi="宋体"/>
          <w:bCs/>
          <w:szCs w:val="21"/>
        </w:rPr>
        <w:t>；DNA损伤的原因、类型</w:t>
      </w:r>
      <w:r>
        <w:rPr>
          <w:rFonts w:hint="eastAsia"/>
          <w:kern w:val="0"/>
          <w:szCs w:val="21"/>
        </w:rPr>
        <w:t>。</w:t>
      </w:r>
    </w:p>
    <w:p>
      <w:pPr>
        <w:adjustRightInd w:val="0"/>
        <w:snapToGrid w:val="0"/>
        <w:spacing w:line="360" w:lineRule="auto"/>
        <w:ind w:left="420" w:leftChars="200"/>
        <w:rPr>
          <w:szCs w:val="21"/>
        </w:rPr>
      </w:pPr>
      <w:r>
        <w:rPr>
          <w:b/>
          <w:szCs w:val="21"/>
        </w:rPr>
        <w:t>2. 一般掌握</w:t>
      </w:r>
      <w:r>
        <w:rPr>
          <w:szCs w:val="21"/>
        </w:rPr>
        <w:t>：</w:t>
      </w:r>
      <w:r>
        <w:rPr>
          <w:kern w:val="0"/>
          <w:szCs w:val="21"/>
        </w:rPr>
        <w:t>DNA</w:t>
      </w:r>
      <w:r>
        <w:rPr>
          <w:rFonts w:hAnsi="Arial"/>
          <w:kern w:val="0"/>
          <w:szCs w:val="21"/>
        </w:rPr>
        <w:t>损伤的修复</w:t>
      </w:r>
      <w:r>
        <w:rPr>
          <w:rFonts w:hint="eastAsia" w:hAnsi="Arial"/>
          <w:kern w:val="0"/>
          <w:szCs w:val="21"/>
        </w:rPr>
        <w:t>方式</w:t>
      </w:r>
      <w:r>
        <w:rPr>
          <w:rFonts w:hint="eastAsia"/>
          <w:szCs w:val="21"/>
        </w:rPr>
        <w:t>。</w:t>
      </w:r>
    </w:p>
    <w:p>
      <w:pPr>
        <w:adjustRightInd w:val="0"/>
        <w:snapToGrid w:val="0"/>
        <w:spacing w:line="360" w:lineRule="auto"/>
        <w:ind w:left="420" w:leftChars="200"/>
        <w:rPr>
          <w:b/>
          <w:szCs w:val="21"/>
        </w:rPr>
      </w:pPr>
      <w:r>
        <w:rPr>
          <w:b/>
          <w:szCs w:val="21"/>
        </w:rPr>
        <w:t>3. 熟练掌握</w:t>
      </w:r>
      <w:r>
        <w:rPr>
          <w:szCs w:val="21"/>
        </w:rPr>
        <w:t>：</w:t>
      </w:r>
      <w:r>
        <w:rPr>
          <w:bCs/>
          <w:szCs w:val="21"/>
        </w:rPr>
        <w:t>DNA</w:t>
      </w:r>
      <w:r>
        <w:rPr>
          <w:rFonts w:hAnsi="宋体"/>
          <w:bCs/>
          <w:szCs w:val="21"/>
        </w:rPr>
        <w:t>损伤产生的机</w:t>
      </w:r>
      <w:r>
        <w:rPr>
          <w:rFonts w:hint="eastAsia" w:hAnsi="宋体"/>
          <w:bCs/>
          <w:szCs w:val="21"/>
        </w:rPr>
        <w:t>制；</w:t>
      </w:r>
      <w:r>
        <w:rPr>
          <w:bCs/>
          <w:szCs w:val="21"/>
        </w:rPr>
        <w:t>DNA</w:t>
      </w:r>
      <w:r>
        <w:rPr>
          <w:rFonts w:hAnsi="宋体"/>
          <w:bCs/>
          <w:szCs w:val="21"/>
        </w:rPr>
        <w:t>重组的</w:t>
      </w:r>
      <w:r>
        <w:rPr>
          <w:rFonts w:hint="eastAsia"/>
          <w:bCs/>
          <w:kern w:val="0"/>
        </w:rPr>
        <w:t>分子机制</w:t>
      </w:r>
      <w:r>
        <w:rPr>
          <w:rFonts w:hint="eastAsia"/>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b/>
          <w:szCs w:val="21"/>
        </w:rPr>
      </w:pPr>
      <w:r>
        <w:rPr>
          <w:kern w:val="0"/>
          <w:szCs w:val="21"/>
        </w:rPr>
        <w:t>DNA</w:t>
      </w:r>
      <w:r>
        <w:rPr>
          <w:rFonts w:hAnsi="Arial"/>
          <w:kern w:val="0"/>
          <w:szCs w:val="21"/>
        </w:rPr>
        <w:t>损伤产生的途径</w:t>
      </w:r>
      <w:r>
        <w:rPr>
          <w:rFonts w:hint="eastAsia" w:hAnsi="Arial"/>
          <w:kern w:val="0"/>
          <w:szCs w:val="21"/>
        </w:rPr>
        <w:t>、</w:t>
      </w:r>
      <w:r>
        <w:rPr>
          <w:rFonts w:hAnsi="Arial"/>
          <w:kern w:val="0"/>
          <w:szCs w:val="21"/>
        </w:rPr>
        <w:t>损伤修复的途径</w:t>
      </w:r>
      <w:r>
        <w:rPr>
          <w:rFonts w:hAnsi="宋体"/>
          <w:bCs/>
          <w:szCs w:val="21"/>
        </w:rPr>
        <w:t>及</w:t>
      </w:r>
      <w:r>
        <w:rPr>
          <w:bCs/>
          <w:szCs w:val="21"/>
        </w:rPr>
        <w:t>DNA</w:t>
      </w:r>
      <w:r>
        <w:rPr>
          <w:rFonts w:hAnsi="宋体"/>
          <w:bCs/>
          <w:szCs w:val="21"/>
        </w:rPr>
        <w:t>重组的</w:t>
      </w:r>
      <w:r>
        <w:rPr>
          <w:rFonts w:hint="eastAsia"/>
          <w:bCs/>
          <w:kern w:val="0"/>
        </w:rPr>
        <w:t>分子机制</w:t>
      </w:r>
      <w:r>
        <w:rPr>
          <w:rFonts w:hint="eastAsia"/>
          <w:szCs w:val="21"/>
        </w:rPr>
        <w:t>。</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w:t>
      </w:r>
      <w:r>
        <w:rPr>
          <w:kern w:val="0"/>
          <w:szCs w:val="21"/>
        </w:rPr>
        <w:t>DNA</w:t>
      </w:r>
      <w:r>
        <w:rPr>
          <w:rFonts w:hAnsi="Arial"/>
          <w:kern w:val="0"/>
          <w:szCs w:val="21"/>
        </w:rPr>
        <w:t>损伤产生的途径</w:t>
      </w:r>
      <w:r>
        <w:rPr>
          <w:rFonts w:hint="eastAsia" w:hAnsi="Arial"/>
          <w:kern w:val="0"/>
          <w:szCs w:val="21"/>
        </w:rPr>
        <w:t>、</w:t>
      </w:r>
      <w:r>
        <w:rPr>
          <w:rFonts w:hAnsi="Arial"/>
          <w:kern w:val="0"/>
          <w:szCs w:val="21"/>
        </w:rPr>
        <w:t>损伤修复的途径</w:t>
      </w:r>
      <w:r>
        <w:rPr>
          <w:rFonts w:hAnsi="宋体"/>
          <w:bCs/>
          <w:szCs w:val="21"/>
        </w:rPr>
        <w:t>及</w:t>
      </w:r>
      <w:r>
        <w:rPr>
          <w:bCs/>
          <w:szCs w:val="21"/>
        </w:rPr>
        <w:t>DNA</w:t>
      </w:r>
      <w:r>
        <w:rPr>
          <w:rFonts w:hAnsi="宋体"/>
          <w:bCs/>
          <w:szCs w:val="21"/>
        </w:rPr>
        <w:t>重组的</w:t>
      </w:r>
      <w:r>
        <w:rPr>
          <w:rFonts w:hint="eastAsia"/>
          <w:bCs/>
          <w:kern w:val="0"/>
        </w:rPr>
        <w:t>分子机制</w:t>
      </w:r>
      <w:r>
        <w:rPr>
          <w:kern w:val="0"/>
          <w:szCs w:val="21"/>
        </w:rPr>
        <w:t>。</w:t>
      </w:r>
    </w:p>
    <w:p>
      <w:pPr>
        <w:adjustRightInd w:val="0"/>
        <w:snapToGrid w:val="0"/>
        <w:spacing w:line="360" w:lineRule="auto"/>
        <w:ind w:left="420" w:leftChars="200"/>
        <w:rPr>
          <w:b/>
          <w:szCs w:val="21"/>
        </w:rPr>
      </w:pPr>
      <w:r>
        <w:rPr>
          <w:b/>
          <w:szCs w:val="21"/>
        </w:rPr>
        <w:t>2、领会</w:t>
      </w:r>
      <w:r>
        <w:rPr>
          <w:szCs w:val="21"/>
        </w:rPr>
        <w:t>：</w:t>
      </w:r>
      <w:r>
        <w:rPr>
          <w:rFonts w:hint="eastAsia"/>
          <w:szCs w:val="21"/>
        </w:rPr>
        <w:t>基因</w:t>
      </w:r>
      <w:r>
        <w:rPr>
          <w:rFonts w:hAnsi="宋体"/>
          <w:bCs/>
          <w:szCs w:val="21"/>
        </w:rPr>
        <w:t>突变的意义</w:t>
      </w:r>
      <w:r>
        <w:rPr>
          <w:rFonts w:hint="eastAsia"/>
          <w:kern w:val="0"/>
          <w:szCs w:val="21"/>
        </w:rPr>
        <w:t>。</w:t>
      </w:r>
    </w:p>
    <w:p>
      <w:pPr>
        <w:adjustRightInd w:val="0"/>
        <w:snapToGrid w:val="0"/>
        <w:spacing w:line="360" w:lineRule="auto"/>
        <w:ind w:left="420" w:leftChars="200"/>
        <w:rPr>
          <w:b/>
          <w:szCs w:val="21"/>
        </w:rPr>
      </w:pPr>
      <w:r>
        <w:rPr>
          <w:b/>
          <w:szCs w:val="21"/>
        </w:rPr>
        <w:t>3、应用</w:t>
      </w:r>
      <w:r>
        <w:rPr>
          <w:szCs w:val="21"/>
        </w:rPr>
        <w:t>：</w:t>
      </w:r>
      <w:r>
        <w:rPr>
          <w:kern w:val="0"/>
          <w:szCs w:val="21"/>
        </w:rPr>
        <w:t>DNA</w:t>
      </w:r>
      <w:r>
        <w:rPr>
          <w:rFonts w:hAnsi="Arial"/>
          <w:kern w:val="0"/>
          <w:szCs w:val="21"/>
        </w:rPr>
        <w:t>损伤产生的途径</w:t>
      </w:r>
      <w:r>
        <w:rPr>
          <w:rFonts w:hint="eastAsia" w:hAnsi="Arial"/>
          <w:kern w:val="0"/>
          <w:szCs w:val="21"/>
        </w:rPr>
        <w:t>。</w:t>
      </w:r>
    </w:p>
    <w:p>
      <w:pPr>
        <w:adjustRightInd w:val="0"/>
        <w:snapToGrid w:val="0"/>
        <w:spacing w:line="360" w:lineRule="auto"/>
        <w:ind w:left="420" w:leftChars="200"/>
        <w:rPr>
          <w:rFonts w:hAnsi="宋体"/>
          <w:bCs/>
          <w:szCs w:val="21"/>
        </w:rPr>
      </w:pPr>
      <w:r>
        <w:rPr>
          <w:b/>
          <w:szCs w:val="21"/>
        </w:rPr>
        <w:t>4、综合</w:t>
      </w:r>
      <w:r>
        <w:rPr>
          <w:szCs w:val="21"/>
        </w:rPr>
        <w:t>：</w:t>
      </w:r>
      <w:r>
        <w:rPr>
          <w:bCs/>
          <w:szCs w:val="21"/>
        </w:rPr>
        <w:t>DNA</w:t>
      </w:r>
      <w:r>
        <w:rPr>
          <w:rFonts w:hAnsi="宋体"/>
          <w:bCs/>
          <w:szCs w:val="21"/>
        </w:rPr>
        <w:t>重组</w:t>
      </w:r>
      <w:r>
        <w:rPr>
          <w:rFonts w:hint="eastAsia" w:hAnsi="宋体"/>
          <w:bCs/>
          <w:szCs w:val="21"/>
        </w:rPr>
        <w:t>交换</w:t>
      </w:r>
      <w:r>
        <w:rPr>
          <w:rFonts w:hAnsi="宋体"/>
          <w:bCs/>
          <w:szCs w:val="21"/>
        </w:rPr>
        <w:t>的</w:t>
      </w:r>
      <w:r>
        <w:rPr>
          <w:rFonts w:hint="eastAsia" w:hAnsi="宋体"/>
          <w:bCs/>
          <w:szCs w:val="21"/>
        </w:rPr>
        <w:t>分子机制。</w:t>
      </w:r>
    </w:p>
    <w:p>
      <w:pPr>
        <w:adjustRightInd w:val="0"/>
        <w:snapToGrid w:val="0"/>
        <w:spacing w:line="360" w:lineRule="auto"/>
        <w:ind w:left="420" w:leftChars="200"/>
        <w:rPr>
          <w:b/>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七</w:t>
      </w:r>
      <w:r>
        <w:rPr>
          <w:rFonts w:ascii="Times New Roman" w:hAnsi="Times New Roman" w:cs="Times New Roman"/>
          <w:b/>
        </w:rPr>
        <w:t>章</w:t>
      </w:r>
      <w:r>
        <w:rPr>
          <w:rFonts w:hint="eastAsia" w:ascii="Times New Roman" w:hAnsi="Times New Roman" w:cs="Times New Roman"/>
          <w:b/>
        </w:rPr>
        <w:t xml:space="preserve">  </w:t>
      </w:r>
      <w:r>
        <w:rPr>
          <w:b/>
          <w:bCs/>
          <w:kern w:val="0"/>
        </w:rPr>
        <w:t>系统分子生物学</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rFonts w:hint="eastAsia" w:hAnsi="宋体"/>
          <w:bCs/>
          <w:szCs w:val="21"/>
        </w:rPr>
        <w:t>各种技术平台的定义及相应的发展趋势</w:t>
      </w:r>
      <w:r>
        <w:rPr>
          <w:rFonts w:hint="eastAsia"/>
          <w:szCs w:val="21"/>
        </w:rPr>
        <w:t>。</w:t>
      </w:r>
    </w:p>
    <w:p>
      <w:pPr>
        <w:adjustRightInd w:val="0"/>
        <w:snapToGrid w:val="0"/>
        <w:spacing w:line="360" w:lineRule="auto"/>
        <w:ind w:left="420" w:leftChars="200"/>
        <w:rPr>
          <w:szCs w:val="21"/>
        </w:rPr>
      </w:pPr>
      <w:r>
        <w:rPr>
          <w:b/>
          <w:szCs w:val="21"/>
        </w:rPr>
        <w:t>2. 一般掌握</w:t>
      </w:r>
      <w:r>
        <w:rPr>
          <w:szCs w:val="21"/>
        </w:rPr>
        <w:t>：</w:t>
      </w:r>
      <w:r>
        <w:rPr>
          <w:rFonts w:hAnsi="宋体"/>
          <w:bCs/>
          <w:szCs w:val="21"/>
        </w:rPr>
        <w:t>系统分子生物学的主要技术平台、基</w:t>
      </w:r>
      <w:r>
        <w:rPr>
          <w:rFonts w:hint="eastAsia" w:hAnsi="宋体"/>
          <w:bCs/>
          <w:szCs w:val="21"/>
        </w:rPr>
        <w:t>本</w:t>
      </w:r>
      <w:r>
        <w:rPr>
          <w:rFonts w:hAnsi="宋体"/>
          <w:bCs/>
          <w:szCs w:val="21"/>
        </w:rPr>
        <w:t>工作流程及应用</w:t>
      </w:r>
      <w:r>
        <w:rPr>
          <w:rFonts w:hint="eastAsia"/>
          <w:kern w:val="0"/>
          <w:szCs w:val="21"/>
        </w:rPr>
        <w:t>。</w:t>
      </w:r>
    </w:p>
    <w:p>
      <w:pPr>
        <w:adjustRightInd w:val="0"/>
        <w:snapToGrid w:val="0"/>
        <w:spacing w:line="360" w:lineRule="auto"/>
        <w:ind w:left="420" w:leftChars="200"/>
        <w:rPr>
          <w:b/>
          <w:szCs w:val="21"/>
        </w:rPr>
      </w:pPr>
      <w:r>
        <w:rPr>
          <w:b/>
          <w:szCs w:val="21"/>
        </w:rPr>
        <w:t>3. 熟练掌握</w:t>
      </w:r>
      <w:r>
        <w:rPr>
          <w:szCs w:val="21"/>
        </w:rPr>
        <w:t>：</w:t>
      </w:r>
      <w:r>
        <w:rPr>
          <w:rFonts w:hint="eastAsia" w:hAnsi="宋体"/>
          <w:bCs/>
          <w:szCs w:val="21"/>
        </w:rPr>
        <w:t>各种技术平台的</w:t>
      </w:r>
      <w:r>
        <w:rPr>
          <w:rFonts w:hAnsi="宋体"/>
          <w:bCs/>
          <w:szCs w:val="21"/>
        </w:rPr>
        <w:t>主要研究内容</w:t>
      </w:r>
      <w:r>
        <w:rPr>
          <w:rFonts w:hint="eastAsia" w:hAnsi="宋体"/>
          <w:bCs/>
          <w:szCs w:val="21"/>
        </w:rPr>
        <w:t>及</w:t>
      </w:r>
      <w:r>
        <w:rPr>
          <w:rFonts w:hAnsi="宋体"/>
          <w:bCs/>
          <w:szCs w:val="21"/>
        </w:rPr>
        <w:t>研究方法</w:t>
      </w:r>
      <w:r>
        <w:rPr>
          <w:rFonts w:hint="eastAsia"/>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b/>
          <w:szCs w:val="21"/>
        </w:rPr>
      </w:pPr>
      <w:r>
        <w:rPr>
          <w:kern w:val="0"/>
          <w:szCs w:val="21"/>
        </w:rPr>
        <w:t>系统分子生物学的</w:t>
      </w:r>
      <w:r>
        <w:rPr>
          <w:rFonts w:hint="eastAsia"/>
          <w:kern w:val="0"/>
          <w:szCs w:val="21"/>
        </w:rPr>
        <w:t>各种技术平台的</w:t>
      </w:r>
      <w:r>
        <w:rPr>
          <w:kern w:val="0"/>
          <w:szCs w:val="21"/>
        </w:rPr>
        <w:t>研究内容</w:t>
      </w:r>
      <w:r>
        <w:rPr>
          <w:rFonts w:hint="eastAsia"/>
          <w:kern w:val="0"/>
          <w:szCs w:val="21"/>
        </w:rPr>
        <w:t>、研究方法及</w:t>
      </w:r>
      <w:r>
        <w:rPr>
          <w:kern w:val="0"/>
          <w:szCs w:val="21"/>
        </w:rPr>
        <w:t>其发展趋势</w:t>
      </w:r>
      <w:r>
        <w:rPr>
          <w:rFonts w:hint="eastAsia"/>
          <w:szCs w:val="21"/>
        </w:rPr>
        <w:t>。</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w:t>
      </w:r>
      <w:r>
        <w:rPr>
          <w:rFonts w:hint="eastAsia"/>
          <w:szCs w:val="21"/>
        </w:rPr>
        <w:t>各种技术平台的定义、研究内容及研究方法</w:t>
      </w:r>
      <w:r>
        <w:rPr>
          <w:kern w:val="0"/>
          <w:szCs w:val="21"/>
        </w:rPr>
        <w:t>。</w:t>
      </w:r>
    </w:p>
    <w:p>
      <w:pPr>
        <w:adjustRightInd w:val="0"/>
        <w:snapToGrid w:val="0"/>
        <w:spacing w:line="360" w:lineRule="auto"/>
        <w:ind w:left="420" w:leftChars="200"/>
        <w:rPr>
          <w:b/>
          <w:szCs w:val="21"/>
        </w:rPr>
      </w:pPr>
      <w:r>
        <w:rPr>
          <w:b/>
          <w:szCs w:val="21"/>
        </w:rPr>
        <w:t>2、领会</w:t>
      </w:r>
      <w:r>
        <w:rPr>
          <w:szCs w:val="21"/>
        </w:rPr>
        <w:t>：</w:t>
      </w:r>
      <w:r>
        <w:rPr>
          <w:rFonts w:hint="eastAsia"/>
          <w:szCs w:val="21"/>
        </w:rPr>
        <w:t>各种技术平台的发展趋势。</w:t>
      </w:r>
    </w:p>
    <w:p>
      <w:pPr>
        <w:adjustRightInd w:val="0"/>
        <w:snapToGrid w:val="0"/>
        <w:spacing w:line="360" w:lineRule="auto"/>
        <w:ind w:left="420" w:leftChars="200"/>
        <w:rPr>
          <w:szCs w:val="21"/>
        </w:rPr>
      </w:pPr>
      <w:r>
        <w:rPr>
          <w:b/>
          <w:szCs w:val="21"/>
        </w:rPr>
        <w:t>3、应用</w:t>
      </w:r>
      <w:r>
        <w:rPr>
          <w:szCs w:val="21"/>
        </w:rPr>
        <w:t>：</w:t>
      </w:r>
      <w:r>
        <w:rPr>
          <w:rFonts w:hint="eastAsia"/>
          <w:szCs w:val="21"/>
        </w:rPr>
        <w:t>各种技术平台的基本工作流程及其应用。</w:t>
      </w:r>
    </w:p>
    <w:p>
      <w:pPr>
        <w:adjustRightInd w:val="0"/>
        <w:snapToGrid w:val="0"/>
        <w:spacing w:line="360" w:lineRule="auto"/>
        <w:ind w:left="420" w:leftChars="200"/>
        <w:rPr>
          <w:szCs w:val="21"/>
        </w:rPr>
      </w:pPr>
      <w:r>
        <w:rPr>
          <w:b/>
          <w:szCs w:val="21"/>
        </w:rPr>
        <w:t>4、综合</w:t>
      </w:r>
      <w:r>
        <w:rPr>
          <w:szCs w:val="21"/>
        </w:rPr>
        <w:t>：</w:t>
      </w:r>
      <w:r>
        <w:rPr>
          <w:rFonts w:hint="eastAsia"/>
          <w:szCs w:val="21"/>
        </w:rPr>
        <w:t>各种技术平台的研究内容及研究方法。</w:t>
      </w:r>
    </w:p>
    <w:p>
      <w:pPr>
        <w:adjustRightInd w:val="0"/>
        <w:snapToGrid w:val="0"/>
        <w:spacing w:line="360" w:lineRule="auto"/>
        <w:ind w:left="420" w:leftChars="200"/>
        <w:rPr>
          <w:b/>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、学生</w:t>
      </w:r>
      <w:r>
        <w:rPr>
          <w:szCs w:val="21"/>
        </w:rPr>
        <w:t>互动和课后</w:t>
      </w:r>
      <w:r>
        <w:rPr>
          <w:rFonts w:hint="eastAsia"/>
          <w:szCs w:val="21"/>
        </w:rPr>
        <w:t>作业。</w:t>
      </w:r>
    </w:p>
    <w:p>
      <w:pPr>
        <w:pStyle w:val="10"/>
        <w:adjustRightInd w:val="0"/>
        <w:snapToGrid w:val="0"/>
        <w:spacing w:line="360" w:lineRule="auto"/>
        <w:jc w:val="center"/>
        <w:rPr>
          <w:rFonts w:ascii="Times New Roman" w:hAnsi="Times New Roman" w:cs="Times New Roman"/>
          <w:b/>
        </w:rPr>
      </w:pPr>
      <w:r>
        <w:rPr>
          <w:rFonts w:ascii="Times New Roman" w:hAnsi="Times New Roman" w:cs="Times New Roman"/>
          <w:b/>
        </w:rPr>
        <w:t>第</w:t>
      </w:r>
      <w:r>
        <w:rPr>
          <w:rFonts w:hint="eastAsia" w:ascii="Times New Roman" w:hAnsi="Times New Roman" w:cs="Times New Roman"/>
          <w:b/>
        </w:rPr>
        <w:t>八</w:t>
      </w:r>
      <w:r>
        <w:rPr>
          <w:rFonts w:ascii="Times New Roman" w:hAnsi="Times New Roman" w:cs="Times New Roman"/>
          <w:b/>
        </w:rPr>
        <w:t>章</w:t>
      </w:r>
      <w:r>
        <w:rPr>
          <w:rFonts w:hint="eastAsia" w:ascii="Times New Roman" w:hAnsi="Times New Roman" w:cs="Times New Roman"/>
          <w:b/>
        </w:rPr>
        <w:t xml:space="preserve">  </w:t>
      </w:r>
      <w:r>
        <w:rPr>
          <w:b/>
          <w:bCs/>
          <w:kern w:val="0"/>
        </w:rPr>
        <w:t>分子生物学技术发展及其在农业科学中的应用</w:t>
      </w:r>
    </w:p>
    <w:p>
      <w:pPr>
        <w:snapToGrid w:val="0"/>
        <w:spacing w:line="360" w:lineRule="auto"/>
        <w:rPr>
          <w:rFonts w:ascii="宋体" w:hAnsi="宋体"/>
          <w:b/>
          <w:szCs w:val="21"/>
        </w:rPr>
      </w:pPr>
      <w:r>
        <w:rPr>
          <w:rFonts w:hint="eastAsia" w:ascii="宋体" w:hAnsi="宋体"/>
          <w:b/>
          <w:szCs w:val="21"/>
        </w:rPr>
        <w:t>（一）学习目标</w:t>
      </w:r>
    </w:p>
    <w:p>
      <w:pPr>
        <w:adjustRightInd w:val="0"/>
        <w:snapToGrid w:val="0"/>
        <w:spacing w:line="360" w:lineRule="auto"/>
        <w:ind w:left="420" w:leftChars="200"/>
        <w:rPr>
          <w:szCs w:val="21"/>
        </w:rPr>
      </w:pPr>
      <w:r>
        <w:rPr>
          <w:b/>
          <w:szCs w:val="21"/>
        </w:rPr>
        <w:t>1. 一般了解</w:t>
      </w:r>
      <w:r>
        <w:rPr>
          <w:szCs w:val="21"/>
        </w:rPr>
        <w:t>：</w:t>
      </w:r>
      <w:r>
        <w:rPr>
          <w:kern w:val="0"/>
          <w:szCs w:val="21"/>
        </w:rPr>
        <w:t>各种分子生物学技术的</w:t>
      </w:r>
      <w:r>
        <w:rPr>
          <w:rFonts w:hint="eastAsia"/>
          <w:kern w:val="0"/>
          <w:szCs w:val="21"/>
        </w:rPr>
        <w:t>发展趋势。</w:t>
      </w:r>
    </w:p>
    <w:p>
      <w:pPr>
        <w:adjustRightInd w:val="0"/>
        <w:snapToGrid w:val="0"/>
        <w:spacing w:line="360" w:lineRule="auto"/>
        <w:ind w:left="420" w:leftChars="200"/>
        <w:rPr>
          <w:szCs w:val="21"/>
        </w:rPr>
      </w:pPr>
      <w:r>
        <w:rPr>
          <w:b/>
          <w:szCs w:val="21"/>
        </w:rPr>
        <w:t>2. 一般掌握</w:t>
      </w:r>
      <w:r>
        <w:rPr>
          <w:szCs w:val="21"/>
        </w:rPr>
        <w:t>：</w:t>
      </w:r>
      <w:r>
        <w:rPr>
          <w:rFonts w:hint="eastAsia"/>
          <w:kern w:val="0"/>
          <w:szCs w:val="21"/>
        </w:rPr>
        <w:t>多种</w:t>
      </w:r>
      <w:r>
        <w:rPr>
          <w:kern w:val="0"/>
          <w:szCs w:val="21"/>
        </w:rPr>
        <w:t>分子生物学技术的原理</w:t>
      </w:r>
      <w:r>
        <w:rPr>
          <w:rFonts w:hint="eastAsia"/>
          <w:szCs w:val="21"/>
        </w:rPr>
        <w:t>。</w:t>
      </w:r>
    </w:p>
    <w:p>
      <w:pPr>
        <w:adjustRightInd w:val="0"/>
        <w:snapToGrid w:val="0"/>
        <w:spacing w:line="360" w:lineRule="auto"/>
        <w:ind w:left="420" w:leftChars="200"/>
        <w:rPr>
          <w:b/>
          <w:szCs w:val="21"/>
        </w:rPr>
      </w:pPr>
      <w:r>
        <w:rPr>
          <w:b/>
          <w:szCs w:val="21"/>
        </w:rPr>
        <w:t>3. 熟练掌握</w:t>
      </w:r>
      <w:r>
        <w:rPr>
          <w:szCs w:val="21"/>
        </w:rPr>
        <w:t>：</w:t>
      </w:r>
      <w:r>
        <w:rPr>
          <w:rFonts w:hint="eastAsia"/>
          <w:kern w:val="0"/>
          <w:szCs w:val="21"/>
        </w:rPr>
        <w:t>多种</w:t>
      </w:r>
      <w:r>
        <w:rPr>
          <w:kern w:val="0"/>
          <w:szCs w:val="21"/>
        </w:rPr>
        <w:t>分子生物学技术</w:t>
      </w:r>
      <w:r>
        <w:rPr>
          <w:rFonts w:hint="eastAsia"/>
          <w:kern w:val="0"/>
          <w:szCs w:val="21"/>
        </w:rPr>
        <w:t>（</w:t>
      </w:r>
      <w:r>
        <w:rPr>
          <w:rFonts w:hint="eastAsia"/>
          <w:szCs w:val="21"/>
        </w:rPr>
        <w:t>PCR技术、分子标记技术、反义RNA技术、基因敲除技术</w:t>
      </w:r>
      <w:r>
        <w:rPr>
          <w:rFonts w:hint="eastAsia"/>
          <w:kern w:val="0"/>
          <w:szCs w:val="21"/>
        </w:rPr>
        <w:t>）</w:t>
      </w:r>
      <w:r>
        <w:rPr>
          <w:kern w:val="0"/>
          <w:szCs w:val="21"/>
        </w:rPr>
        <w:t>的应用</w:t>
      </w:r>
      <w:r>
        <w:rPr>
          <w:rFonts w:hint="eastAsia"/>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b/>
          <w:szCs w:val="21"/>
        </w:rPr>
      </w:pPr>
      <w:r>
        <w:rPr>
          <w:rFonts w:hint="eastAsia"/>
          <w:kern w:val="0"/>
          <w:szCs w:val="21"/>
        </w:rPr>
        <w:t>多种</w:t>
      </w:r>
      <w:r>
        <w:rPr>
          <w:kern w:val="0"/>
          <w:szCs w:val="21"/>
        </w:rPr>
        <w:t>分子生物学技术的原理</w:t>
      </w:r>
      <w:r>
        <w:rPr>
          <w:rFonts w:hint="eastAsia"/>
          <w:kern w:val="0"/>
          <w:szCs w:val="21"/>
        </w:rPr>
        <w:t>、</w:t>
      </w:r>
      <w:r>
        <w:rPr>
          <w:rFonts w:hint="eastAsia"/>
          <w:szCs w:val="21"/>
        </w:rPr>
        <w:t>应用及其发展趋势。</w:t>
      </w:r>
    </w:p>
    <w:p>
      <w:pPr>
        <w:snapToGrid w:val="0"/>
        <w:spacing w:before="156" w:beforeLines="50" w:line="360" w:lineRule="auto"/>
        <w:rPr>
          <w:rFonts w:ascii="宋体" w:hAnsi="宋体"/>
          <w:b/>
          <w:szCs w:val="21"/>
        </w:rPr>
      </w:pPr>
      <w:r>
        <w:rPr>
          <w:rFonts w:hint="eastAsia" w:ascii="宋体" w:hAnsi="宋体"/>
          <w:b/>
          <w:szCs w:val="21"/>
        </w:rPr>
        <w:t>（三）考核要求</w:t>
      </w:r>
    </w:p>
    <w:p>
      <w:pPr>
        <w:adjustRightInd w:val="0"/>
        <w:snapToGrid w:val="0"/>
        <w:spacing w:line="360" w:lineRule="auto"/>
        <w:ind w:left="420" w:leftChars="200"/>
        <w:rPr>
          <w:b/>
          <w:szCs w:val="21"/>
        </w:rPr>
      </w:pPr>
      <w:r>
        <w:rPr>
          <w:b/>
          <w:szCs w:val="21"/>
        </w:rPr>
        <w:t>1、识记</w:t>
      </w:r>
      <w:r>
        <w:rPr>
          <w:szCs w:val="21"/>
        </w:rPr>
        <w:t>：</w:t>
      </w:r>
      <w:r>
        <w:rPr>
          <w:kern w:val="0"/>
          <w:szCs w:val="21"/>
        </w:rPr>
        <w:t>各种分子生物学技术的</w:t>
      </w:r>
      <w:r>
        <w:rPr>
          <w:rFonts w:hint="eastAsia"/>
          <w:kern w:val="0"/>
          <w:szCs w:val="21"/>
        </w:rPr>
        <w:t>应用</w:t>
      </w:r>
      <w:r>
        <w:rPr>
          <w:kern w:val="0"/>
          <w:szCs w:val="21"/>
        </w:rPr>
        <w:t>。</w:t>
      </w:r>
    </w:p>
    <w:p>
      <w:pPr>
        <w:adjustRightInd w:val="0"/>
        <w:snapToGrid w:val="0"/>
        <w:spacing w:line="360" w:lineRule="auto"/>
        <w:ind w:left="420" w:leftChars="200"/>
        <w:rPr>
          <w:b/>
          <w:szCs w:val="21"/>
        </w:rPr>
      </w:pPr>
      <w:r>
        <w:rPr>
          <w:b/>
          <w:szCs w:val="21"/>
        </w:rPr>
        <w:t>2、领会</w:t>
      </w:r>
      <w:r>
        <w:rPr>
          <w:szCs w:val="21"/>
        </w:rPr>
        <w:t>：</w:t>
      </w:r>
      <w:r>
        <w:rPr>
          <w:rFonts w:hint="eastAsia"/>
          <w:kern w:val="0"/>
          <w:szCs w:val="21"/>
        </w:rPr>
        <w:t>多种</w:t>
      </w:r>
      <w:r>
        <w:rPr>
          <w:kern w:val="0"/>
          <w:szCs w:val="21"/>
        </w:rPr>
        <w:t>分子生物学技术的原理</w:t>
      </w:r>
      <w:r>
        <w:rPr>
          <w:rFonts w:hint="eastAsia"/>
          <w:szCs w:val="21"/>
        </w:rPr>
        <w:t>。</w:t>
      </w:r>
    </w:p>
    <w:p>
      <w:pPr>
        <w:adjustRightInd w:val="0"/>
        <w:snapToGrid w:val="0"/>
        <w:spacing w:line="360" w:lineRule="auto"/>
        <w:ind w:left="420" w:leftChars="200"/>
        <w:rPr>
          <w:b/>
          <w:szCs w:val="21"/>
        </w:rPr>
      </w:pPr>
      <w:r>
        <w:rPr>
          <w:b/>
          <w:szCs w:val="21"/>
        </w:rPr>
        <w:t>3、应用</w:t>
      </w:r>
      <w:r>
        <w:rPr>
          <w:szCs w:val="21"/>
        </w:rPr>
        <w:t>：</w:t>
      </w:r>
      <w:r>
        <w:rPr>
          <w:rFonts w:hint="eastAsia"/>
          <w:kern w:val="0"/>
          <w:szCs w:val="21"/>
        </w:rPr>
        <w:t>多种</w:t>
      </w:r>
      <w:r>
        <w:rPr>
          <w:kern w:val="0"/>
          <w:szCs w:val="21"/>
        </w:rPr>
        <w:t>分子生物学技术的</w:t>
      </w:r>
      <w:r>
        <w:rPr>
          <w:rFonts w:hint="eastAsia"/>
          <w:kern w:val="0"/>
          <w:szCs w:val="21"/>
        </w:rPr>
        <w:t>发展趋势。</w:t>
      </w:r>
    </w:p>
    <w:p>
      <w:pPr>
        <w:adjustRightInd w:val="0"/>
        <w:snapToGrid w:val="0"/>
        <w:spacing w:line="360" w:lineRule="auto"/>
        <w:ind w:left="420" w:leftChars="200"/>
        <w:rPr>
          <w:rFonts w:hAnsi="宋体"/>
          <w:bCs/>
          <w:szCs w:val="21"/>
        </w:rPr>
      </w:pPr>
      <w:r>
        <w:rPr>
          <w:b/>
          <w:szCs w:val="21"/>
        </w:rPr>
        <w:t>4、综合</w:t>
      </w:r>
      <w:r>
        <w:rPr>
          <w:szCs w:val="21"/>
        </w:rPr>
        <w:t>：</w:t>
      </w:r>
      <w:r>
        <w:rPr>
          <w:rFonts w:hint="eastAsia"/>
          <w:szCs w:val="21"/>
        </w:rPr>
        <w:t>PCR技术、分子标记技术、基因表达谱研究技术、反义RNA技术、基因敲除技术及生物芯片技术的发展及其在农业科学中的应用</w:t>
      </w:r>
      <w:r>
        <w:rPr>
          <w:rFonts w:hint="eastAsia" w:hAnsi="宋体"/>
          <w:bCs/>
          <w:szCs w:val="21"/>
        </w:rPr>
        <w:t>。</w:t>
      </w:r>
    </w:p>
    <w:p>
      <w:pPr>
        <w:adjustRightInd w:val="0"/>
        <w:snapToGrid w:val="0"/>
        <w:spacing w:line="360" w:lineRule="auto"/>
        <w:ind w:left="420" w:leftChars="200"/>
        <w:rPr>
          <w:szCs w:val="21"/>
        </w:rPr>
      </w:pPr>
      <w:r>
        <w:rPr>
          <w:rFonts w:hint="eastAsia"/>
          <w:b/>
          <w:szCs w:val="21"/>
        </w:rPr>
        <w:t>5</w:t>
      </w:r>
      <w:r>
        <w:rPr>
          <w:b/>
          <w:szCs w:val="21"/>
        </w:rPr>
        <w:t>、</w:t>
      </w:r>
      <w:r>
        <w:rPr>
          <w:rFonts w:hint="eastAsia"/>
          <w:b/>
          <w:szCs w:val="21"/>
        </w:rPr>
        <w:t>评价：</w:t>
      </w:r>
      <w:r>
        <w:rPr>
          <w:rFonts w:hint="eastAsia"/>
          <w:szCs w:val="21"/>
        </w:rPr>
        <w:t>课堂</w:t>
      </w:r>
      <w:r>
        <w:rPr>
          <w:szCs w:val="21"/>
        </w:rPr>
        <w:t>提问</w:t>
      </w:r>
      <w:r>
        <w:rPr>
          <w:rFonts w:hint="eastAsia"/>
          <w:szCs w:val="21"/>
        </w:rPr>
        <w:t>、课上讨论、学生</w:t>
      </w:r>
      <w:r>
        <w:rPr>
          <w:szCs w:val="21"/>
        </w:rPr>
        <w:t>互动和课后</w:t>
      </w:r>
      <w:r>
        <w:rPr>
          <w:rFonts w:hint="eastAsia"/>
          <w:szCs w:val="21"/>
        </w:rPr>
        <w:t>作业。</w:t>
      </w:r>
    </w:p>
    <w:p>
      <w:pPr>
        <w:adjustRightInd w:val="0"/>
        <w:snapToGrid w:val="0"/>
        <w:spacing w:line="360" w:lineRule="auto"/>
        <w:rPr>
          <w:b/>
          <w:szCs w:val="21"/>
        </w:rPr>
      </w:pPr>
      <w:r>
        <w:rPr>
          <w:b/>
          <w:szCs w:val="21"/>
        </w:rPr>
        <w:t>三、实验教学部分的考核要求</w:t>
      </w:r>
    </w:p>
    <w:p>
      <w:pPr>
        <w:adjustRightInd w:val="0"/>
        <w:snapToGrid w:val="0"/>
        <w:spacing w:line="360" w:lineRule="auto"/>
        <w:ind w:firstLine="420" w:firstLineChars="200"/>
        <w:rPr>
          <w:szCs w:val="21"/>
        </w:rPr>
      </w:pPr>
      <w:r>
        <w:rPr>
          <w:rFonts w:hint="eastAsia"/>
          <w:szCs w:val="21"/>
        </w:rPr>
        <w:t>要求学生能认识实验相关的仪器，并能应用这些仪器进行简单的分子生物学实验；理解两个综合实验的基本原理，并能对实验结果进行分析。实验成绩分两部分</w:t>
      </w:r>
      <w:r>
        <w:rPr>
          <w:rFonts w:hint="eastAsia"/>
        </w:rPr>
        <w:t>：</w:t>
      </w:r>
      <w:r>
        <w:rPr>
          <w:rFonts w:hint="eastAsia"/>
          <w:szCs w:val="21"/>
        </w:rPr>
        <w:t>实验报告成绩占60％；</w:t>
      </w:r>
      <w:r>
        <w:rPr>
          <w:rFonts w:hint="eastAsia"/>
        </w:rPr>
        <w:t>平时课堂</w:t>
      </w:r>
      <w:r>
        <w:rPr>
          <w:rFonts w:hint="eastAsia"/>
          <w:szCs w:val="21"/>
        </w:rPr>
        <w:t>实验操作技能考核占40％。</w:t>
      </w:r>
    </w:p>
    <w:p>
      <w:pPr>
        <w:adjustRightInd w:val="0"/>
        <w:snapToGrid w:val="0"/>
        <w:spacing w:line="360" w:lineRule="auto"/>
        <w:rPr>
          <w:rFonts w:ascii="宋体" w:hAnsi="宋体"/>
          <w:b/>
          <w:szCs w:val="21"/>
        </w:rPr>
      </w:pPr>
      <w:r>
        <w:rPr>
          <w:rFonts w:hint="eastAsia"/>
          <w:b/>
          <w:szCs w:val="21"/>
        </w:rPr>
        <w:t>四</w:t>
      </w:r>
      <w:r>
        <w:rPr>
          <w:rFonts w:hint="eastAsia" w:ascii="宋体" w:hAnsi="宋体"/>
          <w:b/>
          <w:szCs w:val="21"/>
        </w:rPr>
        <w:t>、考核方式</w:t>
      </w:r>
    </w:p>
    <w:p>
      <w:pPr>
        <w:adjustRightInd w:val="0"/>
        <w:snapToGrid w:val="0"/>
        <w:spacing w:line="360" w:lineRule="auto"/>
        <w:ind w:firstLine="308" w:firstLineChars="147"/>
        <w:rPr>
          <w:szCs w:val="21"/>
        </w:rPr>
      </w:pPr>
      <w:r>
        <w:rPr>
          <w:rFonts w:hint="eastAsia"/>
          <w:szCs w:val="21"/>
        </w:rPr>
        <w:t>（1）理论教学考试方式及时间</w:t>
      </w:r>
    </w:p>
    <w:p>
      <w:pPr>
        <w:adjustRightInd w:val="0"/>
        <w:snapToGrid w:val="0"/>
        <w:spacing w:line="360" w:lineRule="auto"/>
        <w:ind w:firstLine="308" w:firstLineChars="147"/>
        <w:rPr>
          <w:szCs w:val="21"/>
        </w:rPr>
      </w:pPr>
      <w:r>
        <w:rPr>
          <w:rFonts w:hint="eastAsia"/>
          <w:szCs w:val="21"/>
        </w:rPr>
        <w:t>理论教学采用笔试，闭卷，考试时间为100分钟。一般在课程结束后的期末考试周进行。</w:t>
      </w:r>
    </w:p>
    <w:p>
      <w:pPr>
        <w:adjustRightInd w:val="0"/>
        <w:snapToGrid w:val="0"/>
        <w:spacing w:line="360" w:lineRule="auto"/>
        <w:ind w:firstLine="308" w:firstLineChars="147"/>
        <w:rPr>
          <w:szCs w:val="21"/>
        </w:rPr>
      </w:pPr>
      <w:r>
        <w:rPr>
          <w:rFonts w:hint="eastAsia"/>
          <w:szCs w:val="21"/>
        </w:rPr>
        <w:t>（2）实验教学考试方式及时间</w:t>
      </w:r>
    </w:p>
    <w:p>
      <w:pPr>
        <w:adjustRightInd w:val="0"/>
        <w:snapToGrid w:val="0"/>
        <w:spacing w:line="360" w:lineRule="auto"/>
        <w:ind w:firstLine="308" w:firstLineChars="147"/>
        <w:rPr>
          <w:szCs w:val="21"/>
        </w:rPr>
      </w:pPr>
      <w:r>
        <w:rPr>
          <w:rFonts w:hint="eastAsia"/>
          <w:szCs w:val="21"/>
        </w:rPr>
        <w:t>实验教学采用考勤和实验报告评价的方式进行考评。</w:t>
      </w:r>
    </w:p>
    <w:p>
      <w:pPr>
        <w:adjustRightInd w:val="0"/>
        <w:snapToGrid w:val="0"/>
        <w:spacing w:line="360" w:lineRule="auto"/>
        <w:ind w:firstLine="308" w:firstLineChars="147"/>
        <w:rPr>
          <w:szCs w:val="21"/>
        </w:rPr>
      </w:pPr>
      <w:r>
        <w:rPr>
          <w:rFonts w:hint="eastAsia"/>
          <w:szCs w:val="21"/>
        </w:rPr>
        <w:t>（3）考试题型包括：名词解释、填空题、判断题、简答题和问答题等</w:t>
      </w:r>
      <w:r>
        <w:rPr>
          <w:szCs w:val="21"/>
        </w:rPr>
        <w:t>5</w:t>
      </w:r>
      <w:r>
        <w:rPr>
          <w:rFonts w:hint="eastAsia"/>
          <w:szCs w:val="21"/>
        </w:rPr>
        <w:t>种类型。</w:t>
      </w:r>
    </w:p>
    <w:p>
      <w:pPr>
        <w:adjustRightInd w:val="0"/>
        <w:snapToGrid w:val="0"/>
        <w:spacing w:line="360" w:lineRule="auto"/>
        <w:rPr>
          <w:rFonts w:ascii="宋体" w:hAnsi="宋体"/>
          <w:b/>
          <w:szCs w:val="21"/>
        </w:rPr>
      </w:pPr>
      <w:r>
        <w:rPr>
          <w:rFonts w:hint="eastAsia" w:ascii="宋体" w:hAnsi="宋体"/>
          <w:b/>
          <w:szCs w:val="21"/>
        </w:rPr>
        <w:t>五、成绩评定</w:t>
      </w:r>
    </w:p>
    <w:p>
      <w:pPr>
        <w:adjustRightInd w:val="0"/>
        <w:snapToGrid w:val="0"/>
        <w:spacing w:line="360" w:lineRule="auto"/>
        <w:ind w:firstLine="420" w:firstLineChars="200"/>
        <w:rPr>
          <w:szCs w:val="21"/>
        </w:rPr>
      </w:pPr>
      <w:r>
        <w:rPr>
          <w:szCs w:val="21"/>
        </w:rPr>
        <w:t>理论</w:t>
      </w:r>
      <w:r>
        <w:rPr>
          <w:rFonts w:hint="eastAsia"/>
          <w:szCs w:val="21"/>
        </w:rPr>
        <w:t>考试成绩占</w:t>
      </w:r>
      <w:r>
        <w:rPr>
          <w:szCs w:val="21"/>
        </w:rPr>
        <w:t>50%</w:t>
      </w:r>
      <w:r>
        <w:rPr>
          <w:rFonts w:hint="eastAsia"/>
          <w:szCs w:val="21"/>
        </w:rPr>
        <w:t>，实验成绩占</w:t>
      </w:r>
      <w:r>
        <w:rPr>
          <w:szCs w:val="21"/>
        </w:rPr>
        <w:t>3</w:t>
      </w:r>
      <w:r>
        <w:rPr>
          <w:rFonts w:hint="eastAsia"/>
          <w:szCs w:val="21"/>
        </w:rPr>
        <w:t>0%，平时成绩占</w:t>
      </w:r>
      <w:r>
        <w:rPr>
          <w:szCs w:val="21"/>
        </w:rPr>
        <w:t>20%</w:t>
      </w:r>
      <w:r>
        <w:rPr>
          <w:rFonts w:hint="eastAsia"/>
          <w:szCs w:val="21"/>
        </w:rPr>
        <w:t>。</w:t>
      </w:r>
    </w:p>
    <w:p>
      <w:pPr>
        <w:snapToGrid w:val="0"/>
        <w:spacing w:line="360" w:lineRule="auto"/>
        <w:rPr>
          <w:rFonts w:ascii="宋体" w:hAnsi="宋体"/>
          <w:b/>
          <w:szCs w:val="21"/>
        </w:rPr>
      </w:pPr>
      <w:r>
        <w:rPr>
          <w:rFonts w:hint="eastAsia" w:ascii="宋体" w:hAnsi="宋体"/>
          <w:b/>
          <w:szCs w:val="21"/>
        </w:rPr>
        <w:t>六、考核结果分析反馈</w:t>
      </w:r>
    </w:p>
    <w:p>
      <w:pPr>
        <w:snapToGrid w:val="0"/>
        <w:spacing w:line="360" w:lineRule="auto"/>
        <w:ind w:firstLine="420" w:firstLineChars="200"/>
        <w:rPr>
          <w:rFonts w:ascii="宋体" w:hAnsi="宋体"/>
          <w:bCs/>
          <w:szCs w:val="21"/>
        </w:rPr>
      </w:pPr>
      <w:r>
        <w:rPr>
          <w:rFonts w:hint="eastAsia" w:ascii="宋体" w:hAnsi="宋体"/>
          <w:bCs/>
          <w:szCs w:val="21"/>
        </w:rPr>
        <w:t>由于本课程涉及</w:t>
      </w:r>
      <w:r>
        <w:rPr>
          <w:rFonts w:ascii="宋体" w:hAnsi="宋体"/>
          <w:bCs/>
          <w:szCs w:val="21"/>
        </w:rPr>
        <w:t>的</w:t>
      </w:r>
      <w:r>
        <w:rPr>
          <w:rFonts w:hint="eastAsia" w:ascii="宋体" w:hAnsi="宋体"/>
          <w:bCs/>
          <w:szCs w:val="21"/>
        </w:rPr>
        <w:t>理论知识</w:t>
      </w:r>
      <w:r>
        <w:rPr>
          <w:rFonts w:ascii="宋体" w:hAnsi="宋体"/>
          <w:bCs/>
          <w:szCs w:val="21"/>
        </w:rPr>
        <w:t>和</w:t>
      </w:r>
      <w:r>
        <w:rPr>
          <w:rFonts w:hint="eastAsia" w:ascii="宋体" w:hAnsi="宋体"/>
          <w:bCs/>
          <w:szCs w:val="21"/>
        </w:rPr>
        <w:t>实验</w:t>
      </w:r>
      <w:r>
        <w:rPr>
          <w:rFonts w:ascii="宋体" w:hAnsi="宋体"/>
          <w:bCs/>
          <w:szCs w:val="21"/>
        </w:rPr>
        <w:t>操作技能相对</w:t>
      </w:r>
      <w:r>
        <w:rPr>
          <w:rFonts w:hint="eastAsia" w:ascii="宋体" w:hAnsi="宋体"/>
          <w:bCs/>
          <w:szCs w:val="21"/>
        </w:rPr>
        <w:t>较多</w:t>
      </w:r>
      <w:r>
        <w:rPr>
          <w:rFonts w:ascii="宋体" w:hAnsi="宋体"/>
          <w:bCs/>
          <w:szCs w:val="21"/>
        </w:rPr>
        <w:t>，</w:t>
      </w:r>
      <w:r>
        <w:rPr>
          <w:rFonts w:hint="eastAsia" w:ascii="宋体" w:hAnsi="宋体"/>
          <w:bCs/>
          <w:szCs w:val="21"/>
        </w:rPr>
        <w:t>而且基本知识比较抽象复杂</w:t>
      </w:r>
      <w:r>
        <w:rPr>
          <w:rFonts w:ascii="宋体" w:hAnsi="宋体"/>
          <w:bCs/>
          <w:szCs w:val="21"/>
        </w:rPr>
        <w:t>。</w:t>
      </w:r>
      <w:r>
        <w:rPr>
          <w:rFonts w:hint="eastAsia" w:ascii="宋体" w:hAnsi="宋体"/>
          <w:bCs/>
          <w:szCs w:val="21"/>
        </w:rPr>
        <w:t>为了</w:t>
      </w:r>
      <w:r>
        <w:rPr>
          <w:rFonts w:ascii="宋体" w:hAnsi="宋体"/>
          <w:bCs/>
          <w:szCs w:val="21"/>
        </w:rPr>
        <w:t>让学生更好的掌握</w:t>
      </w:r>
      <w:r>
        <w:rPr>
          <w:rFonts w:hint="eastAsia" w:ascii="宋体" w:hAnsi="宋体"/>
          <w:bCs/>
          <w:szCs w:val="21"/>
        </w:rPr>
        <w:t>分子生物学</w:t>
      </w:r>
      <w:r>
        <w:rPr>
          <w:rFonts w:ascii="宋体" w:hAnsi="宋体"/>
          <w:bCs/>
          <w:szCs w:val="21"/>
        </w:rPr>
        <w:t>的</w:t>
      </w:r>
      <w:r>
        <w:rPr>
          <w:rFonts w:hint="eastAsia" w:ascii="宋体" w:hAnsi="宋体"/>
          <w:bCs/>
          <w:szCs w:val="21"/>
        </w:rPr>
        <w:t>基本</w:t>
      </w:r>
      <w:r>
        <w:rPr>
          <w:rFonts w:ascii="宋体" w:hAnsi="宋体"/>
          <w:bCs/>
          <w:szCs w:val="21"/>
        </w:rPr>
        <w:t>原理和技术</w:t>
      </w:r>
      <w:r>
        <w:rPr>
          <w:rFonts w:hint="eastAsia" w:ascii="宋体" w:hAnsi="宋体"/>
          <w:bCs/>
          <w:szCs w:val="21"/>
        </w:rPr>
        <w:t>，</w:t>
      </w:r>
      <w:r>
        <w:rPr>
          <w:rFonts w:ascii="宋体" w:hAnsi="宋体"/>
          <w:bCs/>
          <w:szCs w:val="21"/>
        </w:rPr>
        <w:t>有必要及时</w:t>
      </w:r>
      <w:r>
        <w:rPr>
          <w:rFonts w:hint="eastAsia" w:ascii="宋体" w:hAnsi="宋体"/>
          <w:bCs/>
          <w:szCs w:val="21"/>
        </w:rPr>
        <w:t>跟踪</w:t>
      </w:r>
      <w:r>
        <w:rPr>
          <w:rFonts w:ascii="宋体" w:hAnsi="宋体"/>
          <w:bCs/>
          <w:szCs w:val="21"/>
        </w:rPr>
        <w:t>了解学生的学习情况</w:t>
      </w:r>
      <w:r>
        <w:rPr>
          <w:rFonts w:hint="eastAsia" w:ascii="宋体" w:hAnsi="宋体"/>
          <w:bCs/>
          <w:szCs w:val="21"/>
        </w:rPr>
        <w:t>。</w:t>
      </w:r>
      <w:r>
        <w:rPr>
          <w:rFonts w:hint="eastAsia" w:hAnsiTheme="minorEastAsia" w:eastAsiaTheme="minorEastAsia"/>
          <w:szCs w:val="21"/>
        </w:rPr>
        <w:t>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pPr>
        <w:pStyle w:val="35"/>
        <w:numPr>
          <w:ilvl w:val="0"/>
          <w:numId w:val="47"/>
        </w:numPr>
        <w:spacing w:after="200" w:line="360" w:lineRule="auto"/>
        <w:ind w:firstLineChars="0"/>
        <w:contextualSpacing/>
        <w:jc w:val="left"/>
        <w:rPr>
          <w:rFonts w:hAnsiTheme="minorEastAsia" w:eastAsiaTheme="minorEastAsia"/>
          <w:szCs w:val="21"/>
        </w:rPr>
      </w:pPr>
      <w:r>
        <w:rPr>
          <w:rFonts w:hint="eastAsia" w:hAnsiTheme="minorEastAsia" w:eastAsiaTheme="minorEastAsia"/>
          <w:szCs w:val="21"/>
        </w:rPr>
        <w:t>考核结果分析</w:t>
      </w:r>
    </w:p>
    <w:p>
      <w:pPr>
        <w:pStyle w:val="35"/>
        <w:spacing w:line="360" w:lineRule="auto"/>
        <w:jc w:val="left"/>
        <w:rPr>
          <w:rFonts w:hAnsiTheme="minorEastAsia" w:eastAsiaTheme="minorEastAsia"/>
          <w:szCs w:val="21"/>
        </w:rPr>
      </w:pPr>
      <w:r>
        <w:rPr>
          <w:rFonts w:hint="eastAsia" w:hAnsiTheme="minorEastAsia" w:eastAsiaTheme="minorEastAsia"/>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pPr>
        <w:pStyle w:val="35"/>
        <w:numPr>
          <w:ilvl w:val="0"/>
          <w:numId w:val="47"/>
        </w:numPr>
        <w:spacing w:after="200" w:line="360" w:lineRule="auto"/>
        <w:ind w:firstLineChars="0"/>
        <w:contextualSpacing/>
        <w:jc w:val="left"/>
        <w:rPr>
          <w:rFonts w:hAnsiTheme="minorEastAsia" w:eastAsiaTheme="minorEastAsia"/>
          <w:szCs w:val="21"/>
        </w:rPr>
      </w:pPr>
      <w:r>
        <w:rPr>
          <w:rFonts w:hint="eastAsia" w:hAnsiTheme="minorEastAsia" w:eastAsiaTheme="minorEastAsia"/>
          <w:szCs w:val="21"/>
        </w:rPr>
        <w:t>考核结果反馈</w:t>
      </w:r>
    </w:p>
    <w:p>
      <w:pPr>
        <w:pStyle w:val="35"/>
        <w:spacing w:line="360" w:lineRule="auto"/>
        <w:jc w:val="left"/>
      </w:pPr>
      <w:r>
        <w:rPr>
          <w:rFonts w:hint="eastAsia" w:hAnsiTheme="minorEastAsia" w:eastAsiaTheme="minorEastAsia"/>
          <w:szCs w:val="21"/>
        </w:rPr>
        <w:t>针对本门课程提高学生分子生物学综合素质的教学目标，考核形式分为理论课教学考核与实验课考核。针对理论课教学考核，反馈形式体现在平时的教学过程中，采用课堂集中形式对考核结果的共性问题进行统一讲解，查找原因。例如：原核表达与真核表达的差异、</w:t>
      </w:r>
      <w:r>
        <w:rPr>
          <w:rFonts w:hint="eastAsia" w:hAnsi="Arial"/>
          <w:kern w:val="0"/>
          <w:szCs w:val="21"/>
        </w:rPr>
        <w:t>蛋白质翻译准确起始的机制</w:t>
      </w:r>
      <w:r>
        <w:rPr>
          <w:rFonts w:hint="eastAsia" w:hAnsiTheme="minorEastAsia" w:eastAsiaTheme="minorEastAsia"/>
          <w:szCs w:val="21"/>
        </w:rPr>
        <w:t>等。对于实验课考核，反馈形式体现在学生对实验的熟练操作的掌握上。针对考核结果分析中成绩严重偏态分布的情况，应及时调整教学内容、教学方法、强化过程性考核。</w:t>
      </w:r>
    </w:p>
    <w:p>
      <w:pPr>
        <w:widowControl/>
        <w:jc w:val="left"/>
        <w:rPr>
          <w:rFonts w:ascii="宋体" w:hAnsi="宋体"/>
        </w:rPr>
      </w:pPr>
    </w:p>
    <w:p>
      <w:pPr>
        <w:rPr>
          <w:rFonts w:ascii="宋体" w:hAnsi="宋体"/>
          <w:b/>
          <w:sz w:val="28"/>
          <w:szCs w:val="28"/>
        </w:rPr>
      </w:pPr>
      <w:r>
        <w:rPr>
          <w:rFonts w:ascii="宋体" w:hAnsi="宋体"/>
          <w:b/>
          <w:sz w:val="28"/>
          <w:szCs w:val="28"/>
        </w:rPr>
        <w:br w:type="page"/>
      </w:r>
    </w:p>
    <w:p>
      <w:pPr>
        <w:snapToGrid w:val="0"/>
        <w:spacing w:before="240" w:line="360" w:lineRule="auto"/>
        <w:jc w:val="center"/>
        <w:rPr>
          <w:rFonts w:ascii="宋体" w:hAnsi="宋体"/>
          <w:b/>
          <w:sz w:val="28"/>
          <w:szCs w:val="28"/>
        </w:rPr>
      </w:pPr>
      <w:r>
        <w:rPr>
          <w:rStyle w:val="29"/>
        </w:rPr>
        <w:softHyphen/>
      </w:r>
      <w:r>
        <w:rPr>
          <w:rStyle w:val="29"/>
          <w:rFonts w:hint="eastAsia"/>
        </w:rPr>
        <w:softHyphen/>
      </w:r>
      <w:r>
        <w:rPr>
          <w:rStyle w:val="29"/>
          <w:rFonts w:hint="eastAsia"/>
        </w:rPr>
        <w:softHyphen/>
      </w:r>
      <w:r>
        <w:rPr>
          <w:rStyle w:val="29"/>
          <w:rFonts w:hint="eastAsia"/>
        </w:rPr>
        <w:softHyphen/>
      </w:r>
      <w:r>
        <w:rPr>
          <w:rStyle w:val="29"/>
          <w:rFonts w:hint="eastAsia"/>
        </w:rPr>
        <w:t>园艺植物遗传学考核大纲</w:t>
      </w:r>
      <w:r>
        <w:rPr>
          <w:rStyle w:val="36"/>
          <w:rFonts w:hint="eastAsia"/>
          <w:sz w:val="28"/>
        </w:rPr>
        <w:t xml:space="preserve"> </w:t>
      </w:r>
    </w:p>
    <w:p>
      <w:pPr>
        <w:snapToGrid w:val="0"/>
        <w:spacing w:line="360" w:lineRule="auto"/>
        <w:jc w:val="center"/>
        <w:rPr>
          <w:rFonts w:hAnsi="宋体"/>
          <w:sz w:val="28"/>
          <w:szCs w:val="28"/>
        </w:rPr>
      </w:pPr>
      <w:r>
        <w:rPr>
          <w:rFonts w:hint="eastAsia" w:hAnsi="宋体"/>
          <w:sz w:val="28"/>
          <w:szCs w:val="28"/>
        </w:rPr>
        <w:t>（</w:t>
      </w:r>
      <w:r>
        <w:rPr>
          <w:rFonts w:hAnsi="宋体"/>
          <w:i w:val="0"/>
          <w:iCs w:val="0"/>
          <w:sz w:val="24"/>
        </w:rPr>
        <w:t>Horticultural Plant Genetics</w:t>
      </w:r>
      <w:r>
        <w:rPr>
          <w:rFonts w:hAnsi="宋体"/>
          <w:sz w:val="28"/>
          <w:szCs w:val="28"/>
        </w:rPr>
        <w:t>）</w:t>
      </w:r>
    </w:p>
    <w:p>
      <w:pPr>
        <w:snapToGrid w:val="0"/>
        <w:spacing w:line="360" w:lineRule="auto"/>
        <w:jc w:val="center"/>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038"/>
        <w:gridCol w:w="2649"/>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38" w:type="dxa"/>
          </w:tcPr>
          <w:p>
            <w:pPr>
              <w:spacing w:line="300" w:lineRule="auto"/>
              <w:ind w:firstLine="422"/>
              <w:rPr>
                <w:rFonts w:ascii="宋体" w:hAnsi="宋体"/>
                <w:b/>
                <w:bCs/>
                <w:szCs w:val="21"/>
              </w:rPr>
            </w:pPr>
            <w:r>
              <w:rPr>
                <w:rFonts w:hint="eastAsia" w:ascii="宋体" w:hAnsi="宋体"/>
                <w:b/>
                <w:bCs/>
                <w:szCs w:val="21"/>
              </w:rPr>
              <w:t>课程编号：</w:t>
            </w:r>
            <w:r>
              <w:rPr>
                <w:rFonts w:ascii="宋体" w:hAnsi="宋体"/>
                <w:b/>
                <w:bCs/>
                <w:szCs w:val="21"/>
              </w:rPr>
              <w:t>19011002h</w:t>
            </w:r>
          </w:p>
        </w:tc>
        <w:tc>
          <w:tcPr>
            <w:tcW w:w="2649" w:type="dxa"/>
          </w:tcPr>
          <w:p>
            <w:pPr>
              <w:spacing w:line="300" w:lineRule="auto"/>
              <w:ind w:firstLine="422"/>
              <w:rPr>
                <w:rFonts w:ascii="宋体" w:hAnsi="宋体"/>
                <w:b/>
                <w:bCs/>
                <w:szCs w:val="21"/>
              </w:rPr>
            </w:pPr>
            <w:r>
              <w:rPr>
                <w:rFonts w:hint="eastAsia" w:ascii="宋体" w:hAnsi="宋体"/>
                <w:b/>
                <w:bCs/>
                <w:szCs w:val="21"/>
              </w:rPr>
              <w:t>课程总学时：64</w:t>
            </w:r>
          </w:p>
        </w:tc>
        <w:tc>
          <w:tcPr>
            <w:tcW w:w="3429" w:type="dxa"/>
          </w:tcPr>
          <w:p>
            <w:pPr>
              <w:spacing w:line="300" w:lineRule="auto"/>
              <w:ind w:firstLine="422"/>
              <w:rPr>
                <w:rFonts w:ascii="宋体" w:hAnsi="宋体"/>
                <w:b/>
                <w:bCs/>
                <w:szCs w:val="21"/>
              </w:rPr>
            </w:pPr>
            <w:r>
              <w:rPr>
                <w:rFonts w:hint="eastAsia" w:ascii="宋体" w:hAnsi="宋体"/>
                <w:b/>
                <w:bCs/>
                <w:szCs w:val="21"/>
              </w:rPr>
              <w:t>课程学分：</w:t>
            </w:r>
            <w:r>
              <w:rPr>
                <w:rFonts w:ascii="宋体" w:hAnsi="宋体"/>
                <w:b/>
                <w:bCs/>
                <w:szCs w:val="21"/>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3038" w:type="dxa"/>
          </w:tcPr>
          <w:p>
            <w:pPr>
              <w:spacing w:line="300" w:lineRule="auto"/>
              <w:ind w:firstLine="422"/>
              <w:rPr>
                <w:rFonts w:ascii="宋体" w:hAnsi="宋体"/>
                <w:b/>
                <w:bCs/>
                <w:szCs w:val="21"/>
              </w:rPr>
            </w:pPr>
            <w:r>
              <w:rPr>
                <w:rFonts w:hint="eastAsia" w:ascii="宋体" w:hAnsi="宋体"/>
                <w:b/>
                <w:bCs/>
                <w:szCs w:val="21"/>
              </w:rPr>
              <w:t>主撰人：宋春晖，</w:t>
            </w:r>
            <w:r>
              <w:rPr>
                <w:rFonts w:ascii="宋体" w:hAnsi="宋体"/>
                <w:b/>
                <w:bCs/>
                <w:szCs w:val="21"/>
              </w:rPr>
              <w:t>孟海军</w:t>
            </w:r>
          </w:p>
        </w:tc>
        <w:tc>
          <w:tcPr>
            <w:tcW w:w="2649" w:type="dxa"/>
          </w:tcPr>
          <w:p>
            <w:pPr>
              <w:spacing w:line="300" w:lineRule="auto"/>
              <w:ind w:firstLine="422"/>
              <w:rPr>
                <w:rFonts w:ascii="宋体" w:hAnsi="宋体"/>
                <w:b/>
                <w:bCs/>
                <w:szCs w:val="21"/>
              </w:rPr>
            </w:pPr>
            <w:r>
              <w:rPr>
                <w:rFonts w:hint="eastAsia" w:ascii="宋体" w:hAnsi="宋体"/>
                <w:b/>
                <w:bCs/>
                <w:szCs w:val="21"/>
              </w:rPr>
              <w:t>审核人：胡建斌</w:t>
            </w:r>
          </w:p>
        </w:tc>
        <w:tc>
          <w:tcPr>
            <w:tcW w:w="3429" w:type="dxa"/>
          </w:tcPr>
          <w:p>
            <w:pPr>
              <w:spacing w:line="300" w:lineRule="auto"/>
              <w:ind w:firstLine="422"/>
              <w:rPr>
                <w:rFonts w:ascii="宋体" w:hAnsi="宋体"/>
                <w:b/>
                <w:bCs/>
                <w:szCs w:val="21"/>
              </w:rPr>
            </w:pPr>
            <w:r>
              <w:rPr>
                <w:rFonts w:hint="eastAsia" w:ascii="宋体" w:hAnsi="宋体"/>
                <w:b/>
                <w:bCs/>
                <w:szCs w:val="21"/>
              </w:rPr>
              <w:t>大纲制定（修订）日期：20</w:t>
            </w:r>
            <w:r>
              <w:rPr>
                <w:rFonts w:ascii="宋体" w:hAnsi="宋体"/>
                <w:b/>
                <w:bCs/>
                <w:szCs w:val="21"/>
              </w:rPr>
              <w:t>23</w:t>
            </w:r>
            <w:r>
              <w:rPr>
                <w:rFonts w:hint="eastAsia" w:ascii="宋体" w:hAnsi="宋体"/>
                <w:b/>
                <w:bCs/>
                <w:szCs w:val="21"/>
              </w:rPr>
              <w:t>.05</w:t>
            </w:r>
            <w:r>
              <w:rPr>
                <w:rFonts w:ascii="宋体" w:hAnsi="宋体"/>
                <w:b/>
                <w:bCs/>
                <w:szCs w:val="21"/>
              </w:rPr>
              <w:t xml:space="preserve"> </w:t>
            </w:r>
          </w:p>
        </w:tc>
      </w:tr>
    </w:tbl>
    <w:p>
      <w:pPr>
        <w:widowControl/>
        <w:numPr>
          <w:ilvl w:val="0"/>
          <w:numId w:val="48"/>
        </w:numPr>
        <w:snapToGrid w:val="0"/>
        <w:spacing w:line="360" w:lineRule="auto"/>
        <w:jc w:val="left"/>
        <w:outlineLvl w:val="1"/>
        <w:rPr>
          <w:rFonts w:ascii="宋体" w:hAnsi="宋体" w:cs="宋体"/>
          <w:b/>
          <w:bCs/>
          <w:kern w:val="0"/>
          <w:szCs w:val="21"/>
        </w:rPr>
      </w:pPr>
      <w:bookmarkStart w:id="561" w:name="_Toc138076671"/>
      <w:bookmarkStart w:id="562" w:name="_Toc138070463"/>
      <w:bookmarkStart w:id="563" w:name="_Toc138076127"/>
      <w:bookmarkStart w:id="564" w:name="_Toc138070733"/>
      <w:bookmarkStart w:id="565" w:name="_Toc138068833"/>
      <w:bookmarkStart w:id="566" w:name="_Toc138076376"/>
      <w:bookmarkStart w:id="567" w:name="_Toc138068434"/>
      <w:bookmarkStart w:id="568" w:name="_Toc21519"/>
      <w:r>
        <w:rPr>
          <w:rFonts w:hint="eastAsia" w:ascii="宋体" w:hAnsi="宋体" w:cs="宋体"/>
          <w:b/>
          <w:bCs/>
          <w:kern w:val="0"/>
          <w:szCs w:val="21"/>
        </w:rPr>
        <w:t>课程的性质和地位</w:t>
      </w:r>
      <w:bookmarkEnd w:id="561"/>
      <w:bookmarkEnd w:id="562"/>
      <w:bookmarkEnd w:id="563"/>
      <w:bookmarkEnd w:id="564"/>
      <w:bookmarkEnd w:id="565"/>
      <w:bookmarkEnd w:id="566"/>
      <w:bookmarkEnd w:id="567"/>
      <w:bookmarkEnd w:id="568"/>
    </w:p>
    <w:p>
      <w:pPr>
        <w:widowControl/>
        <w:snapToGrid w:val="0"/>
        <w:spacing w:line="360" w:lineRule="auto"/>
        <w:ind w:firstLine="420" w:firstLineChars="200"/>
        <w:jc w:val="left"/>
        <w:outlineLvl w:val="1"/>
        <w:rPr>
          <w:rFonts w:hAnsi="宋体"/>
          <w:kern w:val="0"/>
          <w:szCs w:val="21"/>
        </w:rPr>
      </w:pPr>
      <w:bookmarkStart w:id="569" w:name="_Toc138076377"/>
      <w:bookmarkStart w:id="570" w:name="_Toc138070464"/>
      <w:bookmarkStart w:id="571" w:name="_Toc138076672"/>
      <w:bookmarkStart w:id="572" w:name="_Toc138068834"/>
      <w:bookmarkStart w:id="573" w:name="_Toc138076128"/>
      <w:bookmarkStart w:id="574" w:name="_Toc32101"/>
      <w:bookmarkStart w:id="575" w:name="_Toc138070734"/>
      <w:bookmarkStart w:id="576" w:name="_Toc138068435"/>
      <w:r>
        <w:rPr>
          <w:rFonts w:hAnsi="宋体"/>
          <w:kern w:val="0"/>
          <w:szCs w:val="21"/>
        </w:rPr>
        <w:t>该课程为</w:t>
      </w:r>
      <w:r>
        <w:rPr>
          <w:rFonts w:hint="eastAsia" w:hAnsi="宋体"/>
          <w:kern w:val="0"/>
          <w:szCs w:val="21"/>
        </w:rPr>
        <w:t>园艺、茶学专业基础课程之一，为该</w:t>
      </w:r>
      <w:r>
        <w:rPr>
          <w:rFonts w:hAnsi="宋体"/>
          <w:kern w:val="0"/>
          <w:szCs w:val="21"/>
        </w:rPr>
        <w:t>专业学生的</w:t>
      </w:r>
      <w:r>
        <w:rPr>
          <w:rFonts w:hint="eastAsia" w:hAnsi="宋体"/>
          <w:kern w:val="0"/>
          <w:szCs w:val="21"/>
        </w:rPr>
        <w:t>核心</w:t>
      </w:r>
      <w:r>
        <w:rPr>
          <w:rFonts w:hAnsi="宋体"/>
          <w:kern w:val="0"/>
          <w:szCs w:val="21"/>
        </w:rPr>
        <w:t>课程。要求</w:t>
      </w:r>
      <w:r>
        <w:rPr>
          <w:rFonts w:hint="eastAsia" w:hAnsi="宋体"/>
          <w:kern w:val="0"/>
          <w:szCs w:val="21"/>
        </w:rPr>
        <w:t>在</w:t>
      </w:r>
      <w:r>
        <w:rPr>
          <w:rFonts w:hAnsi="宋体"/>
          <w:kern w:val="0"/>
          <w:szCs w:val="21"/>
        </w:rPr>
        <w:t>数、理、化、植物学、植物生理学和</w:t>
      </w:r>
      <w:r>
        <w:rPr>
          <w:rFonts w:ascii="宋体" w:hAnsi="宋体"/>
          <w:szCs w:val="21"/>
        </w:rPr>
        <w:t>生物化学</w:t>
      </w:r>
      <w:r>
        <w:rPr>
          <w:rFonts w:hAnsi="宋体"/>
          <w:kern w:val="0"/>
          <w:szCs w:val="21"/>
        </w:rPr>
        <w:t>等课程</w:t>
      </w:r>
      <w:r>
        <w:rPr>
          <w:rFonts w:hint="eastAsia" w:hAnsi="宋体"/>
          <w:kern w:val="0"/>
          <w:szCs w:val="21"/>
        </w:rPr>
        <w:t>学习的基础上，</w:t>
      </w:r>
      <w:r>
        <w:rPr>
          <w:rFonts w:hAnsi="宋体"/>
          <w:kern w:val="0"/>
          <w:szCs w:val="21"/>
        </w:rPr>
        <w:t>通过学习本课程，使学生掌握遗传与变异的基本规律</w:t>
      </w:r>
      <w:r>
        <w:rPr>
          <w:rFonts w:hint="eastAsia" w:hAnsi="宋体"/>
          <w:kern w:val="0"/>
          <w:szCs w:val="21"/>
        </w:rPr>
        <w:t>，具备从事园艺植物遗传领域研究的能力和素养，并</w:t>
      </w:r>
      <w:r>
        <w:rPr>
          <w:rFonts w:hAnsi="宋体"/>
          <w:kern w:val="0"/>
          <w:szCs w:val="21"/>
        </w:rPr>
        <w:t>能</w:t>
      </w:r>
      <w:r>
        <w:rPr>
          <w:rFonts w:hint="eastAsia" w:hAnsi="宋体"/>
          <w:kern w:val="0"/>
          <w:szCs w:val="21"/>
        </w:rPr>
        <w:t>够</w:t>
      </w:r>
      <w:r>
        <w:rPr>
          <w:rFonts w:hAnsi="宋体"/>
          <w:kern w:val="0"/>
          <w:szCs w:val="21"/>
        </w:rPr>
        <w:t>利用其基本知识指导园艺</w:t>
      </w:r>
      <w:r>
        <w:rPr>
          <w:rFonts w:hint="eastAsia" w:hAnsi="宋体"/>
          <w:kern w:val="0"/>
          <w:szCs w:val="21"/>
        </w:rPr>
        <w:t>植物</w:t>
      </w:r>
      <w:r>
        <w:rPr>
          <w:rFonts w:hAnsi="宋体"/>
          <w:kern w:val="0"/>
          <w:szCs w:val="21"/>
        </w:rPr>
        <w:t>的育种实践</w:t>
      </w:r>
      <w:r>
        <w:rPr>
          <w:rFonts w:hint="eastAsia" w:hAnsi="宋体"/>
          <w:kern w:val="0"/>
          <w:szCs w:val="21"/>
        </w:rPr>
        <w:t>。</w:t>
      </w:r>
      <w:bookmarkEnd w:id="569"/>
      <w:bookmarkEnd w:id="570"/>
      <w:bookmarkEnd w:id="571"/>
      <w:bookmarkEnd w:id="572"/>
      <w:bookmarkEnd w:id="573"/>
      <w:bookmarkEnd w:id="574"/>
      <w:bookmarkEnd w:id="575"/>
      <w:bookmarkEnd w:id="576"/>
    </w:p>
    <w:p>
      <w:pPr>
        <w:snapToGrid w:val="0"/>
        <w:spacing w:line="360" w:lineRule="auto"/>
        <w:rPr>
          <w:rFonts w:ascii="宋体" w:hAnsi="宋体"/>
          <w:b/>
          <w:szCs w:val="21"/>
        </w:rPr>
      </w:pPr>
      <w:r>
        <w:rPr>
          <w:rFonts w:hint="eastAsia" w:ascii="宋体" w:hAnsi="宋体"/>
          <w:b/>
          <w:szCs w:val="21"/>
        </w:rPr>
        <w:t>二、理论教学部分的考核目标</w:t>
      </w:r>
    </w:p>
    <w:p>
      <w:pPr>
        <w:snapToGrid w:val="0"/>
        <w:spacing w:line="360" w:lineRule="auto"/>
        <w:ind w:firstLine="420" w:firstLineChars="200"/>
        <w:rPr>
          <w:rFonts w:hAnsi="宋体"/>
          <w:kern w:val="0"/>
          <w:szCs w:val="21"/>
        </w:rPr>
      </w:pPr>
      <w:r>
        <w:rPr>
          <w:rFonts w:hAnsi="宋体"/>
          <w:kern w:val="0"/>
          <w:szCs w:val="21"/>
        </w:rPr>
        <w:t>掌握遗传变异的基本理论、基本规律</w:t>
      </w:r>
      <w:r>
        <w:rPr>
          <w:rFonts w:hint="eastAsia" w:hAnsi="宋体"/>
          <w:kern w:val="0"/>
          <w:szCs w:val="21"/>
        </w:rPr>
        <w:t>及其</w:t>
      </w:r>
      <w:r>
        <w:rPr>
          <w:rFonts w:hAnsi="宋体"/>
          <w:kern w:val="0"/>
          <w:szCs w:val="21"/>
        </w:rPr>
        <w:t>细胞学基础，了解遗传与</w:t>
      </w:r>
      <w:r>
        <w:rPr>
          <w:rFonts w:hint="eastAsia" w:hAnsi="宋体"/>
          <w:kern w:val="0"/>
          <w:szCs w:val="21"/>
        </w:rPr>
        <w:t>变异的分子生物学基础</w:t>
      </w:r>
      <w:r>
        <w:rPr>
          <w:rFonts w:hAnsi="宋体"/>
          <w:kern w:val="0"/>
          <w:szCs w:val="21"/>
        </w:rPr>
        <w:t>，并</w:t>
      </w:r>
      <w:r>
        <w:rPr>
          <w:rFonts w:hint="eastAsia" w:hAnsi="宋体"/>
          <w:kern w:val="0"/>
          <w:szCs w:val="21"/>
        </w:rPr>
        <w:t>熟悉</w:t>
      </w:r>
      <w:r>
        <w:rPr>
          <w:rFonts w:hAnsi="宋体"/>
          <w:kern w:val="0"/>
          <w:szCs w:val="21"/>
        </w:rPr>
        <w:t>遗传学理论在育种上的应用概况。</w:t>
      </w:r>
    </w:p>
    <w:p>
      <w:pPr>
        <w:snapToGrid w:val="0"/>
        <w:spacing w:line="360" w:lineRule="auto"/>
        <w:ind w:firstLine="103" w:firstLineChars="49"/>
        <w:jc w:val="center"/>
        <w:rPr>
          <w:rFonts w:ascii="宋体" w:hAnsi="宋体"/>
          <w:b/>
          <w:szCs w:val="21"/>
        </w:rPr>
      </w:pPr>
      <w:r>
        <w:rPr>
          <w:rFonts w:hint="eastAsia" w:hAnsi="宋体"/>
          <w:b/>
          <w:bCs/>
          <w:kern w:val="0"/>
          <w:szCs w:val="21"/>
        </w:rPr>
        <w:t xml:space="preserve">绪  论 </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pPr>
      <w:r>
        <w:rPr>
          <w:rFonts w:hint="eastAsia" w:ascii="宋体" w:hAnsi="宋体"/>
          <w:b/>
          <w:szCs w:val="21"/>
        </w:rPr>
        <w:t>1. 一般了解</w:t>
      </w:r>
      <w:r>
        <w:rPr>
          <w:rFonts w:hint="eastAsia" w:ascii="宋体" w:hAnsi="宋体"/>
          <w:szCs w:val="21"/>
        </w:rPr>
        <w:t>：</w:t>
      </w:r>
      <w:r>
        <w:rPr>
          <w:rFonts w:hint="eastAsia"/>
        </w:rPr>
        <w:t>通过绪论的学习，应该熟悉遗传学的历史、现状及未来发展趋势。了解遗传学在国民经济中的地位，从工、农、医、环境保护等方面介绍遗传学的应用。</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：遗传学研究内容和任务。</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：遗传、变异的概念和遗传学的概念。</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ascii="宋体" w:hAnsi="宋体"/>
          <w:szCs w:val="21"/>
        </w:rPr>
        <w:t>1.</w:t>
      </w:r>
      <w:r>
        <w:rPr>
          <w:rFonts w:hint="eastAsia" w:ascii="宋体" w:hAnsi="宋体"/>
          <w:szCs w:val="21"/>
        </w:rPr>
        <w:t xml:space="preserve">遗传和变异的概念、遗传学的概念；遗传学的任务。 </w:t>
      </w:r>
    </w:p>
    <w:p>
      <w:pPr>
        <w:snapToGrid w:val="0"/>
        <w:spacing w:line="360" w:lineRule="auto"/>
        <w:ind w:firstLine="420" w:firstLineChars="200"/>
        <w:rPr>
          <w:rFonts w:ascii="宋体" w:hAnsi="宋体"/>
          <w:szCs w:val="21"/>
        </w:rPr>
      </w:pPr>
      <w:r>
        <w:rPr>
          <w:rFonts w:ascii="宋体" w:hAnsi="宋体"/>
          <w:szCs w:val="21"/>
        </w:rPr>
        <w:t>2.</w:t>
      </w:r>
      <w:r>
        <w:rPr>
          <w:rFonts w:hint="eastAsia" w:ascii="宋体" w:hAnsi="宋体"/>
          <w:szCs w:val="21"/>
        </w:rPr>
        <w:t>遗传与变异的辨证关系。</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rPr>
        <w:t>遗传、变异的基本概念。</w:t>
      </w:r>
    </w:p>
    <w:p>
      <w:pPr>
        <w:snapToGrid w:val="0"/>
        <w:spacing w:line="360" w:lineRule="auto"/>
        <w:ind w:firstLine="422" w:firstLineChars="200"/>
      </w:pPr>
      <w:r>
        <w:rPr>
          <w:rFonts w:hint="eastAsia" w:ascii="宋体" w:hAnsi="宋体"/>
          <w:b/>
          <w:szCs w:val="21"/>
        </w:rPr>
        <w:t>2.领会</w:t>
      </w:r>
      <w:r>
        <w:rPr>
          <w:rFonts w:hint="eastAsia" w:ascii="宋体" w:hAnsi="宋体"/>
          <w:szCs w:val="21"/>
        </w:rPr>
        <w:t>：</w:t>
      </w:r>
      <w:r>
        <w:rPr>
          <w:rFonts w:hint="eastAsia"/>
        </w:rPr>
        <w:t>选择在园艺植物进化和发展中的创造性作用，遗传学在园艺植物育种中的作用。</w:t>
      </w:r>
    </w:p>
    <w:p>
      <w:pPr>
        <w:snapToGrid w:val="0"/>
        <w:spacing w:line="360" w:lineRule="auto"/>
        <w:ind w:firstLine="422" w:firstLineChars="200"/>
      </w:pPr>
      <w:r>
        <w:rPr>
          <w:rFonts w:hint="eastAsia" w:ascii="宋体" w:hAnsi="宋体"/>
          <w:b/>
          <w:szCs w:val="21"/>
        </w:rPr>
        <w:t>3.应用</w:t>
      </w:r>
      <w:r>
        <w:rPr>
          <w:rFonts w:hint="eastAsia" w:ascii="宋体" w:hAnsi="宋体"/>
          <w:szCs w:val="21"/>
        </w:rPr>
        <w:t>：</w:t>
      </w:r>
      <w:r>
        <w:rPr>
          <w:rFonts w:hint="eastAsia"/>
        </w:rPr>
        <w:t>能够利用本章知识解释生物后代性状表现的多样性。</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rPr>
        <w:t>能够利用本章知识初步分析</w:t>
      </w:r>
      <w:r>
        <w:t>变异</w:t>
      </w:r>
      <w:r>
        <w:rPr>
          <w:rFonts w:hint="eastAsia"/>
        </w:rPr>
        <w:t>的来源。</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w:t>
      </w:r>
      <w:r>
        <w:rPr>
          <w:rFonts w:hint="eastAsia"/>
        </w:rPr>
        <w:t>能够利用本章知识解释</w:t>
      </w:r>
      <w:r>
        <w:t>创造新变异在育种中的作用</w:t>
      </w:r>
      <w:r>
        <w:rPr>
          <w:rFonts w:hint="eastAsia"/>
        </w:rPr>
        <w:t>。</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rPr>
        <w:t>能够利用本章知识初步评价变异的特点。</w:t>
      </w:r>
    </w:p>
    <w:p>
      <w:pPr>
        <w:pStyle w:val="10"/>
        <w:snapToGrid w:val="0"/>
        <w:spacing w:line="360" w:lineRule="auto"/>
        <w:jc w:val="center"/>
        <w:rPr>
          <w:rFonts w:hAnsi="宋体"/>
          <w:b/>
        </w:rPr>
      </w:pPr>
      <w:r>
        <w:rPr>
          <w:rFonts w:hint="eastAsia" w:hAnsi="宋体"/>
          <w:b/>
        </w:rPr>
        <w:t>第</w:t>
      </w:r>
      <w:r>
        <w:rPr>
          <w:rFonts w:hAnsi="宋体"/>
          <w:b/>
        </w:rPr>
        <w:t>一</w:t>
      </w:r>
      <w:r>
        <w:rPr>
          <w:rFonts w:hint="eastAsia" w:hAnsi="宋体"/>
          <w:b/>
        </w:rPr>
        <w:t xml:space="preserve">章 </w:t>
      </w:r>
      <w:r>
        <w:rPr>
          <w:rFonts w:hAnsi="宋体"/>
          <w:b/>
        </w:rPr>
        <w:t xml:space="preserve"> </w:t>
      </w:r>
      <w:r>
        <w:rPr>
          <w:rFonts w:hint="eastAsia"/>
          <w:b/>
          <w:bCs/>
          <w:kern w:val="0"/>
        </w:rPr>
        <w:t>遗传的细胞学基础</w:t>
      </w:r>
    </w:p>
    <w:p>
      <w:pPr>
        <w:snapToGrid w:val="0"/>
        <w:spacing w:line="360" w:lineRule="auto"/>
        <w:rPr>
          <w:rFonts w:ascii="宋体" w:hAnsi="宋体"/>
          <w:b/>
          <w:szCs w:val="21"/>
        </w:rPr>
      </w:pPr>
      <w:r>
        <w:rPr>
          <w:rFonts w:hint="eastAsia" w:ascii="宋体" w:hAnsi="宋体"/>
          <w:b/>
          <w:szCs w:val="21"/>
        </w:rPr>
        <w:t>（一）学习目的与要求</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hAnsi="宋体"/>
          <w:kern w:val="0"/>
          <w:szCs w:val="21"/>
        </w:rPr>
        <w:t>细胞的结构、核内和核外遗传体系的概念</w:t>
      </w:r>
      <w:r>
        <w:rPr>
          <w:rFonts w:hint="eastAsia"/>
        </w:rPr>
        <w:t>。</w:t>
      </w:r>
    </w:p>
    <w:p>
      <w:pPr>
        <w:snapToGrid w:val="0"/>
        <w:spacing w:line="360" w:lineRule="auto"/>
        <w:ind w:firstLine="422" w:firstLineChars="200"/>
        <w:rPr>
          <w:rFonts w:hAnsi="宋体"/>
          <w:kern w:val="0"/>
          <w:szCs w:val="21"/>
        </w:rPr>
      </w:pPr>
      <w:r>
        <w:rPr>
          <w:rFonts w:hint="eastAsia" w:ascii="宋体" w:hAnsi="宋体"/>
          <w:b/>
          <w:szCs w:val="21"/>
        </w:rPr>
        <w:t>2. 一般掌握</w:t>
      </w:r>
      <w:r>
        <w:rPr>
          <w:rFonts w:hint="eastAsia" w:ascii="宋体" w:hAnsi="宋体"/>
          <w:szCs w:val="21"/>
        </w:rPr>
        <w:t>：</w:t>
      </w:r>
      <w:r>
        <w:rPr>
          <w:rFonts w:hint="eastAsia" w:hAnsi="宋体"/>
          <w:kern w:val="0"/>
          <w:szCs w:val="21"/>
        </w:rPr>
        <w:t>细胞中遗传物质的存在方式、</w:t>
      </w:r>
      <w:r>
        <w:rPr>
          <w:rFonts w:hint="eastAsia" w:ascii="宋体" w:hAnsi="宋体" w:cs="宋体"/>
          <w:kern w:val="0"/>
          <w:szCs w:val="21"/>
        </w:rPr>
        <w:t>染色体在细胞分裂过程中分离和重组规律，</w:t>
      </w:r>
      <w:r>
        <w:rPr>
          <w:rFonts w:hint="eastAsia" w:hAnsi="宋体"/>
          <w:kern w:val="0"/>
          <w:szCs w:val="21"/>
        </w:rPr>
        <w:t>细胞分裂周期的控制理论。</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hAnsi="宋体"/>
          <w:kern w:val="0"/>
          <w:szCs w:val="21"/>
        </w:rPr>
        <w:t>染色体概念、结构特点，能够从细胞学水平解释园艺植物有性、无性繁殖时，遗传物质在上下代之间传递规律及性状的表达规律。</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kern w:val="0"/>
          <w:szCs w:val="21"/>
        </w:rPr>
      </w:pPr>
      <w:r>
        <w:rPr>
          <w:rFonts w:ascii="宋体" w:hAnsi="宋体"/>
          <w:kern w:val="0"/>
          <w:szCs w:val="21"/>
        </w:rPr>
        <w:t>1.</w:t>
      </w:r>
      <w:r>
        <w:rPr>
          <w:rFonts w:hint="eastAsia" w:ascii="宋体" w:hAnsi="宋体"/>
          <w:kern w:val="0"/>
          <w:szCs w:val="21"/>
        </w:rPr>
        <w:t>细胞的结构和核内、核外遗传体系的概念；遗传物质在细胞中的主要形态、数目和结构特点。</w:t>
      </w:r>
    </w:p>
    <w:p>
      <w:pPr>
        <w:snapToGrid w:val="0"/>
        <w:spacing w:line="360" w:lineRule="auto"/>
        <w:ind w:firstLine="420" w:firstLineChars="200"/>
        <w:rPr>
          <w:rFonts w:ascii="宋体" w:hAnsi="宋体"/>
          <w:kern w:val="0"/>
          <w:szCs w:val="21"/>
        </w:rPr>
      </w:pPr>
      <w:r>
        <w:rPr>
          <w:rFonts w:hint="eastAsia" w:ascii="宋体" w:hAnsi="宋体"/>
          <w:kern w:val="0"/>
          <w:szCs w:val="21"/>
        </w:rPr>
        <w:t>2.染色体在细胞分裂过程中分离和重组的特点，即染色体的复制、分裂、交换理论以及园艺植物细胞的分裂周期理论。</w:t>
      </w:r>
    </w:p>
    <w:p>
      <w:pPr>
        <w:snapToGrid w:val="0"/>
        <w:spacing w:line="360" w:lineRule="auto"/>
        <w:ind w:firstLine="420" w:firstLineChars="200"/>
        <w:rPr>
          <w:rFonts w:ascii="宋体" w:hAnsi="宋体"/>
          <w:kern w:val="0"/>
          <w:szCs w:val="21"/>
        </w:rPr>
      </w:pPr>
      <w:r>
        <w:rPr>
          <w:rFonts w:ascii="宋体" w:hAnsi="宋体"/>
          <w:kern w:val="0"/>
          <w:szCs w:val="21"/>
        </w:rPr>
        <w:t>3.</w:t>
      </w:r>
      <w:r>
        <w:rPr>
          <w:rFonts w:hint="eastAsia" w:ascii="宋体" w:hAnsi="宋体"/>
          <w:kern w:val="0"/>
          <w:szCs w:val="21"/>
        </w:rPr>
        <w:t>园艺植物有性、无性繁殖时，遗传物质在上下代之间传递规律及性状的表达特点。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rPr>
        <w:t>孢子体、雌配子体、雄配子体、同源染色体、异源染色体、染色质、有丝分裂、减数分裂、染色体、单倍体、联会、无融合生殖等基本概念</w:t>
      </w:r>
      <w:r>
        <w:rPr>
          <w:rFonts w:hAnsi="宋体"/>
          <w:kern w:val="0"/>
          <w:szCs w:val="21"/>
        </w:rPr>
        <w:t>。</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：细胞周期；</w:t>
      </w:r>
      <w:r>
        <w:rPr>
          <w:rFonts w:hint="eastAsia"/>
        </w:rPr>
        <w:t>有丝分裂与减数分裂的遗传学意义，双受精过程等</w:t>
      </w:r>
      <w:r>
        <w:rPr>
          <w:rFonts w:hAnsi="宋体"/>
          <w:kern w:val="0"/>
          <w:szCs w:val="21"/>
        </w:rPr>
        <w:t>。</w:t>
      </w:r>
    </w:p>
    <w:p>
      <w:pPr>
        <w:snapToGrid w:val="0"/>
        <w:spacing w:line="360" w:lineRule="auto"/>
        <w:ind w:firstLine="422" w:firstLineChars="200"/>
      </w:pPr>
      <w:r>
        <w:rPr>
          <w:rFonts w:hint="eastAsia" w:ascii="宋体" w:hAnsi="宋体"/>
          <w:b/>
          <w:szCs w:val="21"/>
        </w:rPr>
        <w:t>3.应用</w:t>
      </w:r>
      <w:r>
        <w:rPr>
          <w:rFonts w:hint="eastAsia" w:ascii="宋体" w:hAnsi="宋体"/>
          <w:szCs w:val="21"/>
        </w:rPr>
        <w:t>：</w:t>
      </w:r>
      <w:r>
        <w:rPr>
          <w:rFonts w:hint="eastAsia"/>
        </w:rPr>
        <w:t>能够利用本章知识解释生物后代性状表现的多样性。</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rPr>
        <w:t>能够利用本章知识从细胞学水平分析遗传变异的来源。</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w:t>
      </w:r>
      <w:r>
        <w:rPr>
          <w:rFonts w:hint="eastAsia"/>
        </w:rPr>
        <w:t>能够利用本章知识解释</w:t>
      </w:r>
      <w:r>
        <w:rPr>
          <w:rFonts w:hint="eastAsia" w:hAnsi="宋体"/>
          <w:kern w:val="0"/>
          <w:szCs w:val="21"/>
        </w:rPr>
        <w:t>园艺植物有性、无性繁殖时，遗传物质在上下代之间传递规律及性状的表达特点</w:t>
      </w:r>
      <w:r>
        <w:rPr>
          <w:rFonts w:hint="eastAsia"/>
        </w:rPr>
        <w:t>。</w:t>
      </w:r>
    </w:p>
    <w:p>
      <w:pPr>
        <w:snapToGrid w:val="0"/>
        <w:spacing w:line="360" w:lineRule="auto"/>
        <w:ind w:firstLine="422" w:firstLineChars="200"/>
        <w:rPr>
          <w:rFonts w:hAnsi="宋体"/>
          <w:kern w:val="0"/>
          <w:szCs w:val="21"/>
        </w:rPr>
      </w:pPr>
      <w:r>
        <w:rPr>
          <w:rFonts w:hint="eastAsia" w:ascii="宋体" w:hAnsi="宋体"/>
          <w:b/>
          <w:szCs w:val="21"/>
        </w:rPr>
        <w:t>6.评价：</w:t>
      </w:r>
      <w:r>
        <w:rPr>
          <w:rFonts w:hint="eastAsia"/>
        </w:rPr>
        <w:t>能够利用本章初步评价</w:t>
      </w:r>
      <w:r>
        <w:rPr>
          <w:rFonts w:hint="eastAsia" w:hAnsi="宋体"/>
          <w:kern w:val="0"/>
          <w:szCs w:val="21"/>
        </w:rPr>
        <w:t>园艺植物有性、无性繁殖的在生产中价值。</w:t>
      </w:r>
    </w:p>
    <w:p>
      <w:pPr>
        <w:pStyle w:val="10"/>
        <w:snapToGrid w:val="0"/>
        <w:spacing w:line="360" w:lineRule="auto"/>
        <w:jc w:val="center"/>
        <w:rPr>
          <w:rFonts w:hAnsi="宋体"/>
          <w:b/>
        </w:rPr>
      </w:pPr>
      <w:r>
        <w:rPr>
          <w:rFonts w:hint="eastAsia" w:hAnsi="宋体"/>
          <w:b/>
        </w:rPr>
        <w:t>第二章</w:t>
      </w:r>
      <w:r>
        <w:rPr>
          <w:b/>
          <w:bCs/>
          <w:kern w:val="0"/>
        </w:rPr>
        <w:t xml:space="preserve">  </w:t>
      </w:r>
      <w:r>
        <w:rPr>
          <w:rFonts w:hint="eastAsia"/>
          <w:b/>
          <w:bCs/>
          <w:kern w:val="0"/>
        </w:rPr>
        <w:t xml:space="preserve">孟德尔遗传规律 </w:t>
      </w:r>
      <w:r>
        <w:rPr>
          <w:b/>
          <w:bCs/>
          <w:kern w:val="0"/>
        </w:rPr>
        <w:t xml:space="preserve"> </w:t>
      </w:r>
      <w:r>
        <w:rPr>
          <w:rFonts w:hint="eastAsia" w:hAnsi="宋体"/>
          <w:b/>
          <w:bCs/>
          <w:color w:val="FF0000"/>
          <w:kern w:val="0"/>
        </w:rPr>
        <w:t xml:space="preserve"> </w:t>
      </w:r>
      <w:r>
        <w:rPr>
          <w:rFonts w:hAnsi="宋体"/>
          <w:b/>
          <w:bCs/>
          <w:color w:val="FF0000"/>
          <w:kern w:val="0"/>
        </w:rPr>
        <w:t xml:space="preserve"> </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hAnsi="宋体"/>
          <w:kern w:val="0"/>
          <w:szCs w:val="21"/>
        </w:rPr>
        <w:t>了解</w:t>
      </w:r>
      <w:r>
        <w:rPr>
          <w:rFonts w:hint="eastAsia" w:ascii="宋体" w:hAnsi="宋体" w:cs="宋体"/>
          <w:kern w:val="0"/>
          <w:szCs w:val="21"/>
        </w:rPr>
        <w:t>分离规律的现象及验证方法；</w:t>
      </w:r>
      <w:r>
        <w:rPr>
          <w:rFonts w:hint="eastAsia" w:ascii="宋体" w:hAnsi="宋体"/>
          <w:szCs w:val="21"/>
        </w:rPr>
        <w:t>两对和两对以上的独立性状的遗传现象</w:t>
      </w:r>
      <w:r>
        <w:rPr>
          <w:rFonts w:hint="eastAsia" w:ascii="宋体" w:hAnsi="宋体" w:cs="宋体"/>
          <w:kern w:val="0"/>
          <w:szCs w:val="21"/>
        </w:rPr>
        <w:t>及验证方法；</w:t>
      </w:r>
      <w:r>
        <w:rPr>
          <w:rFonts w:hint="eastAsia" w:hAnsi="宋体"/>
          <w:kern w:val="0"/>
          <w:szCs w:val="21"/>
        </w:rPr>
        <w:t>理解</w:t>
      </w:r>
      <w:r>
        <w:rPr>
          <w:rFonts w:hint="eastAsia" w:ascii="宋体" w:hAnsi="宋体" w:cs="宋体"/>
          <w:kern w:val="0"/>
          <w:szCs w:val="21"/>
        </w:rPr>
        <w:t>基因互作和性状的表现的关系</w:t>
      </w:r>
      <w:r>
        <w:rPr>
          <w:rFonts w:hint="eastAsia" w:ascii="宋体" w:hAnsi="宋体"/>
          <w:szCs w:val="21"/>
        </w:rPr>
        <w:t>。了解以及利用测交法和自交法进行</w:t>
      </w:r>
      <w:r>
        <w:rPr>
          <w:rFonts w:hint="eastAsia" w:ascii="宋体" w:hAnsi="宋体" w:cs="宋体"/>
          <w:kern w:val="0"/>
          <w:szCs w:val="21"/>
        </w:rPr>
        <w:t>分离规律，</w:t>
      </w:r>
      <w:r>
        <w:rPr>
          <w:rFonts w:hint="eastAsia" w:ascii="宋体" w:hAnsi="宋体"/>
          <w:szCs w:val="21"/>
        </w:rPr>
        <w:t>独立分配规律验证的方法。</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hAnsi="宋体"/>
          <w:kern w:val="0"/>
          <w:szCs w:val="21"/>
        </w:rPr>
        <w:t>掌握</w:t>
      </w:r>
      <w:r>
        <w:rPr>
          <w:rFonts w:hint="eastAsia" w:ascii="宋体" w:hAnsi="宋体" w:cs="宋体"/>
          <w:kern w:val="0"/>
          <w:szCs w:val="21"/>
        </w:rPr>
        <w:t>性状表现及其与环境的关系。</w:t>
      </w:r>
      <w:r>
        <w:rPr>
          <w:rFonts w:hint="eastAsia"/>
        </w:rPr>
        <w:t>六种基本的基因互作方式及其概念、机理及作用特点；一因多效和多因一效的现象和概念，并能从生理生化角度解释一因多效和多因一效的机理。</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ascii="宋体" w:hAnsi="宋体" w:cs="宋体"/>
          <w:kern w:val="0"/>
          <w:szCs w:val="21"/>
        </w:rPr>
        <w:t>概率原理在遗传研究中的应用。一对基因分离，</w:t>
      </w:r>
      <w:r>
        <w:rPr>
          <w:rFonts w:hint="eastAsia"/>
        </w:rPr>
        <w:t>两对和两对以上的独立性状的遗传规律、配子形成类型以及杂交后代性状、基因组成的分析方法；运用乘法定理、加法定理进行后代个体基因型、表现型的类型及比例推算。</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1．分离规律的现象及验证方法，显性性状表现及其与环境的关系，利用分离规律在育种实践中进行后代性状预测、群体大小预测的方法。</w:t>
      </w:r>
    </w:p>
    <w:p>
      <w:pPr>
        <w:snapToGrid w:val="0"/>
        <w:spacing w:line="360" w:lineRule="auto"/>
        <w:ind w:firstLine="420" w:firstLineChars="200"/>
        <w:rPr>
          <w:rFonts w:hAnsi="宋体"/>
          <w:kern w:val="0"/>
          <w:szCs w:val="21"/>
        </w:rPr>
      </w:pPr>
      <w:r>
        <w:rPr>
          <w:rFonts w:hint="eastAsia" w:hAnsi="宋体"/>
          <w:kern w:val="0"/>
          <w:szCs w:val="21"/>
        </w:rPr>
        <w:t>2．两对相对性状的遗传及验证方法，多对相对性状的遗传，概率原理在遗传研究中的应用，基因互作和性状的表现的关系，独立分配规律在育种实践中的重要意义。</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hAnsi="宋体"/>
          <w:kern w:val="0"/>
          <w:szCs w:val="21"/>
        </w:rPr>
      </w:pPr>
      <w:r>
        <w:rPr>
          <w:rFonts w:hint="eastAsia" w:ascii="宋体" w:hAnsi="宋体"/>
          <w:b/>
          <w:szCs w:val="21"/>
        </w:rPr>
        <w:t>1.识记</w:t>
      </w:r>
      <w:r>
        <w:rPr>
          <w:rFonts w:hint="eastAsia" w:ascii="宋体" w:hAnsi="宋体"/>
          <w:szCs w:val="21"/>
        </w:rPr>
        <w:t>：</w:t>
      </w:r>
      <w:r>
        <w:rPr>
          <w:rFonts w:hint="eastAsia"/>
        </w:rPr>
        <w:t>单位性状、相对性状、显性性状、隐性性状、测交、自交、基因型、表现型、纯合体、杂合体、完全显性、不完全显性、等位基因、基因互作、返祖遗传、多因一效、一因多效等概念。</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w:t>
      </w:r>
      <w:r>
        <w:rPr>
          <w:rFonts w:hint="eastAsia"/>
        </w:rPr>
        <w:t>分离规律的现象和实质，独立分配规律和基因互作的现象和实质</w:t>
      </w:r>
      <w:r>
        <w:rPr>
          <w:rFonts w:hAnsi="宋体"/>
          <w:kern w:val="0"/>
          <w:szCs w:val="21"/>
        </w:rPr>
        <w:t>。</w:t>
      </w:r>
    </w:p>
    <w:p>
      <w:pPr>
        <w:snapToGrid w:val="0"/>
        <w:spacing w:line="360" w:lineRule="auto"/>
        <w:ind w:firstLine="422" w:firstLineChars="200"/>
      </w:pPr>
      <w:r>
        <w:rPr>
          <w:rFonts w:hint="eastAsia" w:ascii="宋体" w:hAnsi="宋体"/>
          <w:b/>
          <w:szCs w:val="21"/>
        </w:rPr>
        <w:t>3.应用</w:t>
      </w:r>
      <w:r>
        <w:rPr>
          <w:rFonts w:hint="eastAsia" w:ascii="宋体" w:hAnsi="宋体"/>
          <w:szCs w:val="21"/>
        </w:rPr>
        <w:t>：利用本章所学知识，</w:t>
      </w:r>
      <w:r>
        <w:rPr>
          <w:rFonts w:hint="eastAsia"/>
        </w:rPr>
        <w:t>根据性状的遗传规律和选择目标，设计适宜的杂交组合。</w:t>
      </w:r>
    </w:p>
    <w:p>
      <w:pPr>
        <w:snapToGrid w:val="0"/>
        <w:spacing w:line="360" w:lineRule="auto"/>
        <w:ind w:firstLine="422" w:firstLineChars="200"/>
        <w:rPr>
          <w:rFonts w:ascii="宋体" w:hAnsi="宋体"/>
          <w:szCs w:val="21"/>
        </w:rPr>
      </w:pPr>
      <w:r>
        <w:rPr>
          <w:rFonts w:hint="eastAsia" w:ascii="宋体" w:hAnsi="宋体"/>
          <w:b/>
          <w:szCs w:val="21"/>
        </w:rPr>
        <w:t>4.分析</w:t>
      </w:r>
      <w:r>
        <w:rPr>
          <w:rFonts w:ascii="宋体" w:hAnsi="宋体"/>
          <w:b/>
          <w:szCs w:val="21"/>
        </w:rPr>
        <w:t>：</w:t>
      </w:r>
      <w:r>
        <w:rPr>
          <w:rFonts w:hint="eastAsia" w:ascii="宋体" w:hAnsi="宋体"/>
          <w:szCs w:val="21"/>
        </w:rPr>
        <w:t>利用</w:t>
      </w:r>
      <w:r>
        <w:rPr>
          <w:rFonts w:ascii="宋体" w:hAnsi="宋体"/>
          <w:szCs w:val="21"/>
        </w:rPr>
        <w:t>本章所</w:t>
      </w:r>
      <w:r>
        <w:rPr>
          <w:rFonts w:hint="eastAsia" w:ascii="宋体" w:hAnsi="宋体"/>
          <w:szCs w:val="21"/>
        </w:rPr>
        <w:t>学</w:t>
      </w:r>
      <w:r>
        <w:rPr>
          <w:rFonts w:ascii="宋体" w:hAnsi="宋体"/>
          <w:szCs w:val="21"/>
        </w:rPr>
        <w:t>知识，</w:t>
      </w:r>
      <w:r>
        <w:rPr>
          <w:rFonts w:hint="eastAsia" w:ascii="宋体" w:hAnsi="宋体"/>
          <w:szCs w:val="21"/>
        </w:rPr>
        <w:t>能</w:t>
      </w:r>
      <w:r>
        <w:rPr>
          <w:rFonts w:ascii="宋体" w:hAnsi="宋体"/>
          <w:szCs w:val="21"/>
        </w:rPr>
        <w:t>对性状分离现象</w:t>
      </w:r>
      <w:r>
        <w:rPr>
          <w:rFonts w:hint="eastAsia" w:ascii="宋体" w:hAnsi="宋体"/>
          <w:szCs w:val="21"/>
        </w:rPr>
        <w:t>、独立</w:t>
      </w:r>
      <w:r>
        <w:rPr>
          <w:rFonts w:ascii="宋体" w:hAnsi="宋体"/>
          <w:szCs w:val="21"/>
        </w:rPr>
        <w:t>分配现象及后代</w:t>
      </w:r>
      <w:r>
        <w:rPr>
          <w:rFonts w:hint="eastAsia" w:ascii="宋体" w:hAnsi="宋体"/>
          <w:szCs w:val="21"/>
        </w:rPr>
        <w:t>表型</w:t>
      </w:r>
      <w:r>
        <w:rPr>
          <w:rFonts w:ascii="宋体" w:hAnsi="宋体"/>
          <w:szCs w:val="21"/>
        </w:rPr>
        <w:t>分离比进行合理分析。</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：利用本章所学知识，</w:t>
      </w:r>
      <w:r>
        <w:rPr>
          <w:rFonts w:hint="eastAsia"/>
        </w:rPr>
        <w:t>对杂交组合后代个体的性状进行预测、确定群体的大小。</w:t>
      </w:r>
    </w:p>
    <w:p>
      <w:pPr>
        <w:snapToGrid w:val="0"/>
        <w:spacing w:line="360" w:lineRule="auto"/>
        <w:ind w:firstLine="422" w:firstLineChars="200"/>
      </w:pPr>
      <w:r>
        <w:rPr>
          <w:rFonts w:hint="eastAsia" w:ascii="宋体" w:hAnsi="宋体"/>
          <w:b/>
          <w:szCs w:val="21"/>
        </w:rPr>
        <w:t>6.评价：</w:t>
      </w:r>
      <w:r>
        <w:rPr>
          <w:rFonts w:hint="eastAsia" w:ascii="宋体" w:hAnsi="宋体"/>
          <w:szCs w:val="21"/>
        </w:rPr>
        <w:t>利用本章</w:t>
      </w:r>
      <w:r>
        <w:rPr>
          <w:rFonts w:ascii="宋体" w:hAnsi="宋体"/>
          <w:szCs w:val="21"/>
        </w:rPr>
        <w:t>知识，对</w:t>
      </w:r>
      <w:r>
        <w:rPr>
          <w:rFonts w:hint="eastAsia" w:ascii="宋体" w:hAnsi="宋体"/>
          <w:szCs w:val="21"/>
        </w:rPr>
        <w:t>园艺</w:t>
      </w:r>
      <w:r>
        <w:rPr>
          <w:rFonts w:ascii="宋体" w:hAnsi="宋体"/>
          <w:szCs w:val="21"/>
        </w:rPr>
        <w:t>作物性状</w:t>
      </w:r>
      <w:r>
        <w:rPr>
          <w:rFonts w:hint="eastAsia" w:ascii="宋体" w:hAnsi="宋体"/>
          <w:szCs w:val="21"/>
        </w:rPr>
        <w:t>常见</w:t>
      </w:r>
      <w:r>
        <w:rPr>
          <w:rFonts w:ascii="宋体" w:hAnsi="宋体"/>
          <w:szCs w:val="21"/>
        </w:rPr>
        <w:t>的</w:t>
      </w:r>
      <w:r>
        <w:rPr>
          <w:rFonts w:hint="eastAsia" w:ascii="宋体" w:hAnsi="宋体"/>
          <w:szCs w:val="21"/>
        </w:rPr>
        <w:t>分离</w:t>
      </w:r>
      <w:r>
        <w:rPr>
          <w:rFonts w:ascii="宋体" w:hAnsi="宋体"/>
          <w:szCs w:val="21"/>
        </w:rPr>
        <w:t>及自由组合现象</w:t>
      </w:r>
      <w:r>
        <w:rPr>
          <w:rFonts w:hint="eastAsia" w:ascii="宋体" w:hAnsi="宋体"/>
          <w:szCs w:val="21"/>
        </w:rPr>
        <w:t>进行</w:t>
      </w:r>
      <w:r>
        <w:rPr>
          <w:rFonts w:ascii="宋体" w:hAnsi="宋体"/>
          <w:szCs w:val="21"/>
        </w:rPr>
        <w:t>评价分析</w:t>
      </w:r>
      <w:r>
        <w:rPr>
          <w:rFonts w:hint="eastAsia" w:ascii="宋体" w:hAnsi="宋体"/>
          <w:szCs w:val="21"/>
        </w:rPr>
        <w:t>。</w:t>
      </w:r>
    </w:p>
    <w:p>
      <w:pPr>
        <w:pStyle w:val="10"/>
        <w:snapToGrid w:val="0"/>
        <w:spacing w:line="360" w:lineRule="auto"/>
        <w:jc w:val="center"/>
        <w:rPr>
          <w:rFonts w:hAnsi="宋体"/>
          <w:b/>
        </w:rPr>
      </w:pPr>
      <w:r>
        <w:rPr>
          <w:rFonts w:hint="eastAsia" w:hAnsi="宋体"/>
          <w:b/>
        </w:rPr>
        <w:t>第</w:t>
      </w:r>
      <w:r>
        <w:rPr>
          <w:rFonts w:hAnsi="宋体"/>
          <w:b/>
        </w:rPr>
        <w:t>三</w:t>
      </w:r>
      <w:r>
        <w:rPr>
          <w:rFonts w:hint="eastAsia" w:hAnsi="宋体"/>
          <w:b/>
        </w:rPr>
        <w:t xml:space="preserve">章 </w:t>
      </w:r>
      <w:r>
        <w:rPr>
          <w:rFonts w:hAnsi="宋体"/>
          <w:b/>
        </w:rPr>
        <w:t xml:space="preserve"> </w:t>
      </w:r>
      <w:r>
        <w:rPr>
          <w:rFonts w:hint="eastAsia"/>
          <w:b/>
          <w:bCs/>
          <w:kern w:val="0"/>
        </w:rPr>
        <w:t xml:space="preserve">连锁遗传规律 </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：连锁遗传的现象</w:t>
      </w:r>
      <w:r>
        <w:rPr>
          <w:rFonts w:ascii="宋体" w:hAnsi="宋体"/>
          <w:szCs w:val="21"/>
        </w:rPr>
        <w:t>及</w:t>
      </w:r>
      <w:r>
        <w:rPr>
          <w:rFonts w:hint="eastAsia" w:ascii="宋体" w:hAnsi="宋体"/>
          <w:szCs w:val="21"/>
        </w:rPr>
        <w:t>概念，相引相、相斥相、重组率等概念。</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：完全连锁与不完全连锁、交换与不完全连锁的概念及形成机理；</w:t>
      </w:r>
      <w:r>
        <w:rPr>
          <w:rFonts w:hint="eastAsia"/>
        </w:rPr>
        <w:t>了解性染色体与性别决定，性别决定的畸变，植物的性别决定和环境条件与性别分化的关系。</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交换值的概念、遗传距离的概念以及用自交法和测交法求交换值的方法；基因定位及连锁遗传图的概念；两点测验三点测验的试验方法和优缺点，符合系数的概念及意义；利用连锁遗传原理提高园艺作物选择效果的方法，熟悉交换值在育种实践上应用。</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1．连锁遗传的概念、遗传机理。</w:t>
      </w:r>
    </w:p>
    <w:p>
      <w:pPr>
        <w:snapToGrid w:val="0"/>
        <w:spacing w:line="360" w:lineRule="auto"/>
        <w:ind w:firstLine="420" w:firstLineChars="200"/>
        <w:rPr>
          <w:rFonts w:hAnsi="宋体"/>
          <w:kern w:val="0"/>
          <w:szCs w:val="21"/>
        </w:rPr>
      </w:pPr>
      <w:r>
        <w:rPr>
          <w:rFonts w:hint="eastAsia" w:hAnsi="宋体"/>
          <w:kern w:val="0"/>
          <w:szCs w:val="21"/>
        </w:rPr>
        <w:t>2．交换值与遗传距离的概念，利用自交法和测交法求交换值的方法，以及两点测验、三点测验的基因定位方法。</w:t>
      </w:r>
    </w:p>
    <w:p>
      <w:pPr>
        <w:snapToGrid w:val="0"/>
        <w:spacing w:line="360" w:lineRule="auto"/>
        <w:ind w:firstLine="420" w:firstLineChars="200"/>
        <w:rPr>
          <w:rFonts w:hAnsi="宋体"/>
          <w:kern w:val="0"/>
          <w:szCs w:val="21"/>
        </w:rPr>
      </w:pPr>
      <w:r>
        <w:rPr>
          <w:rFonts w:hint="eastAsia" w:hAnsi="宋体"/>
          <w:kern w:val="0"/>
          <w:szCs w:val="21"/>
        </w:rPr>
        <w:t>3．利用连锁遗传原理提高园艺作物选择效果的方法，交换值在育种实践上的应用。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rPr>
        <w:t>完全连锁、不完全连锁、符合系数、性染色体、性连锁等概念。</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w:t>
      </w:r>
      <w:r>
        <w:rPr>
          <w:rFonts w:hint="eastAsia"/>
        </w:rPr>
        <w:t>连锁遗传规律的现象和实质</w:t>
      </w:r>
      <w:r>
        <w:rPr>
          <w:rFonts w:hAnsi="宋体"/>
          <w:kern w:val="0"/>
          <w:szCs w:val="21"/>
        </w:rPr>
        <w:t>。</w:t>
      </w:r>
    </w:p>
    <w:p>
      <w:pPr>
        <w:snapToGrid w:val="0"/>
        <w:spacing w:line="360" w:lineRule="auto"/>
        <w:ind w:firstLine="422" w:firstLineChars="200"/>
      </w:pPr>
      <w:r>
        <w:rPr>
          <w:rFonts w:hint="eastAsia" w:ascii="宋体" w:hAnsi="宋体"/>
          <w:b/>
          <w:szCs w:val="21"/>
        </w:rPr>
        <w:t>3.应用</w:t>
      </w:r>
      <w:r>
        <w:rPr>
          <w:rFonts w:hint="eastAsia" w:ascii="宋体" w:hAnsi="宋体"/>
          <w:szCs w:val="21"/>
        </w:rPr>
        <w:t>：利用本章所学知识</w:t>
      </w:r>
      <w:r>
        <w:rPr>
          <w:rFonts w:hint="eastAsia"/>
        </w:rPr>
        <w:t>解释生物后代性状表现的多样性。</w:t>
      </w:r>
    </w:p>
    <w:p>
      <w:pPr>
        <w:snapToGrid w:val="0"/>
        <w:spacing w:line="360" w:lineRule="auto"/>
        <w:ind w:firstLine="422" w:firstLineChars="200"/>
        <w:rPr>
          <w:rFonts w:ascii="宋体" w:hAnsi="宋体"/>
          <w:szCs w:val="21"/>
        </w:rPr>
      </w:pPr>
      <w:r>
        <w:rPr>
          <w:rFonts w:hint="eastAsia" w:ascii="宋体" w:hAnsi="宋体"/>
          <w:b/>
          <w:szCs w:val="21"/>
        </w:rPr>
        <w:t>4.分析</w:t>
      </w:r>
      <w:r>
        <w:rPr>
          <w:rFonts w:ascii="宋体" w:hAnsi="宋体"/>
          <w:b/>
          <w:szCs w:val="21"/>
        </w:rPr>
        <w:t>：</w:t>
      </w:r>
      <w:r>
        <w:rPr>
          <w:rFonts w:hint="eastAsia" w:ascii="宋体" w:hAnsi="宋体"/>
          <w:szCs w:val="21"/>
        </w:rPr>
        <w:t>利用</w:t>
      </w:r>
      <w:r>
        <w:rPr>
          <w:rFonts w:ascii="宋体" w:hAnsi="宋体"/>
          <w:szCs w:val="21"/>
        </w:rPr>
        <w:t>本章所</w:t>
      </w:r>
      <w:r>
        <w:rPr>
          <w:rFonts w:hint="eastAsia" w:ascii="宋体" w:hAnsi="宋体"/>
          <w:szCs w:val="21"/>
        </w:rPr>
        <w:t>学</w:t>
      </w:r>
      <w:r>
        <w:rPr>
          <w:rFonts w:ascii="宋体" w:hAnsi="宋体"/>
          <w:szCs w:val="21"/>
        </w:rPr>
        <w:t>知识，</w:t>
      </w:r>
      <w:r>
        <w:rPr>
          <w:rFonts w:hint="eastAsia" w:ascii="宋体" w:hAnsi="宋体"/>
          <w:szCs w:val="21"/>
        </w:rPr>
        <w:t>能</w:t>
      </w:r>
      <w:r>
        <w:rPr>
          <w:rFonts w:ascii="宋体" w:hAnsi="宋体"/>
          <w:szCs w:val="21"/>
        </w:rPr>
        <w:t>对</w:t>
      </w:r>
      <w:r>
        <w:rPr>
          <w:rFonts w:hint="eastAsia" w:ascii="宋体" w:hAnsi="宋体"/>
          <w:szCs w:val="21"/>
        </w:rPr>
        <w:t>连锁遗传</w:t>
      </w:r>
      <w:r>
        <w:rPr>
          <w:rFonts w:ascii="宋体" w:hAnsi="宋体"/>
          <w:szCs w:val="21"/>
        </w:rPr>
        <w:t>现象及后代</w:t>
      </w:r>
      <w:r>
        <w:rPr>
          <w:rFonts w:hint="eastAsia" w:ascii="宋体" w:hAnsi="宋体"/>
          <w:szCs w:val="21"/>
        </w:rPr>
        <w:t>表型</w:t>
      </w:r>
      <w:r>
        <w:rPr>
          <w:rFonts w:ascii="宋体" w:hAnsi="宋体"/>
          <w:szCs w:val="21"/>
        </w:rPr>
        <w:t>分离比进行合理分析。</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w:t>
      </w:r>
      <w:r>
        <w:rPr>
          <w:rFonts w:hint="eastAsia"/>
        </w:rPr>
        <w:t>根据性状的遗传规律和选择目标，设计一定的杂交组合，并能够对后代个体的性状进行预测、确定群体的大小。</w:t>
      </w:r>
    </w:p>
    <w:p>
      <w:pPr>
        <w:snapToGrid w:val="0"/>
        <w:spacing w:line="360" w:lineRule="auto"/>
        <w:ind w:firstLine="422" w:firstLineChars="200"/>
      </w:pPr>
      <w:r>
        <w:rPr>
          <w:rFonts w:hint="eastAsia" w:ascii="宋体" w:hAnsi="宋体"/>
          <w:b/>
          <w:szCs w:val="21"/>
        </w:rPr>
        <w:t>6.评价：</w:t>
      </w:r>
      <w:r>
        <w:rPr>
          <w:rFonts w:hint="eastAsia" w:ascii="宋体" w:hAnsi="宋体"/>
          <w:szCs w:val="21"/>
        </w:rPr>
        <w:t>利用本章</w:t>
      </w:r>
      <w:r>
        <w:rPr>
          <w:rFonts w:ascii="宋体" w:hAnsi="宋体"/>
          <w:szCs w:val="21"/>
        </w:rPr>
        <w:t>知识，对</w:t>
      </w:r>
      <w:r>
        <w:rPr>
          <w:rFonts w:hint="eastAsia" w:ascii="宋体" w:hAnsi="宋体"/>
          <w:szCs w:val="21"/>
        </w:rPr>
        <w:t>园艺</w:t>
      </w:r>
      <w:r>
        <w:rPr>
          <w:rFonts w:ascii="宋体" w:hAnsi="宋体"/>
          <w:szCs w:val="21"/>
        </w:rPr>
        <w:t>作物性状</w:t>
      </w:r>
      <w:r>
        <w:rPr>
          <w:rFonts w:hint="eastAsia" w:ascii="宋体" w:hAnsi="宋体"/>
          <w:szCs w:val="21"/>
        </w:rPr>
        <w:t>性状连锁</w:t>
      </w:r>
      <w:r>
        <w:rPr>
          <w:rFonts w:ascii="宋体" w:hAnsi="宋体"/>
          <w:szCs w:val="21"/>
        </w:rPr>
        <w:t>遗传现象</w:t>
      </w:r>
      <w:r>
        <w:rPr>
          <w:rFonts w:hint="eastAsia" w:ascii="宋体" w:hAnsi="宋体"/>
          <w:szCs w:val="21"/>
        </w:rPr>
        <w:t>进行</w:t>
      </w:r>
      <w:r>
        <w:rPr>
          <w:rFonts w:ascii="宋体" w:hAnsi="宋体"/>
          <w:szCs w:val="21"/>
        </w:rPr>
        <w:t>评价分析</w:t>
      </w:r>
      <w:r>
        <w:rPr>
          <w:rFonts w:hint="eastAsia" w:ascii="宋体" w:hAnsi="宋体"/>
          <w:szCs w:val="21"/>
        </w:rPr>
        <w:t>。</w:t>
      </w:r>
    </w:p>
    <w:p>
      <w:pPr>
        <w:pStyle w:val="10"/>
        <w:snapToGrid w:val="0"/>
        <w:spacing w:line="360" w:lineRule="auto"/>
        <w:jc w:val="center"/>
        <w:rPr>
          <w:rFonts w:hAnsi="宋体"/>
          <w:b/>
        </w:rPr>
      </w:pPr>
      <w:r>
        <w:rPr>
          <w:rFonts w:hint="eastAsia" w:hAnsi="宋体"/>
          <w:b/>
        </w:rPr>
        <w:t>第</w:t>
      </w:r>
      <w:r>
        <w:rPr>
          <w:rFonts w:hAnsi="宋体"/>
          <w:b/>
        </w:rPr>
        <w:t>四</w:t>
      </w:r>
      <w:r>
        <w:rPr>
          <w:rFonts w:hint="eastAsia" w:hAnsi="宋体"/>
          <w:b/>
        </w:rPr>
        <w:t xml:space="preserve">章  </w:t>
      </w:r>
      <w:r>
        <w:rPr>
          <w:rFonts w:hint="eastAsia"/>
          <w:b/>
          <w:bCs/>
          <w:kern w:val="0"/>
        </w:rPr>
        <w:t xml:space="preserve">数量性状的遗传 </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Ansi="宋体"/>
          <w:kern w:val="0"/>
          <w:szCs w:val="21"/>
        </w:rPr>
        <w:t>平均数、方差及标准差在数量性状分析中的意义</w:t>
      </w:r>
      <w:r>
        <w:rPr>
          <w:rFonts w:hint="eastAsia" w:hAnsi="宋体"/>
          <w:kern w:val="0"/>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Ansi="宋体"/>
          <w:kern w:val="0"/>
          <w:szCs w:val="21"/>
        </w:rPr>
        <w:t>数量性状及质量性状的概念和区别</w:t>
      </w:r>
      <w:r>
        <w:rPr>
          <w:rFonts w:hint="eastAsia" w:hAnsi="宋体"/>
          <w:kern w:val="0"/>
          <w:szCs w:val="21"/>
        </w:rPr>
        <w:t>；</w:t>
      </w:r>
      <w:r>
        <w:rPr>
          <w:rFonts w:hAnsi="宋体"/>
          <w:kern w:val="0"/>
          <w:szCs w:val="21"/>
        </w:rPr>
        <w:t>多基因假说</w:t>
      </w:r>
      <w:r>
        <w:rPr>
          <w:rFonts w:hint="eastAsia" w:hAnsi="宋体"/>
          <w:kern w:val="0"/>
          <w:szCs w:val="21"/>
        </w:rPr>
        <w:t>和</w:t>
      </w:r>
      <w:r>
        <w:rPr>
          <w:rFonts w:hAnsi="宋体"/>
          <w:kern w:val="0"/>
          <w:szCs w:val="21"/>
        </w:rPr>
        <w:t>遗传率的应用</w:t>
      </w:r>
      <w:r>
        <w:rPr>
          <w:rFonts w:hint="eastAsia" w:hAnsi="宋体"/>
          <w:kern w:val="0"/>
          <w:szCs w:val="21"/>
        </w:rPr>
        <w:t>；</w:t>
      </w:r>
      <w:r>
        <w:rPr>
          <w:rFonts w:hAnsi="宋体"/>
          <w:kern w:val="0"/>
          <w:szCs w:val="21"/>
        </w:rPr>
        <w:t>数量性状基因定位的</w:t>
      </w:r>
      <w:r>
        <w:rPr>
          <w:rFonts w:hint="eastAsia" w:hAnsi="宋体"/>
          <w:kern w:val="0"/>
          <w:szCs w:val="21"/>
        </w:rPr>
        <w:t>途径</w:t>
      </w:r>
      <w:r>
        <w:rPr>
          <w:rFonts w:hAnsi="宋体"/>
          <w:kern w:val="0"/>
          <w:szCs w:val="21"/>
        </w:rPr>
        <w:t>和方法</w:t>
      </w:r>
      <w:r>
        <w:rPr>
          <w:rFonts w:hint="eastAsia" w:hAnsi="宋体"/>
          <w:kern w:val="0"/>
          <w:szCs w:val="21"/>
        </w:rPr>
        <w:t>。</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Ansi="宋体"/>
          <w:kern w:val="0"/>
          <w:szCs w:val="21"/>
        </w:rPr>
        <w:t>遗传率的两种概</w:t>
      </w:r>
      <w:r>
        <w:rPr>
          <w:rFonts w:hint="eastAsia" w:hAnsi="宋体"/>
          <w:kern w:val="0"/>
          <w:szCs w:val="21"/>
        </w:rPr>
        <w:t>念和</w:t>
      </w:r>
      <w:r>
        <w:rPr>
          <w:rFonts w:hAnsi="宋体"/>
          <w:kern w:val="0"/>
          <w:szCs w:val="21"/>
        </w:rPr>
        <w:t>估算方法以及在育种上的应用</w:t>
      </w:r>
      <w:r>
        <w:rPr>
          <w:rFonts w:hint="eastAsia" w:hAnsi="宋体"/>
          <w:kern w:val="0"/>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1．数量性状及质量性状的概念和区别，数量性状遗传的多基因假说。</w:t>
      </w:r>
    </w:p>
    <w:p>
      <w:pPr>
        <w:snapToGrid w:val="0"/>
        <w:spacing w:line="360" w:lineRule="auto"/>
        <w:ind w:firstLine="420" w:firstLineChars="200"/>
        <w:rPr>
          <w:rFonts w:hAnsi="宋体"/>
          <w:kern w:val="0"/>
          <w:szCs w:val="21"/>
        </w:rPr>
      </w:pPr>
      <w:r>
        <w:rPr>
          <w:rFonts w:hint="eastAsia" w:hAnsi="宋体"/>
          <w:kern w:val="0"/>
          <w:szCs w:val="21"/>
        </w:rPr>
        <w:t>2．遗传率的两种概念、估算方法以及在育种上的应用。</w:t>
      </w:r>
    </w:p>
    <w:p>
      <w:pPr>
        <w:snapToGrid w:val="0"/>
        <w:spacing w:line="360" w:lineRule="auto"/>
        <w:ind w:firstLine="420" w:firstLineChars="200"/>
        <w:rPr>
          <w:rFonts w:hAnsi="宋体"/>
          <w:kern w:val="0"/>
          <w:szCs w:val="21"/>
        </w:rPr>
      </w:pPr>
      <w:r>
        <w:rPr>
          <w:rFonts w:hint="eastAsia" w:hAnsi="宋体"/>
          <w:kern w:val="0"/>
          <w:szCs w:val="21"/>
        </w:rPr>
        <w:t>3．分离</w:t>
      </w:r>
      <w:r>
        <w:rPr>
          <w:rFonts w:hAnsi="宋体"/>
          <w:kern w:val="0"/>
          <w:szCs w:val="21"/>
        </w:rPr>
        <w:t>群体的类型、</w:t>
      </w:r>
      <w:r>
        <w:rPr>
          <w:rFonts w:hint="eastAsia" w:hAnsi="宋体"/>
          <w:kern w:val="0"/>
          <w:szCs w:val="21"/>
        </w:rPr>
        <w:t>QTL定位</w:t>
      </w:r>
      <w:r>
        <w:rPr>
          <w:rFonts w:hAnsi="宋体"/>
          <w:kern w:val="0"/>
          <w:szCs w:val="21"/>
        </w:rPr>
        <w:t>的方法。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rPr>
        <w:t>质量性状、数量性状、遗传率、微效多基因、修饰基因、超亲遗传等概念。</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w:t>
      </w:r>
      <w:r>
        <w:rPr>
          <w:rFonts w:hint="eastAsia"/>
        </w:rPr>
        <w:t>数量性状遗传的现象和实质</w:t>
      </w:r>
      <w:r>
        <w:rPr>
          <w:rFonts w:hAnsi="宋体"/>
          <w:kern w:val="0"/>
          <w:szCs w:val="21"/>
        </w:rPr>
        <w:t>。</w:t>
      </w:r>
    </w:p>
    <w:p>
      <w:pPr>
        <w:snapToGrid w:val="0"/>
        <w:spacing w:line="360" w:lineRule="auto"/>
        <w:ind w:firstLine="422" w:firstLineChars="200"/>
      </w:pPr>
      <w:r>
        <w:rPr>
          <w:rFonts w:hint="eastAsia" w:ascii="宋体" w:hAnsi="宋体"/>
          <w:b/>
          <w:szCs w:val="21"/>
        </w:rPr>
        <w:t>3.应用</w:t>
      </w:r>
      <w:r>
        <w:rPr>
          <w:rFonts w:hint="eastAsia" w:ascii="宋体" w:hAnsi="宋体"/>
          <w:szCs w:val="21"/>
        </w:rPr>
        <w:t>：利用本章所学知识，</w:t>
      </w:r>
      <w:r>
        <w:rPr>
          <w:rFonts w:hint="eastAsia"/>
        </w:rPr>
        <w:t>解释数量性状在育种上的应用；利用</w:t>
      </w:r>
      <w:r>
        <w:t>适宜的遗传群体发掘数量性状基因的</w:t>
      </w:r>
      <w:r>
        <w:rPr>
          <w:rFonts w:hint="eastAsia"/>
        </w:rPr>
        <w:t>途径</w:t>
      </w:r>
      <w:r>
        <w:t>和基本方法</w:t>
      </w:r>
      <w:r>
        <w:rPr>
          <w:rFonts w:hint="eastAsia"/>
        </w:rPr>
        <w:t>。</w:t>
      </w:r>
    </w:p>
    <w:p>
      <w:pPr>
        <w:snapToGrid w:val="0"/>
        <w:spacing w:line="360" w:lineRule="auto"/>
        <w:ind w:firstLine="422" w:firstLineChars="200"/>
      </w:pPr>
      <w:r>
        <w:rPr>
          <w:rFonts w:hint="eastAsia" w:ascii="宋体" w:hAnsi="宋体" w:cs="宋体"/>
          <w:b/>
          <w:bCs/>
        </w:rPr>
        <w:t>4.分析：</w:t>
      </w:r>
      <w:r>
        <w:rPr>
          <w:rFonts w:hint="eastAsia"/>
        </w:rPr>
        <w:t>利用本章所学知识，能够对数量性状遗传特点及其规律进行分析。</w:t>
      </w:r>
    </w:p>
    <w:p>
      <w:pPr>
        <w:snapToGrid w:val="0"/>
        <w:spacing w:line="360" w:lineRule="auto"/>
        <w:ind w:firstLine="422" w:firstLineChars="200"/>
      </w:pPr>
      <w:r>
        <w:rPr>
          <w:rFonts w:hint="eastAsia" w:ascii="宋体" w:hAnsi="宋体"/>
          <w:b/>
          <w:szCs w:val="21"/>
        </w:rPr>
        <w:t>5.综合</w:t>
      </w:r>
      <w:r>
        <w:rPr>
          <w:rFonts w:hint="eastAsia" w:ascii="宋体" w:hAnsi="宋体"/>
          <w:szCs w:val="21"/>
        </w:rPr>
        <w:t>：利用本章所学知识，</w:t>
      </w:r>
      <w:r>
        <w:rPr>
          <w:rFonts w:hint="eastAsia"/>
        </w:rPr>
        <w:t>自设杂交方案并进行园艺植物的特定数量性状的狭义遗传率、广义遗传率的估算。</w:t>
      </w:r>
    </w:p>
    <w:p>
      <w:pPr>
        <w:snapToGrid w:val="0"/>
        <w:spacing w:line="360" w:lineRule="auto"/>
        <w:ind w:firstLine="422" w:firstLineChars="200"/>
      </w:pPr>
      <w:r>
        <w:rPr>
          <w:rFonts w:hint="eastAsia" w:ascii="宋体" w:hAnsi="宋体" w:cs="宋体"/>
          <w:b/>
          <w:bCs/>
        </w:rPr>
        <w:t>6.评价：</w:t>
      </w:r>
      <w:r>
        <w:rPr>
          <w:rFonts w:hint="eastAsia"/>
        </w:rPr>
        <w:t>对数量性状在育种应用中的效果进行评价。</w:t>
      </w:r>
    </w:p>
    <w:p>
      <w:pPr>
        <w:pStyle w:val="10"/>
        <w:snapToGrid w:val="0"/>
        <w:spacing w:line="360" w:lineRule="auto"/>
        <w:jc w:val="center"/>
        <w:rPr>
          <w:rFonts w:hAnsi="宋体"/>
          <w:b/>
        </w:rPr>
      </w:pPr>
      <w:r>
        <w:rPr>
          <w:rFonts w:hint="eastAsia" w:hAnsi="宋体"/>
          <w:b/>
        </w:rPr>
        <w:t>第</w:t>
      </w:r>
      <w:r>
        <w:rPr>
          <w:rFonts w:hAnsi="宋体"/>
          <w:b/>
        </w:rPr>
        <w:t>五</w:t>
      </w:r>
      <w:r>
        <w:rPr>
          <w:rFonts w:hint="eastAsia" w:hAnsi="宋体"/>
          <w:b/>
        </w:rPr>
        <w:t xml:space="preserve">章 </w:t>
      </w:r>
      <w:r>
        <w:rPr>
          <w:rFonts w:hAnsi="宋体"/>
          <w:b/>
        </w:rPr>
        <w:t xml:space="preserve"> </w:t>
      </w:r>
      <w:r>
        <w:rPr>
          <w:b/>
          <w:bCs/>
          <w:kern w:val="0"/>
        </w:rPr>
        <w:t>近亲繁殖</w:t>
      </w:r>
      <w:r>
        <w:rPr>
          <w:rFonts w:hAnsi="宋体"/>
          <w:b/>
          <w:bCs/>
          <w:kern w:val="0"/>
        </w:rPr>
        <w:t>和杂种优势</w:t>
      </w:r>
      <w:r>
        <w:rPr>
          <w:rFonts w:hint="eastAsia" w:hAnsi="宋体"/>
          <w:b/>
          <w:bCs/>
          <w:kern w:val="0"/>
        </w:rPr>
        <w:t xml:space="preserve"> </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Ansi="宋体"/>
          <w:kern w:val="0"/>
          <w:szCs w:val="21"/>
        </w:rPr>
        <w:t>近亲繁殖</w:t>
      </w:r>
      <w:r>
        <w:rPr>
          <w:rFonts w:hint="eastAsia" w:hAnsi="宋体"/>
          <w:kern w:val="0"/>
          <w:szCs w:val="21"/>
        </w:rPr>
        <w:t>和</w:t>
      </w:r>
      <w:r>
        <w:rPr>
          <w:rFonts w:hAnsi="宋体"/>
          <w:kern w:val="0"/>
          <w:szCs w:val="21"/>
        </w:rPr>
        <w:t>杂种优势的概念</w:t>
      </w:r>
      <w:r>
        <w:rPr>
          <w:rFonts w:hint="eastAsia" w:ascii="宋体" w:hAnsi="宋体"/>
          <w:szCs w:val="21"/>
        </w:rPr>
        <w:t>；</w:t>
      </w:r>
      <w:r>
        <w:rPr>
          <w:rFonts w:hint="eastAsia"/>
        </w:rPr>
        <w:t>杂种优势利用过程中应用注意的问题。</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Ansi="宋体"/>
          <w:kern w:val="0"/>
          <w:szCs w:val="21"/>
        </w:rPr>
        <w:t>多代自交后代群体的遗传效应和多代回交后代群体的遗传效应</w:t>
      </w:r>
      <w:r>
        <w:rPr>
          <w:rFonts w:hint="eastAsia" w:hAnsi="宋体"/>
          <w:kern w:val="0"/>
          <w:szCs w:val="21"/>
        </w:rPr>
        <w:t>。</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Ansi="宋体"/>
          <w:kern w:val="0"/>
          <w:szCs w:val="21"/>
        </w:rPr>
        <w:t>杂种优势</w:t>
      </w:r>
      <w:r>
        <w:rPr>
          <w:rFonts w:hint="eastAsia" w:hAnsi="宋体"/>
          <w:kern w:val="0"/>
          <w:szCs w:val="21"/>
        </w:rPr>
        <w:t>的</w:t>
      </w:r>
      <w:r>
        <w:rPr>
          <w:rFonts w:hAnsi="宋体"/>
          <w:kern w:val="0"/>
          <w:szCs w:val="21"/>
        </w:rPr>
        <w:t>基本特点</w:t>
      </w:r>
      <w:r>
        <w:rPr>
          <w:rFonts w:hint="eastAsia" w:hAnsi="宋体"/>
          <w:kern w:val="0"/>
          <w:szCs w:val="21"/>
        </w:rPr>
        <w:t>，遗传理论；F</w:t>
      </w:r>
      <w:r>
        <w:rPr>
          <w:rFonts w:hint="eastAsia" w:hAnsi="宋体"/>
          <w:kern w:val="0"/>
          <w:szCs w:val="21"/>
          <w:vertAlign w:val="subscript"/>
        </w:rPr>
        <w:t>2</w:t>
      </w:r>
      <w:r>
        <w:rPr>
          <w:rFonts w:hint="eastAsia" w:hAnsi="宋体"/>
          <w:kern w:val="0"/>
          <w:szCs w:val="21"/>
        </w:rPr>
        <w:t>衰退表现及原因。</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1．近亲繁殖的概念，多代自交后代群体的遗传效应和多代回交后代群体的遗传效应。</w:t>
      </w:r>
    </w:p>
    <w:p>
      <w:pPr>
        <w:snapToGrid w:val="0"/>
        <w:spacing w:line="360" w:lineRule="auto"/>
        <w:ind w:firstLine="420" w:firstLineChars="200"/>
        <w:rPr>
          <w:rFonts w:hAnsi="宋体"/>
          <w:kern w:val="0"/>
          <w:szCs w:val="21"/>
        </w:rPr>
      </w:pPr>
      <w:r>
        <w:rPr>
          <w:rFonts w:hint="eastAsia" w:hAnsi="宋体"/>
          <w:kern w:val="0"/>
          <w:szCs w:val="21"/>
        </w:rPr>
        <w:t>2．杂种优势的概念、类型及F</w:t>
      </w:r>
      <w:r>
        <w:rPr>
          <w:rFonts w:hint="eastAsia" w:hAnsi="宋体"/>
          <w:kern w:val="0"/>
          <w:szCs w:val="21"/>
          <w:vertAlign w:val="subscript"/>
        </w:rPr>
        <w:t>l</w:t>
      </w:r>
      <w:r>
        <w:rPr>
          <w:rFonts w:hint="eastAsia" w:hAnsi="宋体"/>
          <w:kern w:val="0"/>
          <w:szCs w:val="21"/>
        </w:rPr>
        <w:t>杂种优势表现，</w:t>
      </w:r>
      <w:r>
        <w:rPr>
          <w:rFonts w:hAnsi="宋体"/>
          <w:kern w:val="0"/>
          <w:szCs w:val="21"/>
        </w:rPr>
        <w:t>及其</w:t>
      </w:r>
      <w:r>
        <w:rPr>
          <w:rFonts w:hint="eastAsia" w:hAnsi="宋体"/>
          <w:kern w:val="0"/>
          <w:szCs w:val="21"/>
        </w:rPr>
        <w:t>基本特点。</w:t>
      </w:r>
    </w:p>
    <w:p>
      <w:pPr>
        <w:snapToGrid w:val="0"/>
        <w:spacing w:line="360" w:lineRule="auto"/>
        <w:ind w:firstLine="420" w:firstLineChars="200"/>
        <w:rPr>
          <w:rFonts w:hAnsi="宋体"/>
          <w:kern w:val="0"/>
          <w:szCs w:val="21"/>
        </w:rPr>
      </w:pPr>
      <w:r>
        <w:rPr>
          <w:rFonts w:hint="eastAsia" w:hAnsi="宋体"/>
          <w:kern w:val="0"/>
          <w:szCs w:val="21"/>
        </w:rPr>
        <w:t>3．F</w:t>
      </w:r>
      <w:r>
        <w:rPr>
          <w:rFonts w:hint="eastAsia" w:hAnsi="宋体"/>
          <w:kern w:val="0"/>
          <w:szCs w:val="21"/>
          <w:vertAlign w:val="subscript"/>
        </w:rPr>
        <w:t>2</w:t>
      </w:r>
      <w:r>
        <w:rPr>
          <w:rFonts w:hint="eastAsia" w:hAnsi="宋体"/>
          <w:kern w:val="0"/>
          <w:szCs w:val="21"/>
        </w:rPr>
        <w:t>的衰退现象及原因。</w:t>
      </w:r>
    </w:p>
    <w:p>
      <w:pPr>
        <w:snapToGrid w:val="0"/>
        <w:spacing w:line="360" w:lineRule="auto"/>
        <w:ind w:firstLine="420" w:firstLineChars="200"/>
        <w:rPr>
          <w:rFonts w:hAnsi="宋体"/>
          <w:kern w:val="0"/>
          <w:szCs w:val="21"/>
        </w:rPr>
      </w:pPr>
      <w:r>
        <w:rPr>
          <w:rFonts w:hint="eastAsia" w:hAnsi="宋体"/>
          <w:kern w:val="0"/>
          <w:szCs w:val="21"/>
        </w:rPr>
        <w:t>4．显性假说、超显性假说的内容及异同点。</w:t>
      </w:r>
    </w:p>
    <w:p>
      <w:pPr>
        <w:snapToGrid w:val="0"/>
        <w:spacing w:line="360" w:lineRule="auto"/>
        <w:ind w:firstLine="420" w:firstLineChars="200"/>
        <w:rPr>
          <w:rFonts w:hAnsi="宋体"/>
          <w:kern w:val="0"/>
          <w:szCs w:val="21"/>
        </w:rPr>
      </w:pPr>
      <w:r>
        <w:rPr>
          <w:rFonts w:hint="eastAsia" w:hAnsi="宋体"/>
          <w:kern w:val="0"/>
          <w:szCs w:val="21"/>
        </w:rPr>
        <w:t>5．近亲繁殖在自花授粉作物和异花授粉作物育种中的利用特点，以及杂种优势利用过程中应注意的问题。</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rPr>
        <w:t>超亲遗传、近亲繁殖、杂种优势、显性假说、超显性假说等含义与概念</w:t>
      </w:r>
      <w:r>
        <w:rPr>
          <w:rFonts w:hAnsi="宋体"/>
          <w:kern w:val="0"/>
          <w:szCs w:val="21"/>
        </w:rPr>
        <w:t>。</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w:t>
      </w:r>
      <w:r>
        <w:rPr>
          <w:rFonts w:hint="eastAsia" w:hAnsi="宋体"/>
          <w:kern w:val="0"/>
          <w:szCs w:val="21"/>
        </w:rPr>
        <w:t>近亲繁殖的遗传效应，杂种优势的表现和实质。</w:t>
      </w:r>
    </w:p>
    <w:p>
      <w:pPr>
        <w:snapToGrid w:val="0"/>
        <w:spacing w:line="360" w:lineRule="auto"/>
        <w:ind w:firstLine="422" w:firstLineChars="200"/>
      </w:pPr>
      <w:r>
        <w:rPr>
          <w:rFonts w:hint="eastAsia" w:ascii="宋体" w:hAnsi="宋体"/>
          <w:b/>
          <w:szCs w:val="21"/>
        </w:rPr>
        <w:t>3.应用</w:t>
      </w:r>
      <w:r>
        <w:rPr>
          <w:rFonts w:hint="eastAsia" w:ascii="宋体" w:hAnsi="宋体"/>
          <w:szCs w:val="21"/>
        </w:rPr>
        <w:t>：利用本章所学知识，</w:t>
      </w:r>
      <w:r>
        <w:rPr>
          <w:rFonts w:hint="eastAsia"/>
        </w:rPr>
        <w:t>解释杂交种出现衰退的原因。</w:t>
      </w:r>
    </w:p>
    <w:p>
      <w:pPr>
        <w:snapToGrid w:val="0"/>
        <w:spacing w:line="360" w:lineRule="auto"/>
        <w:ind w:firstLine="422" w:firstLineChars="200"/>
        <w:rPr>
          <w:rFonts w:ascii="宋体" w:hAnsi="宋体" w:cs="宋体"/>
        </w:rPr>
      </w:pPr>
      <w:r>
        <w:rPr>
          <w:rFonts w:hint="eastAsia" w:ascii="宋体" w:hAnsi="宋体" w:cs="宋体"/>
          <w:b/>
          <w:bCs/>
        </w:rPr>
        <w:t>4.分析：</w:t>
      </w:r>
      <w:r>
        <w:rPr>
          <w:rFonts w:hint="eastAsia" w:ascii="宋体" w:hAnsi="宋体" w:cs="宋体"/>
        </w:rPr>
        <w:t>利用本章所学知识，分析近亲繁殖后代的遗传效应以及杂种优势的利用方式。</w:t>
      </w:r>
    </w:p>
    <w:p>
      <w:pPr>
        <w:snapToGrid w:val="0"/>
        <w:spacing w:line="360" w:lineRule="auto"/>
        <w:ind w:firstLine="422" w:firstLineChars="200"/>
      </w:pPr>
      <w:r>
        <w:rPr>
          <w:rFonts w:hint="eastAsia" w:ascii="宋体" w:hAnsi="宋体"/>
          <w:b/>
          <w:szCs w:val="21"/>
        </w:rPr>
        <w:t>5.综合</w:t>
      </w:r>
      <w:r>
        <w:rPr>
          <w:rFonts w:hint="eastAsia" w:ascii="宋体" w:hAnsi="宋体"/>
          <w:szCs w:val="21"/>
        </w:rPr>
        <w:t>：利用本章所学知识，</w:t>
      </w:r>
      <w:r>
        <w:rPr>
          <w:rFonts w:hint="eastAsia"/>
        </w:rPr>
        <w:t>解释杂种优势的原理及其利用</w:t>
      </w:r>
      <w:r>
        <w:t>方式</w:t>
      </w:r>
      <w:r>
        <w:rPr>
          <w:rFonts w:hint="eastAsia"/>
        </w:rPr>
        <w:t>，能够根据目标</w:t>
      </w:r>
      <w:r>
        <w:t>自行</w:t>
      </w:r>
      <w:r>
        <w:rPr>
          <w:rFonts w:hint="eastAsia"/>
        </w:rPr>
        <w:t>设计杂交组合，制定获得</w:t>
      </w:r>
      <w:r>
        <w:t>杂种优势的</w:t>
      </w:r>
      <w:r>
        <w:rPr>
          <w:rFonts w:hint="eastAsia"/>
        </w:rPr>
        <w:t>技术路线，并预测杂交结果。</w:t>
      </w:r>
    </w:p>
    <w:p>
      <w:pPr>
        <w:snapToGrid w:val="0"/>
        <w:spacing w:line="360" w:lineRule="auto"/>
        <w:ind w:firstLine="422" w:firstLineChars="200"/>
        <w:rPr>
          <w:rFonts w:ascii="宋体" w:hAnsi="宋体" w:cs="宋体"/>
        </w:rPr>
      </w:pPr>
      <w:r>
        <w:rPr>
          <w:rFonts w:hint="eastAsia" w:ascii="宋体" w:hAnsi="宋体" w:cs="宋体"/>
          <w:b/>
          <w:bCs/>
        </w:rPr>
        <w:t>6.评价：</w:t>
      </w:r>
      <w:r>
        <w:rPr>
          <w:rFonts w:hint="eastAsia" w:ascii="宋体" w:hAnsi="宋体" w:cs="宋体"/>
        </w:rPr>
        <w:t>近亲繁殖和杂种优势在育种中的应用价值。</w:t>
      </w:r>
    </w:p>
    <w:p>
      <w:pPr>
        <w:pStyle w:val="10"/>
        <w:snapToGrid w:val="0"/>
        <w:spacing w:before="312" w:beforeLines="100" w:line="360" w:lineRule="auto"/>
        <w:jc w:val="center"/>
        <w:rPr>
          <w:rFonts w:hAnsi="宋体"/>
          <w:b/>
        </w:rPr>
      </w:pPr>
      <w:r>
        <w:rPr>
          <w:rFonts w:hAnsi="宋体"/>
          <w:b/>
          <w:bCs/>
          <w:kern w:val="0"/>
        </w:rPr>
        <w:t>第</w:t>
      </w:r>
      <w:r>
        <w:rPr>
          <w:rFonts w:hint="eastAsia" w:hAnsi="宋体"/>
          <w:b/>
          <w:bCs/>
          <w:kern w:val="0"/>
        </w:rPr>
        <w:t>六</w:t>
      </w:r>
      <w:r>
        <w:rPr>
          <w:rFonts w:hAnsi="宋体"/>
          <w:b/>
          <w:bCs/>
          <w:kern w:val="0"/>
        </w:rPr>
        <w:t>章</w:t>
      </w:r>
      <w:r>
        <w:rPr>
          <w:b/>
          <w:bCs/>
          <w:kern w:val="0"/>
        </w:rPr>
        <w:t xml:space="preserve">  </w:t>
      </w:r>
      <w:r>
        <w:rPr>
          <w:rFonts w:hint="eastAsia" w:hAnsi="宋体"/>
          <w:b/>
          <w:bCs/>
          <w:kern w:val="0"/>
        </w:rPr>
        <w:t>遗传物质</w:t>
      </w:r>
      <w:r>
        <w:rPr>
          <w:rFonts w:hAnsi="宋体"/>
          <w:b/>
          <w:bCs/>
          <w:kern w:val="0"/>
        </w:rPr>
        <w:t>的</w:t>
      </w:r>
      <w:r>
        <w:rPr>
          <w:rFonts w:hint="eastAsia" w:hAnsi="宋体"/>
          <w:b/>
          <w:bCs/>
          <w:kern w:val="0"/>
        </w:rPr>
        <w:t xml:space="preserve">变异 </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hAnsi="宋体"/>
          <w:kern w:val="0"/>
          <w:szCs w:val="21"/>
        </w:rPr>
        <w:t>基因突变率及基因突变的一般特征</w:t>
      </w:r>
      <w:r>
        <w:rPr>
          <w:rFonts w:hint="eastAsia" w:ascii="宋体" w:hAnsi="宋体"/>
          <w:szCs w:val="21"/>
        </w:rPr>
        <w:t>；</w:t>
      </w:r>
      <w:r>
        <w:rPr>
          <w:rFonts w:hint="eastAsia" w:hAnsi="宋体"/>
          <w:kern w:val="0"/>
          <w:szCs w:val="21"/>
        </w:rPr>
        <w:t>染色体结构变异和染色体数目变异的类型。</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：基因</w:t>
      </w:r>
      <w:r>
        <w:rPr>
          <w:rFonts w:ascii="宋体" w:hAnsi="宋体"/>
          <w:szCs w:val="21"/>
        </w:rPr>
        <w:t>的概念，</w:t>
      </w:r>
      <w:r>
        <w:rPr>
          <w:rFonts w:hint="eastAsia" w:hAnsi="宋体"/>
          <w:kern w:val="0"/>
          <w:szCs w:val="21"/>
        </w:rPr>
        <w:t>自然条件下基因突变、染色体结构变异和数目变异的发生原因；</w:t>
      </w:r>
      <w:r>
        <w:rPr>
          <w:rFonts w:hAnsi="宋体"/>
          <w:kern w:val="0"/>
          <w:szCs w:val="21"/>
        </w:rPr>
        <w:t>人工诱导</w:t>
      </w:r>
      <w:r>
        <w:rPr>
          <w:rFonts w:hint="eastAsia" w:hAnsi="宋体"/>
          <w:kern w:val="0"/>
          <w:szCs w:val="21"/>
        </w:rPr>
        <w:t>基因突变原理。</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Ansi="宋体"/>
          <w:kern w:val="0"/>
          <w:szCs w:val="21"/>
        </w:rPr>
        <w:t>人工诱导多倍体</w:t>
      </w:r>
      <w:r>
        <w:rPr>
          <w:rFonts w:hint="eastAsia" w:hAnsi="宋体"/>
          <w:kern w:val="0"/>
          <w:szCs w:val="21"/>
        </w:rPr>
        <w:t>的理论和方法。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w:t>
      </w:r>
      <w:r>
        <w:rPr>
          <w:rFonts w:hAnsi="宋体"/>
          <w:kern w:val="0"/>
          <w:szCs w:val="21"/>
        </w:rPr>
        <w:t>基因突变率及基因突变的一般特征</w:t>
      </w:r>
      <w:r>
        <w:rPr>
          <w:rFonts w:hint="eastAsia" w:hAnsi="宋体"/>
          <w:kern w:val="0"/>
          <w:szCs w:val="21"/>
        </w:rPr>
        <w:t>，基因突变的类型和发生机理，</w:t>
      </w:r>
      <w:r>
        <w:rPr>
          <w:rFonts w:hAnsi="宋体"/>
          <w:kern w:val="0"/>
          <w:szCs w:val="21"/>
        </w:rPr>
        <w:t>遗传变异与</w:t>
      </w:r>
      <w:r>
        <w:rPr>
          <w:rFonts w:hint="eastAsia" w:hAnsi="宋体"/>
          <w:kern w:val="0"/>
          <w:szCs w:val="21"/>
        </w:rPr>
        <w:t>非</w:t>
      </w:r>
      <w:r>
        <w:rPr>
          <w:rFonts w:hAnsi="宋体"/>
          <w:kern w:val="0"/>
          <w:szCs w:val="21"/>
        </w:rPr>
        <w:t>遗传变异的鉴定</w:t>
      </w:r>
      <w:r>
        <w:rPr>
          <w:rFonts w:hint="eastAsia" w:hAnsi="宋体"/>
          <w:kern w:val="0"/>
          <w:szCs w:val="21"/>
        </w:rPr>
        <w:t>方法。</w:t>
      </w:r>
    </w:p>
    <w:p>
      <w:pPr>
        <w:snapToGrid w:val="0"/>
        <w:spacing w:line="360" w:lineRule="auto"/>
        <w:ind w:firstLine="420" w:firstLineChars="200"/>
        <w:rPr>
          <w:rFonts w:hAnsi="宋体"/>
          <w:kern w:val="0"/>
          <w:szCs w:val="21"/>
        </w:rPr>
      </w:pPr>
      <w:r>
        <w:rPr>
          <w:rFonts w:hint="eastAsia" w:hAnsi="宋体"/>
          <w:kern w:val="0"/>
          <w:szCs w:val="21"/>
        </w:rPr>
        <w:t>2．</w:t>
      </w:r>
      <w:r>
        <w:rPr>
          <w:rFonts w:hAnsi="宋体"/>
          <w:kern w:val="0"/>
          <w:szCs w:val="21"/>
        </w:rPr>
        <w:t>缺失</w:t>
      </w:r>
      <w:r>
        <w:rPr>
          <w:rFonts w:hint="eastAsia" w:hAnsi="宋体"/>
          <w:kern w:val="0"/>
          <w:szCs w:val="21"/>
        </w:rPr>
        <w:t>、重复、倒位、易位</w:t>
      </w:r>
      <w:r>
        <w:rPr>
          <w:rFonts w:hAnsi="宋体"/>
          <w:kern w:val="0"/>
          <w:szCs w:val="21"/>
        </w:rPr>
        <w:t>染色体的概念、类型，形成原因和遗传效应</w:t>
      </w:r>
      <w:r>
        <w:rPr>
          <w:rFonts w:hint="eastAsia" w:hAnsi="宋体"/>
          <w:kern w:val="0"/>
          <w:szCs w:val="21"/>
        </w:rPr>
        <w:t>。</w:t>
      </w:r>
    </w:p>
    <w:p>
      <w:pPr>
        <w:snapToGrid w:val="0"/>
        <w:spacing w:line="360" w:lineRule="auto"/>
        <w:ind w:firstLine="420" w:firstLineChars="200"/>
        <w:rPr>
          <w:rFonts w:hAnsi="宋体"/>
          <w:kern w:val="0"/>
          <w:szCs w:val="21"/>
        </w:rPr>
      </w:pPr>
      <w:r>
        <w:rPr>
          <w:rFonts w:hint="eastAsia" w:hAnsi="宋体"/>
          <w:kern w:val="0"/>
          <w:szCs w:val="21"/>
        </w:rPr>
        <w:t>3．</w:t>
      </w:r>
      <w:r>
        <w:rPr>
          <w:rFonts w:hAnsi="宋体"/>
          <w:kern w:val="0"/>
          <w:szCs w:val="21"/>
        </w:rPr>
        <w:t>染色体结构变异诱发的因素及特点</w:t>
      </w:r>
      <w:r>
        <w:rPr>
          <w:rFonts w:hint="eastAsia" w:hAnsi="宋体"/>
          <w:kern w:val="0"/>
          <w:szCs w:val="21"/>
        </w:rPr>
        <w:t>。</w:t>
      </w:r>
    </w:p>
    <w:p>
      <w:pPr>
        <w:snapToGrid w:val="0"/>
        <w:spacing w:line="360" w:lineRule="auto"/>
        <w:ind w:firstLine="420" w:firstLineChars="200"/>
        <w:rPr>
          <w:rFonts w:hAnsi="宋体"/>
          <w:kern w:val="0"/>
          <w:szCs w:val="21"/>
        </w:rPr>
      </w:pPr>
      <w:r>
        <w:rPr>
          <w:rFonts w:hAnsi="宋体"/>
          <w:kern w:val="0"/>
          <w:szCs w:val="21"/>
        </w:rPr>
        <w:t>4</w:t>
      </w:r>
      <w:r>
        <w:rPr>
          <w:rFonts w:hint="eastAsia" w:hAnsi="宋体"/>
          <w:kern w:val="0"/>
          <w:szCs w:val="21"/>
        </w:rPr>
        <w:t>．</w:t>
      </w:r>
      <w:r>
        <w:rPr>
          <w:rFonts w:hAnsi="宋体"/>
          <w:kern w:val="0"/>
          <w:szCs w:val="21"/>
        </w:rPr>
        <w:t>染色体组、整倍体、一倍体、同源</w:t>
      </w:r>
      <w:r>
        <w:rPr>
          <w:rFonts w:hint="eastAsia" w:hAnsi="宋体"/>
          <w:kern w:val="0"/>
          <w:szCs w:val="21"/>
        </w:rPr>
        <w:t>和</w:t>
      </w:r>
      <w:r>
        <w:rPr>
          <w:rFonts w:hAnsi="宋体"/>
          <w:kern w:val="0"/>
          <w:szCs w:val="21"/>
        </w:rPr>
        <w:t>异源</w:t>
      </w:r>
      <w:r>
        <w:rPr>
          <w:rFonts w:hint="eastAsia" w:hAnsi="宋体"/>
          <w:kern w:val="0"/>
          <w:szCs w:val="21"/>
        </w:rPr>
        <w:t>多倍体</w:t>
      </w:r>
      <w:r>
        <w:rPr>
          <w:rFonts w:hAnsi="宋体"/>
          <w:kern w:val="0"/>
          <w:szCs w:val="21"/>
        </w:rPr>
        <w:t>的概念</w:t>
      </w:r>
      <w:r>
        <w:rPr>
          <w:rFonts w:hint="eastAsia" w:hAnsi="宋体"/>
          <w:kern w:val="0"/>
          <w:szCs w:val="21"/>
        </w:rPr>
        <w:t>以及单倍体研究意义和应用。</w:t>
      </w:r>
    </w:p>
    <w:p>
      <w:pPr>
        <w:snapToGrid w:val="0"/>
        <w:spacing w:line="360" w:lineRule="auto"/>
        <w:ind w:firstLine="420" w:firstLineChars="200"/>
        <w:rPr>
          <w:rFonts w:hAnsi="宋体"/>
          <w:kern w:val="0"/>
          <w:szCs w:val="21"/>
        </w:rPr>
      </w:pPr>
      <w:r>
        <w:rPr>
          <w:rFonts w:hAnsi="宋体"/>
          <w:kern w:val="0"/>
          <w:szCs w:val="21"/>
        </w:rPr>
        <w:t>5</w:t>
      </w:r>
      <w:r>
        <w:rPr>
          <w:rFonts w:hint="eastAsia" w:hAnsi="宋体"/>
          <w:kern w:val="0"/>
          <w:szCs w:val="21"/>
        </w:rPr>
        <w:t>．</w:t>
      </w:r>
      <w:r>
        <w:rPr>
          <w:rFonts w:hAnsi="宋体"/>
          <w:kern w:val="0"/>
          <w:szCs w:val="21"/>
        </w:rPr>
        <w:t>同源多倍体的形态特征，</w:t>
      </w:r>
      <w:r>
        <w:rPr>
          <w:rFonts w:hint="eastAsia" w:hAnsi="宋体"/>
          <w:kern w:val="0"/>
          <w:szCs w:val="21"/>
        </w:rPr>
        <w:t>常见</w:t>
      </w:r>
      <w:r>
        <w:rPr>
          <w:rFonts w:hAnsi="宋体"/>
          <w:kern w:val="0"/>
          <w:szCs w:val="21"/>
        </w:rPr>
        <w:t>的同源多倍体</w:t>
      </w:r>
      <w:r>
        <w:rPr>
          <w:rFonts w:hint="eastAsia" w:hAnsi="宋体"/>
          <w:kern w:val="0"/>
          <w:szCs w:val="21"/>
        </w:rPr>
        <w:t>和</w:t>
      </w:r>
      <w:r>
        <w:rPr>
          <w:rFonts w:hAnsi="宋体"/>
          <w:kern w:val="0"/>
          <w:szCs w:val="21"/>
        </w:rPr>
        <w:t>异源多倍体</w:t>
      </w:r>
      <w:r>
        <w:rPr>
          <w:rFonts w:hint="eastAsia" w:hAnsi="宋体"/>
          <w:kern w:val="0"/>
          <w:szCs w:val="21"/>
        </w:rPr>
        <w:t>的</w:t>
      </w:r>
      <w:r>
        <w:rPr>
          <w:rFonts w:hAnsi="宋体"/>
          <w:kern w:val="0"/>
          <w:szCs w:val="21"/>
        </w:rPr>
        <w:t>联会及分离特点</w:t>
      </w:r>
      <w:r>
        <w:rPr>
          <w:rFonts w:hint="eastAsia" w:hAnsi="宋体"/>
          <w:kern w:val="0"/>
          <w:szCs w:val="21"/>
        </w:rPr>
        <w:t>。</w:t>
      </w:r>
    </w:p>
    <w:p>
      <w:pPr>
        <w:snapToGrid w:val="0"/>
        <w:spacing w:line="360" w:lineRule="auto"/>
        <w:ind w:firstLine="420" w:firstLineChars="200"/>
        <w:rPr>
          <w:rFonts w:hAnsi="宋体"/>
          <w:kern w:val="0"/>
          <w:szCs w:val="21"/>
        </w:rPr>
      </w:pPr>
      <w:r>
        <w:rPr>
          <w:rFonts w:hAnsi="宋体"/>
          <w:kern w:val="0"/>
          <w:szCs w:val="21"/>
        </w:rPr>
        <w:t>6</w:t>
      </w:r>
      <w:r>
        <w:rPr>
          <w:rFonts w:hint="eastAsia" w:hAnsi="宋体"/>
          <w:kern w:val="0"/>
          <w:szCs w:val="21"/>
        </w:rPr>
        <w:t>．多倍体</w:t>
      </w:r>
      <w:r>
        <w:rPr>
          <w:rFonts w:hAnsi="宋体"/>
          <w:kern w:val="0"/>
          <w:szCs w:val="21"/>
        </w:rPr>
        <w:t>形成</w:t>
      </w:r>
      <w:r>
        <w:rPr>
          <w:rFonts w:hint="eastAsia" w:hAnsi="宋体"/>
          <w:kern w:val="0"/>
          <w:szCs w:val="21"/>
        </w:rPr>
        <w:t>的</w:t>
      </w:r>
      <w:r>
        <w:rPr>
          <w:rFonts w:hAnsi="宋体"/>
          <w:kern w:val="0"/>
          <w:szCs w:val="21"/>
        </w:rPr>
        <w:t>途径</w:t>
      </w:r>
      <w:r>
        <w:rPr>
          <w:rFonts w:hint="eastAsia" w:hAnsi="宋体"/>
          <w:kern w:val="0"/>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：基因</w:t>
      </w:r>
      <w:r>
        <w:rPr>
          <w:rFonts w:ascii="宋体" w:hAnsi="宋体"/>
          <w:szCs w:val="21"/>
        </w:rPr>
        <w:t>、</w:t>
      </w:r>
      <w:r>
        <w:rPr>
          <w:rFonts w:hint="eastAsia"/>
        </w:rPr>
        <w:t>复等位基因、拮抗作用、正突变、反突变、显性突变、隐性突变、染色体缺失、重复、倒位、易位、染色体组、整倍体、非整倍体、一倍体、单倍体、同源、异源多倍体、超倍体、亚倍体等基本概念</w:t>
      </w:r>
      <w:r>
        <w:rPr>
          <w:rFonts w:hAnsi="宋体"/>
          <w:kern w:val="0"/>
          <w:szCs w:val="21"/>
        </w:rPr>
        <w:t>。</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w:t>
      </w:r>
      <w:r>
        <w:rPr>
          <w:rFonts w:hint="eastAsia"/>
        </w:rPr>
        <w:t>基因突变的机制；染色体缺失、重复、倒位、易位的遗传学效应</w:t>
      </w:r>
      <w:r>
        <w:rPr>
          <w:rFonts w:hint="eastAsia" w:hAnsi="宋体"/>
          <w:kern w:val="0"/>
          <w:szCs w:val="21"/>
        </w:rPr>
        <w:t>；</w:t>
      </w:r>
      <w:r>
        <w:rPr>
          <w:rFonts w:hint="eastAsia"/>
        </w:rPr>
        <w:t>多倍体的两种形成途径、同源多倍体联会及分离特点及多倍体的形态特征。</w:t>
      </w:r>
    </w:p>
    <w:p>
      <w:pPr>
        <w:snapToGrid w:val="0"/>
        <w:spacing w:line="360" w:lineRule="auto"/>
        <w:ind w:firstLine="422" w:firstLineChars="200"/>
      </w:pPr>
      <w:r>
        <w:rPr>
          <w:rFonts w:hint="eastAsia" w:ascii="宋体" w:hAnsi="宋体"/>
          <w:b/>
          <w:szCs w:val="21"/>
        </w:rPr>
        <w:t>3.应用</w:t>
      </w:r>
      <w:r>
        <w:rPr>
          <w:rFonts w:hint="eastAsia" w:ascii="宋体" w:hAnsi="宋体"/>
          <w:szCs w:val="21"/>
        </w:rPr>
        <w:t>：利用本章所学知识，</w:t>
      </w:r>
      <w:r>
        <w:rPr>
          <w:rFonts w:hint="eastAsia"/>
        </w:rPr>
        <w:t>解释理化因素诱发遗传</w:t>
      </w:r>
      <w:r>
        <w:t>物质变异</w:t>
      </w:r>
      <w:r>
        <w:rPr>
          <w:rFonts w:hint="eastAsia"/>
        </w:rPr>
        <w:t>的原理。</w:t>
      </w:r>
    </w:p>
    <w:p>
      <w:pPr>
        <w:snapToGrid w:val="0"/>
        <w:spacing w:line="360" w:lineRule="auto"/>
        <w:ind w:firstLine="422" w:firstLineChars="200"/>
      </w:pPr>
      <w:r>
        <w:rPr>
          <w:rFonts w:hint="eastAsia" w:ascii="宋体" w:hAnsi="宋体" w:cs="宋体"/>
          <w:b/>
          <w:bCs/>
        </w:rPr>
        <w:t>4.分析：</w:t>
      </w:r>
      <w:r>
        <w:rPr>
          <w:rFonts w:hint="eastAsia"/>
        </w:rPr>
        <w:t>解释园艺植物中存在的自交不亲和现象及其</w:t>
      </w:r>
      <w:r>
        <w:t>原因</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：利用本章所学知识，</w:t>
      </w:r>
      <w:r>
        <w:rPr>
          <w:rFonts w:hint="eastAsia"/>
        </w:rPr>
        <w:t>解释三倍体西瓜等常见</w:t>
      </w:r>
      <w:r>
        <w:t>多倍体</w:t>
      </w:r>
      <w:r>
        <w:rPr>
          <w:rFonts w:hint="eastAsia"/>
        </w:rPr>
        <w:t>园艺植物的生产方法</w:t>
      </w:r>
      <w:r>
        <w:t>及其原理</w:t>
      </w:r>
      <w:r>
        <w:rPr>
          <w:rFonts w:hint="eastAsia"/>
        </w:rPr>
        <w:t>，现代园艺植物物种形成的可能途径。</w:t>
      </w:r>
    </w:p>
    <w:p>
      <w:pPr>
        <w:snapToGrid w:val="0"/>
        <w:spacing w:line="360" w:lineRule="auto"/>
        <w:ind w:firstLine="422" w:firstLineChars="200"/>
        <w:rPr>
          <w:highlight w:val="yellow"/>
        </w:rPr>
      </w:pPr>
      <w:r>
        <w:rPr>
          <w:rFonts w:hint="eastAsia" w:ascii="宋体" w:hAnsi="宋体" w:cs="宋体"/>
          <w:b/>
          <w:bCs/>
        </w:rPr>
        <w:t>6.评价：</w:t>
      </w:r>
      <w:r>
        <w:rPr>
          <w:rFonts w:hint="eastAsia"/>
        </w:rPr>
        <w:t>利用染色体结构变异进行育种学研究的可能性及其利用</w:t>
      </w:r>
      <w:r>
        <w:t>方式</w:t>
      </w:r>
      <w:r>
        <w:rPr>
          <w:rFonts w:hint="eastAsia"/>
        </w:rPr>
        <w:t>。</w:t>
      </w:r>
    </w:p>
    <w:p>
      <w:pPr>
        <w:pStyle w:val="10"/>
        <w:snapToGrid w:val="0"/>
        <w:spacing w:before="312" w:beforeLines="100" w:line="360" w:lineRule="auto"/>
        <w:jc w:val="center"/>
        <w:rPr>
          <w:rFonts w:hAnsi="宋体"/>
          <w:b/>
        </w:rPr>
      </w:pPr>
      <w:r>
        <w:rPr>
          <w:rFonts w:hAnsi="宋体"/>
          <w:b/>
          <w:bCs/>
          <w:kern w:val="0"/>
        </w:rPr>
        <w:t>第</w:t>
      </w:r>
      <w:r>
        <w:rPr>
          <w:rFonts w:hint="eastAsia" w:hAnsi="宋体"/>
          <w:b/>
          <w:bCs/>
          <w:kern w:val="0"/>
        </w:rPr>
        <w:t>七</w:t>
      </w:r>
      <w:r>
        <w:rPr>
          <w:rFonts w:hAnsi="宋体"/>
          <w:b/>
          <w:bCs/>
          <w:kern w:val="0"/>
        </w:rPr>
        <w:t>章</w:t>
      </w:r>
      <w:r>
        <w:rPr>
          <w:b/>
          <w:bCs/>
          <w:kern w:val="0"/>
        </w:rPr>
        <w:t xml:space="preserve">  </w:t>
      </w:r>
      <w:r>
        <w:rPr>
          <w:rFonts w:hAnsi="宋体"/>
          <w:b/>
          <w:bCs/>
          <w:kern w:val="0"/>
        </w:rPr>
        <w:t>遗传物质的分子基础</w:t>
      </w:r>
      <w:r>
        <w:rPr>
          <w:rFonts w:hint="eastAsia" w:hAnsi="宋体"/>
          <w:b/>
          <w:bCs/>
          <w:kern w:val="0"/>
        </w:rPr>
        <w:t xml:space="preserve"> </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：基因工程的概念，遗传物质的组成方式和特点。</w:t>
      </w:r>
    </w:p>
    <w:p>
      <w:pPr>
        <w:snapToGrid w:val="0"/>
        <w:spacing w:line="360" w:lineRule="auto"/>
        <w:ind w:firstLine="422" w:firstLineChars="200"/>
        <w:rPr>
          <w:rFonts w:ascii="宋体" w:hAnsi="宋体" w:cs="宋体"/>
          <w:kern w:val="0"/>
          <w:szCs w:val="21"/>
        </w:rPr>
      </w:pPr>
      <w:r>
        <w:rPr>
          <w:rFonts w:hint="eastAsia" w:ascii="宋体" w:hAnsi="宋体"/>
          <w:b/>
          <w:szCs w:val="21"/>
        </w:rPr>
        <w:t>2. 一般掌握</w:t>
      </w:r>
      <w:r>
        <w:rPr>
          <w:rFonts w:hint="eastAsia" w:ascii="宋体" w:hAnsi="宋体"/>
          <w:szCs w:val="21"/>
        </w:rPr>
        <w:t>：基因转录和翻译的过程，遗传密码子；</w:t>
      </w:r>
      <w:r>
        <w:rPr>
          <w:rFonts w:hint="eastAsia" w:ascii="宋体" w:hAnsi="宋体" w:cs="宋体"/>
          <w:kern w:val="0"/>
          <w:szCs w:val="21"/>
        </w:rPr>
        <w:t>遗传工程概念和原理，</w:t>
      </w:r>
      <w:r>
        <w:rPr>
          <w:rFonts w:hint="eastAsia" w:hAnsi="宋体"/>
          <w:kern w:val="0"/>
          <w:szCs w:val="21"/>
        </w:rPr>
        <w:t>基因突变修复</w:t>
      </w:r>
      <w:r>
        <w:rPr>
          <w:rFonts w:hint="eastAsia" w:ascii="宋体" w:hAnsi="宋体" w:cs="宋体"/>
          <w:kern w:val="0"/>
          <w:szCs w:val="21"/>
        </w:rPr>
        <w:t>机制。</w:t>
      </w:r>
      <w:r>
        <w:rPr>
          <w:rFonts w:hint="eastAsia"/>
        </w:rPr>
        <w:t>基因分离与合成方法，运输工具与限制性内切酶，重组DNA分子的形成及DNA分子克隆的建立和目的基因的表达。</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：DNA复制的过程和特点。密码子的简并性。</w:t>
      </w:r>
      <w:r>
        <w:rPr>
          <w:rFonts w:hint="eastAsia" w:ascii="宋体" w:hAnsi="宋体" w:cs="宋体"/>
          <w:kern w:val="0"/>
          <w:szCs w:val="21"/>
        </w:rPr>
        <w:t>DNA的防护理论。细胞工程的概念及植物体细胞杂交过程的关键步骤。</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1．遗传物质的组成方式和特点，DNA复制的过程和特点。</w:t>
      </w:r>
    </w:p>
    <w:p>
      <w:pPr>
        <w:snapToGrid w:val="0"/>
        <w:spacing w:line="360" w:lineRule="auto"/>
        <w:ind w:firstLine="420" w:firstLineChars="200"/>
        <w:rPr>
          <w:rFonts w:hAnsi="宋体"/>
          <w:kern w:val="0"/>
          <w:szCs w:val="21"/>
        </w:rPr>
      </w:pPr>
      <w:r>
        <w:rPr>
          <w:rFonts w:hint="eastAsia" w:hAnsi="宋体"/>
          <w:kern w:val="0"/>
          <w:szCs w:val="21"/>
        </w:rPr>
        <w:t>2．基因转录和翻译的过程和特点，遗传密码子及其简并性。</w:t>
      </w:r>
    </w:p>
    <w:p>
      <w:pPr>
        <w:snapToGrid w:val="0"/>
        <w:spacing w:line="360" w:lineRule="auto"/>
        <w:ind w:firstLine="420" w:firstLineChars="200"/>
        <w:rPr>
          <w:rFonts w:hAnsi="宋体"/>
          <w:kern w:val="0"/>
          <w:szCs w:val="21"/>
        </w:rPr>
      </w:pPr>
      <w:r>
        <w:rPr>
          <w:rFonts w:hint="eastAsia" w:hAnsi="宋体"/>
          <w:kern w:val="0"/>
          <w:szCs w:val="21"/>
        </w:rPr>
        <w:t>3．基因、遗传工程的概念，基因分离与合成方法，载体与限制性内切酶作用。</w:t>
      </w:r>
    </w:p>
    <w:p>
      <w:pPr>
        <w:snapToGrid w:val="0"/>
        <w:spacing w:line="360" w:lineRule="auto"/>
        <w:ind w:firstLine="420" w:firstLineChars="200"/>
        <w:rPr>
          <w:rFonts w:hAnsi="宋体"/>
          <w:kern w:val="0"/>
          <w:szCs w:val="21"/>
        </w:rPr>
      </w:pPr>
      <w:r>
        <w:rPr>
          <w:rFonts w:hint="eastAsia" w:hAnsi="宋体"/>
          <w:kern w:val="0"/>
          <w:szCs w:val="21"/>
        </w:rPr>
        <w:t>4．重组DNA分子的形成及DNA分子克隆的建立和目的基因的表达。</w:t>
      </w:r>
    </w:p>
    <w:p>
      <w:pPr>
        <w:snapToGrid w:val="0"/>
        <w:spacing w:line="360" w:lineRule="auto"/>
        <w:ind w:firstLine="420" w:firstLineChars="200"/>
        <w:rPr>
          <w:rFonts w:hAnsi="宋体"/>
          <w:kern w:val="0"/>
          <w:szCs w:val="21"/>
        </w:rPr>
      </w:pPr>
      <w:r>
        <w:rPr>
          <w:rFonts w:hint="eastAsia" w:hAnsi="宋体"/>
          <w:kern w:val="0"/>
          <w:szCs w:val="21"/>
        </w:rPr>
        <w:t>5．基因工程领域的成就和展望、细胞工程的概念及植物细胞杂交过程的关键步骤。</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：基因、</w:t>
      </w:r>
      <w:r>
        <w:rPr>
          <w:rFonts w:hint="eastAsia"/>
        </w:rPr>
        <w:t>DNA、RNA、分子生物学中心法则、遗传工程、</w:t>
      </w:r>
      <w:r>
        <w:rPr>
          <w:rFonts w:hint="eastAsia" w:ascii="宋体" w:hAnsi="宋体"/>
          <w:szCs w:val="21"/>
        </w:rPr>
        <w:t>遗传密码子、简并性、半保留复制、半不连续复制、</w:t>
      </w:r>
      <w:r>
        <w:rPr>
          <w:rFonts w:hint="eastAsia"/>
        </w:rPr>
        <w:t>限制性内切酶</w:t>
      </w:r>
      <w:r>
        <w:rPr>
          <w:rFonts w:hint="eastAsia" w:ascii="宋体" w:hAnsi="宋体" w:cs="宋体"/>
          <w:kern w:val="0"/>
          <w:szCs w:val="21"/>
        </w:rPr>
        <w:t>、载体等基本概念</w:t>
      </w:r>
      <w:r>
        <w:rPr>
          <w:rFonts w:hAnsi="宋体"/>
          <w:kern w:val="0"/>
          <w:szCs w:val="21"/>
        </w:rPr>
        <w:t>。</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：DNA复制的过程特点；RNA的种类，转录的过程和特点；蛋白质的遗传密码子和简并性；转基因的原理。</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rPr>
        <w:t>要求学生能够解释</w:t>
      </w:r>
      <w:r>
        <w:rPr>
          <w:rFonts w:hint="eastAsia" w:ascii="宋体" w:hAnsi="宋体"/>
          <w:szCs w:val="21"/>
        </w:rPr>
        <w:t>转基因在园艺植物育种工作中的作用。</w:t>
      </w:r>
    </w:p>
    <w:p>
      <w:pPr>
        <w:snapToGrid w:val="0"/>
        <w:spacing w:line="360" w:lineRule="auto"/>
        <w:ind w:firstLine="422" w:firstLineChars="200"/>
        <w:rPr>
          <w:rFonts w:ascii="宋体" w:hAnsi="宋体"/>
          <w:szCs w:val="21"/>
        </w:rPr>
      </w:pPr>
      <w:r>
        <w:rPr>
          <w:rFonts w:hint="eastAsia" w:ascii="宋体" w:hAnsi="宋体" w:cs="宋体"/>
          <w:b/>
          <w:bCs/>
        </w:rPr>
        <w:t>4.分析：</w:t>
      </w:r>
      <w:r>
        <w:rPr>
          <w:rFonts w:hint="eastAsia"/>
        </w:rPr>
        <w:t>利用本章知识，解释基因和性状的关系</w:t>
      </w:r>
      <w:r>
        <w:rPr>
          <w:rFonts w:hint="eastAsia" w:ascii="宋体" w:hAnsi="宋体"/>
          <w:szCs w:val="21"/>
        </w:rPr>
        <w:t>。</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w:t>
      </w:r>
      <w:r>
        <w:rPr>
          <w:rFonts w:hint="eastAsia"/>
        </w:rPr>
        <w:t>要求学生能够利用本章知识，理解</w:t>
      </w:r>
      <w:r>
        <w:t>传统</w:t>
      </w:r>
      <w:r>
        <w:rPr>
          <w:rFonts w:hint="eastAsia"/>
        </w:rPr>
        <w:t>有性</w:t>
      </w:r>
      <w:r>
        <w:t>重组育种与</w:t>
      </w:r>
      <w:r>
        <w:rPr>
          <w:rFonts w:hint="eastAsia"/>
        </w:rPr>
        <w:t>现代生物</w:t>
      </w:r>
      <w:r>
        <w:t>育种的</w:t>
      </w:r>
      <w:r>
        <w:rPr>
          <w:rFonts w:hint="eastAsia"/>
        </w:rPr>
        <w:t>优缺点</w:t>
      </w:r>
      <w:r>
        <w:t>，</w:t>
      </w:r>
      <w:r>
        <w:rPr>
          <w:rFonts w:hint="eastAsia"/>
        </w:rPr>
        <w:t>提出改造现有园艺植物的</w:t>
      </w:r>
      <w:r>
        <w:t>途径</w:t>
      </w:r>
      <w:r>
        <w:rPr>
          <w:rFonts w:hint="eastAsia"/>
        </w:rPr>
        <w:t>。</w:t>
      </w:r>
    </w:p>
    <w:p>
      <w:pPr>
        <w:snapToGrid w:val="0"/>
        <w:spacing w:line="360" w:lineRule="auto"/>
        <w:ind w:firstLine="422" w:firstLineChars="200"/>
        <w:rPr>
          <w:highlight w:val="yellow"/>
        </w:rPr>
      </w:pPr>
      <w:r>
        <w:rPr>
          <w:rFonts w:hint="eastAsia" w:ascii="宋体" w:hAnsi="宋体" w:cs="宋体"/>
          <w:b/>
          <w:bCs/>
        </w:rPr>
        <w:t>6.评价：</w:t>
      </w:r>
      <w:r>
        <w:rPr>
          <w:rFonts w:hint="eastAsia"/>
        </w:rPr>
        <w:t>对转基因生物安全进行正确评价。</w:t>
      </w:r>
    </w:p>
    <w:p>
      <w:pPr>
        <w:pStyle w:val="10"/>
        <w:snapToGrid w:val="0"/>
        <w:spacing w:before="312" w:beforeLines="100" w:line="360" w:lineRule="auto"/>
        <w:jc w:val="center"/>
        <w:rPr>
          <w:rFonts w:hAnsi="宋体"/>
          <w:b/>
        </w:rPr>
      </w:pPr>
      <w:r>
        <w:rPr>
          <w:rFonts w:hAnsi="宋体"/>
          <w:b/>
          <w:bCs/>
          <w:kern w:val="0"/>
        </w:rPr>
        <w:t>第</w:t>
      </w:r>
      <w:r>
        <w:rPr>
          <w:rFonts w:hint="eastAsia" w:hAnsi="宋体"/>
          <w:b/>
          <w:bCs/>
          <w:kern w:val="0"/>
        </w:rPr>
        <w:t>八</w:t>
      </w:r>
      <w:r>
        <w:rPr>
          <w:rFonts w:hAnsi="宋体"/>
          <w:b/>
          <w:bCs/>
          <w:kern w:val="0"/>
        </w:rPr>
        <w:t>章</w:t>
      </w:r>
      <w:r>
        <w:rPr>
          <w:rFonts w:hint="eastAsia" w:hAnsi="宋体"/>
          <w:b/>
          <w:bCs/>
          <w:kern w:val="0"/>
        </w:rPr>
        <w:t xml:space="preserve"> </w:t>
      </w:r>
      <w:r>
        <w:rPr>
          <w:b/>
          <w:bCs/>
          <w:kern w:val="0"/>
        </w:rPr>
        <w:t> </w:t>
      </w:r>
      <w:r>
        <w:rPr>
          <w:rFonts w:hint="eastAsia"/>
          <w:b/>
          <w:bCs/>
          <w:kern w:val="0"/>
        </w:rPr>
        <w:t xml:space="preserve">细胞质遗传 </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hAnsi="宋体"/>
          <w:kern w:val="0"/>
          <w:szCs w:val="21"/>
        </w:rPr>
        <w:t>细胞质遗传的现象</w:t>
      </w:r>
      <w:r>
        <w:rPr>
          <w:rFonts w:hint="eastAsia" w:ascii="宋体" w:hAnsi="宋体"/>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hAnsi="宋体"/>
          <w:kern w:val="0"/>
          <w:szCs w:val="21"/>
        </w:rPr>
        <w:t>细胞质遗传的概念和特点；叶绿体、线粒体遗传的现象及遗传的分子学基础。</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hAnsi="宋体"/>
          <w:kern w:val="0"/>
          <w:szCs w:val="21"/>
        </w:rPr>
        <w:t>雄性不育发生的机理及质核不育型在三系配套制种中的应用。</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1．细胞质遗传的概念和特点，母性影响及与细胞质遗传的区别。</w:t>
      </w:r>
    </w:p>
    <w:p>
      <w:pPr>
        <w:snapToGrid w:val="0"/>
        <w:spacing w:line="360" w:lineRule="auto"/>
        <w:ind w:firstLine="420" w:firstLineChars="200"/>
        <w:rPr>
          <w:rFonts w:hAnsi="宋体"/>
          <w:kern w:val="0"/>
          <w:szCs w:val="21"/>
        </w:rPr>
      </w:pPr>
      <w:r>
        <w:rPr>
          <w:rFonts w:hint="eastAsia" w:hAnsi="宋体"/>
          <w:kern w:val="0"/>
          <w:szCs w:val="21"/>
        </w:rPr>
        <w:t>2．叶绿体遗传的现象及遗传的分子基础；线粒体遗传的现象及遗传的分子学基础。</w:t>
      </w:r>
    </w:p>
    <w:p>
      <w:pPr>
        <w:snapToGrid w:val="0"/>
        <w:spacing w:line="360" w:lineRule="auto"/>
        <w:ind w:firstLine="420" w:firstLineChars="200"/>
        <w:rPr>
          <w:rFonts w:hAnsi="宋体"/>
          <w:kern w:val="0"/>
          <w:szCs w:val="21"/>
        </w:rPr>
      </w:pPr>
      <w:r>
        <w:rPr>
          <w:rFonts w:hint="eastAsia" w:hAnsi="宋体"/>
          <w:kern w:val="0"/>
          <w:szCs w:val="21"/>
        </w:rPr>
        <w:t>3．雄性不育的类型及遗传特点，雄性不育发生的机理及质核不育型在三系配套制种中的应用。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：细胞质遗传、</w:t>
      </w:r>
      <w:r>
        <w:rPr>
          <w:rFonts w:hint="eastAsia"/>
        </w:rPr>
        <w:t>母性遗传与母性影响、质核不育型</w:t>
      </w:r>
      <w:r>
        <w:rPr>
          <w:rFonts w:hAnsi="宋体"/>
          <w:kern w:val="0"/>
          <w:szCs w:val="21"/>
        </w:rPr>
        <w:t>。</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w:t>
      </w:r>
      <w:r>
        <w:rPr>
          <w:rFonts w:hint="eastAsia"/>
        </w:rPr>
        <w:t>母性遗传与母性影响的区别、质核不育型的特点及遗传机理</w:t>
      </w:r>
      <w:r>
        <w:rPr>
          <w:rFonts w:hAnsi="宋体"/>
          <w:kern w:val="0"/>
          <w:szCs w:val="21"/>
        </w:rPr>
        <w:t>。</w:t>
      </w:r>
    </w:p>
    <w:p>
      <w:pPr>
        <w:snapToGrid w:val="0"/>
        <w:spacing w:line="360" w:lineRule="auto"/>
        <w:ind w:firstLine="422" w:firstLineChars="200"/>
      </w:pPr>
      <w:r>
        <w:rPr>
          <w:rFonts w:hint="eastAsia" w:ascii="宋体" w:hAnsi="宋体"/>
          <w:b/>
          <w:szCs w:val="21"/>
        </w:rPr>
        <w:t>3.应用</w:t>
      </w:r>
      <w:r>
        <w:rPr>
          <w:rFonts w:hint="eastAsia" w:ascii="宋体" w:hAnsi="宋体"/>
          <w:szCs w:val="21"/>
        </w:rPr>
        <w:t>：</w:t>
      </w:r>
      <w:r>
        <w:rPr>
          <w:rFonts w:hint="eastAsia"/>
        </w:rPr>
        <w:t>要求学生能够利用本章知识，解释杂交种产生的原理，</w:t>
      </w:r>
      <w:r>
        <w:t>以及降低制种成本的途径</w:t>
      </w:r>
      <w:r>
        <w:rPr>
          <w:rFonts w:hint="eastAsia"/>
        </w:rPr>
        <w:t>。</w:t>
      </w:r>
    </w:p>
    <w:p>
      <w:pPr>
        <w:snapToGrid w:val="0"/>
        <w:spacing w:line="360" w:lineRule="auto"/>
        <w:ind w:firstLine="422" w:firstLineChars="200"/>
        <w:rPr>
          <w:rFonts w:ascii="宋体" w:hAnsi="宋体"/>
          <w:b/>
          <w:szCs w:val="21"/>
        </w:rPr>
      </w:pPr>
      <w:r>
        <w:rPr>
          <w:b/>
          <w:bCs/>
        </w:rPr>
        <w:t xml:space="preserve">4. </w:t>
      </w:r>
      <w:r>
        <w:rPr>
          <w:rFonts w:hint="eastAsia"/>
          <w:b/>
          <w:bCs/>
        </w:rPr>
        <w:t>分析：</w:t>
      </w:r>
      <w:r>
        <w:rPr>
          <w:rFonts w:hint="eastAsia"/>
        </w:rPr>
        <w:t>利用本章所学知识，分析细胞质遗传特点及制种方法和原理</w:t>
      </w:r>
      <w:r>
        <w:rPr>
          <w:rFonts w:hint="eastAsia" w:ascii="宋体" w:hAnsi="宋体"/>
          <w:b/>
          <w:szCs w:val="21"/>
        </w:rPr>
        <w:t>。</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w:t>
      </w:r>
      <w:r>
        <w:rPr>
          <w:rFonts w:hint="eastAsia"/>
        </w:rPr>
        <w:t>要求学生能够利用本章知识，解释质核不育型在三系配套制种中的应用，</w:t>
      </w:r>
      <w:r>
        <w:t>提高杂种纯度的方法</w:t>
      </w:r>
      <w:r>
        <w:rPr>
          <w:rFonts w:hint="eastAsia"/>
        </w:rPr>
        <w:t>。</w:t>
      </w:r>
    </w:p>
    <w:p>
      <w:pPr>
        <w:snapToGrid w:val="0"/>
        <w:spacing w:line="360" w:lineRule="auto"/>
        <w:ind w:firstLine="422" w:firstLineChars="200"/>
        <w:rPr>
          <w:rFonts w:ascii="宋体" w:hAnsi="宋体"/>
          <w:szCs w:val="21"/>
        </w:rPr>
      </w:pPr>
      <w:r>
        <w:rPr>
          <w:b/>
          <w:bCs/>
        </w:rPr>
        <w:t xml:space="preserve">6. </w:t>
      </w:r>
      <w:r>
        <w:rPr>
          <w:rFonts w:hint="eastAsia"/>
          <w:b/>
          <w:bCs/>
        </w:rPr>
        <w:t>评价：</w:t>
      </w:r>
      <w:r>
        <w:rPr>
          <w:rFonts w:hint="eastAsia"/>
        </w:rPr>
        <w:t>要求学生通过本章节内容的学习，评价细胞质遗传的重要性，对遗传规律有进一步的认知。</w:t>
      </w:r>
    </w:p>
    <w:p>
      <w:pPr>
        <w:pStyle w:val="10"/>
        <w:snapToGrid w:val="0"/>
        <w:spacing w:line="360" w:lineRule="auto"/>
        <w:ind w:firstLine="422" w:firstLineChars="200"/>
        <w:jc w:val="center"/>
        <w:rPr>
          <w:rFonts w:hAnsi="宋体"/>
          <w:b/>
        </w:rPr>
      </w:pPr>
      <w:r>
        <w:rPr>
          <w:rFonts w:hAnsi="宋体"/>
          <w:b/>
          <w:bCs/>
          <w:kern w:val="0"/>
        </w:rPr>
        <w:t>第</w:t>
      </w:r>
      <w:r>
        <w:rPr>
          <w:rFonts w:hint="eastAsia" w:hAnsi="宋体"/>
          <w:b/>
          <w:bCs/>
          <w:kern w:val="0"/>
        </w:rPr>
        <w:t>九</w:t>
      </w:r>
      <w:r>
        <w:rPr>
          <w:rFonts w:hAnsi="宋体"/>
          <w:b/>
          <w:bCs/>
          <w:kern w:val="0"/>
        </w:rPr>
        <w:t>章</w:t>
      </w:r>
      <w:r>
        <w:rPr>
          <w:rFonts w:hint="eastAsia" w:hAnsi="宋体"/>
          <w:b/>
          <w:bCs/>
          <w:kern w:val="0"/>
        </w:rPr>
        <w:t xml:space="preserve"> </w:t>
      </w:r>
      <w:r>
        <w:rPr>
          <w:b/>
          <w:bCs/>
          <w:kern w:val="0"/>
        </w:rPr>
        <w:t> </w:t>
      </w:r>
      <w:r>
        <w:rPr>
          <w:rFonts w:hint="eastAsia"/>
          <w:b/>
          <w:bCs/>
          <w:kern w:val="0"/>
        </w:rPr>
        <w:t xml:space="preserve">细菌和病毒的遗传 </w:t>
      </w:r>
    </w:p>
    <w:p>
      <w:pPr>
        <w:snapToGrid w:val="0"/>
        <w:spacing w:line="360" w:lineRule="auto"/>
        <w:jc w:val="left"/>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hAnsi="宋体"/>
          <w:kern w:val="0"/>
          <w:szCs w:val="21"/>
        </w:rPr>
        <w:t>细菌和病毒的特点</w:t>
      </w:r>
      <w:r>
        <w:rPr>
          <w:rFonts w:hint="eastAsia" w:ascii="宋体" w:hAnsi="宋体"/>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hAnsi="宋体"/>
          <w:kern w:val="0"/>
          <w:szCs w:val="21"/>
        </w:rPr>
        <w:t>细菌和病毒在遗传学研究中的作用。</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：细菌遗传重组的四个途径：</w:t>
      </w:r>
      <w:r>
        <w:rPr>
          <w:rFonts w:hint="eastAsia" w:hAnsi="宋体"/>
          <w:kern w:val="0"/>
          <w:szCs w:val="21"/>
        </w:rPr>
        <w:t>接合、转导、性导、转化。</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hAnsi="宋体"/>
          <w:kern w:val="0"/>
          <w:szCs w:val="21"/>
        </w:rPr>
      </w:pPr>
      <w:r>
        <w:rPr>
          <w:rFonts w:hint="eastAsia" w:hAnsi="宋体"/>
          <w:kern w:val="0"/>
          <w:szCs w:val="21"/>
        </w:rPr>
        <w:t>1．</w:t>
      </w:r>
      <w:r>
        <w:rPr>
          <w:rFonts w:hAnsi="宋体"/>
          <w:kern w:val="0"/>
          <w:szCs w:val="21"/>
        </w:rPr>
        <w:t>介绍</w:t>
      </w:r>
      <w:r>
        <w:rPr>
          <w:rFonts w:hint="eastAsia" w:hAnsi="宋体"/>
          <w:kern w:val="0"/>
          <w:szCs w:val="21"/>
        </w:rPr>
        <w:t>细菌的特点及在遗传学研究中的作用。</w:t>
      </w:r>
    </w:p>
    <w:p>
      <w:pPr>
        <w:snapToGrid w:val="0"/>
        <w:spacing w:line="360" w:lineRule="auto"/>
        <w:ind w:firstLine="420" w:firstLineChars="200"/>
        <w:rPr>
          <w:rFonts w:hAnsi="宋体"/>
          <w:kern w:val="0"/>
          <w:szCs w:val="21"/>
        </w:rPr>
      </w:pPr>
      <w:r>
        <w:rPr>
          <w:rFonts w:hint="eastAsia" w:hAnsi="宋体"/>
          <w:kern w:val="0"/>
          <w:szCs w:val="21"/>
        </w:rPr>
        <w:t>2．介绍病毒的特点及在遗传学研究中的作用。</w:t>
      </w:r>
    </w:p>
    <w:p>
      <w:pPr>
        <w:snapToGrid w:val="0"/>
        <w:spacing w:line="360" w:lineRule="auto"/>
        <w:ind w:firstLine="420" w:firstLineChars="200"/>
        <w:rPr>
          <w:rFonts w:hAnsi="宋体"/>
          <w:kern w:val="0"/>
          <w:szCs w:val="21"/>
        </w:rPr>
      </w:pPr>
      <w:r>
        <w:rPr>
          <w:rFonts w:hint="eastAsia" w:hAnsi="宋体"/>
          <w:kern w:val="0"/>
          <w:szCs w:val="21"/>
        </w:rPr>
        <w:t>3．细菌DNA交换重组的4种不同方式：转化、接合、性导和转导的概念和转化的过程。</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：细菌、病毒、转化、接合、性导、转导等概念</w:t>
      </w:r>
      <w:r>
        <w:rPr>
          <w:rFonts w:hAnsi="宋体"/>
          <w:kern w:val="0"/>
          <w:szCs w:val="21"/>
        </w:rPr>
        <w:t>。</w:t>
      </w:r>
    </w:p>
    <w:p>
      <w:pPr>
        <w:snapToGrid w:val="0"/>
        <w:spacing w:line="360" w:lineRule="auto"/>
        <w:ind w:firstLine="422" w:firstLineChars="200"/>
        <w:rPr>
          <w:rFonts w:hAnsi="宋体"/>
          <w:kern w:val="0"/>
          <w:szCs w:val="21"/>
        </w:rPr>
      </w:pPr>
      <w:r>
        <w:rPr>
          <w:rFonts w:hint="eastAsia" w:ascii="宋体" w:hAnsi="宋体"/>
          <w:b/>
          <w:szCs w:val="21"/>
        </w:rPr>
        <w:t>2.领会</w:t>
      </w:r>
      <w:r>
        <w:rPr>
          <w:rFonts w:hint="eastAsia" w:ascii="宋体" w:hAnsi="宋体"/>
          <w:szCs w:val="21"/>
        </w:rPr>
        <w:t>：细菌遗传重组的三个途径：接合、转导、转化的概念、过程、原理，掌握细菌重组的特点</w:t>
      </w:r>
      <w:r>
        <w:rPr>
          <w:rFonts w:hAnsi="宋体"/>
          <w:kern w:val="0"/>
          <w:szCs w:val="21"/>
        </w:rPr>
        <w:t>。</w:t>
      </w:r>
    </w:p>
    <w:p>
      <w:pPr>
        <w:snapToGrid w:val="0"/>
        <w:spacing w:line="360" w:lineRule="auto"/>
        <w:ind w:firstLine="422" w:firstLineChars="200"/>
      </w:pPr>
      <w:r>
        <w:rPr>
          <w:rFonts w:hint="eastAsia" w:ascii="宋体" w:hAnsi="宋体"/>
          <w:b/>
          <w:szCs w:val="21"/>
        </w:rPr>
        <w:t>3.应用</w:t>
      </w:r>
      <w:r>
        <w:rPr>
          <w:rFonts w:hint="eastAsia" w:ascii="宋体" w:hAnsi="宋体"/>
          <w:szCs w:val="21"/>
        </w:rPr>
        <w:t>：</w:t>
      </w:r>
      <w:r>
        <w:rPr>
          <w:rFonts w:hint="eastAsia"/>
        </w:rPr>
        <w:t>要求学生能够利用本章知识解释</w:t>
      </w:r>
      <w:r>
        <w:rPr>
          <w:rFonts w:hint="eastAsia" w:ascii="宋体" w:hAnsi="宋体"/>
          <w:szCs w:val="21"/>
        </w:rPr>
        <w:t>细菌和病毒在园艺植物遗传和育种中的作用</w:t>
      </w:r>
      <w:r>
        <w:rPr>
          <w:rFonts w:hint="eastAsia"/>
        </w:rPr>
        <w:t>。</w:t>
      </w:r>
    </w:p>
    <w:p>
      <w:pPr>
        <w:snapToGrid w:val="0"/>
        <w:spacing w:line="360" w:lineRule="auto"/>
        <w:ind w:firstLine="422" w:firstLineChars="200"/>
        <w:rPr>
          <w:rFonts w:ascii="宋体" w:hAnsi="宋体"/>
          <w:b/>
          <w:bCs/>
          <w:szCs w:val="21"/>
        </w:rPr>
      </w:pPr>
      <w:r>
        <w:rPr>
          <w:b/>
          <w:bCs/>
        </w:rPr>
        <w:t xml:space="preserve">4. </w:t>
      </w:r>
      <w:r>
        <w:rPr>
          <w:rFonts w:hint="eastAsia"/>
          <w:b/>
          <w:bCs/>
        </w:rPr>
        <w:t>分析：</w:t>
      </w:r>
      <w:r>
        <w:rPr>
          <w:rFonts w:hint="eastAsia"/>
        </w:rPr>
        <w:t>利用本章节所学知识，了解分析细菌、病毒遗传特征。</w:t>
      </w:r>
    </w:p>
    <w:p>
      <w:pPr>
        <w:snapToGrid w:val="0"/>
        <w:spacing w:line="360" w:lineRule="auto"/>
        <w:ind w:firstLine="422" w:firstLineChars="200"/>
      </w:pPr>
      <w:r>
        <w:rPr>
          <w:rFonts w:ascii="宋体" w:hAnsi="宋体"/>
          <w:b/>
          <w:szCs w:val="21"/>
        </w:rPr>
        <w:t>5</w:t>
      </w:r>
      <w:r>
        <w:rPr>
          <w:rFonts w:hint="eastAsia" w:ascii="宋体" w:hAnsi="宋体"/>
          <w:b/>
          <w:szCs w:val="21"/>
        </w:rPr>
        <w:t>．综合</w:t>
      </w:r>
      <w:r>
        <w:rPr>
          <w:rFonts w:hint="eastAsia" w:ascii="宋体" w:hAnsi="宋体"/>
          <w:szCs w:val="21"/>
        </w:rPr>
        <w:t>：</w:t>
      </w:r>
      <w:r>
        <w:rPr>
          <w:rFonts w:hint="eastAsia"/>
        </w:rPr>
        <w:t>要求学生能够利用本章知识说明细菌在园艺植物转基因中的作用和原理。</w:t>
      </w:r>
    </w:p>
    <w:p>
      <w:pPr>
        <w:snapToGrid w:val="0"/>
        <w:spacing w:line="360" w:lineRule="auto"/>
        <w:ind w:firstLine="422" w:firstLineChars="200"/>
        <w:rPr>
          <w:b/>
          <w:bCs/>
        </w:rPr>
      </w:pPr>
      <w:r>
        <w:rPr>
          <w:b/>
          <w:bCs/>
        </w:rPr>
        <w:t xml:space="preserve">6. </w:t>
      </w:r>
      <w:r>
        <w:rPr>
          <w:rFonts w:hint="eastAsia"/>
          <w:b/>
          <w:bCs/>
        </w:rPr>
        <w:t>评价：</w:t>
      </w:r>
      <w:r>
        <w:rPr>
          <w:rFonts w:hint="eastAsia"/>
        </w:rPr>
        <w:t>通过本章学习，对细菌等微生物在园艺植物生物工程中的应用进行评价。</w:t>
      </w:r>
    </w:p>
    <w:p>
      <w:pPr>
        <w:snapToGrid w:val="0"/>
        <w:spacing w:line="360" w:lineRule="auto"/>
        <w:rPr>
          <w:rFonts w:ascii="宋体" w:hAnsi="宋体"/>
          <w:b/>
          <w:szCs w:val="21"/>
        </w:rPr>
      </w:pPr>
      <w:r>
        <w:rPr>
          <w:rFonts w:hint="eastAsia" w:ascii="宋体" w:hAnsi="宋体"/>
          <w:b/>
          <w:szCs w:val="21"/>
        </w:rPr>
        <w:t>三、实验、实习教学部分的考核要求</w:t>
      </w:r>
    </w:p>
    <w:p>
      <w:pPr>
        <w:snapToGrid w:val="0"/>
        <w:spacing w:line="360" w:lineRule="auto"/>
        <w:ind w:firstLine="420" w:firstLineChars="200"/>
        <w:rPr>
          <w:rFonts w:ascii="宋体" w:hAnsi="宋体" w:cs="宋体"/>
        </w:rPr>
      </w:pPr>
      <w:r>
        <w:rPr>
          <w:rFonts w:hint="eastAsia" w:ascii="宋体" w:hAnsi="宋体" w:cs="宋体"/>
        </w:rPr>
        <w:t>1．掌握染色体核型分析的基本方法。</w:t>
      </w:r>
    </w:p>
    <w:p>
      <w:pPr>
        <w:snapToGrid w:val="0"/>
        <w:spacing w:line="360" w:lineRule="auto"/>
        <w:ind w:firstLine="420" w:firstLineChars="200"/>
        <w:rPr>
          <w:rFonts w:ascii="宋体" w:hAnsi="宋体" w:cs="宋体"/>
        </w:rPr>
      </w:pPr>
      <w:r>
        <w:rPr>
          <w:rFonts w:hint="eastAsia" w:ascii="宋体" w:hAnsi="宋体" w:cs="宋体"/>
        </w:rPr>
        <w:t>2．了解基因分离规律的表现，掌握其验证方法。</w:t>
      </w:r>
    </w:p>
    <w:p>
      <w:pPr>
        <w:snapToGrid w:val="0"/>
        <w:spacing w:line="360" w:lineRule="auto"/>
        <w:ind w:firstLine="420" w:firstLineChars="200"/>
        <w:rPr>
          <w:rFonts w:ascii="宋体" w:hAnsi="宋体" w:cs="宋体"/>
        </w:rPr>
      </w:pPr>
      <w:r>
        <w:rPr>
          <w:rFonts w:hint="eastAsia" w:ascii="宋体" w:hAnsi="宋体" w:cs="宋体"/>
        </w:rPr>
        <w:t>3．了解独立分配规律、基因互作的表现，掌握其验证方法。</w:t>
      </w:r>
    </w:p>
    <w:p>
      <w:pPr>
        <w:snapToGrid w:val="0"/>
        <w:spacing w:line="360" w:lineRule="auto"/>
        <w:ind w:firstLine="420" w:firstLineChars="200"/>
        <w:rPr>
          <w:rFonts w:ascii="宋体" w:hAnsi="宋体" w:cs="宋体"/>
        </w:rPr>
      </w:pPr>
      <w:r>
        <w:rPr>
          <w:rFonts w:hint="eastAsia" w:ascii="宋体" w:hAnsi="宋体" w:cs="宋体"/>
        </w:rPr>
        <w:t>4．了解连锁遗传现象的表现，掌握交换值测定基本方法。</w:t>
      </w:r>
    </w:p>
    <w:p>
      <w:pPr>
        <w:snapToGrid w:val="0"/>
        <w:spacing w:line="360" w:lineRule="auto"/>
        <w:ind w:firstLine="420" w:firstLineChars="200"/>
        <w:rPr>
          <w:rFonts w:ascii="宋体" w:hAnsi="宋体" w:cs="宋体"/>
        </w:rPr>
      </w:pPr>
      <w:r>
        <w:rPr>
          <w:rFonts w:hint="eastAsia" w:ascii="宋体" w:hAnsi="宋体" w:cs="宋体"/>
        </w:rPr>
        <w:t>5．掌握遗传力的估算基本方法。</w:t>
      </w:r>
    </w:p>
    <w:p>
      <w:pPr>
        <w:snapToGrid w:val="0"/>
        <w:spacing w:line="360" w:lineRule="auto"/>
        <w:ind w:firstLine="420" w:firstLineChars="200"/>
        <w:rPr>
          <w:rFonts w:ascii="宋体" w:hAnsi="宋体" w:cs="宋体"/>
        </w:rPr>
      </w:pPr>
      <w:r>
        <w:rPr>
          <w:rFonts w:hint="eastAsia" w:ascii="宋体" w:hAnsi="宋体" w:cs="宋体"/>
        </w:rPr>
        <w:t>6．掌握植物细胞有丝分裂的制片基本方法，了解有丝分裂的过程。</w:t>
      </w:r>
    </w:p>
    <w:p>
      <w:pPr>
        <w:snapToGrid w:val="0"/>
        <w:spacing w:line="360" w:lineRule="auto"/>
        <w:ind w:firstLine="420" w:firstLineChars="200"/>
        <w:rPr>
          <w:rFonts w:ascii="宋体" w:hAnsi="宋体" w:cs="宋体"/>
        </w:rPr>
      </w:pPr>
      <w:r>
        <w:rPr>
          <w:rFonts w:hint="eastAsia" w:ascii="宋体" w:hAnsi="宋体" w:cs="宋体"/>
        </w:rPr>
        <w:t>7．了解性状定位的分离群体，掌握基本的分子标记技术。</w:t>
      </w:r>
    </w:p>
    <w:p>
      <w:pPr>
        <w:snapToGrid w:val="0"/>
        <w:spacing w:line="360" w:lineRule="auto"/>
        <w:rPr>
          <w:rFonts w:ascii="宋体" w:hAnsi="宋体"/>
          <w:b/>
          <w:szCs w:val="21"/>
        </w:rPr>
      </w:pPr>
      <w:r>
        <w:rPr>
          <w:rFonts w:hint="eastAsia" w:ascii="宋体" w:hAnsi="宋体"/>
          <w:b/>
          <w:szCs w:val="21"/>
        </w:rPr>
        <w:t>四、考核</w:t>
      </w:r>
      <w:r>
        <w:rPr>
          <w:rFonts w:ascii="宋体" w:hAnsi="宋体"/>
          <w:b/>
          <w:szCs w:val="21"/>
        </w:rPr>
        <w:t>方式</w:t>
      </w:r>
    </w:p>
    <w:p>
      <w:pPr>
        <w:snapToGrid w:val="0"/>
        <w:spacing w:line="360" w:lineRule="auto"/>
        <w:ind w:firstLine="420" w:firstLineChars="200"/>
        <w:rPr>
          <w:rFonts w:ascii="宋体" w:hAnsi="宋体"/>
          <w:szCs w:val="21"/>
        </w:rPr>
      </w:pPr>
      <w:r>
        <w:rPr>
          <w:rFonts w:hint="eastAsia" w:ascii="宋体" w:hAnsi="宋体"/>
          <w:szCs w:val="21"/>
        </w:rPr>
        <w:t>1.期中</w:t>
      </w:r>
      <w:r>
        <w:rPr>
          <w:rFonts w:ascii="宋体" w:hAnsi="宋体"/>
          <w:szCs w:val="21"/>
        </w:rPr>
        <w:t>、期末考试</w:t>
      </w:r>
      <w:r>
        <w:rPr>
          <w:rFonts w:hint="eastAsia" w:ascii="宋体" w:hAnsi="宋体"/>
          <w:szCs w:val="21"/>
        </w:rPr>
        <w:t>采用</w:t>
      </w:r>
      <w:r>
        <w:rPr>
          <w:rFonts w:ascii="宋体" w:hAnsi="宋体"/>
          <w:szCs w:val="21"/>
        </w:rPr>
        <w:t>闭卷考试，时间为</w:t>
      </w:r>
      <w:r>
        <w:rPr>
          <w:rFonts w:hint="eastAsia" w:ascii="宋体" w:hAnsi="宋体"/>
          <w:szCs w:val="21"/>
        </w:rPr>
        <w:t>2个</w:t>
      </w:r>
      <w:r>
        <w:rPr>
          <w:rFonts w:ascii="宋体" w:hAnsi="宋体"/>
          <w:szCs w:val="21"/>
        </w:rPr>
        <w:t>小时。</w:t>
      </w:r>
    </w:p>
    <w:p>
      <w:pPr>
        <w:snapToGrid w:val="0"/>
        <w:spacing w:line="360" w:lineRule="auto"/>
        <w:ind w:firstLine="420" w:firstLineChars="200"/>
        <w:rPr>
          <w:rFonts w:ascii="宋体" w:hAnsi="宋体"/>
          <w:szCs w:val="21"/>
        </w:rPr>
      </w:pPr>
      <w:r>
        <w:rPr>
          <w:rFonts w:ascii="宋体" w:hAnsi="宋体"/>
          <w:szCs w:val="21"/>
        </w:rPr>
        <w:t>2.阶段</w:t>
      </w:r>
      <w:r>
        <w:rPr>
          <w:rFonts w:hint="eastAsia" w:ascii="宋体" w:hAnsi="宋体"/>
          <w:szCs w:val="21"/>
        </w:rPr>
        <w:t>性测评为每章内容</w:t>
      </w:r>
      <w:r>
        <w:rPr>
          <w:rFonts w:ascii="宋体" w:hAnsi="宋体"/>
          <w:szCs w:val="21"/>
        </w:rPr>
        <w:t>学习</w:t>
      </w:r>
      <w:r>
        <w:rPr>
          <w:rFonts w:hint="eastAsia" w:ascii="宋体" w:hAnsi="宋体"/>
          <w:szCs w:val="21"/>
        </w:rPr>
        <w:t>结束</w:t>
      </w:r>
      <w:r>
        <w:rPr>
          <w:rFonts w:ascii="宋体" w:hAnsi="宋体"/>
          <w:szCs w:val="21"/>
        </w:rPr>
        <w:t>进行，</w:t>
      </w:r>
      <w:r>
        <w:rPr>
          <w:rFonts w:hint="eastAsia" w:ascii="宋体" w:hAnsi="宋体"/>
          <w:szCs w:val="21"/>
        </w:rPr>
        <w:t>开卷</w:t>
      </w:r>
      <w:r>
        <w:rPr>
          <w:rFonts w:ascii="宋体" w:hAnsi="宋体"/>
          <w:szCs w:val="21"/>
        </w:rPr>
        <w:t>考试，时间</w:t>
      </w:r>
      <w:r>
        <w:rPr>
          <w:rFonts w:hint="eastAsia" w:ascii="宋体" w:hAnsi="宋体"/>
          <w:szCs w:val="21"/>
        </w:rPr>
        <w:t>为15-20分钟</w:t>
      </w:r>
      <w:r>
        <w:rPr>
          <w:rFonts w:ascii="宋体" w:hAnsi="宋体"/>
          <w:szCs w:val="21"/>
        </w:rPr>
        <w:t>。</w:t>
      </w:r>
    </w:p>
    <w:p>
      <w:pPr>
        <w:snapToGrid w:val="0"/>
        <w:spacing w:line="360" w:lineRule="auto"/>
        <w:ind w:firstLine="420" w:firstLineChars="200"/>
        <w:rPr>
          <w:rFonts w:ascii="宋体" w:hAnsi="宋体"/>
          <w:szCs w:val="21"/>
        </w:rPr>
      </w:pPr>
      <w:r>
        <w:rPr>
          <w:rFonts w:hint="eastAsia" w:ascii="宋体" w:hAnsi="宋体"/>
          <w:szCs w:val="21"/>
        </w:rPr>
        <w:t>3.课堂</w:t>
      </w:r>
      <w:r>
        <w:rPr>
          <w:rFonts w:ascii="宋体" w:hAnsi="宋体"/>
          <w:szCs w:val="21"/>
        </w:rPr>
        <w:t>表现</w:t>
      </w:r>
      <w:r>
        <w:rPr>
          <w:rFonts w:hint="eastAsia" w:ascii="宋体" w:hAnsi="宋体"/>
          <w:szCs w:val="21"/>
        </w:rPr>
        <w:t>主要</w:t>
      </w:r>
      <w:r>
        <w:rPr>
          <w:rFonts w:ascii="宋体" w:hAnsi="宋体"/>
          <w:szCs w:val="21"/>
        </w:rPr>
        <w:t>根据课堂考勤、上课回答问题</w:t>
      </w:r>
      <w:r>
        <w:rPr>
          <w:rFonts w:hint="eastAsia" w:ascii="宋体" w:hAnsi="宋体"/>
          <w:szCs w:val="21"/>
        </w:rPr>
        <w:t>情况进行打分</w:t>
      </w:r>
      <w:r>
        <w:rPr>
          <w:rFonts w:ascii="宋体" w:hAnsi="宋体"/>
          <w:szCs w:val="21"/>
        </w:rPr>
        <w:t>。</w:t>
      </w:r>
    </w:p>
    <w:p>
      <w:pPr>
        <w:snapToGrid w:val="0"/>
        <w:spacing w:line="360" w:lineRule="auto"/>
        <w:ind w:firstLine="420" w:firstLineChars="200"/>
        <w:rPr>
          <w:rFonts w:ascii="宋体" w:hAnsi="宋体"/>
          <w:szCs w:val="21"/>
        </w:rPr>
      </w:pPr>
      <w:r>
        <w:rPr>
          <w:rFonts w:hint="eastAsia" w:ascii="宋体" w:hAnsi="宋体"/>
          <w:szCs w:val="21"/>
        </w:rPr>
        <w:t>4.课程</w:t>
      </w:r>
      <w:r>
        <w:rPr>
          <w:rFonts w:ascii="宋体" w:hAnsi="宋体"/>
          <w:szCs w:val="21"/>
        </w:rPr>
        <w:t>实验</w:t>
      </w:r>
      <w:r>
        <w:rPr>
          <w:rFonts w:hint="eastAsia" w:ascii="宋体" w:hAnsi="宋体"/>
          <w:szCs w:val="21"/>
        </w:rPr>
        <w:t>主要</w:t>
      </w:r>
      <w:r>
        <w:rPr>
          <w:rFonts w:ascii="宋体" w:hAnsi="宋体"/>
          <w:szCs w:val="21"/>
        </w:rPr>
        <w:t>根据学生</w:t>
      </w:r>
      <w:r>
        <w:rPr>
          <w:rFonts w:hint="eastAsia" w:ascii="宋体" w:hAnsi="宋体"/>
          <w:szCs w:val="21"/>
        </w:rPr>
        <w:t>操作的</w:t>
      </w:r>
      <w:r>
        <w:rPr>
          <w:rFonts w:ascii="宋体" w:hAnsi="宋体"/>
          <w:szCs w:val="21"/>
        </w:rPr>
        <w:t>熟练程度、</w:t>
      </w:r>
      <w:r>
        <w:rPr>
          <w:rFonts w:hint="eastAsia" w:ascii="宋体" w:hAnsi="宋体"/>
          <w:szCs w:val="21"/>
        </w:rPr>
        <w:t>实验</w:t>
      </w:r>
      <w:r>
        <w:rPr>
          <w:rFonts w:ascii="宋体" w:hAnsi="宋体"/>
          <w:szCs w:val="21"/>
        </w:rPr>
        <w:t>结果的正确性及实验报告的撰写</w:t>
      </w:r>
      <w:r>
        <w:rPr>
          <w:rFonts w:hint="eastAsia" w:ascii="宋体" w:hAnsi="宋体"/>
          <w:szCs w:val="21"/>
        </w:rPr>
        <w:t>情况打分</w:t>
      </w:r>
      <w:r>
        <w:rPr>
          <w:rFonts w:ascii="宋体" w:hAnsi="宋体"/>
          <w:szCs w:val="21"/>
        </w:rPr>
        <w:t>。</w:t>
      </w:r>
    </w:p>
    <w:p>
      <w:pPr>
        <w:snapToGrid w:val="0"/>
        <w:spacing w:line="360" w:lineRule="auto"/>
        <w:rPr>
          <w:rFonts w:ascii="宋体" w:hAnsi="宋体"/>
          <w:b/>
          <w:szCs w:val="21"/>
        </w:rPr>
      </w:pPr>
      <w:r>
        <w:rPr>
          <w:rFonts w:hint="eastAsia" w:ascii="宋体" w:hAnsi="宋体"/>
          <w:b/>
          <w:szCs w:val="21"/>
        </w:rPr>
        <w:t>五、成绩评定</w:t>
      </w:r>
    </w:p>
    <w:p>
      <w:pPr>
        <w:snapToGrid w:val="0"/>
        <w:spacing w:line="360" w:lineRule="auto"/>
        <w:ind w:firstLine="420" w:firstLineChars="200"/>
        <w:rPr>
          <w:rFonts w:ascii="宋体" w:hAnsi="宋体" w:cs="宋体"/>
          <w:bCs/>
          <w:kern w:val="0"/>
          <w:szCs w:val="21"/>
        </w:rPr>
      </w:pPr>
      <w:r>
        <w:rPr>
          <w:rFonts w:hint="eastAsia" w:ascii="宋体" w:hAnsi="宋体" w:cs="宋体"/>
          <w:bCs/>
          <w:kern w:val="0"/>
          <w:szCs w:val="21"/>
        </w:rPr>
        <w:t>1.平时成绩</w:t>
      </w:r>
    </w:p>
    <w:p>
      <w:pPr>
        <w:snapToGrid w:val="0"/>
        <w:spacing w:line="360" w:lineRule="auto"/>
        <w:ind w:firstLine="420" w:firstLineChars="200"/>
        <w:rPr>
          <w:rFonts w:ascii="宋体" w:hAnsi="宋体" w:cs="宋体"/>
          <w:bCs/>
          <w:kern w:val="0"/>
          <w:szCs w:val="21"/>
        </w:rPr>
      </w:pPr>
      <w:r>
        <w:rPr>
          <w:rFonts w:hint="eastAsia" w:ascii="宋体" w:hAnsi="宋体" w:cs="宋体"/>
          <w:bCs/>
          <w:kern w:val="0"/>
          <w:szCs w:val="21"/>
        </w:rPr>
        <w:t>平时</w:t>
      </w:r>
      <w:r>
        <w:rPr>
          <w:rFonts w:ascii="宋体" w:hAnsi="宋体" w:cs="宋体"/>
          <w:bCs/>
          <w:kern w:val="0"/>
          <w:szCs w:val="21"/>
        </w:rPr>
        <w:t>成绩</w:t>
      </w:r>
      <w:r>
        <w:rPr>
          <w:rFonts w:hint="eastAsia" w:ascii="宋体" w:hAnsi="宋体" w:cs="宋体"/>
          <w:bCs/>
          <w:kern w:val="0"/>
          <w:szCs w:val="21"/>
        </w:rPr>
        <w:t>由</w:t>
      </w:r>
      <w:r>
        <w:rPr>
          <w:rFonts w:ascii="宋体" w:hAnsi="宋体" w:cs="宋体"/>
          <w:bCs/>
          <w:kern w:val="0"/>
          <w:szCs w:val="21"/>
        </w:rPr>
        <w:t>三部分组成</w:t>
      </w:r>
      <w:r>
        <w:rPr>
          <w:rFonts w:hint="eastAsia" w:ascii="宋体" w:hAnsi="宋体" w:cs="宋体"/>
          <w:bCs/>
          <w:kern w:val="0"/>
          <w:szCs w:val="21"/>
        </w:rPr>
        <w:t>，</w:t>
      </w:r>
      <w:r>
        <w:rPr>
          <w:rFonts w:ascii="宋体" w:hAnsi="宋体" w:cs="宋体"/>
          <w:bCs/>
          <w:kern w:val="0"/>
          <w:szCs w:val="21"/>
        </w:rPr>
        <w:t>分别为</w:t>
      </w:r>
      <w:r>
        <w:rPr>
          <w:rFonts w:hint="eastAsia" w:ascii="宋体" w:hAnsi="宋体" w:cs="宋体"/>
          <w:bCs/>
          <w:kern w:val="0"/>
          <w:szCs w:val="21"/>
        </w:rPr>
        <w:t>阶段</w:t>
      </w:r>
      <w:r>
        <w:rPr>
          <w:rFonts w:ascii="宋体" w:hAnsi="宋体" w:cs="宋体"/>
          <w:bCs/>
          <w:kern w:val="0"/>
          <w:szCs w:val="21"/>
        </w:rPr>
        <w:t>测评</w:t>
      </w:r>
      <w:r>
        <w:rPr>
          <w:rFonts w:hint="eastAsia" w:ascii="宋体" w:hAnsi="宋体" w:cs="宋体"/>
          <w:bCs/>
          <w:kern w:val="0"/>
          <w:szCs w:val="21"/>
        </w:rPr>
        <w:t>、课堂</w:t>
      </w:r>
      <w:r>
        <w:rPr>
          <w:rFonts w:ascii="宋体" w:hAnsi="宋体" w:cs="宋体"/>
          <w:bCs/>
          <w:kern w:val="0"/>
          <w:szCs w:val="21"/>
        </w:rPr>
        <w:t>表现</w:t>
      </w:r>
      <w:r>
        <w:rPr>
          <w:rFonts w:hint="eastAsia" w:ascii="宋体" w:hAnsi="宋体" w:cs="宋体"/>
          <w:bCs/>
          <w:kern w:val="0"/>
          <w:szCs w:val="21"/>
        </w:rPr>
        <w:t>和课程实验成绩</w:t>
      </w:r>
      <w:r>
        <w:rPr>
          <w:rFonts w:ascii="宋体" w:hAnsi="宋体" w:cs="宋体"/>
          <w:bCs/>
          <w:kern w:val="0"/>
          <w:szCs w:val="21"/>
        </w:rPr>
        <w:t>。</w:t>
      </w:r>
      <w:r>
        <w:rPr>
          <w:rFonts w:hint="eastAsia" w:ascii="宋体" w:hAnsi="宋体" w:cs="宋体"/>
          <w:bCs/>
          <w:kern w:val="0"/>
          <w:szCs w:val="21"/>
        </w:rPr>
        <w:t>阶段</w:t>
      </w:r>
      <w:r>
        <w:rPr>
          <w:rFonts w:ascii="宋体" w:hAnsi="宋体" w:cs="宋体"/>
          <w:bCs/>
          <w:kern w:val="0"/>
          <w:szCs w:val="21"/>
        </w:rPr>
        <w:t>测评</w:t>
      </w:r>
      <w:r>
        <w:rPr>
          <w:rFonts w:hint="eastAsia" w:ascii="宋体" w:hAnsi="宋体" w:cs="宋体"/>
          <w:bCs/>
          <w:kern w:val="0"/>
          <w:szCs w:val="21"/>
        </w:rPr>
        <w:t>：</w:t>
      </w:r>
      <w:r>
        <w:rPr>
          <w:rFonts w:ascii="宋体" w:hAnsi="宋体" w:cs="宋体"/>
          <w:bCs/>
          <w:kern w:val="0"/>
          <w:szCs w:val="21"/>
        </w:rPr>
        <w:t>根据</w:t>
      </w:r>
      <w:r>
        <w:rPr>
          <w:rFonts w:hint="eastAsia" w:ascii="宋体" w:hAnsi="宋体" w:cs="宋体"/>
          <w:bCs/>
          <w:kern w:val="0"/>
          <w:szCs w:val="21"/>
        </w:rPr>
        <w:t>阶段</w:t>
      </w:r>
      <w:r>
        <w:rPr>
          <w:rFonts w:ascii="宋体" w:hAnsi="宋体" w:cs="宋体"/>
          <w:bCs/>
          <w:kern w:val="0"/>
          <w:szCs w:val="21"/>
        </w:rPr>
        <w:t>测评的</w:t>
      </w:r>
      <w:r>
        <w:rPr>
          <w:rFonts w:hint="eastAsia" w:ascii="宋体" w:hAnsi="宋体" w:cs="宋体"/>
          <w:bCs/>
          <w:kern w:val="0"/>
          <w:szCs w:val="21"/>
        </w:rPr>
        <w:t>成绩</w:t>
      </w:r>
      <w:r>
        <w:rPr>
          <w:rFonts w:ascii="宋体" w:hAnsi="宋体" w:cs="宋体"/>
          <w:bCs/>
          <w:kern w:val="0"/>
          <w:szCs w:val="21"/>
        </w:rPr>
        <w:t>评定。</w:t>
      </w:r>
      <w:r>
        <w:rPr>
          <w:rFonts w:hint="eastAsia" w:ascii="宋体" w:hAnsi="宋体" w:cs="宋体"/>
          <w:bCs/>
          <w:kern w:val="0"/>
          <w:szCs w:val="21"/>
        </w:rPr>
        <w:t>课堂</w:t>
      </w:r>
      <w:r>
        <w:rPr>
          <w:rFonts w:ascii="宋体" w:hAnsi="宋体" w:cs="宋体"/>
          <w:bCs/>
          <w:kern w:val="0"/>
          <w:szCs w:val="21"/>
        </w:rPr>
        <w:t>表现</w:t>
      </w:r>
      <w:r>
        <w:rPr>
          <w:rFonts w:hint="eastAsia" w:ascii="宋体" w:hAnsi="宋体" w:cs="宋体"/>
          <w:bCs/>
          <w:kern w:val="0"/>
          <w:szCs w:val="21"/>
        </w:rPr>
        <w:t>：</w:t>
      </w:r>
      <w:r>
        <w:rPr>
          <w:rFonts w:ascii="宋体" w:hAnsi="宋体" w:cs="宋体"/>
          <w:bCs/>
          <w:kern w:val="0"/>
          <w:szCs w:val="21"/>
        </w:rPr>
        <w:t>根据学生课堂考勤、上课回答问题</w:t>
      </w:r>
      <w:r>
        <w:rPr>
          <w:rFonts w:hint="eastAsia" w:ascii="宋体" w:hAnsi="宋体" w:cs="宋体"/>
          <w:bCs/>
          <w:kern w:val="0"/>
          <w:szCs w:val="21"/>
        </w:rPr>
        <w:t>情况</w:t>
      </w:r>
      <w:r>
        <w:rPr>
          <w:rFonts w:ascii="宋体" w:hAnsi="宋体" w:cs="宋体"/>
          <w:bCs/>
          <w:kern w:val="0"/>
          <w:szCs w:val="21"/>
        </w:rPr>
        <w:t>进行综合评定。</w:t>
      </w:r>
      <w:r>
        <w:rPr>
          <w:rFonts w:hint="eastAsia" w:ascii="宋体" w:hAnsi="宋体" w:cs="宋体"/>
          <w:bCs/>
          <w:kern w:val="0"/>
          <w:szCs w:val="21"/>
        </w:rPr>
        <w:t>课程实验：依照学生实验</w:t>
      </w:r>
      <w:r>
        <w:rPr>
          <w:rFonts w:ascii="宋体" w:hAnsi="宋体" w:cs="宋体"/>
          <w:bCs/>
          <w:kern w:val="0"/>
          <w:szCs w:val="21"/>
        </w:rPr>
        <w:t>课程</w:t>
      </w:r>
      <w:r>
        <w:rPr>
          <w:rFonts w:hint="eastAsia" w:ascii="宋体" w:hAnsi="宋体" w:cs="宋体"/>
          <w:bCs/>
          <w:kern w:val="0"/>
          <w:szCs w:val="21"/>
        </w:rPr>
        <w:t>课堂表现及实验报告进行综合评定。平时成绩所占比例40%。</w:t>
      </w:r>
    </w:p>
    <w:p>
      <w:pPr>
        <w:snapToGrid w:val="0"/>
        <w:spacing w:line="360" w:lineRule="auto"/>
        <w:ind w:firstLine="420" w:firstLineChars="200"/>
        <w:rPr>
          <w:rFonts w:ascii="宋体" w:hAnsi="宋体" w:cs="宋体"/>
          <w:bCs/>
          <w:kern w:val="0"/>
          <w:szCs w:val="21"/>
        </w:rPr>
      </w:pPr>
      <w:r>
        <w:rPr>
          <w:rFonts w:hint="eastAsia" w:ascii="宋体" w:hAnsi="宋体" w:cs="宋体"/>
          <w:bCs/>
          <w:kern w:val="0"/>
          <w:szCs w:val="21"/>
        </w:rPr>
        <w:t>2.期末成绩</w:t>
      </w:r>
    </w:p>
    <w:p>
      <w:pPr>
        <w:snapToGrid w:val="0"/>
        <w:spacing w:line="360" w:lineRule="auto"/>
        <w:ind w:firstLine="420" w:firstLineChars="200"/>
        <w:rPr>
          <w:rFonts w:ascii="宋体" w:hAnsi="宋体" w:cs="宋体"/>
          <w:bCs/>
          <w:kern w:val="0"/>
          <w:szCs w:val="21"/>
        </w:rPr>
      </w:pPr>
      <w:r>
        <w:rPr>
          <w:rFonts w:hint="eastAsia" w:ascii="宋体" w:hAnsi="宋体" w:cs="宋体"/>
          <w:bCs/>
          <w:kern w:val="0"/>
          <w:szCs w:val="21"/>
        </w:rPr>
        <w:t>考核方式为闭卷考试，所占比例60%。</w:t>
      </w:r>
    </w:p>
    <w:p>
      <w:pPr>
        <w:snapToGrid w:val="0"/>
        <w:spacing w:line="360" w:lineRule="auto"/>
        <w:ind w:firstLine="420" w:firstLineChars="200"/>
        <w:rPr>
          <w:rFonts w:ascii="宋体" w:hAnsi="宋体"/>
          <w:szCs w:val="21"/>
        </w:rPr>
      </w:pPr>
      <w:r>
        <w:rPr>
          <w:rFonts w:ascii="Times" w:hAnsi="Times"/>
        </w:rPr>
        <w:t>2.</w:t>
      </w:r>
      <w:r>
        <w:rPr>
          <w:rFonts w:hint="eastAsia" w:ascii="宋体" w:hAnsi="宋体"/>
          <w:szCs w:val="21"/>
        </w:rPr>
        <w:t xml:space="preserve"> 综合成绩</w:t>
      </w:r>
    </w:p>
    <w:p>
      <w:pPr>
        <w:snapToGrid w:val="0"/>
        <w:spacing w:line="360" w:lineRule="auto"/>
        <w:ind w:firstLine="420" w:firstLineChars="200"/>
        <w:rPr>
          <w:rFonts w:ascii="宋体" w:hAnsi="宋体" w:cs="宋体"/>
          <w:bCs/>
          <w:kern w:val="0"/>
          <w:szCs w:val="21"/>
        </w:rPr>
      </w:pPr>
      <w:r>
        <w:rPr>
          <w:rFonts w:hint="eastAsia" w:ascii="Times" w:hAnsi="Times"/>
        </w:rPr>
        <w:t>最终</w:t>
      </w:r>
      <w:r>
        <w:rPr>
          <w:rFonts w:ascii="Times" w:hAnsi="Times"/>
        </w:rPr>
        <w:t>成绩</w:t>
      </w:r>
      <w:r>
        <w:rPr>
          <w:rFonts w:hint="eastAsia" w:ascii="Times" w:hAnsi="Times"/>
        </w:rPr>
        <w:t>为100分，</w:t>
      </w:r>
      <w:r>
        <w:rPr>
          <w:rFonts w:hint="eastAsia" w:ascii="宋体" w:hAnsi="宋体"/>
          <w:bCs/>
          <w:szCs w:val="21"/>
        </w:rPr>
        <w:t>平时成绩×40%+期末成绩×60%。</w:t>
      </w:r>
    </w:p>
    <w:p>
      <w:pPr>
        <w:snapToGrid w:val="0"/>
        <w:spacing w:line="360" w:lineRule="auto"/>
        <w:rPr>
          <w:rFonts w:ascii="宋体" w:hAnsi="宋体"/>
          <w:b/>
          <w:szCs w:val="21"/>
        </w:rPr>
      </w:pPr>
      <w:r>
        <w:rPr>
          <w:rFonts w:hint="eastAsia" w:ascii="宋体" w:hAnsi="宋体"/>
          <w:b/>
          <w:szCs w:val="21"/>
        </w:rPr>
        <w:t>六、考核结果分析反馈</w:t>
      </w:r>
    </w:p>
    <w:p>
      <w:pPr>
        <w:snapToGrid w:val="0"/>
        <w:spacing w:line="360" w:lineRule="auto"/>
        <w:ind w:firstLine="420" w:firstLineChars="200"/>
        <w:rPr>
          <w:rFonts w:ascii="宋体" w:hAnsi="宋体"/>
        </w:rPr>
      </w:pPr>
      <w:r>
        <w:rPr>
          <w:rFonts w:hint="eastAsia" w:ascii="宋体" w:hAnsi="宋体"/>
        </w:rPr>
        <w:t>1.在</w:t>
      </w:r>
      <w:r>
        <w:rPr>
          <w:rFonts w:ascii="宋体" w:hAnsi="宋体"/>
        </w:rPr>
        <w:t>每章</w:t>
      </w:r>
      <w:r>
        <w:rPr>
          <w:rFonts w:hint="eastAsia" w:ascii="宋体" w:hAnsi="宋体"/>
        </w:rPr>
        <w:t>理论</w:t>
      </w:r>
      <w:r>
        <w:rPr>
          <w:rFonts w:ascii="宋体" w:hAnsi="宋体"/>
        </w:rPr>
        <w:t>课结束</w:t>
      </w:r>
      <w:r>
        <w:rPr>
          <w:rFonts w:hint="eastAsia" w:ascii="宋体" w:hAnsi="宋体"/>
        </w:rPr>
        <w:t>后</w:t>
      </w:r>
      <w:r>
        <w:rPr>
          <w:rFonts w:ascii="宋体" w:hAnsi="宋体"/>
        </w:rPr>
        <w:t>，进行</w:t>
      </w:r>
      <w:r>
        <w:rPr>
          <w:rFonts w:ascii="宋体" w:hAnsi="宋体"/>
          <w:szCs w:val="21"/>
        </w:rPr>
        <w:t>阶段</w:t>
      </w:r>
      <w:r>
        <w:rPr>
          <w:rFonts w:hint="eastAsia" w:ascii="宋体" w:hAnsi="宋体"/>
          <w:szCs w:val="21"/>
        </w:rPr>
        <w:t>测评</w:t>
      </w:r>
      <w:r>
        <w:rPr>
          <w:rFonts w:ascii="宋体" w:hAnsi="宋体"/>
        </w:rPr>
        <w:t>，检</w:t>
      </w:r>
      <w:r>
        <w:rPr>
          <w:rFonts w:hint="eastAsia" w:ascii="宋体" w:hAnsi="宋体"/>
        </w:rPr>
        <w:t>查</w:t>
      </w:r>
      <w:r>
        <w:rPr>
          <w:rFonts w:ascii="宋体" w:hAnsi="宋体"/>
        </w:rPr>
        <w:t>学生章节学习情况，并</w:t>
      </w:r>
      <w:r>
        <w:rPr>
          <w:rFonts w:hint="eastAsia" w:ascii="宋体" w:hAnsi="宋体"/>
        </w:rPr>
        <w:t>在</w:t>
      </w:r>
      <w:r>
        <w:rPr>
          <w:rFonts w:ascii="宋体" w:hAnsi="宋体"/>
        </w:rPr>
        <w:t>课堂上给学生</w:t>
      </w:r>
      <w:r>
        <w:rPr>
          <w:rFonts w:hint="eastAsia" w:ascii="宋体" w:hAnsi="宋体"/>
        </w:rPr>
        <w:t>详细</w:t>
      </w:r>
      <w:r>
        <w:rPr>
          <w:rFonts w:ascii="宋体" w:hAnsi="宋体"/>
        </w:rPr>
        <w:t>讲解</w:t>
      </w:r>
      <w:r>
        <w:rPr>
          <w:rFonts w:ascii="宋体" w:hAnsi="宋体"/>
          <w:szCs w:val="21"/>
        </w:rPr>
        <w:t>阶段</w:t>
      </w:r>
      <w:r>
        <w:rPr>
          <w:rFonts w:hint="eastAsia" w:ascii="宋体" w:hAnsi="宋体"/>
          <w:szCs w:val="21"/>
        </w:rPr>
        <w:t>测评</w:t>
      </w:r>
      <w:r>
        <w:rPr>
          <w:rFonts w:hint="eastAsia" w:ascii="宋体" w:hAnsi="宋体"/>
        </w:rPr>
        <w:t>中</w:t>
      </w:r>
      <w:r>
        <w:rPr>
          <w:rFonts w:ascii="宋体" w:hAnsi="宋体"/>
        </w:rPr>
        <w:t>的重点难点。</w:t>
      </w:r>
      <w:r>
        <w:rPr>
          <w:rFonts w:hint="eastAsia" w:ascii="宋体" w:hAnsi="宋体"/>
        </w:rPr>
        <w:t>实验、</w:t>
      </w:r>
      <w:r>
        <w:rPr>
          <w:rFonts w:ascii="宋体" w:hAnsi="宋体"/>
        </w:rPr>
        <w:t>期末考试成绩及时通告给学生</w:t>
      </w:r>
      <w:r>
        <w:rPr>
          <w:rFonts w:hint="eastAsia" w:ascii="宋体" w:hAnsi="宋体"/>
        </w:rPr>
        <w:t>，</w:t>
      </w:r>
      <w:r>
        <w:rPr>
          <w:rFonts w:ascii="宋体" w:hAnsi="宋体"/>
        </w:rPr>
        <w:t>学生对考试成绩有疑问，可以申请</w:t>
      </w:r>
      <w:r>
        <w:rPr>
          <w:rFonts w:hint="eastAsia" w:ascii="宋体" w:hAnsi="宋体"/>
        </w:rPr>
        <w:t>复查</w:t>
      </w:r>
      <w:r>
        <w:rPr>
          <w:rFonts w:ascii="宋体" w:hAnsi="宋体"/>
        </w:rPr>
        <w:t>试卷</w:t>
      </w:r>
      <w:r>
        <w:rPr>
          <w:rFonts w:hint="eastAsia" w:ascii="宋体" w:hAnsi="宋体"/>
        </w:rPr>
        <w:t>。对</w:t>
      </w:r>
      <w:r>
        <w:rPr>
          <w:rFonts w:ascii="宋体" w:hAnsi="宋体"/>
        </w:rPr>
        <w:t>期末考试</w:t>
      </w:r>
      <w:r>
        <w:rPr>
          <w:rFonts w:hint="eastAsia" w:ascii="宋体" w:hAnsi="宋体"/>
        </w:rPr>
        <w:t>进行</w:t>
      </w:r>
      <w:r>
        <w:rPr>
          <w:rFonts w:ascii="宋体" w:hAnsi="宋体"/>
        </w:rPr>
        <w:t>考试分析，</w:t>
      </w:r>
      <w:r>
        <w:rPr>
          <w:rFonts w:hint="eastAsia" w:ascii="宋体" w:hAnsi="宋体"/>
        </w:rPr>
        <w:t>统计</w:t>
      </w:r>
      <w:r>
        <w:rPr>
          <w:rFonts w:ascii="宋体" w:hAnsi="宋体"/>
        </w:rPr>
        <w:t>学生对于</w:t>
      </w:r>
      <w:r>
        <w:rPr>
          <w:rFonts w:hint="eastAsia" w:ascii="宋体" w:hAnsi="宋体"/>
        </w:rPr>
        <w:t>各</w:t>
      </w:r>
      <w:r>
        <w:rPr>
          <w:rFonts w:ascii="宋体" w:hAnsi="宋体"/>
        </w:rPr>
        <w:t>章节</w:t>
      </w:r>
      <w:r>
        <w:rPr>
          <w:rFonts w:hint="eastAsia" w:ascii="宋体" w:hAnsi="宋体"/>
        </w:rPr>
        <w:t>知识点</w:t>
      </w:r>
      <w:r>
        <w:rPr>
          <w:rFonts w:ascii="宋体" w:hAnsi="宋体"/>
        </w:rPr>
        <w:t>的掌握情况。</w:t>
      </w:r>
    </w:p>
    <w:p>
      <w:pPr>
        <w:snapToGrid w:val="0"/>
        <w:spacing w:line="360" w:lineRule="auto"/>
        <w:ind w:firstLine="420" w:firstLineChars="200"/>
        <w:rPr>
          <w:rFonts w:ascii="宋体" w:hAnsi="宋体"/>
        </w:rPr>
      </w:pPr>
      <w:r>
        <w:rPr>
          <w:rFonts w:hint="eastAsia" w:ascii="宋体" w:hAnsi="宋体"/>
        </w:rPr>
        <w:t>2.建立</w:t>
      </w:r>
      <w:r>
        <w:rPr>
          <w:rFonts w:ascii="宋体" w:hAnsi="宋体"/>
        </w:rPr>
        <w:t>学生和老师之间的反馈通道，</w:t>
      </w:r>
      <w:r>
        <w:rPr>
          <w:rFonts w:hint="eastAsia" w:ascii="宋体" w:hAnsi="宋体"/>
        </w:rPr>
        <w:t>学生</w:t>
      </w:r>
      <w:r>
        <w:rPr>
          <w:rFonts w:ascii="宋体" w:hAnsi="宋体"/>
        </w:rPr>
        <w:t>在</w:t>
      </w:r>
      <w:r>
        <w:rPr>
          <w:rFonts w:hint="eastAsia" w:ascii="宋体" w:hAnsi="宋体"/>
        </w:rPr>
        <w:t>课堂</w:t>
      </w:r>
      <w:r>
        <w:rPr>
          <w:rFonts w:ascii="宋体" w:hAnsi="宋体"/>
        </w:rPr>
        <w:t>上存在</w:t>
      </w:r>
      <w:r>
        <w:rPr>
          <w:rFonts w:hint="eastAsia" w:ascii="宋体" w:hAnsi="宋体"/>
        </w:rPr>
        <w:t>的疑问</w:t>
      </w:r>
      <w:r>
        <w:rPr>
          <w:rFonts w:ascii="宋体" w:hAnsi="宋体"/>
        </w:rPr>
        <w:t>、对教师上课中存在的问题</w:t>
      </w:r>
      <w:r>
        <w:rPr>
          <w:rFonts w:hint="eastAsia" w:ascii="宋体" w:hAnsi="宋体"/>
        </w:rPr>
        <w:t>或</w:t>
      </w:r>
      <w:r>
        <w:rPr>
          <w:rFonts w:ascii="宋体" w:hAnsi="宋体"/>
        </w:rPr>
        <w:t>建议，及时反馈给授课教师，</w:t>
      </w:r>
      <w:r>
        <w:rPr>
          <w:rFonts w:hint="eastAsia" w:ascii="宋体" w:hAnsi="宋体"/>
        </w:rPr>
        <w:t>授课</w:t>
      </w:r>
      <w:r>
        <w:rPr>
          <w:rFonts w:ascii="宋体" w:hAnsi="宋体"/>
        </w:rPr>
        <w:t>教师及时</w:t>
      </w:r>
      <w:r>
        <w:rPr>
          <w:rFonts w:hint="eastAsia" w:ascii="宋体" w:hAnsi="宋体"/>
        </w:rPr>
        <w:t>解决</w:t>
      </w:r>
      <w:r>
        <w:rPr>
          <w:rFonts w:ascii="宋体" w:hAnsi="宋体"/>
        </w:rPr>
        <w:t>。</w:t>
      </w:r>
      <w:r>
        <w:rPr>
          <w:rFonts w:hint="eastAsia" w:ascii="宋体" w:hAnsi="宋体"/>
        </w:rPr>
        <w:t>通过学生评教，</w:t>
      </w:r>
      <w:r>
        <w:rPr>
          <w:rFonts w:ascii="宋体" w:hAnsi="宋体"/>
        </w:rPr>
        <w:t>对教师的教学工作做出合理的评价。</w:t>
      </w:r>
    </w:p>
    <w:p>
      <w:pPr>
        <w:snapToGrid w:val="0"/>
        <w:spacing w:line="360" w:lineRule="auto"/>
        <w:ind w:firstLine="420" w:firstLineChars="200"/>
        <w:rPr>
          <w:rFonts w:ascii="宋体" w:hAnsi="宋体"/>
        </w:rPr>
      </w:pPr>
      <w:r>
        <w:rPr>
          <w:rFonts w:hint="eastAsia" w:ascii="宋体" w:hAnsi="宋体"/>
        </w:rPr>
        <w:t>3.</w:t>
      </w:r>
      <w:r>
        <w:rPr>
          <w:rFonts w:hint="eastAsia"/>
          <w:color w:val="000000"/>
          <w:shd w:val="clear" w:color="auto" w:fill="FFFFFF"/>
        </w:rPr>
        <w:t>制定具体、可衡量的评价指标，形成评分表，结合学生的实验报告、</w:t>
      </w:r>
      <w:r>
        <w:rPr>
          <w:rFonts w:hint="eastAsia" w:ascii="宋体" w:hAnsi="宋体" w:cs="宋体"/>
          <w:bCs/>
          <w:kern w:val="0"/>
          <w:szCs w:val="21"/>
        </w:rPr>
        <w:t>阶段</w:t>
      </w:r>
      <w:r>
        <w:rPr>
          <w:rFonts w:ascii="宋体" w:hAnsi="宋体" w:cs="宋体"/>
          <w:bCs/>
          <w:kern w:val="0"/>
          <w:szCs w:val="21"/>
        </w:rPr>
        <w:t>测评</w:t>
      </w:r>
      <w:r>
        <w:rPr>
          <w:rFonts w:hint="eastAsia"/>
          <w:color w:val="000000"/>
          <w:shd w:val="clear" w:color="auto" w:fill="FFFFFF"/>
        </w:rPr>
        <w:t>、课堂表现等评价学生的表现，通过满意程度给出量化分数，从而计算出学习达成度评价结果，</w:t>
      </w:r>
      <w:r>
        <w:rPr>
          <w:color w:val="000000"/>
          <w:shd w:val="clear" w:color="auto" w:fill="FFFFFF"/>
        </w:rPr>
        <w:t>并反馈给</w:t>
      </w:r>
      <w:r>
        <w:rPr>
          <w:rFonts w:hint="eastAsia"/>
          <w:color w:val="000000"/>
          <w:shd w:val="clear" w:color="auto" w:fill="FFFFFF"/>
        </w:rPr>
        <w:t>学生。</w:t>
      </w:r>
    </w:p>
    <w:p>
      <w:pPr>
        <w:pStyle w:val="21"/>
        <w:rPr>
          <w:sz w:val="28"/>
        </w:rPr>
      </w:pPr>
      <w:bookmarkStart w:id="577" w:name="_Toc138076673"/>
      <w:bookmarkStart w:id="578" w:name="_Toc138076129"/>
    </w:p>
    <w:p>
      <w:pPr>
        <w:rPr>
          <w:sz w:val="28"/>
        </w:rPr>
      </w:pPr>
      <w:r>
        <w:rPr>
          <w:rFonts w:hint="eastAsia"/>
          <w:sz w:val="28"/>
        </w:rPr>
        <w:br w:type="page"/>
      </w:r>
    </w:p>
    <w:p>
      <w:pPr>
        <w:pStyle w:val="21"/>
        <w:rPr>
          <w:sz w:val="28"/>
        </w:rPr>
      </w:pPr>
      <w:bookmarkStart w:id="579" w:name="_Toc18527"/>
      <w:r>
        <w:rPr>
          <w:rFonts w:hint="eastAsia"/>
          <w:sz w:val="28"/>
        </w:rPr>
        <w:t>园艺植物育种学考核大纲</w:t>
      </w:r>
      <w:bookmarkEnd w:id="577"/>
      <w:bookmarkEnd w:id="578"/>
      <w:bookmarkEnd w:id="579"/>
    </w:p>
    <w:p>
      <w:pPr>
        <w:snapToGrid w:val="0"/>
        <w:spacing w:line="360" w:lineRule="auto"/>
        <w:jc w:val="center"/>
        <w:rPr>
          <w:rFonts w:hint="eastAsia" w:eastAsia="宋体"/>
          <w:sz w:val="24"/>
          <w:lang w:eastAsia="zh-CN"/>
        </w:rPr>
      </w:pPr>
      <w:r>
        <w:rPr>
          <w:rFonts w:hint="eastAsia"/>
          <w:sz w:val="24"/>
          <w:lang w:eastAsia="zh-CN"/>
        </w:rPr>
        <w:t>（</w:t>
      </w:r>
      <w:r>
        <w:rPr>
          <w:rFonts w:hint="eastAsia"/>
          <w:sz w:val="24"/>
        </w:rPr>
        <w:t>Horticultural plant breeding</w:t>
      </w:r>
      <w:r>
        <w:rPr>
          <w:rFonts w:hint="eastAsia"/>
          <w:sz w:val="24"/>
          <w:lang w:eastAsia="zh-CN"/>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课程编号：</w:t>
            </w:r>
            <w:r>
              <w:rPr>
                <w:b/>
                <w:szCs w:val="21"/>
              </w:rPr>
              <w:t>1901</w:t>
            </w:r>
            <w:r>
              <w:rPr>
                <w:rFonts w:hint="eastAsia"/>
                <w:b/>
                <w:szCs w:val="21"/>
              </w:rPr>
              <w:t>1112h</w:t>
            </w:r>
          </w:p>
        </w:tc>
        <w:tc>
          <w:tcPr>
            <w:tcW w:w="1453" w:type="pct"/>
          </w:tcPr>
          <w:p>
            <w:pPr>
              <w:spacing w:line="300" w:lineRule="auto"/>
              <w:rPr>
                <w:rFonts w:hint="default" w:ascii="宋体" w:hAnsi="宋体" w:eastAsia="宋体"/>
                <w:b/>
                <w:bCs/>
                <w:szCs w:val="21"/>
                <w:lang w:val="en-US" w:eastAsia="zh-CN"/>
              </w:rPr>
            </w:pPr>
            <w:r>
              <w:rPr>
                <w:rFonts w:hint="eastAsia" w:ascii="宋体" w:hAnsi="宋体"/>
                <w:b/>
                <w:bCs/>
                <w:szCs w:val="21"/>
              </w:rPr>
              <w:t>课程学时：</w:t>
            </w:r>
            <w:r>
              <w:rPr>
                <w:rFonts w:hint="eastAsia" w:ascii="宋体" w:hAnsi="宋体"/>
                <w:b/>
                <w:bCs/>
                <w:szCs w:val="21"/>
                <w:lang w:val="en-US" w:eastAsia="zh-CN"/>
              </w:rPr>
              <w:t>72</w:t>
            </w:r>
          </w:p>
        </w:tc>
        <w:tc>
          <w:tcPr>
            <w:tcW w:w="1881" w:type="pct"/>
          </w:tcPr>
          <w:p>
            <w:pPr>
              <w:spacing w:line="300" w:lineRule="auto"/>
              <w:rPr>
                <w:rFonts w:hint="default" w:ascii="宋体" w:hAnsi="宋体" w:eastAsia="宋体"/>
                <w:b/>
                <w:bCs/>
                <w:szCs w:val="21"/>
                <w:lang w:val="en-US" w:eastAsia="zh-CN"/>
              </w:rPr>
            </w:pPr>
            <w:r>
              <w:rPr>
                <w:rFonts w:hint="eastAsia" w:ascii="宋体" w:hAnsi="宋体"/>
                <w:b/>
                <w:bCs/>
                <w:szCs w:val="21"/>
              </w:rPr>
              <w:t>课程学分：4</w:t>
            </w:r>
            <w:r>
              <w:rPr>
                <w:rFonts w:hint="eastAsia" w:ascii="宋体" w:hAnsi="宋体"/>
                <w:b/>
                <w:bCs/>
                <w:szCs w:val="21"/>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主撰人：谭彬 贾芝琪</w:t>
            </w:r>
          </w:p>
        </w:tc>
        <w:tc>
          <w:tcPr>
            <w:tcW w:w="1453" w:type="pct"/>
          </w:tcPr>
          <w:p>
            <w:pPr>
              <w:spacing w:line="300" w:lineRule="auto"/>
              <w:rPr>
                <w:rFonts w:ascii="宋体" w:hAnsi="宋体"/>
                <w:b/>
                <w:bCs/>
                <w:szCs w:val="21"/>
              </w:rPr>
            </w:pPr>
            <w:r>
              <w:rPr>
                <w:rFonts w:hint="eastAsia" w:ascii="宋体" w:hAnsi="宋体"/>
                <w:b/>
                <w:bCs/>
                <w:szCs w:val="21"/>
              </w:rPr>
              <w:t>审核人：孙守如 吴国良</w:t>
            </w:r>
          </w:p>
        </w:tc>
        <w:tc>
          <w:tcPr>
            <w:tcW w:w="1881"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宋体" w:hAnsi="宋体" w:cs="宋体"/>
          <w:b/>
          <w:bCs/>
          <w:kern w:val="0"/>
          <w:szCs w:val="21"/>
        </w:rPr>
      </w:pPr>
      <w:bookmarkStart w:id="580" w:name="_Toc138076379"/>
      <w:bookmarkStart w:id="581" w:name="_Toc138070736"/>
      <w:bookmarkStart w:id="582" w:name="_Toc138068437"/>
      <w:bookmarkStart w:id="583" w:name="_Toc138068836"/>
      <w:bookmarkStart w:id="584" w:name="_Toc138070466"/>
      <w:bookmarkStart w:id="585" w:name="_Toc17329"/>
      <w:bookmarkStart w:id="586" w:name="_Toc138076674"/>
      <w:bookmarkStart w:id="587" w:name="_Toc138076130"/>
      <w:r>
        <w:rPr>
          <w:rFonts w:hint="eastAsia" w:ascii="宋体" w:hAnsi="宋体" w:cs="宋体"/>
          <w:b/>
          <w:bCs/>
          <w:kern w:val="0"/>
          <w:szCs w:val="21"/>
        </w:rPr>
        <w:t>一、课程的性质和地位</w:t>
      </w:r>
      <w:bookmarkEnd w:id="580"/>
      <w:bookmarkEnd w:id="581"/>
      <w:bookmarkEnd w:id="582"/>
      <w:bookmarkEnd w:id="583"/>
      <w:bookmarkEnd w:id="584"/>
      <w:bookmarkEnd w:id="585"/>
      <w:bookmarkEnd w:id="586"/>
      <w:bookmarkEnd w:id="587"/>
    </w:p>
    <w:p>
      <w:pPr>
        <w:spacing w:line="360" w:lineRule="auto"/>
        <w:ind w:firstLine="420" w:firstLineChars="200"/>
        <w:rPr>
          <w:rFonts w:ascii="宋体" w:hAnsi="宋体"/>
          <w:szCs w:val="21"/>
        </w:rPr>
      </w:pPr>
      <w:r>
        <w:rPr>
          <w:rFonts w:hint="eastAsia"/>
          <w:kern w:val="0"/>
          <w:szCs w:val="21"/>
        </w:rPr>
        <w:t>《园艺植物育种学》是研究园艺植物品种选育原理和方法、良种繁育原理和方法的科学，本课程是园艺专业的核心课程。</w:t>
      </w:r>
    </w:p>
    <w:p>
      <w:pPr>
        <w:snapToGrid w:val="0"/>
        <w:spacing w:line="360" w:lineRule="auto"/>
        <w:rPr>
          <w:rFonts w:ascii="宋体" w:hAnsi="宋体"/>
          <w:b/>
          <w:szCs w:val="21"/>
        </w:rPr>
      </w:pPr>
      <w:r>
        <w:rPr>
          <w:rFonts w:hint="eastAsia" w:ascii="宋体" w:hAnsi="宋体"/>
          <w:b/>
          <w:szCs w:val="21"/>
        </w:rPr>
        <w:t>二、理论教学部分的考核目标</w:t>
      </w:r>
    </w:p>
    <w:p>
      <w:pPr>
        <w:snapToGrid w:val="0"/>
        <w:spacing w:line="360" w:lineRule="auto"/>
        <w:ind w:firstLine="420" w:firstLineChars="200"/>
        <w:rPr>
          <w:rFonts w:ascii="宋体" w:hAnsi="宋体"/>
          <w:szCs w:val="21"/>
        </w:rPr>
      </w:pPr>
      <w:r>
        <w:rPr>
          <w:rFonts w:hint="eastAsia"/>
          <w:kern w:val="0"/>
          <w:szCs w:val="21"/>
        </w:rPr>
        <w:t>学习本课程的主要目的是使学生系统掌握培育园艺植物新品种的方法和良种繁育的基本措施，掌握不同繁殖途径的园艺植物的育种特点，学会制定培育新品种的方案。主要任务是利用园艺植物丰富的种质资源，培育园艺生产需要的新品种，以满足人民生活、多种用途、美化环境等各方面对园艺生产提出的复杂要求。</w:t>
      </w:r>
    </w:p>
    <w:p>
      <w:pPr>
        <w:snapToGrid w:val="0"/>
        <w:spacing w:line="360" w:lineRule="auto"/>
        <w:ind w:firstLine="103" w:firstLineChars="49"/>
        <w:jc w:val="center"/>
        <w:rPr>
          <w:rFonts w:ascii="宋体" w:hAnsi="宋体"/>
          <w:b/>
          <w:szCs w:val="21"/>
        </w:rPr>
      </w:pPr>
      <w:r>
        <w:rPr>
          <w:rFonts w:hint="eastAsia" w:ascii="宋体" w:hAnsi="宋体"/>
          <w:b/>
          <w:szCs w:val="21"/>
        </w:rPr>
        <w:t>绪 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：了解进化的基本要素，自然进化和人工进化的区别；了解园艺植物育种的发展趋势，园艺植物育种必须主动适应经济体制的改革。</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：园艺植物育种学的任务和内容。</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：品种的概念、类型和良种的作用，</w:t>
      </w:r>
      <w:r>
        <w:rPr>
          <w:rFonts w:hint="eastAsia"/>
          <w:kern w:val="0"/>
          <w:szCs w:val="21"/>
        </w:rPr>
        <w:t>园艺植物繁育方式和授粉习性对遗传变异的影响，</w:t>
      </w:r>
      <w:r>
        <w:rPr>
          <w:kern w:val="0"/>
          <w:szCs w:val="21"/>
        </w:rPr>
        <w:t>园艺植物育种的主要途径</w:t>
      </w:r>
      <w:r>
        <w:rPr>
          <w:rFonts w:hint="eastAsia" w:ascii="宋体" w:hAnsi="宋体"/>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品种的概念、品种的属性、良种的的概念和作用、</w:t>
      </w:r>
      <w:r>
        <w:rPr>
          <w:kern w:val="0"/>
          <w:szCs w:val="21"/>
        </w:rPr>
        <w:t>园艺植物育种的主要途径</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：品种的概念；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：品种的属性、园艺植物育种学的任务和内容；</w:t>
      </w:r>
      <w:r>
        <w:rPr>
          <w:rFonts w:hint="eastAsia"/>
          <w:kern w:val="0"/>
          <w:szCs w:val="21"/>
        </w:rPr>
        <w:t>园艺植物繁育方式和授粉习性对遗传变异的影响；</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：良种的作用；</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szCs w:val="21"/>
        </w:rPr>
        <w:t>园艺植物不同繁育方法和授粉习性的优缺点；</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kern w:val="0"/>
          <w:szCs w:val="21"/>
        </w:rPr>
        <w:t>园艺植物育种的主要途径</w:t>
      </w:r>
      <w:r>
        <w:rPr>
          <w:rFonts w:hint="eastAsia"/>
          <w:kern w:val="0"/>
          <w:szCs w:val="21"/>
        </w:rPr>
        <w:t>。</w:t>
      </w:r>
    </w:p>
    <w:p>
      <w:pPr>
        <w:snapToGrid w:val="0"/>
        <w:spacing w:line="360" w:lineRule="auto"/>
        <w:ind w:firstLine="422" w:firstLineChars="200"/>
        <w:rPr>
          <w:rFonts w:ascii="宋体" w:hAnsi="宋体"/>
          <w:szCs w:val="21"/>
        </w:rPr>
      </w:pPr>
      <w:r>
        <w:rPr>
          <w:rFonts w:hint="eastAsia"/>
          <w:b/>
          <w:kern w:val="0"/>
          <w:szCs w:val="21"/>
        </w:rPr>
        <w:t>6.评价：</w:t>
      </w:r>
      <w:r>
        <w:rPr>
          <w:rFonts w:hint="eastAsia"/>
          <w:kern w:val="0"/>
          <w:szCs w:val="21"/>
        </w:rPr>
        <w:t>园艺植物不同繁育方式在育种中的应用。</w:t>
      </w:r>
    </w:p>
    <w:p>
      <w:pPr>
        <w:pStyle w:val="10"/>
        <w:snapToGrid w:val="0"/>
        <w:spacing w:line="360" w:lineRule="auto"/>
        <w:jc w:val="center"/>
        <w:rPr>
          <w:rFonts w:hAnsi="宋体"/>
          <w:b/>
        </w:rPr>
      </w:pPr>
      <w:r>
        <w:rPr>
          <w:rFonts w:hint="eastAsia"/>
          <w:b/>
          <w:bCs/>
        </w:rPr>
        <w:t>第一章 育种对象和目标</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kern w:val="0"/>
          <w:szCs w:val="21"/>
        </w:rPr>
        <w:t>选择育种对象的依据。</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kern w:val="0"/>
          <w:szCs w:val="21"/>
        </w:rPr>
        <w:t>制订育种目标的主要根据和原则，理解品种的类型及选育特点。</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kern w:val="0"/>
          <w:szCs w:val="21"/>
        </w:rPr>
        <w:t>品种的类型、</w:t>
      </w:r>
      <w:r>
        <w:rPr>
          <w:rFonts w:hint="eastAsia"/>
          <w:szCs w:val="21"/>
        </w:rPr>
        <w:t>园艺植物育种的主要目标性状</w:t>
      </w:r>
      <w:r>
        <w:rPr>
          <w:rFonts w:hint="eastAsia" w:ascii="宋体" w:hAnsi="宋体"/>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kern w:val="0"/>
          <w:szCs w:val="21"/>
        </w:rPr>
        <w:t>品种的类型，</w:t>
      </w:r>
      <w:r>
        <w:rPr>
          <w:rFonts w:hint="eastAsia"/>
          <w:szCs w:val="21"/>
        </w:rPr>
        <w:t>园艺植物育种的主要目标和目标性状</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kern w:val="0"/>
          <w:szCs w:val="21"/>
        </w:rPr>
        <w:t>选择育种对象的依据；</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kern w:val="0"/>
          <w:szCs w:val="21"/>
        </w:rPr>
        <w:t>制订育种目标的主要根据和原则；</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kern w:val="0"/>
          <w:szCs w:val="21"/>
        </w:rPr>
        <w:t>品种的类型及选育特点；</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szCs w:val="21"/>
        </w:rPr>
        <w:t>园艺植物育种的主要目标性状</w:t>
      </w:r>
      <w:r>
        <w:rPr>
          <w:rFonts w:hint="eastAsia" w:ascii="宋体" w:hAnsi="宋体"/>
          <w:szCs w:val="21"/>
        </w:rPr>
        <w:t>；</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rFonts w:hint="eastAsia"/>
          <w:szCs w:val="21"/>
        </w:rPr>
        <w:t>园艺植物育种目标的</w:t>
      </w:r>
      <w:r>
        <w:rPr>
          <w:rFonts w:hint="eastAsia" w:ascii="宋体" w:hAnsi="宋体"/>
          <w:szCs w:val="21"/>
        </w:rPr>
        <w:t>制定；</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ascii="宋体" w:hAnsi="宋体"/>
          <w:szCs w:val="21"/>
        </w:rPr>
        <w:t>育种目标制定的规则。</w:t>
      </w:r>
    </w:p>
    <w:p>
      <w:pPr>
        <w:pStyle w:val="10"/>
        <w:snapToGrid w:val="0"/>
        <w:spacing w:line="360" w:lineRule="auto"/>
        <w:jc w:val="center"/>
        <w:rPr>
          <w:rFonts w:hAnsi="宋体"/>
          <w:b/>
        </w:rPr>
      </w:pPr>
      <w:r>
        <w:rPr>
          <w:rFonts w:hint="eastAsia" w:hAnsi="宋体"/>
          <w:b/>
        </w:rPr>
        <w:t xml:space="preserve">第二章  </w:t>
      </w:r>
      <w:r>
        <w:rPr>
          <w:rFonts w:hint="eastAsia"/>
          <w:b/>
        </w:rPr>
        <w:t>种质资源</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ascii="Times New Roman" w:hAnsi="Times New Roman" w:eastAsia="宋体" w:cs="Times New Roman"/>
          <w:sz w:val="21"/>
          <w:szCs w:val="21"/>
        </w:rPr>
      </w:pPr>
      <w:r>
        <w:rPr>
          <w:rFonts w:hint="eastAsia" w:ascii="宋体" w:hAnsi="宋体" w:eastAsia="宋体" w:cs="Times New Roman"/>
          <w:b/>
          <w:kern w:val="2"/>
          <w:sz w:val="21"/>
          <w:szCs w:val="21"/>
        </w:rPr>
        <w:t>1. 一般了解：</w:t>
      </w:r>
      <w:r>
        <w:rPr>
          <w:rFonts w:hint="eastAsia" w:ascii="Times New Roman" w:hAnsi="Times New Roman" w:eastAsia="宋体" w:cs="Times New Roman"/>
          <w:sz w:val="21"/>
          <w:szCs w:val="21"/>
        </w:rPr>
        <w:t xml:space="preserve">了解园艺植物种质资源在育种工作中的重要作用；我国主要园艺植物种质资源的特点；种质资源调查方案的确定。 </w:t>
      </w:r>
    </w:p>
    <w:p>
      <w:pPr>
        <w:pStyle w:val="20"/>
        <w:wordWrap w:val="0"/>
        <w:spacing w:before="0" w:beforeAutospacing="0" w:after="0" w:afterAutospacing="0" w:line="360" w:lineRule="auto"/>
        <w:ind w:firstLine="422" w:firstLineChars="200"/>
        <w:rPr>
          <w:rFonts w:ascii="Times New Roman" w:hAnsi="Times New Roman" w:eastAsia="宋体" w:cs="Times New Roman"/>
          <w:sz w:val="21"/>
          <w:szCs w:val="21"/>
        </w:rPr>
      </w:pPr>
      <w:r>
        <w:rPr>
          <w:rFonts w:hint="eastAsia" w:ascii="宋体" w:hAnsi="宋体" w:eastAsia="宋体" w:cs="Times New Roman"/>
          <w:b/>
          <w:kern w:val="2"/>
          <w:sz w:val="21"/>
          <w:szCs w:val="21"/>
        </w:rPr>
        <w:t>2. 一般掌握：</w:t>
      </w:r>
      <w:r>
        <w:rPr>
          <w:rFonts w:hint="eastAsia" w:ascii="Times New Roman" w:hAnsi="Times New Roman" w:eastAsia="宋体" w:cs="Times New Roman"/>
          <w:sz w:val="21"/>
          <w:szCs w:val="21"/>
        </w:rPr>
        <w:t>园艺植物种质资源的栽培学分类和综合分类；种质资源调查的方法。掌握园艺植物品种的类别和特点；种质资源研究内容、评价方法利用途径。</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rFonts w:hint="eastAsia"/>
          <w:kern w:val="0"/>
          <w:szCs w:val="21"/>
        </w:rPr>
        <w:t>明确种植资源的研究内容和种质资源保存的方法。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kern w:val="0"/>
          <w:szCs w:val="21"/>
        </w:rPr>
        <w:t>种质的概念、种质资源的类型、保存的方法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kern w:val="0"/>
          <w:szCs w:val="21"/>
        </w:rPr>
        <w:t>园艺植物种质资源的栽培学分类和综合分类；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kern w:val="0"/>
          <w:szCs w:val="21"/>
        </w:rPr>
        <w:t>园艺植物种质资源在育种工作中的重要作用；</w:t>
      </w:r>
    </w:p>
    <w:p>
      <w:pPr>
        <w:snapToGrid w:val="0"/>
        <w:spacing w:line="360" w:lineRule="auto"/>
        <w:ind w:firstLine="422" w:firstLineChars="200"/>
        <w:rPr>
          <w:kern w:val="0"/>
          <w:szCs w:val="21"/>
        </w:rPr>
      </w:pPr>
      <w:r>
        <w:rPr>
          <w:rFonts w:hint="eastAsia" w:ascii="宋体" w:hAnsi="宋体"/>
          <w:b/>
          <w:szCs w:val="21"/>
        </w:rPr>
        <w:t>3.应用：</w:t>
      </w:r>
      <w:r>
        <w:rPr>
          <w:rFonts w:hint="eastAsia" w:ascii="宋体" w:hAnsi="宋体"/>
          <w:bCs/>
          <w:szCs w:val="21"/>
        </w:rPr>
        <w:t>种</w:t>
      </w:r>
      <w:r>
        <w:rPr>
          <w:rFonts w:hint="eastAsia"/>
          <w:kern w:val="0"/>
          <w:szCs w:val="21"/>
        </w:rPr>
        <w:t>质资源研究内容、评价方法利用途径；</w:t>
      </w:r>
    </w:p>
    <w:p>
      <w:pPr>
        <w:snapToGrid w:val="0"/>
        <w:spacing w:line="360" w:lineRule="auto"/>
        <w:ind w:firstLine="422" w:firstLineChars="200"/>
        <w:rPr>
          <w:rFonts w:ascii="宋体" w:hAnsi="宋体"/>
          <w:szCs w:val="21"/>
        </w:rPr>
      </w:pPr>
      <w:r>
        <w:rPr>
          <w:rFonts w:hint="eastAsia"/>
          <w:b/>
          <w:kern w:val="0"/>
          <w:szCs w:val="21"/>
        </w:rPr>
        <w:t>4.分析：</w:t>
      </w:r>
      <w:r>
        <w:rPr>
          <w:rFonts w:hint="eastAsia"/>
          <w:kern w:val="0"/>
          <w:szCs w:val="21"/>
        </w:rPr>
        <w:t>园艺植物种质资源的特点；</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rFonts w:hint="eastAsia"/>
          <w:kern w:val="0"/>
          <w:szCs w:val="21"/>
        </w:rPr>
        <w:t>种质资源保存的方法；</w:t>
      </w:r>
    </w:p>
    <w:p>
      <w:pPr>
        <w:snapToGrid w:val="0"/>
        <w:spacing w:line="360" w:lineRule="auto"/>
        <w:ind w:firstLine="422" w:firstLineChars="200"/>
        <w:rPr>
          <w:rFonts w:ascii="宋体" w:hAnsi="宋体"/>
          <w:szCs w:val="21"/>
        </w:rPr>
      </w:pPr>
      <w:r>
        <w:rPr>
          <w:rFonts w:hint="eastAsia"/>
          <w:b/>
          <w:kern w:val="0"/>
          <w:szCs w:val="21"/>
        </w:rPr>
        <w:t>6.评价：</w:t>
      </w:r>
      <w:r>
        <w:rPr>
          <w:rFonts w:hint="eastAsia"/>
          <w:kern w:val="0"/>
          <w:szCs w:val="21"/>
        </w:rPr>
        <w:t>种质资源利用途径。</w:t>
      </w:r>
    </w:p>
    <w:p>
      <w:pPr>
        <w:pStyle w:val="10"/>
        <w:snapToGrid w:val="0"/>
        <w:spacing w:line="360" w:lineRule="auto"/>
        <w:jc w:val="center"/>
        <w:rPr>
          <w:rFonts w:hAnsi="宋体"/>
          <w:b/>
        </w:rPr>
      </w:pPr>
      <w:r>
        <w:rPr>
          <w:rFonts w:hint="eastAsia"/>
          <w:b/>
          <w:bCs/>
        </w:rPr>
        <w:t>第三章  引种</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ascii="宋体" w:hAnsi="宋体" w:eastAsia="宋体" w:cs="Times New Roman"/>
          <w:kern w:val="2"/>
          <w:sz w:val="21"/>
          <w:szCs w:val="21"/>
        </w:rPr>
      </w:pPr>
      <w:r>
        <w:rPr>
          <w:rFonts w:hint="eastAsia" w:ascii="宋体" w:hAnsi="宋体" w:eastAsia="宋体" w:cs="Times New Roman"/>
          <w:b/>
          <w:kern w:val="2"/>
          <w:sz w:val="21"/>
          <w:szCs w:val="21"/>
        </w:rPr>
        <w:t>1. 一般了解：</w:t>
      </w:r>
      <w:r>
        <w:rPr>
          <w:rFonts w:hint="eastAsia" w:asciiTheme="minorEastAsia" w:hAnsiTheme="minorEastAsia" w:eastAsiaTheme="minorEastAsia"/>
          <w:sz w:val="21"/>
          <w:szCs w:val="21"/>
        </w:rPr>
        <w:t>理解引种驯化的遗传学原理和生态学原理，影响引种效果的因素；</w:t>
      </w:r>
    </w:p>
    <w:p>
      <w:pPr>
        <w:pStyle w:val="20"/>
        <w:wordWrap w:val="0"/>
        <w:spacing w:before="0" w:beforeAutospacing="0" w:after="0" w:afterAutospacing="0" w:line="360" w:lineRule="auto"/>
        <w:ind w:firstLine="422" w:firstLineChars="200"/>
        <w:rPr>
          <w:rFonts w:ascii="宋体" w:hAnsi="宋体"/>
          <w:sz w:val="21"/>
          <w:szCs w:val="21"/>
        </w:rPr>
      </w:pPr>
      <w:r>
        <w:rPr>
          <w:rFonts w:hint="eastAsia" w:ascii="宋体" w:hAnsi="宋体"/>
          <w:b/>
          <w:sz w:val="21"/>
          <w:szCs w:val="21"/>
        </w:rPr>
        <w:t xml:space="preserve">2. </w:t>
      </w:r>
      <w:r>
        <w:rPr>
          <w:rFonts w:hint="eastAsia" w:asciiTheme="minorEastAsia" w:hAnsiTheme="minorEastAsia" w:eastAsiaTheme="minorEastAsia"/>
          <w:b/>
          <w:sz w:val="21"/>
          <w:szCs w:val="21"/>
        </w:rPr>
        <w:t>一般掌握</w:t>
      </w:r>
      <w:r>
        <w:rPr>
          <w:rFonts w:hint="eastAsia" w:asciiTheme="minorEastAsia" w:hAnsiTheme="minorEastAsia" w:eastAsiaTheme="minorEastAsia"/>
          <w:sz w:val="21"/>
          <w:szCs w:val="21"/>
        </w:rPr>
        <w:t>：引种驯化的遗传学原理和生态学原理</w:t>
      </w:r>
      <w:r>
        <w:rPr>
          <w:rFonts w:hint="eastAsia" w:cs="Times New Roman" w:asciiTheme="minorEastAsia" w:hAnsiTheme="minorEastAsia" w:eastAsiaTheme="minorEastAsia"/>
          <w:sz w:val="21"/>
          <w:szCs w:val="21"/>
        </w:rPr>
        <w:t>；</w:t>
      </w:r>
      <w:r>
        <w:rPr>
          <w:rFonts w:hint="eastAsia" w:ascii="Times New Roman" w:hAnsi="Times New Roman" w:eastAsia="宋体" w:cs="Times New Roman"/>
          <w:sz w:val="21"/>
          <w:szCs w:val="21"/>
        </w:rPr>
        <w:t xml:space="preserve"> </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rFonts w:hint="eastAsia"/>
          <w:kern w:val="0"/>
          <w:szCs w:val="21"/>
        </w:rPr>
        <w:t>引种的类型、原则和方法，简单</w:t>
      </w:r>
      <w:r>
        <w:rPr>
          <w:kern w:val="0"/>
          <w:szCs w:val="21"/>
        </w:rPr>
        <w:t>引种和</w:t>
      </w:r>
      <w:r>
        <w:rPr>
          <w:rFonts w:hint="eastAsia"/>
          <w:kern w:val="0"/>
          <w:szCs w:val="21"/>
        </w:rPr>
        <w:t>驯化</w:t>
      </w:r>
      <w:r>
        <w:rPr>
          <w:kern w:val="0"/>
          <w:szCs w:val="21"/>
        </w:rPr>
        <w:t>引种的异同</w:t>
      </w:r>
      <w:r>
        <w:rPr>
          <w:rFonts w:hint="eastAsia"/>
          <w:kern w:val="0"/>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kern w:val="0"/>
          <w:szCs w:val="21"/>
        </w:rPr>
        <w:t>引种的类型、原则和方法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kern w:val="0"/>
          <w:szCs w:val="21"/>
        </w:rPr>
        <w:t>引种的类型；</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kern w:val="0"/>
          <w:szCs w:val="21"/>
        </w:rPr>
        <w:t>引种驯化的遗传学原理和生态学原理；</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kern w:val="0"/>
          <w:szCs w:val="21"/>
        </w:rPr>
        <w:t>引种驯化的方法；</w:t>
      </w:r>
    </w:p>
    <w:p>
      <w:pPr>
        <w:snapToGrid w:val="0"/>
        <w:spacing w:line="360" w:lineRule="auto"/>
        <w:ind w:firstLine="422" w:firstLineChars="200"/>
        <w:rPr>
          <w:rFonts w:ascii="宋体" w:hAnsi="宋体"/>
          <w:b/>
          <w:szCs w:val="21"/>
        </w:rPr>
      </w:pPr>
      <w:r>
        <w:rPr>
          <w:rFonts w:hint="eastAsia" w:ascii="宋体" w:hAnsi="宋体"/>
          <w:b/>
          <w:szCs w:val="21"/>
        </w:rPr>
        <w:t>4.分析：</w:t>
      </w:r>
      <w:r>
        <w:rPr>
          <w:kern w:val="0"/>
          <w:szCs w:val="21"/>
        </w:rPr>
        <w:t>引种成功的标准。</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kern w:val="0"/>
          <w:szCs w:val="21"/>
        </w:rPr>
        <w:t>引种计划的制定</w:t>
      </w:r>
      <w:r>
        <w:rPr>
          <w:rFonts w:hint="eastAsia"/>
          <w:kern w:val="0"/>
          <w:szCs w:val="21"/>
        </w:rPr>
        <w:t>；</w:t>
      </w:r>
    </w:p>
    <w:p>
      <w:pPr>
        <w:snapToGrid w:val="0"/>
        <w:spacing w:line="360" w:lineRule="auto"/>
        <w:ind w:firstLine="422" w:firstLineChars="200"/>
        <w:rPr>
          <w:rFonts w:ascii="宋体" w:hAnsi="宋体"/>
          <w:szCs w:val="21"/>
        </w:rPr>
      </w:pPr>
      <w:r>
        <w:rPr>
          <w:rFonts w:hint="eastAsia"/>
          <w:b/>
          <w:kern w:val="0"/>
          <w:szCs w:val="21"/>
        </w:rPr>
        <w:t>6.评价：</w:t>
      </w:r>
      <w:r>
        <w:rPr>
          <w:rFonts w:hint="eastAsia"/>
          <w:kern w:val="0"/>
          <w:szCs w:val="21"/>
        </w:rPr>
        <w:t>引种是否成功。</w:t>
      </w:r>
    </w:p>
    <w:p>
      <w:pPr>
        <w:pStyle w:val="10"/>
        <w:snapToGrid w:val="0"/>
        <w:spacing w:line="360" w:lineRule="auto"/>
        <w:jc w:val="center"/>
        <w:rPr>
          <w:b/>
          <w:bCs/>
        </w:rPr>
      </w:pPr>
    </w:p>
    <w:p>
      <w:pPr>
        <w:pStyle w:val="10"/>
        <w:snapToGrid w:val="0"/>
        <w:spacing w:line="360" w:lineRule="auto"/>
        <w:jc w:val="center"/>
        <w:rPr>
          <w:b/>
          <w:bCs/>
        </w:rPr>
      </w:pPr>
    </w:p>
    <w:p>
      <w:pPr>
        <w:pStyle w:val="10"/>
        <w:snapToGrid w:val="0"/>
        <w:spacing w:line="360" w:lineRule="auto"/>
        <w:jc w:val="center"/>
        <w:rPr>
          <w:rFonts w:hAnsi="宋体"/>
          <w:b/>
        </w:rPr>
      </w:pPr>
      <w:r>
        <w:rPr>
          <w:rFonts w:hint="eastAsia"/>
          <w:b/>
          <w:bCs/>
        </w:rPr>
        <w:t>第四章  选择育种</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ascii="Times New Roman" w:hAnsi="Times New Roman" w:eastAsia="宋体" w:cs="Times New Roman"/>
          <w:sz w:val="21"/>
          <w:szCs w:val="21"/>
        </w:rPr>
      </w:pPr>
      <w:r>
        <w:rPr>
          <w:rFonts w:hint="eastAsia" w:ascii="宋体" w:hAnsi="宋体" w:eastAsia="宋体" w:cs="Times New Roman"/>
          <w:b/>
          <w:kern w:val="2"/>
          <w:sz w:val="21"/>
          <w:szCs w:val="21"/>
        </w:rPr>
        <w:t>1.</w:t>
      </w:r>
      <w:r>
        <w:rPr>
          <w:rFonts w:hint="eastAsia" w:ascii="Times New Roman" w:hAnsi="Times New Roman" w:eastAsia="宋体" w:cs="Times New Roman"/>
          <w:b/>
          <w:bCs/>
          <w:sz w:val="21"/>
          <w:szCs w:val="21"/>
        </w:rPr>
        <w:t>一般了解</w:t>
      </w:r>
      <w:r>
        <w:rPr>
          <w:rFonts w:hint="eastAsia" w:ascii="Times New Roman" w:hAnsi="Times New Roman" w:eastAsia="宋体" w:cs="Times New Roman"/>
          <w:sz w:val="21"/>
          <w:szCs w:val="21"/>
        </w:rPr>
        <w:t>：了解</w:t>
      </w:r>
      <w:r>
        <w:rPr>
          <w:rFonts w:ascii="Times New Roman" w:hAnsi="Times New Roman" w:eastAsia="宋体" w:cs="Times New Roman"/>
          <w:sz w:val="21"/>
          <w:szCs w:val="21"/>
        </w:rPr>
        <w:t>自然选择和人工选择的概念和作用；选择育种的重要作用。</w:t>
      </w:r>
    </w:p>
    <w:p>
      <w:pPr>
        <w:pStyle w:val="20"/>
        <w:wordWrap w:val="0"/>
        <w:spacing w:before="0" w:beforeAutospacing="0" w:after="0" w:afterAutospacing="0" w:line="360" w:lineRule="auto"/>
        <w:ind w:firstLine="422" w:firstLineChars="200"/>
        <w:rPr>
          <w:rFonts w:ascii="宋体" w:hAnsi="宋体"/>
          <w:sz w:val="21"/>
          <w:szCs w:val="21"/>
        </w:rPr>
      </w:pPr>
      <w:r>
        <w:rPr>
          <w:rFonts w:hint="eastAsia" w:ascii="宋体" w:hAnsi="宋体" w:eastAsia="宋体"/>
          <w:b/>
          <w:sz w:val="21"/>
          <w:szCs w:val="21"/>
        </w:rPr>
        <w:t>2.</w:t>
      </w:r>
      <w:r>
        <w:rPr>
          <w:rFonts w:hint="eastAsia" w:ascii="宋体" w:hAnsi="宋体"/>
          <w:b/>
          <w:sz w:val="21"/>
          <w:szCs w:val="21"/>
        </w:rPr>
        <w:t>一般掌握</w:t>
      </w:r>
      <w:r>
        <w:rPr>
          <w:rFonts w:hint="eastAsia" w:ascii="宋体" w:hAnsi="宋体"/>
          <w:sz w:val="21"/>
          <w:szCs w:val="21"/>
        </w:rPr>
        <w:t>：</w:t>
      </w:r>
      <w:r>
        <w:rPr>
          <w:rFonts w:cs="Times New Roman" w:asciiTheme="minorEastAsia" w:hAnsiTheme="minorEastAsia" w:eastAsiaTheme="minorEastAsia"/>
          <w:sz w:val="21"/>
          <w:szCs w:val="21"/>
        </w:rPr>
        <w:t>有性繁殖植物选择育种的方法；提高有性繁殖植物选择效果的措施；无性繁殖植物的选择育种的类别；芽变选种的程序。</w:t>
      </w:r>
      <w:r>
        <w:rPr>
          <w:rFonts w:hint="eastAsia" w:ascii="Times New Roman" w:hAnsi="Times New Roman" w:eastAsia="宋体" w:cs="Times New Roman"/>
          <w:sz w:val="21"/>
          <w:szCs w:val="21"/>
        </w:rPr>
        <w:t xml:space="preserve"> </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kern w:val="0"/>
          <w:szCs w:val="21"/>
        </w:rPr>
        <w:t>有性繁殖植物选择育种的方法；芽变选种的程序</w:t>
      </w:r>
      <w:r>
        <w:rPr>
          <w:rFonts w:hint="eastAsia"/>
          <w:kern w:val="0"/>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kern w:val="0"/>
          <w:szCs w:val="21"/>
        </w:rPr>
        <w:t>芽变</w:t>
      </w:r>
      <w:r>
        <w:rPr>
          <w:rFonts w:hint="eastAsia"/>
          <w:kern w:val="0"/>
          <w:szCs w:val="21"/>
        </w:rPr>
        <w:t>的概念、</w:t>
      </w:r>
      <w:r>
        <w:rPr>
          <w:kern w:val="0"/>
          <w:szCs w:val="21"/>
        </w:rPr>
        <w:t>芽变的遗传学和细胞学基础</w:t>
      </w:r>
      <w:r>
        <w:rPr>
          <w:rFonts w:hint="eastAsia"/>
          <w:kern w:val="0"/>
          <w:szCs w:val="21"/>
        </w:rPr>
        <w:t>、</w:t>
      </w:r>
      <w:r>
        <w:rPr>
          <w:kern w:val="0"/>
          <w:szCs w:val="21"/>
        </w:rPr>
        <w:t>有性繁殖植物选择育种的方法；芽变选种的程序</w:t>
      </w:r>
      <w:r>
        <w:rPr>
          <w:rFonts w:hint="eastAsia"/>
          <w:kern w:val="0"/>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kern w:val="0"/>
          <w:szCs w:val="21"/>
        </w:rPr>
        <w:t>选择育种的概念；选择标准的制定原则；性状选择的方法；提高有性繁殖植物选择效果的措施</w:t>
      </w:r>
      <w:r>
        <w:rPr>
          <w:rFonts w:hint="eastAsia"/>
          <w:kern w:val="0"/>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kern w:val="0"/>
          <w:szCs w:val="21"/>
        </w:rPr>
        <w:t>有性繁殖植物选择育种的方法；</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kern w:val="0"/>
          <w:szCs w:val="21"/>
        </w:rPr>
        <w:t>芽变选种的程序</w:t>
      </w:r>
      <w:r>
        <w:rPr>
          <w:rFonts w:hint="eastAsia"/>
          <w:kern w:val="0"/>
          <w:szCs w:val="21"/>
        </w:rPr>
        <w:t>；</w:t>
      </w:r>
    </w:p>
    <w:p>
      <w:pPr>
        <w:snapToGrid w:val="0"/>
        <w:spacing w:line="360" w:lineRule="auto"/>
        <w:ind w:firstLine="422" w:firstLineChars="200"/>
        <w:rPr>
          <w:rFonts w:ascii="宋体" w:hAnsi="宋体"/>
          <w:b/>
          <w:szCs w:val="21"/>
        </w:rPr>
      </w:pPr>
      <w:r>
        <w:rPr>
          <w:rFonts w:hint="eastAsia" w:ascii="宋体" w:hAnsi="宋体"/>
          <w:b/>
          <w:szCs w:val="21"/>
        </w:rPr>
        <w:t>4.分析：</w:t>
      </w:r>
      <w:r>
        <w:rPr>
          <w:kern w:val="0"/>
          <w:szCs w:val="21"/>
        </w:rPr>
        <w:t>芽变的遗传学和细胞学基础</w:t>
      </w:r>
      <w:r>
        <w:rPr>
          <w:rFonts w:hint="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kern w:val="0"/>
          <w:szCs w:val="21"/>
        </w:rPr>
        <w:t>加速有性繁殖植物选种进程的措施</w:t>
      </w:r>
      <w:r>
        <w:rPr>
          <w:rFonts w:hint="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ascii="宋体" w:hAnsi="宋体"/>
          <w:szCs w:val="21"/>
        </w:rPr>
        <w:t>芽变在园艺植物育种中的应用。</w:t>
      </w:r>
    </w:p>
    <w:p>
      <w:pPr>
        <w:pStyle w:val="10"/>
        <w:snapToGrid w:val="0"/>
        <w:spacing w:line="360" w:lineRule="auto"/>
        <w:jc w:val="center"/>
        <w:rPr>
          <w:rFonts w:hAnsi="宋体"/>
          <w:b/>
        </w:rPr>
      </w:pPr>
      <w:r>
        <w:rPr>
          <w:rFonts w:hint="eastAsia"/>
          <w:b/>
          <w:bCs/>
        </w:rPr>
        <w:t xml:space="preserve">第五章  </w:t>
      </w:r>
      <w:r>
        <w:rPr>
          <w:rFonts w:hint="eastAsia"/>
          <w:b/>
        </w:rPr>
        <w:t>常规杂交育种</w:t>
      </w:r>
    </w:p>
    <w:p>
      <w:pPr>
        <w:snapToGrid w:val="0"/>
        <w:spacing w:line="360" w:lineRule="auto"/>
        <w:rPr>
          <w:rFonts w:ascii="宋体" w:hAnsi="宋体"/>
          <w:b/>
          <w:szCs w:val="21"/>
        </w:rPr>
      </w:pPr>
      <w:r>
        <w:rPr>
          <w:rFonts w:hint="eastAsia" w:ascii="宋体" w:hAnsi="宋体"/>
          <w:b/>
          <w:szCs w:val="21"/>
        </w:rPr>
        <w:t>（一）学习目标</w:t>
      </w:r>
    </w:p>
    <w:p>
      <w:pPr>
        <w:pStyle w:val="20"/>
        <w:spacing w:before="0" w:beforeAutospacing="0" w:after="0" w:afterAutospacing="0" w:line="360" w:lineRule="auto"/>
        <w:ind w:firstLine="422" w:firstLineChars="200"/>
        <w:rPr>
          <w:rFonts w:ascii="宋体" w:hAnsi="宋体" w:eastAsia="宋体" w:cs="Times New Roman"/>
          <w:kern w:val="2"/>
          <w:sz w:val="21"/>
          <w:szCs w:val="21"/>
        </w:rPr>
      </w:pPr>
      <w:r>
        <w:rPr>
          <w:rFonts w:hint="eastAsia" w:ascii="宋体" w:hAnsi="宋体" w:eastAsia="宋体" w:cs="Times New Roman"/>
          <w:b/>
          <w:kern w:val="2"/>
          <w:sz w:val="21"/>
          <w:szCs w:val="21"/>
        </w:rPr>
        <w:t>1. 一般了解：</w:t>
      </w:r>
      <w:r>
        <w:rPr>
          <w:rFonts w:asciiTheme="minorEastAsia" w:hAnsiTheme="minorEastAsia" w:eastAsiaTheme="minorEastAsia"/>
          <w:sz w:val="21"/>
          <w:szCs w:val="21"/>
        </w:rPr>
        <w:t>了解</w:t>
      </w:r>
      <w:r>
        <w:rPr>
          <w:rFonts w:hint="eastAsia" w:asciiTheme="minorEastAsia" w:hAnsiTheme="minorEastAsia" w:eastAsiaTheme="minorEastAsia"/>
          <w:sz w:val="21"/>
          <w:szCs w:val="21"/>
        </w:rPr>
        <w:t>常规杂交育种的重要性。</w:t>
      </w:r>
    </w:p>
    <w:p>
      <w:pPr>
        <w:pStyle w:val="20"/>
        <w:spacing w:before="0" w:beforeAutospacing="0" w:after="0" w:afterAutospacing="0" w:line="360" w:lineRule="auto"/>
        <w:ind w:firstLine="422" w:firstLineChars="200"/>
        <w:rPr>
          <w:rFonts w:ascii="宋体" w:hAnsi="宋体"/>
          <w:sz w:val="21"/>
          <w:szCs w:val="21"/>
        </w:rPr>
      </w:pPr>
      <w:r>
        <w:rPr>
          <w:rFonts w:hint="eastAsia" w:ascii="宋体" w:hAnsi="宋体" w:eastAsia="宋体" w:cs="Times New Roman"/>
          <w:b/>
          <w:kern w:val="2"/>
          <w:sz w:val="21"/>
          <w:szCs w:val="21"/>
        </w:rPr>
        <w:t>2. 一般掌握：</w:t>
      </w:r>
      <w:r>
        <w:rPr>
          <w:rFonts w:hint="eastAsia" w:asciiTheme="minorEastAsia" w:hAnsiTheme="minorEastAsia" w:eastAsiaTheme="minorEastAsia"/>
          <w:sz w:val="21"/>
          <w:szCs w:val="21"/>
        </w:rPr>
        <w:t>加速育种进程的方法，杂交育种遗传学的原理和效应；回交的遗传效应；不同繁殖授粉习性植物的育种特点。</w:t>
      </w:r>
      <w:r>
        <w:rPr>
          <w:rFonts w:hint="eastAsia" w:ascii="Times New Roman" w:hAnsi="Times New Roman" w:eastAsia="宋体" w:cs="Times New Roman"/>
          <w:sz w:val="21"/>
          <w:szCs w:val="21"/>
        </w:rPr>
        <w:t xml:space="preserve"> </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kern w:val="0"/>
          <w:szCs w:val="21"/>
        </w:rPr>
        <w:t>杂交亲本的选择和选配原则</w:t>
      </w:r>
      <w:r>
        <w:rPr>
          <w:rFonts w:hint="eastAsia"/>
          <w:kern w:val="0"/>
          <w:szCs w:val="21"/>
        </w:rPr>
        <w:t>，</w:t>
      </w:r>
      <w:r>
        <w:rPr>
          <w:kern w:val="0"/>
          <w:szCs w:val="21"/>
        </w:rPr>
        <w:t>有性杂交技术</w:t>
      </w:r>
      <w:r>
        <w:rPr>
          <w:rFonts w:hint="eastAsia"/>
          <w:kern w:val="0"/>
          <w:szCs w:val="21"/>
        </w:rPr>
        <w:t>流程和</w:t>
      </w:r>
      <w:r>
        <w:rPr>
          <w:kern w:val="0"/>
          <w:szCs w:val="21"/>
        </w:rPr>
        <w:t>杂种</w:t>
      </w:r>
      <w:r>
        <w:rPr>
          <w:rFonts w:hint="eastAsia"/>
          <w:kern w:val="0"/>
          <w:szCs w:val="21"/>
        </w:rPr>
        <w:t>后代的选择方法；理解回交育种的遗传效应及应用。</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kern w:val="0"/>
          <w:szCs w:val="21"/>
        </w:rPr>
      </w:pPr>
      <w:r>
        <w:rPr>
          <w:rFonts w:hint="eastAsia"/>
          <w:kern w:val="0"/>
          <w:szCs w:val="21"/>
        </w:rPr>
        <w:t>杂交、常规杂交育种、自交、近缘杂交、远缘杂交、两亲杂交、多亲杂交、添加杂交、合成杂交、多父本杂交、单交、回交、</w:t>
      </w:r>
      <w:r>
        <w:rPr>
          <w:kern w:val="0"/>
          <w:szCs w:val="21"/>
        </w:rPr>
        <w:t>常规</w:t>
      </w:r>
      <w:r>
        <w:rPr>
          <w:rFonts w:hint="eastAsia"/>
          <w:kern w:val="0"/>
          <w:szCs w:val="21"/>
        </w:rPr>
        <w:t>杂交</w:t>
      </w:r>
      <w:r>
        <w:rPr>
          <w:kern w:val="0"/>
          <w:szCs w:val="21"/>
        </w:rPr>
        <w:t>育种、</w:t>
      </w:r>
      <w:r>
        <w:rPr>
          <w:rFonts w:hint="eastAsia"/>
          <w:kern w:val="0"/>
          <w:szCs w:val="21"/>
        </w:rPr>
        <w:t>轮回亲本、非轮回亲本、</w:t>
      </w:r>
      <w:r>
        <w:rPr>
          <w:kern w:val="0"/>
          <w:szCs w:val="21"/>
        </w:rPr>
        <w:t>一般配合力、特殊配合力、</w:t>
      </w:r>
      <w:r>
        <w:rPr>
          <w:rFonts w:hint="eastAsia"/>
          <w:kern w:val="0"/>
          <w:szCs w:val="21"/>
        </w:rPr>
        <w:t>系谱法、混合法、单子传代法的概念</w:t>
      </w:r>
      <w:r>
        <w:rPr>
          <w:kern w:val="0"/>
          <w:szCs w:val="21"/>
        </w:rPr>
        <w:t>；杂交亲本的选择和选配原则；有性杂交技术</w:t>
      </w:r>
      <w:r>
        <w:rPr>
          <w:rFonts w:hint="eastAsia"/>
          <w:kern w:val="0"/>
          <w:szCs w:val="21"/>
        </w:rPr>
        <w:t>流程</w:t>
      </w:r>
      <w:r>
        <w:rPr>
          <w:kern w:val="0"/>
          <w:szCs w:val="21"/>
        </w:rPr>
        <w:t>；杂种</w:t>
      </w:r>
      <w:r>
        <w:rPr>
          <w:rFonts w:hint="eastAsia"/>
          <w:kern w:val="0"/>
          <w:szCs w:val="21"/>
        </w:rPr>
        <w:t>后代的选择方法</w:t>
      </w:r>
      <w:r>
        <w:rPr>
          <w:kern w:val="0"/>
          <w:szCs w:val="21"/>
        </w:rPr>
        <w:t>；杂种</w:t>
      </w:r>
      <w:r>
        <w:rPr>
          <w:rFonts w:hint="eastAsia"/>
          <w:kern w:val="0"/>
          <w:szCs w:val="21"/>
        </w:rPr>
        <w:t>后代的选择方法的优缺点；加速育种进程的方法。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kern w:val="0"/>
          <w:szCs w:val="21"/>
        </w:rPr>
        <w:t>杂交、常规杂交育种、自交、近缘杂交、远缘杂交、两亲杂交、多亲杂交、添加杂交、合成杂交、多父本杂交、单交、回交、</w:t>
      </w:r>
      <w:r>
        <w:rPr>
          <w:kern w:val="0"/>
          <w:szCs w:val="21"/>
        </w:rPr>
        <w:t>常规</w:t>
      </w:r>
      <w:r>
        <w:rPr>
          <w:rFonts w:hint="eastAsia"/>
          <w:kern w:val="0"/>
          <w:szCs w:val="21"/>
        </w:rPr>
        <w:t>杂交</w:t>
      </w:r>
      <w:r>
        <w:rPr>
          <w:kern w:val="0"/>
          <w:szCs w:val="21"/>
        </w:rPr>
        <w:t>育种、</w:t>
      </w:r>
      <w:r>
        <w:rPr>
          <w:rFonts w:hint="eastAsia"/>
          <w:kern w:val="0"/>
          <w:szCs w:val="21"/>
        </w:rPr>
        <w:t>轮回亲本、非轮回亲本、</w:t>
      </w:r>
      <w:r>
        <w:rPr>
          <w:kern w:val="0"/>
          <w:szCs w:val="21"/>
        </w:rPr>
        <w:t>一般配合力、特殊配合力</w:t>
      </w:r>
      <w:r>
        <w:rPr>
          <w:rFonts w:hint="eastAsia"/>
          <w:kern w:val="0"/>
          <w:szCs w:val="21"/>
        </w:rPr>
        <w:t>的概念；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：杂交后代的选择方法及程序：</w:t>
      </w:r>
      <w:r>
        <w:rPr>
          <w:rFonts w:hint="eastAsia"/>
          <w:kern w:val="0"/>
          <w:szCs w:val="21"/>
        </w:rPr>
        <w:t>系谱法、混合法、单子传代法；</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kern w:val="0"/>
          <w:szCs w:val="21"/>
        </w:rPr>
        <w:t>加速育种进程的方法，杂交育种遗传学的原理和效应；</w:t>
      </w:r>
    </w:p>
    <w:p>
      <w:pPr>
        <w:snapToGrid w:val="0"/>
        <w:spacing w:line="360" w:lineRule="auto"/>
        <w:ind w:firstLine="422" w:firstLineChars="200"/>
        <w:rPr>
          <w:rFonts w:ascii="宋体" w:hAnsi="宋体"/>
          <w:b/>
          <w:szCs w:val="21"/>
        </w:rPr>
      </w:pPr>
      <w:r>
        <w:rPr>
          <w:rFonts w:hint="eastAsia" w:ascii="宋体" w:hAnsi="宋体"/>
          <w:b/>
          <w:szCs w:val="21"/>
        </w:rPr>
        <w:t>4.分析：</w:t>
      </w:r>
      <w:r>
        <w:rPr>
          <w:kern w:val="0"/>
          <w:szCs w:val="21"/>
        </w:rPr>
        <w:t>杂交亲本的选择和选配原则</w:t>
      </w:r>
      <w:r>
        <w:rPr>
          <w:rFonts w:hint="eastAsia"/>
          <w:kern w:val="0"/>
          <w:szCs w:val="21"/>
        </w:rPr>
        <w:t>，不同繁殖授粉习性植物的育种特点；</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kern w:val="0"/>
          <w:szCs w:val="21"/>
        </w:rPr>
        <w:t>有性杂交技术</w:t>
      </w:r>
      <w:r>
        <w:rPr>
          <w:rFonts w:hint="eastAsia"/>
          <w:kern w:val="0"/>
          <w:szCs w:val="21"/>
        </w:rPr>
        <w:t>流程；理解回交育种的遗传效应及应用；</w:t>
      </w:r>
    </w:p>
    <w:p>
      <w:pPr>
        <w:snapToGrid w:val="0"/>
        <w:spacing w:line="360" w:lineRule="auto"/>
        <w:ind w:firstLine="422" w:firstLineChars="200"/>
        <w:rPr>
          <w:kern w:val="0"/>
          <w:szCs w:val="21"/>
        </w:rPr>
      </w:pPr>
      <w:r>
        <w:rPr>
          <w:rFonts w:hint="eastAsia" w:ascii="宋体" w:hAnsi="宋体"/>
          <w:b/>
          <w:szCs w:val="21"/>
        </w:rPr>
        <w:t>6.评价：</w:t>
      </w:r>
      <w:r>
        <w:rPr>
          <w:rFonts w:hint="eastAsia" w:ascii="宋体" w:hAnsi="宋体"/>
          <w:bCs/>
          <w:szCs w:val="21"/>
        </w:rPr>
        <w:t>常</w:t>
      </w:r>
      <w:r>
        <w:rPr>
          <w:rFonts w:hint="eastAsia"/>
          <w:kern w:val="0"/>
          <w:szCs w:val="21"/>
        </w:rPr>
        <w:t>规杂交育种杂种后代选择方法。</w:t>
      </w:r>
    </w:p>
    <w:p>
      <w:pPr>
        <w:pStyle w:val="10"/>
        <w:snapToGrid w:val="0"/>
        <w:spacing w:line="360" w:lineRule="auto"/>
        <w:jc w:val="center"/>
        <w:rPr>
          <w:rFonts w:hAnsi="宋体"/>
          <w:b/>
        </w:rPr>
      </w:pPr>
      <w:r>
        <w:rPr>
          <w:rFonts w:hint="eastAsia"/>
          <w:b/>
          <w:bCs/>
        </w:rPr>
        <w:t xml:space="preserve">第六章  </w:t>
      </w:r>
      <w:r>
        <w:rPr>
          <w:rFonts w:hint="eastAsia"/>
          <w:b/>
        </w:rPr>
        <w:t>优势杂交育种</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ascii="宋体" w:hAnsi="宋体" w:eastAsia="宋体" w:cs="Times New Roman"/>
          <w:kern w:val="2"/>
          <w:sz w:val="21"/>
          <w:szCs w:val="21"/>
        </w:rPr>
      </w:pPr>
      <w:r>
        <w:rPr>
          <w:rFonts w:hint="eastAsia" w:ascii="宋体" w:hAnsi="宋体" w:eastAsia="宋体" w:cs="Times New Roman"/>
          <w:b/>
          <w:kern w:val="2"/>
          <w:sz w:val="21"/>
          <w:szCs w:val="21"/>
        </w:rPr>
        <w:t>1. 一般了解：</w:t>
      </w:r>
      <w:r>
        <w:rPr>
          <w:rFonts w:hint="eastAsia" w:asciiTheme="minorEastAsia" w:hAnsiTheme="minorEastAsia" w:eastAsiaTheme="minorEastAsia"/>
          <w:sz w:val="21"/>
          <w:szCs w:val="21"/>
        </w:rPr>
        <w:t>使学生掌握杂种优势及利用价值，选育一代杂种的程序，杂种种子的生产，自交不亲和系的选育和利用，雄性不育系的选育和利用。</w:t>
      </w:r>
    </w:p>
    <w:p>
      <w:pPr>
        <w:pStyle w:val="20"/>
        <w:wordWrap w:val="0"/>
        <w:spacing w:before="0" w:beforeAutospacing="0" w:after="0" w:afterAutospacing="0" w:line="360" w:lineRule="auto"/>
        <w:ind w:firstLine="422" w:firstLineChars="200"/>
        <w:rPr>
          <w:rFonts w:ascii="宋体" w:hAnsi="宋体"/>
          <w:sz w:val="21"/>
          <w:szCs w:val="21"/>
        </w:rPr>
      </w:pPr>
      <w:r>
        <w:rPr>
          <w:rFonts w:hint="eastAsia" w:asciiTheme="minorEastAsia" w:hAnsiTheme="minorEastAsia" w:eastAsiaTheme="minorEastAsia"/>
          <w:b/>
          <w:sz w:val="21"/>
          <w:szCs w:val="21"/>
        </w:rPr>
        <w:t>2. 一般掌握</w:t>
      </w:r>
      <w:r>
        <w:rPr>
          <w:rFonts w:hint="eastAsia" w:asciiTheme="minorEastAsia" w:hAnsiTheme="minorEastAsia" w:eastAsiaTheme="minorEastAsia"/>
          <w:sz w:val="21"/>
          <w:szCs w:val="21"/>
        </w:rPr>
        <w:t>：优良自交不亲和系应具备的条件；自交不亲和性的遗传机理和生理机制。</w:t>
      </w:r>
      <w:r>
        <w:rPr>
          <w:rFonts w:hint="eastAsia" w:cs="Times New Roman" w:asciiTheme="minorEastAsia" w:hAnsiTheme="minorEastAsia" w:eastAsiaTheme="minorEastAsia"/>
          <w:sz w:val="21"/>
          <w:szCs w:val="21"/>
        </w:rPr>
        <w:t xml:space="preserve"> </w:t>
      </w:r>
      <w:r>
        <w:rPr>
          <w:rFonts w:hint="eastAsia" w:asciiTheme="minorEastAsia" w:hAnsiTheme="minorEastAsia" w:eastAsiaTheme="minorEastAsia"/>
          <w:sz w:val="21"/>
          <w:szCs w:val="21"/>
        </w:rPr>
        <w:t>雄性不育性的表现类型和遗传方式；利用雄性不育系生产一代杂种的优缺点</w:t>
      </w:r>
      <w:r>
        <w:rPr>
          <w:rFonts w:asciiTheme="minorEastAsia" w:hAnsiTheme="minorEastAsia" w:eastAsiaTheme="minorEastAsia"/>
          <w:sz w:val="21"/>
          <w:szCs w:val="21"/>
        </w:rPr>
        <w:t>。</w:t>
      </w:r>
      <w:r>
        <w:rPr>
          <w:rFonts w:hint="eastAsia" w:ascii="Times New Roman" w:hAnsi="Times New Roman" w:eastAsia="宋体" w:cs="Times New Roman"/>
          <w:sz w:val="21"/>
          <w:szCs w:val="21"/>
        </w:rPr>
        <w:t xml:space="preserve"> </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rFonts w:hint="eastAsia"/>
          <w:kern w:val="0"/>
          <w:szCs w:val="21"/>
        </w:rPr>
        <w:t>优势育种与常规杂交育种的异同</w:t>
      </w:r>
      <w:r>
        <w:rPr>
          <w:kern w:val="0"/>
          <w:szCs w:val="21"/>
        </w:rPr>
        <w:t>；</w:t>
      </w:r>
      <w:r>
        <w:rPr>
          <w:rFonts w:hint="eastAsia"/>
          <w:kern w:val="0"/>
          <w:szCs w:val="21"/>
        </w:rPr>
        <w:t>优势育种的程序</w:t>
      </w:r>
      <w:r>
        <w:rPr>
          <w:kern w:val="0"/>
          <w:szCs w:val="21"/>
        </w:rPr>
        <w:t>；</w:t>
      </w:r>
      <w:r>
        <w:rPr>
          <w:rFonts w:hint="eastAsia"/>
          <w:kern w:val="0"/>
          <w:szCs w:val="21"/>
        </w:rPr>
        <w:t>杂种种子生产的主要方法。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kern w:val="0"/>
          <w:szCs w:val="21"/>
        </w:rPr>
      </w:pPr>
      <w:r>
        <w:rPr>
          <w:rFonts w:hint="eastAsia"/>
          <w:szCs w:val="21"/>
        </w:rPr>
        <w:t>杂种优势、自交系、自交不亲和系、雄性不育系、雌性系、迟配系的基本概念；</w:t>
      </w:r>
      <w:r>
        <w:rPr>
          <w:rFonts w:hint="eastAsia"/>
          <w:kern w:val="0"/>
          <w:szCs w:val="21"/>
        </w:rPr>
        <w:t>杂种种子生产的主要方法。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szCs w:val="21"/>
        </w:rPr>
        <w:t>杂种优势、自交系、自交不亲和系、雄性不育系、雌性系、迟配系的基本概念；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szCs w:val="21"/>
        </w:rPr>
        <w:t>选育一代杂种的程序；</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szCs w:val="21"/>
        </w:rPr>
        <w:t>自交不亲和系的选育和利用，雄性不育系的选育和利用；</w:t>
      </w:r>
    </w:p>
    <w:p>
      <w:pPr>
        <w:snapToGrid w:val="0"/>
        <w:spacing w:line="360" w:lineRule="auto"/>
        <w:ind w:firstLine="422" w:firstLineChars="200"/>
        <w:rPr>
          <w:rFonts w:ascii="宋体" w:hAnsi="宋体"/>
          <w:b/>
          <w:szCs w:val="21"/>
        </w:rPr>
      </w:pPr>
      <w:r>
        <w:rPr>
          <w:rFonts w:hint="eastAsia" w:ascii="宋体" w:hAnsi="宋体"/>
          <w:b/>
          <w:szCs w:val="21"/>
        </w:rPr>
        <w:t>4.分析：</w:t>
      </w:r>
      <w:r>
        <w:rPr>
          <w:kern w:val="0"/>
          <w:szCs w:val="21"/>
        </w:rPr>
        <w:t>杂交亲本的选择和选配原则</w:t>
      </w:r>
      <w:r>
        <w:rPr>
          <w:rFonts w:hint="eastAsia"/>
          <w:kern w:val="0"/>
          <w:szCs w:val="21"/>
        </w:rPr>
        <w:t>，不同繁殖授粉习性植物的育种特点。</w:t>
      </w:r>
    </w:p>
    <w:p>
      <w:pPr>
        <w:snapToGrid w:val="0"/>
        <w:spacing w:line="360" w:lineRule="auto"/>
        <w:ind w:firstLine="422" w:firstLineChars="200"/>
        <w:rPr>
          <w:szCs w:val="21"/>
        </w:rPr>
      </w:pPr>
      <w:r>
        <w:rPr>
          <w:rFonts w:hint="eastAsia" w:ascii="宋体" w:hAnsi="宋体"/>
          <w:b/>
          <w:szCs w:val="21"/>
        </w:rPr>
        <w:t>5.综合</w:t>
      </w:r>
      <w:r>
        <w:rPr>
          <w:rFonts w:hint="eastAsia" w:ascii="宋体" w:hAnsi="宋体"/>
          <w:szCs w:val="21"/>
        </w:rPr>
        <w:t>：</w:t>
      </w:r>
      <w:r>
        <w:rPr>
          <w:rFonts w:hint="eastAsia"/>
          <w:kern w:val="0"/>
          <w:szCs w:val="21"/>
        </w:rPr>
        <w:t>优势育种与常规杂交育种的异同</w:t>
      </w:r>
      <w:r>
        <w:rPr>
          <w:kern w:val="0"/>
          <w:szCs w:val="21"/>
        </w:rPr>
        <w:t>；</w:t>
      </w:r>
      <w:r>
        <w:rPr>
          <w:rFonts w:hint="eastAsia"/>
          <w:szCs w:val="21"/>
        </w:rPr>
        <w:t>杂种一代种子的生产方法；</w:t>
      </w:r>
    </w:p>
    <w:p>
      <w:pPr>
        <w:snapToGrid w:val="0"/>
        <w:spacing w:line="360" w:lineRule="auto"/>
        <w:ind w:firstLine="422" w:firstLineChars="200"/>
        <w:rPr>
          <w:kern w:val="0"/>
          <w:szCs w:val="21"/>
        </w:rPr>
      </w:pPr>
      <w:r>
        <w:rPr>
          <w:rFonts w:hint="eastAsia"/>
          <w:b/>
          <w:szCs w:val="21"/>
        </w:rPr>
        <w:t>6.评价:</w:t>
      </w:r>
      <w:r>
        <w:rPr>
          <w:rFonts w:hint="eastAsia"/>
          <w:szCs w:val="21"/>
        </w:rPr>
        <w:t>雄性不育系优缺点。</w:t>
      </w:r>
    </w:p>
    <w:p>
      <w:pPr>
        <w:pStyle w:val="10"/>
        <w:snapToGrid w:val="0"/>
        <w:spacing w:line="360" w:lineRule="auto"/>
        <w:jc w:val="center"/>
        <w:rPr>
          <w:rFonts w:hAnsi="宋体"/>
          <w:b/>
        </w:rPr>
      </w:pPr>
      <w:r>
        <w:rPr>
          <w:rFonts w:hint="eastAsia"/>
          <w:b/>
          <w:bCs/>
        </w:rPr>
        <w:t xml:space="preserve">第七章  </w:t>
      </w:r>
      <w:r>
        <w:rPr>
          <w:rFonts w:hint="eastAsia"/>
          <w:b/>
        </w:rPr>
        <w:t>营养系杂交育种</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cs="Times New Roman" w:asciiTheme="minorEastAsia" w:hAnsiTheme="minorEastAsia" w:eastAsiaTheme="minorEastAsia"/>
          <w:kern w:val="2"/>
          <w:sz w:val="21"/>
          <w:szCs w:val="21"/>
        </w:rPr>
      </w:pPr>
      <w:r>
        <w:rPr>
          <w:rFonts w:hint="eastAsia" w:ascii="宋体" w:hAnsi="宋体" w:eastAsia="宋体" w:cs="Times New Roman"/>
          <w:b/>
          <w:kern w:val="2"/>
          <w:sz w:val="21"/>
          <w:szCs w:val="21"/>
        </w:rPr>
        <w:t>1. 一般了解：</w:t>
      </w:r>
      <w:r>
        <w:rPr>
          <w:rFonts w:hint="eastAsia" w:asciiTheme="minorEastAsia" w:hAnsiTheme="minorEastAsia" w:eastAsiaTheme="minorEastAsia"/>
          <w:sz w:val="21"/>
          <w:szCs w:val="21"/>
        </w:rPr>
        <w:t>了解营养系杂交育种的强亲效应、母本效应。了解营养系品种的性状遗传特点，营养系品种遗传变异的研究方法，亲本选配及杂交技术的特点，童期、童性和杂种培育选择的特点。</w:t>
      </w:r>
    </w:p>
    <w:p>
      <w:pPr>
        <w:pStyle w:val="20"/>
        <w:wordWrap w:val="0"/>
        <w:spacing w:before="0" w:beforeAutospacing="0" w:after="0" w:afterAutospacing="0" w:line="360" w:lineRule="auto"/>
        <w:ind w:firstLine="422" w:firstLineChars="200"/>
        <w:rPr>
          <w:rFonts w:ascii="宋体" w:hAnsi="宋体"/>
          <w:sz w:val="21"/>
          <w:szCs w:val="21"/>
        </w:rPr>
      </w:pPr>
      <w:r>
        <w:rPr>
          <w:rFonts w:hint="eastAsia" w:ascii="宋体" w:hAnsi="宋体"/>
          <w:b/>
          <w:sz w:val="21"/>
          <w:szCs w:val="21"/>
        </w:rPr>
        <w:t xml:space="preserve">2. </w:t>
      </w:r>
      <w:r>
        <w:rPr>
          <w:rFonts w:hint="eastAsia" w:asciiTheme="minorEastAsia" w:hAnsiTheme="minorEastAsia" w:eastAsiaTheme="minorEastAsia"/>
          <w:b/>
          <w:sz w:val="21"/>
          <w:szCs w:val="21"/>
        </w:rPr>
        <w:t>一般掌握</w:t>
      </w:r>
      <w:r>
        <w:rPr>
          <w:rFonts w:hint="eastAsia" w:asciiTheme="minorEastAsia" w:hAnsiTheme="minorEastAsia" w:eastAsiaTheme="minorEastAsia"/>
          <w:sz w:val="21"/>
          <w:szCs w:val="21"/>
        </w:rPr>
        <w:t>：营养系品种的性状遗传特点。</w:t>
      </w:r>
      <w:r>
        <w:rPr>
          <w:rFonts w:hint="eastAsia" w:cs="Times New Roman" w:asciiTheme="minorEastAsia" w:hAnsiTheme="minorEastAsia" w:eastAsiaTheme="minorEastAsia"/>
          <w:sz w:val="21"/>
          <w:szCs w:val="21"/>
        </w:rPr>
        <w:t xml:space="preserve"> </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：选育营养系品种的一般程序。</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szCs w:val="21"/>
        </w:rPr>
      </w:pPr>
      <w:r>
        <w:rPr>
          <w:rFonts w:hint="eastAsia"/>
          <w:szCs w:val="21"/>
        </w:rPr>
        <w:t>童期、童性、营养系品种的基本概念；</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szCs w:val="21"/>
        </w:rPr>
        <w:t>童期、童性和杂种培育选择的特点；</w:t>
      </w:r>
    </w:p>
    <w:p>
      <w:pPr>
        <w:snapToGrid w:val="0"/>
        <w:spacing w:line="360" w:lineRule="auto"/>
        <w:ind w:firstLine="422" w:firstLineChars="200"/>
        <w:rPr>
          <w:kern w:val="0"/>
          <w:szCs w:val="21"/>
        </w:rPr>
      </w:pPr>
      <w:r>
        <w:rPr>
          <w:rFonts w:hint="eastAsia" w:ascii="宋体" w:hAnsi="宋体"/>
          <w:b/>
          <w:szCs w:val="21"/>
        </w:rPr>
        <w:t>2.领会</w:t>
      </w:r>
      <w:r>
        <w:rPr>
          <w:rFonts w:hint="eastAsia" w:ascii="宋体" w:hAnsi="宋体"/>
          <w:szCs w:val="21"/>
        </w:rPr>
        <w:t>：</w:t>
      </w:r>
      <w:r>
        <w:rPr>
          <w:rFonts w:hint="eastAsia"/>
          <w:kern w:val="0"/>
          <w:szCs w:val="21"/>
        </w:rPr>
        <w:t>养系杂种后代的选择原则；营养系杂交育种亲本选配特点；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：营养系杂交育种</w:t>
      </w:r>
      <w:r>
        <w:rPr>
          <w:rFonts w:hint="eastAsia"/>
          <w:szCs w:val="21"/>
        </w:rPr>
        <w:t>亲本选配及杂交技术的特点；</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kern w:val="0"/>
          <w:szCs w:val="21"/>
        </w:rPr>
        <w:t>质量性状和数量性状的遗传特点；</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：选育营养系品种的一般程序；</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ascii="宋体" w:hAnsi="宋体"/>
          <w:szCs w:val="21"/>
        </w:rPr>
        <w:t>营养系杂交品种的性状遗传特点。</w:t>
      </w:r>
    </w:p>
    <w:p>
      <w:pPr>
        <w:pStyle w:val="10"/>
        <w:snapToGrid w:val="0"/>
        <w:spacing w:line="360" w:lineRule="auto"/>
        <w:jc w:val="center"/>
        <w:rPr>
          <w:rFonts w:hAnsi="宋体"/>
          <w:b/>
        </w:rPr>
      </w:pPr>
      <w:r>
        <w:rPr>
          <w:rFonts w:hint="eastAsia"/>
          <w:b/>
          <w:bCs/>
        </w:rPr>
        <w:t xml:space="preserve">第八章  </w:t>
      </w:r>
      <w:r>
        <w:rPr>
          <w:rFonts w:hint="eastAsia" w:cs="宋体"/>
          <w:b/>
          <w:bCs/>
          <w:kern w:val="0"/>
        </w:rPr>
        <w:t>远缘杂交及其在育种中的应用</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cs="Times New Roman" w:asciiTheme="minorEastAsia" w:hAnsiTheme="minorEastAsia" w:eastAsiaTheme="minorEastAsia"/>
          <w:kern w:val="2"/>
          <w:sz w:val="21"/>
          <w:szCs w:val="21"/>
        </w:rPr>
      </w:pPr>
      <w:r>
        <w:rPr>
          <w:rFonts w:hint="eastAsia" w:ascii="宋体" w:hAnsi="宋体" w:eastAsia="宋体" w:cs="Times New Roman"/>
          <w:b/>
          <w:kern w:val="2"/>
          <w:sz w:val="21"/>
          <w:szCs w:val="21"/>
        </w:rPr>
        <w:t>1. 一般了解：</w:t>
      </w:r>
      <w:r>
        <w:rPr>
          <w:rFonts w:hint="eastAsia" w:asciiTheme="minorEastAsia" w:hAnsiTheme="minorEastAsia" w:eastAsiaTheme="minorEastAsia"/>
          <w:sz w:val="21"/>
          <w:szCs w:val="21"/>
        </w:rPr>
        <w:t>远缘杂交难交配的表现</w:t>
      </w:r>
      <w:r>
        <w:rPr>
          <w:rFonts w:asciiTheme="minorEastAsia" w:hAnsiTheme="minorEastAsia" w:eastAsiaTheme="minorEastAsia"/>
          <w:sz w:val="21"/>
          <w:szCs w:val="21"/>
        </w:rPr>
        <w:t>；</w:t>
      </w:r>
      <w:r>
        <w:rPr>
          <w:rFonts w:hint="eastAsia" w:asciiTheme="minorEastAsia" w:hAnsiTheme="minorEastAsia" w:eastAsiaTheme="minorEastAsia"/>
          <w:sz w:val="21"/>
          <w:szCs w:val="21"/>
        </w:rPr>
        <w:t>远缘杂种难育性的机制；远缘杂种分离的表现和类型。</w:t>
      </w:r>
    </w:p>
    <w:p>
      <w:pPr>
        <w:pStyle w:val="20"/>
        <w:wordWrap w:val="0"/>
        <w:spacing w:before="0" w:beforeAutospacing="0" w:after="0" w:afterAutospacing="0" w:line="360" w:lineRule="auto"/>
        <w:ind w:firstLine="422" w:firstLineChars="200"/>
        <w:rPr>
          <w:rFonts w:asciiTheme="minorEastAsia" w:hAnsiTheme="minorEastAsia" w:eastAsiaTheme="minorEastAsia"/>
          <w:sz w:val="21"/>
          <w:szCs w:val="21"/>
        </w:rPr>
      </w:pPr>
      <w:r>
        <w:rPr>
          <w:rFonts w:hint="eastAsia" w:ascii="宋体" w:hAnsi="宋体"/>
          <w:b/>
          <w:sz w:val="21"/>
          <w:szCs w:val="21"/>
        </w:rPr>
        <w:t xml:space="preserve">2. </w:t>
      </w:r>
      <w:r>
        <w:rPr>
          <w:rFonts w:hint="eastAsia" w:asciiTheme="minorEastAsia" w:hAnsiTheme="minorEastAsia" w:eastAsiaTheme="minorEastAsia"/>
          <w:b/>
          <w:sz w:val="21"/>
          <w:szCs w:val="21"/>
        </w:rPr>
        <w:t>一般掌握</w:t>
      </w:r>
      <w:r>
        <w:rPr>
          <w:rFonts w:hint="eastAsia" w:asciiTheme="minorEastAsia" w:hAnsiTheme="minorEastAsia" w:eastAsiaTheme="minorEastAsia"/>
          <w:sz w:val="21"/>
          <w:szCs w:val="21"/>
        </w:rPr>
        <w:t>：掌握远缘杂交的意义</w:t>
      </w:r>
      <w:r>
        <w:rPr>
          <w:rFonts w:asciiTheme="minorEastAsia" w:hAnsiTheme="minorEastAsia" w:eastAsiaTheme="minorEastAsia"/>
          <w:sz w:val="21"/>
          <w:szCs w:val="21"/>
        </w:rPr>
        <w:t>；</w:t>
      </w:r>
      <w:r>
        <w:rPr>
          <w:rFonts w:hint="eastAsia" w:asciiTheme="minorEastAsia" w:hAnsiTheme="minorEastAsia" w:eastAsiaTheme="minorEastAsia"/>
          <w:sz w:val="21"/>
          <w:szCs w:val="21"/>
        </w:rPr>
        <w:t>远缘杂交的特点；远缘杂种难育性的主要表现；远缘杂种难稔性的主要表现；远缘杂种后代分离的控制；远缘杂种的选择；远缘杂交在园艺植物育种中的应用</w:t>
      </w:r>
      <w:r>
        <w:rPr>
          <w:rFonts w:asciiTheme="minorEastAsia" w:hAnsiTheme="minorEastAsia" w:eastAsiaTheme="minorEastAsia"/>
          <w:sz w:val="21"/>
          <w:szCs w:val="21"/>
        </w:rPr>
        <w:t>。</w:t>
      </w:r>
      <w:r>
        <w:rPr>
          <w:rFonts w:hint="eastAsia" w:cs="Times New Roman" w:asciiTheme="minorEastAsia" w:hAnsiTheme="minorEastAsia" w:eastAsiaTheme="minorEastAsia"/>
          <w:sz w:val="21"/>
          <w:szCs w:val="21"/>
        </w:rPr>
        <w:t xml:space="preserve"> </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kern w:val="0"/>
          <w:szCs w:val="21"/>
        </w:rPr>
        <w:t>熟练掌握</w:t>
      </w:r>
      <w:r>
        <w:rPr>
          <w:rFonts w:hint="eastAsia"/>
          <w:kern w:val="0"/>
          <w:szCs w:val="21"/>
        </w:rPr>
        <w:t>远缘杂交的障碍与克服途径</w:t>
      </w:r>
      <w:r>
        <w:rPr>
          <w:kern w:val="0"/>
          <w:szCs w:val="21"/>
        </w:rPr>
        <w:t>；</w:t>
      </w:r>
      <w:r>
        <w:rPr>
          <w:rFonts w:hint="eastAsia"/>
          <w:kern w:val="0"/>
          <w:szCs w:val="21"/>
        </w:rPr>
        <w:t>克服远缘杂种难育性的方法</w:t>
      </w:r>
      <w:r>
        <w:rPr>
          <w:kern w:val="0"/>
          <w:szCs w:val="21"/>
        </w:rPr>
        <w:t>；</w:t>
      </w:r>
      <w:r>
        <w:rPr>
          <w:rFonts w:hint="eastAsia"/>
          <w:kern w:val="0"/>
          <w:szCs w:val="21"/>
        </w:rPr>
        <w:t>克服远缘杂种难稔性的途径。</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kern w:val="0"/>
          <w:szCs w:val="21"/>
        </w:rPr>
      </w:pPr>
      <w:r>
        <w:rPr>
          <w:rFonts w:hint="eastAsia"/>
          <w:kern w:val="0"/>
          <w:szCs w:val="21"/>
        </w:rPr>
        <w:t>远缘杂交不亲和、不育、不稔的表现和克服方法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：远缘杂交的概念、远缘杂交的特点；</w:t>
      </w:r>
    </w:p>
    <w:p>
      <w:pPr>
        <w:snapToGrid w:val="0"/>
        <w:spacing w:line="360" w:lineRule="auto"/>
        <w:ind w:firstLine="422" w:firstLineChars="200"/>
        <w:rPr>
          <w:kern w:val="0"/>
          <w:szCs w:val="21"/>
        </w:rPr>
      </w:pPr>
      <w:r>
        <w:rPr>
          <w:rFonts w:hint="eastAsia" w:ascii="宋体" w:hAnsi="宋体"/>
          <w:b/>
          <w:szCs w:val="21"/>
        </w:rPr>
        <w:t>2.领会</w:t>
      </w:r>
      <w:r>
        <w:rPr>
          <w:rFonts w:hint="eastAsia" w:ascii="宋体" w:hAnsi="宋体"/>
          <w:szCs w:val="21"/>
        </w:rPr>
        <w:t>：远缘杂交在育种中的应用；</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：远缘杂种后代的分离表现与控制；</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kern w:val="0"/>
          <w:szCs w:val="21"/>
        </w:rPr>
        <w:t>远缘杂交的障碍与克服途径</w:t>
      </w:r>
      <w:r>
        <w:rPr>
          <w:kern w:val="0"/>
          <w:szCs w:val="21"/>
        </w:rPr>
        <w:t>；</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rFonts w:hint="eastAsia"/>
          <w:kern w:val="0"/>
          <w:szCs w:val="21"/>
        </w:rPr>
        <w:t>克服远缘杂种难育性的方法</w:t>
      </w:r>
      <w:r>
        <w:rPr>
          <w:kern w:val="0"/>
          <w:szCs w:val="21"/>
        </w:rPr>
        <w:t>；</w:t>
      </w:r>
      <w:r>
        <w:rPr>
          <w:rFonts w:hint="eastAsia"/>
          <w:kern w:val="0"/>
          <w:szCs w:val="21"/>
        </w:rPr>
        <w:t>克服远缘杂种难稔性的途径；</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kern w:val="0"/>
          <w:szCs w:val="21"/>
        </w:rPr>
        <w:t>远缘杂交在园艺植物育种中的应用。</w:t>
      </w:r>
    </w:p>
    <w:p>
      <w:pPr>
        <w:pStyle w:val="10"/>
        <w:snapToGrid w:val="0"/>
        <w:spacing w:line="360" w:lineRule="auto"/>
        <w:jc w:val="center"/>
        <w:rPr>
          <w:rFonts w:hAnsi="宋体"/>
          <w:b/>
        </w:rPr>
      </w:pPr>
      <w:r>
        <w:rPr>
          <w:rFonts w:hint="eastAsia"/>
          <w:b/>
          <w:bCs/>
        </w:rPr>
        <w:t xml:space="preserve">第九章  </w:t>
      </w:r>
      <w:r>
        <w:rPr>
          <w:rFonts w:hint="eastAsia" w:cs="宋体"/>
          <w:b/>
          <w:bCs/>
          <w:kern w:val="0"/>
        </w:rPr>
        <w:t>倍性育种</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cs="Times New Roman" w:asciiTheme="minorEastAsia" w:hAnsiTheme="minorEastAsia" w:eastAsiaTheme="minorEastAsia"/>
          <w:kern w:val="2"/>
          <w:sz w:val="21"/>
          <w:szCs w:val="21"/>
        </w:rPr>
      </w:pPr>
      <w:r>
        <w:rPr>
          <w:rFonts w:hint="eastAsia" w:ascii="宋体" w:hAnsi="宋体" w:eastAsia="宋体" w:cs="Times New Roman"/>
          <w:b/>
          <w:kern w:val="2"/>
          <w:sz w:val="21"/>
          <w:szCs w:val="21"/>
        </w:rPr>
        <w:t>1. 一般了解：</w:t>
      </w:r>
      <w:r>
        <w:rPr>
          <w:rFonts w:asciiTheme="minorEastAsia" w:hAnsiTheme="minorEastAsia" w:eastAsiaTheme="minorEastAsia"/>
          <w:sz w:val="21"/>
          <w:szCs w:val="21"/>
        </w:rPr>
        <w:t>了解</w:t>
      </w:r>
      <w:r>
        <w:rPr>
          <w:rFonts w:hint="eastAsia" w:asciiTheme="minorEastAsia" w:hAnsiTheme="minorEastAsia" w:eastAsiaTheme="minorEastAsia"/>
          <w:sz w:val="21"/>
          <w:szCs w:val="21"/>
        </w:rPr>
        <w:t>多倍体的形成</w:t>
      </w:r>
      <w:r>
        <w:rPr>
          <w:rFonts w:asciiTheme="minorEastAsia" w:hAnsiTheme="minorEastAsia" w:eastAsiaTheme="minorEastAsia"/>
          <w:sz w:val="21"/>
          <w:szCs w:val="21"/>
        </w:rPr>
        <w:t>；</w:t>
      </w:r>
      <w:r>
        <w:rPr>
          <w:rFonts w:hint="eastAsia" w:asciiTheme="minorEastAsia" w:hAnsiTheme="minorEastAsia" w:eastAsiaTheme="minorEastAsia"/>
          <w:sz w:val="21"/>
          <w:szCs w:val="21"/>
        </w:rPr>
        <w:t>多倍体与物种进化；多倍体的选择和利用。</w:t>
      </w:r>
    </w:p>
    <w:p>
      <w:pPr>
        <w:pStyle w:val="20"/>
        <w:wordWrap w:val="0"/>
        <w:spacing w:before="0" w:beforeAutospacing="0" w:after="0" w:afterAutospacing="0" w:line="360" w:lineRule="auto"/>
        <w:ind w:firstLine="422" w:firstLineChars="200"/>
        <w:rPr>
          <w:rFonts w:ascii="宋体" w:hAnsi="宋体"/>
          <w:sz w:val="21"/>
          <w:szCs w:val="21"/>
        </w:rPr>
      </w:pPr>
      <w:r>
        <w:rPr>
          <w:rFonts w:hint="eastAsia" w:ascii="宋体" w:hAnsi="宋体"/>
          <w:b/>
          <w:sz w:val="21"/>
          <w:szCs w:val="21"/>
        </w:rPr>
        <w:t xml:space="preserve">2. </w:t>
      </w:r>
      <w:r>
        <w:rPr>
          <w:rFonts w:hint="eastAsia" w:asciiTheme="minorEastAsia" w:hAnsiTheme="minorEastAsia" w:eastAsiaTheme="minorEastAsia"/>
          <w:b/>
          <w:sz w:val="21"/>
          <w:szCs w:val="21"/>
        </w:rPr>
        <w:t>一般掌握</w:t>
      </w:r>
      <w:r>
        <w:rPr>
          <w:rFonts w:hint="eastAsia" w:asciiTheme="minorEastAsia" w:hAnsiTheme="minorEastAsia" w:eastAsiaTheme="minorEastAsia"/>
          <w:sz w:val="21"/>
          <w:szCs w:val="21"/>
        </w:rPr>
        <w:t>：掌握培育多倍体的意义</w:t>
      </w:r>
      <w:r>
        <w:rPr>
          <w:rFonts w:asciiTheme="minorEastAsia" w:hAnsiTheme="minorEastAsia" w:eastAsiaTheme="minorEastAsia"/>
          <w:sz w:val="21"/>
          <w:szCs w:val="21"/>
        </w:rPr>
        <w:t>；</w:t>
      </w:r>
      <w:r>
        <w:rPr>
          <w:rFonts w:hint="eastAsia" w:asciiTheme="minorEastAsia" w:hAnsiTheme="minorEastAsia" w:eastAsiaTheme="minorEastAsia"/>
          <w:sz w:val="21"/>
          <w:szCs w:val="21"/>
        </w:rPr>
        <w:t>有性杂交培育多倍体的方法；单倍体的优点和在育种上的应用价值</w:t>
      </w:r>
      <w:r>
        <w:rPr>
          <w:rFonts w:asciiTheme="minorEastAsia" w:hAnsiTheme="minorEastAsia" w:eastAsiaTheme="minorEastAsia"/>
          <w:sz w:val="21"/>
          <w:szCs w:val="21"/>
        </w:rPr>
        <w:t>。</w:t>
      </w:r>
      <w:r>
        <w:rPr>
          <w:rFonts w:hint="eastAsia" w:ascii="Times New Roman" w:hAnsi="Times New Roman" w:eastAsia="宋体" w:cs="Times New Roman"/>
          <w:sz w:val="21"/>
          <w:szCs w:val="21"/>
        </w:rPr>
        <w:t xml:space="preserve"> </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kern w:val="0"/>
          <w:szCs w:val="21"/>
        </w:rPr>
        <w:t>熟练掌握</w:t>
      </w:r>
      <w:r>
        <w:rPr>
          <w:rFonts w:hint="eastAsia"/>
          <w:kern w:val="0"/>
          <w:szCs w:val="21"/>
        </w:rPr>
        <w:t>多倍体的特点</w:t>
      </w:r>
      <w:r>
        <w:rPr>
          <w:kern w:val="0"/>
          <w:szCs w:val="21"/>
        </w:rPr>
        <w:t>；</w:t>
      </w:r>
      <w:r>
        <w:rPr>
          <w:rFonts w:hint="eastAsia"/>
          <w:kern w:val="0"/>
          <w:szCs w:val="21"/>
        </w:rPr>
        <w:t>人工诱导多倍体的途径和方法；多倍体的鉴定方法；单倍体的特点；获得单倍体的途径和方法。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kern w:val="0"/>
          <w:szCs w:val="21"/>
        </w:rPr>
      </w:pPr>
      <w:r>
        <w:rPr>
          <w:rFonts w:hint="eastAsia"/>
          <w:kern w:val="0"/>
          <w:szCs w:val="21"/>
        </w:rPr>
        <w:t>多倍体、单倍体、双单倍体的概念；多倍体的来源及检测方法；多倍体的特点；获得单倍体的途径及单倍体在育种中的意义。</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kern w:val="0"/>
          <w:szCs w:val="21"/>
        </w:rPr>
        <w:t>多倍体、单倍体、双单倍体的概念；多倍体的来源及检测方法；</w:t>
      </w:r>
    </w:p>
    <w:p>
      <w:pPr>
        <w:snapToGrid w:val="0"/>
        <w:spacing w:line="360" w:lineRule="auto"/>
        <w:ind w:firstLine="422" w:firstLineChars="200"/>
        <w:rPr>
          <w:kern w:val="0"/>
          <w:szCs w:val="21"/>
        </w:rPr>
      </w:pPr>
      <w:r>
        <w:rPr>
          <w:rFonts w:hint="eastAsia" w:ascii="宋体" w:hAnsi="宋体"/>
          <w:b/>
          <w:szCs w:val="21"/>
        </w:rPr>
        <w:t>2.领会</w:t>
      </w:r>
      <w:r>
        <w:rPr>
          <w:rFonts w:hint="eastAsia" w:ascii="宋体" w:hAnsi="宋体"/>
          <w:szCs w:val="21"/>
        </w:rPr>
        <w:t>：</w:t>
      </w:r>
      <w:r>
        <w:rPr>
          <w:rFonts w:hint="eastAsia"/>
          <w:kern w:val="0"/>
          <w:szCs w:val="21"/>
        </w:rPr>
        <w:t>人工诱导多倍体的途径和方法；</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kern w:val="0"/>
          <w:szCs w:val="21"/>
        </w:rPr>
        <w:t>多倍体的来源及检测方法；</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kern w:val="0"/>
          <w:szCs w:val="21"/>
        </w:rPr>
        <w:t>多倍体的特点；</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rFonts w:hint="eastAsia"/>
          <w:kern w:val="0"/>
          <w:szCs w:val="21"/>
        </w:rPr>
        <w:t>获得单倍体的途径及单倍体在育种中的意义；</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kern w:val="0"/>
          <w:szCs w:val="21"/>
        </w:rPr>
        <w:t>多倍体在园艺植物育种中的意义。</w:t>
      </w:r>
    </w:p>
    <w:p>
      <w:pPr>
        <w:pStyle w:val="10"/>
        <w:snapToGrid w:val="0"/>
        <w:spacing w:line="360" w:lineRule="auto"/>
        <w:jc w:val="center"/>
        <w:rPr>
          <w:rFonts w:hAnsi="宋体"/>
          <w:b/>
        </w:rPr>
      </w:pPr>
      <w:r>
        <w:rPr>
          <w:rFonts w:hint="eastAsia"/>
          <w:b/>
          <w:bCs/>
        </w:rPr>
        <w:t xml:space="preserve">第十章  </w:t>
      </w:r>
      <w:r>
        <w:rPr>
          <w:rFonts w:hint="eastAsia" w:cs="宋体"/>
          <w:b/>
          <w:bCs/>
          <w:kern w:val="0"/>
        </w:rPr>
        <w:t>诱变育种</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ascii="宋体" w:hAnsi="宋体" w:eastAsia="宋体" w:cs="Times New Roman"/>
          <w:kern w:val="2"/>
          <w:sz w:val="21"/>
          <w:szCs w:val="21"/>
        </w:rPr>
      </w:pPr>
      <w:r>
        <w:rPr>
          <w:rFonts w:hint="eastAsia" w:ascii="宋体" w:hAnsi="宋体" w:eastAsia="宋体" w:cs="Times New Roman"/>
          <w:b/>
          <w:kern w:val="2"/>
          <w:sz w:val="21"/>
          <w:szCs w:val="21"/>
        </w:rPr>
        <w:t>1. 一般了解：</w:t>
      </w:r>
      <w:r>
        <w:rPr>
          <w:rFonts w:asciiTheme="minorEastAsia" w:hAnsiTheme="minorEastAsia" w:eastAsiaTheme="minorEastAsia"/>
          <w:sz w:val="21"/>
          <w:szCs w:val="21"/>
        </w:rPr>
        <w:t>诱变育种的发展历史与现状</w:t>
      </w:r>
      <w:r>
        <w:rPr>
          <w:rFonts w:hint="eastAsia" w:asciiTheme="minorEastAsia" w:hAnsiTheme="minorEastAsia" w:eastAsiaTheme="minorEastAsia"/>
          <w:sz w:val="21"/>
          <w:szCs w:val="21"/>
        </w:rPr>
        <w:t>。掌握</w:t>
      </w:r>
      <w:r>
        <w:rPr>
          <w:rFonts w:asciiTheme="minorEastAsia" w:hAnsiTheme="minorEastAsia" w:eastAsiaTheme="minorEastAsia"/>
          <w:sz w:val="21"/>
          <w:szCs w:val="21"/>
        </w:rPr>
        <w:t>诱变育种的概念和特点</w:t>
      </w:r>
      <w:r>
        <w:rPr>
          <w:rFonts w:hint="eastAsia" w:asciiTheme="minorEastAsia" w:hAnsiTheme="minorEastAsia" w:eastAsiaTheme="minorEastAsia"/>
          <w:sz w:val="21"/>
          <w:szCs w:val="21"/>
        </w:rPr>
        <w:t>；</w:t>
      </w:r>
      <w:r>
        <w:rPr>
          <w:rFonts w:asciiTheme="minorEastAsia" w:hAnsiTheme="minorEastAsia" w:eastAsiaTheme="minorEastAsia"/>
          <w:sz w:val="21"/>
          <w:szCs w:val="21"/>
        </w:rPr>
        <w:t>园艺植物诱变材料的种类；化学诱变的特点。</w:t>
      </w:r>
    </w:p>
    <w:p>
      <w:pPr>
        <w:pStyle w:val="20"/>
        <w:wordWrap w:val="0"/>
        <w:spacing w:before="0" w:beforeAutospacing="0" w:after="0" w:afterAutospacing="0" w:line="360" w:lineRule="auto"/>
        <w:ind w:firstLine="422" w:firstLineChars="200"/>
        <w:rPr>
          <w:rFonts w:ascii="宋体" w:hAnsi="宋体"/>
          <w:sz w:val="21"/>
          <w:szCs w:val="21"/>
        </w:rPr>
      </w:pPr>
      <w:r>
        <w:rPr>
          <w:rFonts w:hint="eastAsia" w:ascii="宋体" w:hAnsi="宋体"/>
          <w:b/>
          <w:sz w:val="21"/>
          <w:szCs w:val="21"/>
        </w:rPr>
        <w:t xml:space="preserve">2. </w:t>
      </w:r>
      <w:r>
        <w:rPr>
          <w:rFonts w:hint="eastAsia" w:asciiTheme="minorEastAsia" w:hAnsiTheme="minorEastAsia" w:eastAsiaTheme="minorEastAsia"/>
          <w:b/>
          <w:sz w:val="21"/>
          <w:szCs w:val="21"/>
        </w:rPr>
        <w:t>一般掌握</w:t>
      </w:r>
      <w:r>
        <w:rPr>
          <w:rFonts w:hint="eastAsia" w:asciiTheme="minorEastAsia" w:hAnsiTheme="minorEastAsia" w:eastAsiaTheme="minorEastAsia"/>
          <w:sz w:val="21"/>
          <w:szCs w:val="21"/>
        </w:rPr>
        <w:t>：</w:t>
      </w:r>
      <w:r>
        <w:rPr>
          <w:rFonts w:hint="eastAsia" w:ascii="Times New Roman" w:hAnsi="Times New Roman" w:eastAsia="宋体" w:cs="Times New Roman"/>
          <w:sz w:val="21"/>
          <w:szCs w:val="21"/>
        </w:rPr>
        <w:t>物理诱变常用的辐射种类。</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kern w:val="0"/>
          <w:szCs w:val="21"/>
        </w:rPr>
        <w:t>熟练掌握有性繁殖作物诱变育种的程序；无性繁殖作物诱变育种的程序。</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kern w:val="0"/>
          <w:szCs w:val="21"/>
        </w:rPr>
      </w:pPr>
      <w:r>
        <w:rPr>
          <w:rFonts w:hint="eastAsia"/>
          <w:kern w:val="0"/>
          <w:szCs w:val="21"/>
        </w:rPr>
        <w:t>外照射、内照射、临界剂量、半致死剂量的概念</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kern w:val="0"/>
          <w:szCs w:val="21"/>
        </w:rPr>
        <w:t>外照射、内照射、临界剂量、半致死剂量的概念；</w:t>
      </w:r>
    </w:p>
    <w:p>
      <w:pPr>
        <w:snapToGrid w:val="0"/>
        <w:spacing w:line="360" w:lineRule="auto"/>
        <w:ind w:firstLine="422" w:firstLineChars="200"/>
        <w:rPr>
          <w:kern w:val="0"/>
          <w:szCs w:val="21"/>
        </w:rPr>
      </w:pPr>
      <w:r>
        <w:rPr>
          <w:rFonts w:hint="eastAsia" w:ascii="宋体" w:hAnsi="宋体"/>
          <w:b/>
          <w:szCs w:val="21"/>
        </w:rPr>
        <w:t>2.领会</w:t>
      </w:r>
      <w:r>
        <w:rPr>
          <w:rFonts w:hint="eastAsia" w:ascii="宋体" w:hAnsi="宋体"/>
          <w:szCs w:val="21"/>
        </w:rPr>
        <w:t>：</w:t>
      </w:r>
      <w:r>
        <w:rPr>
          <w:kern w:val="0"/>
          <w:szCs w:val="21"/>
        </w:rPr>
        <w:t>化学诱变的特点</w:t>
      </w:r>
      <w:r>
        <w:rPr>
          <w:rFonts w:hint="eastAsia"/>
          <w:kern w:val="0"/>
          <w:szCs w:val="21"/>
        </w:rPr>
        <w:t>；物理诱变常用的辐射种类；</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kern w:val="0"/>
          <w:szCs w:val="21"/>
        </w:rPr>
        <w:t>园艺植物诱变材料的种类；</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szCs w:val="21"/>
        </w:rPr>
        <w:t>诱变材料的分离与选择；</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kern w:val="0"/>
          <w:szCs w:val="21"/>
        </w:rPr>
        <w:t>有性繁殖作物诱变育种的程序；无性繁殖作物诱变育种的程序</w:t>
      </w:r>
      <w:r>
        <w:rPr>
          <w:rFonts w:hint="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kern w:val="0"/>
          <w:szCs w:val="21"/>
        </w:rPr>
        <w:t>辐射诱变的最适剂量的确定。</w:t>
      </w:r>
    </w:p>
    <w:p>
      <w:pPr>
        <w:snapToGrid w:val="0"/>
        <w:spacing w:line="360" w:lineRule="auto"/>
        <w:jc w:val="center"/>
        <w:rPr>
          <w:rFonts w:cs="宋体"/>
          <w:b/>
          <w:bCs/>
          <w:kern w:val="0"/>
          <w:szCs w:val="21"/>
        </w:rPr>
      </w:pPr>
      <w:r>
        <w:rPr>
          <w:rFonts w:hint="eastAsia"/>
          <w:b/>
          <w:bCs/>
          <w:szCs w:val="21"/>
        </w:rPr>
        <w:t xml:space="preserve">第十一章  </w:t>
      </w:r>
      <w:r>
        <w:rPr>
          <w:rFonts w:hint="eastAsia" w:cs="宋体"/>
          <w:b/>
          <w:bCs/>
          <w:kern w:val="0"/>
          <w:szCs w:val="21"/>
        </w:rPr>
        <w:t>生物技术在园艺育种中的应用</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ascii="Times New Roman" w:hAnsi="Times New Roman" w:eastAsia="宋体" w:cs="Times New Roman"/>
          <w:kern w:val="2"/>
          <w:sz w:val="21"/>
          <w:szCs w:val="21"/>
        </w:rPr>
      </w:pPr>
      <w:r>
        <w:rPr>
          <w:rFonts w:hint="eastAsia" w:ascii="宋体" w:hAnsi="宋体" w:eastAsia="宋体" w:cs="Times New Roman"/>
          <w:b/>
          <w:kern w:val="2"/>
          <w:sz w:val="21"/>
          <w:szCs w:val="21"/>
        </w:rPr>
        <w:t>1. 一般了解：</w:t>
      </w:r>
      <w:r>
        <w:rPr>
          <w:rFonts w:ascii="Times New Roman" w:hAnsi="Times New Roman" w:cs="Times New Roman"/>
          <w:sz w:val="21"/>
          <w:szCs w:val="21"/>
        </w:rPr>
        <w:t>生物技术发展历程。</w:t>
      </w:r>
    </w:p>
    <w:p>
      <w:pPr>
        <w:pStyle w:val="20"/>
        <w:wordWrap w:val="0"/>
        <w:spacing w:before="0" w:beforeAutospacing="0" w:after="0" w:afterAutospacing="0" w:line="360" w:lineRule="auto"/>
        <w:ind w:firstLine="422" w:firstLineChars="200"/>
        <w:rPr>
          <w:rFonts w:asciiTheme="minorEastAsia" w:hAnsiTheme="minorEastAsia" w:eastAsiaTheme="minorEastAsia"/>
          <w:sz w:val="21"/>
          <w:szCs w:val="21"/>
        </w:rPr>
      </w:pPr>
      <w:r>
        <w:rPr>
          <w:rFonts w:hint="eastAsia" w:ascii="宋体" w:hAnsi="宋体"/>
          <w:b/>
          <w:sz w:val="21"/>
          <w:szCs w:val="21"/>
        </w:rPr>
        <w:t xml:space="preserve">2. </w:t>
      </w:r>
      <w:r>
        <w:rPr>
          <w:rFonts w:hint="eastAsia" w:asciiTheme="minorEastAsia" w:hAnsiTheme="minorEastAsia" w:eastAsiaTheme="minorEastAsia"/>
          <w:b/>
          <w:sz w:val="21"/>
          <w:szCs w:val="21"/>
        </w:rPr>
        <w:t>一般掌握</w:t>
      </w:r>
      <w:r>
        <w:rPr>
          <w:rFonts w:hint="eastAsia" w:asciiTheme="minorEastAsia" w:hAnsiTheme="minorEastAsia" w:eastAsiaTheme="minorEastAsia"/>
          <w:sz w:val="21"/>
          <w:szCs w:val="21"/>
        </w:rPr>
        <w:t>：掌握组织和器官培养的类型；花药培养的基本程序；体细胞突变体的筛选；原生质体培养和体细胞杂交的程序；植物基因工程的基本步骤。</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rFonts w:hint="eastAsia"/>
          <w:kern w:val="0"/>
          <w:szCs w:val="21"/>
        </w:rPr>
        <w:t>细胞工程在园艺植物育种中的应用；植物基因工程在园艺植物育种中的应用；分子标记在育种中的应用。</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kern w:val="0"/>
          <w:szCs w:val="21"/>
        </w:rPr>
      </w:pPr>
      <w:r>
        <w:rPr>
          <w:rFonts w:hint="eastAsia"/>
          <w:szCs w:val="21"/>
        </w:rPr>
        <w:t>组织与器官培养、花粉花药培养、原生质体培养与体细胞杂交、植物细胞突变体的离体筛选；细胞工程、基因工程、分子标记原理及在育种中应用。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szCs w:val="21"/>
        </w:rPr>
        <w:t>组织与器官培养、花粉花药培养、原生质体培养与体细胞杂交的概念；</w:t>
      </w:r>
    </w:p>
    <w:p>
      <w:pPr>
        <w:snapToGrid w:val="0"/>
        <w:spacing w:line="360" w:lineRule="auto"/>
        <w:ind w:firstLine="422" w:firstLineChars="200"/>
        <w:rPr>
          <w:kern w:val="0"/>
          <w:szCs w:val="21"/>
        </w:rPr>
      </w:pPr>
      <w:r>
        <w:rPr>
          <w:rFonts w:hint="eastAsia" w:ascii="宋体" w:hAnsi="宋体"/>
          <w:b/>
          <w:szCs w:val="21"/>
        </w:rPr>
        <w:t>2.领会</w:t>
      </w:r>
      <w:r>
        <w:rPr>
          <w:rFonts w:hint="eastAsia" w:ascii="宋体" w:hAnsi="宋体"/>
          <w:szCs w:val="21"/>
        </w:rPr>
        <w:t>：</w:t>
      </w:r>
      <w:r>
        <w:rPr>
          <w:rFonts w:hint="eastAsia"/>
          <w:kern w:val="0"/>
          <w:szCs w:val="21"/>
        </w:rPr>
        <w:t>生物技术发展历程和体细胞突变体的筛选；</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kern w:val="0"/>
          <w:szCs w:val="21"/>
        </w:rPr>
        <w:t>组织和器官培养的类型；</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kern w:val="0"/>
          <w:szCs w:val="21"/>
        </w:rPr>
        <w:t>花药培养的基本程序；</w:t>
      </w:r>
    </w:p>
    <w:p>
      <w:pPr>
        <w:snapToGrid w:val="0"/>
        <w:spacing w:line="360" w:lineRule="auto"/>
        <w:ind w:firstLine="422" w:firstLineChars="200"/>
        <w:rPr>
          <w:szCs w:val="21"/>
        </w:rPr>
      </w:pPr>
      <w:r>
        <w:rPr>
          <w:rFonts w:hint="eastAsia" w:ascii="宋体" w:hAnsi="宋体"/>
          <w:b/>
          <w:szCs w:val="21"/>
        </w:rPr>
        <w:t>5.综合</w:t>
      </w:r>
      <w:r>
        <w:rPr>
          <w:rFonts w:hint="eastAsia" w:ascii="宋体" w:hAnsi="宋体"/>
          <w:szCs w:val="21"/>
        </w:rPr>
        <w:t>：细胞工程、</w:t>
      </w:r>
      <w:r>
        <w:rPr>
          <w:rFonts w:hint="eastAsia"/>
          <w:szCs w:val="21"/>
        </w:rPr>
        <w:t>基因工程、分子标记原理及在育种中应用；</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szCs w:val="21"/>
        </w:rPr>
        <w:t>原生质体培养方法及优缺点。</w:t>
      </w:r>
    </w:p>
    <w:p>
      <w:pPr>
        <w:snapToGrid w:val="0"/>
        <w:spacing w:line="360" w:lineRule="auto"/>
        <w:jc w:val="center"/>
        <w:rPr>
          <w:rFonts w:cs="宋体"/>
          <w:b/>
          <w:bCs/>
          <w:kern w:val="0"/>
          <w:szCs w:val="21"/>
        </w:rPr>
      </w:pPr>
      <w:r>
        <w:rPr>
          <w:rFonts w:hint="eastAsia"/>
          <w:b/>
          <w:bCs/>
          <w:szCs w:val="21"/>
        </w:rPr>
        <w:t xml:space="preserve">第十二章  </w:t>
      </w:r>
      <w:r>
        <w:rPr>
          <w:rFonts w:hint="eastAsia" w:cs="宋体"/>
          <w:b/>
          <w:bCs/>
          <w:kern w:val="0"/>
          <w:szCs w:val="21"/>
        </w:rPr>
        <w:t>品种审定、保护与良种繁育</w:t>
      </w:r>
    </w:p>
    <w:p>
      <w:pPr>
        <w:snapToGrid w:val="0"/>
        <w:spacing w:line="360" w:lineRule="auto"/>
        <w:rPr>
          <w:rFonts w:ascii="宋体" w:hAnsi="宋体"/>
          <w:b/>
          <w:szCs w:val="21"/>
        </w:rPr>
      </w:pPr>
      <w:r>
        <w:rPr>
          <w:rFonts w:hint="eastAsia" w:ascii="宋体" w:hAnsi="宋体"/>
          <w:b/>
          <w:szCs w:val="21"/>
        </w:rPr>
        <w:t>（一）学习目标</w:t>
      </w:r>
    </w:p>
    <w:p>
      <w:pPr>
        <w:pStyle w:val="20"/>
        <w:wordWrap w:val="0"/>
        <w:spacing w:before="0" w:beforeAutospacing="0" w:after="0" w:afterAutospacing="0" w:line="360" w:lineRule="auto"/>
        <w:ind w:firstLine="422" w:firstLineChars="200"/>
        <w:rPr>
          <w:rFonts w:cs="Times New Roman" w:asciiTheme="minorEastAsia" w:hAnsiTheme="minorEastAsia" w:eastAsiaTheme="minorEastAsia"/>
          <w:kern w:val="2"/>
          <w:sz w:val="21"/>
          <w:szCs w:val="21"/>
        </w:rPr>
      </w:pPr>
      <w:r>
        <w:rPr>
          <w:rFonts w:hint="eastAsia" w:ascii="宋体" w:hAnsi="宋体" w:eastAsia="宋体" w:cs="Times New Roman"/>
          <w:b/>
          <w:kern w:val="2"/>
          <w:sz w:val="21"/>
          <w:szCs w:val="21"/>
        </w:rPr>
        <w:t>1. 一般了解：</w:t>
      </w:r>
      <w:r>
        <w:rPr>
          <w:rFonts w:asciiTheme="minorEastAsia" w:hAnsiTheme="minorEastAsia" w:eastAsiaTheme="minorEastAsia"/>
          <w:sz w:val="21"/>
          <w:szCs w:val="21"/>
        </w:rPr>
        <w:t>了解品种登录的概念和作用</w:t>
      </w:r>
      <w:r>
        <w:rPr>
          <w:rFonts w:hint="eastAsia" w:asciiTheme="minorEastAsia" w:hAnsiTheme="minorEastAsia" w:eastAsiaTheme="minorEastAsia"/>
          <w:sz w:val="21"/>
          <w:szCs w:val="21"/>
        </w:rPr>
        <w:t>和</w:t>
      </w:r>
      <w:r>
        <w:rPr>
          <w:rFonts w:asciiTheme="minorEastAsia" w:hAnsiTheme="minorEastAsia" w:eastAsiaTheme="minorEastAsia"/>
          <w:sz w:val="21"/>
          <w:szCs w:val="21"/>
        </w:rPr>
        <w:t>申请保护的品种必须具备的条件</w:t>
      </w:r>
      <w:r>
        <w:rPr>
          <w:rFonts w:hint="eastAsia" w:asciiTheme="minorEastAsia" w:hAnsiTheme="minorEastAsia" w:eastAsiaTheme="minorEastAsia"/>
          <w:sz w:val="21"/>
          <w:szCs w:val="21"/>
        </w:rPr>
        <w:t>。</w:t>
      </w:r>
    </w:p>
    <w:p>
      <w:pPr>
        <w:pStyle w:val="20"/>
        <w:wordWrap w:val="0"/>
        <w:spacing w:before="0" w:beforeAutospacing="0" w:after="0" w:afterAutospacing="0" w:line="360" w:lineRule="auto"/>
        <w:ind w:firstLine="422" w:firstLineChars="200"/>
        <w:rPr>
          <w:rFonts w:asciiTheme="minorEastAsia" w:hAnsiTheme="minorEastAsia" w:eastAsiaTheme="minorEastAsia"/>
          <w:sz w:val="21"/>
          <w:szCs w:val="21"/>
        </w:rPr>
      </w:pPr>
      <w:r>
        <w:rPr>
          <w:rFonts w:hint="eastAsia" w:ascii="宋体" w:hAnsi="宋体"/>
          <w:b/>
          <w:sz w:val="21"/>
          <w:szCs w:val="21"/>
        </w:rPr>
        <w:t xml:space="preserve">2. </w:t>
      </w:r>
      <w:r>
        <w:rPr>
          <w:rFonts w:hint="eastAsia" w:asciiTheme="minorEastAsia" w:hAnsiTheme="minorEastAsia" w:eastAsiaTheme="minorEastAsia"/>
          <w:b/>
          <w:sz w:val="21"/>
          <w:szCs w:val="21"/>
        </w:rPr>
        <w:t>一般掌握</w:t>
      </w:r>
      <w:r>
        <w:rPr>
          <w:rFonts w:hint="eastAsia" w:asciiTheme="minorEastAsia" w:hAnsiTheme="minorEastAsia" w:eastAsiaTheme="minorEastAsia"/>
          <w:sz w:val="21"/>
          <w:szCs w:val="21"/>
        </w:rPr>
        <w:t>：</w:t>
      </w:r>
      <w:r>
        <w:rPr>
          <w:rFonts w:asciiTheme="minorEastAsia" w:hAnsiTheme="minorEastAsia" w:eastAsiaTheme="minorEastAsia"/>
          <w:sz w:val="21"/>
          <w:szCs w:val="21"/>
        </w:rPr>
        <w:t>良种繁育的概念和作用；申请保护的品种必须具备的条件；品种退化的概念和防止品种退化的措施</w:t>
      </w:r>
      <w:r>
        <w:rPr>
          <w:rFonts w:hint="eastAsia" w:asciiTheme="minorEastAsia" w:hAnsiTheme="minorEastAsia" w:eastAsiaTheme="minorEastAsia"/>
          <w:sz w:val="21"/>
          <w:szCs w:val="21"/>
        </w:rPr>
        <w:t>。</w:t>
      </w:r>
    </w:p>
    <w:p>
      <w:pPr>
        <w:snapToGrid w:val="0"/>
        <w:spacing w:line="360" w:lineRule="auto"/>
        <w:ind w:firstLine="422" w:firstLineChars="200"/>
        <w:rPr>
          <w:kern w:val="0"/>
          <w:szCs w:val="21"/>
        </w:rPr>
      </w:pPr>
      <w:r>
        <w:rPr>
          <w:rFonts w:hint="eastAsia" w:ascii="宋体" w:hAnsi="宋体"/>
          <w:b/>
          <w:szCs w:val="21"/>
        </w:rPr>
        <w:t>3. 熟练掌握</w:t>
      </w:r>
      <w:r>
        <w:rPr>
          <w:rFonts w:hint="eastAsia" w:ascii="宋体" w:hAnsi="宋体"/>
          <w:szCs w:val="21"/>
        </w:rPr>
        <w:t>：</w:t>
      </w:r>
      <w:r>
        <w:rPr>
          <w:rFonts w:hint="eastAsia"/>
          <w:kern w:val="0"/>
          <w:szCs w:val="21"/>
        </w:rPr>
        <w:t>掌握</w:t>
      </w:r>
      <w:r>
        <w:rPr>
          <w:kern w:val="0"/>
          <w:szCs w:val="21"/>
        </w:rPr>
        <w:t>品种审定的程序；无性繁殖</w:t>
      </w:r>
      <w:r>
        <w:rPr>
          <w:rFonts w:hint="eastAsia"/>
          <w:kern w:val="0"/>
          <w:szCs w:val="21"/>
        </w:rPr>
        <w:t>和</w:t>
      </w:r>
      <w:r>
        <w:rPr>
          <w:kern w:val="0"/>
          <w:szCs w:val="21"/>
        </w:rPr>
        <w:t>有性繁殖园艺植物良种繁育的措施。</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kern w:val="0"/>
          <w:szCs w:val="21"/>
        </w:rPr>
      </w:pPr>
      <w:r>
        <w:rPr>
          <w:kern w:val="0"/>
          <w:szCs w:val="21"/>
        </w:rPr>
        <w:t>品种退化的概念和防止品种退化的措施</w:t>
      </w:r>
      <w:r>
        <w:rPr>
          <w:rFonts w:hint="eastAsia"/>
          <w:kern w:val="0"/>
          <w:szCs w:val="21"/>
        </w:rPr>
        <w:t>；</w:t>
      </w:r>
      <w:r>
        <w:rPr>
          <w:kern w:val="0"/>
          <w:szCs w:val="21"/>
        </w:rPr>
        <w:t>品种审定的程序；无性繁殖园艺植物良种繁育的措施；有性繁殖园艺植物良种繁育的措施。</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kern w:val="0"/>
          <w:szCs w:val="21"/>
        </w:rPr>
        <w:t>良种繁育的概念和作用；品种退化的概念</w:t>
      </w:r>
      <w:r>
        <w:rPr>
          <w:rFonts w:hint="eastAsia"/>
          <w:kern w:val="0"/>
          <w:szCs w:val="21"/>
        </w:rPr>
        <w:t>；</w:t>
      </w:r>
    </w:p>
    <w:p>
      <w:pPr>
        <w:snapToGrid w:val="0"/>
        <w:spacing w:line="360" w:lineRule="auto"/>
        <w:ind w:firstLine="422" w:firstLineChars="200"/>
        <w:rPr>
          <w:kern w:val="0"/>
          <w:szCs w:val="21"/>
        </w:rPr>
      </w:pPr>
      <w:r>
        <w:rPr>
          <w:rFonts w:hint="eastAsia" w:ascii="宋体" w:hAnsi="宋体"/>
          <w:b/>
          <w:szCs w:val="21"/>
        </w:rPr>
        <w:t>2.领会</w:t>
      </w:r>
      <w:r>
        <w:rPr>
          <w:rFonts w:hint="eastAsia" w:ascii="宋体" w:hAnsi="宋体"/>
          <w:szCs w:val="21"/>
        </w:rPr>
        <w:t>：</w:t>
      </w:r>
      <w:r>
        <w:rPr>
          <w:kern w:val="0"/>
          <w:szCs w:val="21"/>
        </w:rPr>
        <w:t>品种登录的概念和作用</w:t>
      </w:r>
      <w:r>
        <w:rPr>
          <w:rFonts w:hint="eastAsia"/>
          <w:kern w:val="0"/>
          <w:szCs w:val="21"/>
        </w:rPr>
        <w:t>和</w:t>
      </w:r>
      <w:r>
        <w:rPr>
          <w:kern w:val="0"/>
          <w:szCs w:val="21"/>
        </w:rPr>
        <w:t>申请保护的品种必须具备的条件</w:t>
      </w:r>
      <w:r>
        <w:rPr>
          <w:rFonts w:hint="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kern w:val="0"/>
          <w:szCs w:val="21"/>
        </w:rPr>
        <w:t>品种审定的程序</w:t>
      </w:r>
      <w:r>
        <w:rPr>
          <w:rFonts w:hint="eastAsia"/>
          <w:kern w:val="0"/>
          <w:szCs w:val="21"/>
        </w:rPr>
        <w:t>；</w:t>
      </w:r>
    </w:p>
    <w:p>
      <w:pPr>
        <w:snapToGrid w:val="0"/>
        <w:spacing w:line="360" w:lineRule="auto"/>
        <w:ind w:firstLine="422" w:firstLineChars="200"/>
        <w:rPr>
          <w:rFonts w:ascii="宋体" w:hAnsi="宋体"/>
          <w:b/>
          <w:szCs w:val="21"/>
        </w:rPr>
      </w:pPr>
      <w:r>
        <w:rPr>
          <w:rFonts w:hint="eastAsia" w:ascii="宋体" w:hAnsi="宋体"/>
          <w:b/>
          <w:szCs w:val="21"/>
        </w:rPr>
        <w:t>4.分析：</w:t>
      </w:r>
      <w:r>
        <w:rPr>
          <w:kern w:val="0"/>
          <w:szCs w:val="21"/>
        </w:rPr>
        <w:t>品种退化的</w:t>
      </w:r>
      <w:r>
        <w:rPr>
          <w:rFonts w:hint="eastAsia"/>
          <w:kern w:val="0"/>
          <w:szCs w:val="21"/>
        </w:rPr>
        <w:t>原因；</w:t>
      </w:r>
    </w:p>
    <w:p>
      <w:pPr>
        <w:snapToGrid w:val="0"/>
        <w:spacing w:line="360" w:lineRule="auto"/>
        <w:ind w:firstLine="422" w:firstLineChars="200"/>
        <w:rPr>
          <w:kern w:val="0"/>
          <w:szCs w:val="21"/>
        </w:rPr>
      </w:pPr>
      <w:r>
        <w:rPr>
          <w:rFonts w:hint="eastAsia" w:ascii="宋体" w:hAnsi="宋体"/>
          <w:b/>
          <w:szCs w:val="21"/>
        </w:rPr>
        <w:t>5.综合</w:t>
      </w:r>
      <w:r>
        <w:rPr>
          <w:rFonts w:hint="eastAsia" w:ascii="宋体" w:hAnsi="宋体"/>
          <w:szCs w:val="21"/>
        </w:rPr>
        <w:t>：</w:t>
      </w:r>
      <w:r>
        <w:rPr>
          <w:kern w:val="0"/>
          <w:szCs w:val="21"/>
        </w:rPr>
        <w:t>无性繁殖园艺植物良种繁育的措施；有性繁殖园艺植物良种繁育的措施</w:t>
      </w:r>
      <w:r>
        <w:rPr>
          <w:rFonts w:hint="eastAsia"/>
          <w:kern w:val="0"/>
          <w:szCs w:val="21"/>
        </w:rPr>
        <w:t>；</w:t>
      </w:r>
    </w:p>
    <w:p>
      <w:pPr>
        <w:snapToGrid w:val="0"/>
        <w:spacing w:line="360" w:lineRule="auto"/>
        <w:ind w:firstLine="422" w:firstLineChars="200"/>
        <w:rPr>
          <w:kern w:val="0"/>
          <w:szCs w:val="21"/>
        </w:rPr>
      </w:pPr>
      <w:r>
        <w:rPr>
          <w:rFonts w:hint="eastAsia" w:ascii="宋体" w:hAnsi="宋体"/>
          <w:b/>
          <w:szCs w:val="21"/>
        </w:rPr>
        <w:t>6.评价：</w:t>
      </w:r>
      <w:r>
        <w:rPr>
          <w:rFonts w:hint="eastAsia"/>
          <w:kern w:val="0"/>
          <w:szCs w:val="21"/>
        </w:rPr>
        <w:t>防止品种退化的措施。</w:t>
      </w:r>
    </w:p>
    <w:p>
      <w:pPr>
        <w:snapToGrid w:val="0"/>
        <w:spacing w:line="360" w:lineRule="auto"/>
        <w:ind w:firstLine="422" w:firstLineChars="200"/>
        <w:rPr>
          <w:rFonts w:hAnsi="宋体"/>
          <w:b/>
        </w:rPr>
      </w:pPr>
    </w:p>
    <w:p>
      <w:pPr>
        <w:snapToGrid w:val="0"/>
        <w:spacing w:line="360" w:lineRule="auto"/>
        <w:rPr>
          <w:rFonts w:ascii="宋体" w:hAnsi="宋体"/>
          <w:b/>
          <w:szCs w:val="21"/>
        </w:rPr>
      </w:pPr>
      <w:r>
        <w:rPr>
          <w:rFonts w:hint="eastAsia" w:ascii="宋体" w:hAnsi="宋体"/>
          <w:b/>
          <w:szCs w:val="21"/>
        </w:rPr>
        <w:t>三、实验、实习教学部分的考核要求</w:t>
      </w:r>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1.</w:t>
      </w:r>
      <w:r>
        <w:rPr>
          <w:rFonts w:hint="eastAsia" w:ascii="宋体" w:hAnsi="宋体"/>
          <w:bCs/>
          <w:szCs w:val="21"/>
        </w:rPr>
        <w:t>实验采用实验过程操作评价考核和实验报告作为成绩评定依据。</w:t>
      </w:r>
    </w:p>
    <w:p>
      <w:pPr>
        <w:spacing w:line="360" w:lineRule="auto"/>
        <w:ind w:firstLine="420" w:firstLineChars="200"/>
        <w:rPr>
          <w:rFonts w:ascii="宋体" w:hAnsi="宋体" w:cs="宋体"/>
          <w:bCs/>
          <w:kern w:val="0"/>
          <w:szCs w:val="21"/>
        </w:rPr>
      </w:pPr>
      <w:r>
        <w:rPr>
          <w:rFonts w:hint="eastAsia" w:ascii="宋体" w:hAnsi="宋体" w:cs="宋体"/>
          <w:bCs/>
          <w:kern w:val="0"/>
          <w:szCs w:val="21"/>
        </w:rPr>
        <w:t>2.实习</w:t>
      </w:r>
      <w:r>
        <w:rPr>
          <w:rFonts w:hint="eastAsia" w:hAnsi="华文细黑" w:cs="宋体"/>
          <w:szCs w:val="21"/>
        </w:rPr>
        <w:t>采</w:t>
      </w:r>
      <w:r>
        <w:rPr>
          <w:rFonts w:hint="eastAsia" w:ascii="宋体" w:hAnsi="宋体"/>
          <w:szCs w:val="21"/>
        </w:rPr>
        <w:t>用现场考察考核和批改实习报告的方式进行成绩评定。</w:t>
      </w:r>
    </w:p>
    <w:p>
      <w:pPr>
        <w:snapToGrid w:val="0"/>
        <w:spacing w:line="360" w:lineRule="auto"/>
        <w:rPr>
          <w:rFonts w:ascii="宋体" w:hAnsi="宋体"/>
          <w:b/>
          <w:szCs w:val="21"/>
        </w:rPr>
      </w:pPr>
      <w:r>
        <w:rPr>
          <w:rFonts w:hint="eastAsia" w:ascii="宋体" w:hAnsi="宋体"/>
          <w:b/>
          <w:szCs w:val="21"/>
        </w:rPr>
        <w:t>四、考核方式</w:t>
      </w:r>
    </w:p>
    <w:p>
      <w:pPr>
        <w:snapToGrid w:val="0"/>
        <w:spacing w:line="360" w:lineRule="auto"/>
        <w:ind w:firstLine="420" w:firstLineChars="200"/>
        <w:rPr>
          <w:szCs w:val="21"/>
        </w:rPr>
      </w:pPr>
      <w:r>
        <w:rPr>
          <w:rFonts w:hint="eastAsia" w:ascii="宋体" w:hAnsi="宋体"/>
          <w:bCs/>
          <w:szCs w:val="21"/>
        </w:rPr>
        <w:t>1.期末考试，闭卷，考试</w:t>
      </w:r>
      <w:r>
        <w:rPr>
          <w:rFonts w:hint="eastAsia"/>
          <w:szCs w:val="21"/>
        </w:rPr>
        <w:t>时间2小时。</w:t>
      </w:r>
    </w:p>
    <w:p>
      <w:pPr>
        <w:snapToGrid w:val="0"/>
        <w:spacing w:line="360" w:lineRule="auto"/>
        <w:ind w:firstLine="420" w:firstLineChars="200"/>
        <w:rPr>
          <w:szCs w:val="21"/>
        </w:rPr>
      </w:pPr>
      <w:r>
        <w:rPr>
          <w:rFonts w:hint="eastAsia"/>
          <w:szCs w:val="21"/>
        </w:rPr>
        <w:t>2</w:t>
      </w:r>
      <w:r>
        <w:rPr>
          <w:rFonts w:hint="eastAsia" w:ascii="宋体" w:hAnsi="宋体"/>
          <w:bCs/>
          <w:szCs w:val="21"/>
        </w:rPr>
        <w:t>.</w:t>
      </w:r>
      <w:r>
        <w:rPr>
          <w:rFonts w:hint="eastAsia"/>
          <w:szCs w:val="21"/>
        </w:rPr>
        <w:t>期中考试，</w:t>
      </w:r>
      <w:r>
        <w:rPr>
          <w:rFonts w:hint="eastAsia" w:ascii="宋体" w:hAnsi="宋体"/>
          <w:bCs/>
          <w:szCs w:val="21"/>
        </w:rPr>
        <w:t>闭卷，考试</w:t>
      </w:r>
      <w:r>
        <w:rPr>
          <w:rFonts w:hint="eastAsia"/>
          <w:szCs w:val="21"/>
        </w:rPr>
        <w:t>时间2小时。</w:t>
      </w:r>
    </w:p>
    <w:p>
      <w:pPr>
        <w:snapToGrid w:val="0"/>
        <w:spacing w:line="360" w:lineRule="auto"/>
        <w:ind w:firstLine="420" w:firstLineChars="200"/>
        <w:rPr>
          <w:szCs w:val="21"/>
        </w:rPr>
      </w:pPr>
      <w:r>
        <w:rPr>
          <w:rFonts w:hint="eastAsia"/>
          <w:szCs w:val="21"/>
        </w:rPr>
        <w:t>3</w:t>
      </w:r>
      <w:r>
        <w:rPr>
          <w:rFonts w:hint="eastAsia" w:ascii="宋体" w:hAnsi="宋体"/>
          <w:bCs/>
          <w:szCs w:val="21"/>
        </w:rPr>
        <w:t>.</w:t>
      </w:r>
      <w:r>
        <w:rPr>
          <w:rFonts w:hint="eastAsia"/>
          <w:szCs w:val="21"/>
        </w:rPr>
        <w:t>过程性考核评价：结合线上平台，评价学生课堂表现（出勤情况、课堂提问回答情况、课堂讨论参与情况）和课后作业（每章结束后布置作业）。</w:t>
      </w:r>
    </w:p>
    <w:p>
      <w:pPr>
        <w:snapToGrid w:val="0"/>
        <w:spacing w:line="360" w:lineRule="auto"/>
        <w:ind w:firstLine="420" w:firstLineChars="200"/>
        <w:rPr>
          <w:szCs w:val="21"/>
        </w:rPr>
      </w:pPr>
      <w:r>
        <w:rPr>
          <w:rFonts w:hint="eastAsia"/>
          <w:szCs w:val="21"/>
        </w:rPr>
        <w:t>4</w:t>
      </w:r>
      <w:r>
        <w:rPr>
          <w:rFonts w:hint="eastAsia" w:ascii="宋体" w:hAnsi="宋体"/>
          <w:bCs/>
          <w:szCs w:val="21"/>
        </w:rPr>
        <w:t>.</w:t>
      </w:r>
      <w:r>
        <w:rPr>
          <w:rFonts w:hint="eastAsia"/>
          <w:szCs w:val="21"/>
        </w:rPr>
        <w:t>汇报：园艺植物育种学实验课程中育种目标内容，以小组为单位，</w:t>
      </w:r>
      <w:r>
        <w:rPr>
          <w:rFonts w:ascii="ˎ̥" w:hAnsi="ˎ̥"/>
          <w:szCs w:val="21"/>
        </w:rPr>
        <w:t>4-5</w:t>
      </w:r>
      <w:r>
        <w:rPr>
          <w:rFonts w:hint="eastAsia"/>
          <w:szCs w:val="21"/>
        </w:rPr>
        <w:t>人一个小组，每个组选择一种作物，详细检索相关的研究进展，制定育种目标，在课堂上通过</w:t>
      </w:r>
      <w:r>
        <w:rPr>
          <w:rFonts w:ascii="ˎ̥" w:hAnsi="ˎ̥"/>
          <w:szCs w:val="21"/>
        </w:rPr>
        <w:t>PPT</w:t>
      </w:r>
      <w:r>
        <w:rPr>
          <w:rFonts w:hint="eastAsia"/>
          <w:szCs w:val="21"/>
        </w:rPr>
        <w:t>汇报交流，指导教师评定，给出成绩。</w:t>
      </w:r>
    </w:p>
    <w:p>
      <w:pPr>
        <w:snapToGrid w:val="0"/>
        <w:spacing w:line="360" w:lineRule="auto"/>
        <w:ind w:firstLine="420" w:firstLineChars="200"/>
        <w:rPr>
          <w:szCs w:val="21"/>
        </w:rPr>
      </w:pPr>
      <w:r>
        <w:rPr>
          <w:rFonts w:hint="eastAsia"/>
          <w:szCs w:val="21"/>
        </w:rPr>
        <w:t>5</w:t>
      </w:r>
      <w:r>
        <w:rPr>
          <w:rFonts w:hint="eastAsia" w:ascii="宋体" w:hAnsi="宋体"/>
          <w:bCs/>
          <w:szCs w:val="21"/>
        </w:rPr>
        <w:t>.</w:t>
      </w:r>
      <w:r>
        <w:rPr>
          <w:rFonts w:hint="eastAsia"/>
          <w:szCs w:val="21"/>
        </w:rPr>
        <w:t>实验报告：根据实验课程安排，完成实验内容，获得实验数据，提交实验报告，作为重要的实践考核内容。</w:t>
      </w:r>
    </w:p>
    <w:p>
      <w:pPr>
        <w:snapToGrid w:val="0"/>
        <w:spacing w:line="360" w:lineRule="auto"/>
        <w:ind w:firstLine="420" w:firstLineChars="200"/>
        <w:rPr>
          <w:rFonts w:ascii="宋体" w:hAnsi="宋体"/>
          <w:b/>
          <w:szCs w:val="21"/>
        </w:rPr>
      </w:pPr>
      <w:r>
        <w:rPr>
          <w:rFonts w:hint="eastAsia"/>
          <w:szCs w:val="21"/>
        </w:rPr>
        <w:t>6</w:t>
      </w:r>
      <w:r>
        <w:rPr>
          <w:rFonts w:hint="eastAsia" w:ascii="宋体" w:hAnsi="宋体"/>
          <w:bCs/>
          <w:szCs w:val="21"/>
        </w:rPr>
        <w:t>.</w:t>
      </w:r>
      <w:r>
        <w:rPr>
          <w:rFonts w:hint="eastAsia"/>
          <w:szCs w:val="21"/>
        </w:rPr>
        <w:t>实习报告：根据实习内容，安排课程实习，每项实习结束后，提交实习报告，实习单独作为一门课程，记入学分。</w:t>
      </w:r>
    </w:p>
    <w:p>
      <w:pPr>
        <w:snapToGrid w:val="0"/>
        <w:spacing w:line="360" w:lineRule="auto"/>
        <w:rPr>
          <w:rFonts w:ascii="宋体" w:hAnsi="宋体"/>
          <w:b/>
          <w:szCs w:val="21"/>
        </w:rPr>
      </w:pPr>
      <w:r>
        <w:rPr>
          <w:rFonts w:hint="eastAsia" w:ascii="宋体" w:hAnsi="宋体"/>
          <w:b/>
          <w:szCs w:val="21"/>
        </w:rPr>
        <w:t>五、成绩评定</w:t>
      </w:r>
    </w:p>
    <w:p>
      <w:pPr>
        <w:snapToGrid w:val="0"/>
        <w:spacing w:line="360" w:lineRule="auto"/>
        <w:ind w:firstLine="420" w:firstLineChars="200"/>
        <w:rPr>
          <w:rFonts w:ascii="宋体" w:hAnsi="宋体"/>
          <w:bCs/>
          <w:szCs w:val="21"/>
        </w:rPr>
      </w:pPr>
      <w:r>
        <w:rPr>
          <w:rFonts w:hint="eastAsia" w:ascii="宋体" w:hAnsi="宋体"/>
          <w:szCs w:val="21"/>
        </w:rPr>
        <w:t>1.过程性考核：占比50%，过程性考核的评价方法：期中考试占30%，</w:t>
      </w:r>
      <w:r>
        <w:rPr>
          <w:rFonts w:hint="eastAsia" w:ascii="宋体" w:hAnsi="宋体"/>
          <w:bCs/>
          <w:szCs w:val="21"/>
        </w:rPr>
        <w:t>课堂表现（</w:t>
      </w:r>
      <w:r>
        <w:rPr>
          <w:rFonts w:hint="eastAsia"/>
          <w:szCs w:val="21"/>
        </w:rPr>
        <w:t>出勤情况、课堂提问回答情况、课堂讨论参与情况、</w:t>
      </w:r>
      <w:r>
        <w:rPr>
          <w:rFonts w:hint="eastAsia" w:ascii="宋体" w:hAnsi="宋体"/>
          <w:bCs/>
          <w:szCs w:val="21"/>
        </w:rPr>
        <w:t>线上平台作业）占比20%，分组汇报占比20%，实验实践占比20%。</w:t>
      </w:r>
    </w:p>
    <w:p>
      <w:pPr>
        <w:snapToGrid w:val="0"/>
        <w:spacing w:line="360" w:lineRule="auto"/>
        <w:ind w:firstLine="420" w:firstLineChars="200"/>
        <w:rPr>
          <w:rFonts w:ascii="宋体" w:hAnsi="宋体"/>
          <w:bCs/>
          <w:szCs w:val="21"/>
        </w:rPr>
      </w:pPr>
      <w:r>
        <w:rPr>
          <w:rFonts w:hint="eastAsia" w:ascii="宋体" w:hAnsi="宋体"/>
          <w:bCs/>
          <w:szCs w:val="21"/>
        </w:rPr>
        <w:t>2.期末成绩：闭卷考试，占比50%。</w:t>
      </w:r>
    </w:p>
    <w:p>
      <w:pPr>
        <w:snapToGrid w:val="0"/>
        <w:spacing w:line="360" w:lineRule="auto"/>
        <w:ind w:firstLine="420" w:firstLineChars="200"/>
        <w:rPr>
          <w:rFonts w:ascii="宋体" w:hAnsi="宋体"/>
          <w:szCs w:val="21"/>
        </w:rPr>
      </w:pPr>
      <w:r>
        <w:rPr>
          <w:rFonts w:hint="eastAsia" w:ascii="宋体" w:hAnsi="宋体"/>
          <w:szCs w:val="21"/>
        </w:rPr>
        <w:t>3.综合成绩：期末理论课考试成绩</w:t>
      </w:r>
      <w:r>
        <w:rPr>
          <w:rFonts w:hint="eastAsia" w:ascii="宋体" w:hAnsi="宋体"/>
          <w:bCs/>
          <w:szCs w:val="21"/>
        </w:rPr>
        <w:t>×5</w:t>
      </w:r>
      <w:r>
        <w:rPr>
          <w:rFonts w:hint="eastAsia" w:ascii="宋体" w:hAnsi="宋体"/>
          <w:szCs w:val="21"/>
        </w:rPr>
        <w:t>0%+过程性考核</w:t>
      </w:r>
      <w:r>
        <w:rPr>
          <w:rFonts w:hint="eastAsia" w:ascii="宋体" w:hAnsi="宋体"/>
          <w:bCs/>
          <w:szCs w:val="21"/>
        </w:rPr>
        <w:t>×</w:t>
      </w:r>
      <w:r>
        <w:rPr>
          <w:rFonts w:hint="eastAsia" w:ascii="宋体" w:hAnsi="宋体"/>
          <w:szCs w:val="21"/>
        </w:rPr>
        <w:t>50%。</w:t>
      </w:r>
    </w:p>
    <w:p>
      <w:pPr>
        <w:snapToGrid w:val="0"/>
        <w:spacing w:line="360" w:lineRule="auto"/>
        <w:rPr>
          <w:rFonts w:ascii="宋体" w:hAnsi="宋体"/>
          <w:b/>
          <w:szCs w:val="21"/>
        </w:rPr>
      </w:pPr>
      <w:r>
        <w:rPr>
          <w:rFonts w:hint="eastAsia" w:ascii="宋体" w:hAnsi="宋体"/>
          <w:b/>
          <w:szCs w:val="21"/>
        </w:rPr>
        <w:t>六、考核结果分析反馈</w:t>
      </w:r>
    </w:p>
    <w:p>
      <w:pPr>
        <w:snapToGrid w:val="0"/>
        <w:spacing w:line="360" w:lineRule="auto"/>
        <w:ind w:firstLine="420" w:firstLineChars="200"/>
        <w:rPr>
          <w:rFonts w:hAnsiTheme="minorEastAsia" w:eastAsiaTheme="minorEastAsia"/>
          <w:szCs w:val="21"/>
        </w:rPr>
      </w:pPr>
      <w:r>
        <w:rPr>
          <w:rFonts w:hint="eastAsia" w:hAnsiTheme="minorEastAsia" w:eastAsiaTheme="minorEastAsia"/>
          <w:szCs w:val="21"/>
        </w:rPr>
        <w:t>课程考核结果分析应包括各环节成绩分析、总评成绩分析和分析报告三部分。成绩分析应包括平均分、最高分、最低分、是否有不及格情况、是否符合正态分布等，主要体现课程成绩总体分布情况。分析报告应包括试题难易程度、学生答题情况分析、实践课程效果等进行总结分析并提出改进建议。</w:t>
      </w:r>
    </w:p>
    <w:p>
      <w:pPr>
        <w:snapToGrid w:val="0"/>
        <w:spacing w:line="360" w:lineRule="auto"/>
        <w:ind w:firstLine="420" w:firstLineChars="200"/>
        <w:rPr>
          <w:rFonts w:ascii="宋体" w:hAnsi="宋体"/>
          <w:bCs/>
          <w:szCs w:val="21"/>
        </w:rPr>
      </w:pPr>
      <w:r>
        <w:rPr>
          <w:rFonts w:hint="eastAsia" w:hAnsiTheme="minorEastAsia" w:eastAsiaTheme="minorEastAsia"/>
          <w:szCs w:val="21"/>
        </w:rPr>
        <w:t>针对考核结果中成绩严重偏态分布的情况，应及时调整教学内容、教学方法、强化过程性考核。针对试卷题型、难易程度不当的问题应认真总结，避免今后出现类似情况。针对部分学生不及格情况，要及时向学生了解学习中遇到的困难，防止补考成绩仍不理想。</w:t>
      </w:r>
    </w:p>
    <w:p>
      <w:pPr>
        <w:pStyle w:val="21"/>
        <w:rPr>
          <w:sz w:val="28"/>
        </w:rPr>
      </w:pPr>
      <w:bookmarkStart w:id="588" w:name="_Toc138076675"/>
      <w:bookmarkStart w:id="589" w:name="_Toc138076131"/>
    </w:p>
    <w:p/>
    <w:p>
      <w:pPr>
        <w:pStyle w:val="21"/>
        <w:rPr>
          <w:rFonts w:ascii="宋体" w:hAnsi="宋体"/>
          <w:sz w:val="28"/>
        </w:rPr>
      </w:pPr>
      <w:bookmarkStart w:id="590" w:name="_Toc26985"/>
      <w:r>
        <w:rPr>
          <w:rFonts w:hint="eastAsia"/>
          <w:sz w:val="28"/>
        </w:rPr>
        <w:t>蔬菜栽培学</w:t>
      </w:r>
      <w:r>
        <w:rPr>
          <w:rFonts w:hint="eastAsia" w:ascii="宋体" w:hAnsi="宋体"/>
          <w:sz w:val="28"/>
        </w:rPr>
        <w:t>考核大纲</w:t>
      </w:r>
      <w:bookmarkEnd w:id="588"/>
      <w:bookmarkEnd w:id="589"/>
      <w:bookmarkEnd w:id="590"/>
    </w:p>
    <w:p>
      <w:pPr>
        <w:snapToGrid w:val="0"/>
        <w:spacing w:line="360" w:lineRule="auto"/>
        <w:jc w:val="center"/>
        <w:rPr>
          <w:sz w:val="24"/>
        </w:rPr>
      </w:pPr>
      <w:r>
        <w:rPr>
          <w:sz w:val="24"/>
        </w:rPr>
        <w:t>（</w:t>
      </w:r>
      <w:r>
        <w:rPr>
          <w:rFonts w:hint="eastAsia" w:hAnsi="宋体" w:eastAsia="黑体" w:cs="宋体"/>
          <w:bCs/>
          <w:i w:val="0"/>
          <w:iCs/>
          <w:kern w:val="36"/>
          <w:sz w:val="24"/>
        </w:rPr>
        <w:t>Vegetable Culture</w:t>
      </w:r>
      <w:r>
        <w:rPr>
          <w:sz w:val="24"/>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课程编号：19011113</w:t>
            </w:r>
            <w:r>
              <w:rPr>
                <w:rFonts w:ascii="宋体" w:hAnsi="宋体"/>
                <w:b/>
                <w:bCs/>
                <w:szCs w:val="21"/>
              </w:rPr>
              <w:t>h</w:t>
            </w:r>
          </w:p>
        </w:tc>
        <w:tc>
          <w:tcPr>
            <w:tcW w:w="1234" w:type="pct"/>
          </w:tcPr>
          <w:p>
            <w:pPr>
              <w:spacing w:line="300" w:lineRule="auto"/>
              <w:rPr>
                <w:rFonts w:ascii="宋体" w:hAnsi="宋体"/>
                <w:b/>
                <w:bCs/>
                <w:szCs w:val="21"/>
              </w:rPr>
            </w:pPr>
            <w:r>
              <w:rPr>
                <w:rFonts w:hint="eastAsia" w:ascii="宋体" w:hAnsi="宋体"/>
                <w:b/>
                <w:bCs/>
                <w:szCs w:val="21"/>
              </w:rPr>
              <w:t>课程学时：72学时</w:t>
            </w:r>
          </w:p>
        </w:tc>
        <w:tc>
          <w:tcPr>
            <w:tcW w:w="2100" w:type="pct"/>
          </w:tcPr>
          <w:p>
            <w:pPr>
              <w:spacing w:line="300" w:lineRule="auto"/>
              <w:rPr>
                <w:rFonts w:ascii="宋体" w:hAnsi="宋体"/>
                <w:b/>
                <w:bCs/>
                <w:szCs w:val="21"/>
              </w:rPr>
            </w:pPr>
            <w:r>
              <w:rPr>
                <w:rFonts w:hint="eastAsia" w:ascii="宋体" w:hAnsi="宋体"/>
                <w:b/>
                <w:bCs/>
                <w:szCs w:val="21"/>
              </w:rPr>
              <w:t>课程学分：4.5分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主撰人：蔬菜栽培学课题组</w:t>
            </w:r>
          </w:p>
        </w:tc>
        <w:tc>
          <w:tcPr>
            <w:tcW w:w="1234" w:type="pct"/>
          </w:tcPr>
          <w:p>
            <w:pPr>
              <w:spacing w:line="300" w:lineRule="auto"/>
              <w:rPr>
                <w:rFonts w:ascii="宋体" w:hAnsi="宋体"/>
                <w:b/>
                <w:bCs/>
                <w:szCs w:val="21"/>
              </w:rPr>
            </w:pPr>
            <w:r>
              <w:rPr>
                <w:rFonts w:hint="eastAsia" w:ascii="宋体" w:hAnsi="宋体"/>
                <w:b/>
                <w:bCs/>
                <w:szCs w:val="21"/>
              </w:rPr>
              <w:t>审核人：刘珂珂</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591" w:name="_Toc138070738"/>
      <w:bookmarkStart w:id="592" w:name="_Toc138068438"/>
      <w:bookmarkStart w:id="593" w:name="_Toc138070467"/>
      <w:bookmarkStart w:id="594" w:name="_Toc27621"/>
      <w:bookmarkStart w:id="595" w:name="_Toc138076381"/>
      <w:bookmarkStart w:id="596" w:name="_Toc138068837"/>
      <w:bookmarkStart w:id="597" w:name="_Toc138076132"/>
      <w:bookmarkStart w:id="598" w:name="_Toc138076676"/>
      <w:r>
        <w:rPr>
          <w:rFonts w:hint="eastAsia" w:asciiTheme="majorEastAsia" w:hAnsiTheme="majorEastAsia" w:eastAsiaTheme="majorEastAsia" w:cstheme="majorEastAsia"/>
          <w:b/>
          <w:bCs/>
          <w:kern w:val="0"/>
          <w:szCs w:val="21"/>
        </w:rPr>
        <w:t>一、课程的性质和地位</w:t>
      </w:r>
      <w:bookmarkEnd w:id="591"/>
      <w:bookmarkEnd w:id="592"/>
      <w:bookmarkEnd w:id="593"/>
      <w:bookmarkEnd w:id="594"/>
      <w:bookmarkEnd w:id="595"/>
      <w:bookmarkEnd w:id="596"/>
      <w:bookmarkEnd w:id="597"/>
      <w:bookmarkEnd w:id="598"/>
    </w:p>
    <w:p>
      <w:pPr>
        <w:snapToGrid w:val="0"/>
        <w:spacing w:line="360" w:lineRule="auto"/>
        <w:ind w:firstLine="420" w:firstLineChars="200"/>
        <w:rPr>
          <w:rFonts w:ascii="宋体" w:hAnsi="宋体"/>
          <w:szCs w:val="21"/>
        </w:rPr>
      </w:pPr>
      <w:r>
        <w:rPr>
          <w:rFonts w:hint="eastAsia"/>
          <w:kern w:val="0"/>
          <w:szCs w:val="21"/>
        </w:rPr>
        <w:t>本课程是园艺专业的核心课程之一，是园艺专业必修的专业课，是研究蔬菜植物生长发育规律、与环境条件关系及栽培技术等内容的学科。主要培养学生掌握蔬菜栽培的基本理论和栽培技能，用科学的方法分析和解决蔬菜生产中存在的问题；使学生具备能够从事蔬菜科学研究、蔬菜生产技术指导及与蔬菜产业相关工作的知识和能力。</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599" w:name="_Toc138076382"/>
      <w:bookmarkStart w:id="600" w:name="_Toc138070468"/>
      <w:bookmarkStart w:id="601" w:name="_Toc6519"/>
      <w:bookmarkStart w:id="602" w:name="_Toc138068439"/>
      <w:bookmarkStart w:id="603" w:name="_Toc138076677"/>
      <w:bookmarkStart w:id="604" w:name="_Toc138076133"/>
      <w:bookmarkStart w:id="605" w:name="_Toc138070739"/>
      <w:bookmarkStart w:id="606" w:name="_Toc138068838"/>
      <w:r>
        <w:rPr>
          <w:rFonts w:hint="eastAsia" w:asciiTheme="majorEastAsia" w:hAnsiTheme="majorEastAsia" w:eastAsiaTheme="majorEastAsia" w:cstheme="majorEastAsia"/>
          <w:b/>
          <w:bCs/>
          <w:kern w:val="0"/>
          <w:szCs w:val="21"/>
        </w:rPr>
        <w:t>二、理论教学部分的考核目标</w:t>
      </w:r>
      <w:bookmarkEnd w:id="599"/>
      <w:bookmarkEnd w:id="600"/>
      <w:bookmarkEnd w:id="601"/>
      <w:bookmarkEnd w:id="602"/>
      <w:bookmarkEnd w:id="603"/>
      <w:bookmarkEnd w:id="604"/>
      <w:bookmarkEnd w:id="605"/>
      <w:bookmarkEnd w:id="606"/>
    </w:p>
    <w:p>
      <w:pPr>
        <w:snapToGrid w:val="0"/>
        <w:spacing w:line="360" w:lineRule="auto"/>
        <w:ind w:firstLine="420" w:firstLineChars="200"/>
        <w:rPr>
          <w:rFonts w:ascii="宋体" w:hAnsi="宋体"/>
          <w:szCs w:val="21"/>
        </w:rPr>
      </w:pPr>
      <w:r>
        <w:rPr>
          <w:rFonts w:hint="eastAsia" w:cs="宋体"/>
          <w:bCs/>
          <w:kern w:val="0"/>
          <w:szCs w:val="21"/>
        </w:rPr>
        <w:t>学习本课程的主要目的是使学生系统掌握蔬菜植物的生长发育规律及其对环境条件的要求，蔬菜育苗、菜田建设、茬口安排、水肥管理及植株调整等基本栽培技术和原理，</w:t>
      </w:r>
      <w:r>
        <w:rPr>
          <w:rFonts w:hint="eastAsia" w:ascii="宋体" w:hAnsi="宋体" w:cs="宋体"/>
          <w:kern w:val="0"/>
          <w:szCs w:val="21"/>
        </w:rPr>
        <w:t>掌握各种蔬菜的生物学特性及其栽培技术、各项栽培技术与蔬菜生物学特性的联系，学会根据蔬菜生物学特性理论联系实际地制定栽培技术措施。</w:t>
      </w:r>
      <w:r>
        <w:rPr>
          <w:rFonts w:hint="eastAsia" w:cs="宋体"/>
          <w:bCs/>
          <w:kern w:val="0"/>
          <w:szCs w:val="21"/>
        </w:rPr>
        <w:t>主要任务是利用现代生物科学理论和先进的管理技术来协调蔬菜、土壤、气象三者的关系，创造适宜蔬菜生长的环境条件，以获得高产、优质、安全卫生的蔬菜产品。</w:t>
      </w:r>
    </w:p>
    <w:p>
      <w:pPr>
        <w:adjustRightInd w:val="0"/>
        <w:snapToGrid w:val="0"/>
        <w:spacing w:line="360" w:lineRule="auto"/>
        <w:ind w:firstLine="3584" w:firstLineChars="1700"/>
        <w:rPr>
          <w:rFonts w:ascii="黑体" w:hAnsi="宋体" w:eastAsia="黑体"/>
          <w:b/>
          <w:szCs w:val="21"/>
        </w:rPr>
      </w:pPr>
      <w:r>
        <w:rPr>
          <w:rFonts w:hint="eastAsia" w:ascii="宋体" w:hAnsi="宋体"/>
          <w:b/>
          <w:szCs w:val="21"/>
        </w:rPr>
        <w:t>绪 论</w:t>
      </w:r>
    </w:p>
    <w:p>
      <w:pPr>
        <w:adjustRightInd w:val="0"/>
        <w:snapToGrid w:val="0"/>
        <w:spacing w:line="360" w:lineRule="auto"/>
        <w:rPr>
          <w:rFonts w:ascii="黑体" w:hAnsi="宋体" w:eastAsia="黑体"/>
          <w:szCs w:val="21"/>
        </w:rPr>
      </w:pPr>
      <w:r>
        <w:rPr>
          <w:rFonts w:hint="eastAsia" w:ascii="宋体" w:hAnsi="宋体"/>
          <w:b/>
          <w:szCs w:val="21"/>
        </w:rPr>
        <w:t>（一）学习目标</w:t>
      </w:r>
      <w:r>
        <w:rPr>
          <w:rFonts w:hint="eastAsia" w:ascii="黑体" w:hAnsi="宋体" w:eastAsia="黑体"/>
          <w:szCs w:val="21"/>
        </w:rPr>
        <w:t xml:space="preserve"> </w:t>
      </w:r>
    </w:p>
    <w:p>
      <w:pPr>
        <w:adjustRightInd w:val="0"/>
        <w:snapToGrid w:val="0"/>
        <w:spacing w:line="360" w:lineRule="auto"/>
        <w:ind w:firstLine="422" w:firstLineChars="200"/>
        <w:rPr>
          <w:rFonts w:ascii="黑体" w:hAnsi="宋体" w:eastAsia="黑体"/>
          <w:szCs w:val="21"/>
        </w:rPr>
      </w:pPr>
      <w:r>
        <w:rPr>
          <w:rFonts w:hint="eastAsia" w:ascii="宋体" w:hAnsi="宋体"/>
          <w:b/>
          <w:szCs w:val="21"/>
        </w:rPr>
        <w:t>1. 一般了解</w:t>
      </w:r>
      <w:r>
        <w:rPr>
          <w:rFonts w:hint="eastAsia" w:ascii="宋体" w:hAnsi="宋体"/>
          <w:szCs w:val="21"/>
        </w:rPr>
        <w:t>：蔬菜产业发展的历史和现状，蔬菜生产和供应的特点，蔬菜产业发展趋势。</w:t>
      </w:r>
    </w:p>
    <w:p>
      <w:pPr>
        <w:adjustRightInd w:val="0"/>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：蔬菜的概念；蔬菜在人们生活，农业生产和国民经济中的地位和作用。</w:t>
      </w:r>
    </w:p>
    <w:p>
      <w:pPr>
        <w:adjustRightInd w:val="0"/>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：蔬菜的概念范畴；蔬菜的营养价值。</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bCs/>
          <w:szCs w:val="21"/>
        </w:rPr>
        <w:t>：</w:t>
      </w:r>
      <w:r>
        <w:rPr>
          <w:rFonts w:hint="eastAsia"/>
          <w:szCs w:val="21"/>
        </w:rPr>
        <w:t>蔬菜的概念；</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bCs/>
          <w:szCs w:val="21"/>
        </w:rPr>
        <w:t>：</w:t>
      </w:r>
      <w:r>
        <w:rPr>
          <w:rFonts w:hint="eastAsia"/>
          <w:szCs w:val="21"/>
        </w:rPr>
        <w:t>蔬菜的营养价值；蔬菜生产和供应的特点；</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szCs w:val="21"/>
        </w:rPr>
        <w:t>我国蔬菜产销现状。</w:t>
      </w:r>
    </w:p>
    <w:p>
      <w:pPr>
        <w:adjustRightInd w:val="0"/>
        <w:snapToGrid w:val="0"/>
        <w:spacing w:line="360" w:lineRule="auto"/>
        <w:rPr>
          <w:rFonts w:ascii="宋体" w:hAnsi="宋体"/>
          <w:b/>
          <w:szCs w:val="21"/>
        </w:rPr>
      </w:pPr>
      <w:r>
        <w:rPr>
          <w:rFonts w:hint="eastAsia" w:ascii="宋体" w:hAnsi="宋体"/>
          <w:b/>
          <w:szCs w:val="21"/>
        </w:rPr>
        <w:t>（三）考核要求</w:t>
      </w:r>
    </w:p>
    <w:p>
      <w:pPr>
        <w:adjustRightInd w:val="0"/>
        <w:snapToGrid w:val="0"/>
        <w:spacing w:line="360" w:lineRule="auto"/>
        <w:ind w:firstLine="422" w:firstLineChars="200"/>
        <w:rPr>
          <w:szCs w:val="21"/>
        </w:rPr>
      </w:pPr>
      <w:r>
        <w:rPr>
          <w:rFonts w:hint="eastAsia"/>
          <w:b/>
          <w:szCs w:val="21"/>
        </w:rPr>
        <w:t>1.</w:t>
      </w:r>
      <w:r>
        <w:rPr>
          <w:rFonts w:hint="eastAsia"/>
          <w:b/>
          <w:bCs/>
          <w:szCs w:val="21"/>
        </w:rPr>
        <w:t>识记</w:t>
      </w:r>
      <w:r>
        <w:rPr>
          <w:rFonts w:hint="eastAsia" w:ascii="宋体" w:hAnsi="宋体"/>
          <w:szCs w:val="21"/>
        </w:rPr>
        <w:t>：</w:t>
      </w:r>
      <w:r>
        <w:rPr>
          <w:rFonts w:hint="eastAsia"/>
          <w:szCs w:val="21"/>
        </w:rPr>
        <w:t>理解蔬菜的概念。</w:t>
      </w:r>
    </w:p>
    <w:p>
      <w:pPr>
        <w:adjustRightInd w:val="0"/>
        <w:snapToGrid w:val="0"/>
        <w:spacing w:line="360" w:lineRule="auto"/>
        <w:ind w:firstLine="422" w:firstLineChars="200"/>
        <w:rPr>
          <w:szCs w:val="21"/>
        </w:rPr>
      </w:pPr>
      <w:r>
        <w:rPr>
          <w:rFonts w:hint="eastAsia"/>
          <w:b/>
          <w:szCs w:val="21"/>
        </w:rPr>
        <w:t>2.</w:t>
      </w:r>
      <w:r>
        <w:rPr>
          <w:rFonts w:hint="eastAsia"/>
          <w:b/>
          <w:bCs/>
          <w:szCs w:val="21"/>
        </w:rPr>
        <w:t>领会</w:t>
      </w:r>
      <w:r>
        <w:rPr>
          <w:rFonts w:hint="eastAsia" w:ascii="宋体" w:hAnsi="宋体"/>
          <w:szCs w:val="21"/>
        </w:rPr>
        <w:t>：</w:t>
      </w:r>
      <w:r>
        <w:rPr>
          <w:rFonts w:hint="eastAsia"/>
          <w:szCs w:val="21"/>
        </w:rPr>
        <w:t>蔬菜有哪些营养价值。</w:t>
      </w:r>
    </w:p>
    <w:p>
      <w:pPr>
        <w:adjustRightInd w:val="0"/>
        <w:snapToGrid w:val="0"/>
        <w:spacing w:line="360" w:lineRule="auto"/>
        <w:ind w:firstLine="422" w:firstLineChars="200"/>
        <w:rPr>
          <w:szCs w:val="21"/>
        </w:rPr>
      </w:pPr>
      <w:r>
        <w:rPr>
          <w:rFonts w:hint="eastAsia"/>
          <w:b/>
          <w:szCs w:val="21"/>
        </w:rPr>
        <w:t>3.</w:t>
      </w:r>
      <w:r>
        <w:rPr>
          <w:rFonts w:hint="eastAsia"/>
          <w:b/>
          <w:bCs/>
          <w:szCs w:val="21"/>
        </w:rPr>
        <w:t>应用：</w:t>
      </w:r>
      <w:r>
        <w:rPr>
          <w:rFonts w:hint="eastAsia"/>
          <w:szCs w:val="21"/>
        </w:rPr>
        <w:t>蔬菜生产和供应的特点。</w:t>
      </w:r>
    </w:p>
    <w:p>
      <w:pPr>
        <w:adjustRightInd w:val="0"/>
        <w:snapToGrid w:val="0"/>
        <w:spacing w:line="360" w:lineRule="auto"/>
        <w:ind w:firstLine="422" w:firstLineChars="200"/>
        <w:rPr>
          <w:szCs w:val="21"/>
        </w:rPr>
      </w:pPr>
      <w:r>
        <w:rPr>
          <w:rFonts w:hint="eastAsia" w:ascii="宋体" w:hAnsi="宋体"/>
          <w:b/>
          <w:szCs w:val="21"/>
        </w:rPr>
        <w:t>4.分析：</w:t>
      </w:r>
      <w:r>
        <w:rPr>
          <w:rFonts w:hint="eastAsia" w:ascii="宋体" w:hAnsi="宋体"/>
          <w:szCs w:val="21"/>
        </w:rPr>
        <w:t>蔬菜</w:t>
      </w:r>
      <w:r>
        <w:rPr>
          <w:rFonts w:ascii="宋体" w:hAnsi="宋体"/>
          <w:szCs w:val="21"/>
        </w:rPr>
        <w:t>在国民生产中的地位和作用。</w:t>
      </w:r>
    </w:p>
    <w:p>
      <w:pPr>
        <w:adjustRightInd w:val="0"/>
        <w:snapToGrid w:val="0"/>
        <w:spacing w:line="360" w:lineRule="auto"/>
        <w:ind w:firstLine="422" w:firstLineChars="200"/>
        <w:rPr>
          <w:szCs w:val="21"/>
        </w:rPr>
      </w:pPr>
      <w:r>
        <w:rPr>
          <w:rFonts w:hint="eastAsia" w:ascii="宋体" w:hAnsi="宋体"/>
          <w:b/>
          <w:szCs w:val="21"/>
        </w:rPr>
        <w:t>5.综合</w:t>
      </w:r>
      <w:r>
        <w:rPr>
          <w:rFonts w:hint="eastAsia" w:ascii="宋体" w:hAnsi="宋体"/>
          <w:szCs w:val="21"/>
        </w:rPr>
        <w:t>：</w:t>
      </w:r>
      <w:r>
        <w:rPr>
          <w:rFonts w:hint="eastAsia"/>
          <w:szCs w:val="21"/>
        </w:rPr>
        <w:t>蔬菜产业发展的趋势。</w:t>
      </w:r>
    </w:p>
    <w:p>
      <w:pPr>
        <w:adjustRightInd w:val="0"/>
        <w:snapToGrid w:val="0"/>
        <w:spacing w:line="360" w:lineRule="auto"/>
        <w:ind w:firstLine="422" w:firstLineChars="200"/>
        <w:rPr>
          <w:szCs w:val="21"/>
        </w:rPr>
      </w:pPr>
      <w:bookmarkStart w:id="607" w:name="_Hlk39048530"/>
      <w:r>
        <w:rPr>
          <w:rFonts w:hint="eastAsia" w:ascii="宋体" w:hAnsi="宋体"/>
          <w:b/>
          <w:szCs w:val="21"/>
        </w:rPr>
        <w:t>6.评价：</w:t>
      </w:r>
      <w:r>
        <w:rPr>
          <w:rFonts w:hint="eastAsia"/>
          <w:szCs w:val="21"/>
        </w:rPr>
        <w:t>课堂</w:t>
      </w:r>
      <w:r>
        <w:rPr>
          <w:szCs w:val="21"/>
        </w:rPr>
        <w:t>提问和课后</w:t>
      </w:r>
      <w:r>
        <w:rPr>
          <w:rFonts w:hint="eastAsia"/>
          <w:szCs w:val="21"/>
        </w:rPr>
        <w:t>互动、小组讨论。</w:t>
      </w:r>
    </w:p>
    <w:bookmarkEnd w:id="607"/>
    <w:p>
      <w:pPr>
        <w:adjustRightInd w:val="0"/>
        <w:snapToGrid w:val="0"/>
        <w:spacing w:line="360" w:lineRule="auto"/>
        <w:rPr>
          <w:rFonts w:ascii="宋体" w:hAnsi="宋体"/>
          <w:szCs w:val="21"/>
        </w:rPr>
      </w:pPr>
    </w:p>
    <w:p>
      <w:pPr>
        <w:adjustRightInd w:val="0"/>
        <w:snapToGrid w:val="0"/>
        <w:spacing w:line="360" w:lineRule="auto"/>
        <w:jc w:val="center"/>
        <w:rPr>
          <w:rFonts w:ascii="宋体" w:hAnsi="宋体"/>
          <w:b/>
          <w:szCs w:val="21"/>
        </w:rPr>
      </w:pPr>
      <w:r>
        <w:rPr>
          <w:rFonts w:hint="eastAsia" w:ascii="宋体" w:hAnsi="宋体"/>
          <w:b/>
          <w:szCs w:val="21"/>
        </w:rPr>
        <w:t>第一章 蔬菜栽培的生物学基础</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r>
        <w:rPr>
          <w:rFonts w:hint="eastAsia" w:ascii="黑体" w:hAnsi="宋体" w:eastAsia="黑体"/>
          <w:szCs w:val="21"/>
        </w:rPr>
        <w:t xml:space="preserve"> </w:t>
      </w:r>
      <w:r>
        <w:rPr>
          <w:rFonts w:hint="eastAsia" w:ascii="宋体" w:hAnsi="宋体"/>
          <w:b/>
          <w:szCs w:val="21"/>
        </w:rPr>
        <w:t xml:space="preserve"> </w:t>
      </w:r>
    </w:p>
    <w:p>
      <w:pPr>
        <w:widowControl/>
        <w:adjustRightInd w:val="0"/>
        <w:snapToGrid w:val="0"/>
        <w:spacing w:line="360" w:lineRule="auto"/>
        <w:ind w:firstLine="422" w:firstLineChars="200"/>
        <w:jc w:val="left"/>
        <w:rPr>
          <w:rFonts w:ascii="黑体" w:hAnsi="宋体" w:eastAsia="黑体"/>
          <w:szCs w:val="21"/>
        </w:rPr>
      </w:pPr>
      <w:r>
        <w:rPr>
          <w:rFonts w:hint="eastAsia" w:ascii="宋体" w:hAnsi="宋体"/>
          <w:b/>
          <w:szCs w:val="21"/>
        </w:rPr>
        <w:t>1. 一般了解：</w:t>
      </w:r>
      <w:r>
        <w:rPr>
          <w:rFonts w:hint="eastAsia" w:ascii="黑体" w:hAnsi="宋体" w:eastAsia="黑体"/>
          <w:szCs w:val="21"/>
        </w:rPr>
        <w:t xml:space="preserve"> </w:t>
      </w:r>
      <w:r>
        <w:rPr>
          <w:rFonts w:hint="eastAsia" w:ascii="宋体" w:hAnsi="宋体"/>
          <w:szCs w:val="21"/>
        </w:rPr>
        <w:t>蔬菜作物的生长发育规律及其与生态条件的关系；蔬菜作物与光、热、水、肥、气等条件的相互关系及对逆境条件的反应。</w:t>
      </w:r>
    </w:p>
    <w:p>
      <w:pPr>
        <w:adjustRightInd w:val="0"/>
        <w:snapToGrid w:val="0"/>
        <w:spacing w:line="360" w:lineRule="auto"/>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2. 一般掌握</w:t>
      </w:r>
      <w:r>
        <w:rPr>
          <w:rFonts w:hint="eastAsia" w:ascii="宋体" w:hAnsi="宋体"/>
          <w:szCs w:val="21"/>
        </w:rPr>
        <w:t>：蔬菜作物的形态特征；蔬菜作物的起源,分类与分布。</w:t>
      </w:r>
    </w:p>
    <w:p>
      <w:pPr>
        <w:adjustRightInd w:val="0"/>
        <w:snapToGrid w:val="0"/>
        <w:spacing w:line="360" w:lineRule="auto"/>
        <w:ind w:firstLine="422" w:firstLineChars="200"/>
        <w:rPr>
          <w:rFonts w:ascii="宋体" w:hAnsi="宋体"/>
          <w:szCs w:val="21"/>
        </w:rPr>
      </w:pPr>
      <w:r>
        <w:rPr>
          <w:rFonts w:hint="eastAsia" w:ascii="宋体" w:hAnsi="宋体"/>
          <w:b/>
          <w:szCs w:val="21"/>
        </w:rPr>
        <w:t>3.</w:t>
      </w:r>
      <w:r>
        <w:rPr>
          <w:rFonts w:ascii="宋体" w:hAnsi="宋体"/>
          <w:b/>
          <w:szCs w:val="21"/>
        </w:rPr>
        <w:t xml:space="preserve"> </w:t>
      </w:r>
      <w:r>
        <w:rPr>
          <w:rFonts w:hint="eastAsia" w:ascii="宋体" w:hAnsi="宋体"/>
          <w:b/>
          <w:szCs w:val="21"/>
        </w:rPr>
        <w:t>熟练掌握：</w:t>
      </w:r>
      <w:r>
        <w:rPr>
          <w:rFonts w:hint="eastAsia" w:ascii="宋体" w:hAnsi="宋体"/>
          <w:szCs w:val="21"/>
        </w:rPr>
        <w:t>蔬菜品质形成因素的调控生理及其特点。</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bCs/>
          <w:szCs w:val="21"/>
        </w:rPr>
        <w:t>：</w:t>
      </w:r>
      <w:r>
        <w:rPr>
          <w:rFonts w:hint="eastAsia"/>
          <w:szCs w:val="21"/>
        </w:rPr>
        <w:t>蔬菜起源地的环境条件与蔬菜生产基地选择的关系；蔬菜植物的分类方法；</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bCs/>
          <w:szCs w:val="21"/>
        </w:rPr>
        <w:t>：</w:t>
      </w:r>
      <w:r>
        <w:rPr>
          <w:rFonts w:hint="eastAsia"/>
          <w:szCs w:val="21"/>
        </w:rPr>
        <w:t>蔬菜植物生长发育的特点及其对环境条件的要求；</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bCs/>
          <w:szCs w:val="21"/>
        </w:rPr>
        <w:t>：</w:t>
      </w:r>
      <w:r>
        <w:rPr>
          <w:rFonts w:hint="eastAsia"/>
          <w:szCs w:val="21"/>
        </w:rPr>
        <w:t xml:space="preserve">提高蔬菜产量和品质的原理和方法。 </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：蔬菜植物学分类地位和食用器官分类；根据农业生物学分类法可以把蔬菜分为哪几类，各类的栽培共性和代表作物。</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：中国栽培蔬菜的来源，蔬菜栽培特性与原产地环境的关系；蔬菜作物生长发育的时期、特点及对栽培措施的要求。</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：蔬菜作物生长发育规律及其对环境条件的要求与栽培措施的关系。</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生物学</w:t>
      </w:r>
      <w:r>
        <w:rPr>
          <w:rFonts w:ascii="宋体" w:hAnsi="宋体"/>
          <w:bCs/>
          <w:szCs w:val="21"/>
        </w:rPr>
        <w:t>基础在蔬菜栽培中的应用。</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：蔬菜作物春化作用和光周期反应特点对蔬菜生产的指导作用；有害气体产生的原因与科学施肥；提高蔬菜光能利用率的途径和方法；提高蔬菜产量和品质的原理和主要方法。</w:t>
      </w:r>
    </w:p>
    <w:p>
      <w:pPr>
        <w:snapToGrid w:val="0"/>
        <w:spacing w:line="360" w:lineRule="auto"/>
        <w:ind w:firstLine="422" w:firstLineChars="200"/>
        <w:rPr>
          <w:szCs w:val="21"/>
        </w:rPr>
      </w:pPr>
      <w:r>
        <w:rPr>
          <w:rFonts w:hint="eastAsia" w:ascii="宋体" w:hAnsi="宋体"/>
          <w:b/>
          <w:szCs w:val="21"/>
        </w:rPr>
        <w:t>6.评价：</w:t>
      </w:r>
      <w:r>
        <w:rPr>
          <w:rFonts w:hint="eastAsia"/>
          <w:szCs w:val="21"/>
        </w:rPr>
        <w:t>课堂</w:t>
      </w:r>
      <w:r>
        <w:rPr>
          <w:szCs w:val="21"/>
        </w:rPr>
        <w:t>提问和课后</w:t>
      </w:r>
      <w:r>
        <w:rPr>
          <w:rFonts w:hint="eastAsia"/>
          <w:szCs w:val="21"/>
        </w:rPr>
        <w:t>作业。</w:t>
      </w:r>
    </w:p>
    <w:p>
      <w:pPr>
        <w:snapToGrid w:val="0"/>
        <w:spacing w:line="360" w:lineRule="auto"/>
        <w:ind w:firstLine="422" w:firstLineChars="200"/>
        <w:rPr>
          <w:rFonts w:ascii="宋体" w:hAnsi="宋体"/>
          <w:b/>
          <w:szCs w:val="21"/>
        </w:rPr>
      </w:pPr>
    </w:p>
    <w:p>
      <w:pPr>
        <w:adjustRightInd w:val="0"/>
        <w:snapToGrid w:val="0"/>
        <w:spacing w:line="360" w:lineRule="auto"/>
        <w:jc w:val="center"/>
        <w:rPr>
          <w:rFonts w:ascii="黑体" w:hAnsi="宋体" w:eastAsia="黑体"/>
          <w:szCs w:val="21"/>
        </w:rPr>
      </w:pPr>
      <w:r>
        <w:rPr>
          <w:rFonts w:hint="eastAsia" w:ascii="宋体" w:hAnsi="宋体" w:cs="宋体"/>
          <w:b/>
          <w:bCs/>
          <w:kern w:val="0"/>
          <w:szCs w:val="21"/>
        </w:rPr>
        <w:t>第二章 蔬菜栽培技术基础</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ind w:firstLine="105" w:firstLineChars="50"/>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 xml:space="preserve">1．一般了解: </w:t>
      </w:r>
      <w:r>
        <w:rPr>
          <w:rFonts w:hint="eastAsia" w:ascii="宋体" w:hAnsi="宋体"/>
          <w:szCs w:val="21"/>
        </w:rPr>
        <w:t>选用优质的蔬菜种子和培育适龄壮苗是蔬菜高产优质栽培的关键；蔬菜种子形态及结构特点；菜田的选择和规划；土壤耕作；灌溉施肥、草害防治技术。</w:t>
      </w:r>
    </w:p>
    <w:p>
      <w:pPr>
        <w:adjustRightInd w:val="0"/>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储藏蔬菜种子所需的环境条件；蔬菜种子发芽所需的环境条件；蔬菜幼苗生长所需的环境条件；植物生长调节剂应用技术；除草剂的应用技术；无公害蔬菜生产技术。</w:t>
      </w:r>
    </w:p>
    <w:p>
      <w:pPr>
        <w:adjustRightInd w:val="0"/>
        <w:snapToGrid w:val="0"/>
        <w:spacing w:line="360" w:lineRule="auto"/>
        <w:ind w:firstLine="422" w:firstLineChars="200"/>
        <w:rPr>
          <w:rFonts w:ascii="宋体" w:hAnsi="宋体"/>
          <w:szCs w:val="21"/>
        </w:rPr>
      </w:pPr>
      <w:r>
        <w:rPr>
          <w:rFonts w:hint="eastAsia" w:ascii="宋体" w:hAnsi="宋体"/>
          <w:b/>
          <w:szCs w:val="21"/>
        </w:rPr>
        <w:t>3．熟练掌握:</w:t>
      </w:r>
      <w:r>
        <w:rPr>
          <w:rFonts w:hint="eastAsia" w:ascii="宋体" w:hAnsi="宋体"/>
          <w:szCs w:val="21"/>
        </w:rPr>
        <w:t>蔬菜种子处理技术；培育蔬菜壮苗技术；定植及定植后的中耕、除草、培土、植株调整、营养与施肥、灌溉与排水等田间各项操作管理技术；了解和掌握各项技术的原理及操作方法。</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szCs w:val="21"/>
        </w:rPr>
        <w:t>蔬菜种子的概念；播种前的种子处理方法；菜田环境的选择要求；蔬菜对水分生理特点及菜田灌溉与排水的原理和方法；蔬菜植株调整的概念，内容，原理和方法；无公害蔬菜、绿色蔬菜及有机蔬菜的概念及生产技术。</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szCs w:val="21"/>
        </w:rPr>
        <w:t>培育蔬菜壮苗的方法和</w:t>
      </w:r>
      <w:r>
        <w:rPr>
          <w:szCs w:val="21"/>
        </w:rPr>
        <w:t>操作技术</w:t>
      </w:r>
      <w:r>
        <w:rPr>
          <w:rFonts w:hint="eastAsia"/>
          <w:szCs w:val="21"/>
        </w:rPr>
        <w:t>；蔬菜工厂化育苗基质配方、工艺流程；菜田土壤耕作和整地作畦的方法；蔬菜播种和定植的技术方法；菜田中耕和培土的作用及方法；蔬菜草害综合防治技术；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szCs w:val="21"/>
        </w:rPr>
        <w:t>主要植物生长调节剂在蔬菜上的应用。</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蔬菜种子的概念；蔬菜种植园构成要素；无公害蔬菜、绿色蔬菜及有机蔬菜的概念；蔬菜穴盘育苗基质配方、工艺流程；菜田环境的选择要求；蔬菜植株调整的概念。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蔬菜种子发芽所需的环境条件特点；蔬菜种子幼苗生长所需的环境条件特点；不同土壤耕作方法的特点；现代灌溉制度。</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蔬菜种子处理的方法；蔬菜播种育苗技术；主要植物生长调节剂在蔬菜上的应用；菜田土壤耕作和整地作畦的方法；蔬菜播种和定植的技术方法；化学除草的方法。</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如何培育</w:t>
      </w:r>
      <w:r>
        <w:rPr>
          <w:rFonts w:ascii="宋体" w:hAnsi="宋体"/>
          <w:bCs/>
          <w:szCs w:val="21"/>
        </w:rPr>
        <w:t>壮苗；如何加强蔬菜的田间管理技术。</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冬春寒冷季节蔬菜育苗关键技术；夏季炎热多雨季节蔬菜育苗关键技术；以蔬菜产品质量安全为目的蔬菜生产技术。</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互动，课后</w:t>
      </w:r>
      <w:r>
        <w:rPr>
          <w:rFonts w:hint="eastAsia"/>
          <w:szCs w:val="21"/>
        </w:rPr>
        <w:t>作业。</w:t>
      </w:r>
    </w:p>
    <w:p>
      <w:pPr>
        <w:snapToGrid w:val="0"/>
        <w:spacing w:line="360" w:lineRule="auto"/>
        <w:ind w:firstLine="422" w:firstLineChars="200"/>
        <w:rPr>
          <w:rFonts w:ascii="宋体" w:hAnsi="宋体"/>
          <w:b/>
          <w:szCs w:val="21"/>
        </w:rPr>
      </w:pPr>
    </w:p>
    <w:p>
      <w:pPr>
        <w:adjustRightInd w:val="0"/>
        <w:snapToGrid w:val="0"/>
        <w:spacing w:line="360" w:lineRule="auto"/>
        <w:jc w:val="center"/>
        <w:rPr>
          <w:rFonts w:ascii="宋体" w:hAnsi="宋体"/>
          <w:b/>
          <w:szCs w:val="21"/>
        </w:rPr>
      </w:pPr>
      <w:r>
        <w:rPr>
          <w:rFonts w:hint="eastAsia" w:ascii="宋体" w:hAnsi="宋体"/>
          <w:b/>
          <w:szCs w:val="21"/>
        </w:rPr>
        <w:t>第三章 蔬菜的栽培制度与周年生产</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ind w:firstLine="105" w:firstLineChars="50"/>
        <w:rPr>
          <w:rFonts w:ascii="宋体" w:hAnsi="宋体"/>
          <w:b/>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1．一般了解:</w:t>
      </w:r>
      <w:r>
        <w:rPr>
          <w:rFonts w:hint="eastAsia" w:ascii="宋体" w:hAnsi="宋体"/>
          <w:szCs w:val="21"/>
        </w:rPr>
        <w:t>蔬菜茬口安排的原理；蔬菜合理布局的原理，淡旺季形成的原因。</w:t>
      </w:r>
    </w:p>
    <w:p>
      <w:pPr>
        <w:adjustRightInd w:val="0"/>
        <w:snapToGrid w:val="0"/>
        <w:spacing w:line="360" w:lineRule="auto"/>
        <w:ind w:firstLine="527" w:firstLineChars="250"/>
        <w:rPr>
          <w:rFonts w:ascii="宋体" w:hAnsi="宋体"/>
          <w:b/>
          <w:szCs w:val="21"/>
        </w:rPr>
      </w:pPr>
      <w:r>
        <w:rPr>
          <w:rFonts w:hint="eastAsia" w:ascii="宋体" w:hAnsi="宋体"/>
          <w:b/>
          <w:szCs w:val="21"/>
        </w:rPr>
        <w:t>2．一般掌握:</w:t>
      </w:r>
      <w:r>
        <w:rPr>
          <w:rFonts w:hint="eastAsia" w:ascii="宋体" w:hAnsi="宋体"/>
          <w:szCs w:val="21"/>
        </w:rPr>
        <w:t>连作、轮作、间作的特点；蔬菜商品性生产基地的类型与建设内容。</w:t>
      </w:r>
    </w:p>
    <w:p>
      <w:pPr>
        <w:adjustRightInd w:val="0"/>
        <w:snapToGrid w:val="0"/>
        <w:spacing w:line="360" w:lineRule="auto"/>
        <w:ind w:firstLine="527" w:firstLineChars="250"/>
        <w:rPr>
          <w:rFonts w:ascii="宋体" w:hAnsi="宋体"/>
          <w:b/>
          <w:szCs w:val="21"/>
        </w:rPr>
      </w:pPr>
      <w:r>
        <w:rPr>
          <w:rFonts w:hint="eastAsia" w:ascii="宋体" w:hAnsi="宋体"/>
          <w:b/>
          <w:szCs w:val="21"/>
        </w:rPr>
        <w:t>3．熟练掌握:</w:t>
      </w:r>
      <w:r>
        <w:rPr>
          <w:rFonts w:hint="eastAsia" w:ascii="宋体" w:hAnsi="宋体"/>
          <w:szCs w:val="21"/>
        </w:rPr>
        <w:t>蔬菜茬口安排的方法；间套作的原则。</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szCs w:val="21"/>
        </w:rPr>
        <w:t>蔬菜的种植制度；轮作、间作、套作、连作、复种的概念；蔬菜与其他作物间套作、复种的技术和原理。</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szCs w:val="21"/>
        </w:rPr>
        <w:t>蔬菜淡旺季解决途径；</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szCs w:val="21"/>
        </w:rPr>
        <w:t>淡旺季形成的原因；</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s="宋体"/>
          <w:kern w:val="0"/>
          <w:szCs w:val="21"/>
        </w:rPr>
        <w:t>蔬菜的种植制度</w:t>
      </w:r>
      <w:r>
        <w:rPr>
          <w:rFonts w:hint="eastAsia"/>
          <w:kern w:val="0"/>
          <w:szCs w:val="21"/>
        </w:rPr>
        <w:t>概念</w:t>
      </w:r>
      <w:r>
        <w:rPr>
          <w:rFonts w:hint="eastAsia" w:ascii="宋体" w:hAnsi="宋体" w:cs="宋体"/>
          <w:kern w:val="0"/>
          <w:szCs w:val="21"/>
        </w:rPr>
        <w:t>；</w:t>
      </w:r>
      <w:r>
        <w:rPr>
          <w:rFonts w:hint="eastAsia"/>
          <w:kern w:val="0"/>
          <w:szCs w:val="21"/>
        </w:rPr>
        <w:t>轮作、间作、套作、连作、复种的概念。</w:t>
      </w:r>
    </w:p>
    <w:p>
      <w:pPr>
        <w:snapToGrid w:val="0"/>
        <w:spacing w:line="360" w:lineRule="auto"/>
        <w:ind w:firstLine="422" w:firstLineChars="200"/>
        <w:rPr>
          <w:rFonts w:ascii="宋体" w:hAnsi="宋体"/>
          <w:szCs w:val="21"/>
        </w:rPr>
      </w:pPr>
      <w:r>
        <w:rPr>
          <w:rFonts w:hint="eastAsia" w:ascii="宋体" w:hAnsi="宋体"/>
          <w:b/>
          <w:szCs w:val="21"/>
        </w:rPr>
        <w:t>2.领会</w:t>
      </w:r>
      <w:r>
        <w:rPr>
          <w:rFonts w:hint="eastAsia" w:ascii="宋体" w:hAnsi="宋体"/>
          <w:szCs w:val="21"/>
        </w:rPr>
        <w:t>：</w:t>
      </w:r>
      <w:r>
        <w:rPr>
          <w:rFonts w:hint="eastAsia" w:ascii="宋体" w:hAnsi="宋体" w:cs="宋体"/>
          <w:kern w:val="0"/>
          <w:szCs w:val="21"/>
        </w:rPr>
        <w:t>蔬菜淡旺季形成的原因；</w:t>
      </w:r>
      <w:r>
        <w:rPr>
          <w:rFonts w:hint="eastAsia"/>
          <w:kern w:val="0"/>
          <w:szCs w:val="21"/>
        </w:rPr>
        <w:t>轮作、间作、套作、连作、复种的原则</w:t>
      </w:r>
      <w:r>
        <w:rPr>
          <w:rFonts w:hint="eastAsia" w:ascii="宋体" w:hAnsi="宋体"/>
          <w:szCs w:val="21"/>
        </w:rPr>
        <w:t>。</w:t>
      </w:r>
    </w:p>
    <w:p>
      <w:pPr>
        <w:snapToGrid w:val="0"/>
        <w:spacing w:line="360" w:lineRule="auto"/>
        <w:ind w:firstLine="422" w:firstLineChars="200"/>
        <w:rPr>
          <w:rFonts w:ascii="宋体" w:hAnsi="宋体"/>
          <w:bCs/>
          <w:szCs w:val="21"/>
        </w:rPr>
      </w:pPr>
      <w:r>
        <w:rPr>
          <w:rFonts w:hint="eastAsia" w:ascii="宋体" w:hAnsi="宋体"/>
          <w:b/>
          <w:bCs/>
          <w:szCs w:val="21"/>
        </w:rPr>
        <w:t>3.应用</w:t>
      </w:r>
      <w:r>
        <w:rPr>
          <w:rFonts w:hint="eastAsia" w:ascii="宋体" w:hAnsi="宋体"/>
          <w:bCs/>
          <w:szCs w:val="21"/>
        </w:rPr>
        <w:t>：克服蔬菜淡旺季的途径。</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蔬菜的</w:t>
      </w:r>
      <w:r>
        <w:rPr>
          <w:rFonts w:ascii="宋体" w:hAnsi="宋体"/>
          <w:bCs/>
          <w:szCs w:val="21"/>
        </w:rPr>
        <w:t>茬次安排及其在园区规划中的应用技术。</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：蔬菜作物间套套作、蔬菜与大田作物间套作模式的理论分析与设计。</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r>
        <w:rPr>
          <w:rFonts w:hint="eastAsia"/>
          <w:szCs w:val="21"/>
        </w:rPr>
        <w:t>。</w:t>
      </w:r>
    </w:p>
    <w:p>
      <w:pPr>
        <w:adjustRightInd w:val="0"/>
        <w:snapToGrid w:val="0"/>
        <w:spacing w:line="360" w:lineRule="auto"/>
        <w:rPr>
          <w:szCs w:val="21"/>
        </w:rPr>
      </w:pPr>
    </w:p>
    <w:p>
      <w:pPr>
        <w:adjustRightInd w:val="0"/>
        <w:snapToGrid w:val="0"/>
        <w:spacing w:line="360" w:lineRule="auto"/>
        <w:jc w:val="center"/>
        <w:rPr>
          <w:rFonts w:ascii="宋体" w:hAnsi="宋体"/>
          <w:b/>
          <w:szCs w:val="21"/>
        </w:rPr>
      </w:pPr>
      <w:r>
        <w:rPr>
          <w:rFonts w:hint="eastAsia" w:ascii="宋体" w:hAnsi="宋体"/>
          <w:b/>
          <w:szCs w:val="21"/>
        </w:rPr>
        <w:t>第四章  茄果类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1．一般了解</w:t>
      </w:r>
      <w:r>
        <w:rPr>
          <w:rFonts w:hint="eastAsia" w:ascii="宋体" w:hAnsi="宋体"/>
          <w:szCs w:val="21"/>
        </w:rPr>
        <w:t>: 了解茄果类蔬菜的种类和共性特点；了解茄果类花芽分化的特点与条件；了解茄果类蔬菜开花结果习性。</w:t>
      </w:r>
    </w:p>
    <w:p>
      <w:pPr>
        <w:adjustRightInd w:val="0"/>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番茄、辣椒、茄子主要品种特性、生育期划分、不同生育阶段的特点、周年生产茬次安排。</w:t>
      </w:r>
    </w:p>
    <w:p>
      <w:pPr>
        <w:adjustRightInd w:val="0"/>
        <w:snapToGrid w:val="0"/>
        <w:spacing w:line="360" w:lineRule="auto"/>
        <w:ind w:firstLine="422" w:firstLineChars="200"/>
        <w:rPr>
          <w:rFonts w:ascii="宋体" w:hAnsi="宋体"/>
          <w:szCs w:val="21"/>
        </w:rPr>
      </w:pPr>
      <w:r>
        <w:rPr>
          <w:rFonts w:hint="eastAsia" w:ascii="宋体" w:hAnsi="宋体"/>
          <w:b/>
          <w:szCs w:val="21"/>
        </w:rPr>
        <w:t xml:space="preserve">3．熟练掌握: </w:t>
      </w:r>
      <w:r>
        <w:rPr>
          <w:rFonts w:hint="eastAsia" w:ascii="宋体" w:hAnsi="宋体"/>
          <w:szCs w:val="21"/>
        </w:rPr>
        <w:t>掌握主栽茬次的育苗期、定植期和收获期；茄果类主栽茬次培育壮苗的技术；熟练掌握植株调整的技术；熟练掌握保花保果技术；主栽茬次的栽培技术要点。</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番茄、辣椒、茄子的生物学特性，生长发育过程，对环境条件要求等。</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番茄、辣椒、茄子的栽培管理技术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szCs w:val="21"/>
        </w:rPr>
        <w:t>品种选用、茬口安排、栽培季节、培育壮苗、植株调整、保花保果等</w:t>
      </w:r>
      <w:r>
        <w:rPr>
          <w:rFonts w:ascii="宋体" w:hAnsi="宋体"/>
          <w:szCs w:val="21"/>
        </w:rPr>
        <w:t>技术的应用</w:t>
      </w:r>
      <w:r>
        <w:rPr>
          <w:rFonts w:hint="eastAsia" w:ascii="宋体" w:hAnsi="宋体"/>
          <w:szCs w:val="21"/>
        </w:rPr>
        <w:t>。</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：茄果类蔬菜所包括的主要种类和品种；番茄有限生长型、无限生长型；蔬菜植物的分支类型；茄子果实发育过程中典型的形态特征；番茄成熟的几个阶段。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：番茄、辣椒、茄子生物学特性、生长发育过程、对环境条件要求与栽培的关系。环境条件与培育壮的关系；开花坐果与保花保果。</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：主栽茬次安排，植株调整技术，保花保果技术。</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如何</w:t>
      </w:r>
      <w:r>
        <w:rPr>
          <w:rFonts w:hint="eastAsia" w:ascii="宋体" w:hAnsi="宋体"/>
          <w:szCs w:val="21"/>
        </w:rPr>
        <w:t>解决</w:t>
      </w:r>
      <w:r>
        <w:rPr>
          <w:rFonts w:ascii="宋体" w:hAnsi="宋体"/>
          <w:szCs w:val="21"/>
        </w:rPr>
        <w:t>反季节栽培中番茄的落花落果现象，有哪些</w:t>
      </w:r>
      <w:r>
        <w:rPr>
          <w:rFonts w:hint="eastAsia" w:ascii="宋体" w:hAnsi="宋体"/>
          <w:szCs w:val="21"/>
        </w:rPr>
        <w:t>措施</w:t>
      </w:r>
      <w:r>
        <w:rPr>
          <w:rFonts w:ascii="宋体" w:hAnsi="宋体"/>
          <w:szCs w:val="21"/>
        </w:rPr>
        <w:t>？</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：番茄、辣椒、茄子高产优质周年栽培关键技术的综合运用。</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p>
    <w:p>
      <w:pPr>
        <w:adjustRightInd w:val="0"/>
        <w:snapToGrid w:val="0"/>
        <w:spacing w:line="360" w:lineRule="auto"/>
        <w:rPr>
          <w:rFonts w:ascii="黑体" w:hAnsi="宋体" w:eastAsia="黑体"/>
          <w:szCs w:val="21"/>
        </w:rPr>
      </w:pPr>
    </w:p>
    <w:p>
      <w:pPr>
        <w:adjustRightInd w:val="0"/>
        <w:snapToGrid w:val="0"/>
        <w:spacing w:line="360" w:lineRule="auto"/>
        <w:jc w:val="center"/>
        <w:rPr>
          <w:rFonts w:ascii="宋体" w:hAnsi="宋体"/>
          <w:b/>
          <w:szCs w:val="21"/>
        </w:rPr>
      </w:pPr>
      <w:r>
        <w:rPr>
          <w:rFonts w:hint="eastAsia" w:ascii="宋体" w:hAnsi="宋体"/>
          <w:b/>
          <w:szCs w:val="21"/>
        </w:rPr>
        <w:t>第五章  瓜 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ind w:firstLine="207" w:firstLineChars="98"/>
        <w:rPr>
          <w:rFonts w:ascii="宋体" w:hAnsi="宋体" w:cs="宋体"/>
          <w:kern w:val="0"/>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1．一般了解:</w:t>
      </w:r>
      <w:r>
        <w:rPr>
          <w:rFonts w:hint="eastAsia"/>
          <w:szCs w:val="21"/>
        </w:rPr>
        <w:t xml:space="preserve"> </w:t>
      </w:r>
      <w:r>
        <w:rPr>
          <w:rFonts w:hint="eastAsia" w:ascii="宋体" w:hAnsi="宋体"/>
          <w:szCs w:val="21"/>
        </w:rPr>
        <w:t>瓜类蔬菜的种类、分类、共同特性、品种资源。</w:t>
      </w:r>
    </w:p>
    <w:p>
      <w:pPr>
        <w:adjustRightInd w:val="0"/>
        <w:snapToGrid w:val="0"/>
        <w:spacing w:line="360" w:lineRule="auto"/>
        <w:ind w:firstLine="422" w:firstLineChars="200"/>
        <w:rPr>
          <w:rFonts w:ascii="宋体" w:hAnsi="宋体"/>
          <w:szCs w:val="21"/>
        </w:rPr>
      </w:pPr>
      <w:r>
        <w:rPr>
          <w:rFonts w:hint="eastAsia" w:ascii="宋体" w:hAnsi="宋体"/>
          <w:b/>
          <w:szCs w:val="21"/>
        </w:rPr>
        <w:t xml:space="preserve">2．一般掌握: </w:t>
      </w:r>
      <w:r>
        <w:rPr>
          <w:rFonts w:hint="eastAsia" w:ascii="宋体" w:hAnsi="宋体"/>
          <w:szCs w:val="21"/>
        </w:rPr>
        <w:t>瓜类蔬菜的生物学特性、栽培季节、生育期划分、不同生育阶段的特点、花芽分化特点、分枝习性、开花坐果特点。</w:t>
      </w:r>
    </w:p>
    <w:p>
      <w:pPr>
        <w:adjustRightInd w:val="0"/>
        <w:snapToGrid w:val="0"/>
        <w:spacing w:line="360" w:lineRule="auto"/>
        <w:ind w:firstLine="422" w:firstLineChars="200"/>
        <w:rPr>
          <w:rFonts w:ascii="宋体" w:hAnsi="宋体"/>
          <w:szCs w:val="21"/>
        </w:rPr>
      </w:pPr>
      <w:r>
        <w:rPr>
          <w:rFonts w:hint="eastAsia" w:ascii="宋体" w:hAnsi="宋体"/>
          <w:b/>
          <w:szCs w:val="21"/>
        </w:rPr>
        <w:t xml:space="preserve">3．熟练掌握: </w:t>
      </w:r>
      <w:r>
        <w:rPr>
          <w:rFonts w:hint="eastAsia" w:ascii="宋体" w:hAnsi="宋体"/>
          <w:szCs w:val="21"/>
        </w:rPr>
        <w:t>黄瓜、西葫芦、西瓜主栽品种特性；主栽茬次的育苗（播种）期、定植期，采收期；花芽性别调控技术，植株调整技术，主栽茬次管理技术要点。</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黄瓜、西葫芦、西瓜的生物学特性，生长发育过程及特点、花芽分化特点等。</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黄瓜、西葫芦、西瓜的栽培管理技术。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bCs/>
          <w:szCs w:val="21"/>
        </w:rPr>
        <w:t>灵活</w:t>
      </w:r>
      <w:r>
        <w:rPr>
          <w:rFonts w:ascii="宋体" w:hAnsi="宋体"/>
          <w:bCs/>
          <w:szCs w:val="21"/>
        </w:rPr>
        <w:t>运用</w:t>
      </w:r>
      <w:r>
        <w:rPr>
          <w:rFonts w:hint="eastAsia" w:ascii="宋体" w:hAnsi="宋体"/>
          <w:szCs w:val="21"/>
        </w:rPr>
        <w:t>品种选用、茬口安排、栽培季节、栽培管理、病虫防治、采收贮运等关键技术提高</w:t>
      </w:r>
      <w:r>
        <w:rPr>
          <w:rFonts w:ascii="宋体" w:hAnsi="宋体"/>
          <w:szCs w:val="21"/>
        </w:rPr>
        <w:t>瓜类蔬菜的产量和品质</w:t>
      </w:r>
      <w:r>
        <w:rPr>
          <w:rFonts w:hint="eastAsia" w:ascii="宋体" w:hAnsi="宋体"/>
          <w:szCs w:val="21"/>
        </w:rPr>
        <w:t>。</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：瓜类主栽茬次的适宜品种、播种期、定植期、收获期；西瓜果实发育典型形态特征；主要病害特征。</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：黄瓜、西葫芦、西瓜植物学特征、生物学特性与栽培的关系，黄瓜花芽分化条件与培育壮苗措施。</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：瓜类主栽茬次安排、植株调整、花芽性别调控、保花保果、关键肥水管理、温度调控技术。</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瓜类</w:t>
      </w:r>
      <w:r>
        <w:rPr>
          <w:rFonts w:ascii="宋体" w:hAnsi="宋体"/>
          <w:bCs/>
          <w:szCs w:val="21"/>
        </w:rPr>
        <w:t>蔬菜的结果习性和整枝方式有何异同，以及在生产中的具体应用？</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：黄瓜、西葫芦、西瓜主栽茬次优质高产栽培关键技术综合运用。</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r>
        <w:rPr>
          <w:rFonts w:hint="eastAsia"/>
          <w:szCs w:val="21"/>
        </w:rPr>
        <w:t>。</w:t>
      </w:r>
    </w:p>
    <w:p>
      <w:pPr>
        <w:adjustRightInd w:val="0"/>
        <w:snapToGrid w:val="0"/>
        <w:spacing w:line="360" w:lineRule="auto"/>
        <w:rPr>
          <w:rFonts w:ascii="黑体" w:hAnsi="宋体" w:eastAsia="黑体"/>
          <w:szCs w:val="21"/>
        </w:rPr>
      </w:pPr>
    </w:p>
    <w:p>
      <w:pPr>
        <w:adjustRightInd w:val="0"/>
        <w:snapToGrid w:val="0"/>
        <w:spacing w:line="360" w:lineRule="auto"/>
        <w:ind w:firstLine="3000" w:firstLineChars="1423"/>
        <w:rPr>
          <w:rFonts w:ascii="宋体" w:hAnsi="宋体"/>
          <w:b/>
          <w:szCs w:val="21"/>
        </w:rPr>
      </w:pPr>
      <w:r>
        <w:rPr>
          <w:rFonts w:hint="eastAsia" w:ascii="宋体" w:hAnsi="宋体"/>
          <w:b/>
          <w:szCs w:val="21"/>
        </w:rPr>
        <w:t>第六章 白菜类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ind w:firstLine="207" w:firstLineChars="98"/>
        <w:rPr>
          <w:rFonts w:ascii="宋体" w:hAnsi="宋体" w:cs="宋体"/>
          <w:kern w:val="0"/>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1．一般了解</w:t>
      </w:r>
      <w:r>
        <w:rPr>
          <w:rFonts w:hint="eastAsia" w:ascii="宋体" w:hAnsi="宋体"/>
          <w:szCs w:val="21"/>
        </w:rPr>
        <w:t>:白菜类蔬菜</w:t>
      </w:r>
      <w:r>
        <w:rPr>
          <w:rFonts w:hint="eastAsia" w:ascii="宋体" w:hAnsi="宋体" w:cs="宋体"/>
          <w:kern w:val="0"/>
          <w:szCs w:val="21"/>
        </w:rPr>
        <w:t>的</w:t>
      </w:r>
      <w:r>
        <w:rPr>
          <w:rFonts w:hint="eastAsia" w:ascii="宋体" w:hAnsi="宋体"/>
          <w:szCs w:val="21"/>
        </w:rPr>
        <w:t>种类、分类、进化、共同特性、品种资源。</w:t>
      </w:r>
    </w:p>
    <w:p>
      <w:pPr>
        <w:adjustRightInd w:val="0"/>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:白菜类蔬菜的生物学特性、栽培季节、生育期划分、不同生育阶段的特点、阶段发育特点、分枝习性、开花坐果特点。</w:t>
      </w:r>
    </w:p>
    <w:p>
      <w:pPr>
        <w:adjustRightInd w:val="0"/>
        <w:snapToGrid w:val="0"/>
        <w:spacing w:line="360" w:lineRule="auto"/>
        <w:ind w:firstLine="422" w:firstLineChars="200"/>
        <w:rPr>
          <w:rFonts w:ascii="宋体" w:hAnsi="宋体"/>
          <w:szCs w:val="21"/>
        </w:rPr>
      </w:pPr>
      <w:r>
        <w:rPr>
          <w:rFonts w:hint="eastAsia" w:ascii="宋体" w:hAnsi="宋体"/>
          <w:b/>
          <w:szCs w:val="21"/>
        </w:rPr>
        <w:t>3．熟练掌握:</w:t>
      </w:r>
      <w:r>
        <w:rPr>
          <w:rFonts w:hint="eastAsia" w:ascii="宋体" w:hAnsi="宋体"/>
          <w:szCs w:val="21"/>
        </w:rPr>
        <w:t>大白菜、结球甘蓝主要品种特性、主栽茬次的育苗（播种）期、定植期，采收期；调控“未熟抽薹”的技术，主栽茬次管理技术要点。</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大白菜、结球甘蓝的植物学特征，生长发育过程，对环境条件要求，生育阶段的划分，生育阶段划分的典型形态特征；大白菜、结球甘蓝春化作用特点的差异及防止“未熟抽薹”的技术等。</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大白菜、结球甘蓝的栽培管理技术，如品种选用、茬口安排、栽培季节、栽培管理、病虫防治、采收贮运等关键技术。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ascii="宋体" w:hAnsi="宋体"/>
          <w:bCs/>
          <w:szCs w:val="21"/>
        </w:rPr>
        <w:t>如何</w:t>
      </w:r>
      <w:r>
        <w:rPr>
          <w:rFonts w:hint="eastAsia" w:ascii="宋体" w:hAnsi="宋体"/>
          <w:bCs/>
          <w:szCs w:val="21"/>
        </w:rPr>
        <w:t>理解“</w:t>
      </w:r>
      <w:r>
        <w:rPr>
          <w:rFonts w:ascii="宋体" w:hAnsi="宋体"/>
          <w:bCs/>
          <w:szCs w:val="21"/>
        </w:rPr>
        <w:t>禹氏</w:t>
      </w:r>
      <w:r>
        <w:rPr>
          <w:rFonts w:hint="eastAsia" w:ascii="宋体" w:hAnsi="宋体"/>
          <w:bCs/>
          <w:szCs w:val="21"/>
        </w:rPr>
        <w:t>”</w:t>
      </w:r>
      <w:r>
        <w:rPr>
          <w:rFonts w:ascii="宋体" w:hAnsi="宋体"/>
          <w:bCs/>
          <w:szCs w:val="21"/>
        </w:rPr>
        <w:t>三角</w:t>
      </w:r>
      <w:r>
        <w:rPr>
          <w:rFonts w:hint="eastAsia" w:ascii="宋体" w:hAnsi="宋体"/>
          <w:bCs/>
          <w:szCs w:val="21"/>
        </w:rPr>
        <w:t>以及</w:t>
      </w:r>
      <w:r>
        <w:rPr>
          <w:rFonts w:ascii="宋体" w:hAnsi="宋体"/>
          <w:bCs/>
          <w:szCs w:val="21"/>
        </w:rPr>
        <w:t>白菜类蔬菜的起源？</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：白菜类蔬菜主栽茬次的适宜品种、播种期、定植期、收获期；白菜类蔬菜不同生长发育阶段的典型形态特征；主要病害种类及特征。</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：大白菜、结球甘蓝植物学特性，生物学特性、不同生长发育阶段生长特点、对环境条件要求等与栽培的关系。</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：白菜蔬菜“未熟抽薹”原因分析及防止措施的制定；主栽茬次安排；肥水管理关键时期的确定。</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温周期</w:t>
      </w:r>
      <w:r>
        <w:rPr>
          <w:rFonts w:ascii="宋体" w:hAnsi="宋体"/>
          <w:bCs/>
          <w:szCs w:val="21"/>
        </w:rPr>
        <w:t>和光周期理论在十字花科蔬菜中的应用？</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：冬贮大白菜优质高产栽培技术要点；早春结球甘蓝优质高产栽培技术要点。</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r>
        <w:rPr>
          <w:rFonts w:hint="eastAsia"/>
          <w:szCs w:val="21"/>
        </w:rPr>
        <w:t>，</w:t>
      </w:r>
      <w:r>
        <w:rPr>
          <w:szCs w:val="21"/>
        </w:rPr>
        <w:t>作业</w:t>
      </w:r>
      <w:r>
        <w:rPr>
          <w:rFonts w:hint="eastAsia"/>
          <w:szCs w:val="21"/>
        </w:rPr>
        <w:t>与</w:t>
      </w:r>
      <w:r>
        <w:rPr>
          <w:szCs w:val="21"/>
        </w:rPr>
        <w:t>讲评</w:t>
      </w:r>
      <w:r>
        <w:rPr>
          <w:rFonts w:hint="eastAsia"/>
          <w:szCs w:val="21"/>
        </w:rPr>
        <w:t>。</w:t>
      </w:r>
    </w:p>
    <w:p>
      <w:pPr>
        <w:adjustRightInd w:val="0"/>
        <w:snapToGrid w:val="0"/>
        <w:spacing w:line="360" w:lineRule="auto"/>
        <w:ind w:firstLine="2415" w:firstLineChars="1150"/>
        <w:rPr>
          <w:rFonts w:ascii="宋体" w:hAnsi="宋体"/>
          <w:szCs w:val="21"/>
        </w:rPr>
      </w:pPr>
    </w:p>
    <w:p>
      <w:pPr>
        <w:adjustRightInd w:val="0"/>
        <w:snapToGrid w:val="0"/>
        <w:spacing w:line="360" w:lineRule="auto"/>
        <w:ind w:firstLine="3483" w:firstLineChars="1652"/>
        <w:rPr>
          <w:rFonts w:ascii="宋体" w:hAnsi="宋体"/>
          <w:b/>
          <w:szCs w:val="21"/>
        </w:rPr>
      </w:pPr>
      <w:r>
        <w:rPr>
          <w:rFonts w:hint="eastAsia" w:ascii="宋体" w:hAnsi="宋体"/>
          <w:b/>
          <w:szCs w:val="21"/>
        </w:rPr>
        <w:t>第七章  根菜类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r>
        <w:rPr>
          <w:rFonts w:ascii="宋体" w:hAnsi="宋体" w:cs="宋体"/>
          <w:kern w:val="0"/>
          <w:sz w:val="24"/>
        </w:rPr>
        <w:t xml:space="preserve"> </w:t>
      </w:r>
    </w:p>
    <w:p>
      <w:pPr>
        <w:adjustRightInd w:val="0"/>
        <w:snapToGrid w:val="0"/>
        <w:spacing w:line="360" w:lineRule="auto"/>
        <w:ind w:firstLine="316" w:firstLineChars="150"/>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1．一般了解:</w:t>
      </w:r>
      <w:r>
        <w:rPr>
          <w:rFonts w:hint="eastAsia" w:ascii="宋体" w:hAnsi="宋体"/>
          <w:szCs w:val="21"/>
        </w:rPr>
        <w:t xml:space="preserve"> 根菜类蔬菜的种类、分类、共同特性、品种资源。</w:t>
      </w:r>
    </w:p>
    <w:p>
      <w:pPr>
        <w:adjustRightInd w:val="0"/>
        <w:snapToGrid w:val="0"/>
        <w:spacing w:line="360" w:lineRule="auto"/>
        <w:ind w:firstLine="527" w:firstLineChars="250"/>
        <w:rPr>
          <w:rFonts w:ascii="宋体" w:hAnsi="宋体"/>
          <w:szCs w:val="21"/>
        </w:rPr>
      </w:pPr>
      <w:r>
        <w:rPr>
          <w:rFonts w:hint="eastAsia" w:ascii="宋体" w:hAnsi="宋体"/>
          <w:b/>
          <w:szCs w:val="21"/>
        </w:rPr>
        <w:t xml:space="preserve">2．一般掌握: </w:t>
      </w:r>
      <w:r>
        <w:rPr>
          <w:rFonts w:hint="eastAsia" w:ascii="宋体" w:hAnsi="宋体"/>
          <w:szCs w:val="21"/>
        </w:rPr>
        <w:t>根菜类蔬菜的生物学特性、栽培季节、生育期划分、不同生育阶段的特点、阶段发育特点、影响肉质根品质的因素。</w:t>
      </w:r>
    </w:p>
    <w:p>
      <w:pPr>
        <w:adjustRightInd w:val="0"/>
        <w:snapToGrid w:val="0"/>
        <w:spacing w:line="360" w:lineRule="auto"/>
        <w:ind w:firstLine="527" w:firstLineChars="250"/>
        <w:rPr>
          <w:rFonts w:ascii="宋体" w:hAnsi="宋体"/>
          <w:szCs w:val="21"/>
        </w:rPr>
      </w:pPr>
      <w:r>
        <w:rPr>
          <w:rFonts w:hint="eastAsia" w:ascii="宋体" w:hAnsi="宋体"/>
          <w:b/>
          <w:szCs w:val="21"/>
        </w:rPr>
        <w:t>3．熟练掌握:</w:t>
      </w:r>
      <w:r>
        <w:rPr>
          <w:rFonts w:hint="eastAsia" w:ascii="宋体" w:hAnsi="宋体"/>
          <w:szCs w:val="21"/>
        </w:rPr>
        <w:t xml:space="preserve"> 萝卜、或萝卜主要品种特性、主栽茬次的育苗（播种）期、定植期，采收期；调控未熟抽薹技术、提高肉质根商品品质的技术、主栽茬次管理技术要点。</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萝卜、胡萝卜的植物学特征，生长发育过程，对环境条件要求，生育阶段的划分，生育阶段划分的典型形态特征，不同生育阶段的生长特点；萝卜、胡萝卜肉质根形态和解剖结构的差异；春化作用的特点。</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萝卜、胡萝卜的栽培管理技术，如品种选用、茬口安排、栽培季节、栽培管理、病虫防治、采收贮运等关键技术。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bCs/>
          <w:szCs w:val="21"/>
        </w:rPr>
        <w:t>肉质根</w:t>
      </w:r>
      <w:r>
        <w:rPr>
          <w:rFonts w:ascii="宋体" w:hAnsi="宋体"/>
          <w:bCs/>
          <w:szCs w:val="21"/>
        </w:rPr>
        <w:t>类蔬菜的</w:t>
      </w:r>
      <w:r>
        <w:rPr>
          <w:rFonts w:hint="eastAsia" w:ascii="宋体" w:hAnsi="宋体"/>
          <w:bCs/>
          <w:szCs w:val="21"/>
        </w:rPr>
        <w:t>栽培</w:t>
      </w:r>
      <w:r>
        <w:rPr>
          <w:rFonts w:ascii="宋体" w:hAnsi="宋体"/>
          <w:bCs/>
          <w:szCs w:val="21"/>
        </w:rPr>
        <w:t>技术共同点有</w:t>
      </w:r>
      <w:r>
        <w:rPr>
          <w:rFonts w:hint="eastAsia" w:ascii="宋体" w:hAnsi="宋体"/>
          <w:bCs/>
          <w:szCs w:val="21"/>
        </w:rPr>
        <w:t>哪些</w:t>
      </w:r>
      <w:r>
        <w:rPr>
          <w:rFonts w:ascii="宋体" w:hAnsi="宋体"/>
          <w:bCs/>
          <w:szCs w:val="21"/>
        </w:rPr>
        <w:t>？</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：萝卜、胡萝卜主栽茬次的适宜品种、播种期、定植期、收获期；不同生长发育阶段的典型形态特征；不同生长发育阶段的生长特点；畸形根的种类。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：萝卜、胡萝卜植物学特征，生物学特性、不同生长发育阶段生长特点、对环境条件要求等与栽培的关系；畸形根产生的原因；控制萝卜、胡萝卜“未熟抽薹”的原理。</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：主栽茬次安排；肥水管理关键时期的确定；控制萝卜、胡萝卜“未熟抽薹”的技术。</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试分析</w:t>
      </w:r>
      <w:r>
        <w:rPr>
          <w:rFonts w:ascii="宋体" w:hAnsi="宋体"/>
          <w:bCs/>
          <w:szCs w:val="21"/>
        </w:rPr>
        <w:t>胡萝卜种子发芽低的原因和措施有哪些？</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：秋茬萝卜优质丰产栽培技术；春茬、秋茬胡萝卜优质丰产栽培技术。</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r>
        <w:rPr>
          <w:rFonts w:hint="eastAsia"/>
          <w:szCs w:val="21"/>
        </w:rPr>
        <w:t>，</w:t>
      </w:r>
      <w:r>
        <w:rPr>
          <w:szCs w:val="21"/>
        </w:rPr>
        <w:t>作业</w:t>
      </w:r>
      <w:r>
        <w:rPr>
          <w:rFonts w:hint="eastAsia"/>
          <w:szCs w:val="21"/>
        </w:rPr>
        <w:t>与</w:t>
      </w:r>
      <w:r>
        <w:rPr>
          <w:szCs w:val="21"/>
        </w:rPr>
        <w:t>讲评</w:t>
      </w:r>
      <w:r>
        <w:rPr>
          <w:rFonts w:hint="eastAsia"/>
          <w:szCs w:val="21"/>
        </w:rPr>
        <w:t>。</w:t>
      </w:r>
    </w:p>
    <w:p>
      <w:pPr>
        <w:adjustRightInd w:val="0"/>
        <w:snapToGrid w:val="0"/>
        <w:spacing w:line="360" w:lineRule="auto"/>
        <w:rPr>
          <w:rFonts w:ascii="宋体" w:hAnsi="宋体"/>
          <w:szCs w:val="21"/>
        </w:rPr>
      </w:pPr>
    </w:p>
    <w:p>
      <w:pPr>
        <w:adjustRightInd w:val="0"/>
        <w:snapToGrid w:val="0"/>
        <w:spacing w:line="360" w:lineRule="auto"/>
        <w:jc w:val="center"/>
        <w:rPr>
          <w:rFonts w:ascii="黑体" w:hAnsi="宋体" w:eastAsia="黑体"/>
          <w:szCs w:val="21"/>
        </w:rPr>
      </w:pPr>
      <w:r>
        <w:rPr>
          <w:rFonts w:hint="eastAsia" w:ascii="宋体" w:hAnsi="宋体"/>
          <w:b/>
          <w:szCs w:val="21"/>
        </w:rPr>
        <w:t>第八章  葱蒜类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ind w:firstLine="207" w:firstLineChars="98"/>
        <w:rPr>
          <w:rFonts w:ascii="宋体" w:hAnsi="宋体"/>
          <w:szCs w:val="21"/>
        </w:rPr>
      </w:pPr>
      <w:r>
        <w:rPr>
          <w:rFonts w:ascii="宋体" w:hAnsi="宋体"/>
          <w:b/>
          <w:szCs w:val="21"/>
        </w:rPr>
        <w:t xml:space="preserve">  </w:t>
      </w:r>
      <w:r>
        <w:rPr>
          <w:rFonts w:hint="eastAsia" w:ascii="宋体" w:hAnsi="宋体"/>
          <w:b/>
          <w:szCs w:val="21"/>
        </w:rPr>
        <w:t>1．一般了解:</w:t>
      </w:r>
      <w:r>
        <w:rPr>
          <w:rFonts w:hint="eastAsia" w:ascii="宋体" w:hAnsi="宋体"/>
          <w:szCs w:val="21"/>
        </w:rPr>
        <w:t xml:space="preserve"> 葱蒜类蔬菜的种类、分类、共同特征、品种资源。</w:t>
      </w:r>
    </w:p>
    <w:p>
      <w:pPr>
        <w:adjustRightInd w:val="0"/>
        <w:snapToGrid w:val="0"/>
        <w:spacing w:line="360" w:lineRule="auto"/>
        <w:ind w:firstLine="417" w:firstLineChars="198"/>
        <w:rPr>
          <w:rFonts w:ascii="宋体" w:hAnsi="宋体"/>
          <w:szCs w:val="21"/>
        </w:rPr>
      </w:pPr>
      <w:r>
        <w:rPr>
          <w:rFonts w:hint="eastAsia" w:ascii="宋体" w:hAnsi="宋体"/>
          <w:b/>
          <w:szCs w:val="21"/>
        </w:rPr>
        <w:t>2．一般掌握:</w:t>
      </w:r>
      <w:r>
        <w:rPr>
          <w:rFonts w:hint="eastAsia" w:ascii="宋体" w:hAnsi="宋体"/>
          <w:szCs w:val="21"/>
        </w:rPr>
        <w:t xml:space="preserve"> 葱蒜类蔬菜的生物学特性、栽培季节、生育期划分、不同生育阶段的特点、阶段发育特点、影响产品品质的因素。</w:t>
      </w:r>
    </w:p>
    <w:p>
      <w:pPr>
        <w:adjustRightInd w:val="0"/>
        <w:snapToGrid w:val="0"/>
        <w:spacing w:line="360" w:lineRule="auto"/>
        <w:ind w:firstLine="422" w:firstLineChars="200"/>
        <w:rPr>
          <w:rFonts w:ascii="宋体" w:hAnsi="宋体"/>
          <w:szCs w:val="21"/>
        </w:rPr>
      </w:pPr>
      <w:r>
        <w:rPr>
          <w:rFonts w:hint="eastAsia" w:ascii="宋体" w:hAnsi="宋体"/>
          <w:b/>
          <w:szCs w:val="21"/>
        </w:rPr>
        <w:t xml:space="preserve">3．熟练掌握: </w:t>
      </w:r>
      <w:r>
        <w:rPr>
          <w:rFonts w:hint="eastAsia" w:ascii="宋体" w:hAnsi="宋体"/>
          <w:szCs w:val="21"/>
        </w:rPr>
        <w:t xml:space="preserve"> 大蒜、洋葱、韭菜主要品种特性、主栽茬次的育苗（播种）期、定植期，采收期；控制大葱、洋葱未熟抽薹技术，主栽茬次的栽培技术。</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大蒜、洋葱、韭菜的生物学特性，生长发育过程，对环境条件要求，生育阶段的划分，不同生育阶段的生长特点；葱蒜类蔬菜春化作用、休眠的特点；大蒜的品种退化与复壮。</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大蒜、洋葱、韭菜的栽培管理技术，如品种选用、茬口安排、栽培季节、密度与产量、播种（定植）材料大小与产量、肥水管理、主要病害种类、采收贮运等关键技术。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bCs/>
          <w:szCs w:val="21"/>
        </w:rPr>
        <w:t>如何</w:t>
      </w:r>
      <w:r>
        <w:rPr>
          <w:rFonts w:ascii="宋体" w:hAnsi="宋体"/>
          <w:bCs/>
          <w:szCs w:val="21"/>
        </w:rPr>
        <w:t>提高葱蒜类蔬菜的产量，降低地下病害的发生？</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：葱蒜菜类主栽茬次的适宜品种、播种期、定植期、收获期；不同生长发育阶段的生长特点；大蒜“退母”、“韭菜跳根</w:t>
      </w:r>
      <w:r>
        <w:rPr>
          <w:rFonts w:ascii="宋体" w:hAnsi="宋体"/>
          <w:szCs w:val="21"/>
        </w:rPr>
        <w:t>”</w:t>
      </w:r>
      <w:r>
        <w:rPr>
          <w:rFonts w:hint="eastAsia" w:ascii="宋体" w:hAnsi="宋体"/>
          <w:szCs w:val="21"/>
        </w:rPr>
        <w:t>、洋葱、大葱“未熟抽薹”、洋葱、大蒜的自然休眠等概念。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大蒜、、大葱、洋葱、韭菜植物学特征，生物学特性、不同生长发育阶段生长特点、对环境条件要求等与栽培的关系；大蒜二次生长的原因；控制洋葱、大葱“未熟抽薹”的原理，采用冷藏及化控防止洋葱大蒜贮藏期发芽的原理。</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：主栽茬次安排；肥水管理关键时期的确定；</w:t>
      </w:r>
      <w:r>
        <w:rPr>
          <w:rFonts w:hint="eastAsia" w:ascii="宋体" w:hAnsi="宋体" w:cs="宋体"/>
          <w:kern w:val="0"/>
          <w:szCs w:val="21"/>
        </w:rPr>
        <w:t>控</w:t>
      </w:r>
      <w:r>
        <w:rPr>
          <w:rFonts w:hint="eastAsia" w:ascii="宋体" w:hAnsi="宋体"/>
          <w:szCs w:val="21"/>
        </w:rPr>
        <w:t>制大葱、洋葱“未熟抽薹”的技术；防止洋葱大蒜贮藏期发芽的技术。</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分析葱蒜</w:t>
      </w:r>
      <w:r>
        <w:rPr>
          <w:rFonts w:ascii="宋体" w:hAnsi="宋体"/>
          <w:bCs/>
          <w:szCs w:val="21"/>
        </w:rPr>
        <w:t>类蔬菜的繁殖方式和优缺点有</w:t>
      </w:r>
      <w:r>
        <w:rPr>
          <w:rFonts w:hint="eastAsia" w:ascii="宋体" w:hAnsi="宋体"/>
          <w:bCs/>
          <w:szCs w:val="21"/>
        </w:rPr>
        <w:t>哪些</w:t>
      </w:r>
      <w:r>
        <w:rPr>
          <w:rFonts w:ascii="宋体" w:hAnsi="宋体"/>
          <w:bCs/>
          <w:szCs w:val="21"/>
        </w:rPr>
        <w:t>？</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：大蒜、洋葱、韭菜高产优质周年栽培关键技术。</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r>
        <w:rPr>
          <w:rFonts w:hint="eastAsia"/>
          <w:szCs w:val="21"/>
        </w:rPr>
        <w:t>，</w:t>
      </w:r>
      <w:r>
        <w:rPr>
          <w:szCs w:val="21"/>
        </w:rPr>
        <w:t>作业</w:t>
      </w:r>
      <w:r>
        <w:rPr>
          <w:rFonts w:hint="eastAsia"/>
          <w:szCs w:val="21"/>
        </w:rPr>
        <w:t>与</w:t>
      </w:r>
      <w:r>
        <w:rPr>
          <w:szCs w:val="21"/>
        </w:rPr>
        <w:t>讲评</w:t>
      </w:r>
      <w:r>
        <w:rPr>
          <w:rFonts w:hint="eastAsia"/>
          <w:szCs w:val="21"/>
        </w:rPr>
        <w:t>。</w:t>
      </w:r>
    </w:p>
    <w:p>
      <w:pPr>
        <w:adjustRightInd w:val="0"/>
        <w:snapToGrid w:val="0"/>
        <w:spacing w:line="360" w:lineRule="auto"/>
        <w:rPr>
          <w:rFonts w:ascii="宋体" w:hAnsi="宋体"/>
          <w:szCs w:val="21"/>
        </w:rPr>
      </w:pPr>
    </w:p>
    <w:p>
      <w:pPr>
        <w:adjustRightInd w:val="0"/>
        <w:snapToGrid w:val="0"/>
        <w:spacing w:line="360" w:lineRule="auto"/>
        <w:jc w:val="center"/>
        <w:rPr>
          <w:rFonts w:ascii="宋体" w:hAnsi="宋体"/>
          <w:b/>
          <w:szCs w:val="21"/>
        </w:rPr>
      </w:pPr>
      <w:r>
        <w:rPr>
          <w:rFonts w:hint="eastAsia" w:ascii="宋体" w:hAnsi="宋体"/>
          <w:b/>
          <w:szCs w:val="21"/>
        </w:rPr>
        <w:t>第九章  豆 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ind w:firstLine="310" w:firstLineChars="147"/>
        <w:rPr>
          <w:rFonts w:ascii="宋体" w:hAnsi="宋体"/>
          <w:szCs w:val="21"/>
        </w:rPr>
      </w:pPr>
      <w:r>
        <w:rPr>
          <w:rFonts w:ascii="宋体" w:hAnsi="宋体"/>
          <w:b/>
          <w:szCs w:val="21"/>
        </w:rPr>
        <w:t xml:space="preserve"> </w:t>
      </w:r>
      <w:r>
        <w:rPr>
          <w:rFonts w:hint="eastAsia" w:ascii="宋体" w:hAnsi="宋体"/>
          <w:b/>
          <w:szCs w:val="21"/>
        </w:rPr>
        <w:t>1．一般了解:</w:t>
      </w:r>
      <w:r>
        <w:rPr>
          <w:rFonts w:hint="eastAsia"/>
          <w:szCs w:val="21"/>
        </w:rPr>
        <w:t xml:space="preserve"> </w:t>
      </w:r>
      <w:r>
        <w:rPr>
          <w:rFonts w:hint="eastAsia" w:ascii="宋体" w:hAnsi="宋体"/>
          <w:szCs w:val="21"/>
        </w:rPr>
        <w:t>豆类蔬菜的种类、分类、共同特性、品种资源，豇豆、菜豆耐热性性的差异，菜豆落花落荚的原因。</w:t>
      </w:r>
    </w:p>
    <w:p>
      <w:pPr>
        <w:adjustRightInd w:val="0"/>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豆类蔬菜的生物学特性、栽培季节、生育期划分、不同生育阶段的特点；豇豆周年排开播种技术；菜豆防止落花落荚技术。</w:t>
      </w:r>
    </w:p>
    <w:p>
      <w:pPr>
        <w:adjustRightInd w:val="0"/>
        <w:snapToGrid w:val="0"/>
        <w:spacing w:line="360" w:lineRule="auto"/>
        <w:ind w:firstLine="422" w:firstLineChars="200"/>
        <w:rPr>
          <w:rFonts w:ascii="宋体" w:hAnsi="宋体"/>
          <w:szCs w:val="21"/>
        </w:rPr>
      </w:pPr>
      <w:r>
        <w:rPr>
          <w:rFonts w:hint="eastAsia" w:ascii="宋体" w:hAnsi="宋体"/>
          <w:b/>
          <w:szCs w:val="21"/>
        </w:rPr>
        <w:t>3．熟练掌握:</w:t>
      </w:r>
      <w:r>
        <w:rPr>
          <w:rFonts w:hint="eastAsia" w:ascii="宋体" w:hAnsi="宋体"/>
          <w:szCs w:val="21"/>
        </w:rPr>
        <w:t xml:space="preserve"> 豇豆、菜豆主要品种特性、主栽茬次的播期、定植期，采收期；主栽茬次的栽培技术。</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菜豆、豇豆的植物学特征，生长发育过程，对环境条件要求，生育阶段的划分，不同生育阶段的生长特点；豇豆耐热特点与夏季排开播种；菜豆喜温不耐热春季保护栽培及春秋双季栽培；菜豆落花落荚的原因与防止。</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菜豆、豇豆的栽培管理技术，如品种选用、茬口安排、栽培季节、密度与产量、季节与产量、肥水管理等关键技术。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ascii="宋体" w:hAnsi="宋体"/>
          <w:bCs/>
          <w:szCs w:val="21"/>
        </w:rPr>
        <w:t>豆科蔬菜</w:t>
      </w:r>
      <w:r>
        <w:rPr>
          <w:rFonts w:hint="eastAsia" w:ascii="宋体" w:hAnsi="宋体"/>
          <w:bCs/>
          <w:szCs w:val="21"/>
        </w:rPr>
        <w:t>的</w:t>
      </w:r>
      <w:r>
        <w:rPr>
          <w:rFonts w:ascii="宋体" w:hAnsi="宋体"/>
          <w:bCs/>
          <w:szCs w:val="21"/>
        </w:rPr>
        <w:t>氮肥</w:t>
      </w:r>
      <w:r>
        <w:rPr>
          <w:rFonts w:hint="eastAsia" w:ascii="宋体" w:hAnsi="宋体"/>
          <w:bCs/>
          <w:szCs w:val="21"/>
        </w:rPr>
        <w:t>施用</w:t>
      </w:r>
      <w:r>
        <w:rPr>
          <w:rFonts w:ascii="宋体" w:hAnsi="宋体"/>
          <w:bCs/>
          <w:szCs w:val="21"/>
        </w:rPr>
        <w:t>方法和技术是什么？</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：豆类蔬菜主栽茬次的适宜品种、播种期、定植期、收获期；不同生长发育阶段的生长特点。</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：菜豆、豇豆的植物学特征，生物学特性、不同生长发育阶段生长特点、对环境条件要求等与栽培的关系；菜豆落花落荚的原因。</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：菜豆、豇豆主栽茬次安排；肥水管理关键时期的确定；防止菜豆落花落荚措施的制定。</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试</w:t>
      </w:r>
      <w:r>
        <w:rPr>
          <w:rFonts w:ascii="宋体" w:hAnsi="宋体"/>
          <w:bCs/>
          <w:szCs w:val="21"/>
        </w:rPr>
        <w:t>分析</w:t>
      </w:r>
      <w:r>
        <w:rPr>
          <w:rFonts w:hint="eastAsia" w:ascii="宋体" w:hAnsi="宋体"/>
          <w:szCs w:val="21"/>
        </w:rPr>
        <w:t>豆科</w:t>
      </w:r>
      <w:r>
        <w:rPr>
          <w:rFonts w:ascii="宋体" w:hAnsi="宋体"/>
          <w:szCs w:val="21"/>
        </w:rPr>
        <w:t>植物的</w:t>
      </w:r>
      <w:r>
        <w:rPr>
          <w:rFonts w:hint="eastAsia" w:ascii="宋体" w:hAnsi="宋体"/>
          <w:szCs w:val="21"/>
        </w:rPr>
        <w:t>主要</w:t>
      </w:r>
      <w:r>
        <w:rPr>
          <w:rFonts w:ascii="宋体" w:hAnsi="宋体"/>
          <w:szCs w:val="21"/>
        </w:rPr>
        <w:t>病害和防治措施是什么？</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：菜豆、豇豆高产优质周年栽培关键技术。</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r>
        <w:rPr>
          <w:rFonts w:hint="eastAsia"/>
          <w:szCs w:val="21"/>
        </w:rPr>
        <w:t>。</w:t>
      </w:r>
    </w:p>
    <w:p>
      <w:pPr>
        <w:adjustRightInd w:val="0"/>
        <w:snapToGrid w:val="0"/>
        <w:spacing w:line="360" w:lineRule="auto"/>
        <w:rPr>
          <w:rFonts w:ascii="宋体" w:hAnsi="宋体"/>
          <w:szCs w:val="21"/>
        </w:rPr>
      </w:pPr>
    </w:p>
    <w:p>
      <w:pPr>
        <w:adjustRightInd w:val="0"/>
        <w:snapToGrid w:val="0"/>
        <w:spacing w:line="360" w:lineRule="auto"/>
        <w:jc w:val="center"/>
        <w:rPr>
          <w:rFonts w:ascii="宋体" w:hAnsi="宋体"/>
          <w:b/>
          <w:szCs w:val="21"/>
        </w:rPr>
      </w:pPr>
      <w:r>
        <w:rPr>
          <w:rFonts w:hint="eastAsia" w:ascii="宋体" w:hAnsi="宋体"/>
          <w:b/>
          <w:szCs w:val="21"/>
        </w:rPr>
        <w:t>第十章  薯芋类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1．一般了解:</w:t>
      </w:r>
      <w:r>
        <w:rPr>
          <w:rFonts w:hint="eastAsia"/>
          <w:szCs w:val="21"/>
        </w:rPr>
        <w:t xml:space="preserve"> 薯芋</w:t>
      </w:r>
      <w:r>
        <w:rPr>
          <w:rFonts w:hint="eastAsia" w:ascii="宋体" w:hAnsi="宋体"/>
          <w:szCs w:val="21"/>
        </w:rPr>
        <w:t>类蔬菜的种类、分类、共同特性、品种资源。</w:t>
      </w:r>
    </w:p>
    <w:p>
      <w:pPr>
        <w:adjustRightInd w:val="0"/>
        <w:snapToGrid w:val="0"/>
        <w:spacing w:line="360" w:lineRule="auto"/>
        <w:ind w:firstLine="422" w:firstLineChars="200"/>
        <w:rPr>
          <w:rFonts w:ascii="宋体" w:hAnsi="宋体"/>
          <w:szCs w:val="21"/>
        </w:rPr>
      </w:pPr>
      <w:r>
        <w:rPr>
          <w:rFonts w:hint="eastAsia" w:ascii="宋体" w:hAnsi="宋体"/>
          <w:b/>
          <w:szCs w:val="21"/>
        </w:rPr>
        <w:t xml:space="preserve">2．一般掌握: </w:t>
      </w:r>
      <w:r>
        <w:rPr>
          <w:rFonts w:hint="eastAsia"/>
          <w:szCs w:val="21"/>
        </w:rPr>
        <w:t>薯芋</w:t>
      </w:r>
      <w:r>
        <w:rPr>
          <w:rFonts w:hint="eastAsia" w:ascii="宋体" w:hAnsi="宋体"/>
          <w:szCs w:val="21"/>
        </w:rPr>
        <w:t>类蔬菜的生物学特性、栽培季节、生育期划分、不同生育阶段的特点。</w:t>
      </w:r>
    </w:p>
    <w:p>
      <w:pPr>
        <w:adjustRightInd w:val="0"/>
        <w:snapToGrid w:val="0"/>
        <w:spacing w:line="360" w:lineRule="auto"/>
        <w:ind w:firstLine="422" w:firstLineChars="200"/>
        <w:rPr>
          <w:rFonts w:ascii="宋体" w:hAnsi="宋体"/>
          <w:szCs w:val="21"/>
        </w:rPr>
      </w:pPr>
      <w:r>
        <w:rPr>
          <w:rFonts w:hint="eastAsia" w:ascii="宋体" w:hAnsi="宋体"/>
          <w:b/>
          <w:szCs w:val="21"/>
        </w:rPr>
        <w:t xml:space="preserve">3．熟练掌握: </w:t>
      </w:r>
      <w:r>
        <w:rPr>
          <w:rFonts w:hint="eastAsia" w:ascii="宋体" w:hAnsi="宋体"/>
          <w:szCs w:val="21"/>
        </w:rPr>
        <w:t>马铃薯、山药主要品种特性、主栽茬次播期、采收期；主栽茬次栽培技术。</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马铃薯、山药的植物学特征，生长发育过程，对环境条件要求，生育阶段的划分，不同生育阶段的生长特点，马铃薯、山药的休眠特性，马铃薯、山药的品种退化。</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马铃薯、山药的栽培管理技术点，如品种选用、茬口安排、栽培季节、栽培管理、病虫防治、采收贮运等关键技术。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bCs/>
          <w:szCs w:val="21"/>
        </w:rPr>
        <w:t>种</w:t>
      </w:r>
      <w:r>
        <w:rPr>
          <w:rFonts w:ascii="宋体" w:hAnsi="宋体"/>
          <w:bCs/>
          <w:szCs w:val="21"/>
        </w:rPr>
        <w:t>性退化的原因和防止措施有哪些？</w:t>
      </w:r>
    </w:p>
    <w:p>
      <w:pPr>
        <w:adjustRightInd w:val="0"/>
        <w:snapToGrid w:val="0"/>
        <w:spacing w:line="360" w:lineRule="auto"/>
        <w:ind w:firstLine="420" w:firstLineChars="200"/>
        <w:rPr>
          <w:rFonts w:ascii="宋体" w:hAnsi="宋体"/>
          <w:szCs w:val="21"/>
        </w:rPr>
      </w:pPr>
      <w:r>
        <w:rPr>
          <w:rFonts w:hint="eastAsia" w:ascii="宋体" w:hAnsi="宋体"/>
          <w:szCs w:val="21"/>
        </w:rPr>
        <w:t xml:space="preserve"> </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：马铃薯、山药的主要种类和品种。</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：马铃薯、山药的植物学特性，生长发育过程，对环境条件要求与栽培的关系；马铃薯、山药的休眠类型，马铃薯、山药品种退化的原因。</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：马铃薯、山药主栽茬次安排；肥水管理关键时期确定；打破休眠技术、防止品种退化的措施。</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河南地区</w:t>
      </w:r>
      <w:r>
        <w:rPr>
          <w:rFonts w:ascii="宋体" w:hAnsi="宋体"/>
          <w:bCs/>
          <w:szCs w:val="21"/>
        </w:rPr>
        <w:t>秋季和春季马铃薯产量差异的原因是什么。</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：马铃薯、山药高产优质周年栽培关键技术。</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课下讨论</w:t>
      </w:r>
      <w:r>
        <w:rPr>
          <w:szCs w:val="21"/>
        </w:rPr>
        <w:t>，抢答环节</w:t>
      </w:r>
      <w:r>
        <w:rPr>
          <w:rFonts w:hint="eastAsia"/>
          <w:szCs w:val="21"/>
        </w:rPr>
        <w:t>。</w:t>
      </w:r>
    </w:p>
    <w:p>
      <w:pPr>
        <w:adjustRightInd w:val="0"/>
        <w:snapToGrid w:val="0"/>
        <w:spacing w:line="360" w:lineRule="auto"/>
        <w:rPr>
          <w:rFonts w:ascii="宋体" w:hAnsi="宋体"/>
          <w:szCs w:val="21"/>
        </w:rPr>
      </w:pPr>
    </w:p>
    <w:p>
      <w:pPr>
        <w:adjustRightInd w:val="0"/>
        <w:snapToGrid w:val="0"/>
        <w:spacing w:line="360" w:lineRule="auto"/>
        <w:jc w:val="center"/>
        <w:rPr>
          <w:rFonts w:ascii="宋体" w:hAnsi="宋体"/>
          <w:b/>
          <w:szCs w:val="21"/>
        </w:rPr>
      </w:pPr>
      <w:r>
        <w:rPr>
          <w:rFonts w:hint="eastAsia" w:ascii="宋体" w:hAnsi="宋体"/>
          <w:b/>
          <w:szCs w:val="21"/>
        </w:rPr>
        <w:t>第十一章  绿叶菜类</w:t>
      </w:r>
    </w:p>
    <w:p>
      <w:pPr>
        <w:widowControl/>
        <w:jc w:val="left"/>
        <w:rPr>
          <w:rFonts w:ascii="宋体" w:hAnsi="宋体" w:cs="宋体"/>
          <w:kern w:val="0"/>
          <w:sz w:val="24"/>
        </w:rPr>
      </w:pPr>
      <w:r>
        <w:rPr>
          <w:rFonts w:hint="eastAsia" w:ascii="宋体" w:hAnsi="宋体"/>
          <w:b/>
          <w:szCs w:val="21"/>
        </w:rPr>
        <w:t>（一）学习目标</w:t>
      </w:r>
      <w:r>
        <w:rPr>
          <w:rFonts w:hint="eastAsia" w:ascii="宋体" w:hAnsi="宋体" w:cs="宋体"/>
          <w:kern w:val="0"/>
          <w:sz w:val="24"/>
        </w:rPr>
        <w:t xml:space="preserve"> </w:t>
      </w:r>
    </w:p>
    <w:p>
      <w:pPr>
        <w:adjustRightInd w:val="0"/>
        <w:snapToGrid w:val="0"/>
        <w:spacing w:line="360" w:lineRule="auto"/>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1．一般了解:</w:t>
      </w:r>
      <w:r>
        <w:rPr>
          <w:rFonts w:hint="eastAsia"/>
          <w:szCs w:val="21"/>
        </w:rPr>
        <w:t xml:space="preserve"> </w:t>
      </w:r>
      <w:r>
        <w:rPr>
          <w:rFonts w:hint="eastAsia" w:ascii="宋体" w:hAnsi="宋体"/>
          <w:szCs w:val="21"/>
        </w:rPr>
        <w:t>绿叶类蔬菜的种类、分类、共同特性、品种资源。</w:t>
      </w:r>
    </w:p>
    <w:p>
      <w:pPr>
        <w:adjustRightInd w:val="0"/>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:主要绿叶菜芹菜、莴苣 生物学特性、栽培季节、生育期划分、不同生育阶段的特点，芹菜、莴苣春化作用的特点。</w:t>
      </w:r>
    </w:p>
    <w:p>
      <w:pPr>
        <w:adjustRightInd w:val="0"/>
        <w:snapToGrid w:val="0"/>
        <w:spacing w:line="360" w:lineRule="auto"/>
        <w:ind w:firstLine="422" w:firstLineChars="200"/>
        <w:rPr>
          <w:rFonts w:ascii="宋体" w:hAnsi="宋体"/>
          <w:szCs w:val="21"/>
        </w:rPr>
      </w:pPr>
      <w:r>
        <w:rPr>
          <w:rFonts w:hint="eastAsia" w:ascii="宋体" w:hAnsi="宋体"/>
          <w:b/>
          <w:szCs w:val="21"/>
        </w:rPr>
        <w:t>3．熟练掌握:</w:t>
      </w:r>
      <w:r>
        <w:rPr>
          <w:rFonts w:hint="eastAsia" w:ascii="宋体" w:hAnsi="宋体"/>
          <w:szCs w:val="21"/>
        </w:rPr>
        <w:t xml:space="preserve"> ;芹菜、莴苣等主要品种特性、生育期划分、不同生育阶段的特点、主栽茬次的栽培技术。</w:t>
      </w:r>
    </w:p>
    <w:p>
      <w:pPr>
        <w:adjustRightInd w:val="0"/>
        <w:snapToGrid w:val="0"/>
        <w:spacing w:line="360" w:lineRule="auto"/>
        <w:rPr>
          <w:rFonts w:ascii="宋体" w:hAnsi="宋体"/>
          <w:b/>
          <w:szCs w:val="21"/>
        </w:rPr>
      </w:pPr>
      <w:r>
        <w:rPr>
          <w:rFonts w:hint="eastAsia" w:ascii="宋体" w:hAnsi="宋体"/>
          <w:b/>
          <w:szCs w:val="21"/>
        </w:rPr>
        <w:t>（二）考核内容</w:t>
      </w:r>
    </w:p>
    <w:p>
      <w:pPr>
        <w:adjustRightInd w:val="0"/>
        <w:snapToGrid w:val="0"/>
        <w:spacing w:line="360" w:lineRule="auto"/>
        <w:ind w:firstLine="422" w:firstLineChars="200"/>
        <w:rPr>
          <w:rFonts w:ascii="宋体" w:hAnsi="宋体"/>
          <w:bCs/>
          <w:szCs w:val="21"/>
        </w:rPr>
      </w:pPr>
      <w:r>
        <w:rPr>
          <w:rFonts w:hint="eastAsia" w:ascii="宋体" w:hAnsi="宋体"/>
          <w:b/>
          <w:szCs w:val="21"/>
        </w:rPr>
        <w:t>知识：</w:t>
      </w:r>
      <w:r>
        <w:rPr>
          <w:rFonts w:hint="eastAsia" w:ascii="宋体" w:hAnsi="宋体"/>
          <w:szCs w:val="21"/>
        </w:rPr>
        <w:t>芹菜、莴苣的植物学特征，生长发育过程，对环境条件要求，生育阶段的划分，不同生育阶段的生长特点。</w:t>
      </w:r>
    </w:p>
    <w:p>
      <w:pPr>
        <w:adjustRightInd w:val="0"/>
        <w:snapToGrid w:val="0"/>
        <w:spacing w:line="360" w:lineRule="auto"/>
        <w:ind w:firstLine="422" w:firstLineChars="200"/>
        <w:rPr>
          <w:rFonts w:ascii="宋体" w:hAnsi="宋体"/>
          <w:bCs/>
          <w:szCs w:val="21"/>
        </w:rPr>
      </w:pPr>
      <w:r>
        <w:rPr>
          <w:rFonts w:hint="eastAsia" w:ascii="宋体" w:hAnsi="宋体"/>
          <w:b/>
          <w:szCs w:val="21"/>
        </w:rPr>
        <w:t>能力：</w:t>
      </w:r>
      <w:r>
        <w:rPr>
          <w:rFonts w:hint="eastAsia" w:ascii="宋体" w:hAnsi="宋体"/>
          <w:szCs w:val="21"/>
        </w:rPr>
        <w:t>芹菜、莴苣的栽培管理技术，如品种选用、茬口安排、栽培季节、栽培管理、病虫防治、采收贮运等关键技术。</w:t>
      </w:r>
    </w:p>
    <w:p>
      <w:pPr>
        <w:adjustRightInd w:val="0"/>
        <w:snapToGrid w:val="0"/>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szCs w:val="21"/>
        </w:rPr>
        <w:t>防止莴苣和芹菜抽薹的措施。</w:t>
      </w:r>
    </w:p>
    <w:p>
      <w:pPr>
        <w:adjustRightInd w:val="0"/>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：绿叶菜类蔬菜的主要种类和品种。</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：绿叶菜类的植物学特性，生长发育过程，对环境条件要求与栽培的关系。</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：芹菜、莴苣的催芽技术、播种技术、肥水管理要点。</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szCs w:val="21"/>
        </w:rPr>
        <w:t>防止莴苣芹菜抽薹的措施。</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：芹菜、莴苣高产优质周年栽培关键技术。</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szCs w:val="21"/>
        </w:rPr>
        <w:t>课堂</w:t>
      </w:r>
      <w:r>
        <w:rPr>
          <w:szCs w:val="21"/>
        </w:rPr>
        <w:t>提问</w:t>
      </w:r>
      <w:r>
        <w:rPr>
          <w:rFonts w:hint="eastAsia"/>
          <w:szCs w:val="21"/>
        </w:rPr>
        <w:t>，学生</w:t>
      </w:r>
      <w:r>
        <w:rPr>
          <w:szCs w:val="21"/>
        </w:rPr>
        <w:t>互动，</w:t>
      </w:r>
      <w:r>
        <w:rPr>
          <w:rFonts w:hint="eastAsia"/>
          <w:szCs w:val="21"/>
        </w:rPr>
        <w:t>自</w:t>
      </w:r>
      <w:r>
        <w:rPr>
          <w:szCs w:val="21"/>
        </w:rPr>
        <w:t>讲环节与评价</w:t>
      </w:r>
      <w:r>
        <w:rPr>
          <w:rFonts w:hint="eastAsia"/>
          <w:szCs w:val="21"/>
        </w:rPr>
        <w:t>，课下讨论。</w:t>
      </w:r>
    </w:p>
    <w:p>
      <w:pPr>
        <w:adjustRightInd w:val="0"/>
        <w:snapToGrid w:val="0"/>
        <w:spacing w:line="360" w:lineRule="auto"/>
        <w:ind w:firstLine="210" w:firstLineChars="100"/>
        <w:rPr>
          <w:rFonts w:ascii="宋体" w:hAnsi="宋体"/>
          <w:szCs w:val="21"/>
        </w:rPr>
      </w:pPr>
    </w:p>
    <w:p>
      <w:pPr>
        <w:adjustRightInd w:val="0"/>
        <w:snapToGrid w:val="0"/>
        <w:spacing w:line="360" w:lineRule="auto"/>
        <w:ind w:firstLine="2424" w:firstLineChars="1150"/>
        <w:rPr>
          <w:rFonts w:ascii="宋体" w:hAnsi="宋体"/>
          <w:b/>
          <w:szCs w:val="21"/>
        </w:rPr>
      </w:pPr>
      <w:r>
        <w:rPr>
          <w:rFonts w:hint="eastAsia" w:ascii="宋体" w:hAnsi="宋体"/>
          <w:b/>
          <w:szCs w:val="21"/>
        </w:rPr>
        <w:t>第十三章 水生蔬菜（自学）</w:t>
      </w:r>
    </w:p>
    <w:p>
      <w:pPr>
        <w:adjustRightInd w:val="0"/>
        <w:snapToGrid w:val="0"/>
        <w:spacing w:line="360" w:lineRule="auto"/>
        <w:ind w:firstLine="2424" w:firstLineChars="1150"/>
        <w:rPr>
          <w:rFonts w:ascii="宋体" w:hAnsi="宋体"/>
          <w:b/>
          <w:szCs w:val="21"/>
        </w:rPr>
      </w:pPr>
    </w:p>
    <w:p>
      <w:pPr>
        <w:adjustRightInd w:val="0"/>
        <w:snapToGrid w:val="0"/>
        <w:spacing w:line="360" w:lineRule="auto"/>
        <w:ind w:firstLine="2424" w:firstLineChars="1150"/>
        <w:rPr>
          <w:rFonts w:ascii="宋体" w:hAnsi="宋体"/>
          <w:b/>
          <w:szCs w:val="21"/>
        </w:rPr>
      </w:pPr>
      <w:r>
        <w:rPr>
          <w:rFonts w:hint="eastAsia" w:ascii="宋体" w:hAnsi="宋体"/>
          <w:b/>
          <w:szCs w:val="21"/>
        </w:rPr>
        <w:t>第十四章 多年生蔬菜（自学）</w:t>
      </w:r>
    </w:p>
    <w:p>
      <w:pPr>
        <w:adjustRightInd w:val="0"/>
        <w:snapToGrid w:val="0"/>
        <w:spacing w:line="360" w:lineRule="auto"/>
        <w:ind w:firstLine="2424" w:firstLineChars="1150"/>
        <w:rPr>
          <w:rFonts w:ascii="宋体" w:hAnsi="宋体"/>
          <w:b/>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608" w:name="_Toc138070469"/>
      <w:bookmarkStart w:id="609" w:name="_Toc138076134"/>
      <w:bookmarkStart w:id="610" w:name="_Toc478"/>
      <w:bookmarkStart w:id="611" w:name="_Toc138076383"/>
      <w:bookmarkStart w:id="612" w:name="_Toc138068839"/>
      <w:bookmarkStart w:id="613" w:name="_Toc138068440"/>
      <w:bookmarkStart w:id="614" w:name="_Toc138076678"/>
      <w:bookmarkStart w:id="615" w:name="_Toc138070740"/>
      <w:r>
        <w:rPr>
          <w:rFonts w:hint="eastAsia" w:asciiTheme="majorEastAsia" w:hAnsiTheme="majorEastAsia" w:eastAsiaTheme="majorEastAsia" w:cstheme="majorEastAsia"/>
          <w:b/>
          <w:bCs/>
          <w:kern w:val="0"/>
          <w:szCs w:val="21"/>
        </w:rPr>
        <w:t>三、实验、实习教学部分的考核要求</w:t>
      </w:r>
      <w:bookmarkEnd w:id="608"/>
      <w:bookmarkEnd w:id="609"/>
      <w:bookmarkEnd w:id="610"/>
      <w:bookmarkEnd w:id="611"/>
      <w:bookmarkEnd w:id="612"/>
      <w:bookmarkEnd w:id="613"/>
      <w:bookmarkEnd w:id="614"/>
      <w:bookmarkEnd w:id="615"/>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1.</w:t>
      </w:r>
      <w:r>
        <w:rPr>
          <w:rFonts w:hint="eastAsia" w:ascii="宋体" w:hAnsi="宋体"/>
          <w:szCs w:val="21"/>
        </w:rPr>
        <w:t xml:space="preserve"> 实验部分以考勤、实验报告及与大田种植作业的形式进行考核，采用百分制评分，考勤占</w:t>
      </w:r>
      <w:r>
        <w:rPr>
          <w:rFonts w:ascii="宋体" w:hAnsi="宋体"/>
          <w:szCs w:val="21"/>
        </w:rPr>
        <w:t>2</w:t>
      </w:r>
      <w:r>
        <w:rPr>
          <w:rFonts w:hint="eastAsia" w:ascii="宋体" w:hAnsi="宋体"/>
          <w:szCs w:val="21"/>
        </w:rPr>
        <w:t>0%，实验报告占30</w:t>
      </w:r>
      <w:r>
        <w:rPr>
          <w:rFonts w:ascii="宋体" w:hAnsi="宋体"/>
          <w:szCs w:val="21"/>
        </w:rPr>
        <w:t>%，</w:t>
      </w:r>
      <w:r>
        <w:rPr>
          <w:rFonts w:hint="eastAsia" w:ascii="宋体" w:hAnsi="宋体"/>
          <w:szCs w:val="21"/>
        </w:rPr>
        <w:t>大田种植作业占</w:t>
      </w:r>
      <w:r>
        <w:rPr>
          <w:rFonts w:ascii="宋体" w:hAnsi="宋体"/>
          <w:szCs w:val="21"/>
        </w:rPr>
        <w:t>5</w:t>
      </w:r>
      <w:r>
        <w:rPr>
          <w:rFonts w:hint="eastAsia" w:ascii="宋体" w:hAnsi="宋体"/>
          <w:szCs w:val="21"/>
        </w:rPr>
        <w:t>0%，以上全部成绩占课程总成绩的</w:t>
      </w:r>
      <w:r>
        <w:rPr>
          <w:rFonts w:ascii="宋体" w:hAnsi="宋体"/>
          <w:szCs w:val="21"/>
        </w:rPr>
        <w:t>45</w:t>
      </w:r>
      <w:r>
        <w:rPr>
          <w:rFonts w:hint="eastAsia" w:ascii="宋体" w:hAnsi="宋体"/>
          <w:szCs w:val="21"/>
        </w:rPr>
        <w:t>%。</w:t>
      </w:r>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2.</w:t>
      </w:r>
      <w:r>
        <w:rPr>
          <w:rFonts w:hint="eastAsia" w:ascii="宋体" w:hAnsi="宋体"/>
          <w:szCs w:val="21"/>
        </w:rPr>
        <w:t xml:space="preserve"> 实习教学部分采用考勤、综合性实验报告及讲评效果三者相结合的方式进行考核，考勤占20%，综合性实习报告占70%，讲评效果占10%，全部实习成绩占课程总成绩的5%。</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616" w:name="_Toc138076135"/>
      <w:bookmarkStart w:id="617" w:name="_Toc138076384"/>
      <w:bookmarkStart w:id="618" w:name="_Toc138070470"/>
      <w:bookmarkStart w:id="619" w:name="_Toc1218"/>
      <w:bookmarkStart w:id="620" w:name="_Toc138070741"/>
      <w:bookmarkStart w:id="621" w:name="_Toc138068441"/>
      <w:bookmarkStart w:id="622" w:name="_Toc138068840"/>
      <w:bookmarkStart w:id="623" w:name="_Toc138076679"/>
      <w:r>
        <w:rPr>
          <w:rFonts w:hint="eastAsia" w:asciiTheme="majorEastAsia" w:hAnsiTheme="majorEastAsia" w:eastAsiaTheme="majorEastAsia" w:cstheme="majorEastAsia"/>
          <w:b/>
          <w:bCs/>
          <w:kern w:val="0"/>
          <w:szCs w:val="21"/>
        </w:rPr>
        <w:t>四、考核方式</w:t>
      </w:r>
      <w:bookmarkEnd w:id="616"/>
      <w:bookmarkEnd w:id="617"/>
      <w:bookmarkEnd w:id="618"/>
      <w:bookmarkEnd w:id="619"/>
      <w:bookmarkEnd w:id="620"/>
      <w:bookmarkEnd w:id="621"/>
      <w:bookmarkEnd w:id="622"/>
      <w:bookmarkEnd w:id="623"/>
    </w:p>
    <w:p>
      <w:pPr>
        <w:spacing w:line="360" w:lineRule="auto"/>
        <w:ind w:firstLine="323" w:firstLineChars="154"/>
        <w:rPr>
          <w:rFonts w:ascii="宋体" w:hAnsi="宋体"/>
          <w:szCs w:val="21"/>
        </w:rPr>
      </w:pPr>
      <w:r>
        <w:rPr>
          <w:rFonts w:hint="eastAsia" w:ascii="宋体" w:hAnsi="宋体"/>
          <w:szCs w:val="21"/>
        </w:rPr>
        <w:t>1、过程性考核评价包含阶段测评（包含期中</w:t>
      </w:r>
      <w:r>
        <w:rPr>
          <w:rFonts w:ascii="宋体" w:hAnsi="宋体"/>
          <w:szCs w:val="21"/>
        </w:rPr>
        <w:t>考核和</w:t>
      </w:r>
      <w:r>
        <w:rPr>
          <w:rFonts w:hint="eastAsia" w:ascii="宋体" w:hAnsi="宋体"/>
          <w:szCs w:val="21"/>
        </w:rPr>
        <w:t>学习</w:t>
      </w:r>
      <w:r>
        <w:rPr>
          <w:rFonts w:ascii="宋体" w:hAnsi="宋体"/>
          <w:szCs w:val="21"/>
        </w:rPr>
        <w:t>平台作业、阅读、问答等完成情况</w:t>
      </w:r>
      <w:r>
        <w:rPr>
          <w:rFonts w:hint="eastAsia" w:ascii="宋体" w:hAnsi="宋体"/>
          <w:szCs w:val="21"/>
        </w:rPr>
        <w:t>）、综合测评（理论</w:t>
      </w:r>
      <w:r>
        <w:rPr>
          <w:rFonts w:ascii="宋体" w:hAnsi="宋体"/>
          <w:szCs w:val="21"/>
        </w:rPr>
        <w:t>学习+实践学习</w:t>
      </w:r>
      <w:r>
        <w:rPr>
          <w:rFonts w:hint="eastAsia" w:ascii="宋体" w:hAnsi="宋体"/>
          <w:szCs w:val="21"/>
        </w:rPr>
        <w:t>）、课堂表现（出勤</w:t>
      </w:r>
      <w:r>
        <w:rPr>
          <w:rFonts w:ascii="宋体" w:hAnsi="宋体"/>
          <w:szCs w:val="21"/>
        </w:rPr>
        <w:t>和问答</w:t>
      </w:r>
      <w:r>
        <w:rPr>
          <w:rFonts w:hint="eastAsia" w:ascii="宋体" w:hAnsi="宋体"/>
          <w:szCs w:val="21"/>
        </w:rPr>
        <w:t>）、实验实践（试验报告</w:t>
      </w:r>
      <w:r>
        <w:rPr>
          <w:rFonts w:ascii="宋体" w:hAnsi="宋体"/>
          <w:szCs w:val="21"/>
        </w:rPr>
        <w:t>和大田实践</w:t>
      </w:r>
      <w:r>
        <w:rPr>
          <w:rFonts w:hint="eastAsia" w:ascii="宋体" w:hAnsi="宋体"/>
          <w:szCs w:val="21"/>
        </w:rPr>
        <w:t>作业）等多元考核环节，将考核结果与学习过程紧密结合。</w:t>
      </w:r>
    </w:p>
    <w:p>
      <w:pPr>
        <w:adjustRightInd w:val="0"/>
        <w:snapToGrid w:val="0"/>
        <w:spacing w:line="360" w:lineRule="auto"/>
        <w:ind w:firstLine="420" w:firstLineChars="200"/>
        <w:rPr>
          <w:szCs w:val="21"/>
        </w:rPr>
      </w:pPr>
      <w:r>
        <w:rPr>
          <w:rFonts w:hint="eastAsia"/>
          <w:szCs w:val="21"/>
        </w:rPr>
        <w:t>大田作业</w:t>
      </w:r>
      <w:r>
        <w:rPr>
          <w:szCs w:val="21"/>
        </w:rPr>
        <w:t>考核：</w:t>
      </w:r>
      <w:r>
        <w:rPr>
          <w:rFonts w:hint="eastAsia"/>
          <w:szCs w:val="21"/>
        </w:rPr>
        <w:t>以</w:t>
      </w:r>
      <w:r>
        <w:rPr>
          <w:szCs w:val="21"/>
        </w:rPr>
        <w:t>种子</w:t>
      </w:r>
      <w:r>
        <w:rPr>
          <w:rFonts w:hint="eastAsia"/>
          <w:szCs w:val="21"/>
        </w:rPr>
        <w:t>到</w:t>
      </w:r>
      <w:r>
        <w:rPr>
          <w:szCs w:val="21"/>
        </w:rPr>
        <w:t>种子的整个</w:t>
      </w:r>
      <w:r>
        <w:rPr>
          <w:rFonts w:hint="eastAsia"/>
          <w:szCs w:val="21"/>
        </w:rPr>
        <w:t>过程</w:t>
      </w:r>
      <w:r>
        <w:rPr>
          <w:szCs w:val="21"/>
        </w:rPr>
        <w:t>为内容</w:t>
      </w:r>
      <w:r>
        <w:rPr>
          <w:rFonts w:hint="eastAsia"/>
          <w:szCs w:val="21"/>
        </w:rPr>
        <w:t>，</w:t>
      </w:r>
      <w:r>
        <w:rPr>
          <w:szCs w:val="21"/>
        </w:rPr>
        <w:t>从育苗、播种、定植、管理</w:t>
      </w:r>
      <w:r>
        <w:rPr>
          <w:rFonts w:hint="eastAsia"/>
          <w:szCs w:val="21"/>
        </w:rPr>
        <w:t>、</w:t>
      </w:r>
      <w:r>
        <w:rPr>
          <w:szCs w:val="21"/>
        </w:rPr>
        <w:t>病害防治、收获和采后等不同环节的实际</w:t>
      </w:r>
      <w:r>
        <w:rPr>
          <w:rFonts w:hint="eastAsia"/>
          <w:szCs w:val="21"/>
        </w:rPr>
        <w:t>实践</w:t>
      </w:r>
      <w:r>
        <w:rPr>
          <w:szCs w:val="21"/>
        </w:rPr>
        <w:t>操作</w:t>
      </w:r>
      <w:r>
        <w:rPr>
          <w:rFonts w:hint="eastAsia"/>
          <w:szCs w:val="21"/>
        </w:rPr>
        <w:t>进行</w:t>
      </w:r>
      <w:r>
        <w:rPr>
          <w:szCs w:val="21"/>
        </w:rPr>
        <w:t>打分和评价，结合实验课</w:t>
      </w:r>
      <w:r>
        <w:rPr>
          <w:rFonts w:hint="eastAsia"/>
          <w:szCs w:val="21"/>
        </w:rPr>
        <w:t>内容</w:t>
      </w:r>
      <w:r>
        <w:rPr>
          <w:szCs w:val="21"/>
        </w:rPr>
        <w:t>进行创新性、开放性和探究性的考核评价。</w:t>
      </w:r>
      <w:r>
        <w:rPr>
          <w:rFonts w:hint="eastAsia"/>
          <w:szCs w:val="21"/>
        </w:rPr>
        <w:t>每人1次</w:t>
      </w:r>
      <w:r>
        <w:rPr>
          <w:szCs w:val="21"/>
        </w:rPr>
        <w:t>。</w:t>
      </w:r>
    </w:p>
    <w:p>
      <w:pPr>
        <w:adjustRightInd w:val="0"/>
        <w:snapToGrid w:val="0"/>
        <w:spacing w:line="360" w:lineRule="auto"/>
        <w:ind w:firstLine="420" w:firstLineChars="200"/>
        <w:rPr>
          <w:rFonts w:ascii="宋体" w:hAnsi="宋体"/>
          <w:szCs w:val="21"/>
        </w:rPr>
      </w:pPr>
      <w:r>
        <w:rPr>
          <w:rFonts w:hint="eastAsia"/>
          <w:szCs w:val="21"/>
        </w:rPr>
        <w:t>线上考核</w:t>
      </w:r>
      <w:r>
        <w:rPr>
          <w:szCs w:val="21"/>
        </w:rPr>
        <w:t>：</w:t>
      </w:r>
      <w:r>
        <w:rPr>
          <w:rFonts w:hint="eastAsia" w:ascii="宋体" w:hAnsi="宋体"/>
          <w:szCs w:val="21"/>
        </w:rPr>
        <w:t>拓宽课程内容的广度，</w:t>
      </w:r>
      <w:r>
        <w:rPr>
          <w:rFonts w:ascii="宋体" w:hAnsi="宋体"/>
          <w:szCs w:val="21"/>
        </w:rPr>
        <w:t>融合</w:t>
      </w:r>
      <w:r>
        <w:rPr>
          <w:rFonts w:hint="eastAsia" w:ascii="宋体" w:hAnsi="宋体"/>
          <w:szCs w:val="21"/>
        </w:rPr>
        <w:t>当前</w:t>
      </w:r>
      <w:r>
        <w:rPr>
          <w:rFonts w:ascii="宋体" w:hAnsi="宋体"/>
          <w:szCs w:val="21"/>
        </w:rPr>
        <w:t>国内研究热点，挖掘课程的深度，加强探究式题目和内容的设置，并根据学生的回答情况进行评价；</w:t>
      </w:r>
      <w:r>
        <w:rPr>
          <w:rFonts w:hint="eastAsia" w:ascii="宋体" w:hAnsi="宋体"/>
          <w:szCs w:val="21"/>
        </w:rPr>
        <w:t>以</w:t>
      </w:r>
      <w:r>
        <w:rPr>
          <w:rFonts w:ascii="宋体" w:hAnsi="宋体"/>
          <w:szCs w:val="21"/>
        </w:rPr>
        <w:t>小组形式开展讨论课</w:t>
      </w:r>
      <w:r>
        <w:rPr>
          <w:rFonts w:hint="eastAsia" w:ascii="宋体" w:hAnsi="宋体"/>
          <w:szCs w:val="21"/>
        </w:rPr>
        <w:t>，</w:t>
      </w:r>
      <w:r>
        <w:rPr>
          <w:rFonts w:ascii="宋体" w:hAnsi="宋体"/>
          <w:szCs w:val="21"/>
        </w:rPr>
        <w:t>并进行考核评价。</w:t>
      </w:r>
      <w:r>
        <w:rPr>
          <w:rFonts w:hint="eastAsia" w:ascii="宋体" w:hAnsi="宋体"/>
          <w:szCs w:val="21"/>
        </w:rPr>
        <w:t>1次</w:t>
      </w:r>
    </w:p>
    <w:p>
      <w:pPr>
        <w:adjustRightInd w:val="0"/>
        <w:snapToGrid w:val="0"/>
        <w:spacing w:line="360" w:lineRule="auto"/>
        <w:ind w:firstLine="420" w:firstLineChars="200"/>
        <w:rPr>
          <w:rFonts w:ascii="宋体" w:hAnsi="宋体"/>
          <w:szCs w:val="21"/>
        </w:rPr>
      </w:pPr>
      <w:r>
        <w:rPr>
          <w:rFonts w:hint="eastAsia" w:ascii="宋体" w:hAnsi="宋体"/>
          <w:szCs w:val="21"/>
        </w:rPr>
        <w:t>出勤</w:t>
      </w:r>
      <w:r>
        <w:rPr>
          <w:rFonts w:ascii="宋体" w:hAnsi="宋体"/>
          <w:szCs w:val="21"/>
        </w:rPr>
        <w:t>考核：通过回答问题和</w:t>
      </w:r>
      <w:r>
        <w:rPr>
          <w:rFonts w:hint="eastAsia" w:ascii="宋体" w:hAnsi="宋体"/>
          <w:szCs w:val="21"/>
        </w:rPr>
        <w:t>在线</w:t>
      </w:r>
      <w:r>
        <w:rPr>
          <w:rFonts w:ascii="宋体" w:hAnsi="宋体"/>
          <w:szCs w:val="21"/>
        </w:rPr>
        <w:t>签到</w:t>
      </w:r>
      <w:r>
        <w:rPr>
          <w:rFonts w:hint="eastAsia" w:ascii="宋体" w:hAnsi="宋体"/>
          <w:szCs w:val="21"/>
        </w:rPr>
        <w:t>等</w:t>
      </w:r>
      <w:r>
        <w:rPr>
          <w:rFonts w:ascii="宋体" w:hAnsi="宋体"/>
          <w:szCs w:val="21"/>
        </w:rPr>
        <w:t>方式，统计</w:t>
      </w:r>
      <w:r>
        <w:rPr>
          <w:rFonts w:hint="eastAsia" w:ascii="宋体" w:hAnsi="宋体"/>
          <w:szCs w:val="21"/>
        </w:rPr>
        <w:t>出勤</w:t>
      </w:r>
      <w:r>
        <w:rPr>
          <w:rFonts w:ascii="宋体" w:hAnsi="宋体"/>
          <w:szCs w:val="21"/>
        </w:rPr>
        <w:t>成绩。</w:t>
      </w:r>
      <w:r>
        <w:rPr>
          <w:rFonts w:hint="eastAsia" w:ascii="宋体" w:hAnsi="宋体"/>
          <w:szCs w:val="21"/>
        </w:rPr>
        <w:t>综合不少于5次</w:t>
      </w:r>
      <w:r>
        <w:rPr>
          <w:rFonts w:ascii="宋体" w:hAnsi="宋体"/>
          <w:szCs w:val="21"/>
        </w:rPr>
        <w:t>。</w:t>
      </w:r>
    </w:p>
    <w:p>
      <w:pPr>
        <w:adjustRightInd w:val="0"/>
        <w:snapToGrid w:val="0"/>
        <w:spacing w:line="360" w:lineRule="auto"/>
        <w:ind w:firstLine="420" w:firstLineChars="200"/>
        <w:rPr>
          <w:szCs w:val="21"/>
        </w:rPr>
      </w:pPr>
      <w:r>
        <w:rPr>
          <w:rFonts w:hint="eastAsia"/>
          <w:szCs w:val="21"/>
        </w:rPr>
        <w:t>实践教学考核</w:t>
      </w:r>
      <w:r>
        <w:rPr>
          <w:szCs w:val="21"/>
        </w:rPr>
        <w:t>：</w:t>
      </w:r>
      <w:r>
        <w:rPr>
          <w:rFonts w:hint="eastAsia"/>
          <w:szCs w:val="21"/>
        </w:rPr>
        <w:t>采用考勤、实验报告和实习报告和实习讲评的方式进行考评。考勤</w:t>
      </w:r>
      <w:r>
        <w:rPr>
          <w:szCs w:val="21"/>
        </w:rPr>
        <w:t>不低于</w:t>
      </w:r>
      <w:r>
        <w:rPr>
          <w:rFonts w:hint="eastAsia"/>
          <w:szCs w:val="21"/>
        </w:rPr>
        <w:t>5次</w:t>
      </w:r>
      <w:r>
        <w:rPr>
          <w:szCs w:val="21"/>
        </w:rPr>
        <w:t>，实验报告</w:t>
      </w:r>
      <w:r>
        <w:rPr>
          <w:rFonts w:hint="eastAsia"/>
          <w:szCs w:val="21"/>
        </w:rPr>
        <w:t>8</w:t>
      </w:r>
      <w:r>
        <w:rPr>
          <w:szCs w:val="21"/>
        </w:rPr>
        <w:t>-10</w:t>
      </w:r>
      <w:r>
        <w:rPr>
          <w:rFonts w:hint="eastAsia"/>
          <w:szCs w:val="21"/>
        </w:rPr>
        <w:t>次</w:t>
      </w:r>
      <w:r>
        <w:rPr>
          <w:szCs w:val="21"/>
        </w:rPr>
        <w:t>。实习</w:t>
      </w:r>
      <w:r>
        <w:rPr>
          <w:rFonts w:hint="eastAsia"/>
          <w:szCs w:val="21"/>
        </w:rPr>
        <w:t>报告1次，</w:t>
      </w:r>
      <w:r>
        <w:rPr>
          <w:szCs w:val="21"/>
        </w:rPr>
        <w:t>实习评</w:t>
      </w:r>
      <w:r>
        <w:rPr>
          <w:rFonts w:hint="eastAsia"/>
          <w:szCs w:val="21"/>
        </w:rPr>
        <w:t>讲</w:t>
      </w:r>
      <w:r>
        <w:rPr>
          <w:szCs w:val="21"/>
        </w:rPr>
        <w:t>，</w:t>
      </w:r>
      <w:r>
        <w:rPr>
          <w:rFonts w:hint="eastAsia"/>
          <w:szCs w:val="21"/>
        </w:rPr>
        <w:t>每人1次</w:t>
      </w:r>
      <w:r>
        <w:rPr>
          <w:szCs w:val="21"/>
        </w:rPr>
        <w:t>。</w:t>
      </w:r>
      <w:r>
        <w:rPr>
          <w:rFonts w:hint="eastAsia"/>
          <w:szCs w:val="21"/>
        </w:rPr>
        <w:t>以</w:t>
      </w:r>
      <w:r>
        <w:rPr>
          <w:szCs w:val="21"/>
        </w:rPr>
        <w:t>嫁接试验和激素应用为考核内容，通过探究式和创新开发</w:t>
      </w:r>
      <w:r>
        <w:rPr>
          <w:rFonts w:hint="eastAsia"/>
          <w:szCs w:val="21"/>
        </w:rPr>
        <w:t>式</w:t>
      </w:r>
      <w:r>
        <w:rPr>
          <w:szCs w:val="21"/>
        </w:rPr>
        <w:t>等设计考题</w:t>
      </w:r>
      <w:r>
        <w:rPr>
          <w:rFonts w:hint="eastAsia"/>
          <w:szCs w:val="21"/>
        </w:rPr>
        <w:t>，</w:t>
      </w:r>
      <w:r>
        <w:rPr>
          <w:szCs w:val="21"/>
        </w:rPr>
        <w:t>相关内容不少于</w:t>
      </w:r>
      <w:r>
        <w:rPr>
          <w:rFonts w:hint="eastAsia"/>
          <w:szCs w:val="21"/>
        </w:rPr>
        <w:t>4个学时</w:t>
      </w:r>
      <w:r>
        <w:rPr>
          <w:szCs w:val="21"/>
        </w:rPr>
        <w:t>。</w:t>
      </w:r>
    </w:p>
    <w:p>
      <w:pPr>
        <w:adjustRightInd w:val="0"/>
        <w:snapToGrid w:val="0"/>
        <w:spacing w:line="360" w:lineRule="auto"/>
        <w:ind w:firstLine="413" w:firstLineChars="197"/>
        <w:rPr>
          <w:szCs w:val="21"/>
        </w:rPr>
      </w:pPr>
      <w:r>
        <w:rPr>
          <w:rFonts w:hint="eastAsia"/>
          <w:szCs w:val="21"/>
        </w:rPr>
        <w:t>期中考核</w:t>
      </w:r>
      <w:r>
        <w:rPr>
          <w:szCs w:val="21"/>
        </w:rPr>
        <w:t>：开卷，</w:t>
      </w:r>
      <w:r>
        <w:rPr>
          <w:rFonts w:hint="eastAsia"/>
          <w:szCs w:val="21"/>
        </w:rPr>
        <w:t>1次</w:t>
      </w:r>
      <w:r>
        <w:rPr>
          <w:szCs w:val="21"/>
        </w:rPr>
        <w:t>，</w:t>
      </w:r>
      <w:r>
        <w:rPr>
          <w:rFonts w:hint="eastAsia"/>
          <w:szCs w:val="21"/>
        </w:rPr>
        <w:t>考试时间为120分钟。采用</w:t>
      </w:r>
      <w:r>
        <w:rPr>
          <w:szCs w:val="21"/>
        </w:rPr>
        <w:t>超星</w:t>
      </w:r>
      <w:r>
        <w:rPr>
          <w:rFonts w:hint="eastAsia"/>
          <w:szCs w:val="21"/>
        </w:rPr>
        <w:t>学习</w:t>
      </w:r>
      <w:r>
        <w:rPr>
          <w:szCs w:val="21"/>
        </w:rPr>
        <w:t>平台发放</w:t>
      </w:r>
      <w:r>
        <w:rPr>
          <w:rFonts w:hint="eastAsia"/>
          <w:szCs w:val="21"/>
        </w:rPr>
        <w:t>考题</w:t>
      </w:r>
      <w:r>
        <w:rPr>
          <w:szCs w:val="21"/>
        </w:rPr>
        <w:t>，并在线考核和</w:t>
      </w:r>
      <w:r>
        <w:rPr>
          <w:rFonts w:hint="eastAsia"/>
          <w:szCs w:val="21"/>
        </w:rPr>
        <w:t>评</w:t>
      </w:r>
      <w:r>
        <w:rPr>
          <w:szCs w:val="21"/>
        </w:rPr>
        <w:t>卷等。根据</w:t>
      </w:r>
      <w:r>
        <w:rPr>
          <w:rFonts w:hint="eastAsia"/>
          <w:szCs w:val="21"/>
        </w:rPr>
        <w:t>前</w:t>
      </w:r>
      <w:r>
        <w:rPr>
          <w:szCs w:val="21"/>
        </w:rPr>
        <w:t>半学期的学习内容和情况</w:t>
      </w:r>
      <w:r>
        <w:rPr>
          <w:rFonts w:hint="eastAsia"/>
          <w:szCs w:val="21"/>
        </w:rPr>
        <w:t>随机</w:t>
      </w:r>
      <w:r>
        <w:rPr>
          <w:szCs w:val="21"/>
        </w:rPr>
        <w:t>发放考题</w:t>
      </w:r>
      <w:r>
        <w:rPr>
          <w:rFonts w:hint="eastAsia"/>
          <w:szCs w:val="21"/>
        </w:rPr>
        <w:t>，</w:t>
      </w:r>
      <w:r>
        <w:rPr>
          <w:szCs w:val="21"/>
        </w:rPr>
        <w:t>不排除线下面对面的考核。</w:t>
      </w:r>
      <w:r>
        <w:rPr>
          <w:rFonts w:hint="eastAsia"/>
          <w:szCs w:val="21"/>
        </w:rPr>
        <w:t>未</w:t>
      </w:r>
      <w:r>
        <w:rPr>
          <w:szCs w:val="21"/>
        </w:rPr>
        <w:t>通过者具有补考机会</w:t>
      </w:r>
      <w:r>
        <w:rPr>
          <w:rFonts w:hint="eastAsia"/>
          <w:szCs w:val="21"/>
        </w:rPr>
        <w:t>1次</w:t>
      </w:r>
      <w:r>
        <w:rPr>
          <w:szCs w:val="21"/>
        </w:rPr>
        <w:t>。</w:t>
      </w:r>
    </w:p>
    <w:p>
      <w:pPr>
        <w:adjustRightInd w:val="0"/>
        <w:snapToGrid w:val="0"/>
        <w:spacing w:line="360" w:lineRule="auto"/>
        <w:ind w:firstLine="413" w:firstLineChars="197"/>
        <w:rPr>
          <w:szCs w:val="21"/>
        </w:rPr>
      </w:pPr>
      <w:r>
        <w:rPr>
          <w:rFonts w:hint="eastAsia"/>
          <w:szCs w:val="21"/>
        </w:rPr>
        <w:t>2、</w:t>
      </w:r>
      <w:r>
        <w:rPr>
          <w:rFonts w:hint="eastAsia" w:ascii="宋体" w:hAnsi="宋体"/>
          <w:bCs/>
          <w:szCs w:val="21"/>
        </w:rPr>
        <w:t>终结性考核</w:t>
      </w:r>
      <w:r>
        <w:rPr>
          <w:rFonts w:ascii="宋体" w:hAnsi="宋体"/>
          <w:bCs/>
          <w:szCs w:val="21"/>
        </w:rPr>
        <w:t>与</w:t>
      </w:r>
      <w:r>
        <w:rPr>
          <w:rFonts w:hint="eastAsia" w:ascii="宋体" w:hAnsi="宋体"/>
          <w:bCs/>
          <w:szCs w:val="21"/>
        </w:rPr>
        <w:t>评价</w:t>
      </w:r>
    </w:p>
    <w:p>
      <w:pPr>
        <w:adjustRightInd w:val="0"/>
        <w:snapToGrid w:val="0"/>
        <w:spacing w:line="360" w:lineRule="auto"/>
        <w:ind w:firstLine="420" w:firstLineChars="200"/>
        <w:rPr>
          <w:szCs w:val="21"/>
        </w:rPr>
      </w:pPr>
      <w:r>
        <w:rPr>
          <w:rFonts w:hint="eastAsia"/>
          <w:szCs w:val="21"/>
        </w:rPr>
        <w:t>采用期末</w:t>
      </w:r>
      <w:r>
        <w:rPr>
          <w:szCs w:val="21"/>
        </w:rPr>
        <w:t>综合性</w:t>
      </w:r>
      <w:r>
        <w:rPr>
          <w:rFonts w:hint="eastAsia"/>
          <w:szCs w:val="21"/>
        </w:rPr>
        <w:t>考核方式，1次</w:t>
      </w:r>
      <w:r>
        <w:rPr>
          <w:szCs w:val="21"/>
        </w:rPr>
        <w:t>，</w:t>
      </w:r>
      <w:r>
        <w:rPr>
          <w:rFonts w:hint="eastAsia"/>
          <w:szCs w:val="21"/>
        </w:rPr>
        <w:t>采用笔试，闭卷，考试时间为120分钟。一般在课程结束后的期末考试周进。考试题型包括：名词解释、填空题、判断题（选择题）、简答题、问答题等6种类型，判断题和选择题可以在试卷中单独出现。不同题型所占分数为名词解释占10%、填空题20%、判断题（选择题）10%、简答题30%、问答题30%。“识记”、“领会”、“简单应用”、“综合应用”四个认知层次的试题在试卷中所占的分数比例依次约为:20%、30%、30%、20%。</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624" w:name="_Toc138068442"/>
      <w:bookmarkStart w:id="625" w:name="_Toc138076385"/>
      <w:bookmarkStart w:id="626" w:name="_Toc138070471"/>
      <w:bookmarkStart w:id="627" w:name="_Toc22909"/>
      <w:bookmarkStart w:id="628" w:name="_Toc138076680"/>
      <w:bookmarkStart w:id="629" w:name="_Toc138068841"/>
      <w:bookmarkStart w:id="630" w:name="_Toc138076136"/>
      <w:bookmarkStart w:id="631" w:name="_Toc138070742"/>
      <w:r>
        <w:rPr>
          <w:rFonts w:hint="eastAsia" w:asciiTheme="majorEastAsia" w:hAnsiTheme="majorEastAsia" w:eastAsiaTheme="majorEastAsia" w:cstheme="majorEastAsia"/>
          <w:b/>
          <w:bCs/>
          <w:kern w:val="0"/>
          <w:szCs w:val="21"/>
        </w:rPr>
        <w:t>五、成绩评定</w:t>
      </w:r>
      <w:bookmarkEnd w:id="624"/>
      <w:bookmarkEnd w:id="625"/>
      <w:bookmarkEnd w:id="626"/>
      <w:bookmarkEnd w:id="627"/>
      <w:bookmarkEnd w:id="628"/>
      <w:bookmarkEnd w:id="629"/>
      <w:bookmarkEnd w:id="630"/>
      <w:bookmarkEnd w:id="631"/>
    </w:p>
    <w:p>
      <w:pPr>
        <w:snapToGrid w:val="0"/>
        <w:spacing w:line="360" w:lineRule="auto"/>
        <w:ind w:firstLine="420" w:firstLineChars="200"/>
        <w:rPr>
          <w:rFonts w:ascii="宋体" w:hAnsi="宋体"/>
          <w:szCs w:val="21"/>
        </w:rPr>
      </w:pPr>
      <w:r>
        <w:rPr>
          <w:rFonts w:hint="eastAsia" w:ascii="宋体" w:hAnsi="宋体"/>
          <w:szCs w:val="21"/>
        </w:rPr>
        <w:t>1.平时成绩</w:t>
      </w:r>
    </w:p>
    <w:p>
      <w:pPr>
        <w:snapToGrid w:val="0"/>
        <w:spacing w:line="360" w:lineRule="auto"/>
        <w:ind w:left="420" w:leftChars="200"/>
        <w:rPr>
          <w:rFonts w:ascii="宋体" w:hAnsi="宋体"/>
        </w:rPr>
      </w:pPr>
      <w:r>
        <w:rPr>
          <w:rFonts w:hint="eastAsia" w:ascii="宋体" w:hAnsi="宋体"/>
        </w:rPr>
        <w:t>课堂表现、线上学习（小测验）、课后作业、小组学习讨论、实验实践占比20-30%，期中考试占比20-30%，共占比50</w:t>
      </w:r>
      <w:r>
        <w:rPr>
          <w:rFonts w:ascii="宋体" w:hAnsi="宋体"/>
        </w:rPr>
        <w:t>%</w:t>
      </w:r>
      <w:r>
        <w:rPr>
          <w:rFonts w:hint="eastAsia" w:ascii="宋体" w:hAnsi="宋体"/>
        </w:rPr>
        <w:t>。</w:t>
      </w:r>
    </w:p>
    <w:p>
      <w:pPr>
        <w:snapToGrid w:val="0"/>
        <w:spacing w:line="360" w:lineRule="auto"/>
        <w:ind w:left="420" w:leftChars="200"/>
        <w:rPr>
          <w:rFonts w:ascii="宋体" w:hAnsi="宋体"/>
          <w:bCs/>
          <w:szCs w:val="21"/>
        </w:rPr>
      </w:pPr>
      <w:r>
        <w:rPr>
          <w:rFonts w:hint="eastAsia" w:ascii="宋体" w:hAnsi="宋体"/>
        </w:rPr>
        <w:t>2.期末成绩</w:t>
      </w:r>
    </w:p>
    <w:p>
      <w:pPr>
        <w:snapToGrid w:val="0"/>
        <w:spacing w:line="360" w:lineRule="auto"/>
        <w:ind w:firstLine="420" w:firstLineChars="200"/>
        <w:rPr>
          <w:rFonts w:ascii="宋体" w:hAnsi="宋体"/>
          <w:bCs/>
          <w:szCs w:val="21"/>
        </w:rPr>
      </w:pPr>
      <w:r>
        <w:rPr>
          <w:rFonts w:hint="eastAsia" w:ascii="宋体" w:hAnsi="宋体"/>
          <w:szCs w:val="21"/>
        </w:rPr>
        <w:t>闭卷考试的考核方式，所占总成绩</w:t>
      </w:r>
      <w:r>
        <w:rPr>
          <w:rFonts w:ascii="宋体" w:hAnsi="宋体"/>
          <w:szCs w:val="21"/>
        </w:rPr>
        <w:t>的</w:t>
      </w:r>
      <w:r>
        <w:rPr>
          <w:rFonts w:hint="eastAsia" w:ascii="宋体" w:hAnsi="宋体"/>
          <w:szCs w:val="21"/>
        </w:rPr>
        <w:t>50</w:t>
      </w:r>
      <w:r>
        <w:rPr>
          <w:rFonts w:ascii="宋体" w:hAnsi="宋体"/>
          <w:szCs w:val="21"/>
        </w:rPr>
        <w:t>%</w:t>
      </w:r>
      <w:r>
        <w:rPr>
          <w:rFonts w:hint="eastAsia" w:ascii="宋体" w:hAnsi="宋体"/>
          <w:szCs w:val="21"/>
        </w:rPr>
        <w:t>。</w:t>
      </w:r>
    </w:p>
    <w:p>
      <w:pPr>
        <w:snapToGrid w:val="0"/>
        <w:spacing w:line="360" w:lineRule="auto"/>
        <w:ind w:firstLine="420" w:firstLineChars="200"/>
        <w:rPr>
          <w:rFonts w:ascii="宋体" w:hAnsi="宋体"/>
        </w:rPr>
      </w:pPr>
      <w:r>
        <w:rPr>
          <w:rFonts w:hint="eastAsia" w:ascii="宋体" w:hAnsi="宋体"/>
        </w:rPr>
        <w:t>3.综合成绩</w:t>
      </w:r>
    </w:p>
    <w:p>
      <w:pPr>
        <w:snapToGrid w:val="0"/>
        <w:spacing w:line="360" w:lineRule="auto"/>
        <w:ind w:firstLine="420" w:firstLineChars="200"/>
        <w:rPr>
          <w:rFonts w:ascii="宋体" w:hAnsi="宋体"/>
          <w:bCs/>
          <w:szCs w:val="21"/>
        </w:rPr>
      </w:pPr>
      <w:r>
        <w:rPr>
          <w:rFonts w:hint="eastAsia" w:ascii="宋体" w:hAnsi="宋体"/>
          <w:bCs/>
          <w:szCs w:val="21"/>
        </w:rPr>
        <w:t>总</w:t>
      </w:r>
      <w:r>
        <w:rPr>
          <w:rFonts w:ascii="宋体" w:hAnsi="宋体"/>
          <w:bCs/>
          <w:szCs w:val="21"/>
        </w:rPr>
        <w:t>成绩</w:t>
      </w:r>
      <w:r>
        <w:rPr>
          <w:rFonts w:hint="eastAsia" w:ascii="宋体" w:hAnsi="宋体"/>
          <w:bCs/>
          <w:szCs w:val="21"/>
        </w:rPr>
        <w:t>/综合</w:t>
      </w:r>
      <w:r>
        <w:rPr>
          <w:rFonts w:ascii="宋体" w:hAnsi="宋体"/>
          <w:bCs/>
          <w:szCs w:val="21"/>
        </w:rPr>
        <w:t>成绩=</w:t>
      </w:r>
      <w:r>
        <w:rPr>
          <w:rFonts w:hint="eastAsia" w:ascii="宋体" w:hAnsi="宋体"/>
          <w:bCs/>
          <w:szCs w:val="21"/>
        </w:rPr>
        <w:t>平时成绩×50</w:t>
      </w:r>
      <w:r>
        <w:rPr>
          <w:rFonts w:ascii="宋体" w:hAnsi="宋体"/>
          <w:bCs/>
          <w:szCs w:val="21"/>
        </w:rPr>
        <w:t>%</w:t>
      </w:r>
      <w:r>
        <w:rPr>
          <w:rFonts w:hint="eastAsia" w:ascii="宋体" w:hAnsi="宋体"/>
          <w:bCs/>
          <w:szCs w:val="21"/>
        </w:rPr>
        <w:t>+期末成绩×5</w:t>
      </w:r>
      <w:r>
        <w:rPr>
          <w:rFonts w:ascii="宋体" w:hAnsi="宋体"/>
          <w:bCs/>
          <w:szCs w:val="21"/>
        </w:rPr>
        <w:t>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bCs/>
          <w:szCs w:val="21"/>
        </w:rPr>
        <w:t>4.实习成绩</w:t>
      </w:r>
    </w:p>
    <w:p>
      <w:pPr>
        <w:snapToGrid w:val="0"/>
        <w:spacing w:line="360" w:lineRule="auto"/>
        <w:rPr>
          <w:rFonts w:ascii="宋体" w:hAnsi="宋体"/>
          <w:bCs/>
          <w:szCs w:val="21"/>
        </w:rPr>
      </w:pPr>
      <w:r>
        <w:rPr>
          <w:rFonts w:hint="eastAsia" w:ascii="宋体" w:hAnsi="宋体"/>
          <w:bCs/>
          <w:szCs w:val="21"/>
        </w:rPr>
        <w:t xml:space="preserve">    实习成绩单独计算。</w:t>
      </w:r>
    </w:p>
    <w:p>
      <w:pPr>
        <w:snapToGrid w:val="0"/>
        <w:spacing w:line="360" w:lineRule="auto"/>
        <w:ind w:firstLine="420"/>
        <w:rPr>
          <w:szCs w:val="21"/>
        </w:rPr>
      </w:pPr>
      <w:r>
        <w:rPr>
          <w:rFonts w:hint="eastAsia"/>
          <w:szCs w:val="21"/>
        </w:rPr>
        <w:t>实习成绩采用考勤、实习报告和实习讲评的方式进行考评。</w:t>
      </w:r>
    </w:p>
    <w:p>
      <w:pPr>
        <w:snapToGrid w:val="0"/>
        <w:spacing w:line="360" w:lineRule="auto"/>
        <w:ind w:firstLine="420"/>
        <w:rPr>
          <w:rFonts w:ascii="宋体" w:hAnsi="宋体"/>
          <w:bCs/>
          <w:szCs w:val="21"/>
        </w:rPr>
      </w:pPr>
      <w:r>
        <w:rPr>
          <w:rFonts w:hint="eastAsia"/>
          <w:szCs w:val="21"/>
        </w:rPr>
        <w:t>考勤占5%，实习报告占50%，实习讲评占45%。</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632" w:name="_Toc19979"/>
      <w:bookmarkStart w:id="633" w:name="_Toc138068443"/>
      <w:bookmarkStart w:id="634" w:name="_Toc138076386"/>
      <w:bookmarkStart w:id="635" w:name="_Toc138070743"/>
      <w:bookmarkStart w:id="636" w:name="_Toc138076137"/>
      <w:bookmarkStart w:id="637" w:name="_Toc138068842"/>
      <w:bookmarkStart w:id="638" w:name="_Toc138076681"/>
      <w:bookmarkStart w:id="639" w:name="_Toc138070472"/>
      <w:r>
        <w:rPr>
          <w:rFonts w:hint="eastAsia" w:asciiTheme="majorEastAsia" w:hAnsiTheme="majorEastAsia" w:eastAsiaTheme="majorEastAsia" w:cstheme="majorEastAsia"/>
          <w:b/>
          <w:bCs/>
          <w:kern w:val="0"/>
          <w:szCs w:val="21"/>
        </w:rPr>
        <w:t>六、考核结果分析反馈</w:t>
      </w:r>
      <w:bookmarkEnd w:id="632"/>
      <w:bookmarkEnd w:id="633"/>
      <w:bookmarkEnd w:id="634"/>
      <w:bookmarkEnd w:id="635"/>
      <w:bookmarkEnd w:id="636"/>
      <w:bookmarkEnd w:id="637"/>
      <w:bookmarkEnd w:id="638"/>
      <w:bookmarkEnd w:id="639"/>
    </w:p>
    <w:p>
      <w:pPr>
        <w:snapToGrid w:val="0"/>
        <w:spacing w:line="360" w:lineRule="auto"/>
        <w:ind w:firstLine="420" w:firstLineChars="200"/>
        <w:rPr>
          <w:rFonts w:ascii="宋体" w:hAnsi="宋体"/>
          <w:szCs w:val="21"/>
        </w:rPr>
      </w:pPr>
      <w:r>
        <w:rPr>
          <w:rFonts w:hint="eastAsia" w:ascii="宋体" w:hAnsi="宋体"/>
          <w:bCs/>
          <w:szCs w:val="21"/>
        </w:rPr>
        <w:t>由于本课程涉及</w:t>
      </w:r>
      <w:r>
        <w:rPr>
          <w:rFonts w:ascii="宋体" w:hAnsi="宋体"/>
          <w:bCs/>
          <w:szCs w:val="21"/>
        </w:rPr>
        <w:t>的</w:t>
      </w:r>
      <w:r>
        <w:rPr>
          <w:rFonts w:hint="eastAsia" w:ascii="宋体" w:hAnsi="宋体"/>
          <w:bCs/>
          <w:szCs w:val="21"/>
        </w:rPr>
        <w:t>理论知识</w:t>
      </w:r>
      <w:r>
        <w:rPr>
          <w:rFonts w:ascii="宋体" w:hAnsi="宋体"/>
          <w:bCs/>
          <w:szCs w:val="21"/>
        </w:rPr>
        <w:t>和操作技能内容相对</w:t>
      </w:r>
      <w:r>
        <w:rPr>
          <w:rFonts w:hint="eastAsia" w:ascii="宋体" w:hAnsi="宋体"/>
          <w:bCs/>
          <w:szCs w:val="21"/>
        </w:rPr>
        <w:t>较多</w:t>
      </w:r>
      <w:r>
        <w:rPr>
          <w:rFonts w:ascii="宋体" w:hAnsi="宋体"/>
          <w:bCs/>
          <w:szCs w:val="21"/>
        </w:rPr>
        <w:t>，且随着</w:t>
      </w:r>
      <w:r>
        <w:rPr>
          <w:rFonts w:hint="eastAsia" w:ascii="宋体" w:hAnsi="宋体"/>
          <w:bCs/>
          <w:szCs w:val="21"/>
        </w:rPr>
        <w:t>我国品种</w:t>
      </w:r>
      <w:r>
        <w:rPr>
          <w:rFonts w:ascii="宋体" w:hAnsi="宋体"/>
          <w:bCs/>
          <w:szCs w:val="21"/>
        </w:rPr>
        <w:t>和栽培设施的不断进展</w:t>
      </w:r>
      <w:r>
        <w:rPr>
          <w:rFonts w:hint="eastAsia" w:ascii="宋体" w:hAnsi="宋体"/>
          <w:bCs/>
          <w:szCs w:val="21"/>
        </w:rPr>
        <w:t>也在不断</w:t>
      </w:r>
      <w:r>
        <w:rPr>
          <w:rFonts w:ascii="宋体" w:hAnsi="宋体"/>
          <w:bCs/>
          <w:szCs w:val="21"/>
        </w:rPr>
        <w:t>变化。</w:t>
      </w:r>
      <w:r>
        <w:rPr>
          <w:rFonts w:hint="eastAsia" w:ascii="宋体" w:hAnsi="宋体"/>
          <w:bCs/>
          <w:szCs w:val="21"/>
        </w:rPr>
        <w:t>为了</w:t>
      </w:r>
      <w:r>
        <w:rPr>
          <w:rFonts w:ascii="宋体" w:hAnsi="宋体"/>
          <w:bCs/>
          <w:szCs w:val="21"/>
        </w:rPr>
        <w:t>让学生更好的掌握栽培的原理和技术</w:t>
      </w:r>
      <w:r>
        <w:rPr>
          <w:rFonts w:hint="eastAsia" w:ascii="宋体" w:hAnsi="宋体"/>
          <w:bCs/>
          <w:szCs w:val="21"/>
        </w:rPr>
        <w:t>，以及</w:t>
      </w:r>
      <w:r>
        <w:rPr>
          <w:rFonts w:ascii="宋体" w:hAnsi="宋体"/>
          <w:bCs/>
          <w:szCs w:val="21"/>
        </w:rPr>
        <w:t>灵活的运用到实际生产中</w:t>
      </w:r>
      <w:r>
        <w:rPr>
          <w:rFonts w:hint="eastAsia" w:ascii="宋体" w:hAnsi="宋体"/>
          <w:bCs/>
          <w:szCs w:val="21"/>
        </w:rPr>
        <w:t>，非常</w:t>
      </w:r>
      <w:r>
        <w:rPr>
          <w:rFonts w:ascii="宋体" w:hAnsi="宋体"/>
          <w:bCs/>
          <w:szCs w:val="21"/>
        </w:rPr>
        <w:t>有必要及时的了解学生的学习情况</w:t>
      </w:r>
      <w:r>
        <w:rPr>
          <w:rFonts w:hint="eastAsia" w:ascii="宋体" w:hAnsi="宋体"/>
          <w:bCs/>
          <w:szCs w:val="21"/>
        </w:rPr>
        <w:t>。</w:t>
      </w:r>
      <w:r>
        <w:rPr>
          <w:rFonts w:ascii="宋体" w:hAnsi="宋体"/>
          <w:bCs/>
          <w:szCs w:val="21"/>
        </w:rPr>
        <w:t>因此</w:t>
      </w:r>
      <w:r>
        <w:rPr>
          <w:rFonts w:hint="eastAsia" w:ascii="宋体" w:hAnsi="宋体"/>
          <w:bCs/>
          <w:szCs w:val="21"/>
        </w:rPr>
        <w:t>，</w:t>
      </w:r>
      <w:r>
        <w:rPr>
          <w:rFonts w:ascii="宋体" w:hAnsi="宋体"/>
          <w:bCs/>
          <w:szCs w:val="21"/>
        </w:rPr>
        <w:t>我们将通过</w:t>
      </w:r>
      <w:r>
        <w:rPr>
          <w:rFonts w:hint="eastAsia" w:ascii="宋体" w:hAnsi="宋体"/>
          <w:bCs/>
          <w:szCs w:val="21"/>
        </w:rPr>
        <w:t>以下</w:t>
      </w:r>
      <w:r>
        <w:rPr>
          <w:rFonts w:ascii="宋体" w:hAnsi="宋体"/>
          <w:bCs/>
          <w:szCs w:val="21"/>
        </w:rPr>
        <w:t>方式</w:t>
      </w:r>
      <w:r>
        <w:rPr>
          <w:rFonts w:hint="eastAsia" w:ascii="宋体" w:hAnsi="宋体"/>
          <w:bCs/>
          <w:szCs w:val="21"/>
        </w:rPr>
        <w:t>提高学习</w:t>
      </w:r>
      <w:r>
        <w:rPr>
          <w:rFonts w:ascii="宋体" w:hAnsi="宋体"/>
          <w:bCs/>
          <w:szCs w:val="21"/>
        </w:rPr>
        <w:t>的有效性</w:t>
      </w:r>
      <w:r>
        <w:rPr>
          <w:rFonts w:hint="eastAsia" w:ascii="宋体" w:hAnsi="宋体"/>
          <w:bCs/>
          <w:szCs w:val="21"/>
        </w:rPr>
        <w:t>和</w:t>
      </w:r>
      <w:r>
        <w:rPr>
          <w:rFonts w:ascii="宋体" w:hAnsi="宋体"/>
          <w:bCs/>
          <w:szCs w:val="21"/>
        </w:rPr>
        <w:t>考核结果的可反馈性：</w:t>
      </w:r>
    </w:p>
    <w:p>
      <w:pPr>
        <w:snapToGrid w:val="0"/>
        <w:spacing w:line="360" w:lineRule="auto"/>
        <w:ind w:firstLine="420" w:firstLineChars="200"/>
        <w:rPr>
          <w:szCs w:val="21"/>
        </w:rPr>
      </w:pPr>
      <w:r>
        <w:rPr>
          <w:rFonts w:hint="eastAsia"/>
          <w:szCs w:val="21"/>
        </w:rPr>
        <w:t>（1）</w:t>
      </w:r>
      <w:r>
        <w:rPr>
          <w:szCs w:val="21"/>
        </w:rPr>
        <w:t>通过课前回顾帮助学生复习和分析上次课的内容，课程的重点和难点，以及与本节课的联系；</w:t>
      </w:r>
      <w:r>
        <w:rPr>
          <w:rFonts w:hint="eastAsia"/>
          <w:szCs w:val="21"/>
        </w:rPr>
        <w:t>尤其是任课教师</w:t>
      </w:r>
      <w:r>
        <w:rPr>
          <w:szCs w:val="21"/>
        </w:rPr>
        <w:t>要随时观察和了解每位同学的学习情况，及时的给予指导，反馈其存在的问题、不足和优点有那些，并给出正确的建议和方法。</w:t>
      </w:r>
    </w:p>
    <w:p>
      <w:pPr>
        <w:snapToGrid w:val="0"/>
        <w:spacing w:line="360" w:lineRule="auto"/>
        <w:ind w:firstLine="420" w:firstLineChars="200"/>
        <w:rPr>
          <w:szCs w:val="21"/>
        </w:rPr>
      </w:pPr>
      <w:r>
        <w:rPr>
          <w:rFonts w:hint="eastAsia"/>
          <w:szCs w:val="21"/>
        </w:rPr>
        <w:t>（2）</w:t>
      </w:r>
      <w:r>
        <w:rPr>
          <w:szCs w:val="21"/>
        </w:rPr>
        <w:t>通过课堂提问，提高学生的积极性，并及时发现问题，解决问题</w:t>
      </w:r>
      <w:r>
        <w:rPr>
          <w:rFonts w:hint="eastAsia"/>
          <w:szCs w:val="21"/>
        </w:rPr>
        <w:t>。</w:t>
      </w:r>
    </w:p>
    <w:p>
      <w:pPr>
        <w:snapToGrid w:val="0"/>
        <w:spacing w:line="360" w:lineRule="auto"/>
        <w:ind w:firstLine="420" w:firstLineChars="200"/>
        <w:rPr>
          <w:szCs w:val="21"/>
        </w:rPr>
      </w:pPr>
      <w:r>
        <w:rPr>
          <w:rFonts w:hint="eastAsia"/>
          <w:szCs w:val="21"/>
        </w:rPr>
        <w:t>（3）</w:t>
      </w:r>
      <w:r>
        <w:rPr>
          <w:szCs w:val="21"/>
        </w:rPr>
        <w:t>通过课堂作业加深学生对重点知识的理解。</w:t>
      </w:r>
    </w:p>
    <w:p>
      <w:pPr>
        <w:snapToGrid w:val="0"/>
        <w:spacing w:line="360" w:lineRule="auto"/>
        <w:ind w:firstLine="420" w:firstLineChars="200"/>
        <w:rPr>
          <w:szCs w:val="21"/>
        </w:rPr>
      </w:pPr>
      <w:r>
        <w:rPr>
          <w:rFonts w:hint="eastAsia"/>
          <w:szCs w:val="21"/>
        </w:rPr>
        <w:t>（4）</w:t>
      </w:r>
      <w:r>
        <w:rPr>
          <w:szCs w:val="21"/>
        </w:rPr>
        <w:t>通过</w:t>
      </w:r>
      <w:r>
        <w:rPr>
          <w:rFonts w:hint="eastAsia"/>
          <w:szCs w:val="21"/>
        </w:rPr>
        <w:t>小组讨论、项目展示</w:t>
      </w:r>
      <w:r>
        <w:rPr>
          <w:szCs w:val="21"/>
        </w:rPr>
        <w:t>，培养学生的自主创新能力。</w:t>
      </w:r>
    </w:p>
    <w:p>
      <w:pPr>
        <w:adjustRightInd w:val="0"/>
        <w:snapToGrid w:val="0"/>
        <w:spacing w:line="360" w:lineRule="auto"/>
        <w:ind w:firstLine="420" w:firstLineChars="200"/>
        <w:rPr>
          <w:szCs w:val="21"/>
        </w:rPr>
      </w:pPr>
      <w:r>
        <w:rPr>
          <w:rFonts w:hint="eastAsia"/>
          <w:szCs w:val="21"/>
        </w:rPr>
        <w:t>（5）课程考试</w:t>
      </w:r>
      <w:r>
        <w:rPr>
          <w:szCs w:val="21"/>
        </w:rPr>
        <w:t>情况反馈</w:t>
      </w:r>
      <w:r>
        <w:rPr>
          <w:rFonts w:hint="eastAsia"/>
          <w:szCs w:val="21"/>
        </w:rPr>
        <w:t>如下</w:t>
      </w:r>
      <w:r>
        <w:rPr>
          <w:szCs w:val="21"/>
        </w:rPr>
        <w:t>：</w:t>
      </w:r>
      <w:r>
        <w:rPr>
          <w:rFonts w:hint="eastAsia"/>
          <w:szCs w:val="21"/>
        </w:rPr>
        <w:t>对本门课程考试成绩的构成情况、整体考试情况、本次试卷的特点、试卷得分情况具体分析、反映出的问题进行总结，通过社交软件给出学习建议。</w:t>
      </w:r>
    </w:p>
    <w:p>
      <w:pPr>
        <w:adjustRightInd w:val="0"/>
        <w:snapToGrid w:val="0"/>
        <w:spacing w:line="360" w:lineRule="auto"/>
        <w:ind w:firstLine="420" w:firstLineChars="200"/>
        <w:rPr>
          <w:szCs w:val="21"/>
        </w:rPr>
      </w:pPr>
      <w:r>
        <w:rPr>
          <w:rFonts w:hint="eastAsia"/>
          <w:szCs w:val="21"/>
        </w:rPr>
        <w:t>（6）在教学讨论时对教师在今后教学中应注意的问题进行反馈。</w:t>
      </w:r>
    </w:p>
    <w:p>
      <w:pPr>
        <w:rPr>
          <w:sz w:val="28"/>
        </w:rPr>
      </w:pPr>
      <w:bookmarkStart w:id="640" w:name="_Toc138076682"/>
      <w:bookmarkStart w:id="641" w:name="_Toc138076138"/>
      <w:r>
        <w:rPr>
          <w:rFonts w:hint="eastAsia"/>
          <w:sz w:val="28"/>
        </w:rPr>
        <w:br w:type="page"/>
      </w:r>
    </w:p>
    <w:p>
      <w:pPr>
        <w:pStyle w:val="21"/>
        <w:rPr>
          <w:sz w:val="28"/>
        </w:rPr>
      </w:pPr>
      <w:bookmarkStart w:id="642" w:name="_Toc14166"/>
      <w:r>
        <w:rPr>
          <w:rFonts w:hint="eastAsia"/>
          <w:sz w:val="28"/>
        </w:rPr>
        <w:t>果树栽培学考核大纲</w:t>
      </w:r>
      <w:bookmarkEnd w:id="640"/>
      <w:bookmarkEnd w:id="641"/>
      <w:bookmarkEnd w:id="642"/>
      <w:r>
        <w:rPr>
          <w:rFonts w:hint="eastAsia"/>
          <w:sz w:val="28"/>
        </w:rPr>
        <w:t xml:space="preserve"> </w:t>
      </w:r>
    </w:p>
    <w:p>
      <w:pPr>
        <w:widowControl/>
        <w:wordWrap w:val="0"/>
        <w:spacing w:before="120" w:after="120"/>
        <w:jc w:val="center"/>
        <w:outlineLvl w:val="0"/>
        <w:rPr>
          <w:rFonts w:hint="eastAsia" w:eastAsia="宋体"/>
          <w:sz w:val="24"/>
          <w:lang w:eastAsia="zh-CN"/>
        </w:rPr>
      </w:pPr>
      <w:bookmarkStart w:id="643" w:name="_Toc138076696"/>
      <w:bookmarkStart w:id="644" w:name="_Toc138076152"/>
      <w:r>
        <w:rPr>
          <w:rFonts w:hint="eastAsia"/>
          <w:sz w:val="24"/>
          <w:lang w:eastAsia="zh-CN"/>
        </w:rPr>
        <w:t>（</w:t>
      </w:r>
      <w:r>
        <w:rPr>
          <w:sz w:val="24"/>
        </w:rPr>
        <w:t>Pomology</w:t>
      </w:r>
      <w:r>
        <w:rPr>
          <w:rFonts w:hint="eastAsia"/>
          <w:sz w:val="24"/>
          <w:lang w:eastAsia="zh-CN"/>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69"/>
        <w:gridCol w:w="2268"/>
        <w:gridCol w:w="34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8" w:type="pct"/>
          </w:tcPr>
          <w:p>
            <w:pPr>
              <w:spacing w:line="300" w:lineRule="auto"/>
              <w:rPr>
                <w:rFonts w:ascii="宋体" w:hAnsi="宋体"/>
                <w:b/>
                <w:bCs/>
                <w:szCs w:val="21"/>
              </w:rPr>
            </w:pPr>
            <w:r>
              <w:rPr>
                <w:rFonts w:hint="eastAsia" w:ascii="宋体" w:hAnsi="宋体"/>
                <w:b/>
                <w:bCs/>
                <w:szCs w:val="21"/>
              </w:rPr>
              <w:t>课程编号：1</w:t>
            </w:r>
            <w:r>
              <w:rPr>
                <w:rFonts w:ascii="宋体" w:hAnsi="宋体"/>
                <w:b/>
                <w:bCs/>
                <w:szCs w:val="21"/>
              </w:rPr>
              <w:t>9011114</w:t>
            </w:r>
            <w:r>
              <w:rPr>
                <w:rFonts w:hint="eastAsia" w:ascii="宋体" w:hAnsi="宋体"/>
                <w:b/>
                <w:bCs/>
                <w:szCs w:val="21"/>
              </w:rPr>
              <w:t>h</w:t>
            </w:r>
          </w:p>
        </w:tc>
        <w:tc>
          <w:tcPr>
            <w:tcW w:w="1244" w:type="pct"/>
          </w:tcPr>
          <w:p>
            <w:pPr>
              <w:spacing w:line="300" w:lineRule="auto"/>
              <w:rPr>
                <w:rFonts w:ascii="宋体" w:hAnsi="宋体"/>
                <w:b/>
                <w:bCs/>
                <w:szCs w:val="21"/>
              </w:rPr>
            </w:pPr>
            <w:r>
              <w:rPr>
                <w:rFonts w:hint="eastAsia" w:ascii="宋体" w:hAnsi="宋体"/>
                <w:b/>
                <w:bCs/>
                <w:szCs w:val="21"/>
              </w:rPr>
              <w:t>课程学时：</w:t>
            </w:r>
            <w:r>
              <w:rPr>
                <w:rFonts w:ascii="宋体" w:hAnsi="宋体"/>
                <w:b/>
                <w:bCs/>
                <w:szCs w:val="21"/>
              </w:rPr>
              <w:t>72</w:t>
            </w:r>
          </w:p>
        </w:tc>
        <w:tc>
          <w:tcPr>
            <w:tcW w:w="1908" w:type="pct"/>
          </w:tcPr>
          <w:p>
            <w:pPr>
              <w:spacing w:line="300" w:lineRule="auto"/>
              <w:rPr>
                <w:rFonts w:ascii="宋体" w:hAnsi="宋体"/>
                <w:b/>
                <w:bCs/>
                <w:szCs w:val="21"/>
              </w:rPr>
            </w:pPr>
            <w:r>
              <w:rPr>
                <w:rFonts w:hint="eastAsia" w:ascii="宋体" w:hAnsi="宋体"/>
                <w:b/>
                <w:bCs/>
                <w:szCs w:val="21"/>
              </w:rPr>
              <w:t>课程学分：4</w:t>
            </w:r>
            <w:r>
              <w:rPr>
                <w:rFonts w:ascii="宋体" w:hAnsi="宋体"/>
                <w:b/>
                <w:bCs/>
                <w:szCs w:val="21"/>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8" w:type="pct"/>
          </w:tcPr>
          <w:p>
            <w:pPr>
              <w:spacing w:line="300" w:lineRule="auto"/>
              <w:rPr>
                <w:rFonts w:ascii="宋体" w:hAnsi="宋体"/>
                <w:b/>
                <w:bCs/>
                <w:szCs w:val="21"/>
              </w:rPr>
            </w:pPr>
            <w:r>
              <w:rPr>
                <w:rFonts w:hint="eastAsia" w:ascii="宋体" w:hAnsi="宋体"/>
                <w:b/>
                <w:bCs/>
                <w:szCs w:val="21"/>
              </w:rPr>
              <w:t>主撰人：白团辉、史江莉、张坤玺</w:t>
            </w:r>
          </w:p>
        </w:tc>
        <w:tc>
          <w:tcPr>
            <w:tcW w:w="1244" w:type="pct"/>
          </w:tcPr>
          <w:p>
            <w:pPr>
              <w:spacing w:line="300" w:lineRule="auto"/>
              <w:rPr>
                <w:rFonts w:ascii="宋体" w:hAnsi="宋体"/>
                <w:b/>
                <w:bCs/>
                <w:szCs w:val="21"/>
              </w:rPr>
            </w:pPr>
            <w:r>
              <w:rPr>
                <w:rFonts w:hint="eastAsia" w:ascii="宋体" w:hAnsi="宋体"/>
                <w:b/>
                <w:bCs/>
                <w:szCs w:val="21"/>
              </w:rPr>
              <w:t>审核人：郑先波</w:t>
            </w:r>
          </w:p>
        </w:tc>
        <w:tc>
          <w:tcPr>
            <w:tcW w:w="1908" w:type="pct"/>
          </w:tcPr>
          <w:p>
            <w:pPr>
              <w:spacing w:line="300" w:lineRule="auto"/>
              <w:rPr>
                <w:rFonts w:hint="default" w:ascii="宋体" w:hAnsi="宋体" w:eastAsia="宋体"/>
                <w:b/>
                <w:bCs/>
                <w:szCs w:val="21"/>
                <w:lang w:val="en-US" w:eastAsia="zh-CN"/>
              </w:rPr>
            </w:pPr>
            <w:r>
              <w:rPr>
                <w:rFonts w:hint="eastAsia" w:ascii="宋体" w:hAnsi="宋体"/>
                <w:b/>
                <w:bCs/>
                <w:szCs w:val="21"/>
              </w:rPr>
              <w:t>大纲制定（修订）日期：2</w:t>
            </w:r>
            <w:r>
              <w:rPr>
                <w:rFonts w:ascii="宋体" w:hAnsi="宋体"/>
                <w:b/>
                <w:bCs/>
                <w:szCs w:val="21"/>
              </w:rPr>
              <w:t>023</w:t>
            </w:r>
            <w:r>
              <w:rPr>
                <w:rFonts w:hint="eastAsia" w:ascii="宋体" w:hAnsi="宋体"/>
                <w:b/>
                <w:bCs/>
                <w:szCs w:val="21"/>
                <w:lang w:val="en-US" w:eastAsia="zh-CN"/>
              </w:rPr>
              <w:t>.05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一、课程的性质和地位</w:t>
      </w:r>
    </w:p>
    <w:p>
      <w:pPr>
        <w:snapToGrid w:val="0"/>
        <w:spacing w:line="360" w:lineRule="auto"/>
        <w:ind w:firstLine="420" w:firstLineChars="200"/>
        <w:rPr>
          <w:rFonts w:ascii="宋体" w:hAnsi="宋体"/>
          <w:szCs w:val="21"/>
        </w:rPr>
      </w:pPr>
      <w:r>
        <w:rPr>
          <w:rFonts w:hint="eastAsia" w:ascii="宋体" w:hAnsi="宋体"/>
          <w:bCs/>
          <w:szCs w:val="21"/>
        </w:rPr>
        <w:t>《果树栽培学》是园艺专业核心课程之一。通过本课程学习掌握果树生物学的基本概念、基本理论及器官发育知识；掌握果树生长发育规律；掌握果树分类及其年周期和生命周期的生物学特性及规律；掌握果树栽培技术理论。通过本课程的教学，使学生具备阐述、指导和推广果树栽培种植技术和从事其相应科学研究的能力，运用所学专业知识，发现和解决生产问题，培养独立科研能力。</w:t>
      </w:r>
    </w:p>
    <w:p>
      <w:pPr>
        <w:widowControl/>
        <w:snapToGrid w:val="0"/>
        <w:spacing w:line="360" w:lineRule="auto"/>
        <w:jc w:val="left"/>
        <w:outlineLvl w:val="1"/>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二、理论教学部分的考核目标</w:t>
      </w:r>
    </w:p>
    <w:p>
      <w:pPr>
        <w:snapToGrid w:val="0"/>
        <w:spacing w:line="360" w:lineRule="auto"/>
        <w:ind w:firstLine="420" w:firstLineChars="200"/>
        <w:rPr>
          <w:rFonts w:ascii="宋体" w:hAnsi="宋体"/>
          <w:szCs w:val="21"/>
        </w:rPr>
      </w:pPr>
      <w:r>
        <w:rPr>
          <w:rFonts w:hint="eastAsia" w:ascii="宋体" w:hAnsi="宋体"/>
          <w:bCs/>
          <w:szCs w:val="21"/>
        </w:rPr>
        <w:t>通过对该课程理论内容的学习，使学生了解了解目前我国果树栽培的发展简史与概况，果树的种类、分类和分布概况；掌握多年生果树的器官形成和结构、功能，一生中和一年中的变化规律，花芽分化，营养物质合成和利用等生长发育规律；掌握果树育苗、建园，树体和花果管理，土肥水管理，集约栽培，高品质化栽培等基本理论与技术。</w:t>
      </w:r>
    </w:p>
    <w:p>
      <w:pPr>
        <w:snapToGrid w:val="0"/>
        <w:spacing w:line="360" w:lineRule="auto"/>
        <w:ind w:firstLine="103" w:firstLineChars="49"/>
        <w:jc w:val="center"/>
        <w:rPr>
          <w:rFonts w:ascii="宋体" w:hAnsi="宋体"/>
          <w:b/>
          <w:szCs w:val="21"/>
        </w:rPr>
      </w:pPr>
      <w:r>
        <w:rPr>
          <w:rFonts w:hint="eastAsia" w:ascii="宋体" w:hAnsi="宋体"/>
          <w:b/>
          <w:szCs w:val="21"/>
        </w:rPr>
        <w:t>绪论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了解本课程的特点、目的和要求以及学习方法。</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掌握本课程的研究内容及主要任务。</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果树栽培学的内容及果树生产概况.</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果树生产的特点、重要意义、发展趋势及我国果树生产现状和存在问题。</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果树生产的特点、重要意义。</w:t>
      </w:r>
    </w:p>
    <w:p>
      <w:pPr>
        <w:snapToGrid w:val="0"/>
        <w:spacing w:line="360" w:lineRule="auto"/>
        <w:ind w:firstLine="103" w:firstLineChars="49"/>
        <w:jc w:val="center"/>
        <w:rPr>
          <w:rFonts w:ascii="宋体" w:hAnsi="宋体"/>
          <w:b/>
          <w:szCs w:val="21"/>
        </w:rPr>
      </w:pPr>
      <w:r>
        <w:rPr>
          <w:rFonts w:hint="eastAsia" w:ascii="宋体" w:hAnsi="宋体"/>
          <w:b/>
          <w:szCs w:val="21"/>
        </w:rPr>
        <w:t>第一章  我国果树种类及地理分布</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了解果树栽培发展简史。</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掌握世界果树分布及主要果树的生产概况。</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果树资源的种类、分类方法及主要果树带和特点。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主要果树种类及砧木的学名；叶幕的概念、果树分类的方法。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主要果树种类及砧木的学名。</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果树栽培发展简史。</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果树带的概念，指导种植果树。</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果实结构分类。</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第二章  </w:t>
      </w:r>
      <w:r>
        <w:rPr>
          <w:rFonts w:eastAsiaTheme="minorEastAsia"/>
          <w:b/>
          <w:bCs/>
          <w:kern w:val="0"/>
          <w:szCs w:val="21"/>
        </w:rPr>
        <w:t>果树的生命周期和年生长周期</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了解果树生命周期的意义和年生长周期。</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果树两种年龄时期及其生理实质。</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物候期、自然休眠，被迫休眠的概念；各年龄时期的特点及控制途径，休眠期的影响因素及控制途径。</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物候期、自然休眠，被迫休眠的概念；休眠期的影响因素及控制途径。</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物候期、自然休眠，被迫休眠的概念。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营养繁殖树的生命周期及年生长周期概念。</w:t>
      </w:r>
    </w:p>
    <w:p>
      <w:pPr>
        <w:snapToGrid w:val="0"/>
        <w:spacing w:line="360" w:lineRule="auto"/>
        <w:ind w:left="840" w:hanging="418"/>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休眠期的影响因素及控制途径。</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果树各年龄时期的特点及控制途径。</w:t>
      </w:r>
    </w:p>
    <w:p>
      <w:pPr>
        <w:snapToGrid w:val="0"/>
        <w:spacing w:line="360" w:lineRule="auto"/>
        <w:ind w:firstLine="103" w:firstLineChars="49"/>
        <w:jc w:val="center"/>
        <w:rPr>
          <w:rFonts w:ascii="宋体" w:hAnsi="宋体"/>
          <w:b/>
          <w:szCs w:val="21"/>
        </w:rPr>
      </w:pPr>
      <w:r>
        <w:rPr>
          <w:rFonts w:hint="eastAsia" w:ascii="宋体" w:hAnsi="宋体"/>
          <w:b/>
          <w:szCs w:val="21"/>
        </w:rPr>
        <w:t>第三章  果树器官的生长发育</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果树生长发育与环境条件和农业技术相互作用及其辨证关系。</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果树根、枝、叶、芽、花及果实各器官的生长发育规律。</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芽的异质性、早熟性、萌芽率、成枝力、顶端优势、垂直优势、叶面积指数、花芽分化、形态分化、生理分化、花芽分化临界期、自花授粉、异花授粉、单性结实、雌雄异熟和雌雄不等长、果形指数等基本概念。</w:t>
      </w:r>
    </w:p>
    <w:p>
      <w:pPr>
        <w:snapToGrid w:val="0"/>
        <w:spacing w:line="360" w:lineRule="auto"/>
        <w:rPr>
          <w:rFonts w:ascii="宋体" w:hAnsi="宋体"/>
          <w:b/>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芽的异质性、早熟性、萌芽率、成枝力、顶端优势、垂直优势、叶面积指数、花芽分化、形态分化、生理分化、花芽分化临界期、自花授粉、异花授粉、单性结实、雌雄异熟和雌雄不等长、生理落果、果形指数等基本概念；花芽分化机理及影响因素；花芽分化时期及调控途径；落花落果规律，果实生长图型，果实品质构成及其发育。</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基本概念、花芽分化机理及调控途径。</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理解掌握果树各器官间生长发育的相互关系。</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果树生长发育与环境条件和农业技术相互作用。</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落花落果规律，果实生长图型，果实品质构成及其发育。</w:t>
      </w:r>
    </w:p>
    <w:p>
      <w:pPr>
        <w:snapToGrid w:val="0"/>
        <w:spacing w:line="360" w:lineRule="auto"/>
        <w:ind w:firstLine="103" w:firstLineChars="49"/>
        <w:jc w:val="center"/>
        <w:rPr>
          <w:rFonts w:ascii="宋体" w:hAnsi="宋体"/>
          <w:b/>
          <w:szCs w:val="21"/>
        </w:rPr>
      </w:pPr>
      <w:r>
        <w:rPr>
          <w:rFonts w:hint="eastAsia" w:ascii="宋体" w:hAnsi="宋体"/>
          <w:b/>
          <w:szCs w:val="21"/>
        </w:rPr>
        <w:t>第四章  生态环境对果树生长发育的影响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温度、光照、水分、土壤、海拔等生态因子对果树生长发育的影响。</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温度、光照的内容和对果树生长发育的作用。</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积温的概念。</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积温的概念、温度、光照对果树的作用。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土壤条件对果树的作用。</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生态环境因子（温度、光照、水分、土壤、地势等）有关内容。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果树三基点温度的差异。</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温度、光照对果树的作用。</w:t>
      </w:r>
    </w:p>
    <w:p>
      <w:pPr>
        <w:snapToGrid w:val="0"/>
        <w:spacing w:line="360" w:lineRule="auto"/>
        <w:ind w:firstLine="103" w:firstLineChars="49"/>
        <w:jc w:val="center"/>
        <w:rPr>
          <w:rFonts w:ascii="宋体" w:hAnsi="宋体"/>
          <w:b/>
          <w:szCs w:val="21"/>
        </w:rPr>
      </w:pPr>
      <w:r>
        <w:rPr>
          <w:rFonts w:hint="eastAsia" w:ascii="宋体" w:hAnsi="宋体"/>
          <w:b/>
          <w:szCs w:val="21"/>
        </w:rPr>
        <w:t>第五章  果树育苗</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苗圃地的选择和区划，育苗方式。</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砧木的选择和利用；实生苗的特点和利用、实生苗的繁殖原理和方法。</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实生苗的特点及繁殖方法；嫁接苗的特点，嫁接繁殖原理和主要嫁接方法。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嫁接苗的特点和利用、嫁接繁殖原理、主要嫁接方法和苗木培育；自根苗的特点和利用、自根繁殖生根原理、主要繁殖方法。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嫁接苗的特点，嫁接繁殖原理和主要嫁接方法。</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自根苗的特点和利用、自根繁殖生根原理、主要繁殖方法。</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果树苗木繁育机理。</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不同育苗方式的优缺点。</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rFonts w:hint="eastAsia" w:ascii="宋体" w:hAnsi="宋体"/>
          <w:bCs/>
          <w:szCs w:val="21"/>
        </w:rPr>
        <w:t>影响嫁接成活的主要因素。</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bCs/>
          <w:szCs w:val="21"/>
        </w:rPr>
        <w:t>优质苗木的具备因素。。</w:t>
      </w:r>
    </w:p>
    <w:p>
      <w:pPr>
        <w:snapToGrid w:val="0"/>
        <w:spacing w:line="360" w:lineRule="auto"/>
        <w:ind w:firstLine="103" w:firstLineChars="49"/>
        <w:jc w:val="center"/>
        <w:rPr>
          <w:rFonts w:ascii="宋体" w:hAnsi="宋体"/>
          <w:b/>
          <w:szCs w:val="21"/>
        </w:rPr>
      </w:pPr>
      <w:r>
        <w:rPr>
          <w:rFonts w:hint="eastAsia" w:ascii="宋体" w:hAnsi="宋体"/>
          <w:b/>
          <w:szCs w:val="21"/>
        </w:rPr>
        <w:t>第六章  果园建立</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园地的选择；园地基本情况调查。</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果园的土地规划，果园防护林设计。</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树种、品种选择和授粉树配置。</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果园土地规划；树种、品种选择和授粉树配置；栽植技术。</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树种、品种选择和授粉树配置。</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果树树种、品种选择和授粉树配置的栽培技术。</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果园规划设计。</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果树栽植及其栽后管理。</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rFonts w:hint="eastAsia" w:ascii="宋体" w:hAnsi="宋体"/>
          <w:bCs/>
          <w:szCs w:val="21"/>
        </w:rPr>
        <w:t>规划设计的内容、方法、步骤。</w:t>
      </w:r>
    </w:p>
    <w:p>
      <w:pPr>
        <w:snapToGrid w:val="0"/>
        <w:spacing w:line="360" w:lineRule="auto"/>
        <w:ind w:firstLine="103" w:firstLineChars="49"/>
        <w:jc w:val="center"/>
        <w:rPr>
          <w:rFonts w:ascii="宋体" w:hAnsi="宋体"/>
          <w:b/>
          <w:szCs w:val="21"/>
        </w:rPr>
      </w:pPr>
      <w:r>
        <w:rPr>
          <w:rFonts w:hint="eastAsia" w:ascii="宋体" w:hAnsi="宋体"/>
          <w:b/>
          <w:szCs w:val="21"/>
        </w:rPr>
        <w:t>第七章  我国果树种类及地理分布</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果园土壤改良作用。</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园土壤改良的方法，果园深翻的作用、时期和方式。</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果树营养特点，平衡施肥，施肥技术，果树需水特性和灌水技术。</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果树营养特点，平衡施肥，施肥技术。</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平衡施肥，施肥技术。</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果园间作、诊断施肥和平衡施肥原理。</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土壤改良、施肥、灌水的基本技术。</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果树营养特点。</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rFonts w:hint="eastAsia" w:ascii="宋体" w:hAnsi="宋体"/>
          <w:bCs/>
          <w:szCs w:val="21"/>
        </w:rPr>
        <w:t>施肥量确定、施肥时期与方法。</w:t>
      </w:r>
    </w:p>
    <w:p>
      <w:pPr>
        <w:snapToGrid w:val="0"/>
        <w:spacing w:line="360" w:lineRule="auto"/>
        <w:ind w:firstLine="103" w:firstLineChars="49"/>
        <w:jc w:val="center"/>
        <w:rPr>
          <w:rFonts w:ascii="宋体" w:hAnsi="宋体"/>
          <w:b/>
          <w:szCs w:val="21"/>
        </w:rPr>
      </w:pPr>
      <w:r>
        <w:rPr>
          <w:rFonts w:hint="eastAsia" w:ascii="宋体" w:hAnsi="宋体"/>
          <w:b/>
          <w:szCs w:val="21"/>
        </w:rPr>
        <w:t>第八章  果树整形修剪</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果树群体结构、果树个体结构。</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整形修剪时期；整形修剪的调节作用。</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主要树形的特点；果树修剪的生物学基础；修剪方法及作用。</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整形修剪的概念；主要树形的特点；果树修剪的生物学基础；修剪方法及作用。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整形修剪的概念；果树修剪的生物学基础。</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树体结构分析及整形修剪的方法和作用。</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果树修剪方法的综合运用。</w:t>
      </w:r>
    </w:p>
    <w:p>
      <w:pPr>
        <w:snapToGrid w:val="0"/>
        <w:spacing w:line="360" w:lineRule="auto"/>
        <w:ind w:firstLine="422" w:firstLineChars="200"/>
        <w:rPr>
          <w:rFonts w:ascii="宋体" w:hAnsi="宋体"/>
          <w:bCs/>
          <w:szCs w:val="21"/>
        </w:rPr>
      </w:pPr>
      <w:r>
        <w:rPr>
          <w:rFonts w:hint="eastAsia" w:ascii="宋体" w:hAnsi="宋体"/>
          <w:b/>
          <w:szCs w:val="21"/>
        </w:rPr>
        <w:t>4.分析：</w:t>
      </w:r>
      <w:r>
        <w:rPr>
          <w:rFonts w:hint="eastAsia" w:ascii="宋体" w:hAnsi="宋体"/>
          <w:bCs/>
          <w:szCs w:val="21"/>
        </w:rPr>
        <w:t>主要树形的特点。</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rFonts w:hint="eastAsia" w:ascii="宋体" w:hAnsi="宋体"/>
          <w:bCs/>
          <w:szCs w:val="21"/>
        </w:rPr>
        <w:t>修剪方法及作用。</w:t>
      </w:r>
    </w:p>
    <w:p>
      <w:pPr>
        <w:snapToGrid w:val="0"/>
        <w:spacing w:line="360" w:lineRule="auto"/>
        <w:ind w:firstLine="103" w:firstLineChars="49"/>
        <w:jc w:val="center"/>
        <w:rPr>
          <w:rFonts w:ascii="宋体" w:hAnsi="宋体"/>
          <w:b/>
          <w:szCs w:val="21"/>
        </w:rPr>
      </w:pPr>
      <w:r>
        <w:rPr>
          <w:rFonts w:hint="eastAsia" w:ascii="宋体" w:hAnsi="宋体"/>
          <w:b/>
          <w:szCs w:val="21"/>
        </w:rPr>
        <w:t>第九章  花果管理</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果树花果管理的基本知识。</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明确果实负载量确定，人工疏花疏果的方法。</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提高坐果率，改善果实色泽的技术途径。</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人工疏花疏果的方法，提高坐果率，改善果实色泽的技术途径。</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果树花果管理的基本知识。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果实负载量确定，人工疏花疏果的方法。</w:t>
      </w:r>
    </w:p>
    <w:p>
      <w:pPr>
        <w:snapToGrid w:val="0"/>
        <w:spacing w:line="360" w:lineRule="auto"/>
        <w:ind w:firstLine="422" w:firstLineChars="200"/>
        <w:rPr>
          <w:rFonts w:ascii="宋体" w:hAnsi="宋体"/>
          <w:bCs/>
          <w:szCs w:val="21"/>
        </w:rPr>
      </w:pPr>
      <w:r>
        <w:rPr>
          <w:rFonts w:hint="eastAsia" w:ascii="宋体" w:hAnsi="宋体"/>
          <w:b/>
          <w:szCs w:val="21"/>
        </w:rPr>
        <w:t>3.应用</w:t>
      </w:r>
      <w:r>
        <w:rPr>
          <w:rFonts w:hint="eastAsia" w:ascii="宋体" w:hAnsi="宋体"/>
          <w:szCs w:val="21"/>
        </w:rPr>
        <w:t>：</w:t>
      </w:r>
      <w:r>
        <w:rPr>
          <w:rFonts w:hint="eastAsia" w:ascii="宋体" w:hAnsi="宋体"/>
          <w:bCs/>
          <w:szCs w:val="21"/>
        </w:rPr>
        <w:t>人工疏花疏果的方法。</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提高坐果率，增进果实着色技术途径。</w:t>
      </w:r>
    </w:p>
    <w:p>
      <w:pPr>
        <w:snapToGrid w:val="0"/>
        <w:spacing w:line="360" w:lineRule="auto"/>
        <w:ind w:firstLine="103" w:firstLineChars="49"/>
        <w:jc w:val="center"/>
        <w:rPr>
          <w:rFonts w:ascii="宋体" w:hAnsi="宋体"/>
          <w:b/>
          <w:szCs w:val="21"/>
        </w:rPr>
      </w:pPr>
      <w:r>
        <w:rPr>
          <w:rFonts w:hint="eastAsia" w:ascii="宋体" w:hAnsi="宋体"/>
          <w:b/>
          <w:szCs w:val="21"/>
        </w:rPr>
        <w:t>第十章  植物生长调节剂在果树栽培中的应用</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植物生长调节剂应用前景及发展趋势。</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植物生长调节剂的效应与其他农业措施的关系。</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植物生长调节剂对果树生长发育的调节作用及应用技术。</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植物生长调节剂的种类，植物生长调节剂的种类对果树生长发育的调节作用。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植物生长调节剂的种类。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植物生长调节剂的效应与其他农业措施的关系。</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植物生长调节剂在果树生长发育的应用技术。</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不同生长调节剂对果树的调节作用差异。</w:t>
      </w:r>
    </w:p>
    <w:p>
      <w:pPr>
        <w:snapToGrid w:val="0"/>
        <w:spacing w:line="360" w:lineRule="auto"/>
        <w:ind w:firstLine="103" w:firstLineChars="49"/>
        <w:jc w:val="center"/>
        <w:rPr>
          <w:rFonts w:ascii="宋体" w:hAnsi="宋体"/>
          <w:b/>
          <w:szCs w:val="21"/>
        </w:rPr>
      </w:pPr>
      <w:r>
        <w:rPr>
          <w:rFonts w:hint="eastAsia" w:ascii="宋体" w:hAnsi="宋体"/>
          <w:b/>
          <w:szCs w:val="21"/>
        </w:rPr>
        <w:t>第十一章  果园的灾害及预防</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果园各种自然灾害。</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果树的冷害、冻害、干旱和高温的危害。</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掌握果园各种自然灾害预防措施。</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rPr>
          <w:rFonts w:ascii="宋体" w:hAnsi="宋体"/>
          <w:bCs/>
          <w:szCs w:val="21"/>
        </w:rPr>
      </w:pPr>
      <w:r>
        <w:rPr>
          <w:rFonts w:hint="eastAsia" w:ascii="宋体" w:hAnsi="宋体"/>
          <w:bCs/>
          <w:szCs w:val="21"/>
        </w:rPr>
        <w:t>冷害概念、冻害概念，果园各种自然灾害预防措施。</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冷害概念、冻害概念。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风害和雹害。</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果园各种自然灾害预防措施。</w:t>
      </w:r>
    </w:p>
    <w:p>
      <w:pPr>
        <w:snapToGrid w:val="0"/>
        <w:spacing w:line="360" w:lineRule="auto"/>
        <w:ind w:firstLine="422" w:firstLineChars="200"/>
        <w:rPr>
          <w:rFonts w:ascii="宋体" w:hAnsi="宋体"/>
          <w:bCs/>
          <w:szCs w:val="21"/>
        </w:rPr>
      </w:pPr>
      <w:r>
        <w:rPr>
          <w:rFonts w:hint="eastAsia" w:ascii="宋体" w:hAnsi="宋体"/>
          <w:b/>
          <w:szCs w:val="21"/>
        </w:rPr>
        <w:t>4.分析：</w:t>
      </w:r>
      <w:r>
        <w:rPr>
          <w:rFonts w:hint="eastAsia" w:ascii="宋体" w:hAnsi="宋体"/>
          <w:bCs/>
          <w:szCs w:val="21"/>
        </w:rPr>
        <w:t>冷害、冻害的差异以及对果树的影响。</w:t>
      </w:r>
    </w:p>
    <w:p>
      <w:pPr>
        <w:snapToGrid w:val="0"/>
        <w:spacing w:line="360" w:lineRule="auto"/>
        <w:ind w:firstLine="103" w:firstLineChars="49"/>
        <w:jc w:val="center"/>
        <w:rPr>
          <w:rFonts w:ascii="宋体" w:hAnsi="宋体"/>
          <w:b/>
          <w:szCs w:val="21"/>
        </w:rPr>
      </w:pPr>
      <w:r>
        <w:rPr>
          <w:rFonts w:hint="eastAsia" w:ascii="宋体" w:hAnsi="宋体"/>
          <w:b/>
          <w:szCs w:val="21"/>
        </w:rPr>
        <w:t>第十二章 苹果</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苹果经济意义。</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苹果生产现状及发展趋势。</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苹果的种类和主要品种特性。</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firstLine="420" w:firstLineChars="200"/>
        <w:rPr>
          <w:rFonts w:ascii="宋体" w:hAnsi="宋体"/>
          <w:bCs/>
          <w:szCs w:val="21"/>
        </w:rPr>
      </w:pPr>
      <w:r>
        <w:rPr>
          <w:rFonts w:hint="eastAsia" w:ascii="宋体" w:hAnsi="宋体"/>
          <w:bCs/>
          <w:szCs w:val="21"/>
        </w:rPr>
        <w:t>苹果主要种类、主要品种；根系特性、芽、枝和叶的生长特性、花芽分化、开花结果特性、果实发育与品质的形成、落叶和休眠；育苗与建园；栽培技术特点。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苹果的生物学特性和栽培技术特点。</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芽、枝和叶的生长特性，花芽分化，开花结果特性。</w:t>
      </w:r>
    </w:p>
    <w:p>
      <w:pPr>
        <w:snapToGrid w:val="0"/>
        <w:spacing w:line="360" w:lineRule="auto"/>
        <w:ind w:firstLine="103" w:firstLineChars="49"/>
        <w:jc w:val="center"/>
        <w:rPr>
          <w:rFonts w:ascii="宋体" w:hAnsi="宋体"/>
          <w:b/>
          <w:szCs w:val="21"/>
        </w:rPr>
      </w:pPr>
      <w:r>
        <w:rPr>
          <w:rFonts w:hint="eastAsia" w:ascii="宋体" w:hAnsi="宋体"/>
          <w:b/>
          <w:szCs w:val="21"/>
        </w:rPr>
        <w:t>第十三章 桃</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国内外栽培历史，栽培现状和发展趋势，经济意义。</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我国桃的分布，我国桃树生产中存在的问题。</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桃的种类和主要品种特性。</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firstLine="420" w:firstLineChars="200"/>
        <w:rPr>
          <w:rFonts w:ascii="宋体" w:hAnsi="宋体"/>
          <w:bCs/>
          <w:szCs w:val="21"/>
        </w:rPr>
      </w:pPr>
      <w:r>
        <w:rPr>
          <w:rFonts w:hint="eastAsia" w:ascii="宋体" w:hAnsi="宋体"/>
          <w:bCs/>
          <w:szCs w:val="21"/>
        </w:rPr>
        <w:t>主要种类，主栽品种介绍；树冠特性，枝芽特性，花芽分化与开花结果，果实发育与成熟，对环境条件的要求；育苗与建园；栽培技术特点。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桃的生物学特性和栽培技术特点。</w:t>
      </w:r>
    </w:p>
    <w:p>
      <w:pPr>
        <w:snapToGrid w:val="0"/>
        <w:spacing w:line="360" w:lineRule="auto"/>
        <w:ind w:firstLine="422" w:firstLineChars="200"/>
        <w:rPr>
          <w:rFonts w:ascii="宋体" w:hAnsi="宋体"/>
          <w:bCs/>
          <w:szCs w:val="21"/>
        </w:rPr>
      </w:pPr>
      <w:r>
        <w:rPr>
          <w:rFonts w:hint="eastAsia" w:ascii="宋体" w:hAnsi="宋体"/>
          <w:b/>
          <w:szCs w:val="21"/>
        </w:rPr>
        <w:t>2.领会</w:t>
      </w:r>
      <w:r>
        <w:rPr>
          <w:rFonts w:hint="eastAsia" w:ascii="宋体" w:hAnsi="宋体"/>
          <w:szCs w:val="21"/>
        </w:rPr>
        <w:t>：</w:t>
      </w:r>
      <w:r>
        <w:rPr>
          <w:rFonts w:hint="eastAsia" w:ascii="宋体" w:hAnsi="宋体"/>
          <w:bCs/>
          <w:szCs w:val="21"/>
        </w:rPr>
        <w:t>芽、枝和叶的生长特性，花芽分化，开花结果特性。</w:t>
      </w:r>
    </w:p>
    <w:p>
      <w:pPr>
        <w:snapToGrid w:val="0"/>
        <w:spacing w:line="360" w:lineRule="auto"/>
        <w:ind w:firstLine="422" w:firstLineChars="200"/>
        <w:rPr>
          <w:rFonts w:ascii="宋体" w:hAnsi="宋体"/>
          <w:b/>
          <w:szCs w:val="21"/>
        </w:rPr>
      </w:pPr>
      <w:r>
        <w:rPr>
          <w:rFonts w:ascii="宋体" w:hAnsi="宋体"/>
          <w:b/>
          <w:szCs w:val="21"/>
        </w:rPr>
        <w:t>3</w:t>
      </w:r>
      <w:r>
        <w:rPr>
          <w:rFonts w:hint="eastAsia" w:ascii="宋体" w:hAnsi="宋体"/>
          <w:b/>
          <w:szCs w:val="21"/>
        </w:rPr>
        <w:t>.简单应用：</w:t>
      </w:r>
      <w:r>
        <w:rPr>
          <w:rFonts w:hint="eastAsia" w:ascii="宋体" w:hAnsi="宋体"/>
          <w:bCs/>
          <w:szCs w:val="21"/>
        </w:rPr>
        <w:t>桃树栽培技术要点。</w:t>
      </w:r>
    </w:p>
    <w:p>
      <w:pPr>
        <w:snapToGrid w:val="0"/>
        <w:spacing w:line="360" w:lineRule="auto"/>
        <w:ind w:firstLine="103" w:firstLineChars="49"/>
        <w:jc w:val="center"/>
        <w:rPr>
          <w:rFonts w:ascii="宋体" w:hAnsi="宋体"/>
          <w:b/>
          <w:szCs w:val="21"/>
        </w:rPr>
      </w:pPr>
      <w:r>
        <w:rPr>
          <w:rFonts w:hint="eastAsia" w:ascii="宋体" w:hAnsi="宋体"/>
          <w:b/>
          <w:szCs w:val="21"/>
        </w:rPr>
        <w:t>第十四章 葡萄</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国内外栽培历史，经济意义。</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我国葡萄的分布，栽培现状和发展趋势。</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葡萄的种类和主要品种特性。</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left="420" w:leftChars="200" w:firstLine="420" w:firstLineChars="200"/>
        <w:rPr>
          <w:rFonts w:ascii="宋体" w:hAnsi="宋体"/>
          <w:bCs/>
          <w:szCs w:val="21"/>
        </w:rPr>
      </w:pPr>
      <w:r>
        <w:rPr>
          <w:rFonts w:hint="eastAsia" w:ascii="宋体" w:hAnsi="宋体"/>
          <w:bCs/>
          <w:szCs w:val="21"/>
        </w:rPr>
        <w:t>主要种类，主栽品种介绍；树冠特性，枝芽特性，花芽分化与开花结果，果实发育与成熟，对环境条件的要求；育苗与建园；栽培技术特点。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szCs w:val="21"/>
        </w:rPr>
        <w:t>葡萄的生物学特性和栽培技术特点。</w:t>
      </w:r>
    </w:p>
    <w:p>
      <w:pPr>
        <w:snapToGrid w:val="0"/>
        <w:spacing w:line="360" w:lineRule="auto"/>
        <w:ind w:firstLine="422" w:firstLineChars="200"/>
        <w:rPr>
          <w:rFonts w:ascii="宋体" w:hAnsi="宋体"/>
          <w:bCs/>
          <w:szCs w:val="21"/>
        </w:rPr>
      </w:pPr>
      <w:r>
        <w:rPr>
          <w:rFonts w:hint="eastAsia" w:ascii="宋体" w:hAnsi="宋体"/>
          <w:b/>
          <w:szCs w:val="21"/>
        </w:rPr>
        <w:t>2.领会</w:t>
      </w:r>
      <w:r>
        <w:rPr>
          <w:rFonts w:hint="eastAsia" w:ascii="宋体" w:hAnsi="宋体"/>
          <w:szCs w:val="21"/>
        </w:rPr>
        <w:t>：</w:t>
      </w:r>
      <w:r>
        <w:rPr>
          <w:rFonts w:hint="eastAsia" w:ascii="宋体" w:hAnsi="宋体"/>
          <w:bCs/>
          <w:szCs w:val="21"/>
        </w:rPr>
        <w:t>芽、枝和叶的生长特性，花芽分化，开花结果特性。</w:t>
      </w:r>
    </w:p>
    <w:p>
      <w:pPr>
        <w:snapToGrid w:val="0"/>
        <w:spacing w:line="360" w:lineRule="auto"/>
        <w:ind w:firstLine="422" w:firstLineChars="200"/>
        <w:rPr>
          <w:rFonts w:ascii="宋体" w:hAnsi="宋体"/>
          <w:b/>
          <w:szCs w:val="21"/>
        </w:rPr>
      </w:pPr>
      <w:r>
        <w:rPr>
          <w:rFonts w:ascii="宋体" w:hAnsi="宋体"/>
          <w:b/>
          <w:szCs w:val="21"/>
        </w:rPr>
        <w:t>3</w:t>
      </w:r>
      <w:r>
        <w:rPr>
          <w:rFonts w:hint="eastAsia" w:ascii="宋体" w:hAnsi="宋体"/>
          <w:b/>
          <w:szCs w:val="21"/>
        </w:rPr>
        <w:t>.简单应用：</w:t>
      </w:r>
      <w:r>
        <w:rPr>
          <w:rFonts w:hint="eastAsia" w:ascii="宋体" w:hAnsi="宋体"/>
          <w:bCs/>
          <w:szCs w:val="21"/>
        </w:rPr>
        <w:t>葡萄树栽培技术要点。</w:t>
      </w:r>
    </w:p>
    <w:p>
      <w:pPr>
        <w:snapToGrid w:val="0"/>
        <w:spacing w:line="360" w:lineRule="auto"/>
        <w:ind w:firstLine="422" w:firstLineChars="200"/>
        <w:rPr>
          <w:rFonts w:ascii="宋体" w:hAnsi="宋体"/>
          <w:b/>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三、实验、实习教学部分的考核要求</w:t>
      </w:r>
    </w:p>
    <w:p>
      <w:pPr>
        <w:widowControl/>
        <w:adjustRightInd w:val="0"/>
        <w:snapToGrid w:val="0"/>
        <w:spacing w:line="360" w:lineRule="auto"/>
        <w:ind w:firstLine="420" w:firstLineChars="200"/>
        <w:jc w:val="left"/>
        <w:rPr>
          <w:rFonts w:ascii="宋体" w:hAnsi="宋体"/>
          <w:bCs/>
          <w:szCs w:val="21"/>
        </w:rPr>
      </w:pPr>
      <w:r>
        <w:rPr>
          <w:rFonts w:hint="eastAsia" w:ascii="宋体" w:hAnsi="宋体" w:cs="宋体"/>
          <w:bCs/>
          <w:kern w:val="0"/>
          <w:szCs w:val="21"/>
        </w:rPr>
        <w:t>1.</w:t>
      </w:r>
      <w:r>
        <w:rPr>
          <w:rFonts w:hint="eastAsia"/>
        </w:rPr>
        <w:t xml:space="preserve"> </w:t>
      </w:r>
      <w:r>
        <w:rPr>
          <w:rFonts w:hint="eastAsia" w:ascii="宋体" w:hAnsi="宋体"/>
          <w:bCs/>
          <w:szCs w:val="21"/>
        </w:rPr>
        <w:t>实验考核：</w:t>
      </w:r>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bCs/>
          <w:szCs w:val="21"/>
        </w:rPr>
        <w:t>通过实验课程的学习和实际操作，使学生掌握果树栽培、管理的基础理论，基本技术知识和操作技能，掌握有关调查研究、观察分析、测试分析，科学试验方法和生产实践的基本技能，重点培养学生的动手能力及分析解决实际生产问题的能力，使学生的创新能力得到提高。在实验教学过程中，要求学生始终严谨，规范的进行操作，耐心，细致的进行观察，独立思考，综合分析实验结果，充分理解后认真地完成实验报告。</w:t>
      </w:r>
    </w:p>
    <w:p>
      <w:pPr>
        <w:widowControl/>
        <w:adjustRightInd w:val="0"/>
        <w:snapToGrid w:val="0"/>
        <w:spacing w:line="360" w:lineRule="auto"/>
        <w:ind w:firstLine="420" w:firstLineChars="200"/>
        <w:jc w:val="left"/>
        <w:rPr>
          <w:rFonts w:ascii="宋体" w:hAnsi="宋体"/>
          <w:bCs/>
          <w:szCs w:val="21"/>
        </w:rPr>
      </w:pPr>
      <w:r>
        <w:rPr>
          <w:rFonts w:hint="eastAsia" w:ascii="宋体" w:hAnsi="宋体" w:cs="宋体"/>
          <w:bCs/>
          <w:kern w:val="0"/>
          <w:szCs w:val="21"/>
        </w:rPr>
        <w:t>2.</w:t>
      </w:r>
      <w:r>
        <w:rPr>
          <w:rFonts w:hint="eastAsia"/>
        </w:rPr>
        <w:t xml:space="preserve"> </w:t>
      </w:r>
      <w:r>
        <w:rPr>
          <w:rFonts w:hint="eastAsia" w:ascii="宋体" w:hAnsi="宋体"/>
          <w:bCs/>
          <w:szCs w:val="21"/>
        </w:rPr>
        <w:t>实习考核：</w:t>
      </w:r>
    </w:p>
    <w:p>
      <w:pPr>
        <w:widowControl/>
        <w:adjustRightInd w:val="0"/>
        <w:snapToGrid w:val="0"/>
        <w:spacing w:line="360" w:lineRule="auto"/>
        <w:ind w:firstLine="420" w:firstLineChars="200"/>
        <w:jc w:val="left"/>
        <w:rPr>
          <w:rFonts w:asciiTheme="majorEastAsia" w:hAnsiTheme="majorEastAsia" w:eastAsiaTheme="majorEastAsia" w:cstheme="majorEastAsia"/>
          <w:b/>
          <w:bCs/>
          <w:kern w:val="0"/>
          <w:szCs w:val="21"/>
        </w:rPr>
      </w:pPr>
      <w:r>
        <w:rPr>
          <w:rFonts w:hint="eastAsia" w:ascii="宋体" w:hAnsi="宋体"/>
          <w:bCs/>
          <w:szCs w:val="21"/>
        </w:rPr>
        <w:t>教学实习的目的旨在加深学生对课堂教学内容的直观现实的认识，训练与提高学生的专业分析和实际操作技能，学习并完成调查、记录和分析等方法，要求学生结合实际，综合运用所学知识评价和分析实际生产中存在的问题并提出合理有效的解决方案。实习部分要求每个学生全程参加课程实习的每一环节，学习掌握果树嫁接、扦插、施肥、修剪、采摘和果园管理体系建立，灵活运用所学的理论知识分析解决果树生产中存在问题。学生撰写实习报告和课程论文，进行小组内和小组之间交流，总结课程实习的经验与不足，根据学生的出勤情况、实习态度、实习报告等考核。</w:t>
      </w:r>
    </w:p>
    <w:p>
      <w:pPr>
        <w:widowControl/>
        <w:snapToGrid w:val="0"/>
        <w:spacing w:line="360" w:lineRule="auto"/>
        <w:jc w:val="left"/>
        <w:outlineLvl w:val="1"/>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四、考核方式</w:t>
      </w:r>
    </w:p>
    <w:p>
      <w:pPr>
        <w:widowControl/>
        <w:snapToGrid w:val="0"/>
        <w:spacing w:line="360" w:lineRule="auto"/>
        <w:ind w:firstLine="420" w:firstLineChars="200"/>
        <w:jc w:val="left"/>
        <w:outlineLvl w:val="1"/>
        <w:rPr>
          <w:rFonts w:ascii="宋体" w:hAnsi="宋体"/>
          <w:bCs/>
          <w:szCs w:val="21"/>
        </w:rPr>
      </w:pPr>
      <w:r>
        <w:rPr>
          <w:rFonts w:hint="eastAsia" w:ascii="宋体" w:hAnsi="宋体"/>
          <w:bCs/>
          <w:szCs w:val="21"/>
        </w:rPr>
        <w:t>果树栽培学课程设置多元丰富的过程性考核评价办法，最终成绩由考勤分、课堂分、实践评价、实验过程考核分以及期中、期末理论考试6部分构成。</w:t>
      </w:r>
    </w:p>
    <w:p>
      <w:pPr>
        <w:widowControl/>
        <w:snapToGrid w:val="0"/>
        <w:spacing w:line="360" w:lineRule="auto"/>
        <w:ind w:firstLine="420" w:firstLineChars="200"/>
        <w:jc w:val="left"/>
        <w:outlineLvl w:val="1"/>
        <w:rPr>
          <w:rFonts w:ascii="宋体" w:hAnsi="宋体"/>
          <w:bCs/>
          <w:szCs w:val="21"/>
        </w:rPr>
      </w:pPr>
      <w:r>
        <w:rPr>
          <w:rFonts w:hint="eastAsia" w:ascii="宋体" w:hAnsi="宋体"/>
          <w:bCs/>
          <w:szCs w:val="21"/>
        </w:rPr>
        <w:t>1. 实践报告设置开放性题目，激活学生的思路和想法，最终装订成册，统一打分。</w:t>
      </w:r>
    </w:p>
    <w:p>
      <w:pPr>
        <w:widowControl/>
        <w:snapToGrid w:val="0"/>
        <w:spacing w:line="360" w:lineRule="auto"/>
        <w:ind w:firstLine="420" w:firstLineChars="200"/>
        <w:jc w:val="left"/>
        <w:outlineLvl w:val="1"/>
        <w:rPr>
          <w:rFonts w:ascii="宋体" w:hAnsi="宋体"/>
          <w:bCs/>
          <w:szCs w:val="21"/>
        </w:rPr>
      </w:pPr>
      <w:r>
        <w:rPr>
          <w:rFonts w:hint="eastAsia" w:ascii="宋体" w:hAnsi="宋体"/>
          <w:bCs/>
          <w:szCs w:val="21"/>
        </w:rPr>
        <w:t>2. 课堂授课安排考勤，计入平时成绩；课堂表现通过提问、抢答以及课堂讨论进行综合评价。</w:t>
      </w:r>
    </w:p>
    <w:p>
      <w:pPr>
        <w:widowControl/>
        <w:snapToGrid w:val="0"/>
        <w:spacing w:line="360" w:lineRule="auto"/>
        <w:ind w:firstLine="420" w:firstLineChars="200"/>
        <w:jc w:val="left"/>
        <w:outlineLvl w:val="1"/>
        <w:rPr>
          <w:rFonts w:ascii="宋体" w:hAnsi="宋体"/>
          <w:bCs/>
          <w:szCs w:val="21"/>
        </w:rPr>
      </w:pPr>
      <w:r>
        <w:rPr>
          <w:rFonts w:hint="eastAsia" w:ascii="宋体" w:hAnsi="宋体"/>
          <w:bCs/>
          <w:szCs w:val="21"/>
        </w:rPr>
        <w:t>3. 加强线上教学和考核，利用学习通等软件发布课堂任务，线上提交作业，进行统一考核。</w:t>
      </w:r>
    </w:p>
    <w:p>
      <w:pPr>
        <w:widowControl/>
        <w:snapToGrid w:val="0"/>
        <w:spacing w:line="360" w:lineRule="auto"/>
        <w:ind w:firstLine="420" w:firstLineChars="200"/>
        <w:jc w:val="left"/>
        <w:outlineLvl w:val="1"/>
        <w:rPr>
          <w:rFonts w:ascii="宋体" w:hAnsi="宋体"/>
          <w:bCs/>
          <w:szCs w:val="21"/>
        </w:rPr>
      </w:pPr>
      <w:r>
        <w:rPr>
          <w:rFonts w:hint="eastAsia" w:ascii="宋体" w:hAnsi="宋体"/>
          <w:bCs/>
          <w:szCs w:val="21"/>
        </w:rPr>
        <w:t>4. 理论考试部分，设置期中和期末两次考试，试题的题型有：名词解释、填空题、判读题、选择题、简答题、论述题，材料分析题。理论教学部分的考试方式为笔试，闭卷，考试时间为120分钟。</w:t>
      </w:r>
    </w:p>
    <w:p>
      <w:pPr>
        <w:widowControl/>
        <w:snapToGrid w:val="0"/>
        <w:spacing w:line="360" w:lineRule="auto"/>
        <w:ind w:firstLine="420" w:firstLineChars="200"/>
        <w:jc w:val="left"/>
        <w:outlineLvl w:val="1"/>
        <w:rPr>
          <w:rFonts w:ascii="宋体" w:hAnsi="宋体"/>
          <w:bCs/>
          <w:szCs w:val="21"/>
        </w:rPr>
      </w:pPr>
      <w:r>
        <w:rPr>
          <w:rFonts w:hint="eastAsia" w:ascii="宋体" w:hAnsi="宋体"/>
          <w:bCs/>
          <w:szCs w:val="21"/>
        </w:rPr>
        <w:t>5. 实验教学部分，分别在果树育苗、冬季修剪两个阶段，设置实践考核，加强学生的动手实践能力。</w:t>
      </w:r>
    </w:p>
    <w:p>
      <w:pPr>
        <w:widowControl/>
        <w:snapToGrid w:val="0"/>
        <w:spacing w:line="360" w:lineRule="auto"/>
        <w:jc w:val="left"/>
        <w:outlineLvl w:val="1"/>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五、成绩评定</w:t>
      </w:r>
    </w:p>
    <w:p>
      <w:pPr>
        <w:snapToGrid w:val="0"/>
        <w:spacing w:line="360" w:lineRule="auto"/>
        <w:ind w:firstLine="420" w:firstLineChars="200"/>
        <w:rPr>
          <w:rFonts w:ascii="宋体" w:hAnsi="宋体"/>
          <w:bCs/>
          <w:szCs w:val="21"/>
        </w:rPr>
      </w:pPr>
      <w:bookmarkStart w:id="645" w:name="_Hlk137994718"/>
      <w:r>
        <w:rPr>
          <w:rFonts w:hint="eastAsia" w:ascii="宋体" w:hAnsi="宋体"/>
          <w:szCs w:val="21"/>
        </w:rPr>
        <w:t>1.平时成绩</w:t>
      </w:r>
    </w:p>
    <w:p>
      <w:pPr>
        <w:snapToGrid w:val="0"/>
        <w:spacing w:line="360" w:lineRule="auto"/>
        <w:ind w:firstLine="420" w:firstLineChars="200"/>
        <w:rPr>
          <w:rFonts w:ascii="宋体" w:hAnsi="宋体"/>
          <w:szCs w:val="21"/>
        </w:rPr>
      </w:pPr>
      <w:r>
        <w:rPr>
          <w:rFonts w:hint="eastAsia" w:ascii="宋体" w:hAnsi="宋体"/>
          <w:szCs w:val="21"/>
        </w:rPr>
        <w:t>平时成绩由考勤分、课堂分、实践报告以及线上作业四个部分组成。总成绩100分，四个部分各占比25%。</w:t>
      </w:r>
    </w:p>
    <w:p>
      <w:pPr>
        <w:snapToGrid w:val="0"/>
        <w:spacing w:line="360" w:lineRule="auto"/>
        <w:ind w:firstLine="420" w:firstLineChars="200"/>
        <w:rPr>
          <w:rFonts w:ascii="宋体" w:hAnsi="宋体"/>
          <w:bCs/>
          <w:szCs w:val="21"/>
        </w:rPr>
      </w:pPr>
      <w:r>
        <w:rPr>
          <w:rFonts w:hint="eastAsia" w:ascii="宋体" w:hAnsi="宋体"/>
        </w:rPr>
        <w:t>2.期末成绩</w:t>
      </w:r>
    </w:p>
    <w:p>
      <w:pPr>
        <w:snapToGrid w:val="0"/>
        <w:spacing w:line="360" w:lineRule="auto"/>
        <w:ind w:firstLine="420" w:firstLineChars="200"/>
        <w:rPr>
          <w:rFonts w:ascii="宋体" w:hAnsi="宋体"/>
          <w:bCs/>
          <w:szCs w:val="21"/>
        </w:rPr>
      </w:pPr>
      <w:r>
        <w:rPr>
          <w:rFonts w:hint="eastAsia" w:ascii="宋体" w:hAnsi="宋体"/>
          <w:bCs/>
          <w:szCs w:val="21"/>
        </w:rPr>
        <w:t>根据每章节的教学目标和考核内容，进行闭卷、笔试考核，总成绩1</w:t>
      </w:r>
      <w:r>
        <w:rPr>
          <w:rFonts w:ascii="宋体" w:hAnsi="宋体"/>
          <w:bCs/>
          <w:szCs w:val="21"/>
        </w:rPr>
        <w:t>00</w:t>
      </w:r>
      <w:r>
        <w:rPr>
          <w:rFonts w:hint="eastAsia" w:ascii="宋体" w:hAnsi="宋体"/>
          <w:bCs/>
          <w:szCs w:val="21"/>
        </w:rPr>
        <w:t>分。</w:t>
      </w:r>
    </w:p>
    <w:p>
      <w:pPr>
        <w:snapToGrid w:val="0"/>
        <w:spacing w:line="360" w:lineRule="auto"/>
        <w:ind w:firstLine="420" w:firstLineChars="200"/>
        <w:rPr>
          <w:rFonts w:ascii="宋体" w:hAnsi="宋体"/>
          <w:bCs/>
          <w:szCs w:val="21"/>
        </w:rPr>
      </w:pPr>
      <w:r>
        <w:rPr>
          <w:rFonts w:hint="eastAsia" w:ascii="宋体" w:hAnsi="宋体"/>
        </w:rPr>
        <w:t>3.综合成绩</w:t>
      </w:r>
    </w:p>
    <w:p>
      <w:pPr>
        <w:snapToGrid w:val="0"/>
        <w:spacing w:line="360" w:lineRule="auto"/>
        <w:ind w:firstLine="420" w:firstLineChars="200"/>
        <w:rPr>
          <w:rFonts w:ascii="宋体" w:hAnsi="宋体"/>
          <w:bCs/>
          <w:szCs w:val="21"/>
        </w:rPr>
      </w:pPr>
      <w:r>
        <w:rPr>
          <w:rFonts w:hint="eastAsia" w:ascii="宋体" w:hAnsi="宋体"/>
          <w:bCs/>
          <w:szCs w:val="21"/>
        </w:rPr>
        <w:t>最终成绩满分100分，由理论考试成绩，实验教学成绩以及平时成绩三个部分组成：其中理论考试成绩占比50%（期末考试成绩分别占比20%和30%）；实验教学成绩占比20%；平时成绩占比30%。</w:t>
      </w:r>
    </w:p>
    <w:bookmarkEnd w:id="645"/>
    <w:p>
      <w:pPr>
        <w:widowControl/>
        <w:snapToGrid w:val="0"/>
        <w:spacing w:line="360" w:lineRule="auto"/>
        <w:jc w:val="left"/>
        <w:outlineLvl w:val="1"/>
        <w:rPr>
          <w:rFonts w:asciiTheme="majorEastAsia" w:hAnsiTheme="majorEastAsia" w:eastAsiaTheme="majorEastAsia" w:cstheme="majorEastAsia"/>
          <w:b/>
          <w:bCs/>
          <w:kern w:val="0"/>
          <w:szCs w:val="21"/>
        </w:rPr>
      </w:pPr>
      <w:r>
        <w:rPr>
          <w:rFonts w:hint="eastAsia" w:asciiTheme="majorEastAsia" w:hAnsiTheme="majorEastAsia" w:eastAsiaTheme="majorEastAsia" w:cstheme="majorEastAsia"/>
          <w:b/>
          <w:bCs/>
          <w:kern w:val="0"/>
          <w:szCs w:val="21"/>
        </w:rPr>
        <w:t>六、考核结果分析反馈</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 w:val="28"/>
        </w:rPr>
      </w:pPr>
      <w:r>
        <w:rPr>
          <w:rFonts w:hint="eastAsia" w:hAnsi="宋体"/>
          <w:bCs/>
          <w:szCs w:val="21"/>
        </w:rPr>
        <w:t>建立多元化的考核评价结果反馈机制，制定考核结果反馈表，通过问卷调查的形式，征求学生对课程学习中遇到的问题，以及改进方式；积极实时的向学生反馈平时成绩、作业效果以及实习报告成绩，以达成督促、鼓励的学习氛围；对优秀作业和实习报告进行展示，设立加分机制，促进课堂学习兴趣。</w:t>
      </w:r>
      <w:r>
        <w:rPr>
          <w:sz w:val="28"/>
        </w:rPr>
        <w:br w:type="page"/>
      </w:r>
    </w:p>
    <w:p>
      <w:pPr>
        <w:pStyle w:val="21"/>
        <w:rPr>
          <w:sz w:val="28"/>
        </w:rPr>
      </w:pPr>
      <w:bookmarkStart w:id="646" w:name="_Toc14533"/>
      <w:r>
        <w:rPr>
          <w:sz w:val="28"/>
        </w:rPr>
        <w:t>试验设计与统计分析考核大纲</w:t>
      </w:r>
      <w:bookmarkEnd w:id="643"/>
      <w:bookmarkEnd w:id="644"/>
      <w:bookmarkEnd w:id="646"/>
    </w:p>
    <w:p>
      <w:pPr>
        <w:snapToGrid w:val="0"/>
        <w:spacing w:line="360" w:lineRule="auto"/>
        <w:jc w:val="center"/>
        <w:rPr>
          <w:color w:val="0000FF"/>
          <w:sz w:val="24"/>
        </w:rPr>
      </w:pPr>
      <w:r>
        <w:rPr>
          <w:sz w:val="24"/>
        </w:rPr>
        <w:t>（Experimental Design and Statistical Analysis）</w:t>
      </w:r>
    </w:p>
    <w:p>
      <w:pPr>
        <w:widowControl/>
        <w:wordWrap w:val="0"/>
        <w:spacing w:before="120" w:after="120"/>
        <w:jc w:val="center"/>
        <w:outlineLvl w:val="0"/>
        <w:rPr>
          <w:rFonts w:eastAsia="黑体"/>
          <w:b/>
          <w:bCs/>
          <w:kern w:val="36"/>
          <w:sz w:val="24"/>
        </w:rPr>
      </w:pPr>
    </w:p>
    <w:p>
      <w:pPr>
        <w:snapToGrid w:val="0"/>
        <w:spacing w:line="360" w:lineRule="auto"/>
        <w:jc w:val="center"/>
        <w:rPr>
          <w:b/>
          <w:szCs w:val="21"/>
        </w:rPr>
      </w:pPr>
      <w:r>
        <w:rPr>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3"/>
        <w:gridCol w:w="2333"/>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9" w:type="pct"/>
          </w:tcPr>
          <w:p>
            <w:pPr>
              <w:spacing w:line="300" w:lineRule="auto"/>
              <w:rPr>
                <w:b/>
                <w:bCs/>
                <w:szCs w:val="21"/>
              </w:rPr>
            </w:pPr>
            <w:r>
              <w:rPr>
                <w:b/>
                <w:bCs/>
                <w:szCs w:val="21"/>
              </w:rPr>
              <w:t>课程编号：19011007h</w:t>
            </w:r>
          </w:p>
        </w:tc>
        <w:tc>
          <w:tcPr>
            <w:tcW w:w="1279" w:type="pct"/>
          </w:tcPr>
          <w:p>
            <w:pPr>
              <w:spacing w:line="300" w:lineRule="auto"/>
              <w:rPr>
                <w:b/>
                <w:bCs/>
                <w:szCs w:val="21"/>
              </w:rPr>
            </w:pPr>
            <w:r>
              <w:rPr>
                <w:b/>
                <w:bCs/>
                <w:szCs w:val="21"/>
              </w:rPr>
              <w:t>课程学时：64</w:t>
            </w:r>
          </w:p>
        </w:tc>
        <w:tc>
          <w:tcPr>
            <w:tcW w:w="2100" w:type="pct"/>
          </w:tcPr>
          <w:p>
            <w:pPr>
              <w:spacing w:line="300" w:lineRule="auto"/>
              <w:rPr>
                <w:b/>
                <w:bCs/>
                <w:szCs w:val="21"/>
              </w:rPr>
            </w:pPr>
            <w:r>
              <w:rPr>
                <w:b/>
                <w:bCs/>
                <w:szCs w:val="21"/>
              </w:rPr>
              <w:t>课程学分：4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19" w:type="pct"/>
          </w:tcPr>
          <w:p>
            <w:pPr>
              <w:spacing w:line="300" w:lineRule="auto"/>
              <w:rPr>
                <w:b/>
                <w:bCs/>
                <w:szCs w:val="21"/>
              </w:rPr>
            </w:pPr>
            <w:r>
              <w:rPr>
                <w:b/>
                <w:bCs/>
                <w:szCs w:val="21"/>
              </w:rPr>
              <w:t>主撰人：李志谦等</w:t>
            </w:r>
          </w:p>
        </w:tc>
        <w:tc>
          <w:tcPr>
            <w:tcW w:w="1279" w:type="pct"/>
          </w:tcPr>
          <w:p>
            <w:pPr>
              <w:spacing w:line="300" w:lineRule="auto"/>
              <w:rPr>
                <w:b/>
                <w:bCs/>
                <w:szCs w:val="21"/>
              </w:rPr>
            </w:pPr>
            <w:r>
              <w:rPr>
                <w:b/>
                <w:bCs/>
                <w:szCs w:val="21"/>
              </w:rPr>
              <w:t>审核人：宋尚伟 朱华玉</w:t>
            </w:r>
          </w:p>
        </w:tc>
        <w:tc>
          <w:tcPr>
            <w:tcW w:w="2100" w:type="pct"/>
          </w:tcPr>
          <w:p>
            <w:pPr>
              <w:spacing w:line="300" w:lineRule="auto"/>
              <w:rPr>
                <w:b/>
                <w:bCs/>
                <w:szCs w:val="21"/>
              </w:rPr>
            </w:pPr>
            <w:r>
              <w:rPr>
                <w:b/>
                <w:bCs/>
                <w:szCs w:val="21"/>
              </w:rPr>
              <w:t>大纲制定（修订）日期：</w:t>
            </w:r>
            <w:r>
              <w:rPr>
                <w:rFonts w:hint="eastAsia"/>
                <w:b/>
                <w:bCs/>
                <w:szCs w:val="21"/>
              </w:rPr>
              <w:t>2023.05</w:t>
            </w:r>
          </w:p>
        </w:tc>
      </w:tr>
    </w:tbl>
    <w:p>
      <w:pPr>
        <w:widowControl/>
        <w:snapToGrid w:val="0"/>
        <w:spacing w:line="360" w:lineRule="auto"/>
        <w:jc w:val="left"/>
        <w:outlineLvl w:val="1"/>
        <w:rPr>
          <w:rFonts w:eastAsiaTheme="majorEastAsia"/>
          <w:b/>
          <w:bCs/>
          <w:kern w:val="0"/>
          <w:szCs w:val="21"/>
        </w:rPr>
      </w:pPr>
    </w:p>
    <w:p>
      <w:pPr>
        <w:widowControl/>
        <w:snapToGrid w:val="0"/>
        <w:spacing w:line="360" w:lineRule="auto"/>
        <w:jc w:val="left"/>
        <w:outlineLvl w:val="1"/>
        <w:rPr>
          <w:rFonts w:eastAsiaTheme="majorEastAsia"/>
          <w:b/>
          <w:bCs/>
          <w:kern w:val="0"/>
          <w:szCs w:val="21"/>
        </w:rPr>
      </w:pPr>
      <w:bookmarkStart w:id="647" w:name="_Toc138070488"/>
      <w:bookmarkStart w:id="648" w:name="_Toc138068858"/>
      <w:bookmarkStart w:id="649" w:name="_Toc138076402"/>
      <w:bookmarkStart w:id="650" w:name="_Toc138070759"/>
      <w:bookmarkStart w:id="651" w:name="_Toc31331"/>
      <w:bookmarkStart w:id="652" w:name="_Toc138076153"/>
      <w:bookmarkStart w:id="653" w:name="_Toc138076697"/>
      <w:bookmarkStart w:id="654" w:name="_Toc138068459"/>
      <w:r>
        <w:rPr>
          <w:rFonts w:eastAsiaTheme="majorEastAsia"/>
          <w:b/>
          <w:bCs/>
          <w:kern w:val="0"/>
          <w:szCs w:val="21"/>
        </w:rPr>
        <w:t>一、课程的性质和地位</w:t>
      </w:r>
      <w:bookmarkEnd w:id="647"/>
      <w:bookmarkEnd w:id="648"/>
      <w:bookmarkEnd w:id="649"/>
      <w:bookmarkEnd w:id="650"/>
      <w:bookmarkEnd w:id="651"/>
      <w:bookmarkEnd w:id="652"/>
      <w:bookmarkEnd w:id="653"/>
      <w:bookmarkEnd w:id="654"/>
    </w:p>
    <w:p>
      <w:pPr>
        <w:snapToGrid w:val="0"/>
        <w:spacing w:line="360" w:lineRule="auto"/>
        <w:ind w:firstLine="420" w:firstLineChars="200"/>
      </w:pPr>
      <w:r>
        <w:t>《试验设计与统计分析》是园艺专业本科生必修的核心课程，属于专业类课程；同时是茶学专业本科生的必修课，属于基础类课程。</w:t>
      </w:r>
    </w:p>
    <w:p>
      <w:pPr>
        <w:widowControl/>
        <w:snapToGrid w:val="0"/>
        <w:spacing w:line="360" w:lineRule="auto"/>
        <w:jc w:val="left"/>
        <w:outlineLvl w:val="1"/>
        <w:rPr>
          <w:rFonts w:eastAsiaTheme="majorEastAsia"/>
          <w:b/>
          <w:bCs/>
          <w:kern w:val="0"/>
          <w:szCs w:val="21"/>
        </w:rPr>
      </w:pPr>
      <w:bookmarkStart w:id="655" w:name="_Toc138076403"/>
      <w:bookmarkStart w:id="656" w:name="_Toc138070760"/>
      <w:bookmarkStart w:id="657" w:name="_Toc138068859"/>
      <w:bookmarkStart w:id="658" w:name="_Toc138070489"/>
      <w:bookmarkStart w:id="659" w:name="_Toc138076698"/>
      <w:bookmarkStart w:id="660" w:name="_Toc10426"/>
      <w:bookmarkStart w:id="661" w:name="_Toc138068460"/>
      <w:bookmarkStart w:id="662" w:name="_Toc138076154"/>
      <w:r>
        <w:rPr>
          <w:rFonts w:eastAsiaTheme="majorEastAsia"/>
          <w:b/>
          <w:bCs/>
          <w:kern w:val="0"/>
          <w:szCs w:val="21"/>
        </w:rPr>
        <w:t>二、理论教学部分的考核目标</w:t>
      </w:r>
      <w:bookmarkEnd w:id="655"/>
      <w:bookmarkEnd w:id="656"/>
      <w:bookmarkEnd w:id="657"/>
      <w:bookmarkEnd w:id="658"/>
      <w:bookmarkEnd w:id="659"/>
      <w:bookmarkEnd w:id="660"/>
      <w:bookmarkEnd w:id="661"/>
      <w:bookmarkEnd w:id="662"/>
    </w:p>
    <w:p>
      <w:pPr>
        <w:snapToGrid w:val="0"/>
        <w:spacing w:line="360" w:lineRule="auto"/>
        <w:ind w:firstLine="420" w:firstLineChars="200"/>
        <w:rPr>
          <w:color w:val="0000FF"/>
          <w:szCs w:val="21"/>
        </w:rPr>
      </w:pPr>
      <w:r>
        <w:t>要求学生通过该课程的学习，能够了解科学研究方法的一般知识，掌握根据园艺作物特点进行试验设计和调查研究的理论和方法，学会对常见试验结果进行科学的数据整理与分析，能够使用常见的计算工具和统计软件进行统计分析，并推断出正确结论。</w:t>
      </w:r>
    </w:p>
    <w:p>
      <w:pPr>
        <w:snapToGrid w:val="0"/>
        <w:spacing w:line="360" w:lineRule="auto"/>
        <w:ind w:firstLine="103" w:firstLineChars="49"/>
        <w:jc w:val="center"/>
        <w:rPr>
          <w:b/>
          <w:szCs w:val="21"/>
        </w:rPr>
      </w:pPr>
    </w:p>
    <w:p>
      <w:pPr>
        <w:snapToGrid w:val="0"/>
        <w:spacing w:line="360" w:lineRule="auto"/>
        <w:ind w:firstLine="103" w:firstLineChars="49"/>
        <w:jc w:val="center"/>
        <w:rPr>
          <w:b/>
          <w:szCs w:val="21"/>
        </w:rPr>
      </w:pPr>
      <w:r>
        <w:rPr>
          <w:b/>
          <w:szCs w:val="21"/>
        </w:rPr>
        <w:t>绪论</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：课程性质、地位与要求；</w:t>
      </w:r>
      <w:r>
        <w:t>研究方法在农业科学研究中的地位和作用；生物统计的概念、作用和发展概况。</w:t>
      </w:r>
    </w:p>
    <w:p>
      <w:pPr>
        <w:snapToGrid w:val="0"/>
        <w:spacing w:line="360" w:lineRule="auto"/>
        <w:ind w:firstLine="422" w:firstLineChars="200"/>
        <w:rPr>
          <w:color w:val="0000FF"/>
          <w:szCs w:val="21"/>
        </w:rPr>
      </w:pPr>
      <w:r>
        <w:rPr>
          <w:b/>
          <w:szCs w:val="21"/>
        </w:rPr>
        <w:t>2. 一般掌握</w:t>
      </w:r>
      <w:r>
        <w:rPr>
          <w:szCs w:val="21"/>
        </w:rPr>
        <w:t>：科学研究的一般程序</w:t>
      </w:r>
      <w:r>
        <w:t>。</w:t>
      </w:r>
    </w:p>
    <w:p>
      <w:pPr>
        <w:snapToGrid w:val="0"/>
        <w:spacing w:line="360" w:lineRule="auto"/>
        <w:ind w:firstLine="422" w:firstLineChars="200"/>
        <w:rPr>
          <w:color w:val="0000FF"/>
          <w:szCs w:val="21"/>
        </w:rPr>
      </w:pPr>
      <w:r>
        <w:rPr>
          <w:b/>
          <w:szCs w:val="21"/>
        </w:rPr>
        <w:t>3. 熟练掌握</w:t>
      </w:r>
      <w:r>
        <w:rPr>
          <w:szCs w:val="21"/>
        </w:rPr>
        <w:t>：生物统计的概念和作用。</w:t>
      </w:r>
    </w:p>
    <w:p>
      <w:pPr>
        <w:snapToGrid w:val="0"/>
        <w:spacing w:line="360" w:lineRule="auto"/>
        <w:rPr>
          <w:szCs w:val="21"/>
        </w:rPr>
      </w:pPr>
      <w:r>
        <w:rPr>
          <w:b/>
          <w:szCs w:val="21"/>
        </w:rPr>
        <w:t>（二）考核内容</w:t>
      </w:r>
    </w:p>
    <w:p>
      <w:pPr>
        <w:spacing w:line="360" w:lineRule="auto"/>
        <w:ind w:firstLine="420" w:firstLineChars="200"/>
        <w:rPr>
          <w:szCs w:val="21"/>
        </w:rPr>
      </w:pPr>
      <w:r>
        <w:rPr>
          <w:szCs w:val="21"/>
        </w:rPr>
        <w:t>1</w:t>
      </w:r>
      <w:r>
        <w:rPr>
          <w:b/>
          <w:szCs w:val="21"/>
        </w:rPr>
        <w:t>.</w:t>
      </w:r>
      <w:r>
        <w:rPr>
          <w:szCs w:val="21"/>
        </w:rPr>
        <w:t>生物统计的概念和作用。</w:t>
      </w:r>
    </w:p>
    <w:p>
      <w:pPr>
        <w:spacing w:line="360" w:lineRule="auto"/>
        <w:ind w:firstLine="420" w:firstLineChars="200"/>
        <w:rPr>
          <w:szCs w:val="21"/>
        </w:rPr>
      </w:pPr>
      <w:r>
        <w:rPr>
          <w:szCs w:val="21"/>
        </w:rPr>
        <w:t>2</w:t>
      </w:r>
      <w:r>
        <w:rPr>
          <w:b/>
          <w:szCs w:val="21"/>
        </w:rPr>
        <w:t>.</w:t>
      </w:r>
      <w:r>
        <w:rPr>
          <w:szCs w:val="21"/>
        </w:rPr>
        <w:t>科学研究的一般程序。</w:t>
      </w:r>
    </w:p>
    <w:p>
      <w:pPr>
        <w:snapToGrid w:val="0"/>
        <w:spacing w:line="360" w:lineRule="auto"/>
        <w:rPr>
          <w:b/>
          <w:szCs w:val="21"/>
        </w:rPr>
      </w:pPr>
      <w:r>
        <w:rPr>
          <w:b/>
          <w:szCs w:val="21"/>
        </w:rPr>
        <w:t>（三）考核要求</w:t>
      </w:r>
    </w:p>
    <w:p>
      <w:pPr>
        <w:snapToGrid w:val="0"/>
        <w:spacing w:line="360" w:lineRule="auto"/>
        <w:ind w:firstLine="422" w:firstLineChars="200"/>
        <w:rPr>
          <w:b/>
          <w:color w:val="0000FF"/>
          <w:szCs w:val="21"/>
        </w:rPr>
      </w:pPr>
      <w:r>
        <w:rPr>
          <w:b/>
          <w:szCs w:val="21"/>
        </w:rPr>
        <w:t>1.识记</w:t>
      </w:r>
      <w:r>
        <w:rPr>
          <w:szCs w:val="21"/>
        </w:rPr>
        <w:t>：生物统计的概念和作用。</w:t>
      </w:r>
    </w:p>
    <w:p>
      <w:pPr>
        <w:snapToGrid w:val="0"/>
        <w:spacing w:line="360" w:lineRule="auto"/>
        <w:ind w:firstLine="422" w:firstLineChars="200"/>
        <w:rPr>
          <w:szCs w:val="21"/>
        </w:rPr>
      </w:pPr>
      <w:r>
        <w:rPr>
          <w:b/>
          <w:szCs w:val="21"/>
        </w:rPr>
        <w:t>2.领会</w:t>
      </w:r>
      <w:r>
        <w:rPr>
          <w:szCs w:val="21"/>
        </w:rPr>
        <w:t>：科学研究的一般程序。</w:t>
      </w:r>
    </w:p>
    <w:p>
      <w:pPr>
        <w:snapToGrid w:val="0"/>
        <w:spacing w:line="360" w:lineRule="auto"/>
        <w:ind w:firstLine="103" w:firstLineChars="49"/>
        <w:jc w:val="center"/>
        <w:rPr>
          <w:b/>
          <w:szCs w:val="21"/>
        </w:rPr>
      </w:pPr>
    </w:p>
    <w:p>
      <w:pPr>
        <w:snapToGrid w:val="0"/>
        <w:spacing w:line="360" w:lineRule="auto"/>
        <w:ind w:firstLine="103" w:firstLineChars="49"/>
        <w:jc w:val="center"/>
        <w:rPr>
          <w:b/>
          <w:bCs/>
        </w:rPr>
      </w:pPr>
      <w:r>
        <w:rPr>
          <w:b/>
          <w:szCs w:val="21"/>
        </w:rPr>
        <w:t xml:space="preserve">第一章 </w:t>
      </w:r>
      <w:r>
        <w:rPr>
          <w:rFonts w:hint="eastAsia"/>
          <w:b/>
          <w:bCs/>
          <w:kern w:val="0"/>
          <w:szCs w:val="21"/>
        </w:rPr>
        <w:t xml:space="preserve"> 研究课题选择与试验计划拟定</w:t>
      </w:r>
    </w:p>
    <w:p>
      <w:pPr>
        <w:snapToGrid w:val="0"/>
        <w:spacing w:line="360" w:lineRule="auto"/>
        <w:rPr>
          <w:b/>
          <w:szCs w:val="21"/>
        </w:rPr>
      </w:pPr>
      <w:r>
        <w:rPr>
          <w:b/>
          <w:szCs w:val="21"/>
        </w:rPr>
        <w:t>（一）学习目标</w:t>
      </w:r>
    </w:p>
    <w:p>
      <w:pPr>
        <w:spacing w:line="360" w:lineRule="auto"/>
        <w:ind w:firstLine="422" w:firstLineChars="200"/>
        <w:rPr>
          <w:szCs w:val="21"/>
        </w:rPr>
      </w:pPr>
      <w:r>
        <w:rPr>
          <w:b/>
          <w:szCs w:val="21"/>
        </w:rPr>
        <w:t>1. 一般了解</w:t>
      </w:r>
      <w:r>
        <w:rPr>
          <w:szCs w:val="21"/>
        </w:rPr>
        <w:t>：</w:t>
      </w:r>
      <w:r>
        <w:t>了解选定研究课题的依据和途径</w:t>
      </w:r>
      <w:r>
        <w:rPr>
          <w:szCs w:val="21"/>
        </w:rPr>
        <w:t>。</w:t>
      </w:r>
    </w:p>
    <w:p>
      <w:pPr>
        <w:spacing w:line="360" w:lineRule="auto"/>
        <w:ind w:firstLine="422" w:firstLineChars="200"/>
        <w:rPr>
          <w:szCs w:val="21"/>
        </w:rPr>
      </w:pPr>
      <w:r>
        <w:rPr>
          <w:b/>
          <w:szCs w:val="21"/>
        </w:rPr>
        <w:t>2. 一般掌握</w:t>
      </w:r>
      <w:r>
        <w:rPr>
          <w:szCs w:val="21"/>
        </w:rPr>
        <w:t>：试验研究计划书的一般格式和拟定方法。</w:t>
      </w:r>
    </w:p>
    <w:p>
      <w:pPr>
        <w:snapToGrid w:val="0"/>
        <w:spacing w:line="360" w:lineRule="auto"/>
        <w:rPr>
          <w:szCs w:val="21"/>
        </w:rPr>
      </w:pPr>
      <w:r>
        <w:rPr>
          <w:b/>
          <w:szCs w:val="21"/>
        </w:rPr>
        <w:t>（二）考核内容</w:t>
      </w:r>
    </w:p>
    <w:p>
      <w:pPr>
        <w:snapToGrid w:val="0"/>
        <w:spacing w:line="360" w:lineRule="auto"/>
        <w:ind w:firstLine="420" w:firstLineChars="200"/>
        <w:rPr>
          <w:bCs/>
          <w:szCs w:val="21"/>
        </w:rPr>
      </w:pPr>
      <w:r>
        <w:rPr>
          <w:bCs/>
          <w:szCs w:val="21"/>
        </w:rPr>
        <w:t>1、选题的原则。</w:t>
      </w:r>
    </w:p>
    <w:p>
      <w:pPr>
        <w:snapToGrid w:val="0"/>
        <w:spacing w:line="360" w:lineRule="auto"/>
        <w:ind w:firstLine="420" w:firstLineChars="200"/>
        <w:rPr>
          <w:bCs/>
          <w:szCs w:val="21"/>
        </w:rPr>
      </w:pPr>
      <w:r>
        <w:rPr>
          <w:bCs/>
          <w:szCs w:val="21"/>
        </w:rPr>
        <w:t>2、选定研究课题的依据和途径。</w:t>
      </w:r>
    </w:p>
    <w:p>
      <w:pPr>
        <w:snapToGrid w:val="0"/>
        <w:spacing w:line="360" w:lineRule="auto"/>
        <w:ind w:firstLine="420" w:firstLineChars="200"/>
        <w:rPr>
          <w:bCs/>
          <w:szCs w:val="21"/>
        </w:rPr>
      </w:pPr>
      <w:r>
        <w:rPr>
          <w:bCs/>
          <w:szCs w:val="21"/>
        </w:rPr>
        <w:t>3、</w:t>
      </w:r>
      <w:r>
        <w:rPr>
          <w:szCs w:val="21"/>
        </w:rPr>
        <w:t>资料收集和分析常用的途径与方法。</w:t>
      </w:r>
    </w:p>
    <w:p>
      <w:pPr>
        <w:snapToGrid w:val="0"/>
        <w:spacing w:line="360" w:lineRule="auto"/>
        <w:ind w:firstLine="420" w:firstLineChars="200"/>
        <w:rPr>
          <w:bCs/>
          <w:szCs w:val="21"/>
        </w:rPr>
      </w:pPr>
      <w:r>
        <w:rPr>
          <w:bCs/>
          <w:szCs w:val="21"/>
        </w:rPr>
        <w:t>4、</w:t>
      </w:r>
      <w:r>
        <w:rPr>
          <w:szCs w:val="21"/>
        </w:rPr>
        <w:t>试验研究</w:t>
      </w:r>
      <w:r>
        <w:t>计划书的一般格式和拟定方法。</w:t>
      </w:r>
    </w:p>
    <w:p>
      <w:pPr>
        <w:snapToGrid w:val="0"/>
        <w:spacing w:line="360" w:lineRule="auto"/>
        <w:rPr>
          <w:b/>
          <w:szCs w:val="21"/>
        </w:rPr>
      </w:pPr>
      <w:r>
        <w:rPr>
          <w:b/>
          <w:szCs w:val="21"/>
        </w:rPr>
        <w:t>（三）考核要求</w:t>
      </w:r>
    </w:p>
    <w:p>
      <w:pPr>
        <w:snapToGrid w:val="0"/>
        <w:spacing w:line="360" w:lineRule="auto"/>
        <w:ind w:firstLine="422" w:firstLineChars="200"/>
        <w:rPr>
          <w:szCs w:val="21"/>
        </w:rPr>
      </w:pPr>
      <w:r>
        <w:rPr>
          <w:b/>
          <w:szCs w:val="21"/>
        </w:rPr>
        <w:t>1.识记</w:t>
      </w:r>
      <w:r>
        <w:rPr>
          <w:szCs w:val="21"/>
        </w:rPr>
        <w:t>：试验研究计划书的要求和主要内容。</w:t>
      </w:r>
    </w:p>
    <w:p>
      <w:pPr>
        <w:snapToGrid w:val="0"/>
        <w:spacing w:line="360" w:lineRule="auto"/>
        <w:ind w:firstLine="422" w:firstLineChars="200"/>
        <w:rPr>
          <w:szCs w:val="21"/>
        </w:rPr>
      </w:pPr>
      <w:r>
        <w:rPr>
          <w:b/>
          <w:szCs w:val="21"/>
        </w:rPr>
        <w:t>2.领会</w:t>
      </w:r>
      <w:r>
        <w:rPr>
          <w:szCs w:val="21"/>
        </w:rPr>
        <w:t>：选定研究课题的依据和途径。</w:t>
      </w:r>
    </w:p>
    <w:p>
      <w:pPr>
        <w:snapToGrid w:val="0"/>
        <w:spacing w:line="360" w:lineRule="auto"/>
        <w:ind w:firstLine="422" w:firstLineChars="200"/>
        <w:rPr>
          <w:szCs w:val="21"/>
        </w:rPr>
      </w:pPr>
      <w:r>
        <w:rPr>
          <w:b/>
          <w:szCs w:val="21"/>
        </w:rPr>
        <w:t>3.应用</w:t>
      </w:r>
      <w:r>
        <w:rPr>
          <w:szCs w:val="21"/>
        </w:rPr>
        <w:t>：资料收集和分析常用的途径与方法；初步掌握试验研究计划书的一般格式和拟定方法。</w:t>
      </w:r>
    </w:p>
    <w:p>
      <w:pPr>
        <w:spacing w:line="360" w:lineRule="auto"/>
        <w:ind w:firstLine="420" w:firstLineChars="200"/>
        <w:rPr>
          <w:szCs w:val="21"/>
        </w:rPr>
      </w:pPr>
    </w:p>
    <w:p>
      <w:pPr>
        <w:snapToGrid w:val="0"/>
        <w:spacing w:line="360" w:lineRule="auto"/>
        <w:ind w:firstLine="103" w:firstLineChars="49"/>
        <w:jc w:val="center"/>
        <w:rPr>
          <w:b/>
          <w:bCs/>
        </w:rPr>
      </w:pPr>
      <w:r>
        <w:rPr>
          <w:b/>
          <w:bCs/>
        </w:rPr>
        <w:t>第二章 试验设计与实施</w:t>
      </w:r>
    </w:p>
    <w:p>
      <w:pPr>
        <w:snapToGrid w:val="0"/>
        <w:spacing w:line="360" w:lineRule="auto"/>
        <w:rPr>
          <w:b/>
          <w:szCs w:val="21"/>
        </w:rPr>
      </w:pPr>
      <w:r>
        <w:rPr>
          <w:b/>
          <w:szCs w:val="21"/>
        </w:rPr>
        <w:t>（一）学习目标</w:t>
      </w:r>
    </w:p>
    <w:p>
      <w:pPr>
        <w:spacing w:line="360" w:lineRule="auto"/>
        <w:ind w:firstLine="422" w:firstLineChars="200"/>
        <w:rPr>
          <w:szCs w:val="21"/>
        </w:rPr>
      </w:pPr>
      <w:r>
        <w:rPr>
          <w:b/>
          <w:szCs w:val="21"/>
        </w:rPr>
        <w:t>1. 一般了解</w:t>
      </w:r>
      <w:r>
        <w:rPr>
          <w:szCs w:val="21"/>
        </w:rPr>
        <w:t>：</w:t>
      </w:r>
      <w:r>
        <w:t>园艺作物试验的特点、方法、要求，试验方案及种类</w:t>
      </w:r>
      <w:r>
        <w:rPr>
          <w:szCs w:val="21"/>
        </w:rPr>
        <w:t>。</w:t>
      </w:r>
    </w:p>
    <w:p>
      <w:pPr>
        <w:spacing w:line="360" w:lineRule="auto"/>
        <w:ind w:firstLine="422" w:firstLineChars="200"/>
        <w:rPr>
          <w:szCs w:val="21"/>
        </w:rPr>
      </w:pPr>
      <w:r>
        <w:rPr>
          <w:b/>
          <w:szCs w:val="21"/>
        </w:rPr>
        <w:t>2. 一般掌握</w:t>
      </w:r>
      <w:r>
        <w:rPr>
          <w:szCs w:val="21"/>
        </w:rPr>
        <w:t>：试验指标、因素、处理、水平、效应、互作、小区等概念；掌握试验误差控制途径与方法；试验小区、重复与区组的概念及其设置方法。</w:t>
      </w:r>
    </w:p>
    <w:p>
      <w:pPr>
        <w:spacing w:line="360" w:lineRule="auto"/>
        <w:ind w:firstLine="422" w:firstLineChars="200"/>
        <w:rPr>
          <w:color w:val="0000FF"/>
          <w:szCs w:val="21"/>
        </w:rPr>
      </w:pPr>
      <w:r>
        <w:rPr>
          <w:b/>
          <w:szCs w:val="21"/>
        </w:rPr>
        <w:t>3. 熟练掌握</w:t>
      </w:r>
      <w:r>
        <w:rPr>
          <w:szCs w:val="21"/>
        </w:rPr>
        <w:t>：完全随机、随机区组、拉丁方和裂区设计等常用试验设计方法的特点及其应用；掌握常用的取样技术。</w:t>
      </w:r>
    </w:p>
    <w:p>
      <w:pPr>
        <w:snapToGrid w:val="0"/>
        <w:spacing w:line="360" w:lineRule="auto"/>
        <w:rPr>
          <w:szCs w:val="21"/>
        </w:rPr>
      </w:pPr>
      <w:r>
        <w:rPr>
          <w:b/>
          <w:szCs w:val="21"/>
        </w:rPr>
        <w:t>（二）考核内容</w:t>
      </w:r>
    </w:p>
    <w:p>
      <w:pPr>
        <w:spacing w:line="360" w:lineRule="auto"/>
        <w:ind w:firstLine="420" w:firstLineChars="200"/>
        <w:rPr>
          <w:szCs w:val="21"/>
        </w:rPr>
      </w:pPr>
      <w:r>
        <w:rPr>
          <w:szCs w:val="21"/>
        </w:rPr>
        <w:t>1</w:t>
      </w:r>
      <w:r>
        <w:rPr>
          <w:b/>
          <w:szCs w:val="21"/>
        </w:rPr>
        <w:t>.</w:t>
      </w:r>
      <w:r>
        <w:rPr>
          <w:szCs w:val="21"/>
        </w:rPr>
        <w:t>园艺试验的特点；园艺试验研究的方法；田间试验的基本要求。</w:t>
      </w:r>
    </w:p>
    <w:p>
      <w:pPr>
        <w:spacing w:line="360" w:lineRule="auto"/>
        <w:ind w:firstLine="420" w:firstLineChars="200"/>
        <w:rPr>
          <w:szCs w:val="21"/>
        </w:rPr>
      </w:pPr>
      <w:r>
        <w:rPr>
          <w:szCs w:val="21"/>
        </w:rPr>
        <w:t>2</w:t>
      </w:r>
      <w:r>
        <w:rPr>
          <w:b/>
          <w:szCs w:val="21"/>
        </w:rPr>
        <w:t>.</w:t>
      </w:r>
      <w:r>
        <w:rPr>
          <w:szCs w:val="21"/>
        </w:rPr>
        <w:t>试验方案和试验设计相关的基本概念。</w:t>
      </w:r>
    </w:p>
    <w:p>
      <w:pPr>
        <w:spacing w:line="360" w:lineRule="auto"/>
        <w:ind w:firstLine="420" w:firstLineChars="200"/>
        <w:rPr>
          <w:szCs w:val="21"/>
        </w:rPr>
      </w:pPr>
      <w:r>
        <w:rPr>
          <w:szCs w:val="21"/>
        </w:rPr>
        <w:t>3</w:t>
      </w:r>
      <w:r>
        <w:rPr>
          <w:b/>
          <w:szCs w:val="21"/>
        </w:rPr>
        <w:t>.</w:t>
      </w:r>
      <w:r>
        <w:rPr>
          <w:szCs w:val="21"/>
        </w:rPr>
        <w:t>试验误差的概念；试验误差的来源和控制途径。</w:t>
      </w:r>
    </w:p>
    <w:p>
      <w:pPr>
        <w:spacing w:line="360" w:lineRule="auto"/>
        <w:ind w:firstLine="420" w:firstLineChars="200"/>
        <w:rPr>
          <w:szCs w:val="21"/>
        </w:rPr>
      </w:pPr>
      <w:r>
        <w:rPr>
          <w:szCs w:val="21"/>
        </w:rPr>
        <w:t>4.田间试验设计的原则及其作用。</w:t>
      </w:r>
    </w:p>
    <w:p>
      <w:pPr>
        <w:spacing w:line="360" w:lineRule="auto"/>
        <w:ind w:firstLine="420" w:firstLineChars="200"/>
        <w:rPr>
          <w:szCs w:val="21"/>
        </w:rPr>
      </w:pPr>
      <w:r>
        <w:rPr>
          <w:szCs w:val="21"/>
        </w:rPr>
        <w:t>5.小区技术。</w:t>
      </w:r>
    </w:p>
    <w:p>
      <w:pPr>
        <w:spacing w:line="360" w:lineRule="auto"/>
        <w:ind w:firstLine="420" w:firstLineChars="200"/>
        <w:rPr>
          <w:szCs w:val="21"/>
        </w:rPr>
      </w:pPr>
      <w:r>
        <w:rPr>
          <w:szCs w:val="21"/>
        </w:rPr>
        <w:t>6.常用的试验设计方法及其优缺点、适用范围。</w:t>
      </w:r>
    </w:p>
    <w:p>
      <w:pPr>
        <w:spacing w:line="360" w:lineRule="auto"/>
        <w:ind w:firstLine="420" w:firstLineChars="200"/>
        <w:rPr>
          <w:szCs w:val="21"/>
        </w:rPr>
      </w:pPr>
      <w:r>
        <w:rPr>
          <w:rFonts w:hint="eastAsia"/>
          <w:szCs w:val="21"/>
        </w:rPr>
        <w:t>7.常用的取样技术。</w:t>
      </w:r>
    </w:p>
    <w:p>
      <w:pPr>
        <w:snapToGrid w:val="0"/>
        <w:spacing w:line="360" w:lineRule="auto"/>
        <w:rPr>
          <w:b/>
          <w:szCs w:val="21"/>
        </w:rPr>
      </w:pPr>
      <w:r>
        <w:rPr>
          <w:b/>
          <w:szCs w:val="21"/>
        </w:rPr>
        <w:t>（三）考核要求</w:t>
      </w:r>
    </w:p>
    <w:p>
      <w:pPr>
        <w:spacing w:line="360" w:lineRule="auto"/>
        <w:ind w:firstLine="422" w:firstLineChars="200"/>
        <w:rPr>
          <w:szCs w:val="21"/>
        </w:rPr>
      </w:pPr>
      <w:r>
        <w:rPr>
          <w:b/>
          <w:szCs w:val="21"/>
        </w:rPr>
        <w:t>1.识记</w:t>
      </w:r>
      <w:r>
        <w:rPr>
          <w:szCs w:val="21"/>
        </w:rPr>
        <w:t>：园艺试验的特点、方法和要求；有关试验设计的基本概念；试验设计的原则及其作用。</w:t>
      </w:r>
    </w:p>
    <w:p>
      <w:pPr>
        <w:snapToGrid w:val="0"/>
        <w:spacing w:line="360" w:lineRule="auto"/>
        <w:ind w:firstLine="422" w:firstLineChars="200"/>
        <w:rPr>
          <w:szCs w:val="21"/>
        </w:rPr>
      </w:pPr>
      <w:r>
        <w:rPr>
          <w:b/>
          <w:szCs w:val="21"/>
        </w:rPr>
        <w:t>2.领会</w:t>
      </w:r>
      <w:r>
        <w:rPr>
          <w:szCs w:val="21"/>
        </w:rPr>
        <w:t>：试验误差的来源和控制途径。</w:t>
      </w:r>
    </w:p>
    <w:p>
      <w:pPr>
        <w:spacing w:line="360" w:lineRule="auto"/>
        <w:ind w:firstLine="422" w:firstLineChars="200"/>
        <w:rPr>
          <w:szCs w:val="21"/>
        </w:rPr>
      </w:pPr>
      <w:r>
        <w:rPr>
          <w:b/>
          <w:szCs w:val="21"/>
        </w:rPr>
        <w:t>3.应用</w:t>
      </w:r>
      <w:r>
        <w:rPr>
          <w:szCs w:val="21"/>
        </w:rPr>
        <w:t>：小区技术、对比法、间比法、完全随机、随机区组、拉丁方、裂区等常用试验设计方法</w:t>
      </w:r>
      <w:r>
        <w:rPr>
          <w:rFonts w:hint="eastAsia"/>
          <w:szCs w:val="21"/>
        </w:rPr>
        <w:t>；常用的取样技术</w:t>
      </w:r>
      <w:r>
        <w:rPr>
          <w:szCs w:val="21"/>
        </w:rPr>
        <w:t>。</w:t>
      </w:r>
    </w:p>
    <w:p>
      <w:pPr>
        <w:snapToGrid w:val="0"/>
        <w:spacing w:line="360" w:lineRule="auto"/>
        <w:ind w:firstLine="103" w:firstLineChars="49"/>
        <w:jc w:val="center"/>
        <w:rPr>
          <w:b/>
          <w:szCs w:val="21"/>
        </w:rPr>
      </w:pPr>
    </w:p>
    <w:p>
      <w:pPr>
        <w:snapToGrid w:val="0"/>
        <w:spacing w:line="360" w:lineRule="auto"/>
        <w:ind w:firstLine="103" w:firstLineChars="49"/>
        <w:jc w:val="center"/>
        <w:rPr>
          <w:b/>
          <w:bCs/>
        </w:rPr>
      </w:pPr>
      <w:r>
        <w:rPr>
          <w:b/>
          <w:bCs/>
        </w:rPr>
        <w:t>第三章 描述统计</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w:t>
      </w:r>
      <w:r>
        <w:t>试验数据的性质，资料平均数种类，掌握常用变异数的种类、特点及计算方法等。</w:t>
      </w:r>
    </w:p>
    <w:p>
      <w:pPr>
        <w:snapToGrid w:val="0"/>
        <w:spacing w:line="360" w:lineRule="auto"/>
        <w:ind w:firstLine="422" w:firstLineChars="200"/>
        <w:rPr>
          <w:color w:val="0000FF"/>
          <w:szCs w:val="21"/>
        </w:rPr>
      </w:pPr>
      <w:r>
        <w:rPr>
          <w:b/>
          <w:szCs w:val="21"/>
        </w:rPr>
        <w:t>2. 一般掌握</w:t>
      </w:r>
      <w:r>
        <w:rPr>
          <w:szCs w:val="21"/>
        </w:rPr>
        <w:t>：</w:t>
      </w:r>
      <w:r>
        <w:t>总体与样本、参数与统计数、变数与变量等常用生物统计学术语。</w:t>
      </w:r>
    </w:p>
    <w:p>
      <w:pPr>
        <w:snapToGrid w:val="0"/>
        <w:spacing w:line="360" w:lineRule="auto"/>
        <w:ind w:firstLine="422" w:firstLineChars="200"/>
        <w:rPr>
          <w:color w:val="0000FF"/>
          <w:szCs w:val="21"/>
        </w:rPr>
      </w:pPr>
      <w:r>
        <w:rPr>
          <w:b/>
          <w:szCs w:val="21"/>
        </w:rPr>
        <w:t>3. 熟练掌握</w:t>
      </w:r>
      <w:r>
        <w:rPr>
          <w:szCs w:val="21"/>
        </w:rPr>
        <w:t>：</w:t>
      </w:r>
      <w:r>
        <w:t>资料特征数的计算，次数分布表的制作方法及关键步骤，次数分布图的制作方法</w:t>
      </w:r>
      <w:r>
        <w:rPr>
          <w:rFonts w:hint="eastAsia"/>
        </w:rPr>
        <w:t>，常见图表的格式与制作方法</w:t>
      </w:r>
      <w:r>
        <w:t>。</w:t>
      </w:r>
    </w:p>
    <w:p>
      <w:pPr>
        <w:snapToGrid w:val="0"/>
        <w:spacing w:line="360" w:lineRule="auto"/>
        <w:rPr>
          <w:szCs w:val="21"/>
        </w:rPr>
      </w:pPr>
      <w:r>
        <w:rPr>
          <w:b/>
          <w:szCs w:val="21"/>
        </w:rPr>
        <w:t>（二）考核内容</w:t>
      </w:r>
    </w:p>
    <w:p>
      <w:pPr>
        <w:spacing w:line="360" w:lineRule="auto"/>
        <w:ind w:firstLine="420" w:firstLineChars="200"/>
      </w:pPr>
      <w:r>
        <w:rPr>
          <w:szCs w:val="21"/>
        </w:rPr>
        <w:t>1</w:t>
      </w:r>
      <w:r>
        <w:rPr>
          <w:b/>
          <w:szCs w:val="21"/>
        </w:rPr>
        <w:t>.</w:t>
      </w:r>
      <w:r>
        <w:t xml:space="preserve">总体和样本的概念及关系；试验资料的性质与分类。 </w:t>
      </w:r>
    </w:p>
    <w:p>
      <w:pPr>
        <w:spacing w:line="360" w:lineRule="auto"/>
        <w:ind w:firstLine="420" w:firstLineChars="200"/>
      </w:pPr>
      <w:r>
        <w:t>2</w:t>
      </w:r>
      <w:r>
        <w:rPr>
          <w:b/>
          <w:szCs w:val="21"/>
        </w:rPr>
        <w:t>.</w:t>
      </w:r>
      <w:r>
        <w:t>次数分布表；次数分布图。</w:t>
      </w:r>
    </w:p>
    <w:p>
      <w:pPr>
        <w:spacing w:line="360" w:lineRule="auto"/>
        <w:ind w:firstLine="420" w:firstLineChars="200"/>
        <w:rPr>
          <w:bCs/>
          <w:szCs w:val="21"/>
        </w:rPr>
      </w:pPr>
      <w:r>
        <w:rPr>
          <w:szCs w:val="21"/>
        </w:rPr>
        <w:t>3</w:t>
      </w:r>
      <w:r>
        <w:rPr>
          <w:b/>
          <w:szCs w:val="21"/>
        </w:rPr>
        <w:t>.</w:t>
      </w:r>
      <w:r>
        <w:rPr>
          <w:bCs/>
          <w:szCs w:val="21"/>
        </w:rPr>
        <w:t>平均数的种类和计算方法；算术平均数的重要特性。</w:t>
      </w:r>
    </w:p>
    <w:p>
      <w:pPr>
        <w:spacing w:line="360" w:lineRule="auto"/>
        <w:ind w:firstLine="420" w:firstLineChars="200"/>
        <w:rPr>
          <w:szCs w:val="21"/>
        </w:rPr>
      </w:pPr>
      <w:r>
        <w:rPr>
          <w:szCs w:val="21"/>
        </w:rPr>
        <w:t>4</w:t>
      </w:r>
      <w:r>
        <w:rPr>
          <w:b/>
          <w:szCs w:val="21"/>
        </w:rPr>
        <w:t>.</w:t>
      </w:r>
      <w:r>
        <w:rPr>
          <w:szCs w:val="21"/>
        </w:rPr>
        <w:t>常用的变异数及其特点和计算方法。</w:t>
      </w:r>
    </w:p>
    <w:p>
      <w:pPr>
        <w:spacing w:line="360" w:lineRule="auto"/>
        <w:ind w:firstLine="420" w:firstLineChars="200"/>
        <w:rPr>
          <w:szCs w:val="21"/>
        </w:rPr>
      </w:pPr>
      <w:r>
        <w:rPr>
          <w:rFonts w:hint="eastAsia"/>
          <w:szCs w:val="21"/>
        </w:rPr>
        <w:t>5.常见图表的格式与制作方法。</w:t>
      </w:r>
    </w:p>
    <w:p>
      <w:pPr>
        <w:snapToGrid w:val="0"/>
        <w:spacing w:line="360" w:lineRule="auto"/>
        <w:rPr>
          <w:b/>
          <w:szCs w:val="21"/>
        </w:rPr>
      </w:pPr>
      <w:r>
        <w:rPr>
          <w:b/>
          <w:szCs w:val="21"/>
        </w:rPr>
        <w:t>（三）考核要求</w:t>
      </w:r>
    </w:p>
    <w:p>
      <w:pPr>
        <w:pStyle w:val="10"/>
        <w:spacing w:line="360" w:lineRule="auto"/>
        <w:ind w:firstLine="422" w:firstLineChars="200"/>
        <w:rPr>
          <w:rFonts w:ascii="Times New Roman" w:hAnsi="Times New Roman" w:cs="Times New Roman"/>
          <w:b/>
        </w:rPr>
      </w:pPr>
      <w:r>
        <w:rPr>
          <w:rFonts w:ascii="Times New Roman" w:hAnsi="Times New Roman" w:cs="Times New Roman"/>
          <w:b/>
        </w:rPr>
        <w:t>1.识记</w:t>
      </w:r>
      <w:r>
        <w:rPr>
          <w:rFonts w:ascii="Times New Roman" w:hAnsi="Times New Roman" w:cs="Times New Roman"/>
        </w:rPr>
        <w:t>：变数和变量。</w:t>
      </w:r>
    </w:p>
    <w:p>
      <w:pPr>
        <w:pStyle w:val="10"/>
        <w:spacing w:line="360" w:lineRule="auto"/>
        <w:ind w:firstLine="422" w:firstLineChars="200"/>
        <w:rPr>
          <w:rFonts w:ascii="Times New Roman" w:hAnsi="Times New Roman" w:cs="Times New Roman"/>
        </w:rPr>
      </w:pPr>
      <w:r>
        <w:rPr>
          <w:rFonts w:ascii="Times New Roman" w:hAnsi="Times New Roman" w:cs="Times New Roman"/>
          <w:b/>
        </w:rPr>
        <w:t xml:space="preserve">2.领会: </w:t>
      </w:r>
      <w:r>
        <w:rPr>
          <w:rFonts w:ascii="Times New Roman" w:hAnsi="Times New Roman" w:cs="Times New Roman"/>
        </w:rPr>
        <w:t>总体和样本、参数和统计数等常用的统计术语。</w:t>
      </w:r>
    </w:p>
    <w:p>
      <w:pPr>
        <w:spacing w:line="360" w:lineRule="auto"/>
        <w:ind w:firstLine="422" w:firstLineChars="200"/>
        <w:rPr>
          <w:szCs w:val="21"/>
        </w:rPr>
      </w:pPr>
      <w:r>
        <w:rPr>
          <w:b/>
          <w:szCs w:val="21"/>
        </w:rPr>
        <w:t>3.应用</w:t>
      </w:r>
      <w:r>
        <w:rPr>
          <w:szCs w:val="21"/>
        </w:rPr>
        <w:t>：属性资料次数分布表和次数分布图的制作、</w:t>
      </w:r>
      <w:r>
        <w:t>次数分布表和次数分布图的制作；平均数和变异数的计算</w:t>
      </w:r>
      <w:r>
        <w:rPr>
          <w:rFonts w:hint="eastAsia"/>
        </w:rPr>
        <w:t>；常见图表的格式与制作方法</w:t>
      </w:r>
      <w:r>
        <w:t>。</w:t>
      </w:r>
    </w:p>
    <w:p>
      <w:pPr>
        <w:snapToGrid w:val="0"/>
        <w:spacing w:line="360" w:lineRule="auto"/>
        <w:jc w:val="center"/>
        <w:rPr>
          <w:szCs w:val="21"/>
        </w:rPr>
      </w:pPr>
      <w:r>
        <w:rPr>
          <w:b/>
          <w:bCs/>
        </w:rPr>
        <w:t>第四章  统计推断</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：概率的概念和基本运算，理论分布，常用统计数的分布。</w:t>
      </w:r>
    </w:p>
    <w:p>
      <w:pPr>
        <w:snapToGrid w:val="0"/>
        <w:spacing w:line="360" w:lineRule="auto"/>
        <w:ind w:firstLine="422" w:firstLineChars="200"/>
        <w:rPr>
          <w:color w:val="0000FF"/>
          <w:szCs w:val="21"/>
        </w:rPr>
      </w:pPr>
      <w:r>
        <w:rPr>
          <w:b/>
          <w:szCs w:val="21"/>
        </w:rPr>
        <w:t>2. 一般掌握</w:t>
      </w:r>
      <w:r>
        <w:rPr>
          <w:szCs w:val="21"/>
        </w:rPr>
        <w:t>：统计假设检验的几何意义</w:t>
      </w:r>
      <w:r>
        <w:rPr>
          <w:rFonts w:hint="eastAsia"/>
          <w:szCs w:val="21"/>
        </w:rPr>
        <w:t>；一尾检验</w:t>
      </w:r>
      <w:r>
        <w:rPr>
          <w:szCs w:val="21"/>
        </w:rPr>
        <w:t>和</w:t>
      </w:r>
      <w:r>
        <w:rPr>
          <w:rFonts w:hint="eastAsia"/>
          <w:szCs w:val="21"/>
        </w:rPr>
        <w:t>两尾检验；假设检验的</w:t>
      </w:r>
      <w:r>
        <w:rPr>
          <w:szCs w:val="21"/>
        </w:rPr>
        <w:t>两类错误；参数的区间估计等。</w:t>
      </w:r>
    </w:p>
    <w:p>
      <w:pPr>
        <w:snapToGrid w:val="0"/>
        <w:spacing w:line="360" w:lineRule="auto"/>
        <w:ind w:firstLine="422" w:firstLineChars="200"/>
        <w:rPr>
          <w:color w:val="0000FF"/>
          <w:szCs w:val="21"/>
        </w:rPr>
      </w:pPr>
      <w:r>
        <w:rPr>
          <w:b/>
          <w:szCs w:val="21"/>
        </w:rPr>
        <w:t>3. 熟练掌握</w:t>
      </w:r>
      <w:r>
        <w:rPr>
          <w:szCs w:val="21"/>
        </w:rPr>
        <w:t>：统计假设检验的原理和步骤；单个和两个样本平均数的假设检验</w:t>
      </w:r>
      <w:r>
        <w:rPr>
          <w:rFonts w:hint="eastAsia"/>
          <w:szCs w:val="21"/>
        </w:rPr>
        <w:t>方法</w:t>
      </w:r>
      <w:r>
        <w:rPr>
          <w:szCs w:val="21"/>
        </w:rPr>
        <w:t>。</w:t>
      </w:r>
    </w:p>
    <w:p>
      <w:pPr>
        <w:snapToGrid w:val="0"/>
        <w:spacing w:line="360" w:lineRule="auto"/>
        <w:rPr>
          <w:szCs w:val="21"/>
        </w:rPr>
      </w:pPr>
      <w:r>
        <w:rPr>
          <w:b/>
          <w:szCs w:val="21"/>
        </w:rPr>
        <w:t>（二）考核内容</w:t>
      </w:r>
    </w:p>
    <w:p>
      <w:pPr>
        <w:snapToGrid w:val="0"/>
        <w:spacing w:line="360" w:lineRule="auto"/>
        <w:ind w:firstLine="420" w:firstLineChars="200"/>
        <w:rPr>
          <w:bCs/>
          <w:szCs w:val="21"/>
        </w:rPr>
      </w:pPr>
      <w:r>
        <w:rPr>
          <w:bCs/>
          <w:szCs w:val="21"/>
        </w:rPr>
        <w:t>1. 统计推断的概念；小概率事件不可能性原理；二项分布和正态分布；正态曲线下一定区间的概率计算。</w:t>
      </w:r>
    </w:p>
    <w:p>
      <w:pPr>
        <w:snapToGrid w:val="0"/>
        <w:spacing w:line="360" w:lineRule="auto"/>
        <w:ind w:firstLine="420" w:firstLineChars="200"/>
        <w:rPr>
          <w:bCs/>
          <w:szCs w:val="21"/>
        </w:rPr>
      </w:pPr>
      <w:r>
        <w:rPr>
          <w:bCs/>
          <w:szCs w:val="21"/>
        </w:rPr>
        <w:t>2. 样本平均数的分布、样本平均数差数的分布、t分布。</w:t>
      </w:r>
    </w:p>
    <w:p>
      <w:pPr>
        <w:snapToGrid w:val="0"/>
        <w:spacing w:line="360" w:lineRule="auto"/>
        <w:ind w:firstLine="420" w:firstLineChars="200"/>
        <w:rPr>
          <w:bCs/>
          <w:szCs w:val="21"/>
        </w:rPr>
      </w:pPr>
      <w:r>
        <w:rPr>
          <w:bCs/>
          <w:szCs w:val="21"/>
        </w:rPr>
        <w:t>3. 统计假设检验的方法步骤；统计假设检验的几何意义</w:t>
      </w:r>
      <w:r>
        <w:rPr>
          <w:szCs w:val="21"/>
        </w:rPr>
        <w:t>；</w:t>
      </w:r>
      <w:r>
        <w:rPr>
          <w:rFonts w:hint="eastAsia"/>
          <w:szCs w:val="21"/>
        </w:rPr>
        <w:t>一尾检验</w:t>
      </w:r>
      <w:r>
        <w:rPr>
          <w:szCs w:val="21"/>
        </w:rPr>
        <w:t>和</w:t>
      </w:r>
      <w:r>
        <w:rPr>
          <w:rFonts w:hint="eastAsia"/>
          <w:szCs w:val="21"/>
        </w:rPr>
        <w:t>两尾检验；假设检验的</w:t>
      </w:r>
      <w:r>
        <w:rPr>
          <w:szCs w:val="21"/>
        </w:rPr>
        <w:t>两类错误</w:t>
      </w:r>
      <w:r>
        <w:rPr>
          <w:bCs/>
          <w:szCs w:val="21"/>
        </w:rPr>
        <w:t>。</w:t>
      </w:r>
    </w:p>
    <w:p>
      <w:pPr>
        <w:snapToGrid w:val="0"/>
        <w:spacing w:line="360" w:lineRule="auto"/>
        <w:ind w:firstLine="420" w:firstLineChars="200"/>
        <w:rPr>
          <w:bCs/>
          <w:szCs w:val="21"/>
        </w:rPr>
      </w:pPr>
      <w:r>
        <w:rPr>
          <w:bCs/>
          <w:szCs w:val="21"/>
        </w:rPr>
        <w:t>4. 单个样本平均数的假设检验；两个样本平均数的假设检验。</w:t>
      </w:r>
    </w:p>
    <w:p>
      <w:pPr>
        <w:snapToGrid w:val="0"/>
        <w:spacing w:line="360" w:lineRule="auto"/>
        <w:ind w:firstLine="420" w:firstLineChars="200"/>
        <w:rPr>
          <w:bCs/>
          <w:szCs w:val="21"/>
        </w:rPr>
      </w:pPr>
      <w:r>
        <w:rPr>
          <w:bCs/>
          <w:szCs w:val="21"/>
        </w:rPr>
        <w:t>5. 参数的区间估计。</w:t>
      </w:r>
    </w:p>
    <w:p>
      <w:pPr>
        <w:snapToGrid w:val="0"/>
        <w:spacing w:line="360" w:lineRule="auto"/>
        <w:rPr>
          <w:b/>
          <w:szCs w:val="21"/>
        </w:rPr>
      </w:pPr>
      <w:r>
        <w:rPr>
          <w:b/>
          <w:szCs w:val="21"/>
        </w:rPr>
        <w:t>（三）考核要求</w:t>
      </w:r>
    </w:p>
    <w:p>
      <w:pPr>
        <w:spacing w:line="360" w:lineRule="auto"/>
        <w:ind w:firstLine="420"/>
        <w:rPr>
          <w:szCs w:val="21"/>
        </w:rPr>
      </w:pPr>
      <w:r>
        <w:rPr>
          <w:b/>
          <w:szCs w:val="21"/>
        </w:rPr>
        <w:t>1</w:t>
      </w:r>
      <w:r>
        <w:rPr>
          <w:szCs w:val="21"/>
        </w:rPr>
        <w:t xml:space="preserve">. </w:t>
      </w:r>
      <w:r>
        <w:rPr>
          <w:b/>
          <w:szCs w:val="21"/>
        </w:rPr>
        <w:t>识记</w:t>
      </w:r>
      <w:r>
        <w:rPr>
          <w:szCs w:val="21"/>
        </w:rPr>
        <w:t>：统计推断的相关概念和理论分布。</w:t>
      </w:r>
    </w:p>
    <w:p>
      <w:pPr>
        <w:spacing w:line="360" w:lineRule="auto"/>
        <w:ind w:firstLine="420"/>
        <w:rPr>
          <w:szCs w:val="21"/>
        </w:rPr>
      </w:pPr>
      <w:r>
        <w:rPr>
          <w:b/>
          <w:szCs w:val="21"/>
        </w:rPr>
        <w:t>2</w:t>
      </w:r>
      <w:r>
        <w:rPr>
          <w:szCs w:val="21"/>
        </w:rPr>
        <w:t xml:space="preserve">. </w:t>
      </w:r>
      <w:r>
        <w:rPr>
          <w:b/>
          <w:szCs w:val="21"/>
        </w:rPr>
        <w:t>领会</w:t>
      </w:r>
      <w:r>
        <w:rPr>
          <w:szCs w:val="21"/>
        </w:rPr>
        <w:t>：统计假设检验的几何意义和两类错误。</w:t>
      </w:r>
    </w:p>
    <w:p>
      <w:pPr>
        <w:spacing w:line="360" w:lineRule="auto"/>
        <w:ind w:firstLine="420"/>
        <w:rPr>
          <w:szCs w:val="21"/>
        </w:rPr>
      </w:pPr>
      <w:r>
        <w:rPr>
          <w:b/>
          <w:szCs w:val="21"/>
        </w:rPr>
        <w:t>3</w:t>
      </w:r>
      <w:r>
        <w:rPr>
          <w:szCs w:val="21"/>
        </w:rPr>
        <w:t xml:space="preserve">. </w:t>
      </w:r>
      <w:r>
        <w:rPr>
          <w:b/>
          <w:szCs w:val="21"/>
        </w:rPr>
        <w:t>应用</w:t>
      </w:r>
      <w:r>
        <w:rPr>
          <w:szCs w:val="21"/>
        </w:rPr>
        <w:t>：正态曲线下一定区间的概率计算</w:t>
      </w:r>
      <w:r>
        <w:rPr>
          <w:bCs/>
          <w:szCs w:val="21"/>
        </w:rPr>
        <w:t>；</w:t>
      </w:r>
      <w:r>
        <w:rPr>
          <w:szCs w:val="21"/>
        </w:rPr>
        <w:t>参数的区间估计。</w:t>
      </w:r>
    </w:p>
    <w:p>
      <w:pPr>
        <w:spacing w:line="360" w:lineRule="auto"/>
        <w:ind w:firstLine="420"/>
        <w:rPr>
          <w:b/>
          <w:szCs w:val="21"/>
        </w:rPr>
      </w:pPr>
      <w:r>
        <w:rPr>
          <w:b/>
          <w:szCs w:val="21"/>
        </w:rPr>
        <w:t>4</w:t>
      </w:r>
      <w:r>
        <w:rPr>
          <w:szCs w:val="21"/>
        </w:rPr>
        <w:t xml:space="preserve">. </w:t>
      </w:r>
      <w:r>
        <w:rPr>
          <w:b/>
          <w:szCs w:val="21"/>
        </w:rPr>
        <w:t>分析与综合</w:t>
      </w:r>
      <w:r>
        <w:rPr>
          <w:szCs w:val="21"/>
        </w:rPr>
        <w:t>：单个和两个样本平均数的假设检验。</w:t>
      </w:r>
    </w:p>
    <w:p>
      <w:pPr>
        <w:spacing w:line="360" w:lineRule="auto"/>
        <w:ind w:firstLine="420"/>
        <w:rPr>
          <w:b/>
          <w:szCs w:val="21"/>
        </w:rPr>
      </w:pPr>
      <w:r>
        <w:rPr>
          <w:b/>
          <w:szCs w:val="21"/>
        </w:rPr>
        <w:t>5. 评价</w:t>
      </w:r>
      <w:r>
        <w:rPr>
          <w:bCs/>
          <w:szCs w:val="21"/>
        </w:rPr>
        <w:t>：试验结果中</w:t>
      </w:r>
      <w:r>
        <w:rPr>
          <w:rFonts w:hint="eastAsia"/>
          <w:bCs/>
          <w:szCs w:val="21"/>
        </w:rPr>
        <w:t>处理与对照、两个处理间</w:t>
      </w:r>
      <w:r>
        <w:rPr>
          <w:bCs/>
          <w:szCs w:val="21"/>
        </w:rPr>
        <w:t>平均数之间的差异显著性。</w:t>
      </w:r>
    </w:p>
    <w:p>
      <w:pPr>
        <w:snapToGrid w:val="0"/>
        <w:spacing w:line="360" w:lineRule="auto"/>
        <w:jc w:val="center"/>
        <w:rPr>
          <w:b/>
          <w:bCs/>
        </w:rPr>
      </w:pPr>
    </w:p>
    <w:p>
      <w:pPr>
        <w:snapToGrid w:val="0"/>
        <w:spacing w:line="360" w:lineRule="auto"/>
        <w:jc w:val="center"/>
        <w:rPr>
          <w:b/>
          <w:szCs w:val="21"/>
        </w:rPr>
      </w:pPr>
      <w:r>
        <w:rPr>
          <w:b/>
          <w:bCs/>
        </w:rPr>
        <w:t>第五章  方差分析</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：方差分析的基本假定；方差分析的数学模型。</w:t>
      </w:r>
    </w:p>
    <w:p>
      <w:pPr>
        <w:snapToGrid w:val="0"/>
        <w:spacing w:line="360" w:lineRule="auto"/>
        <w:ind w:firstLine="422" w:firstLineChars="200"/>
        <w:rPr>
          <w:color w:val="0000FF"/>
          <w:szCs w:val="21"/>
        </w:rPr>
      </w:pPr>
      <w:r>
        <w:rPr>
          <w:b/>
          <w:szCs w:val="21"/>
        </w:rPr>
        <w:t>2. 一般掌握</w:t>
      </w:r>
      <w:r>
        <w:rPr>
          <w:szCs w:val="21"/>
        </w:rPr>
        <w:t>：数据转换的方法</w:t>
      </w:r>
      <w:r>
        <w:t>。</w:t>
      </w:r>
    </w:p>
    <w:p>
      <w:pPr>
        <w:snapToGrid w:val="0"/>
        <w:spacing w:line="360" w:lineRule="auto"/>
        <w:ind w:firstLine="422" w:firstLineChars="200"/>
        <w:rPr>
          <w:color w:val="0000FF"/>
          <w:szCs w:val="21"/>
        </w:rPr>
      </w:pPr>
      <w:r>
        <w:rPr>
          <w:b/>
          <w:szCs w:val="21"/>
        </w:rPr>
        <w:t>3. 熟练掌握</w:t>
      </w:r>
      <w:r>
        <w:rPr>
          <w:szCs w:val="21"/>
        </w:rPr>
        <w:t>：方差分析的基本原理和步骤；LSD、SSR、q检验等多重比较的常用方法，用</w:t>
      </w:r>
      <w:r>
        <w:rPr>
          <w:rFonts w:hint="eastAsia"/>
          <w:szCs w:val="21"/>
        </w:rPr>
        <w:t>星号法和</w:t>
      </w:r>
      <w:r>
        <w:rPr>
          <w:szCs w:val="21"/>
        </w:rPr>
        <w:t>字母标记法表示</w:t>
      </w:r>
      <w:r>
        <w:rPr>
          <w:rFonts w:hint="eastAsia"/>
          <w:szCs w:val="21"/>
        </w:rPr>
        <w:t>均数间的</w:t>
      </w:r>
      <w:r>
        <w:rPr>
          <w:szCs w:val="21"/>
        </w:rPr>
        <w:t>差异显著性。</w:t>
      </w:r>
    </w:p>
    <w:p>
      <w:pPr>
        <w:snapToGrid w:val="0"/>
        <w:spacing w:line="360" w:lineRule="auto"/>
        <w:rPr>
          <w:szCs w:val="21"/>
        </w:rPr>
      </w:pPr>
      <w:r>
        <w:rPr>
          <w:b/>
          <w:szCs w:val="21"/>
        </w:rPr>
        <w:t>（二）考核内容</w:t>
      </w:r>
    </w:p>
    <w:p>
      <w:pPr>
        <w:spacing w:line="360" w:lineRule="auto"/>
        <w:ind w:firstLine="420" w:firstLineChars="200"/>
        <w:rPr>
          <w:szCs w:val="21"/>
        </w:rPr>
      </w:pPr>
      <w:r>
        <w:rPr>
          <w:szCs w:val="21"/>
        </w:rPr>
        <w:t>1</w:t>
      </w:r>
      <w:r>
        <w:rPr>
          <w:b/>
          <w:szCs w:val="21"/>
        </w:rPr>
        <w:t xml:space="preserve">. </w:t>
      </w:r>
      <w:r>
        <w:rPr>
          <w:szCs w:val="21"/>
        </w:rPr>
        <w:t>方差分析的基本原理和方法步骤。</w:t>
      </w:r>
    </w:p>
    <w:p>
      <w:pPr>
        <w:spacing w:line="360" w:lineRule="auto"/>
        <w:ind w:firstLine="420" w:firstLineChars="200"/>
        <w:rPr>
          <w:szCs w:val="21"/>
        </w:rPr>
      </w:pPr>
      <w:r>
        <w:rPr>
          <w:szCs w:val="21"/>
        </w:rPr>
        <w:t>2</w:t>
      </w:r>
      <w:r>
        <w:rPr>
          <w:b/>
          <w:szCs w:val="21"/>
        </w:rPr>
        <w:t xml:space="preserve">. </w:t>
      </w:r>
      <w:r>
        <w:rPr>
          <w:szCs w:val="21"/>
        </w:rPr>
        <w:t>F检验和多重比较的常用方法。</w:t>
      </w:r>
    </w:p>
    <w:p>
      <w:pPr>
        <w:spacing w:line="360" w:lineRule="auto"/>
        <w:ind w:firstLine="420" w:firstLineChars="200"/>
        <w:rPr>
          <w:szCs w:val="21"/>
        </w:rPr>
      </w:pPr>
      <w:r>
        <w:rPr>
          <w:szCs w:val="21"/>
        </w:rPr>
        <w:t>3</w:t>
      </w:r>
      <w:r>
        <w:rPr>
          <w:b/>
          <w:szCs w:val="21"/>
        </w:rPr>
        <w:t xml:space="preserve">. </w:t>
      </w:r>
      <w:r>
        <w:rPr>
          <w:szCs w:val="21"/>
        </w:rPr>
        <w:t>用星号法和字母标记法表示差异显著性。</w:t>
      </w:r>
    </w:p>
    <w:p>
      <w:pPr>
        <w:spacing w:line="360" w:lineRule="auto"/>
        <w:ind w:firstLine="420" w:firstLineChars="200"/>
        <w:rPr>
          <w:szCs w:val="21"/>
        </w:rPr>
      </w:pPr>
      <w:r>
        <w:rPr>
          <w:szCs w:val="21"/>
        </w:rPr>
        <w:t>4</w:t>
      </w:r>
      <w:r>
        <w:rPr>
          <w:b/>
          <w:szCs w:val="21"/>
        </w:rPr>
        <w:t xml:space="preserve">. </w:t>
      </w:r>
      <w:r>
        <w:rPr>
          <w:szCs w:val="21"/>
        </w:rPr>
        <w:t>单向与两向分组资料进行方差分析的过程。</w:t>
      </w:r>
    </w:p>
    <w:p>
      <w:pPr>
        <w:snapToGrid w:val="0"/>
        <w:spacing w:line="360" w:lineRule="auto"/>
        <w:rPr>
          <w:b/>
          <w:szCs w:val="21"/>
        </w:rPr>
      </w:pPr>
      <w:r>
        <w:rPr>
          <w:b/>
          <w:szCs w:val="21"/>
        </w:rPr>
        <w:t>（三）考核要求</w:t>
      </w:r>
    </w:p>
    <w:p>
      <w:pPr>
        <w:spacing w:line="360" w:lineRule="auto"/>
        <w:ind w:firstLine="420"/>
        <w:rPr>
          <w:szCs w:val="21"/>
        </w:rPr>
      </w:pPr>
      <w:r>
        <w:rPr>
          <w:b/>
          <w:szCs w:val="21"/>
        </w:rPr>
        <w:t>1. 识记与领会</w:t>
      </w:r>
      <w:r>
        <w:rPr>
          <w:bCs/>
          <w:szCs w:val="21"/>
        </w:rPr>
        <w:t>：</w:t>
      </w:r>
      <w:r>
        <w:rPr>
          <w:szCs w:val="21"/>
        </w:rPr>
        <w:t>方差分析的基本原理，领会方差分析的基本特点。</w:t>
      </w:r>
    </w:p>
    <w:p>
      <w:pPr>
        <w:spacing w:line="360" w:lineRule="auto"/>
        <w:ind w:firstLine="420"/>
        <w:rPr>
          <w:szCs w:val="21"/>
        </w:rPr>
      </w:pPr>
      <w:r>
        <w:rPr>
          <w:b/>
          <w:szCs w:val="21"/>
        </w:rPr>
        <w:t>2. 应用</w:t>
      </w:r>
      <w:r>
        <w:rPr>
          <w:bCs/>
          <w:szCs w:val="21"/>
        </w:rPr>
        <w:t>：</w:t>
      </w:r>
      <w:r>
        <w:rPr>
          <w:szCs w:val="21"/>
        </w:rPr>
        <w:t>方差分析的过程；多重比较及差异显著性</w:t>
      </w:r>
      <w:r>
        <w:rPr>
          <w:rFonts w:hint="eastAsia"/>
          <w:szCs w:val="21"/>
        </w:rPr>
        <w:t>的表示方法</w:t>
      </w:r>
      <w:r>
        <w:rPr>
          <w:szCs w:val="21"/>
        </w:rPr>
        <w:t>。</w:t>
      </w:r>
    </w:p>
    <w:p>
      <w:pPr>
        <w:spacing w:line="360" w:lineRule="auto"/>
        <w:ind w:firstLine="420"/>
        <w:rPr>
          <w:szCs w:val="21"/>
        </w:rPr>
      </w:pPr>
      <w:r>
        <w:rPr>
          <w:b/>
          <w:bCs/>
          <w:szCs w:val="21"/>
        </w:rPr>
        <w:t>3. 分析与综合：</w:t>
      </w:r>
      <w:r>
        <w:rPr>
          <w:szCs w:val="21"/>
        </w:rPr>
        <w:t>方差分析的数据转换；对单向与两向分组资料进行统计假设检验。</w:t>
      </w:r>
    </w:p>
    <w:p>
      <w:pPr>
        <w:spacing w:line="360" w:lineRule="auto"/>
        <w:ind w:firstLine="420"/>
        <w:rPr>
          <w:szCs w:val="21"/>
        </w:rPr>
      </w:pPr>
      <w:r>
        <w:rPr>
          <w:b/>
          <w:bCs/>
          <w:szCs w:val="21"/>
        </w:rPr>
        <w:t>4. 评价：</w:t>
      </w:r>
      <w:r>
        <w:rPr>
          <w:rFonts w:hint="eastAsia"/>
          <w:szCs w:val="21"/>
        </w:rPr>
        <w:t>正确解读和应用对</w:t>
      </w:r>
      <w:r>
        <w:rPr>
          <w:szCs w:val="21"/>
        </w:rPr>
        <w:t>单向与两向分组资料</w:t>
      </w:r>
      <w:r>
        <w:rPr>
          <w:rFonts w:hint="eastAsia"/>
          <w:szCs w:val="21"/>
        </w:rPr>
        <w:t>进行方差分析的结果</w:t>
      </w:r>
      <w:r>
        <w:rPr>
          <w:szCs w:val="21"/>
        </w:rPr>
        <w:t>。</w:t>
      </w:r>
    </w:p>
    <w:p>
      <w:pPr>
        <w:spacing w:line="360" w:lineRule="auto"/>
        <w:ind w:firstLine="420"/>
        <w:rPr>
          <w:szCs w:val="21"/>
        </w:rPr>
      </w:pPr>
    </w:p>
    <w:p>
      <w:pPr>
        <w:snapToGrid w:val="0"/>
        <w:spacing w:line="360" w:lineRule="auto"/>
        <w:jc w:val="center"/>
        <w:rPr>
          <w:b/>
          <w:szCs w:val="21"/>
        </w:rPr>
      </w:pPr>
      <w:r>
        <w:rPr>
          <w:b/>
          <w:bCs/>
        </w:rPr>
        <w:t xml:space="preserve">第六章  </w:t>
      </w:r>
      <w:r>
        <w:rPr>
          <w:rFonts w:hint="eastAsia"/>
          <w:b/>
          <w:bCs/>
        </w:rPr>
        <w:t>单因素试验的统计分析</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一般掌握</w:t>
      </w:r>
      <w:r>
        <w:rPr>
          <w:szCs w:val="21"/>
        </w:rPr>
        <w:t>：顺序排列设计试验结果的比较分析；</w:t>
      </w:r>
      <w:r>
        <w:rPr>
          <w:rFonts w:hint="eastAsia"/>
        </w:rPr>
        <w:t xml:space="preserve">单因素随机区组试验结果进行缺区估计的方法。 </w:t>
      </w:r>
    </w:p>
    <w:p>
      <w:pPr>
        <w:snapToGrid w:val="0"/>
        <w:spacing w:line="360" w:lineRule="auto"/>
        <w:ind w:firstLine="422" w:firstLineChars="200"/>
        <w:rPr>
          <w:color w:val="0000FF"/>
          <w:szCs w:val="21"/>
        </w:rPr>
      </w:pPr>
      <w:r>
        <w:rPr>
          <w:b/>
          <w:szCs w:val="21"/>
        </w:rPr>
        <w:t>2. 熟练掌握</w:t>
      </w:r>
      <w:r>
        <w:rPr>
          <w:szCs w:val="21"/>
        </w:rPr>
        <w:t>：</w:t>
      </w:r>
      <w:r>
        <w:rPr>
          <w:rFonts w:hint="eastAsia"/>
          <w:szCs w:val="21"/>
        </w:rPr>
        <w:t>单因素</w:t>
      </w:r>
      <w:r>
        <w:rPr>
          <w:szCs w:val="21"/>
        </w:rPr>
        <w:t>随机排列试验设计试验结果的统计分析</w:t>
      </w:r>
      <w:r>
        <w:rPr>
          <w:rFonts w:hint="eastAsia"/>
          <w:szCs w:val="21"/>
        </w:rPr>
        <w:t>方法</w:t>
      </w:r>
      <w:r>
        <w:rPr>
          <w:szCs w:val="21"/>
        </w:rPr>
        <w:t>。</w:t>
      </w:r>
    </w:p>
    <w:p>
      <w:pPr>
        <w:snapToGrid w:val="0"/>
        <w:spacing w:line="360" w:lineRule="auto"/>
        <w:rPr>
          <w:szCs w:val="21"/>
        </w:rPr>
      </w:pPr>
      <w:r>
        <w:rPr>
          <w:b/>
          <w:szCs w:val="21"/>
        </w:rPr>
        <w:t>（二）考核内容</w:t>
      </w:r>
    </w:p>
    <w:p>
      <w:pPr>
        <w:spacing w:line="360" w:lineRule="auto"/>
        <w:ind w:firstLine="420"/>
        <w:rPr>
          <w:szCs w:val="21"/>
        </w:rPr>
      </w:pPr>
      <w:r>
        <w:rPr>
          <w:szCs w:val="21"/>
        </w:rPr>
        <w:t>1</w:t>
      </w:r>
      <w:r>
        <w:rPr>
          <w:b/>
          <w:szCs w:val="21"/>
        </w:rPr>
        <w:t xml:space="preserve">. </w:t>
      </w:r>
      <w:r>
        <w:rPr>
          <w:szCs w:val="21"/>
        </w:rPr>
        <w:t>对比法、间比法设计结果的比较分析。</w:t>
      </w:r>
    </w:p>
    <w:p>
      <w:pPr>
        <w:spacing w:line="360" w:lineRule="auto"/>
        <w:ind w:firstLine="420"/>
        <w:rPr>
          <w:szCs w:val="21"/>
        </w:rPr>
      </w:pPr>
      <w:r>
        <w:rPr>
          <w:szCs w:val="21"/>
        </w:rPr>
        <w:t>2</w:t>
      </w:r>
      <w:r>
        <w:rPr>
          <w:b/>
          <w:szCs w:val="21"/>
        </w:rPr>
        <w:t xml:space="preserve">. </w:t>
      </w:r>
      <w:r>
        <w:rPr>
          <w:szCs w:val="21"/>
        </w:rPr>
        <w:t>单因素完全随机、随机区组、拉丁方设计试验结果的统计分析方法。</w:t>
      </w:r>
    </w:p>
    <w:p>
      <w:pPr>
        <w:snapToGrid w:val="0"/>
        <w:spacing w:line="360" w:lineRule="auto"/>
        <w:rPr>
          <w:b/>
          <w:szCs w:val="21"/>
        </w:rPr>
      </w:pPr>
      <w:r>
        <w:rPr>
          <w:b/>
          <w:szCs w:val="21"/>
        </w:rPr>
        <w:t>（三）考核要求</w:t>
      </w:r>
    </w:p>
    <w:p>
      <w:pPr>
        <w:spacing w:line="360" w:lineRule="auto"/>
        <w:ind w:firstLine="422" w:firstLineChars="200"/>
        <w:rPr>
          <w:szCs w:val="21"/>
        </w:rPr>
      </w:pPr>
      <w:r>
        <w:rPr>
          <w:b/>
          <w:szCs w:val="21"/>
        </w:rPr>
        <w:t>1. 应用与分析</w:t>
      </w:r>
      <w:r>
        <w:rPr>
          <w:bCs/>
          <w:szCs w:val="21"/>
        </w:rPr>
        <w:t>：</w:t>
      </w:r>
      <w:r>
        <w:rPr>
          <w:szCs w:val="21"/>
        </w:rPr>
        <w:t>常用顺序排列试验设计试验结果的统计分析；</w:t>
      </w:r>
      <w:r>
        <w:rPr>
          <w:rFonts w:hint="eastAsia"/>
          <w:szCs w:val="21"/>
        </w:rPr>
        <w:t>应用计算器和统计软件对</w:t>
      </w:r>
      <w:r>
        <w:rPr>
          <w:szCs w:val="21"/>
        </w:rPr>
        <w:t>单因素随机排列试验设计试验结果</w:t>
      </w:r>
      <w:r>
        <w:rPr>
          <w:rFonts w:hint="eastAsia"/>
          <w:szCs w:val="21"/>
        </w:rPr>
        <w:t>进行</w:t>
      </w:r>
      <w:r>
        <w:rPr>
          <w:szCs w:val="21"/>
        </w:rPr>
        <w:t>统计分析。</w:t>
      </w:r>
    </w:p>
    <w:p>
      <w:pPr>
        <w:spacing w:line="360" w:lineRule="auto"/>
        <w:ind w:firstLine="420" w:firstLineChars="200"/>
        <w:rPr>
          <w:szCs w:val="21"/>
        </w:rPr>
      </w:pPr>
    </w:p>
    <w:p>
      <w:pPr>
        <w:snapToGrid w:val="0"/>
        <w:spacing w:line="360" w:lineRule="auto"/>
        <w:ind w:firstLine="2741" w:firstLineChars="1300"/>
        <w:rPr>
          <w:b/>
          <w:bCs/>
        </w:rPr>
      </w:pPr>
      <w:r>
        <w:rPr>
          <w:rFonts w:hint="eastAsia"/>
          <w:b/>
          <w:bCs/>
        </w:rPr>
        <w:t>第七章  多因素试验的统计分析</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一般掌握</w:t>
      </w:r>
      <w:r>
        <w:rPr>
          <w:szCs w:val="21"/>
        </w:rPr>
        <w:t>：</w:t>
      </w:r>
      <w:r>
        <w:rPr>
          <w:rFonts w:hint="eastAsia"/>
        </w:rPr>
        <w:t xml:space="preserve">三因素随机区组、裂区试验结果进行缺区估计和统计分析的方法。 </w:t>
      </w:r>
    </w:p>
    <w:p>
      <w:pPr>
        <w:snapToGrid w:val="0"/>
        <w:spacing w:line="360" w:lineRule="auto"/>
        <w:ind w:firstLine="422" w:firstLineChars="200"/>
        <w:rPr>
          <w:color w:val="0000FF"/>
          <w:szCs w:val="21"/>
        </w:rPr>
      </w:pPr>
      <w:r>
        <w:rPr>
          <w:b/>
          <w:szCs w:val="21"/>
        </w:rPr>
        <w:t>2. 熟练掌握</w:t>
      </w:r>
      <w:r>
        <w:rPr>
          <w:szCs w:val="21"/>
        </w:rPr>
        <w:t>：</w:t>
      </w:r>
      <w:r>
        <w:rPr>
          <w:rFonts w:hint="eastAsia"/>
        </w:rPr>
        <w:t>二因素完全随机和随机区组、三因素完全随机试验结果的统计分析方法</w:t>
      </w:r>
      <w:r>
        <w:rPr>
          <w:szCs w:val="21"/>
        </w:rPr>
        <w:t>。</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szCs w:val="21"/>
        </w:rPr>
        <w:t>1</w:t>
      </w:r>
      <w:r>
        <w:rPr>
          <w:b/>
          <w:szCs w:val="21"/>
        </w:rPr>
        <w:t xml:space="preserve">. </w:t>
      </w:r>
      <w:r>
        <w:rPr>
          <w:rFonts w:hint="eastAsia"/>
        </w:rPr>
        <w:t>二因素和三因素完全随机试验结果的统计分析方法</w:t>
      </w:r>
      <w:r>
        <w:rPr>
          <w:szCs w:val="21"/>
        </w:rPr>
        <w:t>。。</w:t>
      </w:r>
    </w:p>
    <w:p>
      <w:pPr>
        <w:snapToGrid w:val="0"/>
        <w:spacing w:line="360" w:lineRule="auto"/>
        <w:ind w:firstLine="420" w:firstLineChars="200"/>
        <w:rPr>
          <w:color w:val="0000FF"/>
          <w:szCs w:val="21"/>
        </w:rPr>
      </w:pPr>
      <w:r>
        <w:rPr>
          <w:szCs w:val="21"/>
        </w:rPr>
        <w:t>2</w:t>
      </w:r>
      <w:r>
        <w:rPr>
          <w:b/>
          <w:szCs w:val="21"/>
        </w:rPr>
        <w:t xml:space="preserve">. </w:t>
      </w:r>
      <w:r>
        <w:rPr>
          <w:rFonts w:hint="eastAsia"/>
        </w:rPr>
        <w:t>二因素随机区组试验结果的统计分析方法</w:t>
      </w:r>
      <w:r>
        <w:rPr>
          <w:szCs w:val="21"/>
        </w:rPr>
        <w:t>。</w:t>
      </w:r>
    </w:p>
    <w:p>
      <w:pPr>
        <w:snapToGrid w:val="0"/>
        <w:spacing w:line="360" w:lineRule="auto"/>
        <w:ind w:firstLine="420" w:firstLineChars="200"/>
        <w:rPr>
          <w:szCs w:val="21"/>
        </w:rPr>
      </w:pPr>
      <w:r>
        <w:rPr>
          <w:szCs w:val="21"/>
        </w:rPr>
        <w:t>2</w:t>
      </w:r>
      <w:r>
        <w:rPr>
          <w:b/>
          <w:szCs w:val="21"/>
        </w:rPr>
        <w:t xml:space="preserve">. </w:t>
      </w:r>
      <w:r>
        <w:rPr>
          <w:rFonts w:hint="eastAsia"/>
        </w:rPr>
        <w:t>裂区试验结果的统计分析方法</w:t>
      </w:r>
      <w:r>
        <w:rPr>
          <w:szCs w:val="21"/>
        </w:rPr>
        <w:t>。</w:t>
      </w:r>
    </w:p>
    <w:p>
      <w:pPr>
        <w:snapToGrid w:val="0"/>
        <w:spacing w:line="360" w:lineRule="auto"/>
        <w:rPr>
          <w:b/>
          <w:szCs w:val="21"/>
        </w:rPr>
      </w:pPr>
      <w:r>
        <w:rPr>
          <w:b/>
          <w:szCs w:val="21"/>
        </w:rPr>
        <w:t>（三）考核要求</w:t>
      </w:r>
    </w:p>
    <w:p>
      <w:pPr>
        <w:spacing w:line="360" w:lineRule="auto"/>
        <w:ind w:firstLine="422" w:firstLineChars="200"/>
      </w:pPr>
      <w:r>
        <w:rPr>
          <w:b/>
          <w:szCs w:val="21"/>
        </w:rPr>
        <w:t>1. 应用</w:t>
      </w:r>
      <w:r>
        <w:rPr>
          <w:bCs/>
          <w:szCs w:val="21"/>
        </w:rPr>
        <w:t>：</w:t>
      </w:r>
      <w:r>
        <w:rPr>
          <w:rFonts w:hint="eastAsia"/>
        </w:rPr>
        <w:t>二因素随机区组和三因素完全随机试验结果的统计分析方法。</w:t>
      </w:r>
    </w:p>
    <w:p>
      <w:pPr>
        <w:spacing w:line="360" w:lineRule="auto"/>
        <w:ind w:firstLine="422" w:firstLineChars="200"/>
        <w:rPr>
          <w:szCs w:val="21"/>
        </w:rPr>
      </w:pPr>
      <w:r>
        <w:rPr>
          <w:rFonts w:hint="eastAsia"/>
          <w:b/>
          <w:bCs/>
          <w:szCs w:val="21"/>
        </w:rPr>
        <w:t>2</w:t>
      </w:r>
      <w:r>
        <w:rPr>
          <w:b/>
          <w:bCs/>
          <w:szCs w:val="21"/>
        </w:rPr>
        <w:t>. 分析与综合：</w:t>
      </w:r>
      <w:r>
        <w:rPr>
          <w:rFonts w:hint="eastAsia"/>
        </w:rPr>
        <w:t>对二因素随机区组试验结果进行平方和与自由度分解时，能够结合Excel中的“可重复二因素分析”模块简化计算过程；对比较复杂的试验结果能够参考同类例题进行分析。</w:t>
      </w:r>
    </w:p>
    <w:p>
      <w:pPr>
        <w:pStyle w:val="10"/>
        <w:snapToGrid w:val="0"/>
        <w:spacing w:line="360" w:lineRule="auto"/>
        <w:jc w:val="center"/>
        <w:rPr>
          <w:rFonts w:ascii="Times New Roman" w:hAnsi="Times New Roman" w:cs="Times New Roman"/>
          <w:b/>
          <w:bCs/>
        </w:rPr>
      </w:pPr>
    </w:p>
    <w:p>
      <w:pPr>
        <w:pStyle w:val="10"/>
        <w:snapToGrid w:val="0"/>
        <w:spacing w:line="360" w:lineRule="auto"/>
        <w:jc w:val="center"/>
        <w:rPr>
          <w:rFonts w:ascii="Times New Roman" w:hAnsi="Times New Roman" w:cs="Times New Roman"/>
          <w:b/>
          <w:bCs/>
        </w:rPr>
      </w:pPr>
      <w:r>
        <w:rPr>
          <w:rFonts w:hint="eastAsia" w:ascii="Times New Roman" w:hAnsi="Times New Roman" w:cs="Times New Roman"/>
          <w:b/>
          <w:bCs/>
        </w:rPr>
        <w:t>第八章</w:t>
      </w:r>
      <w:r>
        <w:rPr>
          <w:rFonts w:ascii="Times New Roman" w:hAnsi="Times New Roman" w:cs="Times New Roman"/>
          <w:b/>
          <w:bCs/>
        </w:rPr>
        <w:t xml:space="preserve"> 卡平方检验</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：χ</w:t>
      </w:r>
      <w:r>
        <w:rPr>
          <w:szCs w:val="21"/>
          <w:vertAlign w:val="superscript"/>
        </w:rPr>
        <w:t>2</w:t>
      </w:r>
      <w:r>
        <w:rPr>
          <w:szCs w:val="21"/>
        </w:rPr>
        <w:t>检验在方差同质性测验中的应用。</w:t>
      </w:r>
    </w:p>
    <w:p>
      <w:pPr>
        <w:snapToGrid w:val="0"/>
        <w:spacing w:line="360" w:lineRule="auto"/>
        <w:ind w:firstLine="422" w:firstLineChars="200"/>
        <w:rPr>
          <w:color w:val="0000FF"/>
          <w:szCs w:val="21"/>
        </w:rPr>
      </w:pPr>
      <w:r>
        <w:rPr>
          <w:b/>
          <w:szCs w:val="21"/>
        </w:rPr>
        <w:t>2. 一般掌握</w:t>
      </w:r>
      <w:r>
        <w:rPr>
          <w:szCs w:val="21"/>
        </w:rPr>
        <w:t>：卡平方的概念。</w:t>
      </w:r>
    </w:p>
    <w:p>
      <w:pPr>
        <w:snapToGrid w:val="0"/>
        <w:spacing w:line="360" w:lineRule="auto"/>
        <w:ind w:firstLine="422" w:firstLineChars="200"/>
        <w:rPr>
          <w:color w:val="0000FF"/>
          <w:szCs w:val="21"/>
        </w:rPr>
      </w:pPr>
      <w:r>
        <w:rPr>
          <w:b/>
          <w:szCs w:val="21"/>
        </w:rPr>
        <w:t>3. 熟练掌握</w:t>
      </w:r>
      <w:r>
        <w:rPr>
          <w:szCs w:val="21"/>
        </w:rPr>
        <w:t>：适合性检验和独立性检验的方法；连续性矫正的方法。</w:t>
      </w:r>
    </w:p>
    <w:p>
      <w:pPr>
        <w:snapToGrid w:val="0"/>
        <w:spacing w:line="360" w:lineRule="auto"/>
        <w:rPr>
          <w:szCs w:val="21"/>
        </w:rPr>
      </w:pPr>
      <w:r>
        <w:rPr>
          <w:b/>
          <w:szCs w:val="21"/>
        </w:rPr>
        <w:t>（二）考核内容</w:t>
      </w:r>
    </w:p>
    <w:p>
      <w:pPr>
        <w:spacing w:line="360" w:lineRule="auto"/>
        <w:ind w:firstLine="420" w:firstLineChars="200"/>
        <w:rPr>
          <w:rFonts w:eastAsiaTheme="minorEastAsia"/>
          <w:szCs w:val="21"/>
        </w:rPr>
      </w:pPr>
      <w:r>
        <w:rPr>
          <w:rFonts w:eastAsiaTheme="minorEastAsia"/>
          <w:szCs w:val="21"/>
        </w:rPr>
        <w:t>1</w:t>
      </w:r>
      <w:r>
        <w:rPr>
          <w:rFonts w:eastAsiaTheme="minorEastAsia"/>
          <w:b/>
          <w:szCs w:val="21"/>
        </w:rPr>
        <w:t xml:space="preserve">. </w:t>
      </w:r>
      <w:r>
        <w:rPr>
          <w:rFonts w:eastAsiaTheme="minorEastAsia"/>
          <w:szCs w:val="21"/>
        </w:rPr>
        <w:t>卡平方、方差同质性检验、适合性检验和独立性检验的概念。</w:t>
      </w:r>
    </w:p>
    <w:p>
      <w:pPr>
        <w:spacing w:line="360" w:lineRule="auto"/>
        <w:ind w:firstLine="420" w:firstLineChars="200"/>
        <w:rPr>
          <w:rFonts w:eastAsiaTheme="minorEastAsia"/>
          <w:szCs w:val="21"/>
        </w:rPr>
      </w:pPr>
      <w:r>
        <w:rPr>
          <w:rFonts w:eastAsiaTheme="minorEastAsia"/>
          <w:szCs w:val="21"/>
        </w:rPr>
        <w:t>2</w:t>
      </w:r>
      <w:r>
        <w:rPr>
          <w:rFonts w:eastAsiaTheme="minorEastAsia"/>
          <w:b/>
          <w:szCs w:val="21"/>
        </w:rPr>
        <w:t xml:space="preserve">. </w:t>
      </w:r>
      <w:r>
        <w:rPr>
          <w:rFonts w:eastAsiaTheme="minorEastAsia"/>
          <w:szCs w:val="21"/>
        </w:rPr>
        <w:t>理论次数的计算；适合性检验和独立性检验的方法。</w:t>
      </w:r>
    </w:p>
    <w:p>
      <w:pPr>
        <w:spacing w:line="360" w:lineRule="auto"/>
        <w:ind w:firstLine="420" w:firstLineChars="200"/>
        <w:rPr>
          <w:rFonts w:eastAsiaTheme="minorEastAsia"/>
          <w:szCs w:val="21"/>
        </w:rPr>
      </w:pPr>
      <w:r>
        <w:rPr>
          <w:rFonts w:eastAsiaTheme="minorEastAsia"/>
          <w:szCs w:val="21"/>
        </w:rPr>
        <w:t>3</w:t>
      </w:r>
      <w:r>
        <w:rPr>
          <w:rFonts w:eastAsiaTheme="minorEastAsia"/>
          <w:b/>
          <w:szCs w:val="21"/>
        </w:rPr>
        <w:t xml:space="preserve">. </w:t>
      </w:r>
      <w:r>
        <w:rPr>
          <w:rFonts w:eastAsiaTheme="minorEastAsia"/>
          <w:szCs w:val="21"/>
        </w:rPr>
        <w:t>连续性矫正的方法。</w:t>
      </w:r>
    </w:p>
    <w:p>
      <w:pPr>
        <w:snapToGrid w:val="0"/>
        <w:spacing w:line="360" w:lineRule="auto"/>
        <w:rPr>
          <w:b/>
          <w:szCs w:val="21"/>
        </w:rPr>
      </w:pPr>
      <w:r>
        <w:rPr>
          <w:b/>
          <w:szCs w:val="21"/>
        </w:rPr>
        <w:t>（三）考核要求</w:t>
      </w:r>
    </w:p>
    <w:p>
      <w:pPr>
        <w:spacing w:line="360" w:lineRule="auto"/>
        <w:ind w:firstLine="422" w:firstLineChars="200"/>
        <w:rPr>
          <w:szCs w:val="21"/>
        </w:rPr>
      </w:pPr>
      <w:r>
        <w:rPr>
          <w:b/>
          <w:szCs w:val="21"/>
        </w:rPr>
        <w:t>1. 识记与领会</w:t>
      </w:r>
      <w:r>
        <w:rPr>
          <w:bCs/>
          <w:szCs w:val="21"/>
        </w:rPr>
        <w:t>：</w:t>
      </w:r>
      <w:r>
        <w:rPr>
          <w:szCs w:val="21"/>
        </w:rPr>
        <w:t>卡平方、适合性检验和独立性检验的概念。</w:t>
      </w:r>
    </w:p>
    <w:p>
      <w:pPr>
        <w:spacing w:line="360" w:lineRule="auto"/>
        <w:ind w:firstLine="422" w:firstLineChars="200"/>
        <w:rPr>
          <w:szCs w:val="21"/>
        </w:rPr>
      </w:pPr>
      <w:r>
        <w:rPr>
          <w:b/>
          <w:szCs w:val="21"/>
        </w:rPr>
        <w:t>2. 应用</w:t>
      </w:r>
      <w:r>
        <w:rPr>
          <w:bCs/>
          <w:szCs w:val="21"/>
        </w:rPr>
        <w:t>：</w:t>
      </w:r>
      <w:r>
        <w:rPr>
          <w:rFonts w:eastAsiaTheme="minorEastAsia"/>
          <w:szCs w:val="21"/>
        </w:rPr>
        <w:t>方差同质性检验</w:t>
      </w:r>
      <w:r>
        <w:rPr>
          <w:szCs w:val="21"/>
        </w:rPr>
        <w:t>。</w:t>
      </w:r>
    </w:p>
    <w:p>
      <w:pPr>
        <w:spacing w:line="360" w:lineRule="auto"/>
        <w:ind w:firstLine="422" w:firstLineChars="200"/>
        <w:rPr>
          <w:szCs w:val="21"/>
        </w:rPr>
      </w:pPr>
      <w:r>
        <w:rPr>
          <w:b/>
          <w:szCs w:val="21"/>
        </w:rPr>
        <w:t>3. 分析与综合</w:t>
      </w:r>
      <w:r>
        <w:rPr>
          <w:bCs/>
          <w:szCs w:val="21"/>
        </w:rPr>
        <w:t>：</w:t>
      </w:r>
      <w:r>
        <w:rPr>
          <w:szCs w:val="21"/>
        </w:rPr>
        <w:t>连续性矫正的方法；理论次数的计算；适合性检验和独立性检验的方法。</w:t>
      </w:r>
    </w:p>
    <w:p>
      <w:pPr>
        <w:pStyle w:val="10"/>
        <w:snapToGrid w:val="0"/>
        <w:spacing w:line="360" w:lineRule="auto"/>
        <w:jc w:val="center"/>
        <w:rPr>
          <w:rFonts w:ascii="Times New Roman" w:hAnsi="Times New Roman" w:cs="Times New Roman"/>
          <w:b/>
          <w:bCs/>
        </w:rPr>
      </w:pPr>
    </w:p>
    <w:p>
      <w:pPr>
        <w:pStyle w:val="10"/>
        <w:snapToGrid w:val="0"/>
        <w:spacing w:line="360" w:lineRule="auto"/>
        <w:jc w:val="center"/>
        <w:rPr>
          <w:rFonts w:ascii="Times New Roman" w:hAnsi="Times New Roman" w:cs="Times New Roman"/>
          <w:b/>
          <w:bCs/>
        </w:rPr>
      </w:pPr>
      <w:r>
        <w:rPr>
          <w:rFonts w:hint="eastAsia" w:ascii="Times New Roman" w:hAnsi="Times New Roman" w:cs="Times New Roman"/>
          <w:b/>
          <w:bCs/>
        </w:rPr>
        <w:t>第八章</w:t>
      </w:r>
      <w:r>
        <w:rPr>
          <w:rFonts w:ascii="Times New Roman" w:hAnsi="Times New Roman" w:cs="Times New Roman"/>
          <w:b/>
          <w:bCs/>
        </w:rPr>
        <w:t xml:space="preserve"> 直线回归与相关</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：回归与相关分析方法的适用范围。</w:t>
      </w:r>
    </w:p>
    <w:p>
      <w:pPr>
        <w:snapToGrid w:val="0"/>
        <w:spacing w:line="360" w:lineRule="auto"/>
        <w:ind w:firstLine="422" w:firstLineChars="200"/>
        <w:rPr>
          <w:color w:val="0000FF"/>
          <w:szCs w:val="21"/>
        </w:rPr>
      </w:pPr>
      <w:r>
        <w:rPr>
          <w:b/>
          <w:szCs w:val="21"/>
        </w:rPr>
        <w:t>2. 一般掌握</w:t>
      </w:r>
      <w:r>
        <w:rPr>
          <w:szCs w:val="21"/>
        </w:rPr>
        <w:t>：回归与相关的概念；回归关系的统计假设检验。</w:t>
      </w:r>
    </w:p>
    <w:p>
      <w:pPr>
        <w:snapToGrid w:val="0"/>
        <w:spacing w:line="360" w:lineRule="auto"/>
        <w:ind w:firstLine="422" w:firstLineChars="200"/>
        <w:rPr>
          <w:color w:val="0000FF"/>
          <w:szCs w:val="21"/>
        </w:rPr>
      </w:pPr>
      <w:r>
        <w:rPr>
          <w:b/>
          <w:szCs w:val="21"/>
        </w:rPr>
        <w:t>3. 熟练掌握</w:t>
      </w:r>
      <w:r>
        <w:rPr>
          <w:szCs w:val="21"/>
        </w:rPr>
        <w:t>：直线回归与相关分析的一般程序和方法。</w:t>
      </w:r>
    </w:p>
    <w:p>
      <w:pPr>
        <w:snapToGrid w:val="0"/>
        <w:spacing w:line="360" w:lineRule="auto"/>
        <w:rPr>
          <w:szCs w:val="21"/>
        </w:rPr>
      </w:pPr>
      <w:r>
        <w:rPr>
          <w:b/>
          <w:szCs w:val="21"/>
        </w:rPr>
        <w:t>（二）考核内容</w:t>
      </w:r>
    </w:p>
    <w:p>
      <w:pPr>
        <w:spacing w:line="360" w:lineRule="auto"/>
        <w:ind w:firstLine="420" w:firstLineChars="200"/>
        <w:rPr>
          <w:szCs w:val="21"/>
        </w:rPr>
      </w:pPr>
      <w:r>
        <w:rPr>
          <w:szCs w:val="21"/>
        </w:rPr>
        <w:t>1</w:t>
      </w:r>
      <w:r>
        <w:rPr>
          <w:b/>
          <w:szCs w:val="21"/>
        </w:rPr>
        <w:t xml:space="preserve">. </w:t>
      </w:r>
      <w:r>
        <w:rPr>
          <w:szCs w:val="21"/>
        </w:rPr>
        <w:t>回归与相关的概念</w:t>
      </w:r>
    </w:p>
    <w:p>
      <w:pPr>
        <w:spacing w:line="360" w:lineRule="auto"/>
        <w:ind w:firstLine="420" w:firstLineChars="200"/>
        <w:rPr>
          <w:szCs w:val="21"/>
        </w:rPr>
      </w:pPr>
      <w:r>
        <w:rPr>
          <w:szCs w:val="21"/>
        </w:rPr>
        <w:t>2</w:t>
      </w:r>
      <w:r>
        <w:rPr>
          <w:b/>
          <w:szCs w:val="21"/>
        </w:rPr>
        <w:t xml:space="preserve">. </w:t>
      </w:r>
      <w:r>
        <w:rPr>
          <w:szCs w:val="21"/>
        </w:rPr>
        <w:t>直线回归与相关分析的一般程序和方法。</w:t>
      </w:r>
    </w:p>
    <w:p>
      <w:pPr>
        <w:spacing w:line="360" w:lineRule="auto"/>
        <w:ind w:firstLine="420" w:firstLineChars="200"/>
        <w:rPr>
          <w:szCs w:val="21"/>
        </w:rPr>
      </w:pPr>
      <w:r>
        <w:rPr>
          <w:szCs w:val="21"/>
        </w:rPr>
        <w:t>3</w:t>
      </w:r>
      <w:r>
        <w:rPr>
          <w:b/>
          <w:szCs w:val="21"/>
        </w:rPr>
        <w:t xml:space="preserve">. </w:t>
      </w:r>
      <w:r>
        <w:rPr>
          <w:szCs w:val="21"/>
        </w:rPr>
        <w:t>直线回归方程的计算及回归关系的统计假设检验，回归图的制作。</w:t>
      </w:r>
    </w:p>
    <w:p>
      <w:pPr>
        <w:spacing w:line="360" w:lineRule="auto"/>
        <w:ind w:firstLine="420" w:firstLineChars="200"/>
        <w:rPr>
          <w:szCs w:val="21"/>
        </w:rPr>
      </w:pPr>
      <w:r>
        <w:rPr>
          <w:szCs w:val="21"/>
        </w:rPr>
        <w:t>4</w:t>
      </w:r>
      <w:r>
        <w:rPr>
          <w:b/>
          <w:szCs w:val="21"/>
        </w:rPr>
        <w:t xml:space="preserve">. </w:t>
      </w:r>
      <w:r>
        <w:rPr>
          <w:szCs w:val="21"/>
        </w:rPr>
        <w:t>相关系数的计算和假设检验。</w:t>
      </w:r>
    </w:p>
    <w:p>
      <w:pPr>
        <w:spacing w:line="360" w:lineRule="auto"/>
        <w:ind w:firstLine="420" w:firstLineChars="200"/>
        <w:rPr>
          <w:szCs w:val="21"/>
        </w:rPr>
      </w:pPr>
      <w:r>
        <w:rPr>
          <w:szCs w:val="21"/>
        </w:rPr>
        <w:t>5</w:t>
      </w:r>
      <w:r>
        <w:rPr>
          <w:b/>
          <w:szCs w:val="21"/>
        </w:rPr>
        <w:t xml:space="preserve">. </w:t>
      </w:r>
      <w:r>
        <w:rPr>
          <w:szCs w:val="21"/>
        </w:rPr>
        <w:t>直线回归与相关分析的注意事项。</w:t>
      </w:r>
    </w:p>
    <w:p>
      <w:pPr>
        <w:snapToGrid w:val="0"/>
        <w:spacing w:line="360" w:lineRule="auto"/>
        <w:rPr>
          <w:b/>
          <w:szCs w:val="21"/>
        </w:rPr>
      </w:pPr>
      <w:r>
        <w:rPr>
          <w:b/>
          <w:szCs w:val="21"/>
        </w:rPr>
        <w:t>（三）考核要求</w:t>
      </w:r>
    </w:p>
    <w:p>
      <w:pPr>
        <w:spacing w:line="360" w:lineRule="auto"/>
        <w:ind w:firstLine="422" w:firstLineChars="200"/>
        <w:rPr>
          <w:szCs w:val="21"/>
        </w:rPr>
      </w:pPr>
      <w:r>
        <w:rPr>
          <w:b/>
          <w:szCs w:val="21"/>
        </w:rPr>
        <w:t>1. 识记与领会</w:t>
      </w:r>
      <w:r>
        <w:rPr>
          <w:bCs/>
          <w:szCs w:val="21"/>
        </w:rPr>
        <w:t>：</w:t>
      </w:r>
      <w:r>
        <w:rPr>
          <w:szCs w:val="21"/>
        </w:rPr>
        <w:t>回归与相关、回归系数、相关系数和决定系数的概念。</w:t>
      </w:r>
    </w:p>
    <w:p>
      <w:pPr>
        <w:spacing w:line="360" w:lineRule="auto"/>
        <w:ind w:firstLine="422" w:firstLineChars="200"/>
        <w:rPr>
          <w:szCs w:val="21"/>
        </w:rPr>
      </w:pPr>
      <w:r>
        <w:rPr>
          <w:b/>
          <w:szCs w:val="21"/>
        </w:rPr>
        <w:t>2. 应用</w:t>
      </w:r>
      <w:r>
        <w:rPr>
          <w:bCs/>
          <w:szCs w:val="21"/>
        </w:rPr>
        <w:t>：</w:t>
      </w:r>
      <w:r>
        <w:rPr>
          <w:szCs w:val="21"/>
        </w:rPr>
        <w:t>回归关系的统计假设检验；直线回归与相关分析的一般程序和方法。</w:t>
      </w:r>
    </w:p>
    <w:p>
      <w:pPr>
        <w:snapToGrid w:val="0"/>
        <w:spacing w:line="360" w:lineRule="auto"/>
        <w:ind w:firstLine="422" w:firstLineChars="200"/>
        <w:rPr>
          <w:szCs w:val="21"/>
        </w:rPr>
      </w:pPr>
      <w:r>
        <w:rPr>
          <w:rFonts w:eastAsiaTheme="minorEastAsia"/>
          <w:b/>
          <w:szCs w:val="21"/>
        </w:rPr>
        <w:t>3. 分析</w:t>
      </w:r>
      <w:r>
        <w:rPr>
          <w:b/>
          <w:szCs w:val="21"/>
        </w:rPr>
        <w:t>与综合</w:t>
      </w:r>
      <w:r>
        <w:rPr>
          <w:bCs/>
          <w:szCs w:val="21"/>
        </w:rPr>
        <w:t>：</w:t>
      </w:r>
      <w:r>
        <w:rPr>
          <w:rFonts w:hint="eastAsia"/>
          <w:bCs/>
          <w:szCs w:val="21"/>
        </w:rPr>
        <w:t>能结合实际在有关研究中应用</w:t>
      </w:r>
      <w:r>
        <w:rPr>
          <w:bCs/>
          <w:szCs w:val="21"/>
        </w:rPr>
        <w:t>回归与相关分析</w:t>
      </w:r>
      <w:r>
        <w:rPr>
          <w:rFonts w:hint="eastAsia"/>
          <w:bCs/>
          <w:szCs w:val="21"/>
        </w:rPr>
        <w:t>方法</w:t>
      </w:r>
      <w:r>
        <w:rPr>
          <w:szCs w:val="21"/>
        </w:rPr>
        <w:t>。</w:t>
      </w:r>
    </w:p>
    <w:p>
      <w:pPr>
        <w:pStyle w:val="10"/>
        <w:snapToGrid w:val="0"/>
        <w:spacing w:line="360" w:lineRule="auto"/>
        <w:rPr>
          <w:rFonts w:ascii="Times New Roman" w:hAnsi="Times New Roman" w:cs="Times New Roman"/>
          <w:b/>
          <w:bCs/>
        </w:rPr>
      </w:pPr>
    </w:p>
    <w:p>
      <w:pPr>
        <w:widowControl/>
        <w:snapToGrid w:val="0"/>
        <w:spacing w:line="360" w:lineRule="auto"/>
        <w:jc w:val="left"/>
        <w:outlineLvl w:val="1"/>
        <w:rPr>
          <w:rFonts w:eastAsiaTheme="majorEastAsia"/>
          <w:b/>
          <w:bCs/>
          <w:kern w:val="0"/>
          <w:szCs w:val="21"/>
        </w:rPr>
      </w:pPr>
      <w:bookmarkStart w:id="663" w:name="_Toc138068860"/>
      <w:bookmarkStart w:id="664" w:name="_Toc138076699"/>
      <w:bookmarkStart w:id="665" w:name="_Toc138070761"/>
      <w:bookmarkStart w:id="666" w:name="_Toc138076155"/>
      <w:bookmarkStart w:id="667" w:name="_Toc138070490"/>
      <w:bookmarkStart w:id="668" w:name="_Toc138068461"/>
      <w:bookmarkStart w:id="669" w:name="_Toc21139"/>
      <w:bookmarkStart w:id="670" w:name="_Toc138076404"/>
      <w:r>
        <w:rPr>
          <w:rFonts w:eastAsiaTheme="majorEastAsia"/>
          <w:b/>
          <w:bCs/>
          <w:kern w:val="0"/>
          <w:szCs w:val="21"/>
        </w:rPr>
        <w:t>三、实验、实习教学部分的考核要求</w:t>
      </w:r>
      <w:bookmarkEnd w:id="663"/>
      <w:bookmarkEnd w:id="664"/>
      <w:bookmarkEnd w:id="665"/>
      <w:bookmarkEnd w:id="666"/>
      <w:bookmarkEnd w:id="667"/>
      <w:bookmarkEnd w:id="668"/>
      <w:bookmarkEnd w:id="669"/>
      <w:bookmarkEnd w:id="670"/>
    </w:p>
    <w:p>
      <w:pPr>
        <w:widowControl/>
        <w:adjustRightInd w:val="0"/>
        <w:snapToGrid w:val="0"/>
        <w:spacing w:before="156" w:beforeLines="50" w:line="360" w:lineRule="auto"/>
        <w:ind w:firstLine="420" w:firstLineChars="200"/>
        <w:jc w:val="left"/>
        <w:rPr>
          <w:bCs/>
          <w:kern w:val="0"/>
          <w:szCs w:val="21"/>
        </w:rPr>
      </w:pPr>
      <w:r>
        <w:rPr>
          <w:bCs/>
          <w:kern w:val="0"/>
          <w:szCs w:val="21"/>
        </w:rPr>
        <w:t>（1）</w:t>
      </w:r>
      <w:r>
        <w:rPr>
          <w:szCs w:val="21"/>
        </w:rPr>
        <w:t>掌握根据</w:t>
      </w:r>
      <w:r>
        <w:rPr>
          <w:rFonts w:hint="eastAsia"/>
          <w:szCs w:val="21"/>
        </w:rPr>
        <w:t>试验设计原则、</w:t>
      </w:r>
      <w:r>
        <w:rPr>
          <w:szCs w:val="21"/>
        </w:rPr>
        <w:t>试验环境</w:t>
      </w:r>
      <w:r>
        <w:rPr>
          <w:rFonts w:hint="eastAsia"/>
          <w:szCs w:val="21"/>
        </w:rPr>
        <w:t>和</w:t>
      </w:r>
      <w:r>
        <w:rPr>
          <w:szCs w:val="21"/>
        </w:rPr>
        <w:t>试验材料的具体情况进行常规试验设计。</w:t>
      </w:r>
    </w:p>
    <w:p>
      <w:pPr>
        <w:widowControl/>
        <w:adjustRightInd w:val="0"/>
        <w:snapToGrid w:val="0"/>
        <w:spacing w:before="156" w:beforeLines="50" w:line="360" w:lineRule="auto"/>
        <w:ind w:firstLine="420" w:firstLineChars="200"/>
        <w:jc w:val="left"/>
        <w:rPr>
          <w:bCs/>
          <w:kern w:val="0"/>
          <w:szCs w:val="21"/>
        </w:rPr>
      </w:pPr>
      <w:r>
        <w:rPr>
          <w:bCs/>
          <w:kern w:val="0"/>
          <w:szCs w:val="21"/>
        </w:rPr>
        <w:t>（2）</w:t>
      </w:r>
      <w:r>
        <w:rPr>
          <w:rFonts w:hint="eastAsia"/>
          <w:szCs w:val="21"/>
        </w:rPr>
        <w:t>能够</w:t>
      </w:r>
      <w:r>
        <w:rPr>
          <w:szCs w:val="21"/>
        </w:rPr>
        <w:t>对常见试验结果进行</w:t>
      </w:r>
      <w:r>
        <w:rPr>
          <w:rFonts w:hint="eastAsia"/>
          <w:szCs w:val="21"/>
        </w:rPr>
        <w:t>数据</w:t>
      </w:r>
      <w:r>
        <w:rPr>
          <w:szCs w:val="21"/>
        </w:rPr>
        <w:t>整理</w:t>
      </w:r>
      <w:r>
        <w:rPr>
          <w:rFonts w:hint="eastAsia"/>
          <w:szCs w:val="21"/>
        </w:rPr>
        <w:t>、描述统计</w:t>
      </w:r>
      <w:r>
        <w:rPr>
          <w:szCs w:val="21"/>
        </w:rPr>
        <w:t>和统计</w:t>
      </w:r>
      <w:r>
        <w:rPr>
          <w:rFonts w:hint="eastAsia"/>
          <w:szCs w:val="21"/>
        </w:rPr>
        <w:t>推断</w:t>
      </w:r>
      <w:r>
        <w:rPr>
          <w:szCs w:val="21"/>
        </w:rPr>
        <w:t>，</w:t>
      </w:r>
      <w:r>
        <w:rPr>
          <w:rFonts w:hint="eastAsia"/>
          <w:szCs w:val="21"/>
        </w:rPr>
        <w:t>能正确解读分析结果</w:t>
      </w:r>
      <w:r>
        <w:rPr>
          <w:szCs w:val="21"/>
        </w:rPr>
        <w:t>。</w:t>
      </w:r>
    </w:p>
    <w:p>
      <w:pPr>
        <w:widowControl/>
        <w:adjustRightInd w:val="0"/>
        <w:snapToGrid w:val="0"/>
        <w:spacing w:before="156" w:beforeLines="50" w:line="360" w:lineRule="auto"/>
        <w:ind w:firstLine="420" w:firstLineChars="200"/>
        <w:jc w:val="left"/>
        <w:rPr>
          <w:bCs/>
          <w:kern w:val="0"/>
          <w:szCs w:val="21"/>
        </w:rPr>
      </w:pPr>
      <w:r>
        <w:rPr>
          <w:bCs/>
          <w:kern w:val="0"/>
          <w:szCs w:val="21"/>
        </w:rPr>
        <w:t>（3）</w:t>
      </w:r>
      <w:r>
        <w:rPr>
          <w:rFonts w:hint="eastAsia"/>
          <w:bCs/>
          <w:kern w:val="0"/>
          <w:szCs w:val="21"/>
        </w:rPr>
        <w:t>了解</w:t>
      </w:r>
      <w:r>
        <w:rPr>
          <w:szCs w:val="21"/>
        </w:rPr>
        <w:t>主要数据库的检索</w:t>
      </w:r>
      <w:r>
        <w:rPr>
          <w:rFonts w:hint="eastAsia"/>
          <w:szCs w:val="21"/>
        </w:rPr>
        <w:t>方法，</w:t>
      </w:r>
      <w:r>
        <w:rPr>
          <w:szCs w:val="21"/>
        </w:rPr>
        <w:t>初步</w:t>
      </w:r>
      <w:r>
        <w:rPr>
          <w:bCs/>
          <w:kern w:val="0"/>
          <w:szCs w:val="21"/>
        </w:rPr>
        <w:t>掌握</w:t>
      </w:r>
      <w:r>
        <w:rPr>
          <w:szCs w:val="21"/>
        </w:rPr>
        <w:t>课题选择和研究计划拟定的方法。</w:t>
      </w:r>
    </w:p>
    <w:p>
      <w:pPr>
        <w:widowControl/>
        <w:adjustRightInd w:val="0"/>
        <w:snapToGrid w:val="0"/>
        <w:spacing w:before="156" w:beforeLines="50" w:line="360" w:lineRule="auto"/>
        <w:ind w:firstLine="420" w:firstLineChars="200"/>
        <w:jc w:val="left"/>
        <w:rPr>
          <w:bCs/>
          <w:kern w:val="0"/>
          <w:szCs w:val="21"/>
        </w:rPr>
      </w:pPr>
      <w:r>
        <w:rPr>
          <w:bCs/>
          <w:kern w:val="0"/>
          <w:szCs w:val="21"/>
        </w:rPr>
        <w:t>（4）掌握Excel、初步掌握SPSS等软件在统计分析中的应用。</w:t>
      </w:r>
    </w:p>
    <w:p>
      <w:pPr>
        <w:widowControl/>
        <w:snapToGrid w:val="0"/>
        <w:spacing w:line="360" w:lineRule="auto"/>
        <w:jc w:val="left"/>
        <w:outlineLvl w:val="1"/>
        <w:rPr>
          <w:rFonts w:eastAsiaTheme="majorEastAsia"/>
          <w:b/>
          <w:bCs/>
          <w:kern w:val="0"/>
          <w:szCs w:val="21"/>
        </w:rPr>
      </w:pPr>
      <w:bookmarkStart w:id="671" w:name="_Toc138068861"/>
      <w:bookmarkStart w:id="672" w:name="_Toc138076405"/>
      <w:bookmarkStart w:id="673" w:name="_Toc138070491"/>
      <w:bookmarkStart w:id="674" w:name="_Toc138070762"/>
      <w:bookmarkStart w:id="675" w:name="_Toc138076156"/>
      <w:bookmarkStart w:id="676" w:name="_Toc138076700"/>
      <w:bookmarkStart w:id="677" w:name="_Toc138068462"/>
      <w:bookmarkStart w:id="678" w:name="_Toc19232"/>
      <w:r>
        <w:rPr>
          <w:rFonts w:eastAsiaTheme="majorEastAsia"/>
          <w:b/>
          <w:bCs/>
          <w:kern w:val="0"/>
          <w:szCs w:val="21"/>
        </w:rPr>
        <w:t>四、考核方式</w:t>
      </w:r>
      <w:bookmarkEnd w:id="671"/>
      <w:bookmarkEnd w:id="672"/>
      <w:bookmarkEnd w:id="673"/>
      <w:bookmarkEnd w:id="674"/>
      <w:bookmarkEnd w:id="675"/>
      <w:bookmarkEnd w:id="676"/>
      <w:bookmarkEnd w:id="677"/>
      <w:bookmarkEnd w:id="678"/>
    </w:p>
    <w:p>
      <w:pPr>
        <w:spacing w:after="156" w:afterLines="50" w:line="440" w:lineRule="exact"/>
        <w:ind w:firstLine="420" w:firstLineChars="200"/>
        <w:jc w:val="left"/>
        <w:rPr>
          <w:b/>
          <w:szCs w:val="21"/>
        </w:rPr>
      </w:pPr>
      <w:r>
        <w:rPr>
          <w:bCs/>
          <w:color w:val="000000"/>
          <w:szCs w:val="21"/>
        </w:rPr>
        <w:t>课程考核主要通过课堂考勤、课堂提问、</w:t>
      </w:r>
      <w:r>
        <w:rPr>
          <w:rFonts w:hint="eastAsia"/>
          <w:bCs/>
          <w:color w:val="000000"/>
          <w:szCs w:val="21"/>
        </w:rPr>
        <w:t>线上线下</w:t>
      </w:r>
      <w:r>
        <w:rPr>
          <w:bCs/>
          <w:color w:val="000000"/>
          <w:szCs w:val="21"/>
        </w:rPr>
        <w:t>练习与讨论、实验实践、期中考试、期末综合考试等多种方式对学生的学习表现和学习</w:t>
      </w:r>
      <w:r>
        <w:rPr>
          <w:rFonts w:hint="eastAsia"/>
          <w:bCs/>
          <w:color w:val="000000"/>
          <w:szCs w:val="21"/>
        </w:rPr>
        <w:t>成</w:t>
      </w:r>
      <w:r>
        <w:rPr>
          <w:bCs/>
          <w:color w:val="000000"/>
          <w:szCs w:val="21"/>
        </w:rPr>
        <w:t>果进行过程性和综合性评价。在课堂教学与实践过程中，设置项目计划书拟定、翻转课堂、学生互评、线上</w:t>
      </w:r>
      <w:r>
        <w:rPr>
          <w:rFonts w:hint="eastAsia"/>
          <w:bCs/>
          <w:color w:val="000000"/>
          <w:szCs w:val="21"/>
        </w:rPr>
        <w:t>线下实验</w:t>
      </w:r>
      <w:r>
        <w:rPr>
          <w:bCs/>
          <w:color w:val="000000"/>
          <w:szCs w:val="21"/>
        </w:rPr>
        <w:t>实践等环节，加深学生对理论知识的理解，</w:t>
      </w:r>
      <w:r>
        <w:rPr>
          <w:rFonts w:hint="eastAsia"/>
          <w:bCs/>
          <w:color w:val="000000"/>
          <w:szCs w:val="21"/>
        </w:rPr>
        <w:t>培养</w:t>
      </w:r>
      <w:r>
        <w:rPr>
          <w:bCs/>
          <w:color w:val="000000"/>
          <w:szCs w:val="21"/>
        </w:rPr>
        <w:t>学生</w:t>
      </w:r>
      <w:r>
        <w:rPr>
          <w:rFonts w:hint="eastAsia"/>
          <w:bCs/>
          <w:color w:val="000000"/>
          <w:szCs w:val="21"/>
        </w:rPr>
        <w:t>严谨细致、</w:t>
      </w:r>
      <w:r>
        <w:rPr>
          <w:bCs/>
          <w:color w:val="000000"/>
          <w:szCs w:val="21"/>
        </w:rPr>
        <w:t>独立思考</w:t>
      </w:r>
      <w:r>
        <w:rPr>
          <w:rFonts w:hint="eastAsia"/>
          <w:bCs/>
          <w:color w:val="000000"/>
          <w:szCs w:val="21"/>
        </w:rPr>
        <w:t>和团结协作的</w:t>
      </w:r>
      <w:r>
        <w:rPr>
          <w:bCs/>
          <w:color w:val="000000"/>
          <w:szCs w:val="21"/>
        </w:rPr>
        <w:t>科学</w:t>
      </w:r>
      <w:r>
        <w:rPr>
          <w:rFonts w:hint="eastAsia"/>
          <w:bCs/>
          <w:color w:val="000000"/>
          <w:szCs w:val="21"/>
        </w:rPr>
        <w:t>素养</w:t>
      </w:r>
      <w:r>
        <w:rPr>
          <w:bCs/>
          <w:color w:val="000000"/>
          <w:szCs w:val="21"/>
        </w:rPr>
        <w:t>。</w:t>
      </w:r>
      <w:r>
        <w:rPr>
          <w:rFonts w:hint="eastAsia"/>
          <w:bCs/>
          <w:color w:val="000000"/>
          <w:szCs w:val="21"/>
        </w:rPr>
        <w:t>可</w:t>
      </w:r>
      <w:r>
        <w:rPr>
          <w:bCs/>
          <w:color w:val="000000"/>
          <w:szCs w:val="21"/>
        </w:rPr>
        <w:t>根据不同专业和课程性质</w:t>
      </w:r>
      <w:r>
        <w:rPr>
          <w:rFonts w:hint="eastAsia"/>
          <w:bCs/>
          <w:color w:val="000000"/>
          <w:szCs w:val="21"/>
        </w:rPr>
        <w:t>要求</w:t>
      </w:r>
      <w:r>
        <w:rPr>
          <w:bCs/>
          <w:color w:val="000000"/>
          <w:szCs w:val="21"/>
        </w:rPr>
        <w:t>，灵活采用</w:t>
      </w:r>
      <w:r>
        <w:rPr>
          <w:rFonts w:hint="eastAsia"/>
          <w:bCs/>
          <w:color w:val="000000"/>
          <w:szCs w:val="21"/>
        </w:rPr>
        <w:t>线上线下</w:t>
      </w:r>
      <w:r>
        <w:rPr>
          <w:bCs/>
          <w:color w:val="000000"/>
          <w:szCs w:val="21"/>
        </w:rPr>
        <w:t>等</w:t>
      </w:r>
      <w:r>
        <w:rPr>
          <w:rFonts w:hint="eastAsia"/>
          <w:bCs/>
          <w:color w:val="000000"/>
          <w:szCs w:val="21"/>
        </w:rPr>
        <w:t>多种</w:t>
      </w:r>
      <w:r>
        <w:rPr>
          <w:bCs/>
          <w:color w:val="000000"/>
          <w:szCs w:val="21"/>
        </w:rPr>
        <w:t>考核方式</w:t>
      </w:r>
      <w:r>
        <w:rPr>
          <w:rFonts w:hint="eastAsia"/>
          <w:bCs/>
          <w:color w:val="000000"/>
          <w:szCs w:val="21"/>
        </w:rPr>
        <w:t>进行</w:t>
      </w:r>
      <w:r>
        <w:rPr>
          <w:bCs/>
          <w:color w:val="000000"/>
          <w:szCs w:val="21"/>
        </w:rPr>
        <w:t>阶段性测评</w:t>
      </w:r>
      <w:r>
        <w:rPr>
          <w:rFonts w:hint="eastAsia"/>
          <w:bCs/>
          <w:color w:val="000000"/>
          <w:szCs w:val="21"/>
        </w:rPr>
        <w:t>；</w:t>
      </w:r>
      <w:r>
        <w:rPr>
          <w:bCs/>
          <w:color w:val="000000"/>
          <w:szCs w:val="21"/>
        </w:rPr>
        <w:t>在课程学习结束后</w:t>
      </w:r>
      <w:r>
        <w:rPr>
          <w:rFonts w:hint="eastAsia"/>
          <w:bCs/>
          <w:color w:val="000000"/>
          <w:szCs w:val="21"/>
        </w:rPr>
        <w:t>采用笔试或其他考试方式进行</w:t>
      </w:r>
      <w:r>
        <w:rPr>
          <w:bCs/>
          <w:color w:val="000000"/>
          <w:szCs w:val="21"/>
        </w:rPr>
        <w:t>综合</w:t>
      </w:r>
      <w:r>
        <w:rPr>
          <w:rFonts w:hint="eastAsia"/>
          <w:bCs/>
          <w:color w:val="000000"/>
          <w:szCs w:val="21"/>
        </w:rPr>
        <w:t>性</w:t>
      </w:r>
      <w:r>
        <w:rPr>
          <w:bCs/>
          <w:color w:val="000000"/>
          <w:szCs w:val="21"/>
        </w:rPr>
        <w:t>测评，考察学生</w:t>
      </w:r>
      <w:r>
        <w:rPr>
          <w:rFonts w:hint="eastAsia"/>
          <w:bCs/>
          <w:color w:val="000000"/>
          <w:szCs w:val="21"/>
        </w:rPr>
        <w:t>最终</w:t>
      </w:r>
      <w:r>
        <w:rPr>
          <w:bCs/>
          <w:color w:val="000000"/>
          <w:szCs w:val="21"/>
        </w:rPr>
        <w:t>的学习</w:t>
      </w:r>
      <w:r>
        <w:rPr>
          <w:rFonts w:hint="eastAsia"/>
          <w:bCs/>
          <w:color w:val="000000"/>
          <w:szCs w:val="21"/>
        </w:rPr>
        <w:t>成</w:t>
      </w:r>
      <w:r>
        <w:rPr>
          <w:bCs/>
          <w:color w:val="000000"/>
          <w:szCs w:val="21"/>
        </w:rPr>
        <w:t>果。</w:t>
      </w:r>
    </w:p>
    <w:p>
      <w:pPr>
        <w:widowControl/>
        <w:snapToGrid w:val="0"/>
        <w:spacing w:line="360" w:lineRule="auto"/>
        <w:jc w:val="left"/>
        <w:outlineLvl w:val="1"/>
        <w:rPr>
          <w:rFonts w:eastAsiaTheme="majorEastAsia"/>
          <w:b/>
          <w:bCs/>
          <w:kern w:val="0"/>
          <w:szCs w:val="21"/>
        </w:rPr>
      </w:pPr>
      <w:bookmarkStart w:id="679" w:name="_Toc138068463"/>
      <w:bookmarkStart w:id="680" w:name="_Toc138070763"/>
      <w:bookmarkStart w:id="681" w:name="_Toc138076406"/>
      <w:bookmarkStart w:id="682" w:name="_Toc289"/>
      <w:bookmarkStart w:id="683" w:name="_Toc138070492"/>
      <w:bookmarkStart w:id="684" w:name="_Toc138076157"/>
      <w:bookmarkStart w:id="685" w:name="_Toc138068862"/>
      <w:bookmarkStart w:id="686" w:name="_Toc138076701"/>
      <w:r>
        <w:rPr>
          <w:rFonts w:eastAsiaTheme="majorEastAsia"/>
          <w:b/>
          <w:bCs/>
          <w:kern w:val="0"/>
          <w:szCs w:val="21"/>
        </w:rPr>
        <w:t>五、成绩评定</w:t>
      </w:r>
      <w:bookmarkEnd w:id="679"/>
      <w:bookmarkEnd w:id="680"/>
      <w:bookmarkEnd w:id="681"/>
      <w:bookmarkEnd w:id="682"/>
      <w:bookmarkEnd w:id="683"/>
      <w:bookmarkEnd w:id="684"/>
      <w:bookmarkEnd w:id="685"/>
      <w:bookmarkEnd w:id="686"/>
    </w:p>
    <w:p>
      <w:pPr>
        <w:snapToGrid w:val="0"/>
        <w:spacing w:line="360" w:lineRule="auto"/>
        <w:ind w:firstLine="420"/>
        <w:rPr>
          <w:szCs w:val="21"/>
        </w:rPr>
      </w:pPr>
      <w:r>
        <w:rPr>
          <w:szCs w:val="21"/>
        </w:rPr>
        <w:t>1.平时成绩：由课堂表现、实验实践</w:t>
      </w:r>
      <w:r>
        <w:rPr>
          <w:rFonts w:hint="eastAsia"/>
          <w:szCs w:val="21"/>
        </w:rPr>
        <w:t>完成情况</w:t>
      </w:r>
      <w:r>
        <w:rPr>
          <w:szCs w:val="21"/>
        </w:rPr>
        <w:t>和</w:t>
      </w:r>
      <w:r>
        <w:rPr>
          <w:bCs/>
          <w:color w:val="000000"/>
          <w:szCs w:val="21"/>
        </w:rPr>
        <w:t>阶段性测评</w:t>
      </w:r>
      <w:r>
        <w:rPr>
          <w:rFonts w:hint="eastAsia"/>
          <w:bCs/>
          <w:color w:val="000000"/>
          <w:szCs w:val="21"/>
        </w:rPr>
        <w:t>成绩等</w:t>
      </w:r>
      <w:r>
        <w:rPr>
          <w:szCs w:val="21"/>
        </w:rPr>
        <w:t>组成，包括学生</w:t>
      </w:r>
      <w:r>
        <w:rPr>
          <w:rFonts w:hint="eastAsia"/>
          <w:szCs w:val="21"/>
        </w:rPr>
        <w:t>考勤情况、</w:t>
      </w:r>
      <w:r>
        <w:rPr>
          <w:szCs w:val="21"/>
        </w:rPr>
        <w:t>在课堂内外学习</w:t>
      </w:r>
      <w:r>
        <w:rPr>
          <w:rFonts w:hint="eastAsia"/>
          <w:szCs w:val="21"/>
        </w:rPr>
        <w:t>任务完成情况</w:t>
      </w:r>
      <w:r>
        <w:rPr>
          <w:szCs w:val="21"/>
        </w:rPr>
        <w:t>、实验实践</w:t>
      </w:r>
      <w:r>
        <w:rPr>
          <w:rFonts w:hint="eastAsia"/>
          <w:szCs w:val="21"/>
        </w:rPr>
        <w:t>完成</w:t>
      </w:r>
      <w:r>
        <w:rPr>
          <w:szCs w:val="21"/>
        </w:rPr>
        <w:t>过程</w:t>
      </w:r>
      <w:r>
        <w:rPr>
          <w:rFonts w:hint="eastAsia"/>
          <w:szCs w:val="21"/>
        </w:rPr>
        <w:t>与效果</w:t>
      </w:r>
      <w:r>
        <w:rPr>
          <w:szCs w:val="21"/>
        </w:rPr>
        <w:t>、实验报告</w:t>
      </w:r>
      <w:r>
        <w:rPr>
          <w:rFonts w:hint="eastAsia"/>
          <w:szCs w:val="21"/>
        </w:rPr>
        <w:t>成绩</w:t>
      </w:r>
      <w:r>
        <w:rPr>
          <w:szCs w:val="21"/>
        </w:rPr>
        <w:t>及线上线下</w:t>
      </w:r>
      <w:r>
        <w:rPr>
          <w:rFonts w:hint="eastAsia"/>
          <w:szCs w:val="21"/>
        </w:rPr>
        <w:t>测验</w:t>
      </w:r>
      <w:r>
        <w:rPr>
          <w:szCs w:val="21"/>
        </w:rPr>
        <w:t>成绩等</w:t>
      </w:r>
      <w:r>
        <w:rPr>
          <w:rFonts w:hint="eastAsia"/>
          <w:szCs w:val="21"/>
        </w:rPr>
        <w:t>。</w:t>
      </w:r>
      <w:r>
        <w:rPr>
          <w:szCs w:val="21"/>
        </w:rPr>
        <w:t>满分100分。</w:t>
      </w:r>
    </w:p>
    <w:p>
      <w:pPr>
        <w:snapToGrid w:val="0"/>
        <w:spacing w:line="360" w:lineRule="auto"/>
        <w:ind w:firstLine="420" w:firstLineChars="200"/>
        <w:rPr>
          <w:bCs/>
          <w:color w:val="0000FF"/>
          <w:szCs w:val="21"/>
        </w:rPr>
      </w:pPr>
      <w:r>
        <w:rPr>
          <w:color w:val="000000" w:themeColor="text1"/>
          <w14:textFill>
            <w14:solidFill>
              <w14:schemeClr w14:val="tx1"/>
            </w14:solidFill>
          </w14:textFill>
        </w:rPr>
        <w:t>2.期末成绩：</w:t>
      </w:r>
      <w:r>
        <w:rPr>
          <w:bCs/>
          <w:color w:val="000000"/>
          <w:szCs w:val="21"/>
        </w:rPr>
        <w:t>期末综合考试一般采用</w:t>
      </w:r>
      <w:r>
        <w:rPr>
          <w:rFonts w:hint="eastAsia"/>
          <w:bCs/>
          <w:color w:val="000000"/>
          <w:szCs w:val="21"/>
        </w:rPr>
        <w:t>笔试（</w:t>
      </w:r>
      <w:r>
        <w:rPr>
          <w:bCs/>
          <w:color w:val="000000"/>
          <w:szCs w:val="21"/>
        </w:rPr>
        <w:t>闭卷</w:t>
      </w:r>
      <w:r>
        <w:rPr>
          <w:rFonts w:hint="eastAsia"/>
          <w:bCs/>
          <w:color w:val="000000"/>
          <w:szCs w:val="21"/>
        </w:rPr>
        <w:t>或有限开卷）或其他</w:t>
      </w:r>
      <w:r>
        <w:rPr>
          <w:bCs/>
          <w:color w:val="000000"/>
          <w:szCs w:val="21"/>
        </w:rPr>
        <w:t>考试方式，成绩满分为100分。</w:t>
      </w:r>
    </w:p>
    <w:p>
      <w:pPr>
        <w:snapToGrid w:val="0"/>
        <w:spacing w:line="360" w:lineRule="auto"/>
        <w:ind w:firstLine="420"/>
        <w:rPr>
          <w:bCs/>
          <w:color w:val="0000FF"/>
          <w:szCs w:val="21"/>
        </w:rPr>
      </w:pPr>
      <w:r>
        <w:rPr>
          <w:color w:val="000000" w:themeColor="text1"/>
          <w14:textFill>
            <w14:solidFill>
              <w14:schemeClr w14:val="tx1"/>
            </w14:solidFill>
          </w14:textFill>
        </w:rPr>
        <w:t>3.综合成绩：</w:t>
      </w:r>
      <w:r>
        <w:rPr>
          <w:szCs w:val="21"/>
        </w:rPr>
        <w:t>课程成绩由平时成绩和期末综合考试成绩组成，满分100分，其中平时成绩</w:t>
      </w:r>
      <w:r>
        <w:rPr>
          <w:bCs/>
          <w:color w:val="000000"/>
          <w:szCs w:val="21"/>
        </w:rPr>
        <w:t>占课程最终成绩的40%~60%，期末成绩占课程最终成绩的40%~60%</w:t>
      </w:r>
      <w:r>
        <w:rPr>
          <w:szCs w:val="21"/>
        </w:rPr>
        <w:t>。</w:t>
      </w:r>
    </w:p>
    <w:p>
      <w:pPr>
        <w:widowControl/>
        <w:snapToGrid w:val="0"/>
        <w:spacing w:line="360" w:lineRule="auto"/>
        <w:jc w:val="left"/>
        <w:outlineLvl w:val="1"/>
        <w:rPr>
          <w:rFonts w:eastAsiaTheme="majorEastAsia"/>
          <w:b/>
          <w:bCs/>
          <w:kern w:val="0"/>
          <w:szCs w:val="21"/>
        </w:rPr>
      </w:pPr>
      <w:bookmarkStart w:id="687" w:name="_Toc138068863"/>
      <w:bookmarkStart w:id="688" w:name="_Toc138076702"/>
      <w:bookmarkStart w:id="689" w:name="_Toc138068464"/>
      <w:bookmarkStart w:id="690" w:name="_Toc14932"/>
      <w:bookmarkStart w:id="691" w:name="_Toc138070764"/>
      <w:bookmarkStart w:id="692" w:name="_Toc138076407"/>
      <w:bookmarkStart w:id="693" w:name="_Toc138070493"/>
      <w:bookmarkStart w:id="694" w:name="_Toc138076158"/>
      <w:r>
        <w:rPr>
          <w:rFonts w:eastAsiaTheme="majorEastAsia"/>
          <w:b/>
          <w:bCs/>
          <w:kern w:val="0"/>
          <w:szCs w:val="21"/>
        </w:rPr>
        <w:t>六、考核结果分析反馈</w:t>
      </w:r>
      <w:bookmarkEnd w:id="687"/>
      <w:bookmarkEnd w:id="688"/>
      <w:bookmarkEnd w:id="689"/>
      <w:bookmarkEnd w:id="690"/>
      <w:bookmarkEnd w:id="691"/>
      <w:bookmarkEnd w:id="692"/>
      <w:bookmarkEnd w:id="693"/>
      <w:bookmarkEnd w:id="694"/>
    </w:p>
    <w:p>
      <w:pPr>
        <w:snapToGrid w:val="0"/>
        <w:spacing w:line="360" w:lineRule="auto"/>
        <w:ind w:firstLine="420" w:firstLineChars="200"/>
        <w:rPr>
          <w:szCs w:val="21"/>
        </w:rPr>
      </w:pPr>
      <w:r>
        <w:rPr>
          <w:bCs/>
          <w:color w:val="000000"/>
          <w:szCs w:val="21"/>
        </w:rPr>
        <w:t>课程考核主要通过不同环节、多种方式对学生的学习表现和学习</w:t>
      </w:r>
      <w:r>
        <w:rPr>
          <w:rFonts w:hint="eastAsia"/>
          <w:bCs/>
          <w:color w:val="000000"/>
          <w:szCs w:val="21"/>
        </w:rPr>
        <w:t>成</w:t>
      </w:r>
      <w:r>
        <w:rPr>
          <w:bCs/>
          <w:color w:val="000000"/>
          <w:szCs w:val="21"/>
        </w:rPr>
        <w:t>果进行全过程及综合性评价。根据学生课堂表现、线上线下作业练习、实验完成、期中考试、翻转课堂汇报成绩等情况，围绕专业要求和培养目标，实时追踪和评价学生学习动态和学习</w:t>
      </w:r>
      <w:r>
        <w:rPr>
          <w:rFonts w:hint="eastAsia"/>
          <w:bCs/>
          <w:color w:val="000000"/>
          <w:szCs w:val="21"/>
        </w:rPr>
        <w:t>成</w:t>
      </w:r>
      <w:r>
        <w:rPr>
          <w:bCs/>
          <w:color w:val="000000"/>
          <w:szCs w:val="21"/>
        </w:rPr>
        <w:t>果。</w:t>
      </w:r>
      <w:r>
        <w:rPr>
          <w:szCs w:val="21"/>
        </w:rPr>
        <w:t>在教学过程中，针对出现的问题，及时与学生沟通交流，分析总结学生学习情况，调整、优化教学进程、内容或方法等，以更有效地提高学生理论学习效果和科学实践能力。通过期末考试对学生综合学习</w:t>
      </w:r>
      <w:r>
        <w:rPr>
          <w:rFonts w:hint="eastAsia"/>
          <w:szCs w:val="21"/>
        </w:rPr>
        <w:t>成</w:t>
      </w:r>
      <w:r>
        <w:rPr>
          <w:szCs w:val="21"/>
        </w:rPr>
        <w:t>果和课程整体教学效果进行检测，由主讲教师进行考试分析和课程总结，内容包括考试分数分布状态分析、得失分原因分析、试卷信度与效度分析，</w:t>
      </w:r>
      <w:r>
        <w:rPr>
          <w:rFonts w:hint="eastAsia"/>
          <w:szCs w:val="21"/>
        </w:rPr>
        <w:t>分析总结出现的问题</w:t>
      </w:r>
      <w:r>
        <w:rPr>
          <w:szCs w:val="21"/>
        </w:rPr>
        <w:t>，并提出解决问题的办法，以及时调整和完善教学大纲、考试大纲和教学方案等，并由此形成对本课程教学和学习效果评价、反馈和不断改进的良性循环。</w:t>
      </w:r>
    </w:p>
    <w:p>
      <w:pPr>
        <w:rPr>
          <w:sz w:val="28"/>
        </w:rPr>
      </w:pPr>
      <w:bookmarkStart w:id="695" w:name="_Toc138076159"/>
      <w:bookmarkStart w:id="696" w:name="_Toc138076703"/>
      <w:r>
        <w:rPr>
          <w:rFonts w:hint="eastAsia"/>
          <w:sz w:val="28"/>
        </w:rPr>
        <w:br w:type="page"/>
      </w:r>
    </w:p>
    <w:p>
      <w:pPr>
        <w:pStyle w:val="21"/>
        <w:rPr>
          <w:sz w:val="28"/>
        </w:rPr>
      </w:pPr>
      <w:bookmarkStart w:id="697" w:name="_Toc3721"/>
      <w:r>
        <w:rPr>
          <w:rFonts w:hint="eastAsia"/>
          <w:sz w:val="28"/>
        </w:rPr>
        <w:t>设施园艺学考核大纲</w:t>
      </w:r>
      <w:bookmarkEnd w:id="695"/>
      <w:bookmarkEnd w:id="696"/>
      <w:bookmarkEnd w:id="697"/>
      <w:r>
        <w:rPr>
          <w:rFonts w:hint="eastAsia"/>
          <w:sz w:val="28"/>
        </w:rPr>
        <w:t xml:space="preserve"> </w:t>
      </w:r>
    </w:p>
    <w:p>
      <w:pPr>
        <w:shd w:val="clear" w:color="auto" w:fill="FFFFFF"/>
        <w:spacing w:line="360" w:lineRule="auto"/>
        <w:ind w:right="369"/>
        <w:jc w:val="center"/>
        <w:rPr>
          <w:b/>
          <w:bCs/>
          <w:sz w:val="24"/>
        </w:rPr>
      </w:pPr>
      <w:r>
        <w:rPr>
          <w:rFonts w:hint="eastAsia" w:ascii="宋体" w:hAnsi="宋体"/>
          <w:sz w:val="24"/>
        </w:rPr>
        <w:t>（</w:t>
      </w:r>
      <w:r>
        <w:rPr>
          <w:sz w:val="24"/>
        </w:rPr>
        <w:t>Science of Protected Horticulture</w:t>
      </w:r>
      <w:r>
        <w:rPr>
          <w:sz w:val="24"/>
          <w:shd w:val="clear" w:color="auto" w:fill="FFFFFF"/>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w:t>
            </w:r>
            <w:r>
              <w:rPr>
                <w:rFonts w:ascii="宋体" w:hAnsi="宋体"/>
                <w:b/>
                <w:bCs/>
                <w:szCs w:val="21"/>
              </w:rPr>
              <w:t>19011008h</w:t>
            </w:r>
          </w:p>
        </w:tc>
        <w:tc>
          <w:tcPr>
            <w:tcW w:w="1234" w:type="pct"/>
          </w:tcPr>
          <w:p>
            <w:pPr>
              <w:spacing w:line="300" w:lineRule="auto"/>
              <w:rPr>
                <w:rFonts w:ascii="宋体" w:hAnsi="宋体"/>
                <w:b/>
                <w:bCs/>
                <w:szCs w:val="21"/>
              </w:rPr>
            </w:pPr>
            <w:r>
              <w:rPr>
                <w:rFonts w:hint="eastAsia" w:ascii="宋体" w:hAnsi="宋体"/>
                <w:b/>
                <w:bCs/>
                <w:szCs w:val="21"/>
              </w:rPr>
              <w:t>课程学时：56</w:t>
            </w:r>
          </w:p>
        </w:tc>
        <w:tc>
          <w:tcPr>
            <w:tcW w:w="2100" w:type="pct"/>
          </w:tcPr>
          <w:p>
            <w:pPr>
              <w:spacing w:line="300" w:lineRule="auto"/>
              <w:rPr>
                <w:rFonts w:ascii="宋体" w:hAnsi="宋体"/>
                <w:b/>
                <w:bCs/>
                <w:szCs w:val="21"/>
              </w:rPr>
            </w:pPr>
            <w:r>
              <w:rPr>
                <w:rFonts w:hint="eastAsia" w:ascii="宋体" w:hAnsi="宋体"/>
                <w:b/>
                <w:bCs/>
                <w:szCs w:val="21"/>
              </w:rPr>
              <w:t>课程学分：3.5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主撰人：张涛</w:t>
            </w:r>
          </w:p>
        </w:tc>
        <w:tc>
          <w:tcPr>
            <w:tcW w:w="1234" w:type="pct"/>
          </w:tcPr>
          <w:p>
            <w:pPr>
              <w:spacing w:line="300" w:lineRule="auto"/>
              <w:rPr>
                <w:rFonts w:ascii="宋体" w:hAnsi="宋体"/>
                <w:b/>
                <w:bCs/>
                <w:szCs w:val="21"/>
              </w:rPr>
            </w:pPr>
            <w:r>
              <w:rPr>
                <w:rFonts w:hint="eastAsia" w:ascii="宋体" w:hAnsi="宋体"/>
                <w:b/>
                <w:bCs/>
                <w:szCs w:val="21"/>
              </w:rPr>
              <w:t>审核人：肖怀娟</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宋体" w:hAnsi="宋体" w:cs="宋体"/>
          <w:b/>
          <w:bCs/>
          <w:kern w:val="0"/>
          <w:szCs w:val="21"/>
        </w:rPr>
      </w:pPr>
    </w:p>
    <w:p>
      <w:pPr>
        <w:widowControl/>
        <w:snapToGrid w:val="0"/>
        <w:spacing w:line="360" w:lineRule="auto"/>
        <w:jc w:val="left"/>
        <w:outlineLvl w:val="1"/>
        <w:rPr>
          <w:rFonts w:ascii="宋体" w:hAnsi="宋体" w:cs="宋体"/>
          <w:b/>
          <w:bCs/>
          <w:kern w:val="0"/>
          <w:szCs w:val="21"/>
        </w:rPr>
      </w:pPr>
      <w:bookmarkStart w:id="698" w:name="_Toc138076409"/>
      <w:bookmarkStart w:id="699" w:name="_Toc138076704"/>
      <w:bookmarkStart w:id="700" w:name="_Toc138068865"/>
      <w:bookmarkStart w:id="701" w:name="_Toc138076160"/>
      <w:bookmarkStart w:id="702" w:name="_Toc138070495"/>
      <w:bookmarkStart w:id="703" w:name="_Toc138070766"/>
      <w:bookmarkStart w:id="704" w:name="_Toc7725"/>
      <w:bookmarkStart w:id="705" w:name="_Toc138068466"/>
      <w:r>
        <w:rPr>
          <w:rFonts w:hint="eastAsia" w:ascii="宋体" w:hAnsi="宋体" w:cs="宋体"/>
          <w:b/>
          <w:bCs/>
          <w:kern w:val="0"/>
          <w:szCs w:val="21"/>
        </w:rPr>
        <w:t>一、课程的性质和地位</w:t>
      </w:r>
      <w:bookmarkEnd w:id="698"/>
      <w:bookmarkEnd w:id="699"/>
      <w:bookmarkEnd w:id="700"/>
      <w:bookmarkEnd w:id="701"/>
      <w:bookmarkEnd w:id="702"/>
      <w:bookmarkEnd w:id="703"/>
      <w:bookmarkEnd w:id="704"/>
      <w:bookmarkEnd w:id="705"/>
    </w:p>
    <w:p>
      <w:pPr>
        <w:snapToGrid w:val="0"/>
        <w:spacing w:line="360" w:lineRule="auto"/>
        <w:ind w:firstLine="420" w:firstLineChars="200"/>
        <w:rPr>
          <w:rFonts w:ascii="宋体" w:hAnsi="宋体"/>
          <w:color w:val="0000FF"/>
          <w:szCs w:val="21"/>
        </w:rPr>
      </w:pPr>
      <w:r>
        <w:rPr>
          <w:rFonts w:hint="eastAsia" w:ascii="宋体" w:hAnsi="宋体"/>
          <w:szCs w:val="21"/>
        </w:rPr>
        <w:t>《</w:t>
      </w:r>
      <w:r>
        <w:rPr>
          <w:rFonts w:ascii="宋体" w:hAnsi="宋体"/>
          <w:szCs w:val="21"/>
        </w:rPr>
        <w:t>设施园艺学</w:t>
      </w:r>
      <w:r>
        <w:rPr>
          <w:rFonts w:hint="eastAsia" w:ascii="宋体" w:hAnsi="宋体"/>
          <w:szCs w:val="21"/>
        </w:rPr>
        <w:t>》</w:t>
      </w:r>
      <w:r>
        <w:rPr>
          <w:rFonts w:ascii="宋体" w:hAnsi="宋体"/>
          <w:szCs w:val="21"/>
        </w:rPr>
        <w:t>为园艺专业的专业课、核心课。随着社会的进步和现代农业的发展，园艺作物，特别是蔬菜和花卉，已经由露地栽培为主，向以设施生产为主转变，设施园艺学是园艺专业学生必须学习的一门课程。</w:t>
      </w:r>
    </w:p>
    <w:p>
      <w:pPr>
        <w:widowControl/>
        <w:snapToGrid w:val="0"/>
        <w:spacing w:line="360" w:lineRule="auto"/>
        <w:jc w:val="left"/>
        <w:outlineLvl w:val="1"/>
        <w:rPr>
          <w:rFonts w:ascii="宋体" w:hAnsi="宋体" w:cs="宋体"/>
          <w:b/>
          <w:bCs/>
          <w:kern w:val="0"/>
          <w:szCs w:val="21"/>
        </w:rPr>
      </w:pPr>
      <w:bookmarkStart w:id="706" w:name="_Toc138070496"/>
      <w:bookmarkStart w:id="707" w:name="_Toc26474"/>
      <w:bookmarkStart w:id="708" w:name="_Toc138076705"/>
      <w:bookmarkStart w:id="709" w:name="_Toc138068866"/>
      <w:bookmarkStart w:id="710" w:name="_Toc138070767"/>
      <w:bookmarkStart w:id="711" w:name="_Toc138076410"/>
      <w:bookmarkStart w:id="712" w:name="_Toc138068467"/>
      <w:bookmarkStart w:id="713" w:name="_Toc138076161"/>
      <w:r>
        <w:rPr>
          <w:rFonts w:hint="eastAsia" w:ascii="宋体" w:hAnsi="宋体" w:cs="宋体"/>
          <w:b/>
          <w:bCs/>
          <w:kern w:val="0"/>
          <w:szCs w:val="21"/>
        </w:rPr>
        <w:t>二、理论教学部分的考核目标</w:t>
      </w:r>
      <w:bookmarkEnd w:id="706"/>
      <w:bookmarkEnd w:id="707"/>
      <w:bookmarkEnd w:id="708"/>
      <w:bookmarkEnd w:id="709"/>
      <w:bookmarkEnd w:id="710"/>
      <w:bookmarkEnd w:id="711"/>
      <w:bookmarkEnd w:id="712"/>
      <w:bookmarkEnd w:id="713"/>
    </w:p>
    <w:p>
      <w:pPr>
        <w:snapToGrid w:val="0"/>
        <w:spacing w:line="360" w:lineRule="auto"/>
        <w:ind w:firstLine="420" w:firstLineChars="200"/>
        <w:rPr>
          <w:rFonts w:ascii="宋体" w:hAnsi="宋体"/>
          <w:szCs w:val="21"/>
        </w:rPr>
      </w:pPr>
      <w:r>
        <w:rPr>
          <w:rFonts w:ascii="宋体" w:hAnsi="宋体"/>
          <w:szCs w:val="21"/>
        </w:rPr>
        <w:t>主要考核学生对该门可课程基本理论、基本知识和核心技术的掌握状况</w:t>
      </w:r>
      <w:r>
        <w:rPr>
          <w:rFonts w:hint="eastAsia" w:ascii="宋体" w:hAnsi="宋体"/>
          <w:szCs w:val="21"/>
        </w:rPr>
        <w:t>。</w:t>
      </w:r>
    </w:p>
    <w:p>
      <w:pPr>
        <w:snapToGrid w:val="0"/>
        <w:spacing w:line="360" w:lineRule="auto"/>
        <w:ind w:firstLine="103" w:firstLineChars="49"/>
        <w:jc w:val="center"/>
        <w:rPr>
          <w:rFonts w:hint="eastAsia" w:ascii="宋体" w:hAnsi="宋体" w:eastAsia="宋体"/>
          <w:b/>
          <w:szCs w:val="21"/>
          <w:lang w:val="en-US" w:eastAsia="zh-CN"/>
        </w:rPr>
      </w:pPr>
      <w:r>
        <w:rPr>
          <w:rFonts w:hint="eastAsia" w:ascii="宋体" w:hAnsi="宋体"/>
          <w:b/>
          <w:szCs w:val="21"/>
        </w:rPr>
        <w:t xml:space="preserve">第一章  </w:t>
      </w:r>
      <w:r>
        <w:rPr>
          <w:rFonts w:hint="eastAsia" w:ascii="宋体" w:hAnsi="宋体"/>
          <w:b/>
          <w:szCs w:val="21"/>
          <w:lang w:val="en-US" w:eastAsia="zh-CN"/>
        </w:rPr>
        <w:t>绪论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rFonts w:hint="eastAsia" w:ascii="宋体" w:hAnsi="宋体"/>
          <w:bCs/>
          <w:color w:val="000000"/>
          <w:szCs w:val="21"/>
        </w:rPr>
        <w:t>设施园艺的历史。</w:t>
      </w:r>
    </w:p>
    <w:p>
      <w:pPr>
        <w:snapToGrid w:val="0"/>
        <w:spacing w:line="360" w:lineRule="auto"/>
        <w:ind w:firstLine="422" w:firstLineChars="200"/>
        <w:rPr>
          <w:rFonts w:ascii="宋体" w:hAnsi="宋体"/>
          <w:bCs/>
          <w:color w:val="000000"/>
          <w:szCs w:val="21"/>
        </w:rPr>
      </w:pPr>
      <w:r>
        <w:rPr>
          <w:rFonts w:hint="eastAsia" w:ascii="宋体" w:hAnsi="宋体"/>
          <w:b/>
          <w:szCs w:val="21"/>
        </w:rPr>
        <w:t>2. 一般掌握</w:t>
      </w:r>
      <w:r>
        <w:rPr>
          <w:rFonts w:hint="eastAsia" w:ascii="宋体" w:hAnsi="宋体"/>
          <w:szCs w:val="21"/>
        </w:rPr>
        <w:t>：</w:t>
      </w:r>
      <w:r>
        <w:rPr>
          <w:rFonts w:hint="eastAsia" w:ascii="宋体" w:hAnsi="宋体"/>
          <w:bCs/>
          <w:color w:val="000000"/>
          <w:szCs w:val="21"/>
        </w:rPr>
        <w:t>设施园艺的现状和发展。</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rFonts w:hint="eastAsia" w:ascii="宋体" w:hAnsi="宋体"/>
          <w:bCs/>
          <w:color w:val="000000"/>
          <w:szCs w:val="21"/>
        </w:rPr>
        <w:t>设施园艺的概念、类型和作用。</w:t>
      </w:r>
    </w:p>
    <w:p>
      <w:pPr>
        <w:snapToGrid w:val="0"/>
        <w:spacing w:line="360" w:lineRule="auto"/>
        <w:rPr>
          <w:rFonts w:ascii="宋体" w:hAnsi="宋体"/>
          <w:szCs w:val="21"/>
        </w:rPr>
      </w:pPr>
      <w:r>
        <w:rPr>
          <w:rFonts w:hint="eastAsia" w:ascii="宋体" w:hAnsi="宋体"/>
          <w:b/>
          <w:szCs w:val="21"/>
        </w:rPr>
        <w:t>（二）考核内容</w:t>
      </w:r>
    </w:p>
    <w:p>
      <w:pPr>
        <w:snapToGrid w:val="0"/>
        <w:spacing w:before="156" w:beforeLines="50" w:line="360" w:lineRule="auto"/>
        <w:ind w:firstLine="420" w:firstLineChars="200"/>
        <w:rPr>
          <w:rFonts w:ascii="宋体" w:hAnsi="宋体"/>
          <w:bCs/>
          <w:color w:val="000000"/>
          <w:szCs w:val="21"/>
        </w:rPr>
      </w:pPr>
      <w:r>
        <w:rPr>
          <w:rFonts w:hint="eastAsia" w:ascii="宋体" w:hAnsi="宋体"/>
          <w:bCs/>
          <w:color w:val="000000"/>
          <w:szCs w:val="21"/>
        </w:rPr>
        <w:t>知识：设施园艺发展史、设施园艺发展前景。</w:t>
      </w:r>
    </w:p>
    <w:p>
      <w:pPr>
        <w:snapToGrid w:val="0"/>
        <w:spacing w:line="360" w:lineRule="auto"/>
        <w:ind w:firstLine="420" w:firstLineChars="200"/>
        <w:rPr>
          <w:rFonts w:ascii="宋体" w:hAnsi="宋体"/>
          <w:color w:val="0000FF"/>
          <w:szCs w:val="21"/>
        </w:rPr>
      </w:pPr>
      <w:r>
        <w:rPr>
          <w:rFonts w:hint="eastAsia" w:ascii="宋体" w:hAnsi="宋体"/>
          <w:bCs/>
          <w:color w:val="000000"/>
          <w:szCs w:val="21"/>
        </w:rPr>
        <w:t>能力和素质：设施园艺的概念、类型和作用。</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：历史、现状和展望。</w:t>
      </w:r>
    </w:p>
    <w:p>
      <w:pPr>
        <w:snapToGrid w:val="0"/>
        <w:spacing w:before="156" w:beforeLines="50"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color w:val="000000"/>
          <w:szCs w:val="21"/>
        </w:rPr>
        <w:t>设施园艺学</w:t>
      </w:r>
      <w:r>
        <w:rPr>
          <w:rFonts w:hint="eastAsia" w:ascii="宋体" w:hAnsi="宋体"/>
          <w:bCs/>
          <w:color w:val="000000"/>
          <w:szCs w:val="21"/>
        </w:rPr>
        <w:t>概念。</w:t>
      </w:r>
    </w:p>
    <w:p>
      <w:pPr>
        <w:spacing w:line="360" w:lineRule="auto"/>
        <w:ind w:firstLine="422" w:firstLineChars="200"/>
        <w:jc w:val="center"/>
        <w:rPr>
          <w:color w:val="262600"/>
          <w:szCs w:val="21"/>
        </w:rPr>
      </w:pPr>
      <w:r>
        <w:rPr>
          <w:rFonts w:ascii="宋体" w:hAnsi="宋体"/>
          <w:b/>
          <w:bCs/>
          <w:color w:val="262600"/>
          <w:szCs w:val="21"/>
        </w:rPr>
        <w:t>第二章</w:t>
      </w:r>
      <w:r>
        <w:rPr>
          <w:b/>
          <w:bCs/>
          <w:color w:val="262600"/>
          <w:szCs w:val="21"/>
        </w:rPr>
        <w:t xml:space="preserve">  </w:t>
      </w:r>
      <w:r>
        <w:rPr>
          <w:rFonts w:ascii="宋体" w:hAnsi="宋体"/>
          <w:b/>
          <w:bCs/>
          <w:color w:val="262600"/>
          <w:szCs w:val="21"/>
        </w:rPr>
        <w:t>设施的类型、结构和性能</w:t>
      </w:r>
    </w:p>
    <w:p>
      <w:pPr>
        <w:snapToGrid w:val="0"/>
        <w:spacing w:line="360" w:lineRule="auto"/>
        <w:rPr>
          <w:rFonts w:ascii="宋体" w:hAnsi="宋体"/>
          <w:b/>
          <w:szCs w:val="21"/>
        </w:rPr>
      </w:pPr>
      <w:r>
        <w:rPr>
          <w:rFonts w:hint="eastAsia" w:ascii="宋体" w:hAnsi="宋体"/>
          <w:b/>
          <w:szCs w:val="21"/>
        </w:rPr>
        <w:t>（一）学习目标</w:t>
      </w:r>
    </w:p>
    <w:p>
      <w:pPr>
        <w:snapToGrid w:val="0"/>
        <w:spacing w:before="156" w:beforeLines="50" w:line="360" w:lineRule="auto"/>
        <w:ind w:firstLine="422" w:firstLineChars="200"/>
        <w:rPr>
          <w:rFonts w:ascii="宋体" w:hAnsi="宋体"/>
          <w:szCs w:val="21"/>
        </w:rPr>
      </w:pPr>
      <w:r>
        <w:rPr>
          <w:rFonts w:ascii="宋体" w:hAnsi="宋体"/>
          <w:b/>
          <w:szCs w:val="21"/>
        </w:rPr>
        <w:t>1. 一般了解：</w:t>
      </w:r>
      <w:r>
        <w:rPr>
          <w:rFonts w:ascii="宋体" w:hAnsi="宋体"/>
          <w:szCs w:val="21"/>
        </w:rPr>
        <w:t>园艺设施的分类</w:t>
      </w:r>
      <w:r>
        <w:rPr>
          <w:rFonts w:hint="eastAsia" w:ascii="宋体" w:hAnsi="宋体"/>
          <w:szCs w:val="21"/>
        </w:rPr>
        <w:t>。</w:t>
      </w:r>
    </w:p>
    <w:p>
      <w:pPr>
        <w:snapToGrid w:val="0"/>
        <w:spacing w:before="156" w:beforeLines="50" w:line="360" w:lineRule="auto"/>
        <w:ind w:firstLine="422" w:firstLineChars="200"/>
        <w:rPr>
          <w:rFonts w:ascii="宋体" w:hAnsi="宋体"/>
          <w:b/>
          <w:szCs w:val="21"/>
        </w:rPr>
      </w:pPr>
      <w:r>
        <w:rPr>
          <w:rFonts w:ascii="宋体" w:hAnsi="宋体"/>
          <w:b/>
          <w:szCs w:val="21"/>
        </w:rPr>
        <w:t>2. 一般掌握：</w:t>
      </w:r>
      <w:r>
        <w:rPr>
          <w:rFonts w:ascii="宋体" w:hAnsi="宋体"/>
          <w:szCs w:val="21"/>
        </w:rPr>
        <w:t>各种园艺设施的结构、作用</w:t>
      </w:r>
      <w:r>
        <w:rPr>
          <w:rFonts w:hint="eastAsia" w:ascii="宋体" w:hAnsi="宋体"/>
          <w:szCs w:val="21"/>
        </w:rPr>
        <w:t>。</w:t>
      </w:r>
    </w:p>
    <w:p>
      <w:pPr>
        <w:snapToGrid w:val="0"/>
        <w:spacing w:before="156" w:beforeLines="50" w:line="360" w:lineRule="auto"/>
        <w:ind w:firstLine="422" w:firstLineChars="200"/>
        <w:rPr>
          <w:rFonts w:ascii="宋体" w:hAnsi="宋体"/>
          <w:b/>
          <w:szCs w:val="21"/>
        </w:rPr>
      </w:pPr>
      <w:r>
        <w:rPr>
          <w:rFonts w:ascii="宋体" w:hAnsi="宋体"/>
          <w:b/>
          <w:szCs w:val="21"/>
        </w:rPr>
        <w:t>3. 熟练掌握：</w:t>
      </w:r>
      <w:r>
        <w:rPr>
          <w:rFonts w:ascii="宋体" w:hAnsi="宋体"/>
          <w:szCs w:val="21"/>
        </w:rPr>
        <w:t>塑料大棚、日光温室的结构、日光温室的合理结构参数、现代大型温室的各个系统。塑料大棚、日光温室的应用。各类设施的温度变化情况。</w:t>
      </w:r>
    </w:p>
    <w:p>
      <w:pPr>
        <w:snapToGrid w:val="0"/>
        <w:spacing w:before="156" w:beforeLines="50"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知识：</w:t>
      </w:r>
      <w:r>
        <w:rPr>
          <w:rFonts w:ascii="宋体" w:hAnsi="宋体"/>
          <w:szCs w:val="21"/>
        </w:rPr>
        <w:t>园艺设施的结构、环境状况、和作用。</w:t>
      </w:r>
    </w:p>
    <w:p>
      <w:pPr>
        <w:snapToGrid w:val="0"/>
        <w:spacing w:line="360" w:lineRule="auto"/>
        <w:ind w:firstLine="420" w:firstLineChars="200"/>
        <w:rPr>
          <w:szCs w:val="21"/>
        </w:rPr>
      </w:pPr>
      <w:r>
        <w:rPr>
          <w:rFonts w:hint="eastAsia" w:ascii="宋体" w:hAnsi="宋体"/>
          <w:szCs w:val="21"/>
        </w:rPr>
        <w:t>能力和素质：根据设施结构类型及性能，选择不同作物栽培栽培适宜的设施。</w:t>
      </w:r>
    </w:p>
    <w:p>
      <w:pPr>
        <w:snapToGrid w:val="0"/>
        <w:spacing w:before="156" w:beforeLines="50" w:line="360" w:lineRule="auto"/>
        <w:rPr>
          <w:rFonts w:ascii="宋体" w:hAnsi="宋体"/>
          <w:b/>
          <w:bCs/>
          <w:szCs w:val="21"/>
        </w:rPr>
      </w:pPr>
      <w:r>
        <w:rPr>
          <w:rFonts w:hint="eastAsia" w:ascii="宋体" w:hAnsi="宋体"/>
          <w:b/>
          <w:bCs/>
          <w:szCs w:val="21"/>
        </w:rPr>
        <w:t>（三）考核要求</w:t>
      </w:r>
    </w:p>
    <w:p>
      <w:pPr>
        <w:snapToGrid w:val="0"/>
        <w:spacing w:before="156" w:beforeLines="50" w:line="360" w:lineRule="auto"/>
        <w:ind w:firstLine="422" w:firstLineChars="200"/>
        <w:rPr>
          <w:rFonts w:ascii="宋体" w:hAnsi="宋体"/>
          <w:szCs w:val="21"/>
        </w:rPr>
      </w:pPr>
      <w:r>
        <w:rPr>
          <w:rFonts w:ascii="宋体" w:hAnsi="宋体"/>
          <w:b/>
          <w:szCs w:val="21"/>
        </w:rPr>
        <w:t>1、识记：</w:t>
      </w:r>
      <w:r>
        <w:rPr>
          <w:rFonts w:ascii="宋体" w:hAnsi="宋体"/>
          <w:szCs w:val="21"/>
        </w:rPr>
        <w:t>园艺设施的各种类型</w:t>
      </w:r>
      <w:r>
        <w:rPr>
          <w:rFonts w:hint="eastAsia" w:ascii="宋体" w:hAnsi="宋体"/>
          <w:szCs w:val="21"/>
        </w:rPr>
        <w:t>。</w:t>
      </w:r>
    </w:p>
    <w:p>
      <w:pPr>
        <w:snapToGrid w:val="0"/>
        <w:spacing w:before="156" w:beforeLines="50" w:line="360" w:lineRule="auto"/>
        <w:ind w:firstLine="422" w:firstLineChars="200"/>
        <w:rPr>
          <w:rFonts w:ascii="宋体" w:hAnsi="宋体"/>
          <w:szCs w:val="21"/>
        </w:rPr>
      </w:pPr>
      <w:r>
        <w:rPr>
          <w:rFonts w:ascii="宋体" w:hAnsi="宋体"/>
          <w:b/>
          <w:szCs w:val="21"/>
        </w:rPr>
        <w:t>2、领会：</w:t>
      </w:r>
      <w:r>
        <w:rPr>
          <w:rFonts w:ascii="宋体" w:hAnsi="宋体"/>
          <w:szCs w:val="21"/>
        </w:rPr>
        <w:t>园艺设施内个结构的组成和作用</w:t>
      </w:r>
      <w:r>
        <w:rPr>
          <w:rFonts w:hint="eastAsia" w:ascii="宋体" w:hAnsi="宋体"/>
          <w:szCs w:val="21"/>
        </w:rPr>
        <w:t>。</w:t>
      </w:r>
    </w:p>
    <w:p>
      <w:pPr>
        <w:snapToGrid w:val="0"/>
        <w:spacing w:before="156" w:beforeLines="50" w:line="360" w:lineRule="auto"/>
        <w:ind w:firstLine="422" w:firstLineChars="200"/>
        <w:rPr>
          <w:rFonts w:ascii="宋体" w:hAnsi="宋体"/>
          <w:b/>
          <w:szCs w:val="21"/>
        </w:rPr>
      </w:pPr>
      <w:r>
        <w:rPr>
          <w:rFonts w:ascii="宋体" w:hAnsi="宋体"/>
          <w:b/>
          <w:szCs w:val="21"/>
        </w:rPr>
        <w:t>3、简单应用：</w:t>
      </w:r>
      <w:r>
        <w:rPr>
          <w:rFonts w:ascii="宋体" w:hAnsi="宋体"/>
          <w:szCs w:val="21"/>
        </w:rPr>
        <w:t>园艺设施个结构对设施内环境的影响</w:t>
      </w:r>
      <w:r>
        <w:rPr>
          <w:rFonts w:hint="eastAsia" w:ascii="宋体" w:hAnsi="宋体"/>
          <w:szCs w:val="21"/>
        </w:rPr>
        <w:t>。</w:t>
      </w:r>
    </w:p>
    <w:p>
      <w:pPr>
        <w:snapToGrid w:val="0"/>
        <w:spacing w:before="156" w:beforeLines="50" w:line="360" w:lineRule="auto"/>
        <w:ind w:firstLine="422" w:firstLineChars="200"/>
        <w:rPr>
          <w:rFonts w:ascii="宋体" w:hAnsi="宋体"/>
          <w:szCs w:val="21"/>
        </w:rPr>
      </w:pPr>
      <w:r>
        <w:rPr>
          <w:rFonts w:ascii="宋体" w:hAnsi="宋体"/>
          <w:b/>
          <w:szCs w:val="21"/>
        </w:rPr>
        <w:t>4、综合应用：</w:t>
      </w:r>
      <w:r>
        <w:rPr>
          <w:rFonts w:ascii="宋体" w:hAnsi="宋体"/>
          <w:szCs w:val="21"/>
        </w:rPr>
        <w:t>根据设施类型安排园艺作生产</w:t>
      </w:r>
      <w:r>
        <w:rPr>
          <w:rFonts w:hint="eastAsia" w:ascii="宋体" w:hAnsi="宋体"/>
          <w:szCs w:val="21"/>
        </w:rPr>
        <w:t>。</w:t>
      </w:r>
    </w:p>
    <w:p>
      <w:pPr>
        <w:spacing w:line="360" w:lineRule="auto"/>
        <w:ind w:firstLine="422" w:firstLineChars="200"/>
        <w:jc w:val="center"/>
        <w:rPr>
          <w:b/>
          <w:bCs/>
          <w:color w:val="262600"/>
          <w:szCs w:val="21"/>
        </w:rPr>
      </w:pPr>
      <w:r>
        <w:rPr>
          <w:rFonts w:ascii="宋体" w:hAnsi="宋体"/>
          <w:b/>
          <w:bCs/>
          <w:color w:val="262600"/>
          <w:szCs w:val="21"/>
        </w:rPr>
        <w:t>第三章</w:t>
      </w:r>
      <w:r>
        <w:rPr>
          <w:b/>
          <w:bCs/>
          <w:color w:val="262600"/>
          <w:szCs w:val="21"/>
        </w:rPr>
        <w:t xml:space="preserve">  </w:t>
      </w:r>
      <w:r>
        <w:rPr>
          <w:rFonts w:ascii="宋体" w:hAnsi="宋体"/>
          <w:b/>
          <w:bCs/>
          <w:color w:val="262600"/>
          <w:szCs w:val="21"/>
        </w:rPr>
        <w:t>覆盖材料的种类和性能</w:t>
      </w:r>
    </w:p>
    <w:p>
      <w:pPr>
        <w:snapToGrid w:val="0"/>
        <w:spacing w:line="360" w:lineRule="auto"/>
        <w:rPr>
          <w:rFonts w:ascii="宋体" w:hAnsi="宋体"/>
          <w:b/>
          <w:bCs/>
          <w:szCs w:val="21"/>
        </w:rPr>
      </w:pPr>
      <w:r>
        <w:rPr>
          <w:rFonts w:hint="eastAsia" w:ascii="宋体" w:hAnsi="宋体"/>
          <w:b/>
          <w:bCs/>
        </w:rPr>
        <w:t>（一）学习目标</w:t>
      </w:r>
    </w:p>
    <w:p>
      <w:pPr>
        <w:snapToGrid w:val="0"/>
        <w:spacing w:before="156" w:beforeLines="50" w:line="360" w:lineRule="auto"/>
        <w:ind w:firstLine="422" w:firstLineChars="200"/>
        <w:rPr>
          <w:rFonts w:ascii="宋体" w:hAnsi="宋体"/>
          <w:szCs w:val="21"/>
        </w:rPr>
      </w:pPr>
      <w:r>
        <w:rPr>
          <w:rFonts w:ascii="宋体" w:hAnsi="宋体"/>
          <w:b/>
          <w:szCs w:val="21"/>
        </w:rPr>
        <w:t>1. 一般了解：</w:t>
      </w:r>
      <w:r>
        <w:rPr>
          <w:rFonts w:ascii="宋体" w:hAnsi="宋体"/>
          <w:szCs w:val="21"/>
        </w:rPr>
        <w:t>园艺设施覆盖材料的分类</w:t>
      </w:r>
      <w:r>
        <w:rPr>
          <w:rFonts w:hint="eastAsia" w:ascii="宋体" w:hAnsi="宋体"/>
          <w:szCs w:val="21"/>
        </w:rPr>
        <w:t>。</w:t>
      </w:r>
    </w:p>
    <w:p>
      <w:pPr>
        <w:snapToGrid w:val="0"/>
        <w:spacing w:before="156" w:beforeLines="50" w:line="360" w:lineRule="auto"/>
        <w:ind w:firstLine="422" w:firstLineChars="200"/>
        <w:rPr>
          <w:rFonts w:ascii="宋体" w:hAnsi="宋体"/>
          <w:szCs w:val="21"/>
        </w:rPr>
      </w:pPr>
      <w:r>
        <w:rPr>
          <w:rFonts w:ascii="宋体" w:hAnsi="宋体"/>
          <w:b/>
          <w:szCs w:val="21"/>
        </w:rPr>
        <w:t>2. 一般掌握：</w:t>
      </w:r>
      <w:r>
        <w:rPr>
          <w:rFonts w:ascii="宋体" w:hAnsi="宋体"/>
          <w:szCs w:val="21"/>
        </w:rPr>
        <w:t>各种覆盖材料的光学特性和热特性</w:t>
      </w:r>
      <w:r>
        <w:rPr>
          <w:rFonts w:hint="eastAsia" w:ascii="宋体" w:hAnsi="宋体"/>
          <w:szCs w:val="21"/>
        </w:rPr>
        <w:t>。</w:t>
      </w:r>
    </w:p>
    <w:p>
      <w:pPr>
        <w:snapToGrid w:val="0"/>
        <w:spacing w:before="156" w:beforeLines="50" w:line="360" w:lineRule="auto"/>
        <w:ind w:firstLine="422" w:firstLineChars="200"/>
        <w:rPr>
          <w:rFonts w:ascii="宋体" w:hAnsi="宋体"/>
          <w:szCs w:val="21"/>
        </w:rPr>
      </w:pPr>
      <w:r>
        <w:rPr>
          <w:rFonts w:ascii="宋体" w:hAnsi="宋体"/>
          <w:b/>
          <w:szCs w:val="21"/>
        </w:rPr>
        <w:t>3. 熟练掌握：</w:t>
      </w:r>
      <w:r>
        <w:rPr>
          <w:rFonts w:ascii="宋体" w:hAnsi="宋体"/>
          <w:szCs w:val="21"/>
        </w:rPr>
        <w:t>透明覆盖材料（塑料薄膜，半硬质塑料膜，硬质塑料板，玻璃，新型多功能覆盖材料）的种类与应用，其它（地膜、透气性覆盖材料）覆盖材料，日光温室外覆盖保温材料的应用</w:t>
      </w:r>
      <w:r>
        <w:rPr>
          <w:rFonts w:hint="eastAsia" w:ascii="宋体" w:hAnsi="宋体"/>
          <w:szCs w:val="21"/>
        </w:rPr>
        <w:t>。</w:t>
      </w:r>
    </w:p>
    <w:p>
      <w:pPr>
        <w:snapToGrid w:val="0"/>
        <w:spacing w:before="156" w:beforeLines="50"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color w:val="262600"/>
          <w:szCs w:val="21"/>
        </w:rPr>
        <w:t>知识：</w:t>
      </w:r>
      <w:r>
        <w:rPr>
          <w:rFonts w:ascii="宋体" w:hAnsi="宋体"/>
          <w:color w:val="262600"/>
          <w:szCs w:val="21"/>
        </w:rPr>
        <w:t>各种覆盖材料的光学特性和热特性</w:t>
      </w:r>
      <w:r>
        <w:rPr>
          <w:rFonts w:ascii="宋体" w:hAnsi="宋体"/>
          <w:szCs w:val="21"/>
        </w:rPr>
        <w:t>和作用。</w:t>
      </w:r>
    </w:p>
    <w:p>
      <w:pPr>
        <w:snapToGrid w:val="0"/>
        <w:spacing w:line="360" w:lineRule="auto"/>
        <w:ind w:firstLine="420" w:firstLineChars="200"/>
        <w:rPr>
          <w:szCs w:val="21"/>
        </w:rPr>
      </w:pPr>
      <w:r>
        <w:rPr>
          <w:rFonts w:hint="eastAsia" w:ascii="宋体" w:hAnsi="宋体"/>
          <w:szCs w:val="21"/>
        </w:rPr>
        <w:t>能力和素质：不同覆盖材料应用范围的选择。</w:t>
      </w:r>
    </w:p>
    <w:p>
      <w:pPr>
        <w:snapToGrid w:val="0"/>
        <w:spacing w:before="156" w:beforeLines="50" w:line="360" w:lineRule="auto"/>
        <w:rPr>
          <w:rFonts w:ascii="宋体" w:hAnsi="宋体"/>
          <w:b/>
          <w:bCs/>
          <w:szCs w:val="21"/>
        </w:rPr>
      </w:pPr>
      <w:r>
        <w:rPr>
          <w:rFonts w:hint="eastAsia" w:ascii="宋体" w:hAnsi="宋体"/>
          <w:b/>
          <w:bCs/>
          <w:szCs w:val="21"/>
        </w:rPr>
        <w:t>（三）考核要求</w:t>
      </w:r>
    </w:p>
    <w:p>
      <w:pPr>
        <w:snapToGrid w:val="0"/>
        <w:spacing w:line="360" w:lineRule="auto"/>
        <w:ind w:firstLine="632" w:firstLineChars="300"/>
        <w:rPr>
          <w:b/>
          <w:bCs/>
          <w:szCs w:val="21"/>
        </w:rPr>
      </w:pPr>
      <w:r>
        <w:rPr>
          <w:b/>
          <w:bCs/>
          <w:szCs w:val="21"/>
        </w:rPr>
        <w:t>1</w:t>
      </w:r>
      <w:r>
        <w:rPr>
          <w:rFonts w:ascii="宋体" w:hAnsi="宋体"/>
          <w:b/>
          <w:bCs/>
          <w:szCs w:val="21"/>
        </w:rPr>
        <w:t>、识记</w:t>
      </w:r>
      <w:r>
        <w:rPr>
          <w:rFonts w:ascii="宋体" w:hAnsi="宋体"/>
          <w:szCs w:val="21"/>
        </w:rPr>
        <w:t>：</w:t>
      </w:r>
      <w:r>
        <w:rPr>
          <w:rFonts w:ascii="宋体" w:hAnsi="宋体"/>
          <w:color w:val="262600"/>
          <w:szCs w:val="21"/>
        </w:rPr>
        <w:t>各种覆盖材料</w:t>
      </w:r>
      <w:r>
        <w:rPr>
          <w:rFonts w:ascii="宋体" w:hAnsi="宋体"/>
          <w:szCs w:val="21"/>
        </w:rPr>
        <w:t>的种类和类型</w:t>
      </w:r>
      <w:r>
        <w:rPr>
          <w:rFonts w:hint="eastAsia" w:ascii="宋体" w:hAnsi="宋体"/>
          <w:szCs w:val="21"/>
        </w:rPr>
        <w:t>。</w:t>
      </w:r>
    </w:p>
    <w:p>
      <w:pPr>
        <w:snapToGrid w:val="0"/>
        <w:spacing w:line="360" w:lineRule="auto"/>
        <w:ind w:firstLine="632" w:firstLineChars="300"/>
        <w:rPr>
          <w:b/>
          <w:bCs/>
          <w:szCs w:val="21"/>
        </w:rPr>
      </w:pPr>
      <w:r>
        <w:rPr>
          <w:b/>
          <w:bCs/>
          <w:szCs w:val="21"/>
        </w:rPr>
        <w:t>2</w:t>
      </w:r>
      <w:r>
        <w:rPr>
          <w:rFonts w:ascii="宋体" w:hAnsi="宋体"/>
          <w:b/>
          <w:bCs/>
          <w:szCs w:val="21"/>
        </w:rPr>
        <w:t>、领会</w:t>
      </w:r>
      <w:r>
        <w:rPr>
          <w:rFonts w:ascii="宋体" w:hAnsi="宋体"/>
          <w:szCs w:val="21"/>
        </w:rPr>
        <w:t>：</w:t>
      </w:r>
      <w:r>
        <w:rPr>
          <w:rFonts w:ascii="宋体" w:hAnsi="宋体"/>
          <w:color w:val="262600"/>
          <w:szCs w:val="21"/>
        </w:rPr>
        <w:t>各种覆盖材料的光学特性和热特性</w:t>
      </w:r>
      <w:r>
        <w:rPr>
          <w:rFonts w:hint="eastAsia" w:ascii="宋体" w:hAnsi="宋体"/>
          <w:color w:val="262600"/>
          <w:szCs w:val="21"/>
        </w:rPr>
        <w:t>。</w:t>
      </w:r>
    </w:p>
    <w:p>
      <w:pPr>
        <w:snapToGrid w:val="0"/>
        <w:spacing w:line="360" w:lineRule="auto"/>
        <w:ind w:firstLine="632" w:firstLineChars="300"/>
        <w:rPr>
          <w:b/>
          <w:bCs/>
          <w:szCs w:val="21"/>
        </w:rPr>
      </w:pPr>
      <w:r>
        <w:rPr>
          <w:b/>
          <w:bCs/>
          <w:szCs w:val="21"/>
        </w:rPr>
        <w:t>3</w:t>
      </w:r>
      <w:r>
        <w:rPr>
          <w:rFonts w:ascii="宋体" w:hAnsi="宋体"/>
          <w:b/>
          <w:bCs/>
          <w:szCs w:val="21"/>
        </w:rPr>
        <w:t>、应用</w:t>
      </w:r>
      <w:r>
        <w:rPr>
          <w:rFonts w:ascii="宋体" w:hAnsi="宋体"/>
          <w:szCs w:val="21"/>
        </w:rPr>
        <w:t>：</w:t>
      </w:r>
      <w:r>
        <w:rPr>
          <w:rFonts w:ascii="宋体" w:hAnsi="宋体"/>
          <w:color w:val="262600"/>
          <w:szCs w:val="21"/>
        </w:rPr>
        <w:t>各种覆盖材料的光学特性和热特性</w:t>
      </w:r>
      <w:r>
        <w:rPr>
          <w:rFonts w:ascii="宋体" w:hAnsi="宋体"/>
          <w:szCs w:val="21"/>
        </w:rPr>
        <w:t>在不同设施类型上的应用</w:t>
      </w:r>
      <w:r>
        <w:rPr>
          <w:rFonts w:hint="eastAsia" w:ascii="宋体" w:hAnsi="宋体"/>
          <w:szCs w:val="21"/>
        </w:rPr>
        <w:t>。</w:t>
      </w:r>
    </w:p>
    <w:p>
      <w:pPr>
        <w:snapToGrid w:val="0"/>
        <w:spacing w:line="360" w:lineRule="auto"/>
        <w:ind w:firstLine="632" w:firstLineChars="300"/>
        <w:rPr>
          <w:b/>
          <w:bCs/>
          <w:szCs w:val="21"/>
        </w:rPr>
      </w:pPr>
      <w:r>
        <w:rPr>
          <w:b/>
          <w:bCs/>
          <w:szCs w:val="21"/>
        </w:rPr>
        <w:t>4</w:t>
      </w:r>
      <w:r>
        <w:rPr>
          <w:rFonts w:ascii="宋体" w:hAnsi="宋体"/>
          <w:b/>
          <w:bCs/>
          <w:szCs w:val="21"/>
        </w:rPr>
        <w:t>、</w:t>
      </w:r>
      <w:r>
        <w:rPr>
          <w:rFonts w:hint="eastAsia" w:ascii="宋体" w:hAnsi="宋体"/>
          <w:b/>
          <w:bCs/>
          <w:szCs w:val="21"/>
        </w:rPr>
        <w:t>分析</w:t>
      </w:r>
      <w:r>
        <w:rPr>
          <w:rFonts w:ascii="宋体" w:hAnsi="宋体"/>
          <w:szCs w:val="21"/>
        </w:rPr>
        <w:t>：</w:t>
      </w:r>
      <w:r>
        <w:rPr>
          <w:b/>
          <w:bCs/>
          <w:szCs w:val="21"/>
        </w:rPr>
        <w:t xml:space="preserve"> </w:t>
      </w:r>
      <w:r>
        <w:rPr>
          <w:rFonts w:ascii="宋体" w:hAnsi="宋体"/>
          <w:color w:val="262600"/>
          <w:szCs w:val="21"/>
        </w:rPr>
        <w:t>各种覆盖材料</w:t>
      </w:r>
      <w:r>
        <w:rPr>
          <w:rFonts w:ascii="宋体" w:hAnsi="宋体"/>
          <w:szCs w:val="21"/>
        </w:rPr>
        <w:t>对设施内环境的影响</w:t>
      </w:r>
      <w:r>
        <w:rPr>
          <w:rFonts w:hint="eastAsia" w:ascii="宋体" w:hAnsi="宋体"/>
          <w:szCs w:val="21"/>
        </w:rPr>
        <w:t>。</w:t>
      </w:r>
    </w:p>
    <w:p>
      <w:pPr>
        <w:spacing w:line="360" w:lineRule="auto"/>
        <w:ind w:firstLine="422" w:firstLineChars="200"/>
        <w:jc w:val="center"/>
        <w:rPr>
          <w:b/>
          <w:bCs/>
          <w:color w:val="262600"/>
          <w:szCs w:val="21"/>
        </w:rPr>
      </w:pPr>
      <w:r>
        <w:rPr>
          <w:rFonts w:ascii="宋体" w:hAnsi="宋体"/>
          <w:b/>
          <w:bCs/>
          <w:color w:val="262600"/>
          <w:szCs w:val="21"/>
        </w:rPr>
        <w:t>第四章</w:t>
      </w:r>
      <w:r>
        <w:rPr>
          <w:b/>
          <w:bCs/>
          <w:color w:val="262600"/>
          <w:szCs w:val="21"/>
        </w:rPr>
        <w:t xml:space="preserve">  </w:t>
      </w:r>
      <w:r>
        <w:rPr>
          <w:rFonts w:ascii="宋体" w:hAnsi="宋体"/>
          <w:b/>
          <w:bCs/>
          <w:color w:val="262600"/>
          <w:szCs w:val="21"/>
        </w:rPr>
        <w:t>设施环境的变化规律及其调控技术</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632" w:firstLineChars="300"/>
        <w:rPr>
          <w:szCs w:val="21"/>
        </w:rPr>
      </w:pPr>
      <w:r>
        <w:rPr>
          <w:b/>
          <w:bCs/>
          <w:szCs w:val="21"/>
        </w:rPr>
        <w:t xml:space="preserve">1. </w:t>
      </w:r>
      <w:r>
        <w:rPr>
          <w:rFonts w:ascii="宋体" w:hAnsi="宋体"/>
          <w:b/>
          <w:bCs/>
          <w:szCs w:val="21"/>
        </w:rPr>
        <w:t>一般了解</w:t>
      </w:r>
      <w:r>
        <w:rPr>
          <w:rFonts w:ascii="宋体" w:hAnsi="宋体"/>
          <w:szCs w:val="21"/>
        </w:rPr>
        <w:t>：</w:t>
      </w:r>
      <w:r>
        <w:rPr>
          <w:rFonts w:ascii="宋体" w:hAnsi="宋体"/>
          <w:color w:val="262600"/>
          <w:szCs w:val="21"/>
        </w:rPr>
        <w:t>设施内环境因素和构成</w:t>
      </w:r>
      <w:r>
        <w:rPr>
          <w:rFonts w:hint="eastAsia" w:ascii="宋体" w:hAnsi="宋体"/>
          <w:color w:val="262600"/>
          <w:szCs w:val="21"/>
        </w:rPr>
        <w:t>。</w:t>
      </w:r>
    </w:p>
    <w:p>
      <w:pPr>
        <w:snapToGrid w:val="0"/>
        <w:spacing w:line="360" w:lineRule="auto"/>
        <w:ind w:firstLine="632" w:firstLineChars="300"/>
        <w:rPr>
          <w:szCs w:val="21"/>
        </w:rPr>
      </w:pPr>
      <w:r>
        <w:rPr>
          <w:b/>
          <w:bCs/>
          <w:szCs w:val="21"/>
        </w:rPr>
        <w:t xml:space="preserve">2. </w:t>
      </w:r>
      <w:r>
        <w:rPr>
          <w:rFonts w:ascii="宋体" w:hAnsi="宋体"/>
          <w:b/>
          <w:bCs/>
          <w:szCs w:val="21"/>
        </w:rPr>
        <w:t>一般掌握</w:t>
      </w:r>
      <w:r>
        <w:rPr>
          <w:rFonts w:ascii="宋体" w:hAnsi="宋体"/>
          <w:szCs w:val="21"/>
        </w:rPr>
        <w:t>：</w:t>
      </w:r>
      <w:r>
        <w:rPr>
          <w:rFonts w:ascii="宋体" w:hAnsi="宋体"/>
          <w:color w:val="262600"/>
          <w:szCs w:val="21"/>
        </w:rPr>
        <w:t>设施内环境条件的变化与设施结构与管理技术的关系</w:t>
      </w:r>
      <w:r>
        <w:rPr>
          <w:rFonts w:hint="eastAsia" w:ascii="宋体" w:hAnsi="宋体"/>
          <w:color w:val="262600"/>
          <w:szCs w:val="21"/>
        </w:rPr>
        <w:t>。</w:t>
      </w:r>
    </w:p>
    <w:p>
      <w:pPr>
        <w:spacing w:line="360" w:lineRule="auto"/>
        <w:ind w:firstLine="632" w:firstLineChars="300"/>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ascii="宋体" w:hAnsi="宋体"/>
          <w:color w:val="262600"/>
          <w:szCs w:val="21"/>
        </w:rPr>
        <w:t>设施内环境条件形成的原因和控制措施</w:t>
      </w:r>
      <w:r>
        <w:rPr>
          <w:rFonts w:hint="eastAsia" w:ascii="宋体" w:hAnsi="宋体"/>
          <w:color w:val="262600"/>
          <w:szCs w:val="21"/>
        </w:rPr>
        <w:t>。</w:t>
      </w:r>
    </w:p>
    <w:p>
      <w:pPr>
        <w:snapToGrid w:val="0"/>
        <w:spacing w:before="156" w:beforeLines="50" w:line="360" w:lineRule="auto"/>
        <w:rPr>
          <w:rFonts w:ascii="宋体" w:hAnsi="宋体"/>
          <w:szCs w:val="21"/>
        </w:rPr>
      </w:pPr>
      <w:r>
        <w:rPr>
          <w:rFonts w:hint="eastAsia" w:ascii="宋体" w:hAnsi="宋体"/>
          <w:b/>
          <w:bCs/>
        </w:rPr>
        <w:t>（二）考核内容</w:t>
      </w:r>
    </w:p>
    <w:p>
      <w:pPr>
        <w:spacing w:line="360" w:lineRule="auto"/>
        <w:ind w:firstLine="420" w:firstLineChars="200"/>
        <w:rPr>
          <w:color w:val="262600"/>
          <w:szCs w:val="21"/>
        </w:rPr>
      </w:pPr>
      <w:r>
        <w:rPr>
          <w:rFonts w:hint="eastAsia"/>
          <w:color w:val="262600"/>
          <w:szCs w:val="21"/>
        </w:rPr>
        <w:t>知识：</w:t>
      </w:r>
    </w:p>
    <w:p>
      <w:pPr>
        <w:spacing w:line="360" w:lineRule="auto"/>
        <w:ind w:firstLine="420" w:firstLineChars="200"/>
        <w:rPr>
          <w:color w:val="262600"/>
          <w:szCs w:val="21"/>
        </w:rPr>
      </w:pPr>
      <w:r>
        <w:rPr>
          <w:color w:val="262600"/>
          <w:szCs w:val="21"/>
        </w:rPr>
        <w:t>1</w:t>
      </w:r>
      <w:r>
        <w:rPr>
          <w:rFonts w:ascii="宋体" w:hAnsi="宋体"/>
          <w:color w:val="262600"/>
          <w:szCs w:val="21"/>
        </w:rPr>
        <w:t>）设施内的光环境特征，影响设施光环境的主要因素，光环境的调控，光照长度的调控，光质的调控。</w:t>
      </w:r>
    </w:p>
    <w:p>
      <w:pPr>
        <w:spacing w:line="360" w:lineRule="auto"/>
        <w:ind w:firstLine="420" w:firstLineChars="200"/>
        <w:rPr>
          <w:color w:val="262600"/>
          <w:szCs w:val="21"/>
        </w:rPr>
      </w:pPr>
      <w:r>
        <w:rPr>
          <w:color w:val="262600"/>
          <w:szCs w:val="21"/>
        </w:rPr>
        <w:t>2</w:t>
      </w:r>
      <w:r>
        <w:rPr>
          <w:rFonts w:ascii="宋体" w:hAnsi="宋体"/>
          <w:color w:val="262600"/>
          <w:szCs w:val="21"/>
        </w:rPr>
        <w:t>）设施内的</w:t>
      </w:r>
      <w:r>
        <w:rPr>
          <w:color w:val="262600"/>
          <w:szCs w:val="21"/>
        </w:rPr>
        <w:t>CO</w:t>
      </w:r>
      <w:r>
        <w:rPr>
          <w:color w:val="262600"/>
          <w:szCs w:val="21"/>
          <w:vertAlign w:val="subscript"/>
        </w:rPr>
        <w:t>2</w:t>
      </w:r>
      <w:r>
        <w:rPr>
          <w:rFonts w:ascii="宋体" w:hAnsi="宋体"/>
          <w:color w:val="262600"/>
          <w:szCs w:val="21"/>
        </w:rPr>
        <w:t>环境，</w:t>
      </w:r>
      <w:r>
        <w:rPr>
          <w:color w:val="262600"/>
          <w:szCs w:val="21"/>
        </w:rPr>
        <w:t>CO</w:t>
      </w:r>
      <w:r>
        <w:rPr>
          <w:color w:val="262600"/>
          <w:szCs w:val="21"/>
          <w:vertAlign w:val="subscript"/>
        </w:rPr>
        <w:t>2</w:t>
      </w:r>
      <w:r>
        <w:rPr>
          <w:rFonts w:ascii="宋体" w:hAnsi="宋体"/>
          <w:color w:val="262600"/>
          <w:szCs w:val="21"/>
        </w:rPr>
        <w:t>施肥技术，</w:t>
      </w:r>
      <w:r>
        <w:rPr>
          <w:color w:val="262600"/>
          <w:szCs w:val="21"/>
        </w:rPr>
        <w:t>CO</w:t>
      </w:r>
      <w:r>
        <w:rPr>
          <w:color w:val="262600"/>
          <w:szCs w:val="21"/>
          <w:vertAlign w:val="subscript"/>
        </w:rPr>
        <w:t>2</w:t>
      </w:r>
      <w:r>
        <w:rPr>
          <w:rFonts w:ascii="宋体" w:hAnsi="宋体"/>
          <w:color w:val="262600"/>
          <w:szCs w:val="21"/>
        </w:rPr>
        <w:t>肥源，其它提高设施</w:t>
      </w:r>
      <w:r>
        <w:rPr>
          <w:color w:val="262600"/>
          <w:szCs w:val="21"/>
        </w:rPr>
        <w:t>CO</w:t>
      </w:r>
      <w:r>
        <w:rPr>
          <w:color w:val="262600"/>
          <w:szCs w:val="21"/>
          <w:vertAlign w:val="subscript"/>
        </w:rPr>
        <w:t>2</w:t>
      </w:r>
      <w:r>
        <w:rPr>
          <w:rFonts w:ascii="宋体" w:hAnsi="宋体"/>
          <w:color w:val="262600"/>
          <w:szCs w:val="21"/>
        </w:rPr>
        <w:t>浓度的方法。</w:t>
      </w:r>
    </w:p>
    <w:p>
      <w:pPr>
        <w:spacing w:line="360" w:lineRule="auto"/>
        <w:ind w:firstLine="420" w:firstLineChars="200"/>
        <w:rPr>
          <w:color w:val="262600"/>
          <w:szCs w:val="21"/>
        </w:rPr>
      </w:pPr>
      <w:r>
        <w:rPr>
          <w:color w:val="262600"/>
          <w:szCs w:val="21"/>
        </w:rPr>
        <w:t>3</w:t>
      </w:r>
      <w:r>
        <w:rPr>
          <w:rFonts w:ascii="宋体" w:hAnsi="宋体"/>
          <w:color w:val="262600"/>
          <w:szCs w:val="21"/>
        </w:rPr>
        <w:t>）温室作物对温度的基本要求，温室的温度环境特点与热平衡，温室的热平衡原理，保温与加温技术，降温技术。</w:t>
      </w:r>
    </w:p>
    <w:p>
      <w:pPr>
        <w:spacing w:line="360" w:lineRule="auto"/>
        <w:ind w:firstLine="420" w:firstLineChars="200"/>
        <w:rPr>
          <w:color w:val="262600"/>
          <w:szCs w:val="21"/>
        </w:rPr>
      </w:pPr>
      <w:r>
        <w:rPr>
          <w:color w:val="262600"/>
          <w:szCs w:val="21"/>
        </w:rPr>
        <w:t>4</w:t>
      </w:r>
      <w:r>
        <w:rPr>
          <w:rFonts w:ascii="宋体" w:hAnsi="宋体"/>
          <w:color w:val="262600"/>
          <w:szCs w:val="21"/>
        </w:rPr>
        <w:t>）设施内湿度环境特征，湿度与设施作物生长发育，设施内湿度环境与病虫害发生的关系，设施湿度环境的调控。</w:t>
      </w:r>
    </w:p>
    <w:p>
      <w:pPr>
        <w:spacing w:line="360" w:lineRule="auto"/>
        <w:ind w:firstLine="420" w:firstLineChars="200"/>
        <w:rPr>
          <w:color w:val="262600"/>
          <w:szCs w:val="21"/>
        </w:rPr>
      </w:pPr>
      <w:r>
        <w:rPr>
          <w:color w:val="262600"/>
          <w:szCs w:val="21"/>
        </w:rPr>
        <w:t>5</w:t>
      </w:r>
      <w:r>
        <w:rPr>
          <w:rFonts w:ascii="宋体" w:hAnsi="宋体"/>
          <w:color w:val="262600"/>
          <w:szCs w:val="21"/>
        </w:rPr>
        <w:t>）设施内气流环境和有害气体。</w:t>
      </w:r>
    </w:p>
    <w:p>
      <w:pPr>
        <w:spacing w:line="360" w:lineRule="auto"/>
        <w:ind w:firstLine="420" w:firstLineChars="200"/>
        <w:rPr>
          <w:color w:val="262600"/>
          <w:szCs w:val="21"/>
        </w:rPr>
      </w:pPr>
      <w:r>
        <w:rPr>
          <w:color w:val="262600"/>
          <w:szCs w:val="21"/>
        </w:rPr>
        <w:t>6</w:t>
      </w:r>
      <w:r>
        <w:rPr>
          <w:rFonts w:ascii="宋体" w:hAnsi="宋体"/>
          <w:color w:val="262600"/>
          <w:szCs w:val="21"/>
        </w:rPr>
        <w:t>）作物连作障碍产生的原因，连作障碍的防治措施，根际环境及其调控。</w:t>
      </w:r>
    </w:p>
    <w:p>
      <w:pPr>
        <w:spacing w:line="360" w:lineRule="auto"/>
        <w:ind w:firstLine="420" w:firstLineChars="200"/>
        <w:rPr>
          <w:color w:val="262600"/>
          <w:szCs w:val="21"/>
        </w:rPr>
      </w:pPr>
      <w:r>
        <w:rPr>
          <w:rFonts w:hint="eastAsia" w:ascii="宋体" w:hAnsi="宋体"/>
          <w:color w:val="262600"/>
          <w:szCs w:val="21"/>
        </w:rPr>
        <w:t>能力和素质：通过理解设施内环境特点，熟练掌握设施</w:t>
      </w:r>
      <w:r>
        <w:rPr>
          <w:rFonts w:ascii="宋体" w:hAnsi="宋体"/>
          <w:color w:val="262600"/>
          <w:szCs w:val="21"/>
        </w:rPr>
        <w:t>环境调控</w:t>
      </w:r>
      <w:r>
        <w:rPr>
          <w:rFonts w:hint="eastAsia" w:ascii="宋体" w:hAnsi="宋体"/>
          <w:color w:val="262600"/>
          <w:szCs w:val="21"/>
        </w:rPr>
        <w:t>的管理技术</w:t>
      </w:r>
      <w:r>
        <w:rPr>
          <w:rFonts w:ascii="宋体" w:hAnsi="宋体"/>
          <w:color w:val="262600"/>
          <w:szCs w:val="21"/>
        </w:rPr>
        <w:t>。</w:t>
      </w:r>
    </w:p>
    <w:p>
      <w:pPr>
        <w:snapToGrid w:val="0"/>
        <w:spacing w:before="156" w:beforeLines="50" w:line="360" w:lineRule="auto"/>
        <w:rPr>
          <w:rFonts w:ascii="宋体" w:hAnsi="宋体"/>
          <w:b/>
          <w:bCs/>
          <w:szCs w:val="21"/>
        </w:rPr>
      </w:pPr>
      <w:r>
        <w:rPr>
          <w:rFonts w:hint="eastAsia" w:ascii="宋体" w:hAnsi="宋体"/>
          <w:b/>
          <w:bCs/>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w:t>
      </w:r>
      <w:r>
        <w:rPr>
          <w:rFonts w:ascii="宋体" w:hAnsi="宋体"/>
          <w:color w:val="262600"/>
          <w:szCs w:val="21"/>
        </w:rPr>
        <w:t>各种环境因素的概念和构成</w:t>
      </w:r>
      <w:r>
        <w:rPr>
          <w:rFonts w:hint="eastAsia" w:ascii="宋体" w:hAnsi="宋体"/>
          <w:color w:val="262600"/>
          <w:szCs w:val="21"/>
        </w:rPr>
        <w:t>。</w:t>
      </w:r>
    </w:p>
    <w:p>
      <w:pPr>
        <w:snapToGrid w:val="0"/>
        <w:spacing w:line="360" w:lineRule="auto"/>
        <w:ind w:firstLine="422" w:firstLineChars="200"/>
        <w:rPr>
          <w:b/>
          <w:bCs/>
          <w:szCs w:val="21"/>
        </w:rPr>
      </w:pPr>
      <w:r>
        <w:rPr>
          <w:b/>
          <w:bCs/>
          <w:szCs w:val="21"/>
        </w:rPr>
        <w:t>2</w:t>
      </w:r>
      <w:r>
        <w:rPr>
          <w:rFonts w:ascii="宋体" w:hAnsi="宋体"/>
          <w:b/>
          <w:bCs/>
          <w:szCs w:val="21"/>
        </w:rPr>
        <w:t>、领会</w:t>
      </w:r>
      <w:r>
        <w:rPr>
          <w:rFonts w:ascii="宋体" w:hAnsi="宋体"/>
          <w:szCs w:val="21"/>
        </w:rPr>
        <w:t>：</w:t>
      </w:r>
      <w:r>
        <w:rPr>
          <w:rFonts w:ascii="宋体" w:hAnsi="宋体"/>
          <w:color w:val="262600"/>
          <w:szCs w:val="21"/>
        </w:rPr>
        <w:t>设施内环境条件的变化与设施结构与管理技术的关系</w:t>
      </w:r>
      <w:r>
        <w:rPr>
          <w:rFonts w:hint="eastAsia" w:ascii="宋体" w:hAnsi="宋体"/>
          <w:color w:val="262600"/>
          <w:szCs w:val="21"/>
        </w:rPr>
        <w:t>。</w:t>
      </w:r>
    </w:p>
    <w:p>
      <w:pPr>
        <w:snapToGrid w:val="0"/>
        <w:spacing w:line="360" w:lineRule="auto"/>
        <w:ind w:firstLine="422" w:firstLineChars="200"/>
        <w:rPr>
          <w:b/>
          <w:bCs/>
          <w:szCs w:val="21"/>
        </w:rPr>
      </w:pPr>
      <w:r>
        <w:rPr>
          <w:b/>
          <w:bCs/>
          <w:szCs w:val="21"/>
        </w:rPr>
        <w:t>3</w:t>
      </w:r>
      <w:r>
        <w:rPr>
          <w:rFonts w:ascii="宋体" w:hAnsi="宋体"/>
          <w:b/>
          <w:bCs/>
          <w:szCs w:val="21"/>
        </w:rPr>
        <w:t>、应用</w:t>
      </w:r>
      <w:r>
        <w:rPr>
          <w:rFonts w:ascii="宋体" w:hAnsi="宋体"/>
          <w:szCs w:val="21"/>
        </w:rPr>
        <w:t>：</w:t>
      </w:r>
      <w:r>
        <w:rPr>
          <w:rFonts w:ascii="宋体" w:hAnsi="宋体"/>
          <w:color w:val="262600"/>
          <w:szCs w:val="21"/>
        </w:rPr>
        <w:t>设施内环境条件调控技术</w:t>
      </w:r>
      <w:r>
        <w:rPr>
          <w:rFonts w:hint="eastAsia" w:ascii="宋体" w:hAnsi="宋体"/>
          <w:color w:val="262600"/>
          <w:szCs w:val="21"/>
        </w:rPr>
        <w:t>。</w:t>
      </w:r>
    </w:p>
    <w:p>
      <w:pPr>
        <w:snapToGrid w:val="0"/>
        <w:spacing w:line="360" w:lineRule="auto"/>
        <w:ind w:firstLine="422" w:firstLineChars="200"/>
        <w:rPr>
          <w:b/>
          <w:bCs/>
          <w:szCs w:val="21"/>
        </w:rPr>
      </w:pPr>
      <w:r>
        <w:rPr>
          <w:b/>
          <w:bCs/>
          <w:szCs w:val="21"/>
        </w:rPr>
        <w:t>4</w:t>
      </w:r>
      <w:r>
        <w:rPr>
          <w:rFonts w:ascii="宋体" w:hAnsi="宋体"/>
          <w:b/>
          <w:bCs/>
          <w:szCs w:val="21"/>
        </w:rPr>
        <w:t>、</w:t>
      </w:r>
      <w:r>
        <w:rPr>
          <w:rFonts w:hint="eastAsia" w:ascii="宋体" w:hAnsi="宋体"/>
          <w:b/>
          <w:bCs/>
          <w:szCs w:val="21"/>
        </w:rPr>
        <w:t>分析</w:t>
      </w:r>
      <w:r>
        <w:rPr>
          <w:rFonts w:ascii="宋体" w:hAnsi="宋体"/>
          <w:szCs w:val="21"/>
        </w:rPr>
        <w:t>：</w:t>
      </w:r>
      <w:r>
        <w:rPr>
          <w:rFonts w:ascii="宋体" w:hAnsi="宋体"/>
          <w:color w:val="262600"/>
          <w:szCs w:val="21"/>
        </w:rPr>
        <w:t>设施环境的综合分析和利用</w:t>
      </w:r>
      <w:r>
        <w:rPr>
          <w:rFonts w:ascii="宋体" w:hAnsi="宋体"/>
          <w:szCs w:val="21"/>
        </w:rPr>
        <w:t>。</w:t>
      </w:r>
    </w:p>
    <w:p>
      <w:pPr>
        <w:spacing w:line="360" w:lineRule="auto"/>
        <w:ind w:firstLine="422" w:firstLineChars="200"/>
        <w:jc w:val="center"/>
        <w:rPr>
          <w:b/>
          <w:bCs/>
          <w:color w:val="262600"/>
          <w:szCs w:val="21"/>
        </w:rPr>
      </w:pPr>
      <w:r>
        <w:rPr>
          <w:rFonts w:ascii="宋体" w:hAnsi="宋体"/>
          <w:b/>
          <w:bCs/>
          <w:color w:val="262600"/>
          <w:szCs w:val="21"/>
        </w:rPr>
        <w:t>第五章</w:t>
      </w:r>
      <w:r>
        <w:rPr>
          <w:b/>
          <w:bCs/>
          <w:color w:val="262600"/>
          <w:szCs w:val="21"/>
        </w:rPr>
        <w:t xml:space="preserve">  </w:t>
      </w:r>
      <w:r>
        <w:rPr>
          <w:rFonts w:ascii="宋体" w:hAnsi="宋体"/>
          <w:b/>
          <w:bCs/>
          <w:color w:val="262600"/>
          <w:szCs w:val="21"/>
        </w:rPr>
        <w:t>设施育苗技术</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422" w:firstLineChars="200"/>
        <w:rPr>
          <w:szCs w:val="21"/>
        </w:rPr>
      </w:pPr>
      <w:r>
        <w:rPr>
          <w:b/>
          <w:bCs/>
          <w:szCs w:val="21"/>
        </w:rPr>
        <w:t xml:space="preserve">1. </w:t>
      </w:r>
      <w:r>
        <w:rPr>
          <w:rFonts w:ascii="宋体" w:hAnsi="宋体"/>
          <w:b/>
          <w:bCs/>
          <w:szCs w:val="21"/>
        </w:rPr>
        <w:t>一般了解</w:t>
      </w:r>
      <w:r>
        <w:rPr>
          <w:rFonts w:ascii="宋体" w:hAnsi="宋体"/>
          <w:szCs w:val="21"/>
        </w:rPr>
        <w:t>：</w:t>
      </w:r>
      <w:r>
        <w:rPr>
          <w:rFonts w:ascii="宋体" w:hAnsi="宋体"/>
          <w:color w:val="262600"/>
          <w:szCs w:val="21"/>
        </w:rPr>
        <w:t>设施育苗的作用和程序、设备和关键技术</w:t>
      </w:r>
      <w:r>
        <w:rPr>
          <w:rFonts w:hint="eastAsia" w:ascii="宋体" w:hAnsi="宋体"/>
          <w:color w:val="262600"/>
          <w:szCs w:val="21"/>
        </w:rPr>
        <w:t>。</w:t>
      </w:r>
    </w:p>
    <w:p>
      <w:pPr>
        <w:snapToGrid w:val="0"/>
        <w:spacing w:line="360" w:lineRule="auto"/>
        <w:ind w:firstLine="422" w:firstLineChars="200"/>
        <w:rPr>
          <w:szCs w:val="21"/>
        </w:rPr>
      </w:pPr>
      <w:r>
        <w:rPr>
          <w:b/>
          <w:bCs/>
          <w:szCs w:val="21"/>
        </w:rPr>
        <w:t xml:space="preserve">2. </w:t>
      </w:r>
      <w:r>
        <w:rPr>
          <w:rFonts w:ascii="宋体" w:hAnsi="宋体"/>
          <w:b/>
          <w:bCs/>
          <w:szCs w:val="21"/>
        </w:rPr>
        <w:t>一般掌握</w:t>
      </w:r>
      <w:r>
        <w:rPr>
          <w:rFonts w:ascii="宋体" w:hAnsi="宋体"/>
          <w:szCs w:val="21"/>
        </w:rPr>
        <w:t>：影响</w:t>
      </w:r>
      <w:r>
        <w:rPr>
          <w:rFonts w:ascii="宋体" w:hAnsi="宋体"/>
          <w:color w:val="262600"/>
          <w:szCs w:val="21"/>
        </w:rPr>
        <w:t>设施育苗成败的主要因素</w:t>
      </w:r>
      <w:r>
        <w:rPr>
          <w:rFonts w:hint="eastAsia" w:ascii="宋体" w:hAnsi="宋体"/>
          <w:color w:val="262600"/>
          <w:szCs w:val="21"/>
        </w:rPr>
        <w:t>。</w:t>
      </w:r>
    </w:p>
    <w:p>
      <w:pPr>
        <w:spacing w:line="360" w:lineRule="auto"/>
        <w:ind w:firstLine="422" w:firstLineChars="200"/>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ascii="宋体" w:hAnsi="宋体"/>
          <w:color w:val="262600"/>
          <w:szCs w:val="21"/>
        </w:rPr>
        <w:t>设施育苗的所有环节</w:t>
      </w:r>
      <w:r>
        <w:rPr>
          <w:rFonts w:hint="eastAsia" w:ascii="宋体" w:hAnsi="宋体"/>
          <w:color w:val="262600"/>
          <w:szCs w:val="21"/>
        </w:rPr>
        <w:t>。</w:t>
      </w:r>
    </w:p>
    <w:p>
      <w:pPr>
        <w:snapToGrid w:val="0"/>
        <w:spacing w:before="156" w:beforeLines="50" w:line="360" w:lineRule="auto"/>
        <w:rPr>
          <w:rFonts w:ascii="宋体" w:hAnsi="宋体"/>
          <w:szCs w:val="21"/>
        </w:rPr>
      </w:pPr>
      <w:r>
        <w:rPr>
          <w:rFonts w:hint="eastAsia" w:ascii="宋体" w:hAnsi="宋体"/>
          <w:b/>
          <w:bCs/>
        </w:rPr>
        <w:t>（二）考核内容</w:t>
      </w:r>
    </w:p>
    <w:p>
      <w:pPr>
        <w:spacing w:line="360" w:lineRule="auto"/>
        <w:ind w:firstLine="420" w:firstLineChars="200"/>
        <w:rPr>
          <w:rFonts w:ascii="宋体" w:hAnsi="宋体"/>
          <w:color w:val="262600"/>
          <w:szCs w:val="21"/>
        </w:rPr>
      </w:pPr>
      <w:r>
        <w:rPr>
          <w:rFonts w:hint="eastAsia" w:ascii="宋体" w:hAnsi="宋体"/>
          <w:color w:val="262600"/>
          <w:szCs w:val="21"/>
        </w:rPr>
        <w:t>知识：</w:t>
      </w:r>
      <w:r>
        <w:rPr>
          <w:rFonts w:ascii="宋体" w:hAnsi="宋体"/>
          <w:color w:val="262600"/>
          <w:szCs w:val="21"/>
        </w:rPr>
        <w:t>基质选配、</w:t>
      </w:r>
      <w:r>
        <w:rPr>
          <w:rFonts w:hint="eastAsia" w:ascii="宋体" w:hAnsi="宋体"/>
          <w:color w:val="262600"/>
          <w:szCs w:val="21"/>
        </w:rPr>
        <w:t>工厂化穴盘</w:t>
      </w:r>
      <w:r>
        <w:rPr>
          <w:rFonts w:ascii="宋体" w:hAnsi="宋体"/>
          <w:color w:val="262600"/>
          <w:szCs w:val="21"/>
        </w:rPr>
        <w:t>育苗</w:t>
      </w:r>
      <w:r>
        <w:rPr>
          <w:rFonts w:hint="eastAsia" w:ascii="宋体" w:hAnsi="宋体"/>
          <w:color w:val="262600"/>
          <w:szCs w:val="21"/>
        </w:rPr>
        <w:t>关键设备及主要流程。</w:t>
      </w:r>
    </w:p>
    <w:p>
      <w:pPr>
        <w:spacing w:line="360" w:lineRule="auto"/>
        <w:ind w:firstLine="420" w:firstLineChars="200"/>
        <w:rPr>
          <w:color w:val="262600"/>
          <w:szCs w:val="21"/>
        </w:rPr>
      </w:pPr>
      <w:r>
        <w:rPr>
          <w:rFonts w:hint="eastAsia" w:ascii="宋体" w:hAnsi="宋体"/>
          <w:color w:val="262600"/>
          <w:szCs w:val="21"/>
        </w:rPr>
        <w:t>能力和素质：掌握</w:t>
      </w:r>
      <w:r>
        <w:rPr>
          <w:rFonts w:ascii="宋体" w:hAnsi="宋体"/>
          <w:color w:val="262600"/>
          <w:szCs w:val="21"/>
        </w:rPr>
        <w:t>营养液配置和苗期管理等</w:t>
      </w:r>
      <w:r>
        <w:rPr>
          <w:rFonts w:hint="eastAsia" w:ascii="宋体" w:hAnsi="宋体"/>
          <w:color w:val="262600"/>
          <w:szCs w:val="21"/>
        </w:rPr>
        <w:t>技术手段</w:t>
      </w:r>
      <w:r>
        <w:rPr>
          <w:rFonts w:ascii="宋体" w:hAnsi="宋体"/>
          <w:color w:val="262600"/>
          <w:szCs w:val="21"/>
        </w:rPr>
        <w:t>。</w:t>
      </w:r>
    </w:p>
    <w:p>
      <w:pPr>
        <w:snapToGrid w:val="0"/>
        <w:spacing w:before="156" w:beforeLines="50" w:line="360" w:lineRule="auto"/>
        <w:rPr>
          <w:rFonts w:ascii="宋体" w:hAnsi="宋体"/>
          <w:b/>
          <w:bCs/>
          <w:szCs w:val="21"/>
        </w:rPr>
      </w:pPr>
      <w:r>
        <w:rPr>
          <w:rFonts w:hint="eastAsia" w:ascii="宋体" w:hAnsi="宋体"/>
          <w:b/>
          <w:bCs/>
          <w:szCs w:val="21"/>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：设施育苗环节</w:t>
      </w:r>
      <w:r>
        <w:rPr>
          <w:rFonts w:ascii="宋体" w:hAnsi="宋体"/>
          <w:color w:val="262600"/>
          <w:szCs w:val="21"/>
        </w:rPr>
        <w:t>的各个概念和构成</w:t>
      </w:r>
      <w:r>
        <w:rPr>
          <w:rFonts w:hint="eastAsia" w:ascii="宋体" w:hAnsi="宋体"/>
          <w:color w:val="262600"/>
          <w:szCs w:val="21"/>
        </w:rPr>
        <w:t>。</w:t>
      </w:r>
    </w:p>
    <w:p>
      <w:pPr>
        <w:snapToGrid w:val="0"/>
        <w:spacing w:line="360" w:lineRule="auto"/>
        <w:ind w:firstLine="422" w:firstLineChars="200"/>
        <w:rPr>
          <w:b/>
          <w:bCs/>
          <w:szCs w:val="21"/>
        </w:rPr>
      </w:pPr>
      <w:r>
        <w:rPr>
          <w:b/>
          <w:bCs/>
          <w:szCs w:val="21"/>
        </w:rPr>
        <w:t>2</w:t>
      </w:r>
      <w:r>
        <w:rPr>
          <w:rFonts w:ascii="宋体" w:hAnsi="宋体"/>
          <w:b/>
          <w:bCs/>
          <w:szCs w:val="21"/>
        </w:rPr>
        <w:t>、领会</w:t>
      </w:r>
      <w:r>
        <w:rPr>
          <w:rFonts w:ascii="宋体" w:hAnsi="宋体"/>
          <w:szCs w:val="21"/>
        </w:rPr>
        <w:t>：影响</w:t>
      </w:r>
      <w:r>
        <w:rPr>
          <w:rFonts w:ascii="宋体" w:hAnsi="宋体"/>
          <w:color w:val="262600"/>
          <w:szCs w:val="21"/>
        </w:rPr>
        <w:t>设施育苗成败的主要因素</w:t>
      </w:r>
      <w:r>
        <w:rPr>
          <w:rFonts w:hint="eastAsia" w:ascii="宋体" w:hAnsi="宋体"/>
          <w:color w:val="262600"/>
          <w:szCs w:val="21"/>
        </w:rPr>
        <w:t>。</w:t>
      </w:r>
    </w:p>
    <w:p>
      <w:pPr>
        <w:snapToGrid w:val="0"/>
        <w:spacing w:line="360" w:lineRule="auto"/>
        <w:ind w:firstLine="422" w:firstLineChars="200"/>
        <w:rPr>
          <w:color w:val="262600"/>
          <w:szCs w:val="21"/>
        </w:rPr>
      </w:pPr>
      <w:r>
        <w:rPr>
          <w:b/>
          <w:bCs/>
          <w:szCs w:val="21"/>
        </w:rPr>
        <w:t>3</w:t>
      </w:r>
      <w:r>
        <w:rPr>
          <w:rFonts w:ascii="宋体" w:hAnsi="宋体"/>
          <w:b/>
          <w:bCs/>
          <w:szCs w:val="21"/>
        </w:rPr>
        <w:t>、应用</w:t>
      </w:r>
      <w:r>
        <w:rPr>
          <w:rFonts w:ascii="宋体" w:hAnsi="宋体"/>
          <w:szCs w:val="21"/>
        </w:rPr>
        <w:t>：</w:t>
      </w:r>
      <w:r>
        <w:rPr>
          <w:rFonts w:ascii="宋体" w:hAnsi="宋体"/>
          <w:color w:val="262600"/>
          <w:szCs w:val="21"/>
        </w:rPr>
        <w:t>设施育苗的所有环节</w:t>
      </w:r>
      <w:r>
        <w:rPr>
          <w:rFonts w:hint="eastAsia" w:ascii="宋体" w:hAnsi="宋体"/>
          <w:color w:val="262600"/>
          <w:szCs w:val="21"/>
        </w:rPr>
        <w:t>。</w:t>
      </w:r>
    </w:p>
    <w:p>
      <w:pPr>
        <w:snapToGrid w:val="0"/>
        <w:spacing w:line="360" w:lineRule="auto"/>
        <w:ind w:firstLine="422" w:firstLineChars="200"/>
        <w:rPr>
          <w:b/>
          <w:bCs/>
          <w:szCs w:val="21"/>
        </w:rPr>
      </w:pPr>
      <w:r>
        <w:rPr>
          <w:b/>
          <w:bCs/>
          <w:szCs w:val="21"/>
        </w:rPr>
        <w:t>4</w:t>
      </w:r>
      <w:r>
        <w:rPr>
          <w:rFonts w:ascii="宋体" w:hAnsi="宋体"/>
          <w:b/>
          <w:bCs/>
          <w:szCs w:val="21"/>
        </w:rPr>
        <w:t>、综合</w:t>
      </w:r>
      <w:r>
        <w:rPr>
          <w:rFonts w:ascii="宋体" w:hAnsi="宋体"/>
          <w:szCs w:val="21"/>
        </w:rPr>
        <w:t>：</w:t>
      </w:r>
      <w:r>
        <w:rPr>
          <w:rFonts w:ascii="宋体" w:hAnsi="宋体"/>
          <w:color w:val="262600"/>
          <w:szCs w:val="21"/>
        </w:rPr>
        <w:t>能够指导开展设施育苗</w:t>
      </w:r>
      <w:r>
        <w:rPr>
          <w:rFonts w:ascii="宋体" w:hAnsi="宋体"/>
          <w:szCs w:val="21"/>
        </w:rPr>
        <w:t>。</w:t>
      </w:r>
    </w:p>
    <w:p>
      <w:pPr>
        <w:snapToGrid w:val="0"/>
        <w:spacing w:line="360" w:lineRule="auto"/>
        <w:jc w:val="center"/>
        <w:rPr>
          <w:b/>
          <w:bCs/>
          <w:color w:val="262600"/>
          <w:szCs w:val="21"/>
        </w:rPr>
      </w:pPr>
      <w:r>
        <w:rPr>
          <w:rFonts w:ascii="宋体" w:hAnsi="宋体"/>
          <w:b/>
          <w:bCs/>
          <w:szCs w:val="21"/>
        </w:rPr>
        <w:t>第六章</w:t>
      </w:r>
      <w:r>
        <w:rPr>
          <w:rFonts w:hint="eastAsia"/>
          <w:b/>
          <w:bCs/>
          <w:szCs w:val="21"/>
        </w:rPr>
        <w:t xml:space="preserve">  </w:t>
      </w:r>
      <w:r>
        <w:rPr>
          <w:rFonts w:ascii="宋体" w:hAnsi="宋体"/>
          <w:b/>
          <w:bCs/>
          <w:color w:val="262600"/>
          <w:szCs w:val="21"/>
        </w:rPr>
        <w:t>主要园艺作物设施栽培技术</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422" w:firstLineChars="200"/>
        <w:rPr>
          <w:bCs/>
          <w:szCs w:val="21"/>
        </w:rPr>
      </w:pPr>
      <w:r>
        <w:rPr>
          <w:rFonts w:hint="eastAsia"/>
          <w:b/>
          <w:bCs/>
          <w:szCs w:val="21"/>
        </w:rPr>
        <w:t>1</w:t>
      </w:r>
      <w:r>
        <w:rPr>
          <w:b/>
          <w:bCs/>
          <w:szCs w:val="21"/>
        </w:rPr>
        <w:t>.一般了解：</w:t>
      </w:r>
      <w:r>
        <w:rPr>
          <w:bCs/>
          <w:szCs w:val="21"/>
        </w:rPr>
        <w:t>主要蔬菜花卉和果蔬在设施内生产的状况</w:t>
      </w:r>
      <w:r>
        <w:rPr>
          <w:rFonts w:hint="eastAsia"/>
          <w:bCs/>
          <w:szCs w:val="21"/>
        </w:rPr>
        <w:t>。</w:t>
      </w:r>
    </w:p>
    <w:p>
      <w:pPr>
        <w:snapToGrid w:val="0"/>
        <w:spacing w:line="360" w:lineRule="auto"/>
        <w:ind w:firstLine="422" w:firstLineChars="200"/>
        <w:rPr>
          <w:bCs/>
          <w:szCs w:val="21"/>
        </w:rPr>
      </w:pPr>
      <w:r>
        <w:rPr>
          <w:b/>
          <w:bCs/>
          <w:szCs w:val="21"/>
        </w:rPr>
        <w:t>2. 一般掌握：</w:t>
      </w:r>
      <w:r>
        <w:rPr>
          <w:bCs/>
          <w:szCs w:val="21"/>
        </w:rPr>
        <w:t>主要蔬菜、果蔬和花卉的设施栽培技术</w:t>
      </w:r>
      <w:r>
        <w:rPr>
          <w:rFonts w:hint="eastAsia"/>
          <w:bCs/>
          <w:szCs w:val="21"/>
        </w:rPr>
        <w:t>。</w:t>
      </w:r>
    </w:p>
    <w:p>
      <w:pPr>
        <w:snapToGrid w:val="0"/>
        <w:spacing w:line="360" w:lineRule="auto"/>
        <w:ind w:firstLine="422" w:firstLineChars="200"/>
        <w:rPr>
          <w:bCs/>
          <w:szCs w:val="21"/>
        </w:rPr>
      </w:pPr>
      <w:r>
        <w:rPr>
          <w:b/>
          <w:bCs/>
          <w:szCs w:val="21"/>
        </w:rPr>
        <w:t>3. 熟练掌握：</w:t>
      </w:r>
      <w:r>
        <w:rPr>
          <w:bCs/>
          <w:szCs w:val="21"/>
        </w:rPr>
        <w:t>主要番茄、黄瓜、芹菜等蔬菜的设施栽培技术和果蔬设施栽培的要求</w:t>
      </w:r>
      <w:r>
        <w:rPr>
          <w:rFonts w:hint="eastAsia"/>
          <w:bCs/>
          <w:szCs w:val="21"/>
        </w:rPr>
        <w:t>。</w:t>
      </w:r>
    </w:p>
    <w:p>
      <w:pPr>
        <w:snapToGrid w:val="0"/>
        <w:spacing w:before="156" w:beforeLines="50" w:line="360" w:lineRule="auto"/>
        <w:rPr>
          <w:rFonts w:ascii="宋体" w:hAnsi="宋体"/>
          <w:szCs w:val="21"/>
        </w:rPr>
      </w:pPr>
      <w:r>
        <w:rPr>
          <w:rFonts w:hint="eastAsia" w:ascii="宋体" w:hAnsi="宋体"/>
          <w:b/>
          <w:bCs/>
        </w:rPr>
        <w:t>（二）考核内容</w:t>
      </w:r>
    </w:p>
    <w:p>
      <w:pPr>
        <w:spacing w:line="360" w:lineRule="auto"/>
        <w:ind w:firstLine="420" w:firstLineChars="200"/>
        <w:rPr>
          <w:rFonts w:ascii="宋体" w:hAnsi="宋体"/>
          <w:color w:val="262600"/>
          <w:szCs w:val="21"/>
        </w:rPr>
      </w:pPr>
      <w:r>
        <w:rPr>
          <w:rFonts w:hint="eastAsia" w:ascii="宋体" w:hAnsi="宋体"/>
          <w:color w:val="262600"/>
          <w:szCs w:val="21"/>
        </w:rPr>
        <w:t>知识：</w:t>
      </w:r>
      <w:r>
        <w:rPr>
          <w:rFonts w:ascii="宋体" w:hAnsi="宋体"/>
          <w:color w:val="262600"/>
          <w:szCs w:val="21"/>
        </w:rPr>
        <w:t>设施栽培方式及茬口类型，瓜类蔬菜的设施栽培，茄果类蔬菜设施栽培，草莓设施栽培，根茎叶菜类蔬菜设施栽培技术，水生蔬菜与野菜的设施栽培，设施栽培花卉的主要种类，切花设施栽培，球根花卉设施，栽培盆花设施栽培、设施类型与果树生长的关系，各种主要果树设施栽培的关键技术等</w:t>
      </w:r>
      <w:r>
        <w:rPr>
          <w:rFonts w:hint="eastAsia" w:ascii="宋体" w:hAnsi="宋体"/>
          <w:color w:val="262600"/>
          <w:szCs w:val="21"/>
        </w:rPr>
        <w:t>。</w:t>
      </w:r>
    </w:p>
    <w:p>
      <w:pPr>
        <w:ind w:firstLine="420" w:firstLineChars="200"/>
        <w:rPr>
          <w:rFonts w:ascii="Calibri" w:hAnsi="Calibri"/>
          <w:szCs w:val="21"/>
        </w:rPr>
      </w:pPr>
      <w:r>
        <w:rPr>
          <w:rFonts w:hint="eastAsia" w:ascii="宋体" w:hAnsi="宋体"/>
          <w:szCs w:val="21"/>
        </w:rPr>
        <w:t>能力和素质：掌握主要园艺作物设施栽培技术要领，提高动手能力。</w:t>
      </w:r>
    </w:p>
    <w:p>
      <w:pPr>
        <w:snapToGrid w:val="0"/>
        <w:spacing w:before="156" w:beforeLines="50" w:line="360" w:lineRule="auto"/>
        <w:rPr>
          <w:rFonts w:ascii="宋体" w:hAnsi="宋体"/>
          <w:b/>
          <w:bCs/>
          <w:szCs w:val="21"/>
        </w:rPr>
      </w:pPr>
      <w:r>
        <w:rPr>
          <w:rFonts w:hint="eastAsia" w:ascii="宋体" w:hAnsi="宋体"/>
          <w:b/>
          <w:bCs/>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：园艺作物对环境的要求</w:t>
      </w:r>
      <w:r>
        <w:rPr>
          <w:rFonts w:hint="eastAsia" w:ascii="宋体" w:hAnsi="宋体"/>
          <w:szCs w:val="21"/>
        </w:rPr>
        <w:t>。</w:t>
      </w:r>
    </w:p>
    <w:p>
      <w:pPr>
        <w:snapToGrid w:val="0"/>
        <w:spacing w:line="360" w:lineRule="auto"/>
        <w:ind w:firstLine="422" w:firstLineChars="200"/>
        <w:rPr>
          <w:b/>
          <w:bCs/>
          <w:szCs w:val="21"/>
        </w:rPr>
      </w:pPr>
      <w:r>
        <w:rPr>
          <w:b/>
          <w:bCs/>
          <w:szCs w:val="21"/>
        </w:rPr>
        <w:t>2</w:t>
      </w:r>
      <w:r>
        <w:rPr>
          <w:rFonts w:ascii="宋体" w:hAnsi="宋体"/>
          <w:b/>
          <w:bCs/>
          <w:szCs w:val="21"/>
        </w:rPr>
        <w:t>、领会</w:t>
      </w:r>
      <w:r>
        <w:rPr>
          <w:rFonts w:ascii="宋体" w:hAnsi="宋体"/>
          <w:szCs w:val="21"/>
        </w:rPr>
        <w:t>：</w:t>
      </w:r>
      <w:r>
        <w:rPr>
          <w:rFonts w:ascii="宋体" w:hAnsi="宋体"/>
          <w:color w:val="262600"/>
          <w:szCs w:val="21"/>
        </w:rPr>
        <w:t>设施栽培方式及茬口类型</w:t>
      </w:r>
      <w:r>
        <w:rPr>
          <w:rFonts w:hint="eastAsia" w:ascii="宋体" w:hAnsi="宋体"/>
          <w:color w:val="262600"/>
          <w:szCs w:val="21"/>
        </w:rPr>
        <w:t>。</w:t>
      </w:r>
    </w:p>
    <w:p>
      <w:pPr>
        <w:snapToGrid w:val="0"/>
        <w:spacing w:line="360" w:lineRule="auto"/>
        <w:ind w:firstLine="422" w:firstLineChars="200"/>
        <w:rPr>
          <w:b/>
          <w:bCs/>
          <w:szCs w:val="21"/>
        </w:rPr>
      </w:pPr>
      <w:r>
        <w:rPr>
          <w:b/>
          <w:bCs/>
          <w:szCs w:val="21"/>
        </w:rPr>
        <w:t>3</w:t>
      </w:r>
      <w:r>
        <w:rPr>
          <w:rFonts w:ascii="宋体" w:hAnsi="宋体"/>
          <w:b/>
          <w:bCs/>
          <w:szCs w:val="21"/>
        </w:rPr>
        <w:t>、应用</w:t>
      </w:r>
      <w:r>
        <w:rPr>
          <w:rFonts w:ascii="宋体" w:hAnsi="宋体"/>
          <w:szCs w:val="21"/>
        </w:rPr>
        <w:t>：各种作物设施栽培的关键程序</w:t>
      </w:r>
      <w:r>
        <w:rPr>
          <w:rFonts w:hint="eastAsia" w:ascii="宋体" w:hAnsi="宋体"/>
          <w:szCs w:val="21"/>
        </w:rPr>
        <w:t>。</w:t>
      </w:r>
    </w:p>
    <w:p>
      <w:pPr>
        <w:snapToGrid w:val="0"/>
        <w:spacing w:line="360" w:lineRule="auto"/>
        <w:ind w:firstLine="422" w:firstLineChars="200"/>
        <w:rPr>
          <w:b/>
          <w:bCs/>
          <w:szCs w:val="21"/>
        </w:rPr>
      </w:pPr>
      <w:r>
        <w:rPr>
          <w:b/>
          <w:bCs/>
          <w:szCs w:val="21"/>
        </w:rPr>
        <w:t>4</w:t>
      </w:r>
      <w:r>
        <w:rPr>
          <w:rFonts w:ascii="宋体" w:hAnsi="宋体"/>
          <w:b/>
          <w:bCs/>
          <w:szCs w:val="21"/>
        </w:rPr>
        <w:t>、综合</w:t>
      </w:r>
      <w:r>
        <w:rPr>
          <w:rFonts w:ascii="宋体" w:hAnsi="宋体"/>
          <w:szCs w:val="21"/>
        </w:rPr>
        <w:t>：主要园艺作物的设施生产技术</w:t>
      </w:r>
      <w:r>
        <w:rPr>
          <w:rFonts w:hint="eastAsia" w:ascii="宋体" w:hAnsi="宋体"/>
          <w:szCs w:val="21"/>
        </w:rPr>
        <w:t>。</w:t>
      </w:r>
    </w:p>
    <w:p>
      <w:pPr>
        <w:spacing w:line="360" w:lineRule="auto"/>
        <w:ind w:firstLine="422" w:firstLineChars="200"/>
        <w:jc w:val="center"/>
        <w:rPr>
          <w:b/>
          <w:bCs/>
          <w:color w:val="262600"/>
          <w:szCs w:val="21"/>
        </w:rPr>
      </w:pPr>
      <w:r>
        <w:rPr>
          <w:rFonts w:ascii="宋体" w:hAnsi="宋体"/>
          <w:b/>
          <w:bCs/>
          <w:color w:val="262600"/>
          <w:szCs w:val="21"/>
        </w:rPr>
        <w:t>第七章</w:t>
      </w:r>
      <w:r>
        <w:rPr>
          <w:b/>
          <w:bCs/>
          <w:color w:val="262600"/>
          <w:szCs w:val="21"/>
        </w:rPr>
        <w:t xml:space="preserve">  </w:t>
      </w:r>
      <w:r>
        <w:rPr>
          <w:rFonts w:ascii="宋体" w:hAnsi="宋体"/>
          <w:b/>
          <w:bCs/>
          <w:color w:val="262600"/>
          <w:szCs w:val="21"/>
        </w:rPr>
        <w:t>无土栽培</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422" w:firstLineChars="200"/>
        <w:rPr>
          <w:color w:val="262600"/>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rFonts w:ascii="宋体" w:hAnsi="宋体"/>
          <w:color w:val="262600"/>
          <w:szCs w:val="21"/>
        </w:rPr>
        <w:t>无土栽培技术的概念和主要类型和方法</w:t>
      </w:r>
      <w:r>
        <w:rPr>
          <w:rFonts w:hint="eastAsia" w:ascii="宋体" w:hAnsi="宋体"/>
          <w:color w:val="262600"/>
          <w:szCs w:val="21"/>
        </w:rPr>
        <w:t>。</w:t>
      </w:r>
    </w:p>
    <w:p>
      <w:pPr>
        <w:snapToGrid w:val="0"/>
        <w:spacing w:line="360" w:lineRule="auto"/>
        <w:ind w:firstLine="422" w:firstLineChars="200"/>
        <w:rPr>
          <w:szCs w:val="21"/>
        </w:rPr>
      </w:pPr>
      <w:r>
        <w:rPr>
          <w:b/>
          <w:bCs/>
          <w:szCs w:val="21"/>
        </w:rPr>
        <w:t xml:space="preserve">2. </w:t>
      </w:r>
      <w:r>
        <w:rPr>
          <w:rFonts w:ascii="宋体" w:hAnsi="宋体"/>
          <w:b/>
          <w:bCs/>
          <w:szCs w:val="21"/>
        </w:rPr>
        <w:t>一般掌握</w:t>
      </w:r>
      <w:r>
        <w:rPr>
          <w:rFonts w:ascii="宋体" w:hAnsi="宋体"/>
          <w:szCs w:val="21"/>
        </w:rPr>
        <w:t>：营养液和基质的理化特点</w:t>
      </w:r>
      <w:r>
        <w:rPr>
          <w:rFonts w:hint="eastAsia" w:ascii="宋体" w:hAnsi="宋体"/>
          <w:szCs w:val="21"/>
        </w:rPr>
        <w:t>。</w:t>
      </w:r>
    </w:p>
    <w:p>
      <w:pPr>
        <w:snapToGrid w:val="0"/>
        <w:spacing w:line="360" w:lineRule="auto"/>
        <w:ind w:firstLine="422" w:firstLineChars="200"/>
        <w:rPr>
          <w:color w:val="262600"/>
          <w:szCs w:val="21"/>
        </w:rPr>
      </w:pPr>
      <w:r>
        <w:rPr>
          <w:b/>
          <w:bCs/>
          <w:szCs w:val="21"/>
        </w:rPr>
        <w:t xml:space="preserve">3. </w:t>
      </w:r>
      <w:r>
        <w:rPr>
          <w:rFonts w:ascii="宋体" w:hAnsi="宋体"/>
          <w:b/>
          <w:bCs/>
          <w:szCs w:val="21"/>
        </w:rPr>
        <w:t>熟练掌握</w:t>
      </w:r>
      <w:r>
        <w:rPr>
          <w:rFonts w:ascii="宋体" w:hAnsi="宋体"/>
          <w:szCs w:val="21"/>
        </w:rPr>
        <w:t>：营养液的配制和管理</w:t>
      </w:r>
      <w:r>
        <w:rPr>
          <w:rFonts w:hint="eastAsia" w:ascii="宋体" w:hAnsi="宋体"/>
          <w:szCs w:val="21"/>
        </w:rPr>
        <w:t>。</w:t>
      </w:r>
    </w:p>
    <w:p>
      <w:pPr>
        <w:snapToGrid w:val="0"/>
        <w:spacing w:before="156" w:beforeLines="50" w:line="360" w:lineRule="auto"/>
        <w:rPr>
          <w:rFonts w:ascii="宋体" w:hAnsi="宋体"/>
          <w:szCs w:val="21"/>
        </w:rPr>
      </w:pPr>
      <w:r>
        <w:rPr>
          <w:rFonts w:hint="eastAsia" w:ascii="宋体" w:hAnsi="宋体"/>
          <w:b/>
          <w:bCs/>
        </w:rPr>
        <w:t>（二）考核内容</w:t>
      </w:r>
    </w:p>
    <w:p>
      <w:pPr>
        <w:spacing w:line="360" w:lineRule="auto"/>
        <w:ind w:firstLine="420" w:firstLineChars="200"/>
        <w:rPr>
          <w:rFonts w:ascii="宋体" w:hAnsi="宋体"/>
          <w:color w:val="262600"/>
          <w:szCs w:val="21"/>
        </w:rPr>
      </w:pPr>
      <w:r>
        <w:rPr>
          <w:rFonts w:hint="eastAsia" w:ascii="宋体" w:hAnsi="宋体"/>
          <w:color w:val="262600"/>
          <w:szCs w:val="21"/>
        </w:rPr>
        <w:t>知识：</w:t>
      </w:r>
      <w:r>
        <w:rPr>
          <w:rFonts w:ascii="宋体" w:hAnsi="宋体"/>
          <w:color w:val="262600"/>
          <w:szCs w:val="21"/>
        </w:rPr>
        <w:t>无土栽培的概念、类型、营养液的构成和管理、无土栽培的应用等。</w:t>
      </w:r>
    </w:p>
    <w:p>
      <w:pPr>
        <w:spacing w:line="360" w:lineRule="auto"/>
        <w:ind w:firstLine="420" w:firstLineChars="200"/>
        <w:rPr>
          <w:color w:val="262600"/>
          <w:szCs w:val="21"/>
        </w:rPr>
      </w:pPr>
      <w:r>
        <w:rPr>
          <w:rFonts w:hint="eastAsia" w:ascii="宋体" w:hAnsi="宋体"/>
          <w:color w:val="262600"/>
          <w:szCs w:val="21"/>
        </w:rPr>
        <w:t>能力和素质：营养液和基质理化性质的测定及管理。</w:t>
      </w:r>
    </w:p>
    <w:p>
      <w:pPr>
        <w:snapToGrid w:val="0"/>
        <w:spacing w:before="156" w:beforeLines="50" w:line="360" w:lineRule="auto"/>
        <w:rPr>
          <w:rFonts w:ascii="宋体" w:hAnsi="宋体"/>
          <w:b/>
          <w:bCs/>
          <w:szCs w:val="21"/>
        </w:rPr>
      </w:pPr>
      <w:r>
        <w:rPr>
          <w:rFonts w:hint="eastAsia" w:ascii="宋体" w:hAnsi="宋体"/>
          <w:b/>
          <w:bCs/>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：营养液和基质的理化特性</w:t>
      </w:r>
      <w:r>
        <w:rPr>
          <w:rFonts w:hint="eastAsia" w:ascii="宋体" w:hAnsi="宋体"/>
          <w:szCs w:val="21"/>
        </w:rPr>
        <w:t>。</w:t>
      </w:r>
    </w:p>
    <w:p>
      <w:pPr>
        <w:snapToGrid w:val="0"/>
        <w:spacing w:line="360" w:lineRule="auto"/>
        <w:ind w:firstLine="422" w:firstLineChars="200"/>
        <w:rPr>
          <w:color w:val="262600"/>
          <w:szCs w:val="21"/>
        </w:rPr>
      </w:pPr>
      <w:r>
        <w:rPr>
          <w:b/>
          <w:bCs/>
          <w:szCs w:val="21"/>
        </w:rPr>
        <w:t>2</w:t>
      </w:r>
      <w:r>
        <w:rPr>
          <w:rFonts w:ascii="宋体" w:hAnsi="宋体"/>
          <w:b/>
          <w:bCs/>
          <w:szCs w:val="21"/>
        </w:rPr>
        <w:t>、领会</w:t>
      </w:r>
      <w:r>
        <w:rPr>
          <w:rFonts w:ascii="宋体" w:hAnsi="宋体"/>
          <w:szCs w:val="21"/>
        </w:rPr>
        <w:t>：</w:t>
      </w:r>
      <w:r>
        <w:rPr>
          <w:rFonts w:ascii="宋体" w:hAnsi="宋体"/>
          <w:color w:val="262600"/>
          <w:szCs w:val="21"/>
        </w:rPr>
        <w:t>盖章无土栽培形式各个结构的功能</w:t>
      </w:r>
      <w:r>
        <w:rPr>
          <w:rFonts w:hint="eastAsia" w:ascii="宋体" w:hAnsi="宋体"/>
          <w:color w:val="262600"/>
          <w:szCs w:val="21"/>
        </w:rPr>
        <w:t>。</w:t>
      </w:r>
    </w:p>
    <w:p>
      <w:pPr>
        <w:snapToGrid w:val="0"/>
        <w:spacing w:line="360" w:lineRule="auto"/>
        <w:ind w:firstLine="422" w:firstLineChars="200"/>
        <w:rPr>
          <w:b/>
          <w:bCs/>
          <w:szCs w:val="21"/>
        </w:rPr>
      </w:pPr>
      <w:r>
        <w:rPr>
          <w:b/>
          <w:bCs/>
          <w:szCs w:val="21"/>
        </w:rPr>
        <w:t>3</w:t>
      </w:r>
      <w:r>
        <w:rPr>
          <w:rFonts w:ascii="宋体" w:hAnsi="宋体"/>
          <w:b/>
          <w:bCs/>
          <w:szCs w:val="21"/>
        </w:rPr>
        <w:t>、应用</w:t>
      </w:r>
      <w:r>
        <w:rPr>
          <w:rFonts w:ascii="宋体" w:hAnsi="宋体"/>
          <w:szCs w:val="21"/>
        </w:rPr>
        <w:t>：</w:t>
      </w:r>
      <w:r>
        <w:rPr>
          <w:rFonts w:ascii="宋体" w:hAnsi="宋体"/>
          <w:color w:val="262600"/>
          <w:szCs w:val="21"/>
        </w:rPr>
        <w:t>无土栽培技术</w:t>
      </w:r>
      <w:r>
        <w:rPr>
          <w:rFonts w:ascii="宋体" w:hAnsi="宋体"/>
          <w:szCs w:val="21"/>
        </w:rPr>
        <w:t>的关键程序</w:t>
      </w:r>
      <w:r>
        <w:rPr>
          <w:rFonts w:hint="eastAsia" w:ascii="宋体" w:hAnsi="宋体"/>
          <w:szCs w:val="21"/>
        </w:rPr>
        <w:t>。</w:t>
      </w:r>
    </w:p>
    <w:p>
      <w:pPr>
        <w:snapToGrid w:val="0"/>
        <w:spacing w:line="360" w:lineRule="auto"/>
        <w:ind w:firstLine="422" w:firstLineChars="200"/>
        <w:rPr>
          <w:b/>
          <w:bCs/>
          <w:szCs w:val="21"/>
        </w:rPr>
      </w:pPr>
      <w:r>
        <w:rPr>
          <w:b/>
          <w:bCs/>
          <w:szCs w:val="21"/>
        </w:rPr>
        <w:t>4</w:t>
      </w:r>
      <w:r>
        <w:rPr>
          <w:rFonts w:ascii="宋体" w:hAnsi="宋体"/>
          <w:b/>
          <w:bCs/>
          <w:szCs w:val="21"/>
        </w:rPr>
        <w:t>、综合</w:t>
      </w:r>
      <w:r>
        <w:rPr>
          <w:rFonts w:ascii="宋体" w:hAnsi="宋体"/>
          <w:szCs w:val="21"/>
        </w:rPr>
        <w:t>：能够设计无土栽培类型</w:t>
      </w:r>
      <w:r>
        <w:rPr>
          <w:rFonts w:hint="eastAsia" w:ascii="宋体" w:hAnsi="宋体"/>
          <w:szCs w:val="21"/>
        </w:rPr>
        <w:t>。</w:t>
      </w:r>
    </w:p>
    <w:p>
      <w:pPr>
        <w:spacing w:line="360" w:lineRule="auto"/>
        <w:jc w:val="center"/>
        <w:rPr>
          <w:b/>
          <w:bCs/>
          <w:color w:val="262600"/>
          <w:szCs w:val="21"/>
        </w:rPr>
      </w:pPr>
      <w:r>
        <w:rPr>
          <w:rFonts w:ascii="宋体" w:hAnsi="宋体"/>
          <w:b/>
          <w:bCs/>
          <w:color w:val="262600"/>
          <w:szCs w:val="21"/>
        </w:rPr>
        <w:t>第八章</w:t>
      </w:r>
      <w:r>
        <w:rPr>
          <w:b/>
          <w:bCs/>
          <w:color w:val="262600"/>
          <w:szCs w:val="21"/>
        </w:rPr>
        <w:t xml:space="preserve">  </w:t>
      </w:r>
      <w:r>
        <w:rPr>
          <w:rFonts w:ascii="宋体" w:hAnsi="宋体"/>
          <w:b/>
          <w:bCs/>
          <w:color w:val="262600"/>
          <w:szCs w:val="21"/>
        </w:rPr>
        <w:t>设施园艺新技术</w:t>
      </w:r>
    </w:p>
    <w:p>
      <w:pPr>
        <w:snapToGrid w:val="0"/>
        <w:spacing w:line="360" w:lineRule="auto"/>
        <w:rPr>
          <w:rFonts w:ascii="宋体" w:hAnsi="宋体"/>
          <w:b/>
          <w:bCs/>
          <w:szCs w:val="21"/>
        </w:rPr>
      </w:pPr>
      <w:r>
        <w:rPr>
          <w:rFonts w:hint="eastAsia" w:ascii="宋体" w:hAnsi="宋体"/>
          <w:b/>
          <w:bCs/>
        </w:rPr>
        <w:t>（一）学习目标</w:t>
      </w:r>
    </w:p>
    <w:p>
      <w:pPr>
        <w:spacing w:line="360" w:lineRule="auto"/>
        <w:ind w:firstLine="422" w:firstLineChars="200"/>
        <w:rPr>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rFonts w:hint="eastAsia" w:ascii="宋体" w:hAnsi="宋体"/>
          <w:color w:val="262600"/>
        </w:rPr>
        <w:t>了解植物工厂</w:t>
      </w:r>
      <w:r>
        <w:rPr>
          <w:rFonts w:ascii="宋体" w:hAnsi="宋体"/>
          <w:color w:val="262600"/>
        </w:rPr>
        <w:t>的发展历史及研究进展</w:t>
      </w:r>
      <w:r>
        <w:rPr>
          <w:rFonts w:hint="eastAsia" w:ascii="宋体" w:hAnsi="宋体"/>
          <w:color w:val="262600"/>
          <w:szCs w:val="21"/>
        </w:rPr>
        <w:t>。</w:t>
      </w:r>
    </w:p>
    <w:p>
      <w:pPr>
        <w:snapToGrid w:val="0"/>
        <w:spacing w:line="360" w:lineRule="auto"/>
        <w:ind w:firstLine="422" w:firstLineChars="200"/>
        <w:rPr>
          <w:szCs w:val="21"/>
        </w:rPr>
      </w:pPr>
      <w:r>
        <w:rPr>
          <w:b/>
          <w:bCs/>
          <w:szCs w:val="21"/>
        </w:rPr>
        <w:t xml:space="preserve">2. </w:t>
      </w:r>
      <w:r>
        <w:rPr>
          <w:rFonts w:ascii="宋体" w:hAnsi="宋体"/>
          <w:b/>
          <w:bCs/>
          <w:szCs w:val="21"/>
        </w:rPr>
        <w:t>一般掌握</w:t>
      </w:r>
      <w:r>
        <w:rPr>
          <w:rFonts w:ascii="宋体" w:hAnsi="宋体"/>
          <w:szCs w:val="21"/>
        </w:rPr>
        <w:t>：</w:t>
      </w:r>
      <w:r>
        <w:rPr>
          <w:rFonts w:hint="eastAsia" w:ascii="宋体" w:hAnsi="宋体"/>
          <w:szCs w:val="21"/>
        </w:rPr>
        <w:t>理解植物工厂、太空农业的概念、不同植物工厂的类型。</w:t>
      </w:r>
    </w:p>
    <w:p>
      <w:pPr>
        <w:snapToGrid w:val="0"/>
        <w:spacing w:line="360" w:lineRule="auto"/>
        <w:ind w:firstLine="422" w:firstLineChars="200"/>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ascii="宋体" w:hAnsi="宋体"/>
          <w:szCs w:val="21"/>
        </w:rPr>
        <w:t>植物工厂的主要设施设备及生产关键技术。</w:t>
      </w:r>
    </w:p>
    <w:p>
      <w:pPr>
        <w:snapToGrid w:val="0"/>
        <w:spacing w:before="156" w:beforeLines="50" w:line="360" w:lineRule="auto"/>
        <w:rPr>
          <w:rFonts w:ascii="宋体" w:hAnsi="宋体"/>
          <w:szCs w:val="21"/>
        </w:rPr>
      </w:pPr>
      <w:r>
        <w:rPr>
          <w:rFonts w:hint="eastAsia" w:ascii="宋体" w:hAnsi="宋体"/>
          <w:b/>
          <w:bCs/>
        </w:rPr>
        <w:t>（二）考核内容</w:t>
      </w:r>
    </w:p>
    <w:p>
      <w:pPr>
        <w:spacing w:line="360" w:lineRule="auto"/>
        <w:ind w:firstLine="420" w:firstLineChars="200"/>
        <w:rPr>
          <w:rFonts w:ascii="宋体" w:hAnsi="宋体"/>
          <w:color w:val="262600"/>
          <w:szCs w:val="21"/>
        </w:rPr>
      </w:pPr>
      <w:r>
        <w:rPr>
          <w:rFonts w:hint="eastAsia" w:ascii="宋体" w:hAnsi="宋体"/>
          <w:color w:val="262600"/>
          <w:szCs w:val="21"/>
        </w:rPr>
        <w:t>知识：</w:t>
      </w:r>
      <w:r>
        <w:rPr>
          <w:rFonts w:hint="eastAsia" w:ascii="宋体" w:hAnsi="宋体"/>
          <w:szCs w:val="21"/>
        </w:rPr>
        <w:t>解植物工厂</w:t>
      </w:r>
      <w:r>
        <w:rPr>
          <w:rFonts w:ascii="宋体" w:hAnsi="宋体"/>
          <w:color w:val="262600"/>
          <w:szCs w:val="21"/>
        </w:rPr>
        <w:t>的概念、</w:t>
      </w:r>
      <w:r>
        <w:rPr>
          <w:rFonts w:hint="eastAsia" w:ascii="宋体" w:hAnsi="宋体"/>
          <w:szCs w:val="21"/>
        </w:rPr>
        <w:t>植物工厂的主要设施设备及生产关键技术</w:t>
      </w:r>
      <w:r>
        <w:rPr>
          <w:rFonts w:ascii="宋体" w:hAnsi="宋体"/>
          <w:color w:val="262600"/>
          <w:szCs w:val="21"/>
        </w:rPr>
        <w:t>等。</w:t>
      </w:r>
    </w:p>
    <w:p>
      <w:pPr>
        <w:spacing w:line="360" w:lineRule="auto"/>
        <w:ind w:firstLine="420" w:firstLineChars="200"/>
        <w:rPr>
          <w:color w:val="262600"/>
          <w:szCs w:val="21"/>
        </w:rPr>
      </w:pPr>
      <w:r>
        <w:rPr>
          <w:rFonts w:hint="eastAsia" w:ascii="宋体" w:hAnsi="宋体"/>
          <w:color w:val="262600"/>
          <w:szCs w:val="21"/>
        </w:rPr>
        <w:t>能力和素质：植物工厂设计。</w:t>
      </w:r>
    </w:p>
    <w:p>
      <w:pPr>
        <w:snapToGrid w:val="0"/>
        <w:spacing w:before="156" w:beforeLines="50" w:line="360" w:lineRule="auto"/>
        <w:rPr>
          <w:rFonts w:ascii="宋体" w:hAnsi="宋体"/>
          <w:b/>
          <w:bCs/>
          <w:szCs w:val="21"/>
        </w:rPr>
      </w:pPr>
      <w:r>
        <w:rPr>
          <w:rFonts w:hint="eastAsia" w:ascii="宋体" w:hAnsi="宋体"/>
          <w:b/>
          <w:bCs/>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w:t>
      </w:r>
      <w:r>
        <w:rPr>
          <w:rFonts w:hint="eastAsia" w:ascii="宋体" w:hAnsi="宋体"/>
          <w:szCs w:val="21"/>
        </w:rPr>
        <w:t>植物工厂的发展概况。</w:t>
      </w:r>
    </w:p>
    <w:p>
      <w:pPr>
        <w:snapToGrid w:val="0"/>
        <w:spacing w:line="360" w:lineRule="auto"/>
        <w:ind w:firstLine="422" w:firstLineChars="200"/>
        <w:rPr>
          <w:color w:val="262600"/>
          <w:szCs w:val="21"/>
        </w:rPr>
      </w:pPr>
      <w:r>
        <w:rPr>
          <w:b/>
          <w:bCs/>
          <w:szCs w:val="21"/>
        </w:rPr>
        <w:t>2</w:t>
      </w:r>
      <w:r>
        <w:rPr>
          <w:rFonts w:ascii="宋体" w:hAnsi="宋体"/>
          <w:b/>
          <w:bCs/>
          <w:szCs w:val="21"/>
        </w:rPr>
        <w:t>、领会</w:t>
      </w:r>
      <w:r>
        <w:rPr>
          <w:rFonts w:ascii="宋体" w:hAnsi="宋体"/>
          <w:szCs w:val="21"/>
        </w:rPr>
        <w:t>：</w:t>
      </w:r>
      <w:r>
        <w:rPr>
          <w:rFonts w:hint="eastAsia" w:ascii="宋体" w:hAnsi="宋体"/>
          <w:color w:val="262600"/>
          <w:szCs w:val="21"/>
        </w:rPr>
        <w:t>植物工厂的类型与分类。</w:t>
      </w:r>
    </w:p>
    <w:p>
      <w:pPr>
        <w:snapToGrid w:val="0"/>
        <w:spacing w:line="360" w:lineRule="auto"/>
        <w:ind w:firstLine="422" w:firstLineChars="200"/>
        <w:rPr>
          <w:b/>
          <w:bCs/>
          <w:szCs w:val="21"/>
        </w:rPr>
      </w:pPr>
      <w:r>
        <w:rPr>
          <w:b/>
          <w:bCs/>
          <w:szCs w:val="21"/>
        </w:rPr>
        <w:t>3</w:t>
      </w:r>
      <w:r>
        <w:rPr>
          <w:rFonts w:ascii="宋体" w:hAnsi="宋体"/>
          <w:b/>
          <w:bCs/>
          <w:szCs w:val="21"/>
        </w:rPr>
        <w:t>、应用</w:t>
      </w:r>
      <w:r>
        <w:rPr>
          <w:rFonts w:ascii="宋体" w:hAnsi="宋体"/>
          <w:szCs w:val="21"/>
        </w:rPr>
        <w:t>：</w:t>
      </w:r>
      <w:r>
        <w:rPr>
          <w:rFonts w:hint="eastAsia" w:ascii="宋体" w:hAnsi="宋体"/>
          <w:color w:val="262600"/>
          <w:szCs w:val="21"/>
        </w:rPr>
        <w:t>植物工厂的关键设施设备及应用</w:t>
      </w:r>
      <w:r>
        <w:rPr>
          <w:rFonts w:hint="eastAsia" w:ascii="宋体" w:hAnsi="宋体"/>
          <w:szCs w:val="21"/>
        </w:rPr>
        <w:t>。</w:t>
      </w:r>
    </w:p>
    <w:p>
      <w:pPr>
        <w:snapToGrid w:val="0"/>
        <w:spacing w:line="360" w:lineRule="auto"/>
        <w:ind w:firstLine="422" w:firstLineChars="200"/>
        <w:rPr>
          <w:b/>
          <w:bCs/>
          <w:szCs w:val="21"/>
        </w:rPr>
      </w:pPr>
      <w:r>
        <w:rPr>
          <w:b/>
          <w:bCs/>
          <w:szCs w:val="21"/>
        </w:rPr>
        <w:t>4</w:t>
      </w:r>
      <w:r>
        <w:rPr>
          <w:rFonts w:ascii="宋体" w:hAnsi="宋体"/>
          <w:b/>
          <w:bCs/>
          <w:szCs w:val="21"/>
        </w:rPr>
        <w:t>、综合</w:t>
      </w:r>
      <w:r>
        <w:rPr>
          <w:rFonts w:ascii="宋体" w:hAnsi="宋体"/>
          <w:szCs w:val="21"/>
        </w:rPr>
        <w:t>：能够设计</w:t>
      </w:r>
      <w:r>
        <w:rPr>
          <w:rFonts w:hint="eastAsia" w:ascii="宋体" w:hAnsi="宋体"/>
          <w:szCs w:val="21"/>
        </w:rPr>
        <w:t>小型植物工厂。</w:t>
      </w:r>
    </w:p>
    <w:p>
      <w:pPr>
        <w:snapToGrid w:val="0"/>
        <w:spacing w:line="360" w:lineRule="auto"/>
        <w:rPr>
          <w:rFonts w:ascii="宋体" w:hAnsi="宋体"/>
          <w:b/>
          <w:szCs w:val="21"/>
        </w:rPr>
      </w:pPr>
      <w:r>
        <w:rPr>
          <w:rFonts w:hint="eastAsia" w:ascii="宋体" w:hAnsi="宋体"/>
          <w:b/>
          <w:szCs w:val="21"/>
        </w:rPr>
        <w:t>三、实验、实习教学部分的考核要求</w:t>
      </w:r>
    </w:p>
    <w:p>
      <w:pPr>
        <w:snapToGrid w:val="0"/>
        <w:spacing w:line="360" w:lineRule="auto"/>
        <w:ind w:firstLine="420" w:firstLineChars="200"/>
        <w:rPr>
          <w:rFonts w:ascii="宋体" w:hAnsi="Calibri"/>
          <w:color w:val="000000"/>
          <w:szCs w:val="21"/>
        </w:rPr>
      </w:pPr>
      <w:r>
        <w:rPr>
          <w:rFonts w:hint="eastAsia" w:ascii="宋体" w:hAnsi="宋体"/>
          <w:color w:val="000000"/>
          <w:szCs w:val="21"/>
        </w:rPr>
        <w:t>1.具有良好的团队精神，在实验操作与实习过程中能够相互协作、相互帮助。</w:t>
      </w:r>
    </w:p>
    <w:p>
      <w:pPr>
        <w:snapToGrid w:val="0"/>
        <w:spacing w:line="360" w:lineRule="auto"/>
        <w:ind w:firstLine="420" w:firstLineChars="200"/>
        <w:rPr>
          <w:rFonts w:ascii="宋体" w:hAnsi="Calibri"/>
          <w:color w:val="000000"/>
          <w:szCs w:val="21"/>
        </w:rPr>
      </w:pPr>
      <w:r>
        <w:rPr>
          <w:rFonts w:hint="eastAsia" w:ascii="宋体" w:hAnsi="宋体"/>
          <w:color w:val="000000"/>
          <w:szCs w:val="21"/>
        </w:rPr>
        <w:t>2.能够正确使用实验中所使用的仪器设备，规范操作。</w:t>
      </w:r>
    </w:p>
    <w:p>
      <w:pPr>
        <w:snapToGrid w:val="0"/>
        <w:spacing w:line="360" w:lineRule="auto"/>
        <w:ind w:firstLine="420" w:firstLineChars="200"/>
        <w:rPr>
          <w:rFonts w:ascii="宋体" w:hAnsi="Calibri"/>
          <w:color w:val="000000"/>
          <w:szCs w:val="21"/>
        </w:rPr>
      </w:pPr>
      <w:r>
        <w:rPr>
          <w:rFonts w:hint="eastAsia" w:ascii="宋体" w:hAnsi="宋体"/>
          <w:color w:val="000000"/>
          <w:szCs w:val="21"/>
        </w:rPr>
        <w:t>3.能够根据实验与实习的任务、目的，设计合理的实验、实习方案与步骤，并合理安排。</w:t>
      </w:r>
    </w:p>
    <w:p>
      <w:pPr>
        <w:snapToGrid w:val="0"/>
        <w:spacing w:line="360" w:lineRule="auto"/>
        <w:ind w:firstLine="420" w:firstLineChars="200"/>
        <w:rPr>
          <w:rFonts w:ascii="宋体" w:hAnsi="Calibri"/>
          <w:color w:val="000000"/>
          <w:szCs w:val="21"/>
        </w:rPr>
      </w:pPr>
      <w:r>
        <w:rPr>
          <w:rFonts w:ascii="宋体" w:hAnsi="宋体"/>
          <w:color w:val="000000"/>
          <w:szCs w:val="21"/>
        </w:rPr>
        <w:t>4</w:t>
      </w:r>
      <w:r>
        <w:rPr>
          <w:rFonts w:hint="eastAsia" w:ascii="宋体" w:hAnsi="宋体"/>
          <w:color w:val="000000"/>
          <w:szCs w:val="21"/>
        </w:rPr>
        <w:t>.正确分析试验结果，能够结合理论知识，对实验现象、实验结果做出正确合理的解释。</w:t>
      </w:r>
    </w:p>
    <w:p>
      <w:pPr>
        <w:snapToGrid w:val="0"/>
        <w:spacing w:line="360" w:lineRule="auto"/>
        <w:ind w:firstLine="420" w:firstLineChars="200"/>
        <w:rPr>
          <w:rFonts w:ascii="宋体" w:hAnsi="宋体"/>
          <w:color w:val="000000"/>
          <w:szCs w:val="21"/>
        </w:rPr>
      </w:pPr>
      <w:r>
        <w:rPr>
          <w:rFonts w:ascii="宋体" w:hAnsi="宋体"/>
          <w:color w:val="000000"/>
          <w:szCs w:val="21"/>
        </w:rPr>
        <w:t>5</w:t>
      </w:r>
      <w:r>
        <w:rPr>
          <w:rFonts w:hint="eastAsia" w:ascii="宋体" w:hAnsi="宋体"/>
          <w:color w:val="000000"/>
          <w:szCs w:val="21"/>
        </w:rPr>
        <w:t>.掌握正确的数据处理方法，能够独立撰写实验、实习报告。</w:t>
      </w:r>
    </w:p>
    <w:p>
      <w:pPr>
        <w:snapToGrid w:val="0"/>
        <w:spacing w:line="360" w:lineRule="auto"/>
        <w:rPr>
          <w:rFonts w:ascii="宋体" w:hAnsi="宋体"/>
          <w:b/>
          <w:szCs w:val="21"/>
        </w:rPr>
      </w:pPr>
      <w:r>
        <w:rPr>
          <w:rFonts w:hint="eastAsia" w:ascii="宋体" w:hAnsi="宋体"/>
          <w:b/>
          <w:szCs w:val="21"/>
        </w:rPr>
        <w:t>四、考核方式</w:t>
      </w:r>
    </w:p>
    <w:p>
      <w:pPr>
        <w:spacing w:line="400" w:lineRule="exact"/>
        <w:ind w:firstLine="420" w:firstLineChars="200"/>
        <w:rPr>
          <w:rFonts w:ascii="Calibri" w:hAnsi="Calibri"/>
          <w:color w:val="000000"/>
          <w:szCs w:val="21"/>
        </w:rPr>
      </w:pPr>
      <w:r>
        <w:rPr>
          <w:rFonts w:ascii="宋体" w:hAnsi="宋体"/>
          <w:color w:val="000000"/>
          <w:szCs w:val="21"/>
        </w:rPr>
        <w:t>本课程考核</w:t>
      </w:r>
      <w:r>
        <w:rPr>
          <w:rFonts w:hint="eastAsia" w:ascii="宋体" w:hAnsi="宋体"/>
          <w:color w:val="000000"/>
          <w:szCs w:val="21"/>
        </w:rPr>
        <w:t>采用理论与实践教学相结合的方式进行。根据课程的学习情况，采用课堂提问、课堂测试、小组讨论、期中测试与期末考试测评等。平时成绩的考核方式包括实验实践环节、期中测试、作业汇报与展示环节以及课堂表现、线上学习（小测验）、课后作业、小组学习讨论、</w:t>
      </w:r>
      <w:r>
        <w:rPr>
          <w:rFonts w:ascii="宋体" w:hAnsi="宋体"/>
          <w:color w:val="000000"/>
          <w:szCs w:val="21"/>
        </w:rPr>
        <w:t>考勤考纪</w:t>
      </w:r>
      <w:r>
        <w:rPr>
          <w:rFonts w:hint="eastAsia" w:ascii="宋体" w:hAnsi="宋体"/>
          <w:color w:val="000000"/>
          <w:szCs w:val="21"/>
        </w:rPr>
        <w:t>等。</w:t>
      </w:r>
    </w:p>
    <w:p>
      <w:pPr>
        <w:snapToGrid w:val="0"/>
        <w:spacing w:before="156" w:beforeLines="50" w:line="360" w:lineRule="auto"/>
        <w:ind w:firstLine="420" w:firstLineChars="200"/>
        <w:rPr>
          <w:rFonts w:ascii="宋体" w:hAnsi="宋体"/>
          <w:color w:val="000000"/>
          <w:szCs w:val="21"/>
        </w:rPr>
      </w:pPr>
      <w:r>
        <w:rPr>
          <w:rFonts w:hint="eastAsia" w:ascii="宋体" w:hAnsi="宋体"/>
          <w:color w:val="000000"/>
          <w:szCs w:val="21"/>
        </w:rPr>
        <w:t>考试时间为课程结束后1～3周内进行，其他考核随课程单元学习过程的进展进行。</w:t>
      </w:r>
    </w:p>
    <w:p>
      <w:pPr>
        <w:snapToGrid w:val="0"/>
        <w:spacing w:line="360" w:lineRule="auto"/>
        <w:rPr>
          <w:rFonts w:ascii="宋体" w:hAnsi="宋体"/>
          <w:b/>
          <w:szCs w:val="21"/>
        </w:rPr>
      </w:pPr>
      <w:r>
        <w:rPr>
          <w:rFonts w:hint="eastAsia" w:ascii="宋体" w:hAnsi="宋体"/>
          <w:b/>
          <w:szCs w:val="21"/>
        </w:rPr>
        <w:t>五、成绩评定</w:t>
      </w:r>
    </w:p>
    <w:p>
      <w:pPr>
        <w:snapToGrid w:val="0"/>
        <w:spacing w:line="360" w:lineRule="auto"/>
        <w:ind w:firstLine="420" w:firstLineChars="200"/>
        <w:rPr>
          <w:rFonts w:ascii="宋体" w:hAnsi="宋体"/>
          <w:szCs w:val="21"/>
        </w:rPr>
      </w:pPr>
      <w:r>
        <w:rPr>
          <w:rFonts w:hint="eastAsia" w:ascii="宋体" w:hAnsi="宋体"/>
          <w:szCs w:val="21"/>
        </w:rPr>
        <w:t>1.平时成绩的评价方法。</w:t>
      </w:r>
    </w:p>
    <w:p>
      <w:pPr>
        <w:snapToGrid w:val="0"/>
        <w:spacing w:line="360" w:lineRule="auto"/>
        <w:ind w:firstLine="420" w:firstLineChars="200"/>
        <w:rPr>
          <w:rFonts w:ascii="宋体" w:hAnsi="宋体"/>
          <w:szCs w:val="21"/>
        </w:rPr>
      </w:pPr>
      <w:r>
        <w:rPr>
          <w:rFonts w:hint="eastAsia" w:ascii="宋体" w:hAnsi="宋体"/>
          <w:szCs w:val="21"/>
        </w:rPr>
        <w:t>平时成绩的考核环节包括实验实践环节、作业完成情况以及课堂表现、考勤考纪等。其中实验实践</w:t>
      </w:r>
      <w:r>
        <w:rPr>
          <w:rFonts w:ascii="宋体" w:hAnsi="宋体"/>
          <w:szCs w:val="21"/>
        </w:rPr>
        <w:t>环节</w:t>
      </w:r>
      <w:r>
        <w:rPr>
          <w:rFonts w:hint="eastAsia" w:ascii="宋体" w:hAnsi="宋体"/>
          <w:szCs w:val="21"/>
        </w:rPr>
        <w:t>、出勤状况和实验参与度</w:t>
      </w:r>
      <w:r>
        <w:rPr>
          <w:rFonts w:ascii="宋体" w:hAnsi="宋体"/>
          <w:szCs w:val="21"/>
        </w:rPr>
        <w:t>其他占</w:t>
      </w:r>
      <w:r>
        <w:rPr>
          <w:rFonts w:hint="eastAsia" w:ascii="Calibri" w:hAnsi="Calibri"/>
          <w:szCs w:val="21"/>
        </w:rPr>
        <w:t>20</w:t>
      </w:r>
      <w:r>
        <w:rPr>
          <w:rFonts w:ascii="Calibri" w:hAnsi="Calibri"/>
          <w:szCs w:val="21"/>
        </w:rPr>
        <w:t>%</w:t>
      </w:r>
      <w:r>
        <w:rPr>
          <w:rFonts w:hint="eastAsia" w:ascii="Calibri" w:hAnsi="Calibri"/>
          <w:szCs w:val="21"/>
        </w:rPr>
        <w:t>；期中成绩占20%</w:t>
      </w:r>
      <w:r>
        <w:rPr>
          <w:rFonts w:ascii="宋体" w:hAnsi="宋体"/>
          <w:szCs w:val="21"/>
        </w:rPr>
        <w:t>。</w:t>
      </w:r>
    </w:p>
    <w:p>
      <w:pPr>
        <w:snapToGrid w:val="0"/>
        <w:spacing w:line="360" w:lineRule="auto"/>
        <w:ind w:firstLine="420" w:firstLineChars="200"/>
        <w:rPr>
          <w:rFonts w:ascii="宋体" w:hAnsi="宋体"/>
          <w:color w:val="000000"/>
        </w:rPr>
      </w:pPr>
      <w:r>
        <w:rPr>
          <w:rFonts w:hint="eastAsia" w:ascii="宋体" w:hAnsi="宋体"/>
          <w:szCs w:val="21"/>
        </w:rPr>
        <w:t>2.</w:t>
      </w:r>
      <w:r>
        <w:rPr>
          <w:rFonts w:hint="eastAsia" w:ascii="宋体" w:hAnsi="宋体"/>
          <w:color w:val="000000"/>
        </w:rPr>
        <w:t>期末成绩评价方法。</w:t>
      </w:r>
    </w:p>
    <w:p>
      <w:pPr>
        <w:snapToGrid w:val="0"/>
        <w:spacing w:line="360" w:lineRule="auto"/>
        <w:ind w:firstLine="420" w:firstLineChars="200"/>
        <w:rPr>
          <w:rFonts w:ascii="宋体" w:hAnsi="宋体"/>
          <w:color w:val="000000"/>
        </w:rPr>
      </w:pPr>
      <w:r>
        <w:rPr>
          <w:rFonts w:hint="eastAsia" w:ascii="宋体" w:hAnsi="宋体"/>
          <w:color w:val="000000"/>
          <w:szCs w:val="21"/>
        </w:rPr>
        <w:t>期末成绩以闭卷考试形式进行，占比6</w:t>
      </w:r>
      <w:r>
        <w:rPr>
          <w:rFonts w:ascii="宋体" w:hAnsi="宋体"/>
          <w:color w:val="000000"/>
          <w:szCs w:val="21"/>
        </w:rPr>
        <w:t>0%</w:t>
      </w:r>
      <w:r>
        <w:rPr>
          <w:rFonts w:hint="eastAsia" w:ascii="宋体" w:hAnsi="宋体"/>
          <w:color w:val="000000"/>
          <w:szCs w:val="21"/>
        </w:rPr>
        <w:t>。</w:t>
      </w:r>
    </w:p>
    <w:p>
      <w:pPr>
        <w:snapToGrid w:val="0"/>
        <w:spacing w:line="360" w:lineRule="auto"/>
        <w:ind w:firstLine="420" w:firstLineChars="200"/>
        <w:rPr>
          <w:rFonts w:ascii="宋体" w:hAnsi="宋体"/>
          <w:szCs w:val="21"/>
        </w:rPr>
      </w:pPr>
      <w:r>
        <w:rPr>
          <w:rFonts w:hint="eastAsia" w:ascii="宋体" w:hAnsi="宋体"/>
          <w:szCs w:val="21"/>
        </w:rPr>
        <w:t>3.综合成绩评价方法。</w:t>
      </w:r>
    </w:p>
    <w:p>
      <w:pPr>
        <w:snapToGrid w:val="0"/>
        <w:spacing w:line="360" w:lineRule="auto"/>
        <w:ind w:firstLine="420" w:firstLineChars="200"/>
        <w:rPr>
          <w:szCs w:val="21"/>
        </w:rPr>
      </w:pPr>
      <w:r>
        <w:rPr>
          <w:rFonts w:hint="eastAsia" w:ascii="宋体" w:hAnsi="宋体"/>
          <w:color w:val="000000"/>
          <w:szCs w:val="21"/>
        </w:rPr>
        <w:t>综合成绩的确定由三部分组成，卷面考试成绩、平时成绩与期中成绩。其中卷面成绩占60%；</w:t>
      </w:r>
      <w:r>
        <w:rPr>
          <w:rFonts w:ascii="宋体" w:hAnsi="宋体"/>
          <w:szCs w:val="21"/>
        </w:rPr>
        <w:t>平时成绩按照出勤状况和实验实习参与度总和评定</w:t>
      </w:r>
      <w:r>
        <w:rPr>
          <w:rFonts w:hint="eastAsia" w:ascii="宋体" w:hAnsi="宋体"/>
          <w:szCs w:val="21"/>
        </w:rPr>
        <w:t>、</w:t>
      </w:r>
      <w:r>
        <w:rPr>
          <w:rFonts w:ascii="宋体" w:hAnsi="宋体"/>
          <w:szCs w:val="21"/>
        </w:rPr>
        <w:t>实践成绩根据每次实验课成绩总和占总成绩的</w:t>
      </w:r>
      <w:r>
        <w:rPr>
          <w:rFonts w:hint="eastAsia"/>
          <w:szCs w:val="21"/>
        </w:rPr>
        <w:t>20</w:t>
      </w:r>
      <w:r>
        <w:rPr>
          <w:szCs w:val="21"/>
        </w:rPr>
        <w:t>%</w:t>
      </w:r>
      <w:r>
        <w:rPr>
          <w:rFonts w:ascii="宋体" w:hAnsi="宋体"/>
          <w:szCs w:val="21"/>
        </w:rPr>
        <w:t>计算</w:t>
      </w:r>
      <w:r>
        <w:rPr>
          <w:rFonts w:hint="eastAsia" w:ascii="宋体" w:hAnsi="宋体"/>
          <w:szCs w:val="21"/>
        </w:rPr>
        <w:t>；期中成绩占总成绩20%。</w:t>
      </w:r>
    </w:p>
    <w:p>
      <w:pPr>
        <w:snapToGrid w:val="0"/>
        <w:spacing w:line="360" w:lineRule="auto"/>
        <w:rPr>
          <w:rFonts w:ascii="宋体" w:hAnsi="宋体"/>
          <w:b/>
          <w:szCs w:val="21"/>
        </w:rPr>
      </w:pPr>
      <w:r>
        <w:rPr>
          <w:rFonts w:hint="eastAsia" w:ascii="宋体" w:hAnsi="宋体"/>
          <w:b/>
          <w:szCs w:val="21"/>
        </w:rPr>
        <w:t>六、考核结果分析反馈</w:t>
      </w:r>
    </w:p>
    <w:p>
      <w:pPr>
        <w:snapToGrid w:val="0"/>
        <w:spacing w:line="360" w:lineRule="auto"/>
        <w:ind w:firstLine="420" w:firstLineChars="200"/>
      </w:pPr>
      <w:r>
        <w:rPr>
          <w:rFonts w:hint="eastAsia" w:ascii="宋体" w:hAnsi="宋体"/>
          <w:bCs/>
          <w:szCs w:val="21"/>
        </w:rPr>
        <w:t>通过作业的汇报与展示、实验操作实训、课堂提问等方式进行，教师对完成情况在课堂上进行指导与点评，及时进行反馈。</w:t>
      </w:r>
    </w:p>
    <w:p>
      <w:pPr>
        <w:rPr>
          <w:sz w:val="28"/>
        </w:rPr>
      </w:pPr>
      <w:bookmarkStart w:id="714" w:name="_Toc138076162"/>
      <w:bookmarkStart w:id="715" w:name="_Toc138076706"/>
      <w:r>
        <w:rPr>
          <w:rFonts w:hint="eastAsia"/>
          <w:sz w:val="28"/>
        </w:rPr>
        <w:br w:type="page"/>
      </w:r>
    </w:p>
    <w:p>
      <w:pPr>
        <w:pStyle w:val="21"/>
        <w:rPr>
          <w:sz w:val="28"/>
        </w:rPr>
      </w:pPr>
      <w:bookmarkStart w:id="716" w:name="_Toc3178"/>
      <w:r>
        <w:rPr>
          <w:rFonts w:hint="eastAsia"/>
          <w:sz w:val="28"/>
        </w:rPr>
        <w:t>花卉栽培学考核大纲</w:t>
      </w:r>
      <w:bookmarkEnd w:id="714"/>
      <w:bookmarkEnd w:id="715"/>
      <w:bookmarkEnd w:id="716"/>
    </w:p>
    <w:p>
      <w:pPr>
        <w:snapToGrid w:val="0"/>
        <w:spacing w:line="360" w:lineRule="auto"/>
        <w:jc w:val="center"/>
        <w:rPr>
          <w:sz w:val="24"/>
        </w:rPr>
      </w:pPr>
      <w:r>
        <w:rPr>
          <w:sz w:val="24"/>
        </w:rPr>
        <w:t>（Floriculture Production）</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课程编号：19011157h</w:t>
            </w:r>
          </w:p>
        </w:tc>
        <w:tc>
          <w:tcPr>
            <w:tcW w:w="1234" w:type="pct"/>
          </w:tcPr>
          <w:p>
            <w:pPr>
              <w:spacing w:line="300" w:lineRule="auto"/>
              <w:rPr>
                <w:rFonts w:ascii="宋体" w:hAnsi="宋体"/>
                <w:b/>
                <w:bCs/>
                <w:szCs w:val="21"/>
              </w:rPr>
            </w:pPr>
            <w:r>
              <w:rPr>
                <w:rFonts w:hint="eastAsia" w:ascii="宋体" w:hAnsi="宋体"/>
                <w:b/>
                <w:bCs/>
                <w:szCs w:val="21"/>
              </w:rPr>
              <w:t>课程学时：5</w:t>
            </w:r>
            <w:r>
              <w:rPr>
                <w:rFonts w:ascii="宋体" w:hAnsi="宋体"/>
                <w:b/>
                <w:bCs/>
                <w:szCs w:val="21"/>
              </w:rPr>
              <w:t>6</w:t>
            </w:r>
          </w:p>
        </w:tc>
        <w:tc>
          <w:tcPr>
            <w:tcW w:w="2100" w:type="pct"/>
          </w:tcPr>
          <w:p>
            <w:pPr>
              <w:spacing w:line="300" w:lineRule="auto"/>
              <w:rPr>
                <w:rFonts w:ascii="宋体" w:hAnsi="宋体"/>
                <w:b/>
                <w:bCs/>
                <w:szCs w:val="21"/>
              </w:rPr>
            </w:pPr>
            <w:r>
              <w:rPr>
                <w:rFonts w:hint="eastAsia" w:ascii="宋体" w:hAnsi="宋体"/>
                <w:b/>
                <w:bCs/>
                <w:szCs w:val="21"/>
              </w:rPr>
              <w:t>课程学分：3.5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主撰人：花卉栽培学课程组</w:t>
            </w:r>
          </w:p>
        </w:tc>
        <w:tc>
          <w:tcPr>
            <w:tcW w:w="1234" w:type="pct"/>
          </w:tcPr>
          <w:p>
            <w:pPr>
              <w:spacing w:line="300" w:lineRule="auto"/>
              <w:rPr>
                <w:rFonts w:ascii="宋体" w:hAnsi="宋体"/>
                <w:b/>
                <w:bCs/>
                <w:szCs w:val="21"/>
              </w:rPr>
            </w:pPr>
            <w:r>
              <w:rPr>
                <w:rFonts w:hint="eastAsia" w:ascii="宋体" w:hAnsi="宋体"/>
                <w:b/>
                <w:bCs/>
                <w:szCs w:val="21"/>
              </w:rPr>
              <w:t>审核人：薛东齐</w:t>
            </w:r>
          </w:p>
        </w:tc>
        <w:tc>
          <w:tcPr>
            <w:tcW w:w="2100" w:type="pct"/>
          </w:tcPr>
          <w:p>
            <w:pPr>
              <w:spacing w:line="300" w:lineRule="auto"/>
              <w:rPr>
                <w:rFonts w:hint="eastAsia" w:ascii="宋体" w:hAnsi="宋体" w:eastAsia="宋体"/>
                <w:b/>
                <w:bCs/>
                <w:szCs w:val="21"/>
                <w:lang w:eastAsia="zh-CN"/>
              </w:rPr>
            </w:pPr>
            <w:r>
              <w:rPr>
                <w:rFonts w:hint="eastAsia" w:ascii="宋体" w:hAnsi="宋体"/>
                <w:b/>
                <w:bCs/>
                <w:szCs w:val="21"/>
              </w:rPr>
              <w:t>大纲制定（修订）日期：</w:t>
            </w:r>
            <w:r>
              <w:rPr>
                <w:rFonts w:hint="eastAsia" w:ascii="宋体" w:hAnsi="宋体"/>
                <w:b/>
                <w:bCs/>
                <w:szCs w:val="21"/>
                <w:lang w:eastAsia="zh-CN"/>
              </w:rPr>
              <w:t>2023.05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17" w:name="_Toc138076412"/>
      <w:bookmarkStart w:id="718" w:name="_Toc138076163"/>
      <w:bookmarkStart w:id="719" w:name="_Toc8118"/>
      <w:bookmarkStart w:id="720" w:name="_Toc138068469"/>
      <w:bookmarkStart w:id="721" w:name="_Toc138076707"/>
      <w:bookmarkStart w:id="722" w:name="_Toc138070498"/>
      <w:bookmarkStart w:id="723" w:name="_Toc138068868"/>
      <w:bookmarkStart w:id="724" w:name="_Toc138070769"/>
      <w:r>
        <w:rPr>
          <w:rFonts w:hint="eastAsia" w:asciiTheme="majorEastAsia" w:hAnsiTheme="majorEastAsia" w:eastAsiaTheme="majorEastAsia" w:cstheme="majorEastAsia"/>
          <w:b/>
          <w:bCs/>
          <w:kern w:val="0"/>
          <w:szCs w:val="21"/>
        </w:rPr>
        <w:t>一、课程的性质和地位</w:t>
      </w:r>
      <w:bookmarkEnd w:id="717"/>
      <w:bookmarkEnd w:id="718"/>
      <w:bookmarkEnd w:id="719"/>
      <w:bookmarkEnd w:id="720"/>
      <w:bookmarkEnd w:id="721"/>
      <w:bookmarkEnd w:id="722"/>
      <w:bookmarkEnd w:id="723"/>
      <w:bookmarkEnd w:id="724"/>
    </w:p>
    <w:p>
      <w:pPr>
        <w:snapToGrid w:val="0"/>
        <w:spacing w:line="360" w:lineRule="auto"/>
        <w:ind w:firstLine="420" w:firstLineChars="200"/>
        <w:rPr>
          <w:rFonts w:ascii="宋体" w:hAnsi="宋体"/>
          <w:szCs w:val="21"/>
        </w:rPr>
      </w:pPr>
      <w:r>
        <w:rPr>
          <w:rFonts w:hint="eastAsia" w:ascii="宋体" w:hAnsi="宋体"/>
          <w:szCs w:val="21"/>
        </w:rPr>
        <w:t>花卉栽培学是园艺专业的专业课，是园艺专业的主干课程之一。花卉栽培学是研究花卉的分类、生物学特性、繁殖方法、栽培技术、经营管理与应用的科学，其综合性很强。本课程以学生为中心，充分调动学生的学习自觉性，使学生能将理论知识内化并应用于实践。花卉栽培学主要学习花卉分类的原理与方法、花卉种质资源及其分布特点、花卉的生态习性及花卉生长发育基本规律、花卉繁殖、栽培的原理及花卉应用的基本原则等。</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25" w:name="_Toc138076164"/>
      <w:bookmarkStart w:id="726" w:name="_Toc138076708"/>
      <w:bookmarkStart w:id="727" w:name="_Toc138068869"/>
      <w:bookmarkStart w:id="728" w:name="_Toc138070499"/>
      <w:bookmarkStart w:id="729" w:name="_Toc138068470"/>
      <w:bookmarkStart w:id="730" w:name="_Toc138070770"/>
      <w:bookmarkStart w:id="731" w:name="_Toc4508"/>
      <w:bookmarkStart w:id="732" w:name="_Toc138076413"/>
      <w:r>
        <w:rPr>
          <w:rFonts w:hint="eastAsia" w:asciiTheme="majorEastAsia" w:hAnsiTheme="majorEastAsia" w:eastAsiaTheme="majorEastAsia" w:cstheme="majorEastAsia"/>
          <w:b/>
          <w:bCs/>
          <w:kern w:val="0"/>
          <w:szCs w:val="21"/>
        </w:rPr>
        <w:t>二、理论教学部分的考核目标</w:t>
      </w:r>
      <w:bookmarkEnd w:id="725"/>
      <w:bookmarkEnd w:id="726"/>
      <w:bookmarkEnd w:id="727"/>
      <w:bookmarkEnd w:id="728"/>
      <w:bookmarkEnd w:id="729"/>
      <w:bookmarkEnd w:id="730"/>
      <w:bookmarkEnd w:id="731"/>
      <w:bookmarkEnd w:id="732"/>
    </w:p>
    <w:p>
      <w:pPr>
        <w:snapToGrid w:val="0"/>
        <w:spacing w:line="360" w:lineRule="auto"/>
        <w:ind w:firstLine="420" w:firstLineChars="200"/>
        <w:rPr>
          <w:rFonts w:ascii="宋体" w:hAnsi="宋体"/>
          <w:szCs w:val="21"/>
        </w:rPr>
      </w:pPr>
      <w:r>
        <w:rPr>
          <w:rFonts w:hint="eastAsia" w:ascii="宋体" w:hAnsi="宋体"/>
          <w:szCs w:val="21"/>
        </w:rPr>
        <w:t>在理论知识方面，要求学生掌握花卉分类的方法、花卉的生物学特性及生态习性、花卉生长发育的基本规律、环境对花卉生长的影响、花卉繁殖及栽培技术、花卉园林应用的基本原则等。</w:t>
      </w:r>
    </w:p>
    <w:p>
      <w:pPr>
        <w:snapToGrid w:val="0"/>
        <w:spacing w:line="360" w:lineRule="auto"/>
        <w:ind w:firstLine="103" w:firstLineChars="49"/>
        <w:jc w:val="center"/>
        <w:rPr>
          <w:rFonts w:ascii="宋体" w:hAnsi="宋体"/>
          <w:b/>
          <w:szCs w:val="21"/>
        </w:rPr>
      </w:pPr>
      <w:r>
        <w:rPr>
          <w:rFonts w:hint="eastAsia" w:ascii="宋体" w:hAnsi="宋体"/>
          <w:b/>
          <w:szCs w:val="21"/>
        </w:rPr>
        <w:t>第一章  花卉的分类与分布</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：栽培植物地理起源中心概况。</w:t>
      </w:r>
    </w:p>
    <w:p>
      <w:pPr>
        <w:snapToGrid w:val="0"/>
        <w:spacing w:line="360" w:lineRule="auto"/>
        <w:ind w:firstLine="420" w:firstLineChars="200"/>
        <w:rPr>
          <w:rFonts w:ascii="宋体" w:hAnsi="宋体"/>
          <w:szCs w:val="21"/>
        </w:rPr>
      </w:pPr>
      <w:r>
        <w:rPr>
          <w:rFonts w:hint="eastAsia" w:ascii="宋体" w:hAnsi="宋体"/>
          <w:szCs w:val="21"/>
        </w:rPr>
        <w:t>前苏联植物学家瓦维洛夫于1</w:t>
      </w:r>
      <w:r>
        <w:rPr>
          <w:rFonts w:ascii="宋体" w:hAnsi="宋体"/>
          <w:szCs w:val="21"/>
        </w:rPr>
        <w:t>926</w:t>
      </w:r>
      <w:r>
        <w:rPr>
          <w:rFonts w:hint="eastAsia" w:ascii="宋体" w:hAnsi="宋体"/>
          <w:szCs w:val="21"/>
        </w:rPr>
        <w:t>年发表《栽培植物起源的研究》，把全世界的栽培植物划分为8个初生起源中心。茹科夫斯于1</w:t>
      </w:r>
      <w:r>
        <w:rPr>
          <w:rFonts w:ascii="宋体" w:hAnsi="宋体"/>
          <w:szCs w:val="21"/>
        </w:rPr>
        <w:t>968</w:t>
      </w:r>
      <w:r>
        <w:rPr>
          <w:rFonts w:hint="eastAsia" w:ascii="宋体" w:hAnsi="宋体"/>
          <w:szCs w:val="21"/>
        </w:rPr>
        <w:t>年将8个起源中心增加为1</w:t>
      </w:r>
      <w:r>
        <w:rPr>
          <w:rFonts w:ascii="宋体" w:hAnsi="宋体"/>
          <w:szCs w:val="21"/>
        </w:rPr>
        <w:t>2</w:t>
      </w:r>
      <w:r>
        <w:rPr>
          <w:rFonts w:hint="eastAsia" w:ascii="宋体" w:hAnsi="宋体"/>
          <w:szCs w:val="21"/>
        </w:rPr>
        <w:t>大基因中心，了解起源中心的名称，主要地域范围，主要观赏植物等。</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：我国花卉的地理分布及其特点。</w:t>
      </w:r>
    </w:p>
    <w:p>
      <w:pPr>
        <w:snapToGrid w:val="0"/>
        <w:spacing w:line="360" w:lineRule="auto"/>
        <w:ind w:firstLine="420" w:firstLineChars="200"/>
        <w:rPr>
          <w:rFonts w:ascii="宋体" w:hAnsi="宋体"/>
          <w:szCs w:val="21"/>
        </w:rPr>
      </w:pPr>
      <w:r>
        <w:rPr>
          <w:rFonts w:hint="eastAsia" w:ascii="宋体" w:hAnsi="宋体"/>
          <w:szCs w:val="21"/>
        </w:rPr>
        <w:t>我国地域辽阔，地跨寒带、温带、亚热带三个气候带，自然生态环境复杂，花卉种质资源极为丰富，在我国的不同地理纬度和不同海拔高度分布着不同的花卉资源。我国的中部和西部山区及附近平原被前苏联植物学家瓦维洛夫认为是栽培植物最早和最大的独立起源中心。目前世界园林中广泛应用的许多著名花卉都是我国特有的，如银杏属、水杉属等。我国是许多著名花卉的栽培中心，如：牡丹、梅花、芍药、菊花、山茶、杜鹃、桂花、报春花、荷花、水仙等。</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：世界气候型及其代表花卉。</w:t>
      </w:r>
    </w:p>
    <w:p>
      <w:pPr>
        <w:snapToGrid w:val="0"/>
        <w:spacing w:line="360" w:lineRule="auto"/>
        <w:ind w:firstLine="420" w:firstLineChars="200"/>
        <w:rPr>
          <w:rFonts w:ascii="宋体" w:hAnsi="宋体"/>
          <w:szCs w:val="21"/>
        </w:rPr>
      </w:pPr>
      <w:r>
        <w:rPr>
          <w:rFonts w:hint="eastAsia" w:ascii="宋体" w:hAnsi="宋体"/>
          <w:szCs w:val="21"/>
        </w:rPr>
        <w:t>花卉原产地或分布区的气候条件、主要是温度与水分条件影响花卉的分布，Miller与塚本氏将野生花卉的原产地按气候型划分为七大气候型即：中国气候型、欧洲气候型、地中海气候型、墨西哥气候型、热带气候型、沙漠气候型、寒带气候型，每个气候型概述其气候特点、包括的主要地区以及原产该地区的主要花卉。</w:t>
      </w:r>
    </w:p>
    <w:p>
      <w:pPr>
        <w:snapToGrid w:val="0"/>
        <w:spacing w:line="360" w:lineRule="auto"/>
        <w:ind w:firstLine="422" w:firstLineChars="200"/>
        <w:rPr>
          <w:rFonts w:ascii="宋体" w:hAnsi="宋体"/>
          <w:szCs w:val="21"/>
        </w:rPr>
      </w:pPr>
      <w:r>
        <w:rPr>
          <w:rFonts w:ascii="宋体" w:hAnsi="宋体"/>
          <w:b/>
          <w:szCs w:val="21"/>
        </w:rPr>
        <w:t>4</w:t>
      </w:r>
      <w:r>
        <w:rPr>
          <w:rFonts w:hint="eastAsia" w:ascii="宋体" w:hAnsi="宋体"/>
          <w:b/>
          <w:szCs w:val="21"/>
        </w:rPr>
        <w:t>. 一般了解</w:t>
      </w:r>
      <w:r>
        <w:rPr>
          <w:rFonts w:hint="eastAsia" w:ascii="宋体" w:hAnsi="宋体"/>
          <w:szCs w:val="21"/>
        </w:rPr>
        <w:t>：花卉资源的多样性，主要从物种的多样性、花卉品种的多样性、生态系统的多样性三个层次去了解。花卉按照形态分类、栽培类型分类等分类方法。</w:t>
      </w:r>
    </w:p>
    <w:p>
      <w:pPr>
        <w:snapToGrid w:val="0"/>
        <w:spacing w:line="360" w:lineRule="auto"/>
        <w:ind w:firstLine="422" w:firstLineChars="200"/>
        <w:rPr>
          <w:rFonts w:ascii="宋体" w:hAnsi="宋体"/>
          <w:szCs w:val="21"/>
        </w:rPr>
      </w:pPr>
      <w:r>
        <w:rPr>
          <w:rFonts w:ascii="宋体" w:hAnsi="宋体"/>
          <w:b/>
          <w:szCs w:val="21"/>
        </w:rPr>
        <w:t>5</w:t>
      </w:r>
      <w:r>
        <w:rPr>
          <w:rFonts w:hint="eastAsia" w:ascii="宋体" w:hAnsi="宋体"/>
          <w:b/>
          <w:szCs w:val="21"/>
        </w:rPr>
        <w:t>.一般掌握</w:t>
      </w:r>
      <w:r>
        <w:rPr>
          <w:rFonts w:hint="eastAsia" w:ascii="宋体" w:hAnsi="宋体"/>
          <w:szCs w:val="21"/>
        </w:rPr>
        <w:t>：花卉按生态习性分类及特征。花卉按园林用途、主要观赏部位分类的方法。</w:t>
      </w:r>
    </w:p>
    <w:p>
      <w:pPr>
        <w:snapToGrid w:val="0"/>
        <w:spacing w:line="360" w:lineRule="auto"/>
        <w:ind w:firstLine="422" w:firstLineChars="200"/>
        <w:rPr>
          <w:rFonts w:ascii="宋体" w:hAnsi="宋体"/>
          <w:szCs w:val="21"/>
        </w:rPr>
      </w:pPr>
      <w:r>
        <w:rPr>
          <w:rFonts w:ascii="宋体" w:hAnsi="宋体"/>
          <w:b/>
          <w:szCs w:val="21"/>
        </w:rPr>
        <w:t>6</w:t>
      </w:r>
      <w:r>
        <w:rPr>
          <w:rFonts w:hint="eastAsia" w:ascii="宋体" w:hAnsi="宋体"/>
          <w:b/>
          <w:szCs w:val="21"/>
        </w:rPr>
        <w:t>. 熟练掌握</w:t>
      </w:r>
      <w:r>
        <w:rPr>
          <w:rFonts w:hint="eastAsia" w:ascii="宋体" w:hAnsi="宋体"/>
          <w:szCs w:val="21"/>
        </w:rPr>
        <w:t>：依据花卉对水分、温度、光照的要求把不同花卉分为不同的类别。</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栽培植物起源中心的概况包括起源中心的名称，主要地域范围，主要观赏植物等；世界七大气候型及其代表花卉，每个气候型概述其气候特点、包括的主要地区以及原产该地区的主要花卉；我国主要花卉的地理分布概况，如：牡丹、梅花、芍药、菊花、山茶、杜鹃、桂花等。通过翻转课堂的形式，要求学生介绍中国名花，增强文化自信心和自豪感，鼓励学生投身种业发展，提高花卉品种保护意识。</w:t>
      </w:r>
    </w:p>
    <w:p>
      <w:pPr>
        <w:snapToGrid w:val="0"/>
        <w:spacing w:line="360" w:lineRule="auto"/>
        <w:ind w:firstLine="420" w:firstLineChars="200"/>
        <w:rPr>
          <w:rFonts w:ascii="宋体" w:hAnsi="宋体"/>
          <w:szCs w:val="21"/>
        </w:rPr>
      </w:pPr>
      <w:r>
        <w:rPr>
          <w:rFonts w:hint="eastAsia" w:ascii="宋体" w:hAnsi="宋体"/>
          <w:szCs w:val="21"/>
        </w:rPr>
        <w:t>花卉按生态习性分类可分为一年生花卉、二年生花卉、宿根花卉、球根花卉、仙人掌及多浆植物、室内观叶植物、兰科花卉、水生花卉和木本花卉，掌握这些花卉的概念；依据花卉对水分、温度、光照的要求把不同花卉分为不同的类别。要求学生课前以小组为单位对身边的花卉进行调研、拍照和分类，并在学习通作答、促进小组合作和沟通交流能力。</w:t>
      </w:r>
    </w:p>
    <w:p>
      <w:pPr>
        <w:snapToGrid w:val="0"/>
        <w:spacing w:line="360" w:lineRule="auto"/>
        <w:ind w:firstLine="420" w:firstLineChars="200"/>
        <w:rPr>
          <w:rFonts w:ascii="宋体" w:hAnsi="宋体"/>
          <w:szCs w:val="21"/>
        </w:rPr>
      </w:pPr>
      <w:r>
        <w:rPr>
          <w:rFonts w:hint="eastAsia" w:ascii="宋体" w:hAnsi="宋体"/>
          <w:szCs w:val="21"/>
        </w:rPr>
        <w:t>花卉按观赏特性、按栽培方式、按园林用途、按生活类型及综合分类的结果。花卉原产地气候型分区的结果、各区特点及其所形成的花卉分布中心的类别。</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：世界七大气候型气候特点及其代表花卉。</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：世界栽培植物地理起源中心概况；我国花卉的地理分布及其特点。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对</w:t>
      </w:r>
      <w:r>
        <w:rPr>
          <w:rFonts w:hint="eastAsia" w:ascii="宋体" w:hAnsi="宋体"/>
          <w:szCs w:val="21"/>
        </w:rPr>
        <w:t>常见花卉按生态习性、形态、栽培类型进行分类。</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依据花卉对水分、温度、光照的要求不同对花卉进行分析和分类。</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w:t>
      </w:r>
      <w:r>
        <w:rPr>
          <w:rFonts w:hint="eastAsia" w:ascii="宋体" w:hAnsi="宋体"/>
          <w:bCs/>
          <w:szCs w:val="21"/>
        </w:rPr>
        <w:t>具有鉴别常见的一、二年生花卉、宿根、球根等花卉的能力。</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bCs/>
          <w:szCs w:val="21"/>
        </w:rPr>
        <w:t>能够对常见花卉进行分类，认识起源于我国的名花，增强品种保护意识和种业发展意识。</w:t>
      </w:r>
    </w:p>
    <w:p>
      <w:pPr>
        <w:snapToGrid w:val="0"/>
        <w:spacing w:line="360" w:lineRule="auto"/>
        <w:ind w:firstLine="103" w:firstLineChars="49"/>
        <w:jc w:val="center"/>
        <w:rPr>
          <w:rFonts w:ascii="宋体" w:hAnsi="宋体"/>
          <w:b/>
          <w:szCs w:val="21"/>
        </w:rPr>
      </w:pPr>
      <w:r>
        <w:rPr>
          <w:rFonts w:hint="eastAsia" w:ascii="宋体" w:hAnsi="宋体"/>
          <w:b/>
          <w:szCs w:val="21"/>
        </w:rPr>
        <w:t>第二章  花卉的生长发育与环境</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：花卉生长发育的规律性，包括花卉生长期和休眠期的规律性变化、不同种类的花卉生长发育以及花卉个体生长发育的差异；花卉的营养贫乏症状；常见的花卉病虫害产生原因及防治方法。</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：花芽分化的理论，结合前沿的科学研究，对各个理论进行理解和记忆。</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：花芽分化的类型；影响花芽分化的环境因素，即</w:t>
      </w:r>
      <w:r>
        <w:rPr>
          <w:rFonts w:hint="eastAsia" w:ascii="宋体" w:hAnsi="宋体"/>
          <w:bCs/>
        </w:rPr>
        <w:t>光照、温度、水分、土壤及营养对花卉生长的影响</w:t>
      </w:r>
      <w:r>
        <w:rPr>
          <w:rFonts w:hint="eastAsia" w:ascii="宋体" w:hAnsi="宋体"/>
          <w:szCs w:val="21"/>
        </w:rPr>
        <w:t>；调控花芽分化的农业措施，包括抑制和促进花芽分化的两种不同技术措施。</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花卉生长发育的规律性；不同花卉的生长发育过程；花芽分化的理论；花芽分化的类型；要求学生根据生产实际中，学会应用调控花芽分化的农业措施，如调控不同花卉的花期，布置国庆节等节日花坛。温度、光照、水分、土壤、气体等环境因子对花卉生长发育的影响，要求学生识记理论知识并根据生产中的问题，调控不同的环境因子促进花卉的生长发育。</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：花芽分化的类型及调控花芽分化的农业措施；根据不同花卉对温度、光照、水分的要求进行分类；</w:t>
      </w:r>
      <w:r>
        <w:rPr>
          <w:rFonts w:hint="eastAsia" w:ascii="宋体" w:hAnsi="宋体"/>
          <w:bCs/>
        </w:rPr>
        <w:t>光周期和春化作用。</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：不同种类花卉生长发育特征。</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：根据不同种类的花卉选择合适的生长发育环境；根据生产实际要求，选择抑制或者促进花芽分化的农业措施。</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学会分析花卉对水分、温度、光照，营养元素的要求不同而产生的实际问题。</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：识记相关理论知识，并能够在实践中选择不同花芽分化措施，调控不同环境因子</w:t>
      </w:r>
      <w:r>
        <w:rPr>
          <w:rFonts w:hint="eastAsia" w:ascii="宋体" w:hAnsi="宋体"/>
          <w:bCs/>
          <w:szCs w:val="21"/>
        </w:rPr>
        <w:t>。</w:t>
      </w:r>
    </w:p>
    <w:p>
      <w:pPr>
        <w:snapToGrid w:val="0"/>
        <w:spacing w:line="360" w:lineRule="auto"/>
        <w:ind w:firstLine="422" w:firstLineChars="200"/>
        <w:rPr>
          <w:rFonts w:ascii="宋体" w:hAnsi="宋体"/>
          <w:bCs/>
          <w:szCs w:val="21"/>
        </w:rPr>
      </w:pPr>
      <w:r>
        <w:rPr>
          <w:rFonts w:hint="eastAsia" w:ascii="宋体" w:hAnsi="宋体"/>
          <w:b/>
          <w:szCs w:val="21"/>
        </w:rPr>
        <w:t>6.评价：</w:t>
      </w:r>
      <w:r>
        <w:rPr>
          <w:rFonts w:hint="eastAsia" w:ascii="宋体" w:hAnsi="宋体"/>
          <w:bCs/>
          <w:szCs w:val="21"/>
        </w:rPr>
        <w:t>通过学习通线上发布习题，评价学生对理论知识的理解，并通过课堂或者线上讨论的形式，评价学生对生产应用中遇到的问题的独立思考和解决能力。</w:t>
      </w:r>
    </w:p>
    <w:p>
      <w:pPr>
        <w:snapToGrid w:val="0"/>
        <w:spacing w:line="360" w:lineRule="auto"/>
        <w:ind w:firstLine="103" w:firstLineChars="49"/>
        <w:jc w:val="center"/>
        <w:rPr>
          <w:rFonts w:ascii="宋体" w:hAnsi="宋体"/>
          <w:b/>
          <w:szCs w:val="21"/>
        </w:rPr>
      </w:pPr>
    </w:p>
    <w:p>
      <w:pPr>
        <w:snapToGrid w:val="0"/>
        <w:spacing w:line="360" w:lineRule="auto"/>
        <w:ind w:firstLine="103" w:firstLineChars="49"/>
        <w:jc w:val="center"/>
        <w:rPr>
          <w:rFonts w:ascii="宋体" w:hAnsi="宋体"/>
          <w:b/>
          <w:szCs w:val="21"/>
        </w:rPr>
      </w:pPr>
      <w:r>
        <w:rPr>
          <w:rFonts w:hint="eastAsia" w:ascii="宋体" w:hAnsi="宋体"/>
          <w:b/>
          <w:szCs w:val="21"/>
        </w:rPr>
        <w:t>第三章  花卉栽培的设施与器具</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：温室发展历史及发展趋势；塑料大棚、荫棚的类型和结构以及在花卉栽培中的作用。</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：温室的类型结构、设计及温室内环境调节。</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：花卉栽培器具各自的性能特点。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温室在花卉生产中的作用；温室的类型、构造、设计；大棚的类型、构造、设计；温室环境的调控及调控设备。</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：温室的类型</w:t>
      </w:r>
      <w:r>
        <w:rPr>
          <w:rFonts w:hint="eastAsia" w:ascii="宋体" w:hAnsi="宋体"/>
          <w:bCs/>
        </w:rPr>
        <w:t>；花卉生产的主要设施及其作用；</w:t>
      </w:r>
      <w:r>
        <w:rPr>
          <w:rFonts w:hint="eastAsia" w:ascii="宋体" w:hAnsi="宋体"/>
          <w:szCs w:val="21"/>
        </w:rPr>
        <w:t>温室环境的调控及调控设备。</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：温室发展历史及发展趋势。</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：根据实际情况对温室内环境因子进行调节；</w:t>
      </w:r>
      <w:r>
        <w:rPr>
          <w:rFonts w:hint="eastAsia" w:ascii="宋体" w:hAnsi="宋体"/>
          <w:bCs/>
        </w:rPr>
        <w:t>根据当地气候特点，采用不同的栽培设施</w:t>
      </w:r>
      <w:r>
        <w:rPr>
          <w:rFonts w:hint="eastAsia" w:ascii="宋体" w:hAnsi="宋体"/>
          <w:szCs w:val="21"/>
        </w:rPr>
        <w:t>。</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学会分析和调控温室中水分、温度、光照等环境因素。</w:t>
      </w:r>
    </w:p>
    <w:p>
      <w:pPr>
        <w:snapToGrid w:val="0"/>
        <w:spacing w:line="360" w:lineRule="auto"/>
        <w:ind w:firstLine="422" w:firstLineChars="200"/>
        <w:rPr>
          <w:rFonts w:ascii="宋体" w:hAnsi="宋体"/>
          <w:b/>
          <w:szCs w:val="21"/>
        </w:rPr>
      </w:pPr>
      <w:r>
        <w:rPr>
          <w:rFonts w:ascii="宋体" w:hAnsi="宋体"/>
          <w:b/>
          <w:szCs w:val="21"/>
        </w:rPr>
        <w:t>5</w:t>
      </w:r>
      <w:r>
        <w:rPr>
          <w:rFonts w:hint="eastAsia" w:ascii="宋体" w:hAnsi="宋体"/>
          <w:b/>
          <w:szCs w:val="21"/>
        </w:rPr>
        <w:t>.评价：</w:t>
      </w:r>
      <w:r>
        <w:rPr>
          <w:rFonts w:hint="eastAsia" w:ascii="宋体" w:hAnsi="宋体"/>
          <w:bCs/>
          <w:szCs w:val="21"/>
        </w:rPr>
        <w:t>通过学习通发布习题，及课堂或者线上讨论的形式，评价学生学习情况和解决问题的能力。</w:t>
      </w:r>
    </w:p>
    <w:p>
      <w:pPr>
        <w:snapToGrid w:val="0"/>
        <w:spacing w:line="360" w:lineRule="auto"/>
        <w:ind w:firstLine="103" w:firstLineChars="49"/>
        <w:jc w:val="center"/>
        <w:rPr>
          <w:rFonts w:ascii="宋体" w:hAnsi="宋体"/>
          <w:b/>
          <w:szCs w:val="21"/>
        </w:rPr>
      </w:pPr>
      <w:r>
        <w:rPr>
          <w:rFonts w:hint="eastAsia" w:ascii="宋体" w:hAnsi="宋体"/>
          <w:b/>
          <w:szCs w:val="21"/>
        </w:rPr>
        <w:t>第四章  花卉的繁殖</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：花卉种子的来源、类别与形态结构，花卉种子繁殖的特点；</w:t>
      </w:r>
      <w:r>
        <w:rPr>
          <w:rFonts w:ascii="宋体" w:hAnsi="宋体"/>
          <w:szCs w:val="21"/>
        </w:rPr>
        <w:t>蕨类植物孢子繁殖的方法</w:t>
      </w:r>
      <w:r>
        <w:rPr>
          <w:rFonts w:hint="eastAsia" w:ascii="宋体" w:hAnsi="宋体"/>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：花卉种子的采收、贮藏、种子质量鉴定方法及指标；花卉的播种时期与播种方法；</w:t>
      </w:r>
      <w:r>
        <w:rPr>
          <w:rFonts w:hint="eastAsia" w:hAnsi="宋体"/>
          <w:kern w:val="0"/>
          <w:szCs w:val="21"/>
        </w:rPr>
        <w:t>无性繁殖的特点。</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：种子休眠的种类、产生原因与解除方法；</w:t>
      </w:r>
      <w:r>
        <w:rPr>
          <w:rFonts w:ascii="宋体" w:hAnsi="宋体"/>
          <w:szCs w:val="21"/>
        </w:rPr>
        <w:t>花卉扦插、嫁接、</w:t>
      </w:r>
      <w:r>
        <w:rPr>
          <w:rFonts w:hint="eastAsia" w:ascii="宋体" w:hAnsi="宋体"/>
          <w:szCs w:val="21"/>
        </w:rPr>
        <w:t>分生</w:t>
      </w:r>
      <w:r>
        <w:rPr>
          <w:rFonts w:ascii="宋体" w:hAnsi="宋体"/>
          <w:szCs w:val="21"/>
        </w:rPr>
        <w:t>、压条繁殖</w:t>
      </w:r>
      <w:r>
        <w:rPr>
          <w:rFonts w:hint="eastAsia" w:ascii="宋体" w:hAnsi="宋体"/>
          <w:szCs w:val="21"/>
        </w:rPr>
        <w:t>、组织培养</w:t>
      </w:r>
      <w:r>
        <w:rPr>
          <w:rFonts w:ascii="宋体" w:hAnsi="宋体"/>
          <w:szCs w:val="21"/>
        </w:rPr>
        <w:t>的方法</w:t>
      </w:r>
      <w:r>
        <w:rPr>
          <w:rFonts w:hint="eastAsia" w:ascii="宋体" w:hAnsi="宋体"/>
          <w:szCs w:val="21"/>
        </w:rPr>
        <w:t>；扦插繁殖的类型，影响插条生根的因素；嫁接成活的原理。</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花卉种子的采收和贮藏方法；花卉种子的质量检测；种子休眠的种类、产生原因与解除方法；花卉的播种时期与播种方法；花卉扦插繁殖的类型与方法，扦插繁殖的原理，影响插条生根的因素；花卉嫁接繁殖的类型和方法；花卉分株繁殖、分球繁殖的类型与方法；花卉压条繁殖的类型与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：种子休眠产生原因与解除方法；无性繁殖的种类与方法；影响扦插和嫁接成活的因素。</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：花卉种子的来源；种子的检验；影响种子萌发的基本条件。</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：根据生产要求采用不同的播种育苗方式，掌握幼苗的管理与移栽；应用不同的无性繁殖方法。</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种子休眠产生的原因；学会分析影响扦插和嫁接成活的因素。</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：识记相关理论知识，并能够在实践中根据花卉种类、生长时期、取材部位等不同选择合适的繁殖方式</w:t>
      </w:r>
      <w:r>
        <w:rPr>
          <w:rFonts w:hint="eastAsia" w:ascii="宋体" w:hAnsi="宋体"/>
          <w:bCs/>
          <w:szCs w:val="21"/>
        </w:rPr>
        <w:t>。</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bCs/>
          <w:szCs w:val="21"/>
        </w:rPr>
        <w:t>通过学习通发布习题，及课堂或者线上讨论的形式，评价学生学习情况和解决问题的能力。并且通过花卉栽培繁殖虚拟仿真软件进行虚拟仿真考核评价。</w:t>
      </w:r>
    </w:p>
    <w:p>
      <w:pPr>
        <w:snapToGrid w:val="0"/>
        <w:spacing w:line="360" w:lineRule="auto"/>
        <w:ind w:firstLine="103" w:firstLineChars="49"/>
        <w:jc w:val="center"/>
        <w:rPr>
          <w:rFonts w:ascii="宋体" w:hAnsi="宋体"/>
          <w:b/>
          <w:szCs w:val="21"/>
        </w:rPr>
      </w:pPr>
    </w:p>
    <w:p>
      <w:pPr>
        <w:snapToGrid w:val="0"/>
        <w:spacing w:line="360" w:lineRule="auto"/>
        <w:ind w:firstLine="103" w:firstLineChars="49"/>
        <w:jc w:val="center"/>
        <w:rPr>
          <w:rFonts w:ascii="宋体" w:hAnsi="宋体"/>
          <w:b/>
          <w:szCs w:val="21"/>
        </w:rPr>
      </w:pPr>
      <w:r>
        <w:rPr>
          <w:rFonts w:hint="eastAsia" w:ascii="宋体" w:hAnsi="宋体"/>
          <w:b/>
          <w:szCs w:val="21"/>
        </w:rPr>
        <w:t>第五章  花卉的栽培管理</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：露地花卉特点与类型，掌握常见露地花卉栽培的环节与技术；</w:t>
      </w:r>
      <w:r>
        <w:rPr>
          <w:rFonts w:hint="eastAsia" w:hAnsi="宋体"/>
          <w:kern w:val="0"/>
          <w:szCs w:val="21"/>
        </w:rPr>
        <w:t>盆花上盆、翻盆与换盆技术；无土栽培的意义和优点、无土栽培的方法。</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rPr>
        <w:t>常见露地和温室一、二年生花卉、宿根花卉、球根花卉的繁殖、栽培、养护管理；</w:t>
      </w:r>
      <w:r>
        <w:rPr>
          <w:rFonts w:hint="eastAsia" w:hAnsi="宋体"/>
          <w:kern w:val="0"/>
          <w:szCs w:val="21"/>
        </w:rPr>
        <w:t>常见盆栽一、二年生花卉、宿根花卉、木本花卉、兰科花卉的栽培管理技术；常见一、二年生花卉、宿根花卉、木本花卉等的无土栽培管理技术。</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：露地花卉和温室花卉的栽培管理技术</w:t>
      </w:r>
      <w:r>
        <w:rPr>
          <w:rFonts w:hint="eastAsia" w:hAnsi="宋体"/>
          <w:kern w:val="0"/>
          <w:szCs w:val="21"/>
        </w:rPr>
        <w:t>；不同类型盆栽花卉的栽培技术；</w:t>
      </w:r>
      <w:r>
        <w:rPr>
          <w:rFonts w:hint="eastAsia" w:ascii="宋体" w:hAnsi="宋体"/>
          <w:szCs w:val="21"/>
        </w:rPr>
        <w:t>花期调控的原理和技术；</w:t>
      </w:r>
      <w:r>
        <w:rPr>
          <w:rFonts w:hint="eastAsia" w:hAnsi="宋体"/>
          <w:kern w:val="0"/>
          <w:szCs w:val="21"/>
        </w:rPr>
        <w:t>无土栽培营养液的配制与栽培管理。</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露地花卉栽培管理技术，主要包括土壤质地类型、土壤性状与花卉生长的关系、浇水与施肥；花卉的容器栽培即盆花栽培常见培养土的组分及配制比例，盆花的整形与修剪，盆花的肥水管理；花卉无土栽培概念及优缺点、营养液的配制与管理，花卉无土栽培常用的栽培基质，花卉花期调控的理论依据与技术，包括：花卉花期调控的意义、花期调控的理论依据、花期调控的技术途径等知识。</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：花期调控的原理和技术；不同花卉栽培方式的管理要求。</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：花卉无土栽培概念及优缺点。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：应用露地花卉设计五一、十一等重大节日摆花的能力；根据当地的实际情况，并能够获得较好经济效益的花卉，制定出最佳栽培方案；花卉花期调控的技术途径。</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szCs w:val="21"/>
        </w:rPr>
        <w:t>根据生产条件、环境因子、设备性能、花卉种类等分析调控花期可以采用的措施。</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：识记相关理论知识，根据实际要求采取适当的措施调控花期</w:t>
      </w:r>
      <w:r>
        <w:rPr>
          <w:rFonts w:hint="eastAsia" w:ascii="宋体" w:hAnsi="宋体"/>
          <w:bCs/>
          <w:szCs w:val="21"/>
        </w:rPr>
        <w:t>。</w:t>
      </w:r>
    </w:p>
    <w:p>
      <w:pPr>
        <w:snapToGrid w:val="0"/>
        <w:spacing w:line="360" w:lineRule="auto"/>
        <w:ind w:firstLine="103" w:firstLineChars="49"/>
        <w:jc w:val="center"/>
        <w:rPr>
          <w:rFonts w:ascii="宋体" w:hAnsi="宋体"/>
          <w:b/>
          <w:szCs w:val="21"/>
        </w:rPr>
      </w:pPr>
    </w:p>
    <w:p>
      <w:pPr>
        <w:snapToGrid w:val="0"/>
        <w:spacing w:line="360" w:lineRule="auto"/>
        <w:ind w:firstLine="103" w:firstLineChars="49"/>
        <w:jc w:val="center"/>
        <w:rPr>
          <w:rFonts w:ascii="宋体" w:hAnsi="宋体"/>
          <w:b/>
          <w:szCs w:val="21"/>
        </w:rPr>
      </w:pPr>
      <w:r>
        <w:rPr>
          <w:rFonts w:hint="eastAsia" w:ascii="宋体" w:hAnsi="宋体"/>
          <w:b/>
          <w:szCs w:val="21"/>
        </w:rPr>
        <w:t>第六章  花卉的应用</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：盆花的种类；插花艺术的起源与发展；干燥花的种类与制作方法；花卉的其他应用。</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：花卉装饰材料与应用，花卉装饰的设计；插花艺术的意义与类型及其各类插花艺术的风格与特点。</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：花卉的园林应用形式；花材的采切、贮藏与保鲜；盆花装饰艺术与插花艺术及干燥花处理概述。</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花坛、花境、花台、花丛等的种植设计与管理；盆花装饰的特点、盆花装饰技艺、插花艺术概述，切花采后保鲜处理技术等。</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：花卉的园林应用形式。</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：插花艺术的起源与发展。</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：切花的采后处理；插花技术；干燥花的制作与应用。</w:t>
      </w:r>
    </w:p>
    <w:p>
      <w:pPr>
        <w:snapToGrid w:val="0"/>
        <w:spacing w:line="360" w:lineRule="auto"/>
        <w:ind w:firstLine="422" w:firstLineChars="200"/>
        <w:rPr>
          <w:rFonts w:ascii="宋体" w:hAnsi="宋体"/>
          <w:b/>
          <w:szCs w:val="21"/>
        </w:rPr>
      </w:pPr>
      <w:r>
        <w:rPr>
          <w:rFonts w:hint="eastAsia" w:ascii="宋体" w:hAnsi="宋体"/>
          <w:b/>
          <w:szCs w:val="21"/>
        </w:rPr>
        <w:t>4.分析与综合：</w:t>
      </w:r>
      <w:r>
        <w:rPr>
          <w:rFonts w:hint="eastAsia" w:ascii="宋体" w:hAnsi="宋体"/>
          <w:szCs w:val="21"/>
        </w:rPr>
        <w:t>根据露地花卉的形态、习性特点，园林绿地的生态环境，分析并设计花坛、花境等园林景观</w:t>
      </w:r>
      <w:r>
        <w:rPr>
          <w:rFonts w:hint="eastAsia" w:ascii="宋体" w:hAnsi="宋体"/>
          <w:bCs/>
          <w:szCs w:val="21"/>
        </w:rPr>
        <w:t>。</w:t>
      </w:r>
    </w:p>
    <w:p>
      <w:pPr>
        <w:snapToGrid w:val="0"/>
        <w:spacing w:line="360" w:lineRule="auto"/>
        <w:ind w:firstLine="422" w:firstLineChars="200"/>
        <w:rPr>
          <w:rFonts w:ascii="宋体" w:hAnsi="宋体"/>
          <w:b/>
          <w:szCs w:val="21"/>
        </w:rPr>
      </w:pPr>
      <w:r>
        <w:rPr>
          <w:rFonts w:ascii="宋体" w:hAnsi="宋体"/>
          <w:b/>
          <w:szCs w:val="21"/>
        </w:rPr>
        <w:t>5</w:t>
      </w:r>
      <w:r>
        <w:rPr>
          <w:rFonts w:hint="eastAsia" w:ascii="宋体" w:hAnsi="宋体"/>
          <w:b/>
          <w:szCs w:val="21"/>
        </w:rPr>
        <w:t>.评价：</w:t>
      </w:r>
      <w:r>
        <w:rPr>
          <w:rFonts w:hint="eastAsia" w:ascii="宋体" w:hAnsi="宋体"/>
          <w:bCs/>
          <w:szCs w:val="21"/>
        </w:rPr>
        <w:t>通过课堂参与、学习通作业练习，以及花卉艺术品的制作等综合进行评价。</w:t>
      </w:r>
    </w:p>
    <w:p>
      <w:pPr>
        <w:snapToGrid w:val="0"/>
        <w:spacing w:line="360" w:lineRule="auto"/>
        <w:ind w:firstLine="103" w:firstLineChars="49"/>
        <w:jc w:val="center"/>
        <w:rPr>
          <w:rFonts w:ascii="宋体" w:hAnsi="宋体"/>
          <w:b/>
          <w:szCs w:val="21"/>
        </w:rPr>
      </w:pPr>
    </w:p>
    <w:p>
      <w:pPr>
        <w:snapToGrid w:val="0"/>
        <w:spacing w:line="360" w:lineRule="auto"/>
        <w:ind w:firstLine="103" w:firstLineChars="49"/>
        <w:jc w:val="center"/>
        <w:rPr>
          <w:rFonts w:ascii="宋体" w:hAnsi="宋体"/>
          <w:b/>
          <w:szCs w:val="21"/>
        </w:rPr>
      </w:pPr>
      <w:r>
        <w:rPr>
          <w:rFonts w:hint="eastAsia" w:ascii="宋体" w:hAnsi="宋体"/>
          <w:b/>
          <w:szCs w:val="21"/>
        </w:rPr>
        <w:t>第七章  一、二年生花卉</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：不同一、二年生花卉的生育特点、营养和温度的管理原则，以及开花习性</w:t>
      </w:r>
      <w:r>
        <w:rPr>
          <w:rFonts w:hint="eastAsia" w:hAnsi="宋体"/>
          <w:kern w:val="0"/>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ascii="宋体" w:hAnsi="宋体"/>
          <w:bCs/>
          <w:szCs w:val="21"/>
        </w:rPr>
        <w:t>一、二年生花卉的定义与特点</w:t>
      </w:r>
      <w:r>
        <w:rPr>
          <w:rFonts w:hint="eastAsia" w:hAnsi="宋体"/>
          <w:kern w:val="0"/>
          <w:szCs w:val="21"/>
        </w:rPr>
        <w:t>。</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ascii="宋体" w:hAnsi="宋体"/>
          <w:bCs/>
          <w:szCs w:val="21"/>
        </w:rPr>
        <w:t>常见一、二年生花卉的繁殖和栽培管理要点</w:t>
      </w:r>
      <w:r>
        <w:rPr>
          <w:rFonts w:hint="eastAsia" w:hAnsi="宋体"/>
          <w:kern w:val="0"/>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ascii="宋体" w:hAnsi="宋体"/>
          <w:bCs/>
          <w:szCs w:val="21"/>
        </w:rPr>
        <w:t>一、二年生花卉的定义、特点；主要一、二年生花卉的学名、产地、形态特征、常见品种、生物学特性、繁殖与栽培管理、主要园林用途。</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ascii="宋体" w:hAnsi="宋体"/>
          <w:bCs/>
          <w:szCs w:val="21"/>
        </w:rPr>
        <w:t>一、二年生花卉几十种</w:t>
      </w:r>
      <w:r>
        <w:rPr>
          <w:rFonts w:hint="eastAsia" w:ascii="宋体" w:hAnsi="宋体"/>
          <w:bCs/>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一、二年生花卉的定义与特点。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合理选择不同节日庆典布置花坛使用的一、二年生花卉；</w:t>
      </w:r>
      <w:r>
        <w:rPr>
          <w:rFonts w:hint="eastAsia" w:ascii="宋体" w:hAnsi="宋体"/>
          <w:szCs w:val="21"/>
        </w:rPr>
        <w:t>以某一花卉为例，能够进行恰当的栽培管理。</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szCs w:val="21"/>
        </w:rPr>
        <w:t>根据某一花卉的生长习性，分析如何让其在不同时期开花。</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：学生能够识别常见一、二年生花卉；区分相似的一、二年生花卉；</w:t>
      </w:r>
      <w:r>
        <w:rPr>
          <w:rFonts w:hint="eastAsia" w:hAnsi="宋体"/>
          <w:kern w:val="0"/>
          <w:szCs w:val="21"/>
        </w:rPr>
        <w:t>查阅一、二年生花卉科学研究的应用成果和成就</w:t>
      </w:r>
      <w:r>
        <w:rPr>
          <w:rFonts w:hint="eastAsia" w:ascii="宋体" w:hAnsi="宋体"/>
          <w:bCs/>
          <w:szCs w:val="21"/>
        </w:rPr>
        <w:t>。</w:t>
      </w:r>
    </w:p>
    <w:p>
      <w:pPr>
        <w:snapToGrid w:val="0"/>
        <w:spacing w:line="360" w:lineRule="auto"/>
        <w:ind w:firstLine="422" w:firstLineChars="200"/>
        <w:rPr>
          <w:rFonts w:ascii="宋体" w:hAnsi="宋体"/>
          <w:b/>
          <w:szCs w:val="21"/>
        </w:rPr>
      </w:pPr>
      <w:r>
        <w:rPr>
          <w:rFonts w:ascii="宋体" w:hAnsi="宋体"/>
          <w:b/>
          <w:szCs w:val="21"/>
        </w:rPr>
        <w:t>6</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snapToGrid w:val="0"/>
        <w:spacing w:line="360" w:lineRule="auto"/>
        <w:ind w:firstLine="103" w:firstLineChars="49"/>
        <w:jc w:val="center"/>
        <w:rPr>
          <w:rFonts w:ascii="宋体" w:hAnsi="宋体"/>
          <w:b/>
          <w:szCs w:val="21"/>
        </w:rPr>
      </w:pPr>
      <w:r>
        <w:rPr>
          <w:rFonts w:hint="eastAsia" w:ascii="宋体" w:hAnsi="宋体"/>
          <w:b/>
          <w:szCs w:val="21"/>
        </w:rPr>
        <w:t>第八章  宿根花卉</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宿根花卉的特点。</w:t>
      </w:r>
    </w:p>
    <w:p>
      <w:pPr>
        <w:snapToGrid w:val="0"/>
        <w:spacing w:line="360" w:lineRule="auto"/>
        <w:ind w:firstLine="422" w:firstLineChars="200"/>
        <w:rPr>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宿根花卉的概念与范畴。</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常见宿根花卉的繁殖栽培技术要点。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宿根花卉的定义、特点，主要宿根花卉学名、产地、形态特征、常见品种、生物学特性、繁殖与栽培管理、主要园林用途。</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常见宿根花卉如：菊花、芍药、鸢尾、香石竹、红掌等的形态特征、品种分类、繁殖方法、栽培技术、园林应用形式等知识。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宿根花卉的概念与特点。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：根据不同生境，选用不同的宿根花卉，配置花境、花丛等。</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bCs/>
          <w:szCs w:val="21"/>
        </w:rPr>
        <w:t>常见宿根花卉的繁殖栽培技术要点</w:t>
      </w:r>
      <w:r>
        <w:rPr>
          <w:rFonts w:hint="eastAsia" w:ascii="宋体" w:hAnsi="宋体"/>
          <w:szCs w:val="21"/>
        </w:rPr>
        <w:t>。</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：学生能够识别常见</w:t>
      </w:r>
      <w:r>
        <w:rPr>
          <w:rFonts w:hint="eastAsia" w:ascii="宋体" w:hAnsi="宋体"/>
          <w:bCs/>
          <w:szCs w:val="21"/>
        </w:rPr>
        <w:t>宿根花卉</w:t>
      </w:r>
      <w:r>
        <w:rPr>
          <w:rFonts w:hint="eastAsia" w:ascii="宋体" w:hAnsi="宋体"/>
          <w:szCs w:val="21"/>
        </w:rPr>
        <w:t>；</w:t>
      </w:r>
      <w:r>
        <w:rPr>
          <w:rFonts w:hint="eastAsia" w:hAnsi="宋体"/>
          <w:kern w:val="0"/>
          <w:szCs w:val="21"/>
        </w:rPr>
        <w:t>讨论宿根花卉的现状、存在问题、未来发展趋势</w:t>
      </w:r>
      <w:r>
        <w:rPr>
          <w:rFonts w:hint="eastAsia" w:ascii="宋体" w:hAnsi="宋体"/>
          <w:bCs/>
          <w:szCs w:val="21"/>
        </w:rPr>
        <w:t>。</w:t>
      </w:r>
    </w:p>
    <w:p>
      <w:pPr>
        <w:snapToGrid w:val="0"/>
        <w:spacing w:line="360" w:lineRule="auto"/>
        <w:ind w:firstLine="422" w:firstLineChars="200"/>
        <w:rPr>
          <w:rFonts w:ascii="宋体" w:hAnsi="宋体"/>
          <w:bCs/>
          <w:szCs w:val="21"/>
        </w:rPr>
      </w:pPr>
      <w:r>
        <w:rPr>
          <w:rFonts w:ascii="宋体" w:hAnsi="宋体"/>
          <w:b/>
          <w:szCs w:val="21"/>
        </w:rPr>
        <w:t>6</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snapToGrid w:val="0"/>
        <w:spacing w:line="360" w:lineRule="auto"/>
        <w:ind w:firstLine="103" w:firstLineChars="49"/>
        <w:jc w:val="center"/>
        <w:rPr>
          <w:rFonts w:ascii="宋体" w:hAnsi="宋体"/>
          <w:b/>
          <w:szCs w:val="21"/>
        </w:rPr>
      </w:pPr>
      <w:r>
        <w:rPr>
          <w:rFonts w:hint="eastAsia" w:ascii="宋体" w:hAnsi="宋体"/>
          <w:b/>
          <w:szCs w:val="21"/>
        </w:rPr>
        <w:t>第九章  球根花卉</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球根花卉的特点。</w:t>
      </w:r>
    </w:p>
    <w:p>
      <w:pPr>
        <w:snapToGrid w:val="0"/>
        <w:spacing w:line="360" w:lineRule="auto"/>
        <w:ind w:firstLine="422" w:firstLineChars="200"/>
        <w:rPr>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球根花卉的概念与范畴。</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球根花卉的分类、常见球根花卉的繁殖栽培技术要点。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球根花卉的定义、特点、分类，主要球根花卉学名、产地、形态特征、常见品种、生物学特性、繁殖与栽培管理、主要园林用途。</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常见球根花卉如：</w:t>
      </w:r>
      <w:r>
        <w:rPr>
          <w:rFonts w:hint="eastAsia" w:hAnsi="宋体"/>
          <w:kern w:val="0"/>
          <w:szCs w:val="21"/>
        </w:rPr>
        <w:t>百合、郁金香、风信子</w:t>
      </w:r>
      <w:r>
        <w:rPr>
          <w:rFonts w:hint="eastAsia" w:ascii="宋体" w:hAnsi="宋体"/>
          <w:bCs/>
          <w:szCs w:val="21"/>
        </w:rPr>
        <w:t>等的形态特征、品种分类、繁殖方法、栽培技术、园林应用形式等知识。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球根花卉的概念与特点。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：常见球根花卉种球退化的原因。</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bCs/>
          <w:szCs w:val="21"/>
        </w:rPr>
        <w:t>常见球根花卉的繁殖栽培技术要点</w:t>
      </w:r>
      <w:r>
        <w:rPr>
          <w:rFonts w:hint="eastAsia" w:ascii="宋体" w:hAnsi="宋体"/>
          <w:szCs w:val="21"/>
        </w:rPr>
        <w:t>。</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：学生能够识别常见</w:t>
      </w:r>
      <w:r>
        <w:rPr>
          <w:rFonts w:hint="eastAsia" w:ascii="宋体" w:hAnsi="宋体"/>
          <w:bCs/>
          <w:szCs w:val="21"/>
        </w:rPr>
        <w:t>球根花卉</w:t>
      </w:r>
      <w:r>
        <w:rPr>
          <w:rFonts w:hint="eastAsia" w:ascii="宋体" w:hAnsi="宋体"/>
          <w:szCs w:val="21"/>
        </w:rPr>
        <w:t>；</w:t>
      </w:r>
      <w:r>
        <w:rPr>
          <w:rFonts w:hint="eastAsia" w:hAnsi="宋体"/>
          <w:kern w:val="0"/>
          <w:szCs w:val="21"/>
        </w:rPr>
        <w:t>讨论宿根花卉的现状、存在问题、未来发展趋势</w:t>
      </w:r>
      <w:r>
        <w:rPr>
          <w:rFonts w:hint="eastAsia" w:ascii="宋体" w:hAnsi="宋体"/>
          <w:bCs/>
          <w:szCs w:val="21"/>
        </w:rPr>
        <w:t>。</w:t>
      </w:r>
    </w:p>
    <w:p>
      <w:pPr>
        <w:snapToGrid w:val="0"/>
        <w:spacing w:line="360" w:lineRule="auto"/>
        <w:ind w:firstLine="422" w:firstLineChars="200"/>
        <w:rPr>
          <w:rFonts w:ascii="宋体" w:hAnsi="宋体"/>
          <w:b/>
          <w:szCs w:val="21"/>
        </w:rPr>
      </w:pPr>
      <w:r>
        <w:rPr>
          <w:rFonts w:ascii="宋体" w:hAnsi="宋体"/>
          <w:b/>
          <w:szCs w:val="21"/>
        </w:rPr>
        <w:t>6</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snapToGrid w:val="0"/>
        <w:spacing w:line="360" w:lineRule="auto"/>
        <w:ind w:firstLine="103" w:firstLineChars="49"/>
        <w:jc w:val="center"/>
        <w:rPr>
          <w:rFonts w:ascii="宋体" w:hAnsi="宋体"/>
          <w:b/>
          <w:szCs w:val="21"/>
        </w:rPr>
      </w:pPr>
      <w:r>
        <w:rPr>
          <w:rFonts w:hint="eastAsia" w:ascii="宋体" w:hAnsi="宋体"/>
          <w:b/>
          <w:szCs w:val="21"/>
        </w:rPr>
        <w:t>第十章  室内观叶植物</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室内观叶植物的概念与范畴。</w:t>
      </w:r>
    </w:p>
    <w:p>
      <w:pPr>
        <w:snapToGrid w:val="0"/>
        <w:spacing w:line="360" w:lineRule="auto"/>
        <w:ind w:firstLine="422" w:firstLineChars="200"/>
        <w:rPr>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室内气候与室内观叶植物的选择。</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常见</w:t>
      </w:r>
      <w:r>
        <w:rPr>
          <w:rFonts w:ascii="宋体" w:hAnsi="宋体"/>
          <w:bCs/>
          <w:szCs w:val="21"/>
        </w:rPr>
        <w:t>室内观叶植物</w:t>
      </w:r>
      <w:r>
        <w:rPr>
          <w:rFonts w:hint="eastAsia" w:ascii="宋体" w:hAnsi="宋体"/>
          <w:bCs/>
          <w:szCs w:val="21"/>
        </w:rPr>
        <w:t>的繁殖栽培技术要点。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室内观叶植物的定义与特点。以天南星科、百合科、凤梨科、棕榈科观叶植物为重点，掌握室观叶植物学名、产地、形态特征、常见品种、生物学特性、繁殖与栽培管理。</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常见室内观叶植物的天南星科、百合科、凤梨科、棕榈科等观叶植物形态特征、品种分类、繁殖方法、栽培技术、园林应用形式等知识。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室内观叶植物的概念与特点。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ascii="宋体" w:hAnsi="宋体"/>
          <w:szCs w:val="21"/>
        </w:rPr>
        <w:t>依据室内环境条件选择合适的室内观叶植物进行室内绿化装饰</w:t>
      </w:r>
      <w:r>
        <w:rPr>
          <w:rFonts w:hint="eastAsia" w:ascii="宋体" w:hAnsi="宋体"/>
          <w:szCs w:val="21"/>
        </w:rPr>
        <w:t>。</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bCs/>
          <w:szCs w:val="21"/>
        </w:rPr>
        <w:t>室内观叶植物的繁殖栽培技术要点</w:t>
      </w:r>
      <w:r>
        <w:rPr>
          <w:rFonts w:hint="eastAsia" w:ascii="宋体" w:hAnsi="宋体"/>
          <w:szCs w:val="21"/>
        </w:rPr>
        <w:t>。</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：学生能够识别常见</w:t>
      </w:r>
      <w:r>
        <w:rPr>
          <w:rFonts w:hint="eastAsia" w:ascii="宋体" w:hAnsi="宋体"/>
          <w:bCs/>
          <w:szCs w:val="21"/>
        </w:rPr>
        <w:t>室内观叶植物</w:t>
      </w:r>
      <w:r>
        <w:rPr>
          <w:rFonts w:hint="eastAsia" w:ascii="宋体" w:hAnsi="宋体"/>
          <w:szCs w:val="21"/>
        </w:rPr>
        <w:t>；</w:t>
      </w:r>
      <w:r>
        <w:rPr>
          <w:rFonts w:hint="eastAsia" w:hAnsi="宋体"/>
          <w:kern w:val="0"/>
          <w:szCs w:val="21"/>
        </w:rPr>
        <w:t>根据室内气候选择合适的观叶植物</w:t>
      </w:r>
      <w:r>
        <w:rPr>
          <w:rFonts w:hint="eastAsia" w:ascii="宋体" w:hAnsi="宋体"/>
          <w:bCs/>
          <w:szCs w:val="21"/>
        </w:rPr>
        <w:t>。</w:t>
      </w:r>
    </w:p>
    <w:p>
      <w:pPr>
        <w:snapToGrid w:val="0"/>
        <w:spacing w:line="360" w:lineRule="auto"/>
        <w:ind w:firstLine="422" w:firstLineChars="200"/>
        <w:rPr>
          <w:rFonts w:ascii="宋体" w:hAnsi="宋体"/>
          <w:bCs/>
          <w:szCs w:val="21"/>
        </w:rPr>
      </w:pPr>
      <w:r>
        <w:rPr>
          <w:rFonts w:ascii="宋体" w:hAnsi="宋体"/>
          <w:b/>
          <w:szCs w:val="21"/>
        </w:rPr>
        <w:t>6</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snapToGrid w:val="0"/>
        <w:spacing w:line="360" w:lineRule="auto"/>
        <w:ind w:firstLine="103" w:firstLineChars="49"/>
        <w:jc w:val="center"/>
        <w:rPr>
          <w:rFonts w:ascii="宋体" w:hAnsi="宋体"/>
          <w:b/>
          <w:szCs w:val="21"/>
        </w:rPr>
      </w:pPr>
      <w:r>
        <w:rPr>
          <w:rFonts w:hint="eastAsia" w:ascii="宋体" w:hAnsi="宋体"/>
          <w:b/>
          <w:szCs w:val="21"/>
        </w:rPr>
        <w:t>第十一章  多浆植物</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ascii="宋体" w:hAnsi="宋体"/>
          <w:bCs/>
          <w:szCs w:val="21"/>
        </w:rPr>
        <w:t>多浆植物</w:t>
      </w:r>
      <w:r>
        <w:rPr>
          <w:rFonts w:hint="eastAsia" w:ascii="宋体" w:hAnsi="宋体"/>
          <w:bCs/>
          <w:szCs w:val="21"/>
        </w:rPr>
        <w:t>的植物学特性与分类；多浆植物的观赏价值。</w:t>
      </w:r>
    </w:p>
    <w:p>
      <w:pPr>
        <w:snapToGrid w:val="0"/>
        <w:spacing w:line="360" w:lineRule="auto"/>
        <w:ind w:firstLine="422" w:firstLineChars="200"/>
        <w:rPr>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多浆植物对环境条件的要求。</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常见多浆植物的繁殖与栽培养护管理；仙人掌类的嫁接方法和技术要点。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了解仙人掌与多浆植物的概念与分类，多浆植物对环境条件的要求，仙人掌类的嫁接方法和技术要点，掌握常见多浆植物的繁殖方法、栽培管理技术、园林应用形式等知识。</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ascii="宋体" w:hAnsi="宋体"/>
          <w:bCs/>
          <w:szCs w:val="21"/>
        </w:rPr>
        <w:t>常见</w:t>
      </w:r>
      <w:r>
        <w:rPr>
          <w:rFonts w:hint="eastAsia" w:ascii="宋体" w:hAnsi="宋体"/>
          <w:szCs w:val="21"/>
        </w:rPr>
        <w:t>多浆植物</w:t>
      </w:r>
      <w:r>
        <w:rPr>
          <w:rFonts w:hint="eastAsia" w:ascii="宋体" w:hAnsi="宋体"/>
          <w:bCs/>
          <w:szCs w:val="21"/>
        </w:rPr>
        <w:t>形态特征、品种分类、繁殖方法、栽培技术、园林应用形式等知识。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：多浆</w:t>
      </w:r>
      <w:r>
        <w:rPr>
          <w:rFonts w:hint="eastAsia" w:ascii="宋体" w:hAnsi="宋体"/>
          <w:bCs/>
          <w:szCs w:val="21"/>
        </w:rPr>
        <w:t>植物的概念与特点。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：多浆植物对环境条件的要求；重要花卉嫁接与栽培。</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szCs w:val="21"/>
        </w:rPr>
        <w:t>多浆植物</w:t>
      </w:r>
      <w:r>
        <w:rPr>
          <w:rFonts w:hint="eastAsia" w:ascii="宋体" w:hAnsi="宋体"/>
          <w:bCs/>
          <w:szCs w:val="21"/>
        </w:rPr>
        <w:t>的繁殖栽培技术要点</w:t>
      </w:r>
      <w:r>
        <w:rPr>
          <w:rFonts w:hint="eastAsia" w:ascii="宋体" w:hAnsi="宋体"/>
          <w:szCs w:val="21"/>
        </w:rPr>
        <w:t>。</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：学生能够识别常见多浆植物；</w:t>
      </w:r>
      <w:r>
        <w:rPr>
          <w:rFonts w:hint="eastAsia" w:hAnsi="宋体"/>
          <w:kern w:val="0"/>
          <w:szCs w:val="21"/>
        </w:rPr>
        <w:t>选择合适的多浆植物栽培环境</w:t>
      </w:r>
      <w:r>
        <w:rPr>
          <w:rFonts w:hint="eastAsia" w:ascii="宋体" w:hAnsi="宋体"/>
          <w:bCs/>
          <w:szCs w:val="21"/>
        </w:rPr>
        <w:t>。</w:t>
      </w:r>
    </w:p>
    <w:p>
      <w:pPr>
        <w:snapToGrid w:val="0"/>
        <w:spacing w:line="360" w:lineRule="auto"/>
        <w:ind w:firstLine="422" w:firstLineChars="200"/>
        <w:rPr>
          <w:rFonts w:ascii="宋体" w:hAnsi="宋体"/>
          <w:b/>
          <w:szCs w:val="21"/>
        </w:rPr>
      </w:pPr>
      <w:r>
        <w:rPr>
          <w:rFonts w:ascii="宋体" w:hAnsi="宋体"/>
          <w:b/>
          <w:szCs w:val="21"/>
        </w:rPr>
        <w:t>6</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snapToGrid w:val="0"/>
        <w:spacing w:line="360" w:lineRule="auto"/>
        <w:ind w:firstLine="103" w:firstLineChars="49"/>
        <w:jc w:val="center"/>
        <w:rPr>
          <w:rFonts w:ascii="宋体" w:hAnsi="宋体"/>
          <w:b/>
          <w:szCs w:val="21"/>
        </w:rPr>
      </w:pPr>
      <w:r>
        <w:rPr>
          <w:rFonts w:hint="eastAsia" w:ascii="宋体" w:hAnsi="宋体"/>
          <w:b/>
          <w:szCs w:val="21"/>
        </w:rPr>
        <w:t>第十二章  兰科花卉</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兰科花卉的发展概况；兰花鲜切花的采收与处理。</w:t>
      </w:r>
    </w:p>
    <w:p>
      <w:pPr>
        <w:snapToGrid w:val="0"/>
        <w:spacing w:line="360" w:lineRule="auto"/>
        <w:ind w:firstLine="422" w:firstLineChars="200"/>
        <w:rPr>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兰花的栽培环境条件。</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兰科花卉的分类；常见的兰科花卉的繁殖与栽培管理技术。</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兰花的分类方法，兰花对环境条件的要求，常见国兰（春兰、蕙兰、建兰、墨兰等）与热带兰（蝴蝶兰、大花蕙兰、卡特兰、石斛兰、兜兰）的形态特征、繁殖方法、栽培管理技术、园林应用形式等知识。</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ascii="宋体" w:hAnsi="宋体"/>
          <w:szCs w:val="21"/>
        </w:rPr>
        <w:t>兰科花卉的分类</w:t>
      </w:r>
      <w:r>
        <w:rPr>
          <w:rFonts w:hint="eastAsia" w:ascii="宋体" w:hAnsi="宋体"/>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：我国兰科花卉的悠久栽培历史和文化</w:t>
      </w:r>
      <w:r>
        <w:rPr>
          <w:rFonts w:hint="eastAsia" w:ascii="宋体" w:hAnsi="宋体"/>
          <w:bCs/>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：兰科花卉的繁殖；露地</w:t>
      </w:r>
      <w:r>
        <w:rPr>
          <w:rFonts w:hint="eastAsia" w:ascii="宋体" w:hAnsi="宋体"/>
          <w:bCs/>
          <w:szCs w:val="21"/>
        </w:rPr>
        <w:t>兰花鲜切花的</w:t>
      </w:r>
      <w:r>
        <w:rPr>
          <w:rFonts w:hint="eastAsia" w:ascii="宋体" w:hAnsi="宋体"/>
          <w:szCs w:val="21"/>
        </w:rPr>
        <w:t>生产。</w:t>
      </w:r>
    </w:p>
    <w:p>
      <w:pPr>
        <w:snapToGrid w:val="0"/>
        <w:spacing w:line="360" w:lineRule="auto"/>
        <w:ind w:firstLine="422" w:firstLineChars="200"/>
        <w:rPr>
          <w:rFonts w:ascii="宋体" w:hAnsi="宋体"/>
          <w:szCs w:val="21"/>
        </w:rPr>
      </w:pPr>
      <w:r>
        <w:rPr>
          <w:rFonts w:hint="eastAsia" w:ascii="宋体" w:hAnsi="宋体"/>
          <w:b/>
          <w:szCs w:val="21"/>
        </w:rPr>
        <w:t>4.分析：</w:t>
      </w:r>
      <w:r>
        <w:rPr>
          <w:rFonts w:hint="eastAsia" w:ascii="宋体" w:hAnsi="宋体"/>
          <w:szCs w:val="21"/>
        </w:rPr>
        <w:t>不同兰属花卉</w:t>
      </w:r>
      <w:r>
        <w:rPr>
          <w:rFonts w:hint="eastAsia" w:ascii="宋体" w:hAnsi="宋体"/>
          <w:bCs/>
          <w:szCs w:val="21"/>
        </w:rPr>
        <w:t>的观赏特性的差异</w:t>
      </w:r>
      <w:r>
        <w:rPr>
          <w:rFonts w:hint="eastAsia" w:ascii="宋体" w:hAnsi="宋体"/>
          <w:szCs w:val="21"/>
        </w:rPr>
        <w:t>。</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：学生能够识别兰属重要植物，如春兰、蕙兰、建兰、寒兰、墨兰；</w:t>
      </w:r>
      <w:r>
        <w:rPr>
          <w:rFonts w:hint="eastAsia" w:hAnsi="宋体"/>
          <w:kern w:val="0"/>
          <w:szCs w:val="21"/>
        </w:rPr>
        <w:t>了解我国兰花市场前景</w:t>
      </w:r>
      <w:r>
        <w:rPr>
          <w:rFonts w:hint="eastAsia" w:ascii="宋体" w:hAnsi="宋体"/>
          <w:bCs/>
          <w:szCs w:val="21"/>
        </w:rPr>
        <w:t>。</w:t>
      </w:r>
    </w:p>
    <w:p>
      <w:pPr>
        <w:snapToGrid w:val="0"/>
        <w:spacing w:line="360" w:lineRule="auto"/>
        <w:ind w:firstLine="422" w:firstLineChars="200"/>
        <w:rPr>
          <w:rFonts w:ascii="宋体" w:hAnsi="宋体"/>
          <w:bCs/>
          <w:szCs w:val="21"/>
        </w:rPr>
      </w:pPr>
      <w:r>
        <w:rPr>
          <w:rFonts w:ascii="宋体" w:hAnsi="宋体"/>
          <w:b/>
          <w:szCs w:val="21"/>
        </w:rPr>
        <w:t>6</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snapToGrid w:val="0"/>
        <w:spacing w:line="360" w:lineRule="auto"/>
        <w:ind w:firstLine="103" w:firstLineChars="49"/>
        <w:jc w:val="center"/>
        <w:rPr>
          <w:rFonts w:ascii="宋体" w:hAnsi="宋体"/>
          <w:b/>
          <w:szCs w:val="21"/>
        </w:rPr>
      </w:pPr>
      <w:r>
        <w:rPr>
          <w:rFonts w:hint="eastAsia" w:ascii="宋体" w:hAnsi="宋体"/>
          <w:b/>
          <w:szCs w:val="21"/>
        </w:rPr>
        <w:t>第十三章  水生花卉</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Cs/>
          <w:szCs w:val="21"/>
        </w:rPr>
      </w:pPr>
      <w:r>
        <w:rPr>
          <w:rFonts w:hint="eastAsia" w:ascii="宋体" w:hAnsi="宋体"/>
          <w:b/>
          <w:szCs w:val="21"/>
        </w:rPr>
        <w:t>1. 一般了解</w:t>
      </w:r>
      <w:r>
        <w:rPr>
          <w:rFonts w:hint="eastAsia" w:ascii="宋体" w:hAnsi="宋体"/>
          <w:szCs w:val="21"/>
        </w:rPr>
        <w:t>：</w:t>
      </w:r>
      <w:r>
        <w:rPr>
          <w:rFonts w:ascii="宋体" w:hAnsi="宋体"/>
          <w:bCs/>
          <w:szCs w:val="21"/>
        </w:rPr>
        <w:t>常见水生花卉的园林应用</w:t>
      </w:r>
      <w:r>
        <w:rPr>
          <w:rFonts w:hint="eastAsia" w:ascii="宋体" w:hAnsi="宋体"/>
          <w:bCs/>
          <w:szCs w:val="21"/>
        </w:rPr>
        <w:t>。</w:t>
      </w:r>
    </w:p>
    <w:p>
      <w:pPr>
        <w:snapToGrid w:val="0"/>
        <w:spacing w:line="360" w:lineRule="auto"/>
        <w:ind w:firstLine="422" w:firstLineChars="200"/>
        <w:rPr>
          <w:szCs w:val="21"/>
        </w:rPr>
      </w:pPr>
      <w:r>
        <w:rPr>
          <w:rFonts w:hint="eastAsia" w:ascii="宋体" w:hAnsi="宋体"/>
          <w:b/>
          <w:szCs w:val="21"/>
        </w:rPr>
        <w:t>2. 一般掌握</w:t>
      </w:r>
      <w:r>
        <w:rPr>
          <w:rFonts w:hint="eastAsia" w:ascii="宋体" w:hAnsi="宋体"/>
          <w:szCs w:val="21"/>
        </w:rPr>
        <w:t>：</w:t>
      </w:r>
      <w:r>
        <w:rPr>
          <w:rFonts w:ascii="宋体" w:hAnsi="宋体"/>
          <w:bCs/>
          <w:szCs w:val="21"/>
        </w:rPr>
        <w:t>水生花卉的生态习性与分类</w:t>
      </w:r>
      <w:r>
        <w:rPr>
          <w:rFonts w:hint="eastAsia" w:ascii="宋体" w:hAnsi="宋体"/>
          <w:bCs/>
          <w:szCs w:val="21"/>
        </w:rPr>
        <w:t>。</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ascii="宋体" w:hAnsi="宋体"/>
          <w:bCs/>
          <w:szCs w:val="21"/>
        </w:rPr>
        <w:t>常见水生花卉的繁殖和栽培管理特点</w:t>
      </w:r>
      <w:r>
        <w:rPr>
          <w:rFonts w:hint="eastAsia" w:ascii="宋体" w:hAnsi="宋体"/>
          <w:bCs/>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水生花卉的分类与生态习性。以荷花、睡莲为重点掌握水生花卉学名、产地、形态特征、常见品种分类、生物学特性、繁殖与栽培管理、主要园林用途。</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ascii="宋体" w:hAnsi="宋体"/>
          <w:bCs/>
          <w:szCs w:val="21"/>
        </w:rPr>
        <w:t>水生花卉的生态习性与分类；荷花品种分类体系。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：常见水生花卉的园林应用及前景</w:t>
      </w:r>
      <w:r>
        <w:rPr>
          <w:rFonts w:hint="eastAsia" w:ascii="宋体" w:hAnsi="宋体"/>
          <w:bCs/>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：常见水生花卉的繁殖和栽培管理特点。</w:t>
      </w:r>
    </w:p>
    <w:p>
      <w:pPr>
        <w:snapToGrid w:val="0"/>
        <w:spacing w:line="360" w:lineRule="auto"/>
        <w:ind w:firstLine="422" w:firstLineChars="200"/>
        <w:rPr>
          <w:rFonts w:ascii="宋体" w:hAnsi="宋体"/>
          <w:bCs/>
          <w:szCs w:val="21"/>
        </w:rPr>
      </w:pPr>
      <w:r>
        <w:rPr>
          <w:rFonts w:ascii="宋体" w:hAnsi="宋体"/>
          <w:b/>
          <w:szCs w:val="21"/>
        </w:rPr>
        <w:t>4</w:t>
      </w:r>
      <w:r>
        <w:rPr>
          <w:rFonts w:hint="eastAsia" w:ascii="宋体" w:hAnsi="宋体"/>
          <w:b/>
          <w:szCs w:val="21"/>
        </w:rPr>
        <w:t>.综合</w:t>
      </w:r>
      <w:r>
        <w:rPr>
          <w:rFonts w:hint="eastAsia" w:ascii="宋体" w:hAnsi="宋体"/>
          <w:szCs w:val="21"/>
        </w:rPr>
        <w:t>：如何做好水景园的水生花卉种植设计</w:t>
      </w:r>
      <w:r>
        <w:rPr>
          <w:rFonts w:hint="eastAsia" w:ascii="宋体" w:hAnsi="宋体"/>
          <w:bCs/>
          <w:szCs w:val="21"/>
        </w:rPr>
        <w:t>。</w:t>
      </w:r>
    </w:p>
    <w:p>
      <w:pPr>
        <w:snapToGrid w:val="0"/>
        <w:spacing w:line="360" w:lineRule="auto"/>
        <w:ind w:firstLine="422" w:firstLineChars="200"/>
        <w:rPr>
          <w:rFonts w:ascii="宋体" w:hAnsi="宋体"/>
          <w:bCs/>
          <w:szCs w:val="21"/>
        </w:rPr>
      </w:pPr>
      <w:r>
        <w:rPr>
          <w:rFonts w:ascii="宋体" w:hAnsi="宋体"/>
          <w:b/>
          <w:szCs w:val="21"/>
        </w:rPr>
        <w:t>5</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snapToGrid w:val="0"/>
        <w:spacing w:line="360" w:lineRule="auto"/>
        <w:ind w:firstLine="103" w:firstLineChars="49"/>
        <w:jc w:val="center"/>
        <w:rPr>
          <w:rFonts w:ascii="宋体" w:hAnsi="宋体"/>
          <w:b/>
          <w:szCs w:val="21"/>
        </w:rPr>
      </w:pPr>
      <w:r>
        <w:rPr>
          <w:rFonts w:hint="eastAsia" w:ascii="宋体" w:hAnsi="宋体"/>
          <w:b/>
          <w:szCs w:val="21"/>
        </w:rPr>
        <w:t>第十四章  木本花卉</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Cs/>
          <w:szCs w:val="21"/>
        </w:rPr>
      </w:pPr>
      <w:r>
        <w:rPr>
          <w:rFonts w:hint="eastAsia" w:ascii="宋体" w:hAnsi="宋体"/>
          <w:b/>
          <w:szCs w:val="21"/>
        </w:rPr>
        <w:t>1. 一般了解</w:t>
      </w:r>
      <w:r>
        <w:rPr>
          <w:rFonts w:hint="eastAsia" w:ascii="宋体" w:hAnsi="宋体"/>
          <w:szCs w:val="21"/>
        </w:rPr>
        <w:t>：</w:t>
      </w:r>
      <w:r>
        <w:rPr>
          <w:rFonts w:ascii="宋体" w:hAnsi="宋体"/>
          <w:bCs/>
          <w:szCs w:val="21"/>
        </w:rPr>
        <w:t>木本花卉的园林应用</w:t>
      </w:r>
      <w:r>
        <w:rPr>
          <w:rFonts w:hint="eastAsia" w:ascii="宋体" w:hAnsi="宋体"/>
          <w:bCs/>
          <w:szCs w:val="21"/>
        </w:rPr>
        <w:t>；月季、牡丹等中国传统木本花卉的栽培历史。</w:t>
      </w:r>
    </w:p>
    <w:p>
      <w:pPr>
        <w:snapToGrid w:val="0"/>
        <w:spacing w:line="360" w:lineRule="auto"/>
        <w:ind w:firstLine="422" w:firstLineChars="200"/>
        <w:rPr>
          <w:rFonts w:ascii="宋体" w:hAnsi="宋体"/>
          <w:bCs/>
          <w:szCs w:val="21"/>
        </w:rPr>
      </w:pPr>
      <w:r>
        <w:rPr>
          <w:rFonts w:hint="eastAsia" w:ascii="宋体" w:hAnsi="宋体"/>
          <w:b/>
          <w:szCs w:val="21"/>
        </w:rPr>
        <w:t>2. 一般掌握</w:t>
      </w:r>
      <w:r>
        <w:rPr>
          <w:rFonts w:hint="eastAsia" w:ascii="宋体" w:hAnsi="宋体"/>
          <w:szCs w:val="21"/>
        </w:rPr>
        <w:t>：</w:t>
      </w:r>
      <w:r>
        <w:rPr>
          <w:rFonts w:ascii="宋体" w:hAnsi="宋体"/>
          <w:bCs/>
          <w:szCs w:val="21"/>
        </w:rPr>
        <w:t>木本花卉的品种分类与生态习性</w:t>
      </w:r>
      <w:r>
        <w:rPr>
          <w:rFonts w:hint="eastAsia" w:ascii="宋体" w:hAnsi="宋体"/>
          <w:bCs/>
          <w:szCs w:val="21"/>
        </w:rPr>
        <w:t>。</w:t>
      </w:r>
    </w:p>
    <w:p>
      <w:pPr>
        <w:snapToGrid w:val="0"/>
        <w:spacing w:line="360" w:lineRule="auto"/>
        <w:ind w:firstLine="422" w:firstLineChars="200"/>
        <w:rPr>
          <w:rFonts w:ascii="宋体" w:hAnsi="宋体"/>
          <w:bCs/>
          <w:szCs w:val="21"/>
        </w:rPr>
      </w:pPr>
      <w:r>
        <w:rPr>
          <w:rFonts w:hint="eastAsia" w:ascii="宋体" w:hAnsi="宋体"/>
          <w:b/>
          <w:szCs w:val="21"/>
        </w:rPr>
        <w:t>3. 熟练掌握</w:t>
      </w:r>
      <w:r>
        <w:rPr>
          <w:rFonts w:hint="eastAsia" w:ascii="宋体" w:hAnsi="宋体"/>
          <w:szCs w:val="21"/>
        </w:rPr>
        <w:t>：</w:t>
      </w:r>
      <w:r>
        <w:rPr>
          <w:rFonts w:ascii="宋体" w:hAnsi="宋体"/>
          <w:bCs/>
          <w:szCs w:val="21"/>
        </w:rPr>
        <w:t>木本花卉的繁殖和栽培管理要点</w:t>
      </w:r>
      <w:r>
        <w:rPr>
          <w:rFonts w:hint="eastAsia" w:ascii="宋体" w:hAnsi="宋体"/>
          <w:bCs/>
          <w:szCs w:val="21"/>
        </w:rPr>
        <w:t>；月季按照来源及亲缘关系分为自然种月季、古典月季和现代月季三类，类之下再分种、群或者品种。</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月季、牡丹等传统木本花卉的产地与分布形态特征、品种分类、繁殖方法、栽培技术、园林应用形式等知识。</w:t>
      </w:r>
    </w:p>
    <w:p>
      <w:pPr>
        <w:snapToGrid w:val="0"/>
        <w:spacing w:line="360" w:lineRule="auto"/>
        <w:ind w:firstLine="422" w:firstLineChars="200"/>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ascii="宋体" w:hAnsi="宋体"/>
          <w:bCs/>
          <w:szCs w:val="21"/>
        </w:rPr>
        <w:t>木本花卉</w:t>
      </w:r>
      <w:r>
        <w:rPr>
          <w:rFonts w:hint="eastAsia" w:ascii="宋体" w:hAnsi="宋体"/>
          <w:bCs/>
          <w:szCs w:val="21"/>
        </w:rPr>
        <w:t>的生态习性与分类。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ascii="宋体" w:hAnsi="宋体"/>
          <w:bCs/>
          <w:szCs w:val="21"/>
        </w:rPr>
        <w:t>木本花卉</w:t>
      </w:r>
      <w:r>
        <w:rPr>
          <w:rFonts w:hint="eastAsia" w:ascii="宋体" w:hAnsi="宋体"/>
          <w:bCs/>
          <w:szCs w:val="21"/>
        </w:rPr>
        <w:t>的概念与特点；现代月季的来源，群的划分及特点。</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月季切花栽培技术</w:t>
      </w:r>
      <w:r>
        <w:rPr>
          <w:rFonts w:hint="eastAsia" w:ascii="宋体" w:hAnsi="宋体"/>
          <w:szCs w:val="21"/>
        </w:rPr>
        <w:t>；根据月季、牡丹等花芽分化特点，调整花期，周年生产。</w:t>
      </w:r>
    </w:p>
    <w:p>
      <w:pPr>
        <w:snapToGrid w:val="0"/>
        <w:spacing w:line="360" w:lineRule="auto"/>
        <w:ind w:firstLine="422" w:firstLineChars="200"/>
        <w:rPr>
          <w:rFonts w:ascii="宋体" w:hAnsi="宋体"/>
          <w:szCs w:val="21"/>
        </w:rPr>
      </w:pPr>
      <w:r>
        <w:rPr>
          <w:rFonts w:hint="eastAsia" w:ascii="宋体" w:hAnsi="宋体"/>
          <w:b/>
          <w:szCs w:val="21"/>
        </w:rPr>
        <w:t>4.分析：</w:t>
      </w:r>
      <w:r>
        <w:rPr>
          <w:rFonts w:ascii="宋体" w:hAnsi="宋体"/>
          <w:bCs/>
          <w:szCs w:val="21"/>
        </w:rPr>
        <w:t>木本花卉</w:t>
      </w:r>
      <w:r>
        <w:rPr>
          <w:rFonts w:hint="eastAsia" w:ascii="宋体" w:hAnsi="宋体"/>
          <w:bCs/>
          <w:szCs w:val="21"/>
        </w:rPr>
        <w:t>的分类特点</w:t>
      </w:r>
      <w:r>
        <w:rPr>
          <w:rFonts w:hint="eastAsia" w:ascii="宋体" w:hAnsi="宋体"/>
          <w:szCs w:val="21"/>
        </w:rPr>
        <w:t>。</w:t>
      </w:r>
    </w:p>
    <w:p>
      <w:pPr>
        <w:snapToGrid w:val="0"/>
        <w:spacing w:line="360" w:lineRule="auto"/>
        <w:ind w:firstLine="422" w:firstLineChars="200"/>
        <w:rPr>
          <w:rFonts w:ascii="宋体" w:hAnsi="宋体"/>
          <w:bCs/>
          <w:szCs w:val="21"/>
        </w:rPr>
      </w:pPr>
      <w:r>
        <w:rPr>
          <w:rFonts w:hint="eastAsia" w:ascii="宋体" w:hAnsi="宋体"/>
          <w:b/>
          <w:szCs w:val="21"/>
        </w:rPr>
        <w:t>5.综合</w:t>
      </w:r>
      <w:r>
        <w:rPr>
          <w:rFonts w:hint="eastAsia" w:ascii="宋体" w:hAnsi="宋体"/>
          <w:szCs w:val="21"/>
        </w:rPr>
        <w:t>：学生能够识</w:t>
      </w:r>
      <w:r>
        <w:rPr>
          <w:rFonts w:hint="eastAsia" w:ascii="宋体" w:hAnsi="宋体"/>
          <w:bCs/>
          <w:szCs w:val="21"/>
        </w:rPr>
        <w:t>别常见</w:t>
      </w:r>
      <w:r>
        <w:rPr>
          <w:rFonts w:ascii="宋体" w:hAnsi="宋体"/>
          <w:bCs/>
          <w:szCs w:val="21"/>
        </w:rPr>
        <w:t>木本花卉</w:t>
      </w:r>
      <w:r>
        <w:rPr>
          <w:rFonts w:hint="eastAsia" w:ascii="宋体" w:hAnsi="宋体"/>
          <w:bCs/>
          <w:szCs w:val="21"/>
        </w:rPr>
        <w:t>，并根据生产实际进行品种选择和花期调整。</w:t>
      </w:r>
    </w:p>
    <w:p>
      <w:pPr>
        <w:snapToGrid w:val="0"/>
        <w:spacing w:line="360" w:lineRule="auto"/>
        <w:ind w:firstLine="422" w:firstLineChars="200"/>
        <w:rPr>
          <w:rFonts w:ascii="宋体" w:hAnsi="宋体"/>
          <w:b/>
          <w:szCs w:val="21"/>
        </w:rPr>
      </w:pPr>
      <w:r>
        <w:rPr>
          <w:rFonts w:ascii="宋体" w:hAnsi="宋体"/>
          <w:b/>
          <w:szCs w:val="21"/>
        </w:rPr>
        <w:t>6</w:t>
      </w:r>
      <w:r>
        <w:rPr>
          <w:rFonts w:hint="eastAsia" w:ascii="宋体" w:hAnsi="宋体"/>
          <w:b/>
          <w:szCs w:val="21"/>
        </w:rPr>
        <w:t>.评价：</w:t>
      </w:r>
      <w:r>
        <w:rPr>
          <w:rFonts w:hint="eastAsia" w:ascii="宋体" w:hAnsi="宋体"/>
          <w:bCs/>
          <w:szCs w:val="21"/>
        </w:rPr>
        <w:t>通过课堂参与、学习通作业练习，采用“学生参与讲各论”的翻转课堂模式，对学生进行综合评价。</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33" w:name="_Toc138068471"/>
      <w:bookmarkStart w:id="734" w:name="_Toc138076165"/>
      <w:bookmarkStart w:id="735" w:name="_Toc24701"/>
      <w:bookmarkStart w:id="736" w:name="_Toc138076709"/>
      <w:bookmarkStart w:id="737" w:name="_Toc138070771"/>
      <w:bookmarkStart w:id="738" w:name="_Toc138068870"/>
      <w:bookmarkStart w:id="739" w:name="_Toc138070500"/>
      <w:bookmarkStart w:id="740" w:name="_Toc138076414"/>
      <w:r>
        <w:rPr>
          <w:rFonts w:hint="eastAsia" w:asciiTheme="majorEastAsia" w:hAnsiTheme="majorEastAsia" w:eastAsiaTheme="majorEastAsia" w:cstheme="majorEastAsia"/>
          <w:b/>
          <w:bCs/>
          <w:kern w:val="0"/>
          <w:szCs w:val="21"/>
        </w:rPr>
        <w:t>三、实验、实习教学部分的考核要求</w:t>
      </w:r>
      <w:bookmarkEnd w:id="733"/>
      <w:bookmarkEnd w:id="734"/>
      <w:bookmarkEnd w:id="735"/>
      <w:bookmarkEnd w:id="736"/>
      <w:bookmarkEnd w:id="737"/>
      <w:bookmarkEnd w:id="738"/>
      <w:bookmarkEnd w:id="739"/>
      <w:bookmarkEnd w:id="740"/>
    </w:p>
    <w:p>
      <w:pPr>
        <w:widowControl/>
        <w:adjustRightInd w:val="0"/>
        <w:snapToGrid w:val="0"/>
        <w:spacing w:line="360" w:lineRule="auto"/>
        <w:ind w:firstLine="420" w:firstLineChars="200"/>
        <w:jc w:val="left"/>
        <w:rPr>
          <w:rFonts w:ascii="宋体" w:hAnsi="宋体"/>
          <w:bCs/>
          <w:szCs w:val="21"/>
        </w:rPr>
      </w:pPr>
      <w:r>
        <w:rPr>
          <w:rFonts w:hint="eastAsia" w:ascii="宋体" w:hAnsi="宋体" w:cs="宋体"/>
          <w:bCs/>
          <w:kern w:val="0"/>
          <w:szCs w:val="21"/>
        </w:rPr>
        <w:t>1.</w:t>
      </w:r>
      <w:r>
        <w:rPr>
          <w:rFonts w:hint="eastAsia" w:ascii="宋体" w:hAnsi="宋体"/>
          <w:bCs/>
          <w:szCs w:val="21"/>
        </w:rPr>
        <w:t>实验教学以考核方式进行成绩评定，考核内容包括实验过程、实验纪律、实验结果、实验报告成绩。</w:t>
      </w:r>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2.</w:t>
      </w:r>
      <w:r>
        <w:rPr>
          <w:rFonts w:hint="eastAsia" w:ascii="宋体" w:hAnsi="宋体"/>
          <w:bCs/>
          <w:szCs w:val="21"/>
        </w:rPr>
        <w:t>实习教学以考核方式进行成绩评定，考核内容包括实习过程、实习纪律、实习报告成绩。</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41" w:name="_Toc20046"/>
      <w:bookmarkStart w:id="742" w:name="_Toc138076710"/>
      <w:bookmarkStart w:id="743" w:name="_Toc138068472"/>
      <w:bookmarkStart w:id="744" w:name="_Toc138068871"/>
      <w:bookmarkStart w:id="745" w:name="_Toc138076166"/>
      <w:bookmarkStart w:id="746" w:name="_Toc138076415"/>
      <w:bookmarkStart w:id="747" w:name="_Toc138070501"/>
      <w:bookmarkStart w:id="748" w:name="_Toc138070772"/>
      <w:r>
        <w:rPr>
          <w:rFonts w:hint="eastAsia" w:asciiTheme="majorEastAsia" w:hAnsiTheme="majorEastAsia" w:eastAsiaTheme="majorEastAsia" w:cstheme="majorEastAsia"/>
          <w:b/>
          <w:bCs/>
          <w:kern w:val="0"/>
          <w:szCs w:val="21"/>
        </w:rPr>
        <w:t>四、考核方式</w:t>
      </w:r>
      <w:bookmarkEnd w:id="741"/>
      <w:bookmarkEnd w:id="742"/>
      <w:bookmarkEnd w:id="743"/>
      <w:bookmarkEnd w:id="744"/>
      <w:bookmarkEnd w:id="745"/>
      <w:bookmarkEnd w:id="746"/>
      <w:bookmarkEnd w:id="747"/>
      <w:bookmarkEnd w:id="748"/>
    </w:p>
    <w:p>
      <w:pPr>
        <w:widowControl/>
        <w:snapToGrid w:val="0"/>
        <w:spacing w:line="360" w:lineRule="auto"/>
        <w:ind w:firstLine="420" w:firstLineChars="200"/>
        <w:jc w:val="left"/>
        <w:outlineLvl w:val="1"/>
        <w:rPr>
          <w:rFonts w:ascii="宋体" w:hAnsi="宋体"/>
          <w:bCs/>
          <w:szCs w:val="21"/>
        </w:rPr>
      </w:pPr>
      <w:bookmarkStart w:id="749" w:name="_Toc138070773"/>
      <w:bookmarkStart w:id="750" w:name="_Toc138076167"/>
      <w:bookmarkStart w:id="751" w:name="_Toc23792"/>
      <w:bookmarkStart w:id="752" w:name="_Toc138068473"/>
      <w:bookmarkStart w:id="753" w:name="_Toc138076711"/>
      <w:bookmarkStart w:id="754" w:name="_Toc138076416"/>
      <w:bookmarkStart w:id="755" w:name="_Toc138068872"/>
      <w:bookmarkStart w:id="756" w:name="_Toc138070502"/>
      <w:r>
        <w:rPr>
          <w:rFonts w:hint="eastAsia" w:ascii="宋体" w:hAnsi="宋体"/>
          <w:bCs/>
          <w:szCs w:val="21"/>
        </w:rPr>
        <w:t>理论课采取闭卷考试进行考核；总成绩＝期末考试成绩*40%+过程性评价*40%+平时成绩*20%。实验教学以实验报告的方式进行成绩评定，实验成绩占课程过程性评价总成绩的20%，其成绩登记到期末总成绩单上；</w:t>
      </w:r>
      <w:r>
        <w:rPr>
          <w:rFonts w:hint="eastAsia" w:hAnsi="宋体"/>
          <w:bCs/>
          <w:kern w:val="0"/>
          <w:szCs w:val="21"/>
        </w:rPr>
        <w:t>过程性评价</w:t>
      </w:r>
      <w:r>
        <w:rPr>
          <w:rFonts w:hint="eastAsia" w:ascii="宋体" w:hAnsi="宋体"/>
          <w:bCs/>
          <w:szCs w:val="21"/>
        </w:rPr>
        <w:t>成绩包括线上学习情况、课堂提问、小组讨论表现、</w:t>
      </w:r>
      <w:r>
        <w:rPr>
          <w:rFonts w:hint="eastAsia" w:hAnsi="宋体"/>
          <w:bCs/>
          <w:kern w:val="0"/>
          <w:szCs w:val="21"/>
        </w:rPr>
        <w:t>创新性任务考核</w:t>
      </w:r>
      <w:r>
        <w:rPr>
          <w:rFonts w:hint="eastAsia" w:ascii="宋体" w:hAnsi="宋体"/>
          <w:bCs/>
          <w:szCs w:val="21"/>
        </w:rPr>
        <w:t>等；教学实习以考核方式进行成绩评定。实验和实习成绩评定根据报告确定，分为优秀（90</w:t>
      </w:r>
      <w:r>
        <w:rPr>
          <w:rFonts w:ascii="宋体" w:hAnsi="宋体"/>
          <w:bCs/>
          <w:szCs w:val="21"/>
        </w:rPr>
        <w:t>-</w:t>
      </w:r>
      <w:r>
        <w:rPr>
          <w:rFonts w:hint="eastAsia" w:ascii="宋体" w:hAnsi="宋体"/>
          <w:bCs/>
          <w:szCs w:val="21"/>
        </w:rPr>
        <w:t>100分）、良好（80</w:t>
      </w:r>
      <w:r>
        <w:rPr>
          <w:rFonts w:ascii="宋体" w:hAnsi="宋体"/>
          <w:bCs/>
          <w:szCs w:val="21"/>
        </w:rPr>
        <w:t>-</w:t>
      </w:r>
      <w:r>
        <w:rPr>
          <w:rFonts w:hint="eastAsia" w:ascii="宋体" w:hAnsi="宋体"/>
          <w:bCs/>
          <w:szCs w:val="21"/>
        </w:rPr>
        <w:t>90分）、中等（70</w:t>
      </w:r>
      <w:r>
        <w:rPr>
          <w:rFonts w:ascii="宋体" w:hAnsi="宋体"/>
          <w:bCs/>
          <w:szCs w:val="21"/>
        </w:rPr>
        <w:t>-</w:t>
      </w:r>
      <w:r>
        <w:rPr>
          <w:rFonts w:hint="eastAsia" w:ascii="宋体" w:hAnsi="宋体"/>
          <w:bCs/>
          <w:szCs w:val="21"/>
        </w:rPr>
        <w:t>80分）、及格（60</w:t>
      </w:r>
      <w:r>
        <w:rPr>
          <w:rFonts w:ascii="宋体" w:hAnsi="宋体"/>
          <w:bCs/>
          <w:szCs w:val="21"/>
        </w:rPr>
        <w:t>-</w:t>
      </w:r>
      <w:r>
        <w:rPr>
          <w:rFonts w:hint="eastAsia" w:ascii="宋体" w:hAnsi="宋体"/>
          <w:bCs/>
          <w:szCs w:val="21"/>
        </w:rPr>
        <w:t>70分）和不及格（60分以下）五个等次。</w:t>
      </w:r>
      <w:bookmarkEnd w:id="749"/>
      <w:bookmarkEnd w:id="750"/>
      <w:bookmarkEnd w:id="751"/>
      <w:bookmarkEnd w:id="752"/>
      <w:bookmarkEnd w:id="753"/>
      <w:bookmarkEnd w:id="754"/>
      <w:bookmarkEnd w:id="755"/>
      <w:bookmarkEnd w:id="756"/>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57" w:name="_Toc138076417"/>
      <w:bookmarkStart w:id="758" w:name="_Toc12920"/>
      <w:bookmarkStart w:id="759" w:name="_Toc138068474"/>
      <w:bookmarkStart w:id="760" w:name="_Toc138070503"/>
      <w:bookmarkStart w:id="761" w:name="_Toc138068873"/>
      <w:bookmarkStart w:id="762" w:name="_Toc138076168"/>
      <w:bookmarkStart w:id="763" w:name="_Toc138070774"/>
      <w:bookmarkStart w:id="764" w:name="_Toc138076712"/>
      <w:r>
        <w:rPr>
          <w:rFonts w:hint="eastAsia" w:asciiTheme="majorEastAsia" w:hAnsiTheme="majorEastAsia" w:eastAsiaTheme="majorEastAsia" w:cstheme="majorEastAsia"/>
          <w:b/>
          <w:bCs/>
          <w:kern w:val="0"/>
          <w:szCs w:val="21"/>
        </w:rPr>
        <w:t>五、成绩评定</w:t>
      </w:r>
      <w:bookmarkEnd w:id="757"/>
      <w:bookmarkEnd w:id="758"/>
      <w:bookmarkEnd w:id="759"/>
      <w:bookmarkEnd w:id="760"/>
      <w:bookmarkEnd w:id="761"/>
      <w:bookmarkEnd w:id="762"/>
      <w:bookmarkEnd w:id="763"/>
      <w:bookmarkEnd w:id="764"/>
    </w:p>
    <w:p>
      <w:pPr>
        <w:snapToGrid w:val="0"/>
        <w:spacing w:line="360" w:lineRule="auto"/>
        <w:ind w:firstLine="420" w:firstLineChars="200"/>
        <w:rPr>
          <w:rFonts w:ascii="宋体" w:hAnsi="宋体"/>
          <w:szCs w:val="21"/>
        </w:rPr>
      </w:pPr>
      <w:r>
        <w:rPr>
          <w:rFonts w:hint="eastAsia" w:ascii="宋体" w:hAnsi="宋体"/>
          <w:szCs w:val="21"/>
        </w:rPr>
        <w:t>1.平时成绩</w:t>
      </w:r>
      <w:r>
        <w:rPr>
          <w:rFonts w:hint="eastAsia" w:ascii="宋体" w:hAnsi="宋体"/>
          <w:bCs/>
          <w:szCs w:val="21"/>
        </w:rPr>
        <w:t>（</w:t>
      </w:r>
      <w:r>
        <w:rPr>
          <w:rFonts w:hint="eastAsia" w:ascii="宋体" w:hAnsi="宋体"/>
        </w:rPr>
        <w:t>平时学习情况、课堂交流情况、作业、考勤等；</w:t>
      </w:r>
      <w:r>
        <w:rPr>
          <w:rFonts w:hint="eastAsia" w:ascii="宋体" w:hAnsi="宋体"/>
          <w:szCs w:val="21"/>
        </w:rPr>
        <w:t>所占比例为2</w:t>
      </w:r>
      <w:r>
        <w:rPr>
          <w:rFonts w:ascii="宋体" w:hAnsi="宋体"/>
          <w:szCs w:val="21"/>
        </w:rPr>
        <w:t>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rPr>
        <w:t>2.期末成绩</w:t>
      </w:r>
      <w:r>
        <w:rPr>
          <w:rFonts w:hint="eastAsia" w:ascii="宋体" w:hAnsi="宋体"/>
          <w:bCs/>
          <w:szCs w:val="21"/>
        </w:rPr>
        <w:t>（</w:t>
      </w:r>
      <w:r>
        <w:rPr>
          <w:rFonts w:hint="eastAsia" w:ascii="宋体" w:hAnsi="宋体"/>
          <w:szCs w:val="21"/>
        </w:rPr>
        <w:t>闭卷考试；所占比例为4</w:t>
      </w:r>
      <w:r>
        <w:rPr>
          <w:rFonts w:ascii="宋体" w:hAnsi="宋体"/>
          <w:szCs w:val="21"/>
        </w:rPr>
        <w:t>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rPr>
        <w:t>3.综合成绩</w:t>
      </w:r>
      <w:r>
        <w:rPr>
          <w:rFonts w:hint="eastAsia" w:ascii="宋体" w:hAnsi="宋体"/>
          <w:bCs/>
          <w:szCs w:val="21"/>
        </w:rPr>
        <w:t>（平时成绩×2</w:t>
      </w:r>
      <w:r>
        <w:rPr>
          <w:rFonts w:ascii="宋体" w:hAnsi="宋体"/>
          <w:bCs/>
          <w:szCs w:val="21"/>
        </w:rPr>
        <w:t>0%</w:t>
      </w:r>
      <w:r>
        <w:rPr>
          <w:rFonts w:hint="eastAsia" w:ascii="宋体" w:hAnsi="宋体"/>
          <w:bCs/>
          <w:szCs w:val="21"/>
        </w:rPr>
        <w:t>+过程性评价×</w:t>
      </w:r>
      <w:r>
        <w:rPr>
          <w:rFonts w:ascii="宋体" w:hAnsi="宋体"/>
          <w:bCs/>
          <w:szCs w:val="21"/>
        </w:rPr>
        <w:t>40%</w:t>
      </w:r>
      <w:r>
        <w:rPr>
          <w:rFonts w:hint="eastAsia" w:ascii="宋体" w:hAnsi="宋体"/>
          <w:bCs/>
          <w:szCs w:val="21"/>
        </w:rPr>
        <w:t>+期末成绩×</w:t>
      </w:r>
      <w:r>
        <w:rPr>
          <w:rFonts w:ascii="宋体" w:hAnsi="宋体"/>
          <w:bCs/>
          <w:szCs w:val="21"/>
        </w:rPr>
        <w:t>40%</w:t>
      </w:r>
      <w:r>
        <w:rPr>
          <w:rFonts w:hint="eastAsia" w:ascii="宋体" w:hAnsi="宋体"/>
          <w:bCs/>
          <w:szCs w:val="21"/>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65" w:name="_Toc138070775"/>
      <w:bookmarkStart w:id="766" w:name="_Toc138076169"/>
      <w:bookmarkStart w:id="767" w:name="_Toc138070504"/>
      <w:bookmarkStart w:id="768" w:name="_Toc20618"/>
      <w:bookmarkStart w:id="769" w:name="_Toc138068874"/>
      <w:bookmarkStart w:id="770" w:name="_Toc138076713"/>
      <w:bookmarkStart w:id="771" w:name="_Toc138076418"/>
      <w:bookmarkStart w:id="772" w:name="_Toc138068475"/>
      <w:r>
        <w:rPr>
          <w:rFonts w:hint="eastAsia" w:asciiTheme="majorEastAsia" w:hAnsiTheme="majorEastAsia" w:eastAsiaTheme="majorEastAsia" w:cstheme="majorEastAsia"/>
          <w:b/>
          <w:bCs/>
          <w:kern w:val="0"/>
          <w:szCs w:val="21"/>
        </w:rPr>
        <w:t>六、考核结果分析反馈</w:t>
      </w:r>
      <w:bookmarkEnd w:id="765"/>
      <w:bookmarkEnd w:id="766"/>
      <w:bookmarkEnd w:id="767"/>
      <w:bookmarkEnd w:id="768"/>
      <w:bookmarkEnd w:id="769"/>
      <w:bookmarkEnd w:id="770"/>
      <w:bookmarkEnd w:id="771"/>
      <w:bookmarkEnd w:id="772"/>
    </w:p>
    <w:p>
      <w:pPr>
        <w:snapToGrid w:val="0"/>
        <w:spacing w:line="360" w:lineRule="auto"/>
        <w:ind w:firstLine="420" w:firstLineChars="200"/>
        <w:rPr>
          <w:rFonts w:hAnsi="宋体"/>
          <w:szCs w:val="21"/>
        </w:rPr>
      </w:pPr>
      <w:r>
        <w:rPr>
          <w:rFonts w:hint="eastAsia" w:hAnsi="宋体"/>
          <w:bCs/>
          <w:szCs w:val="21"/>
        </w:rPr>
        <w:t>1. 通过对学生多个成绩的变化情况，例如</w:t>
      </w:r>
      <w:r>
        <w:rPr>
          <w:rFonts w:hint="eastAsia" w:ascii="宋体" w:hAnsi="宋体"/>
          <w:bCs/>
          <w:szCs w:val="21"/>
        </w:rPr>
        <w:t>线上学习情况、课堂提问、小组讨论表现等</w:t>
      </w:r>
      <w:r>
        <w:rPr>
          <w:rFonts w:hint="eastAsia" w:hAnsi="宋体"/>
          <w:bCs/>
          <w:szCs w:val="21"/>
        </w:rPr>
        <w:t>进行分析，找到学生成绩变化的原因，对其加以引导</w:t>
      </w:r>
      <w:r>
        <w:rPr>
          <w:rFonts w:hint="eastAsia" w:hAnsi="宋体"/>
          <w:szCs w:val="21"/>
        </w:rPr>
        <w:t>。另外，以班级所有学生的成绩为对象，通过群体导向的分析，探究某个班级的学习氛围和学习方式，并因材施教。同时，分析学习通等作业回答情况，了解课堂所讲内容的难易程度。将考核结果阶段性反馈给学生，对学习情况进行总结和激励。</w:t>
      </w:r>
    </w:p>
    <w:p>
      <w:pPr>
        <w:snapToGrid w:val="0"/>
        <w:spacing w:line="360" w:lineRule="auto"/>
        <w:ind w:firstLine="420" w:firstLineChars="200"/>
        <w:rPr>
          <w:rFonts w:hAnsi="宋体"/>
          <w:szCs w:val="21"/>
        </w:rPr>
      </w:pPr>
      <w:r>
        <w:rPr>
          <w:rFonts w:hint="eastAsia" w:hAnsi="宋体"/>
          <w:szCs w:val="21"/>
        </w:rPr>
        <w:t>2. 基于学生考核结果，了解课堂所讲理论知识的难易程度，进行适当调节。针对课堂和线上不活跃的学生，完善“师生互动”的策略研究，引导学生积极参与课堂，开展“在课堂教学中开展学法指导”的研究，总结实践经验，形成指导性文本。教学设计中突出重点和难点，一节课中不要安排过多学习活动，导致每个活动都缺乏充分的操作时间和空间，教学要形成一个主线清晰、层次分明的整体。</w:t>
      </w:r>
    </w:p>
    <w:p>
      <w:pPr>
        <w:pStyle w:val="21"/>
        <w:rPr>
          <w:sz w:val="28"/>
        </w:rPr>
      </w:pPr>
      <w:bookmarkStart w:id="773" w:name="_Toc138076170"/>
      <w:bookmarkStart w:id="774" w:name="_Toc138076714"/>
    </w:p>
    <w:p>
      <w:pPr>
        <w:pStyle w:val="21"/>
        <w:rPr>
          <w:sz w:val="28"/>
        </w:rPr>
      </w:pPr>
    </w:p>
    <w:p>
      <w:pPr>
        <w:rPr>
          <w:sz w:val="28"/>
        </w:rPr>
      </w:pPr>
      <w:r>
        <w:rPr>
          <w:rFonts w:hint="eastAsia"/>
          <w:sz w:val="28"/>
        </w:rPr>
        <w:br w:type="page"/>
      </w:r>
    </w:p>
    <w:p>
      <w:pPr>
        <w:pStyle w:val="21"/>
        <w:rPr>
          <w:sz w:val="28"/>
        </w:rPr>
      </w:pPr>
      <w:bookmarkStart w:id="775" w:name="_Toc29057"/>
      <w:r>
        <w:rPr>
          <w:rFonts w:hint="eastAsia"/>
          <w:sz w:val="28"/>
        </w:rPr>
        <w:t>园艺植物生物技术考核大纲</w:t>
      </w:r>
      <w:bookmarkEnd w:id="773"/>
      <w:bookmarkEnd w:id="774"/>
      <w:bookmarkEnd w:id="775"/>
      <w:r>
        <w:rPr>
          <w:rFonts w:hint="eastAsia"/>
          <w:sz w:val="28"/>
        </w:rPr>
        <w:t xml:space="preserve"> </w:t>
      </w:r>
    </w:p>
    <w:p>
      <w:pPr>
        <w:snapToGrid w:val="0"/>
        <w:spacing w:line="360" w:lineRule="auto"/>
        <w:jc w:val="center"/>
        <w:rPr>
          <w:rFonts w:hAnsi="宋体"/>
          <w:sz w:val="28"/>
          <w:szCs w:val="28"/>
        </w:rPr>
      </w:pPr>
      <w:r>
        <w:rPr>
          <w:rFonts w:hint="eastAsia"/>
          <w:sz w:val="24"/>
        </w:rPr>
        <w:t>（</w:t>
      </w:r>
      <w:r>
        <w:rPr>
          <w:rFonts w:hint="eastAsia"/>
          <w:i w:val="0"/>
          <w:iCs/>
          <w:sz w:val="24"/>
        </w:rPr>
        <w:t>Biotechnology of Horticultural Plants</w:t>
      </w:r>
      <w:r>
        <w:rPr>
          <w:rFonts w:hint="eastAsia"/>
          <w:sz w:val="24"/>
        </w:rPr>
        <w:t>）</w:t>
      </w: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w:t>
            </w:r>
            <w:r>
              <w:rPr>
                <w:rFonts w:hint="eastAsia"/>
                <w:b/>
              </w:rPr>
              <w:t>19011116h</w:t>
            </w:r>
          </w:p>
        </w:tc>
        <w:tc>
          <w:tcPr>
            <w:tcW w:w="1234" w:type="pct"/>
          </w:tcPr>
          <w:p>
            <w:pPr>
              <w:spacing w:line="300" w:lineRule="auto"/>
              <w:rPr>
                <w:rFonts w:ascii="宋体" w:hAnsi="宋体"/>
                <w:b/>
                <w:bCs/>
                <w:szCs w:val="21"/>
              </w:rPr>
            </w:pPr>
            <w:r>
              <w:rPr>
                <w:rFonts w:hint="eastAsia" w:ascii="宋体" w:hAnsi="宋体"/>
                <w:b/>
                <w:bCs/>
                <w:szCs w:val="21"/>
              </w:rPr>
              <w:t>课程学时：48</w:t>
            </w:r>
          </w:p>
        </w:tc>
        <w:tc>
          <w:tcPr>
            <w:tcW w:w="2100" w:type="pct"/>
          </w:tcPr>
          <w:p>
            <w:pPr>
              <w:spacing w:line="300" w:lineRule="auto"/>
              <w:rPr>
                <w:rFonts w:ascii="宋体" w:hAnsi="宋体"/>
                <w:b/>
                <w:bCs/>
                <w:szCs w:val="21"/>
              </w:rPr>
            </w:pPr>
            <w:r>
              <w:rPr>
                <w:rFonts w:hint="eastAsia" w:ascii="宋体" w:hAnsi="宋体"/>
                <w:b/>
                <w:bCs/>
                <w:szCs w:val="21"/>
              </w:rPr>
              <w:t>课程学分：3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主撰人：李志谦等</w:t>
            </w:r>
          </w:p>
        </w:tc>
        <w:tc>
          <w:tcPr>
            <w:tcW w:w="1234" w:type="pct"/>
          </w:tcPr>
          <w:p>
            <w:pPr>
              <w:spacing w:line="300" w:lineRule="auto"/>
              <w:rPr>
                <w:rFonts w:ascii="宋体" w:hAnsi="宋体"/>
                <w:b/>
                <w:bCs/>
                <w:szCs w:val="21"/>
              </w:rPr>
            </w:pPr>
            <w:r>
              <w:rPr>
                <w:rFonts w:hint="eastAsia" w:ascii="宋体" w:hAnsi="宋体"/>
                <w:b/>
                <w:bCs/>
                <w:szCs w:val="21"/>
              </w:rPr>
              <w:t>审核人：</w:t>
            </w:r>
            <w:r>
              <w:rPr>
                <w:rFonts w:hint="eastAsia" w:hAnsi="宋体"/>
                <w:b/>
                <w:bCs/>
                <w:szCs w:val="21"/>
              </w:rPr>
              <w:t>谭彬</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76" w:name="_Toc138068876"/>
      <w:bookmarkStart w:id="777" w:name="_Toc138076420"/>
      <w:bookmarkStart w:id="778" w:name="_Toc138076171"/>
      <w:bookmarkStart w:id="779" w:name="_Toc138070777"/>
      <w:bookmarkStart w:id="780" w:name="_Toc22409"/>
      <w:bookmarkStart w:id="781" w:name="_Toc138076715"/>
      <w:bookmarkStart w:id="782" w:name="_Toc138068477"/>
      <w:bookmarkStart w:id="783" w:name="_Toc138070506"/>
      <w:r>
        <w:rPr>
          <w:rFonts w:hint="eastAsia" w:asciiTheme="majorEastAsia" w:hAnsiTheme="majorEastAsia" w:eastAsiaTheme="majorEastAsia" w:cstheme="majorEastAsia"/>
          <w:b/>
          <w:bCs/>
          <w:kern w:val="0"/>
          <w:szCs w:val="21"/>
        </w:rPr>
        <w:t>一、课程的性质和地位</w:t>
      </w:r>
      <w:bookmarkEnd w:id="776"/>
      <w:bookmarkEnd w:id="777"/>
      <w:bookmarkEnd w:id="778"/>
      <w:bookmarkEnd w:id="779"/>
      <w:bookmarkEnd w:id="780"/>
      <w:bookmarkEnd w:id="781"/>
      <w:bookmarkEnd w:id="782"/>
      <w:bookmarkEnd w:id="783"/>
    </w:p>
    <w:p>
      <w:pPr>
        <w:spacing w:line="360" w:lineRule="auto"/>
        <w:ind w:firstLine="420" w:firstLineChars="200"/>
        <w:rPr>
          <w:rFonts w:cs="宋体"/>
          <w:bCs/>
          <w:kern w:val="0"/>
          <w:szCs w:val="21"/>
        </w:rPr>
      </w:pPr>
      <w:r>
        <w:rPr>
          <w:rFonts w:hint="eastAsia" w:cs="宋体"/>
          <w:bCs/>
          <w:kern w:val="0"/>
          <w:szCs w:val="21"/>
        </w:rPr>
        <w:t>园艺植物生物技术是园艺专业学生的专业核心课。该课程是应用现代生物技术有关基本原理和方法，在个体、细胞、分子水平上研究、评价和改造园艺植物遗传特性的有关理论和技术的科学。要求学生通过本课程的学习，了解现代生物技术的发展概况和趋势，掌握园艺植物组织培养、细胞培养与体细胞杂交、脱毒快繁、</w:t>
      </w:r>
      <w:r>
        <w:rPr>
          <w:rFonts w:cs="宋体"/>
          <w:bCs/>
          <w:kern w:val="0"/>
          <w:szCs w:val="21"/>
        </w:rPr>
        <w:t>DNA</w:t>
      </w:r>
      <w:r>
        <w:rPr>
          <w:rFonts w:hint="eastAsia" w:cs="宋体"/>
          <w:bCs/>
          <w:kern w:val="0"/>
          <w:szCs w:val="21"/>
        </w:rPr>
        <w:t>分子标记、基因克隆以及遗传转化的基本原理和技术，为从事园艺植物生物技术相关研究及其产业应用奠定良好的理论和技术基础。</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84" w:name="_Toc138070507"/>
      <w:bookmarkStart w:id="785" w:name="_Toc138076172"/>
      <w:bookmarkStart w:id="786" w:name="_Toc138070778"/>
      <w:bookmarkStart w:id="787" w:name="_Toc23386"/>
      <w:bookmarkStart w:id="788" w:name="_Toc138068478"/>
      <w:bookmarkStart w:id="789" w:name="_Toc138076421"/>
      <w:bookmarkStart w:id="790" w:name="_Toc138076716"/>
      <w:bookmarkStart w:id="791" w:name="_Toc138068877"/>
      <w:r>
        <w:rPr>
          <w:rFonts w:hint="eastAsia" w:asciiTheme="majorEastAsia" w:hAnsiTheme="majorEastAsia" w:eastAsiaTheme="majorEastAsia" w:cstheme="majorEastAsia"/>
          <w:b/>
          <w:bCs/>
          <w:kern w:val="0"/>
          <w:szCs w:val="21"/>
        </w:rPr>
        <w:t>二、理论教学部分的考核目标</w:t>
      </w:r>
      <w:bookmarkEnd w:id="784"/>
      <w:bookmarkEnd w:id="785"/>
      <w:bookmarkEnd w:id="786"/>
      <w:bookmarkEnd w:id="787"/>
      <w:bookmarkEnd w:id="788"/>
      <w:bookmarkEnd w:id="789"/>
      <w:bookmarkEnd w:id="790"/>
      <w:bookmarkEnd w:id="791"/>
    </w:p>
    <w:p>
      <w:pPr>
        <w:snapToGrid w:val="0"/>
        <w:spacing w:before="156" w:beforeLines="50" w:after="156" w:afterLines="50" w:line="360" w:lineRule="auto"/>
        <w:ind w:firstLine="417" w:firstLineChars="199"/>
        <w:rPr>
          <w:kern w:val="0"/>
          <w:szCs w:val="21"/>
        </w:rPr>
      </w:pPr>
      <w:r>
        <w:rPr>
          <w:rFonts w:hint="eastAsia"/>
          <w:bCs/>
          <w:kern w:val="0"/>
          <w:szCs w:val="21"/>
        </w:rPr>
        <w:t>要求学生：（</w:t>
      </w:r>
      <w:r>
        <w:rPr>
          <w:bCs/>
          <w:kern w:val="0"/>
          <w:szCs w:val="21"/>
        </w:rPr>
        <w:t>1</w:t>
      </w:r>
      <w:r>
        <w:rPr>
          <w:rFonts w:hint="eastAsia"/>
          <w:bCs/>
          <w:kern w:val="0"/>
          <w:szCs w:val="21"/>
        </w:rPr>
        <w:t>）系统地掌握园艺植物生物技术的研究历史和发展趋势，明确园艺植物生物技术的任务及其与其他学科的关系，</w:t>
      </w:r>
      <w:r>
        <w:rPr>
          <w:rFonts w:hint="eastAsia"/>
          <w:kern w:val="0"/>
          <w:szCs w:val="21"/>
        </w:rPr>
        <w:t>使学生了解本课程在本专业中的地位；</w:t>
      </w:r>
      <w:r>
        <w:rPr>
          <w:rFonts w:hint="eastAsia"/>
          <w:bCs/>
          <w:kern w:val="0"/>
          <w:szCs w:val="21"/>
        </w:rPr>
        <w:t>（</w:t>
      </w:r>
      <w:r>
        <w:rPr>
          <w:bCs/>
          <w:kern w:val="0"/>
          <w:szCs w:val="21"/>
        </w:rPr>
        <w:t>2</w:t>
      </w:r>
      <w:r>
        <w:rPr>
          <w:rFonts w:hint="eastAsia"/>
          <w:bCs/>
          <w:kern w:val="0"/>
          <w:szCs w:val="21"/>
        </w:rPr>
        <w:t>）明确</w:t>
      </w:r>
      <w:r>
        <w:rPr>
          <w:rFonts w:hint="eastAsia"/>
          <w:kern w:val="0"/>
          <w:szCs w:val="21"/>
        </w:rPr>
        <w:t>组织培养的基本原理和技术，掌握细胞培养、体细胞杂交、脱毒快繁的原理和方法，了解这些方法在园艺植物研究中的应用；（3）了解基因分离克隆、遗传转化等知识，掌握转基因技术在园艺植物育种中的应用，为进一步开展园艺植物生物技术相关研究与应用奠定基础；（4）了解分子标记技术的类别、原理及特点，及其在园艺植物研究中的应用；（5）了解果树生物技术研究进展，以及果树转基因研究近况。</w:t>
      </w:r>
    </w:p>
    <w:p>
      <w:pPr>
        <w:numPr>
          <w:ilvl w:val="0"/>
          <w:numId w:val="49"/>
        </w:numPr>
        <w:snapToGrid w:val="0"/>
        <w:spacing w:line="360" w:lineRule="auto"/>
        <w:jc w:val="center"/>
        <w:rPr>
          <w:rFonts w:ascii="宋体" w:hAnsi="宋体"/>
          <w:b/>
          <w:szCs w:val="21"/>
        </w:rPr>
      </w:pPr>
      <w:r>
        <w:rPr>
          <w:rFonts w:hint="eastAsia" w:ascii="宋体" w:hAnsi="宋体"/>
          <w:b/>
          <w:szCs w:val="21"/>
        </w:rPr>
        <w:t>植物组织培养与细胞培养技术</w:t>
      </w:r>
    </w:p>
    <w:p>
      <w:pPr>
        <w:snapToGrid w:val="0"/>
        <w:spacing w:line="360" w:lineRule="auto"/>
        <w:rPr>
          <w:rFonts w:ascii="宋体" w:hAnsi="宋体"/>
          <w:b/>
          <w:szCs w:val="21"/>
        </w:rPr>
      </w:pPr>
      <w:r>
        <w:rPr>
          <w:rFonts w:hint="eastAsia" w:ascii="宋体" w:hAnsi="宋体"/>
          <w:b/>
          <w:szCs w:val="21"/>
        </w:rPr>
        <w:t>（一）学习目标</w:t>
      </w:r>
    </w:p>
    <w:p>
      <w:pPr>
        <w:snapToGrid w:val="0"/>
        <w:spacing w:before="156" w:beforeLines="50"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hAnsi="宋体"/>
          <w:bCs/>
        </w:rPr>
        <w:t>组织培养技术的发展简史；了解组织培养实验室的设置及相关仪器设备的使用方法。</w:t>
      </w:r>
    </w:p>
    <w:p>
      <w:pPr>
        <w:snapToGrid w:val="0"/>
        <w:spacing w:line="360" w:lineRule="auto"/>
        <w:ind w:firstLine="422" w:firstLineChars="200"/>
        <w:rPr>
          <w:rFonts w:hAnsi="宋体"/>
          <w:bCs/>
        </w:rPr>
      </w:pPr>
      <w:r>
        <w:rPr>
          <w:rFonts w:hint="eastAsia" w:ascii="宋体" w:hAnsi="宋体"/>
          <w:b/>
          <w:szCs w:val="21"/>
        </w:rPr>
        <w:t>2. 一般掌握</w:t>
      </w:r>
      <w:r>
        <w:rPr>
          <w:rFonts w:hint="eastAsia" w:ascii="宋体" w:hAnsi="宋体"/>
          <w:szCs w:val="21"/>
        </w:rPr>
        <w:t>：</w:t>
      </w:r>
      <w:r>
        <w:rPr>
          <w:rFonts w:hint="eastAsia" w:hAnsi="宋体"/>
          <w:bCs/>
        </w:rPr>
        <w:t>对组织培养有重大贡献的科学家及其代表性成果；组织培养的理论基础；组织培养所包含的技术种类、特点及适用领域；常见的组织培养技术的步骤与方法。</w:t>
      </w:r>
    </w:p>
    <w:p>
      <w:pPr>
        <w:snapToGrid w:val="0"/>
        <w:spacing w:before="156" w:beforeLines="50"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rFonts w:hint="eastAsia" w:hAnsi="宋体"/>
          <w:bCs/>
        </w:rPr>
        <w:t>常用培养基的成分及配制方法；植物组织或器官离体培养及再生。</w:t>
      </w:r>
    </w:p>
    <w:p>
      <w:pPr>
        <w:snapToGrid w:val="0"/>
        <w:spacing w:line="360" w:lineRule="auto"/>
        <w:rPr>
          <w:rFonts w:ascii="宋体" w:hAnsi="宋体"/>
          <w:szCs w:val="21"/>
        </w:rPr>
      </w:pPr>
      <w:r>
        <w:rPr>
          <w:rFonts w:hint="eastAsia" w:ascii="宋体" w:hAnsi="宋体"/>
          <w:b/>
          <w:szCs w:val="21"/>
        </w:rPr>
        <w:t>（二）考核内容</w:t>
      </w:r>
    </w:p>
    <w:p>
      <w:pPr>
        <w:snapToGrid w:val="0"/>
        <w:spacing w:before="156" w:beforeLines="50" w:line="360" w:lineRule="auto"/>
        <w:ind w:firstLine="420" w:firstLineChars="200"/>
        <w:rPr>
          <w:rFonts w:hAnsi="宋体"/>
          <w:bCs/>
        </w:rPr>
      </w:pPr>
      <w:r>
        <w:rPr>
          <w:rFonts w:hint="eastAsia" w:hAnsi="宋体"/>
          <w:bCs/>
        </w:rPr>
        <w:t>组织培养概念；组织培养技术范畴；组织培养的理论与技术发展简史；组织培养在科研和生产中的意义；</w:t>
      </w:r>
      <w:r>
        <w:rPr>
          <w:rFonts w:hint="eastAsia"/>
          <w:kern w:val="0"/>
          <w:szCs w:val="21"/>
        </w:rPr>
        <w:t>细胞全能性学说及相关概念；组织培养实验室的构造及布局；组织培养相关仪器设备的原理及使用方法；组织培养有关培养基的种类与特点、及其配制方法；</w:t>
      </w:r>
      <w:r>
        <w:rPr>
          <w:rFonts w:hint="eastAsia" w:hAnsi="宋体"/>
          <w:bCs/>
        </w:rPr>
        <w:t>器官培养与快速繁殖原理与技术</w:t>
      </w:r>
      <w:r>
        <w:rPr>
          <w:rFonts w:hint="eastAsia"/>
          <w:kern w:val="0"/>
          <w:szCs w:val="21"/>
        </w:rPr>
        <w:t>；</w:t>
      </w:r>
      <w:r>
        <w:rPr>
          <w:rFonts w:hint="eastAsia" w:hAnsi="宋体"/>
          <w:bCs/>
        </w:rPr>
        <w:t>胚胎培养方法，花药、花粉培养方法及单倍体植株再生</w:t>
      </w:r>
      <w:r>
        <w:rPr>
          <w:rFonts w:hint="eastAsia"/>
          <w:kern w:val="0"/>
          <w:szCs w:val="21"/>
        </w:rPr>
        <w:t>；</w:t>
      </w:r>
      <w:r>
        <w:rPr>
          <w:rFonts w:hint="eastAsia" w:hAnsi="宋体"/>
          <w:bCs/>
        </w:rPr>
        <w:t>体细胞无性系变异的概念、诱导及检测方法，及其在育种中的应用。</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rPr>
          <w:rFonts w:ascii="宋体" w:hAnsi="宋体"/>
          <w:b/>
          <w:szCs w:val="21"/>
        </w:rPr>
      </w:pPr>
      <w:r>
        <w:rPr>
          <w:rFonts w:hint="eastAsia" w:ascii="宋体" w:hAnsi="宋体"/>
          <w:b/>
          <w:szCs w:val="21"/>
        </w:rPr>
        <w:t>1、识记</w:t>
      </w:r>
      <w:r>
        <w:rPr>
          <w:rFonts w:hint="eastAsia" w:ascii="宋体" w:hAnsi="宋体"/>
          <w:szCs w:val="21"/>
        </w:rPr>
        <w:t>：（1）组织培养概念及其范畴；（2）细胞全能性学说、花粉培养、花药培养、体细胞无性系变异等概念；（3）组织培养发展简史。</w:t>
      </w:r>
    </w:p>
    <w:p>
      <w:pPr>
        <w:snapToGrid w:val="0"/>
        <w:spacing w:before="156" w:beforeLines="50" w:line="360" w:lineRule="auto"/>
        <w:rPr>
          <w:rFonts w:ascii="宋体" w:hAnsi="宋体"/>
          <w:b/>
          <w:szCs w:val="21"/>
        </w:rPr>
      </w:pPr>
      <w:r>
        <w:rPr>
          <w:rFonts w:hint="eastAsia" w:ascii="宋体" w:hAnsi="宋体"/>
          <w:b/>
          <w:szCs w:val="21"/>
        </w:rPr>
        <w:t>2、领会</w:t>
      </w:r>
      <w:r>
        <w:rPr>
          <w:rFonts w:hint="eastAsia" w:ascii="宋体" w:hAnsi="宋体"/>
          <w:szCs w:val="21"/>
        </w:rPr>
        <w:t>：（1）组织培养实验室的布局；（2）组织培养相关仪器设备的用途；（3）</w:t>
      </w:r>
      <w:r>
        <w:rPr>
          <w:rFonts w:hint="eastAsia"/>
          <w:kern w:val="0"/>
          <w:szCs w:val="21"/>
        </w:rPr>
        <w:t>组织培养有关培养基的种类与特点。</w:t>
      </w:r>
    </w:p>
    <w:p>
      <w:pPr>
        <w:snapToGrid w:val="0"/>
        <w:spacing w:before="156" w:beforeLines="50" w:line="360" w:lineRule="auto"/>
        <w:rPr>
          <w:rFonts w:ascii="宋体" w:hAnsi="宋体"/>
          <w:b/>
          <w:szCs w:val="21"/>
        </w:rPr>
      </w:pPr>
      <w:r>
        <w:rPr>
          <w:rFonts w:hint="eastAsia" w:ascii="宋体" w:hAnsi="宋体"/>
          <w:b/>
          <w:szCs w:val="21"/>
        </w:rPr>
        <w:t>3、简单应用</w:t>
      </w:r>
      <w:r>
        <w:rPr>
          <w:rFonts w:hint="eastAsia" w:ascii="宋体" w:hAnsi="宋体"/>
          <w:szCs w:val="21"/>
        </w:rPr>
        <w:t>：（1）组织培养培养及的配置方法；（2）花药、花粉、胚胎培养方法和程序；（3）植物脱毒技术及快速繁殖技术；（4）体细胞无性系变异的诱导与鉴定方法。</w:t>
      </w:r>
    </w:p>
    <w:p>
      <w:pPr>
        <w:snapToGrid w:val="0"/>
        <w:spacing w:before="156" w:beforeLines="50" w:line="360" w:lineRule="auto"/>
        <w:rPr>
          <w:rFonts w:ascii="宋体" w:hAnsi="宋体"/>
          <w:b/>
          <w:szCs w:val="21"/>
        </w:rPr>
      </w:pPr>
      <w:r>
        <w:rPr>
          <w:rFonts w:hint="eastAsia" w:ascii="宋体" w:hAnsi="宋体"/>
          <w:b/>
          <w:szCs w:val="21"/>
        </w:rPr>
        <w:t>4、综合应用</w:t>
      </w:r>
      <w:r>
        <w:rPr>
          <w:rFonts w:hint="eastAsia" w:ascii="宋体" w:hAnsi="宋体"/>
          <w:szCs w:val="21"/>
        </w:rPr>
        <w:t>：（1）单倍体培养技术在植物育种中的应用；（2）体细胞无性系变异在种质资源创新中的应用。</w:t>
      </w:r>
    </w:p>
    <w:p>
      <w:pPr>
        <w:snapToGrid w:val="0"/>
        <w:spacing w:before="156" w:beforeLines="50" w:after="156" w:afterLines="50" w:line="360" w:lineRule="auto"/>
        <w:ind w:firstLine="103" w:firstLineChars="49"/>
        <w:jc w:val="center"/>
        <w:rPr>
          <w:rFonts w:ascii="宋体" w:hAnsi="宋体"/>
          <w:b/>
          <w:szCs w:val="21"/>
        </w:rPr>
      </w:pPr>
      <w:r>
        <w:rPr>
          <w:rFonts w:hint="eastAsia" w:ascii="宋体" w:hAnsi="宋体"/>
          <w:b/>
          <w:szCs w:val="21"/>
        </w:rPr>
        <w:t>第二章  原生质体培养和体细胞杂交</w:t>
      </w:r>
    </w:p>
    <w:p>
      <w:pPr>
        <w:snapToGrid w:val="0"/>
        <w:spacing w:line="360" w:lineRule="auto"/>
        <w:rPr>
          <w:rFonts w:ascii="宋体" w:hAnsi="宋体"/>
          <w:b/>
          <w:szCs w:val="21"/>
        </w:rPr>
      </w:pPr>
      <w:r>
        <w:rPr>
          <w:rFonts w:hint="eastAsia" w:ascii="宋体" w:hAnsi="宋体"/>
          <w:b/>
          <w:szCs w:val="21"/>
        </w:rPr>
        <w:t>（一）学习目标</w:t>
      </w:r>
    </w:p>
    <w:p>
      <w:pPr>
        <w:snapToGrid w:val="0"/>
        <w:spacing w:before="156" w:beforeLines="50" w:line="360" w:lineRule="auto"/>
        <w:rPr>
          <w:kern w:val="0"/>
          <w:szCs w:val="21"/>
        </w:rPr>
      </w:pPr>
      <w:r>
        <w:rPr>
          <w:rFonts w:hint="eastAsia" w:ascii="宋体" w:hAnsi="宋体"/>
          <w:b/>
          <w:szCs w:val="21"/>
        </w:rPr>
        <w:t>1. 一般了解</w:t>
      </w:r>
      <w:r>
        <w:rPr>
          <w:rFonts w:hint="eastAsia" w:ascii="宋体" w:hAnsi="宋体"/>
          <w:szCs w:val="21"/>
        </w:rPr>
        <w:t>：</w:t>
      </w:r>
      <w:r>
        <w:rPr>
          <w:rFonts w:hint="eastAsia"/>
          <w:kern w:val="0"/>
          <w:szCs w:val="21"/>
        </w:rPr>
        <w:t>原生质体操作的意义；体细胞杂交技术在园艺植物育种中的应用。</w:t>
      </w:r>
    </w:p>
    <w:p>
      <w:pPr>
        <w:snapToGrid w:val="0"/>
        <w:spacing w:before="156" w:beforeLines="50" w:line="360" w:lineRule="auto"/>
        <w:rPr>
          <w:b/>
          <w:bCs/>
          <w:kern w:val="0"/>
          <w:szCs w:val="21"/>
        </w:rPr>
      </w:pPr>
      <w:r>
        <w:rPr>
          <w:rFonts w:hint="eastAsia" w:ascii="宋体" w:hAnsi="宋体"/>
          <w:b/>
          <w:szCs w:val="21"/>
        </w:rPr>
        <w:t>2. 一般掌握</w:t>
      </w:r>
      <w:r>
        <w:rPr>
          <w:rFonts w:hint="eastAsia" w:ascii="宋体" w:hAnsi="宋体"/>
          <w:szCs w:val="21"/>
        </w:rPr>
        <w:t>：</w:t>
      </w:r>
      <w:r>
        <w:rPr>
          <w:rFonts w:hint="eastAsia" w:hAnsi="宋体"/>
          <w:bCs/>
        </w:rPr>
        <w:t>原生质体操作的基本步骤；原生质体融合方法、方式；体细胞杂种的遗传鉴定。</w:t>
      </w:r>
    </w:p>
    <w:p>
      <w:pPr>
        <w:snapToGrid w:val="0"/>
        <w:spacing w:before="156" w:beforeLines="50" w:line="360" w:lineRule="auto"/>
        <w:rPr>
          <w:rFonts w:ascii="宋体" w:hAnsi="宋体"/>
          <w:b/>
          <w:szCs w:val="21"/>
        </w:rPr>
      </w:pPr>
      <w:r>
        <w:rPr>
          <w:rFonts w:hint="eastAsia" w:ascii="宋体" w:hAnsi="宋体"/>
          <w:b/>
          <w:szCs w:val="21"/>
        </w:rPr>
        <w:t>3. 熟练掌握</w:t>
      </w:r>
      <w:r>
        <w:rPr>
          <w:rFonts w:hint="eastAsia" w:ascii="宋体" w:hAnsi="宋体"/>
          <w:szCs w:val="21"/>
        </w:rPr>
        <w:t>：</w:t>
      </w:r>
      <w:r>
        <w:rPr>
          <w:rFonts w:hint="eastAsia" w:hAnsi="宋体"/>
          <w:bCs/>
        </w:rPr>
        <w:t>原生质体、体细胞杂交的概念；原生质体分离方法。</w:t>
      </w:r>
    </w:p>
    <w:p>
      <w:pPr>
        <w:snapToGrid w:val="0"/>
        <w:spacing w:line="360" w:lineRule="auto"/>
        <w:rPr>
          <w:rFonts w:ascii="宋体" w:hAnsi="宋体"/>
          <w:szCs w:val="21"/>
        </w:rPr>
      </w:pPr>
      <w:r>
        <w:rPr>
          <w:rFonts w:hint="eastAsia" w:ascii="宋体" w:hAnsi="宋体"/>
          <w:b/>
          <w:szCs w:val="21"/>
        </w:rPr>
        <w:t>（二）考核内容</w:t>
      </w:r>
    </w:p>
    <w:p>
      <w:pPr>
        <w:widowControl/>
        <w:snapToGrid w:val="0"/>
        <w:spacing w:line="360" w:lineRule="auto"/>
        <w:ind w:firstLine="420" w:firstLineChars="200"/>
        <w:rPr>
          <w:kern w:val="0"/>
          <w:szCs w:val="21"/>
        </w:rPr>
      </w:pPr>
      <w:r>
        <w:rPr>
          <w:rFonts w:hint="eastAsia"/>
          <w:kern w:val="0"/>
          <w:szCs w:val="21"/>
        </w:rPr>
        <w:t>原生质体研究的发展与应用；原生质体分离、纯化与活力测定；影响原生质体分离的因素；原生质体培养基与培养方法；原生质体培养与植株再生；原生质体再生植株的遗传变异及其利用；原生质体融合的发展及意义；原生质体融合方法；原生质体融合方式；体细胞杂种筛选与鉴定方法；体细胞杂交在育种中的应用。</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rPr>
          <w:rFonts w:ascii="宋体" w:hAnsi="宋体"/>
          <w:b/>
          <w:szCs w:val="21"/>
        </w:rPr>
      </w:pPr>
      <w:r>
        <w:rPr>
          <w:rFonts w:hint="eastAsia" w:ascii="宋体" w:hAnsi="宋体"/>
          <w:b/>
          <w:szCs w:val="21"/>
        </w:rPr>
        <w:t>1、识记</w:t>
      </w:r>
      <w:r>
        <w:rPr>
          <w:rFonts w:hint="eastAsia" w:ascii="宋体" w:hAnsi="宋体"/>
          <w:szCs w:val="21"/>
        </w:rPr>
        <w:t>：（1）原生质体、体细胞杂交的概念；（2）原生质体融合的方式。</w:t>
      </w:r>
    </w:p>
    <w:p>
      <w:pPr>
        <w:snapToGrid w:val="0"/>
        <w:spacing w:before="156" w:beforeLines="50" w:line="360" w:lineRule="auto"/>
        <w:rPr>
          <w:rFonts w:ascii="宋体" w:hAnsi="宋体"/>
          <w:b/>
          <w:szCs w:val="21"/>
        </w:rPr>
      </w:pPr>
      <w:r>
        <w:rPr>
          <w:rFonts w:hint="eastAsia" w:ascii="宋体" w:hAnsi="宋体"/>
          <w:b/>
          <w:szCs w:val="21"/>
        </w:rPr>
        <w:t>2、领会</w:t>
      </w:r>
      <w:r>
        <w:rPr>
          <w:rFonts w:hint="eastAsia" w:ascii="宋体" w:hAnsi="宋体"/>
          <w:szCs w:val="21"/>
        </w:rPr>
        <w:t>：（1）原生质体培养、体细胞杂交的意义；（2）</w:t>
      </w:r>
      <w:r>
        <w:rPr>
          <w:rFonts w:hint="eastAsia"/>
          <w:kern w:val="0"/>
          <w:szCs w:val="21"/>
        </w:rPr>
        <w:t>原生质体分离、纯化与活力测定；（3）影响原生质体分离的因素；（4）；体细胞杂种筛选与鉴定方法。</w:t>
      </w:r>
    </w:p>
    <w:p>
      <w:pPr>
        <w:snapToGrid w:val="0"/>
        <w:spacing w:before="156" w:beforeLines="50" w:line="360" w:lineRule="auto"/>
        <w:rPr>
          <w:rFonts w:ascii="宋体" w:hAnsi="宋体"/>
          <w:b/>
          <w:szCs w:val="21"/>
        </w:rPr>
      </w:pPr>
      <w:r>
        <w:rPr>
          <w:rFonts w:hint="eastAsia" w:ascii="宋体" w:hAnsi="宋体"/>
          <w:b/>
          <w:szCs w:val="21"/>
        </w:rPr>
        <w:t>3、简单应用</w:t>
      </w:r>
      <w:r>
        <w:rPr>
          <w:rFonts w:hint="eastAsia" w:ascii="宋体" w:hAnsi="宋体"/>
          <w:szCs w:val="21"/>
        </w:rPr>
        <w:t>：（1）</w:t>
      </w:r>
      <w:r>
        <w:rPr>
          <w:rFonts w:hint="eastAsia"/>
          <w:kern w:val="0"/>
          <w:szCs w:val="21"/>
        </w:rPr>
        <w:t>原生质体培养与植株再生；（2）体细胞杂交及杂种植株再生。</w:t>
      </w:r>
    </w:p>
    <w:p>
      <w:pPr>
        <w:snapToGrid w:val="0"/>
        <w:spacing w:before="156" w:beforeLines="50" w:line="360" w:lineRule="auto"/>
        <w:rPr>
          <w:rFonts w:ascii="宋体" w:hAnsi="宋体"/>
          <w:b/>
          <w:szCs w:val="21"/>
        </w:rPr>
      </w:pPr>
      <w:r>
        <w:rPr>
          <w:rFonts w:hint="eastAsia" w:ascii="宋体" w:hAnsi="宋体"/>
          <w:b/>
          <w:szCs w:val="21"/>
        </w:rPr>
        <w:t>4、综合应用</w:t>
      </w:r>
      <w:r>
        <w:rPr>
          <w:rFonts w:hint="eastAsia" w:ascii="宋体" w:hAnsi="宋体"/>
          <w:szCs w:val="21"/>
        </w:rPr>
        <w:t>：（1）</w:t>
      </w:r>
      <w:r>
        <w:rPr>
          <w:rFonts w:hint="eastAsia"/>
          <w:kern w:val="0"/>
          <w:szCs w:val="21"/>
        </w:rPr>
        <w:t>体细胞杂交在育种中的应用。</w:t>
      </w:r>
    </w:p>
    <w:p>
      <w:pPr>
        <w:snapToGrid w:val="0"/>
        <w:spacing w:before="156" w:beforeLines="50" w:after="156" w:afterLines="50" w:line="360" w:lineRule="auto"/>
        <w:ind w:firstLine="103" w:firstLineChars="49"/>
        <w:jc w:val="center"/>
        <w:rPr>
          <w:rFonts w:ascii="宋体" w:hAnsi="宋体"/>
          <w:b/>
          <w:szCs w:val="21"/>
        </w:rPr>
      </w:pPr>
      <w:r>
        <w:rPr>
          <w:rFonts w:hint="eastAsia" w:ascii="宋体" w:hAnsi="宋体"/>
          <w:b/>
          <w:szCs w:val="21"/>
        </w:rPr>
        <w:t>第三章  分子标记原理与应用</w:t>
      </w:r>
    </w:p>
    <w:p>
      <w:pPr>
        <w:snapToGrid w:val="0"/>
        <w:spacing w:line="360" w:lineRule="auto"/>
        <w:rPr>
          <w:rFonts w:ascii="宋体" w:hAnsi="宋体"/>
          <w:b/>
          <w:szCs w:val="21"/>
        </w:rPr>
      </w:pPr>
      <w:r>
        <w:rPr>
          <w:rFonts w:hint="eastAsia" w:ascii="宋体" w:hAnsi="宋体"/>
          <w:b/>
          <w:szCs w:val="21"/>
        </w:rPr>
        <w:t>（一）学习目标</w:t>
      </w:r>
    </w:p>
    <w:p>
      <w:pPr>
        <w:snapToGrid w:val="0"/>
        <w:spacing w:before="156" w:beforeLines="50" w:line="360" w:lineRule="auto"/>
        <w:rPr>
          <w:kern w:val="0"/>
          <w:szCs w:val="21"/>
        </w:rPr>
      </w:pPr>
      <w:r>
        <w:rPr>
          <w:rFonts w:hint="eastAsia" w:ascii="宋体" w:hAnsi="宋体"/>
          <w:b/>
          <w:szCs w:val="21"/>
        </w:rPr>
        <w:t>1. 一般了解</w:t>
      </w:r>
      <w:r>
        <w:rPr>
          <w:rFonts w:hint="eastAsia" w:ascii="宋体" w:hAnsi="宋体"/>
          <w:szCs w:val="21"/>
        </w:rPr>
        <w:t>：</w:t>
      </w:r>
      <w:r>
        <w:rPr>
          <w:rFonts w:hint="eastAsia"/>
          <w:kern w:val="0"/>
          <w:szCs w:val="21"/>
        </w:rPr>
        <w:t>分子标记在园艺植物研究中的应用。</w:t>
      </w:r>
    </w:p>
    <w:p>
      <w:pPr>
        <w:snapToGrid w:val="0"/>
        <w:spacing w:before="156" w:beforeLines="50" w:line="360" w:lineRule="auto"/>
        <w:rPr>
          <w:b/>
          <w:bCs/>
          <w:kern w:val="0"/>
          <w:szCs w:val="21"/>
        </w:rPr>
      </w:pPr>
      <w:r>
        <w:rPr>
          <w:rFonts w:hint="eastAsia" w:ascii="宋体" w:hAnsi="宋体"/>
          <w:b/>
          <w:szCs w:val="21"/>
        </w:rPr>
        <w:t>2. 一般掌握</w:t>
      </w:r>
      <w:r>
        <w:rPr>
          <w:rFonts w:hint="eastAsia" w:ascii="宋体" w:hAnsi="宋体"/>
          <w:szCs w:val="21"/>
        </w:rPr>
        <w:t>：</w:t>
      </w:r>
      <w:r>
        <w:rPr>
          <w:rFonts w:hint="eastAsia" w:hAnsi="宋体"/>
          <w:bCs/>
        </w:rPr>
        <w:t>分子标记的基本原理</w:t>
      </w:r>
    </w:p>
    <w:p>
      <w:pPr>
        <w:snapToGrid w:val="0"/>
        <w:spacing w:before="156" w:beforeLines="50" w:line="360" w:lineRule="auto"/>
        <w:rPr>
          <w:rFonts w:ascii="宋体" w:hAnsi="宋体"/>
          <w:b/>
          <w:szCs w:val="21"/>
        </w:rPr>
      </w:pPr>
      <w:r>
        <w:rPr>
          <w:rFonts w:hint="eastAsia" w:ascii="宋体" w:hAnsi="宋体"/>
          <w:b/>
          <w:szCs w:val="21"/>
        </w:rPr>
        <w:t>3. 熟练掌握</w:t>
      </w:r>
      <w:r>
        <w:rPr>
          <w:rFonts w:hint="eastAsia" w:ascii="宋体" w:hAnsi="宋体"/>
          <w:szCs w:val="21"/>
        </w:rPr>
        <w:t>：</w:t>
      </w:r>
      <w:r>
        <w:rPr>
          <w:rFonts w:hint="eastAsia" w:hAnsi="宋体"/>
          <w:bCs/>
        </w:rPr>
        <w:t>主要分子标记类型及特点。</w:t>
      </w:r>
    </w:p>
    <w:p>
      <w:pPr>
        <w:snapToGrid w:val="0"/>
        <w:spacing w:line="360" w:lineRule="auto"/>
        <w:rPr>
          <w:rFonts w:ascii="宋体" w:hAnsi="宋体"/>
          <w:szCs w:val="21"/>
        </w:rPr>
      </w:pPr>
      <w:r>
        <w:rPr>
          <w:rFonts w:hint="eastAsia" w:ascii="宋体" w:hAnsi="宋体"/>
          <w:b/>
          <w:szCs w:val="21"/>
        </w:rPr>
        <w:t>（二）考核内容</w:t>
      </w:r>
    </w:p>
    <w:p>
      <w:pPr>
        <w:snapToGrid w:val="0"/>
        <w:spacing w:before="156" w:beforeLines="50" w:line="360" w:lineRule="auto"/>
        <w:ind w:firstLine="420" w:firstLineChars="200"/>
        <w:rPr>
          <w:kern w:val="0"/>
          <w:szCs w:val="21"/>
        </w:rPr>
      </w:pPr>
      <w:r>
        <w:rPr>
          <w:kern w:val="0"/>
          <w:szCs w:val="21"/>
        </w:rPr>
        <w:t>DNA</w:t>
      </w:r>
      <w:r>
        <w:rPr>
          <w:rFonts w:hint="eastAsia"/>
          <w:kern w:val="0"/>
          <w:szCs w:val="21"/>
        </w:rPr>
        <w:t>是主要的遗传物质；</w:t>
      </w:r>
      <w:r>
        <w:rPr>
          <w:kern w:val="0"/>
          <w:szCs w:val="21"/>
        </w:rPr>
        <w:t>DNA</w:t>
      </w:r>
      <w:r>
        <w:rPr>
          <w:rFonts w:hint="eastAsia"/>
          <w:kern w:val="0"/>
          <w:szCs w:val="21"/>
        </w:rPr>
        <w:t>复制和体外扩增；</w:t>
      </w:r>
      <w:r>
        <w:rPr>
          <w:kern w:val="0"/>
          <w:szCs w:val="21"/>
        </w:rPr>
        <w:t>DNA</w:t>
      </w:r>
      <w:r>
        <w:rPr>
          <w:rFonts w:hint="eastAsia"/>
          <w:kern w:val="0"/>
          <w:szCs w:val="21"/>
        </w:rPr>
        <w:t>显色技术；几种常用的分子标记技术；分子标记在园艺植物研究中的应用（种质评价和核心种质筛选、杂种鉴定和早期辅助选择、遗传连锁图的构建）。</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rPr>
          <w:rFonts w:ascii="宋体" w:hAnsi="宋体"/>
          <w:b/>
          <w:szCs w:val="21"/>
        </w:rPr>
      </w:pPr>
      <w:r>
        <w:rPr>
          <w:rFonts w:hint="eastAsia" w:ascii="宋体" w:hAnsi="宋体"/>
          <w:b/>
          <w:szCs w:val="21"/>
        </w:rPr>
        <w:t>1、识记</w:t>
      </w:r>
      <w:r>
        <w:rPr>
          <w:rFonts w:hint="eastAsia" w:ascii="宋体" w:hAnsi="宋体"/>
          <w:szCs w:val="21"/>
        </w:rPr>
        <w:t>：（1）分子标记的概念；（2）分子标记的种类。</w:t>
      </w:r>
    </w:p>
    <w:p>
      <w:pPr>
        <w:snapToGrid w:val="0"/>
        <w:spacing w:before="156" w:beforeLines="50" w:line="360" w:lineRule="auto"/>
        <w:rPr>
          <w:rFonts w:ascii="宋体" w:hAnsi="宋体"/>
          <w:b/>
          <w:szCs w:val="21"/>
        </w:rPr>
      </w:pPr>
      <w:r>
        <w:rPr>
          <w:rFonts w:hint="eastAsia" w:ascii="宋体" w:hAnsi="宋体"/>
          <w:b/>
          <w:szCs w:val="21"/>
        </w:rPr>
        <w:t>2、领会</w:t>
      </w:r>
      <w:r>
        <w:rPr>
          <w:rFonts w:hint="eastAsia" w:ascii="宋体" w:hAnsi="宋体"/>
          <w:szCs w:val="21"/>
        </w:rPr>
        <w:t>：（1）</w:t>
      </w:r>
      <w:r>
        <w:rPr>
          <w:kern w:val="0"/>
          <w:szCs w:val="21"/>
        </w:rPr>
        <w:t>DNA</w:t>
      </w:r>
      <w:r>
        <w:rPr>
          <w:rFonts w:hint="eastAsia"/>
          <w:kern w:val="0"/>
          <w:szCs w:val="21"/>
        </w:rPr>
        <w:t>复制和体外扩增；（2）</w:t>
      </w:r>
      <w:r>
        <w:rPr>
          <w:kern w:val="0"/>
          <w:szCs w:val="21"/>
        </w:rPr>
        <w:t>DNA</w:t>
      </w:r>
      <w:r>
        <w:rPr>
          <w:rFonts w:hint="eastAsia"/>
          <w:kern w:val="0"/>
          <w:szCs w:val="21"/>
        </w:rPr>
        <w:t>显色技术及原理；（3）</w:t>
      </w:r>
      <w:r>
        <w:rPr>
          <w:rFonts w:hint="eastAsia" w:ascii="宋体" w:hAnsi="宋体"/>
          <w:szCs w:val="21"/>
        </w:rPr>
        <w:t>分子标记的原理。</w:t>
      </w:r>
    </w:p>
    <w:p>
      <w:pPr>
        <w:snapToGrid w:val="0"/>
        <w:spacing w:before="156" w:beforeLines="50" w:line="360" w:lineRule="auto"/>
        <w:rPr>
          <w:rFonts w:ascii="宋体" w:hAnsi="宋体"/>
          <w:b/>
          <w:szCs w:val="21"/>
        </w:rPr>
      </w:pPr>
      <w:r>
        <w:rPr>
          <w:rFonts w:hint="eastAsia" w:ascii="宋体" w:hAnsi="宋体"/>
          <w:b/>
          <w:szCs w:val="21"/>
        </w:rPr>
        <w:t>3、简单应用</w:t>
      </w:r>
      <w:r>
        <w:rPr>
          <w:rFonts w:hint="eastAsia" w:ascii="宋体" w:hAnsi="宋体"/>
          <w:szCs w:val="21"/>
        </w:rPr>
        <w:t>：（1）酶切技术；（2）PCR扩增技术。</w:t>
      </w:r>
    </w:p>
    <w:p>
      <w:pPr>
        <w:snapToGrid w:val="0"/>
        <w:spacing w:before="156" w:beforeLines="50" w:line="360" w:lineRule="auto"/>
        <w:rPr>
          <w:rFonts w:ascii="宋体" w:hAnsi="宋体"/>
          <w:b/>
          <w:szCs w:val="21"/>
        </w:rPr>
      </w:pPr>
      <w:r>
        <w:rPr>
          <w:rFonts w:hint="eastAsia" w:ascii="宋体" w:hAnsi="宋体"/>
          <w:b/>
          <w:szCs w:val="21"/>
        </w:rPr>
        <w:t>4、综合应用</w:t>
      </w:r>
      <w:r>
        <w:rPr>
          <w:rFonts w:hint="eastAsia" w:ascii="宋体" w:hAnsi="宋体"/>
          <w:szCs w:val="21"/>
        </w:rPr>
        <w:t>：（1）分子标记在</w:t>
      </w:r>
      <w:r>
        <w:rPr>
          <w:rFonts w:hint="eastAsia"/>
          <w:kern w:val="0"/>
          <w:szCs w:val="21"/>
        </w:rPr>
        <w:t>种质评价和核心种质筛选、杂种鉴定和早期辅助选择、遗传连锁图的构建等领域的应用。</w:t>
      </w:r>
    </w:p>
    <w:p>
      <w:pPr>
        <w:snapToGrid w:val="0"/>
        <w:spacing w:before="156" w:beforeLines="50" w:after="156" w:afterLines="50" w:line="360" w:lineRule="auto"/>
        <w:ind w:firstLine="103" w:firstLineChars="49"/>
        <w:jc w:val="center"/>
        <w:rPr>
          <w:rFonts w:ascii="宋体" w:hAnsi="宋体"/>
          <w:b/>
          <w:szCs w:val="21"/>
        </w:rPr>
      </w:pPr>
      <w:r>
        <w:rPr>
          <w:rFonts w:hint="eastAsia" w:ascii="宋体" w:hAnsi="宋体"/>
          <w:b/>
          <w:szCs w:val="21"/>
        </w:rPr>
        <w:t>第四章  基因分离与克隆</w:t>
      </w:r>
    </w:p>
    <w:p>
      <w:pPr>
        <w:snapToGrid w:val="0"/>
        <w:spacing w:line="360" w:lineRule="auto"/>
        <w:rPr>
          <w:rFonts w:ascii="宋体" w:hAnsi="宋体"/>
          <w:b/>
          <w:szCs w:val="21"/>
        </w:rPr>
      </w:pPr>
      <w:r>
        <w:rPr>
          <w:rFonts w:hint="eastAsia" w:ascii="宋体" w:hAnsi="宋体"/>
          <w:b/>
          <w:szCs w:val="21"/>
        </w:rPr>
        <w:t>（一）学习目标</w:t>
      </w:r>
    </w:p>
    <w:p>
      <w:pPr>
        <w:widowControl/>
        <w:snapToGrid w:val="0"/>
        <w:spacing w:line="360" w:lineRule="auto"/>
        <w:rPr>
          <w:kern w:val="0"/>
          <w:szCs w:val="21"/>
        </w:rPr>
      </w:pPr>
      <w:r>
        <w:rPr>
          <w:rFonts w:hint="eastAsia" w:ascii="宋体" w:hAnsi="宋体"/>
          <w:b/>
          <w:szCs w:val="21"/>
        </w:rPr>
        <w:t>1. 一般了解</w:t>
      </w:r>
      <w:r>
        <w:rPr>
          <w:rFonts w:hint="eastAsia" w:ascii="宋体" w:hAnsi="宋体"/>
          <w:szCs w:val="21"/>
        </w:rPr>
        <w:t>：</w:t>
      </w:r>
      <w:r>
        <w:rPr>
          <w:rFonts w:hint="eastAsia"/>
          <w:kern w:val="0"/>
          <w:szCs w:val="21"/>
        </w:rPr>
        <w:t>基因组文库的构建；cDNA文库的构建及目的cDNA克隆的筛选。</w:t>
      </w:r>
    </w:p>
    <w:p>
      <w:pPr>
        <w:snapToGrid w:val="0"/>
        <w:spacing w:before="156" w:beforeLines="50" w:line="360" w:lineRule="auto"/>
        <w:rPr>
          <w:b/>
          <w:bCs/>
          <w:kern w:val="0"/>
          <w:szCs w:val="21"/>
        </w:rPr>
      </w:pPr>
      <w:r>
        <w:rPr>
          <w:rFonts w:hint="eastAsia" w:ascii="宋体" w:hAnsi="宋体"/>
          <w:b/>
          <w:szCs w:val="21"/>
        </w:rPr>
        <w:t>2. 一般掌握</w:t>
      </w:r>
      <w:r>
        <w:rPr>
          <w:rFonts w:hint="eastAsia" w:ascii="宋体" w:hAnsi="宋体"/>
          <w:szCs w:val="21"/>
        </w:rPr>
        <w:t>：</w:t>
      </w:r>
      <w:r>
        <w:rPr>
          <w:rFonts w:hint="eastAsia" w:hAnsi="宋体"/>
          <w:bCs/>
        </w:rPr>
        <w:t>基因分离克隆主要策略；基因组文库和cDNA文库的概念。</w:t>
      </w:r>
    </w:p>
    <w:p>
      <w:pPr>
        <w:snapToGrid w:val="0"/>
        <w:spacing w:before="156" w:beforeLines="50" w:line="360" w:lineRule="auto"/>
        <w:rPr>
          <w:rFonts w:ascii="宋体" w:hAnsi="宋体"/>
          <w:b/>
          <w:szCs w:val="21"/>
        </w:rPr>
      </w:pPr>
      <w:r>
        <w:rPr>
          <w:rFonts w:hint="eastAsia" w:ascii="宋体" w:hAnsi="宋体"/>
          <w:b/>
          <w:szCs w:val="21"/>
        </w:rPr>
        <w:t>3. 熟练掌握</w:t>
      </w:r>
      <w:r>
        <w:rPr>
          <w:rFonts w:hint="eastAsia" w:ascii="宋体" w:hAnsi="宋体"/>
          <w:szCs w:val="21"/>
        </w:rPr>
        <w:t>：</w:t>
      </w:r>
      <w:r>
        <w:rPr>
          <w:rFonts w:hint="eastAsia" w:hAnsi="宋体"/>
          <w:bCs/>
        </w:rPr>
        <w:t>基因的概念和结构；基因克隆的基本原理。</w:t>
      </w:r>
    </w:p>
    <w:p>
      <w:pPr>
        <w:snapToGrid w:val="0"/>
        <w:spacing w:line="360" w:lineRule="auto"/>
        <w:rPr>
          <w:rFonts w:ascii="宋体" w:hAnsi="宋体"/>
          <w:szCs w:val="21"/>
        </w:rPr>
      </w:pPr>
      <w:r>
        <w:rPr>
          <w:rFonts w:hint="eastAsia" w:ascii="宋体" w:hAnsi="宋体"/>
          <w:b/>
          <w:szCs w:val="21"/>
        </w:rPr>
        <w:t>（二）考核内容</w:t>
      </w:r>
    </w:p>
    <w:p>
      <w:pPr>
        <w:widowControl/>
        <w:snapToGrid w:val="0"/>
        <w:spacing w:line="360" w:lineRule="auto"/>
        <w:ind w:firstLine="420" w:firstLineChars="200"/>
        <w:rPr>
          <w:kern w:val="0"/>
          <w:szCs w:val="21"/>
        </w:rPr>
      </w:pPr>
      <w:r>
        <w:rPr>
          <w:rFonts w:hint="eastAsia"/>
          <w:kern w:val="0"/>
          <w:szCs w:val="21"/>
        </w:rPr>
        <w:t>基因的概念；基因的结构。基因分离克隆的基本原理；主要克隆策略。基因组文库的构建；cDNA文库的构建及目的cDNA克隆的筛选。</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rPr>
          <w:b/>
          <w:szCs w:val="21"/>
        </w:rPr>
      </w:pPr>
      <w:r>
        <w:rPr>
          <w:b/>
          <w:szCs w:val="21"/>
        </w:rPr>
        <w:t>1、识记</w:t>
      </w:r>
      <w:r>
        <w:rPr>
          <w:szCs w:val="21"/>
        </w:rPr>
        <w:t>：（1）基因组文库、cDNA文库的概念；（2）基因分离的基本方法和原理。</w:t>
      </w:r>
    </w:p>
    <w:p>
      <w:pPr>
        <w:snapToGrid w:val="0"/>
        <w:spacing w:before="156" w:beforeLines="50" w:line="360" w:lineRule="auto"/>
        <w:rPr>
          <w:b/>
          <w:szCs w:val="21"/>
        </w:rPr>
      </w:pPr>
      <w:r>
        <w:rPr>
          <w:b/>
          <w:szCs w:val="21"/>
        </w:rPr>
        <w:t>2、领会</w:t>
      </w:r>
      <w:r>
        <w:rPr>
          <w:szCs w:val="21"/>
        </w:rPr>
        <w:t>：（1）</w:t>
      </w:r>
      <w:r>
        <w:rPr>
          <w:bCs/>
        </w:rPr>
        <w:t>基因的概念和结构；（2）基因克隆的基本原理。</w:t>
      </w:r>
    </w:p>
    <w:p>
      <w:pPr>
        <w:snapToGrid w:val="0"/>
        <w:spacing w:before="156" w:beforeLines="50" w:line="360" w:lineRule="auto"/>
        <w:rPr>
          <w:b/>
          <w:szCs w:val="21"/>
        </w:rPr>
      </w:pPr>
      <w:r>
        <w:rPr>
          <w:b/>
          <w:szCs w:val="21"/>
        </w:rPr>
        <w:t>3、简单应用</w:t>
      </w:r>
      <w:r>
        <w:rPr>
          <w:szCs w:val="21"/>
        </w:rPr>
        <w:t>：（1）基因组文库、cDNA文库构建的方法；（2）基因组文库、cDNA文库质量检测方法。</w:t>
      </w:r>
    </w:p>
    <w:p>
      <w:pPr>
        <w:snapToGrid w:val="0"/>
        <w:spacing w:before="156" w:beforeLines="50" w:line="360" w:lineRule="auto"/>
        <w:rPr>
          <w:b/>
          <w:szCs w:val="21"/>
        </w:rPr>
      </w:pPr>
      <w:r>
        <w:rPr>
          <w:b/>
          <w:szCs w:val="21"/>
        </w:rPr>
        <w:t>4、综合应用</w:t>
      </w:r>
      <w:r>
        <w:rPr>
          <w:szCs w:val="21"/>
        </w:rPr>
        <w:t>：（1）从基因组文库、cDNA文库中分离目的基因。</w:t>
      </w:r>
    </w:p>
    <w:p>
      <w:pPr>
        <w:snapToGrid w:val="0"/>
        <w:spacing w:before="156" w:beforeLines="50" w:after="156" w:afterLines="50" w:line="360" w:lineRule="auto"/>
        <w:ind w:firstLine="103" w:firstLineChars="49"/>
        <w:jc w:val="center"/>
        <w:rPr>
          <w:rFonts w:ascii="宋体" w:hAnsi="宋体"/>
          <w:b/>
          <w:szCs w:val="21"/>
        </w:rPr>
      </w:pPr>
      <w:r>
        <w:rPr>
          <w:rFonts w:hint="eastAsia" w:ascii="宋体" w:hAnsi="宋体"/>
          <w:b/>
          <w:szCs w:val="21"/>
        </w:rPr>
        <w:t>第五章  植物转基因技术</w:t>
      </w:r>
    </w:p>
    <w:p>
      <w:pPr>
        <w:snapToGrid w:val="0"/>
        <w:spacing w:line="360" w:lineRule="auto"/>
        <w:rPr>
          <w:rFonts w:ascii="宋体" w:hAnsi="宋体"/>
          <w:b/>
          <w:szCs w:val="21"/>
        </w:rPr>
      </w:pPr>
      <w:r>
        <w:rPr>
          <w:rFonts w:hint="eastAsia" w:ascii="宋体" w:hAnsi="宋体"/>
          <w:b/>
          <w:szCs w:val="21"/>
        </w:rPr>
        <w:t>（一）学习目标</w:t>
      </w:r>
    </w:p>
    <w:p>
      <w:pPr>
        <w:widowControl/>
        <w:snapToGrid w:val="0"/>
        <w:spacing w:line="360" w:lineRule="auto"/>
        <w:rPr>
          <w:kern w:val="0"/>
          <w:szCs w:val="21"/>
        </w:rPr>
      </w:pPr>
      <w:r>
        <w:rPr>
          <w:rFonts w:hint="eastAsia" w:ascii="宋体" w:hAnsi="宋体"/>
          <w:b/>
          <w:szCs w:val="21"/>
        </w:rPr>
        <w:t>1. 一般了解</w:t>
      </w:r>
      <w:r>
        <w:rPr>
          <w:rFonts w:hint="eastAsia" w:ascii="宋体" w:hAnsi="宋体"/>
          <w:szCs w:val="21"/>
        </w:rPr>
        <w:t>：植物转基因研究概况</w:t>
      </w:r>
      <w:r>
        <w:rPr>
          <w:rFonts w:hint="eastAsia"/>
          <w:kern w:val="0"/>
          <w:szCs w:val="21"/>
        </w:rPr>
        <w:t>；转基因植物的安全性评价。</w:t>
      </w:r>
    </w:p>
    <w:p>
      <w:pPr>
        <w:snapToGrid w:val="0"/>
        <w:spacing w:before="156" w:beforeLines="50" w:line="360" w:lineRule="auto"/>
        <w:rPr>
          <w:b/>
          <w:bCs/>
          <w:kern w:val="0"/>
          <w:szCs w:val="21"/>
        </w:rPr>
      </w:pPr>
      <w:r>
        <w:rPr>
          <w:rFonts w:hint="eastAsia" w:ascii="宋体" w:hAnsi="宋体"/>
          <w:b/>
          <w:szCs w:val="21"/>
        </w:rPr>
        <w:t>2. 一般掌握</w:t>
      </w:r>
      <w:r>
        <w:rPr>
          <w:rFonts w:hint="eastAsia" w:ascii="宋体" w:hAnsi="宋体"/>
          <w:szCs w:val="21"/>
        </w:rPr>
        <w:t>：</w:t>
      </w:r>
      <w:r>
        <w:rPr>
          <w:rFonts w:hint="eastAsia" w:hAnsi="宋体"/>
          <w:bCs/>
        </w:rPr>
        <w:t>转基因植物的鉴定方法；转基因在园艺植物改良中的应用。</w:t>
      </w:r>
    </w:p>
    <w:p>
      <w:pPr>
        <w:snapToGrid w:val="0"/>
        <w:spacing w:before="156" w:beforeLines="50" w:line="360" w:lineRule="auto"/>
        <w:rPr>
          <w:rFonts w:ascii="宋体" w:hAnsi="宋体"/>
          <w:b/>
          <w:szCs w:val="21"/>
        </w:rPr>
      </w:pPr>
      <w:r>
        <w:rPr>
          <w:rFonts w:hint="eastAsia" w:ascii="宋体" w:hAnsi="宋体"/>
          <w:b/>
          <w:szCs w:val="21"/>
        </w:rPr>
        <w:t>3. 熟练掌握</w:t>
      </w:r>
      <w:r>
        <w:rPr>
          <w:rFonts w:hint="eastAsia" w:ascii="宋体" w:hAnsi="宋体"/>
          <w:szCs w:val="21"/>
        </w:rPr>
        <w:t>：</w:t>
      </w:r>
      <w:r>
        <w:rPr>
          <w:rFonts w:hint="eastAsia" w:hAnsi="宋体"/>
          <w:bCs/>
        </w:rPr>
        <w:t>转基因技术相关概念；转基因的主要方法及原理；外植体选择特点。</w:t>
      </w:r>
    </w:p>
    <w:p>
      <w:pPr>
        <w:snapToGrid w:val="0"/>
        <w:spacing w:line="360" w:lineRule="auto"/>
        <w:rPr>
          <w:rFonts w:ascii="宋体" w:hAnsi="宋体"/>
          <w:szCs w:val="21"/>
        </w:rPr>
      </w:pPr>
      <w:r>
        <w:rPr>
          <w:rFonts w:hint="eastAsia" w:ascii="宋体" w:hAnsi="宋体"/>
          <w:b/>
          <w:szCs w:val="21"/>
        </w:rPr>
        <w:t>（二）考核内容</w:t>
      </w:r>
    </w:p>
    <w:p>
      <w:pPr>
        <w:widowControl/>
        <w:snapToGrid w:val="0"/>
        <w:spacing w:line="360" w:lineRule="auto"/>
        <w:ind w:firstLine="420" w:firstLineChars="200"/>
        <w:rPr>
          <w:rFonts w:cs="宋体"/>
          <w:kern w:val="0"/>
          <w:szCs w:val="21"/>
        </w:rPr>
      </w:pPr>
      <w:r>
        <w:rPr>
          <w:rFonts w:hint="eastAsia"/>
          <w:kern w:val="0"/>
          <w:szCs w:val="21"/>
        </w:rPr>
        <w:t>转基因技术相关概念；植物转基因研究概况；原生质体转化法；基因枪法；农杆菌介导法；电击法；花粉管通道法；外植体的选择。外源基因整合的鉴定；外源基因表达的检测；转基因在园艺植物改良中的应用。转基因植物的食品安全性；转基因植物生态环境的安全性；转基因植物的安全性管理办法。</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rPr>
          <w:rFonts w:ascii="宋体" w:hAnsi="宋体"/>
          <w:b/>
          <w:szCs w:val="21"/>
        </w:rPr>
      </w:pPr>
      <w:r>
        <w:rPr>
          <w:rFonts w:hint="eastAsia" w:ascii="宋体" w:hAnsi="宋体"/>
          <w:b/>
          <w:szCs w:val="21"/>
        </w:rPr>
        <w:t>1、识记</w:t>
      </w:r>
      <w:r>
        <w:rPr>
          <w:rFonts w:hint="eastAsia" w:ascii="宋体" w:hAnsi="宋体"/>
          <w:szCs w:val="21"/>
        </w:rPr>
        <w:t>：（1）</w:t>
      </w:r>
      <w:r>
        <w:rPr>
          <w:rFonts w:hint="eastAsia" w:hAnsi="宋体"/>
          <w:bCs/>
        </w:rPr>
        <w:t>转基因技术相关概念；（2）转基因的主要方法及原理。</w:t>
      </w:r>
    </w:p>
    <w:p>
      <w:pPr>
        <w:snapToGrid w:val="0"/>
        <w:spacing w:before="156" w:beforeLines="50" w:line="360" w:lineRule="auto"/>
        <w:rPr>
          <w:rFonts w:ascii="宋体" w:hAnsi="宋体"/>
          <w:b/>
          <w:szCs w:val="21"/>
        </w:rPr>
      </w:pPr>
      <w:r>
        <w:rPr>
          <w:rFonts w:hint="eastAsia" w:ascii="宋体" w:hAnsi="宋体"/>
          <w:b/>
          <w:szCs w:val="21"/>
        </w:rPr>
        <w:t>2、领会</w:t>
      </w:r>
      <w:r>
        <w:rPr>
          <w:rFonts w:hint="eastAsia" w:ascii="宋体" w:hAnsi="宋体"/>
          <w:szCs w:val="21"/>
        </w:rPr>
        <w:t>：（1）植物转基因研究概况</w:t>
      </w:r>
      <w:r>
        <w:rPr>
          <w:rFonts w:hint="eastAsia"/>
          <w:kern w:val="0"/>
          <w:szCs w:val="21"/>
        </w:rPr>
        <w:t>；（2）转基因植物的安全性评价。</w:t>
      </w:r>
    </w:p>
    <w:p>
      <w:pPr>
        <w:snapToGrid w:val="0"/>
        <w:spacing w:before="156" w:beforeLines="50" w:line="360" w:lineRule="auto"/>
        <w:rPr>
          <w:rFonts w:ascii="宋体" w:hAnsi="宋体"/>
          <w:b/>
          <w:szCs w:val="21"/>
        </w:rPr>
      </w:pPr>
      <w:r>
        <w:rPr>
          <w:rFonts w:hint="eastAsia" w:ascii="宋体" w:hAnsi="宋体"/>
          <w:b/>
          <w:szCs w:val="21"/>
        </w:rPr>
        <w:t>3、简单应用</w:t>
      </w:r>
      <w:r>
        <w:rPr>
          <w:rFonts w:hint="eastAsia" w:ascii="宋体" w:hAnsi="宋体"/>
          <w:szCs w:val="21"/>
        </w:rPr>
        <w:t>：（1）</w:t>
      </w:r>
      <w:r>
        <w:rPr>
          <w:rFonts w:hint="eastAsia" w:hAnsi="宋体"/>
          <w:bCs/>
        </w:rPr>
        <w:t>转基因植物的鉴定方法；（2）</w:t>
      </w:r>
      <w:r>
        <w:rPr>
          <w:rFonts w:hint="eastAsia"/>
          <w:kern w:val="0"/>
          <w:szCs w:val="21"/>
        </w:rPr>
        <w:t>转基因植物的安全性评价方法。</w:t>
      </w:r>
    </w:p>
    <w:p>
      <w:pPr>
        <w:snapToGrid w:val="0"/>
        <w:spacing w:before="156" w:beforeLines="50" w:line="360" w:lineRule="auto"/>
        <w:rPr>
          <w:rFonts w:ascii="宋体" w:hAnsi="宋体"/>
          <w:b/>
          <w:szCs w:val="21"/>
        </w:rPr>
      </w:pPr>
      <w:r>
        <w:rPr>
          <w:rFonts w:hint="eastAsia" w:ascii="宋体" w:hAnsi="宋体"/>
          <w:b/>
          <w:szCs w:val="21"/>
        </w:rPr>
        <w:t>4、综合应用</w:t>
      </w:r>
      <w:r>
        <w:rPr>
          <w:rFonts w:hint="eastAsia" w:ascii="宋体" w:hAnsi="宋体"/>
          <w:szCs w:val="21"/>
        </w:rPr>
        <w:t>：（1）</w:t>
      </w:r>
      <w:r>
        <w:rPr>
          <w:rFonts w:hint="eastAsia" w:hAnsi="宋体"/>
          <w:bCs/>
        </w:rPr>
        <w:t>转基因在园艺植物改良中的应用。</w:t>
      </w:r>
    </w:p>
    <w:p>
      <w:pPr>
        <w:snapToGrid w:val="0"/>
        <w:spacing w:line="360" w:lineRule="auto"/>
        <w:rPr>
          <w:rFonts w:hAnsi="宋体"/>
          <w:b/>
          <w:bCs/>
          <w:kern w:val="0"/>
          <w:szCs w:val="21"/>
        </w:rPr>
      </w:pPr>
    </w:p>
    <w:p>
      <w:pPr>
        <w:snapToGrid w:val="0"/>
        <w:spacing w:line="360" w:lineRule="auto"/>
        <w:jc w:val="center"/>
        <w:rPr>
          <w:b/>
          <w:bCs/>
          <w:kern w:val="0"/>
          <w:szCs w:val="21"/>
        </w:rPr>
      </w:pPr>
      <w:r>
        <w:rPr>
          <w:rFonts w:hAnsi="宋体"/>
          <w:b/>
          <w:bCs/>
          <w:kern w:val="0"/>
          <w:szCs w:val="21"/>
        </w:rPr>
        <w:t>第</w:t>
      </w:r>
      <w:r>
        <w:rPr>
          <w:rFonts w:hint="eastAsia" w:hAnsi="宋体"/>
          <w:b/>
          <w:bCs/>
          <w:kern w:val="0"/>
          <w:szCs w:val="21"/>
        </w:rPr>
        <w:t>六</w:t>
      </w:r>
      <w:r>
        <w:rPr>
          <w:rFonts w:hAnsi="宋体"/>
          <w:b/>
          <w:bCs/>
          <w:kern w:val="0"/>
          <w:szCs w:val="21"/>
        </w:rPr>
        <w:t>章</w:t>
      </w:r>
      <w:r>
        <w:rPr>
          <w:rFonts w:hint="eastAsia"/>
          <w:b/>
          <w:bCs/>
          <w:kern w:val="0"/>
          <w:szCs w:val="21"/>
        </w:rPr>
        <w:t xml:space="preserve">  园艺植物生物技术与生物信息学</w:t>
      </w:r>
    </w:p>
    <w:p>
      <w:pPr>
        <w:snapToGrid w:val="0"/>
        <w:spacing w:line="360" w:lineRule="auto"/>
        <w:rPr>
          <w:rFonts w:ascii="宋体" w:hAnsi="宋体"/>
          <w:b/>
          <w:szCs w:val="21"/>
        </w:rPr>
      </w:pPr>
      <w:r>
        <w:rPr>
          <w:rFonts w:hint="eastAsia" w:ascii="宋体" w:hAnsi="宋体"/>
          <w:b/>
          <w:szCs w:val="21"/>
        </w:rPr>
        <w:t>（一）学习目标</w:t>
      </w:r>
    </w:p>
    <w:p>
      <w:pPr>
        <w:widowControl/>
        <w:snapToGrid w:val="0"/>
        <w:spacing w:line="360" w:lineRule="auto"/>
        <w:rPr>
          <w:kern w:val="0"/>
          <w:szCs w:val="21"/>
        </w:rPr>
      </w:pPr>
      <w:r>
        <w:rPr>
          <w:rFonts w:hint="eastAsia" w:ascii="宋体" w:hAnsi="宋体"/>
          <w:b/>
          <w:szCs w:val="21"/>
        </w:rPr>
        <w:t>1. 一般了解</w:t>
      </w:r>
      <w:r>
        <w:rPr>
          <w:rFonts w:hint="eastAsia" w:ascii="宋体" w:hAnsi="宋体"/>
          <w:szCs w:val="21"/>
        </w:rPr>
        <w:t>：</w:t>
      </w:r>
      <w:r>
        <w:rPr>
          <w:bCs/>
          <w:kern w:val="0"/>
          <w:szCs w:val="21"/>
        </w:rPr>
        <w:t>了解</w:t>
      </w:r>
      <w:r>
        <w:rPr>
          <w:rFonts w:hint="eastAsia"/>
          <w:bCs/>
          <w:kern w:val="0"/>
          <w:szCs w:val="21"/>
        </w:rPr>
        <w:t>生物信息学发展史、常用数据库及生物信息学在园艺植物中的应用及前景。</w:t>
      </w:r>
    </w:p>
    <w:p>
      <w:pPr>
        <w:snapToGrid w:val="0"/>
        <w:spacing w:before="156" w:beforeLines="50" w:line="360" w:lineRule="auto"/>
        <w:rPr>
          <w:b/>
          <w:bCs/>
          <w:kern w:val="0"/>
          <w:szCs w:val="21"/>
        </w:rPr>
      </w:pPr>
      <w:r>
        <w:rPr>
          <w:rFonts w:hint="eastAsia" w:ascii="宋体" w:hAnsi="宋体"/>
          <w:b/>
          <w:szCs w:val="21"/>
        </w:rPr>
        <w:t>2. 一般掌握</w:t>
      </w:r>
      <w:r>
        <w:rPr>
          <w:rFonts w:hint="eastAsia" w:ascii="宋体" w:hAnsi="宋体"/>
          <w:szCs w:val="21"/>
        </w:rPr>
        <w:t>：</w:t>
      </w:r>
      <w:r>
        <w:rPr>
          <w:rFonts w:hint="eastAsia"/>
          <w:bCs/>
          <w:kern w:val="0"/>
          <w:szCs w:val="21"/>
        </w:rPr>
        <w:t>常用数据库NCBI、phytozome、KEGG、uniport等的使用方法</w:t>
      </w:r>
      <w:r>
        <w:rPr>
          <w:rFonts w:hint="eastAsia" w:hAnsi="宋体"/>
          <w:bCs/>
        </w:rPr>
        <w:t>。</w:t>
      </w:r>
    </w:p>
    <w:p>
      <w:pPr>
        <w:snapToGrid w:val="0"/>
        <w:spacing w:before="156" w:beforeLines="50" w:line="360" w:lineRule="auto"/>
        <w:rPr>
          <w:rFonts w:ascii="宋体" w:hAnsi="宋体"/>
          <w:b/>
          <w:szCs w:val="21"/>
        </w:rPr>
      </w:pPr>
      <w:r>
        <w:rPr>
          <w:rFonts w:hint="eastAsia" w:ascii="宋体" w:hAnsi="宋体"/>
          <w:b/>
          <w:szCs w:val="21"/>
        </w:rPr>
        <w:t>3. 熟练掌握</w:t>
      </w:r>
      <w:r>
        <w:rPr>
          <w:rFonts w:hint="eastAsia" w:ascii="宋体" w:hAnsi="宋体"/>
          <w:szCs w:val="21"/>
        </w:rPr>
        <w:t>：</w:t>
      </w:r>
      <w:r>
        <w:rPr>
          <w:rFonts w:hint="eastAsia"/>
          <w:bCs/>
          <w:kern w:val="0"/>
          <w:szCs w:val="21"/>
        </w:rPr>
        <w:t>利用生物信息学方法从各生物学科众多分散的观测资料中发现联系和规律，进而挖掘潜在的信息与知识</w:t>
      </w:r>
      <w:r>
        <w:rPr>
          <w:rFonts w:hint="eastAsia" w:hAnsi="宋体"/>
          <w:bCs/>
        </w:rPr>
        <w:t>。</w:t>
      </w:r>
    </w:p>
    <w:p>
      <w:pPr>
        <w:snapToGrid w:val="0"/>
        <w:spacing w:line="360" w:lineRule="auto"/>
        <w:rPr>
          <w:rFonts w:ascii="宋体" w:hAnsi="宋体"/>
          <w:szCs w:val="21"/>
        </w:rPr>
      </w:pPr>
      <w:r>
        <w:rPr>
          <w:rFonts w:hint="eastAsia" w:ascii="宋体" w:hAnsi="宋体"/>
          <w:b/>
          <w:szCs w:val="21"/>
        </w:rPr>
        <w:t>（二）考核内容</w:t>
      </w:r>
    </w:p>
    <w:p>
      <w:pPr>
        <w:widowControl/>
        <w:snapToGrid w:val="0"/>
        <w:spacing w:line="360" w:lineRule="auto"/>
        <w:ind w:firstLine="420" w:firstLineChars="200"/>
        <w:rPr>
          <w:rFonts w:cs="宋体"/>
          <w:kern w:val="0"/>
          <w:szCs w:val="21"/>
        </w:rPr>
      </w:pPr>
      <w:r>
        <w:rPr>
          <w:rFonts w:hint="eastAsia"/>
          <w:kern w:val="0"/>
          <w:szCs w:val="21"/>
        </w:rPr>
        <w:t>生物信息学发展史和生物信息学方法的基本原理和方法；</w:t>
      </w:r>
      <w:r>
        <w:rPr>
          <w:rFonts w:hint="eastAsia"/>
          <w:bCs/>
          <w:kern w:val="0"/>
          <w:szCs w:val="21"/>
        </w:rPr>
        <w:t>常用数据库NCBI、phytozome、KEGG、uniport等的使用方法</w:t>
      </w:r>
      <w:r>
        <w:rPr>
          <w:rFonts w:hint="eastAsia"/>
          <w:kern w:val="0"/>
          <w:szCs w:val="21"/>
        </w:rPr>
        <w:t>；生物信息学方法应用的前景。</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rPr>
          <w:rFonts w:ascii="宋体" w:hAnsi="宋体"/>
          <w:b/>
          <w:szCs w:val="21"/>
        </w:rPr>
      </w:pPr>
      <w:r>
        <w:rPr>
          <w:rFonts w:hint="eastAsia" w:ascii="宋体" w:hAnsi="宋体"/>
          <w:b/>
          <w:szCs w:val="21"/>
        </w:rPr>
        <w:t>1、识记</w:t>
      </w:r>
      <w:r>
        <w:rPr>
          <w:rFonts w:hint="eastAsia" w:ascii="宋体" w:hAnsi="宋体"/>
          <w:szCs w:val="21"/>
        </w:rPr>
        <w:t>：（1）</w:t>
      </w:r>
      <w:r>
        <w:rPr>
          <w:rFonts w:hint="eastAsia" w:hAnsi="宋体"/>
          <w:bCs/>
        </w:rPr>
        <w:t>生物信息学的发展史；</w:t>
      </w:r>
      <w:r>
        <w:rPr>
          <w:rFonts w:hint="eastAsia"/>
          <w:kern w:val="0"/>
          <w:szCs w:val="21"/>
        </w:rPr>
        <w:t>（2）生物信息学方法的应用前景。</w:t>
      </w:r>
    </w:p>
    <w:p>
      <w:pPr>
        <w:snapToGrid w:val="0"/>
        <w:spacing w:before="156" w:beforeLines="50" w:line="360" w:lineRule="auto"/>
        <w:rPr>
          <w:rFonts w:ascii="宋体" w:hAnsi="宋体"/>
          <w:b/>
          <w:szCs w:val="21"/>
        </w:rPr>
      </w:pPr>
      <w:r>
        <w:rPr>
          <w:rFonts w:hint="eastAsia" w:ascii="宋体" w:hAnsi="宋体"/>
          <w:b/>
          <w:szCs w:val="21"/>
        </w:rPr>
        <w:t>2、领会</w:t>
      </w:r>
      <w:r>
        <w:rPr>
          <w:rFonts w:hint="eastAsia" w:ascii="宋体" w:hAnsi="宋体"/>
          <w:szCs w:val="21"/>
        </w:rPr>
        <w:t>：（1）生物信息学的</w:t>
      </w:r>
      <w:r>
        <w:rPr>
          <w:rFonts w:hint="eastAsia" w:hAnsi="宋体"/>
          <w:bCs/>
        </w:rPr>
        <w:t>基本原理和方法</w:t>
      </w:r>
      <w:r>
        <w:rPr>
          <w:rFonts w:hint="eastAsia"/>
          <w:kern w:val="0"/>
          <w:szCs w:val="21"/>
        </w:rPr>
        <w:t>；（2）常用数据库。</w:t>
      </w:r>
    </w:p>
    <w:p>
      <w:pPr>
        <w:snapToGrid w:val="0"/>
        <w:spacing w:before="156" w:beforeLines="50" w:line="360" w:lineRule="auto"/>
        <w:rPr>
          <w:kern w:val="0"/>
          <w:szCs w:val="21"/>
        </w:rPr>
      </w:pPr>
      <w:r>
        <w:rPr>
          <w:rFonts w:hint="eastAsia" w:ascii="宋体" w:hAnsi="宋体"/>
          <w:b/>
          <w:szCs w:val="21"/>
        </w:rPr>
        <w:t>3、简单应用</w:t>
      </w:r>
      <w:r>
        <w:rPr>
          <w:rFonts w:hint="eastAsia" w:ascii="宋体" w:hAnsi="宋体"/>
          <w:szCs w:val="21"/>
        </w:rPr>
        <w:t>：（1）</w:t>
      </w:r>
      <w:r>
        <w:rPr>
          <w:rFonts w:hint="eastAsia"/>
          <w:bCs/>
          <w:kern w:val="0"/>
          <w:szCs w:val="21"/>
        </w:rPr>
        <w:t>NCBI、phytozome、KEGG、uniport等的使用方法</w:t>
      </w:r>
      <w:r>
        <w:rPr>
          <w:rFonts w:hint="eastAsia"/>
          <w:kern w:val="0"/>
          <w:szCs w:val="21"/>
        </w:rPr>
        <w:t>。</w:t>
      </w:r>
    </w:p>
    <w:p>
      <w:pPr>
        <w:snapToGrid w:val="0"/>
        <w:spacing w:before="156" w:beforeLines="50" w:line="360" w:lineRule="auto"/>
        <w:rPr>
          <w:kern w:val="0"/>
          <w:szCs w:val="21"/>
        </w:rPr>
      </w:pPr>
    </w:p>
    <w:p>
      <w:pPr>
        <w:snapToGrid w:val="0"/>
        <w:spacing w:line="360" w:lineRule="auto"/>
        <w:jc w:val="center"/>
        <w:rPr>
          <w:b/>
          <w:bCs/>
          <w:kern w:val="0"/>
          <w:szCs w:val="21"/>
        </w:rPr>
      </w:pPr>
      <w:r>
        <w:rPr>
          <w:rFonts w:hint="eastAsia"/>
          <w:b/>
          <w:bCs/>
          <w:kern w:val="0"/>
          <w:szCs w:val="21"/>
        </w:rPr>
        <w:t>第七章  园艺植物生物技术研究进展</w:t>
      </w:r>
    </w:p>
    <w:p>
      <w:pPr>
        <w:snapToGrid w:val="0"/>
        <w:spacing w:line="360" w:lineRule="auto"/>
        <w:rPr>
          <w:rFonts w:ascii="宋体" w:hAnsi="宋体"/>
          <w:b/>
          <w:szCs w:val="21"/>
        </w:rPr>
      </w:pPr>
      <w:r>
        <w:rPr>
          <w:rFonts w:hint="eastAsia" w:ascii="宋体" w:hAnsi="宋体"/>
          <w:b/>
          <w:szCs w:val="21"/>
        </w:rPr>
        <w:t>（一）学习目标</w:t>
      </w:r>
    </w:p>
    <w:p>
      <w:pPr>
        <w:widowControl/>
        <w:snapToGrid w:val="0"/>
        <w:spacing w:line="360" w:lineRule="auto"/>
        <w:rPr>
          <w:kern w:val="0"/>
          <w:szCs w:val="21"/>
        </w:rPr>
      </w:pPr>
      <w:r>
        <w:rPr>
          <w:rFonts w:hint="eastAsia" w:ascii="宋体" w:hAnsi="宋体"/>
          <w:b/>
          <w:szCs w:val="21"/>
        </w:rPr>
        <w:t>1. 一般了解</w:t>
      </w:r>
      <w:r>
        <w:rPr>
          <w:rFonts w:hint="eastAsia" w:ascii="宋体" w:hAnsi="宋体"/>
          <w:szCs w:val="21"/>
        </w:rPr>
        <w:t>：</w:t>
      </w:r>
      <w:r>
        <w:rPr>
          <w:szCs w:val="21"/>
        </w:rPr>
        <w:t>了解</w:t>
      </w:r>
      <w:r>
        <w:rPr>
          <w:rFonts w:hint="eastAsia"/>
          <w:szCs w:val="21"/>
        </w:rPr>
        <w:t>常见生物技术方法在果树、蔬菜和花卉植物中的应用。</w:t>
      </w:r>
    </w:p>
    <w:p>
      <w:pPr>
        <w:widowControl/>
        <w:snapToGrid w:val="0"/>
        <w:spacing w:line="360" w:lineRule="auto"/>
        <w:rPr>
          <w:szCs w:val="21"/>
        </w:rPr>
      </w:pPr>
      <w:r>
        <w:rPr>
          <w:rFonts w:hint="eastAsia" w:ascii="宋体" w:hAnsi="宋体"/>
          <w:b/>
          <w:szCs w:val="21"/>
        </w:rPr>
        <w:t>2. 一般掌握</w:t>
      </w:r>
      <w:r>
        <w:rPr>
          <w:rFonts w:hint="eastAsia" w:ascii="宋体" w:hAnsi="宋体"/>
          <w:szCs w:val="21"/>
        </w:rPr>
        <w:t>：</w:t>
      </w:r>
      <w:r>
        <w:rPr>
          <w:rFonts w:hint="eastAsia"/>
          <w:szCs w:val="21"/>
        </w:rPr>
        <w:t>掌握利用现代生物学方法解决园艺植物科学难题的方法。</w:t>
      </w:r>
    </w:p>
    <w:p>
      <w:pPr>
        <w:widowControl/>
        <w:snapToGrid w:val="0"/>
        <w:spacing w:line="360" w:lineRule="auto"/>
        <w:rPr>
          <w:rFonts w:ascii="宋体" w:hAnsi="宋体"/>
          <w:b/>
          <w:szCs w:val="21"/>
        </w:rPr>
      </w:pPr>
      <w:r>
        <w:rPr>
          <w:rFonts w:hint="eastAsia" w:ascii="宋体" w:hAnsi="宋体"/>
          <w:b/>
          <w:szCs w:val="21"/>
        </w:rPr>
        <w:t>3. 熟练掌握</w:t>
      </w:r>
      <w:r>
        <w:rPr>
          <w:rFonts w:hint="eastAsia" w:ascii="宋体" w:hAnsi="宋体"/>
          <w:szCs w:val="21"/>
        </w:rPr>
        <w:t>：</w:t>
      </w:r>
      <w:r>
        <w:rPr>
          <w:rFonts w:hint="eastAsia"/>
          <w:szCs w:val="21"/>
        </w:rPr>
        <w:t>生物技术在园艺植物中应用的技术原理</w:t>
      </w:r>
      <w:r>
        <w:rPr>
          <w:rFonts w:hint="eastAsia" w:hAnsi="宋体"/>
          <w:bCs/>
        </w:rPr>
        <w:t>。</w:t>
      </w:r>
    </w:p>
    <w:p>
      <w:pPr>
        <w:snapToGrid w:val="0"/>
        <w:spacing w:line="360" w:lineRule="auto"/>
        <w:rPr>
          <w:rFonts w:ascii="宋体" w:hAnsi="宋体"/>
          <w:szCs w:val="21"/>
        </w:rPr>
      </w:pPr>
      <w:r>
        <w:rPr>
          <w:rFonts w:hint="eastAsia" w:ascii="宋体" w:hAnsi="宋体"/>
          <w:b/>
          <w:szCs w:val="21"/>
        </w:rPr>
        <w:t>（二）考核内容</w:t>
      </w:r>
    </w:p>
    <w:p>
      <w:pPr>
        <w:widowControl/>
        <w:snapToGrid w:val="0"/>
        <w:spacing w:line="360" w:lineRule="auto"/>
        <w:ind w:firstLine="420" w:firstLineChars="200"/>
        <w:rPr>
          <w:rFonts w:cs="宋体"/>
          <w:kern w:val="0"/>
          <w:szCs w:val="21"/>
        </w:rPr>
      </w:pPr>
      <w:r>
        <w:rPr>
          <w:szCs w:val="21"/>
        </w:rPr>
        <w:t>了解</w:t>
      </w:r>
      <w:r>
        <w:rPr>
          <w:rFonts w:hint="eastAsia"/>
          <w:szCs w:val="21"/>
        </w:rPr>
        <w:t>园艺植物细胞学技术研究的方法和生物技术的发展趋势；</w:t>
      </w:r>
      <w:r>
        <w:rPr>
          <w:rFonts w:hint="eastAsia"/>
          <w:bCs/>
          <w:szCs w:val="21"/>
        </w:rPr>
        <w:t>主要园艺植物转基因的方法、原理及转基因植株鉴定的方法</w:t>
      </w:r>
      <w:r>
        <w:rPr>
          <w:rFonts w:hint="eastAsia"/>
          <w:kern w:val="0"/>
          <w:szCs w:val="21"/>
        </w:rPr>
        <w:t>；</w:t>
      </w:r>
      <w:r>
        <w:rPr>
          <w:rFonts w:hint="eastAsia"/>
          <w:bCs/>
          <w:szCs w:val="21"/>
        </w:rPr>
        <w:t>分子标记的原理和</w:t>
      </w:r>
      <w:r>
        <w:rPr>
          <w:rFonts w:hint="eastAsia"/>
          <w:bCs/>
        </w:rPr>
        <w:t>分子标记辅助选择育种的应用</w:t>
      </w:r>
      <w:r>
        <w:rPr>
          <w:rFonts w:hint="eastAsia"/>
          <w:kern w:val="0"/>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before="156" w:beforeLines="50" w:line="360" w:lineRule="auto"/>
        <w:rPr>
          <w:rFonts w:ascii="宋体" w:hAnsi="宋体"/>
          <w:b/>
          <w:szCs w:val="21"/>
        </w:rPr>
      </w:pPr>
      <w:r>
        <w:rPr>
          <w:rFonts w:hint="eastAsia" w:ascii="宋体" w:hAnsi="宋体"/>
          <w:b/>
          <w:szCs w:val="21"/>
        </w:rPr>
        <w:t>1、识记</w:t>
      </w:r>
      <w:r>
        <w:rPr>
          <w:rFonts w:hint="eastAsia" w:ascii="宋体" w:hAnsi="宋体"/>
          <w:szCs w:val="21"/>
        </w:rPr>
        <w:t>：（1）</w:t>
      </w:r>
      <w:r>
        <w:rPr>
          <w:rFonts w:hint="eastAsia" w:hAnsi="宋体"/>
          <w:bCs/>
        </w:rPr>
        <w:t>常见生物技术在园艺植物中的应用</w:t>
      </w:r>
      <w:r>
        <w:rPr>
          <w:rFonts w:hint="eastAsia"/>
          <w:kern w:val="0"/>
          <w:szCs w:val="21"/>
        </w:rPr>
        <w:t>；（2）分子标记的类型及应用。</w:t>
      </w:r>
    </w:p>
    <w:p>
      <w:pPr>
        <w:snapToGrid w:val="0"/>
        <w:spacing w:before="156" w:beforeLines="50" w:line="360" w:lineRule="auto"/>
        <w:rPr>
          <w:rFonts w:ascii="宋体" w:hAnsi="宋体"/>
          <w:b/>
          <w:szCs w:val="21"/>
        </w:rPr>
      </w:pPr>
      <w:r>
        <w:rPr>
          <w:rFonts w:hint="eastAsia" w:ascii="宋体" w:hAnsi="宋体"/>
          <w:b/>
          <w:szCs w:val="21"/>
        </w:rPr>
        <w:t>2、领会</w:t>
      </w:r>
      <w:r>
        <w:rPr>
          <w:rFonts w:hint="eastAsia" w:ascii="宋体" w:hAnsi="宋体"/>
          <w:szCs w:val="21"/>
        </w:rPr>
        <w:t>：（1）</w:t>
      </w:r>
      <w:r>
        <w:rPr>
          <w:rFonts w:hint="eastAsia"/>
          <w:bCs/>
          <w:szCs w:val="21"/>
        </w:rPr>
        <w:t>主要园艺植物转基因的方法</w:t>
      </w:r>
      <w:r>
        <w:rPr>
          <w:rFonts w:hint="eastAsia"/>
          <w:kern w:val="0"/>
          <w:szCs w:val="21"/>
        </w:rPr>
        <w:t>；（2）转基因植物的鉴定方法。</w:t>
      </w:r>
    </w:p>
    <w:p>
      <w:pPr>
        <w:snapToGrid w:val="0"/>
        <w:spacing w:before="156" w:beforeLines="50" w:line="360" w:lineRule="auto"/>
        <w:rPr>
          <w:rFonts w:ascii="宋体" w:hAnsi="宋体"/>
          <w:b/>
          <w:szCs w:val="21"/>
        </w:rPr>
      </w:pPr>
      <w:r>
        <w:rPr>
          <w:rFonts w:hint="eastAsia" w:ascii="宋体" w:hAnsi="宋体"/>
          <w:b/>
          <w:szCs w:val="21"/>
        </w:rPr>
        <w:t>3、简单应用</w:t>
      </w:r>
      <w:r>
        <w:rPr>
          <w:rFonts w:hint="eastAsia" w:ascii="宋体" w:hAnsi="宋体"/>
          <w:szCs w:val="21"/>
        </w:rPr>
        <w:t>：（1）</w:t>
      </w:r>
      <w:r>
        <w:rPr>
          <w:rFonts w:hint="eastAsia"/>
          <w:szCs w:val="21"/>
        </w:rPr>
        <w:t>常见生物技术方法在果树、蔬菜和花卉植物中的应用</w:t>
      </w:r>
      <w:r>
        <w:rPr>
          <w:rFonts w:hint="eastAsia"/>
          <w:kern w:val="0"/>
          <w:szCs w:val="21"/>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792" w:name="_Toc138068878"/>
      <w:bookmarkStart w:id="793" w:name="_Toc138076173"/>
      <w:bookmarkStart w:id="794" w:name="_Toc138070779"/>
      <w:bookmarkStart w:id="795" w:name="_Toc15383"/>
      <w:bookmarkStart w:id="796" w:name="_Toc138076422"/>
      <w:bookmarkStart w:id="797" w:name="_Toc138076717"/>
      <w:bookmarkStart w:id="798" w:name="_Toc138068479"/>
      <w:bookmarkStart w:id="799" w:name="_Toc138070508"/>
      <w:r>
        <w:rPr>
          <w:rFonts w:hint="eastAsia" w:asciiTheme="majorEastAsia" w:hAnsiTheme="majorEastAsia" w:eastAsiaTheme="majorEastAsia" w:cstheme="majorEastAsia"/>
          <w:b/>
          <w:bCs/>
          <w:kern w:val="0"/>
          <w:szCs w:val="21"/>
        </w:rPr>
        <w:t>三、实验教学部分的考核要求</w:t>
      </w:r>
      <w:bookmarkEnd w:id="792"/>
      <w:bookmarkEnd w:id="793"/>
      <w:bookmarkEnd w:id="794"/>
      <w:bookmarkEnd w:id="795"/>
      <w:bookmarkEnd w:id="796"/>
      <w:bookmarkEnd w:id="797"/>
      <w:bookmarkEnd w:id="798"/>
      <w:bookmarkEnd w:id="799"/>
    </w:p>
    <w:p>
      <w:pPr>
        <w:widowControl/>
        <w:snapToGrid w:val="0"/>
        <w:spacing w:line="360" w:lineRule="auto"/>
        <w:jc w:val="left"/>
        <w:outlineLvl w:val="1"/>
        <w:rPr>
          <w:rFonts w:asciiTheme="majorEastAsia" w:hAnsiTheme="majorEastAsia" w:eastAsiaTheme="majorEastAsia" w:cstheme="majorEastAsia"/>
          <w:kern w:val="0"/>
          <w:szCs w:val="21"/>
        </w:rPr>
      </w:pPr>
      <w:bookmarkStart w:id="800" w:name="_Toc138068480"/>
      <w:bookmarkStart w:id="801" w:name="_Toc138068879"/>
      <w:bookmarkStart w:id="802" w:name="_Toc138070509"/>
      <w:bookmarkStart w:id="803" w:name="_Toc27520"/>
      <w:bookmarkStart w:id="804" w:name="_Toc138076174"/>
      <w:bookmarkStart w:id="805" w:name="_Toc138076423"/>
      <w:bookmarkStart w:id="806" w:name="_Toc138076718"/>
      <w:bookmarkStart w:id="807" w:name="_Toc138070780"/>
      <w:r>
        <w:rPr>
          <w:rFonts w:hint="eastAsia" w:asciiTheme="majorEastAsia" w:hAnsiTheme="majorEastAsia" w:eastAsiaTheme="majorEastAsia" w:cstheme="majorEastAsia"/>
          <w:kern w:val="0"/>
          <w:szCs w:val="21"/>
        </w:rPr>
        <w:t>（1）了解现代生物技术实验室的结构与布局，掌握生物技术相关仪器设备的应用方法；</w:t>
      </w:r>
      <w:bookmarkEnd w:id="800"/>
      <w:bookmarkEnd w:id="801"/>
      <w:bookmarkEnd w:id="802"/>
      <w:bookmarkEnd w:id="803"/>
      <w:bookmarkEnd w:id="804"/>
      <w:bookmarkEnd w:id="805"/>
      <w:bookmarkEnd w:id="806"/>
      <w:bookmarkEnd w:id="807"/>
    </w:p>
    <w:p>
      <w:pPr>
        <w:widowControl/>
        <w:snapToGrid w:val="0"/>
        <w:spacing w:line="360" w:lineRule="auto"/>
        <w:jc w:val="left"/>
        <w:outlineLvl w:val="1"/>
        <w:rPr>
          <w:rFonts w:asciiTheme="majorEastAsia" w:hAnsiTheme="majorEastAsia" w:eastAsiaTheme="majorEastAsia" w:cstheme="majorEastAsia"/>
          <w:kern w:val="0"/>
          <w:szCs w:val="21"/>
        </w:rPr>
      </w:pPr>
      <w:bookmarkStart w:id="808" w:name="_Toc26068"/>
      <w:bookmarkStart w:id="809" w:name="_Toc138076719"/>
      <w:bookmarkStart w:id="810" w:name="_Toc138070781"/>
      <w:bookmarkStart w:id="811" w:name="_Toc138068880"/>
      <w:bookmarkStart w:id="812" w:name="_Toc138076175"/>
      <w:bookmarkStart w:id="813" w:name="_Toc138076424"/>
      <w:bookmarkStart w:id="814" w:name="_Toc138068481"/>
      <w:bookmarkStart w:id="815" w:name="_Toc138070510"/>
      <w:r>
        <w:rPr>
          <w:rFonts w:hint="eastAsia" w:asciiTheme="majorEastAsia" w:hAnsiTheme="majorEastAsia" w:eastAsiaTheme="majorEastAsia" w:cstheme="majorEastAsia"/>
          <w:kern w:val="0"/>
          <w:szCs w:val="21"/>
        </w:rPr>
        <w:t>（2）掌握常见的组织培养培养基的配制方法；</w:t>
      </w:r>
      <w:bookmarkEnd w:id="808"/>
      <w:bookmarkEnd w:id="809"/>
      <w:bookmarkEnd w:id="810"/>
      <w:bookmarkEnd w:id="811"/>
      <w:bookmarkEnd w:id="812"/>
      <w:bookmarkEnd w:id="813"/>
      <w:bookmarkEnd w:id="814"/>
      <w:bookmarkEnd w:id="815"/>
    </w:p>
    <w:p>
      <w:pPr>
        <w:widowControl/>
        <w:snapToGrid w:val="0"/>
        <w:spacing w:line="360" w:lineRule="auto"/>
        <w:jc w:val="left"/>
        <w:outlineLvl w:val="1"/>
        <w:rPr>
          <w:rFonts w:asciiTheme="majorEastAsia" w:hAnsiTheme="majorEastAsia" w:eastAsiaTheme="majorEastAsia" w:cstheme="majorEastAsia"/>
          <w:kern w:val="0"/>
          <w:szCs w:val="21"/>
        </w:rPr>
      </w:pPr>
      <w:bookmarkStart w:id="816" w:name="_Toc138070511"/>
      <w:bookmarkStart w:id="817" w:name="_Toc138068482"/>
      <w:bookmarkStart w:id="818" w:name="_Toc9437"/>
      <w:bookmarkStart w:id="819" w:name="_Toc138068881"/>
      <w:bookmarkStart w:id="820" w:name="_Toc138070782"/>
      <w:bookmarkStart w:id="821" w:name="_Toc138076720"/>
      <w:bookmarkStart w:id="822" w:name="_Toc138076425"/>
      <w:bookmarkStart w:id="823" w:name="_Toc138076176"/>
      <w:r>
        <w:rPr>
          <w:rFonts w:hint="eastAsia" w:asciiTheme="majorEastAsia" w:hAnsiTheme="majorEastAsia" w:eastAsiaTheme="majorEastAsia" w:cstheme="majorEastAsia"/>
          <w:kern w:val="0"/>
          <w:szCs w:val="21"/>
        </w:rPr>
        <w:t>（3）掌握常见的园艺植物组织培养的方法；</w:t>
      </w:r>
      <w:bookmarkEnd w:id="816"/>
      <w:bookmarkEnd w:id="817"/>
      <w:bookmarkEnd w:id="818"/>
      <w:bookmarkEnd w:id="819"/>
      <w:bookmarkEnd w:id="820"/>
      <w:bookmarkEnd w:id="821"/>
      <w:bookmarkEnd w:id="822"/>
      <w:bookmarkEnd w:id="823"/>
    </w:p>
    <w:p>
      <w:pPr>
        <w:widowControl/>
        <w:snapToGrid w:val="0"/>
        <w:spacing w:line="360" w:lineRule="auto"/>
        <w:jc w:val="left"/>
        <w:outlineLvl w:val="1"/>
        <w:rPr>
          <w:rFonts w:asciiTheme="majorEastAsia" w:hAnsiTheme="majorEastAsia" w:eastAsiaTheme="majorEastAsia" w:cstheme="majorEastAsia"/>
          <w:kern w:val="0"/>
          <w:szCs w:val="21"/>
        </w:rPr>
      </w:pPr>
      <w:bookmarkStart w:id="824" w:name="_Toc138076721"/>
      <w:bookmarkStart w:id="825" w:name="_Toc138068882"/>
      <w:bookmarkStart w:id="826" w:name="_Toc138070783"/>
      <w:bookmarkStart w:id="827" w:name="_Toc138068483"/>
      <w:bookmarkStart w:id="828" w:name="_Toc138076426"/>
      <w:bookmarkStart w:id="829" w:name="_Toc18084"/>
      <w:bookmarkStart w:id="830" w:name="_Toc138070512"/>
      <w:bookmarkStart w:id="831" w:name="_Toc138076177"/>
      <w:r>
        <w:rPr>
          <w:rFonts w:hint="eastAsia" w:asciiTheme="majorEastAsia" w:hAnsiTheme="majorEastAsia" w:eastAsiaTheme="majorEastAsia" w:cstheme="majorEastAsia"/>
          <w:kern w:val="0"/>
          <w:szCs w:val="21"/>
        </w:rPr>
        <w:t>（4）掌握质粒DNA酶切的方法，掌握琼脂糖凝胶电泳检测方法。</w:t>
      </w:r>
      <w:bookmarkEnd w:id="824"/>
      <w:bookmarkEnd w:id="825"/>
      <w:bookmarkEnd w:id="826"/>
      <w:bookmarkEnd w:id="827"/>
      <w:bookmarkEnd w:id="828"/>
      <w:bookmarkEnd w:id="829"/>
      <w:bookmarkEnd w:id="830"/>
      <w:bookmarkEnd w:id="831"/>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832" w:name="_Toc18912"/>
      <w:bookmarkStart w:id="833" w:name="_Toc138068484"/>
      <w:bookmarkStart w:id="834" w:name="_Toc138070784"/>
      <w:bookmarkStart w:id="835" w:name="_Toc138076427"/>
      <w:bookmarkStart w:id="836" w:name="_Toc138076178"/>
      <w:bookmarkStart w:id="837" w:name="_Toc138070513"/>
      <w:bookmarkStart w:id="838" w:name="_Toc138068883"/>
      <w:bookmarkStart w:id="839" w:name="_Toc138076722"/>
      <w:r>
        <w:rPr>
          <w:rFonts w:hint="eastAsia" w:asciiTheme="majorEastAsia" w:hAnsiTheme="majorEastAsia" w:eastAsiaTheme="majorEastAsia" w:cstheme="majorEastAsia"/>
          <w:b/>
          <w:bCs/>
          <w:kern w:val="0"/>
          <w:szCs w:val="21"/>
        </w:rPr>
        <w:t>四、考核方式</w:t>
      </w:r>
      <w:bookmarkEnd w:id="832"/>
      <w:bookmarkEnd w:id="833"/>
      <w:bookmarkEnd w:id="834"/>
      <w:bookmarkEnd w:id="835"/>
      <w:bookmarkEnd w:id="836"/>
      <w:bookmarkEnd w:id="837"/>
      <w:bookmarkEnd w:id="838"/>
      <w:bookmarkEnd w:id="839"/>
    </w:p>
    <w:p>
      <w:pPr>
        <w:spacing w:after="156" w:afterLines="50" w:line="440" w:lineRule="exact"/>
        <w:ind w:firstLine="420" w:firstLineChars="200"/>
        <w:jc w:val="left"/>
        <w:rPr>
          <w:b/>
          <w:szCs w:val="21"/>
        </w:rPr>
      </w:pPr>
      <w:r>
        <w:rPr>
          <w:bCs/>
          <w:color w:val="000000"/>
          <w:szCs w:val="21"/>
        </w:rPr>
        <w:t>课程考核主要通过课堂考勤、课堂提问、</w:t>
      </w:r>
      <w:r>
        <w:rPr>
          <w:rFonts w:hint="eastAsia"/>
          <w:bCs/>
          <w:color w:val="000000"/>
          <w:szCs w:val="21"/>
        </w:rPr>
        <w:t>线上线下</w:t>
      </w:r>
      <w:r>
        <w:rPr>
          <w:bCs/>
          <w:color w:val="000000"/>
          <w:szCs w:val="21"/>
        </w:rPr>
        <w:t>练习与讨论、实验、期末综合考试等多种方式对学生的学习表现和学习</w:t>
      </w:r>
      <w:r>
        <w:rPr>
          <w:rFonts w:hint="eastAsia"/>
          <w:bCs/>
          <w:color w:val="000000"/>
          <w:szCs w:val="21"/>
        </w:rPr>
        <w:t>成</w:t>
      </w:r>
      <w:r>
        <w:rPr>
          <w:bCs/>
          <w:color w:val="000000"/>
          <w:szCs w:val="21"/>
        </w:rPr>
        <w:t>果进行过程性和综合性评价。在课堂教学与实践过程中，</w:t>
      </w:r>
      <w:r>
        <w:rPr>
          <w:rFonts w:hint="eastAsia"/>
          <w:bCs/>
          <w:color w:val="000000"/>
          <w:szCs w:val="21"/>
        </w:rPr>
        <w:t>通过实验教学和线上线下讨论</w:t>
      </w:r>
      <w:r>
        <w:rPr>
          <w:bCs/>
          <w:color w:val="000000"/>
          <w:szCs w:val="21"/>
        </w:rPr>
        <w:t>，加深学生对理论知识的理解，加强学生独立思考和科学实践能力。根据不同专业和课程性质，</w:t>
      </w:r>
      <w:r>
        <w:rPr>
          <w:rFonts w:hint="eastAsia"/>
          <w:bCs/>
          <w:color w:val="000000"/>
          <w:szCs w:val="21"/>
        </w:rPr>
        <w:t>在每个章节结束，设置章节测验</w:t>
      </w:r>
      <w:r>
        <w:rPr>
          <w:bCs/>
          <w:color w:val="000000"/>
          <w:szCs w:val="21"/>
        </w:rPr>
        <w:t>；期末综合考试设置在课程学习结束后，属于综合测评，测评试题包括基础题目和开放性题目，综合考察学生的学习</w:t>
      </w:r>
      <w:r>
        <w:rPr>
          <w:rFonts w:hint="eastAsia"/>
          <w:bCs/>
          <w:color w:val="000000"/>
          <w:szCs w:val="21"/>
        </w:rPr>
        <w:t>成</w:t>
      </w:r>
      <w:r>
        <w:rPr>
          <w:bCs/>
          <w:color w:val="000000"/>
          <w:szCs w:val="21"/>
        </w:rPr>
        <w:t>果。</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840" w:name="_Toc138076428"/>
      <w:bookmarkStart w:id="841" w:name="_Toc138068485"/>
      <w:bookmarkStart w:id="842" w:name="_Toc138070785"/>
      <w:bookmarkStart w:id="843" w:name="_Toc138076179"/>
      <w:bookmarkStart w:id="844" w:name="_Toc138068884"/>
      <w:bookmarkStart w:id="845" w:name="_Toc138076723"/>
      <w:bookmarkStart w:id="846" w:name="_Toc138070514"/>
      <w:bookmarkStart w:id="847" w:name="_Toc14054"/>
      <w:r>
        <w:rPr>
          <w:rFonts w:hint="eastAsia" w:asciiTheme="majorEastAsia" w:hAnsiTheme="majorEastAsia" w:eastAsiaTheme="majorEastAsia" w:cstheme="majorEastAsia"/>
          <w:b/>
          <w:bCs/>
          <w:kern w:val="0"/>
          <w:szCs w:val="21"/>
        </w:rPr>
        <w:t>五、成绩评定</w:t>
      </w:r>
      <w:bookmarkEnd w:id="840"/>
      <w:bookmarkEnd w:id="841"/>
      <w:bookmarkEnd w:id="842"/>
      <w:bookmarkEnd w:id="843"/>
      <w:bookmarkEnd w:id="844"/>
      <w:bookmarkEnd w:id="845"/>
      <w:bookmarkEnd w:id="846"/>
      <w:bookmarkEnd w:id="847"/>
    </w:p>
    <w:p>
      <w:pPr>
        <w:snapToGrid w:val="0"/>
        <w:spacing w:line="360" w:lineRule="auto"/>
        <w:ind w:firstLine="420"/>
        <w:rPr>
          <w:szCs w:val="21"/>
        </w:rPr>
      </w:pPr>
      <w:r>
        <w:rPr>
          <w:szCs w:val="21"/>
        </w:rPr>
        <w:t>1.平时成绩：由课堂表现</w:t>
      </w:r>
      <w:r>
        <w:rPr>
          <w:rFonts w:hint="eastAsia"/>
          <w:szCs w:val="21"/>
        </w:rPr>
        <w:t>和</w:t>
      </w:r>
      <w:r>
        <w:rPr>
          <w:szCs w:val="21"/>
        </w:rPr>
        <w:t>实验实践组成，包括学生在课堂内外学习效果、线上线下实验实践过程实验报告成绩等，满分100分。</w:t>
      </w:r>
    </w:p>
    <w:p>
      <w:pPr>
        <w:snapToGrid w:val="0"/>
        <w:spacing w:line="360" w:lineRule="auto"/>
        <w:ind w:firstLine="420" w:firstLineChars="200"/>
        <w:rPr>
          <w:bCs/>
          <w:color w:val="0000FF"/>
          <w:szCs w:val="21"/>
        </w:rPr>
      </w:pPr>
      <w:r>
        <w:rPr>
          <w:color w:val="000000" w:themeColor="text1"/>
          <w14:textFill>
            <w14:solidFill>
              <w14:schemeClr w14:val="tx1"/>
            </w14:solidFill>
          </w14:textFill>
        </w:rPr>
        <w:t>2.期末成绩：</w:t>
      </w:r>
      <w:r>
        <w:rPr>
          <w:bCs/>
          <w:color w:val="000000"/>
          <w:szCs w:val="21"/>
        </w:rPr>
        <w:t>期末综合考试一般采用闭卷</w:t>
      </w:r>
      <w:r>
        <w:rPr>
          <w:rFonts w:hint="eastAsia"/>
          <w:bCs/>
          <w:color w:val="000000"/>
          <w:szCs w:val="21"/>
        </w:rPr>
        <w:t>或有限开卷</w:t>
      </w:r>
      <w:r>
        <w:rPr>
          <w:bCs/>
          <w:color w:val="000000"/>
          <w:szCs w:val="21"/>
        </w:rPr>
        <w:t>考试方式，成绩满分为100分。</w:t>
      </w:r>
    </w:p>
    <w:p>
      <w:pPr>
        <w:snapToGrid w:val="0"/>
        <w:spacing w:line="360" w:lineRule="auto"/>
        <w:ind w:firstLine="420"/>
        <w:rPr>
          <w:bCs/>
          <w:color w:val="0000FF"/>
          <w:szCs w:val="21"/>
        </w:rPr>
      </w:pPr>
      <w:r>
        <w:rPr>
          <w:color w:val="000000" w:themeColor="text1"/>
          <w14:textFill>
            <w14:solidFill>
              <w14:schemeClr w14:val="tx1"/>
            </w14:solidFill>
          </w14:textFill>
        </w:rPr>
        <w:t>3.综合成绩：</w:t>
      </w:r>
      <w:r>
        <w:rPr>
          <w:szCs w:val="21"/>
        </w:rPr>
        <w:t>课程成绩由平时成绩和期末综合考试成绩组成，满分100分，其中平时成绩</w:t>
      </w:r>
      <w:r>
        <w:rPr>
          <w:bCs/>
          <w:color w:val="000000"/>
          <w:szCs w:val="21"/>
        </w:rPr>
        <w:t>占课程最终成绩的40%~60%，期末成绩占课程最终成绩的40%~60%</w:t>
      </w:r>
      <w:r>
        <w:rPr>
          <w:szCs w:val="21"/>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848" w:name="_Toc138076724"/>
      <w:bookmarkStart w:id="849" w:name="_Toc138068885"/>
      <w:bookmarkStart w:id="850" w:name="_Toc138070786"/>
      <w:bookmarkStart w:id="851" w:name="_Toc138076180"/>
      <w:bookmarkStart w:id="852" w:name="_Toc14929"/>
      <w:bookmarkStart w:id="853" w:name="_Toc138076429"/>
      <w:bookmarkStart w:id="854" w:name="_Toc138068486"/>
      <w:bookmarkStart w:id="855" w:name="_Toc138070515"/>
      <w:r>
        <w:rPr>
          <w:rFonts w:hint="eastAsia" w:asciiTheme="majorEastAsia" w:hAnsiTheme="majorEastAsia" w:eastAsiaTheme="majorEastAsia" w:cstheme="majorEastAsia"/>
          <w:b/>
          <w:bCs/>
          <w:kern w:val="0"/>
          <w:szCs w:val="21"/>
        </w:rPr>
        <w:t>六、考核结果分析反馈</w:t>
      </w:r>
      <w:bookmarkEnd w:id="848"/>
      <w:bookmarkEnd w:id="849"/>
      <w:bookmarkEnd w:id="850"/>
      <w:bookmarkEnd w:id="851"/>
      <w:bookmarkEnd w:id="852"/>
      <w:bookmarkEnd w:id="853"/>
      <w:bookmarkEnd w:id="854"/>
      <w:bookmarkEnd w:id="855"/>
    </w:p>
    <w:p>
      <w:pPr>
        <w:snapToGrid w:val="0"/>
        <w:spacing w:line="360" w:lineRule="auto"/>
        <w:ind w:firstLine="420" w:firstLineChars="200"/>
        <w:rPr>
          <w:color w:val="0000FF"/>
          <w:szCs w:val="21"/>
        </w:rPr>
      </w:pPr>
      <w:r>
        <w:rPr>
          <w:bCs/>
          <w:color w:val="000000"/>
          <w:szCs w:val="21"/>
        </w:rPr>
        <w:t>课程考核主要通过不同环节、多种方式对学生的学习表现和学习</w:t>
      </w:r>
      <w:r>
        <w:rPr>
          <w:rFonts w:hint="eastAsia"/>
          <w:bCs/>
          <w:color w:val="000000"/>
          <w:szCs w:val="21"/>
        </w:rPr>
        <w:t>成</w:t>
      </w:r>
      <w:r>
        <w:rPr>
          <w:bCs/>
          <w:color w:val="000000"/>
          <w:szCs w:val="21"/>
        </w:rPr>
        <w:t>果进行全过程及综合性评价。根据学生课堂表现、线上线下作业练习、实验完成成绩等情况，围绕专业要求和培养目标，实时追踪和评价学生学习动态和学习</w:t>
      </w:r>
      <w:r>
        <w:rPr>
          <w:rFonts w:hint="eastAsia"/>
          <w:bCs/>
          <w:color w:val="000000"/>
          <w:szCs w:val="21"/>
        </w:rPr>
        <w:t>成</w:t>
      </w:r>
      <w:r>
        <w:rPr>
          <w:bCs/>
          <w:color w:val="000000"/>
          <w:szCs w:val="21"/>
        </w:rPr>
        <w:t>果。</w:t>
      </w:r>
      <w:r>
        <w:rPr>
          <w:szCs w:val="21"/>
        </w:rPr>
        <w:t>在教学过程中，针对出现的问题，及时与学生沟通交流，分析总结学生学习情况，调整、优化教学进程、内容或方法等，以</w:t>
      </w:r>
      <w:r>
        <w:rPr>
          <w:rFonts w:hint="eastAsia"/>
          <w:szCs w:val="21"/>
        </w:rPr>
        <w:t>便</w:t>
      </w:r>
      <w:r>
        <w:rPr>
          <w:szCs w:val="21"/>
        </w:rPr>
        <w:t>更有效地提高学生理论学习效果和科学实践能力。通过期末考试对学生综合学习</w:t>
      </w:r>
      <w:r>
        <w:rPr>
          <w:rFonts w:hint="eastAsia"/>
          <w:szCs w:val="21"/>
        </w:rPr>
        <w:t>成</w:t>
      </w:r>
      <w:r>
        <w:rPr>
          <w:szCs w:val="21"/>
        </w:rPr>
        <w:t>果和本课程整体教学效果进行检测，由主讲教师进行考试分析和课程总结，</w:t>
      </w:r>
      <w:r>
        <w:rPr>
          <w:rFonts w:hint="eastAsia"/>
          <w:szCs w:val="21"/>
        </w:rPr>
        <w:t>分析总结出现的问题</w:t>
      </w:r>
      <w:r>
        <w:rPr>
          <w:szCs w:val="21"/>
        </w:rPr>
        <w:t>，并提出解决问题的办法，以及时调整和完善教学大纲、考试大纲和教学方案等，并由此形成对本课程教学和学习效果评价、反馈和不断改进的良性循环。</w:t>
      </w:r>
    </w:p>
    <w:p>
      <w:pPr>
        <w:rPr>
          <w:sz w:val="28"/>
        </w:rPr>
      </w:pPr>
      <w:bookmarkStart w:id="856" w:name="_Toc138076725"/>
      <w:bookmarkStart w:id="857" w:name="_Toc138076181"/>
      <w:bookmarkStart w:id="858" w:name="_Toc489359152"/>
      <w:r>
        <w:rPr>
          <w:rFonts w:hint="eastAsia"/>
          <w:sz w:val="28"/>
        </w:rPr>
        <w:br w:type="page"/>
      </w:r>
    </w:p>
    <w:p>
      <w:pPr>
        <w:pStyle w:val="21"/>
        <w:rPr>
          <w:rFonts w:hint="default" w:eastAsiaTheme="majorEastAsia"/>
          <w:sz w:val="28"/>
          <w:lang w:val="en-US" w:eastAsia="zh-CN"/>
        </w:rPr>
      </w:pPr>
      <w:bookmarkStart w:id="859" w:name="_Toc1162"/>
      <w:r>
        <w:rPr>
          <w:rFonts w:hint="eastAsia"/>
          <w:sz w:val="28"/>
        </w:rPr>
        <w:t>园艺产品采后处理学</w:t>
      </w:r>
      <w:bookmarkEnd w:id="856"/>
      <w:bookmarkEnd w:id="857"/>
      <w:bookmarkEnd w:id="858"/>
      <w:bookmarkEnd w:id="859"/>
      <w:r>
        <w:rPr>
          <w:rFonts w:hint="eastAsia"/>
          <w:sz w:val="28"/>
          <w:lang w:val="en-US" w:eastAsia="zh-CN"/>
        </w:rPr>
        <w:t>考核大纲</w:t>
      </w:r>
    </w:p>
    <w:p>
      <w:pPr>
        <w:snapToGrid w:val="0"/>
        <w:spacing w:line="360" w:lineRule="auto"/>
        <w:jc w:val="center"/>
        <w:rPr>
          <w:rFonts w:cs="宋体"/>
          <w:iCs/>
          <w:sz w:val="24"/>
          <w:szCs w:val="20"/>
        </w:rPr>
      </w:pPr>
      <w:r>
        <w:rPr>
          <w:rFonts w:hint="eastAsia" w:cs="宋体"/>
          <w:iCs/>
          <w:sz w:val="24"/>
          <w:szCs w:val="20"/>
        </w:rPr>
        <w:t>（</w:t>
      </w:r>
      <w:r>
        <w:rPr>
          <w:sz w:val="24"/>
          <w:szCs w:val="20"/>
        </w:rPr>
        <w:t>Postharvest Handling of Horticultural Crops</w:t>
      </w:r>
      <w:r>
        <w:rPr>
          <w:rFonts w:hint="eastAsia" w:cs="宋体"/>
          <w:iCs/>
          <w:sz w:val="24"/>
          <w:szCs w:val="20"/>
        </w:rPr>
        <w:t>）</w:t>
      </w:r>
    </w:p>
    <w:p>
      <w:pPr>
        <w:snapToGrid w:val="0"/>
        <w:spacing w:line="360" w:lineRule="auto"/>
        <w:jc w:val="center"/>
        <w:rPr>
          <w:rFonts w:cs="宋体"/>
          <w:iCs/>
          <w:sz w:val="24"/>
          <w:szCs w:val="20"/>
        </w:rPr>
      </w:pPr>
    </w:p>
    <w:p>
      <w:pPr>
        <w:snapToGrid w:val="0"/>
        <w:spacing w:line="360" w:lineRule="auto"/>
        <w:jc w:val="center"/>
        <w:rPr>
          <w:b/>
        </w:rPr>
      </w:pPr>
      <w:r>
        <w:rPr>
          <w:rFonts w:hint="eastAsia" w:cs="宋体"/>
          <w:b/>
          <w:szCs w:val="20"/>
        </w:rPr>
        <w:t>课程基本信息</w:t>
      </w:r>
    </w:p>
    <w:tbl>
      <w:tblPr>
        <w:tblStyle w:val="22"/>
        <w:tblW w:w="9576" w:type="dxa"/>
        <w:tblInd w:w="0" w:type="dxa"/>
        <w:tblLayout w:type="fixed"/>
        <w:tblCellMar>
          <w:top w:w="0" w:type="dxa"/>
          <w:left w:w="108" w:type="dxa"/>
          <w:bottom w:w="0" w:type="dxa"/>
          <w:right w:w="108" w:type="dxa"/>
        </w:tblCellMar>
      </w:tblPr>
      <w:tblGrid>
        <w:gridCol w:w="3717"/>
        <w:gridCol w:w="2257"/>
        <w:gridCol w:w="3602"/>
      </w:tblGrid>
      <w:tr>
        <w:tblPrEx>
          <w:tblCellMar>
            <w:top w:w="0" w:type="dxa"/>
            <w:left w:w="108" w:type="dxa"/>
            <w:bottom w:w="0" w:type="dxa"/>
            <w:right w:w="108" w:type="dxa"/>
          </w:tblCellMar>
        </w:tblPrEx>
        <w:tc>
          <w:tcPr>
            <w:tcW w:w="3717" w:type="dxa"/>
            <w:shd w:val="clear" w:color="auto" w:fill="auto"/>
          </w:tcPr>
          <w:p>
            <w:pPr>
              <w:spacing w:line="300" w:lineRule="auto"/>
              <w:rPr>
                <w:rFonts w:eastAsiaTheme="minorEastAsia"/>
                <w:b/>
                <w:bCs w:val="0"/>
              </w:rPr>
            </w:pPr>
            <w:r>
              <w:rPr>
                <w:rFonts w:hAnsiTheme="minorEastAsia" w:eastAsiaTheme="minorEastAsia"/>
                <w:b/>
                <w:bCs w:val="0"/>
                <w:szCs w:val="20"/>
              </w:rPr>
              <w:t>课程编号：</w:t>
            </w:r>
            <w:r>
              <w:rPr>
                <w:rFonts w:eastAsiaTheme="minorEastAsia"/>
                <w:b/>
                <w:bCs w:val="0"/>
                <w:szCs w:val="20"/>
              </w:rPr>
              <w:t>19011</w:t>
            </w:r>
            <w:r>
              <w:rPr>
                <w:rFonts w:hint="eastAsia" w:eastAsiaTheme="minorEastAsia"/>
                <w:b/>
                <w:bCs w:val="0"/>
                <w:szCs w:val="20"/>
              </w:rPr>
              <w:t>117</w:t>
            </w:r>
            <w:r>
              <w:rPr>
                <w:rFonts w:eastAsiaTheme="minorEastAsia"/>
                <w:b/>
                <w:bCs w:val="0"/>
                <w:szCs w:val="20"/>
              </w:rPr>
              <w:t>h</w:t>
            </w:r>
          </w:p>
        </w:tc>
        <w:tc>
          <w:tcPr>
            <w:tcW w:w="2257" w:type="dxa"/>
            <w:shd w:val="clear" w:color="auto" w:fill="auto"/>
          </w:tcPr>
          <w:p>
            <w:pPr>
              <w:spacing w:line="300" w:lineRule="auto"/>
              <w:rPr>
                <w:rFonts w:eastAsiaTheme="minorEastAsia"/>
                <w:b/>
                <w:bCs w:val="0"/>
              </w:rPr>
            </w:pPr>
            <w:r>
              <w:rPr>
                <w:rFonts w:hAnsiTheme="minorEastAsia" w:eastAsiaTheme="minorEastAsia"/>
                <w:b/>
                <w:bCs w:val="0"/>
                <w:szCs w:val="20"/>
              </w:rPr>
              <w:t>课程学时：</w:t>
            </w:r>
            <w:r>
              <w:rPr>
                <w:rFonts w:eastAsiaTheme="minorEastAsia"/>
                <w:b/>
                <w:bCs w:val="0"/>
                <w:szCs w:val="20"/>
              </w:rPr>
              <w:t>64</w:t>
            </w:r>
          </w:p>
        </w:tc>
        <w:tc>
          <w:tcPr>
            <w:tcW w:w="3602" w:type="dxa"/>
            <w:shd w:val="clear" w:color="auto" w:fill="auto"/>
          </w:tcPr>
          <w:p>
            <w:pPr>
              <w:spacing w:line="300" w:lineRule="auto"/>
              <w:rPr>
                <w:rFonts w:eastAsiaTheme="minorEastAsia"/>
                <w:b/>
                <w:bCs w:val="0"/>
              </w:rPr>
            </w:pPr>
            <w:r>
              <w:rPr>
                <w:rFonts w:hAnsiTheme="minorEastAsia" w:eastAsiaTheme="minorEastAsia"/>
                <w:b/>
                <w:bCs w:val="0"/>
                <w:szCs w:val="20"/>
              </w:rPr>
              <w:t>课程学分：</w:t>
            </w:r>
            <w:r>
              <w:rPr>
                <w:rFonts w:eastAsiaTheme="minorEastAsia"/>
                <w:b/>
                <w:bCs w:val="0"/>
                <w:szCs w:val="20"/>
              </w:rPr>
              <w:t>4.0</w:t>
            </w:r>
          </w:p>
        </w:tc>
      </w:tr>
      <w:tr>
        <w:tblPrEx>
          <w:tblCellMar>
            <w:top w:w="0" w:type="dxa"/>
            <w:left w:w="108" w:type="dxa"/>
            <w:bottom w:w="0" w:type="dxa"/>
            <w:right w:w="108" w:type="dxa"/>
          </w:tblCellMar>
        </w:tblPrEx>
        <w:tc>
          <w:tcPr>
            <w:tcW w:w="3717" w:type="dxa"/>
            <w:shd w:val="clear" w:color="auto" w:fill="auto"/>
          </w:tcPr>
          <w:p>
            <w:pPr>
              <w:spacing w:line="300" w:lineRule="auto"/>
              <w:rPr>
                <w:rFonts w:eastAsiaTheme="minorEastAsia"/>
                <w:b/>
                <w:bCs w:val="0"/>
              </w:rPr>
            </w:pPr>
            <w:r>
              <w:rPr>
                <w:rFonts w:hAnsiTheme="minorEastAsia" w:eastAsiaTheme="minorEastAsia"/>
                <w:b/>
                <w:bCs w:val="0"/>
                <w:szCs w:val="20"/>
              </w:rPr>
              <w:t>主撰人：胡青霞</w:t>
            </w:r>
            <w:r>
              <w:rPr>
                <w:rFonts w:hint="eastAsia" w:eastAsiaTheme="minorEastAsia"/>
                <w:b/>
                <w:bCs w:val="0"/>
                <w:szCs w:val="20"/>
              </w:rPr>
              <w:t>、</w:t>
            </w:r>
            <w:r>
              <w:rPr>
                <w:rFonts w:hAnsiTheme="minorEastAsia" w:eastAsiaTheme="minorEastAsia"/>
                <w:b/>
                <w:bCs w:val="0"/>
                <w:szCs w:val="20"/>
              </w:rPr>
              <w:t>叶霞</w:t>
            </w:r>
            <w:r>
              <w:rPr>
                <w:rFonts w:hint="eastAsia" w:eastAsiaTheme="minorEastAsia"/>
                <w:b/>
                <w:bCs w:val="0"/>
                <w:szCs w:val="20"/>
              </w:rPr>
              <w:t>、</w:t>
            </w:r>
            <w:r>
              <w:rPr>
                <w:rFonts w:hAnsiTheme="minorEastAsia" w:eastAsiaTheme="minorEastAsia"/>
                <w:b/>
                <w:bCs w:val="0"/>
                <w:szCs w:val="20"/>
              </w:rPr>
              <w:t>王伟</w:t>
            </w:r>
            <w:r>
              <w:rPr>
                <w:rFonts w:hint="eastAsia" w:hAnsiTheme="minorEastAsia" w:eastAsiaTheme="minorEastAsia"/>
                <w:b/>
                <w:bCs w:val="0"/>
                <w:szCs w:val="20"/>
              </w:rPr>
              <w:t>、侯娟、李营、何畅</w:t>
            </w:r>
          </w:p>
        </w:tc>
        <w:tc>
          <w:tcPr>
            <w:tcW w:w="2257" w:type="dxa"/>
            <w:shd w:val="clear" w:color="auto" w:fill="auto"/>
          </w:tcPr>
          <w:p>
            <w:pPr>
              <w:spacing w:line="300" w:lineRule="auto"/>
              <w:rPr>
                <w:rFonts w:eastAsiaTheme="minorEastAsia"/>
                <w:b/>
                <w:bCs w:val="0"/>
              </w:rPr>
            </w:pPr>
            <w:r>
              <w:rPr>
                <w:rFonts w:hAnsiTheme="minorEastAsia" w:eastAsiaTheme="minorEastAsia"/>
                <w:b/>
                <w:bCs w:val="0"/>
                <w:szCs w:val="20"/>
              </w:rPr>
              <w:t>审核人：叶霞</w:t>
            </w:r>
          </w:p>
        </w:tc>
        <w:tc>
          <w:tcPr>
            <w:tcW w:w="3602" w:type="dxa"/>
            <w:shd w:val="clear" w:color="auto" w:fill="auto"/>
          </w:tcPr>
          <w:p>
            <w:pPr>
              <w:spacing w:line="300" w:lineRule="auto"/>
              <w:rPr>
                <w:rFonts w:eastAsiaTheme="minorEastAsia"/>
                <w:b/>
                <w:bCs w:val="0"/>
                <w:szCs w:val="20"/>
              </w:rPr>
            </w:pPr>
            <w:r>
              <w:rPr>
                <w:rFonts w:hAnsiTheme="minorEastAsia" w:eastAsiaTheme="minorEastAsia"/>
                <w:b/>
                <w:bCs w:val="0"/>
                <w:szCs w:val="20"/>
              </w:rPr>
              <w:t>大纲制定（修订）日期</w:t>
            </w:r>
            <w:r>
              <w:rPr>
                <w:rFonts w:eastAsiaTheme="minorEastAsia"/>
                <w:b/>
                <w:bCs w:val="0"/>
                <w:szCs w:val="20"/>
              </w:rPr>
              <w:t>: 20</w:t>
            </w:r>
            <w:r>
              <w:rPr>
                <w:rFonts w:hint="eastAsia" w:eastAsiaTheme="minorEastAsia"/>
                <w:b/>
                <w:bCs w:val="0"/>
                <w:szCs w:val="20"/>
              </w:rPr>
              <w:t>23.05</w:t>
            </w:r>
          </w:p>
        </w:tc>
      </w:tr>
    </w:tbl>
    <w:p>
      <w:pPr>
        <w:widowControl/>
        <w:snapToGrid w:val="0"/>
        <w:spacing w:before="156" w:beforeLines="50" w:line="360" w:lineRule="auto"/>
        <w:jc w:val="left"/>
        <w:outlineLvl w:val="1"/>
        <w:rPr>
          <w:b/>
          <w:kern w:val="0"/>
        </w:rPr>
      </w:pPr>
      <w:bookmarkStart w:id="860" w:name="_Toc138068887"/>
      <w:bookmarkStart w:id="861" w:name="_Toc138068488"/>
      <w:bookmarkStart w:id="862" w:name="_Toc138076726"/>
      <w:bookmarkStart w:id="863" w:name="_Toc138070517"/>
      <w:bookmarkStart w:id="864" w:name="_Toc138076182"/>
      <w:bookmarkStart w:id="865" w:name="_Toc138076431"/>
      <w:bookmarkStart w:id="866" w:name="_Toc19613"/>
      <w:bookmarkStart w:id="867" w:name="_Toc138070788"/>
      <w:r>
        <w:rPr>
          <w:rFonts w:hint="eastAsia" w:cs="宋体"/>
          <w:b/>
          <w:kern w:val="0"/>
          <w:szCs w:val="20"/>
        </w:rPr>
        <w:t>一、课程的性质和地位</w:t>
      </w:r>
      <w:bookmarkEnd w:id="860"/>
      <w:bookmarkEnd w:id="861"/>
      <w:bookmarkEnd w:id="862"/>
      <w:bookmarkEnd w:id="863"/>
      <w:bookmarkEnd w:id="864"/>
      <w:bookmarkEnd w:id="865"/>
      <w:bookmarkEnd w:id="866"/>
      <w:bookmarkEnd w:id="867"/>
    </w:p>
    <w:p>
      <w:pPr>
        <w:widowControl/>
        <w:spacing w:line="360" w:lineRule="auto"/>
        <w:ind w:firstLine="367" w:firstLineChars="175"/>
        <w:jc w:val="left"/>
        <w:rPr>
          <w:color w:val="000000"/>
          <w:kern w:val="0"/>
        </w:rPr>
      </w:pPr>
      <w:r>
        <w:rPr>
          <w:rFonts w:hint="eastAsia" w:cs="宋体"/>
          <w:color w:val="000000"/>
          <w:kern w:val="0"/>
          <w:szCs w:val="20"/>
        </w:rPr>
        <w:t>本课程是园艺专业学生必修课，属核心课程。课程主要目标是使学生掌握园艺产品采后生理及品质变化的基本规律，掌握园艺产品采收、采后处理、贮藏、运输及流通过程中的系列技术体系及其技术管理关键点，学会应用果蔬保鲜基本原理，解决果蔬贮运、销售中出现的问题，能够制订果蔬贮运关键技术方案，满足从事园艺产品贮藏、运输生产及流通销售的需要。</w:t>
      </w:r>
    </w:p>
    <w:p>
      <w:pPr>
        <w:snapToGrid w:val="0"/>
        <w:spacing w:line="360" w:lineRule="auto"/>
        <w:rPr>
          <w:rFonts w:cs="宋体"/>
          <w:b/>
          <w:szCs w:val="20"/>
        </w:rPr>
      </w:pPr>
      <w:r>
        <w:rPr>
          <w:rFonts w:hint="eastAsia" w:cs="宋体"/>
          <w:b/>
          <w:szCs w:val="20"/>
        </w:rPr>
        <w:t>二、理论教学部分的考核目标</w:t>
      </w:r>
    </w:p>
    <w:p>
      <w:pPr>
        <w:spacing w:line="360" w:lineRule="auto"/>
        <w:jc w:val="center"/>
        <w:rPr>
          <w:b/>
        </w:rPr>
      </w:pPr>
      <w:r>
        <w:rPr>
          <w:rFonts w:hint="eastAsia" w:cs="宋体"/>
          <w:b/>
          <w:szCs w:val="20"/>
        </w:rPr>
        <w:t>绪论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szCs w:val="21"/>
        </w:rPr>
      </w:pPr>
      <w:r>
        <w:rPr>
          <w:b/>
          <w:szCs w:val="20"/>
        </w:rPr>
        <w:t xml:space="preserve">1. </w:t>
      </w:r>
      <w:r>
        <w:rPr>
          <w:rFonts w:hint="eastAsia" w:cs="宋体"/>
          <w:b/>
          <w:szCs w:val="20"/>
        </w:rPr>
        <w:t>一般了解</w:t>
      </w:r>
      <w:r>
        <w:rPr>
          <w:rFonts w:hint="eastAsia" w:cs="宋体"/>
          <w:bCs/>
          <w:szCs w:val="20"/>
        </w:rPr>
        <w:t>：</w:t>
      </w:r>
      <w:r>
        <w:rPr>
          <w:rFonts w:hint="eastAsia"/>
          <w:kern w:val="0"/>
        </w:rPr>
        <w:t>果品蔬菜贮运保鲜的意义；果品蔬菜贮运保鲜发展历程、产业现状</w:t>
      </w:r>
      <w:r>
        <w:rPr>
          <w:rFonts w:hint="eastAsia" w:cs="宋体"/>
          <w:szCs w:val="21"/>
        </w:rPr>
        <w:t>。</w:t>
      </w:r>
    </w:p>
    <w:p>
      <w:pPr>
        <w:spacing w:line="360" w:lineRule="auto"/>
        <w:ind w:firstLine="422" w:firstLineChars="200"/>
        <w:rPr>
          <w:szCs w:val="21"/>
        </w:rPr>
      </w:pPr>
      <w:r>
        <w:rPr>
          <w:b/>
          <w:szCs w:val="21"/>
        </w:rPr>
        <w:t xml:space="preserve">2. </w:t>
      </w:r>
      <w:r>
        <w:rPr>
          <w:rFonts w:hint="eastAsia" w:cs="宋体"/>
          <w:b/>
          <w:szCs w:val="21"/>
        </w:rPr>
        <w:t>一般掌握</w:t>
      </w:r>
      <w:r>
        <w:rPr>
          <w:rFonts w:hint="eastAsia" w:cs="宋体"/>
          <w:szCs w:val="21"/>
        </w:rPr>
        <w:t>：</w:t>
      </w:r>
      <w:r>
        <w:rPr>
          <w:rFonts w:hint="eastAsia"/>
          <w:kern w:val="0"/>
        </w:rPr>
        <w:t>果品蔬菜贮运保鲜产业存在主要问题。</w:t>
      </w:r>
    </w:p>
    <w:p>
      <w:pPr>
        <w:spacing w:line="360" w:lineRule="auto"/>
        <w:ind w:firstLine="422" w:firstLineChars="200"/>
        <w:rPr>
          <w:szCs w:val="21"/>
        </w:rPr>
      </w:pPr>
      <w:r>
        <w:rPr>
          <w:b/>
          <w:szCs w:val="21"/>
        </w:rPr>
        <w:t xml:space="preserve">3. </w:t>
      </w:r>
      <w:r>
        <w:rPr>
          <w:rFonts w:hint="eastAsia" w:cs="宋体"/>
          <w:b/>
          <w:szCs w:val="21"/>
        </w:rPr>
        <w:t>熟练掌握</w:t>
      </w:r>
      <w:r>
        <w:rPr>
          <w:rFonts w:hint="eastAsia" w:cs="宋体"/>
          <w:szCs w:val="21"/>
        </w:rPr>
        <w:t>：</w:t>
      </w:r>
      <w:r>
        <w:rPr>
          <w:rFonts w:hint="eastAsia"/>
          <w:kern w:val="0"/>
        </w:rPr>
        <w:t>果品蔬菜贮运保鲜产业今后发展方向。</w:t>
      </w:r>
    </w:p>
    <w:p>
      <w:pPr>
        <w:snapToGrid w:val="0"/>
        <w:spacing w:before="156" w:beforeLines="50" w:line="360" w:lineRule="auto"/>
        <w:rPr>
          <w:rFonts w:ascii="宋体" w:hAnsi="宋体"/>
          <w:szCs w:val="21"/>
        </w:rPr>
      </w:pPr>
      <w:r>
        <w:rPr>
          <w:rFonts w:hint="eastAsia" w:ascii="宋体" w:hAnsi="宋体"/>
          <w:b/>
          <w:szCs w:val="21"/>
        </w:rPr>
        <w:t>（二）考核内容</w:t>
      </w:r>
    </w:p>
    <w:p>
      <w:pPr>
        <w:spacing w:line="360" w:lineRule="auto"/>
        <w:ind w:firstLine="420" w:firstLineChars="200"/>
      </w:pPr>
      <w:r>
        <w:rPr>
          <w:szCs w:val="20"/>
        </w:rPr>
        <w:t>1</w:t>
      </w:r>
      <w:r>
        <w:rPr>
          <w:rFonts w:hint="eastAsia" w:cs="宋体"/>
          <w:szCs w:val="20"/>
        </w:rPr>
        <w:t>．</w:t>
      </w:r>
      <w:r>
        <w:rPr>
          <w:rFonts w:hint="eastAsia" w:ascii="宋体" w:hAnsi="宋体"/>
          <w:kern w:val="0"/>
        </w:rPr>
        <w:t>园艺产品流通冷链环节组成、建设存在问题</w:t>
      </w:r>
      <w:r>
        <w:rPr>
          <w:rFonts w:hint="eastAsia" w:cs="宋体"/>
          <w:szCs w:val="20"/>
        </w:rPr>
        <w:t>。</w:t>
      </w:r>
    </w:p>
    <w:p>
      <w:pPr>
        <w:spacing w:line="360" w:lineRule="auto"/>
        <w:ind w:firstLine="420" w:firstLineChars="200"/>
      </w:pPr>
      <w:r>
        <w:rPr>
          <w:szCs w:val="20"/>
        </w:rPr>
        <w:t>2</w:t>
      </w:r>
      <w:r>
        <w:rPr>
          <w:rFonts w:hint="eastAsia" w:cs="宋体"/>
          <w:szCs w:val="20"/>
        </w:rPr>
        <w:t>．</w:t>
      </w:r>
      <w:r>
        <w:rPr>
          <w:rFonts w:hint="eastAsia" w:ascii="宋体" w:hAnsi="宋体"/>
          <w:kern w:val="0"/>
        </w:rPr>
        <w:t>引起产品采后损失的主要原因及解决措施</w:t>
      </w:r>
      <w:r>
        <w:rPr>
          <w:rFonts w:hint="eastAsia" w:cs="宋体"/>
          <w:szCs w:val="20"/>
        </w:rPr>
        <w:t>。</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before="156" w:beforeLines="50" w:line="360" w:lineRule="auto"/>
        <w:ind w:firstLine="422" w:firstLineChars="200"/>
        <w:rPr>
          <w:rFonts w:ascii="宋体" w:hAnsi="宋体"/>
          <w:b/>
          <w:szCs w:val="21"/>
        </w:rPr>
      </w:pPr>
      <w:r>
        <w:rPr>
          <w:rFonts w:ascii="宋体" w:hAnsi="宋体"/>
          <w:b/>
          <w:szCs w:val="21"/>
        </w:rPr>
        <w:t>1</w:t>
      </w:r>
      <w:r>
        <w:rPr>
          <w:rFonts w:hint="eastAsia" w:ascii="宋体" w:hAnsi="宋体"/>
          <w:b/>
          <w:szCs w:val="21"/>
        </w:rPr>
        <w:t>.领会</w:t>
      </w:r>
      <w:r>
        <w:rPr>
          <w:rFonts w:hint="eastAsia" w:ascii="宋体" w:hAnsi="宋体"/>
          <w:szCs w:val="21"/>
        </w:rPr>
        <w:t>：</w:t>
      </w:r>
      <w:r>
        <w:rPr>
          <w:rFonts w:hint="eastAsia"/>
          <w:kern w:val="0"/>
        </w:rPr>
        <w:t>果品蔬菜贮运保鲜的意义</w:t>
      </w:r>
      <w:r>
        <w:rPr>
          <w:rFonts w:hint="eastAsia" w:cs="宋体"/>
          <w:szCs w:val="20"/>
        </w:rPr>
        <w:t>。</w:t>
      </w:r>
    </w:p>
    <w:p>
      <w:pPr>
        <w:snapToGrid w:val="0"/>
        <w:spacing w:before="156" w:beforeLines="50" w:line="360" w:lineRule="auto"/>
        <w:ind w:firstLine="422" w:firstLineChars="200"/>
        <w:rPr>
          <w:rFonts w:ascii="宋体" w:hAnsi="宋体"/>
          <w:color w:val="0000FF"/>
          <w:szCs w:val="21"/>
        </w:rPr>
      </w:pPr>
      <w:r>
        <w:rPr>
          <w:rFonts w:ascii="宋体" w:hAnsi="宋体"/>
          <w:b/>
          <w:szCs w:val="21"/>
        </w:rPr>
        <w:t>2</w:t>
      </w:r>
      <w:r>
        <w:rPr>
          <w:rFonts w:hint="eastAsia" w:ascii="宋体" w:hAnsi="宋体"/>
          <w:b/>
          <w:szCs w:val="21"/>
        </w:rPr>
        <w:t>.应用</w:t>
      </w:r>
      <w:r>
        <w:rPr>
          <w:rFonts w:hint="eastAsia" w:ascii="宋体" w:hAnsi="宋体"/>
          <w:szCs w:val="21"/>
        </w:rPr>
        <w:t>：应用</w:t>
      </w:r>
      <w:r>
        <w:rPr>
          <w:rFonts w:ascii="宋体" w:hAnsi="宋体"/>
          <w:szCs w:val="21"/>
        </w:rPr>
        <w:t>所学理论知识，</w:t>
      </w:r>
      <w:r>
        <w:rPr>
          <w:rFonts w:hint="eastAsia" w:ascii="宋体" w:hAnsi="宋体"/>
          <w:szCs w:val="21"/>
        </w:rPr>
        <w:t>对</w:t>
      </w:r>
      <w:r>
        <w:rPr>
          <w:rFonts w:hint="eastAsia" w:ascii="宋体" w:hAnsi="宋体" w:cs="宋体"/>
          <w:szCs w:val="20"/>
        </w:rPr>
        <w:t>果品蔬菜</w:t>
      </w:r>
      <w:r>
        <w:rPr>
          <w:rFonts w:ascii="宋体" w:hAnsi="宋体" w:cs="宋体"/>
          <w:szCs w:val="20"/>
        </w:rPr>
        <w:t>贮藏保鲜</w:t>
      </w:r>
      <w:r>
        <w:rPr>
          <w:rFonts w:hint="eastAsia" w:ascii="宋体" w:hAnsi="宋体" w:cs="宋体"/>
          <w:szCs w:val="20"/>
        </w:rPr>
        <w:t>技术</w:t>
      </w:r>
      <w:r>
        <w:rPr>
          <w:rFonts w:ascii="宋体" w:hAnsi="宋体" w:cs="宋体"/>
          <w:szCs w:val="20"/>
        </w:rPr>
        <w:t>的</w:t>
      </w:r>
      <w:r>
        <w:rPr>
          <w:rFonts w:hint="eastAsia" w:ascii="宋体" w:hAnsi="宋体" w:cs="宋体"/>
          <w:szCs w:val="20"/>
        </w:rPr>
        <w:t>进行</w:t>
      </w:r>
      <w:r>
        <w:rPr>
          <w:rFonts w:ascii="宋体" w:hAnsi="宋体" w:cs="宋体"/>
          <w:szCs w:val="20"/>
        </w:rPr>
        <w:t>改进和完善</w:t>
      </w:r>
      <w:r>
        <w:rPr>
          <w:rFonts w:hint="eastAsia" w:cs="宋体"/>
          <w:szCs w:val="20"/>
        </w:rPr>
        <w:t>。</w:t>
      </w:r>
    </w:p>
    <w:p>
      <w:pPr>
        <w:snapToGrid w:val="0"/>
        <w:spacing w:before="156" w:beforeLines="50" w:line="360" w:lineRule="auto"/>
        <w:ind w:firstLine="422" w:firstLineChars="200"/>
        <w:rPr>
          <w:rFonts w:ascii="宋体" w:hAnsi="宋体"/>
          <w:color w:val="0000FF"/>
          <w:szCs w:val="21"/>
        </w:rPr>
      </w:pPr>
      <w:r>
        <w:rPr>
          <w:rFonts w:ascii="宋体" w:hAnsi="宋体"/>
          <w:b/>
          <w:szCs w:val="21"/>
        </w:rPr>
        <w:t>3</w:t>
      </w:r>
      <w:r>
        <w:rPr>
          <w:rFonts w:hint="eastAsia" w:ascii="宋体" w:hAnsi="宋体"/>
          <w:b/>
          <w:szCs w:val="21"/>
        </w:rPr>
        <w:t>.综合</w:t>
      </w:r>
      <w:r>
        <w:rPr>
          <w:rFonts w:hint="eastAsia" w:ascii="宋体" w:hAnsi="宋体"/>
          <w:szCs w:val="21"/>
        </w:rPr>
        <w:t>：掌握</w:t>
      </w:r>
      <w:r>
        <w:rPr>
          <w:rFonts w:hint="eastAsia"/>
          <w:kern w:val="0"/>
        </w:rPr>
        <w:t>果品蔬菜贮运保鲜发展历程、产业现状以及</w:t>
      </w:r>
      <w:r>
        <w:rPr>
          <w:kern w:val="0"/>
        </w:rPr>
        <w:t>未来的发展方向</w:t>
      </w:r>
      <w:r>
        <w:rPr>
          <w:rFonts w:hint="eastAsia" w:cs="宋体"/>
          <w:szCs w:val="20"/>
        </w:rPr>
        <w:t>。</w:t>
      </w:r>
    </w:p>
    <w:p>
      <w:pPr>
        <w:spacing w:line="360" w:lineRule="auto"/>
        <w:jc w:val="center"/>
        <w:rPr>
          <w:b/>
        </w:rPr>
      </w:pPr>
      <w:r>
        <w:rPr>
          <w:rFonts w:hint="eastAsia" w:cs="宋体"/>
          <w:b/>
          <w:szCs w:val="20"/>
        </w:rPr>
        <w:t xml:space="preserve">第一章 </w:t>
      </w:r>
      <w:r>
        <w:rPr>
          <w:rFonts w:hint="eastAsia" w:hAnsi="宋体"/>
          <w:b/>
          <w:kern w:val="0"/>
        </w:rPr>
        <w:t>果品蔬菜的质量构成与评价</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szCs w:val="21"/>
        </w:rPr>
      </w:pPr>
      <w:r>
        <w:rPr>
          <w:b/>
          <w:szCs w:val="20"/>
        </w:rPr>
        <w:t xml:space="preserve">1. </w:t>
      </w:r>
      <w:r>
        <w:rPr>
          <w:rFonts w:hint="eastAsia" w:cs="宋体"/>
          <w:b/>
          <w:szCs w:val="20"/>
        </w:rPr>
        <w:t>一般了解</w:t>
      </w:r>
      <w:r>
        <w:rPr>
          <w:rFonts w:hint="eastAsia" w:cs="宋体"/>
          <w:bCs/>
          <w:szCs w:val="20"/>
        </w:rPr>
        <w:t>：</w:t>
      </w:r>
      <w:r>
        <w:rPr>
          <w:rFonts w:hint="eastAsia" w:cs="宋体"/>
          <w:szCs w:val="20"/>
        </w:rPr>
        <w:t>标</w:t>
      </w:r>
      <w:r>
        <w:rPr>
          <w:rFonts w:hint="eastAsia" w:cs="宋体"/>
          <w:szCs w:val="21"/>
        </w:rPr>
        <w:t>准的产生、</w:t>
      </w:r>
      <w:r>
        <w:rPr>
          <w:szCs w:val="21"/>
        </w:rPr>
        <w:t>HPCCP</w:t>
      </w:r>
      <w:r>
        <w:rPr>
          <w:rFonts w:hint="eastAsia" w:cs="宋体"/>
          <w:szCs w:val="21"/>
        </w:rPr>
        <w:t>质量管理体系。</w:t>
      </w:r>
    </w:p>
    <w:p>
      <w:pPr>
        <w:spacing w:line="360" w:lineRule="auto"/>
        <w:ind w:firstLine="422" w:firstLineChars="200"/>
        <w:rPr>
          <w:szCs w:val="21"/>
        </w:rPr>
      </w:pPr>
      <w:r>
        <w:rPr>
          <w:b/>
          <w:szCs w:val="21"/>
        </w:rPr>
        <w:t xml:space="preserve">2. </w:t>
      </w:r>
      <w:r>
        <w:rPr>
          <w:rFonts w:hint="eastAsia" w:cs="宋体"/>
          <w:b/>
          <w:szCs w:val="21"/>
        </w:rPr>
        <w:t>一般掌握</w:t>
      </w:r>
      <w:r>
        <w:rPr>
          <w:rFonts w:hint="eastAsia" w:cs="宋体"/>
          <w:szCs w:val="21"/>
        </w:rPr>
        <w:t>：无公害果品蔬菜、绿色食品、有机食品定义及标准组成体系及技术管理特点。</w:t>
      </w:r>
    </w:p>
    <w:p>
      <w:pPr>
        <w:spacing w:line="360" w:lineRule="auto"/>
        <w:ind w:firstLine="422" w:firstLineChars="200"/>
        <w:rPr>
          <w:szCs w:val="21"/>
        </w:rPr>
      </w:pPr>
      <w:r>
        <w:rPr>
          <w:b/>
          <w:szCs w:val="21"/>
        </w:rPr>
        <w:t xml:space="preserve">3. </w:t>
      </w:r>
      <w:r>
        <w:rPr>
          <w:rFonts w:hint="eastAsia" w:cs="宋体"/>
          <w:b/>
          <w:szCs w:val="21"/>
        </w:rPr>
        <w:t>熟练掌握</w:t>
      </w:r>
      <w:r>
        <w:rPr>
          <w:rFonts w:hint="eastAsia" w:cs="宋体"/>
          <w:szCs w:val="21"/>
        </w:rPr>
        <w:t>：园艺产品质量构成、评价方法；评价果蔬的卫生质量指标、方法。</w:t>
      </w:r>
    </w:p>
    <w:p>
      <w:pPr>
        <w:snapToGrid w:val="0"/>
        <w:spacing w:before="156" w:beforeLines="50" w:line="360" w:lineRule="auto"/>
        <w:rPr>
          <w:rFonts w:ascii="宋体" w:hAnsi="宋体"/>
          <w:szCs w:val="21"/>
        </w:rPr>
      </w:pPr>
      <w:r>
        <w:rPr>
          <w:rFonts w:hint="eastAsia" w:ascii="宋体" w:hAnsi="宋体"/>
          <w:b/>
          <w:szCs w:val="21"/>
        </w:rPr>
        <w:t>（二）考核内容</w:t>
      </w:r>
    </w:p>
    <w:p>
      <w:pPr>
        <w:spacing w:line="360" w:lineRule="auto"/>
        <w:ind w:firstLine="420" w:firstLineChars="200"/>
      </w:pPr>
      <w:r>
        <w:rPr>
          <w:szCs w:val="20"/>
        </w:rPr>
        <w:t>1</w:t>
      </w:r>
      <w:r>
        <w:rPr>
          <w:rFonts w:hint="eastAsia" w:cs="宋体"/>
          <w:szCs w:val="20"/>
        </w:rPr>
        <w:t>．园艺产品质量构成。</w:t>
      </w:r>
    </w:p>
    <w:p>
      <w:pPr>
        <w:spacing w:line="360" w:lineRule="auto"/>
        <w:ind w:firstLine="420" w:firstLineChars="200"/>
      </w:pPr>
      <w:r>
        <w:rPr>
          <w:szCs w:val="20"/>
        </w:rPr>
        <w:t>2</w:t>
      </w:r>
      <w:r>
        <w:rPr>
          <w:rFonts w:hint="eastAsia" w:cs="宋体"/>
          <w:szCs w:val="20"/>
        </w:rPr>
        <w:t>．园艺产</w:t>
      </w:r>
      <w:r>
        <w:rPr>
          <w:rFonts w:hint="eastAsia" w:ascii="宋体" w:hAnsi="宋体" w:cs="宋体"/>
          <w:szCs w:val="20"/>
        </w:rPr>
        <w:t>品的“三品”标准、</w:t>
      </w:r>
      <w:r>
        <w:rPr>
          <w:rFonts w:hint="eastAsia" w:cs="宋体"/>
          <w:szCs w:val="20"/>
        </w:rPr>
        <w:t>生产技术及管理特点。</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before="156" w:beforeLines="50" w:line="360" w:lineRule="auto"/>
        <w:ind w:firstLine="422" w:firstLineChars="200"/>
        <w:rPr>
          <w:rFonts w:ascii="宋体" w:hAnsi="宋体"/>
          <w:b/>
          <w:szCs w:val="21"/>
        </w:rPr>
      </w:pPr>
      <w:r>
        <w:rPr>
          <w:rFonts w:ascii="宋体" w:hAnsi="宋体"/>
          <w:b/>
          <w:szCs w:val="21"/>
        </w:rPr>
        <w:t>1</w:t>
      </w:r>
      <w:r>
        <w:rPr>
          <w:rFonts w:hint="eastAsia" w:ascii="宋体" w:hAnsi="宋体"/>
          <w:b/>
          <w:szCs w:val="21"/>
        </w:rPr>
        <w:t>.领会</w:t>
      </w:r>
      <w:r>
        <w:rPr>
          <w:rFonts w:hint="eastAsia" w:ascii="宋体" w:hAnsi="宋体"/>
          <w:szCs w:val="21"/>
        </w:rPr>
        <w:t>：</w:t>
      </w:r>
      <w:r>
        <w:rPr>
          <w:rFonts w:hint="eastAsia" w:cs="宋体"/>
          <w:szCs w:val="20"/>
        </w:rPr>
        <w:t>果蔬质量的构成、评价果蔬质量的指标及方法。</w:t>
      </w:r>
    </w:p>
    <w:p>
      <w:pPr>
        <w:snapToGrid w:val="0"/>
        <w:spacing w:before="156" w:beforeLines="50" w:line="360" w:lineRule="auto"/>
        <w:ind w:firstLine="422" w:firstLineChars="200"/>
        <w:rPr>
          <w:rFonts w:ascii="宋体" w:hAnsi="宋体"/>
          <w:color w:val="0000FF"/>
          <w:szCs w:val="21"/>
        </w:rPr>
      </w:pPr>
      <w:r>
        <w:rPr>
          <w:rFonts w:ascii="宋体" w:hAnsi="宋体"/>
          <w:b/>
          <w:szCs w:val="21"/>
        </w:rPr>
        <w:t>2</w:t>
      </w:r>
      <w:r>
        <w:rPr>
          <w:rFonts w:hint="eastAsia" w:ascii="宋体" w:hAnsi="宋体"/>
          <w:b/>
          <w:szCs w:val="21"/>
        </w:rPr>
        <w:t>.应用</w:t>
      </w:r>
      <w:r>
        <w:rPr>
          <w:rFonts w:hint="eastAsia" w:ascii="宋体" w:hAnsi="宋体"/>
          <w:szCs w:val="21"/>
        </w:rPr>
        <w:t>：</w:t>
      </w:r>
      <w:r>
        <w:rPr>
          <w:rFonts w:hint="eastAsia" w:ascii="宋体" w:hAnsi="宋体" w:cs="宋体"/>
          <w:szCs w:val="20"/>
        </w:rPr>
        <w:t>根据“三品”标准体系特</w:t>
      </w:r>
      <w:r>
        <w:rPr>
          <w:rFonts w:hint="eastAsia" w:cs="宋体"/>
          <w:szCs w:val="20"/>
        </w:rPr>
        <w:t>点及申报程序，完成</w:t>
      </w:r>
      <w:r>
        <w:rPr>
          <w:szCs w:val="20"/>
        </w:rPr>
        <w:t>1-2</w:t>
      </w:r>
      <w:r>
        <w:rPr>
          <w:rFonts w:hint="eastAsia" w:cs="宋体"/>
          <w:szCs w:val="20"/>
        </w:rPr>
        <w:t>个果蔬三品申报案例。</w:t>
      </w:r>
    </w:p>
    <w:p>
      <w:pPr>
        <w:snapToGrid w:val="0"/>
        <w:spacing w:before="156" w:beforeLines="50" w:line="360" w:lineRule="auto"/>
        <w:ind w:firstLine="422" w:firstLineChars="200"/>
        <w:rPr>
          <w:rFonts w:ascii="宋体" w:hAnsi="宋体"/>
          <w:color w:val="0000FF"/>
          <w:szCs w:val="21"/>
        </w:rPr>
      </w:pPr>
      <w:r>
        <w:rPr>
          <w:rFonts w:ascii="宋体" w:hAnsi="宋体"/>
          <w:b/>
          <w:szCs w:val="21"/>
        </w:rPr>
        <w:t>3</w:t>
      </w:r>
      <w:r>
        <w:rPr>
          <w:rFonts w:hint="eastAsia" w:ascii="宋体" w:hAnsi="宋体"/>
          <w:b/>
          <w:szCs w:val="21"/>
        </w:rPr>
        <w:t>.综合</w:t>
      </w:r>
      <w:r>
        <w:rPr>
          <w:rFonts w:hint="eastAsia" w:ascii="宋体" w:hAnsi="宋体"/>
          <w:szCs w:val="21"/>
        </w:rPr>
        <w:t>：</w:t>
      </w:r>
      <w:r>
        <w:rPr>
          <w:rFonts w:hint="eastAsia" w:cs="宋体"/>
          <w:szCs w:val="20"/>
        </w:rPr>
        <w:t>应</w:t>
      </w:r>
      <w:r>
        <w:rPr>
          <w:rFonts w:hint="eastAsia" w:ascii="宋体" w:hAnsi="宋体" w:cs="宋体"/>
          <w:szCs w:val="20"/>
        </w:rPr>
        <w:t>用“三品”标准组</w:t>
      </w:r>
      <w:r>
        <w:rPr>
          <w:rFonts w:hint="eastAsia" w:cs="宋体"/>
          <w:szCs w:val="20"/>
        </w:rPr>
        <w:t>成体系进行果蔬标准化生产，严格控制产品卫生指标。</w:t>
      </w:r>
    </w:p>
    <w:p>
      <w:pPr>
        <w:spacing w:line="360" w:lineRule="auto"/>
      </w:pPr>
    </w:p>
    <w:p>
      <w:pPr>
        <w:spacing w:line="360" w:lineRule="auto"/>
        <w:jc w:val="center"/>
        <w:rPr>
          <w:b/>
        </w:rPr>
      </w:pPr>
      <w:r>
        <w:rPr>
          <w:rFonts w:hint="eastAsia" w:cs="宋体"/>
          <w:b/>
          <w:szCs w:val="20"/>
        </w:rPr>
        <w:t>第二章 果品蔬菜的采后生理</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rPr>
          <w:sz w:val="24"/>
          <w:szCs w:val="20"/>
        </w:rPr>
      </w:pPr>
      <w:r>
        <w:rPr>
          <w:b/>
          <w:szCs w:val="20"/>
        </w:rPr>
        <w:t xml:space="preserve">1. </w:t>
      </w:r>
      <w:r>
        <w:rPr>
          <w:rFonts w:hint="eastAsia" w:cs="宋体"/>
          <w:b/>
          <w:szCs w:val="20"/>
        </w:rPr>
        <w:t>一般了解</w:t>
      </w:r>
      <w:r>
        <w:rPr>
          <w:rFonts w:hint="eastAsia" w:cs="宋体"/>
          <w:szCs w:val="20"/>
        </w:rPr>
        <w:t>：</w:t>
      </w:r>
      <w:r>
        <w:rPr>
          <w:rFonts w:hint="eastAsia" w:cs="宋体"/>
          <w:szCs w:val="21"/>
        </w:rPr>
        <w:t>了解果蔬成熟衰老的基本生理变化规律与果品蔬菜贮运保鲜的目的；休眠与蔬菜耐藏性的关系。</w:t>
      </w:r>
    </w:p>
    <w:p>
      <w:pPr>
        <w:spacing w:line="360" w:lineRule="auto"/>
        <w:ind w:firstLine="422" w:firstLineChars="200"/>
        <w:rPr>
          <w:bCs/>
        </w:rPr>
      </w:pPr>
      <w:r>
        <w:rPr>
          <w:b/>
          <w:szCs w:val="20"/>
        </w:rPr>
        <w:t xml:space="preserve">2. </w:t>
      </w:r>
      <w:r>
        <w:rPr>
          <w:rFonts w:hint="eastAsia" w:cs="宋体"/>
          <w:b/>
          <w:szCs w:val="20"/>
        </w:rPr>
        <w:t>一般掌握</w:t>
      </w:r>
      <w:r>
        <w:rPr>
          <w:rFonts w:hint="eastAsia" w:cs="宋体"/>
          <w:bCs/>
          <w:szCs w:val="20"/>
        </w:rPr>
        <w:t>：成熟衰老中果蔬品质变化与采后生理的关系；呼吸作用实质与果品蔬菜贮运保鲜的意义。果品蔬菜蒸腾生理规律及贮藏中调控技术措施。</w:t>
      </w:r>
    </w:p>
    <w:p>
      <w:pPr>
        <w:spacing w:line="360" w:lineRule="auto"/>
        <w:ind w:firstLine="422" w:firstLineChars="200"/>
        <w:rPr>
          <w:sz w:val="24"/>
          <w:szCs w:val="20"/>
        </w:rPr>
      </w:pPr>
      <w:r>
        <w:rPr>
          <w:b/>
          <w:szCs w:val="20"/>
        </w:rPr>
        <w:t xml:space="preserve">3. </w:t>
      </w:r>
      <w:r>
        <w:rPr>
          <w:rFonts w:hint="eastAsia" w:cs="宋体"/>
          <w:b/>
          <w:szCs w:val="20"/>
        </w:rPr>
        <w:t>熟练掌握</w:t>
      </w:r>
      <w:r>
        <w:rPr>
          <w:rFonts w:hint="eastAsia" w:cs="宋体"/>
          <w:szCs w:val="20"/>
        </w:rPr>
        <w:t>：呼吸生理及乙烯生物合成与后熟衰老变化规律、影响因素及各项调控技术措施。</w:t>
      </w:r>
    </w:p>
    <w:p>
      <w:pPr>
        <w:snapToGrid w:val="0"/>
        <w:spacing w:before="156" w:beforeLines="50"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pPr>
      <w:r>
        <w:rPr>
          <w:szCs w:val="20"/>
        </w:rPr>
        <w:t>1</w:t>
      </w:r>
      <w:r>
        <w:rPr>
          <w:rFonts w:hint="eastAsia" w:cs="宋体"/>
          <w:szCs w:val="20"/>
        </w:rPr>
        <w:t>．呼吸作用的实质、形式、生理意义：呼吸强度与呼吸高峰；呼吸作用与贮藏保鲜的关系；影响呼吸作用的因素；果实呼吸跃变与乙烯、贮藏的关系。</w:t>
      </w:r>
    </w:p>
    <w:p>
      <w:pPr>
        <w:spacing w:line="360" w:lineRule="auto"/>
        <w:ind w:firstLine="420" w:firstLineChars="200"/>
      </w:pPr>
      <w:r>
        <w:rPr>
          <w:szCs w:val="20"/>
        </w:rPr>
        <w:t>2</w:t>
      </w:r>
      <w:r>
        <w:rPr>
          <w:rFonts w:hint="eastAsia" w:cs="宋体"/>
          <w:szCs w:val="20"/>
        </w:rPr>
        <w:t>．影响园艺产品蒸腾失水的内因、外因；贮运中产品结露原因、防止措施。</w:t>
      </w:r>
    </w:p>
    <w:p>
      <w:pPr>
        <w:spacing w:line="360" w:lineRule="auto"/>
        <w:ind w:firstLine="420" w:firstLineChars="200"/>
      </w:pPr>
      <w:r>
        <w:rPr>
          <w:szCs w:val="20"/>
        </w:rPr>
        <w:t>3</w:t>
      </w:r>
      <w:r>
        <w:rPr>
          <w:rFonts w:hint="eastAsia" w:cs="宋体"/>
          <w:szCs w:val="20"/>
        </w:rPr>
        <w:t>．成熟衰老的相关概念；成熟衰老中园艺产品品质变化与贮藏保鲜的关系及相关调控措施。</w:t>
      </w:r>
    </w:p>
    <w:p>
      <w:pPr>
        <w:spacing w:line="360" w:lineRule="auto"/>
        <w:ind w:firstLine="420" w:firstLineChars="200"/>
      </w:pPr>
      <w:r>
        <w:rPr>
          <w:szCs w:val="20"/>
        </w:rPr>
        <w:t>4</w:t>
      </w:r>
      <w:r>
        <w:rPr>
          <w:rFonts w:hint="eastAsia" w:cs="宋体"/>
          <w:szCs w:val="20"/>
        </w:rPr>
        <w:t>．乙烯合成与成熟衰老关系及相关调控技术措施。</w:t>
      </w:r>
    </w:p>
    <w:p>
      <w:pPr>
        <w:spacing w:line="360" w:lineRule="auto"/>
        <w:ind w:firstLine="420" w:firstLineChars="200"/>
      </w:pPr>
      <w:r>
        <w:rPr>
          <w:szCs w:val="20"/>
        </w:rPr>
        <w:t>5</w:t>
      </w:r>
      <w:r>
        <w:rPr>
          <w:rFonts w:hint="eastAsia" w:cs="宋体"/>
          <w:szCs w:val="20"/>
        </w:rPr>
        <w:t>．休眠特性与蔬菜贮藏中调控技术措施。</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before="156" w:beforeLines="50"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cs="宋体"/>
          <w:szCs w:val="20"/>
        </w:rPr>
        <w:t>呼吸作用、缺氧呼吸、呼吸跃变、呼吸高峰、非跃变型果实、呼吸系数、蒸腾作用、耐贮性、抗病性、</w:t>
      </w:r>
      <w:r>
        <w:rPr>
          <w:szCs w:val="20"/>
        </w:rPr>
        <w:t>RI</w:t>
      </w:r>
      <w:r>
        <w:rPr>
          <w:rFonts w:hint="eastAsia" w:cs="宋体"/>
          <w:szCs w:val="20"/>
        </w:rPr>
        <w:t>、</w:t>
      </w:r>
      <w:r>
        <w:rPr>
          <w:szCs w:val="20"/>
        </w:rPr>
        <w:t xml:space="preserve">maturation </w:t>
      </w:r>
      <w:r>
        <w:rPr>
          <w:rFonts w:hint="eastAsia" w:cs="宋体"/>
          <w:szCs w:val="20"/>
        </w:rPr>
        <w:t>、</w:t>
      </w:r>
      <w:r>
        <w:rPr>
          <w:szCs w:val="20"/>
        </w:rPr>
        <w:t xml:space="preserve">ripening </w:t>
      </w:r>
      <w:r>
        <w:rPr>
          <w:rFonts w:hint="eastAsia" w:cs="宋体"/>
          <w:szCs w:val="20"/>
        </w:rPr>
        <w:t>、</w:t>
      </w:r>
      <w:r>
        <w:rPr>
          <w:szCs w:val="20"/>
        </w:rPr>
        <w:t>senescence</w:t>
      </w:r>
      <w:r>
        <w:rPr>
          <w:rFonts w:hint="eastAsia" w:cs="宋体"/>
          <w:szCs w:val="20"/>
        </w:rPr>
        <w:t>。</w:t>
      </w:r>
    </w:p>
    <w:p>
      <w:pPr>
        <w:spacing w:line="360" w:lineRule="auto"/>
        <w:ind w:firstLine="422" w:firstLineChars="200"/>
        <w:rPr>
          <w:sz w:val="24"/>
          <w:szCs w:val="20"/>
        </w:rPr>
      </w:pPr>
      <w:r>
        <w:rPr>
          <w:rFonts w:hint="eastAsia" w:ascii="宋体" w:hAnsi="宋体"/>
          <w:b/>
          <w:szCs w:val="21"/>
        </w:rPr>
        <w:t>2.领会</w:t>
      </w:r>
      <w:r>
        <w:rPr>
          <w:rFonts w:hint="eastAsia" w:ascii="宋体" w:hAnsi="宋体"/>
          <w:szCs w:val="21"/>
        </w:rPr>
        <w:t>：</w:t>
      </w:r>
      <w:r>
        <w:rPr>
          <w:rFonts w:hint="eastAsia" w:cs="宋体"/>
          <w:szCs w:val="20"/>
        </w:rPr>
        <w:t>呼吸作用实质及控制呼吸作用对于果品蔬菜贮运保鲜的意义；蔬菜休眠特性及贮藏中应用调控技术措施。</w:t>
      </w:r>
    </w:p>
    <w:p>
      <w:pPr>
        <w:snapToGrid w:val="0"/>
        <w:spacing w:before="156" w:beforeLines="50"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rFonts w:hint="eastAsia" w:cs="宋体"/>
          <w:szCs w:val="20"/>
        </w:rPr>
        <w:t>根据呼吸跃变与采后成熟衰老关系，制订相关果蔬贮运调控措施；根据蒸腾代谢生理，制订减少贮运中果品蔬菜的失水与萎焉的各项技术措施。利用休眠特性延长蔬菜贮藏寿命的技术措施。</w:t>
      </w:r>
    </w:p>
    <w:p>
      <w:pPr>
        <w:snapToGrid w:val="0"/>
        <w:spacing w:before="156" w:beforeLines="50" w:line="360" w:lineRule="auto"/>
        <w:ind w:firstLine="422" w:firstLineChars="200"/>
        <w:rPr>
          <w:rFonts w:ascii="宋体" w:hAnsi="宋体"/>
          <w:color w:val="0000FF"/>
          <w:szCs w:val="21"/>
        </w:rPr>
      </w:pPr>
      <w:r>
        <w:rPr>
          <w:rFonts w:ascii="宋体" w:hAnsi="宋体"/>
          <w:b/>
          <w:szCs w:val="21"/>
        </w:rPr>
        <w:t>4</w:t>
      </w:r>
      <w:r>
        <w:rPr>
          <w:rFonts w:hint="eastAsia" w:ascii="宋体" w:hAnsi="宋体"/>
          <w:b/>
          <w:szCs w:val="21"/>
        </w:rPr>
        <w:t>.综合</w:t>
      </w:r>
      <w:r>
        <w:rPr>
          <w:rFonts w:hint="eastAsia" w:ascii="宋体" w:hAnsi="宋体"/>
          <w:szCs w:val="21"/>
        </w:rPr>
        <w:t>：</w:t>
      </w:r>
      <w:r>
        <w:rPr>
          <w:rFonts w:hint="eastAsia" w:cs="宋体"/>
          <w:szCs w:val="20"/>
        </w:rPr>
        <w:t>根据不同果蔬采后生理变化的规律特点，制订贮运实践中调控乙烯产生、作用效果的各项技术措施。</w:t>
      </w:r>
    </w:p>
    <w:p>
      <w:pPr>
        <w:spacing w:line="360" w:lineRule="auto"/>
        <w:jc w:val="center"/>
      </w:pPr>
      <w:r>
        <w:rPr>
          <w:rFonts w:hint="eastAsia" w:cs="宋体"/>
          <w:b/>
          <w:szCs w:val="20"/>
        </w:rPr>
        <w:t>第三章 影响果品蔬菜耐藏性的因素</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pPr>
      <w:r>
        <w:rPr>
          <w:b/>
          <w:szCs w:val="20"/>
        </w:rPr>
        <w:t xml:space="preserve">1. </w:t>
      </w:r>
      <w:r>
        <w:rPr>
          <w:rFonts w:hint="eastAsia" w:cs="宋体"/>
          <w:b/>
          <w:szCs w:val="20"/>
        </w:rPr>
        <w:t>一般了解</w:t>
      </w:r>
      <w:r>
        <w:rPr>
          <w:rFonts w:hint="eastAsia" w:cs="宋体"/>
          <w:bCs/>
          <w:szCs w:val="20"/>
        </w:rPr>
        <w:t>：</w:t>
      </w:r>
      <w:r>
        <w:rPr>
          <w:rFonts w:hint="eastAsia" w:cs="宋体"/>
          <w:szCs w:val="20"/>
        </w:rPr>
        <w:t>了解影响果品蔬菜耐藏性的采前、采后因素组成。</w:t>
      </w:r>
    </w:p>
    <w:p>
      <w:pPr>
        <w:spacing w:line="360" w:lineRule="auto"/>
        <w:ind w:firstLine="422" w:firstLineChars="200"/>
      </w:pPr>
      <w:r>
        <w:rPr>
          <w:b/>
          <w:szCs w:val="20"/>
        </w:rPr>
        <w:t xml:space="preserve">2. </w:t>
      </w:r>
      <w:r>
        <w:rPr>
          <w:rFonts w:hint="eastAsia" w:cs="宋体"/>
          <w:b/>
          <w:szCs w:val="20"/>
        </w:rPr>
        <w:t>一般掌握</w:t>
      </w:r>
      <w:r>
        <w:rPr>
          <w:rFonts w:hint="eastAsia" w:cs="宋体"/>
          <w:bCs/>
          <w:szCs w:val="20"/>
        </w:rPr>
        <w:t>：</w:t>
      </w:r>
      <w:r>
        <w:rPr>
          <w:rFonts w:hint="eastAsia" w:cs="宋体"/>
          <w:szCs w:val="20"/>
        </w:rPr>
        <w:t>认识果品蔬菜贮藏保鲜是一项系统工程。</w:t>
      </w:r>
    </w:p>
    <w:p>
      <w:pPr>
        <w:spacing w:line="360" w:lineRule="auto"/>
        <w:ind w:firstLine="422" w:firstLineChars="200"/>
      </w:pPr>
      <w:r>
        <w:rPr>
          <w:b/>
          <w:szCs w:val="20"/>
        </w:rPr>
        <w:t xml:space="preserve">3. </w:t>
      </w:r>
      <w:r>
        <w:rPr>
          <w:rFonts w:hint="eastAsia" w:cs="宋体"/>
          <w:b/>
          <w:szCs w:val="20"/>
        </w:rPr>
        <w:t>熟练掌握</w:t>
      </w:r>
      <w:r>
        <w:rPr>
          <w:rFonts w:hint="eastAsia" w:cs="宋体"/>
          <w:bCs/>
          <w:szCs w:val="20"/>
        </w:rPr>
        <w:t>：</w:t>
      </w:r>
      <w:r>
        <w:rPr>
          <w:rFonts w:hint="eastAsia" w:cs="宋体"/>
          <w:szCs w:val="20"/>
        </w:rPr>
        <w:t>依据影响果品蔬菜耐藏性的因素，将其应用在果蔬的采前、采收、采后处理及贮藏运销各环节技术管理中，并对</w:t>
      </w:r>
      <w:r>
        <w:rPr>
          <w:szCs w:val="20"/>
        </w:rPr>
        <w:t>3</w:t>
      </w:r>
      <w:r>
        <w:rPr>
          <w:szCs w:val="20"/>
          <w:vertAlign w:val="subscript"/>
        </w:rPr>
        <w:t>~</w:t>
      </w:r>
      <w:r>
        <w:rPr>
          <w:szCs w:val="20"/>
        </w:rPr>
        <w:t>5</w:t>
      </w:r>
      <w:r>
        <w:rPr>
          <w:rFonts w:hint="eastAsia" w:cs="宋体"/>
          <w:szCs w:val="20"/>
        </w:rPr>
        <w:t>种常见的果品蔬菜的贮藏运销等环节提出建设性建议。</w:t>
      </w:r>
    </w:p>
    <w:p>
      <w:pPr>
        <w:snapToGrid w:val="0"/>
        <w:spacing w:before="156" w:beforeLines="50" w:line="360" w:lineRule="auto"/>
        <w:rPr>
          <w:rFonts w:ascii="宋体" w:hAnsi="宋体"/>
          <w:szCs w:val="21"/>
        </w:rPr>
      </w:pPr>
      <w:r>
        <w:rPr>
          <w:rFonts w:hint="eastAsia" w:ascii="宋体" w:hAnsi="宋体"/>
          <w:b/>
          <w:szCs w:val="21"/>
        </w:rPr>
        <w:t>（二）考核内容</w:t>
      </w:r>
    </w:p>
    <w:p>
      <w:pPr>
        <w:spacing w:line="360" w:lineRule="auto"/>
        <w:ind w:firstLine="420"/>
      </w:pPr>
      <w:r>
        <w:rPr>
          <w:szCs w:val="20"/>
        </w:rPr>
        <w:t>1</w:t>
      </w:r>
      <w:r>
        <w:rPr>
          <w:rFonts w:hint="eastAsia" w:cs="宋体"/>
          <w:szCs w:val="20"/>
        </w:rPr>
        <w:t>．总结影响果蔬耐藏性的内在因素、生态因素及农业因素。</w:t>
      </w:r>
    </w:p>
    <w:p>
      <w:pPr>
        <w:spacing w:line="360" w:lineRule="auto"/>
        <w:ind w:firstLine="420"/>
      </w:pPr>
      <w:r>
        <w:rPr>
          <w:szCs w:val="20"/>
        </w:rPr>
        <w:t>2</w:t>
      </w:r>
      <w:r>
        <w:rPr>
          <w:rFonts w:hint="eastAsia" w:cs="宋体"/>
          <w:szCs w:val="20"/>
        </w:rPr>
        <w:t>．影响果蔬贮藏性的贮运环境因素。</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before="156" w:beforeLines="50"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cs="宋体"/>
          <w:szCs w:val="20"/>
        </w:rPr>
        <w:t>影响果蔬耐藏性的生态因素；栽培因素；贮藏环境因素。</w:t>
      </w:r>
    </w:p>
    <w:p>
      <w:pPr>
        <w:snapToGrid w:val="0"/>
        <w:spacing w:before="156" w:beforeLines="50" w:line="360" w:lineRule="auto"/>
        <w:ind w:firstLine="422" w:firstLineChars="200"/>
        <w:rPr>
          <w:rFonts w:cs="宋体"/>
          <w:szCs w:val="20"/>
        </w:rPr>
      </w:pPr>
      <w:r>
        <w:rPr>
          <w:rFonts w:hint="eastAsia" w:ascii="宋体" w:hAnsi="宋体"/>
          <w:b/>
          <w:szCs w:val="21"/>
        </w:rPr>
        <w:t>2.领会</w:t>
      </w:r>
      <w:r>
        <w:rPr>
          <w:rFonts w:hint="eastAsia" w:ascii="宋体" w:hAnsi="宋体"/>
          <w:szCs w:val="21"/>
        </w:rPr>
        <w:t>：</w:t>
      </w:r>
      <w:r>
        <w:rPr>
          <w:rFonts w:hint="eastAsia" w:cs="宋体"/>
          <w:szCs w:val="20"/>
        </w:rPr>
        <w:t>果品蔬菜贮藏保鲜是一项系统工程。</w:t>
      </w:r>
    </w:p>
    <w:p>
      <w:pPr>
        <w:snapToGrid w:val="0"/>
        <w:spacing w:before="156" w:beforeLines="50" w:line="360" w:lineRule="auto"/>
        <w:ind w:firstLine="422" w:firstLineChars="200"/>
        <w:rPr>
          <w:rFonts w:ascii="宋体" w:hAnsi="宋体"/>
          <w:color w:val="0000FF"/>
          <w:szCs w:val="21"/>
        </w:rPr>
      </w:pPr>
      <w:r>
        <w:rPr>
          <w:rFonts w:ascii="宋体" w:hAnsi="宋体"/>
          <w:b/>
          <w:szCs w:val="21"/>
        </w:rPr>
        <w:t>3</w:t>
      </w:r>
      <w:r>
        <w:rPr>
          <w:rFonts w:hint="eastAsia" w:ascii="宋体" w:hAnsi="宋体"/>
          <w:b/>
          <w:szCs w:val="21"/>
        </w:rPr>
        <w:t>.综合</w:t>
      </w:r>
      <w:r>
        <w:rPr>
          <w:rFonts w:hint="eastAsia" w:ascii="宋体" w:hAnsi="宋体"/>
          <w:szCs w:val="21"/>
        </w:rPr>
        <w:t>：</w:t>
      </w:r>
      <w:r>
        <w:rPr>
          <w:rFonts w:hint="eastAsia" w:cs="宋体"/>
          <w:szCs w:val="20"/>
        </w:rPr>
        <w:t>综合考虑影响果品蔬菜耐藏性的各类因素，制订贮运保鲜综合技术方案。</w:t>
      </w:r>
    </w:p>
    <w:p>
      <w:pPr>
        <w:spacing w:line="360" w:lineRule="auto"/>
        <w:jc w:val="center"/>
        <w:rPr>
          <w:b/>
        </w:rPr>
      </w:pPr>
      <w:r>
        <w:rPr>
          <w:rFonts w:hint="eastAsia" w:cs="宋体"/>
          <w:b/>
          <w:szCs w:val="20"/>
        </w:rPr>
        <w:t xml:space="preserve">第四章 </w:t>
      </w:r>
      <w:r>
        <w:rPr>
          <w:rFonts w:hint="eastAsia" w:hAnsi="宋体"/>
          <w:b/>
          <w:kern w:val="0"/>
        </w:rPr>
        <w:t>果品</w:t>
      </w:r>
      <w:r>
        <w:rPr>
          <w:rFonts w:hAnsi="宋体"/>
          <w:b/>
          <w:kern w:val="0"/>
        </w:rPr>
        <w:t>蔬菜的</w:t>
      </w:r>
      <w:r>
        <w:rPr>
          <w:rFonts w:hint="eastAsia" w:hAnsi="宋体"/>
          <w:b/>
          <w:kern w:val="0"/>
        </w:rPr>
        <w:t>采收和采后处理</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pPr>
      <w:r>
        <w:rPr>
          <w:b/>
          <w:szCs w:val="20"/>
        </w:rPr>
        <w:t xml:space="preserve">1. </w:t>
      </w:r>
      <w:r>
        <w:rPr>
          <w:rFonts w:hint="eastAsia" w:cs="宋体"/>
          <w:b/>
          <w:szCs w:val="20"/>
        </w:rPr>
        <w:t>一般了解</w:t>
      </w:r>
      <w:r>
        <w:rPr>
          <w:rFonts w:hint="eastAsia" w:cs="宋体"/>
          <w:bCs/>
          <w:szCs w:val="20"/>
        </w:rPr>
        <w:t>：</w:t>
      </w:r>
      <w:r>
        <w:rPr>
          <w:rFonts w:hint="eastAsia" w:cs="宋体"/>
          <w:szCs w:val="20"/>
        </w:rPr>
        <w:t>了解确定果品、蔬菜采收期的依据，采收方法、特点。</w:t>
      </w:r>
    </w:p>
    <w:p>
      <w:pPr>
        <w:snapToGrid w:val="0"/>
        <w:spacing w:line="360" w:lineRule="auto"/>
        <w:ind w:firstLine="422" w:firstLineChars="200"/>
      </w:pPr>
      <w:r>
        <w:rPr>
          <w:b/>
          <w:szCs w:val="20"/>
        </w:rPr>
        <w:t xml:space="preserve">2. </w:t>
      </w:r>
      <w:r>
        <w:rPr>
          <w:rFonts w:hint="eastAsia" w:cs="宋体"/>
          <w:b/>
          <w:szCs w:val="20"/>
        </w:rPr>
        <w:t>一般掌握</w:t>
      </w:r>
      <w:r>
        <w:rPr>
          <w:rFonts w:hint="eastAsia" w:cs="宋体"/>
          <w:bCs/>
          <w:szCs w:val="20"/>
        </w:rPr>
        <w:t>：</w:t>
      </w:r>
      <w:r>
        <w:rPr>
          <w:rFonts w:hint="eastAsia" w:cs="宋体"/>
          <w:szCs w:val="20"/>
        </w:rPr>
        <w:t>果品蔬菜成熟度的判断方法。</w:t>
      </w:r>
    </w:p>
    <w:p>
      <w:pPr>
        <w:snapToGrid w:val="0"/>
        <w:spacing w:line="360" w:lineRule="auto"/>
        <w:ind w:firstLine="422" w:firstLineChars="200"/>
        <w:rPr>
          <w:b/>
        </w:rPr>
      </w:pPr>
      <w:r>
        <w:rPr>
          <w:b/>
          <w:szCs w:val="20"/>
        </w:rPr>
        <w:t xml:space="preserve">3. </w:t>
      </w:r>
      <w:r>
        <w:rPr>
          <w:rFonts w:hint="eastAsia" w:cs="宋体"/>
          <w:b/>
          <w:szCs w:val="20"/>
        </w:rPr>
        <w:t>熟练掌握</w:t>
      </w:r>
      <w:r>
        <w:rPr>
          <w:rFonts w:hint="eastAsia" w:cs="宋体"/>
          <w:bCs/>
          <w:szCs w:val="20"/>
        </w:rPr>
        <w:t>：</w:t>
      </w:r>
      <w:r>
        <w:rPr>
          <w:rFonts w:hint="eastAsia" w:cs="宋体"/>
          <w:szCs w:val="20"/>
        </w:rPr>
        <w:t>园艺产品成熟度的判断、采收成熟度的确定、采收的原则、果品蔬菜商品化处理程序作用及关键技术点。</w:t>
      </w:r>
    </w:p>
    <w:p>
      <w:pPr>
        <w:snapToGrid w:val="0"/>
        <w:spacing w:before="156" w:beforeLines="50" w:line="360" w:lineRule="auto"/>
        <w:rPr>
          <w:rFonts w:ascii="宋体" w:hAnsi="宋体"/>
          <w:szCs w:val="21"/>
        </w:rPr>
      </w:pPr>
      <w:r>
        <w:rPr>
          <w:rFonts w:hint="eastAsia" w:ascii="宋体" w:hAnsi="宋体"/>
          <w:b/>
          <w:szCs w:val="21"/>
        </w:rPr>
        <w:t>（二）考核内容</w:t>
      </w:r>
    </w:p>
    <w:p>
      <w:pPr>
        <w:spacing w:line="360" w:lineRule="auto"/>
        <w:ind w:firstLine="210" w:firstLineChars="100"/>
      </w:pPr>
      <w:r>
        <w:rPr>
          <w:szCs w:val="20"/>
        </w:rPr>
        <w:t>1</w:t>
      </w:r>
      <w:r>
        <w:rPr>
          <w:rFonts w:hint="eastAsia" w:cs="宋体"/>
          <w:szCs w:val="20"/>
        </w:rPr>
        <w:t>．果品、蔬菜采收的原则及采收成熟度的判断依据。</w:t>
      </w:r>
    </w:p>
    <w:p>
      <w:pPr>
        <w:spacing w:line="360" w:lineRule="auto"/>
        <w:ind w:firstLine="210" w:firstLineChars="100"/>
      </w:pPr>
      <w:r>
        <w:rPr>
          <w:szCs w:val="20"/>
        </w:rPr>
        <w:t>2</w:t>
      </w:r>
      <w:r>
        <w:rPr>
          <w:rFonts w:hint="eastAsia" w:cs="宋体"/>
          <w:szCs w:val="20"/>
        </w:rPr>
        <w:t>．果品、蔬菜成熟度的判断方法。</w:t>
      </w:r>
    </w:p>
    <w:p>
      <w:pPr>
        <w:spacing w:line="360" w:lineRule="auto"/>
        <w:ind w:firstLine="210" w:firstLineChars="100"/>
      </w:pPr>
      <w:r>
        <w:rPr>
          <w:rFonts w:hint="eastAsia"/>
          <w:szCs w:val="20"/>
        </w:rPr>
        <w:t>3</w:t>
      </w:r>
      <w:r>
        <w:rPr>
          <w:rFonts w:hint="eastAsia" w:cs="宋体"/>
          <w:szCs w:val="20"/>
        </w:rPr>
        <w:t>．果品、蔬菜商品化处理程序的作用及特点。</w:t>
      </w:r>
    </w:p>
    <w:p>
      <w:pPr>
        <w:spacing w:line="360" w:lineRule="auto"/>
        <w:ind w:firstLine="210" w:firstLineChars="100"/>
      </w:pPr>
      <w:r>
        <w:rPr>
          <w:rFonts w:hint="eastAsia"/>
          <w:szCs w:val="20"/>
        </w:rPr>
        <w:t>4</w:t>
      </w:r>
      <w:r>
        <w:rPr>
          <w:rFonts w:hint="eastAsia" w:cs="宋体"/>
          <w:szCs w:val="20"/>
        </w:rPr>
        <w:t>．果品、蔬菜预冷方式及特点。</w:t>
      </w:r>
    </w:p>
    <w:p>
      <w:pPr>
        <w:spacing w:line="360" w:lineRule="auto"/>
        <w:ind w:firstLine="210" w:firstLineChars="100"/>
      </w:pPr>
      <w:r>
        <w:rPr>
          <w:rFonts w:hint="eastAsia"/>
          <w:szCs w:val="20"/>
        </w:rPr>
        <w:t>5．</w:t>
      </w:r>
      <w:r>
        <w:rPr>
          <w:rFonts w:hint="eastAsia" w:cs="宋体"/>
          <w:szCs w:val="20"/>
        </w:rPr>
        <w:t>果品、蔬菜包装类型及特点。</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before="156" w:beforeLines="50"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cs="宋体"/>
          <w:szCs w:val="20"/>
        </w:rPr>
        <w:t>判断成熟度的方法及采收成熟度的依据；果品蔬菜商品化处理程序；果品蔬菜预冷方式；果品蔬菜包装作用及方式。</w:t>
      </w:r>
    </w:p>
    <w:p>
      <w:pPr>
        <w:spacing w:line="360" w:lineRule="auto"/>
        <w:ind w:firstLine="422" w:firstLineChars="200"/>
        <w:rPr>
          <w:b/>
        </w:rPr>
      </w:pPr>
      <w:r>
        <w:rPr>
          <w:rFonts w:hint="eastAsia" w:ascii="宋体" w:hAnsi="宋体"/>
          <w:b/>
          <w:szCs w:val="21"/>
        </w:rPr>
        <w:t>2.领会</w:t>
      </w:r>
      <w:r>
        <w:rPr>
          <w:rFonts w:hint="eastAsia" w:ascii="宋体" w:hAnsi="宋体"/>
          <w:szCs w:val="21"/>
        </w:rPr>
        <w:t>：</w:t>
      </w:r>
      <w:r>
        <w:rPr>
          <w:rFonts w:hint="eastAsia" w:cs="宋体"/>
          <w:szCs w:val="20"/>
        </w:rPr>
        <w:t>果品蔬菜商品化处理程序作用及技术操作管理关键。</w:t>
      </w:r>
    </w:p>
    <w:p>
      <w:pPr>
        <w:spacing w:line="360" w:lineRule="auto"/>
        <w:ind w:firstLine="422" w:firstLineChars="200"/>
        <w:rPr>
          <w:b/>
        </w:rPr>
      </w:pPr>
      <w:r>
        <w:rPr>
          <w:rFonts w:hint="eastAsia" w:ascii="宋体" w:hAnsi="宋体"/>
          <w:b/>
          <w:szCs w:val="21"/>
        </w:rPr>
        <w:t>3.应用</w:t>
      </w:r>
      <w:r>
        <w:rPr>
          <w:rFonts w:hint="eastAsia" w:ascii="宋体" w:hAnsi="宋体"/>
          <w:szCs w:val="21"/>
        </w:rPr>
        <w:t>：</w:t>
      </w:r>
      <w:r>
        <w:rPr>
          <w:rFonts w:hint="eastAsia" w:cs="宋体"/>
          <w:szCs w:val="20"/>
        </w:rPr>
        <w:t>确定常见果蔬的采收适期、制订柿子脱涩方案；香蕉、番茄等果实催熟技术措施方案。根据果品蔬菜本身特点，确定预冷方式及技术参数。</w:t>
      </w:r>
    </w:p>
    <w:p>
      <w:pPr>
        <w:spacing w:line="360" w:lineRule="auto"/>
        <w:ind w:firstLine="422" w:firstLineChars="200"/>
        <w:rPr>
          <w:b/>
        </w:rPr>
      </w:pPr>
      <w:r>
        <w:rPr>
          <w:rFonts w:ascii="宋体" w:hAnsi="宋体"/>
          <w:b/>
          <w:szCs w:val="21"/>
        </w:rPr>
        <w:t>4</w:t>
      </w:r>
      <w:r>
        <w:rPr>
          <w:rFonts w:hint="eastAsia" w:ascii="宋体" w:hAnsi="宋体"/>
          <w:b/>
          <w:szCs w:val="21"/>
        </w:rPr>
        <w:t>.综合</w:t>
      </w:r>
      <w:r>
        <w:rPr>
          <w:rFonts w:hint="eastAsia" w:ascii="宋体" w:hAnsi="宋体"/>
          <w:szCs w:val="21"/>
        </w:rPr>
        <w:t>：</w:t>
      </w:r>
      <w:r>
        <w:rPr>
          <w:rFonts w:hint="eastAsia" w:cs="宋体"/>
          <w:szCs w:val="20"/>
        </w:rPr>
        <w:t>制订几种主要果品蔬菜商品化处理程序及关键技术操作流程。</w:t>
      </w:r>
    </w:p>
    <w:p>
      <w:pPr>
        <w:spacing w:line="360" w:lineRule="auto"/>
        <w:jc w:val="center"/>
        <w:rPr>
          <w:rFonts w:cs="宋体"/>
          <w:b/>
          <w:szCs w:val="20"/>
        </w:rPr>
      </w:pPr>
      <w:r>
        <w:rPr>
          <w:rFonts w:hint="eastAsia" w:cs="宋体"/>
          <w:b/>
          <w:szCs w:val="20"/>
        </w:rPr>
        <w:t>第五章 果品蔬菜的物流</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pPr>
      <w:r>
        <w:rPr>
          <w:b/>
          <w:szCs w:val="20"/>
        </w:rPr>
        <w:t xml:space="preserve">1. </w:t>
      </w:r>
      <w:r>
        <w:rPr>
          <w:rFonts w:hint="eastAsia" w:cs="宋体"/>
          <w:b/>
          <w:szCs w:val="20"/>
        </w:rPr>
        <w:t>一般了解</w:t>
      </w:r>
      <w:r>
        <w:rPr>
          <w:rFonts w:hint="eastAsia" w:cs="宋体"/>
          <w:bCs/>
          <w:szCs w:val="20"/>
        </w:rPr>
        <w:t>：</w:t>
      </w:r>
      <w:r>
        <w:rPr>
          <w:rFonts w:hint="eastAsia" w:cs="宋体"/>
          <w:szCs w:val="20"/>
        </w:rPr>
        <w:t>了解物流概念及构成要素；了解果品、蔬菜常用运输方式及工具特点。运输中应注意的事项。</w:t>
      </w:r>
    </w:p>
    <w:p>
      <w:pPr>
        <w:snapToGrid w:val="0"/>
        <w:spacing w:line="360" w:lineRule="auto"/>
        <w:ind w:firstLine="422" w:firstLineChars="200"/>
      </w:pPr>
      <w:r>
        <w:rPr>
          <w:b/>
          <w:szCs w:val="20"/>
        </w:rPr>
        <w:t xml:space="preserve">2. </w:t>
      </w:r>
      <w:r>
        <w:rPr>
          <w:rFonts w:hint="eastAsia" w:cs="宋体"/>
          <w:b/>
          <w:szCs w:val="20"/>
        </w:rPr>
        <w:t>一般掌握</w:t>
      </w:r>
      <w:r>
        <w:rPr>
          <w:rFonts w:hint="eastAsia" w:cs="宋体"/>
          <w:szCs w:val="20"/>
        </w:rPr>
        <w:t>：果品蔬菜运输基本要求、运输环境条件对果蔬质量的影响。</w:t>
      </w:r>
    </w:p>
    <w:p>
      <w:pPr>
        <w:snapToGrid w:val="0"/>
        <w:spacing w:line="360" w:lineRule="auto"/>
        <w:ind w:firstLine="422" w:firstLineChars="200"/>
      </w:pPr>
      <w:r>
        <w:rPr>
          <w:b/>
          <w:szCs w:val="20"/>
        </w:rPr>
        <w:t xml:space="preserve">3. </w:t>
      </w:r>
      <w:r>
        <w:rPr>
          <w:rFonts w:hint="eastAsia" w:cs="宋体"/>
          <w:b/>
          <w:szCs w:val="20"/>
        </w:rPr>
        <w:t>熟练掌握</w:t>
      </w:r>
      <w:r>
        <w:rPr>
          <w:rFonts w:hint="eastAsia" w:cs="宋体"/>
          <w:bCs/>
          <w:szCs w:val="20"/>
        </w:rPr>
        <w:t>：</w:t>
      </w:r>
      <w:r>
        <w:rPr>
          <w:rFonts w:hint="eastAsia" w:cs="宋体"/>
          <w:szCs w:val="20"/>
        </w:rPr>
        <w:t>影响振动的因素、运输振动对果蔬损伤的关系及其调控措施；果蔬产品冷链贮运流通体系组成、各环节运作原则及实现冷链的条件。</w:t>
      </w:r>
    </w:p>
    <w:p>
      <w:pPr>
        <w:snapToGrid w:val="0"/>
        <w:spacing w:before="156" w:beforeLines="50" w:line="360" w:lineRule="auto"/>
        <w:rPr>
          <w:rFonts w:ascii="宋体" w:hAnsi="宋体"/>
          <w:szCs w:val="21"/>
        </w:rPr>
      </w:pPr>
      <w:r>
        <w:rPr>
          <w:rFonts w:hint="eastAsia" w:ascii="宋体" w:hAnsi="宋体"/>
          <w:b/>
          <w:szCs w:val="21"/>
        </w:rPr>
        <w:t>（二）考核内容</w:t>
      </w:r>
    </w:p>
    <w:p>
      <w:pPr>
        <w:spacing w:line="360" w:lineRule="auto"/>
        <w:ind w:left="206"/>
      </w:pPr>
      <w:r>
        <w:rPr>
          <w:szCs w:val="20"/>
        </w:rPr>
        <w:t>1</w:t>
      </w:r>
      <w:r>
        <w:rPr>
          <w:rFonts w:hint="eastAsia" w:cs="宋体"/>
          <w:szCs w:val="20"/>
        </w:rPr>
        <w:t>．物流概念；实现冷链的三</w:t>
      </w:r>
      <w:r>
        <w:rPr>
          <w:szCs w:val="20"/>
        </w:rPr>
        <w:t>P</w:t>
      </w:r>
      <w:r>
        <w:rPr>
          <w:rFonts w:hint="eastAsia" w:cs="宋体"/>
          <w:szCs w:val="20"/>
        </w:rPr>
        <w:t>、三</w:t>
      </w:r>
      <w:r>
        <w:rPr>
          <w:szCs w:val="20"/>
        </w:rPr>
        <w:t>C</w:t>
      </w:r>
      <w:r>
        <w:rPr>
          <w:rFonts w:hint="eastAsia" w:cs="宋体"/>
          <w:szCs w:val="20"/>
        </w:rPr>
        <w:t>、三</w:t>
      </w:r>
      <w:r>
        <w:rPr>
          <w:szCs w:val="20"/>
        </w:rPr>
        <w:t>T</w:t>
      </w:r>
      <w:r>
        <w:rPr>
          <w:rFonts w:hint="eastAsia" w:cs="宋体"/>
          <w:szCs w:val="20"/>
        </w:rPr>
        <w:t>及三</w:t>
      </w:r>
      <w:r>
        <w:rPr>
          <w:szCs w:val="20"/>
        </w:rPr>
        <w:t>Q</w:t>
      </w:r>
      <w:r>
        <w:rPr>
          <w:rFonts w:hint="eastAsia" w:cs="宋体"/>
          <w:szCs w:val="20"/>
        </w:rPr>
        <w:t>条件。</w:t>
      </w:r>
    </w:p>
    <w:p>
      <w:pPr>
        <w:spacing w:line="360" w:lineRule="auto"/>
        <w:ind w:firstLine="210" w:firstLineChars="100"/>
      </w:pPr>
      <w:r>
        <w:rPr>
          <w:szCs w:val="20"/>
        </w:rPr>
        <w:t>2</w:t>
      </w:r>
      <w:r>
        <w:rPr>
          <w:rFonts w:hint="eastAsia" w:cs="宋体"/>
          <w:szCs w:val="20"/>
        </w:rPr>
        <w:t>．果品、蔬菜运输基本原则；运输方式及特点。</w:t>
      </w:r>
    </w:p>
    <w:p>
      <w:pPr>
        <w:spacing w:line="360" w:lineRule="auto"/>
        <w:ind w:firstLine="210" w:firstLineChars="100"/>
      </w:pPr>
      <w:r>
        <w:rPr>
          <w:szCs w:val="20"/>
        </w:rPr>
        <w:t>3</w:t>
      </w:r>
      <w:r>
        <w:rPr>
          <w:rFonts w:hint="eastAsia" w:cs="宋体"/>
          <w:szCs w:val="20"/>
        </w:rPr>
        <w:t>．运输振动与导致的果蔬损伤关系；运输环境条件对果蔬质量的影响。</w:t>
      </w:r>
    </w:p>
    <w:p>
      <w:pPr>
        <w:spacing w:line="360" w:lineRule="auto"/>
        <w:ind w:firstLine="210" w:firstLineChars="100"/>
      </w:pPr>
      <w:r>
        <w:rPr>
          <w:szCs w:val="20"/>
        </w:rPr>
        <w:t>4</w:t>
      </w:r>
      <w:r>
        <w:rPr>
          <w:rFonts w:hint="eastAsia" w:cs="宋体"/>
          <w:szCs w:val="20"/>
        </w:rPr>
        <w:t>．果蔬冷链贮运流通体系组成、运作管理原则及实现冷链的条件。</w:t>
      </w:r>
    </w:p>
    <w:p>
      <w:pPr>
        <w:snapToGrid w:val="0"/>
        <w:spacing w:before="156" w:beforeLines="50" w:line="360" w:lineRule="auto"/>
        <w:rPr>
          <w:rFonts w:ascii="宋体" w:hAnsi="宋体"/>
          <w:b/>
          <w:szCs w:val="21"/>
        </w:rPr>
      </w:pPr>
      <w:r>
        <w:rPr>
          <w:rFonts w:hint="eastAsia" w:ascii="宋体" w:hAnsi="宋体"/>
          <w:b/>
          <w:szCs w:val="21"/>
        </w:rPr>
        <w:t>（三）考核要求</w:t>
      </w:r>
    </w:p>
    <w:p>
      <w:pPr>
        <w:spacing w:line="360" w:lineRule="auto"/>
        <w:ind w:firstLine="422" w:firstLineChars="200"/>
      </w:pPr>
      <w:r>
        <w:rPr>
          <w:rFonts w:hint="eastAsia" w:ascii="宋体" w:hAnsi="宋体"/>
          <w:b/>
          <w:szCs w:val="21"/>
        </w:rPr>
        <w:t>1.识记</w:t>
      </w:r>
      <w:r>
        <w:rPr>
          <w:rFonts w:hint="eastAsia" w:ascii="宋体" w:hAnsi="宋体"/>
          <w:szCs w:val="21"/>
        </w:rPr>
        <w:t>：</w:t>
      </w:r>
      <w:r>
        <w:rPr>
          <w:rFonts w:hint="eastAsia" w:cs="宋体"/>
          <w:szCs w:val="20"/>
        </w:rPr>
        <w:t>物流的概念及构成要素；运输振动与果蔬危害；果品蔬菜运输基本原则；实现冷链的三</w:t>
      </w:r>
      <w:r>
        <w:rPr>
          <w:szCs w:val="20"/>
        </w:rPr>
        <w:t xml:space="preserve"> P</w:t>
      </w:r>
      <w:r>
        <w:rPr>
          <w:rFonts w:hint="eastAsia" w:cs="宋体"/>
          <w:szCs w:val="20"/>
        </w:rPr>
        <w:t>、三</w:t>
      </w:r>
      <w:r>
        <w:rPr>
          <w:szCs w:val="20"/>
        </w:rPr>
        <w:t>C</w:t>
      </w:r>
      <w:r>
        <w:rPr>
          <w:rFonts w:hint="eastAsia" w:cs="宋体"/>
          <w:szCs w:val="20"/>
        </w:rPr>
        <w:t>、三</w:t>
      </w:r>
      <w:r>
        <w:rPr>
          <w:szCs w:val="20"/>
        </w:rPr>
        <w:t>T</w:t>
      </w:r>
      <w:r>
        <w:rPr>
          <w:rFonts w:hint="eastAsia" w:cs="宋体"/>
          <w:szCs w:val="20"/>
        </w:rPr>
        <w:t>及三</w:t>
      </w:r>
      <w:r>
        <w:rPr>
          <w:szCs w:val="20"/>
        </w:rPr>
        <w:t>Q</w:t>
      </w:r>
      <w:r>
        <w:rPr>
          <w:rFonts w:hint="eastAsia" w:cs="宋体"/>
          <w:szCs w:val="20"/>
        </w:rPr>
        <w:t>条件。</w:t>
      </w:r>
    </w:p>
    <w:p>
      <w:pPr>
        <w:snapToGrid w:val="0"/>
        <w:spacing w:before="156" w:beforeLines="50"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cs="宋体"/>
          <w:szCs w:val="20"/>
        </w:rPr>
        <w:t>实现果品蔬菜冷链流通体系各环节相互协调管理的关系，处理程序作用及技术操作管理关键。</w:t>
      </w:r>
    </w:p>
    <w:p>
      <w:pPr>
        <w:snapToGrid w:val="0"/>
        <w:spacing w:before="156" w:beforeLines="50" w:line="360" w:lineRule="auto"/>
        <w:ind w:firstLine="422" w:firstLineChars="200"/>
        <w:rPr>
          <w:rFonts w:cs="宋体"/>
          <w:szCs w:val="20"/>
        </w:rPr>
      </w:pPr>
      <w:r>
        <w:rPr>
          <w:rFonts w:hint="eastAsia" w:ascii="宋体" w:hAnsi="宋体"/>
          <w:b/>
          <w:szCs w:val="21"/>
        </w:rPr>
        <w:t>3.应用</w:t>
      </w:r>
      <w:r>
        <w:rPr>
          <w:rFonts w:hint="eastAsia" w:ascii="宋体" w:hAnsi="宋体"/>
          <w:szCs w:val="21"/>
        </w:rPr>
        <w:t>：</w:t>
      </w:r>
      <w:r>
        <w:rPr>
          <w:rFonts w:hint="eastAsia" w:cs="宋体"/>
          <w:szCs w:val="20"/>
        </w:rPr>
        <w:t>根据产品本身特性，制订</w:t>
      </w:r>
      <w:r>
        <w:rPr>
          <w:szCs w:val="20"/>
        </w:rPr>
        <w:t>2-3</w:t>
      </w:r>
      <w:r>
        <w:rPr>
          <w:rFonts w:hint="eastAsia" w:cs="宋体"/>
          <w:szCs w:val="20"/>
        </w:rPr>
        <w:t>种果品或蔬菜的冷链流通体系组成、运作操作环节及其关键技术参数。</w:t>
      </w:r>
    </w:p>
    <w:p>
      <w:pPr>
        <w:snapToGrid w:val="0"/>
        <w:spacing w:before="156" w:beforeLines="50" w:line="360" w:lineRule="auto"/>
        <w:ind w:firstLine="422" w:firstLineChars="200"/>
        <w:rPr>
          <w:rFonts w:ascii="宋体" w:hAnsi="宋体"/>
          <w:color w:val="0000FF"/>
          <w:szCs w:val="21"/>
        </w:rPr>
      </w:pPr>
      <w:r>
        <w:rPr>
          <w:rFonts w:ascii="宋体" w:hAnsi="宋体"/>
          <w:b/>
          <w:szCs w:val="21"/>
        </w:rPr>
        <w:t>4</w:t>
      </w:r>
      <w:r>
        <w:rPr>
          <w:rFonts w:hint="eastAsia" w:ascii="宋体" w:hAnsi="宋体"/>
          <w:b/>
          <w:szCs w:val="21"/>
        </w:rPr>
        <w:t>.综合</w:t>
      </w:r>
      <w:r>
        <w:rPr>
          <w:rFonts w:hint="eastAsia" w:ascii="宋体" w:hAnsi="宋体"/>
          <w:szCs w:val="21"/>
        </w:rPr>
        <w:t>：</w:t>
      </w:r>
      <w:r>
        <w:rPr>
          <w:rFonts w:hint="eastAsia" w:cs="宋体"/>
          <w:szCs w:val="20"/>
        </w:rPr>
        <w:t>从冷链贮运流通与果品蔬菜采后生理的关系，分析目前实现我国冷链流通体系的所需解决的技术关键及相关配套设备。</w:t>
      </w:r>
    </w:p>
    <w:p>
      <w:pPr>
        <w:spacing w:line="360" w:lineRule="auto"/>
        <w:ind w:firstLine="211" w:firstLineChars="100"/>
        <w:jc w:val="center"/>
        <w:rPr>
          <w:sz w:val="24"/>
          <w:szCs w:val="20"/>
        </w:rPr>
      </w:pPr>
      <w:r>
        <w:rPr>
          <w:rFonts w:hint="eastAsia" w:cs="宋体"/>
          <w:b/>
          <w:szCs w:val="20"/>
        </w:rPr>
        <w:t>第六章 果品蔬菜贮藏方式与管理</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rPr>
          <w:b/>
        </w:rPr>
      </w:pPr>
      <w:r>
        <w:rPr>
          <w:b/>
          <w:szCs w:val="20"/>
        </w:rPr>
        <w:t xml:space="preserve">1. </w:t>
      </w:r>
      <w:r>
        <w:rPr>
          <w:rFonts w:hint="eastAsia" w:cs="宋体"/>
          <w:b/>
          <w:szCs w:val="20"/>
        </w:rPr>
        <w:t>一般了解</w:t>
      </w:r>
      <w:r>
        <w:rPr>
          <w:rFonts w:hint="eastAsia" w:cs="宋体"/>
          <w:bCs/>
          <w:szCs w:val="20"/>
        </w:rPr>
        <w:t>：</w:t>
      </w:r>
      <w:r>
        <w:rPr>
          <w:rFonts w:hint="eastAsia" w:cs="宋体"/>
          <w:szCs w:val="20"/>
        </w:rPr>
        <w:t>果品蔬菜主要贮藏方式（常温贮藏、机械冷藏、气调贮藏、冰温贮藏、减压贮藏）的发展。</w:t>
      </w:r>
    </w:p>
    <w:p>
      <w:pPr>
        <w:spacing w:line="360" w:lineRule="auto"/>
        <w:ind w:firstLine="422" w:firstLineChars="200"/>
        <w:rPr>
          <w:b/>
        </w:rPr>
      </w:pPr>
      <w:r>
        <w:rPr>
          <w:b/>
          <w:szCs w:val="20"/>
        </w:rPr>
        <w:t xml:space="preserve">2. </w:t>
      </w:r>
      <w:r>
        <w:rPr>
          <w:rFonts w:hint="eastAsia" w:cs="宋体"/>
          <w:b/>
          <w:szCs w:val="20"/>
        </w:rPr>
        <w:t>一般掌握</w:t>
      </w:r>
      <w:r>
        <w:rPr>
          <w:rFonts w:hint="eastAsia" w:cs="宋体"/>
          <w:bCs/>
          <w:szCs w:val="20"/>
        </w:rPr>
        <w:t>：</w:t>
      </w:r>
      <w:r>
        <w:rPr>
          <w:rFonts w:hint="eastAsia" w:cs="宋体"/>
          <w:szCs w:val="20"/>
        </w:rPr>
        <w:t>果品蔬菜几种简易贮藏设施及管理要点</w:t>
      </w:r>
      <w:r>
        <w:rPr>
          <w:rFonts w:hint="eastAsia" w:cs="宋体"/>
          <w:b/>
          <w:szCs w:val="20"/>
        </w:rPr>
        <w:t>。</w:t>
      </w:r>
    </w:p>
    <w:p>
      <w:pPr>
        <w:spacing w:line="360" w:lineRule="auto"/>
        <w:ind w:firstLine="422" w:firstLineChars="200"/>
      </w:pPr>
      <w:r>
        <w:rPr>
          <w:b/>
          <w:szCs w:val="20"/>
        </w:rPr>
        <w:t xml:space="preserve">3. </w:t>
      </w:r>
      <w:r>
        <w:rPr>
          <w:rFonts w:hint="eastAsia" w:cs="宋体"/>
          <w:b/>
          <w:szCs w:val="20"/>
        </w:rPr>
        <w:t>熟练掌握</w:t>
      </w:r>
      <w:r>
        <w:rPr>
          <w:rFonts w:hint="eastAsia" w:cs="宋体"/>
          <w:bCs/>
          <w:szCs w:val="20"/>
        </w:rPr>
        <w:t>：</w:t>
      </w:r>
      <w:r>
        <w:rPr>
          <w:rFonts w:hint="eastAsia" w:cs="宋体"/>
          <w:szCs w:val="20"/>
        </w:rPr>
        <w:t>机械冷藏、气调贮藏基本原理、贮藏设施特点、主要机械设备组成及贮藏管理技术环节，掌握冷库</w:t>
      </w:r>
      <w:r>
        <w:rPr>
          <w:rFonts w:cs="宋体"/>
          <w:szCs w:val="20"/>
        </w:rPr>
        <w:t>管理</w:t>
      </w:r>
      <w:r>
        <w:rPr>
          <w:rFonts w:hint="eastAsia" w:cs="宋体"/>
          <w:szCs w:val="20"/>
        </w:rPr>
        <w:t>相关</w:t>
      </w:r>
      <w:r>
        <w:rPr>
          <w:rFonts w:cs="宋体"/>
          <w:szCs w:val="20"/>
        </w:rPr>
        <w:t>技术</w:t>
      </w:r>
      <w:r>
        <w:rPr>
          <w:rFonts w:hint="eastAsia" w:cs="宋体"/>
          <w:szCs w:val="20"/>
        </w:rPr>
        <w:t>。</w:t>
      </w:r>
    </w:p>
    <w:p>
      <w:pPr>
        <w:snapToGrid w:val="0"/>
        <w:spacing w:before="156" w:beforeLines="50" w:line="360" w:lineRule="auto"/>
        <w:rPr>
          <w:rFonts w:ascii="宋体" w:hAnsi="宋体"/>
          <w:szCs w:val="21"/>
        </w:rPr>
      </w:pPr>
      <w:r>
        <w:rPr>
          <w:rFonts w:hint="eastAsia" w:ascii="宋体" w:hAnsi="宋体"/>
          <w:b/>
          <w:szCs w:val="21"/>
        </w:rPr>
        <w:t>（二）考核内容</w:t>
      </w:r>
    </w:p>
    <w:p>
      <w:pPr>
        <w:widowControl/>
        <w:adjustRightInd w:val="0"/>
        <w:snapToGrid w:val="0"/>
        <w:spacing w:line="360" w:lineRule="auto"/>
        <w:ind w:firstLine="315" w:firstLineChars="150"/>
        <w:jc w:val="left"/>
      </w:pPr>
      <w:r>
        <w:rPr>
          <w:szCs w:val="20"/>
        </w:rPr>
        <w:t>1</w:t>
      </w:r>
      <w:r>
        <w:rPr>
          <w:rFonts w:hint="eastAsia" w:cs="宋体"/>
          <w:szCs w:val="20"/>
        </w:rPr>
        <w:t>．常温贮藏形式、特点及关键管理技术措施。</w:t>
      </w:r>
    </w:p>
    <w:p>
      <w:pPr>
        <w:widowControl/>
        <w:adjustRightInd w:val="0"/>
        <w:snapToGrid w:val="0"/>
        <w:spacing w:line="360" w:lineRule="auto"/>
        <w:ind w:firstLine="315" w:firstLineChars="150"/>
        <w:jc w:val="left"/>
      </w:pPr>
      <w:r>
        <w:rPr>
          <w:szCs w:val="20"/>
        </w:rPr>
        <w:t>2</w:t>
      </w:r>
      <w:r>
        <w:rPr>
          <w:rFonts w:hint="eastAsia" w:cs="宋体"/>
          <w:szCs w:val="20"/>
        </w:rPr>
        <w:t>．土窑洞贮藏原理、结构特点及管理技术。</w:t>
      </w:r>
    </w:p>
    <w:p>
      <w:pPr>
        <w:widowControl/>
        <w:adjustRightInd w:val="0"/>
        <w:snapToGrid w:val="0"/>
        <w:spacing w:line="360" w:lineRule="auto"/>
        <w:ind w:firstLine="315" w:firstLineChars="150"/>
        <w:jc w:val="left"/>
      </w:pPr>
      <w:r>
        <w:rPr>
          <w:szCs w:val="20"/>
        </w:rPr>
        <w:t>3</w:t>
      </w:r>
      <w:r>
        <w:rPr>
          <w:rFonts w:hint="eastAsia" w:cs="宋体"/>
          <w:szCs w:val="20"/>
        </w:rPr>
        <w:t>．机械制冷原理、设备组成、冷库建造特点及管理技术。</w:t>
      </w:r>
    </w:p>
    <w:p>
      <w:pPr>
        <w:widowControl/>
        <w:adjustRightInd w:val="0"/>
        <w:snapToGrid w:val="0"/>
        <w:spacing w:line="360" w:lineRule="auto"/>
        <w:ind w:firstLine="315" w:firstLineChars="150"/>
        <w:jc w:val="left"/>
      </w:pPr>
      <w:r>
        <w:rPr>
          <w:szCs w:val="20"/>
        </w:rPr>
        <w:t>4</w:t>
      </w:r>
      <w:r>
        <w:rPr>
          <w:rFonts w:hint="eastAsia" w:cs="宋体"/>
          <w:szCs w:val="20"/>
        </w:rPr>
        <w:t>．气调贮藏原理、库体建造特点及</w:t>
      </w:r>
      <w:r>
        <w:rPr>
          <w:szCs w:val="20"/>
        </w:rPr>
        <w:t>CA</w:t>
      </w:r>
      <w:r>
        <w:rPr>
          <w:rFonts w:hint="eastAsia" w:cs="宋体"/>
          <w:szCs w:val="20"/>
        </w:rPr>
        <w:t>库设备组成和贮藏管理技术要点。</w:t>
      </w:r>
    </w:p>
    <w:p>
      <w:pPr>
        <w:widowControl/>
        <w:adjustRightInd w:val="0"/>
        <w:snapToGrid w:val="0"/>
        <w:spacing w:line="360" w:lineRule="auto"/>
        <w:ind w:firstLine="315" w:firstLineChars="150"/>
        <w:jc w:val="left"/>
        <w:rPr>
          <w:rFonts w:cs="宋体"/>
          <w:szCs w:val="20"/>
        </w:rPr>
      </w:pPr>
      <w:r>
        <w:rPr>
          <w:szCs w:val="20"/>
        </w:rPr>
        <w:t>5</w:t>
      </w:r>
      <w:r>
        <w:rPr>
          <w:rFonts w:hint="eastAsia" w:cs="宋体"/>
          <w:szCs w:val="20"/>
        </w:rPr>
        <w:t>．减压贮藏、冰温贮藏原理、特点。</w:t>
      </w:r>
    </w:p>
    <w:p>
      <w:pPr>
        <w:widowControl/>
        <w:adjustRightInd w:val="0"/>
        <w:snapToGrid w:val="0"/>
        <w:spacing w:line="360" w:lineRule="auto"/>
        <w:ind w:firstLine="315" w:firstLineChars="150"/>
        <w:jc w:val="left"/>
        <w:rPr>
          <w:rFonts w:cs="宋体"/>
          <w:szCs w:val="20"/>
        </w:rPr>
      </w:pPr>
      <w:r>
        <w:rPr>
          <w:szCs w:val="20"/>
        </w:rPr>
        <w:t>6</w:t>
      </w:r>
      <w:r>
        <w:rPr>
          <w:rFonts w:hint="eastAsia" w:cs="宋体"/>
          <w:szCs w:val="20"/>
        </w:rPr>
        <w:t>．掌握冷库贮藏</w:t>
      </w:r>
      <w:r>
        <w:rPr>
          <w:rFonts w:cs="宋体"/>
          <w:szCs w:val="20"/>
        </w:rPr>
        <w:t>、气调贮藏关键管理技术环节</w:t>
      </w:r>
      <w:r>
        <w:rPr>
          <w:rFonts w:hint="eastAsia" w:cs="宋体"/>
          <w:szCs w:val="20"/>
        </w:rPr>
        <w:t>。</w:t>
      </w:r>
    </w:p>
    <w:p>
      <w:pPr>
        <w:snapToGrid w:val="0"/>
        <w:spacing w:before="156" w:beforeLines="50" w:line="360" w:lineRule="auto"/>
        <w:rPr>
          <w:rFonts w:ascii="宋体" w:hAnsi="宋体"/>
          <w:b/>
          <w:szCs w:val="21"/>
        </w:rPr>
      </w:pPr>
      <w:r>
        <w:rPr>
          <w:rFonts w:hint="eastAsia" w:ascii="宋体" w:hAnsi="宋体"/>
          <w:b/>
          <w:szCs w:val="21"/>
        </w:rPr>
        <w:t>（三）考核要求</w:t>
      </w:r>
    </w:p>
    <w:p>
      <w:pPr>
        <w:widowControl/>
        <w:adjustRightInd w:val="0"/>
        <w:snapToGrid w:val="0"/>
        <w:spacing w:line="360" w:lineRule="auto"/>
        <w:ind w:firstLine="422" w:firstLineChars="200"/>
        <w:jc w:val="left"/>
      </w:pPr>
      <w:r>
        <w:rPr>
          <w:rFonts w:hint="eastAsia" w:ascii="宋体" w:hAnsi="宋体"/>
          <w:b/>
          <w:szCs w:val="21"/>
        </w:rPr>
        <w:t>1.识记</w:t>
      </w:r>
      <w:r>
        <w:rPr>
          <w:rFonts w:hint="eastAsia" w:ascii="宋体" w:hAnsi="宋体"/>
          <w:szCs w:val="21"/>
        </w:rPr>
        <w:t>：</w:t>
      </w:r>
      <w:r>
        <w:rPr>
          <w:rFonts w:hint="eastAsia" w:cs="宋体"/>
          <w:szCs w:val="20"/>
        </w:rPr>
        <w:t>土窑洞贮藏；机械冷藏；气调贮藏；</w:t>
      </w:r>
      <w:r>
        <w:rPr>
          <w:szCs w:val="20"/>
        </w:rPr>
        <w:t>MA</w:t>
      </w:r>
      <w:r>
        <w:rPr>
          <w:rFonts w:hint="eastAsia" w:cs="宋体"/>
          <w:szCs w:val="20"/>
        </w:rPr>
        <w:t>贮藏；减压贮藏、冰温贮藏定义。</w:t>
      </w:r>
    </w:p>
    <w:p>
      <w:pPr>
        <w:snapToGrid w:val="0"/>
        <w:spacing w:before="156" w:beforeLines="50"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cs="宋体"/>
          <w:szCs w:val="20"/>
        </w:rPr>
        <w:t>常温贮藏在运用自然冷源方面的特点；机械制冷原理及设备组成；气调贮藏中温度和气体的综合作用对于果蔬贮藏保鲜的意义。</w:t>
      </w:r>
    </w:p>
    <w:p>
      <w:pPr>
        <w:widowControl/>
        <w:adjustRightInd w:val="0"/>
        <w:snapToGrid w:val="0"/>
        <w:spacing w:line="360" w:lineRule="auto"/>
        <w:ind w:firstLine="422" w:firstLineChars="200"/>
        <w:jc w:val="left"/>
      </w:pPr>
      <w:r>
        <w:rPr>
          <w:rFonts w:hint="eastAsia" w:ascii="宋体" w:hAnsi="宋体"/>
          <w:b/>
          <w:szCs w:val="21"/>
        </w:rPr>
        <w:t>3.应用</w:t>
      </w:r>
      <w:r>
        <w:rPr>
          <w:rFonts w:hint="eastAsia" w:ascii="宋体" w:hAnsi="宋体"/>
          <w:szCs w:val="21"/>
        </w:rPr>
        <w:t>：</w:t>
      </w:r>
      <w:r>
        <w:rPr>
          <w:rFonts w:hint="eastAsia" w:cs="宋体"/>
          <w:szCs w:val="20"/>
        </w:rPr>
        <w:t>运用常温贮藏进行当地常见果蔬的短期保鲜；制订主要果蔬冷藏方案及管理技术关键。</w:t>
      </w:r>
    </w:p>
    <w:p>
      <w:pPr>
        <w:snapToGrid w:val="0"/>
        <w:spacing w:before="156" w:beforeLines="50" w:line="360" w:lineRule="auto"/>
        <w:ind w:firstLine="422" w:firstLineChars="200"/>
        <w:rPr>
          <w:rFonts w:cs="宋体"/>
          <w:sz w:val="24"/>
          <w:szCs w:val="20"/>
        </w:rPr>
      </w:pPr>
      <w:r>
        <w:rPr>
          <w:rFonts w:ascii="宋体" w:hAnsi="宋体"/>
          <w:b/>
          <w:szCs w:val="21"/>
        </w:rPr>
        <w:t>4</w:t>
      </w:r>
      <w:r>
        <w:rPr>
          <w:rFonts w:hint="eastAsia" w:ascii="宋体" w:hAnsi="宋体"/>
          <w:b/>
          <w:szCs w:val="21"/>
        </w:rPr>
        <w:t>.综合</w:t>
      </w:r>
      <w:r>
        <w:rPr>
          <w:rFonts w:hint="eastAsia" w:ascii="宋体" w:hAnsi="宋体"/>
          <w:szCs w:val="21"/>
        </w:rPr>
        <w:t>：</w:t>
      </w:r>
      <w:r>
        <w:rPr>
          <w:rFonts w:hint="eastAsia" w:cs="宋体"/>
          <w:szCs w:val="20"/>
        </w:rPr>
        <w:t>根据果品蔬菜品种特点，制订其</w:t>
      </w:r>
      <w:r>
        <w:rPr>
          <w:szCs w:val="20"/>
        </w:rPr>
        <w:t>CA</w:t>
      </w:r>
      <w:r>
        <w:rPr>
          <w:rFonts w:hint="eastAsia" w:cs="宋体"/>
          <w:szCs w:val="20"/>
        </w:rPr>
        <w:t>贮藏方案及技术关键点；几种主要果蔬</w:t>
      </w:r>
      <w:r>
        <w:rPr>
          <w:szCs w:val="20"/>
        </w:rPr>
        <w:t xml:space="preserve"> MA</w:t>
      </w:r>
      <w:r>
        <w:rPr>
          <w:rFonts w:hint="eastAsia" w:cs="宋体"/>
          <w:szCs w:val="20"/>
        </w:rPr>
        <w:t>运输及销售包装的关键管理技术</w:t>
      </w:r>
      <w:r>
        <w:rPr>
          <w:rFonts w:hint="eastAsia" w:cs="宋体"/>
          <w:sz w:val="24"/>
          <w:szCs w:val="20"/>
        </w:rPr>
        <w:t>。</w:t>
      </w:r>
    </w:p>
    <w:p>
      <w:pPr>
        <w:spacing w:line="360" w:lineRule="auto"/>
        <w:ind w:firstLine="211" w:firstLineChars="100"/>
        <w:jc w:val="center"/>
        <w:rPr>
          <w:sz w:val="24"/>
          <w:szCs w:val="20"/>
        </w:rPr>
      </w:pPr>
      <w:r>
        <w:rPr>
          <w:rFonts w:hint="eastAsia" w:cs="宋体"/>
          <w:b/>
          <w:szCs w:val="20"/>
        </w:rPr>
        <w:t>第七章 果品蔬菜采后病害</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rPr>
          <w:b/>
        </w:rPr>
      </w:pPr>
      <w:r>
        <w:rPr>
          <w:b/>
          <w:szCs w:val="20"/>
        </w:rPr>
        <w:t xml:space="preserve">1. </w:t>
      </w:r>
      <w:r>
        <w:rPr>
          <w:rFonts w:hint="eastAsia" w:cs="宋体"/>
          <w:b/>
          <w:szCs w:val="20"/>
        </w:rPr>
        <w:t>一般了解</w:t>
      </w:r>
      <w:r>
        <w:rPr>
          <w:rFonts w:hint="eastAsia" w:cs="宋体"/>
          <w:bCs/>
          <w:szCs w:val="20"/>
        </w:rPr>
        <w:t>：</w:t>
      </w:r>
      <w:r>
        <w:rPr>
          <w:rFonts w:hint="eastAsia" w:ascii="宋体" w:hAnsi="宋体"/>
          <w:kern w:val="0"/>
        </w:rPr>
        <w:t>园艺产品贮运期间侵染性病害、生理性病害的定义及发生原因；采后果蔬的主要虫害种类、危害特点及防治措施</w:t>
      </w:r>
      <w:r>
        <w:rPr>
          <w:rFonts w:hint="eastAsia" w:cs="宋体"/>
          <w:szCs w:val="20"/>
        </w:rPr>
        <w:t>。</w:t>
      </w:r>
    </w:p>
    <w:p>
      <w:pPr>
        <w:spacing w:line="360" w:lineRule="auto"/>
        <w:ind w:firstLine="422" w:firstLineChars="200"/>
        <w:rPr>
          <w:b/>
        </w:rPr>
      </w:pPr>
      <w:r>
        <w:rPr>
          <w:b/>
          <w:szCs w:val="20"/>
        </w:rPr>
        <w:t xml:space="preserve">2. </w:t>
      </w:r>
      <w:r>
        <w:rPr>
          <w:rFonts w:hint="eastAsia" w:cs="宋体"/>
          <w:b/>
          <w:szCs w:val="20"/>
        </w:rPr>
        <w:t>一般掌握</w:t>
      </w:r>
      <w:r>
        <w:rPr>
          <w:rFonts w:hint="eastAsia" w:cs="宋体"/>
          <w:bCs/>
          <w:szCs w:val="20"/>
        </w:rPr>
        <w:t>：</w:t>
      </w:r>
      <w:r>
        <w:rPr>
          <w:rFonts w:hint="eastAsia" w:ascii="宋体" w:hAnsi="宋体"/>
          <w:kern w:val="0"/>
        </w:rPr>
        <w:t>侵染性病害、生理性病害两种病害的综合防治技术措施</w:t>
      </w:r>
      <w:r>
        <w:rPr>
          <w:rFonts w:hint="eastAsia" w:cs="宋体"/>
          <w:szCs w:val="20"/>
        </w:rPr>
        <w:t>。</w:t>
      </w:r>
    </w:p>
    <w:p>
      <w:pPr>
        <w:spacing w:line="360" w:lineRule="auto"/>
        <w:ind w:firstLine="422" w:firstLineChars="200"/>
      </w:pPr>
      <w:r>
        <w:rPr>
          <w:b/>
          <w:szCs w:val="20"/>
        </w:rPr>
        <w:t xml:space="preserve">3. </w:t>
      </w:r>
      <w:r>
        <w:rPr>
          <w:rFonts w:hint="eastAsia" w:cs="宋体"/>
          <w:b/>
          <w:szCs w:val="20"/>
        </w:rPr>
        <w:t>熟练掌握</w:t>
      </w:r>
      <w:r>
        <w:rPr>
          <w:rFonts w:hint="eastAsia" w:cs="宋体"/>
          <w:bCs/>
          <w:szCs w:val="20"/>
        </w:rPr>
        <w:t>：</w:t>
      </w:r>
      <w:r>
        <w:rPr>
          <w:rFonts w:hint="eastAsia" w:ascii="宋体" w:hAnsi="宋体"/>
          <w:kern w:val="0"/>
        </w:rPr>
        <w:t>主要果品、蔬菜病害发生原因、症状及降低产品病害发生的技术措施</w:t>
      </w:r>
      <w:r>
        <w:rPr>
          <w:rFonts w:hint="eastAsia" w:cs="宋体"/>
          <w:szCs w:val="20"/>
        </w:rPr>
        <w:t>。</w:t>
      </w:r>
    </w:p>
    <w:p>
      <w:pPr>
        <w:snapToGrid w:val="0"/>
        <w:spacing w:before="156" w:beforeLines="50" w:line="360" w:lineRule="auto"/>
        <w:rPr>
          <w:rFonts w:ascii="宋体" w:hAnsi="宋体"/>
          <w:szCs w:val="21"/>
        </w:rPr>
      </w:pPr>
      <w:r>
        <w:rPr>
          <w:rFonts w:hint="eastAsia" w:ascii="宋体" w:hAnsi="宋体"/>
          <w:b/>
          <w:szCs w:val="21"/>
        </w:rPr>
        <w:t>（二）考核内容</w:t>
      </w:r>
    </w:p>
    <w:p>
      <w:pPr>
        <w:widowControl/>
        <w:adjustRightInd w:val="0"/>
        <w:snapToGrid w:val="0"/>
        <w:spacing w:line="360" w:lineRule="auto"/>
        <w:ind w:firstLine="315" w:firstLineChars="150"/>
        <w:jc w:val="left"/>
      </w:pPr>
      <w:r>
        <w:rPr>
          <w:szCs w:val="20"/>
        </w:rPr>
        <w:t>1</w:t>
      </w:r>
      <w:r>
        <w:rPr>
          <w:rFonts w:hint="eastAsia" w:cs="宋体"/>
          <w:szCs w:val="20"/>
        </w:rPr>
        <w:t>．</w:t>
      </w:r>
      <w:r>
        <w:rPr>
          <w:rFonts w:hint="eastAsia" w:ascii="宋体" w:hAnsi="宋体"/>
          <w:kern w:val="0"/>
        </w:rPr>
        <w:t>园艺产品贮运期间侵染性病害的</w:t>
      </w:r>
      <w:r>
        <w:rPr>
          <w:rFonts w:ascii="宋体" w:hAnsi="宋体"/>
          <w:kern w:val="0"/>
        </w:rPr>
        <w:t>特点以及影响发病的因素有哪些</w:t>
      </w:r>
      <w:r>
        <w:rPr>
          <w:rFonts w:hint="eastAsia" w:cs="宋体"/>
          <w:szCs w:val="20"/>
        </w:rPr>
        <w:t>。</w:t>
      </w:r>
    </w:p>
    <w:p>
      <w:pPr>
        <w:widowControl/>
        <w:adjustRightInd w:val="0"/>
        <w:snapToGrid w:val="0"/>
        <w:spacing w:line="360" w:lineRule="auto"/>
        <w:ind w:firstLine="315" w:firstLineChars="150"/>
        <w:jc w:val="left"/>
      </w:pPr>
      <w:r>
        <w:rPr>
          <w:szCs w:val="20"/>
        </w:rPr>
        <w:t>2</w:t>
      </w:r>
      <w:r>
        <w:rPr>
          <w:rFonts w:hint="eastAsia" w:cs="宋体"/>
          <w:szCs w:val="20"/>
        </w:rPr>
        <w:t>．</w:t>
      </w:r>
      <w:r>
        <w:rPr>
          <w:rFonts w:hint="eastAsia" w:ascii="宋体" w:hAnsi="宋体"/>
          <w:kern w:val="0"/>
        </w:rPr>
        <w:t>侵染性病害的诊断</w:t>
      </w:r>
      <w:r>
        <w:rPr>
          <w:rFonts w:ascii="宋体" w:hAnsi="宋体"/>
          <w:kern w:val="0"/>
        </w:rPr>
        <w:t>以及综合</w:t>
      </w:r>
      <w:r>
        <w:rPr>
          <w:rFonts w:hint="eastAsia" w:ascii="宋体" w:hAnsi="宋体"/>
          <w:kern w:val="0"/>
        </w:rPr>
        <w:t>防治</w:t>
      </w:r>
      <w:r>
        <w:rPr>
          <w:rFonts w:ascii="宋体" w:hAnsi="宋体"/>
          <w:kern w:val="0"/>
        </w:rPr>
        <w:t>措施</w:t>
      </w:r>
      <w:r>
        <w:rPr>
          <w:rFonts w:hint="eastAsia" w:cs="宋体"/>
          <w:szCs w:val="20"/>
        </w:rPr>
        <w:t>。</w:t>
      </w:r>
    </w:p>
    <w:p>
      <w:pPr>
        <w:widowControl/>
        <w:adjustRightInd w:val="0"/>
        <w:snapToGrid w:val="0"/>
        <w:spacing w:line="360" w:lineRule="auto"/>
        <w:ind w:firstLine="315" w:firstLineChars="150"/>
        <w:jc w:val="left"/>
      </w:pPr>
      <w:r>
        <w:rPr>
          <w:szCs w:val="20"/>
        </w:rPr>
        <w:t>3</w:t>
      </w:r>
      <w:r>
        <w:rPr>
          <w:rFonts w:hint="eastAsia" w:cs="宋体"/>
          <w:szCs w:val="20"/>
        </w:rPr>
        <w:t>．生理性病害致病因素。</w:t>
      </w:r>
    </w:p>
    <w:p>
      <w:pPr>
        <w:widowControl/>
        <w:adjustRightInd w:val="0"/>
        <w:snapToGrid w:val="0"/>
        <w:spacing w:line="360" w:lineRule="auto"/>
        <w:ind w:firstLine="315" w:firstLineChars="150"/>
        <w:jc w:val="left"/>
      </w:pPr>
      <w:r>
        <w:rPr>
          <w:szCs w:val="20"/>
        </w:rPr>
        <w:t>4</w:t>
      </w:r>
      <w:r>
        <w:rPr>
          <w:rFonts w:hint="eastAsia" w:cs="宋体"/>
          <w:szCs w:val="20"/>
        </w:rPr>
        <w:t>．控制生理性病害的</w:t>
      </w:r>
      <w:r>
        <w:rPr>
          <w:rFonts w:cs="宋体"/>
          <w:szCs w:val="20"/>
        </w:rPr>
        <w:t>主要措施</w:t>
      </w:r>
      <w:r>
        <w:rPr>
          <w:rFonts w:hint="eastAsia" w:cs="宋体"/>
          <w:szCs w:val="20"/>
        </w:rPr>
        <w:t>。</w:t>
      </w:r>
    </w:p>
    <w:p>
      <w:pPr>
        <w:widowControl/>
        <w:adjustRightInd w:val="0"/>
        <w:snapToGrid w:val="0"/>
        <w:spacing w:line="360" w:lineRule="auto"/>
        <w:ind w:firstLine="315" w:firstLineChars="150"/>
        <w:jc w:val="left"/>
        <w:rPr>
          <w:rFonts w:cs="宋体"/>
          <w:szCs w:val="20"/>
        </w:rPr>
      </w:pPr>
      <w:r>
        <w:rPr>
          <w:szCs w:val="20"/>
        </w:rPr>
        <w:t>5</w:t>
      </w:r>
      <w:r>
        <w:rPr>
          <w:rFonts w:hint="eastAsia" w:cs="宋体"/>
          <w:szCs w:val="20"/>
        </w:rPr>
        <w:t>．果品蔬菜主要的</w:t>
      </w:r>
      <w:r>
        <w:rPr>
          <w:rFonts w:cs="宋体"/>
          <w:szCs w:val="20"/>
        </w:rPr>
        <w:t>害虫种类以及危害</w:t>
      </w:r>
      <w:r>
        <w:rPr>
          <w:rFonts w:hint="eastAsia" w:cs="宋体"/>
          <w:szCs w:val="20"/>
        </w:rPr>
        <w:t>。</w:t>
      </w:r>
    </w:p>
    <w:p>
      <w:pPr>
        <w:snapToGrid w:val="0"/>
        <w:spacing w:before="156" w:beforeLines="50" w:line="360" w:lineRule="auto"/>
        <w:rPr>
          <w:rFonts w:ascii="宋体" w:hAnsi="宋体"/>
          <w:b/>
          <w:szCs w:val="21"/>
        </w:rPr>
      </w:pPr>
      <w:r>
        <w:rPr>
          <w:rFonts w:hint="eastAsia" w:ascii="宋体" w:hAnsi="宋体"/>
          <w:b/>
          <w:szCs w:val="21"/>
        </w:rPr>
        <w:t>（三）考核要求</w:t>
      </w:r>
    </w:p>
    <w:p>
      <w:pPr>
        <w:widowControl/>
        <w:adjustRightInd w:val="0"/>
        <w:snapToGrid w:val="0"/>
        <w:spacing w:line="360" w:lineRule="auto"/>
        <w:ind w:firstLine="422" w:firstLineChars="200"/>
        <w:jc w:val="left"/>
      </w:pPr>
      <w:r>
        <w:rPr>
          <w:rFonts w:hint="eastAsia" w:ascii="宋体" w:hAnsi="宋体"/>
          <w:b/>
          <w:szCs w:val="21"/>
        </w:rPr>
        <w:t>1.识记</w:t>
      </w:r>
      <w:r>
        <w:rPr>
          <w:rFonts w:hint="eastAsia" w:ascii="宋体" w:hAnsi="宋体"/>
          <w:szCs w:val="21"/>
        </w:rPr>
        <w:t>：</w:t>
      </w:r>
      <w:r>
        <w:rPr>
          <w:rFonts w:hint="eastAsia" w:cs="宋体"/>
          <w:szCs w:val="20"/>
        </w:rPr>
        <w:t>侵染性</w:t>
      </w:r>
      <w:r>
        <w:rPr>
          <w:rFonts w:cs="宋体"/>
          <w:szCs w:val="20"/>
        </w:rPr>
        <w:t>病害和生理性病害的特点以及果品蔬菜主要的害虫种类</w:t>
      </w:r>
      <w:r>
        <w:rPr>
          <w:rFonts w:hint="eastAsia" w:cs="宋体"/>
          <w:szCs w:val="20"/>
        </w:rPr>
        <w:t>。</w:t>
      </w:r>
    </w:p>
    <w:p>
      <w:pPr>
        <w:snapToGrid w:val="0"/>
        <w:spacing w:before="156" w:beforeLines="50"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：领会</w:t>
      </w:r>
      <w:r>
        <w:rPr>
          <w:rFonts w:hint="eastAsia" w:ascii="宋体" w:hAnsi="宋体"/>
          <w:kern w:val="0"/>
        </w:rPr>
        <w:t>园艺产品贮运期间侵染性病害和</w:t>
      </w:r>
      <w:r>
        <w:rPr>
          <w:rFonts w:ascii="宋体" w:hAnsi="宋体"/>
          <w:kern w:val="0"/>
        </w:rPr>
        <w:t>生理性病害</w:t>
      </w:r>
      <w:r>
        <w:rPr>
          <w:rFonts w:hint="eastAsia" w:ascii="宋体" w:hAnsi="宋体"/>
          <w:kern w:val="0"/>
        </w:rPr>
        <w:t>的</w:t>
      </w:r>
      <w:r>
        <w:rPr>
          <w:rFonts w:ascii="宋体" w:hAnsi="宋体"/>
          <w:kern w:val="0"/>
        </w:rPr>
        <w:t>特点以及影响发病的因素</w:t>
      </w:r>
      <w:r>
        <w:rPr>
          <w:rFonts w:hint="eastAsia" w:cs="宋体"/>
          <w:szCs w:val="20"/>
        </w:rPr>
        <w:t>。</w:t>
      </w:r>
    </w:p>
    <w:p>
      <w:pPr>
        <w:widowControl/>
        <w:adjustRightInd w:val="0"/>
        <w:snapToGrid w:val="0"/>
        <w:spacing w:line="360" w:lineRule="auto"/>
        <w:ind w:firstLine="422" w:firstLineChars="200"/>
        <w:jc w:val="left"/>
      </w:pPr>
      <w:r>
        <w:rPr>
          <w:rFonts w:hint="eastAsia" w:ascii="宋体" w:hAnsi="宋体"/>
          <w:b/>
          <w:szCs w:val="21"/>
        </w:rPr>
        <w:t>3.应用</w:t>
      </w:r>
      <w:r>
        <w:rPr>
          <w:rFonts w:hint="eastAsia" w:ascii="宋体" w:hAnsi="宋体"/>
          <w:szCs w:val="21"/>
        </w:rPr>
        <w:t>：</w:t>
      </w:r>
      <w:r>
        <w:rPr>
          <w:rFonts w:hint="eastAsia" w:cs="宋体"/>
          <w:szCs w:val="20"/>
        </w:rPr>
        <w:t>运用所学知识提出</w:t>
      </w:r>
      <w:r>
        <w:rPr>
          <w:rFonts w:cs="宋体"/>
          <w:szCs w:val="20"/>
        </w:rPr>
        <w:t>控制病害的主要措施。</w:t>
      </w:r>
    </w:p>
    <w:p>
      <w:pPr>
        <w:snapToGrid w:val="0"/>
        <w:spacing w:before="156" w:beforeLines="50" w:line="360" w:lineRule="auto"/>
        <w:ind w:firstLine="422" w:firstLineChars="200"/>
        <w:rPr>
          <w:rFonts w:cs="宋体"/>
          <w:sz w:val="24"/>
          <w:szCs w:val="20"/>
        </w:rPr>
      </w:pPr>
      <w:r>
        <w:rPr>
          <w:rFonts w:ascii="宋体" w:hAnsi="宋体"/>
          <w:b/>
          <w:szCs w:val="21"/>
        </w:rPr>
        <w:t>4</w:t>
      </w:r>
      <w:r>
        <w:rPr>
          <w:rFonts w:hint="eastAsia" w:ascii="宋体" w:hAnsi="宋体"/>
          <w:b/>
          <w:szCs w:val="21"/>
        </w:rPr>
        <w:t>.综合</w:t>
      </w:r>
      <w:r>
        <w:rPr>
          <w:rFonts w:hint="eastAsia" w:ascii="宋体" w:hAnsi="宋体"/>
          <w:szCs w:val="21"/>
        </w:rPr>
        <w:t>：</w:t>
      </w:r>
      <w:r>
        <w:rPr>
          <w:rFonts w:hint="eastAsia" w:cs="宋体"/>
          <w:szCs w:val="20"/>
        </w:rPr>
        <w:t>综合本章</w:t>
      </w:r>
      <w:r>
        <w:rPr>
          <w:rFonts w:cs="宋体"/>
          <w:szCs w:val="20"/>
        </w:rPr>
        <w:t>内容，掌握</w:t>
      </w:r>
      <w:r>
        <w:rPr>
          <w:rFonts w:hint="eastAsia" w:cs="宋体"/>
          <w:szCs w:val="20"/>
        </w:rPr>
        <w:t>侵染性</w:t>
      </w:r>
      <w:r>
        <w:rPr>
          <w:rFonts w:cs="宋体"/>
          <w:szCs w:val="20"/>
        </w:rPr>
        <w:t>病害和生理性病害的</w:t>
      </w:r>
      <w:r>
        <w:rPr>
          <w:rFonts w:hint="eastAsia" w:cs="宋体"/>
          <w:szCs w:val="20"/>
        </w:rPr>
        <w:t>异同点</w:t>
      </w:r>
      <w:r>
        <w:rPr>
          <w:rFonts w:cs="宋体"/>
          <w:szCs w:val="20"/>
        </w:rPr>
        <w:t>及果品蔬菜主要的害虫种类</w:t>
      </w:r>
      <w:r>
        <w:rPr>
          <w:rFonts w:hint="eastAsia" w:cs="宋体"/>
          <w:szCs w:val="20"/>
        </w:rPr>
        <w:t>，</w:t>
      </w:r>
      <w:r>
        <w:rPr>
          <w:rFonts w:cs="宋体"/>
          <w:szCs w:val="20"/>
        </w:rPr>
        <w:t>并</w:t>
      </w:r>
      <w:r>
        <w:rPr>
          <w:rFonts w:hint="eastAsia" w:cs="宋体"/>
          <w:szCs w:val="20"/>
        </w:rPr>
        <w:t>根据病害实际情况，</w:t>
      </w:r>
      <w:r>
        <w:rPr>
          <w:rFonts w:cs="宋体"/>
          <w:szCs w:val="20"/>
        </w:rPr>
        <w:t>提出相应防控措施。</w:t>
      </w:r>
    </w:p>
    <w:p>
      <w:pPr>
        <w:spacing w:line="360" w:lineRule="auto"/>
        <w:ind w:firstLine="211" w:firstLineChars="100"/>
        <w:jc w:val="center"/>
        <w:rPr>
          <w:sz w:val="24"/>
          <w:szCs w:val="20"/>
        </w:rPr>
      </w:pPr>
      <w:r>
        <w:rPr>
          <w:rFonts w:hint="eastAsia" w:cs="宋体"/>
          <w:b/>
          <w:szCs w:val="20"/>
        </w:rPr>
        <w:t>第八章 各类果品、蔬菜、花卉贮藏</w:t>
      </w:r>
    </w:p>
    <w:p>
      <w:pPr>
        <w:snapToGrid w:val="0"/>
        <w:spacing w:line="360" w:lineRule="auto"/>
        <w:rPr>
          <w:rFonts w:ascii="宋体" w:hAnsi="宋体"/>
          <w:b/>
          <w:szCs w:val="21"/>
        </w:rPr>
      </w:pPr>
      <w:r>
        <w:rPr>
          <w:rFonts w:hint="eastAsia" w:ascii="宋体" w:hAnsi="宋体"/>
          <w:b/>
          <w:szCs w:val="21"/>
        </w:rPr>
        <w:t>（一）学习目标</w:t>
      </w:r>
    </w:p>
    <w:p>
      <w:pPr>
        <w:spacing w:line="360" w:lineRule="auto"/>
        <w:ind w:firstLine="422" w:firstLineChars="200"/>
        <w:rPr>
          <w:b/>
        </w:rPr>
      </w:pPr>
      <w:r>
        <w:rPr>
          <w:b/>
          <w:szCs w:val="20"/>
        </w:rPr>
        <w:t xml:space="preserve">1. </w:t>
      </w:r>
      <w:r>
        <w:rPr>
          <w:rFonts w:hint="eastAsia" w:cs="宋体"/>
          <w:b/>
          <w:szCs w:val="20"/>
        </w:rPr>
        <w:t>一般了解</w:t>
      </w:r>
      <w:r>
        <w:rPr>
          <w:rFonts w:hint="eastAsia" w:cs="宋体"/>
          <w:bCs/>
          <w:szCs w:val="20"/>
        </w:rPr>
        <w:t>：</w:t>
      </w:r>
      <w:r>
        <w:rPr>
          <w:rFonts w:hint="eastAsia" w:ascii="宋体" w:hAnsi="宋体"/>
          <w:kern w:val="0"/>
        </w:rPr>
        <w:t>影响主要果品类（苹果、梨、香蕉、柑橘、葡萄、猕猴桃、大枣、核果类（桃、李、杏）、坚果类、浆果类（十字、石榴及草莓）贮藏特性；影响叶菜类（绿叶菜、甘蓝、芹菜）、果菜类（番茄、辣椒、茄子、菜豆和黄瓜、苦瓜、冬瓜和南瓜）、花菜类（花椰菜、青花菜、蒜薹）、地下茎类（萝卜和胡萝卜、马铃薯、洋葱、大蒜、山药）、西甜瓜的贮藏特性；了解常见鲜切花（月季、康乃馨、菊花、非洲菊、唐菖蒲）等的贮运特性。</w:t>
      </w:r>
    </w:p>
    <w:p>
      <w:pPr>
        <w:spacing w:line="360" w:lineRule="auto"/>
        <w:ind w:firstLine="422" w:firstLineChars="200"/>
        <w:rPr>
          <w:b/>
        </w:rPr>
      </w:pPr>
      <w:r>
        <w:rPr>
          <w:b/>
          <w:szCs w:val="20"/>
        </w:rPr>
        <w:t xml:space="preserve">2. </w:t>
      </w:r>
      <w:r>
        <w:rPr>
          <w:rFonts w:hint="eastAsia" w:cs="宋体"/>
          <w:b/>
          <w:szCs w:val="20"/>
        </w:rPr>
        <w:t>一般掌握</w:t>
      </w:r>
      <w:r>
        <w:rPr>
          <w:rFonts w:hint="eastAsia" w:cs="宋体"/>
          <w:bCs/>
          <w:szCs w:val="20"/>
        </w:rPr>
        <w:t>：</w:t>
      </w:r>
      <w:r>
        <w:rPr>
          <w:rFonts w:hint="eastAsia" w:ascii="宋体" w:hAnsi="宋体"/>
          <w:kern w:val="0"/>
        </w:rPr>
        <w:t>主要果品、蔬菜种类、常见几种鲜切花的贮藏技术及关键技术参数</w:t>
      </w:r>
      <w:r>
        <w:rPr>
          <w:rFonts w:hint="eastAsia" w:cs="宋体"/>
          <w:szCs w:val="20"/>
        </w:rPr>
        <w:t>。</w:t>
      </w:r>
    </w:p>
    <w:p>
      <w:pPr>
        <w:spacing w:line="360" w:lineRule="auto"/>
        <w:ind w:firstLine="422" w:firstLineChars="200"/>
      </w:pPr>
      <w:r>
        <w:rPr>
          <w:b/>
          <w:szCs w:val="20"/>
        </w:rPr>
        <w:t xml:space="preserve">3. </w:t>
      </w:r>
      <w:r>
        <w:rPr>
          <w:rFonts w:hint="eastAsia" w:cs="宋体"/>
          <w:b/>
          <w:szCs w:val="20"/>
        </w:rPr>
        <w:t>熟练掌握</w:t>
      </w:r>
      <w:r>
        <w:rPr>
          <w:rFonts w:hint="eastAsia" w:cs="宋体"/>
          <w:bCs/>
          <w:szCs w:val="20"/>
        </w:rPr>
        <w:t>：</w:t>
      </w:r>
      <w:r>
        <w:rPr>
          <w:rFonts w:hint="eastAsia" w:ascii="宋体" w:hAnsi="宋体"/>
          <w:kern w:val="0"/>
        </w:rPr>
        <w:t>主要果品、蔬菜及常见几种鲜切花的商业贮藏技术、商品化处理主要程序及</w:t>
      </w:r>
      <w:r>
        <w:rPr>
          <w:rFonts w:hint="eastAsia" w:hAnsi="宋体"/>
          <w:kern w:val="0"/>
        </w:rPr>
        <w:t>冷链</w:t>
      </w:r>
      <w:r>
        <w:rPr>
          <w:rFonts w:hint="eastAsia" w:ascii="宋体" w:hAnsi="宋体"/>
          <w:kern w:val="0"/>
        </w:rPr>
        <w:t>流通环节的技术关键及相关操作管理。</w:t>
      </w:r>
    </w:p>
    <w:p>
      <w:pPr>
        <w:snapToGrid w:val="0"/>
        <w:spacing w:before="156" w:beforeLines="50" w:line="360" w:lineRule="auto"/>
        <w:rPr>
          <w:rFonts w:ascii="宋体" w:hAnsi="宋体"/>
          <w:szCs w:val="21"/>
        </w:rPr>
      </w:pPr>
      <w:r>
        <w:rPr>
          <w:rFonts w:hint="eastAsia" w:ascii="宋体" w:hAnsi="宋体"/>
          <w:b/>
          <w:szCs w:val="21"/>
        </w:rPr>
        <w:t>（二）考核内容</w:t>
      </w:r>
    </w:p>
    <w:p>
      <w:pPr>
        <w:widowControl/>
        <w:adjustRightInd w:val="0"/>
        <w:snapToGrid w:val="0"/>
        <w:spacing w:line="360" w:lineRule="auto"/>
        <w:ind w:firstLine="315" w:firstLineChars="150"/>
        <w:jc w:val="left"/>
      </w:pPr>
      <w:r>
        <w:rPr>
          <w:szCs w:val="20"/>
        </w:rPr>
        <w:t>1</w:t>
      </w:r>
      <w:r>
        <w:rPr>
          <w:rFonts w:hint="eastAsia" w:cs="宋体"/>
          <w:szCs w:val="20"/>
        </w:rPr>
        <w:t>．</w:t>
      </w:r>
      <w:r>
        <w:rPr>
          <w:rFonts w:hint="eastAsia" w:ascii="宋体" w:hAnsi="宋体"/>
          <w:kern w:val="0"/>
        </w:rPr>
        <w:t>主要果品的贮藏特性</w:t>
      </w:r>
      <w:r>
        <w:rPr>
          <w:rFonts w:ascii="宋体" w:hAnsi="宋体"/>
          <w:kern w:val="0"/>
        </w:rPr>
        <w:t>、方式以及技术要点</w:t>
      </w:r>
      <w:r>
        <w:rPr>
          <w:rFonts w:hint="eastAsia" w:cs="宋体"/>
          <w:szCs w:val="20"/>
        </w:rPr>
        <w:t>。</w:t>
      </w:r>
    </w:p>
    <w:p>
      <w:pPr>
        <w:widowControl/>
        <w:adjustRightInd w:val="0"/>
        <w:snapToGrid w:val="0"/>
        <w:spacing w:line="360" w:lineRule="auto"/>
        <w:ind w:firstLine="315" w:firstLineChars="150"/>
        <w:jc w:val="left"/>
      </w:pPr>
      <w:r>
        <w:rPr>
          <w:szCs w:val="20"/>
        </w:rPr>
        <w:t>2</w:t>
      </w:r>
      <w:r>
        <w:rPr>
          <w:rFonts w:hint="eastAsia" w:cs="宋体"/>
          <w:szCs w:val="20"/>
        </w:rPr>
        <w:t>．</w:t>
      </w:r>
      <w:r>
        <w:rPr>
          <w:rFonts w:hint="eastAsia" w:ascii="宋体" w:hAnsi="宋体"/>
          <w:kern w:val="0"/>
        </w:rPr>
        <w:t>主要蔬菜的贮藏特性</w:t>
      </w:r>
      <w:r>
        <w:rPr>
          <w:rFonts w:ascii="宋体" w:hAnsi="宋体"/>
          <w:kern w:val="0"/>
        </w:rPr>
        <w:t>、方式以及技术要点</w:t>
      </w:r>
      <w:r>
        <w:rPr>
          <w:rFonts w:hint="eastAsia" w:cs="宋体"/>
          <w:szCs w:val="20"/>
        </w:rPr>
        <w:t>。</w:t>
      </w:r>
    </w:p>
    <w:p>
      <w:pPr>
        <w:widowControl/>
        <w:adjustRightInd w:val="0"/>
        <w:snapToGrid w:val="0"/>
        <w:spacing w:line="360" w:lineRule="auto"/>
        <w:ind w:firstLine="315" w:firstLineChars="150"/>
        <w:jc w:val="left"/>
      </w:pPr>
      <w:r>
        <w:rPr>
          <w:szCs w:val="20"/>
        </w:rPr>
        <w:t>3</w:t>
      </w:r>
      <w:r>
        <w:rPr>
          <w:rFonts w:hint="eastAsia" w:cs="宋体"/>
          <w:szCs w:val="20"/>
        </w:rPr>
        <w:t>．</w:t>
      </w:r>
      <w:r>
        <w:rPr>
          <w:rFonts w:hint="eastAsia" w:ascii="宋体" w:hAnsi="宋体"/>
          <w:kern w:val="0"/>
        </w:rPr>
        <w:t>常见鲜切花的贮藏特性</w:t>
      </w:r>
      <w:r>
        <w:rPr>
          <w:rFonts w:ascii="宋体" w:hAnsi="宋体"/>
          <w:kern w:val="0"/>
        </w:rPr>
        <w:t>、方式以及技术要点</w:t>
      </w:r>
      <w:r>
        <w:rPr>
          <w:rFonts w:hint="eastAsia" w:cs="宋体"/>
          <w:szCs w:val="20"/>
        </w:rPr>
        <w:t>。</w:t>
      </w:r>
    </w:p>
    <w:p>
      <w:pPr>
        <w:widowControl/>
        <w:adjustRightInd w:val="0"/>
        <w:snapToGrid w:val="0"/>
        <w:spacing w:line="360" w:lineRule="auto"/>
        <w:ind w:firstLine="315" w:firstLineChars="150"/>
        <w:jc w:val="left"/>
      </w:pPr>
      <w:r>
        <w:rPr>
          <w:szCs w:val="20"/>
        </w:rPr>
        <w:t>4</w:t>
      </w:r>
      <w:r>
        <w:rPr>
          <w:rFonts w:hint="eastAsia" w:cs="宋体"/>
          <w:szCs w:val="20"/>
        </w:rPr>
        <w:t>．影响鲜切果品蔬菜品质的</w:t>
      </w:r>
      <w:r>
        <w:rPr>
          <w:rFonts w:cs="宋体"/>
          <w:szCs w:val="20"/>
        </w:rPr>
        <w:t>因素</w:t>
      </w:r>
      <w:r>
        <w:rPr>
          <w:rFonts w:hint="eastAsia" w:cs="宋体"/>
          <w:szCs w:val="20"/>
        </w:rPr>
        <w:t>。</w:t>
      </w:r>
    </w:p>
    <w:p>
      <w:pPr>
        <w:widowControl/>
        <w:adjustRightInd w:val="0"/>
        <w:snapToGrid w:val="0"/>
        <w:spacing w:line="360" w:lineRule="auto"/>
        <w:ind w:firstLine="315" w:firstLineChars="150"/>
        <w:jc w:val="left"/>
        <w:rPr>
          <w:rFonts w:cs="宋体"/>
          <w:szCs w:val="20"/>
        </w:rPr>
      </w:pPr>
      <w:r>
        <w:rPr>
          <w:szCs w:val="20"/>
        </w:rPr>
        <w:t>5</w:t>
      </w:r>
      <w:r>
        <w:rPr>
          <w:rFonts w:hint="eastAsia" w:cs="宋体"/>
          <w:szCs w:val="20"/>
        </w:rPr>
        <w:t>．鲜切果品蔬菜的</w:t>
      </w:r>
      <w:r>
        <w:rPr>
          <w:rFonts w:cs="宋体"/>
          <w:szCs w:val="20"/>
        </w:rPr>
        <w:t>概念以及鲜切果品蔬菜加工以及</w:t>
      </w:r>
      <w:r>
        <w:rPr>
          <w:rFonts w:hint="eastAsia" w:cs="宋体"/>
          <w:szCs w:val="20"/>
        </w:rPr>
        <w:t>保鲜技术。</w:t>
      </w:r>
    </w:p>
    <w:p>
      <w:pPr>
        <w:snapToGrid w:val="0"/>
        <w:spacing w:before="156" w:beforeLines="50" w:line="360" w:lineRule="auto"/>
        <w:rPr>
          <w:rFonts w:ascii="宋体" w:hAnsi="宋体"/>
          <w:b/>
          <w:szCs w:val="21"/>
        </w:rPr>
      </w:pPr>
      <w:r>
        <w:rPr>
          <w:rFonts w:hint="eastAsia" w:ascii="宋体" w:hAnsi="宋体"/>
          <w:b/>
          <w:szCs w:val="21"/>
        </w:rPr>
        <w:t>（三）考核要求</w:t>
      </w:r>
    </w:p>
    <w:p>
      <w:pPr>
        <w:widowControl/>
        <w:adjustRightInd w:val="0"/>
        <w:snapToGrid w:val="0"/>
        <w:spacing w:line="360" w:lineRule="auto"/>
        <w:ind w:firstLine="422" w:firstLineChars="200"/>
        <w:jc w:val="left"/>
      </w:pPr>
      <w:r>
        <w:rPr>
          <w:rFonts w:hint="eastAsia" w:ascii="宋体" w:hAnsi="宋体"/>
          <w:b/>
          <w:szCs w:val="21"/>
        </w:rPr>
        <w:t>1.识记</w:t>
      </w:r>
      <w:r>
        <w:rPr>
          <w:rFonts w:hint="eastAsia" w:ascii="宋体" w:hAnsi="宋体"/>
          <w:szCs w:val="21"/>
        </w:rPr>
        <w:t>：</w:t>
      </w:r>
      <w:r>
        <w:rPr>
          <w:rFonts w:hint="eastAsia" w:cs="宋体"/>
          <w:szCs w:val="20"/>
        </w:rPr>
        <w:t>主要果品、蔬菜、花卉贮藏特性及其保鲜技术</w:t>
      </w:r>
      <w:r>
        <w:rPr>
          <w:rFonts w:cs="宋体"/>
          <w:szCs w:val="20"/>
        </w:rPr>
        <w:t>要点</w:t>
      </w:r>
      <w:r>
        <w:rPr>
          <w:rFonts w:hint="eastAsia" w:cs="宋体"/>
          <w:szCs w:val="20"/>
        </w:rPr>
        <w:t>。</w:t>
      </w:r>
    </w:p>
    <w:p>
      <w:pPr>
        <w:snapToGrid w:val="0"/>
        <w:spacing w:before="156" w:beforeLines="50"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cs="宋体"/>
          <w:szCs w:val="20"/>
        </w:rPr>
        <w:t>主要果品、蔬菜、花卉贮藏的</w:t>
      </w:r>
      <w:r>
        <w:rPr>
          <w:rFonts w:cs="宋体"/>
          <w:szCs w:val="20"/>
        </w:rPr>
        <w:t>意义</w:t>
      </w:r>
      <w:r>
        <w:rPr>
          <w:rFonts w:hint="eastAsia" w:cs="宋体"/>
          <w:szCs w:val="20"/>
        </w:rPr>
        <w:t>。</w:t>
      </w:r>
    </w:p>
    <w:p>
      <w:pPr>
        <w:widowControl/>
        <w:adjustRightInd w:val="0"/>
        <w:snapToGrid w:val="0"/>
        <w:spacing w:line="360" w:lineRule="auto"/>
        <w:ind w:firstLine="422" w:firstLineChars="200"/>
        <w:jc w:val="left"/>
      </w:pPr>
      <w:r>
        <w:rPr>
          <w:rFonts w:hint="eastAsia" w:ascii="宋体" w:hAnsi="宋体"/>
          <w:b/>
          <w:szCs w:val="21"/>
        </w:rPr>
        <w:t>3.应用</w:t>
      </w:r>
      <w:r>
        <w:rPr>
          <w:rFonts w:hint="eastAsia" w:ascii="宋体" w:hAnsi="宋体"/>
          <w:szCs w:val="21"/>
        </w:rPr>
        <w:t>：</w:t>
      </w:r>
      <w:r>
        <w:rPr>
          <w:rFonts w:hint="eastAsia" w:cs="宋体"/>
          <w:szCs w:val="20"/>
        </w:rPr>
        <w:t>运用所学知识针对</w:t>
      </w:r>
      <w:r>
        <w:rPr>
          <w:rFonts w:cs="宋体"/>
          <w:szCs w:val="20"/>
        </w:rPr>
        <w:t>不同</w:t>
      </w:r>
      <w:r>
        <w:rPr>
          <w:rFonts w:hint="eastAsia" w:cs="宋体"/>
          <w:szCs w:val="20"/>
        </w:rPr>
        <w:t>果品、蔬菜以及花卉提出</w:t>
      </w:r>
      <w:r>
        <w:rPr>
          <w:rFonts w:cs="宋体"/>
          <w:szCs w:val="20"/>
        </w:rPr>
        <w:t>相应贮藏方式。</w:t>
      </w:r>
    </w:p>
    <w:p>
      <w:pPr>
        <w:snapToGrid w:val="0"/>
        <w:spacing w:before="156" w:beforeLines="50" w:line="360" w:lineRule="auto"/>
        <w:ind w:firstLine="422" w:firstLineChars="200"/>
        <w:rPr>
          <w:rFonts w:cs="宋体"/>
          <w:sz w:val="24"/>
          <w:szCs w:val="20"/>
        </w:rPr>
      </w:pPr>
      <w:r>
        <w:rPr>
          <w:rFonts w:ascii="宋体" w:hAnsi="宋体"/>
          <w:b/>
          <w:szCs w:val="21"/>
        </w:rPr>
        <w:t>4</w:t>
      </w:r>
      <w:r>
        <w:rPr>
          <w:rFonts w:hint="eastAsia" w:ascii="宋体" w:hAnsi="宋体"/>
          <w:b/>
          <w:szCs w:val="21"/>
        </w:rPr>
        <w:t>.综合</w:t>
      </w:r>
      <w:r>
        <w:rPr>
          <w:rFonts w:hint="eastAsia" w:ascii="宋体" w:hAnsi="宋体"/>
          <w:szCs w:val="21"/>
        </w:rPr>
        <w:t>：</w:t>
      </w:r>
      <w:r>
        <w:rPr>
          <w:rFonts w:hint="eastAsia" w:cs="宋体"/>
          <w:szCs w:val="20"/>
        </w:rPr>
        <w:t>综合本章</w:t>
      </w:r>
      <w:r>
        <w:rPr>
          <w:rFonts w:cs="宋体"/>
          <w:szCs w:val="20"/>
        </w:rPr>
        <w:t>内容，掌握</w:t>
      </w:r>
      <w:r>
        <w:rPr>
          <w:rFonts w:hint="eastAsia" w:cs="宋体"/>
          <w:szCs w:val="20"/>
        </w:rPr>
        <w:t>主要果品、蔬菜、花卉贮藏的贮藏</w:t>
      </w:r>
      <w:r>
        <w:rPr>
          <w:rFonts w:cs="宋体"/>
          <w:szCs w:val="20"/>
        </w:rPr>
        <w:t>技术特点以及方式。</w:t>
      </w:r>
      <w:r>
        <w:rPr>
          <w:rFonts w:hint="eastAsia" w:cs="宋体"/>
          <w:szCs w:val="20"/>
        </w:rPr>
        <w:t>能够</w:t>
      </w:r>
      <w:r>
        <w:rPr>
          <w:rFonts w:cs="宋体"/>
          <w:szCs w:val="20"/>
        </w:rPr>
        <w:t>针对不同</w:t>
      </w:r>
      <w:r>
        <w:rPr>
          <w:rFonts w:hint="eastAsia" w:cs="宋体"/>
          <w:szCs w:val="20"/>
        </w:rPr>
        <w:t>果品、蔬菜、花卉的</w:t>
      </w:r>
      <w:r>
        <w:rPr>
          <w:rFonts w:cs="宋体"/>
          <w:szCs w:val="20"/>
        </w:rPr>
        <w:t>特点提出个性化</w:t>
      </w:r>
      <w:r>
        <w:rPr>
          <w:rFonts w:hint="eastAsia" w:cs="宋体"/>
          <w:szCs w:val="20"/>
        </w:rPr>
        <w:t>贮藏</w:t>
      </w:r>
      <w:r>
        <w:rPr>
          <w:rFonts w:cs="宋体"/>
          <w:szCs w:val="20"/>
        </w:rPr>
        <w:t>方式，并对现有贮藏方式加以改进。</w:t>
      </w:r>
    </w:p>
    <w:p>
      <w:pPr>
        <w:snapToGrid w:val="0"/>
        <w:spacing w:before="156" w:beforeLines="50" w:line="360" w:lineRule="auto"/>
        <w:ind w:firstLine="480" w:firstLineChars="200"/>
        <w:rPr>
          <w:rFonts w:cs="宋体"/>
          <w:sz w:val="24"/>
          <w:szCs w:val="20"/>
        </w:rPr>
      </w:pPr>
    </w:p>
    <w:p>
      <w:pPr>
        <w:snapToGrid w:val="0"/>
        <w:spacing w:line="360" w:lineRule="auto"/>
        <w:rPr>
          <w:rFonts w:ascii="宋体" w:hAnsi="宋体"/>
          <w:b/>
          <w:szCs w:val="21"/>
        </w:rPr>
      </w:pPr>
      <w:r>
        <w:rPr>
          <w:rFonts w:hint="eastAsia" w:ascii="宋体" w:hAnsi="宋体"/>
          <w:b/>
          <w:szCs w:val="21"/>
        </w:rPr>
        <w:t>三、实验部分的考核要求</w:t>
      </w:r>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szCs w:val="21"/>
        </w:rPr>
        <w:t>实验部分以考勤、实验报告及与实验相关作业的形式进行考核，采用百分制评分，实验成绩占课程总成绩的</w:t>
      </w:r>
      <w:r>
        <w:rPr>
          <w:rFonts w:ascii="宋体" w:hAnsi="宋体"/>
          <w:szCs w:val="21"/>
        </w:rPr>
        <w:t>3</w:t>
      </w:r>
      <w:r>
        <w:rPr>
          <w:rFonts w:hint="eastAsia" w:ascii="宋体" w:hAnsi="宋体"/>
          <w:szCs w:val="21"/>
        </w:rPr>
        <w:t>0%。</w:t>
      </w:r>
    </w:p>
    <w:p>
      <w:pPr>
        <w:snapToGrid w:val="0"/>
        <w:spacing w:line="360" w:lineRule="auto"/>
        <w:rPr>
          <w:rFonts w:ascii="宋体" w:hAnsi="宋体"/>
          <w:b/>
          <w:szCs w:val="21"/>
        </w:rPr>
      </w:pPr>
      <w:r>
        <w:rPr>
          <w:rFonts w:hint="eastAsia" w:ascii="宋体" w:hAnsi="宋体"/>
          <w:b/>
          <w:szCs w:val="21"/>
        </w:rPr>
        <w:t>四、考核方式</w:t>
      </w:r>
    </w:p>
    <w:p>
      <w:pPr>
        <w:adjustRightInd w:val="0"/>
        <w:snapToGrid w:val="0"/>
        <w:spacing w:line="360" w:lineRule="auto"/>
        <w:ind w:firstLine="308" w:firstLineChars="147"/>
        <w:rPr>
          <w:szCs w:val="21"/>
        </w:rPr>
      </w:pPr>
      <w:r>
        <w:rPr>
          <w:rFonts w:hint="eastAsia" w:ascii="宋体" w:hAnsi="宋体"/>
          <w:bCs/>
          <w:szCs w:val="21"/>
        </w:rPr>
        <w:t>（</w:t>
      </w:r>
      <w:r>
        <w:rPr>
          <w:rFonts w:hint="eastAsia"/>
          <w:szCs w:val="21"/>
        </w:rPr>
        <w:t>1）结合每章节的线上线下课程考核和课堂讨论，增加理论教学的过程性评价</w:t>
      </w:r>
    </w:p>
    <w:p>
      <w:pPr>
        <w:adjustRightInd w:val="0"/>
        <w:snapToGrid w:val="0"/>
        <w:spacing w:line="360" w:lineRule="auto"/>
        <w:ind w:firstLine="308" w:firstLineChars="147"/>
        <w:rPr>
          <w:szCs w:val="21"/>
        </w:rPr>
      </w:pPr>
      <w:r>
        <w:rPr>
          <w:rFonts w:hint="eastAsia"/>
          <w:szCs w:val="21"/>
        </w:rPr>
        <w:t>平时成绩的考核增加每章节的线上线下知识点考核和课堂讨论，占比10%；</w:t>
      </w:r>
    </w:p>
    <w:p>
      <w:pPr>
        <w:adjustRightInd w:val="0"/>
        <w:snapToGrid w:val="0"/>
        <w:spacing w:line="360" w:lineRule="auto"/>
        <w:ind w:firstLine="308" w:firstLineChars="147"/>
        <w:rPr>
          <w:szCs w:val="21"/>
        </w:rPr>
      </w:pPr>
      <w:r>
        <w:rPr>
          <w:rFonts w:hint="eastAsia"/>
          <w:szCs w:val="21"/>
        </w:rPr>
        <w:t>期末理论教学采用笔试，闭卷，考试时间为100分钟，在课程结束后的期末进行，占比50%。</w:t>
      </w:r>
    </w:p>
    <w:p>
      <w:pPr>
        <w:adjustRightInd w:val="0"/>
        <w:snapToGrid w:val="0"/>
        <w:spacing w:line="360" w:lineRule="auto"/>
        <w:ind w:firstLine="308" w:firstLineChars="147"/>
        <w:rPr>
          <w:szCs w:val="21"/>
        </w:rPr>
      </w:pPr>
      <w:r>
        <w:rPr>
          <w:rFonts w:hint="eastAsia"/>
          <w:szCs w:val="21"/>
        </w:rPr>
        <w:t>（2）增加果蔬贮藏方法的案例教学，进行翻转课堂考核，拓宽课程考核的广度</w:t>
      </w:r>
    </w:p>
    <w:p>
      <w:pPr>
        <w:adjustRightInd w:val="0"/>
        <w:snapToGrid w:val="0"/>
        <w:spacing w:line="360" w:lineRule="auto"/>
        <w:ind w:firstLine="308" w:firstLineChars="147"/>
        <w:rPr>
          <w:color w:val="000000" w:themeColor="text1"/>
          <w:szCs w:val="21"/>
          <w14:textFill>
            <w14:solidFill>
              <w14:schemeClr w14:val="tx1"/>
            </w14:solidFill>
          </w14:textFill>
        </w:rPr>
      </w:pPr>
      <w:r>
        <w:rPr>
          <w:rFonts w:hint="eastAsia"/>
          <w:szCs w:val="21"/>
        </w:rPr>
        <w:t>增加果蔬贮藏方法的案例教学，采</w:t>
      </w:r>
      <w:r>
        <w:rPr>
          <w:rFonts w:hint="eastAsia"/>
          <w:color w:val="000000" w:themeColor="text1"/>
          <w:szCs w:val="21"/>
          <w14:textFill>
            <w14:solidFill>
              <w14:schemeClr w14:val="tx1"/>
            </w14:solidFill>
          </w14:textFill>
        </w:rPr>
        <w:t>用分小组（每组</w:t>
      </w:r>
      <w:r>
        <w:rPr>
          <w:color w:val="000000" w:themeColor="text1"/>
          <w:szCs w:val="21"/>
          <w14:textFill>
            <w14:solidFill>
              <w14:schemeClr w14:val="tx1"/>
            </w14:solidFill>
          </w14:textFill>
        </w:rPr>
        <w:t>2-4</w:t>
      </w:r>
      <w:r>
        <w:rPr>
          <w:rFonts w:hint="eastAsia"/>
          <w:color w:val="000000" w:themeColor="text1"/>
          <w:szCs w:val="21"/>
          <w14:textFill>
            <w14:solidFill>
              <w14:schemeClr w14:val="tx1"/>
            </w14:solidFill>
          </w14:textFill>
        </w:rPr>
        <w:t>人）进行课程相关内容的</w:t>
      </w:r>
      <w:r>
        <w:rPr>
          <w:color w:val="000000" w:themeColor="text1"/>
          <w:szCs w:val="21"/>
          <w14:textFill>
            <w14:solidFill>
              <w14:schemeClr w14:val="tx1"/>
            </w14:solidFill>
          </w14:textFill>
        </w:rPr>
        <w:t>PPT</w:t>
      </w:r>
      <w:r>
        <w:rPr>
          <w:rFonts w:hint="eastAsia"/>
          <w:color w:val="000000" w:themeColor="text1"/>
          <w:szCs w:val="21"/>
          <w14:textFill>
            <w14:solidFill>
              <w14:schemeClr w14:val="tx1"/>
            </w14:solidFill>
          </w14:textFill>
        </w:rPr>
        <w:t>制作和讲解，将理论教学内容和贮藏实践相结合，占比</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w:t>
      </w:r>
    </w:p>
    <w:p>
      <w:pPr>
        <w:adjustRightInd w:val="0"/>
        <w:snapToGrid w:val="0"/>
        <w:spacing w:line="360" w:lineRule="auto"/>
        <w:ind w:firstLine="308" w:firstLineChars="147"/>
        <w:rPr>
          <w:szCs w:val="21"/>
        </w:rPr>
      </w:pPr>
      <w:r>
        <w:rPr>
          <w:rFonts w:hint="eastAsia"/>
          <w:szCs w:val="21"/>
        </w:rPr>
        <w:t>实践教学采用实验操作技能和实验报告撰写的方式进行考评，占比30%。</w:t>
      </w:r>
    </w:p>
    <w:p>
      <w:pPr>
        <w:adjustRightInd w:val="0"/>
        <w:snapToGrid w:val="0"/>
        <w:spacing w:line="360" w:lineRule="auto"/>
        <w:ind w:firstLine="308" w:firstLineChars="147"/>
        <w:rPr>
          <w:szCs w:val="21"/>
        </w:rPr>
      </w:pPr>
      <w:r>
        <w:rPr>
          <w:rFonts w:hint="eastAsia"/>
          <w:szCs w:val="21"/>
        </w:rPr>
        <w:t>（3）增加开放性试题的比例，加强综合性考核评价</w:t>
      </w:r>
    </w:p>
    <w:p>
      <w:pPr>
        <w:adjustRightInd w:val="0"/>
        <w:snapToGrid w:val="0"/>
        <w:spacing w:line="360" w:lineRule="auto"/>
        <w:ind w:firstLine="308" w:firstLineChars="147"/>
        <w:rPr>
          <w:szCs w:val="21"/>
        </w:rPr>
      </w:pPr>
      <w:r>
        <w:rPr>
          <w:rFonts w:hint="eastAsia"/>
          <w:szCs w:val="21"/>
        </w:rPr>
        <w:t>考试题型包括：名词解释、填空题、判断题、简答题和问答题等5种类型。问答题侧重能用理论知识结合实践进行应用评价，并与产业的发展相结合，重点考核和评价学生的综合应用能力。</w:t>
      </w:r>
    </w:p>
    <w:p>
      <w:pPr>
        <w:snapToGrid w:val="0"/>
        <w:spacing w:line="360" w:lineRule="auto"/>
        <w:rPr>
          <w:rFonts w:ascii="宋体" w:hAnsi="宋体"/>
          <w:b/>
          <w:szCs w:val="21"/>
        </w:rPr>
      </w:pPr>
      <w:r>
        <w:rPr>
          <w:rFonts w:hint="eastAsia" w:ascii="宋体" w:hAnsi="宋体"/>
          <w:b/>
          <w:szCs w:val="21"/>
        </w:rPr>
        <w:t>五、成绩评定</w:t>
      </w:r>
    </w:p>
    <w:p>
      <w:pPr>
        <w:snapToGrid w:val="0"/>
        <w:spacing w:line="360" w:lineRule="auto"/>
        <w:ind w:firstLine="420" w:firstLineChars="200"/>
        <w:rPr>
          <w:rFonts w:ascii="宋体" w:hAnsi="宋体"/>
          <w:szCs w:val="21"/>
        </w:rPr>
      </w:pPr>
      <w:r>
        <w:rPr>
          <w:rFonts w:hint="eastAsia" w:ascii="宋体" w:hAnsi="宋体"/>
          <w:szCs w:val="21"/>
        </w:rPr>
        <w:t>1.平时成绩</w:t>
      </w:r>
    </w:p>
    <w:p>
      <w:pPr>
        <w:snapToGrid w:val="0"/>
        <w:spacing w:line="360" w:lineRule="auto"/>
        <w:ind w:firstLine="420" w:firstLineChars="200"/>
        <w:rPr>
          <w:rFonts w:ascii="宋体" w:hAnsi="宋体"/>
          <w:bCs/>
          <w:szCs w:val="21"/>
        </w:rPr>
      </w:pPr>
      <w:r>
        <w:rPr>
          <w:rFonts w:hint="eastAsia" w:ascii="宋体" w:hAnsi="宋体"/>
        </w:rPr>
        <w:t>根据课堂表现、线上学习、课后作业、小组学习讨论等；</w:t>
      </w:r>
      <w:r>
        <w:rPr>
          <w:rFonts w:hint="eastAsia" w:ascii="宋体" w:hAnsi="宋体"/>
          <w:szCs w:val="21"/>
        </w:rPr>
        <w:t>所占比例10%。</w:t>
      </w:r>
    </w:p>
    <w:p>
      <w:pPr>
        <w:snapToGrid w:val="0"/>
        <w:spacing w:line="360" w:lineRule="auto"/>
        <w:ind w:firstLine="420" w:firstLineChars="200"/>
        <w:rPr>
          <w:rFonts w:ascii="宋体" w:hAnsi="宋体"/>
        </w:rPr>
      </w:pPr>
      <w:r>
        <w:rPr>
          <w:rFonts w:hint="eastAsia" w:ascii="宋体" w:hAnsi="宋体"/>
        </w:rPr>
        <w:t>2.期中成绩</w:t>
      </w:r>
    </w:p>
    <w:p>
      <w:pPr>
        <w:snapToGrid w:val="0"/>
        <w:spacing w:line="360" w:lineRule="auto"/>
        <w:ind w:firstLine="420" w:firstLineChars="200"/>
        <w:rPr>
          <w:rFonts w:ascii="宋体" w:hAnsi="宋体"/>
          <w:bCs/>
          <w:szCs w:val="21"/>
        </w:rPr>
      </w:pPr>
      <w:r>
        <w:rPr>
          <w:rFonts w:hint="eastAsia"/>
          <w:szCs w:val="21"/>
        </w:rPr>
        <w:t>采用</w:t>
      </w:r>
      <w:r>
        <w:rPr>
          <w:szCs w:val="21"/>
        </w:rPr>
        <w:t>分小组</w:t>
      </w:r>
      <w:r>
        <w:rPr>
          <w:rFonts w:hint="eastAsia"/>
          <w:szCs w:val="21"/>
        </w:rPr>
        <w:t>（每组2-4人）</w:t>
      </w:r>
      <w:r>
        <w:rPr>
          <w:szCs w:val="21"/>
        </w:rPr>
        <w:t>进行课程相关内容</w:t>
      </w:r>
      <w:r>
        <w:rPr>
          <w:rFonts w:hint="eastAsia"/>
          <w:szCs w:val="21"/>
        </w:rPr>
        <w:t>的PPT制作和</w:t>
      </w:r>
      <w:r>
        <w:rPr>
          <w:szCs w:val="21"/>
        </w:rPr>
        <w:t>讲解</w:t>
      </w:r>
      <w:r>
        <w:rPr>
          <w:rFonts w:hint="eastAsia"/>
          <w:szCs w:val="21"/>
        </w:rPr>
        <w:t>，占比10%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bCs/>
          <w:szCs w:val="21"/>
        </w:rPr>
        <w:t>3.实践成绩</w:t>
      </w:r>
    </w:p>
    <w:p>
      <w:pPr>
        <w:snapToGrid w:val="0"/>
        <w:spacing w:line="360" w:lineRule="auto"/>
        <w:ind w:firstLine="420" w:firstLineChars="200"/>
        <w:rPr>
          <w:rFonts w:ascii="宋体" w:hAnsi="宋体"/>
          <w:szCs w:val="21"/>
        </w:rPr>
      </w:pPr>
      <w:r>
        <w:rPr>
          <w:rFonts w:hint="eastAsia"/>
          <w:szCs w:val="21"/>
        </w:rPr>
        <w:t>实践教学采用实验操作技能和实验报告撰写的方式进行考评，占比30%。</w:t>
      </w:r>
    </w:p>
    <w:p>
      <w:pPr>
        <w:snapToGrid w:val="0"/>
        <w:spacing w:line="360" w:lineRule="auto"/>
        <w:ind w:firstLine="420" w:firstLineChars="200"/>
        <w:rPr>
          <w:rFonts w:ascii="宋体" w:hAnsi="宋体"/>
        </w:rPr>
      </w:pPr>
      <w:r>
        <w:rPr>
          <w:rFonts w:hint="eastAsia" w:ascii="宋体" w:hAnsi="宋体"/>
        </w:rPr>
        <w:t>4.期末成绩</w:t>
      </w:r>
    </w:p>
    <w:p>
      <w:pPr>
        <w:snapToGrid w:val="0"/>
        <w:spacing w:line="360" w:lineRule="auto"/>
        <w:ind w:firstLine="420" w:firstLineChars="200"/>
        <w:rPr>
          <w:rFonts w:ascii="宋体" w:hAnsi="宋体"/>
          <w:bCs/>
          <w:szCs w:val="21"/>
        </w:rPr>
      </w:pPr>
      <w:r>
        <w:rPr>
          <w:rFonts w:hint="eastAsia" w:ascii="宋体" w:hAnsi="宋体"/>
          <w:bCs/>
          <w:szCs w:val="21"/>
        </w:rPr>
        <w:t>采用</w:t>
      </w:r>
      <w:r>
        <w:rPr>
          <w:rFonts w:hint="eastAsia" w:ascii="宋体" w:hAnsi="宋体"/>
          <w:szCs w:val="21"/>
        </w:rPr>
        <w:t>开卷考试、闭卷考试、线上考试、课程论文等考核方式，占比例50%。</w:t>
      </w:r>
    </w:p>
    <w:p>
      <w:pPr>
        <w:snapToGrid w:val="0"/>
        <w:spacing w:line="360" w:lineRule="auto"/>
        <w:ind w:firstLine="420" w:firstLineChars="200"/>
        <w:rPr>
          <w:rFonts w:ascii="宋体" w:hAnsi="宋体"/>
        </w:rPr>
      </w:pPr>
      <w:r>
        <w:rPr>
          <w:rFonts w:hint="eastAsia" w:ascii="宋体" w:hAnsi="宋体"/>
        </w:rPr>
        <w:t>5.综合成绩</w:t>
      </w:r>
    </w:p>
    <w:p>
      <w:pPr>
        <w:snapToGrid w:val="0"/>
        <w:spacing w:line="360" w:lineRule="auto"/>
        <w:ind w:firstLine="420" w:firstLineChars="200"/>
        <w:rPr>
          <w:rFonts w:ascii="宋体" w:hAnsi="宋体"/>
          <w:bCs/>
          <w:szCs w:val="21"/>
        </w:rPr>
      </w:pPr>
      <w:r>
        <w:rPr>
          <w:rFonts w:hint="eastAsia" w:ascii="宋体" w:hAnsi="宋体"/>
          <w:bCs/>
          <w:szCs w:val="21"/>
        </w:rPr>
        <w:t>平时成绩×10%+期中成绩×10%+实践成绩×30%+期末成绩×50%</w:t>
      </w:r>
    </w:p>
    <w:p>
      <w:pPr>
        <w:snapToGrid w:val="0"/>
        <w:spacing w:line="360" w:lineRule="auto"/>
        <w:rPr>
          <w:rFonts w:ascii="宋体" w:hAnsi="宋体"/>
          <w:b/>
          <w:szCs w:val="21"/>
        </w:rPr>
      </w:pPr>
      <w:r>
        <w:rPr>
          <w:rFonts w:hint="eastAsia" w:ascii="宋体" w:hAnsi="宋体"/>
          <w:b/>
          <w:szCs w:val="21"/>
        </w:rPr>
        <w:t>六、考核结果分析反馈</w:t>
      </w:r>
    </w:p>
    <w:p>
      <w:pPr>
        <w:snapToGrid w:val="0"/>
        <w:spacing w:line="360" w:lineRule="auto"/>
        <w:ind w:firstLine="420" w:firstLineChars="200"/>
        <w:rPr>
          <w:rFonts w:ascii="宋体" w:hAnsi="宋体"/>
          <w:bCs/>
          <w:szCs w:val="21"/>
        </w:rPr>
      </w:pPr>
      <w:r>
        <w:rPr>
          <w:rFonts w:hint="eastAsia"/>
        </w:rPr>
        <w:t>园艺产品采后处理学</w:t>
      </w:r>
      <w:r>
        <w:rPr>
          <w:rFonts w:hint="eastAsia" w:ascii="宋体" w:hAnsi="宋体"/>
          <w:bCs/>
          <w:szCs w:val="21"/>
        </w:rPr>
        <w:t>是一门理论知识丰富，</w:t>
      </w:r>
      <w:r>
        <w:rPr>
          <w:rFonts w:ascii="宋体" w:hAnsi="宋体"/>
          <w:bCs/>
          <w:szCs w:val="21"/>
        </w:rPr>
        <w:t>应用性较强</w:t>
      </w:r>
      <w:r>
        <w:rPr>
          <w:rFonts w:hint="eastAsia" w:ascii="宋体" w:hAnsi="宋体"/>
          <w:bCs/>
          <w:szCs w:val="21"/>
        </w:rPr>
        <w:t>且实验操作技能较多的</w:t>
      </w:r>
      <w:r>
        <w:rPr>
          <w:rFonts w:ascii="宋体" w:hAnsi="宋体"/>
          <w:bCs/>
          <w:szCs w:val="21"/>
        </w:rPr>
        <w:t>课程</w:t>
      </w:r>
      <w:r>
        <w:rPr>
          <w:rFonts w:hint="eastAsia" w:ascii="宋体" w:hAnsi="宋体"/>
          <w:bCs/>
          <w:szCs w:val="21"/>
        </w:rPr>
        <w:t>，理论与实践</w:t>
      </w:r>
      <w:r>
        <w:rPr>
          <w:rFonts w:ascii="宋体" w:hAnsi="宋体"/>
          <w:bCs/>
          <w:szCs w:val="21"/>
        </w:rPr>
        <w:t>相结合，</w:t>
      </w:r>
      <w:r>
        <w:rPr>
          <w:rFonts w:hint="eastAsia" w:ascii="宋体" w:hAnsi="宋体"/>
          <w:bCs/>
          <w:szCs w:val="21"/>
        </w:rPr>
        <w:t>能够</w:t>
      </w:r>
      <w:r>
        <w:rPr>
          <w:rFonts w:ascii="宋体" w:hAnsi="宋体"/>
          <w:bCs/>
          <w:szCs w:val="21"/>
        </w:rPr>
        <w:t>较好的</w:t>
      </w:r>
      <w:r>
        <w:rPr>
          <w:rFonts w:hint="eastAsia" w:ascii="宋体" w:hAnsi="宋体"/>
          <w:bCs/>
          <w:szCs w:val="21"/>
        </w:rPr>
        <w:t>促进学生对</w:t>
      </w:r>
      <w:r>
        <w:rPr>
          <w:rFonts w:ascii="宋体" w:hAnsi="宋体"/>
          <w:bCs/>
          <w:szCs w:val="21"/>
        </w:rPr>
        <w:t>理论知识的理解。</w:t>
      </w:r>
      <w:r>
        <w:rPr>
          <w:rFonts w:hint="eastAsia" w:ascii="宋体" w:hAnsi="宋体"/>
          <w:bCs/>
          <w:szCs w:val="21"/>
        </w:rPr>
        <w:t>由于本课程</w:t>
      </w:r>
      <w:r>
        <w:rPr>
          <w:rFonts w:ascii="宋体" w:hAnsi="宋体"/>
          <w:bCs/>
          <w:szCs w:val="21"/>
        </w:rPr>
        <w:t>涉及的</w:t>
      </w:r>
      <w:r>
        <w:rPr>
          <w:rFonts w:hint="eastAsia" w:ascii="宋体" w:hAnsi="宋体"/>
          <w:bCs/>
          <w:szCs w:val="21"/>
        </w:rPr>
        <w:t>基本概念和</w:t>
      </w:r>
      <w:r>
        <w:rPr>
          <w:rFonts w:ascii="宋体" w:hAnsi="宋体"/>
          <w:bCs/>
          <w:szCs w:val="21"/>
        </w:rPr>
        <w:t>理论</w:t>
      </w:r>
      <w:r>
        <w:rPr>
          <w:rFonts w:hint="eastAsia" w:ascii="宋体" w:hAnsi="宋体"/>
          <w:bCs/>
          <w:szCs w:val="21"/>
        </w:rPr>
        <w:t>知识较多，有必要</w:t>
      </w:r>
      <w:r>
        <w:rPr>
          <w:rFonts w:ascii="宋体" w:hAnsi="宋体"/>
          <w:bCs/>
          <w:szCs w:val="21"/>
        </w:rPr>
        <w:t>实时跟踪学生</w:t>
      </w:r>
      <w:r>
        <w:rPr>
          <w:rFonts w:hint="eastAsia" w:ascii="宋体" w:hAnsi="宋体"/>
          <w:bCs/>
          <w:szCs w:val="21"/>
        </w:rPr>
        <w:t>的</w:t>
      </w:r>
      <w:r>
        <w:rPr>
          <w:rFonts w:ascii="宋体" w:hAnsi="宋体"/>
          <w:bCs/>
          <w:szCs w:val="21"/>
        </w:rPr>
        <w:t>学习效果，根据学生学</w:t>
      </w:r>
      <w:r>
        <w:rPr>
          <w:rFonts w:hint="eastAsia" w:ascii="宋体" w:hAnsi="宋体"/>
          <w:bCs/>
          <w:szCs w:val="21"/>
        </w:rPr>
        <w:t>习</w:t>
      </w:r>
      <w:r>
        <w:rPr>
          <w:rFonts w:ascii="宋体" w:hAnsi="宋体"/>
          <w:bCs/>
          <w:szCs w:val="21"/>
        </w:rPr>
        <w:t>效果反馈，适时改进教学方法，促进教学效果</w:t>
      </w:r>
      <w:r>
        <w:rPr>
          <w:rFonts w:hint="eastAsia" w:ascii="宋体" w:hAnsi="宋体"/>
          <w:bCs/>
          <w:szCs w:val="21"/>
        </w:rPr>
        <w:t>。通过对学生各环节成绩进行成绩分析（含平时成绩），不仅可以获得学生学习效果和教学中存在的问题等一系列反馈信息，还可在一定程度上反映教学质量的优劣，从而促使任课教师进行教学反思，为教师有针对性性调整教学内容、改进教学方法提供依据，提高教学质量。</w:t>
      </w:r>
    </w:p>
    <w:p>
      <w:pPr>
        <w:snapToGrid w:val="0"/>
        <w:spacing w:line="360" w:lineRule="auto"/>
        <w:ind w:firstLine="420" w:firstLineChars="200"/>
        <w:rPr>
          <w:rFonts w:ascii="宋体" w:hAnsi="宋体"/>
          <w:bCs/>
          <w:szCs w:val="21"/>
        </w:rPr>
      </w:pPr>
      <w:r>
        <w:rPr>
          <w:rFonts w:hint="eastAsia" w:ascii="宋体" w:hAnsi="宋体"/>
          <w:bCs/>
          <w:szCs w:val="21"/>
        </w:rPr>
        <w:t>1．</w:t>
      </w:r>
      <w:r>
        <w:rPr>
          <w:rFonts w:hint="eastAsia" w:ascii="宋体" w:hAnsi="宋体"/>
          <w:bCs/>
          <w:szCs w:val="21"/>
        </w:rPr>
        <w:tab/>
      </w:r>
      <w:r>
        <w:rPr>
          <w:rFonts w:hint="eastAsia" w:ascii="宋体" w:hAnsi="宋体"/>
          <w:bCs/>
          <w:szCs w:val="21"/>
        </w:rPr>
        <w:t>考核结果分析</w:t>
      </w:r>
    </w:p>
    <w:p>
      <w:pPr>
        <w:snapToGrid w:val="0"/>
        <w:spacing w:line="360" w:lineRule="auto"/>
        <w:ind w:firstLine="420" w:firstLineChars="200"/>
        <w:rPr>
          <w:rFonts w:ascii="宋体" w:hAnsi="宋体"/>
          <w:bCs/>
          <w:szCs w:val="21"/>
        </w:rPr>
      </w:pPr>
      <w:r>
        <w:rPr>
          <w:rFonts w:hint="eastAsia" w:ascii="宋体" w:hAnsi="宋体"/>
          <w:bCs/>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pPr>
        <w:snapToGrid w:val="0"/>
        <w:spacing w:line="360" w:lineRule="auto"/>
        <w:ind w:firstLine="420" w:firstLineChars="200"/>
        <w:rPr>
          <w:rFonts w:ascii="宋体" w:hAnsi="宋体"/>
          <w:bCs/>
          <w:szCs w:val="21"/>
        </w:rPr>
      </w:pPr>
      <w:r>
        <w:rPr>
          <w:rFonts w:hint="eastAsia" w:ascii="宋体" w:hAnsi="宋体"/>
          <w:bCs/>
          <w:szCs w:val="21"/>
        </w:rPr>
        <w:t>2．</w:t>
      </w:r>
      <w:r>
        <w:rPr>
          <w:rFonts w:hint="eastAsia" w:ascii="宋体" w:hAnsi="宋体"/>
          <w:bCs/>
          <w:szCs w:val="21"/>
        </w:rPr>
        <w:tab/>
      </w:r>
      <w:r>
        <w:rPr>
          <w:rFonts w:hint="eastAsia" w:ascii="宋体" w:hAnsi="宋体"/>
          <w:bCs/>
          <w:szCs w:val="21"/>
        </w:rPr>
        <w:t>考核结果反馈</w:t>
      </w:r>
    </w:p>
    <w:p>
      <w:pPr>
        <w:snapToGrid w:val="0"/>
        <w:spacing w:line="360" w:lineRule="auto"/>
        <w:ind w:firstLine="420" w:firstLineChars="200"/>
        <w:rPr>
          <w:rFonts w:ascii="宋体" w:hAnsi="宋体"/>
          <w:bCs/>
          <w:szCs w:val="21"/>
        </w:rPr>
      </w:pPr>
      <w:r>
        <w:rPr>
          <w:rFonts w:hint="eastAsia" w:ascii="宋体" w:hAnsi="宋体"/>
          <w:bCs/>
          <w:szCs w:val="21"/>
        </w:rPr>
        <w:t>针对本门课程提高学生对园艺产品采后处理学的综合能力提高的教学目标，考核形式分为理论课教学考核与实验课考核。针对理论课教学考核，反馈形式体现在课堂教学过程中，采用课堂集中形式对考核结果的共性问题进行统一讲解，查找原因。对于实验课考核，反馈形式体现在学生对实验的操作的熟练程度</w:t>
      </w:r>
      <w:r>
        <w:rPr>
          <w:rFonts w:ascii="宋体" w:hAnsi="宋体"/>
          <w:bCs/>
          <w:szCs w:val="21"/>
        </w:rPr>
        <w:t>以及实验原理的理解，主要体现形式为实验报告的撰写以及对实验结果的分析</w:t>
      </w:r>
      <w:r>
        <w:rPr>
          <w:rFonts w:hint="eastAsia" w:ascii="宋体" w:hAnsi="宋体"/>
          <w:bCs/>
          <w:szCs w:val="21"/>
        </w:rPr>
        <w:t>。针对考核结果分析中成绩严重偏态分布的情况，应及时调整教学内容、教学方法、强化过程性考核。</w:t>
      </w:r>
    </w:p>
    <w:p>
      <w:pPr>
        <w:snapToGrid w:val="0"/>
        <w:spacing w:line="360" w:lineRule="auto"/>
        <w:rPr>
          <w:rFonts w:ascii="宋体" w:hAnsi="宋体"/>
          <w:b/>
          <w:szCs w:val="21"/>
        </w:rPr>
      </w:pPr>
    </w:p>
    <w:p>
      <w:pPr>
        <w:rPr>
          <w:sz w:val="28"/>
        </w:rPr>
      </w:pPr>
      <w:bookmarkStart w:id="868" w:name="_Toc138076727"/>
      <w:bookmarkStart w:id="869" w:name="_Toc138076183"/>
      <w:r>
        <w:rPr>
          <w:rFonts w:hint="eastAsia"/>
          <w:sz w:val="28"/>
        </w:rPr>
        <w:br w:type="page"/>
      </w:r>
    </w:p>
    <w:p>
      <w:pPr>
        <w:pStyle w:val="21"/>
        <w:rPr>
          <w:rFonts w:hint="default" w:eastAsiaTheme="majorEastAsia"/>
          <w:sz w:val="28"/>
          <w:lang w:val="en-US" w:eastAsia="zh-CN"/>
        </w:rPr>
      </w:pPr>
      <w:bookmarkStart w:id="870" w:name="_Toc21402"/>
      <w:r>
        <w:rPr>
          <w:rFonts w:hint="eastAsia"/>
          <w:bCs w:val="0"/>
          <w:sz w:val="28"/>
        </w:rPr>
        <w:t>园艺产品营销学</w:t>
      </w:r>
      <w:bookmarkEnd w:id="868"/>
      <w:bookmarkEnd w:id="869"/>
      <w:bookmarkEnd w:id="870"/>
      <w:r>
        <w:rPr>
          <w:rFonts w:hint="eastAsia"/>
          <w:bCs w:val="0"/>
          <w:sz w:val="28"/>
          <w:lang w:val="en-US" w:eastAsia="zh-CN"/>
        </w:rPr>
        <w:t>考核大纲</w:t>
      </w:r>
    </w:p>
    <w:p>
      <w:pPr>
        <w:snapToGrid w:val="0"/>
        <w:spacing w:line="360" w:lineRule="auto"/>
        <w:jc w:val="center"/>
        <w:rPr>
          <w:sz w:val="24"/>
        </w:rPr>
      </w:pPr>
      <w:r>
        <w:rPr>
          <w:sz w:val="24"/>
        </w:rPr>
        <w:t>（Marketing of Horticultural Products）</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课程编号：1</w:t>
            </w:r>
            <w:r>
              <w:rPr>
                <w:rFonts w:ascii="宋体" w:hAnsi="宋体"/>
                <w:b/>
                <w:bCs/>
                <w:szCs w:val="21"/>
              </w:rPr>
              <w:t>9011011</w:t>
            </w:r>
          </w:p>
        </w:tc>
        <w:tc>
          <w:tcPr>
            <w:tcW w:w="1234" w:type="pct"/>
          </w:tcPr>
          <w:p>
            <w:pPr>
              <w:spacing w:line="300" w:lineRule="auto"/>
              <w:rPr>
                <w:rFonts w:ascii="宋体" w:hAnsi="宋体"/>
                <w:b/>
                <w:bCs/>
                <w:szCs w:val="21"/>
              </w:rPr>
            </w:pPr>
            <w:r>
              <w:rPr>
                <w:rFonts w:hint="eastAsia" w:ascii="宋体" w:hAnsi="宋体"/>
                <w:b/>
                <w:bCs/>
                <w:szCs w:val="21"/>
              </w:rPr>
              <w:t>课程学时：3</w:t>
            </w:r>
            <w:r>
              <w:rPr>
                <w:rFonts w:ascii="宋体" w:hAnsi="宋体"/>
                <w:b/>
                <w:bCs/>
                <w:szCs w:val="21"/>
              </w:rPr>
              <w:t>2</w:t>
            </w:r>
          </w:p>
        </w:tc>
        <w:tc>
          <w:tcPr>
            <w:tcW w:w="2100" w:type="pct"/>
          </w:tcPr>
          <w:p>
            <w:pPr>
              <w:spacing w:line="300" w:lineRule="auto"/>
              <w:rPr>
                <w:rFonts w:ascii="宋体" w:hAnsi="宋体"/>
                <w:b/>
                <w:bCs/>
                <w:szCs w:val="21"/>
              </w:rPr>
            </w:pPr>
            <w:r>
              <w:rPr>
                <w:rFonts w:hint="eastAsia" w:ascii="宋体" w:hAnsi="宋体"/>
                <w:b/>
                <w:bCs/>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主撰人：王苗苗、张世文、张郎郎</w:t>
            </w:r>
          </w:p>
        </w:tc>
        <w:tc>
          <w:tcPr>
            <w:tcW w:w="1234" w:type="pct"/>
          </w:tcPr>
          <w:p>
            <w:pPr>
              <w:spacing w:line="300" w:lineRule="auto"/>
              <w:rPr>
                <w:rFonts w:ascii="宋体" w:hAnsi="宋体"/>
                <w:b/>
                <w:bCs/>
                <w:szCs w:val="21"/>
              </w:rPr>
            </w:pPr>
            <w:r>
              <w:rPr>
                <w:rFonts w:hint="eastAsia" w:ascii="宋体" w:hAnsi="宋体"/>
                <w:b/>
                <w:bCs/>
                <w:szCs w:val="21"/>
              </w:rPr>
              <w:t>审核人：杨森</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871" w:name="_Toc138068490"/>
      <w:bookmarkStart w:id="872" w:name="_Toc138076184"/>
      <w:bookmarkStart w:id="873" w:name="_Toc138068889"/>
      <w:bookmarkStart w:id="874" w:name="_Toc138076728"/>
      <w:bookmarkStart w:id="875" w:name="_Toc26292"/>
      <w:bookmarkStart w:id="876" w:name="_Toc138076433"/>
      <w:bookmarkStart w:id="877" w:name="_Toc138070790"/>
      <w:bookmarkStart w:id="878" w:name="_Toc138070519"/>
      <w:r>
        <w:rPr>
          <w:rFonts w:hint="eastAsia" w:asciiTheme="majorEastAsia" w:hAnsiTheme="majorEastAsia" w:eastAsiaTheme="majorEastAsia" w:cstheme="majorEastAsia"/>
          <w:b/>
          <w:bCs/>
          <w:kern w:val="0"/>
          <w:szCs w:val="21"/>
        </w:rPr>
        <w:t>一、课程的性质和地位</w:t>
      </w:r>
      <w:bookmarkEnd w:id="871"/>
      <w:bookmarkEnd w:id="872"/>
      <w:bookmarkEnd w:id="873"/>
      <w:bookmarkEnd w:id="874"/>
      <w:bookmarkEnd w:id="875"/>
      <w:bookmarkEnd w:id="876"/>
      <w:bookmarkEnd w:id="877"/>
      <w:bookmarkEnd w:id="878"/>
    </w:p>
    <w:p>
      <w:pPr>
        <w:snapToGrid w:val="0"/>
        <w:spacing w:line="360" w:lineRule="auto"/>
        <w:ind w:firstLine="420" w:firstLineChars="200"/>
        <w:rPr>
          <w:rFonts w:ascii="宋体" w:hAnsi="宋体"/>
          <w:bCs/>
          <w:szCs w:val="21"/>
        </w:rPr>
      </w:pPr>
      <w:r>
        <w:rPr>
          <w:rFonts w:hint="eastAsia" w:ascii="宋体" w:hAnsi="宋体"/>
          <w:bCs/>
          <w:szCs w:val="21"/>
        </w:rPr>
        <w:t>本课程是研究园艺产品营销整体活动及其发展规律的学科，融市场营销学和农业经济学的原理、思想和方法为一体新型交叉性边缘学科。在农业进入新的发展阶段、园艺产品市场竞争日益激烈的背景下产生和发展的。在园艺专业课基础上和掌握市场营销基本原理的基础上，进一步了解我国主要园艺产品的供求状况、区域布局和营销特点，能够进行园艺产品的营销策划和管理。通过本课程的学习，学生应该建立正确的市场营销观念，掌握市场分析的原理与方法。能够正确地运用市场营销策略来开展市场营销活动。</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879" w:name="_Toc138076729"/>
      <w:bookmarkStart w:id="880" w:name="_Toc9257"/>
      <w:bookmarkStart w:id="881" w:name="_Toc138068890"/>
      <w:bookmarkStart w:id="882" w:name="_Toc138070791"/>
      <w:bookmarkStart w:id="883" w:name="_Toc138070520"/>
      <w:bookmarkStart w:id="884" w:name="_Toc138068491"/>
      <w:bookmarkStart w:id="885" w:name="_Toc138076185"/>
      <w:bookmarkStart w:id="886" w:name="_Toc138076434"/>
      <w:r>
        <w:rPr>
          <w:rFonts w:hint="eastAsia" w:asciiTheme="majorEastAsia" w:hAnsiTheme="majorEastAsia" w:eastAsiaTheme="majorEastAsia" w:cstheme="majorEastAsia"/>
          <w:b/>
          <w:bCs/>
          <w:kern w:val="0"/>
          <w:szCs w:val="21"/>
        </w:rPr>
        <w:t>二、理论教学部分的考核目标</w:t>
      </w:r>
      <w:bookmarkEnd w:id="879"/>
      <w:bookmarkEnd w:id="880"/>
      <w:bookmarkEnd w:id="881"/>
      <w:bookmarkEnd w:id="882"/>
      <w:bookmarkEnd w:id="883"/>
      <w:bookmarkEnd w:id="884"/>
      <w:bookmarkEnd w:id="885"/>
      <w:bookmarkEnd w:id="886"/>
    </w:p>
    <w:p>
      <w:pPr>
        <w:snapToGrid w:val="0"/>
        <w:spacing w:line="360" w:lineRule="auto"/>
        <w:ind w:firstLine="420" w:firstLineChars="200"/>
        <w:rPr>
          <w:color w:val="0000FF"/>
          <w:szCs w:val="21"/>
        </w:rPr>
      </w:pPr>
      <w:r>
        <w:t>要求学生通过该课程的学习，能够了解</w:t>
      </w:r>
      <w:r>
        <w:rPr>
          <w:rFonts w:hint="eastAsia"/>
        </w:rPr>
        <w:t>市场营销的基本理论</w:t>
      </w:r>
      <w:r>
        <w:t>，掌握</w:t>
      </w:r>
      <w:r>
        <w:rPr>
          <w:rFonts w:hint="eastAsia"/>
        </w:rPr>
        <w:t>市场营销环境、消费者心理与购买行为、市场定位和市场细分等市场分析</w:t>
      </w:r>
      <w:r>
        <w:t>，掌握根据园艺</w:t>
      </w:r>
      <w:r>
        <w:rPr>
          <w:rFonts w:hint="eastAsia"/>
        </w:rPr>
        <w:t>产品市场营销策略</w:t>
      </w:r>
      <w:r>
        <w:t>，学会</w:t>
      </w:r>
      <w:r>
        <w:rPr>
          <w:rFonts w:hint="eastAsia"/>
        </w:rPr>
        <w:t>利用市场营销策略进行园艺产品的营销策划和管理并开展市场营销活动</w:t>
      </w:r>
      <w:r>
        <w:t>。</w:t>
      </w:r>
    </w:p>
    <w:p>
      <w:pPr>
        <w:pStyle w:val="10"/>
        <w:snapToGrid w:val="0"/>
        <w:spacing w:line="360" w:lineRule="auto"/>
        <w:jc w:val="center"/>
        <w:rPr>
          <w:rFonts w:hAnsi="宋体"/>
          <w:b/>
        </w:rPr>
      </w:pPr>
      <w:r>
        <w:rPr>
          <w:rFonts w:hAnsi="宋体"/>
          <w:b/>
          <w:bCs/>
          <w:kern w:val="0"/>
        </w:rPr>
        <w:t>第一章</w:t>
      </w:r>
      <w:r>
        <w:rPr>
          <w:b/>
          <w:bCs/>
          <w:kern w:val="0"/>
        </w:rPr>
        <w:t>  </w:t>
      </w:r>
      <w:r>
        <w:rPr>
          <w:rFonts w:hint="eastAsia"/>
          <w:b/>
          <w:bCs/>
        </w:rPr>
        <w:t>园艺产品概述</w:t>
      </w:r>
      <w:r>
        <w:rPr>
          <w:b/>
          <w:bCs/>
          <w:kern w:val="0"/>
        </w:rPr>
        <w:t>   </w:t>
      </w:r>
    </w:p>
    <w:p>
      <w:pPr>
        <w:pStyle w:val="10"/>
        <w:snapToGrid w:val="0"/>
        <w:spacing w:line="360" w:lineRule="auto"/>
        <w:rPr>
          <w:rFonts w:hAnsi="宋体"/>
          <w:b/>
        </w:rPr>
      </w:pPr>
      <w:r>
        <w:rPr>
          <w:rFonts w:hint="eastAsia" w:hAnsi="宋体"/>
          <w:b/>
        </w:rPr>
        <w:t>（一）一般学习目的与要求</w:t>
      </w:r>
    </w:p>
    <w:p>
      <w:pPr>
        <w:pStyle w:val="10"/>
        <w:snapToGrid w:val="0"/>
        <w:spacing w:line="360" w:lineRule="auto"/>
        <w:ind w:firstLine="422" w:firstLineChars="200"/>
        <w:rPr>
          <w:rFonts w:hAnsi="宋体"/>
        </w:rPr>
      </w:pPr>
      <w:r>
        <w:rPr>
          <w:rFonts w:hint="eastAsia" w:hAnsi="宋体"/>
          <w:b/>
        </w:rPr>
        <w:t>1. 一般了解</w:t>
      </w:r>
      <w:r>
        <w:rPr>
          <w:rFonts w:hint="eastAsia" w:hAnsi="宋体"/>
          <w:bCs/>
        </w:rPr>
        <w:t>：</w:t>
      </w:r>
      <w:r>
        <w:rPr>
          <w:rFonts w:hint="eastAsia" w:hAnsi="宋体"/>
        </w:rPr>
        <w:t>园艺产品的多种分类标准。</w:t>
      </w:r>
    </w:p>
    <w:p>
      <w:pPr>
        <w:pStyle w:val="10"/>
        <w:snapToGrid w:val="0"/>
        <w:spacing w:line="360" w:lineRule="auto"/>
        <w:ind w:firstLine="422" w:firstLineChars="200"/>
        <w:rPr>
          <w:rFonts w:hAnsi="宋体"/>
          <w:b/>
        </w:rPr>
      </w:pPr>
      <w:r>
        <w:rPr>
          <w:rFonts w:hint="eastAsia" w:hAnsi="宋体"/>
          <w:b/>
        </w:rPr>
        <w:t>2. 一般掌握</w:t>
      </w:r>
      <w:r>
        <w:rPr>
          <w:rFonts w:hint="eastAsia" w:hAnsi="宋体"/>
          <w:bCs/>
        </w:rPr>
        <w:t>：</w:t>
      </w:r>
      <w:r>
        <w:rPr>
          <w:rFonts w:hint="eastAsia" w:hAnsi="宋体"/>
        </w:rPr>
        <w:t>园艺产品的自然属性和社会属性。</w:t>
      </w:r>
    </w:p>
    <w:p>
      <w:pPr>
        <w:pStyle w:val="10"/>
        <w:snapToGrid w:val="0"/>
        <w:spacing w:line="360" w:lineRule="auto"/>
        <w:ind w:firstLine="422" w:firstLineChars="200"/>
        <w:rPr>
          <w:rFonts w:hAnsi="宋体"/>
        </w:rPr>
      </w:pPr>
      <w:r>
        <w:rPr>
          <w:rFonts w:hint="eastAsia" w:hAnsi="宋体"/>
          <w:b/>
        </w:rPr>
        <w:t>3. 熟练掌握</w:t>
      </w:r>
      <w:r>
        <w:rPr>
          <w:rFonts w:hint="eastAsia" w:hAnsi="宋体"/>
          <w:bCs/>
        </w:rPr>
        <w:t>：</w:t>
      </w:r>
      <w:r>
        <w:rPr>
          <w:rFonts w:hint="eastAsia" w:hAnsi="宋体"/>
        </w:rPr>
        <w:t>园艺产品的生产特点和营销特点。</w:t>
      </w:r>
    </w:p>
    <w:p>
      <w:pPr>
        <w:snapToGrid w:val="0"/>
        <w:spacing w:line="360" w:lineRule="auto"/>
        <w:rPr>
          <w:rFonts w:ascii="宋体" w:hAnsi="宋体"/>
          <w:szCs w:val="21"/>
        </w:rPr>
      </w:pPr>
      <w:r>
        <w:rPr>
          <w:rFonts w:hint="eastAsia" w:ascii="宋体" w:hAnsi="宋体"/>
          <w:b/>
          <w:szCs w:val="21"/>
        </w:rPr>
        <w:t>（二）考核内容</w:t>
      </w:r>
    </w:p>
    <w:p>
      <w:pPr>
        <w:pStyle w:val="10"/>
        <w:snapToGrid w:val="0"/>
        <w:spacing w:line="360" w:lineRule="auto"/>
        <w:ind w:firstLine="420" w:firstLineChars="200"/>
        <w:rPr>
          <w:rFonts w:hAnsi="宋体"/>
        </w:rPr>
      </w:pPr>
      <w:r>
        <w:rPr>
          <w:rFonts w:hint="eastAsia" w:hAnsi="宋体"/>
        </w:rPr>
        <w:t>1. 园艺产品的自然属性和社会属性的概念。</w:t>
      </w:r>
    </w:p>
    <w:p>
      <w:pPr>
        <w:pStyle w:val="10"/>
        <w:snapToGrid w:val="0"/>
        <w:spacing w:line="360" w:lineRule="auto"/>
        <w:ind w:firstLine="420" w:firstLineChars="200"/>
        <w:rPr>
          <w:rFonts w:hAnsi="宋体"/>
          <w:b/>
        </w:rPr>
      </w:pPr>
      <w:r>
        <w:rPr>
          <w:rFonts w:hint="eastAsia" w:hAnsi="宋体"/>
        </w:rPr>
        <w:t>2. 园艺产品的生产特点。</w:t>
      </w:r>
    </w:p>
    <w:p>
      <w:pPr>
        <w:pStyle w:val="10"/>
        <w:snapToGrid w:val="0"/>
        <w:spacing w:line="360" w:lineRule="auto"/>
        <w:ind w:firstLine="420" w:firstLineChars="200"/>
        <w:rPr>
          <w:rFonts w:hAnsi="宋体"/>
        </w:rPr>
      </w:pPr>
      <w:r>
        <w:rPr>
          <w:rFonts w:hint="eastAsia" w:hAnsi="宋体"/>
        </w:rPr>
        <w:t>3. 园艺产品的营销特点。</w:t>
      </w:r>
    </w:p>
    <w:p>
      <w:pPr>
        <w:snapToGrid w:val="0"/>
        <w:spacing w:line="360" w:lineRule="auto"/>
        <w:rPr>
          <w:rFonts w:ascii="宋体" w:hAnsi="宋体"/>
          <w:b/>
          <w:szCs w:val="21"/>
        </w:rPr>
      </w:pPr>
      <w:r>
        <w:rPr>
          <w:rFonts w:hint="eastAsia" w:ascii="宋体" w:hAnsi="宋体"/>
          <w:b/>
          <w:szCs w:val="21"/>
        </w:rPr>
        <w:t>（三）考核要求</w:t>
      </w:r>
    </w:p>
    <w:p>
      <w:pPr>
        <w:pStyle w:val="10"/>
        <w:snapToGrid w:val="0"/>
        <w:spacing w:line="360" w:lineRule="auto"/>
        <w:ind w:firstLine="422" w:firstLineChars="200"/>
        <w:rPr>
          <w:rFonts w:hAnsi="宋体"/>
        </w:rPr>
      </w:pPr>
      <w:r>
        <w:rPr>
          <w:rFonts w:hint="eastAsia" w:hAnsi="宋体"/>
          <w:b/>
        </w:rPr>
        <w:t>1、识记</w:t>
      </w:r>
      <w:r>
        <w:rPr>
          <w:rFonts w:hint="eastAsia" w:hAnsi="宋体"/>
          <w:bCs/>
        </w:rPr>
        <w:t>：</w:t>
      </w:r>
      <w:r>
        <w:rPr>
          <w:rFonts w:hint="eastAsia" w:hAnsi="宋体"/>
        </w:rPr>
        <w:t>各个基础概念。</w:t>
      </w:r>
    </w:p>
    <w:p>
      <w:pPr>
        <w:pStyle w:val="10"/>
        <w:snapToGrid w:val="0"/>
        <w:spacing w:line="360" w:lineRule="auto"/>
        <w:ind w:firstLine="422" w:firstLineChars="200"/>
        <w:rPr>
          <w:rFonts w:hAnsi="宋体"/>
        </w:rPr>
      </w:pPr>
      <w:r>
        <w:rPr>
          <w:rFonts w:hint="eastAsia" w:hAnsi="宋体"/>
          <w:b/>
        </w:rPr>
        <w:t>2、领会</w:t>
      </w:r>
      <w:r>
        <w:rPr>
          <w:rFonts w:hint="eastAsia" w:hAnsi="宋体"/>
          <w:bCs/>
        </w:rPr>
        <w:t>：</w:t>
      </w:r>
      <w:r>
        <w:rPr>
          <w:rFonts w:hint="eastAsia" w:hAnsi="宋体"/>
        </w:rPr>
        <w:t>园艺产品的多种分类标准。</w:t>
      </w:r>
    </w:p>
    <w:p>
      <w:pPr>
        <w:spacing w:line="360" w:lineRule="auto"/>
        <w:ind w:firstLine="422" w:firstLineChars="200"/>
        <w:rPr>
          <w:rFonts w:hAnsi="Courier New"/>
        </w:rPr>
      </w:pPr>
      <w:r>
        <w:rPr>
          <w:rFonts w:hAnsi="Courier New"/>
          <w:b/>
          <w:bCs/>
        </w:rPr>
        <w:t>3、应用</w:t>
      </w:r>
      <w:r>
        <w:rPr>
          <w:rFonts w:hAnsi="Courier New"/>
        </w:rPr>
        <w:t>：能够</w:t>
      </w:r>
      <w:r>
        <w:rPr>
          <w:rFonts w:hint="eastAsia" w:hAnsi="Courier New"/>
        </w:rPr>
        <w:t>利用园艺产品的生产特点总结出园艺产品特有的营销特点，并根据营销特点初步设想适合园艺产品销售的</w:t>
      </w:r>
      <w:r>
        <w:rPr>
          <w:rFonts w:hAnsi="Courier New"/>
        </w:rPr>
        <w:t>理念</w:t>
      </w:r>
      <w:r>
        <w:rPr>
          <w:rFonts w:hint="eastAsia" w:hAnsi="Courier New"/>
        </w:rPr>
        <w:t>。</w:t>
      </w:r>
    </w:p>
    <w:p>
      <w:pPr>
        <w:snapToGrid w:val="0"/>
        <w:spacing w:line="360" w:lineRule="auto"/>
        <w:jc w:val="center"/>
        <w:rPr>
          <w:rFonts w:hAnsi="宋体"/>
          <w:b/>
          <w:bCs/>
          <w:kern w:val="0"/>
          <w:szCs w:val="21"/>
        </w:rPr>
      </w:pPr>
      <w:r>
        <w:rPr>
          <w:rFonts w:hAnsi="宋体"/>
          <w:b/>
          <w:bCs/>
          <w:kern w:val="0"/>
          <w:szCs w:val="21"/>
        </w:rPr>
        <w:t>第</w:t>
      </w:r>
      <w:r>
        <w:rPr>
          <w:rFonts w:hint="eastAsia" w:hAnsi="宋体"/>
          <w:b/>
          <w:bCs/>
          <w:kern w:val="0"/>
          <w:szCs w:val="21"/>
        </w:rPr>
        <w:t>二</w:t>
      </w:r>
      <w:r>
        <w:rPr>
          <w:rFonts w:hAnsi="宋体"/>
          <w:b/>
          <w:bCs/>
          <w:kern w:val="0"/>
          <w:szCs w:val="21"/>
        </w:rPr>
        <w:t>章</w:t>
      </w:r>
      <w:r>
        <w:rPr>
          <w:b/>
          <w:bCs/>
          <w:kern w:val="0"/>
          <w:szCs w:val="21"/>
        </w:rPr>
        <w:t>   </w:t>
      </w:r>
      <w:r>
        <w:rPr>
          <w:rFonts w:hint="eastAsia" w:hAnsi="宋体"/>
          <w:b/>
          <w:bCs/>
          <w:kern w:val="0"/>
          <w:szCs w:val="21"/>
        </w:rPr>
        <w:t>园艺产品营销理念</w:t>
      </w:r>
    </w:p>
    <w:p>
      <w:pPr>
        <w:pStyle w:val="10"/>
        <w:snapToGrid w:val="0"/>
        <w:spacing w:line="360" w:lineRule="auto"/>
        <w:rPr>
          <w:rFonts w:hAnsi="宋体"/>
          <w:b/>
        </w:rPr>
      </w:pPr>
      <w:r>
        <w:rPr>
          <w:rFonts w:hint="eastAsia" w:hAnsi="宋体"/>
          <w:b/>
        </w:rPr>
        <w:t>（一）一般学习目的与要求</w:t>
      </w:r>
    </w:p>
    <w:p>
      <w:pPr>
        <w:snapToGrid w:val="0"/>
        <w:spacing w:line="360" w:lineRule="auto"/>
        <w:ind w:firstLine="422" w:firstLineChars="200"/>
        <w:rPr>
          <w:rFonts w:ascii="宋体" w:hAnsi="宋体"/>
          <w:b/>
          <w:szCs w:val="21"/>
        </w:rPr>
      </w:pPr>
      <w:r>
        <w:rPr>
          <w:rFonts w:ascii="宋体" w:hAnsi="宋体"/>
          <w:b/>
          <w:szCs w:val="21"/>
        </w:rPr>
        <w:t>1</w:t>
      </w:r>
      <w:r>
        <w:rPr>
          <w:rFonts w:hint="eastAsia" w:ascii="宋体" w:hAnsi="宋体"/>
          <w:b/>
          <w:szCs w:val="21"/>
        </w:rPr>
        <w:t>. 一般了解：</w:t>
      </w:r>
      <w:r>
        <w:rPr>
          <w:rFonts w:hint="eastAsia" w:ascii="宋体" w:hAnsi="宋体"/>
        </w:rPr>
        <w:t>理解</w:t>
      </w:r>
      <w:r>
        <w:rPr>
          <w:rFonts w:hint="eastAsia" w:ascii="宋体" w:hAnsi="宋体"/>
          <w:bCs/>
        </w:rPr>
        <w:t>市场营销管理的概念、实质和分类。</w:t>
      </w:r>
    </w:p>
    <w:p>
      <w:pPr>
        <w:snapToGrid w:val="0"/>
        <w:spacing w:line="360" w:lineRule="auto"/>
        <w:ind w:firstLine="422" w:firstLineChars="200"/>
        <w:rPr>
          <w:rFonts w:ascii="宋体" w:hAnsi="宋体"/>
          <w:szCs w:val="21"/>
        </w:rPr>
      </w:pPr>
      <w:r>
        <w:rPr>
          <w:rFonts w:hint="eastAsia" w:ascii="宋体" w:hAnsi="宋体"/>
          <w:b/>
          <w:szCs w:val="21"/>
        </w:rPr>
        <w:t>2</w:t>
      </w:r>
      <w:r>
        <w:rPr>
          <w:rFonts w:ascii="宋体" w:hAnsi="宋体"/>
          <w:b/>
          <w:szCs w:val="21"/>
        </w:rPr>
        <w:t>.</w:t>
      </w:r>
      <w:r>
        <w:rPr>
          <w:rFonts w:hint="eastAsia" w:ascii="宋体" w:hAnsi="宋体"/>
          <w:b/>
          <w:szCs w:val="21"/>
        </w:rPr>
        <w:t>一般掌握</w:t>
      </w:r>
      <w:r>
        <w:rPr>
          <w:rFonts w:hint="eastAsia" w:ascii="宋体" w:hAnsi="宋体" w:cs="Courier New"/>
          <w:bCs/>
          <w:szCs w:val="21"/>
        </w:rPr>
        <w:t>：</w:t>
      </w:r>
      <w:r>
        <w:rPr>
          <w:rFonts w:hint="eastAsia" w:ascii="宋体" w:hAnsi="宋体"/>
        </w:rPr>
        <w:t>市场的概念，组成及分类</w:t>
      </w:r>
      <w:r>
        <w:rPr>
          <w:rFonts w:hint="eastAsia" w:ascii="宋体" w:hAnsi="宋体"/>
          <w:szCs w:val="21"/>
        </w:rPr>
        <w:t>。</w:t>
      </w:r>
    </w:p>
    <w:p>
      <w:pPr>
        <w:pStyle w:val="7"/>
        <w:snapToGrid w:val="0"/>
        <w:spacing w:line="360" w:lineRule="auto"/>
        <w:ind w:firstLine="422"/>
        <w:jc w:val="left"/>
        <w:rPr>
          <w:rFonts w:ascii="宋体" w:hAnsi="宋体"/>
          <w:b/>
        </w:rPr>
      </w:pPr>
      <w:r>
        <w:rPr>
          <w:rFonts w:ascii="宋体" w:hAnsi="宋体"/>
          <w:b/>
          <w:szCs w:val="21"/>
        </w:rPr>
        <w:t>3</w:t>
      </w:r>
      <w:r>
        <w:rPr>
          <w:rFonts w:hint="eastAsia" w:ascii="宋体" w:hAnsi="宋体"/>
          <w:b/>
          <w:szCs w:val="21"/>
        </w:rPr>
        <w:t>. 熟练掌握</w:t>
      </w:r>
      <w:r>
        <w:rPr>
          <w:rFonts w:hint="eastAsia" w:ascii="宋体" w:hAnsi="宋体"/>
          <w:szCs w:val="21"/>
        </w:rPr>
        <w:t>：</w:t>
      </w:r>
      <w:r>
        <w:rPr>
          <w:rFonts w:hint="eastAsia" w:ascii="宋体" w:hAnsi="宋体"/>
        </w:rPr>
        <w:t>掌握市场营销及相关概念及市场营销管理观念的实质和发展历程</w:t>
      </w:r>
      <w:r>
        <w:rPr>
          <w:rFonts w:hint="eastAsia" w:ascii="宋体" w:hAnsi="宋体"/>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1. 市场营销的相关概念和市场营销观念的发展历程。</w:t>
      </w:r>
    </w:p>
    <w:p>
      <w:pPr>
        <w:snapToGrid w:val="0"/>
        <w:spacing w:line="360" w:lineRule="auto"/>
        <w:ind w:firstLine="420" w:firstLineChars="200"/>
        <w:rPr>
          <w:rFonts w:ascii="宋体" w:hAnsi="宋体"/>
          <w:szCs w:val="21"/>
        </w:rPr>
      </w:pPr>
      <w:r>
        <w:rPr>
          <w:rFonts w:hint="eastAsia" w:ascii="宋体" w:hAnsi="宋体"/>
          <w:szCs w:val="21"/>
        </w:rPr>
        <w:t>2. 市场营销理论。</w:t>
      </w:r>
    </w:p>
    <w:p>
      <w:pPr>
        <w:snapToGrid w:val="0"/>
        <w:spacing w:line="360" w:lineRule="auto"/>
        <w:ind w:firstLine="420" w:firstLineChars="200"/>
        <w:rPr>
          <w:rFonts w:ascii="宋体" w:hAnsi="宋体"/>
          <w:szCs w:val="21"/>
        </w:rPr>
      </w:pPr>
      <w:r>
        <w:rPr>
          <w:rFonts w:hint="eastAsia" w:ascii="宋体" w:hAnsi="宋体"/>
          <w:szCs w:val="21"/>
        </w:rPr>
        <w:t>3. 各个案例分析。</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：市场营销中的各种观念，市场营销理论中的各种理论。</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：4P理论作为营销理论的基础在实践中的作用。</w:t>
      </w:r>
    </w:p>
    <w:p>
      <w:pPr>
        <w:snapToGrid w:val="0"/>
        <w:spacing w:line="360" w:lineRule="auto"/>
        <w:ind w:firstLine="422" w:firstLineChars="200"/>
        <w:rPr>
          <w:rFonts w:ascii="宋体" w:hAnsi="宋体"/>
          <w:b/>
          <w:szCs w:val="21"/>
        </w:rPr>
      </w:pPr>
      <w:r>
        <w:rPr>
          <w:rFonts w:hint="eastAsia" w:ascii="宋体" w:hAnsi="宋体"/>
          <w:b/>
          <w:szCs w:val="21"/>
        </w:rPr>
        <w:t>3、应用</w:t>
      </w:r>
      <w:r>
        <w:rPr>
          <w:rFonts w:hint="eastAsia" w:ascii="宋体" w:hAnsi="宋体"/>
          <w:szCs w:val="21"/>
        </w:rPr>
        <w:t>：围绕产品、价格、目的地、分销渠道四个方面设计在实践中如何开展工作。</w:t>
      </w:r>
    </w:p>
    <w:p>
      <w:pPr>
        <w:snapToGrid w:val="0"/>
        <w:spacing w:line="360" w:lineRule="auto"/>
        <w:ind w:firstLine="422" w:firstLineChars="200"/>
        <w:rPr>
          <w:rFonts w:ascii="宋体" w:hAnsi="宋体"/>
          <w:szCs w:val="21"/>
        </w:rPr>
      </w:pPr>
      <w:r>
        <w:rPr>
          <w:rFonts w:hint="eastAsia" w:ascii="宋体" w:hAnsi="宋体"/>
          <w:b/>
          <w:szCs w:val="21"/>
        </w:rPr>
        <w:t>4、综合</w:t>
      </w:r>
      <w:r>
        <w:rPr>
          <w:rFonts w:hint="eastAsia" w:ascii="宋体" w:hAnsi="宋体"/>
          <w:szCs w:val="21"/>
        </w:rPr>
        <w:t>：将非洲卖鞋和华为发展史等案例综合运用。</w:t>
      </w:r>
    </w:p>
    <w:p>
      <w:pPr>
        <w:snapToGrid w:val="0"/>
        <w:spacing w:line="360" w:lineRule="auto"/>
        <w:jc w:val="center"/>
        <w:rPr>
          <w:b/>
          <w:bCs/>
          <w:kern w:val="0"/>
          <w:szCs w:val="21"/>
        </w:rPr>
      </w:pPr>
      <w:r>
        <w:rPr>
          <w:rFonts w:hAnsi="宋体"/>
          <w:b/>
          <w:bCs/>
          <w:kern w:val="0"/>
          <w:szCs w:val="21"/>
        </w:rPr>
        <w:t>第</w:t>
      </w:r>
      <w:r>
        <w:rPr>
          <w:rFonts w:hint="eastAsia" w:hAnsi="宋体"/>
          <w:b/>
          <w:bCs/>
          <w:kern w:val="0"/>
          <w:szCs w:val="21"/>
        </w:rPr>
        <w:t>三</w:t>
      </w:r>
      <w:r>
        <w:rPr>
          <w:rFonts w:hAnsi="宋体"/>
          <w:b/>
          <w:bCs/>
          <w:kern w:val="0"/>
          <w:szCs w:val="21"/>
        </w:rPr>
        <w:t>章</w:t>
      </w:r>
      <w:r>
        <w:rPr>
          <w:b/>
          <w:bCs/>
          <w:kern w:val="0"/>
          <w:szCs w:val="21"/>
        </w:rPr>
        <w:t>   </w:t>
      </w:r>
      <w:r>
        <w:rPr>
          <w:rFonts w:hint="eastAsia" w:hAnsi="宋体"/>
          <w:b/>
          <w:bCs/>
          <w:kern w:val="0"/>
          <w:szCs w:val="21"/>
        </w:rPr>
        <w:t>市场营销环境</w:t>
      </w:r>
    </w:p>
    <w:p>
      <w:pPr>
        <w:pStyle w:val="10"/>
        <w:snapToGrid w:val="0"/>
        <w:spacing w:line="360" w:lineRule="auto"/>
        <w:rPr>
          <w:rFonts w:hAnsi="宋体"/>
          <w:b/>
        </w:rPr>
      </w:pPr>
      <w:r>
        <w:rPr>
          <w:rFonts w:hint="eastAsia" w:hAnsi="宋体"/>
          <w:b/>
        </w:rPr>
        <w:t>（一）一般学习目的与要求</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kern w:val="0"/>
          <w:szCs w:val="21"/>
        </w:rPr>
        <w:t>了解市场营销环境对营销管理的作用</w:t>
      </w:r>
      <w:r>
        <w:rPr>
          <w:kern w:val="0"/>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cs="Courier New"/>
          <w:bCs/>
          <w:szCs w:val="21"/>
        </w:rPr>
        <w:t>：</w:t>
      </w:r>
      <w:r>
        <w:rPr>
          <w:rFonts w:hint="eastAsia"/>
          <w:kern w:val="0"/>
          <w:szCs w:val="21"/>
        </w:rPr>
        <w:t>市场营销环境的整体概念</w:t>
      </w:r>
      <w:r>
        <w:rPr>
          <w:kern w:val="0"/>
          <w:szCs w:val="21"/>
        </w:rPr>
        <w:t>。</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cs="Courier New"/>
          <w:bCs/>
          <w:szCs w:val="21"/>
        </w:rPr>
        <w:t>：</w:t>
      </w:r>
      <w:r>
        <w:rPr>
          <w:rFonts w:hint="eastAsia"/>
          <w:kern w:val="0"/>
          <w:szCs w:val="21"/>
        </w:rPr>
        <w:t>分析和评价市场机会与环境威胁的基本方法。</w:t>
      </w:r>
    </w:p>
    <w:p>
      <w:pPr>
        <w:snapToGrid w:val="0"/>
        <w:spacing w:line="360" w:lineRule="auto"/>
        <w:rPr>
          <w:rFonts w:ascii="宋体" w:hAnsi="宋体"/>
          <w:szCs w:val="21"/>
        </w:rPr>
      </w:pPr>
      <w:r>
        <w:rPr>
          <w:rFonts w:hint="eastAsia" w:ascii="宋体" w:hAnsi="宋体"/>
          <w:b/>
          <w:szCs w:val="21"/>
        </w:rPr>
        <w:t>（二）考核内容</w:t>
      </w:r>
    </w:p>
    <w:p>
      <w:pPr>
        <w:pStyle w:val="35"/>
        <w:widowControl/>
        <w:numPr>
          <w:ilvl w:val="0"/>
          <w:numId w:val="6"/>
        </w:numPr>
        <w:adjustRightInd w:val="0"/>
        <w:snapToGrid w:val="0"/>
        <w:spacing w:line="360" w:lineRule="auto"/>
        <w:ind w:left="777" w:leftChars="200" w:hanging="357" w:hangingChars="170"/>
        <w:rPr>
          <w:kern w:val="0"/>
          <w:szCs w:val="21"/>
        </w:rPr>
      </w:pPr>
      <w:r>
        <w:rPr>
          <w:rFonts w:hint="eastAsia"/>
          <w:kern w:val="0"/>
          <w:szCs w:val="21"/>
        </w:rPr>
        <w:t>市场营销环境</w:t>
      </w:r>
      <w:r>
        <w:rPr>
          <w:kern w:val="0"/>
          <w:szCs w:val="21"/>
        </w:rPr>
        <w:t>概念的提出及</w:t>
      </w:r>
      <w:r>
        <w:rPr>
          <w:rFonts w:hint="eastAsia"/>
          <w:kern w:val="0"/>
          <w:szCs w:val="21"/>
        </w:rPr>
        <w:t>作用</w:t>
      </w:r>
      <w:r>
        <w:rPr>
          <w:kern w:val="0"/>
          <w:szCs w:val="21"/>
        </w:rPr>
        <w:t>。</w:t>
      </w:r>
    </w:p>
    <w:p>
      <w:pPr>
        <w:widowControl/>
        <w:numPr>
          <w:ilvl w:val="0"/>
          <w:numId w:val="6"/>
        </w:numPr>
        <w:adjustRightInd w:val="0"/>
        <w:snapToGrid w:val="0"/>
        <w:spacing w:line="360" w:lineRule="auto"/>
        <w:ind w:left="777" w:leftChars="200" w:hanging="357" w:hangingChars="170"/>
        <w:rPr>
          <w:kern w:val="0"/>
          <w:szCs w:val="21"/>
        </w:rPr>
      </w:pPr>
      <w:r>
        <w:rPr>
          <w:rFonts w:hint="eastAsia"/>
          <w:kern w:val="0"/>
          <w:szCs w:val="21"/>
        </w:rPr>
        <w:t>市场营销微观环境和宏观环境的构成因素</w:t>
      </w:r>
      <w:r>
        <w:rPr>
          <w:kern w:val="0"/>
          <w:szCs w:val="21"/>
        </w:rPr>
        <w:t>。</w:t>
      </w:r>
    </w:p>
    <w:p>
      <w:pPr>
        <w:widowControl/>
        <w:numPr>
          <w:ilvl w:val="0"/>
          <w:numId w:val="6"/>
        </w:numPr>
        <w:adjustRightInd w:val="0"/>
        <w:snapToGrid w:val="0"/>
        <w:spacing w:line="360" w:lineRule="auto"/>
        <w:ind w:left="777" w:leftChars="200" w:hanging="357" w:hangingChars="170"/>
        <w:rPr>
          <w:kern w:val="0"/>
          <w:szCs w:val="21"/>
        </w:rPr>
      </w:pPr>
      <w:r>
        <w:rPr>
          <w:rFonts w:hint="eastAsia"/>
          <w:kern w:val="0"/>
          <w:szCs w:val="21"/>
        </w:rPr>
        <w:t>经营者对市场环境影响的对策</w:t>
      </w:r>
      <w:r>
        <w:rPr>
          <w:kern w:val="0"/>
          <w:szCs w:val="21"/>
        </w:rPr>
        <w:t>。</w:t>
      </w:r>
    </w:p>
    <w:p>
      <w:pPr>
        <w:snapToGrid w:val="0"/>
        <w:spacing w:line="360" w:lineRule="auto"/>
        <w:rPr>
          <w:rFonts w:ascii="宋体" w:hAnsi="宋体"/>
          <w:b/>
          <w:szCs w:val="21"/>
        </w:rPr>
      </w:pPr>
      <w:r>
        <w:rPr>
          <w:rFonts w:hint="eastAsia" w:ascii="宋体" w:hAnsi="宋体"/>
          <w:b/>
          <w:szCs w:val="21"/>
        </w:rPr>
        <w:t>（三）考核要求</w:t>
      </w:r>
    </w:p>
    <w:p>
      <w:pPr>
        <w:pStyle w:val="10"/>
        <w:snapToGrid w:val="0"/>
        <w:spacing w:line="360" w:lineRule="auto"/>
        <w:ind w:firstLine="422" w:firstLineChars="200"/>
        <w:rPr>
          <w:rFonts w:hAnsi="宋体"/>
        </w:rPr>
      </w:pPr>
      <w:r>
        <w:rPr>
          <w:rFonts w:hint="eastAsia" w:hAnsi="宋体"/>
          <w:b/>
        </w:rPr>
        <w:t>1、识记</w:t>
      </w:r>
      <w:r>
        <w:rPr>
          <w:rFonts w:hint="eastAsia" w:hAnsi="宋体"/>
          <w:bCs/>
        </w:rPr>
        <w:t>：</w:t>
      </w:r>
      <w:r>
        <w:rPr>
          <w:rFonts w:hint="eastAsia"/>
          <w:kern w:val="0"/>
        </w:rPr>
        <w:t>市场营销环境</w:t>
      </w:r>
      <w:r>
        <w:rPr>
          <w:kern w:val="0"/>
        </w:rPr>
        <w:t>概念</w:t>
      </w:r>
      <w:r>
        <w:rPr>
          <w:rFonts w:hint="eastAsia" w:hAnsi="宋体"/>
          <w:bCs/>
        </w:rPr>
        <w:t>。</w:t>
      </w:r>
    </w:p>
    <w:p>
      <w:pPr>
        <w:pStyle w:val="10"/>
        <w:snapToGrid w:val="0"/>
        <w:spacing w:line="360" w:lineRule="auto"/>
        <w:ind w:firstLine="422" w:firstLineChars="200"/>
        <w:rPr>
          <w:rFonts w:hAnsi="宋体"/>
        </w:rPr>
      </w:pPr>
      <w:r>
        <w:rPr>
          <w:rFonts w:hint="eastAsia" w:hAnsi="宋体"/>
          <w:b/>
        </w:rPr>
        <w:t>2、领会</w:t>
      </w:r>
      <w:r>
        <w:rPr>
          <w:rFonts w:hint="eastAsia" w:hAnsi="宋体"/>
          <w:bCs/>
        </w:rPr>
        <w:t>：</w:t>
      </w:r>
      <w:r>
        <w:rPr>
          <w:rFonts w:hint="eastAsia"/>
          <w:kern w:val="0"/>
        </w:rPr>
        <w:t>市场营销环境的</w:t>
      </w:r>
      <w:r>
        <w:rPr>
          <w:rFonts w:hint="eastAsia" w:hAnsi="宋体"/>
          <w:bCs/>
        </w:rPr>
        <w:t>作用和组成。</w:t>
      </w:r>
    </w:p>
    <w:p>
      <w:pPr>
        <w:pStyle w:val="10"/>
        <w:snapToGrid w:val="0"/>
        <w:spacing w:line="360" w:lineRule="auto"/>
        <w:ind w:firstLine="422" w:firstLineChars="200"/>
        <w:rPr>
          <w:rFonts w:hAnsi="宋体"/>
        </w:rPr>
      </w:pPr>
      <w:r>
        <w:rPr>
          <w:rFonts w:hint="eastAsia" w:hAnsi="宋体"/>
          <w:b/>
        </w:rPr>
        <w:t>3、应用</w:t>
      </w:r>
      <w:r>
        <w:rPr>
          <w:rFonts w:hint="eastAsia" w:hAnsi="宋体"/>
          <w:bCs/>
        </w:rPr>
        <w:t>：</w:t>
      </w:r>
      <w:r>
        <w:rPr>
          <w:rFonts w:hint="eastAsia" w:hAnsi="宋体"/>
        </w:rPr>
        <w:t>利用市场营销环境制定合适的科学的营销对策。</w:t>
      </w:r>
    </w:p>
    <w:p>
      <w:pPr>
        <w:pStyle w:val="10"/>
        <w:snapToGrid w:val="0"/>
        <w:spacing w:line="360" w:lineRule="auto"/>
        <w:ind w:firstLine="422" w:firstLineChars="200"/>
        <w:rPr>
          <w:rFonts w:hAnsi="宋体"/>
          <w:bCs/>
        </w:rPr>
      </w:pPr>
      <w:r>
        <w:rPr>
          <w:rFonts w:hint="eastAsia" w:hAnsi="宋体"/>
          <w:b/>
        </w:rPr>
        <w:t>4、分析</w:t>
      </w:r>
      <w:r>
        <w:rPr>
          <w:rFonts w:hint="eastAsia" w:hAnsi="宋体"/>
          <w:bCs/>
        </w:rPr>
        <w:t>：设想作为一个企业管理人员，根据多方面的市场营销环境，如何评估营销环境机会与营销环境威胁，并以此进行综合分析，进行促销。</w:t>
      </w:r>
    </w:p>
    <w:p>
      <w:pPr>
        <w:snapToGrid w:val="0"/>
        <w:spacing w:before="156" w:beforeLines="50" w:after="156" w:afterLines="50" w:line="360" w:lineRule="auto"/>
        <w:ind w:firstLine="103" w:firstLineChars="49"/>
        <w:jc w:val="center"/>
        <w:rPr>
          <w:rFonts w:ascii="宋体" w:hAnsi="宋体"/>
          <w:b/>
          <w:szCs w:val="21"/>
        </w:rPr>
      </w:pPr>
      <w:r>
        <w:rPr>
          <w:rFonts w:hint="eastAsia" w:ascii="宋体" w:hAnsi="宋体"/>
          <w:b/>
          <w:szCs w:val="21"/>
        </w:rPr>
        <w:t>第四章  消费者心理与购买行为</w:t>
      </w:r>
    </w:p>
    <w:p>
      <w:pPr>
        <w:pStyle w:val="10"/>
        <w:snapToGrid w:val="0"/>
        <w:spacing w:line="360" w:lineRule="auto"/>
        <w:rPr>
          <w:rFonts w:hAnsi="宋体"/>
          <w:b/>
        </w:rPr>
      </w:pPr>
      <w:r>
        <w:rPr>
          <w:rFonts w:hint="eastAsia" w:hAnsi="宋体"/>
          <w:b/>
        </w:rPr>
        <w:t>（一）一般学习目的与要求</w:t>
      </w:r>
    </w:p>
    <w:p>
      <w:pPr>
        <w:snapToGrid w:val="0"/>
        <w:spacing w:line="360" w:lineRule="auto"/>
        <w:ind w:firstLine="422" w:firstLineChars="200"/>
        <w:rPr>
          <w:kern w:val="0"/>
          <w:szCs w:val="21"/>
        </w:rPr>
      </w:pPr>
      <w:r>
        <w:rPr>
          <w:rFonts w:hint="eastAsia"/>
          <w:b/>
          <w:kern w:val="0"/>
          <w:szCs w:val="21"/>
        </w:rPr>
        <w:t>1. 一般了解：</w:t>
      </w:r>
      <w:r>
        <w:rPr>
          <w:rFonts w:hint="eastAsia"/>
          <w:kern w:val="0"/>
          <w:szCs w:val="21"/>
        </w:rPr>
        <w:t>了解消费者购买活动的基本规律与类型。</w:t>
      </w:r>
    </w:p>
    <w:p>
      <w:pPr>
        <w:snapToGrid w:val="0"/>
        <w:spacing w:line="360" w:lineRule="auto"/>
        <w:ind w:firstLine="422" w:firstLineChars="200"/>
        <w:rPr>
          <w:kern w:val="0"/>
          <w:szCs w:val="21"/>
        </w:rPr>
      </w:pPr>
      <w:r>
        <w:rPr>
          <w:rFonts w:hint="eastAsia"/>
          <w:b/>
          <w:kern w:val="0"/>
          <w:szCs w:val="21"/>
        </w:rPr>
        <w:t>2. 一般掌握：</w:t>
      </w:r>
      <w:r>
        <w:rPr>
          <w:rFonts w:hint="eastAsia"/>
          <w:kern w:val="0"/>
          <w:szCs w:val="21"/>
        </w:rPr>
        <w:t>影响消费者行为的因素，马斯洛的需要层次论。</w:t>
      </w:r>
    </w:p>
    <w:p>
      <w:pPr>
        <w:snapToGrid w:val="0"/>
        <w:spacing w:line="360" w:lineRule="auto"/>
        <w:ind w:firstLine="422" w:firstLineChars="200"/>
        <w:rPr>
          <w:kern w:val="0"/>
          <w:szCs w:val="21"/>
        </w:rPr>
      </w:pPr>
      <w:r>
        <w:rPr>
          <w:rFonts w:hint="eastAsia"/>
          <w:b/>
          <w:kern w:val="0"/>
          <w:szCs w:val="21"/>
        </w:rPr>
        <w:t>3. 熟练掌握：</w:t>
      </w:r>
      <w:r>
        <w:rPr>
          <w:rFonts w:hint="eastAsia"/>
          <w:kern w:val="0"/>
          <w:szCs w:val="21"/>
        </w:rPr>
        <w:t>掌握消费者行为的概念与过程。</w:t>
      </w:r>
    </w:p>
    <w:p>
      <w:pPr>
        <w:snapToGrid w:val="0"/>
        <w:spacing w:line="360" w:lineRule="auto"/>
        <w:rPr>
          <w:rFonts w:ascii="宋体" w:hAnsi="宋体"/>
          <w:szCs w:val="21"/>
        </w:rPr>
      </w:pPr>
      <w:r>
        <w:rPr>
          <w:rFonts w:hint="eastAsia" w:ascii="宋体" w:hAnsi="宋体"/>
          <w:b/>
          <w:szCs w:val="21"/>
        </w:rPr>
        <w:t>（二）考核内容</w:t>
      </w:r>
    </w:p>
    <w:p>
      <w:pPr>
        <w:pStyle w:val="7"/>
        <w:adjustRightInd w:val="0"/>
        <w:snapToGrid w:val="0"/>
        <w:spacing w:line="360" w:lineRule="auto"/>
        <w:rPr>
          <w:rFonts w:ascii="宋体" w:hAnsi="宋体"/>
          <w:szCs w:val="21"/>
        </w:rPr>
      </w:pPr>
      <w:r>
        <w:rPr>
          <w:rFonts w:hint="eastAsia" w:ascii="宋体" w:hAnsi="宋体"/>
        </w:rPr>
        <w:t>1</w:t>
      </w:r>
      <w:r>
        <w:rPr>
          <w:rFonts w:ascii="宋体" w:hAnsi="宋体"/>
        </w:rPr>
        <w:t xml:space="preserve">. </w:t>
      </w:r>
      <w:r>
        <w:rPr>
          <w:rFonts w:hint="eastAsia" w:ascii="宋体" w:hAnsi="宋体"/>
          <w:szCs w:val="21"/>
        </w:rPr>
        <w:t>消费者行为的概念与过程。</w:t>
      </w:r>
    </w:p>
    <w:p>
      <w:pPr>
        <w:pStyle w:val="7"/>
        <w:adjustRightInd w:val="0"/>
        <w:snapToGrid w:val="0"/>
        <w:spacing w:line="360" w:lineRule="auto"/>
        <w:rPr>
          <w:rFonts w:ascii="宋体" w:hAnsi="宋体"/>
          <w:szCs w:val="21"/>
        </w:rPr>
      </w:pPr>
      <w:r>
        <w:rPr>
          <w:rFonts w:ascii="宋体" w:hAnsi="宋体"/>
          <w:szCs w:val="21"/>
        </w:rPr>
        <w:t xml:space="preserve">2. </w:t>
      </w:r>
      <w:r>
        <w:rPr>
          <w:rFonts w:hint="eastAsia" w:ascii="宋体" w:hAnsi="宋体"/>
          <w:szCs w:val="21"/>
        </w:rPr>
        <w:t>影响消费者行为的因素。</w:t>
      </w:r>
    </w:p>
    <w:p>
      <w:pPr>
        <w:pStyle w:val="7"/>
        <w:adjustRightInd w:val="0"/>
        <w:snapToGrid w:val="0"/>
        <w:spacing w:line="360" w:lineRule="auto"/>
        <w:rPr>
          <w:rFonts w:ascii="宋体" w:hAnsi="宋体"/>
          <w:color w:val="0000FF"/>
        </w:rPr>
      </w:pPr>
      <w:r>
        <w:rPr>
          <w:rFonts w:hint="eastAsia" w:ascii="宋体" w:hAnsi="宋体"/>
          <w:szCs w:val="21"/>
        </w:rPr>
        <w:t>3</w:t>
      </w:r>
      <w:r>
        <w:rPr>
          <w:rFonts w:ascii="宋体" w:hAnsi="宋体"/>
          <w:szCs w:val="21"/>
        </w:rPr>
        <w:t xml:space="preserve">. </w:t>
      </w:r>
      <w:r>
        <w:rPr>
          <w:rFonts w:hint="eastAsia" w:ascii="宋体" w:hAnsi="宋体"/>
          <w:szCs w:val="21"/>
        </w:rPr>
        <w:t>消费者购买活动的基本规律与类型。</w:t>
      </w:r>
    </w:p>
    <w:p>
      <w:pPr>
        <w:adjustRightInd w:val="0"/>
        <w:snapToGrid w:val="0"/>
        <w:spacing w:line="360" w:lineRule="auto"/>
        <w:rPr>
          <w:rFonts w:ascii="宋体" w:hAnsi="宋体"/>
          <w:b/>
          <w:szCs w:val="21"/>
        </w:rPr>
      </w:pPr>
      <w:r>
        <w:rPr>
          <w:rFonts w:hint="eastAsia" w:ascii="宋体" w:hAnsi="宋体"/>
          <w:b/>
          <w:szCs w:val="21"/>
        </w:rPr>
        <w:t>（三）考核要求</w:t>
      </w:r>
    </w:p>
    <w:p>
      <w:pPr>
        <w:adjustRightInd w:val="0"/>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rPr>
        <w:t>影响消费者行为的因素，马斯洛的需要层次论。</w:t>
      </w:r>
    </w:p>
    <w:p>
      <w:pPr>
        <w:adjustRightInd w:val="0"/>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rPr>
        <w:t>消费者购买活动的基本规律与类型。</w:t>
      </w:r>
    </w:p>
    <w:p>
      <w:pPr>
        <w:adjustRightInd w:val="0"/>
        <w:snapToGrid w:val="0"/>
        <w:spacing w:line="360" w:lineRule="auto"/>
        <w:ind w:firstLine="422" w:firstLineChars="200"/>
        <w:rPr>
          <w:rFonts w:ascii="宋体" w:hAnsi="宋体"/>
          <w:bCs/>
        </w:rPr>
      </w:pPr>
      <w:r>
        <w:rPr>
          <w:rFonts w:hint="eastAsia" w:ascii="宋体" w:hAnsi="宋体"/>
          <w:b/>
          <w:szCs w:val="21"/>
        </w:rPr>
        <w:t>3.应用</w:t>
      </w:r>
      <w:r>
        <w:rPr>
          <w:rFonts w:hint="eastAsia" w:ascii="宋体" w:hAnsi="宋体"/>
          <w:szCs w:val="21"/>
        </w:rPr>
        <w:t>：</w:t>
      </w:r>
      <w:r>
        <w:rPr>
          <w:rFonts w:hint="eastAsia" w:ascii="宋体" w:hAnsi="宋体"/>
          <w:bCs/>
        </w:rPr>
        <w:t>消费者行为的概念与过程。</w:t>
      </w:r>
    </w:p>
    <w:p>
      <w:pPr>
        <w:pStyle w:val="10"/>
        <w:snapToGrid w:val="0"/>
        <w:spacing w:line="360" w:lineRule="auto"/>
        <w:jc w:val="center"/>
        <w:rPr>
          <w:rFonts w:hAnsi="宋体"/>
          <w:b/>
        </w:rPr>
      </w:pPr>
      <w:r>
        <w:rPr>
          <w:rFonts w:hint="eastAsia" w:hAnsi="宋体"/>
          <w:b/>
        </w:rPr>
        <w:t xml:space="preserve">第五章  </w:t>
      </w:r>
      <w:r>
        <w:rPr>
          <w:rFonts w:hint="eastAsia" w:hAnsi="宋体"/>
          <w:b/>
          <w:bCs/>
          <w:kern w:val="0"/>
        </w:rPr>
        <w:t>市场细分与市场定位</w:t>
      </w:r>
      <w:r>
        <w:rPr>
          <w:b/>
          <w:bCs/>
          <w:kern w:val="0"/>
        </w:rPr>
        <w:t>  </w:t>
      </w:r>
    </w:p>
    <w:p>
      <w:pPr>
        <w:pStyle w:val="10"/>
        <w:snapToGrid w:val="0"/>
        <w:spacing w:line="360" w:lineRule="auto"/>
        <w:rPr>
          <w:rFonts w:hAnsi="宋体"/>
          <w:b/>
        </w:rPr>
      </w:pPr>
      <w:r>
        <w:rPr>
          <w:rFonts w:hint="eastAsia" w:hAnsi="宋体"/>
          <w:b/>
        </w:rPr>
        <w:t>（一）一般学习目的与要求</w:t>
      </w:r>
    </w:p>
    <w:p>
      <w:pPr>
        <w:widowControl/>
        <w:snapToGrid w:val="0"/>
        <w:spacing w:line="360" w:lineRule="auto"/>
        <w:ind w:firstLine="422" w:firstLineChars="200"/>
        <w:rPr>
          <w:rFonts w:hAnsi="宋体"/>
          <w:b/>
          <w:bCs/>
          <w:kern w:val="0"/>
          <w:szCs w:val="21"/>
        </w:rPr>
      </w:pPr>
      <w:r>
        <w:rPr>
          <w:rFonts w:hint="eastAsia" w:ascii="宋体" w:hAnsi="宋体"/>
          <w:b/>
          <w:szCs w:val="21"/>
        </w:rPr>
        <w:t>1. 一般了解</w:t>
      </w:r>
      <w:r>
        <w:rPr>
          <w:rFonts w:hint="eastAsia" w:ascii="宋体" w:hAnsi="宋体"/>
          <w:szCs w:val="21"/>
        </w:rPr>
        <w:t>：</w:t>
      </w:r>
      <w:r>
        <w:rPr>
          <w:rFonts w:hint="eastAsia" w:ascii="宋体" w:hAnsi="宋体"/>
          <w:bCs/>
        </w:rPr>
        <w:t>市场细分的重要作用。</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rPr>
        <w:t>掌握目标市场策略的选择。</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rFonts w:hint="eastAsia" w:ascii="宋体" w:hAnsi="宋体"/>
          <w:bCs/>
        </w:rPr>
        <w:t>掌握市场细分和市场定位的概念、依据和方法。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0"/>
        </w:rPr>
      </w:pPr>
      <w:r>
        <w:rPr>
          <w:rFonts w:hint="eastAsia" w:ascii="宋体" w:hAnsi="宋体"/>
          <w:szCs w:val="20"/>
        </w:rPr>
        <w:t>1</w:t>
      </w:r>
      <w:r>
        <w:rPr>
          <w:rFonts w:ascii="宋体" w:hAnsi="宋体"/>
          <w:szCs w:val="20"/>
        </w:rPr>
        <w:t xml:space="preserve">. </w:t>
      </w:r>
      <w:r>
        <w:rPr>
          <w:rFonts w:hint="eastAsia" w:ascii="宋体" w:hAnsi="宋体"/>
          <w:szCs w:val="20"/>
        </w:rPr>
        <w:t>市场细分的概念、依据和方法。</w:t>
      </w:r>
    </w:p>
    <w:p>
      <w:pPr>
        <w:snapToGrid w:val="0"/>
        <w:spacing w:line="360" w:lineRule="auto"/>
        <w:ind w:firstLine="420" w:firstLineChars="200"/>
        <w:rPr>
          <w:rFonts w:ascii="宋体" w:hAnsi="宋体"/>
          <w:szCs w:val="20"/>
        </w:rPr>
      </w:pPr>
      <w:r>
        <w:rPr>
          <w:rFonts w:hint="eastAsia" w:ascii="宋体" w:hAnsi="宋体"/>
          <w:szCs w:val="20"/>
        </w:rPr>
        <w:t>2</w:t>
      </w:r>
      <w:r>
        <w:rPr>
          <w:rFonts w:ascii="宋体" w:hAnsi="宋体"/>
          <w:szCs w:val="20"/>
        </w:rPr>
        <w:t xml:space="preserve">. </w:t>
      </w:r>
      <w:r>
        <w:rPr>
          <w:rFonts w:hint="eastAsia" w:ascii="宋体" w:hAnsi="宋体"/>
          <w:szCs w:val="20"/>
        </w:rPr>
        <w:t>市场细分的重要作用。</w:t>
      </w:r>
    </w:p>
    <w:p>
      <w:pPr>
        <w:snapToGrid w:val="0"/>
        <w:spacing w:line="360" w:lineRule="auto"/>
        <w:ind w:firstLine="420" w:firstLineChars="200"/>
        <w:rPr>
          <w:rFonts w:ascii="宋体" w:hAnsi="宋体"/>
          <w:szCs w:val="20"/>
        </w:rPr>
      </w:pPr>
      <w:r>
        <w:rPr>
          <w:rFonts w:hint="eastAsia" w:ascii="宋体" w:hAnsi="宋体"/>
          <w:szCs w:val="20"/>
        </w:rPr>
        <w:t>3</w:t>
      </w:r>
      <w:r>
        <w:rPr>
          <w:rFonts w:ascii="宋体" w:hAnsi="宋体"/>
          <w:szCs w:val="20"/>
        </w:rPr>
        <w:t xml:space="preserve">. </w:t>
      </w:r>
      <w:r>
        <w:rPr>
          <w:rFonts w:hint="eastAsia" w:ascii="宋体" w:hAnsi="宋体"/>
          <w:szCs w:val="20"/>
        </w:rPr>
        <w:t>目标市场策略的选择。</w:t>
      </w:r>
    </w:p>
    <w:p>
      <w:pPr>
        <w:snapToGrid w:val="0"/>
        <w:spacing w:line="360" w:lineRule="auto"/>
        <w:ind w:firstLine="420" w:firstLineChars="200"/>
        <w:rPr>
          <w:rFonts w:ascii="宋体" w:hAnsi="宋体"/>
          <w:szCs w:val="20"/>
        </w:rPr>
      </w:pPr>
      <w:r>
        <w:rPr>
          <w:rFonts w:hint="eastAsia" w:ascii="宋体" w:hAnsi="宋体"/>
          <w:szCs w:val="20"/>
        </w:rPr>
        <w:t>4</w:t>
      </w:r>
      <w:r>
        <w:rPr>
          <w:rFonts w:ascii="宋体" w:hAnsi="宋体"/>
          <w:szCs w:val="20"/>
        </w:rPr>
        <w:t xml:space="preserve">. </w:t>
      </w:r>
      <w:r>
        <w:rPr>
          <w:rFonts w:hint="eastAsia" w:ascii="宋体" w:hAnsi="宋体"/>
          <w:szCs w:val="20"/>
        </w:rPr>
        <w:t>市场定位的方法。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bCs/>
        </w:rPr>
        <w:t>市场细分和市场定位的概念、依据和方法。</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rPr>
        <w:t>市场细分的重要作用。</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：能够对某产品进行</w:t>
      </w:r>
      <w:r>
        <w:rPr>
          <w:rFonts w:hint="eastAsia" w:ascii="宋体" w:hAnsi="宋体"/>
          <w:bCs/>
        </w:rPr>
        <w:t>市场细分；能够对某企业、品牌或城市进行市场定位。</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第六章  </w:t>
      </w:r>
      <w:r>
        <w:rPr>
          <w:rFonts w:hint="eastAsia"/>
          <w:b/>
          <w:bCs/>
          <w:kern w:val="0"/>
          <w:szCs w:val="21"/>
        </w:rPr>
        <w:t>园艺产品营销策略及选择</w:t>
      </w:r>
    </w:p>
    <w:p>
      <w:pPr>
        <w:pStyle w:val="10"/>
        <w:snapToGrid w:val="0"/>
        <w:spacing w:line="360" w:lineRule="auto"/>
        <w:rPr>
          <w:rFonts w:hAnsi="宋体"/>
          <w:b/>
        </w:rPr>
      </w:pPr>
      <w:r>
        <w:rPr>
          <w:rFonts w:hint="eastAsia" w:hAnsi="宋体"/>
          <w:b/>
        </w:rPr>
        <w:t>（一）一般学习目的与要求</w:t>
      </w:r>
    </w:p>
    <w:p>
      <w:pPr>
        <w:snapToGrid w:val="0"/>
        <w:spacing w:line="360" w:lineRule="auto"/>
        <w:ind w:firstLine="422" w:firstLineChars="200"/>
        <w:rPr>
          <w:rFonts w:ascii="宋体" w:hAnsi="宋体" w:eastAsiaTheme="minorEastAsia"/>
          <w:szCs w:val="21"/>
        </w:rPr>
      </w:pPr>
      <w:r>
        <w:rPr>
          <w:rFonts w:hint="eastAsia" w:ascii="宋体" w:hAnsi="宋体"/>
          <w:b/>
          <w:szCs w:val="21"/>
        </w:rPr>
        <w:t>1. 一般了解</w:t>
      </w:r>
      <w:r>
        <w:rPr>
          <w:rFonts w:hint="eastAsia" w:ascii="宋体" w:hAnsi="宋体"/>
          <w:szCs w:val="21"/>
        </w:rPr>
        <w:t>：</w:t>
      </w:r>
      <w:r>
        <w:rPr>
          <w:rFonts w:hint="eastAsia" w:ascii="宋体" w:hAnsi="宋体"/>
          <w:bCs/>
        </w:rPr>
        <w:t>产品生命周期；新产品开发的组织、程序及市场扩散；园艺产品价格制定程序；园艺产品市场流通渠道的类型及现有渠道的现状与特点；</w:t>
      </w:r>
      <w:r>
        <w:rPr>
          <w:rFonts w:hint="eastAsia" w:ascii="宋体" w:hAnsi="宋体" w:cs="宋体"/>
          <w:bCs/>
          <w:szCs w:val="21"/>
        </w:rPr>
        <w:t>促销与促销组合的概念，各种促销方式的基本原则；</w:t>
      </w:r>
      <w:r>
        <w:rPr>
          <w:rFonts w:hint="eastAsia" w:ascii="宋体" w:hAnsi="宋体" w:cs="宋体"/>
          <w:bCs/>
        </w:rPr>
        <w:t>营销组合及营销组合战略的含义、营销组合的意义。</w:t>
      </w:r>
    </w:p>
    <w:p>
      <w:pPr>
        <w:snapToGrid w:val="0"/>
        <w:spacing w:line="360" w:lineRule="auto"/>
        <w:ind w:firstLine="422" w:firstLineChars="200"/>
        <w:rPr>
          <w:rFonts w:ascii="宋体" w:hAnsi="宋体" w:eastAsiaTheme="minorEastAsia"/>
          <w:szCs w:val="21"/>
        </w:rPr>
      </w:pPr>
      <w:r>
        <w:rPr>
          <w:rFonts w:hint="eastAsia" w:ascii="宋体" w:hAnsi="宋体"/>
          <w:b/>
          <w:szCs w:val="21"/>
        </w:rPr>
        <w:t>2. 一般掌握</w:t>
      </w:r>
      <w:r>
        <w:rPr>
          <w:rFonts w:hint="eastAsia" w:ascii="宋体" w:hAnsi="宋体"/>
          <w:szCs w:val="21"/>
        </w:rPr>
        <w:t>：</w:t>
      </w:r>
      <w:r>
        <w:rPr>
          <w:rFonts w:hint="eastAsia" w:ascii="宋体" w:hAnsi="宋体"/>
          <w:bCs/>
        </w:rPr>
        <w:t>园艺产品的整体概念；园艺产品品牌与包装的功能及策略；园艺新产品的类型及新产品开发过程；影响园艺产品价格的因素；市场流通渠道的概念；</w:t>
      </w:r>
      <w:r>
        <w:rPr>
          <w:rFonts w:hint="eastAsia" w:ascii="宋体" w:hAnsi="宋体" w:cs="宋体"/>
          <w:bCs/>
          <w:szCs w:val="21"/>
        </w:rPr>
        <w:t>促销策略的作用与原则，促销的四种方式及各方式的概念及特点；</w:t>
      </w:r>
      <w:r>
        <w:rPr>
          <w:rFonts w:hint="eastAsia" w:ascii="宋体" w:hAnsi="宋体" w:cs="宋体"/>
          <w:bCs/>
        </w:rPr>
        <w:t>我国园艺产品国际营销组合战略中的产品、价格、促销以及渠道策略。</w:t>
      </w:r>
    </w:p>
    <w:p>
      <w:pPr>
        <w:spacing w:line="360" w:lineRule="auto"/>
        <w:ind w:firstLine="422" w:firstLineChars="200"/>
        <w:rPr>
          <w:rFonts w:ascii="宋体" w:hAnsi="宋体" w:eastAsiaTheme="minorEastAsia"/>
          <w:color w:val="0000FF"/>
          <w:szCs w:val="21"/>
        </w:rPr>
      </w:pPr>
      <w:r>
        <w:rPr>
          <w:rFonts w:hint="eastAsia" w:ascii="宋体" w:hAnsi="宋体"/>
          <w:b/>
          <w:szCs w:val="21"/>
        </w:rPr>
        <w:t>3. 熟练掌握</w:t>
      </w:r>
      <w:r>
        <w:rPr>
          <w:rFonts w:hint="eastAsia" w:ascii="宋体" w:hAnsi="宋体"/>
          <w:szCs w:val="21"/>
        </w:rPr>
        <w:t>：</w:t>
      </w:r>
      <w:r>
        <w:rPr>
          <w:rFonts w:hint="eastAsia" w:ascii="宋体" w:hAnsi="宋体"/>
          <w:bCs/>
        </w:rPr>
        <w:t>园艺产品生命周期各阶段的营销特点及营销策略；园艺产品定价策略；</w:t>
      </w:r>
      <w:r>
        <w:rPr>
          <w:rFonts w:hint="eastAsia" w:ascii="宋体" w:hAnsi="宋体" w:cs="宋体"/>
          <w:bCs/>
          <w:szCs w:val="21"/>
        </w:rPr>
        <w:t>四种促销方式的具体形式；促销组合策略的种类以及影响选择促销组合策略的因素；</w:t>
      </w:r>
      <w:r>
        <w:rPr>
          <w:rFonts w:hint="eastAsia" w:ascii="宋体" w:hAnsi="宋体" w:cs="宋体"/>
          <w:bCs/>
        </w:rPr>
        <w:t>国际营销组合策略和国内营销组合策略的区别。</w:t>
      </w:r>
    </w:p>
    <w:p>
      <w:pPr>
        <w:snapToGrid w:val="0"/>
        <w:spacing w:line="360" w:lineRule="auto"/>
        <w:rPr>
          <w:rFonts w:ascii="宋体" w:hAnsi="宋体"/>
          <w:b/>
          <w:szCs w:val="21"/>
        </w:rPr>
      </w:pPr>
      <w:r>
        <w:rPr>
          <w:rFonts w:hint="eastAsia" w:ascii="宋体" w:hAnsi="宋体"/>
          <w:b/>
          <w:szCs w:val="21"/>
        </w:rPr>
        <w:t>（二）考核内容</w:t>
      </w:r>
    </w:p>
    <w:p>
      <w:pPr>
        <w:spacing w:line="360" w:lineRule="auto"/>
        <w:ind w:firstLine="420" w:firstLineChars="200"/>
        <w:rPr>
          <w:rFonts w:ascii="宋体" w:hAnsi="宋体"/>
          <w:bCs/>
          <w:szCs w:val="21"/>
        </w:rPr>
      </w:pPr>
      <w:r>
        <w:rPr>
          <w:rFonts w:hint="eastAsia" w:ascii="宋体" w:hAnsi="宋体"/>
          <w:bCs/>
          <w:szCs w:val="21"/>
        </w:rPr>
        <w:t>1</w:t>
      </w:r>
      <w:r>
        <w:rPr>
          <w:rFonts w:ascii="宋体" w:hAnsi="宋体"/>
          <w:bCs/>
          <w:szCs w:val="21"/>
        </w:rPr>
        <w:t xml:space="preserve">. </w:t>
      </w:r>
      <w:r>
        <w:rPr>
          <w:rFonts w:hint="eastAsia" w:ascii="宋体" w:hAnsi="宋体"/>
          <w:bCs/>
          <w:szCs w:val="21"/>
        </w:rPr>
        <w:t>园艺产品营销的4大策略。</w:t>
      </w:r>
    </w:p>
    <w:p>
      <w:pPr>
        <w:spacing w:line="360" w:lineRule="auto"/>
        <w:ind w:firstLine="420" w:firstLineChars="200"/>
        <w:rPr>
          <w:rFonts w:ascii="宋体" w:hAnsi="宋体"/>
          <w:bCs/>
        </w:rPr>
      </w:pPr>
      <w:r>
        <w:rPr>
          <w:rFonts w:hint="eastAsia" w:ascii="宋体" w:hAnsi="宋体"/>
          <w:bCs/>
          <w:szCs w:val="21"/>
        </w:rPr>
        <w:t>2</w:t>
      </w:r>
      <w:r>
        <w:rPr>
          <w:rFonts w:ascii="宋体" w:hAnsi="宋体"/>
          <w:bCs/>
          <w:szCs w:val="21"/>
        </w:rPr>
        <w:t xml:space="preserve">. </w:t>
      </w:r>
      <w:r>
        <w:rPr>
          <w:rFonts w:hint="eastAsia" w:ascii="宋体" w:hAnsi="宋体"/>
          <w:bCs/>
          <w:szCs w:val="21"/>
        </w:rPr>
        <w:t>通过开发新产品、设计产品包装、打造产品品牌</w:t>
      </w:r>
      <w:r>
        <w:rPr>
          <w:rFonts w:hint="eastAsia"/>
          <w:szCs w:val="21"/>
        </w:rPr>
        <w:t>提升产品价值</w:t>
      </w:r>
      <w:r>
        <w:rPr>
          <w:rFonts w:hint="eastAsia" w:ascii="宋体" w:hAnsi="宋体"/>
          <w:bCs/>
          <w:szCs w:val="21"/>
        </w:rPr>
        <w:t>，能够在企业营销管理中根据产品所处生命周期的阶段进行产品组合以创造出能最大满足消费者需求的产品。</w:t>
      </w:r>
    </w:p>
    <w:p>
      <w:pPr>
        <w:spacing w:line="360" w:lineRule="auto"/>
        <w:ind w:firstLine="420" w:firstLineChars="200"/>
        <w:rPr>
          <w:rFonts w:ascii="宋体" w:hAnsi="宋体"/>
          <w:bCs/>
        </w:rPr>
      </w:pPr>
      <w:r>
        <w:rPr>
          <w:rFonts w:hint="eastAsia" w:ascii="宋体" w:hAnsi="宋体"/>
          <w:bCs/>
        </w:rPr>
        <w:t>3</w:t>
      </w:r>
      <w:r>
        <w:rPr>
          <w:rFonts w:ascii="宋体" w:hAnsi="宋体"/>
          <w:bCs/>
        </w:rPr>
        <w:t xml:space="preserve">. </w:t>
      </w:r>
      <w:r>
        <w:rPr>
          <w:rFonts w:hint="eastAsia" w:ascii="宋体" w:hAnsi="宋体"/>
          <w:bCs/>
        </w:rPr>
        <w:t>结合园艺产品的市场案例理解供需规律引起的价格变化，并运用价格策略去进行不同类型产品的价格设定。</w:t>
      </w:r>
    </w:p>
    <w:p>
      <w:pPr>
        <w:spacing w:line="360" w:lineRule="auto"/>
        <w:ind w:firstLine="420" w:firstLineChars="200"/>
        <w:rPr>
          <w:rFonts w:ascii="宋体" w:hAnsi="宋体"/>
          <w:bCs/>
        </w:rPr>
      </w:pPr>
      <w:r>
        <w:rPr>
          <w:rFonts w:hint="eastAsia" w:ascii="宋体" w:hAnsi="宋体"/>
          <w:bCs/>
        </w:rPr>
        <w:t>4</w:t>
      </w:r>
      <w:r>
        <w:rPr>
          <w:rFonts w:ascii="宋体" w:hAnsi="宋体"/>
          <w:bCs/>
        </w:rPr>
        <w:t xml:space="preserve">. </w:t>
      </w:r>
      <w:r>
        <w:rPr>
          <w:rFonts w:hint="eastAsia" w:ascii="宋体" w:hAnsi="宋体"/>
          <w:bCs/>
        </w:rPr>
        <w:t>能够针对不同园艺企业、产品，制定适宜的促销策略。</w:t>
      </w:r>
    </w:p>
    <w:p>
      <w:pPr>
        <w:spacing w:line="360" w:lineRule="auto"/>
        <w:ind w:firstLine="420" w:firstLineChars="200"/>
        <w:rPr>
          <w:rFonts w:ascii="宋体" w:hAnsi="宋体" w:eastAsiaTheme="minorEastAsia"/>
          <w:bCs/>
        </w:rPr>
      </w:pPr>
      <w:r>
        <w:rPr>
          <w:rFonts w:hint="eastAsia" w:ascii="宋体" w:hAnsi="宋体"/>
          <w:bCs/>
        </w:rPr>
        <w:t>5</w:t>
      </w:r>
      <w:r>
        <w:rPr>
          <w:rFonts w:ascii="宋体" w:hAnsi="宋体"/>
          <w:bCs/>
        </w:rPr>
        <w:t xml:space="preserve">. </w:t>
      </w:r>
      <w:r>
        <w:rPr>
          <w:rFonts w:hint="eastAsia" w:ascii="宋体" w:hAnsi="宋体"/>
          <w:bCs/>
        </w:rPr>
        <w:t>理解</w:t>
      </w:r>
      <w:r>
        <w:rPr>
          <w:rFonts w:hint="eastAsia" w:ascii="宋体" w:hAnsi="宋体" w:cs="宋体"/>
        </w:rPr>
        <w:t>园艺产品营销组合的概念、意义；我国园艺产品国际营销组合战略中产品、价格、促销、渠道四种策略的内容及与国内营销组合策略的区别。</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eastAsiaTheme="minorEastAsia"/>
          <w:b/>
          <w:szCs w:val="21"/>
        </w:rPr>
      </w:pPr>
      <w:r>
        <w:rPr>
          <w:rFonts w:hint="eastAsia" w:ascii="宋体" w:hAnsi="宋体"/>
          <w:b/>
          <w:szCs w:val="21"/>
        </w:rPr>
        <w:t>1.识记</w:t>
      </w:r>
      <w:r>
        <w:rPr>
          <w:rFonts w:hint="eastAsia" w:ascii="宋体" w:hAnsi="宋体"/>
          <w:szCs w:val="21"/>
        </w:rPr>
        <w:t>：产品生命周期、园艺新产品的类型、品牌和包装的功能、园艺产品的流通渠道；</w:t>
      </w:r>
      <w:r>
        <w:rPr>
          <w:rFonts w:hint="eastAsia" w:ascii="宋体" w:hAnsi="宋体" w:cs="宋体"/>
          <w:bCs/>
          <w:szCs w:val="21"/>
        </w:rPr>
        <w:t>促销与促销组合的概念，促销的原则、意义和作用；促销的四种方式及各方式的概念及特点；</w:t>
      </w:r>
      <w:r>
        <w:rPr>
          <w:rFonts w:hint="eastAsia" w:ascii="宋体" w:hAnsi="宋体" w:cs="宋体"/>
          <w:bCs/>
        </w:rPr>
        <w:t>营销组合及营销组合战略的含义。</w:t>
      </w:r>
    </w:p>
    <w:p>
      <w:pPr>
        <w:snapToGrid w:val="0"/>
        <w:spacing w:line="360" w:lineRule="auto"/>
        <w:ind w:firstLine="422" w:firstLineChars="200"/>
        <w:rPr>
          <w:rFonts w:ascii="宋体" w:hAnsi="宋体" w:cs="宋体"/>
          <w:bCs/>
        </w:rPr>
      </w:pPr>
      <w:r>
        <w:rPr>
          <w:rFonts w:hint="eastAsia" w:ascii="宋体" w:hAnsi="宋体"/>
          <w:b/>
          <w:szCs w:val="21"/>
        </w:rPr>
        <w:t>2.领会</w:t>
      </w:r>
      <w:r>
        <w:rPr>
          <w:rFonts w:hint="eastAsia" w:ascii="宋体" w:hAnsi="宋体"/>
          <w:szCs w:val="21"/>
        </w:rPr>
        <w:t>：园艺产品的整体概念的意义、市场供求对产品价格的影响、园艺产品流通渠道的重要性；</w:t>
      </w:r>
      <w:r>
        <w:rPr>
          <w:rFonts w:hint="eastAsia" w:ascii="宋体" w:hAnsi="宋体" w:cs="宋体"/>
          <w:bCs/>
        </w:rPr>
        <w:t>我国园艺产品国际营销组合战略中的产品、价格、促销以及渠道策略</w:t>
      </w:r>
      <w:r>
        <w:rPr>
          <w:rFonts w:hint="eastAsia" w:ascii="宋体" w:hAnsi="宋体"/>
          <w:bCs/>
          <w:color w:val="0000FF"/>
          <w:szCs w:val="21"/>
        </w:rPr>
        <w:t>；</w:t>
      </w:r>
      <w:r>
        <w:rPr>
          <w:rFonts w:hint="eastAsia" w:ascii="宋体" w:hAnsi="宋体" w:cs="宋体"/>
          <w:bCs/>
        </w:rPr>
        <w:t>营销组合的意义。</w:t>
      </w:r>
    </w:p>
    <w:p>
      <w:pPr>
        <w:snapToGrid w:val="0"/>
        <w:spacing w:line="360" w:lineRule="auto"/>
        <w:ind w:firstLine="422" w:firstLineChars="200"/>
        <w:rPr>
          <w:rFonts w:ascii="宋体" w:hAnsi="宋体" w:cs="宋体" w:eastAsiaTheme="minorEastAsia"/>
          <w:bCs/>
          <w:szCs w:val="21"/>
        </w:rPr>
      </w:pPr>
      <w:r>
        <w:rPr>
          <w:rFonts w:hint="eastAsia" w:ascii="宋体" w:hAnsi="宋体"/>
          <w:b/>
          <w:szCs w:val="21"/>
        </w:rPr>
        <w:t>3.应用</w:t>
      </w:r>
      <w:r>
        <w:rPr>
          <w:rFonts w:hint="eastAsia" w:ascii="宋体" w:hAnsi="宋体"/>
          <w:szCs w:val="21"/>
        </w:rPr>
        <w:t>：熟练运用园艺产品的产品策略、定价策略、渠道策略及促销策略分析企业营销管理；</w:t>
      </w:r>
      <w:r>
        <w:rPr>
          <w:rFonts w:hint="eastAsia" w:ascii="宋体" w:hAnsi="宋体" w:cs="宋体"/>
          <w:bCs/>
          <w:szCs w:val="21"/>
        </w:rPr>
        <w:t>四种促销方式的具体形式。</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szCs w:val="21"/>
        </w:rPr>
        <w:t>针对某一种特定的园艺产品，结合市场调查，能够简述该产品所采用的营销组合策略。结合调查结果，分析该园艺产品营销过程中存在的问题并给出相应的对策和建议。</w:t>
      </w:r>
    </w:p>
    <w:p>
      <w:pPr>
        <w:snapToGrid w:val="0"/>
        <w:spacing w:line="360" w:lineRule="auto"/>
        <w:ind w:firstLine="422" w:firstLineChars="200"/>
        <w:rPr>
          <w:rFonts w:ascii="宋体" w:hAnsi="宋体" w:eastAsiaTheme="minorEastAsia"/>
          <w:color w:val="0000FF"/>
          <w:szCs w:val="21"/>
        </w:rPr>
      </w:pPr>
      <w:r>
        <w:rPr>
          <w:rFonts w:hint="eastAsia" w:ascii="宋体" w:hAnsi="宋体"/>
          <w:b/>
          <w:szCs w:val="21"/>
        </w:rPr>
        <w:t>5.综合</w:t>
      </w:r>
      <w:r>
        <w:rPr>
          <w:rFonts w:hint="eastAsia" w:ascii="宋体" w:hAnsi="宋体"/>
          <w:szCs w:val="21"/>
        </w:rPr>
        <w:t>：</w:t>
      </w:r>
      <w:r>
        <w:rPr>
          <w:rFonts w:hint="eastAsia" w:ascii="宋体" w:hAnsi="宋体" w:cs="宋体"/>
          <w:bCs/>
        </w:rPr>
        <w:t>国际营销组合策略和国内营销组合策略的区别。</w:t>
      </w:r>
    </w:p>
    <w:p>
      <w:pPr>
        <w:snapToGrid w:val="0"/>
        <w:spacing w:line="360" w:lineRule="auto"/>
        <w:ind w:firstLine="422" w:firstLineChars="200"/>
        <w:rPr>
          <w:rFonts w:ascii="宋体" w:hAnsi="宋体"/>
          <w:bCs/>
          <w:szCs w:val="21"/>
        </w:rPr>
      </w:pPr>
      <w:r>
        <w:rPr>
          <w:rFonts w:hint="eastAsia" w:ascii="宋体" w:hAnsi="宋体"/>
          <w:b/>
          <w:szCs w:val="21"/>
        </w:rPr>
        <w:t>6.评价：</w:t>
      </w:r>
      <w:r>
        <w:rPr>
          <w:rFonts w:hint="eastAsia" w:ascii="宋体" w:hAnsi="宋体"/>
          <w:bCs/>
          <w:szCs w:val="21"/>
        </w:rPr>
        <w:t>营销组合策略的制定效果</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887" w:name="_Toc31408"/>
      <w:bookmarkStart w:id="888" w:name="_Toc138076186"/>
      <w:bookmarkStart w:id="889" w:name="_Toc138076730"/>
      <w:bookmarkStart w:id="890" w:name="_Toc138068891"/>
      <w:bookmarkStart w:id="891" w:name="_Toc138068492"/>
      <w:bookmarkStart w:id="892" w:name="_Toc138070521"/>
      <w:bookmarkStart w:id="893" w:name="_Toc138070792"/>
      <w:bookmarkStart w:id="894" w:name="_Toc138076435"/>
      <w:r>
        <w:rPr>
          <w:rFonts w:hint="eastAsia" w:asciiTheme="majorEastAsia" w:hAnsiTheme="majorEastAsia" w:eastAsiaTheme="majorEastAsia" w:cstheme="majorEastAsia"/>
          <w:b/>
          <w:bCs/>
          <w:kern w:val="0"/>
          <w:szCs w:val="21"/>
        </w:rPr>
        <w:t>四、考核方式</w:t>
      </w:r>
      <w:bookmarkEnd w:id="887"/>
      <w:bookmarkEnd w:id="888"/>
      <w:bookmarkEnd w:id="889"/>
      <w:bookmarkEnd w:id="890"/>
      <w:bookmarkEnd w:id="891"/>
      <w:bookmarkEnd w:id="892"/>
      <w:bookmarkEnd w:id="893"/>
      <w:bookmarkEnd w:id="894"/>
    </w:p>
    <w:p>
      <w:pPr>
        <w:spacing w:line="440" w:lineRule="exact"/>
        <w:ind w:firstLine="420" w:firstLineChars="200"/>
        <w:jc w:val="left"/>
        <w:rPr>
          <w:b/>
          <w:szCs w:val="21"/>
        </w:rPr>
      </w:pPr>
      <w:r>
        <w:rPr>
          <w:bCs/>
          <w:color w:val="000000"/>
          <w:szCs w:val="21"/>
        </w:rPr>
        <w:t>课程考核主要通过课堂考勤、课堂提问、</w:t>
      </w:r>
      <w:r>
        <w:rPr>
          <w:rFonts w:hint="eastAsia"/>
          <w:bCs/>
          <w:color w:val="000000"/>
          <w:szCs w:val="21"/>
        </w:rPr>
        <w:t>线上线下</w:t>
      </w:r>
      <w:r>
        <w:rPr>
          <w:bCs/>
          <w:color w:val="000000"/>
          <w:szCs w:val="21"/>
        </w:rPr>
        <w:t>练习与讨论、作业反馈、</w:t>
      </w:r>
      <w:r>
        <w:rPr>
          <w:rFonts w:hint="eastAsia"/>
          <w:bCs/>
          <w:color w:val="000000"/>
          <w:szCs w:val="21"/>
        </w:rPr>
        <w:t>课程论文</w:t>
      </w:r>
      <w:r>
        <w:rPr>
          <w:bCs/>
          <w:color w:val="000000"/>
          <w:szCs w:val="21"/>
        </w:rPr>
        <w:t>等多种方式对学生的学习表现和学习效果进行过程性和综合性评价。在课堂教学过程中，设置</w:t>
      </w:r>
      <w:r>
        <w:rPr>
          <w:rFonts w:hint="eastAsia"/>
          <w:bCs/>
          <w:color w:val="000000"/>
          <w:szCs w:val="21"/>
        </w:rPr>
        <w:t>营销案例分析、P</w:t>
      </w:r>
      <w:r>
        <w:rPr>
          <w:bCs/>
          <w:color w:val="000000"/>
          <w:szCs w:val="21"/>
        </w:rPr>
        <w:t>PT</w:t>
      </w:r>
      <w:r>
        <w:rPr>
          <w:rFonts w:hint="eastAsia"/>
          <w:bCs/>
          <w:color w:val="000000"/>
          <w:szCs w:val="21"/>
        </w:rPr>
        <w:t>汇报等环节</w:t>
      </w:r>
      <w:r>
        <w:rPr>
          <w:bCs/>
          <w:color w:val="000000"/>
          <w:szCs w:val="21"/>
        </w:rPr>
        <w:t>，加强学生独立思考</w:t>
      </w:r>
      <w:r>
        <w:rPr>
          <w:rFonts w:hint="eastAsia"/>
          <w:bCs/>
          <w:color w:val="000000"/>
          <w:szCs w:val="21"/>
        </w:rPr>
        <w:t>和知识的理解应用</w:t>
      </w:r>
      <w:r>
        <w:rPr>
          <w:bCs/>
          <w:color w:val="000000"/>
          <w:szCs w:val="21"/>
        </w:rPr>
        <w:t>能力。</w:t>
      </w:r>
      <w:r>
        <w:rPr>
          <w:rFonts w:hint="eastAsia"/>
          <w:bCs/>
          <w:color w:val="000000"/>
          <w:szCs w:val="21"/>
        </w:rPr>
        <w:t>课程论文</w:t>
      </w:r>
      <w:r>
        <w:rPr>
          <w:bCs/>
          <w:color w:val="000000"/>
          <w:szCs w:val="21"/>
        </w:rPr>
        <w:t>设置在课程学习结束后，包括</w:t>
      </w:r>
      <w:r>
        <w:rPr>
          <w:rFonts w:hint="eastAsia"/>
          <w:bCs/>
          <w:color w:val="000000"/>
          <w:szCs w:val="21"/>
        </w:rPr>
        <w:t>对营销策略的综合性分析与应用，营销案例分析等</w:t>
      </w:r>
      <w:r>
        <w:rPr>
          <w:bCs/>
          <w:color w:val="000000"/>
          <w:szCs w:val="21"/>
        </w:rPr>
        <w:t>开放性题目，综合考察学生的学习效果。</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895" w:name="_Toc138076731"/>
      <w:bookmarkStart w:id="896" w:name="_Toc12504"/>
      <w:bookmarkStart w:id="897" w:name="_Toc138076187"/>
      <w:bookmarkStart w:id="898" w:name="_Toc138076436"/>
      <w:bookmarkStart w:id="899" w:name="_Toc138070522"/>
      <w:bookmarkStart w:id="900" w:name="_Toc138070793"/>
      <w:bookmarkStart w:id="901" w:name="_Toc138068493"/>
      <w:bookmarkStart w:id="902" w:name="_Toc138068892"/>
      <w:r>
        <w:rPr>
          <w:rFonts w:hint="eastAsia" w:asciiTheme="majorEastAsia" w:hAnsiTheme="majorEastAsia" w:eastAsiaTheme="majorEastAsia" w:cstheme="majorEastAsia"/>
          <w:b/>
          <w:bCs/>
          <w:kern w:val="0"/>
          <w:szCs w:val="21"/>
        </w:rPr>
        <w:t>五、成绩评定</w:t>
      </w:r>
      <w:bookmarkEnd w:id="895"/>
      <w:bookmarkEnd w:id="896"/>
      <w:bookmarkEnd w:id="897"/>
      <w:bookmarkEnd w:id="898"/>
      <w:bookmarkEnd w:id="899"/>
      <w:bookmarkEnd w:id="900"/>
      <w:bookmarkEnd w:id="901"/>
      <w:bookmarkEnd w:id="902"/>
    </w:p>
    <w:p>
      <w:pPr>
        <w:snapToGrid w:val="0"/>
        <w:spacing w:line="360" w:lineRule="auto"/>
        <w:ind w:firstLine="420" w:firstLineChars="200"/>
        <w:rPr>
          <w:rFonts w:ascii="宋体" w:hAnsi="宋体"/>
          <w:color w:val="0000FF"/>
          <w:szCs w:val="21"/>
        </w:rPr>
      </w:pPr>
      <w:r>
        <w:rPr>
          <w:rFonts w:hint="eastAsia" w:ascii="宋体" w:hAnsi="宋体"/>
          <w:color w:val="000000" w:themeColor="text1"/>
          <w:szCs w:val="21"/>
          <w14:textFill>
            <w14:solidFill>
              <w14:schemeClr w14:val="tx1"/>
            </w14:solidFill>
          </w14:textFill>
        </w:rPr>
        <w:t>1.平时成绩：</w:t>
      </w:r>
      <w:r>
        <w:rPr>
          <w:szCs w:val="21"/>
        </w:rPr>
        <w:t>由课堂表现、</w:t>
      </w:r>
      <w:r>
        <w:rPr>
          <w:rFonts w:hint="eastAsia"/>
          <w:szCs w:val="21"/>
        </w:rPr>
        <w:t>课堂作业</w:t>
      </w:r>
      <w:r>
        <w:rPr>
          <w:szCs w:val="21"/>
        </w:rPr>
        <w:t>组成，满分100分。</w:t>
      </w:r>
    </w:p>
    <w:p>
      <w:pPr>
        <w:snapToGrid w:val="0"/>
        <w:spacing w:line="360" w:lineRule="auto"/>
        <w:ind w:firstLine="420" w:firstLineChars="200"/>
        <w:rPr>
          <w:rFonts w:ascii="宋体" w:hAnsi="宋体"/>
          <w:bCs/>
          <w:color w:val="0000FF"/>
          <w:szCs w:val="21"/>
        </w:rPr>
      </w:pPr>
      <w:r>
        <w:rPr>
          <w:rFonts w:hint="eastAsia" w:ascii="宋体" w:hAnsi="宋体"/>
          <w:color w:val="000000" w:themeColor="text1"/>
          <w14:textFill>
            <w14:solidFill>
              <w14:schemeClr w14:val="tx1"/>
            </w14:solidFill>
          </w14:textFill>
        </w:rPr>
        <w:t>2.期末成绩：主要是课程论文，满分1</w:t>
      </w:r>
      <w:r>
        <w:rPr>
          <w:rFonts w:ascii="宋体" w:hAnsi="宋体"/>
          <w:color w:val="000000" w:themeColor="text1"/>
          <w14:textFill>
            <w14:solidFill>
              <w14:schemeClr w14:val="tx1"/>
            </w14:solidFill>
          </w14:textFill>
        </w:rPr>
        <w:t>00</w:t>
      </w:r>
      <w:r>
        <w:rPr>
          <w:rFonts w:hint="eastAsia" w:ascii="宋体" w:hAnsi="宋体"/>
          <w:color w:val="000000" w:themeColor="text1"/>
          <w14:textFill>
            <w14:solidFill>
              <w14:schemeClr w14:val="tx1"/>
            </w14:solidFill>
          </w14:textFill>
        </w:rPr>
        <w:t>分。</w:t>
      </w:r>
    </w:p>
    <w:p>
      <w:pPr>
        <w:snapToGrid w:val="0"/>
        <w:spacing w:line="360" w:lineRule="auto"/>
        <w:ind w:firstLine="420" w:firstLineChars="200"/>
        <w:rPr>
          <w:rFonts w:ascii="宋体" w:hAnsi="宋体"/>
          <w:bCs/>
          <w:color w:val="0000FF"/>
          <w:szCs w:val="21"/>
        </w:rPr>
      </w:pPr>
      <w:r>
        <w:rPr>
          <w:rFonts w:hint="eastAsia" w:ascii="宋体" w:hAnsi="宋体"/>
          <w:color w:val="000000" w:themeColor="text1"/>
          <w14:textFill>
            <w14:solidFill>
              <w14:schemeClr w14:val="tx1"/>
            </w14:solidFill>
          </w14:textFill>
        </w:rPr>
        <w:t>3.综合成绩：</w:t>
      </w:r>
      <w:r>
        <w:rPr>
          <w:szCs w:val="21"/>
        </w:rPr>
        <w:t>课程成绩由平时成绩和期末</w:t>
      </w:r>
      <w:r>
        <w:rPr>
          <w:rFonts w:hint="eastAsia"/>
          <w:szCs w:val="21"/>
        </w:rPr>
        <w:t>课程论文</w:t>
      </w:r>
      <w:r>
        <w:rPr>
          <w:szCs w:val="21"/>
        </w:rPr>
        <w:t>成绩组成，满分100分，其中平时成绩</w:t>
      </w:r>
      <w:r>
        <w:rPr>
          <w:bCs/>
          <w:color w:val="000000"/>
          <w:szCs w:val="21"/>
        </w:rPr>
        <w:t>占课程最终成绩的50%，</w:t>
      </w:r>
      <w:r>
        <w:rPr>
          <w:rFonts w:hint="eastAsia"/>
          <w:bCs/>
          <w:color w:val="000000"/>
          <w:szCs w:val="21"/>
        </w:rPr>
        <w:t>课程论文</w:t>
      </w:r>
      <w:r>
        <w:rPr>
          <w:bCs/>
          <w:color w:val="000000"/>
          <w:szCs w:val="21"/>
        </w:rPr>
        <w:t>成绩占课程最终成绩的50%</w:t>
      </w:r>
      <w:r>
        <w:rPr>
          <w:szCs w:val="21"/>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903" w:name="_Toc138076732"/>
      <w:bookmarkStart w:id="904" w:name="_Toc28126"/>
      <w:bookmarkStart w:id="905" w:name="_Toc138068893"/>
      <w:bookmarkStart w:id="906" w:name="_Toc138070794"/>
      <w:bookmarkStart w:id="907" w:name="_Toc138068494"/>
      <w:bookmarkStart w:id="908" w:name="_Toc138076437"/>
      <w:bookmarkStart w:id="909" w:name="_Toc138070523"/>
      <w:bookmarkStart w:id="910" w:name="_Toc138076188"/>
      <w:r>
        <w:rPr>
          <w:rFonts w:hint="eastAsia" w:asciiTheme="majorEastAsia" w:hAnsiTheme="majorEastAsia" w:eastAsiaTheme="majorEastAsia" w:cstheme="majorEastAsia"/>
          <w:b/>
          <w:bCs/>
          <w:kern w:val="0"/>
          <w:szCs w:val="21"/>
        </w:rPr>
        <w:t>六、考核结果分析反馈</w:t>
      </w:r>
      <w:bookmarkEnd w:id="903"/>
      <w:bookmarkEnd w:id="904"/>
      <w:bookmarkEnd w:id="905"/>
      <w:bookmarkEnd w:id="906"/>
      <w:bookmarkEnd w:id="907"/>
      <w:bookmarkEnd w:id="908"/>
      <w:bookmarkEnd w:id="909"/>
      <w:bookmarkEnd w:id="910"/>
    </w:p>
    <w:p>
      <w:pPr>
        <w:snapToGrid w:val="0"/>
        <w:spacing w:line="360" w:lineRule="auto"/>
        <w:ind w:firstLine="420" w:firstLineChars="200"/>
        <w:rPr>
          <w:rFonts w:hAnsi="宋体"/>
          <w:bCs/>
          <w:szCs w:val="21"/>
        </w:rPr>
      </w:pPr>
      <w:r>
        <w:rPr>
          <w:rFonts w:hint="eastAsia" w:hAnsi="宋体"/>
          <w:bCs/>
          <w:szCs w:val="21"/>
        </w:rPr>
        <w:t>由于本课程涉及的理论知识和案例分析相对较多，而且基本知识比较抽象复杂。为了让学生更好的掌握园艺产品营销学的基本内容和案例分析，有必要及时跟踪了解学生的学习情况。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pPr>
        <w:snapToGrid w:val="0"/>
        <w:spacing w:line="360" w:lineRule="auto"/>
        <w:ind w:firstLine="420" w:firstLineChars="200"/>
        <w:rPr>
          <w:rFonts w:hAnsi="宋体"/>
          <w:bCs/>
          <w:szCs w:val="21"/>
        </w:rPr>
      </w:pPr>
      <w:r>
        <w:rPr>
          <w:rFonts w:hint="eastAsia" w:hAnsi="宋体"/>
          <w:bCs/>
          <w:szCs w:val="21"/>
        </w:rPr>
        <w:t>1．</w:t>
      </w:r>
      <w:r>
        <w:rPr>
          <w:rFonts w:hint="eastAsia" w:hAnsi="宋体"/>
          <w:bCs/>
          <w:szCs w:val="21"/>
        </w:rPr>
        <w:tab/>
      </w:r>
      <w:r>
        <w:rPr>
          <w:rFonts w:hint="eastAsia" w:hAnsi="宋体"/>
          <w:bCs/>
          <w:szCs w:val="21"/>
        </w:rPr>
        <w:t>考核结果分析</w:t>
      </w:r>
    </w:p>
    <w:p>
      <w:pPr>
        <w:snapToGrid w:val="0"/>
        <w:spacing w:line="360" w:lineRule="auto"/>
        <w:ind w:firstLine="420" w:firstLineChars="200"/>
        <w:rPr>
          <w:rFonts w:hAnsi="宋体"/>
          <w:bCs/>
          <w:szCs w:val="21"/>
        </w:rPr>
      </w:pPr>
      <w:r>
        <w:rPr>
          <w:rFonts w:hint="eastAsia" w:hAnsi="宋体"/>
          <w:bCs/>
          <w:szCs w:val="21"/>
        </w:rPr>
        <w:t>任课教师提供的本门课程考核结果分析应包括各环节成绩分析和总评成绩分析两部分。成绩分析应包括平均分、最高分、最低分、标准差等，主要体现课程成绩总体分布情况。分析报告应包括分析依据、分析内容、综合评价，以及总结或建议。</w:t>
      </w:r>
    </w:p>
    <w:p>
      <w:pPr>
        <w:snapToGrid w:val="0"/>
        <w:spacing w:line="360" w:lineRule="auto"/>
        <w:ind w:firstLine="420" w:firstLineChars="200"/>
        <w:rPr>
          <w:rFonts w:hAnsi="宋体"/>
          <w:bCs/>
          <w:szCs w:val="21"/>
        </w:rPr>
      </w:pPr>
      <w:r>
        <w:rPr>
          <w:rFonts w:hint="eastAsia" w:hAnsi="宋体"/>
          <w:bCs/>
          <w:szCs w:val="21"/>
        </w:rPr>
        <w:t>2．</w:t>
      </w:r>
      <w:r>
        <w:rPr>
          <w:rFonts w:hint="eastAsia" w:hAnsi="宋体"/>
          <w:bCs/>
          <w:szCs w:val="21"/>
        </w:rPr>
        <w:tab/>
      </w:r>
      <w:r>
        <w:rPr>
          <w:rFonts w:hint="eastAsia" w:hAnsi="宋体"/>
          <w:bCs/>
          <w:szCs w:val="21"/>
        </w:rPr>
        <w:t>考核结果反馈</w:t>
      </w:r>
    </w:p>
    <w:p>
      <w:pPr>
        <w:snapToGrid w:val="0"/>
        <w:spacing w:line="360" w:lineRule="auto"/>
        <w:ind w:firstLine="420" w:firstLineChars="200"/>
        <w:rPr>
          <w:rFonts w:ascii="宋体" w:hAnsi="宋体"/>
          <w:szCs w:val="21"/>
        </w:rPr>
      </w:pPr>
      <w:r>
        <w:rPr>
          <w:rFonts w:hint="eastAsia" w:hAnsi="宋体"/>
          <w:bCs/>
          <w:szCs w:val="21"/>
        </w:rPr>
        <w:t>针对本门课程提高学生园艺产品营销的综合素质的教学目标，在理论课教学考核中，反馈形式体现在平时的教学过程中，采用课堂集中形式对考核结果的共性问题进行统一讲解，查找原因。</w:t>
      </w:r>
    </w:p>
    <w:p>
      <w:pPr>
        <w:rPr>
          <w:rStyle w:val="36"/>
          <w:sz w:val="28"/>
        </w:rPr>
      </w:pPr>
      <w:bookmarkStart w:id="911" w:name="_Toc138076733"/>
      <w:bookmarkStart w:id="912" w:name="_Toc138076189"/>
      <w:r>
        <w:rPr>
          <w:rStyle w:val="36"/>
          <w:rFonts w:hint="eastAsia"/>
          <w:sz w:val="28"/>
        </w:rPr>
        <w:br w:type="page"/>
      </w:r>
    </w:p>
    <w:p>
      <w:pPr>
        <w:ind w:left="3352" w:leftChars="1596" w:firstLine="0" w:firstLineChars="0"/>
        <w:jc w:val="left"/>
        <w:rPr>
          <w:rFonts w:hint="eastAsia" w:asciiTheme="majorHAnsi" w:hAnsiTheme="majorHAnsi" w:eastAsiaTheme="majorEastAsia" w:cstheme="majorBidi"/>
          <w:b/>
          <w:sz w:val="28"/>
          <w:szCs w:val="32"/>
        </w:rPr>
      </w:pPr>
      <w:bookmarkStart w:id="913" w:name="_Toc12866"/>
      <w:r>
        <w:rPr>
          <w:rStyle w:val="36"/>
          <w:rFonts w:hint="eastAsia"/>
          <w:sz w:val="28"/>
        </w:rPr>
        <w:t>茶艺考核大纲</w:t>
      </w:r>
      <w:bookmarkEnd w:id="911"/>
      <w:bookmarkEnd w:id="912"/>
      <w:bookmarkEnd w:id="913"/>
      <w:r>
        <w:rPr>
          <w:rFonts w:hint="eastAsia" w:asciiTheme="majorHAnsi" w:hAnsiTheme="majorHAnsi" w:eastAsiaTheme="majorEastAsia" w:cstheme="majorBidi"/>
          <w:b/>
          <w:sz w:val="28"/>
          <w:szCs w:val="32"/>
        </w:rPr>
        <w:t xml:space="preserve"> </w:t>
      </w:r>
    </w:p>
    <w:p>
      <w:pPr>
        <w:ind w:left="3352" w:leftChars="1596" w:firstLine="0" w:firstLineChars="0"/>
        <w:jc w:val="left"/>
        <w:rPr>
          <w:sz w:val="24"/>
        </w:rPr>
      </w:pPr>
      <w:r>
        <w:rPr>
          <w:sz w:val="24"/>
        </w:rPr>
        <w:t>（</w:t>
      </w:r>
      <w:r>
        <w:rPr>
          <w:rFonts w:eastAsia="????"/>
          <w:sz w:val="24"/>
          <w:szCs w:val="36"/>
        </w:rPr>
        <w:t>Tea Ceremony</w:t>
      </w:r>
      <w:r>
        <w:rPr>
          <w:sz w:val="24"/>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课程编号：19011</w:t>
            </w:r>
            <w:r>
              <w:rPr>
                <w:rFonts w:ascii="宋体" w:hAnsi="宋体"/>
                <w:b/>
                <w:bCs/>
                <w:szCs w:val="21"/>
              </w:rPr>
              <w:t>047</w:t>
            </w:r>
          </w:p>
        </w:tc>
        <w:tc>
          <w:tcPr>
            <w:tcW w:w="1234" w:type="pct"/>
          </w:tcPr>
          <w:p>
            <w:pPr>
              <w:spacing w:line="300" w:lineRule="auto"/>
              <w:rPr>
                <w:rFonts w:ascii="宋体" w:hAnsi="宋体"/>
                <w:b/>
                <w:bCs/>
                <w:szCs w:val="21"/>
              </w:rPr>
            </w:pPr>
            <w:r>
              <w:rPr>
                <w:rFonts w:hint="eastAsia" w:ascii="宋体" w:hAnsi="宋体"/>
                <w:b/>
                <w:bCs/>
                <w:szCs w:val="21"/>
              </w:rPr>
              <w:t>课程学时：</w:t>
            </w:r>
            <w:r>
              <w:rPr>
                <w:rFonts w:ascii="宋体" w:hAnsi="宋体"/>
                <w:b/>
                <w:bCs/>
                <w:szCs w:val="21"/>
              </w:rPr>
              <w:t>32</w:t>
            </w:r>
          </w:p>
        </w:tc>
        <w:tc>
          <w:tcPr>
            <w:tcW w:w="2100" w:type="pct"/>
          </w:tcPr>
          <w:p>
            <w:pPr>
              <w:spacing w:line="300" w:lineRule="auto"/>
              <w:rPr>
                <w:rFonts w:ascii="宋体" w:hAnsi="宋体"/>
                <w:b/>
                <w:bCs/>
                <w:szCs w:val="21"/>
              </w:rPr>
            </w:pPr>
            <w:r>
              <w:rPr>
                <w:rFonts w:hint="eastAsia" w:ascii="宋体" w:hAnsi="宋体"/>
                <w:b/>
                <w:bCs/>
                <w:szCs w:val="21"/>
              </w:rPr>
              <w:t>课程学分：</w:t>
            </w:r>
            <w:r>
              <w:rPr>
                <w:rFonts w:ascii="宋体" w:hAnsi="宋体"/>
                <w:b/>
                <w:bCs/>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主撰人：苏会</w:t>
            </w:r>
          </w:p>
        </w:tc>
        <w:tc>
          <w:tcPr>
            <w:tcW w:w="1234" w:type="pct"/>
          </w:tcPr>
          <w:p>
            <w:pPr>
              <w:spacing w:line="300" w:lineRule="auto"/>
              <w:rPr>
                <w:rFonts w:ascii="宋体" w:hAnsi="宋体"/>
                <w:b/>
                <w:bCs/>
                <w:szCs w:val="21"/>
              </w:rPr>
            </w:pPr>
            <w:r>
              <w:rPr>
                <w:rFonts w:hint="eastAsia" w:ascii="宋体" w:hAnsi="宋体"/>
                <w:b/>
                <w:bCs/>
                <w:szCs w:val="21"/>
              </w:rPr>
              <w:t>审核人：赵仁亮</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914" w:name="_Toc138068495"/>
      <w:bookmarkStart w:id="915" w:name="_Toc138076439"/>
      <w:bookmarkStart w:id="916" w:name="_Toc138070796"/>
      <w:bookmarkStart w:id="917" w:name="_Toc25823"/>
      <w:bookmarkStart w:id="918" w:name="_Toc138076734"/>
      <w:bookmarkStart w:id="919" w:name="_Toc138070525"/>
      <w:bookmarkStart w:id="920" w:name="_Toc138076190"/>
      <w:bookmarkStart w:id="921" w:name="_Toc138068894"/>
      <w:r>
        <w:rPr>
          <w:rFonts w:hint="eastAsia" w:asciiTheme="majorEastAsia" w:hAnsiTheme="majorEastAsia" w:eastAsiaTheme="majorEastAsia" w:cstheme="majorEastAsia"/>
          <w:b/>
          <w:bCs/>
          <w:kern w:val="0"/>
          <w:szCs w:val="21"/>
        </w:rPr>
        <w:t>一、课程的性质和地位</w:t>
      </w:r>
      <w:bookmarkEnd w:id="914"/>
      <w:bookmarkEnd w:id="915"/>
      <w:bookmarkEnd w:id="916"/>
      <w:bookmarkEnd w:id="917"/>
      <w:bookmarkEnd w:id="918"/>
      <w:bookmarkEnd w:id="919"/>
      <w:bookmarkEnd w:id="920"/>
      <w:bookmarkEnd w:id="921"/>
    </w:p>
    <w:p>
      <w:pPr>
        <w:snapToGrid w:val="0"/>
        <w:spacing w:line="360" w:lineRule="auto"/>
        <w:ind w:firstLine="420" w:firstLineChars="200"/>
        <w:rPr>
          <w:rFonts w:ascii="宋体" w:hAnsi="宋体"/>
          <w:color w:val="0000FF"/>
          <w:szCs w:val="21"/>
        </w:rPr>
      </w:pPr>
      <w:r>
        <w:rPr>
          <w:rFonts w:hint="eastAsia" w:ascii="宋体" w:hAnsi="宋体" w:cs="宋体"/>
          <w:color w:val="000000" w:themeColor="text1"/>
          <w:kern w:val="0"/>
          <w:szCs w:val="21"/>
          <w14:textFill>
            <w14:solidFill>
              <w14:schemeClr w14:val="tx1"/>
            </w14:solidFill>
          </w14:textFill>
        </w:rPr>
        <w:t>《茶艺基础》课程是</w:t>
      </w:r>
      <w:r>
        <w:rPr>
          <w:rFonts w:hint="eastAsia" w:ascii="宋体" w:hAnsi="宋体" w:cs="宋体"/>
          <w:kern w:val="0"/>
          <w:szCs w:val="21"/>
        </w:rPr>
        <w:t>专业选修课，针对大二学生于第四学期开设。</w:t>
      </w:r>
      <w:r>
        <w:rPr>
          <w:rFonts w:hint="eastAsia" w:hAnsi="宋体"/>
          <w:color w:val="000000" w:themeColor="text1"/>
          <w:kern w:val="0"/>
          <w:szCs w:val="21"/>
          <w14:textFill>
            <w14:solidFill>
              <w14:schemeClr w14:val="tx1"/>
            </w14:solidFill>
          </w14:textFill>
        </w:rPr>
        <w:t>课程主要讲授茶叶基础知识，茶文化，茶具和泡茶用水的选择，茶席设计及插花与音乐，不同茶叶的冲泡技巧，茶艺表演，茶艺服务礼仪等。旨在培养能够适应从茶叶生产到茶叶销售中都能适应良好的人才，承担着培养茶学专业复合应用型人才和使用技能型人才的双重任务。</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922" w:name="_Toc14102"/>
      <w:bookmarkStart w:id="923" w:name="_Toc138068496"/>
      <w:bookmarkStart w:id="924" w:name="_Toc138070797"/>
      <w:bookmarkStart w:id="925" w:name="_Toc138076191"/>
      <w:bookmarkStart w:id="926" w:name="_Toc138070526"/>
      <w:bookmarkStart w:id="927" w:name="_Toc138076440"/>
      <w:bookmarkStart w:id="928" w:name="_Toc138068895"/>
      <w:bookmarkStart w:id="929" w:name="_Toc138076735"/>
      <w:r>
        <w:rPr>
          <w:rFonts w:hint="eastAsia" w:asciiTheme="majorEastAsia" w:hAnsiTheme="majorEastAsia" w:eastAsiaTheme="majorEastAsia" w:cstheme="majorEastAsia"/>
          <w:b/>
          <w:bCs/>
          <w:kern w:val="0"/>
          <w:szCs w:val="21"/>
        </w:rPr>
        <w:t>二、理论教学部分的考核目标</w:t>
      </w:r>
      <w:bookmarkEnd w:id="922"/>
      <w:bookmarkEnd w:id="923"/>
      <w:bookmarkEnd w:id="924"/>
      <w:bookmarkEnd w:id="925"/>
      <w:bookmarkEnd w:id="926"/>
      <w:bookmarkEnd w:id="927"/>
      <w:bookmarkEnd w:id="928"/>
      <w:bookmarkEnd w:id="929"/>
    </w:p>
    <w:p>
      <w:pPr>
        <w:snapToGrid w:val="0"/>
        <w:spacing w:line="360" w:lineRule="auto"/>
        <w:ind w:firstLine="420" w:firstLineChars="200"/>
        <w:rPr>
          <w:rFonts w:ascii="宋体" w:hAnsi="宋体"/>
          <w:bCs/>
          <w:szCs w:val="21"/>
        </w:rPr>
      </w:pPr>
      <w:r>
        <w:rPr>
          <w:rFonts w:hint="eastAsia" w:ascii="宋体" w:hAnsi="宋体"/>
          <w:bCs/>
          <w:szCs w:val="21"/>
        </w:rPr>
        <w:t>1.掌握茶叶基础知识；</w:t>
      </w:r>
    </w:p>
    <w:p>
      <w:pPr>
        <w:snapToGrid w:val="0"/>
        <w:spacing w:line="360" w:lineRule="auto"/>
        <w:ind w:firstLine="420" w:firstLineChars="200"/>
        <w:rPr>
          <w:rFonts w:ascii="宋体" w:hAnsi="宋体"/>
          <w:bCs/>
          <w:szCs w:val="21"/>
        </w:rPr>
      </w:pPr>
      <w:r>
        <w:rPr>
          <w:rFonts w:hint="eastAsia" w:ascii="宋体" w:hAnsi="宋体"/>
          <w:bCs/>
          <w:szCs w:val="21"/>
        </w:rPr>
        <w:t>2.掌握茶艺概念与分类；</w:t>
      </w:r>
    </w:p>
    <w:p>
      <w:pPr>
        <w:snapToGrid w:val="0"/>
        <w:spacing w:line="360" w:lineRule="auto"/>
        <w:ind w:firstLine="420" w:firstLineChars="200"/>
        <w:rPr>
          <w:rFonts w:ascii="宋体" w:hAnsi="宋体"/>
          <w:bCs/>
          <w:szCs w:val="21"/>
        </w:rPr>
      </w:pPr>
      <w:r>
        <w:rPr>
          <w:rFonts w:hint="eastAsia" w:ascii="宋体" w:hAnsi="宋体"/>
          <w:bCs/>
          <w:szCs w:val="21"/>
        </w:rPr>
        <w:t>3.掌握茶艺基本要素（水，器，冲泡条件）及特点；</w:t>
      </w:r>
    </w:p>
    <w:p>
      <w:pPr>
        <w:snapToGrid w:val="0"/>
        <w:spacing w:line="360" w:lineRule="auto"/>
        <w:ind w:firstLine="420" w:firstLineChars="200"/>
        <w:rPr>
          <w:rFonts w:ascii="宋体" w:hAnsi="宋体"/>
          <w:bCs/>
          <w:szCs w:val="21"/>
        </w:rPr>
      </w:pPr>
      <w:r>
        <w:rPr>
          <w:rFonts w:hint="eastAsia" w:ascii="宋体" w:hAnsi="宋体"/>
          <w:bCs/>
          <w:szCs w:val="21"/>
        </w:rPr>
        <w:t>4.掌握茶艺基本手法</w:t>
      </w:r>
    </w:p>
    <w:p>
      <w:pPr>
        <w:snapToGrid w:val="0"/>
        <w:spacing w:line="360" w:lineRule="auto"/>
        <w:ind w:firstLine="420" w:firstLineChars="200"/>
        <w:rPr>
          <w:rFonts w:ascii="宋体" w:hAnsi="宋体"/>
          <w:bCs/>
          <w:szCs w:val="21"/>
        </w:rPr>
      </w:pPr>
      <w:r>
        <w:rPr>
          <w:rFonts w:hint="eastAsia" w:ascii="宋体" w:hAnsi="宋体"/>
          <w:bCs/>
          <w:szCs w:val="21"/>
        </w:rPr>
        <w:t>5.掌握茶艺基本礼仪；</w:t>
      </w:r>
    </w:p>
    <w:p>
      <w:pPr>
        <w:snapToGrid w:val="0"/>
        <w:spacing w:line="360" w:lineRule="auto"/>
        <w:ind w:firstLine="420" w:firstLineChars="200"/>
        <w:rPr>
          <w:rFonts w:ascii="宋体" w:hAnsi="宋体"/>
          <w:bCs/>
          <w:szCs w:val="21"/>
        </w:rPr>
      </w:pPr>
      <w:r>
        <w:rPr>
          <w:rFonts w:hint="eastAsia" w:ascii="宋体" w:hAnsi="宋体"/>
          <w:bCs/>
          <w:szCs w:val="21"/>
        </w:rPr>
        <w:t>6.掌握茶席设计原则；</w:t>
      </w:r>
    </w:p>
    <w:p>
      <w:pPr>
        <w:snapToGrid w:val="0"/>
        <w:spacing w:line="360" w:lineRule="auto"/>
        <w:ind w:firstLine="420" w:firstLineChars="200"/>
        <w:rPr>
          <w:rFonts w:ascii="宋体" w:hAnsi="宋体"/>
          <w:bCs/>
          <w:szCs w:val="21"/>
        </w:rPr>
      </w:pPr>
      <w:r>
        <w:rPr>
          <w:rFonts w:hint="eastAsia" w:ascii="宋体" w:hAnsi="宋体"/>
          <w:bCs/>
          <w:szCs w:val="21"/>
        </w:rPr>
        <w:t>7.掌握玻璃杯、盖碗及紫砂壶茶艺；</w:t>
      </w:r>
    </w:p>
    <w:p>
      <w:pPr>
        <w:snapToGrid w:val="0"/>
        <w:spacing w:line="360" w:lineRule="auto"/>
        <w:ind w:firstLine="420" w:firstLineChars="200"/>
        <w:rPr>
          <w:rFonts w:ascii="宋体" w:hAnsi="宋体"/>
          <w:szCs w:val="21"/>
        </w:rPr>
      </w:pPr>
      <w:r>
        <w:rPr>
          <w:rFonts w:hint="eastAsia" w:ascii="宋体" w:hAnsi="宋体"/>
          <w:bCs/>
          <w:szCs w:val="21"/>
        </w:rPr>
        <w:t>8.掌握茶艺编创原则。</w:t>
      </w:r>
    </w:p>
    <w:p>
      <w:pPr>
        <w:snapToGrid w:val="0"/>
        <w:spacing w:line="360" w:lineRule="auto"/>
        <w:ind w:firstLine="103" w:firstLineChars="49"/>
        <w:jc w:val="center"/>
        <w:rPr>
          <w:rFonts w:ascii="宋体" w:hAnsi="宋体"/>
          <w:b/>
          <w:szCs w:val="21"/>
        </w:rPr>
      </w:pPr>
      <w:r>
        <w:rPr>
          <w:rFonts w:hint="eastAsia" w:ascii="宋体" w:hAnsi="宋体"/>
          <w:b/>
          <w:szCs w:val="21"/>
        </w:rPr>
        <w:t>第一章  茶艺概论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：茶艺发展历史；</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：茶叶基础知识；茶艺与茶道的关系；</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：茶艺概念，茶艺的分类与特性。</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1.茶艺概念与分类，茶叶形态特征与特征性成分；</w:t>
      </w:r>
    </w:p>
    <w:p>
      <w:pPr>
        <w:snapToGrid w:val="0"/>
        <w:spacing w:line="360" w:lineRule="auto"/>
        <w:ind w:firstLine="420" w:firstLineChars="200"/>
        <w:rPr>
          <w:rFonts w:ascii="宋体" w:hAnsi="宋体"/>
          <w:bCs/>
          <w:szCs w:val="21"/>
        </w:rPr>
      </w:pPr>
      <w:r>
        <w:rPr>
          <w:rFonts w:hint="eastAsia" w:ascii="宋体" w:hAnsi="宋体"/>
          <w:bCs/>
          <w:szCs w:val="21"/>
        </w:rPr>
        <w:t>2.茶艺几种不同分类方法及内涵；</w:t>
      </w:r>
    </w:p>
    <w:p>
      <w:pPr>
        <w:snapToGrid w:val="0"/>
        <w:spacing w:line="360" w:lineRule="auto"/>
        <w:ind w:firstLine="420" w:firstLineChars="200"/>
        <w:rPr>
          <w:rFonts w:ascii="宋体" w:hAnsi="宋体"/>
          <w:color w:val="0000FF"/>
          <w:szCs w:val="21"/>
        </w:rPr>
      </w:pPr>
      <w:r>
        <w:rPr>
          <w:rFonts w:hint="eastAsia" w:ascii="宋体" w:hAnsi="宋体"/>
          <w:bCs/>
          <w:szCs w:val="21"/>
        </w:rPr>
        <w:t>3.茶艺的文化内涵</w:t>
      </w:r>
      <w:r>
        <w:rPr>
          <w:rFonts w:hint="eastAsia" w:ascii="宋体" w:hAnsi="宋体"/>
          <w:bCs/>
          <w:color w:val="0000FF"/>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：茶艺发展历史；</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：茶艺分类与特性；茶叶基础知识；</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：茶艺的分类依据；茶叶特征性成分；</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茶艺与茶道的关系；六大茶类品质特征；</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：茶艺的分类与内涵；</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茶艺在茶产业发展中的作用。</w:t>
      </w:r>
    </w:p>
    <w:p>
      <w:pPr>
        <w:pStyle w:val="10"/>
        <w:snapToGrid w:val="0"/>
        <w:spacing w:line="360" w:lineRule="auto"/>
        <w:jc w:val="center"/>
        <w:rPr>
          <w:rFonts w:hAnsi="宋体"/>
          <w:b/>
        </w:rPr>
      </w:pPr>
      <w:r>
        <w:rPr>
          <w:rFonts w:hint="eastAsia" w:hAnsi="宋体"/>
          <w:b/>
        </w:rPr>
        <w:t xml:space="preserve">第二章  </w:t>
      </w:r>
      <w:r>
        <w:rPr>
          <w:rFonts w:hint="eastAsia"/>
          <w:b/>
          <w:bCs/>
          <w:kern w:val="0"/>
        </w:rPr>
        <w:t>水与器的选择</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：泡茶用水与器具的发展历史；</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：茶叶水质的分类与茶器的分类；</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：适宜泡茶的用水选择，不同茶类的泡茶选择及搭配。</w:t>
      </w:r>
    </w:p>
    <w:p>
      <w:pPr>
        <w:snapToGrid w:val="0"/>
        <w:spacing w:line="360" w:lineRule="auto"/>
        <w:ind w:firstLine="420" w:firstLineChars="200"/>
        <w:rPr>
          <w:rFonts w:ascii="宋体" w:hAnsi="宋体"/>
          <w:szCs w:val="21"/>
        </w:rPr>
      </w:pP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1.适宜泡茶的用水要求；</w:t>
      </w:r>
    </w:p>
    <w:p>
      <w:pPr>
        <w:snapToGrid w:val="0"/>
        <w:spacing w:line="360" w:lineRule="auto"/>
        <w:ind w:firstLine="420" w:firstLineChars="200"/>
        <w:rPr>
          <w:rFonts w:ascii="宋体" w:hAnsi="宋体"/>
          <w:bCs/>
          <w:szCs w:val="21"/>
        </w:rPr>
      </w:pPr>
      <w:r>
        <w:rPr>
          <w:rFonts w:hint="eastAsia" w:ascii="宋体" w:hAnsi="宋体"/>
          <w:bCs/>
          <w:szCs w:val="21"/>
        </w:rPr>
        <w:t>2.分析不同水质对茶汤品质的影响；</w:t>
      </w:r>
    </w:p>
    <w:p>
      <w:pPr>
        <w:snapToGrid w:val="0"/>
        <w:spacing w:line="360" w:lineRule="auto"/>
        <w:ind w:firstLine="420" w:firstLineChars="200"/>
        <w:rPr>
          <w:rFonts w:ascii="宋体" w:hAnsi="宋体"/>
          <w:bCs/>
          <w:szCs w:val="21"/>
        </w:rPr>
      </w:pPr>
      <w:r>
        <w:rPr>
          <w:rFonts w:hint="eastAsia" w:ascii="宋体" w:hAnsi="宋体"/>
          <w:bCs/>
          <w:szCs w:val="21"/>
        </w:rPr>
        <w:t>3.不同材质的茶具对茶汤品质的影响。</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：水质分类，茶具分类；</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：不同水质和茶具的优缺点；</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：不同茶类冲泡所需水和器具的选择；</w:t>
      </w:r>
    </w:p>
    <w:p>
      <w:pPr>
        <w:snapToGrid w:val="0"/>
        <w:spacing w:line="360" w:lineRule="auto"/>
        <w:ind w:firstLine="422" w:firstLineChars="200"/>
        <w:rPr>
          <w:rFonts w:ascii="宋体" w:hAnsi="宋体"/>
          <w:bCs/>
          <w:color w:val="0000FF"/>
          <w:szCs w:val="21"/>
        </w:rPr>
      </w:pPr>
      <w:r>
        <w:rPr>
          <w:rFonts w:hint="eastAsia" w:ascii="宋体" w:hAnsi="宋体"/>
          <w:b/>
          <w:szCs w:val="21"/>
        </w:rPr>
        <w:t>4.分析：</w:t>
      </w:r>
      <w:r>
        <w:rPr>
          <w:rFonts w:hint="eastAsia" w:ascii="宋体" w:hAnsi="宋体"/>
          <w:bCs/>
          <w:szCs w:val="21"/>
        </w:rPr>
        <w:t>水与器影响茶汤品质的形成因素；</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：对不同茶汤品质形成原因进行分析；</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用不同水质与茶具冲泡同一茶叶的品质比较。</w:t>
      </w:r>
    </w:p>
    <w:p>
      <w:pPr>
        <w:pStyle w:val="10"/>
        <w:snapToGrid w:val="0"/>
        <w:spacing w:line="360" w:lineRule="auto"/>
        <w:rPr>
          <w:rFonts w:hAnsi="宋体"/>
          <w:b/>
        </w:rPr>
      </w:pPr>
    </w:p>
    <w:p>
      <w:pPr>
        <w:pStyle w:val="10"/>
        <w:snapToGrid w:val="0"/>
        <w:spacing w:line="360" w:lineRule="auto"/>
        <w:jc w:val="center"/>
        <w:rPr>
          <w:rFonts w:hAnsi="宋体"/>
          <w:b/>
        </w:rPr>
      </w:pPr>
      <w:r>
        <w:rPr>
          <w:rFonts w:hint="eastAsia" w:hAnsi="宋体"/>
          <w:b/>
        </w:rPr>
        <w:t>第三章 茶艺基本礼仪</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：茶艺发展历史；</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：茶艺礼仪的内涵；</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：茶艺中的常用礼仪。</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1.茶艺礼仪的内涵；</w:t>
      </w:r>
    </w:p>
    <w:p>
      <w:pPr>
        <w:snapToGrid w:val="0"/>
        <w:spacing w:line="360" w:lineRule="auto"/>
        <w:ind w:firstLine="420" w:firstLineChars="200"/>
        <w:rPr>
          <w:rFonts w:ascii="宋体" w:hAnsi="宋体"/>
          <w:bCs/>
          <w:szCs w:val="21"/>
        </w:rPr>
      </w:pPr>
      <w:r>
        <w:rPr>
          <w:rFonts w:hint="eastAsia" w:ascii="宋体" w:hAnsi="宋体"/>
          <w:bCs/>
          <w:szCs w:val="21"/>
        </w:rPr>
        <w:t>2.茶艺仪容仪态；</w:t>
      </w:r>
    </w:p>
    <w:p>
      <w:pPr>
        <w:snapToGrid w:val="0"/>
        <w:spacing w:line="360" w:lineRule="auto"/>
        <w:ind w:firstLine="420" w:firstLineChars="200"/>
        <w:rPr>
          <w:rFonts w:ascii="宋体" w:hAnsi="宋体"/>
          <w:bCs/>
          <w:szCs w:val="21"/>
        </w:rPr>
      </w:pPr>
      <w:r>
        <w:rPr>
          <w:rFonts w:hint="eastAsia" w:ascii="宋体" w:hAnsi="宋体"/>
          <w:bCs/>
          <w:szCs w:val="21"/>
        </w:rPr>
        <w:t>3.茶艺常用礼节及寓意。</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：茶艺礼仪的概念；</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：茶艺礼仪的内涵；</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：茶艺礼仪的仪容仪态要求；</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茶艺寓意礼的内涵；</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：茶艺中的常用礼仪奉茶礼及叩手礼等；</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礼仪在茶艺展示中的意义。</w:t>
      </w:r>
    </w:p>
    <w:p>
      <w:pPr>
        <w:pStyle w:val="10"/>
        <w:snapToGrid w:val="0"/>
        <w:spacing w:line="360" w:lineRule="auto"/>
        <w:rPr>
          <w:rFonts w:hAnsi="宋体"/>
          <w:b/>
        </w:rPr>
      </w:pPr>
    </w:p>
    <w:p>
      <w:pPr>
        <w:pStyle w:val="10"/>
        <w:snapToGrid w:val="0"/>
        <w:spacing w:line="360" w:lineRule="auto"/>
        <w:jc w:val="center"/>
        <w:rPr>
          <w:rFonts w:hAnsi="宋体"/>
          <w:b/>
        </w:rPr>
      </w:pPr>
      <w:r>
        <w:rPr>
          <w:rFonts w:hint="eastAsia" w:hAnsi="宋体"/>
          <w:b/>
        </w:rPr>
        <w:t>第四章 茶席设计</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：茶席演变历史；</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：茶席特性；</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：茶席设计遵循原则。</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1.茶席概念；</w:t>
      </w:r>
    </w:p>
    <w:p>
      <w:pPr>
        <w:snapToGrid w:val="0"/>
        <w:spacing w:line="360" w:lineRule="auto"/>
        <w:ind w:firstLine="420" w:firstLineChars="200"/>
        <w:rPr>
          <w:rFonts w:ascii="宋体" w:hAnsi="宋体"/>
          <w:bCs/>
          <w:szCs w:val="21"/>
        </w:rPr>
      </w:pPr>
      <w:r>
        <w:rPr>
          <w:rFonts w:hint="eastAsia" w:ascii="宋体" w:hAnsi="宋体"/>
          <w:bCs/>
          <w:szCs w:val="21"/>
        </w:rPr>
        <w:t>2.茶席设计原则；</w:t>
      </w:r>
    </w:p>
    <w:p>
      <w:pPr>
        <w:snapToGrid w:val="0"/>
        <w:spacing w:line="360" w:lineRule="auto"/>
        <w:ind w:firstLine="420" w:firstLineChars="200"/>
        <w:rPr>
          <w:rFonts w:ascii="宋体" w:hAnsi="宋体"/>
          <w:bCs/>
          <w:szCs w:val="21"/>
        </w:rPr>
      </w:pPr>
      <w:r>
        <w:rPr>
          <w:rFonts w:hint="eastAsia" w:ascii="宋体" w:hAnsi="宋体"/>
          <w:bCs/>
          <w:szCs w:val="21"/>
        </w:rPr>
        <w:t>3.茶席要素及特性。</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：茶席的演变过程；</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：茶席设计的概念；</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：茶席设计原则；</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茶席设计要素茶桌，铺垫，插花等特点；</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：茶席设计赏析；</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茶席在茶艺展示中的重要性。</w:t>
      </w:r>
    </w:p>
    <w:p>
      <w:pPr>
        <w:pStyle w:val="10"/>
        <w:snapToGrid w:val="0"/>
        <w:spacing w:line="360" w:lineRule="auto"/>
        <w:jc w:val="center"/>
        <w:rPr>
          <w:rFonts w:hAnsi="宋体"/>
          <w:b/>
        </w:rPr>
      </w:pPr>
      <w:r>
        <w:rPr>
          <w:rFonts w:hint="eastAsia" w:hAnsi="宋体"/>
          <w:b/>
        </w:rPr>
        <w:t>第五章 基础茶艺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：茶艺分类；</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：茶艺基本流程；</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：茶艺基本手法。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1.茶艺基本流程；</w:t>
      </w:r>
    </w:p>
    <w:p>
      <w:pPr>
        <w:snapToGrid w:val="0"/>
        <w:spacing w:line="360" w:lineRule="auto"/>
        <w:ind w:firstLine="420" w:firstLineChars="200"/>
        <w:rPr>
          <w:rFonts w:ascii="宋体" w:hAnsi="宋体"/>
          <w:bCs/>
          <w:szCs w:val="21"/>
        </w:rPr>
      </w:pPr>
      <w:r>
        <w:rPr>
          <w:rFonts w:hint="eastAsia" w:ascii="宋体" w:hAnsi="宋体"/>
          <w:bCs/>
          <w:szCs w:val="21"/>
        </w:rPr>
        <w:t>2，茶艺温杯，提壶，冲泡，分杯，奉茶等基本手法。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：茶艺主要分类；</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：不同茶艺特点；</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：玻璃杯，盖碗，紫砂壶等主泡茶具的取用手法；</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szCs w:val="21"/>
        </w:rPr>
        <w:t>茶艺过程中主要器具取用手法的要点；</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：不同茶艺的展示流程；</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茶艺中的基本流程动作要点与内涵。</w:t>
      </w:r>
    </w:p>
    <w:p>
      <w:pPr>
        <w:pStyle w:val="10"/>
        <w:snapToGrid w:val="0"/>
        <w:spacing w:line="360" w:lineRule="auto"/>
        <w:rPr>
          <w:rFonts w:hAnsi="宋体"/>
          <w:b/>
        </w:rPr>
      </w:pPr>
    </w:p>
    <w:p>
      <w:pPr>
        <w:pStyle w:val="10"/>
        <w:snapToGrid w:val="0"/>
        <w:spacing w:line="360" w:lineRule="auto"/>
        <w:jc w:val="center"/>
        <w:rPr>
          <w:rFonts w:hAnsi="宋体"/>
          <w:b/>
        </w:rPr>
      </w:pPr>
      <w:r>
        <w:rPr>
          <w:rFonts w:hint="eastAsia" w:hAnsi="宋体"/>
          <w:b/>
        </w:rPr>
        <w:t>第六章 主题茶艺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：主题茶艺的概念；</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：主题茶艺的特点；</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：主题茶艺的编创原则。</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1.主题茶艺的概念与特点；</w:t>
      </w:r>
    </w:p>
    <w:p>
      <w:pPr>
        <w:snapToGrid w:val="0"/>
        <w:spacing w:line="360" w:lineRule="auto"/>
        <w:ind w:firstLine="420" w:firstLineChars="200"/>
        <w:rPr>
          <w:rFonts w:ascii="宋体" w:hAnsi="宋体"/>
          <w:bCs/>
          <w:szCs w:val="21"/>
        </w:rPr>
      </w:pPr>
      <w:r>
        <w:rPr>
          <w:rFonts w:hint="eastAsia" w:ascii="宋体" w:hAnsi="宋体"/>
          <w:bCs/>
          <w:szCs w:val="21"/>
        </w:rPr>
        <w:t>2.主题茶艺的编创原则。</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：主题茶艺概念；</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：主题茶艺特点；</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：主题茶艺编创原则；</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szCs w:val="21"/>
        </w:rPr>
        <w:t>不同主题茶艺核心要素特点；</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：不同环境下主题茶艺的编创；</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主题茶艺与基础茶艺的区别与关系。</w:t>
      </w:r>
    </w:p>
    <w:p>
      <w:pPr>
        <w:pStyle w:val="10"/>
        <w:snapToGrid w:val="0"/>
        <w:spacing w:line="360" w:lineRule="auto"/>
        <w:rPr>
          <w:rFonts w:hAnsi="宋体"/>
          <w:b/>
        </w:rPr>
      </w:pPr>
    </w:p>
    <w:p>
      <w:pPr>
        <w:pStyle w:val="10"/>
        <w:snapToGrid w:val="0"/>
        <w:spacing w:line="360" w:lineRule="auto"/>
        <w:rPr>
          <w:rFonts w:hAnsi="宋体"/>
          <w:b/>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930" w:name="_Toc138076441"/>
      <w:bookmarkStart w:id="931" w:name="_Toc138070527"/>
      <w:bookmarkStart w:id="932" w:name="_Toc1531"/>
      <w:bookmarkStart w:id="933" w:name="_Toc138068497"/>
      <w:bookmarkStart w:id="934" w:name="_Toc138068896"/>
      <w:bookmarkStart w:id="935" w:name="_Toc138076192"/>
      <w:bookmarkStart w:id="936" w:name="_Toc138070798"/>
      <w:bookmarkStart w:id="937" w:name="_Toc138076736"/>
      <w:r>
        <w:rPr>
          <w:rFonts w:hint="eastAsia" w:asciiTheme="majorEastAsia" w:hAnsiTheme="majorEastAsia" w:eastAsiaTheme="majorEastAsia" w:cstheme="majorEastAsia"/>
          <w:b/>
          <w:bCs/>
          <w:kern w:val="0"/>
          <w:szCs w:val="21"/>
        </w:rPr>
        <w:t>三、实验、实习教学部分的考核要求</w:t>
      </w:r>
      <w:bookmarkEnd w:id="930"/>
      <w:bookmarkEnd w:id="931"/>
      <w:bookmarkEnd w:id="932"/>
      <w:bookmarkEnd w:id="933"/>
      <w:bookmarkEnd w:id="934"/>
      <w:bookmarkEnd w:id="935"/>
      <w:bookmarkEnd w:id="936"/>
      <w:bookmarkEnd w:id="937"/>
    </w:p>
    <w:p>
      <w:pPr>
        <w:widowControl/>
        <w:spacing w:line="360" w:lineRule="auto"/>
        <w:ind w:firstLine="420" w:firstLineChars="200"/>
        <w:jc w:val="left"/>
        <w:rPr>
          <w:rFonts w:asci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实验：茶艺技能考核，占比20%。</w:t>
      </w:r>
    </w:p>
    <w:p>
      <w:pPr>
        <w:widowControl/>
        <w:numPr>
          <w:ilvl w:val="0"/>
          <w:numId w:val="50"/>
        </w:numPr>
        <w:snapToGrid w:val="0"/>
        <w:spacing w:line="360" w:lineRule="auto"/>
        <w:jc w:val="left"/>
        <w:outlineLvl w:val="1"/>
        <w:rPr>
          <w:rFonts w:asciiTheme="majorEastAsia" w:hAnsiTheme="majorEastAsia" w:eastAsiaTheme="majorEastAsia" w:cstheme="majorEastAsia"/>
          <w:b/>
          <w:bCs/>
          <w:kern w:val="0"/>
          <w:szCs w:val="21"/>
        </w:rPr>
      </w:pPr>
      <w:bookmarkStart w:id="938" w:name="_Toc138076442"/>
      <w:bookmarkStart w:id="939" w:name="_Toc138070528"/>
      <w:bookmarkStart w:id="940" w:name="_Toc138068897"/>
      <w:bookmarkStart w:id="941" w:name="_Toc138068498"/>
      <w:bookmarkStart w:id="942" w:name="_Toc138070799"/>
      <w:bookmarkStart w:id="943" w:name="_Toc32162"/>
      <w:bookmarkStart w:id="944" w:name="_Toc138076737"/>
      <w:bookmarkStart w:id="945" w:name="_Toc138076193"/>
      <w:r>
        <w:rPr>
          <w:rFonts w:hint="eastAsia" w:asciiTheme="majorEastAsia" w:hAnsiTheme="majorEastAsia" w:eastAsiaTheme="majorEastAsia" w:cstheme="majorEastAsia"/>
          <w:b/>
          <w:bCs/>
          <w:kern w:val="0"/>
          <w:szCs w:val="21"/>
        </w:rPr>
        <w:t>考核方式</w:t>
      </w:r>
      <w:bookmarkEnd w:id="938"/>
      <w:bookmarkEnd w:id="939"/>
      <w:bookmarkEnd w:id="940"/>
      <w:bookmarkEnd w:id="941"/>
      <w:bookmarkEnd w:id="942"/>
      <w:bookmarkEnd w:id="943"/>
      <w:bookmarkEnd w:id="944"/>
      <w:bookmarkEnd w:id="945"/>
    </w:p>
    <w:p>
      <w:pPr>
        <w:widowControl/>
        <w:snapToGrid w:val="0"/>
        <w:spacing w:line="360" w:lineRule="auto"/>
        <w:ind w:firstLine="420" w:firstLineChars="200"/>
        <w:jc w:val="left"/>
        <w:outlineLvl w:val="1"/>
        <w:rPr>
          <w:rFonts w:asciiTheme="majorEastAsia" w:hAnsiTheme="majorEastAsia" w:eastAsiaTheme="majorEastAsia" w:cstheme="majorEastAsia"/>
          <w:b/>
          <w:bCs/>
          <w:kern w:val="0"/>
          <w:szCs w:val="21"/>
        </w:rPr>
      </w:pPr>
      <w:bookmarkStart w:id="946" w:name="_Toc138068898"/>
      <w:bookmarkStart w:id="947" w:name="_Toc138070800"/>
      <w:bookmarkStart w:id="948" w:name="_Toc138076738"/>
      <w:bookmarkStart w:id="949" w:name="_Toc2777"/>
      <w:bookmarkStart w:id="950" w:name="_Toc138068499"/>
      <w:bookmarkStart w:id="951" w:name="_Toc138076194"/>
      <w:bookmarkStart w:id="952" w:name="_Toc138076443"/>
      <w:bookmarkStart w:id="953" w:name="_Toc138070529"/>
      <w:r>
        <w:rPr>
          <w:rFonts w:hint="eastAsia"/>
          <w:bCs/>
          <w:color w:val="000000" w:themeColor="text1"/>
          <w:kern w:val="0"/>
          <w:szCs w:val="21"/>
          <w14:textFill>
            <w14:solidFill>
              <w14:schemeClr w14:val="tx1"/>
            </w14:solidFill>
          </w14:textFill>
        </w:rPr>
        <w:t>课程以教师讲授结合实践教学进行，在整个教学过程中，</w:t>
      </w:r>
      <w:r>
        <w:rPr>
          <w:color w:val="000000" w:themeColor="text1"/>
          <w:kern w:val="0"/>
          <w:szCs w:val="21"/>
          <w14:textFill>
            <w14:solidFill>
              <w14:schemeClr w14:val="tx1"/>
            </w14:solidFill>
          </w14:textFill>
        </w:rPr>
        <w:t>布置相关的作业让学生完成，通过</w:t>
      </w:r>
      <w:r>
        <w:rPr>
          <w:rFonts w:hint="eastAsia"/>
          <w:color w:val="000000" w:themeColor="text1"/>
          <w:kern w:val="0"/>
          <w:szCs w:val="21"/>
          <w14:textFill>
            <w14:solidFill>
              <w14:schemeClr w14:val="tx1"/>
            </w14:solidFill>
          </w14:textFill>
        </w:rPr>
        <w:t>课堂表现</w:t>
      </w:r>
      <w:r>
        <w:rPr>
          <w:color w:val="000000" w:themeColor="text1"/>
          <w:kern w:val="0"/>
          <w:szCs w:val="21"/>
          <w14:textFill>
            <w14:solidFill>
              <w14:schemeClr w14:val="tx1"/>
            </w14:solidFill>
          </w14:textFill>
        </w:rPr>
        <w:t>、平时作业以及随堂测验</w:t>
      </w:r>
      <w:r>
        <w:rPr>
          <w:rFonts w:hint="eastAsia"/>
          <w:color w:val="000000" w:themeColor="text1"/>
          <w:kern w:val="0"/>
          <w:szCs w:val="21"/>
          <w14:textFill>
            <w14:solidFill>
              <w14:schemeClr w14:val="tx1"/>
            </w14:solidFill>
          </w14:textFill>
        </w:rPr>
        <w:t>、茶艺技能考核</w:t>
      </w:r>
      <w:r>
        <w:rPr>
          <w:color w:val="000000" w:themeColor="text1"/>
          <w:kern w:val="0"/>
          <w:szCs w:val="21"/>
          <w14:textFill>
            <w14:solidFill>
              <w14:schemeClr w14:val="tx1"/>
            </w14:solidFill>
          </w14:textFill>
        </w:rPr>
        <w:t>等方式对学生的学习效果进行考查。</w:t>
      </w:r>
      <w:r>
        <w:rPr>
          <w:color w:val="000000" w:themeColor="text1"/>
          <w:szCs w:val="21"/>
          <w14:textFill>
            <w14:solidFill>
              <w14:schemeClr w14:val="tx1"/>
            </w14:solidFill>
          </w14:textFill>
        </w:rPr>
        <w:t>本课程</w:t>
      </w:r>
      <w:r>
        <w:rPr>
          <w:rFonts w:hint="eastAsia"/>
          <w:color w:val="000000" w:themeColor="text1"/>
          <w:szCs w:val="21"/>
          <w14:textFill>
            <w14:solidFill>
              <w14:schemeClr w14:val="tx1"/>
            </w14:solidFill>
          </w14:textFill>
        </w:rPr>
        <w:t>期末</w:t>
      </w:r>
      <w:r>
        <w:rPr>
          <w:color w:val="000000" w:themeColor="text1"/>
          <w:szCs w:val="21"/>
          <w14:textFill>
            <w14:solidFill>
              <w14:schemeClr w14:val="tx1"/>
            </w14:solidFill>
          </w14:textFill>
        </w:rPr>
        <w:t>考核采用</w:t>
      </w:r>
      <w:r>
        <w:rPr>
          <w:rFonts w:hint="eastAsia"/>
          <w:color w:val="000000" w:themeColor="text1"/>
          <w:szCs w:val="21"/>
          <w14:textFill>
            <w14:solidFill>
              <w14:schemeClr w14:val="tx1"/>
            </w14:solidFill>
          </w14:textFill>
        </w:rPr>
        <w:t>闭卷</w:t>
      </w:r>
      <w:r>
        <w:rPr>
          <w:color w:val="000000" w:themeColor="text1"/>
          <w:szCs w:val="21"/>
          <w14:textFill>
            <w14:solidFill>
              <w14:schemeClr w14:val="tx1"/>
            </w14:solidFill>
          </w14:textFill>
        </w:rPr>
        <w:t>考试与技能考试相结合的方式。</w:t>
      </w:r>
      <w:r>
        <w:rPr>
          <w:rFonts w:hint="eastAsia"/>
          <w:color w:val="000000" w:themeColor="text1"/>
          <w:szCs w:val="21"/>
          <w14:textFill>
            <w14:solidFill>
              <w14:schemeClr w14:val="tx1"/>
            </w14:solidFill>
          </w14:textFill>
        </w:rPr>
        <w:t>总成绩计算办法为期末</w:t>
      </w:r>
      <w:r>
        <w:rPr>
          <w:color w:val="000000" w:themeColor="text1"/>
          <w:szCs w:val="21"/>
          <w14:textFill>
            <w14:solidFill>
              <w14:schemeClr w14:val="tx1"/>
            </w14:solidFill>
          </w14:textFill>
        </w:rPr>
        <w:t>考试占</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0%，实验技能考试占</w:t>
      </w: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课堂展示占10%，</w:t>
      </w:r>
      <w:r>
        <w:rPr>
          <w:color w:val="000000" w:themeColor="text1"/>
          <w:szCs w:val="21"/>
          <w14:textFill>
            <w14:solidFill>
              <w14:schemeClr w14:val="tx1"/>
            </w14:solidFill>
          </w14:textFill>
        </w:rPr>
        <w:t>平时成绩为</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0%。</w:t>
      </w:r>
      <w:bookmarkEnd w:id="946"/>
      <w:bookmarkEnd w:id="947"/>
      <w:bookmarkEnd w:id="948"/>
      <w:bookmarkEnd w:id="949"/>
      <w:bookmarkEnd w:id="950"/>
      <w:bookmarkEnd w:id="951"/>
      <w:bookmarkEnd w:id="952"/>
      <w:bookmarkEnd w:id="953"/>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954" w:name="_Toc138070801"/>
      <w:bookmarkStart w:id="955" w:name="_Toc138076195"/>
      <w:bookmarkStart w:id="956" w:name="_Toc25374"/>
      <w:bookmarkStart w:id="957" w:name="_Toc138070530"/>
      <w:bookmarkStart w:id="958" w:name="_Toc138076444"/>
      <w:bookmarkStart w:id="959" w:name="_Toc138076739"/>
      <w:bookmarkStart w:id="960" w:name="_Toc138068500"/>
      <w:bookmarkStart w:id="961" w:name="_Toc138068899"/>
      <w:r>
        <w:rPr>
          <w:rFonts w:hint="eastAsia" w:asciiTheme="majorEastAsia" w:hAnsiTheme="majorEastAsia" w:eastAsiaTheme="majorEastAsia" w:cstheme="majorEastAsia"/>
          <w:b/>
          <w:bCs/>
          <w:kern w:val="0"/>
          <w:szCs w:val="21"/>
        </w:rPr>
        <w:t>五、成绩评定</w:t>
      </w:r>
      <w:bookmarkEnd w:id="954"/>
      <w:bookmarkEnd w:id="955"/>
      <w:bookmarkEnd w:id="956"/>
      <w:bookmarkEnd w:id="957"/>
      <w:bookmarkEnd w:id="958"/>
      <w:bookmarkEnd w:id="959"/>
      <w:bookmarkEnd w:id="960"/>
      <w:bookmarkEnd w:id="961"/>
    </w:p>
    <w:p>
      <w:pPr>
        <w:snapToGrid w:val="0"/>
        <w:spacing w:line="360" w:lineRule="auto"/>
        <w:ind w:firstLine="420" w:firstLineChars="200"/>
        <w:rPr>
          <w:rFonts w:ascii="宋体" w:hAnsi="宋体"/>
          <w:szCs w:val="21"/>
        </w:rPr>
      </w:pPr>
      <w:r>
        <w:rPr>
          <w:rFonts w:hint="eastAsia" w:ascii="宋体" w:hAnsi="宋体"/>
          <w:color w:val="000000" w:themeColor="text1"/>
          <w:szCs w:val="21"/>
          <w14:textFill>
            <w14:solidFill>
              <w14:schemeClr w14:val="tx1"/>
            </w14:solidFill>
          </w14:textFill>
        </w:rPr>
        <w:t>1.</w:t>
      </w:r>
      <w:r>
        <w:rPr>
          <w:rFonts w:hint="eastAsia" w:ascii="宋体" w:hAnsi="宋体"/>
          <w:szCs w:val="21"/>
        </w:rPr>
        <w:t>平时成绩：课堂展示、课堂签到、学习通作业，茶艺技能考核</w:t>
      </w:r>
      <w:r>
        <w:rPr>
          <w:rFonts w:hint="eastAsia" w:ascii="宋体" w:hAnsi="宋体"/>
          <w:bCs/>
          <w:szCs w:val="21"/>
        </w:rPr>
        <w:t>占比50%；</w:t>
      </w:r>
    </w:p>
    <w:p>
      <w:pPr>
        <w:snapToGrid w:val="0"/>
        <w:spacing w:line="360" w:lineRule="auto"/>
        <w:ind w:firstLine="420" w:firstLineChars="200"/>
        <w:rPr>
          <w:rFonts w:ascii="宋体" w:hAnsi="宋体"/>
          <w:bCs/>
          <w:szCs w:val="21"/>
        </w:rPr>
      </w:pPr>
      <w:r>
        <w:rPr>
          <w:rFonts w:hint="eastAsia" w:ascii="宋体" w:hAnsi="宋体"/>
        </w:rPr>
        <w:t>2.期末成绩：</w:t>
      </w:r>
      <w:r>
        <w:rPr>
          <w:rFonts w:hint="eastAsia" w:ascii="宋体" w:hAnsi="宋体"/>
          <w:bCs/>
          <w:szCs w:val="21"/>
        </w:rPr>
        <w:t>闭卷考试，占比50%；</w:t>
      </w:r>
    </w:p>
    <w:p>
      <w:pPr>
        <w:snapToGrid w:val="0"/>
        <w:spacing w:line="360" w:lineRule="auto"/>
        <w:ind w:firstLine="420" w:firstLineChars="200"/>
        <w:rPr>
          <w:rFonts w:ascii="宋体" w:hAnsi="宋体"/>
          <w:bCs/>
          <w:szCs w:val="21"/>
        </w:rPr>
      </w:pPr>
      <w:r>
        <w:rPr>
          <w:rFonts w:hint="eastAsia" w:ascii="宋体" w:hAnsi="宋体"/>
        </w:rPr>
        <w:t>3.综合成绩</w:t>
      </w:r>
      <w:r>
        <w:rPr>
          <w:rFonts w:hint="eastAsia" w:ascii="宋体" w:hAnsi="宋体"/>
          <w:bCs/>
          <w:szCs w:val="21"/>
        </w:rPr>
        <w:t>（平时成绩×20%+课堂展示10%+</w:t>
      </w:r>
      <w:r>
        <w:rPr>
          <w:rFonts w:hint="eastAsia" w:ascii="宋体" w:hAnsi="宋体"/>
          <w:szCs w:val="21"/>
        </w:rPr>
        <w:t>茶艺技能考核</w:t>
      </w:r>
      <w:r>
        <w:rPr>
          <w:rFonts w:hint="eastAsia" w:ascii="宋体" w:hAnsi="宋体"/>
          <w:bCs/>
          <w:szCs w:val="21"/>
        </w:rPr>
        <w:t>×20%+期末成绩×50%）。</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962" w:name="_Toc1342"/>
      <w:bookmarkStart w:id="963" w:name="_Toc138068900"/>
      <w:bookmarkStart w:id="964" w:name="_Toc138070802"/>
      <w:bookmarkStart w:id="965" w:name="_Toc138070531"/>
      <w:bookmarkStart w:id="966" w:name="_Toc138076445"/>
      <w:bookmarkStart w:id="967" w:name="_Toc138068501"/>
      <w:bookmarkStart w:id="968" w:name="_Toc138076740"/>
      <w:bookmarkStart w:id="969" w:name="_Toc138076196"/>
      <w:r>
        <w:rPr>
          <w:rFonts w:hint="eastAsia" w:asciiTheme="majorEastAsia" w:hAnsiTheme="majorEastAsia" w:eastAsiaTheme="majorEastAsia" w:cstheme="majorEastAsia"/>
          <w:b/>
          <w:bCs/>
          <w:kern w:val="0"/>
          <w:szCs w:val="21"/>
        </w:rPr>
        <w:t>六、考核结果分析反馈</w:t>
      </w:r>
      <w:bookmarkEnd w:id="962"/>
      <w:bookmarkEnd w:id="963"/>
      <w:bookmarkEnd w:id="964"/>
      <w:bookmarkEnd w:id="965"/>
      <w:bookmarkEnd w:id="966"/>
      <w:bookmarkEnd w:id="967"/>
      <w:bookmarkEnd w:id="968"/>
      <w:bookmarkEnd w:id="969"/>
    </w:p>
    <w:p>
      <w:pPr>
        <w:widowControl/>
        <w:snapToGrid w:val="0"/>
        <w:spacing w:line="360" w:lineRule="auto"/>
        <w:jc w:val="left"/>
        <w:outlineLvl w:val="1"/>
        <w:rPr>
          <w:rFonts w:asciiTheme="majorEastAsia" w:hAnsiTheme="majorEastAsia" w:eastAsiaTheme="majorEastAsia" w:cstheme="majorEastAsia"/>
          <w:kern w:val="0"/>
          <w:szCs w:val="21"/>
        </w:rPr>
      </w:pPr>
      <w:bookmarkStart w:id="970" w:name="_Toc24065"/>
      <w:bookmarkStart w:id="971" w:name="_Toc138076197"/>
      <w:bookmarkStart w:id="972" w:name="_Toc138076446"/>
      <w:bookmarkStart w:id="973" w:name="_Toc138068901"/>
      <w:bookmarkStart w:id="974" w:name="_Toc138068502"/>
      <w:bookmarkStart w:id="975" w:name="_Toc138070803"/>
      <w:bookmarkStart w:id="976" w:name="_Toc138076741"/>
      <w:bookmarkStart w:id="977" w:name="_Toc138070532"/>
      <w:r>
        <w:rPr>
          <w:rFonts w:hint="eastAsia" w:asciiTheme="majorEastAsia" w:hAnsiTheme="majorEastAsia" w:eastAsiaTheme="majorEastAsia" w:cstheme="majorEastAsia"/>
          <w:kern w:val="0"/>
          <w:szCs w:val="21"/>
        </w:rPr>
        <w:t>1.平时表现情况：通过学生课堂互动情况，课后作业完成质量分析问题所在，及时对课堂内容和教学模式进行调整；</w:t>
      </w:r>
      <w:bookmarkEnd w:id="970"/>
      <w:bookmarkEnd w:id="971"/>
      <w:bookmarkEnd w:id="972"/>
      <w:bookmarkEnd w:id="973"/>
      <w:bookmarkEnd w:id="974"/>
      <w:bookmarkEnd w:id="975"/>
      <w:bookmarkEnd w:id="976"/>
      <w:bookmarkEnd w:id="977"/>
    </w:p>
    <w:p>
      <w:pPr>
        <w:widowControl/>
        <w:snapToGrid w:val="0"/>
        <w:spacing w:line="360" w:lineRule="auto"/>
        <w:jc w:val="left"/>
        <w:outlineLvl w:val="1"/>
        <w:rPr>
          <w:rFonts w:asciiTheme="majorEastAsia" w:hAnsiTheme="majorEastAsia" w:eastAsiaTheme="majorEastAsia" w:cstheme="majorEastAsia"/>
          <w:kern w:val="0"/>
          <w:szCs w:val="21"/>
        </w:rPr>
      </w:pPr>
      <w:bookmarkStart w:id="978" w:name="_Toc138076198"/>
      <w:bookmarkStart w:id="979" w:name="_Toc138070533"/>
      <w:bookmarkStart w:id="980" w:name="_Toc138068503"/>
      <w:bookmarkStart w:id="981" w:name="_Toc138076742"/>
      <w:bookmarkStart w:id="982" w:name="_Toc138068902"/>
      <w:bookmarkStart w:id="983" w:name="_Toc138070804"/>
      <w:bookmarkStart w:id="984" w:name="_Toc138076447"/>
      <w:bookmarkStart w:id="985" w:name="_Toc5762"/>
      <w:r>
        <w:rPr>
          <w:rFonts w:hint="eastAsia" w:asciiTheme="majorEastAsia" w:hAnsiTheme="majorEastAsia" w:eastAsiaTheme="majorEastAsia" w:cstheme="majorEastAsia"/>
          <w:kern w:val="0"/>
          <w:szCs w:val="21"/>
        </w:rPr>
        <w:t>2.学生课程评价：学期过半，让学生进行课程评价，对学生提出的合理建议进行及时调整，不断完善教学效果，利于学生综合素质的提升。</w:t>
      </w:r>
      <w:bookmarkEnd w:id="978"/>
      <w:bookmarkEnd w:id="979"/>
      <w:bookmarkEnd w:id="980"/>
      <w:bookmarkEnd w:id="981"/>
      <w:bookmarkEnd w:id="982"/>
      <w:bookmarkEnd w:id="983"/>
      <w:bookmarkEnd w:id="984"/>
      <w:bookmarkEnd w:id="985"/>
    </w:p>
    <w:p>
      <w:pPr>
        <w:snapToGrid w:val="0"/>
        <w:spacing w:line="360" w:lineRule="auto"/>
        <w:rPr>
          <w:rFonts w:ascii="宋体" w:hAnsi="宋体"/>
          <w:szCs w:val="21"/>
        </w:rPr>
      </w:pPr>
      <w:r>
        <w:rPr>
          <w:rFonts w:hint="eastAsia" w:ascii="宋体" w:hAnsi="宋体"/>
          <w:szCs w:val="21"/>
        </w:rPr>
        <w:t>3.期末成绩分析：通过期末成绩分布情况进行分析，对下学期课程进行调整和完善。</w:t>
      </w:r>
    </w:p>
    <w:p>
      <w:pPr>
        <w:rPr>
          <w:sz w:val="28"/>
        </w:rPr>
      </w:pPr>
      <w:bookmarkStart w:id="986" w:name="_Toc138076743"/>
      <w:bookmarkStart w:id="987" w:name="_Toc138076199"/>
      <w:r>
        <w:rPr>
          <w:rFonts w:hint="eastAsia"/>
          <w:sz w:val="28"/>
        </w:rPr>
        <w:br w:type="page"/>
      </w:r>
    </w:p>
    <w:p>
      <w:pPr>
        <w:pStyle w:val="21"/>
        <w:rPr>
          <w:bCs w:val="0"/>
          <w:sz w:val="28"/>
        </w:rPr>
      </w:pPr>
      <w:bookmarkStart w:id="988" w:name="_Toc25618"/>
      <w:r>
        <w:rPr>
          <w:rFonts w:hint="eastAsia"/>
          <w:sz w:val="28"/>
        </w:rPr>
        <w:t>设施装备与智能化</w:t>
      </w:r>
      <w:r>
        <w:rPr>
          <w:rFonts w:hint="eastAsia"/>
          <w:bCs w:val="0"/>
          <w:sz w:val="28"/>
        </w:rPr>
        <w:t>考核大纲</w:t>
      </w:r>
      <w:bookmarkEnd w:id="986"/>
      <w:bookmarkEnd w:id="987"/>
      <w:bookmarkEnd w:id="988"/>
    </w:p>
    <w:p>
      <w:pPr>
        <w:shd w:val="solid" w:color="FFFFFF" w:fill="auto"/>
        <w:autoSpaceDN w:val="0"/>
        <w:spacing w:line="360" w:lineRule="auto"/>
        <w:ind w:right="369"/>
        <w:jc w:val="center"/>
        <w:rPr>
          <w:bCs/>
          <w:iCs/>
          <w:color w:val="000000" w:themeColor="text1"/>
          <w:sz w:val="24"/>
          <w:shd w:val="clear" w:color="auto" w:fill="FFFFFF"/>
          <w14:textFill>
            <w14:solidFill>
              <w14:schemeClr w14:val="tx1"/>
            </w14:solidFill>
          </w14:textFill>
        </w:rPr>
      </w:pPr>
      <w:r>
        <w:rPr>
          <w:bCs/>
          <w:iCs/>
          <w:color w:val="000000" w:themeColor="text1"/>
          <w:sz w:val="24"/>
          <w14:textFill>
            <w14:solidFill>
              <w14:schemeClr w14:val="tx1"/>
            </w14:solidFill>
          </w14:textFill>
        </w:rPr>
        <w:t>（</w:t>
      </w:r>
      <w:r>
        <w:rPr>
          <w:rFonts w:hint="eastAsia"/>
          <w:bCs/>
          <w:iCs/>
          <w:color w:val="000000" w:themeColor="text1"/>
          <w:sz w:val="24"/>
          <w14:textFill>
            <w14:solidFill>
              <w14:schemeClr w14:val="tx1"/>
            </w14:solidFill>
          </w14:textFill>
        </w:rPr>
        <w:t xml:space="preserve"> </w:t>
      </w:r>
      <w:r>
        <w:rPr>
          <w:bCs/>
          <w:iCs/>
          <w:color w:val="000000" w:themeColor="text1"/>
          <w:sz w:val="24"/>
          <w14:textFill>
            <w14:solidFill>
              <w14:schemeClr w14:val="tx1"/>
            </w14:solidFill>
          </w14:textFill>
        </w:rPr>
        <w:t>Facility Equipment and Intellectualization</w:t>
      </w:r>
      <w:r>
        <w:rPr>
          <w:bCs/>
          <w:iCs/>
          <w:color w:val="000000" w:themeColor="text1"/>
          <w:sz w:val="24"/>
          <w:shd w:val="clear" w:color="auto" w:fill="FFFFFF"/>
          <w14:textFill>
            <w14:solidFill>
              <w14:schemeClr w14:val="tx1"/>
            </w14:solidFill>
          </w14:textFill>
        </w:rPr>
        <w:t>)</w:t>
      </w:r>
    </w:p>
    <w:p>
      <w:pPr>
        <w:shd w:val="solid" w:color="FFFFFF" w:fill="auto"/>
        <w:autoSpaceDN w:val="0"/>
        <w:spacing w:line="360" w:lineRule="auto"/>
        <w:ind w:right="369"/>
        <w:jc w:val="center"/>
        <w:rPr>
          <w:b/>
          <w:bCs/>
          <w:iCs/>
          <w:color w:val="000000" w:themeColor="text1"/>
          <w:sz w:val="24"/>
          <w14:textFill>
            <w14:solidFill>
              <w14:schemeClr w14:val="tx1"/>
            </w14:solidFill>
          </w14:textFill>
        </w:rPr>
      </w:pPr>
    </w:p>
    <w:p>
      <w:pPr>
        <w:snapToGrid w:val="0"/>
        <w:spacing w:line="360" w:lineRule="auto"/>
        <w:jc w:val="center"/>
        <w:rPr>
          <w:b/>
          <w:szCs w:val="21"/>
        </w:rPr>
      </w:pPr>
      <w:r>
        <w:rPr>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b/>
                <w:bCs/>
                <w:szCs w:val="21"/>
              </w:rPr>
            </w:pPr>
            <w:r>
              <w:rPr>
                <w:b/>
                <w:bCs/>
                <w:szCs w:val="21"/>
              </w:rPr>
              <w:t>课程编号：</w:t>
            </w:r>
            <w:r>
              <w:rPr>
                <w:b/>
                <w:bCs/>
                <w:color w:val="000000" w:themeColor="text1"/>
                <w:szCs w:val="21"/>
                <w14:textFill>
                  <w14:solidFill>
                    <w14:schemeClr w14:val="tx1"/>
                  </w14:solidFill>
                </w14:textFill>
              </w:rPr>
              <w:t>190111</w:t>
            </w:r>
            <w:r>
              <w:rPr>
                <w:rFonts w:hint="eastAsia"/>
                <w:b/>
                <w:bCs/>
                <w:color w:val="000000" w:themeColor="text1"/>
                <w:szCs w:val="21"/>
                <w14:textFill>
                  <w14:solidFill>
                    <w14:schemeClr w14:val="tx1"/>
                  </w14:solidFill>
                </w14:textFill>
              </w:rPr>
              <w:t>20</w:t>
            </w:r>
          </w:p>
        </w:tc>
        <w:tc>
          <w:tcPr>
            <w:tcW w:w="1234" w:type="pct"/>
          </w:tcPr>
          <w:p>
            <w:pPr>
              <w:spacing w:line="300" w:lineRule="auto"/>
              <w:rPr>
                <w:b/>
                <w:bCs/>
                <w:szCs w:val="21"/>
              </w:rPr>
            </w:pPr>
            <w:r>
              <w:rPr>
                <w:b/>
                <w:bCs/>
                <w:szCs w:val="21"/>
              </w:rPr>
              <w:t>课程学时：</w:t>
            </w:r>
            <w:r>
              <w:rPr>
                <w:rFonts w:hint="eastAsia"/>
                <w:b/>
                <w:bCs/>
                <w:szCs w:val="21"/>
              </w:rPr>
              <w:t>32</w:t>
            </w:r>
          </w:p>
        </w:tc>
        <w:tc>
          <w:tcPr>
            <w:tcW w:w="2100" w:type="pct"/>
          </w:tcPr>
          <w:p>
            <w:pPr>
              <w:spacing w:line="300" w:lineRule="auto"/>
              <w:rPr>
                <w:b/>
                <w:bCs/>
                <w:szCs w:val="21"/>
              </w:rPr>
            </w:pPr>
            <w:r>
              <w:rPr>
                <w:b/>
                <w:bCs/>
                <w:szCs w:val="21"/>
              </w:rPr>
              <w:t>课程学分：</w:t>
            </w:r>
            <w:r>
              <w:rPr>
                <w:rFonts w:hint="eastAsia"/>
                <w:b/>
                <w:bCs/>
                <w:szCs w:val="21"/>
              </w:rPr>
              <w:t>2</w:t>
            </w:r>
            <w:r>
              <w:rPr>
                <w:b/>
                <w:bCs/>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b/>
                <w:bCs/>
                <w:szCs w:val="21"/>
              </w:rPr>
            </w:pPr>
            <w:r>
              <w:rPr>
                <w:b/>
                <w:bCs/>
                <w:szCs w:val="21"/>
              </w:rPr>
              <w:t>主撰人：</w:t>
            </w:r>
            <w:r>
              <w:rPr>
                <w:rFonts w:hint="eastAsia"/>
                <w:b/>
                <w:bCs/>
                <w:szCs w:val="21"/>
              </w:rPr>
              <w:t>国志信</w:t>
            </w:r>
          </w:p>
        </w:tc>
        <w:tc>
          <w:tcPr>
            <w:tcW w:w="1234" w:type="pct"/>
          </w:tcPr>
          <w:p>
            <w:pPr>
              <w:spacing w:line="300" w:lineRule="auto"/>
              <w:rPr>
                <w:b/>
                <w:bCs/>
                <w:szCs w:val="21"/>
              </w:rPr>
            </w:pPr>
            <w:r>
              <w:rPr>
                <w:b/>
                <w:bCs/>
                <w:szCs w:val="21"/>
              </w:rPr>
              <w:t>审核人：</w:t>
            </w:r>
            <w:r>
              <w:rPr>
                <w:rFonts w:hint="eastAsia"/>
                <w:b/>
                <w:bCs/>
                <w:szCs w:val="21"/>
              </w:rPr>
              <w:t>董韩</w:t>
            </w:r>
          </w:p>
        </w:tc>
        <w:tc>
          <w:tcPr>
            <w:tcW w:w="2100" w:type="pct"/>
          </w:tcPr>
          <w:p>
            <w:pPr>
              <w:spacing w:line="300" w:lineRule="auto"/>
              <w:rPr>
                <w:b/>
                <w:bCs/>
                <w:szCs w:val="21"/>
              </w:rPr>
            </w:pPr>
            <w:r>
              <w:rPr>
                <w:b/>
                <w:bCs/>
                <w:szCs w:val="21"/>
              </w:rPr>
              <w:t>大纲制定（修订）日期：2023.05</w:t>
            </w:r>
          </w:p>
        </w:tc>
      </w:tr>
    </w:tbl>
    <w:p>
      <w:pPr>
        <w:widowControl/>
        <w:snapToGrid w:val="0"/>
        <w:spacing w:before="156" w:after="156" w:line="360" w:lineRule="auto"/>
        <w:jc w:val="left"/>
        <w:outlineLvl w:val="1"/>
        <w:rPr>
          <w:rFonts w:ascii="宋体" w:hAnsi="宋体" w:cs="宋体"/>
          <w:b/>
          <w:bCs/>
          <w:color w:val="000000" w:themeColor="text1"/>
          <w:kern w:val="0"/>
          <w:szCs w:val="21"/>
          <w14:textFill>
            <w14:solidFill>
              <w14:schemeClr w14:val="tx1"/>
            </w14:solidFill>
          </w14:textFill>
        </w:rPr>
      </w:pPr>
    </w:p>
    <w:p>
      <w:pPr>
        <w:widowControl/>
        <w:snapToGrid w:val="0"/>
        <w:spacing w:before="156" w:after="156" w:line="360" w:lineRule="auto"/>
        <w:jc w:val="left"/>
        <w:outlineLvl w:val="1"/>
        <w:rPr>
          <w:rFonts w:ascii="宋体" w:hAnsi="宋体" w:cs="宋体"/>
          <w:b/>
          <w:bCs/>
          <w:color w:val="000000" w:themeColor="text1"/>
          <w:kern w:val="0"/>
          <w:szCs w:val="21"/>
          <w14:textFill>
            <w14:solidFill>
              <w14:schemeClr w14:val="tx1"/>
            </w14:solidFill>
          </w14:textFill>
        </w:rPr>
      </w:pPr>
      <w:bookmarkStart w:id="989" w:name="_Toc138070535"/>
      <w:bookmarkStart w:id="990" w:name="_Toc138076200"/>
      <w:bookmarkStart w:id="991" w:name="_Toc6100"/>
      <w:bookmarkStart w:id="992" w:name="_Toc138068505"/>
      <w:bookmarkStart w:id="993" w:name="_Toc138076449"/>
      <w:bookmarkStart w:id="994" w:name="_Toc138068904"/>
      <w:bookmarkStart w:id="995" w:name="_Toc138076744"/>
      <w:bookmarkStart w:id="996" w:name="_Toc138070806"/>
      <w:r>
        <w:rPr>
          <w:rFonts w:hint="eastAsia" w:ascii="宋体" w:hAnsi="宋体" w:cs="宋体"/>
          <w:b/>
          <w:bCs/>
          <w:color w:val="000000" w:themeColor="text1"/>
          <w:kern w:val="0"/>
          <w:szCs w:val="21"/>
          <w14:textFill>
            <w14:solidFill>
              <w14:schemeClr w14:val="tx1"/>
            </w14:solidFill>
          </w14:textFill>
        </w:rPr>
        <w:t>一、课程的性质和地位</w:t>
      </w:r>
      <w:bookmarkEnd w:id="989"/>
      <w:bookmarkEnd w:id="990"/>
      <w:bookmarkEnd w:id="991"/>
      <w:bookmarkEnd w:id="992"/>
      <w:bookmarkEnd w:id="993"/>
      <w:bookmarkEnd w:id="994"/>
      <w:bookmarkEnd w:id="995"/>
      <w:bookmarkEnd w:id="996"/>
    </w:p>
    <w:p>
      <w:pPr>
        <w:snapToGrid w:val="0"/>
        <w:spacing w:line="360" w:lineRule="auto"/>
        <w:ind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设施装备与智能化化》是园艺作物设施生产的一门基础理论与应用技术相结合的科学。是一门集现代园艺科学、环境工程科学、信息技术科学和现代农业经济科学等为一体的多学科交叉的综合学科领域。是设施农业与工程专业的专业深化类课程。通过课堂教学，使学生能了解设施农业装备及信息化的基本概念和特点，了解设施农业装备与信息化产业在农业及农业现代化中的地位及作用，了解国内外设施农业装备与信息发展概况和趋势；学习设施农业机械化生产的类型、种类、性能和基础理论；掌握整地、播种、育苗、移栽、植保、灌溉、采收、物流等机械化装备的类型、结构与性能；掌握植保无人机、智慧灌溉、水肥一体化、智慧农业、农业机器人、植物工厂等的概念、类型和技术要点；能够灵活运用设施农业装备的基本理论，能够因地制宜选用合适的农机、农艺和农业技术、实现我国设施农业的机械化、智能化、自动化、信息化发展；学习掌握农业信息化、农业专家系统、设施农业控制技术和远程诊断技术、智慧农业、农业推广信息服务、农业经营与管理信息化、农业数字化的基本概念及理论；能够利用现代化技术手段将设施农业装备与信息化有机融合，推动我国设施园艺逐渐走向智能化、数字化、高效绿色、健康发展。为学生将从事园艺作物设施栽培生产实践打下基础。</w:t>
      </w:r>
    </w:p>
    <w:p>
      <w:pPr>
        <w:snapToGrid w:val="0"/>
        <w:spacing w:before="156" w:beforeLines="50"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二、理论教学部分的考核目标</w:t>
      </w:r>
    </w:p>
    <w:p>
      <w:pPr>
        <w:spacing w:line="360" w:lineRule="auto"/>
        <w:ind w:firstLine="420" w:firstLineChars="200"/>
        <w:rPr>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主要考核学生对该门可课程基本理论、基本知识和核心技术的掌握状况</w:t>
      </w:r>
    </w:p>
    <w:p>
      <w:pPr>
        <w:snapToGrid w:val="0"/>
        <w:spacing w:line="360" w:lineRule="auto"/>
        <w:ind w:firstLine="103" w:firstLineChars="49"/>
        <w:jc w:val="center"/>
        <w:rPr>
          <w:b/>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 xml:space="preserve">第一章  </w:t>
      </w:r>
      <w:r>
        <w:rPr>
          <w:rFonts w:ascii="宋体" w:hAnsi="宋体"/>
          <w:b/>
          <w:bCs/>
          <w:color w:val="000000" w:themeColor="text1"/>
          <w14:textFill>
            <w14:solidFill>
              <w14:schemeClr w14:val="tx1"/>
            </w14:solidFill>
          </w14:textFill>
        </w:rPr>
        <w:t>绪论</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了解发展设施农业装备与信息化的目的和作用及国家关于农业智能化装备和农业信息化的政策。</w:t>
      </w:r>
    </w:p>
    <w:p>
      <w:pPr>
        <w:snapToGrid w:val="0"/>
        <w:spacing w:before="156" w:beforeLines="50"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国际国内设施农业装备和信息化的现状、发展趋势。</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掌握设施智能化装备、农业信息化等相关概念和主要内容；</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before="156" w:beforeLines="50"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知识：设施智能化装备、农业信息化概念及发展目的</w:t>
      </w:r>
    </w:p>
    <w:p>
      <w:pPr>
        <w:snapToGrid w:val="0"/>
        <w:spacing w:before="156" w:beforeLines="50"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能力和素质：国际国内设施农业装备和信息化的现状和发展趋势；设施农业每个发展阶段的理解（机械化、自动化、信息化、智能化）施园艺发展史、设施园艺发展前景。</w:t>
      </w:r>
    </w:p>
    <w:p>
      <w:pPr>
        <w:snapToGrid w:val="0"/>
        <w:spacing w:before="156" w:beforeLines="50"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：设施智能化装备、农业信息化概念。</w:t>
      </w:r>
    </w:p>
    <w:p>
      <w:pPr>
        <w:snapToGrid w:val="0"/>
        <w:spacing w:before="156" w:beforeLines="50"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：国际国内设施农业装备和信息化的现状和发展趋势</w:t>
      </w:r>
      <w:r>
        <w:rPr>
          <w:rFonts w:hint="eastAsia" w:ascii="宋体" w:hAnsi="宋体"/>
          <w:bCs/>
          <w:color w:val="000000" w:themeColor="text1"/>
          <w:szCs w:val="21"/>
          <w14:textFill>
            <w14:solidFill>
              <w14:schemeClr w14:val="tx1"/>
            </w14:solidFill>
          </w14:textFill>
        </w:rPr>
        <w:t>。</w:t>
      </w:r>
    </w:p>
    <w:p>
      <w:pPr>
        <w:spacing w:line="360" w:lineRule="auto"/>
        <w:ind w:firstLine="422" w:firstLineChars="200"/>
        <w:jc w:val="center"/>
        <w:rPr>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第二章 设施蔬菜机械化发展及趋势</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了解设施蔬菜生产机械化发展过程中存在的主要问题。</w:t>
      </w:r>
    </w:p>
    <w:p>
      <w:pPr>
        <w:snapToGrid w:val="0"/>
        <w:spacing w:before="156" w:beforeLines="50" w:line="360" w:lineRule="auto"/>
        <w:ind w:firstLine="422" w:firstLineChars="200"/>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熟悉日光温室和塑料大棚蔬菜生产过程中现有的机械装备。</w:t>
      </w:r>
    </w:p>
    <w:p>
      <w:pPr>
        <w:snapToGrid w:val="0"/>
        <w:spacing w:before="156" w:beforeLines="50" w:line="360" w:lineRule="auto"/>
        <w:ind w:firstLine="422" w:firstLineChars="200"/>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掌握发展设施机械化生产的方法和技术体系</w:t>
      </w:r>
      <w:r>
        <w:rPr>
          <w:rFonts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知识：限制设施蔬菜机械化发展的原因及目前存在问题；建设施蔬菜机械化生产技术的方法</w:t>
      </w:r>
      <w:r>
        <w:rPr>
          <w:rFonts w:ascii="宋体" w:hAnsi="宋体"/>
          <w:color w:val="000000" w:themeColor="text1"/>
          <w:szCs w:val="21"/>
          <w14:textFill>
            <w14:solidFill>
              <w14:schemeClr w14:val="tx1"/>
            </w14:solidFill>
          </w14:textFill>
        </w:rPr>
        <w:t>。</w:t>
      </w:r>
    </w:p>
    <w:p>
      <w:pPr>
        <w:snapToGrid w:val="0"/>
        <w:spacing w:line="360" w:lineRule="auto"/>
        <w:ind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能力和素质：日光温室和塑料大棚在发展蔬菜机械化发展过程中的异同点。</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（三）考核要求</w:t>
      </w:r>
    </w:p>
    <w:p>
      <w:pPr>
        <w:snapToGrid w:val="0"/>
        <w:spacing w:before="156" w:beforeLines="50" w:line="360" w:lineRule="auto"/>
        <w:ind w:firstLine="422" w:firstLineChars="200"/>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构建机械化生产模式的方法</w:t>
      </w:r>
      <w:r>
        <w:rPr>
          <w:rFonts w:ascii="宋体" w:hAnsi="宋体"/>
          <w:color w:val="000000" w:themeColor="text1"/>
          <w:szCs w:val="21"/>
          <w14:textFill>
            <w14:solidFill>
              <w14:schemeClr w14:val="tx1"/>
            </w14:solidFill>
          </w14:textFill>
        </w:rPr>
        <w:t>园艺设施的各种类型</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设施蔬菜机械化发展存在的问题及产生原因。</w:t>
      </w:r>
    </w:p>
    <w:p>
      <w:pPr>
        <w:snapToGrid w:val="0"/>
        <w:spacing w:before="156" w:beforeLines="50" w:line="360" w:lineRule="auto"/>
        <w:ind w:firstLine="422" w:firstLineChars="200"/>
        <w:rPr>
          <w:rFonts w:ascii="宋体" w:hAnsi="宋体"/>
          <w:b/>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3、简单应用：</w:t>
      </w:r>
      <w:r>
        <w:rPr>
          <w:rFonts w:hint="eastAsia" w:ascii="宋体" w:hAnsi="宋体"/>
          <w:color w:val="000000" w:themeColor="text1"/>
          <w:szCs w:val="21"/>
          <w14:textFill>
            <w14:solidFill>
              <w14:schemeClr w14:val="tx1"/>
            </w14:solidFill>
          </w14:textFill>
        </w:rPr>
        <w:t>日光温室和塑料大棚在发展蔬菜机械化发展过程中的异同点</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4、综合应用：</w:t>
      </w:r>
      <w:r>
        <w:rPr>
          <w:rFonts w:ascii="宋体" w:hAnsi="宋体"/>
          <w:color w:val="000000" w:themeColor="text1"/>
          <w:szCs w:val="21"/>
          <w14:textFill>
            <w14:solidFill>
              <w14:schemeClr w14:val="tx1"/>
            </w14:solidFill>
          </w14:textFill>
        </w:rPr>
        <w:t>根据设施类型安排</w:t>
      </w:r>
      <w:r>
        <w:rPr>
          <w:rFonts w:hint="eastAsia" w:ascii="宋体" w:hAnsi="宋体"/>
          <w:color w:val="000000" w:themeColor="text1"/>
          <w:szCs w:val="21"/>
          <w14:textFill>
            <w14:solidFill>
              <w14:schemeClr w14:val="tx1"/>
            </w14:solidFill>
          </w14:textFill>
        </w:rPr>
        <w:t>和建立设施机械化生产方式和技术体系。</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第三章</w:t>
      </w:r>
      <w:r>
        <w:rPr>
          <w:b/>
          <w:bCs/>
          <w:color w:val="000000" w:themeColor="text1"/>
          <w:szCs w:val="21"/>
          <w14:textFill>
            <w14:solidFill>
              <w14:schemeClr w14:val="tx1"/>
            </w14:solidFill>
          </w14:textFill>
        </w:rPr>
        <w:t xml:space="preserve">  </w:t>
      </w:r>
      <w:r>
        <w:rPr>
          <w:rFonts w:hint="eastAsia" w:ascii="宋体" w:hAnsi="宋体"/>
          <w:b/>
          <w:bCs/>
          <w:color w:val="000000" w:themeColor="text1"/>
          <w:szCs w:val="21"/>
          <w14:textFill>
            <w14:solidFill>
              <w14:schemeClr w14:val="tx1"/>
            </w14:solidFill>
          </w14:textFill>
        </w:rPr>
        <w:t>整地与播种机械化装备</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设施园艺整地的目的，机械类型、工作原理；</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掌握和熟悉常见整地播种机械的作业特点。</w:t>
      </w:r>
    </w:p>
    <w:p>
      <w:pPr>
        <w:snapToGrid w:val="0"/>
        <w:spacing w:before="156" w:beforeLines="50"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常见整地机械、播种机械的分类、结构和技术要点和应用。</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ascii="宋体" w:hAnsi="宋体"/>
          <w:color w:val="000000" w:themeColor="text1"/>
          <w:szCs w:val="21"/>
          <w14:textFill>
            <w14:solidFill>
              <w14:schemeClr w14:val="tx1"/>
            </w14:solidFill>
          </w14:textFill>
        </w:rPr>
        <w:t>各种</w:t>
      </w:r>
      <w:r>
        <w:rPr>
          <w:rFonts w:hint="eastAsia" w:ascii="宋体" w:hAnsi="宋体"/>
          <w:color w:val="000000" w:themeColor="text1"/>
          <w:szCs w:val="21"/>
          <w14:textFill>
            <w14:solidFill>
              <w14:schemeClr w14:val="tx1"/>
            </w14:solidFill>
          </w14:textFill>
        </w:rPr>
        <w:t>整地和播种机械的结构、</w:t>
      </w:r>
      <w:r>
        <w:rPr>
          <w:rFonts w:ascii="宋体" w:hAnsi="宋体"/>
          <w:color w:val="000000" w:themeColor="text1"/>
          <w:szCs w:val="21"/>
          <w14:textFill>
            <w14:solidFill>
              <w14:schemeClr w14:val="tx1"/>
            </w14:solidFill>
          </w14:textFill>
        </w:rPr>
        <w:t>特性和作用。</w:t>
      </w:r>
    </w:p>
    <w:p>
      <w:pPr>
        <w:snapToGrid w:val="0"/>
        <w:spacing w:line="360" w:lineRule="auto"/>
        <w:ind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能力和素质：不同整地与播种机械装备应用范围的选择。</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（三）考核要求</w:t>
      </w:r>
    </w:p>
    <w:p>
      <w:pPr>
        <w:snapToGrid w:val="0"/>
        <w:spacing w:line="360" w:lineRule="auto"/>
        <w:ind w:firstLine="632" w:firstLineChars="3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：各种</w:t>
      </w:r>
      <w:r>
        <w:rPr>
          <w:rFonts w:hint="eastAsia" w:ascii="宋体" w:hAnsi="宋体"/>
          <w:color w:val="000000" w:themeColor="text1"/>
          <w:szCs w:val="21"/>
          <w14:textFill>
            <w14:solidFill>
              <w14:schemeClr w14:val="tx1"/>
            </w14:solidFill>
          </w14:textFill>
        </w:rPr>
        <w:t>设施整地播种机械</w:t>
      </w:r>
      <w:r>
        <w:rPr>
          <w:rFonts w:ascii="宋体" w:hAnsi="宋体"/>
          <w:color w:val="000000" w:themeColor="text1"/>
          <w:szCs w:val="21"/>
          <w14:textFill>
            <w14:solidFill>
              <w14:schemeClr w14:val="tx1"/>
            </w14:solidFill>
          </w14:textFill>
        </w:rPr>
        <w:t>的种类和类型</w:t>
      </w:r>
      <w:r>
        <w:rPr>
          <w:rFonts w:hint="eastAsia" w:ascii="宋体" w:hAnsi="宋体"/>
          <w:color w:val="000000" w:themeColor="text1"/>
          <w:szCs w:val="21"/>
          <w14:textFill>
            <w14:solidFill>
              <w14:schemeClr w14:val="tx1"/>
            </w14:solidFill>
          </w14:textFill>
        </w:rPr>
        <w:t>。</w:t>
      </w:r>
    </w:p>
    <w:p>
      <w:pPr>
        <w:snapToGrid w:val="0"/>
        <w:spacing w:line="360" w:lineRule="auto"/>
        <w:ind w:firstLine="632" w:firstLineChars="3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：各种</w:t>
      </w:r>
      <w:r>
        <w:rPr>
          <w:rFonts w:hint="eastAsia" w:ascii="宋体" w:hAnsi="宋体"/>
          <w:color w:val="000000" w:themeColor="text1"/>
          <w:szCs w:val="21"/>
          <w14:textFill>
            <w14:solidFill>
              <w14:schemeClr w14:val="tx1"/>
            </w14:solidFill>
          </w14:textFill>
        </w:rPr>
        <w:t>设施整地播种机械</w:t>
      </w:r>
      <w:r>
        <w:rPr>
          <w:rFonts w:ascii="宋体" w:hAnsi="宋体"/>
          <w:color w:val="000000" w:themeColor="text1"/>
          <w:szCs w:val="21"/>
          <w14:textFill>
            <w14:solidFill>
              <w14:schemeClr w14:val="tx1"/>
            </w14:solidFill>
          </w14:textFill>
        </w:rPr>
        <w:t>特性和</w:t>
      </w:r>
      <w:r>
        <w:rPr>
          <w:rFonts w:hint="eastAsia" w:ascii="宋体" w:hAnsi="宋体"/>
          <w:color w:val="000000" w:themeColor="text1"/>
          <w:szCs w:val="21"/>
          <w14:textFill>
            <w14:solidFill>
              <w14:schemeClr w14:val="tx1"/>
            </w14:solidFill>
          </w14:textFill>
        </w:rPr>
        <w:t>应用。</w:t>
      </w:r>
    </w:p>
    <w:p>
      <w:pPr>
        <w:snapToGrid w:val="0"/>
        <w:spacing w:line="360" w:lineRule="auto"/>
        <w:ind w:firstLine="632" w:firstLineChars="3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常见整地机械、播种机械的分类、结构和技术要点和应用。</w:t>
      </w:r>
    </w:p>
    <w:p>
      <w:pPr>
        <w:snapToGrid w:val="0"/>
        <w:spacing w:line="360" w:lineRule="auto"/>
        <w:ind w:firstLine="632" w:firstLineChars="3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w:t>
      </w:r>
      <w:r>
        <w:rPr>
          <w:rFonts w:hint="eastAsia" w:ascii="宋体" w:hAnsi="宋体"/>
          <w:b/>
          <w:bCs/>
          <w:color w:val="000000" w:themeColor="text1"/>
          <w:szCs w:val="21"/>
          <w14:textFill>
            <w14:solidFill>
              <w14:schemeClr w14:val="tx1"/>
            </w14:solidFill>
          </w14:textFill>
        </w:rPr>
        <w:t>分析</w:t>
      </w:r>
      <w:r>
        <w:rPr>
          <w:rFonts w:ascii="宋体" w:hAnsi="宋体"/>
          <w:color w:val="000000" w:themeColor="text1"/>
          <w:szCs w:val="21"/>
          <w14:textFill>
            <w14:solidFill>
              <w14:schemeClr w14:val="tx1"/>
            </w14:solidFill>
          </w14:textFill>
        </w:rPr>
        <w:t>：</w:t>
      </w:r>
      <w:r>
        <w:rPr>
          <w:b/>
          <w:bCs/>
          <w:color w:val="000000" w:themeColor="text1"/>
          <w:szCs w:val="21"/>
          <w14:textFill>
            <w14:solidFill>
              <w14:schemeClr w14:val="tx1"/>
            </w14:solidFill>
          </w14:textFill>
        </w:rPr>
        <w:t xml:space="preserve"> </w:t>
      </w:r>
      <w:r>
        <w:rPr>
          <w:rFonts w:ascii="宋体" w:hAnsi="宋体"/>
          <w:color w:val="000000" w:themeColor="text1"/>
          <w:szCs w:val="21"/>
          <w14:textFill>
            <w14:solidFill>
              <w14:schemeClr w14:val="tx1"/>
            </w14:solidFill>
          </w14:textFill>
        </w:rPr>
        <w:t>各种</w:t>
      </w:r>
      <w:r>
        <w:rPr>
          <w:rFonts w:hint="eastAsia" w:ascii="宋体" w:hAnsi="宋体"/>
          <w:color w:val="000000" w:themeColor="text1"/>
          <w:szCs w:val="21"/>
          <w14:textFill>
            <w14:solidFill>
              <w14:schemeClr w14:val="tx1"/>
            </w14:solidFill>
          </w14:textFill>
        </w:rPr>
        <w:t>整地、播种机械</w:t>
      </w:r>
      <w:r>
        <w:rPr>
          <w:rFonts w:ascii="宋体" w:hAnsi="宋体"/>
          <w:color w:val="000000" w:themeColor="text1"/>
          <w:szCs w:val="21"/>
          <w14:textFill>
            <w14:solidFill>
              <w14:schemeClr w14:val="tx1"/>
            </w14:solidFill>
          </w14:textFill>
        </w:rPr>
        <w:t>对设施内环境的影响</w:t>
      </w:r>
      <w:r>
        <w:rPr>
          <w:rFonts w:hint="eastAsia" w:ascii="宋体" w:hAnsi="宋体"/>
          <w:color w:val="000000" w:themeColor="text1"/>
          <w:szCs w:val="21"/>
          <w14:textFill>
            <w14:solidFill>
              <w14:schemeClr w14:val="tx1"/>
            </w14:solidFill>
          </w14:textFill>
        </w:rPr>
        <w:t>和使用要点及发展现状和趋势。</w:t>
      </w:r>
    </w:p>
    <w:p>
      <w:pPr>
        <w:spacing w:line="360" w:lineRule="auto"/>
        <w:ind w:firstLine="422" w:firstLineChars="200"/>
        <w:jc w:val="center"/>
        <w:rPr>
          <w:b/>
          <w:bCs/>
          <w:color w:val="000000" w:themeColor="text1"/>
          <w:szCs w:val="21"/>
          <w14:textFill>
            <w14:solidFill>
              <w14:schemeClr w14:val="tx1"/>
            </w14:solidFill>
          </w14:textFill>
        </w:rPr>
      </w:pPr>
      <w:r>
        <w:rPr>
          <w:rFonts w:hint="eastAsia"/>
          <w:b/>
          <w:color w:val="000000" w:themeColor="text1"/>
          <w14:textFill>
            <w14:solidFill>
              <w14:schemeClr w14:val="tx1"/>
            </w14:solidFill>
          </w14:textFill>
        </w:rPr>
        <w:t>第四章</w:t>
      </w:r>
      <w:r>
        <w:rPr>
          <w:b/>
          <w:bCs/>
          <w:color w:val="000000" w:themeColor="text1"/>
          <w:szCs w:val="21"/>
          <w14:textFill>
            <w14:solidFill>
              <w14:schemeClr w14:val="tx1"/>
            </w14:solidFill>
          </w14:textFill>
        </w:rPr>
        <w:t xml:space="preserve">  </w:t>
      </w:r>
      <w:r>
        <w:rPr>
          <w:rFonts w:hint="eastAsia"/>
          <w:b/>
          <w:color w:val="000000" w:themeColor="text1"/>
          <w14:textFill>
            <w14:solidFill>
              <w14:schemeClr w14:val="tx1"/>
            </w14:solidFill>
          </w14:textFill>
        </w:rPr>
        <w:t>育苗移栽机械装备</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632" w:firstLineChars="3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1.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我国移苗定植机械化装备技术水平概况、存在问题及发展方向</w:t>
      </w:r>
      <w:r>
        <w:rPr>
          <w:rFonts w:hint="eastAsia" w:ascii="宋体" w:hAnsi="宋体"/>
          <w:color w:val="000000" w:themeColor="text1"/>
          <w:szCs w:val="21"/>
          <w14:textFill>
            <w14:solidFill>
              <w14:schemeClr w14:val="tx1"/>
            </w14:solidFill>
          </w14:textFill>
        </w:rPr>
        <w:t>。</w:t>
      </w:r>
    </w:p>
    <w:p>
      <w:pPr>
        <w:snapToGrid w:val="0"/>
        <w:spacing w:line="360" w:lineRule="auto"/>
        <w:ind w:firstLine="632" w:firstLineChars="3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移苗定植机械化装备的概念、意义、方法</w:t>
      </w:r>
      <w:r>
        <w:rPr>
          <w:rFonts w:hint="eastAsia" w:ascii="宋体" w:hAnsi="宋体"/>
          <w:color w:val="000000" w:themeColor="text1"/>
          <w:szCs w:val="21"/>
          <w14:textFill>
            <w14:solidFill>
              <w14:schemeClr w14:val="tx1"/>
            </w14:solidFill>
          </w14:textFill>
        </w:rPr>
        <w:t>。</w:t>
      </w:r>
    </w:p>
    <w:p>
      <w:pPr>
        <w:spacing w:line="360" w:lineRule="auto"/>
        <w:ind w:firstLine="632" w:firstLineChars="3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移苗定植机械化装备的技术要求、种类、特点、类型及结构组成</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spacing w:line="360" w:lineRule="auto"/>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育苗移苗机械化装备的概念、意义、方法；育苗移栽机械装备常见种类、结构、特点及工作原理。</w:t>
      </w:r>
    </w:p>
    <w:p>
      <w:pPr>
        <w:spacing w:line="360" w:lineRule="auto"/>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w:t>
      </w:r>
      <w:r>
        <w:rPr>
          <w:rFonts w:hint="eastAsia"/>
          <w:color w:val="000000" w:themeColor="text1"/>
          <w14:textFill>
            <w14:solidFill>
              <w14:schemeClr w14:val="tx1"/>
            </w14:solidFill>
          </w14:textFill>
        </w:rPr>
        <w:t>育苗移栽机械装备技术水平概况、存在问题及发展趋势。</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育苗移苗机械化装备的概念、意义、方法</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育苗移栽机械装备常见种类、结构、特点及工作原理</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掌握蔬菜移栽机和嫁接机械的使用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w:t>
      </w:r>
      <w:r>
        <w:rPr>
          <w:rFonts w:hint="eastAsia" w:ascii="宋体" w:hAnsi="宋体"/>
          <w:b/>
          <w:bCs/>
          <w:color w:val="000000" w:themeColor="text1"/>
          <w:szCs w:val="21"/>
          <w14:textFill>
            <w14:solidFill>
              <w14:schemeClr w14:val="tx1"/>
            </w14:solidFill>
          </w14:textFill>
        </w:rPr>
        <w:t>分析</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育苗移栽机械装备技术水平概况、存在问题及发展趋势</w:t>
      </w:r>
      <w:r>
        <w:rPr>
          <w:rFonts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第五章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节水灌溉与施肥机械化装备</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1.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设施</w:t>
      </w:r>
      <w:r>
        <w:rPr>
          <w:rFonts w:hint="eastAsia"/>
          <w:color w:val="000000" w:themeColor="text1"/>
          <w14:textFill>
            <w14:solidFill>
              <w14:schemeClr w14:val="tx1"/>
            </w14:solidFill>
          </w14:textFill>
        </w:rPr>
        <w:t>节水灌溉的发展</w:t>
      </w:r>
      <w:r>
        <w:rPr>
          <w:color w:val="000000" w:themeColor="text1"/>
          <w14:textFill>
            <w14:solidFill>
              <w14:schemeClr w14:val="tx1"/>
            </w14:solidFill>
          </w14:textFill>
        </w:rPr>
        <w:t>概况</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节水灌溉、施肥机械化的概念、意义、方法</w:t>
      </w:r>
      <w:r>
        <w:rPr>
          <w:rFonts w:hint="eastAsia" w:ascii="宋体" w:hAnsi="宋体"/>
          <w:color w:val="000000" w:themeColor="text1"/>
          <w:szCs w:val="21"/>
          <w14:textFill>
            <w14:solidFill>
              <w14:schemeClr w14:val="tx1"/>
            </w14:solidFill>
          </w14:textFill>
        </w:rPr>
        <w:t>。</w:t>
      </w:r>
    </w:p>
    <w:p>
      <w:pPr>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节水灌溉与施肥机械化装备的特点和</w:t>
      </w:r>
      <w:r>
        <w:rPr>
          <w:color w:val="000000" w:themeColor="text1"/>
          <w14:textFill>
            <w14:solidFill>
              <w14:schemeClr w14:val="tx1"/>
            </w14:solidFill>
          </w14:textFill>
        </w:rPr>
        <w:t>关键技术</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节水灌溉的定义和方式；设施灌溉系统的组成和工作原理 ；智慧灌溉、水肥一体化的概念和技术特点</w:t>
      </w:r>
      <w:r>
        <w:rPr>
          <w:rFonts w:hint="eastAsia" w:ascii="宋体" w:hAnsi="宋体"/>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能力和素质：掌握</w:t>
      </w:r>
      <w:r>
        <w:rPr>
          <w:rFonts w:hint="eastAsia"/>
          <w:color w:val="000000" w:themeColor="text1"/>
          <w14:textFill>
            <w14:solidFill>
              <w14:schemeClr w14:val="tx1"/>
            </w14:solidFill>
          </w14:textFill>
        </w:rPr>
        <w:t>节水灌溉与施肥机械化装备的特点和</w:t>
      </w:r>
      <w:r>
        <w:rPr>
          <w:color w:val="000000" w:themeColor="text1"/>
          <w14:textFill>
            <w14:solidFill>
              <w14:schemeClr w14:val="tx1"/>
            </w14:solidFill>
          </w14:textFill>
        </w:rPr>
        <w:t>关键技术</w:t>
      </w:r>
      <w:r>
        <w:rPr>
          <w:rFonts w:hint="eastAsia"/>
          <w:color w:val="000000" w:themeColor="text1"/>
          <w14:textFill>
            <w14:solidFill>
              <w14:schemeClr w14:val="tx1"/>
            </w14:solidFill>
          </w14:textFill>
        </w:rPr>
        <w:t>，分析我国节水灌溉与施肥机械化装备应用案例</w:t>
      </w:r>
      <w:r>
        <w:rPr>
          <w:rFonts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节水灌溉、施肥机械化的概念、意义、方法</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设施灌溉系统的组成和工作原理</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掌握</w:t>
      </w:r>
      <w:r>
        <w:rPr>
          <w:rFonts w:hint="eastAsia"/>
          <w:color w:val="000000" w:themeColor="text1"/>
          <w14:textFill>
            <w14:solidFill>
              <w14:schemeClr w14:val="tx1"/>
            </w14:solidFill>
          </w14:textFill>
        </w:rPr>
        <w:t>节水灌溉与施肥机械化装备的特点和</w:t>
      </w:r>
      <w:r>
        <w:rPr>
          <w:color w:val="000000" w:themeColor="text1"/>
          <w14:textFill>
            <w14:solidFill>
              <w14:schemeClr w14:val="tx1"/>
            </w14:solidFill>
          </w14:textFill>
        </w:rPr>
        <w:t>关键技术</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分析我国节水灌溉与施肥机械化装备应用案例</w:t>
      </w:r>
      <w:r>
        <w:rPr>
          <w:rFonts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六</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植物保护机械装备</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无人机植保机械在我国的应用和发展现状</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植物保护的概念、意义、方法</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植保机械的概念、类型，工作原理与应用</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植物保护的概念、意义、方法；植保机械的概念、类型，工作原理与应用，土壤消毒的概念和类型</w:t>
      </w:r>
      <w:r>
        <w:rPr>
          <w:rFonts w:ascii="宋体" w:hAnsi="宋体"/>
          <w:color w:val="000000" w:themeColor="text1"/>
          <w:szCs w:val="21"/>
          <w14:textFill>
            <w14:solidFill>
              <w14:schemeClr w14:val="tx1"/>
            </w14:solidFill>
          </w14:textFill>
        </w:rPr>
        <w:t>等。</w:t>
      </w:r>
    </w:p>
    <w:p>
      <w:pPr>
        <w:spacing w:line="360" w:lineRule="auto"/>
        <w:ind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w:t>
      </w:r>
      <w:r>
        <w:rPr>
          <w:rFonts w:hint="eastAsia"/>
          <w:color w:val="000000" w:themeColor="text1"/>
          <w14:textFill>
            <w14:solidFill>
              <w14:schemeClr w14:val="tx1"/>
            </w14:solidFill>
          </w14:textFill>
        </w:rPr>
        <w:t>我国和国外植保机械化技术水平现状、存在问题及发展方向</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植物保护的概念、意义、方法</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植保机械的概念、类型，工作原理与应用，土壤消毒的概念和类型</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保机械的应用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国外植保机械的现状及发展趋势</w:t>
      </w:r>
      <w:r>
        <w:rPr>
          <w:rFonts w:hint="eastAsia"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七</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 xml:space="preserve">收获机械装备 </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茶叶机械化装备发展现状和意义</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设施园艺收获机械结构、工作原理和分类</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掌握叶类蔬菜收获的意义、分类和存在困境、关键技术环节、收获方式和性能指标体系</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tabs>
          <w:tab w:val="left" w:pos="4770"/>
        </w:tabs>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蔬菜收获机械的分类及机械结构、工作原理</w:t>
      </w:r>
      <w:r>
        <w:rPr>
          <w:rFonts w:ascii="宋体" w:hAnsi="宋体"/>
          <w:color w:val="000000" w:themeColor="text1"/>
          <w:szCs w:val="21"/>
          <w14:textFill>
            <w14:solidFill>
              <w14:schemeClr w14:val="tx1"/>
            </w14:solidFill>
          </w14:textFill>
        </w:rPr>
        <w:t>等。</w:t>
      </w:r>
    </w:p>
    <w:p>
      <w:pPr>
        <w:spacing w:line="360" w:lineRule="auto"/>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w:t>
      </w:r>
      <w:r>
        <w:rPr>
          <w:rFonts w:hint="eastAsia"/>
          <w:color w:val="000000" w:themeColor="text1"/>
          <w14:textFill>
            <w14:solidFill>
              <w14:schemeClr w14:val="tx1"/>
            </w14:solidFill>
          </w14:textFill>
        </w:rPr>
        <w:t>熟悉我国蔬菜、水果、茶叶收获机械的发展现状、存在问题和前景</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设施园艺收获机械结构、工作原理和分类</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设施园艺收获的意义和必要性</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蔬菜收获机械的应用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蔬菜收获机械发展现状、存在问题及发展方向</w:t>
      </w:r>
      <w:r>
        <w:rPr>
          <w:rFonts w:hint="eastAsia"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八</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 xml:space="preserve">专题讨论 农业机器人和植物工厂 </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我国农业机器人和植物工厂发展现状、存在问题和前景</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我国农业机器人和植物工厂的概念</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我国农业机器人和植物工厂的分类及应用</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tabs>
          <w:tab w:val="left" w:pos="4770"/>
        </w:tabs>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农业机器人和植物工厂的概念、发展现状</w:t>
      </w:r>
      <w:r>
        <w:rPr>
          <w:rFonts w:ascii="宋体" w:hAnsi="宋体"/>
          <w:color w:val="000000" w:themeColor="text1"/>
          <w:szCs w:val="21"/>
          <w14:textFill>
            <w14:solidFill>
              <w14:schemeClr w14:val="tx1"/>
            </w14:solidFill>
          </w14:textFill>
        </w:rPr>
        <w:t>等。</w:t>
      </w:r>
    </w:p>
    <w:p>
      <w:pPr>
        <w:spacing w:line="360" w:lineRule="auto"/>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能力和素质：学会分析</w:t>
      </w:r>
      <w:r>
        <w:rPr>
          <w:rFonts w:hint="eastAsia"/>
          <w:color w:val="000000" w:themeColor="text1"/>
          <w14:textFill>
            <w14:solidFill>
              <w14:schemeClr w14:val="tx1"/>
            </w14:solidFill>
          </w14:textFill>
        </w:rPr>
        <w:t>我国农业机器人和植物工厂发展现状、存在问题和前景</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农业机器人和植物工厂的概念</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农业机器人和植物工厂发展现状、存在问题和前景</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农业机器人和植物工厂的应用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农业机器人和植物工厂存在的问题和前景</w:t>
      </w:r>
      <w:r>
        <w:rPr>
          <w:rFonts w:hint="eastAsia"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九</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农业生产信息化技术</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国内研究农业信息化的专家和团队；设施农业控制技术和远程诊断技术应用案例</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农业信息化的概念、目的和特征；设施农业控制技术和远程诊断技术的组成、技术要求和应用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农业专家系统的概念、结构、特点与应用</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农业信息化技术、 农业专家系统农业信息化</w:t>
      </w:r>
      <w:r>
        <w:rPr>
          <w:rFonts w:ascii="宋体" w:hAnsi="宋体"/>
          <w:color w:val="000000" w:themeColor="text1"/>
          <w:szCs w:val="21"/>
          <w14:textFill>
            <w14:solidFill>
              <w14:schemeClr w14:val="tx1"/>
            </w14:solidFill>
          </w14:textFill>
        </w:rPr>
        <w:t>等。</w:t>
      </w:r>
    </w:p>
    <w:p>
      <w:pPr>
        <w:spacing w:line="360" w:lineRule="auto"/>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能力和素质：学会分析</w:t>
      </w:r>
      <w:r>
        <w:rPr>
          <w:rFonts w:hint="eastAsia"/>
          <w:color w:val="000000" w:themeColor="text1"/>
          <w14:textFill>
            <w14:solidFill>
              <w14:schemeClr w14:val="tx1"/>
            </w14:solidFill>
          </w14:textFill>
        </w:rPr>
        <w:t>农业信息化的现状和发展方向</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农业信息化的概念、目的、特征和内涵</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农业专家系统的概念、结构、特点；设施农业控制技术和远程诊断技术发展现状</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农业专家系统的应用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国内外农业信息化的现状和发展方向；设施农业控制技术和远程诊断技术应用案例</w:t>
      </w:r>
      <w:r>
        <w:rPr>
          <w:rFonts w:hint="eastAsia"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十</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 xml:space="preserve">智慧农业 </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智慧农业的误区与壁垒</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互联网+农业的概念和必然性</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智慧农业的基本内涵与特征、建设内容和发展的基本路径</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tabs>
          <w:tab w:val="left" w:pos="4770"/>
        </w:tabs>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智慧农业的基本内涵与特征、建设内容和发展的基本路径</w:t>
      </w:r>
      <w:r>
        <w:rPr>
          <w:rFonts w:ascii="宋体" w:hAnsi="宋体"/>
          <w:color w:val="000000" w:themeColor="text1"/>
          <w:szCs w:val="21"/>
          <w14:textFill>
            <w14:solidFill>
              <w14:schemeClr w14:val="tx1"/>
            </w14:solidFill>
          </w14:textFill>
        </w:rPr>
        <w:t>等。</w:t>
      </w:r>
    </w:p>
    <w:p>
      <w:pPr>
        <w:spacing w:line="360" w:lineRule="auto"/>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能力和素质：学会分析</w:t>
      </w:r>
      <w:r>
        <w:rPr>
          <w:rFonts w:hint="eastAsia"/>
          <w:color w:val="000000" w:themeColor="text1"/>
          <w14:textFill>
            <w14:solidFill>
              <w14:schemeClr w14:val="tx1"/>
            </w14:solidFill>
          </w14:textFill>
        </w:rPr>
        <w:t>我国智慧农业的建议依据和必要性，存在问题和发展方向</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智慧农业的基本内涵与特征</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智慧农业的误区与壁垒；互联网+农业的概念和必然性</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智慧农业与大数据结合</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智慧农业案例</w:t>
      </w:r>
      <w:r>
        <w:rPr>
          <w:rFonts w:hint="eastAsia"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十一</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 xml:space="preserve">农业推广信息服务  </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农业信息的种类和内容、农业信息的来源与特性、农业信息化和信息农业</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农业信息和农业信息化的含义、农业推广信息系统的相关概念</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农业推广信息系统的利用途径、农业推广信息系统的应用技术</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tabs>
          <w:tab w:val="left" w:pos="4770"/>
        </w:tabs>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农业信息和农业信息化的含义、农业推广信息系统的相关概念；农业推广信息系统的利用途径、农业推广信息系统的应用技术</w:t>
      </w:r>
      <w:r>
        <w:rPr>
          <w:rFonts w:ascii="宋体" w:hAnsi="宋体"/>
          <w:color w:val="000000" w:themeColor="text1"/>
          <w:szCs w:val="21"/>
          <w14:textFill>
            <w14:solidFill>
              <w14:schemeClr w14:val="tx1"/>
            </w14:solidFill>
          </w14:textFill>
        </w:rPr>
        <w:t>等。</w:t>
      </w:r>
    </w:p>
    <w:p>
      <w:pPr>
        <w:spacing w:line="360" w:lineRule="auto"/>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w:t>
      </w:r>
      <w:r>
        <w:rPr>
          <w:rFonts w:hint="eastAsia"/>
          <w:color w:val="000000" w:themeColor="text1"/>
          <w14:textFill>
            <w14:solidFill>
              <w14:schemeClr w14:val="tx1"/>
            </w14:solidFill>
          </w14:textFill>
        </w:rPr>
        <w:t>掌握提高促进农业推广信息服务的理论知识和实践技能</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农业信息和农业信息化的含义、农业推广信息系统的相关概念</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农业信息的种类和内容、农业信息的来源与特性、农业信息化和信息农业</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农业推广信息系统的应用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探讨提高农业推广信息服务质量的基本途径</w:t>
      </w:r>
      <w:r>
        <w:rPr>
          <w:rFonts w:hint="eastAsia"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十二</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 xml:space="preserve">农业经营与管理信息化  </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电子商务在促进农业经营信息化中的作用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农业经营、管理信息化的概念和提升水平的相关措施</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农业农村政务管理信息化、社会管理信息化的发展现状和趋势</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农业经营、管理信息化的概念和提升水平的相关措施；电子商务的概念及农业经营信息化的作用；农业农村政务管理信息化、社会管理信息化的发展现状、趋势和政策</w:t>
      </w:r>
      <w:r>
        <w:rPr>
          <w:rFonts w:ascii="宋体" w:hAnsi="宋体"/>
          <w:color w:val="000000" w:themeColor="text1"/>
          <w:szCs w:val="21"/>
          <w14:textFill>
            <w14:solidFill>
              <w14:schemeClr w14:val="tx1"/>
            </w14:solidFill>
          </w14:textFill>
        </w:rPr>
        <w:t>等。</w:t>
      </w:r>
    </w:p>
    <w:p>
      <w:pPr>
        <w:spacing w:line="360" w:lineRule="auto"/>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能力和素质：学会分</w:t>
      </w:r>
      <w:r>
        <w:rPr>
          <w:rFonts w:hint="eastAsia"/>
          <w:color w:val="000000" w:themeColor="text1"/>
          <w14:textFill>
            <w14:solidFill>
              <w14:schemeClr w14:val="tx1"/>
            </w14:solidFill>
          </w14:textFill>
        </w:rPr>
        <w:t>析农业经营与管理信息化的发展现状、存在问题和前景</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农业经营、管理信息化的概念</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农业经营、管理信息化提升水平的相关措施</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农业经营与管理信息化的应用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农业农村政务管理信息化、社会管理信息化的发展现状、趋势和政策</w:t>
      </w:r>
      <w:r>
        <w:rPr>
          <w:rFonts w:hint="eastAsia" w:ascii="宋体" w:hAnsi="宋体"/>
          <w:color w:val="000000" w:themeColor="text1"/>
          <w:szCs w:val="21"/>
          <w14:textFill>
            <w14:solidFill>
              <w14:schemeClr w14:val="tx1"/>
            </w14:solidFill>
          </w14:textFill>
        </w:rPr>
        <w:t>。</w:t>
      </w:r>
    </w:p>
    <w:p>
      <w:pPr>
        <w:spacing w:line="360" w:lineRule="auto"/>
        <w:ind w:firstLine="422" w:firstLineChars="200"/>
        <w:jc w:val="center"/>
        <w:rPr>
          <w:b/>
          <w:bCs/>
          <w:color w:val="000000" w:themeColor="text1"/>
          <w:szCs w:val="21"/>
          <w14:textFill>
            <w14:solidFill>
              <w14:schemeClr w14:val="tx1"/>
            </w14:solidFill>
          </w14:textFill>
        </w:rPr>
      </w:pPr>
      <w:r>
        <w:rPr>
          <w:rFonts w:ascii="宋体" w:hAnsi="宋体"/>
          <w:b/>
          <w:bCs/>
          <w:color w:val="000000" w:themeColor="text1"/>
          <w:szCs w:val="21"/>
          <w14:textFill>
            <w14:solidFill>
              <w14:schemeClr w14:val="tx1"/>
            </w14:solidFill>
          </w14:textFill>
        </w:rPr>
        <w:t>第</w:t>
      </w:r>
      <w:r>
        <w:rPr>
          <w:rFonts w:hint="eastAsia" w:ascii="宋体" w:hAnsi="宋体"/>
          <w:b/>
          <w:bCs/>
          <w:color w:val="000000" w:themeColor="text1"/>
          <w:szCs w:val="21"/>
          <w14:textFill>
            <w14:solidFill>
              <w14:schemeClr w14:val="tx1"/>
            </w14:solidFill>
          </w14:textFill>
        </w:rPr>
        <w:t>十三</w:t>
      </w:r>
      <w:r>
        <w:rPr>
          <w:rFonts w:ascii="宋体" w:hAnsi="宋体"/>
          <w:b/>
          <w:bCs/>
          <w:color w:val="000000" w:themeColor="text1"/>
          <w:szCs w:val="21"/>
          <w14:textFill>
            <w14:solidFill>
              <w14:schemeClr w14:val="tx1"/>
            </w14:solidFill>
          </w14:textFill>
        </w:rPr>
        <w:t>章</w:t>
      </w:r>
      <w:r>
        <w:rPr>
          <w:b/>
          <w:bCs/>
          <w:color w:val="000000" w:themeColor="text1"/>
          <w:szCs w:val="21"/>
          <w14:textFill>
            <w14:solidFill>
              <w14:schemeClr w14:val="tx1"/>
            </w14:solidFill>
          </w14:textFill>
        </w:rPr>
        <w:t xml:space="preserve">  </w:t>
      </w:r>
      <w:r>
        <w:rPr>
          <w:rFonts w:hint="eastAsia"/>
          <w:b/>
          <w:bCs/>
          <w:color w:val="000000" w:themeColor="text1"/>
          <w14:textFill>
            <w14:solidFill>
              <w14:schemeClr w14:val="tx1"/>
            </w14:solidFill>
          </w14:textFill>
        </w:rPr>
        <w:t xml:space="preserve">农业数字化理论与案例分析  </w:t>
      </w:r>
    </w:p>
    <w:p>
      <w:pPr>
        <w:snapToGrid w:val="0"/>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（一）学习目标</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 xml:space="preserve"> </w:t>
      </w:r>
      <w:r>
        <w:rPr>
          <w:rFonts w:ascii="宋体" w:hAnsi="宋体"/>
          <w:b/>
          <w:bCs/>
          <w:color w:val="000000" w:themeColor="text1"/>
          <w:szCs w:val="21"/>
          <w14:textFill>
            <w14:solidFill>
              <w14:schemeClr w14:val="tx1"/>
            </w14:solidFill>
          </w14:textFill>
        </w:rPr>
        <w:t>一般了解</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国内外农业数字化现状、我国农业数字化的政策、存在问题和发展前景</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2. </w:t>
      </w:r>
      <w:r>
        <w:rPr>
          <w:rFonts w:ascii="宋体" w:hAnsi="宋体"/>
          <w:b/>
          <w:bCs/>
          <w:color w:val="000000" w:themeColor="text1"/>
          <w:szCs w:val="21"/>
          <w14:textFill>
            <w14:solidFill>
              <w14:schemeClr w14:val="tx1"/>
            </w14:solidFill>
          </w14:textFill>
        </w:rPr>
        <w:t>一般掌握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农业数字化基本内涵与特征</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 xml:space="preserve">3. </w:t>
      </w:r>
      <w:r>
        <w:rPr>
          <w:rFonts w:ascii="宋体" w:hAnsi="宋体"/>
          <w:b/>
          <w:bCs/>
          <w:color w:val="000000" w:themeColor="text1"/>
          <w:szCs w:val="21"/>
          <w14:textFill>
            <w14:solidFill>
              <w14:schemeClr w14:val="tx1"/>
            </w14:solidFill>
          </w14:textFill>
        </w:rPr>
        <w:t>熟练掌握</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农业数字化的具体应用和案例分析</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（二）考核内容</w:t>
      </w:r>
    </w:p>
    <w:p>
      <w:pPr>
        <w:spacing w:line="360"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知识：</w:t>
      </w:r>
      <w:r>
        <w:rPr>
          <w:rFonts w:hint="eastAsia"/>
          <w:color w:val="000000" w:themeColor="text1"/>
          <w14:textFill>
            <w14:solidFill>
              <w14:schemeClr w14:val="tx1"/>
            </w14:solidFill>
          </w14:textFill>
        </w:rPr>
        <w:t>农业数字化基本概念与特征；国内外农业数字化现状</w:t>
      </w:r>
      <w:r>
        <w:rPr>
          <w:rFonts w:ascii="宋体" w:hAnsi="宋体"/>
          <w:color w:val="000000" w:themeColor="text1"/>
          <w:szCs w:val="21"/>
          <w14:textFill>
            <w14:solidFill>
              <w14:schemeClr w14:val="tx1"/>
            </w14:solidFill>
          </w14:textFill>
        </w:rPr>
        <w:t>等。</w:t>
      </w:r>
    </w:p>
    <w:p>
      <w:pPr>
        <w:spacing w:line="360" w:lineRule="auto"/>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能力和素质：学会分</w:t>
      </w:r>
      <w:r>
        <w:rPr>
          <w:rFonts w:hint="eastAsia"/>
          <w:color w:val="000000" w:themeColor="text1"/>
          <w14:textFill>
            <w14:solidFill>
              <w14:schemeClr w14:val="tx1"/>
            </w14:solidFill>
          </w14:textFill>
        </w:rPr>
        <w:t>析农业数字化经典案列</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14:textFill>
            <w14:solidFill>
              <w14:schemeClr w14:val="tx1"/>
            </w14:solidFill>
          </w14:textFill>
        </w:rPr>
        <w:t>（三）考核要求</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ascii="宋体" w:hAnsi="宋体"/>
          <w:b/>
          <w:bCs/>
          <w:color w:val="000000" w:themeColor="text1"/>
          <w:szCs w:val="21"/>
          <w14:textFill>
            <w14:solidFill>
              <w14:schemeClr w14:val="tx1"/>
            </w14:solidFill>
          </w14:textFill>
        </w:rPr>
        <w:t>、识记</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农业数字化基本概念与特征</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rFonts w:ascii="宋体" w:hAnsi="宋体"/>
          <w:b/>
          <w:bCs/>
          <w:color w:val="000000" w:themeColor="text1"/>
          <w:szCs w:val="21"/>
          <w14:textFill>
            <w14:solidFill>
              <w14:schemeClr w14:val="tx1"/>
            </w14:solidFill>
          </w14:textFill>
        </w:rPr>
        <w:t>、领会</w:t>
      </w:r>
      <w:r>
        <w:rPr>
          <w:rFonts w:ascii="宋体" w:hAnsi="宋体"/>
          <w:color w:val="000000" w:themeColor="text1"/>
          <w:szCs w:val="2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国内外农业数字化现状（政策、存在问题和发展前景）</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w:t>
      </w:r>
      <w:r>
        <w:rPr>
          <w:rFonts w:ascii="宋体" w:hAnsi="宋体"/>
          <w:b/>
          <w:bCs/>
          <w:color w:val="000000" w:themeColor="text1"/>
          <w:szCs w:val="21"/>
          <w14:textFill>
            <w14:solidFill>
              <w14:schemeClr w14:val="tx1"/>
            </w14:solidFill>
          </w14:textFill>
        </w:rPr>
        <w:t>、应用</w:t>
      </w:r>
      <w:r>
        <w:rPr>
          <w:rFonts w:ascii="宋体" w:hAnsi="宋体"/>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农业数字化应用</w:t>
      </w:r>
      <w:r>
        <w:rPr>
          <w:rFonts w:hint="eastAsia" w:ascii="宋体" w:hAnsi="宋体"/>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4</w:t>
      </w:r>
      <w:r>
        <w:rPr>
          <w:rFonts w:ascii="宋体" w:hAnsi="宋体"/>
          <w:b/>
          <w:bCs/>
          <w:color w:val="000000" w:themeColor="text1"/>
          <w:szCs w:val="21"/>
          <w14:textFill>
            <w14:solidFill>
              <w14:schemeClr w14:val="tx1"/>
            </w14:solidFill>
          </w14:textFill>
        </w:rPr>
        <w:t>、综合</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分析</w:t>
      </w:r>
      <w:r>
        <w:rPr>
          <w:rFonts w:hint="eastAsia"/>
          <w:color w:val="000000" w:themeColor="text1"/>
          <w14:textFill>
            <w14:solidFill>
              <w14:schemeClr w14:val="tx1"/>
            </w14:solidFill>
          </w14:textFill>
        </w:rPr>
        <w:t>国内外农业数字化现状、我国农业数字化的政策、存在问题和发展前景</w:t>
      </w:r>
      <w:r>
        <w:rPr>
          <w:rFonts w:hint="eastAsia" w:ascii="宋体" w:hAnsi="宋体"/>
          <w:color w:val="000000" w:themeColor="text1"/>
          <w:szCs w:val="21"/>
          <w14:textFill>
            <w14:solidFill>
              <w14:schemeClr w14:val="tx1"/>
            </w14:solidFill>
          </w14:textFill>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997" w:name="_Toc25129"/>
      <w:bookmarkStart w:id="998" w:name="_Toc138070807"/>
      <w:bookmarkStart w:id="999" w:name="_Toc138070536"/>
      <w:bookmarkStart w:id="1000" w:name="_Toc138076745"/>
      <w:bookmarkStart w:id="1001" w:name="_Toc138068506"/>
      <w:bookmarkStart w:id="1002" w:name="_Toc138076201"/>
      <w:bookmarkStart w:id="1003" w:name="_Toc138068905"/>
      <w:bookmarkStart w:id="1004" w:name="_Toc138076450"/>
      <w:r>
        <w:rPr>
          <w:rFonts w:hint="eastAsia" w:asciiTheme="majorEastAsia" w:hAnsiTheme="majorEastAsia" w:eastAsiaTheme="majorEastAsia" w:cstheme="majorEastAsia"/>
          <w:b/>
          <w:bCs/>
          <w:kern w:val="0"/>
          <w:szCs w:val="21"/>
        </w:rPr>
        <w:t>三、实验教学部分的考核要求</w:t>
      </w:r>
      <w:bookmarkEnd w:id="997"/>
      <w:bookmarkEnd w:id="998"/>
      <w:bookmarkEnd w:id="999"/>
      <w:bookmarkEnd w:id="1000"/>
      <w:bookmarkEnd w:id="1001"/>
      <w:bookmarkEnd w:id="1002"/>
      <w:bookmarkEnd w:id="1003"/>
      <w:bookmarkEnd w:id="1004"/>
    </w:p>
    <w:p>
      <w:pPr>
        <w:widowControl/>
        <w:adjustRightInd w:val="0"/>
        <w:snapToGrid w:val="0"/>
        <w:spacing w:line="360" w:lineRule="auto"/>
        <w:ind w:firstLine="420" w:firstLineChars="200"/>
        <w:jc w:val="left"/>
        <w:rPr>
          <w:rFonts w:ascii="宋体" w:hAnsi="宋体" w:cs="宋体"/>
          <w:kern w:val="0"/>
          <w:szCs w:val="21"/>
        </w:rPr>
      </w:pPr>
      <w:r>
        <w:rPr>
          <w:rFonts w:hint="eastAsia" w:ascii="宋体" w:hAnsi="宋体" w:cs="宋体"/>
          <w:bCs/>
          <w:kern w:val="0"/>
          <w:szCs w:val="21"/>
        </w:rPr>
        <w:t>1.</w:t>
      </w:r>
      <w:r>
        <w:rPr>
          <w:rFonts w:hint="eastAsia" w:ascii="宋体" w:hAnsi="宋体" w:cs="宋体"/>
          <w:kern w:val="0"/>
          <w:szCs w:val="21"/>
        </w:rPr>
        <w:t>实验课是在学习理论课的基础上学生运用已学知识设计实验或进行验证性的实验，巩固和加深对课程中基本理论知识的理解，训练学生理论知识的运用能力、实验操作技能、实验数据的处理和分析能力。实验成绩实验结果评价占80%，出勤占20%。</w:t>
      </w:r>
    </w:p>
    <w:p>
      <w:pPr>
        <w:snapToGrid w:val="0"/>
        <w:spacing w:line="360" w:lineRule="auto"/>
        <w:rPr>
          <w:rFonts w:ascii="宋体" w:hAnsi="宋体"/>
          <w:b/>
          <w:bCs/>
          <w:color w:val="000000" w:themeColor="text1"/>
          <w:szCs w:val="21"/>
          <w14:textFill>
            <w14:solidFill>
              <w14:schemeClr w14:val="tx1"/>
            </w14:solidFill>
          </w14:textFill>
        </w:rPr>
      </w:pP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四、考核方式</w:t>
      </w:r>
    </w:p>
    <w:p>
      <w:pPr>
        <w:spacing w:line="400" w:lineRule="exact"/>
        <w:ind w:firstLine="420" w:firstLineChars="200"/>
        <w:rPr>
          <w:rFonts w:ascii="Calibri" w:hAnsi="Calibri"/>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本课程考核</w:t>
      </w:r>
      <w:r>
        <w:rPr>
          <w:rFonts w:hint="eastAsia" w:ascii="宋体" w:hAnsi="宋体"/>
          <w:color w:val="000000" w:themeColor="text1"/>
          <w:szCs w:val="21"/>
          <w14:textFill>
            <w14:solidFill>
              <w14:schemeClr w14:val="tx1"/>
            </w14:solidFill>
          </w14:textFill>
        </w:rPr>
        <w:t>采用理论与实践教学相结合的方式进行。根据课程的学习情况，采用课堂提问、课堂测试、小组讨论、期中测试与期末考试测评等多种考核评价方式。平时成绩的考核方式包括含课堂表现、实验报告、小组交流讨论、考勤、课后作业等。</w:t>
      </w:r>
    </w:p>
    <w:p>
      <w:pPr>
        <w:snapToGrid w:val="0"/>
        <w:spacing w:before="156" w:beforeLines="50"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考试时间为课程结束后1～3周内进行，其他考核随课程单元学习过程的进展进行。</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五、成绩评定</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1.平时成绩</w:t>
      </w:r>
    </w:p>
    <w:p>
      <w:pPr>
        <w:snapToGrid w:val="0"/>
        <w:spacing w:line="360" w:lineRule="auto"/>
        <w:ind w:firstLine="420" w:firstLineChars="200"/>
        <w:rPr>
          <w:rFonts w:ascii="Calibri" w:hAnsi="Calibri"/>
          <w:color w:val="000000" w:themeColor="text1"/>
          <w:szCs w:val="21"/>
          <w14:textFill>
            <w14:solidFill>
              <w14:schemeClr w14:val="tx1"/>
            </w14:solidFill>
          </w14:textFill>
        </w:rPr>
      </w:pPr>
      <w:r>
        <w:rPr>
          <w:rFonts w:hint="eastAsia" w:ascii="Calibri" w:hAnsi="Calibri"/>
          <w:color w:val="000000" w:themeColor="text1"/>
          <w:szCs w:val="21"/>
          <w14:textFill>
            <w14:solidFill>
              <w14:schemeClr w14:val="tx1"/>
            </w14:solidFill>
          </w14:textFill>
        </w:rPr>
        <w:t>平时成绩（40%）：含课堂表现、实验报告、小组交流讨论、考勤、课后作业等。</w:t>
      </w:r>
    </w:p>
    <w:p>
      <w:pPr>
        <w:snapToGrid w:val="0"/>
        <w:spacing w:line="360" w:lineRule="auto"/>
        <w:ind w:firstLine="420" w:firstLineChars="200"/>
        <w:rPr>
          <w:rFonts w:ascii="Calibri" w:hAnsi="Calibri"/>
          <w:color w:val="000000" w:themeColor="text1"/>
          <w:szCs w:val="21"/>
          <w14:textFill>
            <w14:solidFill>
              <w14:schemeClr w14:val="tx1"/>
            </w14:solidFill>
          </w14:textFill>
        </w:rPr>
      </w:pPr>
      <w:r>
        <w:rPr>
          <w:rFonts w:hint="eastAsia" w:ascii="Calibri" w:hAnsi="Calibri"/>
          <w:color w:val="000000" w:themeColor="text1"/>
          <w:szCs w:val="21"/>
          <w14:textFill>
            <w14:solidFill>
              <w14:schemeClr w14:val="tx1"/>
            </w14:solidFill>
          </w14:textFill>
        </w:rPr>
        <w:t>2.终结性评价：期末成绩以试卷考试（60%）</w:t>
      </w:r>
    </w:p>
    <w:p>
      <w:pPr>
        <w:snapToGrid w:val="0"/>
        <w:spacing w:line="360" w:lineRule="auto"/>
        <w:ind w:firstLine="420" w:firstLineChars="200"/>
        <w:rPr>
          <w:rFonts w:ascii="Calibri" w:hAnsi="Calibri"/>
          <w:color w:val="000000" w:themeColor="text1"/>
          <w:szCs w:val="21"/>
          <w14:textFill>
            <w14:solidFill>
              <w14:schemeClr w14:val="tx1"/>
            </w14:solidFill>
          </w14:textFill>
        </w:rPr>
      </w:pPr>
      <w:r>
        <w:rPr>
          <w:rFonts w:hint="eastAsia" w:ascii="Calibri" w:hAnsi="Calibri"/>
          <w:color w:val="000000" w:themeColor="text1"/>
          <w:szCs w:val="21"/>
          <w14:textFill>
            <w14:solidFill>
              <w14:schemeClr w14:val="tx1"/>
            </w14:solidFill>
          </w14:textFill>
        </w:rPr>
        <w:t>3.课程综合评价：平时成绩（40%）+期末成绩（60%）</w:t>
      </w:r>
    </w:p>
    <w:p>
      <w:pPr>
        <w:snapToGrid w:val="0"/>
        <w:spacing w:line="360" w:lineRule="auto"/>
        <w:ind w:firstLine="420" w:firstLineChars="200"/>
        <w:rPr>
          <w:rFonts w:ascii="Calibri" w:hAnsi="Calibri"/>
          <w:color w:val="000000" w:themeColor="text1"/>
          <w:szCs w:val="21"/>
          <w14:textFill>
            <w14:solidFill>
              <w14:schemeClr w14:val="tx1"/>
            </w14:solidFill>
          </w14:textFill>
        </w:rPr>
      </w:pPr>
      <w:r>
        <w:rPr>
          <w:rFonts w:ascii="Calibri" w:hAnsi="Calibri"/>
          <w:color w:val="000000" w:themeColor="text1"/>
          <w:szCs w:val="21"/>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ascii="Calibri" w:hAnsi="Calibri"/>
          <w:color w:val="000000" w:themeColor="text1"/>
          <w:szCs w:val="21"/>
          <w14:textFill>
            <w14:solidFill>
              <w14:schemeClr w14:val="tx1"/>
            </w14:solidFill>
          </w14:textFill>
        </w:rPr>
        <w:t>期末成绩</w:t>
      </w:r>
    </w:p>
    <w:p>
      <w:pPr>
        <w:snapToGrid w:val="0"/>
        <w:spacing w:before="156" w:beforeLines="50"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期末成绩以试卷考试进行，占比6</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p>
    <w:p>
      <w:pPr>
        <w:snapToGrid w:val="0"/>
        <w:spacing w:before="156" w:beforeLines="50"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3.综合成绩（平时成绩×</w:t>
      </w:r>
      <w:r>
        <w:rPr>
          <w:color w:val="000000" w:themeColor="text1"/>
          <w:szCs w:val="21"/>
          <w14:textFill>
            <w14:solidFill>
              <w14:schemeClr w14:val="tx1"/>
            </w14:solidFill>
          </w14:textFill>
        </w:rPr>
        <w:t>40%</w:t>
      </w:r>
      <w:r>
        <w:rPr>
          <w:rFonts w:hint="eastAsia"/>
          <w:color w:val="000000" w:themeColor="text1"/>
          <w:szCs w:val="21"/>
          <w14:textFill>
            <w14:solidFill>
              <w14:schemeClr w14:val="tx1"/>
            </w14:solidFill>
          </w14:textFill>
        </w:rPr>
        <w:t>+期末成绩×6</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六、考核结果分析反馈</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1、通过作业的汇报与展示、实验操作实训、课堂提问等方式进行，教师对完成情况在课堂上进行指导与点评，及时进行反馈。</w:t>
      </w:r>
    </w:p>
    <w:p>
      <w:pPr>
        <w:snapToGrid w:val="0"/>
        <w:spacing w:line="360" w:lineRule="auto"/>
        <w:ind w:firstLine="420" w:firstLineChars="200"/>
        <w:rPr>
          <w:color w:val="000000" w:themeColor="text1"/>
          <w14:textFill>
            <w14:solidFill>
              <w14:schemeClr w14:val="tx1"/>
            </w14:solidFill>
          </w14:textFill>
        </w:rPr>
      </w:pPr>
      <w:r>
        <w:rPr>
          <w:rFonts w:ascii="宋体" w:hAnsi="宋体"/>
          <w:bCs/>
          <w:color w:val="000000" w:themeColor="text1"/>
          <w:szCs w:val="21"/>
          <w14:textFill>
            <w14:solidFill>
              <w14:schemeClr w14:val="tx1"/>
            </w14:solidFill>
          </w14:textFill>
        </w:rPr>
        <w:t>2</w:t>
      </w:r>
      <w:r>
        <w:rPr>
          <w:rFonts w:hint="eastAsia" w:ascii="宋体" w:hAnsi="宋体"/>
          <w:bCs/>
          <w:color w:val="000000" w:themeColor="text1"/>
          <w:szCs w:val="21"/>
          <w14:textFill>
            <w14:solidFill>
              <w14:schemeClr w14:val="tx1"/>
            </w14:solidFill>
          </w14:textFill>
        </w:rPr>
        <w:t>、基于学生考核结果，学生评教及建议，改进课堂教学。</w:t>
      </w:r>
    </w:p>
    <w:p>
      <w:pPr>
        <w:snapToGrid w:val="0"/>
        <w:spacing w:line="360" w:lineRule="auto"/>
        <w:rPr>
          <w:rFonts w:ascii="宋体" w:hAnsi="宋体"/>
          <w:b/>
          <w:szCs w:val="21"/>
        </w:rPr>
      </w:pPr>
    </w:p>
    <w:p>
      <w:pPr>
        <w:rPr>
          <w:sz w:val="28"/>
        </w:rPr>
      </w:pPr>
      <w:bookmarkStart w:id="1005" w:name="_Toc138076746"/>
      <w:bookmarkStart w:id="1006" w:name="_Toc138076202"/>
      <w:r>
        <w:rPr>
          <w:rFonts w:hint="eastAsia"/>
          <w:sz w:val="28"/>
        </w:rPr>
        <w:br w:type="page"/>
      </w:r>
    </w:p>
    <w:p>
      <w:pPr>
        <w:pStyle w:val="21"/>
        <w:rPr>
          <w:sz w:val="28"/>
        </w:rPr>
      </w:pPr>
      <w:bookmarkStart w:id="1007" w:name="_Toc24972"/>
      <w:r>
        <w:rPr>
          <w:rFonts w:hint="eastAsia"/>
          <w:sz w:val="28"/>
        </w:rPr>
        <w:t>智慧园艺考核大纲</w:t>
      </w:r>
      <w:bookmarkEnd w:id="1005"/>
      <w:bookmarkEnd w:id="1006"/>
      <w:bookmarkEnd w:id="1007"/>
    </w:p>
    <w:p>
      <w:pPr>
        <w:shd w:val="clear" w:color="auto" w:fill="FFFFFF"/>
        <w:spacing w:line="360" w:lineRule="auto"/>
        <w:ind w:right="369"/>
        <w:jc w:val="center"/>
        <w:rPr>
          <w:b/>
          <w:bCs/>
          <w:sz w:val="24"/>
        </w:rPr>
      </w:pPr>
      <w:r>
        <w:rPr>
          <w:rFonts w:hint="eastAsia" w:ascii="宋体" w:hAnsi="宋体"/>
          <w:sz w:val="24"/>
        </w:rPr>
        <w:t>（</w:t>
      </w:r>
      <w:r>
        <w:rPr>
          <w:rFonts w:hint="eastAsia"/>
          <w:sz w:val="24"/>
          <w:shd w:val="clear" w:color="auto" w:fill="FFFFFF"/>
        </w:rPr>
        <w:t>Intelligent Horticulture</w:t>
      </w:r>
      <w:r>
        <w:rPr>
          <w:sz w:val="24"/>
          <w:shd w:val="clear" w:color="auto" w:fill="FFFFFF"/>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课程编号：</w:t>
            </w:r>
            <w:r>
              <w:rPr>
                <w:rFonts w:hint="eastAsia"/>
                <w:b/>
                <w:bCs/>
                <w:szCs w:val="21"/>
              </w:rPr>
              <w:t xml:space="preserve">19011121 </w:t>
            </w:r>
          </w:p>
        </w:tc>
        <w:tc>
          <w:tcPr>
            <w:tcW w:w="1453" w:type="pct"/>
          </w:tcPr>
          <w:p>
            <w:pPr>
              <w:spacing w:line="300" w:lineRule="auto"/>
              <w:rPr>
                <w:rFonts w:ascii="宋体" w:hAnsi="宋体"/>
                <w:b/>
                <w:bCs/>
                <w:szCs w:val="21"/>
              </w:rPr>
            </w:pPr>
            <w:r>
              <w:rPr>
                <w:rFonts w:hint="eastAsia" w:ascii="宋体" w:hAnsi="宋体"/>
                <w:b/>
                <w:bCs/>
                <w:szCs w:val="21"/>
              </w:rPr>
              <w:t>课程学时：</w:t>
            </w:r>
            <w:r>
              <w:rPr>
                <w:rFonts w:ascii="宋体" w:hAnsi="宋体"/>
                <w:b/>
                <w:bCs/>
                <w:szCs w:val="21"/>
              </w:rPr>
              <w:t>32</w:t>
            </w:r>
          </w:p>
        </w:tc>
        <w:tc>
          <w:tcPr>
            <w:tcW w:w="1881" w:type="pct"/>
          </w:tcPr>
          <w:p>
            <w:pPr>
              <w:spacing w:line="300" w:lineRule="auto"/>
              <w:rPr>
                <w:rFonts w:ascii="宋体" w:hAnsi="宋体"/>
                <w:b/>
                <w:bCs/>
                <w:szCs w:val="21"/>
              </w:rPr>
            </w:pPr>
            <w:r>
              <w:rPr>
                <w:rFonts w:hint="eastAsia" w:ascii="宋体" w:hAnsi="宋体"/>
                <w:b/>
                <w:bCs/>
                <w:szCs w:val="21"/>
              </w:rPr>
              <w:t>课程学分：</w:t>
            </w:r>
            <w:r>
              <w:rPr>
                <w:rFonts w:ascii="宋体" w:hAnsi="宋体"/>
                <w:b/>
                <w:bCs/>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主撰人：张涛</w:t>
            </w:r>
          </w:p>
        </w:tc>
        <w:tc>
          <w:tcPr>
            <w:tcW w:w="1453" w:type="pct"/>
          </w:tcPr>
          <w:p>
            <w:pPr>
              <w:spacing w:line="300" w:lineRule="auto"/>
              <w:rPr>
                <w:rFonts w:ascii="宋体" w:hAnsi="宋体"/>
                <w:b/>
                <w:bCs/>
                <w:szCs w:val="21"/>
              </w:rPr>
            </w:pPr>
            <w:r>
              <w:rPr>
                <w:rFonts w:hint="eastAsia" w:ascii="宋体" w:hAnsi="宋体"/>
                <w:b/>
                <w:bCs/>
                <w:szCs w:val="21"/>
              </w:rPr>
              <w:t>审核人：董韩</w:t>
            </w:r>
          </w:p>
        </w:tc>
        <w:tc>
          <w:tcPr>
            <w:tcW w:w="1881" w:type="pct"/>
          </w:tcPr>
          <w:p>
            <w:pPr>
              <w:spacing w:line="300" w:lineRule="auto"/>
              <w:rPr>
                <w:rFonts w:ascii="宋体" w:hAnsi="宋体"/>
                <w:b/>
                <w:bCs/>
                <w:szCs w:val="21"/>
              </w:rPr>
            </w:pPr>
            <w:r>
              <w:rPr>
                <w:rFonts w:hint="eastAsia" w:ascii="宋体" w:hAnsi="宋体"/>
                <w:b/>
                <w:bCs/>
                <w:szCs w:val="21"/>
              </w:rPr>
              <w:t>大纲制定（修订）日期：</w:t>
            </w:r>
            <w:r>
              <w:rPr>
                <w:rFonts w:ascii="宋体" w:hAnsi="宋体"/>
                <w:b/>
                <w:bCs/>
                <w:szCs w:val="21"/>
              </w:rPr>
              <w:t>2023</w:t>
            </w:r>
            <w:r>
              <w:rPr>
                <w:rFonts w:hint="eastAsia" w:ascii="宋体" w:hAnsi="宋体"/>
                <w:b/>
                <w:bCs/>
                <w:szCs w:val="21"/>
              </w:rPr>
              <w:t>.05</w:t>
            </w:r>
          </w:p>
        </w:tc>
      </w:tr>
    </w:tbl>
    <w:p>
      <w:pPr>
        <w:widowControl/>
        <w:snapToGrid w:val="0"/>
        <w:spacing w:line="360" w:lineRule="auto"/>
        <w:jc w:val="left"/>
        <w:outlineLvl w:val="1"/>
        <w:rPr>
          <w:rFonts w:hint="eastAsia" w:ascii="宋体" w:hAnsi="宋体" w:cs="宋体"/>
          <w:b/>
          <w:bCs/>
          <w:kern w:val="0"/>
          <w:szCs w:val="21"/>
        </w:rPr>
      </w:pPr>
      <w:bookmarkStart w:id="1008" w:name="_Toc138070538"/>
      <w:bookmarkStart w:id="1009" w:name="_Toc138076747"/>
      <w:bookmarkStart w:id="1010" w:name="_Toc138068907"/>
      <w:bookmarkStart w:id="1011" w:name="_Toc138076203"/>
      <w:bookmarkStart w:id="1012" w:name="_Toc138068508"/>
      <w:bookmarkStart w:id="1013" w:name="_Toc138076452"/>
      <w:bookmarkStart w:id="1014" w:name="_Toc23214"/>
      <w:bookmarkStart w:id="1015" w:name="_Toc138070809"/>
    </w:p>
    <w:p>
      <w:pPr>
        <w:widowControl/>
        <w:snapToGrid w:val="0"/>
        <w:spacing w:line="360" w:lineRule="auto"/>
        <w:jc w:val="left"/>
        <w:outlineLvl w:val="1"/>
        <w:rPr>
          <w:rFonts w:ascii="宋体" w:hAnsi="宋体" w:cs="宋体"/>
          <w:b/>
          <w:bCs/>
          <w:kern w:val="0"/>
          <w:szCs w:val="21"/>
        </w:rPr>
      </w:pPr>
      <w:r>
        <w:rPr>
          <w:rFonts w:hint="eastAsia" w:ascii="宋体" w:hAnsi="宋体" w:cs="宋体"/>
          <w:b/>
          <w:bCs/>
          <w:kern w:val="0"/>
          <w:szCs w:val="21"/>
        </w:rPr>
        <w:t>一、课程的性质和地位</w:t>
      </w:r>
      <w:bookmarkEnd w:id="1008"/>
      <w:bookmarkEnd w:id="1009"/>
      <w:bookmarkEnd w:id="1010"/>
      <w:bookmarkEnd w:id="1011"/>
      <w:bookmarkEnd w:id="1012"/>
      <w:bookmarkEnd w:id="1013"/>
      <w:bookmarkEnd w:id="1014"/>
      <w:bookmarkEnd w:id="1015"/>
    </w:p>
    <w:p>
      <w:pPr>
        <w:snapToGrid w:val="0"/>
        <w:spacing w:line="360" w:lineRule="auto"/>
        <w:ind w:firstLine="420" w:firstLineChars="200"/>
        <w:rPr>
          <w:szCs w:val="21"/>
        </w:rPr>
      </w:pPr>
      <w:r>
        <w:rPr>
          <w:rFonts w:hint="eastAsia" w:ascii="宋体" w:hAnsi="宋体"/>
          <w:szCs w:val="21"/>
        </w:rPr>
        <w:t>《智慧园艺》</w:t>
      </w:r>
      <w:r>
        <w:rPr>
          <w:rFonts w:ascii="宋体" w:hAnsi="宋体"/>
          <w:szCs w:val="21"/>
        </w:rPr>
        <w:t>为</w:t>
      </w:r>
      <w:r>
        <w:rPr>
          <w:rFonts w:hint="eastAsia" w:ascii="宋体" w:hAnsi="宋体"/>
          <w:szCs w:val="21"/>
        </w:rPr>
        <w:t>园艺</w:t>
      </w:r>
      <w:r>
        <w:rPr>
          <w:rFonts w:ascii="宋体" w:hAnsi="宋体"/>
          <w:szCs w:val="21"/>
        </w:rPr>
        <w:t>专业的</w:t>
      </w:r>
      <w:r>
        <w:rPr>
          <w:rFonts w:hint="eastAsia" w:ascii="宋体" w:hAnsi="宋体"/>
          <w:szCs w:val="21"/>
        </w:rPr>
        <w:t>选修课、专业拓展</w:t>
      </w:r>
      <w:r>
        <w:rPr>
          <w:rFonts w:ascii="宋体" w:hAnsi="宋体"/>
          <w:szCs w:val="21"/>
        </w:rPr>
        <w:t>课。</w:t>
      </w:r>
      <w:r>
        <w:rPr>
          <w:rFonts w:hint="eastAsia" w:ascii="宋体" w:hAnsi="宋体"/>
          <w:szCs w:val="21"/>
        </w:rPr>
        <w:t>就是将</w:t>
      </w:r>
      <w:r>
        <w:fldChar w:fldCharType="begin"/>
      </w:r>
      <w:r>
        <w:instrText xml:space="preserve"> HYPERLINK "https://baike.baidu.com/item/%E7%89%A9%E8%81%94%E7%BD%91" \t "https://baike.baidu.com/item/%E6%99%BA%E6%85%A7%E5%86%9C%E4%B8%9A/_blank" </w:instrText>
      </w:r>
      <w:r>
        <w:fldChar w:fldCharType="separate"/>
      </w:r>
      <w:r>
        <w:rPr>
          <w:rFonts w:hint="eastAsia" w:ascii="宋体" w:hAnsi="宋体"/>
          <w:szCs w:val="21"/>
        </w:rPr>
        <w:t>物联网</w:t>
      </w:r>
      <w:r>
        <w:rPr>
          <w:rFonts w:hint="eastAsia" w:ascii="宋体" w:hAnsi="宋体"/>
          <w:szCs w:val="21"/>
        </w:rPr>
        <w:fldChar w:fldCharType="end"/>
      </w:r>
      <w:r>
        <w:rPr>
          <w:rFonts w:hint="eastAsia" w:ascii="宋体" w:hAnsi="宋体"/>
          <w:szCs w:val="21"/>
        </w:rPr>
        <w:t>技术运用到传统园艺产业中去，运用传感器和软件通过移动平台或者电脑平台对园艺生产进行控制，使传统园艺产业更具有“智慧”，主要内容包括智慧园艺概况、智慧园艺育种、园艺大数据、园艺物联网、园艺植物智慧生产技术、园艺信息服务及智能化装备，为学生将从事园艺作物现代化栽培生产实践打下基础</w:t>
      </w:r>
      <w:r>
        <w:rPr>
          <w:rFonts w:ascii="宋体" w:hAnsi="宋体"/>
          <w:szCs w:val="21"/>
        </w:rPr>
        <w:t>，</w:t>
      </w:r>
      <w:r>
        <w:rPr>
          <w:rFonts w:hint="eastAsia" w:ascii="宋体" w:hAnsi="宋体"/>
          <w:szCs w:val="21"/>
        </w:rPr>
        <w:t>因此</w:t>
      </w:r>
      <w:r>
        <w:rPr>
          <w:rFonts w:ascii="宋体" w:hAnsi="宋体"/>
          <w:szCs w:val="21"/>
        </w:rPr>
        <w:t>有必要开始</w:t>
      </w:r>
      <w:r>
        <w:rPr>
          <w:rFonts w:hint="eastAsia" w:ascii="宋体" w:hAnsi="宋体"/>
          <w:szCs w:val="21"/>
        </w:rPr>
        <w:t>《智慧园艺》这门选修课</w:t>
      </w:r>
      <w:r>
        <w:rPr>
          <w:rFonts w:ascii="宋体" w:hAnsi="宋体"/>
          <w:szCs w:val="21"/>
        </w:rPr>
        <w:t>。</w:t>
      </w:r>
    </w:p>
    <w:p>
      <w:pPr>
        <w:snapToGrid w:val="0"/>
        <w:spacing w:line="360" w:lineRule="auto"/>
        <w:rPr>
          <w:rFonts w:ascii="宋体" w:hAnsi="宋体"/>
          <w:b/>
          <w:szCs w:val="21"/>
        </w:rPr>
      </w:pPr>
      <w:r>
        <w:rPr>
          <w:rFonts w:hint="eastAsia" w:ascii="宋体" w:hAnsi="宋体"/>
          <w:b/>
          <w:szCs w:val="21"/>
        </w:rPr>
        <w:t>二、理论教学部分的考核目标</w:t>
      </w:r>
    </w:p>
    <w:p>
      <w:pPr>
        <w:spacing w:line="360" w:lineRule="auto"/>
        <w:ind w:firstLine="420" w:firstLineChars="200"/>
        <w:rPr>
          <w:szCs w:val="21"/>
        </w:rPr>
      </w:pPr>
      <w:r>
        <w:rPr>
          <w:rFonts w:ascii="宋体" w:hAnsi="宋体"/>
          <w:szCs w:val="21"/>
        </w:rPr>
        <w:t>主要考核学生对该门可课程基本理论、基本知识和核心技术的掌握状况</w:t>
      </w:r>
    </w:p>
    <w:p>
      <w:pPr>
        <w:snapToGrid w:val="0"/>
        <w:spacing w:line="360" w:lineRule="auto"/>
        <w:ind w:firstLine="103" w:firstLineChars="49"/>
        <w:jc w:val="center"/>
        <w:rPr>
          <w:b/>
          <w:bCs/>
          <w:szCs w:val="21"/>
        </w:rPr>
      </w:pPr>
      <w:r>
        <w:rPr>
          <w:rFonts w:hint="eastAsia" w:ascii="宋体" w:hAnsi="宋体"/>
          <w:b/>
          <w:szCs w:val="21"/>
        </w:rPr>
        <w:t xml:space="preserve">第一章  </w:t>
      </w:r>
      <w:r>
        <w:rPr>
          <w:rFonts w:ascii="宋体" w:hAnsi="宋体"/>
          <w:b/>
          <w:bCs/>
        </w:rPr>
        <w:t>绪论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00"/>
          <w:szCs w:val="21"/>
        </w:rPr>
      </w:pPr>
      <w:r>
        <w:rPr>
          <w:rFonts w:hint="eastAsia" w:ascii="宋体" w:hAnsi="宋体"/>
          <w:b/>
          <w:szCs w:val="21"/>
        </w:rPr>
        <w:t>1. 一般了解</w:t>
      </w:r>
      <w:r>
        <w:rPr>
          <w:rFonts w:hint="eastAsia" w:ascii="宋体" w:hAnsi="宋体"/>
          <w:color w:val="000000"/>
          <w:szCs w:val="21"/>
        </w:rPr>
        <w:t>：</w:t>
      </w:r>
      <w:r>
        <w:rPr>
          <w:rFonts w:hint="eastAsia" w:ascii="宋体" w:hAnsi="宋体"/>
          <w:color w:val="262600"/>
        </w:rPr>
        <w:t>智慧园艺国内外发展现状与未来发展趋势</w:t>
      </w:r>
      <w:r>
        <w:rPr>
          <w:rFonts w:hint="eastAsia" w:ascii="宋体" w:hAnsi="宋体"/>
          <w:bCs/>
          <w:color w:val="000000"/>
          <w:szCs w:val="21"/>
        </w:rPr>
        <w:t>。</w:t>
      </w:r>
    </w:p>
    <w:p>
      <w:pPr>
        <w:snapToGrid w:val="0"/>
        <w:spacing w:line="360" w:lineRule="auto"/>
        <w:ind w:firstLine="422" w:firstLineChars="200"/>
        <w:rPr>
          <w:rFonts w:ascii="宋体" w:hAnsi="宋体"/>
          <w:bCs/>
          <w:color w:val="000000"/>
          <w:szCs w:val="21"/>
        </w:rPr>
      </w:pPr>
      <w:r>
        <w:rPr>
          <w:rFonts w:hint="eastAsia" w:ascii="宋体" w:hAnsi="宋体"/>
          <w:b/>
          <w:color w:val="000000"/>
          <w:szCs w:val="21"/>
        </w:rPr>
        <w:t>2. 一般掌握</w:t>
      </w:r>
      <w:r>
        <w:rPr>
          <w:rFonts w:hint="eastAsia" w:ascii="宋体" w:hAnsi="宋体"/>
          <w:color w:val="000000"/>
          <w:szCs w:val="21"/>
        </w:rPr>
        <w:t>：</w:t>
      </w:r>
      <w:r>
        <w:rPr>
          <w:rFonts w:hint="eastAsia" w:ascii="宋体" w:hAnsi="宋体"/>
          <w:color w:val="262600"/>
        </w:rPr>
        <w:t>智慧园艺关键技术内容及特点</w:t>
      </w:r>
      <w:r>
        <w:rPr>
          <w:rFonts w:hint="eastAsia" w:ascii="宋体" w:hAnsi="宋体"/>
          <w:bCs/>
          <w:color w:val="000000"/>
          <w:szCs w:val="21"/>
        </w:rPr>
        <w:t>。</w:t>
      </w:r>
    </w:p>
    <w:p>
      <w:pPr>
        <w:snapToGrid w:val="0"/>
        <w:spacing w:line="360" w:lineRule="auto"/>
        <w:ind w:firstLine="422" w:firstLineChars="200"/>
        <w:rPr>
          <w:rFonts w:ascii="宋体" w:hAnsi="宋体"/>
          <w:color w:val="000000"/>
          <w:szCs w:val="21"/>
        </w:rPr>
      </w:pPr>
      <w:r>
        <w:rPr>
          <w:rFonts w:hint="eastAsia" w:ascii="宋体" w:hAnsi="宋体"/>
          <w:b/>
          <w:color w:val="000000"/>
          <w:szCs w:val="21"/>
        </w:rPr>
        <w:t>3. 熟练掌握</w:t>
      </w:r>
      <w:r>
        <w:rPr>
          <w:rFonts w:hint="eastAsia" w:ascii="宋体" w:hAnsi="宋体"/>
          <w:color w:val="000000"/>
          <w:szCs w:val="21"/>
        </w:rPr>
        <w:t>：</w:t>
      </w:r>
      <w:r>
        <w:rPr>
          <w:rFonts w:hint="eastAsia" w:ascii="宋体" w:hAnsi="宋体"/>
          <w:color w:val="262600"/>
        </w:rPr>
        <w:t>智慧园艺的概念，与传统农业的区别</w:t>
      </w:r>
      <w:r>
        <w:rPr>
          <w:rFonts w:hint="eastAsia" w:ascii="宋体" w:hAnsi="宋体"/>
          <w:bCs/>
          <w:color w:val="000000"/>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szCs w:val="21"/>
        </w:rPr>
      </w:pPr>
      <w:r>
        <w:rPr>
          <w:rFonts w:hint="eastAsia" w:ascii="宋体" w:hAnsi="宋体"/>
          <w:bCs/>
          <w:color w:val="000000"/>
          <w:szCs w:val="21"/>
        </w:rPr>
        <w:t>知识：</w:t>
      </w:r>
      <w:r>
        <w:rPr>
          <w:rFonts w:hint="eastAsia" w:ascii="宋体" w:hAnsi="宋体"/>
          <w:color w:val="262600"/>
        </w:rPr>
        <w:t>智慧园艺关键技术内容及特点。</w:t>
      </w:r>
    </w:p>
    <w:p>
      <w:pPr>
        <w:snapToGrid w:val="0"/>
        <w:spacing w:line="360" w:lineRule="auto"/>
        <w:ind w:firstLine="420" w:firstLineChars="200"/>
        <w:rPr>
          <w:rFonts w:ascii="宋体" w:hAnsi="宋体"/>
          <w:bCs/>
          <w:color w:val="000000"/>
          <w:szCs w:val="21"/>
        </w:rPr>
      </w:pPr>
      <w:r>
        <w:rPr>
          <w:rFonts w:hint="eastAsia" w:ascii="宋体" w:hAnsi="宋体"/>
          <w:bCs/>
          <w:color w:val="000000"/>
          <w:szCs w:val="21"/>
        </w:rPr>
        <w:t>能力和素质：智慧园艺的概念、类型和作用。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rFonts w:hint="eastAsia" w:ascii="宋体" w:hAnsi="宋体"/>
          <w:color w:val="262600"/>
        </w:rPr>
        <w:t>智慧园艺关键技术内容</w:t>
      </w:r>
      <w:r>
        <w:rPr>
          <w:rFonts w:hint="eastAsia" w:ascii="宋体" w:hAnsi="宋体"/>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color w:val="000000"/>
          <w:szCs w:val="21"/>
        </w:rPr>
        <w:t>智慧园艺</w:t>
      </w:r>
      <w:r>
        <w:rPr>
          <w:rFonts w:hint="eastAsia" w:ascii="宋体" w:hAnsi="宋体"/>
          <w:bCs/>
          <w:color w:val="000000"/>
          <w:szCs w:val="21"/>
        </w:rPr>
        <w:t>概念。</w:t>
      </w:r>
    </w:p>
    <w:p>
      <w:pPr>
        <w:spacing w:line="360" w:lineRule="auto"/>
        <w:ind w:firstLine="422" w:firstLineChars="200"/>
        <w:jc w:val="center"/>
        <w:rPr>
          <w:color w:val="262600"/>
          <w:szCs w:val="21"/>
        </w:rPr>
      </w:pPr>
      <w:r>
        <w:rPr>
          <w:rFonts w:ascii="宋体" w:hAnsi="宋体"/>
          <w:b/>
          <w:bCs/>
          <w:color w:val="262600"/>
          <w:szCs w:val="21"/>
        </w:rPr>
        <w:t>第二章</w:t>
      </w:r>
      <w:r>
        <w:rPr>
          <w:b/>
          <w:bCs/>
          <w:color w:val="262600"/>
          <w:szCs w:val="21"/>
        </w:rPr>
        <w:t xml:space="preserve">  </w:t>
      </w:r>
      <w:r>
        <w:rPr>
          <w:rFonts w:hint="eastAsia"/>
          <w:b/>
          <w:bCs/>
        </w:rPr>
        <w:t>园艺产业模拟模型技术及其应用</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ascii="宋体" w:hAnsi="宋体"/>
          <w:b/>
          <w:szCs w:val="21"/>
        </w:rPr>
        <w:t>1. 一般了解：</w:t>
      </w:r>
      <w:r>
        <w:rPr>
          <w:rFonts w:hint="eastAsia"/>
          <w:color w:val="262600"/>
        </w:rPr>
        <w:t>在园艺产业科学研究与生产中运用模拟模型技术</w:t>
      </w:r>
      <w:r>
        <w:rPr>
          <w:rFonts w:hint="eastAsia" w:ascii="宋体" w:hAnsi="宋体"/>
          <w:szCs w:val="21"/>
        </w:rPr>
        <w:t>。</w:t>
      </w:r>
    </w:p>
    <w:p>
      <w:pPr>
        <w:snapToGrid w:val="0"/>
        <w:spacing w:line="360" w:lineRule="auto"/>
        <w:ind w:firstLine="422" w:firstLineChars="200"/>
        <w:rPr>
          <w:rFonts w:ascii="宋体" w:hAnsi="宋体"/>
          <w:b/>
          <w:szCs w:val="21"/>
        </w:rPr>
      </w:pPr>
      <w:r>
        <w:rPr>
          <w:rFonts w:ascii="宋体" w:hAnsi="宋体"/>
          <w:b/>
          <w:szCs w:val="21"/>
        </w:rPr>
        <w:t>2. 一般掌握：</w:t>
      </w:r>
      <w:r>
        <w:rPr>
          <w:rFonts w:hint="eastAsia"/>
          <w:color w:val="262600"/>
        </w:rPr>
        <w:t>园艺产业模拟模型基本作用、原理和方法</w:t>
      </w:r>
      <w:r>
        <w:rPr>
          <w:rFonts w:hint="eastAsia" w:ascii="宋体" w:hAnsi="宋体"/>
          <w:szCs w:val="21"/>
        </w:rPr>
        <w:t>。</w:t>
      </w:r>
    </w:p>
    <w:p>
      <w:pPr>
        <w:snapToGrid w:val="0"/>
        <w:spacing w:line="360" w:lineRule="auto"/>
        <w:ind w:firstLine="422" w:firstLineChars="200"/>
        <w:rPr>
          <w:rFonts w:ascii="宋体" w:hAnsi="宋体"/>
          <w:b/>
          <w:szCs w:val="21"/>
        </w:rPr>
      </w:pPr>
      <w:r>
        <w:rPr>
          <w:rFonts w:ascii="宋体" w:hAnsi="宋体"/>
          <w:b/>
          <w:szCs w:val="21"/>
        </w:rPr>
        <w:t>3. 熟练掌握：</w:t>
      </w:r>
      <w:r>
        <w:rPr>
          <w:rFonts w:hint="eastAsia"/>
          <w:color w:val="262600"/>
        </w:rPr>
        <w:t>园艺产业模拟模型基本概念</w:t>
      </w:r>
      <w:r>
        <w:rPr>
          <w:rFonts w:ascii="宋体" w:hAnsi="宋体"/>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知识：</w:t>
      </w:r>
      <w:r>
        <w:rPr>
          <w:rFonts w:hint="eastAsia"/>
          <w:color w:val="262600"/>
        </w:rPr>
        <w:t>园艺产业模拟模型基本概念、作用、原理和方法</w:t>
      </w:r>
      <w:r>
        <w:rPr>
          <w:rFonts w:ascii="宋体" w:hAnsi="宋体"/>
          <w:szCs w:val="21"/>
        </w:rPr>
        <w:t>。</w:t>
      </w:r>
    </w:p>
    <w:p>
      <w:pPr>
        <w:snapToGrid w:val="0"/>
        <w:spacing w:line="360" w:lineRule="auto"/>
        <w:ind w:firstLine="420" w:firstLineChars="200"/>
        <w:rPr>
          <w:szCs w:val="21"/>
        </w:rPr>
      </w:pPr>
      <w:r>
        <w:rPr>
          <w:rFonts w:hint="eastAsia" w:ascii="宋体" w:hAnsi="宋体"/>
          <w:szCs w:val="21"/>
        </w:rPr>
        <w:t>能力和素质：</w:t>
      </w:r>
      <w:r>
        <w:rPr>
          <w:rFonts w:hint="eastAsia"/>
          <w:color w:val="262600"/>
        </w:rPr>
        <w:t>在园艺产业科学研究与生产中运用模拟模型技术</w:t>
      </w:r>
      <w:r>
        <w:rPr>
          <w:rFonts w:hint="eastAsia" w:ascii="宋体" w:hAnsi="宋体"/>
          <w:szCs w:val="21"/>
        </w:rPr>
        <w:t>。</w:t>
      </w:r>
    </w:p>
    <w:p>
      <w:pPr>
        <w:snapToGrid w:val="0"/>
        <w:spacing w:line="360" w:lineRule="auto"/>
        <w:rPr>
          <w:rFonts w:ascii="宋体" w:hAnsi="宋体"/>
          <w:b/>
          <w:bCs/>
          <w:szCs w:val="21"/>
        </w:rPr>
      </w:pPr>
      <w:r>
        <w:rPr>
          <w:rFonts w:hint="eastAsia" w:ascii="宋体" w:hAnsi="宋体"/>
          <w:b/>
          <w:bCs/>
          <w:szCs w:val="21"/>
        </w:rPr>
        <w:t>（三）考核要求</w:t>
      </w:r>
    </w:p>
    <w:p>
      <w:pPr>
        <w:snapToGrid w:val="0"/>
        <w:spacing w:line="360" w:lineRule="auto"/>
        <w:ind w:firstLine="422" w:firstLineChars="200"/>
        <w:rPr>
          <w:rFonts w:ascii="宋体" w:hAnsi="宋体"/>
          <w:szCs w:val="21"/>
        </w:rPr>
      </w:pPr>
      <w:r>
        <w:rPr>
          <w:rFonts w:ascii="宋体" w:hAnsi="宋体"/>
          <w:b/>
          <w:szCs w:val="21"/>
        </w:rPr>
        <w:t>1、识记：</w:t>
      </w:r>
      <w:r>
        <w:rPr>
          <w:rFonts w:hint="eastAsia"/>
          <w:color w:val="262600"/>
        </w:rPr>
        <w:t>园艺产业模拟模型基本概念</w:t>
      </w:r>
      <w:r>
        <w:rPr>
          <w:rFonts w:hint="eastAsia" w:ascii="宋体" w:hAnsi="宋体"/>
          <w:szCs w:val="21"/>
        </w:rPr>
        <w:t>。</w:t>
      </w:r>
    </w:p>
    <w:p>
      <w:pPr>
        <w:snapToGrid w:val="0"/>
        <w:spacing w:line="360" w:lineRule="auto"/>
        <w:ind w:firstLine="422" w:firstLineChars="200"/>
        <w:rPr>
          <w:rFonts w:ascii="宋体" w:hAnsi="宋体"/>
          <w:szCs w:val="21"/>
        </w:rPr>
      </w:pPr>
      <w:r>
        <w:rPr>
          <w:rFonts w:ascii="宋体" w:hAnsi="宋体"/>
          <w:b/>
          <w:szCs w:val="21"/>
        </w:rPr>
        <w:t>2、领会：</w:t>
      </w:r>
      <w:r>
        <w:rPr>
          <w:rFonts w:hint="eastAsia"/>
          <w:color w:val="262600"/>
        </w:rPr>
        <w:t>园艺产业模拟模型基本作用、原理和方法</w:t>
      </w:r>
      <w:r>
        <w:rPr>
          <w:rFonts w:hint="eastAsia" w:ascii="宋体" w:hAnsi="宋体"/>
          <w:szCs w:val="21"/>
        </w:rPr>
        <w:t>。</w:t>
      </w:r>
    </w:p>
    <w:p>
      <w:pPr>
        <w:snapToGrid w:val="0"/>
        <w:spacing w:line="360" w:lineRule="auto"/>
        <w:ind w:firstLine="422" w:firstLineChars="200"/>
        <w:rPr>
          <w:rFonts w:ascii="宋体" w:hAnsi="宋体"/>
          <w:b/>
          <w:szCs w:val="21"/>
        </w:rPr>
      </w:pPr>
      <w:r>
        <w:rPr>
          <w:rFonts w:ascii="宋体" w:hAnsi="宋体"/>
          <w:b/>
          <w:szCs w:val="21"/>
        </w:rPr>
        <w:t>3、简单应用：</w:t>
      </w:r>
      <w:r>
        <w:rPr>
          <w:rFonts w:hint="eastAsia"/>
          <w:color w:val="262600"/>
        </w:rPr>
        <w:t>模拟模型技术在园艺产业科学研究与生产中运用</w:t>
      </w:r>
      <w:r>
        <w:rPr>
          <w:rFonts w:hint="eastAsia" w:ascii="宋体" w:hAnsi="宋体"/>
          <w:szCs w:val="21"/>
        </w:rPr>
        <w:t>。</w:t>
      </w:r>
    </w:p>
    <w:p>
      <w:pPr>
        <w:spacing w:line="360" w:lineRule="auto"/>
        <w:ind w:firstLine="422" w:firstLineChars="200"/>
        <w:jc w:val="center"/>
        <w:rPr>
          <w:b/>
          <w:bCs/>
          <w:color w:val="262600"/>
          <w:szCs w:val="21"/>
        </w:rPr>
      </w:pPr>
      <w:r>
        <w:rPr>
          <w:rFonts w:ascii="宋体" w:hAnsi="宋体"/>
          <w:b/>
          <w:bCs/>
          <w:color w:val="262600"/>
          <w:szCs w:val="21"/>
        </w:rPr>
        <w:t>第三章</w:t>
      </w:r>
      <w:r>
        <w:rPr>
          <w:b/>
          <w:bCs/>
          <w:color w:val="262600"/>
          <w:szCs w:val="21"/>
        </w:rPr>
        <w:t xml:space="preserve">  </w:t>
      </w:r>
      <w:r>
        <w:rPr>
          <w:rFonts w:hint="eastAsia"/>
          <w:b/>
          <w:bCs/>
          <w:color w:val="262600"/>
        </w:rPr>
        <w:t>园艺产业决策支持系统</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422" w:firstLineChars="200"/>
        <w:rPr>
          <w:rFonts w:ascii="宋体" w:hAnsi="宋体"/>
          <w:szCs w:val="21"/>
        </w:rPr>
      </w:pPr>
      <w:r>
        <w:rPr>
          <w:rFonts w:ascii="宋体" w:hAnsi="宋体"/>
          <w:b/>
          <w:szCs w:val="21"/>
        </w:rPr>
        <w:t>1. 一般了解：</w:t>
      </w:r>
      <w:r>
        <w:rPr>
          <w:rFonts w:hint="eastAsia"/>
          <w:color w:val="262600"/>
        </w:rPr>
        <w:t>园艺产业模拟模型与专家系统耦合的方法</w:t>
      </w:r>
      <w:r>
        <w:rPr>
          <w:rFonts w:hint="eastAsia" w:ascii="宋体" w:hAnsi="宋体"/>
          <w:szCs w:val="21"/>
        </w:rPr>
        <w:t>。</w:t>
      </w:r>
    </w:p>
    <w:p>
      <w:pPr>
        <w:snapToGrid w:val="0"/>
        <w:spacing w:line="360" w:lineRule="auto"/>
        <w:ind w:firstLine="422" w:firstLineChars="200"/>
        <w:rPr>
          <w:rFonts w:ascii="宋体" w:hAnsi="宋体"/>
          <w:szCs w:val="21"/>
        </w:rPr>
      </w:pPr>
      <w:r>
        <w:rPr>
          <w:rFonts w:ascii="宋体" w:hAnsi="宋体"/>
          <w:b/>
          <w:szCs w:val="21"/>
        </w:rPr>
        <w:t>2. 一般掌握：</w:t>
      </w:r>
      <w:r>
        <w:rPr>
          <w:rFonts w:hint="eastAsia"/>
          <w:color w:val="262600"/>
        </w:rPr>
        <w:t>园艺产业专家系统、园艺产业决策支持系统的作用、构建方法</w:t>
      </w:r>
      <w:r>
        <w:rPr>
          <w:rFonts w:hint="eastAsia" w:ascii="宋体" w:hAnsi="宋体"/>
          <w:szCs w:val="21"/>
        </w:rPr>
        <w:t>。</w:t>
      </w:r>
    </w:p>
    <w:p>
      <w:pPr>
        <w:snapToGrid w:val="0"/>
        <w:spacing w:line="360" w:lineRule="auto"/>
        <w:ind w:firstLine="422" w:firstLineChars="200"/>
        <w:rPr>
          <w:rFonts w:ascii="宋体" w:hAnsi="宋体"/>
          <w:szCs w:val="21"/>
        </w:rPr>
      </w:pPr>
      <w:r>
        <w:rPr>
          <w:rFonts w:ascii="宋体" w:hAnsi="宋体"/>
          <w:b/>
          <w:szCs w:val="21"/>
        </w:rPr>
        <w:t>3. 熟练掌握：</w:t>
      </w:r>
      <w:r>
        <w:rPr>
          <w:rFonts w:hint="eastAsia"/>
          <w:color w:val="262600"/>
        </w:rPr>
        <w:t>园艺产业专家系统、园艺产业决策支持系统的基本概念</w:t>
      </w:r>
      <w:r>
        <w:rPr>
          <w:rFonts w:hint="eastAsia" w:ascii="宋体" w:hAnsi="宋体"/>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color w:val="262600"/>
          <w:szCs w:val="21"/>
        </w:rPr>
        <w:t>知识：</w:t>
      </w:r>
      <w:r>
        <w:rPr>
          <w:rFonts w:hint="eastAsia"/>
          <w:color w:val="262600"/>
        </w:rPr>
        <w:t>园艺产业专家系统、园艺产业决策支持系统的基本概念</w:t>
      </w:r>
      <w:r>
        <w:rPr>
          <w:rFonts w:ascii="宋体" w:hAnsi="宋体"/>
          <w:szCs w:val="21"/>
        </w:rPr>
        <w:t>。</w:t>
      </w:r>
    </w:p>
    <w:p>
      <w:pPr>
        <w:snapToGrid w:val="0"/>
        <w:spacing w:line="360" w:lineRule="auto"/>
        <w:ind w:firstLine="420" w:firstLineChars="200"/>
        <w:rPr>
          <w:szCs w:val="21"/>
        </w:rPr>
      </w:pPr>
      <w:r>
        <w:rPr>
          <w:rFonts w:hint="eastAsia" w:ascii="宋体" w:hAnsi="宋体"/>
          <w:szCs w:val="21"/>
        </w:rPr>
        <w:t>能力和素质：</w:t>
      </w:r>
      <w:r>
        <w:rPr>
          <w:rFonts w:hint="eastAsia"/>
          <w:color w:val="262600"/>
        </w:rPr>
        <w:t>园艺产业模拟模型与专家系统耦合的方法</w:t>
      </w:r>
      <w:r>
        <w:rPr>
          <w:rFonts w:hint="eastAsia" w:ascii="宋体" w:hAnsi="宋体"/>
          <w:szCs w:val="21"/>
        </w:rPr>
        <w:t>。</w:t>
      </w:r>
    </w:p>
    <w:p>
      <w:pPr>
        <w:snapToGrid w:val="0"/>
        <w:spacing w:line="360" w:lineRule="auto"/>
        <w:rPr>
          <w:rFonts w:ascii="宋体" w:hAnsi="宋体"/>
          <w:b/>
          <w:bCs/>
          <w:szCs w:val="21"/>
        </w:rPr>
      </w:pPr>
      <w:r>
        <w:rPr>
          <w:rFonts w:hint="eastAsia" w:ascii="宋体" w:hAnsi="宋体"/>
          <w:b/>
          <w:bCs/>
          <w:szCs w:val="21"/>
        </w:rPr>
        <w:t>（三）考核要求</w:t>
      </w:r>
    </w:p>
    <w:p>
      <w:pPr>
        <w:snapToGrid w:val="0"/>
        <w:spacing w:line="360" w:lineRule="auto"/>
        <w:ind w:firstLine="632" w:firstLineChars="300"/>
        <w:rPr>
          <w:b/>
          <w:bCs/>
          <w:szCs w:val="21"/>
        </w:rPr>
      </w:pPr>
      <w:r>
        <w:rPr>
          <w:b/>
          <w:bCs/>
          <w:szCs w:val="21"/>
        </w:rPr>
        <w:t>1</w:t>
      </w:r>
      <w:r>
        <w:rPr>
          <w:rFonts w:ascii="宋体" w:hAnsi="宋体"/>
          <w:b/>
          <w:bCs/>
          <w:szCs w:val="21"/>
        </w:rPr>
        <w:t>、识记</w:t>
      </w:r>
      <w:r>
        <w:rPr>
          <w:rFonts w:ascii="宋体" w:hAnsi="宋体"/>
          <w:szCs w:val="21"/>
        </w:rPr>
        <w:t>：</w:t>
      </w:r>
      <w:r>
        <w:rPr>
          <w:rFonts w:hint="eastAsia"/>
          <w:color w:val="262600"/>
        </w:rPr>
        <w:t>园艺产业专家系统、园艺产业决策支持系统的基本概念</w:t>
      </w:r>
      <w:r>
        <w:rPr>
          <w:rFonts w:hint="eastAsia" w:ascii="宋体" w:hAnsi="宋体"/>
          <w:szCs w:val="21"/>
        </w:rPr>
        <w:t>。</w:t>
      </w:r>
    </w:p>
    <w:p>
      <w:pPr>
        <w:snapToGrid w:val="0"/>
        <w:spacing w:line="360" w:lineRule="auto"/>
        <w:ind w:firstLine="632" w:firstLineChars="300"/>
        <w:rPr>
          <w:b/>
          <w:bCs/>
          <w:szCs w:val="21"/>
        </w:rPr>
      </w:pPr>
      <w:r>
        <w:rPr>
          <w:b/>
          <w:bCs/>
          <w:szCs w:val="21"/>
        </w:rPr>
        <w:t>2</w:t>
      </w:r>
      <w:r>
        <w:rPr>
          <w:rFonts w:ascii="宋体" w:hAnsi="宋体"/>
          <w:b/>
          <w:bCs/>
          <w:szCs w:val="21"/>
        </w:rPr>
        <w:t>、领会</w:t>
      </w:r>
      <w:r>
        <w:rPr>
          <w:rFonts w:ascii="宋体" w:hAnsi="宋体"/>
          <w:szCs w:val="21"/>
        </w:rPr>
        <w:t>：</w:t>
      </w:r>
      <w:r>
        <w:rPr>
          <w:rFonts w:hint="eastAsia"/>
          <w:color w:val="262600"/>
        </w:rPr>
        <w:t>园艺产业专家系统、园艺产业决策支持系统的作用、构建方法</w:t>
      </w:r>
      <w:r>
        <w:rPr>
          <w:rFonts w:hint="eastAsia" w:ascii="宋体" w:hAnsi="宋体"/>
          <w:color w:val="262600"/>
          <w:szCs w:val="21"/>
        </w:rPr>
        <w:t>。</w:t>
      </w:r>
    </w:p>
    <w:p>
      <w:pPr>
        <w:snapToGrid w:val="0"/>
        <w:spacing w:line="360" w:lineRule="auto"/>
        <w:ind w:firstLine="632" w:firstLineChars="300"/>
        <w:rPr>
          <w:b/>
          <w:bCs/>
          <w:szCs w:val="21"/>
        </w:rPr>
      </w:pPr>
      <w:r>
        <w:rPr>
          <w:b/>
          <w:bCs/>
          <w:szCs w:val="21"/>
        </w:rPr>
        <w:t>3</w:t>
      </w:r>
      <w:r>
        <w:rPr>
          <w:rFonts w:ascii="宋体" w:hAnsi="宋体"/>
          <w:b/>
          <w:bCs/>
          <w:szCs w:val="21"/>
        </w:rPr>
        <w:t>、应用</w:t>
      </w:r>
      <w:r>
        <w:rPr>
          <w:rFonts w:ascii="宋体" w:hAnsi="宋体"/>
          <w:szCs w:val="21"/>
        </w:rPr>
        <w:t>：</w:t>
      </w:r>
      <w:r>
        <w:rPr>
          <w:rFonts w:hint="eastAsia"/>
          <w:color w:val="262600"/>
        </w:rPr>
        <w:t>园艺产业模拟模型与专家系统耦合的方法</w:t>
      </w:r>
      <w:r>
        <w:rPr>
          <w:rFonts w:hint="eastAsia" w:ascii="宋体" w:hAnsi="宋体"/>
          <w:szCs w:val="21"/>
        </w:rPr>
        <w:t>。</w:t>
      </w:r>
    </w:p>
    <w:p>
      <w:pPr>
        <w:spacing w:line="360" w:lineRule="auto"/>
        <w:ind w:firstLine="422" w:firstLineChars="200"/>
        <w:jc w:val="center"/>
        <w:rPr>
          <w:b/>
          <w:bCs/>
          <w:color w:val="262600"/>
          <w:szCs w:val="21"/>
        </w:rPr>
      </w:pPr>
      <w:r>
        <w:rPr>
          <w:rFonts w:ascii="宋体" w:hAnsi="宋体"/>
          <w:b/>
          <w:bCs/>
          <w:color w:val="262600"/>
          <w:szCs w:val="21"/>
        </w:rPr>
        <w:t>第四章</w:t>
      </w:r>
      <w:r>
        <w:rPr>
          <w:b/>
          <w:bCs/>
          <w:color w:val="262600"/>
          <w:szCs w:val="21"/>
        </w:rPr>
        <w:t xml:space="preserve">  </w:t>
      </w:r>
      <w:r>
        <w:rPr>
          <w:rFonts w:hint="eastAsia"/>
          <w:b/>
          <w:color w:val="262600"/>
        </w:rPr>
        <w:t>智慧园艺育种</w:t>
      </w:r>
      <w:r>
        <w:rPr>
          <w:b/>
          <w:color w:val="262600"/>
        </w:rPr>
        <w:t>技术</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632" w:firstLineChars="300"/>
        <w:rPr>
          <w:szCs w:val="21"/>
        </w:rPr>
      </w:pPr>
      <w:r>
        <w:rPr>
          <w:b/>
          <w:bCs/>
          <w:szCs w:val="21"/>
        </w:rPr>
        <w:t xml:space="preserve">1. </w:t>
      </w:r>
      <w:r>
        <w:rPr>
          <w:rFonts w:ascii="宋体" w:hAnsi="宋体"/>
          <w:b/>
          <w:bCs/>
          <w:szCs w:val="21"/>
        </w:rPr>
        <w:t>一般了解</w:t>
      </w:r>
      <w:r>
        <w:rPr>
          <w:rFonts w:ascii="宋体" w:hAnsi="宋体"/>
          <w:szCs w:val="21"/>
        </w:rPr>
        <w:t>：</w:t>
      </w:r>
      <w:r>
        <w:rPr>
          <w:rFonts w:hint="eastAsia"/>
          <w:color w:val="262600"/>
        </w:rPr>
        <w:t>智慧园艺育种采用的云计算技术等</w:t>
      </w:r>
      <w:r>
        <w:rPr>
          <w:rFonts w:hint="eastAsia" w:ascii="宋体" w:hAnsi="宋体"/>
          <w:color w:val="262600"/>
          <w:szCs w:val="21"/>
        </w:rPr>
        <w:t>。</w:t>
      </w:r>
    </w:p>
    <w:p>
      <w:pPr>
        <w:snapToGrid w:val="0"/>
        <w:spacing w:line="360" w:lineRule="auto"/>
        <w:ind w:firstLine="632" w:firstLineChars="300"/>
        <w:rPr>
          <w:szCs w:val="21"/>
        </w:rPr>
      </w:pPr>
      <w:r>
        <w:rPr>
          <w:b/>
          <w:bCs/>
          <w:szCs w:val="21"/>
        </w:rPr>
        <w:t xml:space="preserve">2. </w:t>
      </w:r>
      <w:r>
        <w:rPr>
          <w:rFonts w:ascii="宋体" w:hAnsi="宋体"/>
          <w:b/>
          <w:bCs/>
          <w:szCs w:val="21"/>
        </w:rPr>
        <w:t>一般掌握</w:t>
      </w:r>
      <w:r>
        <w:rPr>
          <w:rFonts w:ascii="宋体" w:hAnsi="宋体"/>
          <w:szCs w:val="21"/>
        </w:rPr>
        <w:t>：</w:t>
      </w:r>
      <w:r>
        <w:rPr>
          <w:rFonts w:hint="eastAsia"/>
          <w:color w:val="262600"/>
        </w:rPr>
        <w:t>智慧园艺育种采用的分子标记、基因工程技术等</w:t>
      </w:r>
      <w:r>
        <w:rPr>
          <w:rFonts w:hint="eastAsia" w:ascii="宋体" w:hAnsi="宋体"/>
          <w:color w:val="262600"/>
          <w:szCs w:val="21"/>
        </w:rPr>
        <w:t>。</w:t>
      </w:r>
    </w:p>
    <w:p>
      <w:pPr>
        <w:spacing w:line="360" w:lineRule="auto"/>
        <w:ind w:firstLine="632" w:firstLineChars="300"/>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color w:val="262600"/>
        </w:rPr>
        <w:t>智慧园艺育种采用的遗传信息的智能化育种手段</w:t>
      </w:r>
      <w:r>
        <w:rPr>
          <w:rFonts w:hint="eastAsia" w:ascii="宋体" w:hAnsi="宋体"/>
          <w:color w:val="262600"/>
          <w:szCs w:val="21"/>
        </w:rPr>
        <w:t>。</w:t>
      </w:r>
    </w:p>
    <w:p>
      <w:pPr>
        <w:snapToGrid w:val="0"/>
        <w:spacing w:line="360" w:lineRule="auto"/>
        <w:rPr>
          <w:rFonts w:ascii="宋体" w:hAnsi="宋体"/>
          <w:szCs w:val="21"/>
        </w:rPr>
      </w:pPr>
      <w:r>
        <w:rPr>
          <w:rFonts w:hint="eastAsia" w:ascii="宋体" w:hAnsi="宋体"/>
          <w:b/>
          <w:bCs/>
        </w:rPr>
        <w:t>（二）考核内容</w:t>
      </w:r>
    </w:p>
    <w:p>
      <w:pPr>
        <w:snapToGrid w:val="0"/>
        <w:spacing w:line="360" w:lineRule="auto"/>
        <w:ind w:firstLine="420" w:firstLineChars="200"/>
        <w:rPr>
          <w:rFonts w:ascii="宋体" w:hAnsi="宋体"/>
          <w:szCs w:val="21"/>
        </w:rPr>
      </w:pPr>
      <w:r>
        <w:rPr>
          <w:rFonts w:hint="eastAsia" w:ascii="宋体" w:hAnsi="宋体"/>
          <w:color w:val="262600"/>
          <w:szCs w:val="21"/>
        </w:rPr>
        <w:t>知识：</w:t>
      </w:r>
      <w:r>
        <w:rPr>
          <w:rFonts w:hint="eastAsia"/>
          <w:color w:val="262600"/>
        </w:rPr>
        <w:t>智慧园艺育种概念以及采用的遗传信息的智能化育种手段</w:t>
      </w:r>
      <w:r>
        <w:rPr>
          <w:rFonts w:ascii="宋体" w:hAnsi="宋体"/>
          <w:szCs w:val="21"/>
        </w:rPr>
        <w:t>。</w:t>
      </w:r>
    </w:p>
    <w:p>
      <w:pPr>
        <w:spacing w:line="360" w:lineRule="auto"/>
        <w:ind w:firstLine="420" w:firstLineChars="200"/>
        <w:rPr>
          <w:color w:val="262600"/>
          <w:szCs w:val="21"/>
        </w:rPr>
      </w:pPr>
      <w:r>
        <w:rPr>
          <w:rFonts w:hint="eastAsia" w:ascii="宋体" w:hAnsi="宋体"/>
          <w:szCs w:val="21"/>
        </w:rPr>
        <w:t>能力和素质：</w:t>
      </w:r>
      <w:r>
        <w:rPr>
          <w:color w:val="262600"/>
        </w:rPr>
        <w:t>从</w:t>
      </w:r>
      <w:r>
        <w:rPr>
          <w:rFonts w:hint="eastAsia"/>
          <w:color w:val="262600"/>
        </w:rPr>
        <w:t>生物技术、信息技术和智能技术与传统园艺育种深度融合</w:t>
      </w:r>
      <w:r>
        <w:rPr>
          <w:rFonts w:ascii="宋体" w:hAnsi="宋体"/>
          <w:color w:val="262600"/>
          <w:szCs w:val="21"/>
        </w:rPr>
        <w:t>。</w:t>
      </w:r>
    </w:p>
    <w:p>
      <w:pPr>
        <w:snapToGrid w:val="0"/>
        <w:spacing w:line="360" w:lineRule="auto"/>
        <w:rPr>
          <w:rFonts w:ascii="宋体" w:hAnsi="宋体"/>
          <w:b/>
          <w:bCs/>
          <w:szCs w:val="21"/>
        </w:rPr>
      </w:pPr>
      <w:r>
        <w:rPr>
          <w:rFonts w:hint="eastAsia" w:ascii="宋体" w:hAnsi="宋体"/>
          <w:b/>
          <w:bCs/>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w:t>
      </w:r>
      <w:r>
        <w:rPr>
          <w:rFonts w:hint="eastAsia"/>
          <w:color w:val="262600"/>
        </w:rPr>
        <w:t>智慧园艺育种概念</w:t>
      </w:r>
      <w:r>
        <w:rPr>
          <w:rFonts w:hint="eastAsia" w:ascii="宋体" w:hAnsi="宋体"/>
          <w:color w:val="262600"/>
        </w:rPr>
        <w:t>及其作用</w:t>
      </w:r>
      <w:r>
        <w:rPr>
          <w:rFonts w:hint="eastAsia" w:ascii="宋体" w:hAnsi="宋体"/>
          <w:color w:val="262600"/>
          <w:szCs w:val="21"/>
        </w:rPr>
        <w:t>。</w:t>
      </w:r>
    </w:p>
    <w:p>
      <w:pPr>
        <w:snapToGrid w:val="0"/>
        <w:spacing w:line="360" w:lineRule="auto"/>
        <w:ind w:firstLine="422" w:firstLineChars="200"/>
        <w:rPr>
          <w:b/>
          <w:bCs/>
          <w:szCs w:val="21"/>
        </w:rPr>
      </w:pPr>
      <w:r>
        <w:rPr>
          <w:b/>
          <w:bCs/>
          <w:szCs w:val="21"/>
        </w:rPr>
        <w:t>2</w:t>
      </w:r>
      <w:r>
        <w:rPr>
          <w:rFonts w:ascii="宋体" w:hAnsi="宋体"/>
          <w:b/>
          <w:bCs/>
          <w:szCs w:val="21"/>
        </w:rPr>
        <w:t>、领会</w:t>
      </w:r>
      <w:r>
        <w:rPr>
          <w:rFonts w:ascii="宋体" w:hAnsi="宋体"/>
          <w:szCs w:val="21"/>
        </w:rPr>
        <w:t>：</w:t>
      </w:r>
      <w:r>
        <w:rPr>
          <w:rFonts w:hint="eastAsia" w:ascii="宋体" w:hAnsi="宋体"/>
          <w:color w:val="262600"/>
        </w:rPr>
        <w:t>智慧园艺育种关键技术</w:t>
      </w:r>
      <w:r>
        <w:rPr>
          <w:rFonts w:hint="eastAsia" w:ascii="宋体" w:hAnsi="宋体"/>
          <w:color w:val="262600"/>
          <w:szCs w:val="21"/>
        </w:rPr>
        <w:t>。</w:t>
      </w:r>
    </w:p>
    <w:p>
      <w:pPr>
        <w:snapToGrid w:val="0"/>
        <w:spacing w:line="360" w:lineRule="auto"/>
        <w:ind w:firstLine="422" w:firstLineChars="200"/>
        <w:rPr>
          <w:b/>
          <w:bCs/>
          <w:szCs w:val="21"/>
        </w:rPr>
      </w:pPr>
      <w:r>
        <w:rPr>
          <w:b/>
          <w:bCs/>
          <w:szCs w:val="21"/>
        </w:rPr>
        <w:t>3</w:t>
      </w:r>
      <w:r>
        <w:rPr>
          <w:rFonts w:ascii="宋体" w:hAnsi="宋体"/>
          <w:b/>
          <w:bCs/>
          <w:szCs w:val="21"/>
        </w:rPr>
        <w:t>、应用</w:t>
      </w:r>
      <w:r>
        <w:rPr>
          <w:rFonts w:ascii="宋体" w:hAnsi="宋体"/>
          <w:szCs w:val="21"/>
        </w:rPr>
        <w:t>：</w:t>
      </w:r>
      <w:r>
        <w:rPr>
          <w:rFonts w:hint="eastAsia" w:ascii="宋体" w:hAnsi="宋体"/>
          <w:color w:val="262600"/>
        </w:rPr>
        <w:t>基因工程和分子标记在园艺植物育种中的应用</w:t>
      </w:r>
      <w:r>
        <w:rPr>
          <w:rFonts w:hint="eastAsia" w:ascii="宋体" w:hAnsi="宋体"/>
          <w:color w:val="262600"/>
          <w:szCs w:val="21"/>
        </w:rPr>
        <w:t>。</w:t>
      </w:r>
    </w:p>
    <w:p>
      <w:pPr>
        <w:spacing w:line="360" w:lineRule="auto"/>
        <w:ind w:firstLine="422" w:firstLineChars="200"/>
        <w:jc w:val="center"/>
        <w:rPr>
          <w:b/>
          <w:bCs/>
          <w:color w:val="262600"/>
          <w:szCs w:val="21"/>
        </w:rPr>
      </w:pPr>
      <w:r>
        <w:rPr>
          <w:rFonts w:ascii="宋体" w:hAnsi="宋体"/>
          <w:b/>
          <w:bCs/>
          <w:color w:val="262600"/>
          <w:szCs w:val="21"/>
        </w:rPr>
        <w:t>第五章</w:t>
      </w:r>
      <w:r>
        <w:rPr>
          <w:b/>
          <w:bCs/>
          <w:color w:val="262600"/>
          <w:szCs w:val="21"/>
        </w:rPr>
        <w:t xml:space="preserve">  </w:t>
      </w:r>
      <w:r>
        <w:rPr>
          <w:rFonts w:hint="eastAsia"/>
          <w:b/>
          <w:bCs/>
          <w:color w:val="262600"/>
        </w:rPr>
        <w:t>园艺产业物联网及其应用</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422" w:firstLineChars="200"/>
        <w:rPr>
          <w:szCs w:val="21"/>
        </w:rPr>
      </w:pPr>
      <w:r>
        <w:rPr>
          <w:b/>
          <w:bCs/>
          <w:szCs w:val="21"/>
        </w:rPr>
        <w:t xml:space="preserve">1. </w:t>
      </w:r>
      <w:r>
        <w:rPr>
          <w:rFonts w:ascii="宋体" w:hAnsi="宋体"/>
          <w:b/>
          <w:bCs/>
          <w:szCs w:val="21"/>
        </w:rPr>
        <w:t>一般了解</w:t>
      </w:r>
      <w:r>
        <w:rPr>
          <w:rFonts w:ascii="宋体" w:hAnsi="宋体"/>
          <w:szCs w:val="21"/>
        </w:rPr>
        <w:t>：</w:t>
      </w:r>
      <w:r>
        <w:rPr>
          <w:rFonts w:hint="eastAsia"/>
        </w:rPr>
        <w:t>运用物联网技术建立农产品质量追溯体系的一般方法</w:t>
      </w:r>
      <w:r>
        <w:rPr>
          <w:rFonts w:hint="eastAsia" w:ascii="宋体" w:hAnsi="宋体"/>
          <w:color w:val="262600"/>
          <w:szCs w:val="21"/>
        </w:rPr>
        <w:t>。</w:t>
      </w:r>
    </w:p>
    <w:p>
      <w:pPr>
        <w:snapToGrid w:val="0"/>
        <w:spacing w:line="360" w:lineRule="auto"/>
        <w:ind w:firstLine="422" w:firstLineChars="200"/>
        <w:rPr>
          <w:szCs w:val="21"/>
        </w:rPr>
      </w:pPr>
      <w:r>
        <w:rPr>
          <w:b/>
          <w:bCs/>
          <w:szCs w:val="21"/>
        </w:rPr>
        <w:t xml:space="preserve">2. </w:t>
      </w:r>
      <w:r>
        <w:rPr>
          <w:rFonts w:ascii="宋体" w:hAnsi="宋体"/>
          <w:b/>
          <w:bCs/>
          <w:szCs w:val="21"/>
        </w:rPr>
        <w:t>一般掌握</w:t>
      </w:r>
      <w:r>
        <w:rPr>
          <w:rFonts w:ascii="宋体" w:hAnsi="宋体"/>
          <w:szCs w:val="21"/>
        </w:rPr>
        <w:t>：</w:t>
      </w:r>
      <w:r>
        <w:rPr>
          <w:rFonts w:hint="eastAsia"/>
        </w:rPr>
        <w:t>运用物联网技术进行作物精确化管理的一般方法</w:t>
      </w:r>
      <w:r>
        <w:rPr>
          <w:rFonts w:hint="eastAsia" w:ascii="宋体" w:hAnsi="宋体"/>
          <w:color w:val="262600"/>
          <w:szCs w:val="21"/>
        </w:rPr>
        <w:t>。</w:t>
      </w:r>
    </w:p>
    <w:p>
      <w:pPr>
        <w:spacing w:line="360" w:lineRule="auto"/>
        <w:ind w:firstLine="422" w:firstLineChars="200"/>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rPr>
        <w:t>园艺产业物联网概念及其基本技术</w:t>
      </w:r>
      <w:r>
        <w:rPr>
          <w:rFonts w:hint="eastAsia" w:ascii="宋体" w:hAnsi="宋体"/>
          <w:color w:val="262600"/>
          <w:szCs w:val="21"/>
        </w:rPr>
        <w:t>。</w:t>
      </w:r>
    </w:p>
    <w:p>
      <w:pPr>
        <w:snapToGrid w:val="0"/>
        <w:spacing w:line="360" w:lineRule="auto"/>
        <w:rPr>
          <w:rFonts w:ascii="宋体" w:hAnsi="宋体"/>
          <w:szCs w:val="21"/>
        </w:rPr>
      </w:pPr>
      <w:r>
        <w:rPr>
          <w:rFonts w:hint="eastAsia" w:ascii="宋体" w:hAnsi="宋体"/>
          <w:b/>
          <w:bCs/>
        </w:rPr>
        <w:t>（二）考核内容</w:t>
      </w:r>
    </w:p>
    <w:p>
      <w:pPr>
        <w:spacing w:line="360" w:lineRule="auto"/>
        <w:ind w:firstLine="420" w:firstLineChars="200"/>
        <w:rPr>
          <w:rFonts w:ascii="宋体" w:hAnsi="宋体"/>
          <w:color w:val="262600"/>
          <w:szCs w:val="21"/>
        </w:rPr>
      </w:pPr>
      <w:r>
        <w:rPr>
          <w:rFonts w:hint="eastAsia" w:ascii="宋体" w:hAnsi="宋体"/>
          <w:color w:val="262600"/>
          <w:szCs w:val="21"/>
        </w:rPr>
        <w:t>知识：园艺物联网概念及其特征。</w:t>
      </w:r>
    </w:p>
    <w:p>
      <w:pPr>
        <w:spacing w:line="360" w:lineRule="auto"/>
        <w:ind w:firstLine="420" w:firstLineChars="200"/>
        <w:rPr>
          <w:color w:val="262600"/>
          <w:szCs w:val="21"/>
        </w:rPr>
      </w:pPr>
      <w:r>
        <w:rPr>
          <w:rFonts w:hint="eastAsia" w:ascii="宋体" w:hAnsi="宋体"/>
          <w:color w:val="262600"/>
          <w:szCs w:val="21"/>
        </w:rPr>
        <w:t>能力和素质：</w:t>
      </w:r>
      <w:r>
        <w:rPr>
          <w:rFonts w:hint="eastAsia" w:ascii="宋体" w:hAnsi="宋体"/>
          <w:color w:val="262600"/>
        </w:rPr>
        <w:t>园艺物联网在作物精准化管理中的应用，园艺物联网与农产品质量追溯体系</w:t>
      </w:r>
      <w:r>
        <w:rPr>
          <w:rFonts w:ascii="宋体" w:hAnsi="宋体"/>
          <w:color w:val="262600"/>
          <w:szCs w:val="21"/>
        </w:rPr>
        <w:t>。</w:t>
      </w:r>
    </w:p>
    <w:p>
      <w:pPr>
        <w:snapToGrid w:val="0"/>
        <w:spacing w:line="360" w:lineRule="auto"/>
        <w:rPr>
          <w:rFonts w:ascii="宋体" w:hAnsi="宋体"/>
          <w:b/>
          <w:bCs/>
          <w:szCs w:val="21"/>
        </w:rPr>
      </w:pPr>
      <w:r>
        <w:rPr>
          <w:rFonts w:hint="eastAsia" w:ascii="宋体" w:hAnsi="宋体"/>
          <w:b/>
          <w:bCs/>
          <w:szCs w:val="21"/>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w:t>
      </w:r>
      <w:r>
        <w:rPr>
          <w:rFonts w:hint="eastAsia" w:ascii="宋体" w:hAnsi="宋体"/>
          <w:color w:val="262600"/>
          <w:szCs w:val="21"/>
        </w:rPr>
        <w:t>园艺物联网概念及其特征。</w:t>
      </w:r>
    </w:p>
    <w:p>
      <w:pPr>
        <w:snapToGrid w:val="0"/>
        <w:spacing w:line="360" w:lineRule="auto"/>
        <w:ind w:firstLine="422" w:firstLineChars="200"/>
        <w:rPr>
          <w:b/>
          <w:bCs/>
          <w:szCs w:val="21"/>
        </w:rPr>
      </w:pPr>
      <w:r>
        <w:rPr>
          <w:b/>
          <w:bCs/>
          <w:szCs w:val="21"/>
        </w:rPr>
        <w:t>2</w:t>
      </w:r>
      <w:r>
        <w:rPr>
          <w:rFonts w:ascii="宋体" w:hAnsi="宋体"/>
          <w:b/>
          <w:bCs/>
          <w:szCs w:val="21"/>
        </w:rPr>
        <w:t>、领会</w:t>
      </w:r>
      <w:r>
        <w:rPr>
          <w:rFonts w:ascii="宋体" w:hAnsi="宋体"/>
          <w:szCs w:val="21"/>
        </w:rPr>
        <w:t>：</w:t>
      </w:r>
      <w:r>
        <w:rPr>
          <w:rFonts w:hint="eastAsia"/>
        </w:rPr>
        <w:t>运用物联网技术进行作物精确化管理的一般方法</w:t>
      </w:r>
      <w:r>
        <w:rPr>
          <w:rFonts w:hint="eastAsia" w:ascii="宋体" w:hAnsi="宋体"/>
          <w:color w:val="262600"/>
          <w:szCs w:val="21"/>
        </w:rPr>
        <w:t>。</w:t>
      </w:r>
    </w:p>
    <w:p>
      <w:pPr>
        <w:snapToGrid w:val="0"/>
        <w:spacing w:line="360" w:lineRule="auto"/>
        <w:ind w:firstLine="422" w:firstLineChars="200"/>
        <w:rPr>
          <w:color w:val="262600"/>
          <w:szCs w:val="21"/>
        </w:rPr>
      </w:pPr>
      <w:r>
        <w:rPr>
          <w:b/>
          <w:bCs/>
          <w:szCs w:val="21"/>
        </w:rPr>
        <w:t>3</w:t>
      </w:r>
      <w:r>
        <w:rPr>
          <w:rFonts w:ascii="宋体" w:hAnsi="宋体"/>
          <w:b/>
          <w:bCs/>
          <w:szCs w:val="21"/>
        </w:rPr>
        <w:t>、应用</w:t>
      </w:r>
      <w:r>
        <w:rPr>
          <w:rFonts w:ascii="宋体" w:hAnsi="宋体"/>
          <w:szCs w:val="21"/>
        </w:rPr>
        <w:t>：</w:t>
      </w:r>
      <w:r>
        <w:rPr>
          <w:rFonts w:hint="eastAsia"/>
        </w:rPr>
        <w:t>运用物联网技术建立农产品质量追溯体系的一般方法</w:t>
      </w:r>
      <w:r>
        <w:rPr>
          <w:rFonts w:hint="eastAsia" w:ascii="宋体" w:hAnsi="宋体"/>
          <w:color w:val="262600"/>
          <w:szCs w:val="21"/>
        </w:rPr>
        <w:t>。</w:t>
      </w:r>
    </w:p>
    <w:p>
      <w:pPr>
        <w:snapToGrid w:val="0"/>
        <w:spacing w:line="360" w:lineRule="auto"/>
        <w:ind w:firstLine="422" w:firstLineChars="200"/>
        <w:rPr>
          <w:b/>
          <w:bCs/>
          <w:szCs w:val="21"/>
        </w:rPr>
      </w:pPr>
      <w:r>
        <w:rPr>
          <w:b/>
          <w:bCs/>
          <w:szCs w:val="21"/>
        </w:rPr>
        <w:t>4</w:t>
      </w:r>
      <w:r>
        <w:rPr>
          <w:rFonts w:ascii="宋体" w:hAnsi="宋体"/>
          <w:b/>
          <w:bCs/>
          <w:szCs w:val="21"/>
        </w:rPr>
        <w:t>、综合</w:t>
      </w:r>
      <w:r>
        <w:rPr>
          <w:rFonts w:ascii="宋体" w:hAnsi="宋体"/>
          <w:szCs w:val="21"/>
        </w:rPr>
        <w:t>：</w:t>
      </w:r>
      <w:r>
        <w:rPr>
          <w:rFonts w:ascii="宋体" w:hAnsi="宋体"/>
          <w:color w:val="262600"/>
          <w:szCs w:val="21"/>
        </w:rPr>
        <w:t>能够</w:t>
      </w:r>
      <w:r>
        <w:rPr>
          <w:rFonts w:hint="eastAsia" w:ascii="宋体" w:hAnsi="宋体"/>
          <w:color w:val="262600"/>
          <w:szCs w:val="21"/>
        </w:rPr>
        <w:t>将</w:t>
      </w:r>
      <w:r>
        <w:rPr>
          <w:rFonts w:hint="eastAsia" w:ascii="宋体" w:hAnsi="宋体"/>
          <w:color w:val="262600"/>
        </w:rPr>
        <w:t>园艺物联网与农产品质量追溯体系融合应用</w:t>
      </w:r>
      <w:r>
        <w:rPr>
          <w:rFonts w:ascii="宋体" w:hAnsi="宋体"/>
          <w:szCs w:val="21"/>
        </w:rPr>
        <w:t>。</w:t>
      </w:r>
    </w:p>
    <w:p>
      <w:pPr>
        <w:spacing w:line="360" w:lineRule="auto"/>
        <w:ind w:firstLine="422" w:firstLineChars="200"/>
        <w:jc w:val="center"/>
        <w:rPr>
          <w:b/>
          <w:bCs/>
          <w:color w:val="262600"/>
          <w:szCs w:val="21"/>
        </w:rPr>
      </w:pPr>
      <w:r>
        <w:rPr>
          <w:rFonts w:ascii="宋体" w:hAnsi="宋体"/>
          <w:b/>
          <w:bCs/>
          <w:color w:val="262600"/>
          <w:szCs w:val="21"/>
        </w:rPr>
        <w:t>第</w:t>
      </w:r>
      <w:r>
        <w:rPr>
          <w:rFonts w:hint="eastAsia" w:ascii="宋体" w:hAnsi="宋体"/>
          <w:b/>
          <w:bCs/>
          <w:color w:val="262600"/>
          <w:szCs w:val="21"/>
        </w:rPr>
        <w:t>六</w:t>
      </w:r>
      <w:r>
        <w:rPr>
          <w:rFonts w:ascii="宋体" w:hAnsi="宋体"/>
          <w:b/>
          <w:bCs/>
          <w:color w:val="262600"/>
          <w:szCs w:val="21"/>
        </w:rPr>
        <w:t>章</w:t>
      </w:r>
      <w:r>
        <w:rPr>
          <w:b/>
          <w:bCs/>
          <w:color w:val="262600"/>
          <w:szCs w:val="21"/>
        </w:rPr>
        <w:t xml:space="preserve">  </w:t>
      </w:r>
      <w:r>
        <w:rPr>
          <w:rFonts w:hint="eastAsia"/>
          <w:b/>
          <w:bCs/>
          <w:color w:val="262600"/>
        </w:rPr>
        <w:t>大数据技术及其园艺产业应用</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422" w:firstLineChars="200"/>
        <w:rPr>
          <w:color w:val="262600"/>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rFonts w:hint="eastAsia"/>
          <w:color w:val="262600"/>
        </w:rPr>
        <w:t>运用大数据技术进行农情分析、作物精细化管理的一般方法</w:t>
      </w:r>
      <w:r>
        <w:rPr>
          <w:rFonts w:hint="eastAsia" w:ascii="宋体" w:hAnsi="宋体"/>
          <w:color w:val="262600"/>
          <w:szCs w:val="21"/>
        </w:rPr>
        <w:t>。</w:t>
      </w:r>
    </w:p>
    <w:p>
      <w:pPr>
        <w:snapToGrid w:val="0"/>
        <w:spacing w:line="360" w:lineRule="auto"/>
        <w:ind w:firstLine="422" w:firstLineChars="200"/>
        <w:rPr>
          <w:szCs w:val="21"/>
        </w:rPr>
      </w:pPr>
      <w:r>
        <w:rPr>
          <w:b/>
          <w:bCs/>
          <w:szCs w:val="21"/>
        </w:rPr>
        <w:t xml:space="preserve">2. </w:t>
      </w:r>
      <w:r>
        <w:rPr>
          <w:rFonts w:ascii="宋体" w:hAnsi="宋体"/>
          <w:b/>
          <w:bCs/>
          <w:szCs w:val="21"/>
        </w:rPr>
        <w:t>一般掌握</w:t>
      </w:r>
      <w:r>
        <w:rPr>
          <w:rFonts w:ascii="宋体" w:hAnsi="宋体"/>
          <w:szCs w:val="21"/>
        </w:rPr>
        <w:t>：</w:t>
      </w:r>
      <w:r>
        <w:rPr>
          <w:rFonts w:hint="eastAsia" w:ascii="宋体" w:hAnsi="宋体"/>
          <w:szCs w:val="21"/>
        </w:rPr>
        <w:t>大数据采集技术、分析技术。</w:t>
      </w:r>
    </w:p>
    <w:p>
      <w:pPr>
        <w:snapToGrid w:val="0"/>
        <w:spacing w:line="360" w:lineRule="auto"/>
        <w:ind w:firstLine="422" w:firstLineChars="200"/>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color w:val="262600"/>
        </w:rPr>
        <w:t>大数据概念及其技术特征</w:t>
      </w:r>
      <w:r>
        <w:rPr>
          <w:rFonts w:hint="eastAsia" w:ascii="宋体" w:hAnsi="宋体"/>
          <w:szCs w:val="21"/>
        </w:rPr>
        <w:t>。</w:t>
      </w:r>
    </w:p>
    <w:p>
      <w:pPr>
        <w:snapToGrid w:val="0"/>
        <w:spacing w:line="360" w:lineRule="auto"/>
        <w:rPr>
          <w:rFonts w:ascii="宋体" w:hAnsi="宋体"/>
          <w:szCs w:val="21"/>
        </w:rPr>
      </w:pPr>
      <w:r>
        <w:rPr>
          <w:rFonts w:hint="eastAsia" w:ascii="宋体" w:hAnsi="宋体"/>
          <w:b/>
          <w:bCs/>
        </w:rPr>
        <w:t>（二）考核内容</w:t>
      </w:r>
    </w:p>
    <w:p>
      <w:pPr>
        <w:spacing w:line="360" w:lineRule="auto"/>
        <w:ind w:firstLine="420" w:firstLineChars="200"/>
        <w:rPr>
          <w:rFonts w:ascii="宋体" w:hAnsi="宋体"/>
          <w:color w:val="262600"/>
          <w:szCs w:val="21"/>
        </w:rPr>
      </w:pPr>
      <w:r>
        <w:rPr>
          <w:rFonts w:hint="eastAsia" w:ascii="宋体" w:hAnsi="宋体"/>
          <w:color w:val="262600"/>
          <w:szCs w:val="21"/>
        </w:rPr>
        <w:t>知识：大数据概念及其技术特征</w:t>
      </w:r>
      <w:r>
        <w:rPr>
          <w:rFonts w:ascii="宋体" w:hAnsi="宋体"/>
          <w:color w:val="262600"/>
          <w:szCs w:val="21"/>
        </w:rPr>
        <w:t>和</w:t>
      </w:r>
      <w:r>
        <w:rPr>
          <w:rFonts w:hint="eastAsia" w:ascii="宋体" w:hAnsi="宋体"/>
          <w:color w:val="262600"/>
          <w:szCs w:val="21"/>
        </w:rPr>
        <w:t>大数据采集、处理技术</w:t>
      </w:r>
      <w:r>
        <w:rPr>
          <w:rFonts w:ascii="宋体" w:hAnsi="宋体"/>
          <w:color w:val="262600"/>
          <w:szCs w:val="21"/>
        </w:rPr>
        <w:t>等。</w:t>
      </w:r>
    </w:p>
    <w:p>
      <w:pPr>
        <w:spacing w:line="360" w:lineRule="auto"/>
        <w:ind w:firstLine="420" w:firstLineChars="200"/>
        <w:rPr>
          <w:color w:val="262600"/>
          <w:szCs w:val="21"/>
        </w:rPr>
      </w:pPr>
      <w:r>
        <w:rPr>
          <w:rFonts w:hint="eastAsia" w:ascii="宋体" w:hAnsi="宋体"/>
          <w:color w:val="262600"/>
          <w:szCs w:val="21"/>
        </w:rPr>
        <w:t>能力和素质：</w:t>
      </w:r>
      <w:r>
        <w:rPr>
          <w:rFonts w:hint="eastAsia" w:ascii="宋体" w:hAnsi="宋体"/>
          <w:color w:val="262600"/>
        </w:rPr>
        <w:t>大数据技术在园艺产业链</w:t>
      </w:r>
      <w:r>
        <w:rPr>
          <w:rFonts w:hint="eastAsia" w:ascii="宋体" w:hAnsi="宋体" w:cs="宋体"/>
          <w:color w:val="000000"/>
          <w:kern w:val="0"/>
          <w:szCs w:val="21"/>
          <w:lang w:bidi="ar"/>
        </w:rPr>
        <w:t>中的应用</w:t>
      </w:r>
      <w:r>
        <w:rPr>
          <w:rFonts w:hint="eastAsia" w:ascii="宋体" w:hAnsi="宋体"/>
          <w:color w:val="262600"/>
          <w:szCs w:val="21"/>
        </w:rPr>
        <w:t>。</w:t>
      </w:r>
    </w:p>
    <w:p>
      <w:pPr>
        <w:snapToGrid w:val="0"/>
        <w:spacing w:line="360" w:lineRule="auto"/>
        <w:rPr>
          <w:rFonts w:ascii="宋体" w:hAnsi="宋体"/>
          <w:b/>
          <w:bCs/>
          <w:szCs w:val="21"/>
        </w:rPr>
      </w:pPr>
      <w:r>
        <w:rPr>
          <w:rFonts w:hint="eastAsia" w:ascii="宋体" w:hAnsi="宋体"/>
          <w:b/>
          <w:bCs/>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w:t>
      </w:r>
      <w:r>
        <w:rPr>
          <w:rFonts w:hint="eastAsia" w:ascii="宋体" w:hAnsi="宋体"/>
          <w:color w:val="262600"/>
          <w:szCs w:val="21"/>
        </w:rPr>
        <w:t>大数据概念及其技术特征</w:t>
      </w:r>
      <w:r>
        <w:rPr>
          <w:rFonts w:hint="eastAsia" w:ascii="宋体" w:hAnsi="宋体"/>
          <w:szCs w:val="21"/>
        </w:rPr>
        <w:t>。</w:t>
      </w:r>
    </w:p>
    <w:p>
      <w:pPr>
        <w:snapToGrid w:val="0"/>
        <w:spacing w:line="360" w:lineRule="auto"/>
        <w:ind w:firstLine="422" w:firstLineChars="200"/>
        <w:rPr>
          <w:color w:val="262600"/>
          <w:szCs w:val="21"/>
        </w:rPr>
      </w:pPr>
      <w:r>
        <w:rPr>
          <w:b/>
          <w:bCs/>
          <w:szCs w:val="21"/>
        </w:rPr>
        <w:t>2</w:t>
      </w:r>
      <w:r>
        <w:rPr>
          <w:rFonts w:ascii="宋体" w:hAnsi="宋体"/>
          <w:b/>
          <w:bCs/>
          <w:szCs w:val="21"/>
        </w:rPr>
        <w:t>、领会</w:t>
      </w:r>
      <w:r>
        <w:rPr>
          <w:rFonts w:ascii="宋体" w:hAnsi="宋体"/>
          <w:szCs w:val="21"/>
        </w:rPr>
        <w:t>：</w:t>
      </w:r>
      <w:r>
        <w:rPr>
          <w:rFonts w:hint="eastAsia" w:ascii="宋体" w:hAnsi="宋体"/>
          <w:color w:val="262600"/>
          <w:szCs w:val="21"/>
        </w:rPr>
        <w:t>大数据采集技术、</w:t>
      </w:r>
      <w:r>
        <w:rPr>
          <w:rFonts w:hint="eastAsia" w:ascii="宋体" w:hAnsi="宋体" w:cs="宋体"/>
          <w:color w:val="000000"/>
          <w:kern w:val="0"/>
          <w:szCs w:val="21"/>
          <w:lang w:bidi="ar"/>
        </w:rPr>
        <w:t>大数据处理技术（分析与决策）</w:t>
      </w:r>
      <w:r>
        <w:rPr>
          <w:rFonts w:hint="eastAsia" w:ascii="宋体" w:hAnsi="宋体"/>
          <w:color w:val="262600"/>
          <w:szCs w:val="21"/>
        </w:rPr>
        <w:t>。</w:t>
      </w:r>
    </w:p>
    <w:p>
      <w:pPr>
        <w:snapToGrid w:val="0"/>
        <w:spacing w:line="360" w:lineRule="auto"/>
        <w:ind w:firstLine="422" w:firstLineChars="200"/>
        <w:rPr>
          <w:b/>
          <w:bCs/>
          <w:szCs w:val="21"/>
        </w:rPr>
      </w:pPr>
      <w:r>
        <w:rPr>
          <w:b/>
          <w:bCs/>
          <w:szCs w:val="21"/>
        </w:rPr>
        <w:t>3</w:t>
      </w:r>
      <w:r>
        <w:rPr>
          <w:rFonts w:ascii="宋体" w:hAnsi="宋体"/>
          <w:b/>
          <w:bCs/>
          <w:szCs w:val="21"/>
        </w:rPr>
        <w:t>、应用</w:t>
      </w:r>
      <w:r>
        <w:rPr>
          <w:rFonts w:ascii="宋体" w:hAnsi="宋体"/>
          <w:szCs w:val="21"/>
        </w:rPr>
        <w:t>：</w:t>
      </w:r>
      <w:r>
        <w:rPr>
          <w:rFonts w:hint="eastAsia"/>
          <w:color w:val="262600"/>
        </w:rPr>
        <w:t>运用大数据技术进行农情分析、作物精细化管理</w:t>
      </w:r>
      <w:r>
        <w:rPr>
          <w:rFonts w:hint="eastAsia" w:ascii="宋体" w:hAnsi="宋体"/>
          <w:szCs w:val="21"/>
        </w:rPr>
        <w:t>。</w:t>
      </w:r>
    </w:p>
    <w:p>
      <w:pPr>
        <w:snapToGrid w:val="0"/>
        <w:spacing w:line="360" w:lineRule="auto"/>
        <w:ind w:firstLine="422" w:firstLineChars="200"/>
        <w:rPr>
          <w:b/>
          <w:bCs/>
          <w:szCs w:val="21"/>
        </w:rPr>
      </w:pPr>
      <w:r>
        <w:rPr>
          <w:b/>
          <w:bCs/>
          <w:szCs w:val="21"/>
        </w:rPr>
        <w:t>4</w:t>
      </w:r>
      <w:r>
        <w:rPr>
          <w:rFonts w:ascii="宋体" w:hAnsi="宋体"/>
          <w:b/>
          <w:bCs/>
          <w:szCs w:val="21"/>
        </w:rPr>
        <w:t>、综合</w:t>
      </w:r>
      <w:r>
        <w:rPr>
          <w:rFonts w:ascii="宋体" w:hAnsi="宋体"/>
          <w:szCs w:val="21"/>
        </w:rPr>
        <w:t>：能够</w:t>
      </w:r>
      <w:r>
        <w:rPr>
          <w:rFonts w:hint="eastAsia" w:ascii="宋体" w:hAnsi="宋体"/>
          <w:szCs w:val="21"/>
        </w:rPr>
        <w:t>将大数据技术在园艺产业中应用。</w:t>
      </w:r>
    </w:p>
    <w:p>
      <w:pPr>
        <w:spacing w:line="360" w:lineRule="auto"/>
        <w:ind w:firstLine="422" w:firstLineChars="200"/>
        <w:jc w:val="center"/>
        <w:rPr>
          <w:b/>
          <w:bCs/>
          <w:color w:val="262600"/>
          <w:szCs w:val="21"/>
        </w:rPr>
      </w:pPr>
      <w:r>
        <w:rPr>
          <w:rFonts w:ascii="宋体" w:hAnsi="宋体"/>
          <w:b/>
          <w:bCs/>
          <w:color w:val="262600"/>
          <w:szCs w:val="21"/>
        </w:rPr>
        <w:t>第</w:t>
      </w:r>
      <w:r>
        <w:rPr>
          <w:rFonts w:hint="eastAsia" w:ascii="宋体" w:hAnsi="宋体"/>
          <w:b/>
          <w:bCs/>
          <w:color w:val="262600"/>
          <w:szCs w:val="21"/>
        </w:rPr>
        <w:t>七</w:t>
      </w:r>
      <w:r>
        <w:rPr>
          <w:rFonts w:ascii="宋体" w:hAnsi="宋体"/>
          <w:b/>
          <w:bCs/>
          <w:color w:val="262600"/>
          <w:szCs w:val="21"/>
        </w:rPr>
        <w:t>章</w:t>
      </w:r>
      <w:r>
        <w:rPr>
          <w:b/>
          <w:bCs/>
          <w:color w:val="262600"/>
          <w:szCs w:val="21"/>
        </w:rPr>
        <w:t xml:space="preserve">  </w:t>
      </w:r>
      <w:r>
        <w:rPr>
          <w:rFonts w:hint="eastAsia"/>
          <w:b/>
          <w:bCs/>
          <w:color w:val="262600"/>
        </w:rPr>
        <w:t>园艺信息化服务与智能化装备</w:t>
      </w:r>
    </w:p>
    <w:p>
      <w:pPr>
        <w:snapToGrid w:val="0"/>
        <w:spacing w:line="360" w:lineRule="auto"/>
        <w:rPr>
          <w:rFonts w:ascii="宋体" w:hAnsi="宋体"/>
          <w:b/>
          <w:bCs/>
          <w:szCs w:val="21"/>
        </w:rPr>
      </w:pPr>
      <w:r>
        <w:rPr>
          <w:rFonts w:hint="eastAsia" w:ascii="宋体" w:hAnsi="宋体"/>
          <w:b/>
          <w:bCs/>
        </w:rPr>
        <w:t>（一）学习目标</w:t>
      </w:r>
    </w:p>
    <w:p>
      <w:pPr>
        <w:snapToGrid w:val="0"/>
        <w:spacing w:line="360" w:lineRule="auto"/>
        <w:ind w:firstLine="422" w:firstLineChars="200"/>
        <w:rPr>
          <w:color w:val="262600"/>
          <w:szCs w:val="21"/>
        </w:rPr>
      </w:pPr>
      <w:r>
        <w:rPr>
          <w:rFonts w:hint="eastAsia"/>
          <w:b/>
          <w:bCs/>
          <w:szCs w:val="21"/>
        </w:rPr>
        <w:t>1</w:t>
      </w:r>
      <w:r>
        <w:rPr>
          <w:b/>
          <w:bCs/>
          <w:szCs w:val="21"/>
        </w:rPr>
        <w:t>.</w:t>
      </w:r>
      <w:r>
        <w:rPr>
          <w:rFonts w:hint="eastAsia"/>
          <w:b/>
          <w:bCs/>
          <w:szCs w:val="21"/>
        </w:rPr>
        <w:t xml:space="preserve"> </w:t>
      </w:r>
      <w:r>
        <w:rPr>
          <w:rFonts w:ascii="宋体" w:hAnsi="宋体"/>
          <w:b/>
          <w:bCs/>
          <w:szCs w:val="21"/>
        </w:rPr>
        <w:t>一般了解</w:t>
      </w:r>
      <w:r>
        <w:rPr>
          <w:rFonts w:ascii="宋体" w:hAnsi="宋体"/>
          <w:szCs w:val="21"/>
        </w:rPr>
        <w:t>：</w:t>
      </w:r>
      <w:r>
        <w:rPr>
          <w:szCs w:val="21"/>
        </w:rPr>
        <w:t>园艺产业智能化装备在园艺产业现代化生产中的应用现状及其发展前景</w:t>
      </w:r>
      <w:r>
        <w:rPr>
          <w:rFonts w:hint="eastAsia" w:ascii="宋体" w:hAnsi="宋体"/>
          <w:color w:val="262600"/>
          <w:szCs w:val="21"/>
        </w:rPr>
        <w:t>。</w:t>
      </w:r>
    </w:p>
    <w:p>
      <w:pPr>
        <w:snapToGrid w:val="0"/>
        <w:spacing w:line="360" w:lineRule="auto"/>
        <w:ind w:firstLine="422" w:firstLineChars="200"/>
        <w:rPr>
          <w:szCs w:val="21"/>
        </w:rPr>
      </w:pPr>
      <w:r>
        <w:rPr>
          <w:b/>
          <w:bCs/>
          <w:szCs w:val="21"/>
        </w:rPr>
        <w:t xml:space="preserve">2. </w:t>
      </w:r>
      <w:r>
        <w:rPr>
          <w:rFonts w:ascii="宋体" w:hAnsi="宋体"/>
          <w:b/>
          <w:bCs/>
          <w:szCs w:val="21"/>
        </w:rPr>
        <w:t>一般掌握</w:t>
      </w:r>
      <w:r>
        <w:rPr>
          <w:rFonts w:ascii="宋体" w:hAnsi="宋体"/>
          <w:szCs w:val="21"/>
        </w:rPr>
        <w:t>：</w:t>
      </w:r>
      <w:r>
        <w:rPr>
          <w:rFonts w:hint="eastAsia" w:ascii="宋体" w:hAnsi="宋体" w:cs="宋体"/>
          <w:color w:val="000000"/>
          <w:kern w:val="0"/>
          <w:szCs w:val="21"/>
          <w:lang w:bidi="ar"/>
        </w:rPr>
        <w:t>园艺信息化服务、农机与农艺融合的现状及存在的问题</w:t>
      </w:r>
      <w:r>
        <w:rPr>
          <w:rFonts w:hint="eastAsia" w:ascii="宋体" w:hAnsi="宋体"/>
          <w:szCs w:val="21"/>
        </w:rPr>
        <w:t>。</w:t>
      </w:r>
    </w:p>
    <w:p>
      <w:pPr>
        <w:snapToGrid w:val="0"/>
        <w:spacing w:line="360" w:lineRule="auto"/>
        <w:ind w:firstLine="422" w:firstLineChars="200"/>
        <w:rPr>
          <w:color w:val="262600"/>
          <w:szCs w:val="21"/>
        </w:rPr>
      </w:pPr>
      <w:r>
        <w:rPr>
          <w:b/>
          <w:bCs/>
          <w:szCs w:val="21"/>
        </w:rPr>
        <w:t xml:space="preserve">3. </w:t>
      </w:r>
      <w:r>
        <w:rPr>
          <w:rFonts w:ascii="宋体" w:hAnsi="宋体"/>
          <w:b/>
          <w:bCs/>
          <w:szCs w:val="21"/>
        </w:rPr>
        <w:t>熟练掌握</w:t>
      </w:r>
      <w:r>
        <w:rPr>
          <w:rFonts w:ascii="宋体" w:hAnsi="宋体"/>
          <w:szCs w:val="21"/>
        </w:rPr>
        <w:t>：</w:t>
      </w:r>
      <w:r>
        <w:rPr>
          <w:rFonts w:hint="eastAsia" w:ascii="宋体" w:hAnsi="宋体" w:cs="宋体"/>
          <w:color w:val="000000"/>
          <w:kern w:val="0"/>
          <w:szCs w:val="21"/>
          <w:lang w:bidi="ar"/>
        </w:rPr>
        <w:t>园艺信息服务、农机、农艺和信息技术融合的必要性及其技术途径</w:t>
      </w:r>
      <w:r>
        <w:rPr>
          <w:rFonts w:hint="eastAsia" w:ascii="宋体" w:hAnsi="宋体"/>
          <w:szCs w:val="21"/>
        </w:rPr>
        <w:t>。</w:t>
      </w:r>
    </w:p>
    <w:p>
      <w:pPr>
        <w:snapToGrid w:val="0"/>
        <w:spacing w:line="360" w:lineRule="auto"/>
        <w:rPr>
          <w:rFonts w:ascii="宋体" w:hAnsi="宋体"/>
          <w:szCs w:val="21"/>
        </w:rPr>
      </w:pPr>
      <w:r>
        <w:rPr>
          <w:rFonts w:hint="eastAsia" w:ascii="宋体" w:hAnsi="宋体"/>
          <w:b/>
          <w:bCs/>
        </w:rPr>
        <w:t>（二）考核内容</w:t>
      </w:r>
    </w:p>
    <w:p>
      <w:pPr>
        <w:spacing w:line="360" w:lineRule="auto"/>
        <w:ind w:firstLine="420" w:firstLineChars="200"/>
        <w:rPr>
          <w:rFonts w:ascii="宋体" w:hAnsi="宋体"/>
          <w:color w:val="262600"/>
          <w:szCs w:val="21"/>
        </w:rPr>
      </w:pPr>
      <w:r>
        <w:rPr>
          <w:rFonts w:hint="eastAsia" w:ascii="宋体" w:hAnsi="宋体"/>
          <w:color w:val="262600"/>
          <w:szCs w:val="21"/>
        </w:rPr>
        <w:t>知识：</w:t>
      </w:r>
      <w:r>
        <w:rPr>
          <w:rFonts w:hint="eastAsia" w:ascii="宋体" w:hAnsi="宋体" w:cs="宋体"/>
          <w:color w:val="000000"/>
          <w:kern w:val="0"/>
          <w:szCs w:val="21"/>
          <w:lang w:bidi="ar"/>
        </w:rPr>
        <w:t>园艺信息服务、农机、农艺和信息技术融合的必要性及其技术途径</w:t>
      </w:r>
      <w:r>
        <w:rPr>
          <w:rFonts w:ascii="宋体" w:hAnsi="宋体"/>
          <w:color w:val="262600"/>
          <w:szCs w:val="21"/>
        </w:rPr>
        <w:t>等。</w:t>
      </w:r>
    </w:p>
    <w:p>
      <w:pPr>
        <w:spacing w:line="360" w:lineRule="auto"/>
        <w:ind w:firstLine="420" w:firstLineChars="200"/>
        <w:rPr>
          <w:color w:val="262600"/>
          <w:szCs w:val="21"/>
        </w:rPr>
      </w:pPr>
      <w:r>
        <w:rPr>
          <w:rFonts w:hint="eastAsia" w:ascii="宋体" w:hAnsi="宋体"/>
          <w:color w:val="262600"/>
          <w:szCs w:val="21"/>
        </w:rPr>
        <w:t>能力和素质：</w:t>
      </w:r>
      <w:r>
        <w:rPr>
          <w:szCs w:val="21"/>
        </w:rPr>
        <w:t>园艺产业智能化装备在园艺产业现代化生产中的应用</w:t>
      </w:r>
      <w:r>
        <w:rPr>
          <w:rFonts w:hint="eastAsia" w:ascii="宋体" w:hAnsi="宋体"/>
          <w:color w:val="262600"/>
          <w:szCs w:val="21"/>
        </w:rPr>
        <w:t>。</w:t>
      </w:r>
    </w:p>
    <w:p>
      <w:pPr>
        <w:snapToGrid w:val="0"/>
        <w:spacing w:line="360" w:lineRule="auto"/>
        <w:rPr>
          <w:rFonts w:ascii="宋体" w:hAnsi="宋体"/>
          <w:b/>
          <w:bCs/>
          <w:szCs w:val="21"/>
        </w:rPr>
      </w:pPr>
      <w:r>
        <w:rPr>
          <w:rFonts w:hint="eastAsia" w:ascii="宋体" w:hAnsi="宋体"/>
          <w:b/>
          <w:bCs/>
        </w:rPr>
        <w:t>（三）考核要求</w:t>
      </w:r>
    </w:p>
    <w:p>
      <w:pPr>
        <w:snapToGrid w:val="0"/>
        <w:spacing w:line="360" w:lineRule="auto"/>
        <w:ind w:firstLine="422" w:firstLineChars="200"/>
        <w:rPr>
          <w:b/>
          <w:bCs/>
          <w:szCs w:val="21"/>
        </w:rPr>
      </w:pPr>
      <w:r>
        <w:rPr>
          <w:b/>
          <w:bCs/>
          <w:szCs w:val="21"/>
        </w:rPr>
        <w:t>1</w:t>
      </w:r>
      <w:r>
        <w:rPr>
          <w:rFonts w:ascii="宋体" w:hAnsi="宋体"/>
          <w:b/>
          <w:bCs/>
          <w:szCs w:val="21"/>
        </w:rPr>
        <w:t>、识记</w:t>
      </w:r>
      <w:r>
        <w:rPr>
          <w:rFonts w:ascii="宋体" w:hAnsi="宋体"/>
          <w:szCs w:val="21"/>
        </w:rPr>
        <w:t>：</w:t>
      </w:r>
      <w:r>
        <w:rPr>
          <w:rFonts w:hint="eastAsia" w:ascii="宋体" w:hAnsi="宋体" w:cs="宋体"/>
          <w:color w:val="000000"/>
          <w:kern w:val="0"/>
          <w:szCs w:val="21"/>
          <w:lang w:bidi="ar"/>
        </w:rPr>
        <w:t>园艺信息服务、农机、农艺和信息技术融合的技术途径</w:t>
      </w:r>
      <w:r>
        <w:rPr>
          <w:rFonts w:hint="eastAsia" w:ascii="宋体" w:hAnsi="宋体"/>
          <w:szCs w:val="21"/>
        </w:rPr>
        <w:t>。</w:t>
      </w:r>
    </w:p>
    <w:p>
      <w:pPr>
        <w:snapToGrid w:val="0"/>
        <w:spacing w:line="360" w:lineRule="auto"/>
        <w:ind w:firstLine="422" w:firstLineChars="200"/>
        <w:rPr>
          <w:color w:val="262600"/>
          <w:szCs w:val="21"/>
        </w:rPr>
      </w:pPr>
      <w:r>
        <w:rPr>
          <w:b/>
          <w:bCs/>
          <w:szCs w:val="21"/>
        </w:rPr>
        <w:t>2</w:t>
      </w:r>
      <w:r>
        <w:rPr>
          <w:rFonts w:ascii="宋体" w:hAnsi="宋体"/>
          <w:b/>
          <w:bCs/>
          <w:szCs w:val="21"/>
        </w:rPr>
        <w:t>、领会</w:t>
      </w:r>
      <w:r>
        <w:rPr>
          <w:rFonts w:ascii="宋体" w:hAnsi="宋体"/>
          <w:szCs w:val="21"/>
        </w:rPr>
        <w:t>：</w:t>
      </w:r>
      <w:r>
        <w:rPr>
          <w:rFonts w:hint="eastAsia" w:ascii="宋体" w:hAnsi="宋体" w:cs="宋体"/>
          <w:color w:val="000000"/>
          <w:kern w:val="0"/>
          <w:szCs w:val="21"/>
          <w:lang w:bidi="ar"/>
        </w:rPr>
        <w:t>园艺信息化服务、农机与农艺融合的现状及存在的问题</w:t>
      </w:r>
      <w:r>
        <w:rPr>
          <w:rFonts w:hint="eastAsia" w:ascii="宋体" w:hAnsi="宋体"/>
          <w:color w:val="262600"/>
          <w:szCs w:val="21"/>
        </w:rPr>
        <w:t>。</w:t>
      </w:r>
    </w:p>
    <w:p>
      <w:pPr>
        <w:snapToGrid w:val="0"/>
        <w:spacing w:line="360" w:lineRule="auto"/>
        <w:ind w:firstLine="422" w:firstLineChars="200"/>
        <w:rPr>
          <w:b/>
          <w:bCs/>
          <w:szCs w:val="21"/>
        </w:rPr>
      </w:pPr>
      <w:r>
        <w:rPr>
          <w:b/>
          <w:bCs/>
          <w:szCs w:val="21"/>
        </w:rPr>
        <w:t>3</w:t>
      </w:r>
      <w:r>
        <w:rPr>
          <w:rFonts w:ascii="宋体" w:hAnsi="宋体"/>
          <w:b/>
          <w:bCs/>
          <w:szCs w:val="21"/>
        </w:rPr>
        <w:t>、应用</w:t>
      </w:r>
      <w:r>
        <w:rPr>
          <w:rFonts w:ascii="宋体" w:hAnsi="宋体"/>
          <w:szCs w:val="21"/>
        </w:rPr>
        <w:t>：</w:t>
      </w:r>
      <w:r>
        <w:rPr>
          <w:rFonts w:hint="eastAsia" w:ascii="宋体" w:hAnsi="宋体"/>
          <w:szCs w:val="21"/>
        </w:rPr>
        <w:t>能够利用</w:t>
      </w:r>
      <w:r>
        <w:rPr>
          <w:szCs w:val="21"/>
        </w:rPr>
        <w:t>园艺产业智能化装备</w:t>
      </w:r>
      <w:r>
        <w:rPr>
          <w:rFonts w:hint="eastAsia"/>
          <w:szCs w:val="21"/>
        </w:rPr>
        <w:t>融合应用</w:t>
      </w:r>
      <w:r>
        <w:rPr>
          <w:szCs w:val="21"/>
        </w:rPr>
        <w:t>在园艺产业现代化生产中</w:t>
      </w:r>
      <w:r>
        <w:rPr>
          <w:rFonts w:hint="eastAsia" w:ascii="宋体" w:hAnsi="宋体"/>
          <w:szCs w:val="21"/>
        </w:rPr>
        <w:t>。</w:t>
      </w:r>
    </w:p>
    <w:p>
      <w:pPr>
        <w:snapToGrid w:val="0"/>
        <w:spacing w:line="360" w:lineRule="auto"/>
        <w:rPr>
          <w:rFonts w:ascii="宋体" w:hAnsi="宋体"/>
          <w:b/>
          <w:bCs/>
          <w:color w:val="262600"/>
          <w:szCs w:val="21"/>
        </w:rPr>
      </w:pPr>
    </w:p>
    <w:p>
      <w:pPr>
        <w:snapToGrid w:val="0"/>
        <w:spacing w:line="360" w:lineRule="auto"/>
        <w:rPr>
          <w:rFonts w:ascii="宋体" w:hAnsi="宋体"/>
          <w:b/>
          <w:szCs w:val="21"/>
        </w:rPr>
      </w:pPr>
      <w:r>
        <w:rPr>
          <w:rFonts w:hint="eastAsia" w:ascii="宋体" w:hAnsi="宋体"/>
          <w:b/>
          <w:szCs w:val="21"/>
        </w:rPr>
        <w:t>三、实验、实习教学部分的考核要求</w:t>
      </w:r>
    </w:p>
    <w:p>
      <w:pPr>
        <w:snapToGrid w:val="0"/>
        <w:spacing w:line="360" w:lineRule="auto"/>
        <w:ind w:firstLine="420" w:firstLineChars="200"/>
        <w:rPr>
          <w:rFonts w:ascii="宋体" w:hAnsi="Calibri"/>
          <w:color w:val="000000"/>
          <w:szCs w:val="21"/>
        </w:rPr>
      </w:pPr>
      <w:r>
        <w:rPr>
          <w:rFonts w:hint="eastAsia" w:ascii="宋体" w:hAnsi="宋体"/>
          <w:color w:val="000000"/>
          <w:szCs w:val="21"/>
        </w:rPr>
        <w:t>1.具有良好的团队精神，在实验操作与实习过程中能够相互协作、相互帮助。</w:t>
      </w:r>
    </w:p>
    <w:p>
      <w:pPr>
        <w:snapToGrid w:val="0"/>
        <w:spacing w:line="360" w:lineRule="auto"/>
        <w:ind w:firstLine="420" w:firstLineChars="200"/>
        <w:rPr>
          <w:rFonts w:ascii="宋体" w:hAnsi="Calibri"/>
          <w:color w:val="000000"/>
          <w:szCs w:val="21"/>
        </w:rPr>
      </w:pPr>
      <w:r>
        <w:rPr>
          <w:rFonts w:hint="eastAsia" w:ascii="宋体" w:hAnsi="宋体"/>
          <w:color w:val="000000"/>
          <w:szCs w:val="21"/>
        </w:rPr>
        <w:t>2.能够正确使用实验中所使用的仪器设备，规范操作。</w:t>
      </w:r>
    </w:p>
    <w:p>
      <w:pPr>
        <w:snapToGrid w:val="0"/>
        <w:spacing w:line="360" w:lineRule="auto"/>
        <w:ind w:firstLine="420" w:firstLineChars="200"/>
        <w:rPr>
          <w:rFonts w:ascii="宋体" w:hAnsi="Calibri"/>
          <w:color w:val="000000"/>
          <w:szCs w:val="21"/>
        </w:rPr>
      </w:pPr>
      <w:r>
        <w:rPr>
          <w:rFonts w:hint="eastAsia" w:ascii="宋体" w:hAnsi="宋体"/>
          <w:color w:val="000000"/>
          <w:szCs w:val="21"/>
        </w:rPr>
        <w:t>3.能够根据实验与实习的任务、目的，设计合理的实验、实习方案与步骤，并合理安排。</w:t>
      </w:r>
    </w:p>
    <w:p>
      <w:pPr>
        <w:snapToGrid w:val="0"/>
        <w:spacing w:line="360" w:lineRule="auto"/>
        <w:ind w:firstLine="420" w:firstLineChars="200"/>
        <w:rPr>
          <w:rFonts w:ascii="宋体" w:hAnsi="Calibri"/>
          <w:color w:val="000000"/>
          <w:szCs w:val="21"/>
        </w:rPr>
      </w:pPr>
      <w:r>
        <w:rPr>
          <w:rFonts w:ascii="宋体" w:hAnsi="宋体"/>
          <w:color w:val="000000"/>
          <w:szCs w:val="21"/>
        </w:rPr>
        <w:t>4</w:t>
      </w:r>
      <w:r>
        <w:rPr>
          <w:rFonts w:hint="eastAsia" w:ascii="宋体" w:hAnsi="宋体"/>
          <w:color w:val="000000"/>
          <w:szCs w:val="21"/>
        </w:rPr>
        <w:t>.正确分析试验结果，能够结合理论知识，对实验现象、实验结果做出正确合理的解释。</w:t>
      </w:r>
    </w:p>
    <w:p>
      <w:pPr>
        <w:snapToGrid w:val="0"/>
        <w:spacing w:line="360" w:lineRule="auto"/>
        <w:ind w:firstLine="420" w:firstLineChars="200"/>
        <w:rPr>
          <w:rFonts w:ascii="宋体" w:hAnsi="宋体"/>
          <w:color w:val="000000"/>
          <w:szCs w:val="21"/>
        </w:rPr>
      </w:pPr>
      <w:r>
        <w:rPr>
          <w:rFonts w:ascii="宋体" w:hAnsi="宋体"/>
          <w:color w:val="000000"/>
          <w:szCs w:val="21"/>
        </w:rPr>
        <w:t>5</w:t>
      </w:r>
      <w:r>
        <w:rPr>
          <w:rFonts w:hint="eastAsia" w:ascii="宋体" w:hAnsi="宋体"/>
          <w:color w:val="000000"/>
          <w:szCs w:val="21"/>
        </w:rPr>
        <w:t>.掌握正确的数据处理方法，能够独立撰写实验、实习报告。</w:t>
      </w:r>
    </w:p>
    <w:p>
      <w:pPr>
        <w:snapToGrid w:val="0"/>
        <w:spacing w:line="360" w:lineRule="auto"/>
        <w:rPr>
          <w:rFonts w:ascii="宋体" w:hAnsi="宋体"/>
          <w:b/>
          <w:szCs w:val="21"/>
        </w:rPr>
      </w:pPr>
      <w:r>
        <w:rPr>
          <w:rFonts w:hint="eastAsia" w:ascii="宋体" w:hAnsi="宋体"/>
          <w:b/>
          <w:szCs w:val="21"/>
        </w:rPr>
        <w:t>四、考核方式</w:t>
      </w:r>
    </w:p>
    <w:p>
      <w:pPr>
        <w:spacing w:line="360" w:lineRule="auto"/>
        <w:ind w:firstLine="420" w:firstLineChars="200"/>
        <w:rPr>
          <w:rFonts w:ascii="Calibri" w:hAnsi="Calibri"/>
          <w:szCs w:val="21"/>
        </w:rPr>
      </w:pPr>
      <w:r>
        <w:rPr>
          <w:rFonts w:ascii="宋体" w:hAnsi="宋体"/>
          <w:szCs w:val="21"/>
        </w:rPr>
        <w:t>本课程考核</w:t>
      </w:r>
      <w:r>
        <w:rPr>
          <w:rFonts w:hint="eastAsia" w:ascii="宋体" w:hAnsi="宋体"/>
          <w:szCs w:val="21"/>
        </w:rPr>
        <w:t>采用理论与实践教学相结合的方式进行。根据课程的学习情况，采用课堂提问、课堂测试、小组讨论、期中测试与期末考试或论文式测评等多种考核评价方式。平时成绩的考核方式包括课堂表现、线上学习（小测验）、课后作业、小组学习讨论、实验实践、期中考试等。</w:t>
      </w:r>
    </w:p>
    <w:p>
      <w:pPr>
        <w:snapToGrid w:val="0"/>
        <w:spacing w:line="360" w:lineRule="auto"/>
        <w:ind w:firstLine="420" w:firstLineChars="200"/>
        <w:rPr>
          <w:rFonts w:ascii="宋体" w:hAnsi="宋体"/>
          <w:color w:val="000000"/>
          <w:szCs w:val="21"/>
        </w:rPr>
      </w:pPr>
      <w:r>
        <w:rPr>
          <w:rFonts w:hint="eastAsia" w:ascii="宋体" w:hAnsi="宋体"/>
          <w:color w:val="000000"/>
          <w:szCs w:val="21"/>
        </w:rPr>
        <w:t>考试时间为课程结束后1～3周内进行，其他考核随课程单元学习过程的进展进行。</w:t>
      </w:r>
    </w:p>
    <w:p>
      <w:pPr>
        <w:snapToGrid w:val="0"/>
        <w:spacing w:line="360" w:lineRule="auto"/>
        <w:rPr>
          <w:rFonts w:ascii="宋体" w:hAnsi="宋体"/>
          <w:b/>
          <w:szCs w:val="21"/>
        </w:rPr>
      </w:pPr>
      <w:r>
        <w:rPr>
          <w:rFonts w:hint="eastAsia" w:ascii="宋体" w:hAnsi="宋体"/>
          <w:b/>
          <w:szCs w:val="21"/>
        </w:rPr>
        <w:t>五、成绩评定</w:t>
      </w:r>
    </w:p>
    <w:p>
      <w:pPr>
        <w:snapToGrid w:val="0"/>
        <w:spacing w:line="360" w:lineRule="auto"/>
        <w:ind w:firstLine="420" w:firstLineChars="200"/>
        <w:rPr>
          <w:rFonts w:ascii="宋体" w:hAnsi="宋体"/>
          <w:szCs w:val="21"/>
        </w:rPr>
      </w:pPr>
      <w:r>
        <w:rPr>
          <w:rFonts w:hint="eastAsia" w:ascii="宋体" w:hAnsi="宋体"/>
          <w:szCs w:val="21"/>
        </w:rPr>
        <w:t>1.平时成绩</w:t>
      </w:r>
    </w:p>
    <w:p>
      <w:pPr>
        <w:snapToGrid w:val="0"/>
        <w:spacing w:line="360" w:lineRule="auto"/>
        <w:ind w:firstLine="420" w:firstLineChars="200"/>
        <w:rPr>
          <w:rFonts w:ascii="Calibri" w:hAnsi="Calibri"/>
          <w:szCs w:val="21"/>
        </w:rPr>
      </w:pPr>
      <w:r>
        <w:rPr>
          <w:rFonts w:hint="eastAsia" w:ascii="宋体" w:hAnsi="宋体"/>
          <w:szCs w:val="21"/>
        </w:rPr>
        <w:t>平时成绩的考核环节包括实验实践环节、作业完成情况以及课堂表现、考勤考纪等。其中实验实践</w:t>
      </w:r>
      <w:r>
        <w:rPr>
          <w:rFonts w:ascii="宋体" w:hAnsi="宋体"/>
          <w:szCs w:val="21"/>
        </w:rPr>
        <w:t>环节占平时成绩的</w:t>
      </w:r>
      <w:r>
        <w:rPr>
          <w:rFonts w:ascii="Calibri" w:hAnsi="Calibri"/>
          <w:szCs w:val="21"/>
        </w:rPr>
        <w:t>50%</w:t>
      </w:r>
      <w:r>
        <w:rPr>
          <w:rFonts w:ascii="宋体" w:hAnsi="宋体"/>
          <w:szCs w:val="21"/>
        </w:rPr>
        <w:t>，</w:t>
      </w:r>
      <w:r>
        <w:rPr>
          <w:rFonts w:hint="eastAsia" w:ascii="宋体" w:hAnsi="宋体"/>
          <w:szCs w:val="21"/>
        </w:rPr>
        <w:t>出勤状况和实验实习参与度</w:t>
      </w:r>
      <w:r>
        <w:rPr>
          <w:rFonts w:ascii="宋体" w:hAnsi="宋体"/>
          <w:szCs w:val="21"/>
        </w:rPr>
        <w:t>其他占</w:t>
      </w:r>
      <w:r>
        <w:rPr>
          <w:rFonts w:ascii="Calibri" w:hAnsi="Calibri"/>
          <w:szCs w:val="21"/>
        </w:rPr>
        <w:t>50%</w:t>
      </w:r>
      <w:r>
        <w:rPr>
          <w:rFonts w:ascii="宋体" w:hAnsi="宋体"/>
          <w:szCs w:val="21"/>
        </w:rPr>
        <w:t>。</w:t>
      </w:r>
    </w:p>
    <w:p>
      <w:pPr>
        <w:snapToGrid w:val="0"/>
        <w:spacing w:line="360" w:lineRule="auto"/>
        <w:ind w:firstLine="420" w:firstLineChars="200"/>
        <w:rPr>
          <w:rFonts w:ascii="Calibri" w:hAnsi="Calibri"/>
          <w:szCs w:val="21"/>
        </w:rPr>
      </w:pPr>
      <w:r>
        <w:rPr>
          <w:szCs w:val="21"/>
        </w:rPr>
        <w:t xml:space="preserve">2. </w:t>
      </w:r>
      <w:r>
        <w:rPr>
          <w:rFonts w:hint="eastAsia" w:ascii="Calibri" w:hAnsi="Calibri"/>
          <w:szCs w:val="21"/>
        </w:rPr>
        <w:t>期末成绩</w:t>
      </w:r>
    </w:p>
    <w:p>
      <w:pPr>
        <w:snapToGrid w:val="0"/>
        <w:spacing w:line="360" w:lineRule="auto"/>
        <w:ind w:firstLine="420" w:firstLineChars="200"/>
        <w:rPr>
          <w:rFonts w:ascii="宋体" w:hAnsi="宋体"/>
          <w:szCs w:val="21"/>
        </w:rPr>
      </w:pPr>
      <w:r>
        <w:rPr>
          <w:rFonts w:hint="eastAsia" w:ascii="宋体" w:hAnsi="宋体"/>
          <w:szCs w:val="21"/>
        </w:rPr>
        <w:t>期末成绩以课程论文形式进行，占比6</w:t>
      </w:r>
      <w:r>
        <w:rPr>
          <w:rFonts w:ascii="宋体" w:hAnsi="宋体"/>
          <w:szCs w:val="21"/>
        </w:rPr>
        <w:t>0%</w:t>
      </w:r>
      <w:r>
        <w:rPr>
          <w:rFonts w:hint="eastAsia" w:ascii="宋体" w:hAnsi="宋体"/>
          <w:szCs w:val="21"/>
        </w:rPr>
        <w:t>。</w:t>
      </w:r>
    </w:p>
    <w:p>
      <w:pPr>
        <w:snapToGrid w:val="0"/>
        <w:spacing w:line="360" w:lineRule="auto"/>
        <w:ind w:firstLine="420" w:firstLineChars="200"/>
        <w:rPr>
          <w:szCs w:val="21"/>
        </w:rPr>
      </w:pPr>
      <w:r>
        <w:rPr>
          <w:rFonts w:hint="eastAsia"/>
          <w:szCs w:val="21"/>
        </w:rPr>
        <w:t>3.综合成绩（平时成绩×2</w:t>
      </w:r>
      <w:r>
        <w:rPr>
          <w:szCs w:val="21"/>
        </w:rPr>
        <w:t>0%</w:t>
      </w:r>
      <w:r>
        <w:rPr>
          <w:rFonts w:hint="eastAsia"/>
          <w:szCs w:val="21"/>
        </w:rPr>
        <w:t>+实验课成绩×2</w:t>
      </w:r>
      <w:r>
        <w:rPr>
          <w:szCs w:val="21"/>
        </w:rPr>
        <w:t>0%</w:t>
      </w:r>
      <w:r>
        <w:rPr>
          <w:rFonts w:hint="eastAsia"/>
          <w:szCs w:val="21"/>
        </w:rPr>
        <w:t>+期末成绩×6</w:t>
      </w:r>
      <w:r>
        <w:rPr>
          <w:szCs w:val="21"/>
        </w:rPr>
        <w:t>0</w:t>
      </w:r>
      <w:r>
        <w:rPr>
          <w:rFonts w:hint="eastAsia"/>
          <w:szCs w:val="21"/>
        </w:rPr>
        <w:t>%）</w:t>
      </w:r>
    </w:p>
    <w:p>
      <w:pPr>
        <w:snapToGrid w:val="0"/>
        <w:spacing w:line="360" w:lineRule="auto"/>
        <w:rPr>
          <w:rFonts w:ascii="宋体" w:hAnsi="宋体"/>
          <w:b/>
          <w:szCs w:val="21"/>
        </w:rPr>
      </w:pPr>
      <w:r>
        <w:rPr>
          <w:rFonts w:hint="eastAsia" w:ascii="宋体" w:hAnsi="宋体"/>
          <w:b/>
          <w:szCs w:val="21"/>
        </w:rPr>
        <w:t>六、考核结果分析反馈</w:t>
      </w:r>
    </w:p>
    <w:p>
      <w:pPr>
        <w:snapToGrid w:val="0"/>
        <w:spacing w:line="360" w:lineRule="auto"/>
        <w:ind w:firstLine="420" w:firstLineChars="200"/>
        <w:rPr>
          <w:rFonts w:ascii="宋体" w:hAnsi="宋体"/>
          <w:bCs/>
          <w:szCs w:val="21"/>
        </w:rPr>
      </w:pPr>
      <w:r>
        <w:rPr>
          <w:rFonts w:hint="eastAsia" w:ascii="宋体" w:hAnsi="宋体"/>
          <w:bCs/>
          <w:szCs w:val="21"/>
        </w:rPr>
        <w:t>1、通过作业的汇报与展示、实验操作实训、课堂提问等方式进行，教师对完成情况在课堂上进行指导与点评，及时进行反馈。</w:t>
      </w:r>
    </w:p>
    <w:p>
      <w:pPr>
        <w:snapToGrid w:val="0"/>
        <w:spacing w:line="360" w:lineRule="auto"/>
        <w:ind w:firstLine="420" w:firstLineChars="200"/>
      </w:pPr>
      <w:r>
        <w:rPr>
          <w:rFonts w:ascii="宋体" w:hAnsi="宋体"/>
          <w:bCs/>
          <w:szCs w:val="21"/>
        </w:rPr>
        <w:t>2</w:t>
      </w:r>
      <w:r>
        <w:rPr>
          <w:rFonts w:hint="eastAsia" w:ascii="宋体" w:hAnsi="宋体"/>
          <w:bCs/>
          <w:szCs w:val="21"/>
        </w:rPr>
        <w:t>、基于学生考核结果，学生评教及建议，改进课堂教学。</w:t>
      </w:r>
    </w:p>
    <w:p>
      <w:pPr>
        <w:rPr>
          <w:sz w:val="28"/>
        </w:rPr>
      </w:pPr>
      <w:bookmarkStart w:id="1016" w:name="_Toc138076748"/>
      <w:bookmarkStart w:id="1017" w:name="_Toc138076204"/>
      <w:r>
        <w:rPr>
          <w:sz w:val="28"/>
        </w:rPr>
        <w:br w:type="page"/>
      </w:r>
    </w:p>
    <w:p>
      <w:pPr>
        <w:pStyle w:val="21"/>
        <w:rPr>
          <w:sz w:val="28"/>
        </w:rPr>
      </w:pPr>
      <w:bookmarkStart w:id="1018" w:name="_Toc4631"/>
      <w:r>
        <w:rPr>
          <w:sz w:val="28"/>
        </w:rPr>
        <w:t>创意农业</w:t>
      </w:r>
      <w:bookmarkEnd w:id="1016"/>
      <w:bookmarkEnd w:id="1017"/>
      <w:bookmarkEnd w:id="1018"/>
      <w:r>
        <w:rPr>
          <w:rFonts w:hint="eastAsia"/>
          <w:sz w:val="28"/>
        </w:rPr>
        <w:t>考核大纲</w:t>
      </w:r>
    </w:p>
    <w:p>
      <w:pPr>
        <w:snapToGrid w:val="0"/>
        <w:spacing w:line="360" w:lineRule="auto"/>
        <w:jc w:val="center"/>
        <w:rPr>
          <w:sz w:val="24"/>
        </w:rPr>
      </w:pPr>
      <w:r>
        <w:rPr>
          <w:rFonts w:hint="eastAsia"/>
          <w:sz w:val="24"/>
          <w:lang w:eastAsia="zh-CN"/>
        </w:rPr>
        <w:t>（</w:t>
      </w:r>
      <w:r>
        <w:rPr>
          <w:sz w:val="24"/>
        </w:rPr>
        <w:t>Creative Agriculture</w:t>
      </w:r>
      <w:r>
        <w:rPr>
          <w:rFonts w:hint="eastAsia"/>
          <w:sz w:val="24"/>
          <w:lang w:eastAsia="zh-CN"/>
        </w:rPr>
        <w:t>）</w:t>
      </w:r>
    </w:p>
    <w:p>
      <w:pPr>
        <w:snapToGrid w:val="0"/>
        <w:spacing w:line="360" w:lineRule="auto"/>
        <w:jc w:val="center"/>
        <w:rPr>
          <w:b/>
          <w:szCs w:val="21"/>
        </w:rPr>
      </w:pPr>
      <w:r>
        <w:rPr>
          <w:b/>
          <w:szCs w:val="21"/>
        </w:rPr>
        <w:t>课程基本信息</w:t>
      </w:r>
    </w:p>
    <w:tbl>
      <w:tblPr>
        <w:tblStyle w:val="23"/>
        <w:tblW w:w="505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72"/>
        <w:gridCol w:w="2275"/>
        <w:gridCol w:w="3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666" w:type="pct"/>
            <w:vAlign w:val="center"/>
          </w:tcPr>
          <w:p>
            <w:pPr>
              <w:tabs>
                <w:tab w:val="left" w:pos="1740"/>
              </w:tabs>
              <w:snapToGrid w:val="0"/>
              <w:rPr>
                <w:b/>
                <w:bCs/>
                <w:szCs w:val="21"/>
              </w:rPr>
            </w:pPr>
            <w:r>
              <w:rPr>
                <w:b/>
                <w:bCs/>
                <w:szCs w:val="21"/>
              </w:rPr>
              <w:t>课程编号：19011122</w:t>
            </w:r>
          </w:p>
        </w:tc>
        <w:tc>
          <w:tcPr>
            <w:tcW w:w="1234" w:type="pct"/>
            <w:vAlign w:val="center"/>
          </w:tcPr>
          <w:p>
            <w:pPr>
              <w:snapToGrid w:val="0"/>
              <w:rPr>
                <w:b/>
                <w:bCs/>
                <w:szCs w:val="21"/>
              </w:rPr>
            </w:pPr>
            <w:r>
              <w:rPr>
                <w:b/>
                <w:bCs/>
                <w:szCs w:val="21"/>
              </w:rPr>
              <w:t>课程学时：24</w:t>
            </w:r>
          </w:p>
        </w:tc>
        <w:tc>
          <w:tcPr>
            <w:tcW w:w="2100" w:type="pct"/>
            <w:vAlign w:val="center"/>
          </w:tcPr>
          <w:p>
            <w:pPr>
              <w:snapToGrid w:val="0"/>
              <w:rPr>
                <w:b/>
                <w:bCs/>
                <w:szCs w:val="21"/>
              </w:rPr>
            </w:pPr>
            <w:r>
              <w:rPr>
                <w:b/>
                <w:bCs/>
                <w:szCs w:val="21"/>
              </w:rPr>
              <w:t>课程学分：1.5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666" w:type="pct"/>
            <w:vAlign w:val="center"/>
          </w:tcPr>
          <w:p>
            <w:pPr>
              <w:snapToGrid w:val="0"/>
              <w:rPr>
                <w:b/>
                <w:bCs/>
                <w:szCs w:val="21"/>
              </w:rPr>
            </w:pPr>
            <w:r>
              <w:rPr>
                <w:b/>
                <w:bCs/>
                <w:szCs w:val="21"/>
              </w:rPr>
              <w:t>主撰人：</w:t>
            </w:r>
            <w:r>
              <w:rPr>
                <w:rFonts w:hint="eastAsia"/>
                <w:b/>
                <w:bCs/>
                <w:szCs w:val="21"/>
              </w:rPr>
              <w:t>王吉庆</w:t>
            </w:r>
          </w:p>
        </w:tc>
        <w:tc>
          <w:tcPr>
            <w:tcW w:w="1234" w:type="pct"/>
            <w:vAlign w:val="center"/>
          </w:tcPr>
          <w:p>
            <w:pPr>
              <w:snapToGrid w:val="0"/>
              <w:rPr>
                <w:b/>
                <w:bCs/>
                <w:szCs w:val="21"/>
              </w:rPr>
            </w:pPr>
            <w:r>
              <w:rPr>
                <w:b/>
                <w:bCs/>
                <w:szCs w:val="21"/>
              </w:rPr>
              <w:t>审核人：肖怀娟</w:t>
            </w:r>
          </w:p>
        </w:tc>
        <w:tc>
          <w:tcPr>
            <w:tcW w:w="2100" w:type="pct"/>
            <w:vAlign w:val="center"/>
          </w:tcPr>
          <w:p>
            <w:pPr>
              <w:snapToGrid w:val="0"/>
              <w:rPr>
                <w:b/>
                <w:bCs/>
                <w:szCs w:val="21"/>
              </w:rPr>
            </w:pPr>
            <w:r>
              <w:rPr>
                <w:b/>
                <w:bCs/>
                <w:szCs w:val="21"/>
              </w:rPr>
              <w:t>大纲制定（修订）日期：</w:t>
            </w:r>
            <w:r>
              <w:rPr>
                <w:rFonts w:hint="eastAsia"/>
                <w:b/>
                <w:bCs/>
                <w:szCs w:val="21"/>
              </w:rPr>
              <w:t>2023.05</w:t>
            </w:r>
          </w:p>
        </w:tc>
      </w:tr>
    </w:tbl>
    <w:p>
      <w:pPr>
        <w:widowControl/>
        <w:snapToGrid w:val="0"/>
        <w:spacing w:line="360" w:lineRule="auto"/>
        <w:jc w:val="left"/>
        <w:outlineLvl w:val="1"/>
        <w:rPr>
          <w:rFonts w:eastAsiaTheme="majorEastAsia"/>
          <w:b/>
          <w:bCs/>
          <w:kern w:val="0"/>
          <w:szCs w:val="21"/>
        </w:rPr>
      </w:pPr>
    </w:p>
    <w:p>
      <w:pPr>
        <w:widowControl/>
        <w:snapToGrid w:val="0"/>
        <w:spacing w:line="360" w:lineRule="auto"/>
        <w:jc w:val="left"/>
        <w:outlineLvl w:val="1"/>
        <w:rPr>
          <w:rFonts w:eastAsiaTheme="majorEastAsia"/>
          <w:b/>
          <w:bCs/>
          <w:kern w:val="0"/>
          <w:szCs w:val="21"/>
        </w:rPr>
      </w:pPr>
      <w:bookmarkStart w:id="1019" w:name="_Toc138076749"/>
      <w:bookmarkStart w:id="1020" w:name="_Toc138068909"/>
      <w:bookmarkStart w:id="1021" w:name="_Toc138068510"/>
      <w:bookmarkStart w:id="1022" w:name="_Toc138070540"/>
      <w:bookmarkStart w:id="1023" w:name="_Toc138076454"/>
      <w:bookmarkStart w:id="1024" w:name="_Toc138070811"/>
      <w:bookmarkStart w:id="1025" w:name="_Toc10587"/>
      <w:bookmarkStart w:id="1026" w:name="_Toc138076205"/>
      <w:r>
        <w:rPr>
          <w:rFonts w:eastAsiaTheme="majorEastAsia"/>
          <w:b/>
          <w:bCs/>
          <w:kern w:val="0"/>
          <w:szCs w:val="21"/>
        </w:rPr>
        <w:t>一、课程的性质和地位</w:t>
      </w:r>
      <w:bookmarkEnd w:id="1019"/>
      <w:bookmarkEnd w:id="1020"/>
      <w:bookmarkEnd w:id="1021"/>
      <w:bookmarkEnd w:id="1022"/>
      <w:bookmarkEnd w:id="1023"/>
      <w:bookmarkEnd w:id="1024"/>
      <w:bookmarkEnd w:id="1025"/>
      <w:bookmarkEnd w:id="1026"/>
    </w:p>
    <w:p>
      <w:pPr>
        <w:adjustRightInd w:val="0"/>
        <w:snapToGrid w:val="0"/>
        <w:spacing w:line="360" w:lineRule="auto"/>
        <w:ind w:firstLine="420" w:firstLineChars="200"/>
        <w:rPr>
          <w:szCs w:val="21"/>
        </w:rPr>
      </w:pPr>
      <w:r>
        <w:rPr>
          <w:kern w:val="0"/>
          <w:szCs w:val="21"/>
        </w:rPr>
        <w:t>《创意农业》</w:t>
      </w:r>
      <w:r>
        <w:rPr>
          <w:bCs/>
          <w:kern w:val="0"/>
          <w:szCs w:val="21"/>
        </w:rPr>
        <w:t>是园艺、茶学、设施农业科学与工程专业的一门选修课。该课程以附加价值理论、美学经济理论、价值链理论为指导，以园艺植物栽培学、农产品贮藏加工学、农产品市场营销学、园林景观设计等知识为基础，通过讲授创意农业设计的基本理论、基本方法，分析创意农业的典型案例，使学生了解创意农业、初步具备对农业产业链各环节进行创意加工，将农产品与文化、艺术等创意结合的知识和能力，属应用科学，在培养学生理论联系实际和专业实践操作技能及创新意识方面有重要地位。</w:t>
      </w:r>
    </w:p>
    <w:p>
      <w:pPr>
        <w:widowControl/>
        <w:snapToGrid w:val="0"/>
        <w:spacing w:line="360" w:lineRule="auto"/>
        <w:jc w:val="left"/>
        <w:outlineLvl w:val="1"/>
        <w:rPr>
          <w:rFonts w:eastAsiaTheme="majorEastAsia"/>
          <w:b/>
          <w:bCs/>
          <w:kern w:val="0"/>
          <w:szCs w:val="21"/>
        </w:rPr>
      </w:pPr>
      <w:bookmarkStart w:id="1027" w:name="_Toc138076750"/>
      <w:bookmarkStart w:id="1028" w:name="_Toc31047"/>
      <w:bookmarkStart w:id="1029" w:name="_Toc138070541"/>
      <w:bookmarkStart w:id="1030" w:name="_Toc138068910"/>
      <w:bookmarkStart w:id="1031" w:name="_Toc138076455"/>
      <w:bookmarkStart w:id="1032" w:name="_Toc138070812"/>
      <w:bookmarkStart w:id="1033" w:name="_Toc138076206"/>
      <w:bookmarkStart w:id="1034" w:name="_Toc138068511"/>
      <w:r>
        <w:rPr>
          <w:rFonts w:eastAsiaTheme="majorEastAsia"/>
          <w:b/>
          <w:bCs/>
          <w:kern w:val="0"/>
          <w:szCs w:val="21"/>
        </w:rPr>
        <w:t>二、理论教学部分的考核目标</w:t>
      </w:r>
      <w:bookmarkEnd w:id="1027"/>
      <w:bookmarkEnd w:id="1028"/>
      <w:bookmarkEnd w:id="1029"/>
      <w:bookmarkEnd w:id="1030"/>
      <w:bookmarkEnd w:id="1031"/>
      <w:bookmarkEnd w:id="1032"/>
      <w:bookmarkEnd w:id="1033"/>
      <w:bookmarkEnd w:id="1034"/>
    </w:p>
    <w:p>
      <w:pPr>
        <w:widowControl/>
        <w:adjustRightInd w:val="0"/>
        <w:snapToGrid w:val="0"/>
        <w:spacing w:line="360" w:lineRule="auto"/>
        <w:ind w:firstLine="420" w:firstLineChars="200"/>
        <w:jc w:val="left"/>
        <w:rPr>
          <w:bCs/>
          <w:kern w:val="0"/>
          <w:szCs w:val="21"/>
        </w:rPr>
      </w:pPr>
      <w:r>
        <w:rPr>
          <w:kern w:val="0"/>
          <w:szCs w:val="21"/>
        </w:rPr>
        <w:t>1.了解</w:t>
      </w:r>
      <w:r>
        <w:rPr>
          <w:bCs/>
          <w:kern w:val="0"/>
          <w:szCs w:val="21"/>
        </w:rPr>
        <w:t>创意农业的附加价值理论、美学经济理论、价值链理论等基本理论，理解相关理论对创意农业的指导意义。</w:t>
      </w:r>
    </w:p>
    <w:p>
      <w:pPr>
        <w:widowControl/>
        <w:adjustRightInd w:val="0"/>
        <w:snapToGrid w:val="0"/>
        <w:spacing w:line="360" w:lineRule="auto"/>
        <w:ind w:firstLine="420" w:firstLineChars="200"/>
        <w:jc w:val="left"/>
        <w:rPr>
          <w:bCs/>
          <w:kern w:val="0"/>
          <w:szCs w:val="21"/>
        </w:rPr>
      </w:pPr>
      <w:r>
        <w:rPr>
          <w:kern w:val="0"/>
          <w:szCs w:val="21"/>
        </w:rPr>
        <w:t>2.</w:t>
      </w:r>
      <w:r>
        <w:rPr>
          <w:bCs/>
          <w:kern w:val="0"/>
          <w:szCs w:val="21"/>
        </w:rPr>
        <w:t>了解农业产业链各环节在创意农业中增加附加值中的地位。</w:t>
      </w:r>
    </w:p>
    <w:p>
      <w:pPr>
        <w:widowControl/>
        <w:adjustRightInd w:val="0"/>
        <w:snapToGrid w:val="0"/>
        <w:spacing w:line="360" w:lineRule="auto"/>
        <w:ind w:firstLine="420" w:firstLineChars="200"/>
        <w:jc w:val="left"/>
        <w:rPr>
          <w:bCs/>
          <w:kern w:val="0"/>
          <w:szCs w:val="21"/>
        </w:rPr>
      </w:pPr>
      <w:r>
        <w:rPr>
          <w:bCs/>
          <w:kern w:val="0"/>
          <w:szCs w:val="21"/>
        </w:rPr>
        <w:t>3.了解创意农业的基本类型和主类型，掌握创意农业进行产品深度开发必需的生物学理论。</w:t>
      </w:r>
    </w:p>
    <w:p>
      <w:pPr>
        <w:snapToGrid w:val="0"/>
        <w:spacing w:after="156" w:afterLines="50" w:line="360" w:lineRule="auto"/>
        <w:ind w:firstLine="103" w:firstLineChars="49"/>
        <w:jc w:val="center"/>
        <w:rPr>
          <w:b/>
          <w:szCs w:val="21"/>
        </w:rPr>
      </w:pPr>
      <w:r>
        <w:rPr>
          <w:b/>
          <w:szCs w:val="21"/>
        </w:rPr>
        <w:t>绪 论</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kern w:val="0"/>
          <w:szCs w:val="21"/>
        </w:rPr>
        <w:t>创意农业的发展历程、创意农业兴起的原因。</w:t>
      </w:r>
    </w:p>
    <w:p>
      <w:pPr>
        <w:snapToGrid w:val="0"/>
        <w:spacing w:line="360" w:lineRule="auto"/>
        <w:ind w:firstLine="422" w:firstLineChars="200"/>
        <w:rPr>
          <w:szCs w:val="21"/>
        </w:rPr>
      </w:pPr>
      <w:r>
        <w:rPr>
          <w:b/>
          <w:szCs w:val="21"/>
        </w:rPr>
        <w:t>2. 一般掌握</w:t>
      </w:r>
      <w:r>
        <w:rPr>
          <w:szCs w:val="21"/>
        </w:rPr>
        <w:t>：</w:t>
      </w:r>
      <w:r>
        <w:rPr>
          <w:kern w:val="0"/>
          <w:szCs w:val="21"/>
        </w:rPr>
        <w:t>创意农业的特点，创意农业在农村经济中的作用。</w:t>
      </w:r>
    </w:p>
    <w:p>
      <w:pPr>
        <w:snapToGrid w:val="0"/>
        <w:spacing w:line="360" w:lineRule="auto"/>
        <w:ind w:firstLine="422" w:firstLineChars="200"/>
        <w:rPr>
          <w:szCs w:val="21"/>
        </w:rPr>
      </w:pPr>
      <w:r>
        <w:rPr>
          <w:b/>
          <w:szCs w:val="21"/>
        </w:rPr>
        <w:t>3. 熟练掌握</w:t>
      </w:r>
      <w:r>
        <w:rPr>
          <w:szCs w:val="21"/>
        </w:rPr>
        <w:t>：</w:t>
      </w:r>
      <w:r>
        <w:rPr>
          <w:kern w:val="0"/>
          <w:szCs w:val="21"/>
        </w:rPr>
        <w:t>创意农业的概念，创意农业发展面临的问题及对策。</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kern w:val="0"/>
          <w:szCs w:val="21"/>
        </w:rPr>
        <w:t>创意农业的概念；创意农业的特点；创意农业的发展历程；创意农业发展面临的问题及对策。</w:t>
      </w:r>
    </w:p>
    <w:p>
      <w:pPr>
        <w:snapToGrid w:val="0"/>
        <w:spacing w:line="360" w:lineRule="auto"/>
        <w:rPr>
          <w:b/>
          <w:szCs w:val="21"/>
        </w:rPr>
      </w:pPr>
      <w:r>
        <w:rPr>
          <w:b/>
          <w:szCs w:val="21"/>
        </w:rPr>
        <w:t>（三）考核要求</w:t>
      </w:r>
    </w:p>
    <w:p>
      <w:pPr>
        <w:snapToGrid w:val="0"/>
        <w:spacing w:line="360" w:lineRule="auto"/>
        <w:ind w:firstLine="422" w:firstLineChars="200"/>
        <w:rPr>
          <w:bCs/>
          <w:szCs w:val="21"/>
        </w:rPr>
      </w:pPr>
      <w:r>
        <w:rPr>
          <w:b/>
          <w:szCs w:val="21"/>
        </w:rPr>
        <w:t>1. 识记</w:t>
      </w:r>
      <w:r>
        <w:rPr>
          <w:szCs w:val="21"/>
        </w:rPr>
        <w:t>：</w:t>
      </w:r>
      <w:r>
        <w:rPr>
          <w:kern w:val="0"/>
          <w:szCs w:val="21"/>
        </w:rPr>
        <w:t>创意农业的概念</w:t>
      </w:r>
    </w:p>
    <w:p>
      <w:pPr>
        <w:snapToGrid w:val="0"/>
        <w:spacing w:line="360" w:lineRule="auto"/>
        <w:ind w:firstLine="422" w:firstLineChars="200"/>
        <w:rPr>
          <w:b/>
          <w:szCs w:val="21"/>
        </w:rPr>
      </w:pPr>
      <w:r>
        <w:rPr>
          <w:b/>
          <w:szCs w:val="21"/>
        </w:rPr>
        <w:t>2. 领会</w:t>
      </w:r>
      <w:r>
        <w:rPr>
          <w:szCs w:val="21"/>
        </w:rPr>
        <w:t>：</w:t>
      </w:r>
      <w:r>
        <w:rPr>
          <w:kern w:val="0"/>
          <w:szCs w:val="21"/>
        </w:rPr>
        <w:t>创意农业的特点</w:t>
      </w:r>
    </w:p>
    <w:p>
      <w:pPr>
        <w:snapToGrid w:val="0"/>
        <w:spacing w:line="360" w:lineRule="auto"/>
        <w:ind w:firstLine="422" w:firstLineChars="200"/>
        <w:rPr>
          <w:szCs w:val="21"/>
        </w:rPr>
      </w:pPr>
      <w:r>
        <w:rPr>
          <w:b/>
          <w:szCs w:val="21"/>
        </w:rPr>
        <w:t>3. 应用</w:t>
      </w:r>
      <w:r>
        <w:rPr>
          <w:szCs w:val="21"/>
        </w:rPr>
        <w:t>：</w:t>
      </w:r>
      <w:r>
        <w:rPr>
          <w:kern w:val="0"/>
          <w:szCs w:val="21"/>
        </w:rPr>
        <w:t>创意农业发展面临的问题及对策</w:t>
      </w:r>
    </w:p>
    <w:p>
      <w:pPr>
        <w:snapToGrid w:val="0"/>
        <w:spacing w:line="360" w:lineRule="auto"/>
        <w:ind w:firstLine="422" w:firstLineChars="200"/>
        <w:rPr>
          <w:b/>
          <w:szCs w:val="21"/>
        </w:rPr>
      </w:pPr>
      <w:r>
        <w:rPr>
          <w:b/>
          <w:szCs w:val="21"/>
        </w:rPr>
        <w:t>4. 分析：</w:t>
      </w:r>
      <w:r>
        <w:rPr>
          <w:kern w:val="0"/>
          <w:szCs w:val="21"/>
        </w:rPr>
        <w:t>创意农业兴起的原因</w:t>
      </w:r>
    </w:p>
    <w:p>
      <w:pPr>
        <w:snapToGrid w:val="0"/>
        <w:spacing w:line="360" w:lineRule="auto"/>
        <w:ind w:firstLine="422" w:firstLineChars="200"/>
        <w:rPr>
          <w:b/>
          <w:szCs w:val="21"/>
        </w:rPr>
      </w:pPr>
      <w:r>
        <w:rPr>
          <w:b/>
          <w:szCs w:val="21"/>
        </w:rPr>
        <w:t>5. 评价：</w:t>
      </w:r>
      <w:r>
        <w:rPr>
          <w:kern w:val="0"/>
          <w:szCs w:val="21"/>
        </w:rPr>
        <w:t>创意农业在农村经济中的作用</w:t>
      </w:r>
    </w:p>
    <w:p>
      <w:pPr>
        <w:pStyle w:val="10"/>
        <w:snapToGrid w:val="0"/>
        <w:spacing w:line="360" w:lineRule="auto"/>
        <w:jc w:val="center"/>
        <w:rPr>
          <w:rFonts w:ascii="Times New Roman" w:hAnsi="Times New Roman" w:cs="Times New Roman"/>
          <w:b/>
        </w:rPr>
      </w:pPr>
      <w:r>
        <w:rPr>
          <w:rFonts w:ascii="Times New Roman" w:hAnsi="Times New Roman" w:cs="Times New Roman"/>
          <w:b/>
        </w:rPr>
        <w:t xml:space="preserve">第一章  </w:t>
      </w:r>
      <w:r>
        <w:rPr>
          <w:rFonts w:ascii="Times New Roman" w:hAnsi="Times New Roman" w:cs="Times New Roman"/>
          <w:b/>
          <w:kern w:val="0"/>
        </w:rPr>
        <w:t>创意农业的基本理论与模式</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kern w:val="0"/>
          <w:szCs w:val="21"/>
        </w:rPr>
        <w:t>附加价值理论、美学经济理论、价值链理论。</w:t>
      </w:r>
    </w:p>
    <w:p>
      <w:pPr>
        <w:snapToGrid w:val="0"/>
        <w:spacing w:line="360" w:lineRule="auto"/>
        <w:ind w:firstLine="422" w:firstLineChars="200"/>
        <w:rPr>
          <w:szCs w:val="21"/>
        </w:rPr>
      </w:pPr>
      <w:r>
        <w:rPr>
          <w:b/>
          <w:szCs w:val="21"/>
        </w:rPr>
        <w:t>2. 一般掌握</w:t>
      </w:r>
      <w:r>
        <w:rPr>
          <w:szCs w:val="21"/>
        </w:rPr>
        <w:t>：</w:t>
      </w:r>
      <w:r>
        <w:rPr>
          <w:kern w:val="0"/>
          <w:szCs w:val="21"/>
        </w:rPr>
        <w:t>附加价值理论、美学经济理论、价值链理论指导创意农业方法</w:t>
      </w:r>
      <w:r>
        <w:rPr>
          <w:bCs/>
          <w:szCs w:val="21"/>
        </w:rPr>
        <w:t>。</w:t>
      </w:r>
    </w:p>
    <w:p>
      <w:pPr>
        <w:snapToGrid w:val="0"/>
        <w:spacing w:line="360" w:lineRule="auto"/>
        <w:ind w:firstLine="422" w:firstLineChars="200"/>
        <w:rPr>
          <w:b/>
          <w:szCs w:val="21"/>
        </w:rPr>
      </w:pPr>
      <w:r>
        <w:rPr>
          <w:b/>
          <w:szCs w:val="21"/>
        </w:rPr>
        <w:t>3. 熟练掌握</w:t>
      </w:r>
      <w:r>
        <w:rPr>
          <w:szCs w:val="21"/>
        </w:rPr>
        <w:t>：</w:t>
      </w:r>
      <w:r>
        <w:rPr>
          <w:kern w:val="0"/>
          <w:szCs w:val="21"/>
        </w:rPr>
        <w:t>通过创意提高基本活动环节中研发、生产、加工、销售环节附加值的方法</w:t>
      </w:r>
      <w:r>
        <w:rPr>
          <w:bCs/>
          <w:szCs w:val="21"/>
        </w:rPr>
        <w:t>。</w:t>
      </w:r>
    </w:p>
    <w:p>
      <w:pPr>
        <w:snapToGrid w:val="0"/>
        <w:spacing w:line="360" w:lineRule="auto"/>
        <w:rPr>
          <w:szCs w:val="21"/>
        </w:rPr>
      </w:pPr>
      <w:r>
        <w:rPr>
          <w:b/>
          <w:szCs w:val="21"/>
        </w:rPr>
        <w:t>（二）考核内容</w:t>
      </w:r>
    </w:p>
    <w:p>
      <w:pPr>
        <w:widowControl/>
        <w:snapToGrid w:val="0"/>
        <w:spacing w:line="360" w:lineRule="auto"/>
        <w:ind w:firstLine="525" w:firstLineChars="250"/>
        <w:jc w:val="left"/>
        <w:rPr>
          <w:kern w:val="0"/>
          <w:szCs w:val="21"/>
        </w:rPr>
      </w:pPr>
      <w:r>
        <w:rPr>
          <w:kern w:val="0"/>
          <w:szCs w:val="21"/>
        </w:rPr>
        <w:t>附加价值理论、美学经济理论、价值链理论；价值链理论包含的的基本活动环节和支持性活动环节内容；基本活动环节和支持性活动环节对增加农业附加值的重要性；研发环节、生产环节、加工环节、销售环节的创意农业模式。</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 识记</w:t>
      </w:r>
      <w:r>
        <w:rPr>
          <w:szCs w:val="21"/>
        </w:rPr>
        <w:t>：</w:t>
      </w:r>
      <w:r>
        <w:rPr>
          <w:kern w:val="0"/>
          <w:szCs w:val="21"/>
        </w:rPr>
        <w:t>附加价值理论、美学经济理论、价值链理论。</w:t>
      </w:r>
    </w:p>
    <w:p>
      <w:pPr>
        <w:widowControl/>
        <w:snapToGrid w:val="0"/>
        <w:spacing w:line="360" w:lineRule="auto"/>
        <w:ind w:firstLine="422" w:firstLineChars="200"/>
        <w:jc w:val="left"/>
        <w:rPr>
          <w:kern w:val="0"/>
          <w:szCs w:val="21"/>
        </w:rPr>
      </w:pPr>
      <w:r>
        <w:rPr>
          <w:b/>
          <w:szCs w:val="21"/>
        </w:rPr>
        <w:t>2. 领会</w:t>
      </w:r>
      <w:r>
        <w:rPr>
          <w:szCs w:val="21"/>
        </w:rPr>
        <w:t>：</w:t>
      </w:r>
      <w:r>
        <w:rPr>
          <w:kern w:val="0"/>
          <w:szCs w:val="21"/>
        </w:rPr>
        <w:t>附加价值理论、美学经济理论、价值链理论对创意农业的指导作用。</w:t>
      </w:r>
    </w:p>
    <w:p>
      <w:pPr>
        <w:snapToGrid w:val="0"/>
        <w:spacing w:line="360" w:lineRule="auto"/>
        <w:ind w:firstLine="422" w:firstLineChars="200"/>
        <w:rPr>
          <w:kern w:val="0"/>
          <w:szCs w:val="21"/>
        </w:rPr>
      </w:pPr>
      <w:r>
        <w:rPr>
          <w:b/>
          <w:szCs w:val="21"/>
        </w:rPr>
        <w:t>3. 应用</w:t>
      </w:r>
      <w:r>
        <w:rPr>
          <w:szCs w:val="21"/>
        </w:rPr>
        <w:t>：</w:t>
      </w:r>
      <w:r>
        <w:rPr>
          <w:kern w:val="0"/>
          <w:szCs w:val="21"/>
        </w:rPr>
        <w:t>通过创意提高基本活动环节中研发、生产、加工、销售环节附加值的方法。</w:t>
      </w:r>
    </w:p>
    <w:p>
      <w:pPr>
        <w:snapToGrid w:val="0"/>
        <w:spacing w:line="360" w:lineRule="auto"/>
        <w:ind w:firstLine="422" w:firstLineChars="200"/>
        <w:rPr>
          <w:b/>
          <w:szCs w:val="21"/>
        </w:rPr>
      </w:pPr>
      <w:r>
        <w:rPr>
          <w:b/>
          <w:szCs w:val="21"/>
        </w:rPr>
        <w:t>4. 分析：</w:t>
      </w:r>
      <w:r>
        <w:rPr>
          <w:kern w:val="0"/>
          <w:szCs w:val="21"/>
        </w:rPr>
        <w:t>支持性活动环节中农业资源基础、地理空间、技术环境、政策环境对发展创意农业的重要性。</w:t>
      </w:r>
    </w:p>
    <w:p>
      <w:pPr>
        <w:pStyle w:val="10"/>
        <w:snapToGrid w:val="0"/>
        <w:spacing w:line="360" w:lineRule="auto"/>
        <w:jc w:val="center"/>
        <w:rPr>
          <w:rFonts w:ascii="Times New Roman" w:hAnsi="Times New Roman" w:cs="Times New Roman"/>
          <w:b/>
        </w:rPr>
      </w:pPr>
      <w:r>
        <w:rPr>
          <w:rFonts w:ascii="Times New Roman" w:hAnsi="Times New Roman" w:cs="Times New Roman"/>
          <w:b/>
        </w:rPr>
        <w:t xml:space="preserve">第二章  </w:t>
      </w:r>
      <w:r>
        <w:rPr>
          <w:rFonts w:ascii="Times New Roman" w:hAnsi="Times New Roman" w:cs="Times New Roman"/>
          <w:b/>
          <w:bCs/>
          <w:kern w:val="0"/>
        </w:rPr>
        <w:t xml:space="preserve">创意农业开发途径与方法  </w:t>
      </w:r>
    </w:p>
    <w:p>
      <w:pPr>
        <w:snapToGrid w:val="0"/>
        <w:spacing w:line="360" w:lineRule="auto"/>
        <w:rPr>
          <w:b/>
          <w:szCs w:val="21"/>
        </w:rPr>
      </w:pPr>
      <w:r>
        <w:rPr>
          <w:b/>
          <w:szCs w:val="21"/>
        </w:rPr>
        <w:t>（一）学习目标</w:t>
      </w:r>
    </w:p>
    <w:p>
      <w:pPr>
        <w:snapToGrid w:val="0"/>
        <w:spacing w:line="360" w:lineRule="auto"/>
        <w:ind w:firstLine="422" w:firstLineChars="200"/>
        <w:rPr>
          <w:kern w:val="0"/>
          <w:szCs w:val="21"/>
        </w:rPr>
      </w:pPr>
      <w:r>
        <w:rPr>
          <w:b/>
          <w:szCs w:val="21"/>
        </w:rPr>
        <w:t>1. 一般了解</w:t>
      </w:r>
      <w:r>
        <w:rPr>
          <w:szCs w:val="21"/>
        </w:rPr>
        <w:t>：</w:t>
      </w:r>
      <w:r>
        <w:rPr>
          <w:kern w:val="0"/>
          <w:szCs w:val="21"/>
        </w:rPr>
        <w:t>研发环节创意农业设计的内涵，农业主题公园、农业节庆开发创意农业设计的要素，参观销售、节庆销售、线上销售、个性化需求销售的方法。</w:t>
      </w:r>
    </w:p>
    <w:p>
      <w:pPr>
        <w:snapToGrid w:val="0"/>
        <w:spacing w:line="360" w:lineRule="auto"/>
        <w:ind w:firstLine="422" w:firstLineChars="200"/>
        <w:rPr>
          <w:szCs w:val="21"/>
        </w:rPr>
      </w:pPr>
      <w:r>
        <w:rPr>
          <w:b/>
          <w:szCs w:val="21"/>
        </w:rPr>
        <w:t>2. 一般掌握</w:t>
      </w:r>
      <w:r>
        <w:rPr>
          <w:szCs w:val="21"/>
        </w:rPr>
        <w:t>：</w:t>
      </w:r>
      <w:r>
        <w:rPr>
          <w:kern w:val="0"/>
          <w:szCs w:val="21"/>
        </w:rPr>
        <w:t>提高基本活动环节中研发、生产、加工、销售环节附加值的方法</w:t>
      </w:r>
      <w:r>
        <w:rPr>
          <w:bCs/>
          <w:szCs w:val="21"/>
        </w:rPr>
        <w:t>。</w:t>
      </w:r>
    </w:p>
    <w:p>
      <w:pPr>
        <w:snapToGrid w:val="0"/>
        <w:spacing w:line="360" w:lineRule="auto"/>
        <w:ind w:firstLine="422" w:firstLineChars="200"/>
        <w:rPr>
          <w:szCs w:val="21"/>
        </w:rPr>
      </w:pPr>
      <w:r>
        <w:rPr>
          <w:b/>
          <w:szCs w:val="21"/>
        </w:rPr>
        <w:t>3. 熟练掌握</w:t>
      </w:r>
      <w:r>
        <w:rPr>
          <w:szCs w:val="21"/>
        </w:rPr>
        <w:t>：</w:t>
      </w:r>
      <w:r>
        <w:rPr>
          <w:kern w:val="0"/>
          <w:szCs w:val="21"/>
        </w:rPr>
        <w:t>科技创意设计的类别，栽培创意设计的原理和方法，大地景观设计的生物学原则，资源循环利用创意类型，包装创意的类型和途径</w:t>
      </w:r>
      <w:r>
        <w:rPr>
          <w:bCs/>
          <w:szCs w:val="21"/>
        </w:rPr>
        <w:t>。</w:t>
      </w:r>
    </w:p>
    <w:p>
      <w:pPr>
        <w:snapToGrid w:val="0"/>
        <w:spacing w:line="360" w:lineRule="auto"/>
        <w:rPr>
          <w:szCs w:val="21"/>
        </w:rPr>
      </w:pPr>
      <w:r>
        <w:rPr>
          <w:b/>
          <w:szCs w:val="21"/>
        </w:rPr>
        <w:t>（二）考核内容</w:t>
      </w:r>
    </w:p>
    <w:p>
      <w:pPr>
        <w:snapToGrid w:val="0"/>
        <w:spacing w:line="360" w:lineRule="auto"/>
        <w:ind w:firstLine="420" w:firstLineChars="200"/>
        <w:rPr>
          <w:kern w:val="0"/>
          <w:szCs w:val="21"/>
        </w:rPr>
      </w:pPr>
      <w:r>
        <w:rPr>
          <w:kern w:val="0"/>
          <w:szCs w:val="21"/>
        </w:rPr>
        <w:t>研发环节创意农业设计的内涵；农业主题公园、农业节庆开发创意农业设计的要素；科技创意设计的类别；亲情创意、寓意祝福设计的类型和途径；农产品形色创意、用途创意设计的类型和途径；资源循环利用创意类型；包装创意的类型和途径；熟练掌握大地景观设计的生物学原则；巨型园艺产品创意设计的生物学原理；栽培创意设计的原理；品牌创建的途径和方法；参观销售、节庆销售、线上销售、个性化需求销售的方法。</w:t>
      </w:r>
    </w:p>
    <w:p>
      <w:pPr>
        <w:snapToGrid w:val="0"/>
        <w:spacing w:line="360" w:lineRule="auto"/>
        <w:rPr>
          <w:b/>
          <w:szCs w:val="21"/>
        </w:rPr>
      </w:pPr>
      <w:r>
        <w:rPr>
          <w:b/>
          <w:szCs w:val="21"/>
        </w:rPr>
        <w:t>（三）考核要求</w:t>
      </w:r>
    </w:p>
    <w:p>
      <w:pPr>
        <w:snapToGrid w:val="0"/>
        <w:spacing w:line="360" w:lineRule="auto"/>
        <w:ind w:firstLine="422" w:firstLineChars="200"/>
        <w:rPr>
          <w:kern w:val="0"/>
          <w:szCs w:val="21"/>
        </w:rPr>
      </w:pPr>
      <w:r>
        <w:rPr>
          <w:b/>
          <w:szCs w:val="21"/>
        </w:rPr>
        <w:t>1. 识记</w:t>
      </w:r>
      <w:r>
        <w:rPr>
          <w:szCs w:val="21"/>
        </w:rPr>
        <w:t>：</w:t>
      </w:r>
      <w:r>
        <w:rPr>
          <w:kern w:val="0"/>
          <w:szCs w:val="21"/>
        </w:rPr>
        <w:t>研发环节创意农业设计的内涵。</w:t>
      </w:r>
    </w:p>
    <w:p>
      <w:pPr>
        <w:snapToGrid w:val="0"/>
        <w:spacing w:line="360" w:lineRule="auto"/>
        <w:ind w:firstLine="422" w:firstLineChars="200"/>
        <w:rPr>
          <w:bCs/>
          <w:szCs w:val="21"/>
        </w:rPr>
      </w:pPr>
      <w:r>
        <w:rPr>
          <w:b/>
          <w:szCs w:val="21"/>
        </w:rPr>
        <w:t>2. 领会</w:t>
      </w:r>
      <w:r>
        <w:rPr>
          <w:szCs w:val="21"/>
        </w:rPr>
        <w:t>：</w:t>
      </w:r>
      <w:r>
        <w:rPr>
          <w:kern w:val="0"/>
          <w:szCs w:val="21"/>
        </w:rPr>
        <w:t>大地景观设计的生物学原则，巨型园艺产品创意设计的生物学原理，栽培创意设计的原理和方法。</w:t>
      </w:r>
    </w:p>
    <w:p>
      <w:pPr>
        <w:snapToGrid w:val="0"/>
        <w:spacing w:line="360" w:lineRule="auto"/>
        <w:ind w:firstLine="422" w:firstLineChars="200"/>
        <w:rPr>
          <w:szCs w:val="21"/>
        </w:rPr>
      </w:pPr>
      <w:r>
        <w:rPr>
          <w:b/>
          <w:szCs w:val="21"/>
        </w:rPr>
        <w:t>3. 应用</w:t>
      </w:r>
      <w:r>
        <w:rPr>
          <w:szCs w:val="21"/>
        </w:rPr>
        <w:t>：</w:t>
      </w:r>
      <w:r>
        <w:rPr>
          <w:kern w:val="0"/>
          <w:szCs w:val="21"/>
        </w:rPr>
        <w:t>巨型园艺产品创意设计方法，亲情创意、寓意祝福设计方法</w:t>
      </w:r>
      <w:r>
        <w:rPr>
          <w:bCs/>
          <w:szCs w:val="21"/>
        </w:rPr>
        <w:t>。</w:t>
      </w:r>
    </w:p>
    <w:p>
      <w:pPr>
        <w:snapToGrid w:val="0"/>
        <w:spacing w:line="360" w:lineRule="auto"/>
        <w:ind w:firstLine="422" w:firstLineChars="200"/>
        <w:rPr>
          <w:kern w:val="0"/>
          <w:szCs w:val="21"/>
        </w:rPr>
      </w:pPr>
      <w:r>
        <w:rPr>
          <w:b/>
          <w:szCs w:val="21"/>
        </w:rPr>
        <w:t>4. 分析：</w:t>
      </w:r>
      <w:r>
        <w:rPr>
          <w:kern w:val="0"/>
          <w:szCs w:val="21"/>
        </w:rPr>
        <w:t>参观销售、节庆销售、线上销售、个性化需求销售的方法。</w:t>
      </w:r>
    </w:p>
    <w:p>
      <w:pPr>
        <w:snapToGrid w:val="0"/>
        <w:spacing w:line="360" w:lineRule="auto"/>
        <w:ind w:firstLine="422" w:firstLineChars="200"/>
        <w:rPr>
          <w:szCs w:val="21"/>
        </w:rPr>
      </w:pPr>
      <w:r>
        <w:rPr>
          <w:b/>
          <w:szCs w:val="21"/>
        </w:rPr>
        <w:t>5. 综合</w:t>
      </w:r>
      <w:r>
        <w:rPr>
          <w:szCs w:val="21"/>
        </w:rPr>
        <w:t>：</w:t>
      </w:r>
      <w:r>
        <w:rPr>
          <w:kern w:val="0"/>
          <w:szCs w:val="21"/>
        </w:rPr>
        <w:t>栽培创意设计。</w:t>
      </w:r>
    </w:p>
    <w:p>
      <w:pPr>
        <w:snapToGrid w:val="0"/>
        <w:spacing w:line="360" w:lineRule="auto"/>
        <w:ind w:firstLine="422" w:firstLineChars="200"/>
        <w:rPr>
          <w:b/>
          <w:szCs w:val="21"/>
        </w:rPr>
      </w:pPr>
      <w:r>
        <w:rPr>
          <w:b/>
          <w:szCs w:val="21"/>
        </w:rPr>
        <w:t>6. 评价：</w:t>
      </w:r>
      <w:r>
        <w:rPr>
          <w:kern w:val="0"/>
          <w:szCs w:val="21"/>
        </w:rPr>
        <w:t>品牌创建的途径和方法。</w:t>
      </w:r>
    </w:p>
    <w:p>
      <w:pPr>
        <w:pStyle w:val="10"/>
        <w:snapToGrid w:val="0"/>
        <w:spacing w:line="360" w:lineRule="auto"/>
        <w:jc w:val="center"/>
        <w:rPr>
          <w:rFonts w:ascii="Times New Roman" w:hAnsi="Times New Roman" w:cs="Times New Roman"/>
          <w:b/>
        </w:rPr>
      </w:pPr>
      <w:r>
        <w:rPr>
          <w:rFonts w:ascii="Times New Roman" w:hAnsi="Times New Roman" w:cs="Times New Roman"/>
          <w:b/>
        </w:rPr>
        <w:t xml:space="preserve">第三章  </w:t>
      </w:r>
      <w:r>
        <w:rPr>
          <w:rFonts w:ascii="Times New Roman" w:hAnsi="Times New Roman" w:cs="Times New Roman"/>
          <w:b/>
          <w:bCs/>
          <w:kern w:val="0"/>
        </w:rPr>
        <w:t>创意农业案例分析</w:t>
      </w:r>
    </w:p>
    <w:p>
      <w:pPr>
        <w:snapToGrid w:val="0"/>
        <w:spacing w:line="360" w:lineRule="auto"/>
        <w:rPr>
          <w:b/>
          <w:szCs w:val="21"/>
        </w:rPr>
      </w:pPr>
      <w:r>
        <w:rPr>
          <w:b/>
          <w:szCs w:val="21"/>
        </w:rPr>
        <w:t>（一）学习目标</w:t>
      </w:r>
    </w:p>
    <w:p>
      <w:pPr>
        <w:snapToGrid w:val="0"/>
        <w:spacing w:line="360" w:lineRule="auto"/>
        <w:ind w:firstLine="422" w:firstLineChars="200"/>
        <w:rPr>
          <w:kern w:val="0"/>
          <w:szCs w:val="21"/>
        </w:rPr>
      </w:pPr>
      <w:r>
        <w:rPr>
          <w:b/>
          <w:szCs w:val="21"/>
        </w:rPr>
        <w:t>1. 一般了解</w:t>
      </w:r>
      <w:r>
        <w:rPr>
          <w:szCs w:val="21"/>
        </w:rPr>
        <w:t>：</w:t>
      </w:r>
      <w:r>
        <w:rPr>
          <w:kern w:val="0"/>
          <w:szCs w:val="21"/>
        </w:rPr>
        <w:t>研发环节创意模式案例、生产环节创意模式案例、销售环节创意模式案例。</w:t>
      </w:r>
    </w:p>
    <w:p>
      <w:pPr>
        <w:snapToGrid w:val="0"/>
        <w:spacing w:line="360" w:lineRule="auto"/>
        <w:ind w:firstLine="422" w:firstLineChars="200"/>
        <w:rPr>
          <w:szCs w:val="21"/>
        </w:rPr>
      </w:pPr>
      <w:r>
        <w:rPr>
          <w:b/>
          <w:szCs w:val="21"/>
        </w:rPr>
        <w:t>2. 一般掌握</w:t>
      </w:r>
      <w:r>
        <w:rPr>
          <w:szCs w:val="21"/>
        </w:rPr>
        <w:t>：</w:t>
      </w:r>
      <w:r>
        <w:rPr>
          <w:kern w:val="0"/>
          <w:szCs w:val="21"/>
        </w:rPr>
        <w:t>突出优势设计创意农业组合模式的方法。</w:t>
      </w:r>
    </w:p>
    <w:p>
      <w:pPr>
        <w:snapToGrid w:val="0"/>
        <w:spacing w:line="360" w:lineRule="auto"/>
        <w:ind w:firstLine="422" w:firstLineChars="200"/>
        <w:rPr>
          <w:b/>
          <w:szCs w:val="21"/>
        </w:rPr>
      </w:pPr>
      <w:r>
        <w:rPr>
          <w:b/>
          <w:szCs w:val="21"/>
        </w:rPr>
        <w:t>3. 熟练掌握</w:t>
      </w:r>
      <w:r>
        <w:rPr>
          <w:szCs w:val="21"/>
        </w:rPr>
        <w:t>：</w:t>
      </w:r>
      <w:r>
        <w:rPr>
          <w:kern w:val="0"/>
          <w:szCs w:val="21"/>
        </w:rPr>
        <w:t>创意农业组合模式要素间的关系，突出优势设计单一模式创意农业的方法。</w:t>
      </w:r>
    </w:p>
    <w:p>
      <w:pPr>
        <w:snapToGrid w:val="0"/>
        <w:spacing w:line="360" w:lineRule="auto"/>
        <w:rPr>
          <w:szCs w:val="21"/>
        </w:rPr>
      </w:pPr>
      <w:r>
        <w:rPr>
          <w:b/>
          <w:szCs w:val="21"/>
        </w:rPr>
        <w:t>（二）考核内容</w:t>
      </w:r>
    </w:p>
    <w:p>
      <w:pPr>
        <w:snapToGrid w:val="0"/>
        <w:spacing w:line="360" w:lineRule="auto"/>
        <w:ind w:firstLine="525" w:firstLineChars="250"/>
        <w:rPr>
          <w:kern w:val="0"/>
          <w:szCs w:val="21"/>
        </w:rPr>
      </w:pPr>
      <w:r>
        <w:rPr>
          <w:kern w:val="0"/>
          <w:szCs w:val="21"/>
        </w:rPr>
        <w:t>分析不同单一模式创意农业案例特点；分析组合模式创意农业案例的特点；设计单一模式创意农业的方法；设计组合模式创意农业的方法。</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 识记</w:t>
      </w:r>
      <w:r>
        <w:rPr>
          <w:szCs w:val="21"/>
        </w:rPr>
        <w:t>：</w:t>
      </w:r>
      <w:r>
        <w:rPr>
          <w:kern w:val="0"/>
          <w:szCs w:val="21"/>
        </w:rPr>
        <w:t>单一模式创意农业、组合模式创意农业的概念。</w:t>
      </w:r>
    </w:p>
    <w:p>
      <w:pPr>
        <w:snapToGrid w:val="0"/>
        <w:spacing w:line="360" w:lineRule="auto"/>
        <w:ind w:firstLine="422" w:firstLineChars="200"/>
        <w:rPr>
          <w:b/>
          <w:szCs w:val="21"/>
        </w:rPr>
      </w:pPr>
      <w:r>
        <w:rPr>
          <w:b/>
          <w:szCs w:val="21"/>
        </w:rPr>
        <w:t>2. 领会</w:t>
      </w:r>
      <w:r>
        <w:rPr>
          <w:szCs w:val="21"/>
        </w:rPr>
        <w:t>：</w:t>
      </w:r>
      <w:r>
        <w:rPr>
          <w:kern w:val="0"/>
          <w:szCs w:val="21"/>
        </w:rPr>
        <w:t>单一模式创意农业、组合模式创意农业的联系。</w:t>
      </w:r>
    </w:p>
    <w:p>
      <w:pPr>
        <w:snapToGrid w:val="0"/>
        <w:spacing w:line="360" w:lineRule="auto"/>
        <w:ind w:firstLine="422" w:firstLineChars="200"/>
        <w:rPr>
          <w:szCs w:val="21"/>
        </w:rPr>
      </w:pPr>
      <w:r>
        <w:rPr>
          <w:b/>
          <w:szCs w:val="21"/>
        </w:rPr>
        <w:t>3. 应用</w:t>
      </w:r>
      <w:r>
        <w:rPr>
          <w:szCs w:val="21"/>
        </w:rPr>
        <w:t>：</w:t>
      </w:r>
      <w:r>
        <w:rPr>
          <w:kern w:val="0"/>
          <w:szCs w:val="21"/>
        </w:rPr>
        <w:t>设计单一模式创意农业。</w:t>
      </w:r>
    </w:p>
    <w:p>
      <w:pPr>
        <w:snapToGrid w:val="0"/>
        <w:spacing w:line="360" w:lineRule="auto"/>
        <w:ind w:firstLine="422" w:firstLineChars="200"/>
        <w:rPr>
          <w:b/>
          <w:szCs w:val="21"/>
        </w:rPr>
      </w:pPr>
      <w:r>
        <w:rPr>
          <w:b/>
          <w:szCs w:val="21"/>
        </w:rPr>
        <w:t>4. 分析：</w:t>
      </w:r>
      <w:r>
        <w:rPr>
          <w:kern w:val="0"/>
          <w:szCs w:val="21"/>
        </w:rPr>
        <w:t>创意农业组合模式要素间的关系。</w:t>
      </w:r>
    </w:p>
    <w:p>
      <w:pPr>
        <w:snapToGrid w:val="0"/>
        <w:spacing w:line="360" w:lineRule="auto"/>
        <w:ind w:firstLine="422" w:firstLineChars="200"/>
        <w:rPr>
          <w:szCs w:val="21"/>
        </w:rPr>
      </w:pPr>
      <w:r>
        <w:rPr>
          <w:b/>
          <w:szCs w:val="21"/>
        </w:rPr>
        <w:t>5. 综合</w:t>
      </w:r>
      <w:r>
        <w:rPr>
          <w:szCs w:val="21"/>
        </w:rPr>
        <w:t>：</w:t>
      </w:r>
      <w:r>
        <w:rPr>
          <w:kern w:val="0"/>
          <w:szCs w:val="21"/>
        </w:rPr>
        <w:t>设计创意农业组合模式。</w:t>
      </w:r>
    </w:p>
    <w:p>
      <w:pPr>
        <w:snapToGrid w:val="0"/>
        <w:spacing w:line="360" w:lineRule="auto"/>
        <w:ind w:firstLine="422" w:firstLineChars="200"/>
        <w:rPr>
          <w:b/>
          <w:szCs w:val="21"/>
        </w:rPr>
      </w:pPr>
      <w:r>
        <w:rPr>
          <w:b/>
          <w:szCs w:val="21"/>
        </w:rPr>
        <w:t>6. 评价：</w:t>
      </w:r>
      <w:r>
        <w:rPr>
          <w:kern w:val="0"/>
          <w:szCs w:val="21"/>
        </w:rPr>
        <w:t>研发环节创意模式案例、生产环节创意模式案例、销售环节创意模式案例的优势。</w:t>
      </w:r>
    </w:p>
    <w:p>
      <w:pPr>
        <w:widowControl/>
        <w:snapToGrid w:val="0"/>
        <w:spacing w:line="360" w:lineRule="auto"/>
        <w:jc w:val="left"/>
        <w:outlineLvl w:val="1"/>
        <w:rPr>
          <w:rFonts w:eastAsiaTheme="majorEastAsia"/>
          <w:b/>
          <w:bCs/>
          <w:kern w:val="0"/>
          <w:szCs w:val="21"/>
        </w:rPr>
      </w:pPr>
      <w:bookmarkStart w:id="1035" w:name="_Toc138070813"/>
      <w:bookmarkStart w:id="1036" w:name="_Toc138070542"/>
      <w:bookmarkStart w:id="1037" w:name="_Toc138076207"/>
      <w:bookmarkStart w:id="1038" w:name="_Toc138068911"/>
      <w:bookmarkStart w:id="1039" w:name="_Toc7630"/>
      <w:bookmarkStart w:id="1040" w:name="_Toc138068512"/>
      <w:bookmarkStart w:id="1041" w:name="_Toc138076456"/>
      <w:bookmarkStart w:id="1042" w:name="_Toc138076751"/>
      <w:r>
        <w:rPr>
          <w:rFonts w:eastAsiaTheme="majorEastAsia"/>
          <w:b/>
          <w:bCs/>
          <w:kern w:val="0"/>
          <w:szCs w:val="21"/>
        </w:rPr>
        <w:t>三、实验、实习教学部分的考核要求</w:t>
      </w:r>
      <w:bookmarkEnd w:id="1035"/>
      <w:bookmarkEnd w:id="1036"/>
      <w:bookmarkEnd w:id="1037"/>
      <w:bookmarkEnd w:id="1038"/>
      <w:bookmarkEnd w:id="1039"/>
      <w:bookmarkEnd w:id="1040"/>
      <w:bookmarkEnd w:id="1041"/>
      <w:bookmarkEnd w:id="1042"/>
    </w:p>
    <w:p>
      <w:pPr>
        <w:widowControl/>
        <w:adjustRightInd w:val="0"/>
        <w:snapToGrid w:val="0"/>
        <w:spacing w:line="360" w:lineRule="auto"/>
        <w:ind w:firstLine="420" w:firstLineChars="200"/>
        <w:jc w:val="left"/>
        <w:rPr>
          <w:bCs/>
          <w:kern w:val="0"/>
          <w:szCs w:val="21"/>
        </w:rPr>
      </w:pPr>
      <w:r>
        <w:rPr>
          <w:bCs/>
          <w:kern w:val="0"/>
          <w:szCs w:val="21"/>
        </w:rPr>
        <w:t>1.</w:t>
      </w:r>
      <w:r>
        <w:rPr>
          <w:kern w:val="0"/>
          <w:sz w:val="18"/>
          <w:szCs w:val="18"/>
        </w:rPr>
        <w:t xml:space="preserve"> </w:t>
      </w:r>
      <w:r>
        <w:rPr>
          <w:kern w:val="0"/>
          <w:szCs w:val="21"/>
        </w:rPr>
        <w:t>了解同科多种园艺植物嫁接培育景观植物的设计原理，掌握嫁接和培育的操作方法。</w:t>
      </w:r>
    </w:p>
    <w:p>
      <w:pPr>
        <w:widowControl/>
        <w:adjustRightInd w:val="0"/>
        <w:snapToGrid w:val="0"/>
        <w:spacing w:line="360" w:lineRule="auto"/>
        <w:ind w:firstLine="420" w:firstLineChars="200"/>
        <w:jc w:val="left"/>
        <w:rPr>
          <w:bCs/>
          <w:kern w:val="0"/>
          <w:szCs w:val="21"/>
        </w:rPr>
      </w:pPr>
      <w:r>
        <w:rPr>
          <w:bCs/>
          <w:kern w:val="0"/>
          <w:szCs w:val="21"/>
        </w:rPr>
        <w:t>2.</w:t>
      </w:r>
      <w:r>
        <w:t xml:space="preserve"> 了解</w:t>
      </w:r>
      <w:r>
        <w:rPr>
          <w:bCs/>
          <w:kern w:val="0"/>
          <w:szCs w:val="21"/>
        </w:rPr>
        <w:t>培育二年生巨型蔬菜的创意农业设计原理、掌握培育方法与操作技能。</w:t>
      </w:r>
    </w:p>
    <w:p>
      <w:pPr>
        <w:widowControl/>
        <w:adjustRightInd w:val="0"/>
        <w:snapToGrid w:val="0"/>
        <w:spacing w:line="360" w:lineRule="auto"/>
        <w:ind w:firstLine="420" w:firstLineChars="200"/>
        <w:jc w:val="left"/>
        <w:rPr>
          <w:kern w:val="0"/>
          <w:szCs w:val="21"/>
        </w:rPr>
      </w:pPr>
      <w:r>
        <w:rPr>
          <w:kern w:val="0"/>
          <w:szCs w:val="21"/>
        </w:rPr>
        <w:t>3. 了解组合模式创意农业设计的案例，初步掌握设计组合模式创意农业项目的方法。</w:t>
      </w:r>
    </w:p>
    <w:p>
      <w:pPr>
        <w:widowControl/>
        <w:snapToGrid w:val="0"/>
        <w:spacing w:line="360" w:lineRule="auto"/>
        <w:jc w:val="left"/>
        <w:outlineLvl w:val="1"/>
        <w:rPr>
          <w:rFonts w:eastAsiaTheme="majorEastAsia"/>
          <w:b/>
          <w:bCs/>
          <w:kern w:val="0"/>
          <w:szCs w:val="21"/>
        </w:rPr>
      </w:pPr>
      <w:bookmarkStart w:id="1043" w:name="_Toc138070814"/>
      <w:bookmarkStart w:id="1044" w:name="_Toc138068912"/>
      <w:bookmarkStart w:id="1045" w:name="_Toc138076457"/>
      <w:bookmarkStart w:id="1046" w:name="_Toc13061"/>
      <w:bookmarkStart w:id="1047" w:name="_Toc138068513"/>
      <w:bookmarkStart w:id="1048" w:name="_Toc138076208"/>
      <w:bookmarkStart w:id="1049" w:name="_Toc138076752"/>
      <w:bookmarkStart w:id="1050" w:name="_Toc138070543"/>
      <w:r>
        <w:rPr>
          <w:rFonts w:eastAsiaTheme="majorEastAsia"/>
          <w:b/>
          <w:bCs/>
          <w:kern w:val="0"/>
          <w:szCs w:val="21"/>
        </w:rPr>
        <w:t>四、考核方式</w:t>
      </w:r>
      <w:bookmarkEnd w:id="1043"/>
      <w:bookmarkEnd w:id="1044"/>
      <w:bookmarkEnd w:id="1045"/>
      <w:bookmarkEnd w:id="1046"/>
      <w:bookmarkEnd w:id="1047"/>
      <w:bookmarkEnd w:id="1048"/>
      <w:bookmarkEnd w:id="1049"/>
      <w:bookmarkEnd w:id="1050"/>
    </w:p>
    <w:p>
      <w:pPr>
        <w:widowControl/>
        <w:adjustRightInd w:val="0"/>
        <w:snapToGrid w:val="0"/>
        <w:spacing w:line="360" w:lineRule="auto"/>
        <w:ind w:firstLine="420" w:firstLineChars="200"/>
        <w:jc w:val="left"/>
        <w:rPr>
          <w:bCs/>
          <w:kern w:val="0"/>
          <w:szCs w:val="21"/>
        </w:rPr>
      </w:pPr>
      <w:r>
        <w:rPr>
          <w:bCs/>
          <w:kern w:val="0"/>
          <w:szCs w:val="21"/>
        </w:rPr>
        <w:t>本课程根据过程性评价和期末成绩考核。其中，理论与实践教学的考核方式采用期末课程论文；过程性考核评价包括：出勤、课堂提问、讨论、学习笔记、作业、实验报告、小组汇报等。</w:t>
      </w:r>
    </w:p>
    <w:p>
      <w:pPr>
        <w:widowControl/>
        <w:snapToGrid w:val="0"/>
        <w:spacing w:line="360" w:lineRule="auto"/>
        <w:jc w:val="left"/>
        <w:outlineLvl w:val="1"/>
        <w:rPr>
          <w:rFonts w:eastAsiaTheme="majorEastAsia"/>
          <w:b/>
          <w:bCs/>
          <w:kern w:val="0"/>
          <w:szCs w:val="21"/>
        </w:rPr>
      </w:pPr>
      <w:bookmarkStart w:id="1051" w:name="_Toc138070544"/>
      <w:bookmarkStart w:id="1052" w:name="_Toc138068913"/>
      <w:bookmarkStart w:id="1053" w:name="_Toc138076458"/>
      <w:bookmarkStart w:id="1054" w:name="_Toc138068514"/>
      <w:bookmarkStart w:id="1055" w:name="_Toc27630"/>
      <w:bookmarkStart w:id="1056" w:name="_Toc138076209"/>
      <w:bookmarkStart w:id="1057" w:name="_Toc138076753"/>
      <w:bookmarkStart w:id="1058" w:name="_Toc138070815"/>
      <w:r>
        <w:rPr>
          <w:rFonts w:eastAsiaTheme="majorEastAsia"/>
          <w:b/>
          <w:bCs/>
          <w:kern w:val="0"/>
          <w:szCs w:val="21"/>
        </w:rPr>
        <w:t>五、成绩评定</w:t>
      </w:r>
      <w:bookmarkEnd w:id="1051"/>
      <w:bookmarkEnd w:id="1052"/>
      <w:bookmarkEnd w:id="1053"/>
      <w:bookmarkEnd w:id="1054"/>
      <w:bookmarkEnd w:id="1055"/>
      <w:bookmarkEnd w:id="1056"/>
      <w:bookmarkEnd w:id="1057"/>
      <w:bookmarkEnd w:id="1058"/>
    </w:p>
    <w:p>
      <w:pPr>
        <w:snapToGrid w:val="0"/>
        <w:spacing w:line="360" w:lineRule="auto"/>
        <w:ind w:firstLine="420" w:firstLineChars="200"/>
        <w:rPr>
          <w:szCs w:val="21"/>
        </w:rPr>
      </w:pPr>
      <w:r>
        <w:rPr>
          <w:szCs w:val="21"/>
        </w:rPr>
        <w:t>1. 平时成绩的评价方法。</w:t>
      </w:r>
      <w:r>
        <w:rPr>
          <w:bCs/>
          <w:kern w:val="0"/>
          <w:szCs w:val="21"/>
        </w:rPr>
        <w:t>考勤、课堂测验及讨论等环节评价</w:t>
      </w:r>
      <w:r>
        <w:rPr>
          <w:kern w:val="0"/>
          <w:szCs w:val="21"/>
        </w:rPr>
        <w:t>，占总成绩的50%；实验环节（</w:t>
      </w:r>
      <w:r>
        <w:rPr>
          <w:bCs/>
          <w:kern w:val="0"/>
          <w:szCs w:val="21"/>
        </w:rPr>
        <w:t>实验报告、实验作品</w:t>
      </w:r>
      <w:r>
        <w:rPr>
          <w:kern w:val="0"/>
          <w:szCs w:val="21"/>
        </w:rPr>
        <w:t>）和创意设计课堂汇报占50%。</w:t>
      </w:r>
    </w:p>
    <w:p>
      <w:pPr>
        <w:snapToGrid w:val="0"/>
        <w:spacing w:line="360" w:lineRule="auto"/>
        <w:ind w:firstLine="420" w:firstLineChars="200"/>
        <w:rPr>
          <w:szCs w:val="21"/>
        </w:rPr>
      </w:pPr>
      <w:r>
        <w:rPr>
          <w:szCs w:val="21"/>
        </w:rPr>
        <w:t xml:space="preserve">2. </w:t>
      </w:r>
      <w:r>
        <w:t>期末成绩：撰写课程论文</w:t>
      </w:r>
      <w:r>
        <w:rPr>
          <w:szCs w:val="21"/>
        </w:rPr>
        <w:t>。</w:t>
      </w:r>
    </w:p>
    <w:p>
      <w:pPr>
        <w:snapToGrid w:val="0"/>
        <w:spacing w:line="360" w:lineRule="auto"/>
        <w:ind w:firstLine="420" w:firstLineChars="200"/>
        <w:rPr>
          <w:szCs w:val="21"/>
        </w:rPr>
      </w:pPr>
      <w:r>
        <w:rPr>
          <w:szCs w:val="21"/>
        </w:rPr>
        <w:t>3. 综合成绩：平时成绩×40%+期末成绩×60%</w:t>
      </w:r>
    </w:p>
    <w:p>
      <w:pPr>
        <w:widowControl/>
        <w:snapToGrid w:val="0"/>
        <w:spacing w:line="360" w:lineRule="auto"/>
        <w:jc w:val="left"/>
        <w:outlineLvl w:val="1"/>
        <w:rPr>
          <w:rFonts w:eastAsiaTheme="majorEastAsia"/>
          <w:b/>
          <w:bCs/>
          <w:kern w:val="0"/>
          <w:szCs w:val="21"/>
        </w:rPr>
      </w:pPr>
      <w:bookmarkStart w:id="1059" w:name="_Toc138068914"/>
      <w:bookmarkStart w:id="1060" w:name="_Toc138070545"/>
      <w:bookmarkStart w:id="1061" w:name="_Toc5306"/>
      <w:bookmarkStart w:id="1062" w:name="_Toc138068515"/>
      <w:bookmarkStart w:id="1063" w:name="_Toc138070816"/>
      <w:bookmarkStart w:id="1064" w:name="_Toc138076210"/>
      <w:bookmarkStart w:id="1065" w:name="_Toc138076754"/>
      <w:bookmarkStart w:id="1066" w:name="_Toc138076459"/>
      <w:r>
        <w:rPr>
          <w:rFonts w:eastAsiaTheme="majorEastAsia"/>
          <w:b/>
          <w:bCs/>
          <w:kern w:val="0"/>
          <w:szCs w:val="21"/>
        </w:rPr>
        <w:t>六、考核结果分析反馈</w:t>
      </w:r>
      <w:bookmarkEnd w:id="1059"/>
      <w:bookmarkEnd w:id="1060"/>
      <w:bookmarkEnd w:id="1061"/>
      <w:bookmarkEnd w:id="1062"/>
      <w:bookmarkEnd w:id="1063"/>
      <w:bookmarkEnd w:id="1064"/>
      <w:bookmarkEnd w:id="1065"/>
      <w:bookmarkEnd w:id="1066"/>
    </w:p>
    <w:p>
      <w:pPr>
        <w:snapToGrid w:val="0"/>
        <w:spacing w:line="360" w:lineRule="auto"/>
        <w:ind w:firstLine="420" w:firstLineChars="200"/>
        <w:rPr>
          <w:szCs w:val="21"/>
        </w:rPr>
      </w:pPr>
      <w:r>
        <w:rPr>
          <w:szCs w:val="21"/>
        </w:rPr>
        <w:t>及时向学生反馈</w:t>
      </w:r>
      <w:r>
        <w:rPr>
          <w:bCs/>
          <w:kern w:val="0"/>
          <w:szCs w:val="21"/>
        </w:rPr>
        <w:t>课堂测验、实验报告、</w:t>
      </w:r>
      <w:r>
        <w:rPr>
          <w:szCs w:val="21"/>
        </w:rPr>
        <w:t>线上教学作业完成成绩，及时接受教学督导听课评价、接受教师听课评价、接受学生评教，不断改进教学内容与方法，提高教学效果。</w:t>
      </w:r>
    </w:p>
    <w:p>
      <w:pPr>
        <w:snapToGrid w:val="0"/>
        <w:spacing w:line="360" w:lineRule="auto"/>
        <w:rPr>
          <w:rFonts w:ascii="宋体" w:hAnsi="宋体"/>
          <w:b/>
          <w:szCs w:val="21"/>
        </w:rPr>
      </w:pPr>
    </w:p>
    <w:p>
      <w:pPr>
        <w:rPr>
          <w:sz w:val="28"/>
        </w:rPr>
      </w:pPr>
      <w:bookmarkStart w:id="1067" w:name="_Toc138076211"/>
      <w:bookmarkStart w:id="1068" w:name="_Toc138076755"/>
      <w:r>
        <w:rPr>
          <w:sz w:val="28"/>
        </w:rPr>
        <w:br w:type="page"/>
      </w:r>
    </w:p>
    <w:p>
      <w:pPr>
        <w:pStyle w:val="21"/>
        <w:rPr>
          <w:sz w:val="28"/>
        </w:rPr>
      </w:pPr>
      <w:bookmarkStart w:id="1069" w:name="_Toc10288"/>
      <w:r>
        <w:rPr>
          <w:sz w:val="28"/>
        </w:rPr>
        <w:t>葡萄酒鉴赏</w:t>
      </w:r>
      <w:r>
        <w:rPr>
          <w:rFonts w:hint="eastAsia"/>
          <w:sz w:val="28"/>
        </w:rPr>
        <w:t>考核大纲</w:t>
      </w:r>
      <w:bookmarkEnd w:id="1067"/>
      <w:bookmarkEnd w:id="1068"/>
      <w:bookmarkEnd w:id="1069"/>
    </w:p>
    <w:p>
      <w:pPr>
        <w:snapToGrid w:val="0"/>
        <w:spacing w:line="360" w:lineRule="auto"/>
        <w:jc w:val="center"/>
        <w:rPr>
          <w:color w:val="0000FF"/>
          <w:sz w:val="24"/>
        </w:rPr>
      </w:pPr>
      <w:r>
        <w:rPr>
          <w:color w:val="000000" w:themeColor="text1"/>
          <w:sz w:val="24"/>
          <w14:textFill>
            <w14:solidFill>
              <w14:schemeClr w14:val="tx1"/>
            </w14:solidFill>
          </w14:textFill>
        </w:rPr>
        <w:t>（</w:t>
      </w:r>
      <w:bookmarkStart w:id="1070" w:name="_Hlk137820532"/>
      <w:r>
        <w:rPr>
          <w:iCs/>
          <w:sz w:val="24"/>
          <w:szCs w:val="20"/>
        </w:rPr>
        <w:t>Wine Tasting</w:t>
      </w:r>
      <w:bookmarkEnd w:id="1070"/>
      <w:r>
        <w:rPr>
          <w:color w:val="000000" w:themeColor="text1"/>
          <w:sz w:val="24"/>
          <w14:textFill>
            <w14:solidFill>
              <w14:schemeClr w14:val="tx1"/>
            </w14:solidFill>
          </w14:textFill>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课程编号：1</w:t>
            </w:r>
            <w:r>
              <w:rPr>
                <w:rFonts w:ascii="宋体" w:hAnsi="宋体"/>
                <w:b/>
                <w:bCs/>
                <w:szCs w:val="21"/>
              </w:rPr>
              <w:t>9011034</w:t>
            </w:r>
          </w:p>
        </w:tc>
        <w:tc>
          <w:tcPr>
            <w:tcW w:w="1234" w:type="pct"/>
          </w:tcPr>
          <w:p>
            <w:pPr>
              <w:spacing w:line="300" w:lineRule="auto"/>
              <w:rPr>
                <w:rFonts w:ascii="宋体" w:hAnsi="宋体"/>
                <w:b/>
                <w:bCs/>
                <w:szCs w:val="21"/>
              </w:rPr>
            </w:pPr>
            <w:r>
              <w:rPr>
                <w:rFonts w:hint="eastAsia" w:ascii="宋体" w:hAnsi="宋体"/>
                <w:b/>
                <w:bCs/>
                <w:szCs w:val="21"/>
              </w:rPr>
              <w:t>课程学时：1</w:t>
            </w:r>
            <w:r>
              <w:rPr>
                <w:rFonts w:ascii="宋体" w:hAnsi="宋体"/>
                <w:b/>
                <w:bCs/>
                <w:szCs w:val="21"/>
              </w:rPr>
              <w:t>6</w:t>
            </w:r>
          </w:p>
        </w:tc>
        <w:tc>
          <w:tcPr>
            <w:tcW w:w="2100" w:type="pct"/>
          </w:tcPr>
          <w:p>
            <w:pPr>
              <w:spacing w:line="300" w:lineRule="auto"/>
              <w:rPr>
                <w:rFonts w:ascii="宋体" w:hAnsi="宋体"/>
                <w:b/>
                <w:bCs/>
                <w:szCs w:val="21"/>
              </w:rPr>
            </w:pPr>
            <w:r>
              <w:rPr>
                <w:rFonts w:hint="eastAsia" w:ascii="宋体" w:hAnsi="宋体"/>
                <w:b/>
                <w:bCs/>
                <w:szCs w:val="21"/>
              </w:rPr>
              <w:t>课程学分：1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主撰人：焦健，万然，王磊</w:t>
            </w:r>
          </w:p>
        </w:tc>
        <w:tc>
          <w:tcPr>
            <w:tcW w:w="1234" w:type="pct"/>
          </w:tcPr>
          <w:p>
            <w:pPr>
              <w:spacing w:line="300" w:lineRule="auto"/>
              <w:rPr>
                <w:rFonts w:ascii="宋体" w:hAnsi="宋体"/>
                <w:b/>
                <w:bCs/>
                <w:szCs w:val="21"/>
              </w:rPr>
            </w:pPr>
            <w:r>
              <w:rPr>
                <w:rFonts w:hint="eastAsia" w:ascii="宋体" w:hAnsi="宋体"/>
                <w:b/>
                <w:bCs/>
                <w:szCs w:val="21"/>
              </w:rPr>
              <w:t>审核人：叶霞</w:t>
            </w:r>
          </w:p>
        </w:tc>
        <w:tc>
          <w:tcPr>
            <w:tcW w:w="2100" w:type="pct"/>
          </w:tcPr>
          <w:p>
            <w:pPr>
              <w:spacing w:line="300" w:lineRule="auto"/>
              <w:rPr>
                <w:rFonts w:ascii="宋体" w:hAnsi="宋体"/>
                <w:b/>
                <w:bCs/>
                <w:szCs w:val="21"/>
              </w:rPr>
            </w:pPr>
            <w:r>
              <w:rPr>
                <w:rFonts w:hint="eastAsia" w:ascii="宋体" w:hAnsi="宋体"/>
                <w:b/>
                <w:bCs/>
                <w:szCs w:val="21"/>
              </w:rPr>
              <w:t>大纲制定（修订）日期：2</w:t>
            </w:r>
            <w:r>
              <w:rPr>
                <w:rFonts w:ascii="宋体" w:hAnsi="宋体"/>
                <w:b/>
                <w:bCs/>
                <w:szCs w:val="21"/>
              </w:rPr>
              <w:t>02</w:t>
            </w:r>
            <w:r>
              <w:rPr>
                <w:rFonts w:hint="eastAsia" w:ascii="宋体" w:hAnsi="宋体"/>
                <w:b/>
                <w:bCs/>
                <w:szCs w:val="21"/>
              </w:rPr>
              <w:t>3</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071" w:name="_Toc138068517"/>
      <w:bookmarkStart w:id="1072" w:name="_Toc138076756"/>
      <w:bookmarkStart w:id="1073" w:name="_Toc138068916"/>
      <w:bookmarkStart w:id="1074" w:name="_Toc138076212"/>
      <w:bookmarkStart w:id="1075" w:name="_Toc138070818"/>
      <w:bookmarkStart w:id="1076" w:name="_Toc138076461"/>
      <w:bookmarkStart w:id="1077" w:name="_Toc138070547"/>
      <w:bookmarkStart w:id="1078" w:name="_Toc27376"/>
      <w:r>
        <w:rPr>
          <w:rFonts w:hint="eastAsia" w:asciiTheme="majorEastAsia" w:hAnsiTheme="majorEastAsia" w:eastAsiaTheme="majorEastAsia" w:cstheme="majorEastAsia"/>
          <w:b/>
          <w:bCs/>
          <w:kern w:val="0"/>
          <w:szCs w:val="21"/>
        </w:rPr>
        <w:t>一、课程的性质和地位</w:t>
      </w:r>
      <w:bookmarkEnd w:id="1071"/>
      <w:bookmarkEnd w:id="1072"/>
      <w:bookmarkEnd w:id="1073"/>
      <w:bookmarkEnd w:id="1074"/>
      <w:bookmarkEnd w:id="1075"/>
      <w:bookmarkEnd w:id="1076"/>
      <w:bookmarkEnd w:id="1077"/>
      <w:bookmarkEnd w:id="1078"/>
    </w:p>
    <w:p>
      <w:pPr>
        <w:snapToGrid w:val="0"/>
        <w:spacing w:line="360" w:lineRule="auto"/>
        <w:ind w:firstLine="420" w:firstLineChars="200"/>
      </w:pPr>
      <w:r>
        <w:t>《葡萄酒鉴赏》主要讲述葡萄酒品尝过程中所涉及的基本理论和技术、葡萄酒类型特点以及不同产区葡萄酒典型风格等，是园艺专业本科选修课之一。本门课程主要通过对葡萄酒起源、产地、产区、文化内涵、饮用习惯的讲解，使学生能够掌握葡萄酒文化的基础知识；学习葡萄酒的外观、品种分类、等级、品酒技巧、菜肴搭配以及侍酒流程等葡萄酒的品鉴过程，全面掌握葡萄酒鉴别和品酒方法。通过对学生各种感觉能力的训练，提高他们的感觉敏锐度，并学会葡萄酒品尝基本理论和方法，去鉴别葡萄酒的品质，提高感知鉴赏能力，为学生进一步在各专业深造开拓知识。</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079" w:name="_Toc138076757"/>
      <w:bookmarkStart w:id="1080" w:name="_Toc138076462"/>
      <w:bookmarkStart w:id="1081" w:name="_Toc138068518"/>
      <w:bookmarkStart w:id="1082" w:name="_Toc30521"/>
      <w:bookmarkStart w:id="1083" w:name="_Toc138068917"/>
      <w:bookmarkStart w:id="1084" w:name="_Toc138076213"/>
      <w:bookmarkStart w:id="1085" w:name="_Toc138070548"/>
      <w:bookmarkStart w:id="1086" w:name="_Toc138070819"/>
      <w:r>
        <w:rPr>
          <w:rFonts w:hint="eastAsia" w:asciiTheme="majorEastAsia" w:hAnsiTheme="majorEastAsia" w:eastAsiaTheme="majorEastAsia" w:cstheme="majorEastAsia"/>
          <w:b/>
          <w:bCs/>
          <w:kern w:val="0"/>
          <w:szCs w:val="21"/>
        </w:rPr>
        <w:t>二、理论教学部分的考核目标</w:t>
      </w:r>
      <w:bookmarkEnd w:id="1079"/>
      <w:bookmarkEnd w:id="1080"/>
      <w:bookmarkEnd w:id="1081"/>
      <w:bookmarkEnd w:id="1082"/>
      <w:bookmarkEnd w:id="1083"/>
      <w:bookmarkEnd w:id="1084"/>
      <w:bookmarkEnd w:id="1085"/>
      <w:bookmarkEnd w:id="1086"/>
    </w:p>
    <w:p>
      <w:pPr>
        <w:snapToGrid w:val="0"/>
        <w:spacing w:line="360" w:lineRule="auto"/>
        <w:ind w:firstLine="420" w:firstLineChars="200"/>
        <w:rPr>
          <w:color w:val="272C30"/>
        </w:rPr>
      </w:pPr>
      <w:r>
        <w:t>通过本课程学习后，主要考核学生以下内容：</w:t>
      </w:r>
      <w:r>
        <w:rPr>
          <w:color w:val="272C30"/>
        </w:rPr>
        <w:t>理解新旧世界葡萄酒生产国概况；</w:t>
      </w:r>
      <w:r>
        <w:t>熟练掌握酿酒葡萄品种分类及其特性；了解</w:t>
      </w:r>
      <w:r>
        <w:rPr>
          <w:color w:val="272C30"/>
        </w:rPr>
        <w:t>现代工业葡萄酒酿造工艺，发酵前的准备；理解干红、干白、甜型、气泡、加强葡萄酒的酿造工艺；掌握家庭葡萄酒酿造简单工艺；</w:t>
      </w:r>
      <w:r>
        <w:rPr>
          <w:color w:val="000000"/>
        </w:rPr>
        <w:t>理解和掌握</w:t>
      </w:r>
      <w:r>
        <w:rPr>
          <w:color w:val="272C30"/>
        </w:rPr>
        <w:t>产区的概念；掌握中国主要葡萄酒产区分布；熟练掌握新旧世界葡萄酒的风格差异；</w:t>
      </w:r>
      <w:r>
        <w:rPr>
          <w:color w:val="000000"/>
        </w:rPr>
        <w:t>掌握国外</w:t>
      </w:r>
      <w:r>
        <w:rPr>
          <w:color w:val="272C30"/>
        </w:rPr>
        <w:t>葡萄酒庄园文化，法律条例，法国葡萄酒主要产区、名庄、名品以及等级制度；理解意大利、西班牙葡萄酒等级制度；理解并掌握旧世界葡萄酒酒标；掌握葡萄酒的侍酒法；掌握葡萄酒的选购和餐饮搭配；掌握葡萄酒品评前的准备，外观分析，香气分析，口感分析等。</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第一章  </w:t>
      </w:r>
      <w:r>
        <w:rPr>
          <w:b/>
          <w:bCs/>
          <w:kern w:val="0"/>
          <w:szCs w:val="21"/>
        </w:rPr>
        <w:t>葡萄酒的起源和分类</w:t>
      </w:r>
    </w:p>
    <w:p>
      <w:pPr>
        <w:snapToGrid w:val="0"/>
        <w:spacing w:line="360" w:lineRule="auto"/>
        <w:rPr>
          <w:rFonts w:ascii="宋体" w:hAnsi="宋体"/>
          <w:b/>
          <w:szCs w:val="21"/>
        </w:rPr>
      </w:pPr>
      <w:bookmarkStart w:id="1087" w:name="_Hlk137821236"/>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color w:val="272C30"/>
        </w:rPr>
        <w:t>开设本课程的意义，以及葡萄酒历史与宗教的关系。</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color w:val="272C30"/>
        </w:rPr>
        <w:t>新旧世界葡萄酒生产国概况。</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color w:val="272C30"/>
        </w:rPr>
        <w:t>葡萄酒中主要的营养功能成分及作用，葡萄酒的定义和分类方法。</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FF"/>
          <w:szCs w:val="21"/>
        </w:rPr>
      </w:pPr>
      <w:r>
        <w:rPr>
          <w:color w:val="272C30"/>
        </w:rPr>
        <w:t>葡萄酒的定义和分类标准，葡萄酒营养功能成分</w:t>
      </w:r>
      <w:r>
        <w:rPr>
          <w:rFonts w:hint="eastAsia"/>
          <w:color w:val="272C30"/>
        </w:rPr>
        <w:t>。</w:t>
      </w:r>
    </w:p>
    <w:p>
      <w:pPr>
        <w:snapToGrid w:val="0"/>
        <w:spacing w:line="360" w:lineRule="auto"/>
        <w:rPr>
          <w:rFonts w:ascii="宋体" w:hAnsi="宋体"/>
          <w:b/>
          <w:szCs w:val="21"/>
        </w:rPr>
      </w:pPr>
      <w:r>
        <w:rPr>
          <w:rFonts w:hint="eastAsia" w:ascii="宋体" w:hAnsi="宋体"/>
          <w:b/>
          <w:szCs w:val="21"/>
        </w:rPr>
        <w:t>（三）考核要求</w:t>
      </w:r>
    </w:p>
    <w:bookmarkEnd w:id="1087"/>
    <w:p>
      <w:pPr>
        <w:snapToGrid w:val="0"/>
        <w:spacing w:line="360" w:lineRule="auto"/>
        <w:ind w:firstLine="422" w:firstLineChars="200"/>
        <w:rPr>
          <w:rFonts w:ascii="宋体" w:hAnsi="宋体"/>
          <w:b/>
          <w:color w:val="0000FF"/>
          <w:szCs w:val="21"/>
        </w:rPr>
      </w:pPr>
      <w:bookmarkStart w:id="1088" w:name="_Hlk137821249"/>
      <w:r>
        <w:rPr>
          <w:rFonts w:hint="eastAsia" w:ascii="宋体" w:hAnsi="宋体"/>
          <w:b/>
          <w:szCs w:val="21"/>
        </w:rPr>
        <w:t>1.识记</w:t>
      </w:r>
      <w:r>
        <w:rPr>
          <w:rFonts w:hint="eastAsia" w:ascii="宋体" w:hAnsi="宋体"/>
          <w:szCs w:val="21"/>
        </w:rPr>
        <w:t>：</w:t>
      </w:r>
      <w:r>
        <w:rPr>
          <w:color w:val="272C30"/>
        </w:rPr>
        <w:t>葡萄酒的起源、传说</w:t>
      </w:r>
      <w:r>
        <w:rPr>
          <w:rFonts w:hint="eastAsia"/>
          <w:color w:val="272C30"/>
        </w:rPr>
        <w:t>。</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szCs w:val="21"/>
        </w:rPr>
        <w:t>葡萄酒的定义和</w:t>
      </w:r>
      <w:r>
        <w:rPr>
          <w:color w:val="272C30"/>
        </w:rPr>
        <w:t>种类</w:t>
      </w:r>
      <w:r>
        <w:rPr>
          <w:rFonts w:hint="eastAsia"/>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color w:val="272C30"/>
        </w:rPr>
        <w:t>葡萄酒中主要的营养功能成分及作用。</w:t>
      </w:r>
    </w:p>
    <w:bookmarkEnd w:id="1088"/>
    <w:p>
      <w:pPr>
        <w:pStyle w:val="10"/>
        <w:snapToGrid w:val="0"/>
        <w:spacing w:line="360" w:lineRule="auto"/>
        <w:jc w:val="center"/>
        <w:rPr>
          <w:rFonts w:hAnsi="宋体"/>
          <w:b/>
        </w:rPr>
      </w:pPr>
      <w:bookmarkStart w:id="1089" w:name="_Hlk137821293"/>
      <w:r>
        <w:rPr>
          <w:rFonts w:hint="eastAsia" w:hAnsi="宋体"/>
          <w:b/>
        </w:rPr>
        <w:t xml:space="preserve">第二章  </w:t>
      </w:r>
      <w:r>
        <w:rPr>
          <w:rFonts w:ascii="Times New Roman" w:hAnsi="Times New Roman" w:cs="Times New Roman"/>
          <w:b/>
          <w:bCs/>
          <w:kern w:val="0"/>
        </w:rPr>
        <w:t>酿酒葡萄品种概况</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t>葡萄的起源和演化历程，酿酒葡萄在葡萄属植物中的地位</w:t>
      </w:r>
      <w:r>
        <w:rPr>
          <w:rFonts w:hint="eastAsia"/>
        </w:rPr>
        <w:t>。</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t>葡萄园地点的选择和管理以及葡萄生长的影响因素，葡萄果粒的构造和成分</w:t>
      </w:r>
      <w:r>
        <w:rPr>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t>酿酒葡萄品种的分类及其特性</w:t>
      </w:r>
      <w:r>
        <w:rPr>
          <w:color w:val="272C30"/>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color w:val="272C30"/>
        </w:rPr>
      </w:pPr>
      <w:r>
        <w:rPr>
          <w:color w:val="272C30"/>
        </w:rPr>
        <w:t>酿酒葡萄品种分类，栽培条件和葡萄园管理</w:t>
      </w:r>
      <w:r>
        <w:rPr>
          <w:rFonts w:hint="eastAsia"/>
          <w:color w:val="272C30"/>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w:t>
      </w:r>
      <w:r>
        <w:t>葡萄属植物的起源和分类</w:t>
      </w:r>
      <w:r>
        <w:rPr>
          <w:rFonts w:hint="eastAsia"/>
          <w:color w:val="272C30"/>
        </w:rPr>
        <w:t>。</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t>酿酒葡萄品种分类和特性</w:t>
      </w:r>
      <w:r>
        <w:rPr>
          <w:rFonts w:hint="eastAsia"/>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t>学会葡萄园常规栽培管理措施</w:t>
      </w:r>
      <w:r>
        <w:rPr>
          <w:color w:val="272C30"/>
        </w:rPr>
        <w:t>。</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t>通过葡萄品种对一款葡萄酒的特点进行初步预判。</w:t>
      </w:r>
    </w:p>
    <w:bookmarkEnd w:id="1089"/>
    <w:p>
      <w:pPr>
        <w:pStyle w:val="10"/>
        <w:snapToGrid w:val="0"/>
        <w:spacing w:line="360" w:lineRule="auto"/>
        <w:jc w:val="center"/>
        <w:rPr>
          <w:rFonts w:hAnsi="宋体"/>
          <w:b/>
        </w:rPr>
      </w:pPr>
      <w:r>
        <w:rPr>
          <w:rFonts w:hint="eastAsia" w:hAnsi="宋体"/>
          <w:b/>
        </w:rPr>
        <w:t xml:space="preserve">第三章  </w:t>
      </w:r>
      <w:r>
        <w:rPr>
          <w:rFonts w:ascii="Times New Roman" w:hAnsi="Times New Roman" w:cs="Times New Roman"/>
          <w:b/>
          <w:bCs/>
          <w:kern w:val="0"/>
        </w:rPr>
        <w:t>葡萄酒酿造工艺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color w:val="272C30"/>
        </w:rPr>
        <w:t>现代工业葡萄酒酿造工艺，发酵前的准备。</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color w:val="272C30"/>
        </w:rPr>
        <w:t>干红、干白、甜型、气泡、加强葡萄酒的酿造工艺。</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color w:val="272C30"/>
        </w:rPr>
        <w:t>家庭葡萄酒酿造简单工艺，葡萄酒发酵微生物的种类及其作用，葡萄酒橡木桶陈放的作用。</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FF"/>
          <w:szCs w:val="21"/>
        </w:rPr>
      </w:pPr>
      <w:r>
        <w:rPr>
          <w:color w:val="272C30"/>
        </w:rPr>
        <w:t>不同类型葡萄酒工艺，葡萄酒微生物和辅料作用</w:t>
      </w:r>
      <w:r>
        <w:rPr>
          <w:rFonts w:hint="eastAsia"/>
          <w:color w:val="272C30"/>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w:t>
      </w:r>
      <w:r>
        <w:rPr>
          <w:color w:val="272C30"/>
        </w:rPr>
        <w:t>不同类型葡萄酒的工艺特点、工程设备以及辅料选择</w:t>
      </w:r>
      <w:r>
        <w:rPr>
          <w:rFonts w:hint="eastAsia"/>
          <w:color w:val="272C30"/>
        </w:rPr>
        <w:t>。</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color w:val="272C30"/>
        </w:rPr>
        <w:t>干红葡萄酒酿造工艺，葡萄酒微生物和辅料作用</w:t>
      </w:r>
      <w:r>
        <w:rPr>
          <w:rFonts w:hint="eastAsia"/>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color w:val="272C30"/>
        </w:rPr>
        <w:t>通过学习简易家庭葡萄酒发酵流程，能在生活中酿造健康美味的葡萄酒。</w:t>
      </w:r>
    </w:p>
    <w:p>
      <w:pPr>
        <w:pStyle w:val="10"/>
        <w:snapToGrid w:val="0"/>
        <w:spacing w:line="360" w:lineRule="auto"/>
        <w:jc w:val="center"/>
        <w:rPr>
          <w:rFonts w:hAnsi="宋体"/>
          <w:b/>
        </w:rPr>
      </w:pPr>
      <w:r>
        <w:rPr>
          <w:rFonts w:hint="eastAsia" w:hAnsi="宋体"/>
          <w:b/>
        </w:rPr>
        <w:t xml:space="preserve">第四章  </w:t>
      </w:r>
      <w:r>
        <w:rPr>
          <w:rFonts w:ascii="Times New Roman" w:hAnsi="Times New Roman" w:cs="Times New Roman"/>
          <w:b/>
          <w:color w:val="272C30"/>
        </w:rPr>
        <w:t>中外优质葡萄酒产区介绍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color w:val="000000"/>
        </w:rPr>
        <w:t>理解和掌握</w:t>
      </w:r>
      <w:r>
        <w:rPr>
          <w:color w:val="272C30"/>
        </w:rPr>
        <w:t>产区的概念，</w:t>
      </w:r>
      <w:r>
        <w:rPr>
          <w:color w:val="000000"/>
        </w:rPr>
        <w:t>国外</w:t>
      </w:r>
      <w:r>
        <w:rPr>
          <w:color w:val="272C30"/>
        </w:rPr>
        <w:t>葡萄酒庄园文化，法律条例。</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color w:val="272C30"/>
        </w:rPr>
        <w:t>中国主要葡萄酒产区分布。</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color w:val="272C30"/>
        </w:rPr>
        <w:t>新旧世界葡萄酒的风格差异，法国葡萄酒主要产区、名庄、名品以及等级制度。</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FF"/>
          <w:szCs w:val="21"/>
        </w:rPr>
      </w:pPr>
      <w:r>
        <w:rPr>
          <w:color w:val="272C30"/>
        </w:rPr>
        <w:t>新旧世界葡萄酒概况，法国、意大利、西班牙葡萄酒等级制度</w:t>
      </w:r>
      <w:r>
        <w:rPr>
          <w:rFonts w:hint="eastAsia"/>
          <w:color w:val="272C30"/>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w:t>
      </w:r>
      <w:r>
        <w:rPr>
          <w:color w:val="000000"/>
        </w:rPr>
        <w:t>国外</w:t>
      </w:r>
      <w:r>
        <w:rPr>
          <w:color w:val="272C30"/>
        </w:rPr>
        <w:t>葡萄酒庄园文化和主要葡萄酒产区</w:t>
      </w:r>
      <w:r>
        <w:rPr>
          <w:rFonts w:hint="eastAsia"/>
          <w:color w:val="272C30"/>
        </w:rPr>
        <w:t>。</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color w:val="272C30"/>
        </w:rPr>
        <w:t>葡萄酒风土的概念，中外葡萄酒产区气候特点</w:t>
      </w:r>
      <w:r>
        <w:rPr>
          <w:rFonts w:hint="eastAsia"/>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color w:val="272C30"/>
        </w:rPr>
        <w:t>环境因素对葡萄酒品质的影响。</w:t>
      </w:r>
    </w:p>
    <w:p>
      <w:pPr>
        <w:pStyle w:val="10"/>
        <w:snapToGrid w:val="0"/>
        <w:spacing w:line="360" w:lineRule="auto"/>
        <w:jc w:val="center"/>
        <w:rPr>
          <w:rFonts w:hAnsi="宋体"/>
          <w:b/>
        </w:rPr>
      </w:pPr>
      <w:r>
        <w:rPr>
          <w:rFonts w:hint="eastAsia" w:hAnsi="宋体"/>
          <w:b/>
        </w:rPr>
        <w:t xml:space="preserve">第五章  </w:t>
      </w:r>
      <w:r>
        <w:rPr>
          <w:rFonts w:ascii="Times New Roman" w:hAnsi="Times New Roman" w:cs="Times New Roman"/>
          <w:b/>
          <w:color w:val="272C30"/>
        </w:rPr>
        <w:t>葡萄酒酒标及品酒专业术语</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color w:val="272C30"/>
        </w:rPr>
        <w:t>葡萄酒氧化和还原气味及气体异常气味。</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color w:val="272C30"/>
        </w:rPr>
        <w:t>旧世界葡萄酒酒标，葡萄酒品评相关术语。</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color w:val="272C30"/>
        </w:rPr>
        <w:t>葡萄酒香气、葡萄酒结构和酒体的描述，葡萄酒品质的评判标准。</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FF"/>
          <w:szCs w:val="21"/>
        </w:rPr>
      </w:pPr>
      <w:r>
        <w:rPr>
          <w:color w:val="272C30"/>
        </w:rPr>
        <w:t>旧世界葡萄酒酒标，葡萄酒感官品质评价相关术语</w:t>
      </w:r>
      <w:r>
        <w:rPr>
          <w:rFonts w:hint="eastAsia"/>
          <w:color w:val="272C30"/>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w:t>
      </w:r>
      <w:r>
        <w:rPr>
          <w:color w:val="272C30"/>
        </w:rPr>
        <w:t>新旧世界葡萄酒酒标特点</w:t>
      </w:r>
      <w:r>
        <w:rPr>
          <w:rFonts w:hint="eastAsia"/>
          <w:color w:val="272C30"/>
        </w:rPr>
        <w:t>。</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color w:val="272C30"/>
        </w:rPr>
        <w:t>葡萄酒相关的法律法规</w:t>
      </w:r>
      <w:r>
        <w:rPr>
          <w:rFonts w:hint="eastAsia"/>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color w:val="272C30"/>
        </w:rPr>
        <w:t>葡萄酒感官品质评价相关术语，能对葡萄酒的结构加以简单阐述。</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color w:val="272C30"/>
        </w:rPr>
        <w:t>葡萄酒感官品质的影响因素</w:t>
      </w:r>
      <w:r>
        <w:rPr>
          <w:rFonts w:hint="eastAsia"/>
          <w:color w:val="272C30"/>
        </w:rPr>
        <w:t>。</w:t>
      </w:r>
    </w:p>
    <w:p>
      <w:pPr>
        <w:pStyle w:val="10"/>
        <w:snapToGrid w:val="0"/>
        <w:spacing w:line="360" w:lineRule="auto"/>
        <w:jc w:val="center"/>
        <w:rPr>
          <w:rFonts w:hAnsi="宋体"/>
          <w:b/>
        </w:rPr>
      </w:pPr>
      <w:r>
        <w:rPr>
          <w:rFonts w:hint="eastAsia" w:hAnsi="宋体"/>
          <w:b/>
        </w:rPr>
        <w:t xml:space="preserve">第六章  </w:t>
      </w:r>
      <w:r>
        <w:rPr>
          <w:rFonts w:ascii="Times New Roman" w:hAnsi="Times New Roman" w:cs="Times New Roman"/>
          <w:b/>
          <w:color w:val="272C30"/>
        </w:rPr>
        <w:t>葡萄酒的品尝与餐饮搭配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color w:val="272C30"/>
        </w:rPr>
        <w:t>葡萄酒品尝的基本知识，品尝的定义、品酒的分类、品酒的要点、品酒的顺序、葡萄酒品尝的感官描述词汇。</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color w:val="272C30"/>
        </w:rPr>
        <w:t>葡萄酒侍酒法：温酒、开瓶、换瓶、酒杯、礼仪、封瓶、配套用具，葡萄酒的选购和餐饮搭配。</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color w:val="272C30"/>
        </w:rPr>
        <w:t>葡萄酒品评前的准备，外观分析，香气分析，口感分析，白葡萄酒和红葡萄酒的品尝。</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FF"/>
          <w:szCs w:val="21"/>
        </w:rPr>
      </w:pPr>
      <w:r>
        <w:rPr>
          <w:color w:val="272C30"/>
        </w:rPr>
        <w:t>葡萄酒品评鉴赏</w:t>
      </w:r>
      <w:r>
        <w:t>，</w:t>
      </w:r>
      <w:r>
        <w:rPr>
          <w:color w:val="272C30"/>
        </w:rPr>
        <w:t>葡萄酒品尝的感官描述</w:t>
      </w:r>
      <w:r>
        <w:rPr>
          <w:rFonts w:hint="eastAsia"/>
          <w:color w:val="272C30"/>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w:t>
      </w:r>
      <w:r>
        <w:rPr>
          <w:color w:val="272C30"/>
        </w:rPr>
        <w:t>葡萄酒品饮前的准备及注意事项</w:t>
      </w:r>
      <w:r>
        <w:rPr>
          <w:rFonts w:hint="eastAsia"/>
          <w:color w:val="272C30"/>
        </w:rPr>
        <w:t>。</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color w:val="272C30"/>
        </w:rPr>
        <w:t>葡萄酒的开启，酒杯的选择</w:t>
      </w:r>
      <w:r>
        <w:rPr>
          <w:rFonts w:hint="eastAsia"/>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color w:val="272C30"/>
        </w:rPr>
        <w:t>葡萄酒侍酒法。</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color w:val="272C30"/>
        </w:rPr>
        <w:t>通过器官对葡萄酒的品质进行分析和鉴赏</w:t>
      </w:r>
      <w:r>
        <w:rPr>
          <w:rFonts w:hint="eastAsia"/>
          <w:color w:val="272C30"/>
        </w:rPr>
        <w:t>。</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w:t>
      </w:r>
      <w:r>
        <w:rPr>
          <w:rFonts w:hint="eastAsia"/>
          <w:color w:val="272C30"/>
        </w:rPr>
        <w:t>指导葡萄酒的选购和美食搭配。</w:t>
      </w:r>
    </w:p>
    <w:p>
      <w:pPr>
        <w:pStyle w:val="10"/>
        <w:snapToGrid w:val="0"/>
        <w:spacing w:line="360" w:lineRule="auto"/>
        <w:ind w:firstLine="422" w:firstLineChars="200"/>
        <w:rPr>
          <w:rFonts w:hAnsi="宋体"/>
          <w:b/>
        </w:rPr>
      </w:pPr>
      <w:r>
        <w:rPr>
          <w:rFonts w:hint="eastAsia" w:hAnsi="宋体"/>
          <w:b/>
        </w:rPr>
        <w:t>6.评价：</w:t>
      </w:r>
      <w:r>
        <w:rPr>
          <w:rFonts w:hint="eastAsia" w:ascii="Times New Roman" w:hAnsi="Times New Roman" w:cs="Times New Roman"/>
          <w:color w:val="272C30"/>
          <w:szCs w:val="24"/>
        </w:rPr>
        <w:t>学会盲评葡萄酒流程。</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090" w:name="_Toc138070549"/>
      <w:bookmarkStart w:id="1091" w:name="_Toc138076214"/>
      <w:bookmarkStart w:id="1092" w:name="_Toc12530"/>
      <w:bookmarkStart w:id="1093" w:name="_Toc138068918"/>
      <w:bookmarkStart w:id="1094" w:name="_Toc138068519"/>
      <w:bookmarkStart w:id="1095" w:name="_Toc138070820"/>
      <w:bookmarkStart w:id="1096" w:name="_Toc138076758"/>
      <w:bookmarkStart w:id="1097" w:name="_Toc138076463"/>
      <w:r>
        <w:rPr>
          <w:rFonts w:hint="eastAsia" w:asciiTheme="majorEastAsia" w:hAnsiTheme="majorEastAsia" w:eastAsiaTheme="majorEastAsia" w:cstheme="majorEastAsia"/>
          <w:b/>
          <w:bCs/>
          <w:kern w:val="0"/>
          <w:szCs w:val="21"/>
        </w:rPr>
        <w:t>三、实验、实习教学部分的考核要求</w:t>
      </w:r>
      <w:bookmarkEnd w:id="1090"/>
      <w:bookmarkEnd w:id="1091"/>
      <w:bookmarkEnd w:id="1092"/>
      <w:bookmarkEnd w:id="1093"/>
      <w:bookmarkEnd w:id="1094"/>
      <w:bookmarkEnd w:id="1095"/>
      <w:bookmarkEnd w:id="1096"/>
      <w:bookmarkEnd w:id="1097"/>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无</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098" w:name="_Toc138068520"/>
      <w:bookmarkStart w:id="1099" w:name="_Toc138076215"/>
      <w:bookmarkStart w:id="1100" w:name="_Toc138070550"/>
      <w:bookmarkStart w:id="1101" w:name="_Toc138076759"/>
      <w:bookmarkStart w:id="1102" w:name="_Toc138068919"/>
      <w:bookmarkStart w:id="1103" w:name="_Toc138070821"/>
      <w:bookmarkStart w:id="1104" w:name="_Toc4986"/>
      <w:bookmarkStart w:id="1105" w:name="_Toc138076464"/>
      <w:r>
        <w:rPr>
          <w:rFonts w:hint="eastAsia" w:asciiTheme="majorEastAsia" w:hAnsiTheme="majorEastAsia" w:eastAsiaTheme="majorEastAsia" w:cstheme="majorEastAsia"/>
          <w:b/>
          <w:bCs/>
          <w:kern w:val="0"/>
          <w:szCs w:val="21"/>
        </w:rPr>
        <w:t>四、考核方式</w:t>
      </w:r>
      <w:bookmarkEnd w:id="1098"/>
      <w:bookmarkEnd w:id="1099"/>
      <w:bookmarkEnd w:id="1100"/>
      <w:bookmarkEnd w:id="1101"/>
      <w:bookmarkEnd w:id="1102"/>
      <w:bookmarkEnd w:id="1103"/>
      <w:bookmarkEnd w:id="1104"/>
      <w:bookmarkEnd w:id="1105"/>
    </w:p>
    <w:p>
      <w:pPr>
        <w:widowControl/>
        <w:spacing w:line="360" w:lineRule="auto"/>
        <w:ind w:firstLine="420" w:firstLineChars="200"/>
        <w:rPr>
          <w:szCs w:val="21"/>
        </w:rPr>
      </w:pPr>
      <w:r>
        <w:rPr>
          <w:rFonts w:hint="eastAsia"/>
          <w:szCs w:val="21"/>
        </w:rPr>
        <w:t>教学评价不再唯分数论，以分数评价学生表现，综合考虑课堂表现、创新能力、动手能力等多重因素，更加注重过程性评价。利用现代信息技术手段，实施课堂教学动态评价，推进教学评价由结果评价向过程评价、硬性评价向弹性评价转变。建立学习效果多元评价机制，完善学业考核评价体系，鼓励学生通过参加竞赛活动、社会实践、科学研究、创新创业等获取学分。</w:t>
      </w:r>
    </w:p>
    <w:p>
      <w:pPr>
        <w:widowControl/>
        <w:spacing w:line="360" w:lineRule="auto"/>
        <w:ind w:firstLine="420" w:firstLineChars="200"/>
        <w:rPr>
          <w:szCs w:val="21"/>
        </w:rPr>
      </w:pPr>
      <w:r>
        <w:rPr>
          <w:rFonts w:hint="eastAsia"/>
          <w:szCs w:val="21"/>
        </w:rPr>
        <w:t>结合课堂提问、课后作业、平时测验、案例分析、实际操作训练、考试情况综合评价学生成绩。具体考核方案为：平时成绩100分，包含出勤情况及课堂表现20%，课堂实训40%，课后作业论文40%；期末终结性考核（论文）100分。</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106" w:name="_Toc138070551"/>
      <w:bookmarkStart w:id="1107" w:name="_Toc138070822"/>
      <w:bookmarkStart w:id="1108" w:name="_Toc31350"/>
      <w:bookmarkStart w:id="1109" w:name="_Toc138076216"/>
      <w:bookmarkStart w:id="1110" w:name="_Toc138068920"/>
      <w:bookmarkStart w:id="1111" w:name="_Toc138076465"/>
      <w:bookmarkStart w:id="1112" w:name="_Toc138068521"/>
      <w:bookmarkStart w:id="1113" w:name="_Toc138076760"/>
      <w:r>
        <w:rPr>
          <w:rFonts w:hint="eastAsia" w:asciiTheme="majorEastAsia" w:hAnsiTheme="majorEastAsia" w:eastAsiaTheme="majorEastAsia" w:cstheme="majorEastAsia"/>
          <w:b/>
          <w:bCs/>
          <w:kern w:val="0"/>
          <w:szCs w:val="21"/>
        </w:rPr>
        <w:t>五、成绩评定</w:t>
      </w:r>
      <w:bookmarkEnd w:id="1106"/>
      <w:bookmarkEnd w:id="1107"/>
      <w:bookmarkEnd w:id="1108"/>
      <w:bookmarkEnd w:id="1109"/>
      <w:bookmarkEnd w:id="1110"/>
      <w:bookmarkEnd w:id="1111"/>
      <w:bookmarkEnd w:id="1112"/>
      <w:bookmarkEnd w:id="1113"/>
    </w:p>
    <w:p>
      <w:pPr>
        <w:snapToGrid w:val="0"/>
        <w:spacing w:line="360" w:lineRule="auto"/>
        <w:ind w:firstLine="420" w:firstLineChars="200"/>
        <w:rPr>
          <w:rFonts w:ascii="宋体" w:hAnsi="宋体"/>
          <w:bCs/>
          <w:color w:val="0000FF"/>
          <w:szCs w:val="21"/>
        </w:rPr>
      </w:pPr>
      <w:r>
        <w:rPr>
          <w:rFonts w:hint="eastAsia" w:ascii="宋体" w:hAnsi="宋体"/>
          <w:color w:val="000000" w:themeColor="text1"/>
          <w:szCs w:val="21"/>
          <w14:textFill>
            <w14:solidFill>
              <w14:schemeClr w14:val="tx1"/>
            </w14:solidFill>
          </w14:textFill>
        </w:rPr>
        <w:t>1.平时成绩</w:t>
      </w:r>
    </w:p>
    <w:p>
      <w:pPr>
        <w:snapToGrid w:val="0"/>
        <w:spacing w:line="360" w:lineRule="auto"/>
        <w:ind w:firstLine="420" w:firstLineChars="200"/>
        <w:rPr>
          <w:szCs w:val="21"/>
        </w:rPr>
      </w:pPr>
      <w:r>
        <w:rPr>
          <w:rFonts w:hint="eastAsia"/>
          <w:szCs w:val="21"/>
        </w:rPr>
        <w:t>平时成绩100分，包含出勤情况及课堂表现20%，课堂实训40%，课后作业论文40%.</w:t>
      </w:r>
    </w:p>
    <w:p>
      <w:pPr>
        <w:snapToGrid w:val="0"/>
        <w:spacing w:line="360" w:lineRule="auto"/>
        <w:ind w:firstLine="42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2.期末成绩</w:t>
      </w:r>
    </w:p>
    <w:p>
      <w:pPr>
        <w:snapToGrid w:val="0"/>
        <w:spacing w:line="360" w:lineRule="auto"/>
        <w:ind w:firstLine="420" w:firstLineChars="200"/>
        <w:rPr>
          <w:szCs w:val="21"/>
        </w:rPr>
      </w:pPr>
      <w:r>
        <w:rPr>
          <w:rFonts w:hint="eastAsia"/>
          <w:szCs w:val="21"/>
        </w:rPr>
        <w:t>课程论文考核方式，占比50%。</w:t>
      </w:r>
    </w:p>
    <w:p>
      <w:pPr>
        <w:snapToGrid w:val="0"/>
        <w:spacing w:line="360" w:lineRule="auto"/>
        <w:ind w:firstLine="420" w:firstLineChars="200"/>
        <w:rPr>
          <w:rFonts w:ascii="宋体" w:hAnsi="宋体"/>
          <w:bCs/>
          <w:color w:val="0000FF"/>
          <w:szCs w:val="21"/>
        </w:rPr>
      </w:pPr>
      <w:r>
        <w:rPr>
          <w:rFonts w:hint="eastAsia" w:ascii="宋体" w:hAnsi="宋体"/>
          <w:color w:val="000000" w:themeColor="text1"/>
          <w14:textFill>
            <w14:solidFill>
              <w14:schemeClr w14:val="tx1"/>
            </w14:solidFill>
          </w14:textFill>
        </w:rPr>
        <w:t>3.综合成绩</w:t>
      </w:r>
    </w:p>
    <w:p>
      <w:pPr>
        <w:spacing w:line="360" w:lineRule="auto"/>
        <w:ind w:left="420" w:leftChars="200"/>
        <w:rPr>
          <w:szCs w:val="21"/>
        </w:rPr>
      </w:pPr>
      <w:r>
        <w:rPr>
          <w:szCs w:val="21"/>
        </w:rPr>
        <w:t>最终成绩满分</w:t>
      </w:r>
      <w:r>
        <w:rPr>
          <w:rFonts w:ascii="宋体" w:hAnsi="宋体"/>
          <w:szCs w:val="21"/>
        </w:rPr>
        <w:t>100</w:t>
      </w:r>
      <w:r>
        <w:rPr>
          <w:szCs w:val="21"/>
        </w:rPr>
        <w:t>分，由</w:t>
      </w:r>
      <w:r>
        <w:rPr>
          <w:rFonts w:hint="eastAsia"/>
          <w:szCs w:val="21"/>
        </w:rPr>
        <w:t>课程论文</w:t>
      </w:r>
      <w:r>
        <w:rPr>
          <w:szCs w:val="21"/>
        </w:rPr>
        <w:t>以及平时成绩两个部分组成：</w:t>
      </w:r>
      <w:r>
        <w:rPr>
          <w:rFonts w:hint="eastAsia"/>
          <w:szCs w:val="21"/>
        </w:rPr>
        <w:t>总成绩=平时成绩 50％＋结课论文 50％</w:t>
      </w:r>
      <w:r>
        <w:rPr>
          <w:szCs w:val="21"/>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114" w:name="_Toc138070823"/>
      <w:bookmarkStart w:id="1115" w:name="_Toc138068522"/>
      <w:bookmarkStart w:id="1116" w:name="_Toc138070552"/>
      <w:bookmarkStart w:id="1117" w:name="_Toc138068921"/>
      <w:bookmarkStart w:id="1118" w:name="_Toc138076761"/>
      <w:bookmarkStart w:id="1119" w:name="_Toc138076217"/>
      <w:bookmarkStart w:id="1120" w:name="_Toc138076466"/>
      <w:bookmarkStart w:id="1121" w:name="_Toc8371"/>
      <w:r>
        <w:rPr>
          <w:rFonts w:hint="eastAsia" w:asciiTheme="majorEastAsia" w:hAnsiTheme="majorEastAsia" w:eastAsiaTheme="majorEastAsia" w:cstheme="majorEastAsia"/>
          <w:b/>
          <w:bCs/>
          <w:kern w:val="0"/>
          <w:szCs w:val="21"/>
        </w:rPr>
        <w:t>六、考核结果分析反馈</w:t>
      </w:r>
      <w:bookmarkEnd w:id="1114"/>
      <w:bookmarkEnd w:id="1115"/>
      <w:bookmarkEnd w:id="1116"/>
      <w:bookmarkEnd w:id="1117"/>
      <w:bookmarkEnd w:id="1118"/>
      <w:bookmarkEnd w:id="1119"/>
      <w:bookmarkEnd w:id="1120"/>
      <w:bookmarkEnd w:id="1121"/>
    </w:p>
    <w:p>
      <w:pPr>
        <w:snapToGrid w:val="0"/>
        <w:spacing w:line="360" w:lineRule="auto"/>
        <w:ind w:firstLine="420" w:firstLineChars="200"/>
        <w:rPr>
          <w:szCs w:val="21"/>
        </w:rPr>
      </w:pPr>
      <w:r>
        <w:rPr>
          <w:szCs w:val="21"/>
        </w:rPr>
        <w:t>建立多元化的考核评价结果反馈机制，制定考核结果反馈表，通过问卷调查的形式，征求学生对课程学习中遇到的问题，以及改进方式；积极实时的向学生反馈平时成绩、作业效果，以达成督促、鼓励的学习氛围；对优秀作业和报告进行展示，设立加分机制，促进课堂学习兴趣。</w:t>
      </w:r>
    </w:p>
    <w:p>
      <w:pPr>
        <w:rPr>
          <w:sz w:val="28"/>
        </w:rPr>
      </w:pPr>
      <w:bookmarkStart w:id="1122" w:name="_Toc138076218"/>
      <w:bookmarkStart w:id="1123" w:name="_Toc138076762"/>
      <w:r>
        <w:rPr>
          <w:rFonts w:hint="eastAsia"/>
          <w:sz w:val="28"/>
        </w:rPr>
        <w:br w:type="page"/>
      </w:r>
    </w:p>
    <w:p>
      <w:pPr>
        <w:pStyle w:val="21"/>
        <w:rPr>
          <w:sz w:val="28"/>
        </w:rPr>
      </w:pPr>
      <w:bookmarkStart w:id="1124" w:name="_Toc18330"/>
      <w:r>
        <w:rPr>
          <w:rFonts w:hint="eastAsia"/>
          <w:sz w:val="28"/>
        </w:rPr>
        <w:t>园艺产业创业案例</w:t>
      </w:r>
      <w:bookmarkEnd w:id="1122"/>
      <w:bookmarkEnd w:id="1123"/>
      <w:bookmarkEnd w:id="1124"/>
      <w:r>
        <w:rPr>
          <w:rFonts w:hint="eastAsia"/>
          <w:sz w:val="28"/>
        </w:rPr>
        <w:t>考核大纲</w:t>
      </w:r>
    </w:p>
    <w:p>
      <w:pPr>
        <w:snapToGrid w:val="0"/>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（Horticultural industry entrepreneurship case）</w:t>
      </w:r>
    </w:p>
    <w:p>
      <w:pPr>
        <w:snapToGrid w:val="0"/>
        <w:spacing w:line="360" w:lineRule="auto"/>
        <w:jc w:val="center"/>
        <w:rPr>
          <w:i/>
          <w:sz w:val="24"/>
        </w:rPr>
      </w:pPr>
    </w:p>
    <w:p>
      <w:pPr>
        <w:snapToGrid w:val="0"/>
        <w:spacing w:line="360" w:lineRule="auto"/>
        <w:jc w:val="center"/>
        <w:rPr>
          <w:b/>
          <w:szCs w:val="21"/>
        </w:rPr>
      </w:pPr>
      <w:r>
        <w:rPr>
          <w:rFonts w:hint="eastAsia"/>
          <w:b/>
          <w:szCs w:val="21"/>
        </w:rPr>
        <w:t>课程基本信息</w:t>
      </w:r>
    </w:p>
    <w:tbl>
      <w:tblPr>
        <w:tblStyle w:val="23"/>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25"/>
        <w:gridCol w:w="2062"/>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625" w:type="dxa"/>
          </w:tcPr>
          <w:p>
            <w:pPr>
              <w:spacing w:line="360" w:lineRule="auto"/>
              <w:rPr>
                <w:rFonts w:ascii="宋体" w:hAnsi="宋体"/>
                <w:b/>
                <w:bCs/>
                <w:szCs w:val="21"/>
              </w:rPr>
            </w:pPr>
            <w:r>
              <w:rPr>
                <w:rFonts w:hint="eastAsia" w:ascii="宋体" w:hAnsi="宋体"/>
                <w:b/>
                <w:bCs/>
                <w:szCs w:val="21"/>
              </w:rPr>
              <w:t>课程编号：</w:t>
            </w:r>
            <w:r>
              <w:rPr>
                <w:rFonts w:hint="eastAsia" w:ascii="宋体" w:hAnsi="宋体"/>
                <w:b/>
                <w:bCs/>
                <w:color w:val="000000" w:themeColor="text1"/>
                <w:szCs w:val="21"/>
                <w14:textFill>
                  <w14:solidFill>
                    <w14:schemeClr w14:val="tx1"/>
                  </w14:solidFill>
                </w14:textFill>
              </w:rPr>
              <w:t>19011037</w:t>
            </w:r>
          </w:p>
        </w:tc>
        <w:tc>
          <w:tcPr>
            <w:tcW w:w="2062" w:type="dxa"/>
          </w:tcPr>
          <w:p>
            <w:pPr>
              <w:spacing w:line="360" w:lineRule="auto"/>
              <w:rPr>
                <w:rFonts w:ascii="宋体" w:hAnsi="宋体"/>
                <w:b/>
                <w:bCs/>
                <w:szCs w:val="21"/>
              </w:rPr>
            </w:pPr>
            <w:r>
              <w:rPr>
                <w:rFonts w:hint="eastAsia" w:ascii="宋体" w:hAnsi="宋体"/>
                <w:b/>
                <w:bCs/>
                <w:szCs w:val="21"/>
              </w:rPr>
              <w:t>课程学时：24</w:t>
            </w:r>
          </w:p>
        </w:tc>
        <w:tc>
          <w:tcPr>
            <w:tcW w:w="3429" w:type="dxa"/>
          </w:tcPr>
          <w:p>
            <w:pPr>
              <w:spacing w:line="360" w:lineRule="auto"/>
              <w:rPr>
                <w:rFonts w:ascii="宋体" w:hAnsi="宋体"/>
                <w:b/>
                <w:bCs/>
                <w:szCs w:val="21"/>
              </w:rPr>
            </w:pPr>
            <w:r>
              <w:rPr>
                <w:rFonts w:hint="eastAsia" w:ascii="宋体" w:hAnsi="宋体"/>
                <w:b/>
                <w:bCs/>
                <w:szCs w:val="21"/>
              </w:rPr>
              <w:t>课程学分：1.5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25" w:type="dxa"/>
          </w:tcPr>
          <w:p>
            <w:pPr>
              <w:spacing w:line="360" w:lineRule="auto"/>
              <w:rPr>
                <w:rFonts w:ascii="宋体" w:hAnsi="宋体"/>
                <w:b/>
                <w:bCs/>
                <w:szCs w:val="21"/>
              </w:rPr>
            </w:pPr>
            <w:r>
              <w:rPr>
                <w:rFonts w:hint="eastAsia" w:ascii="宋体" w:hAnsi="宋体"/>
                <w:b/>
                <w:bCs/>
                <w:szCs w:val="21"/>
              </w:rPr>
              <w:t>主撰人：</w:t>
            </w:r>
            <w:r>
              <w:rPr>
                <w:rFonts w:hint="eastAsia" w:ascii="宋体" w:hAnsi="宋体"/>
                <w:b/>
                <w:bCs/>
                <w:color w:val="000000" w:themeColor="text1"/>
                <w:szCs w:val="21"/>
                <w14:textFill>
                  <w14:solidFill>
                    <w14:schemeClr w14:val="tx1"/>
                  </w14:solidFill>
                </w14:textFill>
              </w:rPr>
              <w:t>王永，张涛</w:t>
            </w:r>
          </w:p>
        </w:tc>
        <w:tc>
          <w:tcPr>
            <w:tcW w:w="2062" w:type="dxa"/>
          </w:tcPr>
          <w:p>
            <w:pPr>
              <w:spacing w:line="360" w:lineRule="auto"/>
              <w:rPr>
                <w:rFonts w:ascii="宋体" w:hAnsi="宋体"/>
                <w:b/>
                <w:bCs/>
                <w:szCs w:val="21"/>
              </w:rPr>
            </w:pPr>
            <w:r>
              <w:rPr>
                <w:rFonts w:hint="eastAsia" w:ascii="宋体" w:hAnsi="宋体"/>
                <w:b/>
                <w:bCs/>
                <w:szCs w:val="21"/>
              </w:rPr>
              <w:t>审核人：</w:t>
            </w:r>
            <w:r>
              <w:rPr>
                <w:rFonts w:hint="eastAsia" w:ascii="宋体" w:hAnsi="宋体"/>
                <w:b/>
                <w:bCs/>
                <w:color w:val="000000" w:themeColor="text1"/>
                <w:szCs w:val="21"/>
                <w14:textFill>
                  <w14:solidFill>
                    <w14:schemeClr w14:val="tx1"/>
                  </w14:solidFill>
                </w14:textFill>
              </w:rPr>
              <w:t>马长生</w:t>
            </w:r>
          </w:p>
        </w:tc>
        <w:tc>
          <w:tcPr>
            <w:tcW w:w="3429" w:type="dxa"/>
          </w:tcPr>
          <w:p>
            <w:pPr>
              <w:spacing w:line="360" w:lineRule="auto"/>
              <w:rPr>
                <w:rFonts w:ascii="宋体" w:hAnsi="宋体"/>
                <w:b/>
                <w:bCs/>
                <w:szCs w:val="21"/>
              </w:rPr>
            </w:pPr>
            <w:r>
              <w:rPr>
                <w:rFonts w:hint="eastAsia" w:ascii="宋体" w:hAnsi="宋体"/>
                <w:b/>
                <w:bCs/>
                <w:szCs w:val="21"/>
              </w:rPr>
              <w:t>大纲制定（修订）日期：</w:t>
            </w:r>
            <w:r>
              <w:rPr>
                <w:rFonts w:hint="eastAsia" w:ascii="宋体" w:hAnsi="宋体"/>
                <w:b/>
                <w:bCs/>
                <w:color w:val="000000" w:themeColor="text1"/>
                <w:szCs w:val="21"/>
                <w14:textFill>
                  <w14:solidFill>
                    <w14:schemeClr w14:val="tx1"/>
                  </w14:solidFill>
                </w14:textFill>
              </w:rPr>
              <w:t>2023.05</w:t>
            </w:r>
          </w:p>
        </w:tc>
      </w:tr>
    </w:tbl>
    <w:p>
      <w:pPr>
        <w:widowControl/>
        <w:snapToGrid w:val="0"/>
        <w:spacing w:before="156" w:line="360" w:lineRule="auto"/>
        <w:jc w:val="left"/>
        <w:outlineLvl w:val="1"/>
        <w:rPr>
          <w:rFonts w:ascii="宋体" w:hAnsi="宋体" w:cs="宋体"/>
          <w:b/>
          <w:bCs/>
          <w:kern w:val="0"/>
          <w:szCs w:val="21"/>
        </w:rPr>
      </w:pPr>
      <w:bookmarkStart w:id="1125" w:name="_Toc138076763"/>
      <w:bookmarkStart w:id="1126" w:name="_Toc138068524"/>
      <w:bookmarkStart w:id="1127" w:name="_Toc138070554"/>
      <w:bookmarkStart w:id="1128" w:name="_Toc138076468"/>
      <w:bookmarkStart w:id="1129" w:name="_Toc17535"/>
      <w:bookmarkStart w:id="1130" w:name="_Toc138076219"/>
      <w:bookmarkStart w:id="1131" w:name="_Toc138070825"/>
      <w:bookmarkStart w:id="1132" w:name="_Toc138068923"/>
      <w:r>
        <w:rPr>
          <w:rFonts w:hint="eastAsia" w:ascii="宋体" w:hAnsi="宋体" w:cs="宋体"/>
          <w:b/>
          <w:bCs/>
          <w:kern w:val="0"/>
          <w:szCs w:val="21"/>
        </w:rPr>
        <w:t>一、课程的性质和地位</w:t>
      </w:r>
      <w:bookmarkEnd w:id="1125"/>
      <w:bookmarkEnd w:id="1126"/>
      <w:bookmarkEnd w:id="1127"/>
      <w:bookmarkEnd w:id="1128"/>
      <w:bookmarkEnd w:id="1129"/>
      <w:bookmarkEnd w:id="1130"/>
      <w:bookmarkEnd w:id="1131"/>
      <w:bookmarkEnd w:id="1132"/>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园艺产业创业案例》是园艺学专业选修课，是一门对园艺专业学生具有开发创业思维的非常重要的一门课程。本课程对我国园艺产业的规模、现状、存在的问题、发展潜力会有一个总体的概述；对农业（园艺）产业化、园艺产品营销、农产品品牌打造、农业园区实际创业案例等方面进行较多的阐述和分析。</w:t>
      </w:r>
    </w:p>
    <w:p>
      <w:pPr>
        <w:numPr>
          <w:ilvl w:val="0"/>
          <w:numId w:val="51"/>
        </w:numPr>
        <w:snapToGrid w:val="0"/>
        <w:spacing w:before="156" w:beforeLines="50" w:line="360" w:lineRule="auto"/>
        <w:rPr>
          <w:rFonts w:ascii="宋体" w:hAnsi="宋体" w:cs="宋体"/>
          <w:szCs w:val="21"/>
        </w:rPr>
      </w:pPr>
      <w:r>
        <w:rPr>
          <w:rFonts w:hint="eastAsia" w:ascii="宋体" w:hAnsi="宋体"/>
          <w:b/>
          <w:szCs w:val="21"/>
        </w:rPr>
        <w:t>理论教学部分的考核目标</w:t>
      </w:r>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通过该课程的学习，将使学生们能较全面地了解园艺产业的整体情况，树立专业信心和行业自信，热爱园艺；同时，具有初步的园艺产业的概念、创业思路和认识，掌握基本的园艺产业的经营运作方法，提高在园艺行业的就业信心和能力；再者，为农业园区、农业企业、农业产业化等培养有高度、有格局的高级从业人才、管理人才和创业人才。</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绪论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hAnsi="宋体"/>
          <w:bCs/>
        </w:rPr>
        <w:t>园艺产业是一个大产业，是一个充满活力的产业。园艺产业创业案例这门课的重要性，</w:t>
      </w:r>
      <w:r>
        <w:rPr>
          <w:rFonts w:hint="eastAsia" w:hAnsi="宋体"/>
        </w:rPr>
        <w:t>如何</w:t>
      </w:r>
      <w:r>
        <w:rPr>
          <w:rFonts w:hint="eastAsia" w:hAnsi="宋体"/>
          <w:bCs/>
        </w:rPr>
        <w:t>学习好这门课</w:t>
      </w:r>
      <w:r>
        <w:rPr>
          <w:rFonts w:hint="eastAsia" w:ascii="宋体" w:hAnsi="宋体" w:cs="宋体"/>
          <w:szCs w:val="21"/>
        </w:rPr>
        <w:t>。</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w:t>
      </w:r>
      <w:r>
        <w:rPr>
          <w:rFonts w:hint="eastAsia" w:hAnsi="宋体"/>
          <w:bCs/>
        </w:rPr>
        <w:t>我国园艺产业的现状和问题。</w:t>
      </w:r>
    </w:p>
    <w:p>
      <w:pPr>
        <w:pStyle w:val="10"/>
        <w:spacing w:line="360" w:lineRule="auto"/>
        <w:ind w:firstLine="420"/>
        <w:rPr>
          <w:rFonts w:hAnsi="宋体" w:cs="宋体"/>
        </w:rPr>
      </w:pPr>
      <w:r>
        <w:rPr>
          <w:rFonts w:hint="eastAsia" w:hAnsi="宋体"/>
          <w:b/>
        </w:rPr>
        <w:t>3．熟练掌握</w:t>
      </w:r>
      <w:r>
        <w:rPr>
          <w:rFonts w:hint="eastAsia" w:hAnsi="宋体"/>
        </w:rPr>
        <w:t>：</w:t>
      </w:r>
      <w:r>
        <w:rPr>
          <w:rFonts w:hint="eastAsia"/>
        </w:rPr>
        <w:t>我国园艺产业的发展方向，以及在农业结构供给侧改革中的作用</w:t>
      </w:r>
      <w:r>
        <w:rPr>
          <w:rFonts w:hint="eastAsia" w:hAnsi="宋体"/>
          <w:bCs/>
        </w:rPr>
        <w:t>。</w:t>
      </w:r>
    </w:p>
    <w:p>
      <w:pPr>
        <w:snapToGrid w:val="0"/>
        <w:spacing w:before="156" w:beforeLines="50"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cs="宋体"/>
          <w:szCs w:val="21"/>
        </w:rPr>
      </w:pPr>
      <w:r>
        <w:rPr>
          <w:rFonts w:hint="eastAsia" w:hAnsi="宋体"/>
          <w:bCs/>
        </w:rPr>
        <w:t>我国园艺产业的现状、问题、</w:t>
      </w:r>
      <w:r>
        <w:rPr>
          <w:rFonts w:hint="eastAsia"/>
        </w:rPr>
        <w:t>发展方向，以及在农业结构供给侧改革中的作用</w:t>
      </w:r>
      <w:r>
        <w:rPr>
          <w:rFonts w:hint="eastAsia" w:ascii="宋体" w:hAnsi="宋体" w:cs="宋体"/>
          <w:szCs w:val="21"/>
        </w:rPr>
        <w:t>。</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cs="宋体"/>
          <w:szCs w:val="21"/>
        </w:rPr>
      </w:pPr>
      <w:r>
        <w:rPr>
          <w:rFonts w:hint="eastAsia" w:ascii="宋体" w:hAnsi="宋体"/>
          <w:b/>
          <w:szCs w:val="21"/>
        </w:rPr>
        <w:t>1．识记</w:t>
      </w:r>
      <w:r>
        <w:rPr>
          <w:rFonts w:hint="eastAsia" w:ascii="宋体" w:hAnsi="宋体"/>
          <w:szCs w:val="21"/>
        </w:rPr>
        <w:t>：我</w:t>
      </w:r>
      <w:r>
        <w:rPr>
          <w:rFonts w:hint="eastAsia" w:hAnsi="宋体"/>
          <w:bCs/>
        </w:rPr>
        <w:t>国园艺产业的现状、问题、</w:t>
      </w:r>
      <w:r>
        <w:rPr>
          <w:rFonts w:hint="eastAsia"/>
        </w:rPr>
        <w:t>发展方向</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b/>
          <w:szCs w:val="21"/>
        </w:rPr>
        <w:t>2．领会</w:t>
      </w:r>
      <w:r>
        <w:rPr>
          <w:rFonts w:hint="eastAsia" w:ascii="宋体" w:hAnsi="宋体"/>
          <w:szCs w:val="21"/>
        </w:rPr>
        <w:t>：</w:t>
      </w:r>
      <w:r>
        <w:rPr>
          <w:rFonts w:hint="eastAsia" w:ascii="宋体" w:hAnsi="宋体" w:cs="宋体"/>
          <w:szCs w:val="21"/>
        </w:rPr>
        <w:t>园艺产业创业案例这门课的重要性。</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：不同园艺作物在我国园艺产业的应用潜力</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cs="宋体"/>
          <w:b/>
          <w:bCs/>
          <w:szCs w:val="21"/>
        </w:rPr>
        <w:t>4．分析：</w:t>
      </w:r>
      <w:r>
        <w:rPr>
          <w:rFonts w:hint="eastAsia" w:hAnsi="宋体"/>
          <w:bCs/>
        </w:rPr>
        <w:t>我国园艺产业</w:t>
      </w:r>
      <w:r>
        <w:rPr>
          <w:rFonts w:hint="eastAsia"/>
        </w:rPr>
        <w:t>在农业结构供给侧改革中的作用</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b/>
          <w:szCs w:val="21"/>
        </w:rPr>
        <w:t>5．综合</w:t>
      </w:r>
      <w:r>
        <w:rPr>
          <w:rFonts w:hint="eastAsia" w:ascii="宋体" w:hAnsi="宋体"/>
          <w:szCs w:val="21"/>
        </w:rPr>
        <w:t>：</w:t>
      </w:r>
      <w:r>
        <w:rPr>
          <w:rFonts w:hint="eastAsia" w:hAnsi="宋体"/>
          <w:bCs/>
        </w:rPr>
        <w:t>园艺产业发展过程中各种因素的关联性</w:t>
      </w:r>
      <w:r>
        <w:rPr>
          <w:rFonts w:hint="eastAsia" w:ascii="宋体" w:hAnsi="宋体" w:cs="宋体"/>
          <w:szCs w:val="21"/>
        </w:rPr>
        <w:t>。</w:t>
      </w:r>
    </w:p>
    <w:p>
      <w:pPr>
        <w:snapToGrid w:val="0"/>
        <w:spacing w:line="360" w:lineRule="auto"/>
        <w:ind w:firstLine="422" w:firstLineChars="200"/>
        <w:rPr>
          <w:rFonts w:ascii="宋体" w:hAnsi="宋体" w:cs="宋体"/>
          <w:b/>
          <w:bCs/>
          <w:szCs w:val="21"/>
        </w:rPr>
      </w:pPr>
      <w:r>
        <w:rPr>
          <w:rFonts w:hint="eastAsia" w:ascii="宋体" w:hAnsi="宋体" w:cs="宋体"/>
          <w:b/>
          <w:bCs/>
          <w:szCs w:val="21"/>
        </w:rPr>
        <w:t>6．评价：</w:t>
      </w:r>
      <w:r>
        <w:rPr>
          <w:rFonts w:hint="eastAsia" w:hAnsi="宋体"/>
          <w:bCs/>
        </w:rPr>
        <w:t>国园艺掌握我产业的现状、问题、</w:t>
      </w:r>
      <w:r>
        <w:rPr>
          <w:rFonts w:hint="eastAsia"/>
        </w:rPr>
        <w:t>发展方向，以及在农业结构供给侧改革中的作用</w:t>
      </w:r>
      <w:r>
        <w:rPr>
          <w:rFonts w:hint="eastAsia" w:ascii="宋体" w:hAnsi="宋体" w:cs="宋体"/>
          <w:szCs w:val="21"/>
        </w:rPr>
        <w:t>。</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 xml:space="preserve">第一章 </w:t>
      </w:r>
      <w:r>
        <w:rPr>
          <w:rFonts w:hint="eastAsia"/>
          <w:b/>
          <w:color w:val="000000" w:themeColor="text1"/>
          <w:szCs w:val="21"/>
          <w14:textFill>
            <w14:solidFill>
              <w14:schemeClr w14:val="tx1"/>
            </w14:solidFill>
          </w14:textFill>
        </w:rPr>
        <w:t>农业（园艺）产业化</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ascii="宋体" w:hAnsi="宋体" w:cs="宋体"/>
          <w:szCs w:val="21"/>
        </w:rPr>
        <w:t>农业产业化的基本概念。</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w:t>
      </w:r>
      <w:r>
        <w:rPr>
          <w:rFonts w:hint="eastAsia" w:ascii="宋体" w:hAnsi="宋体" w:cs="宋体"/>
          <w:szCs w:val="21"/>
        </w:rPr>
        <w:t>现代农业六化：区域化布局，专业化生产，规模化建设，系列化加工，社会化服务，企业化管理。</w:t>
      </w:r>
    </w:p>
    <w:p>
      <w:pPr>
        <w:snapToGrid w:val="0"/>
        <w:spacing w:line="360" w:lineRule="auto"/>
        <w:ind w:firstLine="422" w:firstLineChars="200"/>
        <w:rPr>
          <w:rFonts w:ascii="宋体" w:hAnsi="宋体" w:cs="宋体"/>
          <w:b/>
          <w:szCs w:val="21"/>
        </w:rPr>
      </w:pPr>
      <w:r>
        <w:rPr>
          <w:rFonts w:hint="eastAsia" w:ascii="宋体" w:hAnsi="宋体"/>
          <w:b/>
          <w:szCs w:val="21"/>
        </w:rPr>
        <w:t>3．熟练掌握</w:t>
      </w:r>
      <w:r>
        <w:rPr>
          <w:rFonts w:hint="eastAsia" w:ascii="宋体" w:hAnsi="宋体"/>
          <w:szCs w:val="21"/>
        </w:rPr>
        <w:t>：</w:t>
      </w:r>
      <w:r>
        <w:rPr>
          <w:rFonts w:hint="eastAsia" w:ascii="宋体" w:hAnsi="宋体" w:cs="宋体"/>
          <w:szCs w:val="21"/>
        </w:rPr>
        <w:t>现代农业六化之间的联系。</w:t>
      </w:r>
    </w:p>
    <w:p>
      <w:pPr>
        <w:snapToGrid w:val="0"/>
        <w:spacing w:before="156" w:beforeLines="50" w:line="360" w:lineRule="auto"/>
        <w:rPr>
          <w:rFonts w:ascii="宋体" w:hAnsi="宋体"/>
          <w:szCs w:val="21"/>
        </w:rPr>
      </w:pPr>
      <w:r>
        <w:rPr>
          <w:rFonts w:hint="eastAsia" w:ascii="宋体" w:hAnsi="宋体"/>
          <w:b/>
          <w:szCs w:val="21"/>
        </w:rPr>
        <w:t>（二）考核内容</w:t>
      </w:r>
    </w:p>
    <w:p>
      <w:pPr>
        <w:snapToGrid w:val="0"/>
        <w:spacing w:before="156" w:beforeLines="50" w:line="360" w:lineRule="auto"/>
        <w:ind w:firstLine="420" w:firstLineChars="2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区域化、专业化、规模化、系列化、社会化和企业化的概念和案例；</w:t>
      </w:r>
      <w:r>
        <w:rPr>
          <w:rFonts w:hint="eastAsia" w:ascii="宋体" w:hAnsi="宋体" w:cs="宋体"/>
          <w:szCs w:val="21"/>
        </w:rPr>
        <w:t>现代农业六化之间的联系；</w:t>
      </w:r>
      <w:r>
        <w:rPr>
          <w:rFonts w:hint="eastAsia" w:hAnsi="宋体"/>
          <w:color w:val="000000" w:themeColor="text1"/>
          <w14:textFill>
            <w14:solidFill>
              <w14:schemeClr w14:val="tx1"/>
            </w14:solidFill>
          </w14:textFill>
        </w:rPr>
        <w:t>如何以市场为导向、以经济效益为中心、以主导产业、主导产品为重点？产品和市场的定位问题；</w:t>
      </w:r>
      <w:r>
        <w:rPr>
          <w:rFonts w:hint="eastAsia" w:ascii="宋体" w:hAnsi="宋体"/>
          <w:color w:val="000000" w:themeColor="text1"/>
          <w14:textFill>
            <w14:solidFill>
              <w14:schemeClr w14:val="tx1"/>
            </w14:solidFill>
          </w14:textFill>
        </w:rPr>
        <w:t>农业产业化的基本类型，及各自的特点；农业产业化的八个特征及</w:t>
      </w:r>
      <w:r>
        <w:rPr>
          <w:rFonts w:hint="eastAsia" w:asciiTheme="minorEastAsia" w:hAnsiTheme="minorEastAsia" w:eastAsiaTheme="minorEastAsia" w:cstheme="minorEastAsia"/>
          <w:color w:val="000000" w:themeColor="text1"/>
          <w14:textFill>
            <w14:solidFill>
              <w14:schemeClr w14:val="tx1"/>
            </w14:solidFill>
          </w14:textFill>
        </w:rPr>
        <w:t>一体化经营方式。</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hAnsi="宋体"/>
          <w:color w:val="000000" w:themeColor="text1"/>
          <w14:textFill>
            <w14:solidFill>
              <w14:schemeClr w14:val="tx1"/>
            </w14:solidFill>
          </w14:textFill>
        </w:rPr>
        <w:t>现代农业六化和</w:t>
      </w:r>
      <w:r>
        <w:rPr>
          <w:rFonts w:hint="eastAsia" w:ascii="宋体" w:hAnsi="宋体"/>
          <w:color w:val="000000" w:themeColor="text1"/>
          <w14:textFill>
            <w14:solidFill>
              <w14:schemeClr w14:val="tx1"/>
            </w14:solidFill>
          </w14:textFill>
        </w:rPr>
        <w:t>农业产业化的八个特征</w:t>
      </w:r>
      <w:r>
        <w:rPr>
          <w:rFonts w:hint="eastAsia" w:ascii="宋体" w:hAnsi="宋体" w:cs="宋体"/>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hAnsi="宋体"/>
          <w:color w:val="000000" w:themeColor="text1"/>
          <w14:textFill>
            <w14:solidFill>
              <w14:schemeClr w14:val="tx1"/>
            </w14:solidFill>
          </w14:textFill>
        </w:rPr>
        <w:t>农业产业化是一个系统工程</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s="宋体"/>
          <w:szCs w:val="21"/>
        </w:rPr>
        <w:t>龙头企业在农业产业化中的重要作用。</w:t>
      </w:r>
    </w:p>
    <w:p>
      <w:pPr>
        <w:snapToGrid w:val="0"/>
        <w:spacing w:line="360" w:lineRule="auto"/>
        <w:ind w:firstLine="422" w:firstLineChars="200"/>
        <w:rPr>
          <w:rFonts w:ascii="宋体" w:hAnsi="宋体" w:cs="宋体"/>
          <w:szCs w:val="21"/>
        </w:rPr>
      </w:pPr>
      <w:r>
        <w:rPr>
          <w:rFonts w:hint="eastAsia" w:ascii="宋体" w:hAnsi="宋体" w:cs="宋体"/>
          <w:b/>
          <w:bCs/>
          <w:szCs w:val="21"/>
        </w:rPr>
        <w:t>4．分析：</w:t>
      </w:r>
      <w:r>
        <w:rPr>
          <w:rFonts w:hint="eastAsia" w:ascii="宋体" w:hAnsi="宋体" w:cs="宋体"/>
          <w:szCs w:val="21"/>
        </w:rPr>
        <w:t>现代农业六化之间的联系</w:t>
      </w:r>
      <w:r>
        <w:rPr>
          <w:rFonts w:hint="eastAsia" w:ascii="宋体" w:hAnsi="宋体"/>
          <w:color w:val="000000" w:themeColor="text1"/>
          <w14:textFill>
            <w14:solidFill>
              <w14:schemeClr w14:val="tx1"/>
            </w14:solidFill>
          </w14:textFill>
        </w:rPr>
        <w:t>；</w:t>
      </w:r>
      <w:r>
        <w:rPr>
          <w:rFonts w:hint="eastAsia" w:ascii="宋体" w:hAnsi="宋体" w:cs="宋体"/>
          <w:szCs w:val="21"/>
        </w:rPr>
        <w:t>农业产业化的基本类型，及各自的特点。</w:t>
      </w:r>
    </w:p>
    <w:p>
      <w:pPr>
        <w:snapToGrid w:val="0"/>
        <w:spacing w:line="360" w:lineRule="auto"/>
        <w:ind w:firstLine="422" w:firstLineChars="200"/>
        <w:rPr>
          <w:rFonts w:ascii="宋体" w:hAnsi="宋体" w:cs="宋体"/>
          <w:szCs w:val="21"/>
        </w:rPr>
      </w:pPr>
      <w:r>
        <w:rPr>
          <w:rFonts w:hint="eastAsia" w:ascii="宋体" w:hAnsi="宋体"/>
          <w:b/>
          <w:szCs w:val="21"/>
        </w:rPr>
        <w:t>5．综合</w:t>
      </w:r>
      <w:r>
        <w:rPr>
          <w:rFonts w:hint="eastAsia" w:ascii="宋体" w:hAnsi="宋体"/>
          <w:szCs w:val="21"/>
        </w:rPr>
        <w:t>：</w:t>
      </w:r>
      <w:r>
        <w:rPr>
          <w:rFonts w:hint="eastAsia" w:hAnsi="宋体"/>
          <w:color w:val="000000" w:themeColor="text1"/>
          <w14:textFill>
            <w14:solidFill>
              <w14:schemeClr w14:val="tx1"/>
            </w14:solidFill>
          </w14:textFill>
        </w:rPr>
        <w:t>一体化是农业产业化的瓶颈，企业化管理是农业第一产业的必须</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cs="宋体"/>
          <w:b/>
          <w:bCs/>
          <w:szCs w:val="21"/>
        </w:rPr>
        <w:t>6．评价：</w:t>
      </w:r>
      <w:r>
        <w:rPr>
          <w:rFonts w:hint="eastAsia" w:ascii="宋体" w:hAnsi="宋体" w:cs="宋体"/>
          <w:szCs w:val="21"/>
        </w:rPr>
        <w:t>现代农业六化、</w:t>
      </w:r>
      <w:r>
        <w:rPr>
          <w:rFonts w:hint="eastAsia" w:ascii="宋体" w:hAnsi="宋体"/>
          <w:color w:val="000000" w:themeColor="text1"/>
          <w14:textFill>
            <w14:solidFill>
              <w14:schemeClr w14:val="tx1"/>
            </w14:solidFill>
          </w14:textFill>
        </w:rPr>
        <w:t>农业产业化的八个特征及农业产业化的基本类型，及各自的特点</w:t>
      </w:r>
      <w:r>
        <w:rPr>
          <w:rFonts w:hint="eastAsia" w:ascii="宋体" w:hAnsi="宋体" w:cs="宋体"/>
          <w:szCs w:val="21"/>
        </w:rPr>
        <w:t>。</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第二章</w:t>
      </w:r>
      <w:r>
        <w:rPr>
          <w:rFonts w:ascii="宋体" w:hAnsi="宋体" w:cs="宋体"/>
          <w:b/>
          <w:bCs/>
          <w:kern w:val="0"/>
          <w:szCs w:val="21"/>
        </w:rPr>
        <w:t xml:space="preserve"> </w:t>
      </w:r>
      <w:r>
        <w:rPr>
          <w:rFonts w:hint="eastAsia" w:ascii="宋体" w:hAnsi="宋体" w:cs="宋体"/>
          <w:b/>
          <w:bCs/>
          <w:kern w:val="0"/>
          <w:szCs w:val="21"/>
        </w:rPr>
        <w:t>园艺企业做大做强的机会</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ascii="宋体" w:hAnsi="宋体"/>
        </w:rPr>
        <w:t>自然资源的珍贵和不可再生性；</w:t>
      </w:r>
      <w:r>
        <w:rPr>
          <w:rFonts w:hint="eastAsia" w:hAnsi="宋体"/>
        </w:rPr>
        <w:t>品意识，品牌意识和市场意识</w:t>
      </w:r>
      <w:r>
        <w:rPr>
          <w:rFonts w:hint="eastAsia" w:ascii="宋体" w:hAnsi="宋体" w:cs="宋体"/>
          <w:szCs w:val="21"/>
        </w:rPr>
        <w:t>。</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w:t>
      </w:r>
      <w:r>
        <w:rPr>
          <w:rFonts w:hint="eastAsia" w:ascii="宋体" w:hAnsi="宋体" w:cs="宋体"/>
          <w:szCs w:val="21"/>
        </w:rPr>
        <w:t>园艺特色品种资源、品牌及市场的重要作用。</w:t>
      </w:r>
    </w:p>
    <w:p>
      <w:pPr>
        <w:snapToGrid w:val="0"/>
        <w:spacing w:line="360" w:lineRule="auto"/>
        <w:ind w:firstLine="422" w:firstLineChars="200"/>
        <w:rPr>
          <w:rFonts w:ascii="宋体" w:hAnsi="宋体"/>
          <w:b/>
          <w:szCs w:val="21"/>
        </w:rPr>
      </w:pPr>
      <w:r>
        <w:rPr>
          <w:rFonts w:hint="eastAsia" w:ascii="宋体" w:hAnsi="宋体"/>
          <w:b/>
          <w:szCs w:val="21"/>
        </w:rPr>
        <w:t>3．熟练掌握</w:t>
      </w:r>
      <w:r>
        <w:rPr>
          <w:rFonts w:hint="eastAsia" w:ascii="宋体" w:hAnsi="宋体"/>
          <w:szCs w:val="21"/>
        </w:rPr>
        <w:t>：</w:t>
      </w:r>
      <w:r>
        <w:rPr>
          <w:rFonts w:hint="eastAsia" w:ascii="宋体" w:hAnsi="宋体" w:cs="宋体"/>
          <w:szCs w:val="21"/>
        </w:rPr>
        <w:t>资源类、产品类和市场类机会。</w:t>
      </w:r>
    </w:p>
    <w:p>
      <w:pPr>
        <w:snapToGrid w:val="0"/>
        <w:spacing w:before="156" w:beforeLines="50" w:line="360" w:lineRule="auto"/>
        <w:rPr>
          <w:rFonts w:ascii="宋体" w:hAnsi="宋体"/>
          <w:b/>
          <w:szCs w:val="21"/>
        </w:rPr>
      </w:pPr>
      <w:r>
        <w:rPr>
          <w:rFonts w:hint="eastAsia" w:ascii="宋体" w:hAnsi="宋体"/>
          <w:b/>
          <w:szCs w:val="21"/>
        </w:rPr>
        <w:t>（二）考核知识点</w:t>
      </w:r>
    </w:p>
    <w:p>
      <w:pPr>
        <w:snapToGrid w:val="0"/>
        <w:spacing w:before="156" w:beforeLines="50" w:line="360" w:lineRule="auto"/>
        <w:ind w:firstLine="420" w:firstLineChars="200"/>
        <w:rPr>
          <w:rFonts w:ascii="宋体"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园艺特色品种资源及不同</w:t>
      </w:r>
      <w:r>
        <w:rPr>
          <w:rFonts w:hint="eastAsia" w:ascii="宋体" w:hAnsi="宋体"/>
          <w:color w:val="000000" w:themeColor="text1"/>
          <w14:textFill>
            <w14:solidFill>
              <w14:schemeClr w14:val="tx1"/>
            </w14:solidFill>
          </w14:textFill>
        </w:rPr>
        <w:t>产地品牌资源；产品差异化的重要性；</w:t>
      </w:r>
      <w:r>
        <w:rPr>
          <w:rFonts w:hint="eastAsia" w:hAnsi="宋体"/>
          <w:color w:val="000000" w:themeColor="text1"/>
          <w14:textFill>
            <w14:solidFill>
              <w14:schemeClr w14:val="tx1"/>
            </w14:solidFill>
          </w14:textFill>
        </w:rPr>
        <w:t>园艺产品区域市场机会的把握以及</w:t>
      </w:r>
      <w:r>
        <w:rPr>
          <w:rFonts w:hint="eastAsia" w:ascii="宋体" w:hAnsi="宋体"/>
          <w:color w:val="000000" w:themeColor="text1"/>
          <w14:textFill>
            <w14:solidFill>
              <w14:schemeClr w14:val="tx1"/>
            </w14:solidFill>
          </w14:textFill>
        </w:rPr>
        <w:t>开发市场的能力。</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s="宋体"/>
          <w:szCs w:val="21"/>
        </w:rPr>
        <w:t>资源类、产品类和市场类机会的概念。</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：自然资源的珍贵和</w:t>
      </w:r>
      <w:r>
        <w:rPr>
          <w:rFonts w:hint="eastAsia" w:ascii="宋体" w:hAnsi="宋体"/>
          <w:color w:val="000000" w:themeColor="text1"/>
          <w14:textFill>
            <w14:solidFill>
              <w14:schemeClr w14:val="tx1"/>
            </w14:solidFill>
          </w14:textFill>
        </w:rPr>
        <w:t>产品差异化的重要性</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olor w:val="000000" w:themeColor="text1"/>
          <w14:textFill>
            <w14:solidFill>
              <w14:schemeClr w14:val="tx1"/>
            </w14:solidFill>
          </w14:textFill>
        </w:rPr>
        <w:t>学会市场运作</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cs="宋体"/>
          <w:b/>
          <w:bCs/>
          <w:szCs w:val="21"/>
        </w:rPr>
        <w:t>4．分析：</w:t>
      </w:r>
      <w:r>
        <w:rPr>
          <w:rFonts w:hint="eastAsia" w:hAnsi="宋体"/>
          <w:color w:val="000000" w:themeColor="text1"/>
          <w14:textFill>
            <w14:solidFill>
              <w14:schemeClr w14:val="tx1"/>
            </w14:solidFill>
          </w14:textFill>
        </w:rPr>
        <w:t>园艺特色品种资源及不同</w:t>
      </w:r>
      <w:r>
        <w:rPr>
          <w:rFonts w:hint="eastAsia" w:ascii="宋体" w:hAnsi="宋体"/>
          <w:color w:val="000000" w:themeColor="text1"/>
          <w14:textFill>
            <w14:solidFill>
              <w14:schemeClr w14:val="tx1"/>
            </w14:solidFill>
          </w14:textFill>
        </w:rPr>
        <w:t>产地品牌资源</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b/>
          <w:szCs w:val="21"/>
        </w:rPr>
        <w:t>5．综合</w:t>
      </w:r>
      <w:r>
        <w:rPr>
          <w:rFonts w:hint="eastAsia" w:ascii="宋体" w:hAnsi="宋体"/>
          <w:szCs w:val="21"/>
        </w:rPr>
        <w:t>：</w:t>
      </w:r>
      <w:r>
        <w:rPr>
          <w:rFonts w:hint="eastAsia" w:ascii="宋体" w:hAnsi="宋体" w:cs="宋体"/>
          <w:szCs w:val="21"/>
        </w:rPr>
        <w:t>三种机会之间的联系</w:t>
      </w:r>
      <w:r>
        <w:rPr>
          <w:rFonts w:hint="eastAsia" w:ascii="宋体" w:hAnsi="宋体"/>
          <w:szCs w:val="21"/>
        </w:rPr>
        <w:t>。</w:t>
      </w:r>
    </w:p>
    <w:p>
      <w:pPr>
        <w:snapToGrid w:val="0"/>
        <w:spacing w:line="360" w:lineRule="auto"/>
        <w:ind w:firstLine="422" w:firstLineChars="200"/>
        <w:rPr>
          <w:rFonts w:ascii="宋体" w:hAnsi="宋体" w:cs="宋体"/>
          <w:szCs w:val="21"/>
        </w:rPr>
      </w:pPr>
      <w:r>
        <w:rPr>
          <w:rFonts w:hint="eastAsia" w:ascii="宋体" w:hAnsi="宋体" w:cs="宋体"/>
          <w:b/>
          <w:bCs/>
          <w:szCs w:val="21"/>
        </w:rPr>
        <w:t>6．评价：</w:t>
      </w:r>
      <w:r>
        <w:rPr>
          <w:rFonts w:hint="eastAsia" w:hAnsi="宋体"/>
          <w:color w:val="000000" w:themeColor="text1"/>
          <w14:textFill>
            <w14:solidFill>
              <w14:schemeClr w14:val="tx1"/>
            </w14:solidFill>
          </w14:textFill>
        </w:rPr>
        <w:t>园艺特色品种资源及不同</w:t>
      </w:r>
      <w:r>
        <w:rPr>
          <w:rFonts w:hint="eastAsia" w:ascii="宋体" w:hAnsi="宋体"/>
          <w:color w:val="000000" w:themeColor="text1"/>
          <w14:textFill>
            <w14:solidFill>
              <w14:schemeClr w14:val="tx1"/>
            </w14:solidFill>
          </w14:textFill>
        </w:rPr>
        <w:t>产地品牌资源；产品差异化的重要性；</w:t>
      </w:r>
      <w:r>
        <w:rPr>
          <w:rFonts w:hint="eastAsia" w:hAnsi="宋体"/>
          <w:color w:val="000000" w:themeColor="text1"/>
          <w14:textFill>
            <w14:solidFill>
              <w14:schemeClr w14:val="tx1"/>
            </w14:solidFill>
          </w14:textFill>
        </w:rPr>
        <w:t>园艺产品区域市场机会的把握以及</w:t>
      </w:r>
      <w:r>
        <w:rPr>
          <w:rFonts w:hint="eastAsia" w:ascii="宋体" w:hAnsi="宋体"/>
          <w:color w:val="000000" w:themeColor="text1"/>
          <w14:textFill>
            <w14:solidFill>
              <w14:schemeClr w14:val="tx1"/>
            </w14:solidFill>
          </w14:textFill>
        </w:rPr>
        <w:t>开发市场的能力。</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第三章</w:t>
      </w:r>
      <w:r>
        <w:rPr>
          <w:rFonts w:ascii="宋体" w:hAnsi="宋体" w:cs="宋体"/>
          <w:b/>
          <w:bCs/>
          <w:kern w:val="0"/>
          <w:szCs w:val="21"/>
        </w:rPr>
        <w:t xml:space="preserve"> </w:t>
      </w:r>
      <w:r>
        <w:rPr>
          <w:rFonts w:hint="eastAsia"/>
          <w:b/>
          <w:bCs/>
          <w:color w:val="000000" w:themeColor="text1"/>
          <w:kern w:val="0"/>
          <w:szCs w:val="21"/>
          <w14:textFill>
            <w14:solidFill>
              <w14:schemeClr w14:val="tx1"/>
            </w14:solidFill>
          </w14:textFill>
        </w:rPr>
        <w:t>农业园区的创业之路</w:t>
      </w:r>
      <w:r>
        <w:rPr>
          <w:rFonts w:hint="eastAsia"/>
          <w:b/>
          <w:color w:val="000000" w:themeColor="text1"/>
          <w:szCs w:val="21"/>
          <w14:textFill>
            <w14:solidFill>
              <w14:schemeClr w14:val="tx1"/>
            </w14:solidFill>
          </w14:textFill>
        </w:rPr>
        <w:t xml:space="preserve"> </w:t>
      </w:r>
    </w:p>
    <w:p>
      <w:pPr>
        <w:snapToGrid w:val="0"/>
        <w:spacing w:line="360" w:lineRule="auto"/>
        <w:rPr>
          <w:rFonts w:ascii="宋体" w:hAnsi="宋体"/>
          <w:b/>
          <w:szCs w:val="21"/>
        </w:rPr>
      </w:pPr>
      <w:r>
        <w:rPr>
          <w:rFonts w:hint="eastAsia" w:ascii="宋体" w:hAnsi="宋体"/>
          <w:b/>
          <w:szCs w:val="21"/>
        </w:rPr>
        <w:t>（一）一般学习目的与要求</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ascii="宋体" w:hAnsi="宋体"/>
          <w:color w:val="000000" w:themeColor="text1"/>
          <w14:textFill>
            <w14:solidFill>
              <w14:schemeClr w14:val="tx1"/>
            </w14:solidFill>
          </w14:textFill>
        </w:rPr>
        <w:t>地流转的现状，正确认识农业园区存在的问题与土地流转政策的关系</w:t>
      </w:r>
      <w:r>
        <w:rPr>
          <w:rFonts w:hint="eastAsia" w:ascii="宋体" w:hAnsi="宋体" w:cs="宋体"/>
          <w:szCs w:val="21"/>
        </w:rPr>
        <w:t>。</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w:t>
      </w:r>
      <w:r>
        <w:rPr>
          <w:rFonts w:hint="eastAsia" w:ascii="宋体" w:hAnsi="宋体"/>
          <w:color w:val="000000" w:themeColor="text1"/>
          <w14:textFill>
            <w14:solidFill>
              <w14:schemeClr w14:val="tx1"/>
            </w14:solidFill>
          </w14:textFill>
        </w:rPr>
        <w:t>农业园区经营的八点思考及创业要注意的问题。</w:t>
      </w:r>
    </w:p>
    <w:p>
      <w:pPr>
        <w:snapToGrid w:val="0"/>
        <w:spacing w:line="360" w:lineRule="auto"/>
        <w:ind w:firstLine="422" w:firstLineChars="200"/>
        <w:rPr>
          <w:rFonts w:ascii="宋体" w:hAnsi="宋体"/>
          <w:b/>
          <w:szCs w:val="21"/>
        </w:rPr>
      </w:pPr>
      <w:r>
        <w:rPr>
          <w:rFonts w:hint="eastAsia" w:ascii="宋体" w:hAnsi="宋体"/>
          <w:b/>
          <w:szCs w:val="21"/>
        </w:rPr>
        <w:t>3．熟练掌握</w:t>
      </w:r>
      <w:r>
        <w:rPr>
          <w:rFonts w:hint="eastAsia" w:ascii="宋体" w:hAnsi="宋体"/>
          <w:szCs w:val="21"/>
        </w:rPr>
        <w:t>：</w:t>
      </w:r>
      <w:r>
        <w:rPr>
          <w:rFonts w:hint="eastAsia" w:hAnsi="宋体"/>
          <w:color w:val="000000" w:themeColor="text1"/>
          <w14:textFill>
            <w14:solidFill>
              <w14:schemeClr w14:val="tx1"/>
            </w14:solidFill>
          </w14:textFill>
        </w:rPr>
        <w:t>农业园区的健康发展之路。</w:t>
      </w:r>
    </w:p>
    <w:p>
      <w:pPr>
        <w:snapToGrid w:val="0"/>
        <w:spacing w:before="156" w:beforeLines="50" w:line="360" w:lineRule="auto"/>
        <w:rPr>
          <w:rFonts w:ascii="宋体" w:hAnsi="宋体"/>
          <w:b/>
          <w:szCs w:val="21"/>
        </w:rPr>
      </w:pPr>
      <w:r>
        <w:rPr>
          <w:rFonts w:hint="eastAsia" w:ascii="宋体" w:hAnsi="宋体"/>
          <w:b/>
          <w:szCs w:val="21"/>
        </w:rPr>
        <w:t>（二）考核知识点</w:t>
      </w:r>
    </w:p>
    <w:p>
      <w:pPr>
        <w:pStyle w:val="20"/>
        <w:wordWrap w:val="0"/>
        <w:spacing w:before="0" w:beforeAutospacing="0" w:after="0" w:afterAutospacing="0" w:line="360" w:lineRule="auto"/>
        <w:ind w:firstLine="420" w:firstLineChars="200"/>
        <w:jc w:val="both"/>
        <w:rPr>
          <w:rFonts w:ascii="宋体" w:hAnsi="宋体" w:eastAsia="宋体" w:cs="宋体"/>
          <w:sz w:val="21"/>
          <w:szCs w:val="21"/>
        </w:rPr>
      </w:pPr>
      <w:r>
        <w:rPr>
          <w:rFonts w:hint="eastAsia" w:ascii="宋体" w:hAnsi="宋体" w:eastAsia="宋体" w:cs="宋体"/>
          <w:sz w:val="21"/>
          <w:szCs w:val="21"/>
        </w:rPr>
        <w:t>了解土地流转的现状，正确认识农业园区存在的问题与土地流转政策的关系；了解农业园区目前的现状、问题；了解农园区和园艺产业创业要注意的问题。掌握农业园区的健康发展之路和优秀品种在园艺产业发展中的重要作用。</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s="宋体"/>
          <w:szCs w:val="21"/>
        </w:rPr>
        <w:t>农业园区经营的八点思考及创业要注意的问题。</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cs="宋体"/>
          <w:szCs w:val="21"/>
        </w:rPr>
        <w:t>土地流转的现状，正确认识农业园区存在的问题与土地流转政策的关系。</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s="宋体"/>
          <w:szCs w:val="21"/>
        </w:rPr>
        <w:t>农业园区经营和市场预测。</w:t>
      </w:r>
    </w:p>
    <w:p>
      <w:pPr>
        <w:snapToGrid w:val="0"/>
        <w:spacing w:line="360" w:lineRule="auto"/>
        <w:ind w:firstLine="422" w:firstLineChars="200"/>
        <w:rPr>
          <w:rFonts w:ascii="宋体" w:hAnsi="宋体" w:cs="宋体"/>
          <w:szCs w:val="21"/>
        </w:rPr>
      </w:pPr>
      <w:r>
        <w:rPr>
          <w:rFonts w:hint="eastAsia" w:ascii="宋体" w:hAnsi="宋体"/>
          <w:b/>
          <w:szCs w:val="21"/>
        </w:rPr>
        <w:t>4．分析：</w:t>
      </w:r>
      <w:r>
        <w:rPr>
          <w:rFonts w:hint="eastAsia" w:ascii="宋体" w:hAnsi="宋体" w:cs="宋体"/>
          <w:szCs w:val="21"/>
        </w:rPr>
        <w:t>农业园区的健康发展之路和优秀品种在园艺产业发展中的重要作用。</w:t>
      </w:r>
    </w:p>
    <w:p>
      <w:pPr>
        <w:snapToGrid w:val="0"/>
        <w:spacing w:line="360" w:lineRule="auto"/>
        <w:ind w:firstLine="422" w:firstLineChars="200"/>
        <w:rPr>
          <w:rFonts w:ascii="宋体" w:hAnsi="宋体"/>
          <w:b/>
          <w:szCs w:val="21"/>
        </w:rPr>
      </w:pPr>
      <w:r>
        <w:rPr>
          <w:rFonts w:hint="eastAsia" w:ascii="宋体" w:hAnsi="宋体"/>
          <w:b/>
          <w:szCs w:val="21"/>
        </w:rPr>
        <w:t>5．综合：</w:t>
      </w:r>
      <w:r>
        <w:rPr>
          <w:rFonts w:hint="eastAsia" w:ascii="宋体" w:hAnsi="宋体" w:cs="宋体"/>
          <w:szCs w:val="21"/>
        </w:rPr>
        <w:t>农业园区的经营和园艺产业创业是一个系统工程，需要优秀的综合型人才。</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cs="宋体"/>
          <w:szCs w:val="21"/>
        </w:rPr>
        <w:t>农业园区的健康发展之路的理解和掌握。</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第四章</w:t>
      </w:r>
      <w:r>
        <w:rPr>
          <w:rFonts w:ascii="宋体" w:hAnsi="宋体" w:cs="宋体"/>
          <w:b/>
          <w:bCs/>
          <w:kern w:val="0"/>
          <w:szCs w:val="21"/>
        </w:rPr>
        <w:t xml:space="preserve"> </w:t>
      </w:r>
      <w:r>
        <w:rPr>
          <w:rFonts w:hint="eastAsia" w:ascii="宋体" w:hAnsi="宋体" w:cs="宋体"/>
          <w:b/>
          <w:bCs/>
          <w:kern w:val="0"/>
          <w:szCs w:val="21"/>
        </w:rPr>
        <w:t>优质瓜菜品种、创品牌品种介绍及运作要点</w:t>
      </w:r>
    </w:p>
    <w:p>
      <w:pPr>
        <w:snapToGrid w:val="0"/>
        <w:spacing w:line="360" w:lineRule="auto"/>
        <w:rPr>
          <w:rFonts w:ascii="宋体" w:hAnsi="宋体"/>
          <w:b/>
          <w:szCs w:val="21"/>
        </w:rPr>
      </w:pPr>
      <w:r>
        <w:rPr>
          <w:rFonts w:hint="eastAsia" w:ascii="宋体" w:hAnsi="宋体"/>
          <w:b/>
          <w:szCs w:val="21"/>
        </w:rPr>
        <w:t>（一）一般学习目的与要求</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cs="宋体"/>
          <w:szCs w:val="21"/>
        </w:rPr>
        <w:t>目前适合农业园区种植和运作的优质瓜类及其他蔬菜品种。</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color w:val="000000" w:themeColor="text1"/>
          <w14:textFill>
            <w14:solidFill>
              <w14:schemeClr w14:val="tx1"/>
            </w14:solidFill>
          </w14:textFill>
        </w:rPr>
        <w:t>市场上现有的优质品种及其特点</w:t>
      </w:r>
      <w:r>
        <w:rPr>
          <w:rFonts w:hint="eastAsia" w:ascii="宋体" w:hAnsi="宋体" w:cs="宋体"/>
          <w:szCs w:val="21"/>
        </w:rPr>
        <w:t>。</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hAnsi="宋体"/>
          <w:color w:val="000000" w:themeColor="text1"/>
          <w14:textFill>
            <w14:solidFill>
              <w14:schemeClr w14:val="tx1"/>
            </w14:solidFill>
          </w14:textFill>
        </w:rPr>
        <w:t>农业园区的品种差异化发展之路</w:t>
      </w:r>
      <w:r>
        <w:rPr>
          <w:rFonts w:hint="eastAsia" w:ascii="宋体" w:hAnsi="宋体" w:cs="宋体"/>
          <w:szCs w:val="21"/>
        </w:rPr>
        <w:t>。</w:t>
      </w:r>
    </w:p>
    <w:p>
      <w:pPr>
        <w:snapToGrid w:val="0"/>
        <w:spacing w:before="156" w:beforeLines="50" w:line="360" w:lineRule="auto"/>
        <w:rPr>
          <w:rFonts w:ascii="宋体" w:hAnsi="宋体"/>
          <w:b/>
          <w:szCs w:val="21"/>
        </w:rPr>
      </w:pPr>
      <w:r>
        <w:rPr>
          <w:rFonts w:hint="eastAsia" w:ascii="宋体" w:hAnsi="宋体"/>
          <w:b/>
          <w:szCs w:val="21"/>
        </w:rPr>
        <w:t>（二）考核内容</w:t>
      </w:r>
    </w:p>
    <w:p>
      <w:pPr>
        <w:snapToGrid w:val="0"/>
        <w:spacing w:line="360" w:lineRule="auto"/>
        <w:ind w:firstLine="420" w:firstLineChars="200"/>
        <w:rPr>
          <w:rFonts w:ascii="宋体" w:hAnsi="宋体"/>
          <w:b/>
          <w:szCs w:val="21"/>
        </w:rPr>
      </w:pPr>
      <w:r>
        <w:rPr>
          <w:rFonts w:hint="eastAsia" w:ascii="宋体" w:hAnsi="宋体" w:cs="宋体"/>
          <w:szCs w:val="21"/>
        </w:rPr>
        <w:t>了解目前市场上有特色的优质、有特色的几个西甜瓜品种及其他类型的蔬菜品种，及其卖点；培养</w:t>
      </w:r>
      <w:r>
        <w:rPr>
          <w:rFonts w:hint="eastAsia" w:hAnsi="宋体"/>
          <w:color w:val="000000" w:themeColor="text1"/>
          <w14:textFill>
            <w14:solidFill>
              <w14:schemeClr w14:val="tx1"/>
            </w14:solidFill>
          </w14:textFill>
        </w:rPr>
        <w:t>差异化运作思路；掌握</w:t>
      </w:r>
      <w:r>
        <w:rPr>
          <w:rFonts w:hint="eastAsia" w:ascii="宋体" w:hAnsi="宋体" w:cs="宋体"/>
          <w:szCs w:val="21"/>
        </w:rPr>
        <w:t>农业园区的品种差异化发展之路。</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olor w:val="000000" w:themeColor="text1"/>
          <w14:textFill>
            <w14:solidFill>
              <w14:schemeClr w14:val="tx1"/>
            </w14:solidFill>
          </w14:textFill>
        </w:rPr>
        <w:t>市场上现有的优质品种及其特点</w:t>
      </w:r>
      <w:r>
        <w:rPr>
          <w:rFonts w:hint="eastAsia" w:ascii="宋体" w:hAnsi="宋体" w:cs="宋体"/>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hAnsi="宋体"/>
          <w:color w:val="000000" w:themeColor="text1"/>
          <w14:textFill>
            <w14:solidFill>
              <w14:schemeClr w14:val="tx1"/>
            </w14:solidFill>
          </w14:textFill>
        </w:rPr>
        <w:t>差异化品种的差异化运作思路</w:t>
      </w:r>
      <w:r>
        <w:rPr>
          <w:rFonts w:hint="eastAsia" w:ascii="宋体" w:hAnsi="宋体" w:cs="宋体"/>
          <w:szCs w:val="21"/>
        </w:rPr>
        <w:t>。</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hAnsi="宋体"/>
          <w:color w:val="000000" w:themeColor="text1"/>
          <w14:textFill>
            <w14:solidFill>
              <w14:schemeClr w14:val="tx1"/>
            </w14:solidFill>
          </w14:textFill>
        </w:rPr>
        <w:t>农业园区的品种差异化发展之路</w:t>
      </w:r>
      <w:r>
        <w:rPr>
          <w:rFonts w:hint="eastAsia" w:ascii="宋体" w:hAnsi="宋体" w:cs="宋体"/>
          <w:szCs w:val="21"/>
        </w:rPr>
        <w:t>。</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hAnsi="宋体"/>
          <w:color w:val="000000" w:themeColor="text1"/>
          <w14:textFill>
            <w14:solidFill>
              <w14:schemeClr w14:val="tx1"/>
            </w14:solidFill>
          </w14:textFill>
        </w:rPr>
        <w:t>市场上现有的优质品种及独特优势和</w:t>
      </w:r>
      <w:r>
        <w:rPr>
          <w:rFonts w:hint="eastAsia" w:asciiTheme="minorEastAsia" w:hAnsiTheme="minorEastAsia" w:eastAsiaTheme="minorEastAsia" w:cstheme="minorEastAsia"/>
          <w:color w:val="000000" w:themeColor="text1"/>
          <w:kern w:val="0"/>
          <w:szCs w:val="21"/>
          <w14:textFill>
            <w14:solidFill>
              <w14:schemeClr w14:val="tx1"/>
            </w14:solidFill>
          </w14:textFill>
        </w:rPr>
        <w:t>运作案例</w:t>
      </w:r>
      <w:r>
        <w:rPr>
          <w:rFonts w:hint="eastAsia" w:ascii="宋体" w:hAnsi="宋体" w:cs="宋体"/>
          <w:szCs w:val="21"/>
        </w:rPr>
        <w:t>。</w:t>
      </w:r>
    </w:p>
    <w:p>
      <w:pPr>
        <w:snapToGrid w:val="0"/>
        <w:spacing w:line="360" w:lineRule="auto"/>
        <w:ind w:firstLine="422" w:firstLineChars="200"/>
        <w:rPr>
          <w:rFonts w:ascii="宋体" w:hAnsi="宋体"/>
          <w:b/>
          <w:szCs w:val="21"/>
        </w:rPr>
      </w:pPr>
      <w:r>
        <w:rPr>
          <w:rFonts w:hint="eastAsia" w:ascii="宋体" w:hAnsi="宋体"/>
          <w:b/>
          <w:szCs w:val="21"/>
        </w:rPr>
        <w:t>5．综合：</w:t>
      </w:r>
      <w:r>
        <w:rPr>
          <w:rFonts w:hint="eastAsia" w:asciiTheme="minorEastAsia" w:hAnsiTheme="minorEastAsia" w:eastAsiaTheme="minorEastAsia" w:cstheme="minorEastAsia"/>
          <w:color w:val="000000" w:themeColor="text1"/>
          <w:kern w:val="0"/>
          <w:szCs w:val="21"/>
          <w14:textFill>
            <w14:solidFill>
              <w14:schemeClr w14:val="tx1"/>
            </w14:solidFill>
          </w14:textFill>
        </w:rPr>
        <w:t>差异化的运作思路和意识的形成和培养</w:t>
      </w:r>
      <w:r>
        <w:rPr>
          <w:rFonts w:hint="eastAsia" w:ascii="宋体" w:hAnsi="宋体" w:cs="宋体"/>
          <w:szCs w:val="21"/>
        </w:rPr>
        <w:t>。</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hAnsi="宋体"/>
          <w:color w:val="000000" w:themeColor="text1"/>
          <w14:textFill>
            <w14:solidFill>
              <w14:schemeClr w14:val="tx1"/>
            </w14:solidFill>
          </w14:textFill>
        </w:rPr>
        <w:t>掌握</w:t>
      </w:r>
      <w:r>
        <w:rPr>
          <w:rFonts w:hint="eastAsia" w:ascii="宋体" w:hAnsi="宋体" w:cs="宋体"/>
          <w:szCs w:val="21"/>
        </w:rPr>
        <w:t>农业园区的品种差异化发展之路。</w:t>
      </w:r>
    </w:p>
    <w:p>
      <w:pPr>
        <w:snapToGrid w:val="0"/>
        <w:spacing w:line="360" w:lineRule="auto"/>
        <w:rPr>
          <w:rFonts w:ascii="宋体" w:hAnsi="宋体"/>
          <w:b/>
          <w:szCs w:val="21"/>
        </w:rPr>
      </w:pPr>
      <w:r>
        <w:rPr>
          <w:rFonts w:hint="eastAsia" w:ascii="宋体" w:hAnsi="宋体"/>
          <w:b/>
          <w:szCs w:val="21"/>
        </w:rPr>
        <w:t>三、实验、实习教学部分的考核要求</w:t>
      </w:r>
    </w:p>
    <w:p>
      <w:pPr>
        <w:snapToGrid w:val="0"/>
        <w:spacing w:line="360" w:lineRule="auto"/>
        <w:ind w:firstLine="420" w:firstLineChars="200"/>
        <w:rPr>
          <w:rFonts w:ascii="宋体" w:hAnsi="宋体"/>
          <w:bCs/>
          <w:szCs w:val="21"/>
        </w:rPr>
      </w:pPr>
      <w:r>
        <w:rPr>
          <w:rFonts w:hint="eastAsia" w:ascii="宋体" w:hAnsi="宋体"/>
          <w:bCs/>
          <w:szCs w:val="21"/>
        </w:rPr>
        <w:t>无。</w:t>
      </w:r>
    </w:p>
    <w:p>
      <w:pPr>
        <w:snapToGrid w:val="0"/>
        <w:spacing w:line="360" w:lineRule="auto"/>
        <w:rPr>
          <w:rFonts w:ascii="宋体" w:hAnsi="宋体"/>
          <w:b/>
          <w:szCs w:val="21"/>
        </w:rPr>
      </w:pPr>
      <w:r>
        <w:rPr>
          <w:rFonts w:hint="eastAsia" w:ascii="宋体" w:hAnsi="宋体"/>
          <w:b/>
          <w:szCs w:val="21"/>
        </w:rPr>
        <w:t>四、</w:t>
      </w:r>
      <w:r>
        <w:rPr>
          <w:rFonts w:hint="eastAsia" w:asciiTheme="majorEastAsia" w:hAnsiTheme="majorEastAsia" w:eastAsiaTheme="majorEastAsia" w:cstheme="majorEastAsia"/>
          <w:b/>
          <w:bCs/>
          <w:kern w:val="0"/>
          <w:szCs w:val="21"/>
        </w:rPr>
        <w:t>考核方式</w:t>
      </w:r>
    </w:p>
    <w:p>
      <w:pPr>
        <w:snapToGrid w:val="0"/>
        <w:spacing w:line="360" w:lineRule="auto"/>
        <w:ind w:firstLine="420" w:firstLineChars="200"/>
        <w:rPr>
          <w:rFonts w:ascii="宋体" w:hAnsi="宋体"/>
          <w:bCs/>
          <w:szCs w:val="21"/>
        </w:rPr>
      </w:pPr>
      <w:r>
        <w:rPr>
          <w:rFonts w:hint="eastAsia" w:ascii="宋体" w:hAnsi="宋体"/>
          <w:bCs/>
          <w:szCs w:val="21"/>
        </w:rPr>
        <w:t>平时</w:t>
      </w:r>
      <w:r>
        <w:rPr>
          <w:rFonts w:ascii="宋体" w:hAnsi="宋体"/>
          <w:bCs/>
          <w:szCs w:val="21"/>
        </w:rPr>
        <w:t>成绩（</w:t>
      </w:r>
      <w:r>
        <w:rPr>
          <w:rFonts w:hint="eastAsia" w:ascii="宋体" w:hAnsi="宋体"/>
        </w:rPr>
        <w:t>课堂表现、考勤、课后作业、小组学习讨论</w:t>
      </w:r>
      <w:r>
        <w:rPr>
          <w:rFonts w:ascii="宋体" w:hAnsi="宋体"/>
          <w:bCs/>
          <w:szCs w:val="21"/>
        </w:rPr>
        <w:t>）</w:t>
      </w:r>
      <w:r>
        <w:rPr>
          <w:rFonts w:hint="eastAsia" w:ascii="宋体" w:hAnsi="宋体"/>
          <w:bCs/>
          <w:szCs w:val="21"/>
        </w:rPr>
        <w:t>和课程论文。</w:t>
      </w:r>
    </w:p>
    <w:p>
      <w:pPr>
        <w:snapToGrid w:val="0"/>
        <w:spacing w:line="360" w:lineRule="auto"/>
        <w:rPr>
          <w:rFonts w:ascii="宋体" w:hAnsi="宋体"/>
          <w:b/>
          <w:szCs w:val="21"/>
        </w:rPr>
      </w:pPr>
      <w:r>
        <w:rPr>
          <w:rFonts w:hint="eastAsia" w:ascii="宋体" w:hAnsi="宋体"/>
          <w:b/>
          <w:szCs w:val="21"/>
        </w:rPr>
        <w:t>五、</w:t>
      </w:r>
      <w:r>
        <w:rPr>
          <w:rFonts w:hint="eastAsia" w:asciiTheme="majorEastAsia" w:hAnsiTheme="majorEastAsia" w:eastAsiaTheme="majorEastAsia" w:cstheme="majorEastAsia"/>
          <w:b/>
          <w:bCs/>
          <w:kern w:val="0"/>
          <w:szCs w:val="21"/>
        </w:rPr>
        <w:t>成绩评定</w:t>
      </w:r>
    </w:p>
    <w:p>
      <w:pPr>
        <w:snapToGrid w:val="0"/>
        <w:spacing w:line="360" w:lineRule="auto"/>
        <w:ind w:firstLine="420" w:firstLineChars="200"/>
        <w:rPr>
          <w:rFonts w:ascii="宋体" w:hAnsi="宋体"/>
          <w:szCs w:val="21"/>
        </w:rPr>
      </w:pPr>
      <w:r>
        <w:rPr>
          <w:rFonts w:hint="eastAsia" w:ascii="宋体" w:hAnsi="宋体"/>
          <w:szCs w:val="21"/>
        </w:rPr>
        <w:t>1．平时成绩</w:t>
      </w:r>
      <w:r>
        <w:rPr>
          <w:rFonts w:hint="eastAsia" w:ascii="宋体" w:hAnsi="宋体"/>
          <w:bCs/>
          <w:szCs w:val="21"/>
        </w:rPr>
        <w:t>（</w:t>
      </w:r>
      <w:r>
        <w:rPr>
          <w:rFonts w:hint="eastAsia" w:ascii="宋体" w:hAnsi="宋体"/>
        </w:rPr>
        <w:t>课堂表现、考勤、课后作业、小组学习讨论等；</w:t>
      </w:r>
      <w:r>
        <w:rPr>
          <w:rFonts w:hint="eastAsia" w:ascii="宋体" w:hAnsi="宋体"/>
          <w:szCs w:val="21"/>
        </w:rPr>
        <w:t>所占比例</w:t>
      </w:r>
      <w:r>
        <w:rPr>
          <w:rFonts w:ascii="宋体" w:hAnsi="宋体"/>
          <w:szCs w:val="21"/>
        </w:rPr>
        <w:t>30%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rPr>
        <w:t>2．期末成绩</w:t>
      </w:r>
      <w:r>
        <w:rPr>
          <w:rFonts w:hint="eastAsia" w:ascii="宋体" w:hAnsi="宋体"/>
          <w:bCs/>
          <w:szCs w:val="21"/>
        </w:rPr>
        <w:t>（</w:t>
      </w:r>
      <w:r>
        <w:rPr>
          <w:rFonts w:hint="eastAsia" w:ascii="宋体" w:hAnsi="宋体"/>
          <w:szCs w:val="21"/>
        </w:rPr>
        <w:t>课程论文；所占比例7</w:t>
      </w:r>
      <w:r>
        <w:rPr>
          <w:rFonts w:ascii="宋体" w:hAnsi="宋体"/>
          <w:szCs w:val="21"/>
        </w:rPr>
        <w:t>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rPr>
        <w:t>3．综合成（</w:t>
      </w:r>
      <w:r>
        <w:rPr>
          <w:rFonts w:hint="eastAsia"/>
          <w:szCs w:val="21"/>
        </w:rPr>
        <w:t>平时成绩</w:t>
      </w:r>
      <w:r>
        <w:rPr>
          <w:rFonts w:hint="eastAsia" w:ascii="宋体" w:hAnsi="宋体"/>
          <w:bCs/>
          <w:szCs w:val="21"/>
        </w:rPr>
        <w:t>×</w:t>
      </w:r>
      <w:r>
        <w:rPr>
          <w:rFonts w:hint="eastAsia"/>
          <w:szCs w:val="21"/>
        </w:rPr>
        <w:t>30%+课程论文</w:t>
      </w:r>
      <w:r>
        <w:rPr>
          <w:rFonts w:hint="eastAsia" w:ascii="宋体" w:hAnsi="宋体"/>
          <w:bCs/>
          <w:szCs w:val="21"/>
        </w:rPr>
        <w:t>×</w:t>
      </w:r>
      <w:r>
        <w:rPr>
          <w:rFonts w:hint="eastAsia"/>
          <w:szCs w:val="21"/>
        </w:rPr>
        <w:t>70％</w:t>
      </w:r>
      <w:r>
        <w:rPr>
          <w:rFonts w:hint="eastAsia" w:ascii="宋体" w:hAnsi="宋体"/>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133" w:name="_Toc138070826"/>
      <w:bookmarkStart w:id="1134" w:name="_Toc32180"/>
      <w:bookmarkStart w:id="1135" w:name="_Toc138068924"/>
      <w:bookmarkStart w:id="1136" w:name="_Toc138076220"/>
      <w:bookmarkStart w:id="1137" w:name="_Toc138068525"/>
      <w:bookmarkStart w:id="1138" w:name="_Toc138076764"/>
      <w:bookmarkStart w:id="1139" w:name="_Toc138076469"/>
      <w:bookmarkStart w:id="1140" w:name="_Toc138070555"/>
      <w:r>
        <w:rPr>
          <w:rFonts w:hint="eastAsia" w:asciiTheme="majorEastAsia" w:hAnsiTheme="majorEastAsia" w:eastAsiaTheme="majorEastAsia" w:cstheme="majorEastAsia"/>
          <w:b/>
          <w:bCs/>
          <w:kern w:val="0"/>
          <w:szCs w:val="21"/>
        </w:rPr>
        <w:t>六、考核结果分析反馈</w:t>
      </w:r>
      <w:bookmarkEnd w:id="1133"/>
      <w:bookmarkEnd w:id="1134"/>
      <w:bookmarkEnd w:id="1135"/>
      <w:bookmarkEnd w:id="1136"/>
      <w:bookmarkEnd w:id="1137"/>
      <w:bookmarkEnd w:id="1138"/>
      <w:bookmarkEnd w:id="1139"/>
      <w:bookmarkEnd w:id="1140"/>
    </w:p>
    <w:p>
      <w:pPr>
        <w:snapToGrid w:val="0"/>
        <w:spacing w:line="360" w:lineRule="auto"/>
        <w:ind w:firstLine="420" w:firstLineChars="200"/>
        <w:rPr>
          <w:rFonts w:hAnsi="宋体"/>
          <w:bCs/>
          <w:szCs w:val="21"/>
        </w:rPr>
      </w:pPr>
      <w:r>
        <w:rPr>
          <w:rFonts w:hint="eastAsia" w:hAnsi="宋体"/>
          <w:bCs/>
          <w:szCs w:val="21"/>
        </w:rPr>
        <w:t>1．平时考核可立即或下一次上课反馈给学生，课程论文存在的问题，线下或线上反馈给学生。</w:t>
      </w:r>
    </w:p>
    <w:p>
      <w:pPr>
        <w:snapToGrid w:val="0"/>
        <w:spacing w:line="360" w:lineRule="auto"/>
        <w:ind w:firstLine="420" w:firstLineChars="200"/>
      </w:pPr>
      <w:r>
        <w:rPr>
          <w:rFonts w:hint="eastAsia" w:hAnsi="宋体"/>
          <w:szCs w:val="21"/>
        </w:rPr>
        <w:t>2．</w:t>
      </w:r>
      <w:r>
        <w:rPr>
          <w:rFonts w:hint="eastAsia" w:hAnsi="宋体"/>
          <w:bCs/>
          <w:szCs w:val="21"/>
        </w:rPr>
        <w:t>在平时考核中发现的问题，针对具体问题，在下节课中改进教学方法、教学内容。期末考核中存在的问题，在下一学期中改进。</w:t>
      </w:r>
    </w:p>
    <w:p>
      <w:pPr>
        <w:rPr>
          <w:sz w:val="28"/>
        </w:rPr>
      </w:pPr>
      <w:bookmarkStart w:id="1141" w:name="_Toc138076765"/>
      <w:bookmarkStart w:id="1142" w:name="_Toc138076221"/>
      <w:r>
        <w:rPr>
          <w:sz w:val="28"/>
        </w:rPr>
        <w:br w:type="page"/>
      </w:r>
    </w:p>
    <w:p>
      <w:pPr>
        <w:pStyle w:val="21"/>
        <w:rPr>
          <w:sz w:val="28"/>
        </w:rPr>
      </w:pPr>
      <w:bookmarkStart w:id="1143" w:name="_Toc29785"/>
      <w:r>
        <w:rPr>
          <w:sz w:val="28"/>
        </w:rPr>
        <w:t>农业园区</w:t>
      </w:r>
      <w:r>
        <w:rPr>
          <w:rFonts w:hint="eastAsia"/>
          <w:sz w:val="28"/>
        </w:rPr>
        <w:t>设计</w:t>
      </w:r>
      <w:r>
        <w:rPr>
          <w:sz w:val="28"/>
        </w:rPr>
        <w:t>与管理</w:t>
      </w:r>
      <w:bookmarkEnd w:id="1141"/>
      <w:bookmarkEnd w:id="1142"/>
      <w:bookmarkEnd w:id="1143"/>
      <w:r>
        <w:rPr>
          <w:rFonts w:hint="eastAsia"/>
          <w:sz w:val="28"/>
        </w:rPr>
        <w:t>考核大纲</w:t>
      </w:r>
    </w:p>
    <w:p>
      <w:pPr>
        <w:snapToGrid w:val="0"/>
        <w:spacing w:line="360" w:lineRule="auto"/>
        <w:jc w:val="center"/>
        <w:rPr>
          <w:sz w:val="24"/>
        </w:rPr>
      </w:pPr>
      <w:r>
        <w:rPr>
          <w:rFonts w:hint="eastAsia"/>
          <w:sz w:val="24"/>
          <w:lang w:eastAsia="zh-CN"/>
        </w:rPr>
        <w:t>（</w:t>
      </w:r>
      <w:r>
        <w:rPr>
          <w:sz w:val="24"/>
        </w:rPr>
        <w:t>Planning and Management of Agricultural Garden</w:t>
      </w:r>
      <w:r>
        <w:rPr>
          <w:rFonts w:hint="eastAsia"/>
          <w:sz w:val="24"/>
          <w:lang w:eastAsia="zh-CN"/>
        </w:rPr>
        <w:t>）</w:t>
      </w:r>
    </w:p>
    <w:p>
      <w:pPr>
        <w:widowControl/>
        <w:wordWrap w:val="0"/>
        <w:spacing w:before="120" w:after="120"/>
        <w:jc w:val="center"/>
        <w:outlineLvl w:val="0"/>
        <w:rPr>
          <w:rFonts w:eastAsia="黑体"/>
          <w:b/>
          <w:bCs/>
          <w:kern w:val="36"/>
          <w:sz w:val="24"/>
        </w:rPr>
      </w:pPr>
    </w:p>
    <w:p>
      <w:pPr>
        <w:snapToGrid w:val="0"/>
        <w:spacing w:line="360" w:lineRule="auto"/>
        <w:jc w:val="center"/>
        <w:rPr>
          <w:b/>
          <w:szCs w:val="21"/>
        </w:rPr>
      </w:pPr>
      <w:r>
        <w:rPr>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b/>
                <w:bCs/>
                <w:szCs w:val="21"/>
              </w:rPr>
            </w:pPr>
            <w:r>
              <w:rPr>
                <w:b/>
                <w:bCs/>
                <w:szCs w:val="21"/>
              </w:rPr>
              <w:t>课程编号：190110</w:t>
            </w:r>
            <w:r>
              <w:rPr>
                <w:rFonts w:hint="eastAsia"/>
                <w:b/>
                <w:bCs/>
                <w:szCs w:val="21"/>
              </w:rPr>
              <w:t>39</w:t>
            </w:r>
          </w:p>
        </w:tc>
        <w:tc>
          <w:tcPr>
            <w:tcW w:w="1234" w:type="pct"/>
          </w:tcPr>
          <w:p>
            <w:pPr>
              <w:spacing w:line="300" w:lineRule="auto"/>
              <w:rPr>
                <w:b/>
                <w:bCs/>
                <w:szCs w:val="21"/>
              </w:rPr>
            </w:pPr>
            <w:r>
              <w:rPr>
                <w:b/>
                <w:bCs/>
                <w:szCs w:val="21"/>
              </w:rPr>
              <w:t>课程学时：</w:t>
            </w:r>
            <w:r>
              <w:rPr>
                <w:rFonts w:hint="eastAsia"/>
                <w:b/>
                <w:bCs/>
                <w:szCs w:val="21"/>
              </w:rPr>
              <w:t>32</w:t>
            </w:r>
          </w:p>
        </w:tc>
        <w:tc>
          <w:tcPr>
            <w:tcW w:w="2100" w:type="pct"/>
          </w:tcPr>
          <w:p>
            <w:pPr>
              <w:spacing w:line="300" w:lineRule="auto"/>
              <w:rPr>
                <w:b/>
                <w:bCs/>
                <w:szCs w:val="21"/>
              </w:rPr>
            </w:pPr>
            <w:r>
              <w:rPr>
                <w:b/>
                <w:bCs/>
                <w:szCs w:val="21"/>
              </w:rPr>
              <w:t>课程学分：</w:t>
            </w:r>
            <w:r>
              <w:rPr>
                <w:rFonts w:hint="eastAsia"/>
                <w:b/>
                <w:bCs/>
                <w:szCs w:val="21"/>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b/>
                <w:bCs/>
                <w:szCs w:val="21"/>
              </w:rPr>
            </w:pPr>
            <w:r>
              <w:rPr>
                <w:b/>
                <w:bCs/>
                <w:szCs w:val="21"/>
              </w:rPr>
              <w:t>主撰人：李胜利</w:t>
            </w:r>
          </w:p>
        </w:tc>
        <w:tc>
          <w:tcPr>
            <w:tcW w:w="1234" w:type="pct"/>
          </w:tcPr>
          <w:p>
            <w:pPr>
              <w:spacing w:line="300" w:lineRule="auto"/>
              <w:rPr>
                <w:b/>
                <w:bCs/>
                <w:szCs w:val="21"/>
              </w:rPr>
            </w:pPr>
            <w:r>
              <w:rPr>
                <w:b/>
                <w:bCs/>
                <w:szCs w:val="21"/>
              </w:rPr>
              <w:t>审核人：</w:t>
            </w:r>
            <w:r>
              <w:rPr>
                <w:rFonts w:hint="eastAsia"/>
                <w:b/>
                <w:bCs/>
                <w:szCs w:val="21"/>
              </w:rPr>
              <w:t>李阳</w:t>
            </w:r>
          </w:p>
        </w:tc>
        <w:tc>
          <w:tcPr>
            <w:tcW w:w="2100" w:type="pct"/>
          </w:tcPr>
          <w:p>
            <w:pPr>
              <w:spacing w:line="300" w:lineRule="auto"/>
              <w:rPr>
                <w:b/>
                <w:bCs/>
                <w:szCs w:val="21"/>
              </w:rPr>
            </w:pPr>
            <w:r>
              <w:rPr>
                <w:b/>
                <w:bCs/>
                <w:szCs w:val="21"/>
              </w:rPr>
              <w:t>大纲制定（修订）日期：</w:t>
            </w:r>
            <w:r>
              <w:rPr>
                <w:rFonts w:hint="eastAsia"/>
                <w:b/>
                <w:bCs/>
                <w:szCs w:val="21"/>
              </w:rPr>
              <w:t>2023.05</w:t>
            </w:r>
          </w:p>
        </w:tc>
      </w:tr>
    </w:tbl>
    <w:p>
      <w:pPr>
        <w:widowControl/>
        <w:snapToGrid w:val="0"/>
        <w:spacing w:line="360" w:lineRule="auto"/>
        <w:jc w:val="left"/>
        <w:outlineLvl w:val="1"/>
        <w:rPr>
          <w:rFonts w:eastAsiaTheme="majorEastAsia"/>
          <w:b/>
          <w:bCs/>
          <w:kern w:val="0"/>
          <w:szCs w:val="21"/>
        </w:rPr>
      </w:pPr>
    </w:p>
    <w:p>
      <w:pPr>
        <w:widowControl/>
        <w:snapToGrid w:val="0"/>
        <w:spacing w:line="360" w:lineRule="auto"/>
        <w:jc w:val="left"/>
        <w:outlineLvl w:val="1"/>
        <w:rPr>
          <w:rFonts w:eastAsiaTheme="majorEastAsia"/>
          <w:b/>
          <w:bCs/>
          <w:kern w:val="0"/>
          <w:szCs w:val="21"/>
        </w:rPr>
      </w:pPr>
      <w:bookmarkStart w:id="1144" w:name="_Toc138076766"/>
      <w:bookmarkStart w:id="1145" w:name="_Toc138068527"/>
      <w:bookmarkStart w:id="1146" w:name="_Toc138076222"/>
      <w:bookmarkStart w:id="1147" w:name="_Toc138076471"/>
      <w:bookmarkStart w:id="1148" w:name="_Toc138068926"/>
      <w:bookmarkStart w:id="1149" w:name="_Toc21452"/>
      <w:bookmarkStart w:id="1150" w:name="_Toc138070557"/>
      <w:bookmarkStart w:id="1151" w:name="_Toc138070828"/>
      <w:r>
        <w:rPr>
          <w:rFonts w:eastAsiaTheme="majorEastAsia"/>
          <w:b/>
          <w:bCs/>
          <w:kern w:val="0"/>
          <w:szCs w:val="21"/>
        </w:rPr>
        <w:t>一、课程的性质和地位</w:t>
      </w:r>
      <w:bookmarkEnd w:id="1144"/>
      <w:bookmarkEnd w:id="1145"/>
      <w:bookmarkEnd w:id="1146"/>
      <w:bookmarkEnd w:id="1147"/>
      <w:bookmarkEnd w:id="1148"/>
      <w:bookmarkEnd w:id="1149"/>
      <w:bookmarkEnd w:id="1150"/>
      <w:bookmarkEnd w:id="1151"/>
    </w:p>
    <w:p>
      <w:pPr>
        <w:widowControl/>
        <w:snapToGrid w:val="0"/>
        <w:spacing w:line="360" w:lineRule="auto"/>
        <w:ind w:firstLine="420" w:firstLineChars="200"/>
        <w:jc w:val="left"/>
        <w:outlineLvl w:val="1"/>
        <w:rPr>
          <w:bCs/>
          <w:szCs w:val="21"/>
        </w:rPr>
      </w:pPr>
      <w:bookmarkStart w:id="1152" w:name="_Toc138068927"/>
      <w:bookmarkStart w:id="1153" w:name="_Toc11454"/>
      <w:bookmarkStart w:id="1154" w:name="_Toc138068528"/>
      <w:bookmarkStart w:id="1155" w:name="_Toc138070829"/>
      <w:bookmarkStart w:id="1156" w:name="_Toc138076472"/>
      <w:bookmarkStart w:id="1157" w:name="_Toc138070558"/>
      <w:bookmarkStart w:id="1158" w:name="_Toc138076767"/>
      <w:bookmarkStart w:id="1159" w:name="_Toc138076223"/>
      <w:r>
        <w:rPr>
          <w:bCs/>
          <w:szCs w:val="21"/>
        </w:rPr>
        <w:t>《农业园区规划与管理》是设施农业科学与工程专业的核心课程之一，是一门以课堂讲授为主、结合案例分析的专业课程。它在研究农业园区的内涵、类型和基本特征的基础上，系统地阐述了关于农业园区的基本知识、规划原理和管理方法。规划部分旨在使学生较为系统地掌握规划原理、农业园区规划的区域规划、总体规划、详细规划，对各种类型的农业园区规划从理论到实际进行了论述；管理部分旨在使学生了解并掌握农业园区的战略管理、农业园区的组织和领导、农业园区的营销管理、农业园区的生产管理、农业园区的要素管理和农业园区的技术管理等。</w:t>
      </w:r>
      <w:bookmarkEnd w:id="1152"/>
      <w:bookmarkEnd w:id="1153"/>
      <w:bookmarkEnd w:id="1154"/>
      <w:bookmarkEnd w:id="1155"/>
      <w:bookmarkEnd w:id="1156"/>
      <w:bookmarkEnd w:id="1157"/>
      <w:bookmarkEnd w:id="1158"/>
      <w:bookmarkEnd w:id="1159"/>
    </w:p>
    <w:p>
      <w:pPr>
        <w:widowControl/>
        <w:snapToGrid w:val="0"/>
        <w:spacing w:line="360" w:lineRule="auto"/>
        <w:jc w:val="left"/>
        <w:outlineLvl w:val="1"/>
        <w:rPr>
          <w:rFonts w:eastAsiaTheme="majorEastAsia"/>
          <w:b/>
          <w:bCs/>
          <w:kern w:val="0"/>
          <w:szCs w:val="21"/>
        </w:rPr>
      </w:pPr>
      <w:bookmarkStart w:id="1160" w:name="_Toc138076473"/>
      <w:bookmarkStart w:id="1161" w:name="_Toc138068928"/>
      <w:bookmarkStart w:id="1162" w:name="_Toc138076768"/>
      <w:bookmarkStart w:id="1163" w:name="_Toc138076224"/>
      <w:bookmarkStart w:id="1164" w:name="_Toc138070559"/>
      <w:bookmarkStart w:id="1165" w:name="_Toc14263"/>
      <w:bookmarkStart w:id="1166" w:name="_Toc138068529"/>
      <w:bookmarkStart w:id="1167" w:name="_Toc138070830"/>
      <w:r>
        <w:rPr>
          <w:rFonts w:eastAsiaTheme="majorEastAsia"/>
          <w:b/>
          <w:bCs/>
          <w:kern w:val="0"/>
          <w:szCs w:val="21"/>
        </w:rPr>
        <w:t>二、理论教学部分的考核目标</w:t>
      </w:r>
      <w:bookmarkEnd w:id="1160"/>
      <w:bookmarkEnd w:id="1161"/>
      <w:bookmarkEnd w:id="1162"/>
      <w:bookmarkEnd w:id="1163"/>
      <w:bookmarkEnd w:id="1164"/>
      <w:bookmarkEnd w:id="1165"/>
      <w:bookmarkEnd w:id="1166"/>
      <w:bookmarkEnd w:id="1167"/>
    </w:p>
    <w:p>
      <w:pPr>
        <w:widowControl/>
        <w:wordWrap w:val="0"/>
        <w:spacing w:line="360" w:lineRule="auto"/>
        <w:ind w:firstLine="420" w:firstLineChars="200"/>
        <w:jc w:val="left"/>
        <w:rPr>
          <w:rFonts w:eastAsiaTheme="minorEastAsia"/>
          <w:szCs w:val="21"/>
        </w:rPr>
      </w:pPr>
      <w:r>
        <w:rPr>
          <w:rFonts w:eastAsiaTheme="minorEastAsia"/>
          <w:szCs w:val="21"/>
        </w:rPr>
        <w:t>1、了解农业园区的内涵、作用和类型。</w:t>
      </w:r>
    </w:p>
    <w:p>
      <w:pPr>
        <w:widowControl/>
        <w:wordWrap w:val="0"/>
        <w:spacing w:line="360" w:lineRule="auto"/>
        <w:ind w:firstLine="420" w:firstLineChars="200"/>
        <w:jc w:val="left"/>
        <w:rPr>
          <w:rFonts w:eastAsiaTheme="minorEastAsia"/>
          <w:szCs w:val="21"/>
        </w:rPr>
      </w:pPr>
      <w:r>
        <w:rPr>
          <w:rFonts w:eastAsiaTheme="minorEastAsia"/>
          <w:szCs w:val="21"/>
        </w:rPr>
        <w:t>2、理解农业园区规划的任务与原则，掌握农业园区规划的工作内容与工作特点，熟悉农业园区规划的调查研究方法与基础资料的内容，了解农业园区规划的层面及其主要内容。</w:t>
      </w:r>
    </w:p>
    <w:p>
      <w:pPr>
        <w:widowControl/>
        <w:wordWrap w:val="0"/>
        <w:spacing w:line="360" w:lineRule="auto"/>
        <w:ind w:firstLine="420" w:firstLineChars="200"/>
        <w:jc w:val="left"/>
        <w:rPr>
          <w:rFonts w:eastAsiaTheme="minorEastAsia"/>
          <w:szCs w:val="21"/>
        </w:rPr>
      </w:pPr>
      <w:r>
        <w:rPr>
          <w:rFonts w:eastAsiaTheme="minorEastAsia"/>
          <w:szCs w:val="21"/>
        </w:rPr>
        <w:t>3、掌握农业园区区域规划的相关理论，熟练掌握农业园区区域规划应遵循的原则和规划方法，掌握园区农业的发展战略及区域农业结构调整的主要工作。</w:t>
      </w:r>
    </w:p>
    <w:p>
      <w:pPr>
        <w:widowControl/>
        <w:wordWrap w:val="0"/>
        <w:spacing w:line="360" w:lineRule="auto"/>
        <w:ind w:firstLine="420" w:firstLineChars="200"/>
        <w:jc w:val="left"/>
        <w:rPr>
          <w:rFonts w:eastAsiaTheme="minorEastAsia"/>
          <w:szCs w:val="21"/>
        </w:rPr>
      </w:pPr>
      <w:r>
        <w:rPr>
          <w:rFonts w:eastAsiaTheme="minorEastAsia"/>
          <w:szCs w:val="21"/>
        </w:rPr>
        <w:t>4、掌握农业园区总体规划、详细规划方法，了解不同类型农业园区的规划设计的相关理论，重点掌握不同类型农业园区的规划设计要点。</w:t>
      </w:r>
    </w:p>
    <w:p>
      <w:pPr>
        <w:widowControl/>
        <w:wordWrap w:val="0"/>
        <w:spacing w:line="360" w:lineRule="auto"/>
        <w:ind w:firstLine="420" w:firstLineChars="200"/>
        <w:jc w:val="left"/>
        <w:rPr>
          <w:rFonts w:eastAsiaTheme="minorEastAsia"/>
          <w:szCs w:val="21"/>
        </w:rPr>
      </w:pPr>
      <w:r>
        <w:rPr>
          <w:rFonts w:eastAsiaTheme="minorEastAsia"/>
          <w:szCs w:val="21"/>
        </w:rPr>
        <w:t>5、了解农业园区战略管理的概念、特征、作用及管理过程，掌握农业园区环境分析和农业园区战略选择依据和方法。</w:t>
      </w:r>
    </w:p>
    <w:p>
      <w:pPr>
        <w:widowControl/>
        <w:wordWrap w:val="0"/>
        <w:spacing w:line="360" w:lineRule="auto"/>
        <w:ind w:firstLine="420" w:firstLineChars="200"/>
        <w:jc w:val="left"/>
        <w:rPr>
          <w:rFonts w:eastAsiaTheme="minorEastAsia"/>
          <w:szCs w:val="21"/>
        </w:rPr>
      </w:pPr>
      <w:r>
        <w:rPr>
          <w:rFonts w:eastAsiaTheme="minorEastAsia"/>
          <w:szCs w:val="21"/>
        </w:rPr>
        <w:t>6、了解农业园区的经营管理机制；了解组织管理中组织设计的任务、依据及原则，了解常见的组织形式，掌握农业园区的领导与激励的有关理论。</w:t>
      </w:r>
    </w:p>
    <w:p>
      <w:pPr>
        <w:snapToGrid w:val="0"/>
        <w:spacing w:line="360" w:lineRule="auto"/>
        <w:ind w:firstLine="420" w:firstLineChars="200"/>
        <w:rPr>
          <w:rFonts w:eastAsiaTheme="minorEastAsia"/>
          <w:szCs w:val="21"/>
        </w:rPr>
      </w:pPr>
      <w:r>
        <w:rPr>
          <w:rFonts w:eastAsiaTheme="minorEastAsia"/>
          <w:szCs w:val="21"/>
        </w:rPr>
        <w:t>7、对农业园区的营销管理、生产管理、要素管理和技术管理有较充分的理解和把握。</w:t>
      </w:r>
    </w:p>
    <w:p>
      <w:pPr>
        <w:snapToGrid w:val="0"/>
        <w:spacing w:line="360" w:lineRule="auto"/>
        <w:ind w:firstLine="103" w:firstLineChars="49"/>
        <w:jc w:val="center"/>
        <w:rPr>
          <w:rFonts w:eastAsiaTheme="minorEastAsia"/>
          <w:b/>
          <w:szCs w:val="21"/>
        </w:rPr>
      </w:pPr>
      <w:r>
        <w:rPr>
          <w:rFonts w:eastAsiaTheme="minorEastAsia"/>
          <w:b/>
          <w:szCs w:val="21"/>
        </w:rPr>
        <w:t xml:space="preserve">第一章  </w:t>
      </w:r>
      <w:r>
        <w:rPr>
          <w:rFonts w:eastAsiaTheme="minorEastAsia"/>
          <w:b/>
          <w:bCs/>
          <w:kern w:val="0"/>
          <w:szCs w:val="21"/>
        </w:rPr>
        <w:t>农业园区的概念、作用和类型</w:t>
      </w:r>
    </w:p>
    <w:p>
      <w:pPr>
        <w:snapToGrid w:val="0"/>
        <w:spacing w:line="360" w:lineRule="auto"/>
        <w:rPr>
          <w:rFonts w:eastAsiaTheme="minorEastAsia"/>
          <w:b/>
          <w:szCs w:val="21"/>
        </w:rPr>
      </w:pPr>
      <w:r>
        <w:rPr>
          <w:rFonts w:eastAsiaTheme="minorEastAsia"/>
          <w:b/>
          <w:szCs w:val="21"/>
        </w:rPr>
        <w:t>一、一般学习目的与要求</w:t>
      </w:r>
    </w:p>
    <w:p>
      <w:pPr>
        <w:snapToGrid w:val="0"/>
        <w:spacing w:line="360" w:lineRule="auto"/>
        <w:rPr>
          <w:rFonts w:eastAsiaTheme="minorEastAsia"/>
          <w:szCs w:val="21"/>
        </w:rPr>
      </w:pPr>
      <w:r>
        <w:rPr>
          <w:rFonts w:eastAsiaTheme="minorEastAsia"/>
          <w:b/>
          <w:szCs w:val="21"/>
        </w:rPr>
        <w:t>1. 一般了解</w:t>
      </w:r>
      <w:r>
        <w:rPr>
          <w:rFonts w:eastAsiaTheme="minorEastAsia"/>
          <w:szCs w:val="21"/>
        </w:rPr>
        <w:t>：</w:t>
      </w:r>
      <w:r>
        <w:rPr>
          <w:rFonts w:eastAsiaTheme="minorEastAsia"/>
          <w:kern w:val="0"/>
          <w:szCs w:val="21"/>
        </w:rPr>
        <w:t>了解农业园区的内涵、作用和类型；了解其他国家或地区农业园区的发展现状与发展趋势和我国农业园区的发展现状与发展遇到的问题。</w:t>
      </w:r>
    </w:p>
    <w:p>
      <w:pPr>
        <w:snapToGrid w:val="0"/>
        <w:spacing w:line="360" w:lineRule="auto"/>
        <w:rPr>
          <w:rFonts w:eastAsiaTheme="minorEastAsia"/>
          <w:szCs w:val="21"/>
        </w:rPr>
      </w:pPr>
      <w:r>
        <w:rPr>
          <w:rFonts w:eastAsiaTheme="minorEastAsia"/>
          <w:b/>
          <w:szCs w:val="21"/>
        </w:rPr>
        <w:t>2. 一般掌握</w:t>
      </w:r>
      <w:r>
        <w:rPr>
          <w:rFonts w:eastAsiaTheme="minorEastAsia"/>
          <w:szCs w:val="21"/>
        </w:rPr>
        <w:t>：</w:t>
      </w:r>
      <w:r>
        <w:rPr>
          <w:rFonts w:eastAsiaTheme="minorEastAsia"/>
          <w:kern w:val="0"/>
          <w:szCs w:val="21"/>
        </w:rPr>
        <w:t>农业园区的内涵；农业园区的基本功能。</w:t>
      </w:r>
    </w:p>
    <w:p>
      <w:pPr>
        <w:snapToGrid w:val="0"/>
        <w:spacing w:line="360" w:lineRule="auto"/>
        <w:rPr>
          <w:rFonts w:eastAsiaTheme="minorEastAsia"/>
          <w:b/>
          <w:szCs w:val="21"/>
        </w:rPr>
      </w:pPr>
      <w:r>
        <w:rPr>
          <w:rFonts w:eastAsiaTheme="minorEastAsia"/>
          <w:b/>
          <w:szCs w:val="21"/>
        </w:rPr>
        <w:t>3. 熟练掌握</w:t>
      </w:r>
      <w:r>
        <w:rPr>
          <w:rFonts w:eastAsiaTheme="minorEastAsia"/>
          <w:szCs w:val="21"/>
        </w:rPr>
        <w:t>：</w:t>
      </w:r>
      <w:r>
        <w:rPr>
          <w:rFonts w:eastAsiaTheme="minorEastAsia"/>
          <w:kern w:val="0"/>
          <w:szCs w:val="21"/>
        </w:rPr>
        <w:t>农业园区的概念、农业园区的特点、现代农业园区的基本功能、农业园区的作用、农业园区的类型。</w:t>
      </w:r>
    </w:p>
    <w:p>
      <w:pPr>
        <w:snapToGrid w:val="0"/>
        <w:spacing w:line="360" w:lineRule="auto"/>
        <w:rPr>
          <w:rFonts w:eastAsiaTheme="minorEastAsia"/>
          <w:szCs w:val="21"/>
        </w:rPr>
      </w:pPr>
      <w:r>
        <w:rPr>
          <w:rFonts w:eastAsiaTheme="minorEastAsia"/>
          <w:b/>
          <w:szCs w:val="21"/>
        </w:rPr>
        <w:t>二、考核知识点</w:t>
      </w:r>
    </w:p>
    <w:p>
      <w:pPr>
        <w:widowControl/>
        <w:spacing w:line="360" w:lineRule="auto"/>
        <w:ind w:firstLine="210"/>
        <w:jc w:val="left"/>
        <w:rPr>
          <w:rFonts w:eastAsiaTheme="minorEastAsia"/>
          <w:kern w:val="0"/>
          <w:szCs w:val="21"/>
        </w:rPr>
      </w:pPr>
      <w:r>
        <w:rPr>
          <w:rFonts w:eastAsiaTheme="minorEastAsia"/>
          <w:kern w:val="0"/>
          <w:szCs w:val="21"/>
        </w:rPr>
        <w:t>1、农业园区的概念和特点；</w:t>
      </w:r>
    </w:p>
    <w:p>
      <w:pPr>
        <w:widowControl/>
        <w:spacing w:line="360" w:lineRule="auto"/>
        <w:ind w:firstLine="210"/>
        <w:jc w:val="left"/>
        <w:rPr>
          <w:rFonts w:eastAsiaTheme="minorEastAsia"/>
          <w:kern w:val="0"/>
          <w:szCs w:val="21"/>
        </w:rPr>
      </w:pPr>
      <w:r>
        <w:rPr>
          <w:rFonts w:eastAsiaTheme="minorEastAsia"/>
          <w:kern w:val="0"/>
          <w:szCs w:val="21"/>
        </w:rPr>
        <w:t>2、现代农业园区的基本功能；</w:t>
      </w:r>
    </w:p>
    <w:p>
      <w:pPr>
        <w:widowControl/>
        <w:spacing w:line="360" w:lineRule="auto"/>
        <w:ind w:firstLine="210"/>
        <w:jc w:val="left"/>
        <w:rPr>
          <w:rFonts w:eastAsiaTheme="minorEastAsia"/>
          <w:kern w:val="0"/>
          <w:szCs w:val="21"/>
        </w:rPr>
      </w:pPr>
      <w:r>
        <w:rPr>
          <w:rFonts w:eastAsiaTheme="minorEastAsia"/>
          <w:kern w:val="0"/>
          <w:szCs w:val="21"/>
        </w:rPr>
        <w:t>3、农业园区的作用；</w:t>
      </w:r>
    </w:p>
    <w:p>
      <w:pPr>
        <w:snapToGrid w:val="0"/>
        <w:spacing w:line="360" w:lineRule="auto"/>
        <w:ind w:firstLine="210"/>
        <w:rPr>
          <w:rFonts w:eastAsiaTheme="minorEastAsia"/>
          <w:b/>
          <w:szCs w:val="21"/>
        </w:rPr>
      </w:pPr>
      <w:r>
        <w:rPr>
          <w:rFonts w:eastAsiaTheme="minorEastAsia"/>
          <w:kern w:val="0"/>
          <w:szCs w:val="21"/>
        </w:rPr>
        <w:t>4、农业园区的类型。</w:t>
      </w:r>
    </w:p>
    <w:p>
      <w:pPr>
        <w:snapToGrid w:val="0"/>
        <w:spacing w:line="360" w:lineRule="auto"/>
        <w:rPr>
          <w:rFonts w:eastAsiaTheme="minorEastAsia"/>
          <w:b/>
          <w:szCs w:val="21"/>
        </w:rPr>
      </w:pPr>
      <w:r>
        <w:rPr>
          <w:rFonts w:eastAsiaTheme="minorEastAsia"/>
          <w:b/>
          <w:szCs w:val="21"/>
        </w:rPr>
        <w:t>三、考核要求</w:t>
      </w:r>
    </w:p>
    <w:p>
      <w:pPr>
        <w:snapToGrid w:val="0"/>
        <w:spacing w:line="360" w:lineRule="auto"/>
        <w:rPr>
          <w:rFonts w:eastAsiaTheme="minorEastAsia"/>
          <w:b/>
          <w:szCs w:val="21"/>
        </w:rPr>
      </w:pPr>
      <w:r>
        <w:rPr>
          <w:rFonts w:eastAsiaTheme="minorEastAsia"/>
          <w:b/>
          <w:szCs w:val="21"/>
        </w:rPr>
        <w:t>1、识记</w:t>
      </w:r>
      <w:r>
        <w:rPr>
          <w:rFonts w:eastAsiaTheme="minorEastAsia"/>
          <w:szCs w:val="21"/>
        </w:rPr>
        <w:t>：农业园区的概念、类型。</w:t>
      </w:r>
    </w:p>
    <w:p>
      <w:pPr>
        <w:snapToGrid w:val="0"/>
        <w:spacing w:line="360" w:lineRule="auto"/>
        <w:rPr>
          <w:rFonts w:eastAsiaTheme="minorEastAsia"/>
          <w:b/>
          <w:szCs w:val="21"/>
        </w:rPr>
      </w:pPr>
      <w:r>
        <w:rPr>
          <w:rFonts w:eastAsiaTheme="minorEastAsia"/>
          <w:b/>
          <w:szCs w:val="21"/>
        </w:rPr>
        <w:t>2、领会</w:t>
      </w:r>
      <w:r>
        <w:rPr>
          <w:rFonts w:eastAsiaTheme="minorEastAsia"/>
          <w:szCs w:val="21"/>
        </w:rPr>
        <w:t>：农业园区的功能和基本作用。</w:t>
      </w:r>
    </w:p>
    <w:p>
      <w:pPr>
        <w:snapToGrid w:val="0"/>
        <w:spacing w:line="360" w:lineRule="auto"/>
        <w:rPr>
          <w:rFonts w:eastAsiaTheme="minorEastAsia"/>
          <w:b/>
          <w:szCs w:val="21"/>
        </w:rPr>
      </w:pPr>
      <w:r>
        <w:rPr>
          <w:rFonts w:eastAsiaTheme="minorEastAsia"/>
          <w:b/>
          <w:szCs w:val="21"/>
        </w:rPr>
        <w:t>3、简单应用</w:t>
      </w:r>
      <w:r>
        <w:rPr>
          <w:rFonts w:eastAsiaTheme="minorEastAsia"/>
          <w:szCs w:val="21"/>
        </w:rPr>
        <w:t>：农业园区类型划分。</w:t>
      </w:r>
    </w:p>
    <w:p>
      <w:pPr>
        <w:snapToGrid w:val="0"/>
        <w:spacing w:line="360" w:lineRule="auto"/>
        <w:rPr>
          <w:rFonts w:eastAsiaTheme="minorEastAsia"/>
          <w:szCs w:val="21"/>
        </w:rPr>
      </w:pPr>
      <w:r>
        <w:rPr>
          <w:rFonts w:eastAsiaTheme="minorEastAsia"/>
          <w:b/>
          <w:szCs w:val="21"/>
        </w:rPr>
        <w:t>4、综合应用</w:t>
      </w:r>
      <w:r>
        <w:rPr>
          <w:rFonts w:eastAsiaTheme="minorEastAsia"/>
          <w:szCs w:val="21"/>
        </w:rPr>
        <w:t>：现代农业园区建设与发展遇到的问题和发展趋势。</w:t>
      </w:r>
    </w:p>
    <w:p>
      <w:pPr>
        <w:snapToGrid w:val="0"/>
        <w:spacing w:line="360" w:lineRule="auto"/>
        <w:rPr>
          <w:rFonts w:eastAsiaTheme="minorEastAsia"/>
          <w:b/>
          <w:szCs w:val="21"/>
        </w:rPr>
      </w:pPr>
    </w:p>
    <w:p>
      <w:pPr>
        <w:snapToGrid w:val="0"/>
        <w:spacing w:line="360" w:lineRule="auto"/>
        <w:ind w:firstLine="103" w:firstLineChars="49"/>
        <w:jc w:val="center"/>
        <w:rPr>
          <w:rFonts w:eastAsiaTheme="minorEastAsia"/>
          <w:b/>
          <w:szCs w:val="21"/>
        </w:rPr>
      </w:pPr>
      <w:r>
        <w:rPr>
          <w:rFonts w:eastAsiaTheme="minorEastAsia"/>
          <w:b/>
          <w:szCs w:val="21"/>
        </w:rPr>
        <w:t xml:space="preserve">第二章  </w:t>
      </w:r>
      <w:r>
        <w:rPr>
          <w:rFonts w:eastAsiaTheme="minorEastAsia"/>
          <w:b/>
          <w:bCs/>
          <w:kern w:val="0"/>
          <w:szCs w:val="21"/>
        </w:rPr>
        <w:t>农业园区规划的内容和布局</w:t>
      </w:r>
    </w:p>
    <w:p>
      <w:pPr>
        <w:snapToGrid w:val="0"/>
        <w:spacing w:line="360" w:lineRule="auto"/>
        <w:rPr>
          <w:rFonts w:eastAsiaTheme="minorEastAsia"/>
          <w:b/>
          <w:szCs w:val="21"/>
        </w:rPr>
      </w:pPr>
      <w:r>
        <w:rPr>
          <w:rFonts w:eastAsiaTheme="minorEastAsia"/>
          <w:b/>
          <w:szCs w:val="21"/>
        </w:rPr>
        <w:t>一、一般学习目的与要求</w:t>
      </w:r>
    </w:p>
    <w:p>
      <w:pPr>
        <w:snapToGrid w:val="0"/>
        <w:spacing w:line="360" w:lineRule="auto"/>
        <w:rPr>
          <w:rFonts w:eastAsiaTheme="minorEastAsia"/>
          <w:szCs w:val="21"/>
        </w:rPr>
      </w:pPr>
      <w:r>
        <w:rPr>
          <w:rFonts w:eastAsiaTheme="minorEastAsia"/>
          <w:b/>
          <w:szCs w:val="21"/>
        </w:rPr>
        <w:t>1. 一般了解</w:t>
      </w:r>
      <w:r>
        <w:rPr>
          <w:rFonts w:eastAsiaTheme="minorEastAsia"/>
          <w:szCs w:val="21"/>
        </w:rPr>
        <w:t>：</w:t>
      </w:r>
      <w:r>
        <w:rPr>
          <w:rFonts w:eastAsiaTheme="minorEastAsia"/>
          <w:kern w:val="0"/>
          <w:szCs w:val="21"/>
        </w:rPr>
        <w:t>了解农业园区规划的层面，理解农业园区规划的任务与原则。</w:t>
      </w:r>
    </w:p>
    <w:p>
      <w:pPr>
        <w:snapToGrid w:val="0"/>
        <w:spacing w:line="360" w:lineRule="auto"/>
        <w:rPr>
          <w:rFonts w:eastAsiaTheme="minorEastAsia"/>
          <w:szCs w:val="21"/>
        </w:rPr>
      </w:pPr>
      <w:r>
        <w:rPr>
          <w:rFonts w:eastAsiaTheme="minorEastAsia"/>
          <w:b/>
          <w:szCs w:val="21"/>
        </w:rPr>
        <w:t>2. 一般掌握</w:t>
      </w:r>
      <w:r>
        <w:rPr>
          <w:rFonts w:eastAsiaTheme="minorEastAsia"/>
          <w:szCs w:val="21"/>
        </w:rPr>
        <w:t>：</w:t>
      </w:r>
      <w:r>
        <w:rPr>
          <w:rFonts w:eastAsiaTheme="minorEastAsia"/>
          <w:kern w:val="0"/>
          <w:szCs w:val="21"/>
        </w:rPr>
        <w:t>掌握农业园区规划的工作内容与工作特点；区域规划的理论。</w:t>
      </w:r>
    </w:p>
    <w:p>
      <w:pPr>
        <w:snapToGrid w:val="0"/>
        <w:spacing w:line="360" w:lineRule="auto"/>
        <w:rPr>
          <w:rFonts w:eastAsiaTheme="minorEastAsia"/>
          <w:kern w:val="0"/>
          <w:szCs w:val="21"/>
        </w:rPr>
      </w:pPr>
      <w:r>
        <w:rPr>
          <w:rFonts w:eastAsiaTheme="minorEastAsia"/>
          <w:b/>
          <w:szCs w:val="21"/>
        </w:rPr>
        <w:t>3. 熟练掌握</w:t>
      </w:r>
      <w:r>
        <w:rPr>
          <w:rFonts w:eastAsiaTheme="minorEastAsia"/>
          <w:szCs w:val="21"/>
        </w:rPr>
        <w:t>：</w:t>
      </w:r>
      <w:r>
        <w:rPr>
          <w:rFonts w:eastAsiaTheme="minorEastAsia"/>
          <w:kern w:val="0"/>
          <w:szCs w:val="21"/>
        </w:rPr>
        <w:t>熟悉农业园区规划的调查研究方法与基础资料的内容，掌握不同层次农业园区规划的内容。</w:t>
      </w:r>
    </w:p>
    <w:p>
      <w:pPr>
        <w:snapToGrid w:val="0"/>
        <w:spacing w:line="360" w:lineRule="auto"/>
        <w:rPr>
          <w:rFonts w:eastAsiaTheme="minorEastAsia"/>
          <w:szCs w:val="21"/>
        </w:rPr>
      </w:pPr>
      <w:r>
        <w:rPr>
          <w:rFonts w:eastAsiaTheme="minorEastAsia"/>
          <w:b/>
          <w:szCs w:val="21"/>
        </w:rPr>
        <w:t>二、考核知识点</w:t>
      </w:r>
    </w:p>
    <w:p>
      <w:pPr>
        <w:widowControl/>
        <w:spacing w:line="360" w:lineRule="auto"/>
        <w:ind w:firstLine="420" w:firstLineChars="200"/>
        <w:jc w:val="left"/>
        <w:rPr>
          <w:rFonts w:eastAsiaTheme="minorEastAsia"/>
          <w:kern w:val="0"/>
          <w:szCs w:val="21"/>
        </w:rPr>
      </w:pPr>
      <w:r>
        <w:rPr>
          <w:rFonts w:eastAsiaTheme="minorEastAsia"/>
          <w:kern w:val="0"/>
          <w:szCs w:val="21"/>
        </w:rPr>
        <w:t>1、农业园区规划的原则；</w:t>
      </w:r>
    </w:p>
    <w:p>
      <w:pPr>
        <w:widowControl/>
        <w:spacing w:line="360" w:lineRule="auto"/>
        <w:ind w:firstLine="420" w:firstLineChars="200"/>
        <w:jc w:val="left"/>
        <w:rPr>
          <w:rFonts w:eastAsiaTheme="minorEastAsia"/>
          <w:kern w:val="0"/>
          <w:szCs w:val="21"/>
        </w:rPr>
      </w:pPr>
      <w:r>
        <w:rPr>
          <w:rFonts w:eastAsiaTheme="minorEastAsia"/>
          <w:kern w:val="0"/>
          <w:szCs w:val="21"/>
        </w:rPr>
        <w:t>2、农业园区规划的工作程序；</w:t>
      </w:r>
    </w:p>
    <w:p>
      <w:pPr>
        <w:widowControl/>
        <w:spacing w:line="360" w:lineRule="auto"/>
        <w:ind w:firstLine="420" w:firstLineChars="200"/>
        <w:jc w:val="left"/>
        <w:rPr>
          <w:rFonts w:eastAsiaTheme="minorEastAsia"/>
          <w:kern w:val="0"/>
          <w:szCs w:val="21"/>
        </w:rPr>
      </w:pPr>
      <w:r>
        <w:rPr>
          <w:rFonts w:eastAsiaTheme="minorEastAsia"/>
          <w:kern w:val="0"/>
          <w:szCs w:val="21"/>
        </w:rPr>
        <w:t>3、我国农业园区规划的特殊性和复杂性；</w:t>
      </w:r>
    </w:p>
    <w:p>
      <w:pPr>
        <w:snapToGrid w:val="0"/>
        <w:spacing w:line="360" w:lineRule="auto"/>
        <w:ind w:firstLine="420" w:firstLineChars="200"/>
        <w:rPr>
          <w:rFonts w:eastAsiaTheme="minorEastAsia"/>
          <w:kern w:val="0"/>
          <w:szCs w:val="21"/>
        </w:rPr>
      </w:pPr>
      <w:r>
        <w:rPr>
          <w:rFonts w:eastAsiaTheme="minorEastAsia"/>
          <w:kern w:val="0"/>
          <w:szCs w:val="21"/>
        </w:rPr>
        <w:t>4、农业园区规划的层次；</w:t>
      </w:r>
    </w:p>
    <w:p>
      <w:pPr>
        <w:snapToGrid w:val="0"/>
        <w:spacing w:line="360" w:lineRule="auto"/>
        <w:ind w:firstLine="420" w:firstLineChars="200"/>
        <w:rPr>
          <w:rFonts w:eastAsiaTheme="minorEastAsia"/>
          <w:kern w:val="0"/>
          <w:szCs w:val="21"/>
        </w:rPr>
      </w:pPr>
      <w:r>
        <w:rPr>
          <w:rFonts w:eastAsiaTheme="minorEastAsia"/>
          <w:kern w:val="0"/>
          <w:szCs w:val="21"/>
        </w:rPr>
        <w:t>5、区域规划的理论。</w:t>
      </w:r>
    </w:p>
    <w:p>
      <w:pPr>
        <w:snapToGrid w:val="0"/>
        <w:spacing w:line="360" w:lineRule="auto"/>
        <w:rPr>
          <w:rFonts w:eastAsiaTheme="minorEastAsia"/>
          <w:b/>
          <w:szCs w:val="21"/>
        </w:rPr>
      </w:pPr>
      <w:r>
        <w:rPr>
          <w:rFonts w:eastAsiaTheme="minorEastAsia"/>
          <w:b/>
          <w:szCs w:val="21"/>
        </w:rPr>
        <w:t>三、考核要求</w:t>
      </w:r>
    </w:p>
    <w:p>
      <w:pPr>
        <w:snapToGrid w:val="0"/>
        <w:spacing w:line="360" w:lineRule="auto"/>
        <w:rPr>
          <w:rFonts w:eastAsiaTheme="minorEastAsia"/>
          <w:b/>
          <w:szCs w:val="21"/>
        </w:rPr>
      </w:pPr>
      <w:r>
        <w:rPr>
          <w:rFonts w:eastAsiaTheme="minorEastAsia"/>
          <w:b/>
          <w:szCs w:val="21"/>
        </w:rPr>
        <w:t>1、识记</w:t>
      </w:r>
      <w:r>
        <w:rPr>
          <w:rFonts w:eastAsiaTheme="minorEastAsia"/>
          <w:szCs w:val="21"/>
        </w:rPr>
        <w:t>：农业园区规划的基本内容和程序。</w:t>
      </w:r>
    </w:p>
    <w:p>
      <w:pPr>
        <w:snapToGrid w:val="0"/>
        <w:spacing w:line="360" w:lineRule="auto"/>
        <w:rPr>
          <w:rFonts w:eastAsiaTheme="minorEastAsia"/>
          <w:b/>
          <w:szCs w:val="21"/>
        </w:rPr>
      </w:pPr>
      <w:r>
        <w:rPr>
          <w:rFonts w:eastAsiaTheme="minorEastAsia"/>
          <w:b/>
          <w:szCs w:val="21"/>
        </w:rPr>
        <w:t>2、领会</w:t>
      </w:r>
      <w:r>
        <w:rPr>
          <w:rFonts w:eastAsiaTheme="minorEastAsia"/>
          <w:szCs w:val="21"/>
        </w:rPr>
        <w:t>：农业园区规划的任务与原则。</w:t>
      </w:r>
    </w:p>
    <w:p>
      <w:pPr>
        <w:snapToGrid w:val="0"/>
        <w:spacing w:line="360" w:lineRule="auto"/>
        <w:rPr>
          <w:rFonts w:eastAsiaTheme="minorEastAsia"/>
          <w:b/>
          <w:szCs w:val="21"/>
        </w:rPr>
      </w:pPr>
      <w:r>
        <w:rPr>
          <w:rFonts w:eastAsiaTheme="minorEastAsia"/>
          <w:b/>
          <w:szCs w:val="21"/>
        </w:rPr>
        <w:t>3、简单应用</w:t>
      </w:r>
      <w:r>
        <w:rPr>
          <w:rFonts w:eastAsiaTheme="minorEastAsia"/>
          <w:szCs w:val="21"/>
        </w:rPr>
        <w:t>：农业园区规划调查研究的方法、资料的收集。</w:t>
      </w:r>
    </w:p>
    <w:p>
      <w:pPr>
        <w:snapToGrid w:val="0"/>
        <w:spacing w:line="360" w:lineRule="auto"/>
        <w:rPr>
          <w:rFonts w:eastAsiaTheme="minorEastAsia"/>
          <w:b/>
          <w:szCs w:val="21"/>
        </w:rPr>
      </w:pPr>
      <w:r>
        <w:rPr>
          <w:rFonts w:eastAsiaTheme="minorEastAsia"/>
          <w:b/>
          <w:szCs w:val="21"/>
        </w:rPr>
        <w:t>4、综合应用</w:t>
      </w:r>
      <w:r>
        <w:rPr>
          <w:rFonts w:eastAsiaTheme="minorEastAsia"/>
          <w:szCs w:val="21"/>
        </w:rPr>
        <w:t>：现代农业园区规划的层次，不同层次规划的主要内容；区域规划的理论。</w:t>
      </w:r>
    </w:p>
    <w:p>
      <w:pPr>
        <w:snapToGrid w:val="0"/>
        <w:spacing w:line="360" w:lineRule="auto"/>
        <w:ind w:firstLine="103" w:firstLineChars="49"/>
        <w:jc w:val="center"/>
        <w:rPr>
          <w:rFonts w:eastAsiaTheme="minorEastAsia"/>
          <w:b/>
          <w:szCs w:val="21"/>
        </w:rPr>
      </w:pPr>
      <w:r>
        <w:rPr>
          <w:rFonts w:eastAsiaTheme="minorEastAsia"/>
          <w:b/>
          <w:szCs w:val="21"/>
        </w:rPr>
        <w:t>第三章  农业园区的总体规划</w:t>
      </w:r>
    </w:p>
    <w:p>
      <w:pPr>
        <w:snapToGrid w:val="0"/>
        <w:spacing w:line="360" w:lineRule="auto"/>
        <w:rPr>
          <w:rFonts w:eastAsiaTheme="minorEastAsia"/>
          <w:b/>
          <w:szCs w:val="21"/>
        </w:rPr>
      </w:pPr>
      <w:r>
        <w:rPr>
          <w:rFonts w:eastAsiaTheme="minorEastAsia"/>
          <w:b/>
          <w:szCs w:val="21"/>
        </w:rPr>
        <w:t>一、一般学习目的与要求</w:t>
      </w:r>
    </w:p>
    <w:p>
      <w:pPr>
        <w:snapToGrid w:val="0"/>
        <w:spacing w:line="360" w:lineRule="auto"/>
        <w:rPr>
          <w:rFonts w:eastAsiaTheme="minorEastAsia"/>
          <w:szCs w:val="21"/>
        </w:rPr>
      </w:pPr>
      <w:r>
        <w:rPr>
          <w:rFonts w:eastAsiaTheme="minorEastAsia"/>
          <w:b/>
          <w:szCs w:val="21"/>
        </w:rPr>
        <w:t>1. 一般了解</w:t>
      </w:r>
      <w:r>
        <w:rPr>
          <w:rFonts w:eastAsiaTheme="minorEastAsia"/>
          <w:szCs w:val="21"/>
        </w:rPr>
        <w:t>：</w:t>
      </w:r>
      <w:r>
        <w:rPr>
          <w:rFonts w:eastAsiaTheme="minorEastAsia"/>
          <w:kern w:val="0"/>
          <w:szCs w:val="21"/>
        </w:rPr>
        <w:t>理解农业园区总体规划的现状分析方法，包括基础资料的收集和优势与主要矛盾的分析。</w:t>
      </w:r>
    </w:p>
    <w:p>
      <w:pPr>
        <w:snapToGrid w:val="0"/>
        <w:spacing w:line="360" w:lineRule="auto"/>
        <w:rPr>
          <w:rFonts w:eastAsiaTheme="minorEastAsia"/>
          <w:szCs w:val="21"/>
        </w:rPr>
      </w:pPr>
      <w:r>
        <w:rPr>
          <w:rFonts w:eastAsiaTheme="minorEastAsia"/>
          <w:b/>
          <w:szCs w:val="21"/>
        </w:rPr>
        <w:t>2. 一般掌握</w:t>
      </w:r>
      <w:r>
        <w:rPr>
          <w:rFonts w:eastAsiaTheme="minorEastAsia"/>
          <w:szCs w:val="21"/>
        </w:rPr>
        <w:t>：</w:t>
      </w:r>
      <w:r>
        <w:rPr>
          <w:rFonts w:eastAsiaTheme="minorEastAsia"/>
          <w:kern w:val="0"/>
          <w:szCs w:val="21"/>
        </w:rPr>
        <w:t>理解农业园区发展定位的原则、农业园区的功能设置及项目构成，会进行可行性分析。</w:t>
      </w:r>
    </w:p>
    <w:p>
      <w:pPr>
        <w:snapToGrid w:val="0"/>
        <w:spacing w:line="360" w:lineRule="auto"/>
        <w:rPr>
          <w:rFonts w:eastAsiaTheme="minorEastAsia"/>
          <w:kern w:val="0"/>
          <w:szCs w:val="21"/>
        </w:rPr>
      </w:pPr>
      <w:r>
        <w:rPr>
          <w:rFonts w:eastAsiaTheme="minorEastAsia"/>
          <w:b/>
          <w:szCs w:val="21"/>
        </w:rPr>
        <w:t>3. 熟练掌握</w:t>
      </w:r>
      <w:r>
        <w:rPr>
          <w:rFonts w:eastAsiaTheme="minorEastAsia"/>
          <w:szCs w:val="21"/>
        </w:rPr>
        <w:t>：</w:t>
      </w:r>
      <w:r>
        <w:rPr>
          <w:rFonts w:eastAsiaTheme="minorEastAsia"/>
          <w:kern w:val="0"/>
          <w:szCs w:val="21"/>
        </w:rPr>
        <w:t>掌握农业园区总体规划的主要内容，包括：总体规划的理念、总体规划的原则、功能分区规划、农业园区的景观分区规划、土地规划、总体规划各类指标的确定、道路系统规划和管线规划等；可行性研究包括的编写。</w:t>
      </w:r>
    </w:p>
    <w:p>
      <w:pPr>
        <w:snapToGrid w:val="0"/>
        <w:spacing w:line="360" w:lineRule="auto"/>
        <w:rPr>
          <w:rFonts w:eastAsiaTheme="minorEastAsia"/>
          <w:szCs w:val="21"/>
        </w:rPr>
      </w:pPr>
      <w:r>
        <w:rPr>
          <w:rFonts w:eastAsiaTheme="minorEastAsia"/>
          <w:b/>
          <w:szCs w:val="21"/>
        </w:rPr>
        <w:t>二、考核知识点</w:t>
      </w:r>
    </w:p>
    <w:p>
      <w:pPr>
        <w:widowControl/>
        <w:spacing w:line="360" w:lineRule="auto"/>
        <w:ind w:firstLine="420" w:firstLineChars="200"/>
        <w:jc w:val="left"/>
        <w:rPr>
          <w:rFonts w:eastAsiaTheme="minorEastAsia"/>
          <w:kern w:val="0"/>
          <w:szCs w:val="21"/>
        </w:rPr>
      </w:pPr>
      <w:r>
        <w:rPr>
          <w:rFonts w:eastAsiaTheme="minorEastAsia"/>
          <w:kern w:val="0"/>
          <w:szCs w:val="21"/>
        </w:rPr>
        <w:t>1、农业园区总体规划的主要内容；</w:t>
      </w:r>
    </w:p>
    <w:p>
      <w:pPr>
        <w:widowControl/>
        <w:spacing w:line="360" w:lineRule="auto"/>
        <w:ind w:firstLine="420" w:firstLineChars="200"/>
        <w:jc w:val="left"/>
        <w:rPr>
          <w:rFonts w:eastAsiaTheme="minorEastAsia"/>
          <w:kern w:val="0"/>
          <w:szCs w:val="21"/>
        </w:rPr>
      </w:pPr>
      <w:r>
        <w:rPr>
          <w:rFonts w:eastAsiaTheme="minorEastAsia"/>
          <w:kern w:val="0"/>
          <w:szCs w:val="21"/>
        </w:rPr>
        <w:t>2、环境保护和防灾规划方法；</w:t>
      </w:r>
    </w:p>
    <w:p>
      <w:pPr>
        <w:widowControl/>
        <w:spacing w:line="360" w:lineRule="auto"/>
        <w:ind w:firstLine="420" w:firstLineChars="200"/>
        <w:jc w:val="left"/>
        <w:rPr>
          <w:rFonts w:eastAsiaTheme="minorEastAsia"/>
          <w:kern w:val="0"/>
          <w:szCs w:val="21"/>
        </w:rPr>
      </w:pPr>
      <w:r>
        <w:rPr>
          <w:rFonts w:eastAsiaTheme="minorEastAsia"/>
          <w:kern w:val="0"/>
          <w:szCs w:val="21"/>
        </w:rPr>
        <w:t>3、农业园区的功能设置及项目构成；</w:t>
      </w:r>
    </w:p>
    <w:p>
      <w:pPr>
        <w:snapToGrid w:val="0"/>
        <w:spacing w:line="360" w:lineRule="auto"/>
        <w:ind w:firstLine="420" w:firstLineChars="200"/>
        <w:rPr>
          <w:rFonts w:eastAsiaTheme="minorEastAsia"/>
          <w:kern w:val="0"/>
          <w:szCs w:val="21"/>
        </w:rPr>
      </w:pPr>
      <w:r>
        <w:rPr>
          <w:rFonts w:eastAsiaTheme="minorEastAsia"/>
          <w:kern w:val="0"/>
          <w:szCs w:val="21"/>
        </w:rPr>
        <w:t>4、农业园区总体规划的理念。</w:t>
      </w:r>
    </w:p>
    <w:p>
      <w:pPr>
        <w:snapToGrid w:val="0"/>
        <w:spacing w:line="360" w:lineRule="auto"/>
        <w:rPr>
          <w:rFonts w:eastAsiaTheme="minorEastAsia"/>
          <w:b/>
          <w:szCs w:val="21"/>
        </w:rPr>
      </w:pPr>
      <w:r>
        <w:rPr>
          <w:rFonts w:eastAsiaTheme="minorEastAsia"/>
          <w:b/>
          <w:szCs w:val="21"/>
        </w:rPr>
        <w:t>三、考核要求</w:t>
      </w:r>
    </w:p>
    <w:p>
      <w:pPr>
        <w:snapToGrid w:val="0"/>
        <w:spacing w:line="360" w:lineRule="auto"/>
        <w:rPr>
          <w:rFonts w:eastAsiaTheme="minorEastAsia"/>
          <w:b/>
          <w:szCs w:val="21"/>
        </w:rPr>
      </w:pPr>
      <w:r>
        <w:rPr>
          <w:rFonts w:eastAsiaTheme="minorEastAsia"/>
          <w:b/>
          <w:szCs w:val="21"/>
        </w:rPr>
        <w:t>1、识记</w:t>
      </w:r>
      <w:r>
        <w:rPr>
          <w:rFonts w:eastAsiaTheme="minorEastAsia"/>
          <w:szCs w:val="21"/>
        </w:rPr>
        <w:t>：基础资料收集的主要内容。</w:t>
      </w:r>
    </w:p>
    <w:p>
      <w:pPr>
        <w:snapToGrid w:val="0"/>
        <w:spacing w:line="360" w:lineRule="auto"/>
        <w:rPr>
          <w:rFonts w:eastAsiaTheme="minorEastAsia"/>
          <w:szCs w:val="21"/>
        </w:rPr>
      </w:pPr>
      <w:r>
        <w:rPr>
          <w:rFonts w:eastAsiaTheme="minorEastAsia"/>
          <w:b/>
          <w:szCs w:val="21"/>
        </w:rPr>
        <w:t>2、领会</w:t>
      </w:r>
      <w:r>
        <w:rPr>
          <w:rFonts w:eastAsiaTheme="minorEastAsia"/>
          <w:szCs w:val="21"/>
        </w:rPr>
        <w:t>：农业园区的功能设置及项目构成。</w:t>
      </w:r>
    </w:p>
    <w:p>
      <w:pPr>
        <w:snapToGrid w:val="0"/>
        <w:spacing w:line="360" w:lineRule="auto"/>
        <w:rPr>
          <w:rFonts w:eastAsiaTheme="minorEastAsia"/>
          <w:b/>
          <w:szCs w:val="21"/>
        </w:rPr>
      </w:pPr>
      <w:r>
        <w:rPr>
          <w:rFonts w:eastAsiaTheme="minorEastAsia"/>
          <w:b/>
          <w:szCs w:val="21"/>
        </w:rPr>
        <w:t>3、简单应用</w:t>
      </w:r>
      <w:r>
        <w:rPr>
          <w:rFonts w:eastAsiaTheme="minorEastAsia"/>
          <w:szCs w:val="21"/>
        </w:rPr>
        <w:t>：</w:t>
      </w:r>
      <w:r>
        <w:rPr>
          <w:rFonts w:eastAsiaTheme="minorEastAsia"/>
          <w:kern w:val="0"/>
          <w:szCs w:val="21"/>
        </w:rPr>
        <w:t>农业园区发展定位的原则、农业园区的功能设置及项目构成，会进行可行性分析</w:t>
      </w:r>
      <w:r>
        <w:rPr>
          <w:rFonts w:eastAsiaTheme="minorEastAsia"/>
          <w:szCs w:val="21"/>
        </w:rPr>
        <w:t>。</w:t>
      </w:r>
    </w:p>
    <w:p>
      <w:pPr>
        <w:snapToGrid w:val="0"/>
        <w:spacing w:line="360" w:lineRule="auto"/>
        <w:rPr>
          <w:rFonts w:eastAsiaTheme="minorEastAsia"/>
          <w:b/>
          <w:szCs w:val="21"/>
        </w:rPr>
      </w:pPr>
      <w:r>
        <w:rPr>
          <w:rFonts w:eastAsiaTheme="minorEastAsia"/>
          <w:b/>
          <w:szCs w:val="21"/>
        </w:rPr>
        <w:t>4、综合应用</w:t>
      </w:r>
      <w:r>
        <w:rPr>
          <w:rFonts w:eastAsiaTheme="minorEastAsia"/>
          <w:szCs w:val="21"/>
        </w:rPr>
        <w:t>：会对农业园区进行总体规划设计；会编写可行性研究报告。</w:t>
      </w:r>
    </w:p>
    <w:p>
      <w:pPr>
        <w:snapToGrid w:val="0"/>
        <w:spacing w:line="360" w:lineRule="auto"/>
        <w:ind w:firstLine="103" w:firstLineChars="49"/>
        <w:jc w:val="center"/>
        <w:rPr>
          <w:rFonts w:eastAsiaTheme="minorEastAsia"/>
          <w:b/>
          <w:szCs w:val="21"/>
        </w:rPr>
      </w:pPr>
      <w:r>
        <w:rPr>
          <w:rFonts w:eastAsiaTheme="minorEastAsia"/>
          <w:b/>
          <w:szCs w:val="21"/>
        </w:rPr>
        <w:t>第四章  农业园区的详细规划</w:t>
      </w:r>
    </w:p>
    <w:p>
      <w:pPr>
        <w:snapToGrid w:val="0"/>
        <w:spacing w:line="360" w:lineRule="auto"/>
        <w:rPr>
          <w:rFonts w:eastAsiaTheme="minorEastAsia"/>
          <w:b/>
          <w:szCs w:val="21"/>
        </w:rPr>
      </w:pPr>
      <w:r>
        <w:rPr>
          <w:rFonts w:eastAsiaTheme="minorEastAsia"/>
          <w:b/>
          <w:szCs w:val="21"/>
        </w:rPr>
        <w:t>一、一般学习目的与要求</w:t>
      </w:r>
    </w:p>
    <w:p>
      <w:pPr>
        <w:snapToGrid w:val="0"/>
        <w:spacing w:line="360" w:lineRule="auto"/>
        <w:rPr>
          <w:rFonts w:eastAsiaTheme="minorEastAsia"/>
          <w:szCs w:val="21"/>
        </w:rPr>
      </w:pPr>
      <w:r>
        <w:rPr>
          <w:rFonts w:eastAsiaTheme="minorEastAsia"/>
          <w:b/>
          <w:szCs w:val="21"/>
        </w:rPr>
        <w:t>1. 一般了解</w:t>
      </w:r>
      <w:r>
        <w:rPr>
          <w:rFonts w:eastAsiaTheme="minorEastAsia"/>
          <w:szCs w:val="21"/>
        </w:rPr>
        <w:t>：园区</w:t>
      </w:r>
      <w:r>
        <w:rPr>
          <w:rFonts w:eastAsiaTheme="minorEastAsia"/>
          <w:kern w:val="0"/>
          <w:szCs w:val="21"/>
        </w:rPr>
        <w:t>建设条件分析，包括社会条件和自然条件；技术经济论证。</w:t>
      </w:r>
    </w:p>
    <w:p>
      <w:pPr>
        <w:snapToGrid w:val="0"/>
        <w:spacing w:line="360" w:lineRule="auto"/>
        <w:rPr>
          <w:rFonts w:eastAsiaTheme="minorEastAsia"/>
          <w:szCs w:val="21"/>
        </w:rPr>
      </w:pPr>
      <w:r>
        <w:rPr>
          <w:rFonts w:eastAsiaTheme="minorEastAsia"/>
          <w:b/>
          <w:szCs w:val="21"/>
        </w:rPr>
        <w:t>2. 一般掌握</w:t>
      </w:r>
      <w:r>
        <w:rPr>
          <w:rFonts w:eastAsiaTheme="minorEastAsia"/>
          <w:szCs w:val="21"/>
        </w:rPr>
        <w:t>：</w:t>
      </w:r>
      <w:r>
        <w:rPr>
          <w:rFonts w:eastAsiaTheme="minorEastAsia"/>
          <w:kern w:val="0"/>
          <w:szCs w:val="21"/>
        </w:rPr>
        <w:t>对农业园区各单体项目的定位、定性、定量，并能对规划设计的风格、特点、技术要求、技术指标以及经营管理方式等做出明确说明。</w:t>
      </w:r>
    </w:p>
    <w:p>
      <w:pPr>
        <w:snapToGrid w:val="0"/>
        <w:spacing w:line="360" w:lineRule="auto"/>
        <w:rPr>
          <w:rFonts w:eastAsiaTheme="minorEastAsia"/>
          <w:kern w:val="0"/>
          <w:szCs w:val="21"/>
        </w:rPr>
      </w:pPr>
      <w:r>
        <w:rPr>
          <w:rFonts w:eastAsiaTheme="minorEastAsia"/>
          <w:b/>
          <w:szCs w:val="21"/>
        </w:rPr>
        <w:t>3. 熟练掌握</w:t>
      </w:r>
      <w:r>
        <w:rPr>
          <w:rFonts w:eastAsiaTheme="minorEastAsia"/>
          <w:szCs w:val="21"/>
        </w:rPr>
        <w:t>：</w:t>
      </w:r>
      <w:r>
        <w:rPr>
          <w:rFonts w:eastAsiaTheme="minorEastAsia"/>
          <w:kern w:val="0"/>
          <w:szCs w:val="21"/>
        </w:rPr>
        <w:t>产业规划，包括农业园区产业规划的原则和农业园区产业的具体内容；专项规划；会进行投资估算与效益分析；能编制规划文件及绘制各专项规划的平面布局图。</w:t>
      </w:r>
    </w:p>
    <w:p>
      <w:pPr>
        <w:snapToGrid w:val="0"/>
        <w:spacing w:line="360" w:lineRule="auto"/>
        <w:rPr>
          <w:rFonts w:eastAsiaTheme="minorEastAsia"/>
          <w:szCs w:val="21"/>
        </w:rPr>
      </w:pPr>
      <w:r>
        <w:rPr>
          <w:rFonts w:eastAsiaTheme="minorEastAsia"/>
          <w:b/>
          <w:szCs w:val="21"/>
        </w:rPr>
        <w:t>二、考核知识点</w:t>
      </w:r>
    </w:p>
    <w:p>
      <w:pPr>
        <w:widowControl/>
        <w:spacing w:line="360" w:lineRule="auto"/>
        <w:ind w:firstLine="420" w:firstLineChars="200"/>
        <w:jc w:val="left"/>
        <w:rPr>
          <w:rFonts w:eastAsiaTheme="minorEastAsia"/>
          <w:kern w:val="0"/>
          <w:szCs w:val="21"/>
        </w:rPr>
      </w:pPr>
      <w:r>
        <w:rPr>
          <w:rFonts w:eastAsiaTheme="minorEastAsia"/>
          <w:kern w:val="0"/>
          <w:szCs w:val="21"/>
        </w:rPr>
        <w:t>1、产业规划；</w:t>
      </w:r>
    </w:p>
    <w:p>
      <w:pPr>
        <w:widowControl/>
        <w:spacing w:line="360" w:lineRule="auto"/>
        <w:ind w:firstLine="420" w:firstLineChars="200"/>
        <w:jc w:val="left"/>
        <w:rPr>
          <w:rFonts w:eastAsiaTheme="minorEastAsia"/>
          <w:kern w:val="0"/>
          <w:szCs w:val="21"/>
        </w:rPr>
      </w:pPr>
      <w:r>
        <w:rPr>
          <w:rFonts w:eastAsiaTheme="minorEastAsia"/>
          <w:kern w:val="0"/>
          <w:szCs w:val="21"/>
        </w:rPr>
        <w:t>2、专项规划；</w:t>
      </w:r>
    </w:p>
    <w:p>
      <w:pPr>
        <w:widowControl/>
        <w:spacing w:line="360" w:lineRule="auto"/>
        <w:ind w:firstLine="420" w:firstLineChars="200"/>
        <w:jc w:val="left"/>
        <w:rPr>
          <w:rFonts w:eastAsiaTheme="minorEastAsia"/>
          <w:kern w:val="0"/>
          <w:szCs w:val="21"/>
        </w:rPr>
      </w:pPr>
      <w:r>
        <w:rPr>
          <w:rFonts w:eastAsiaTheme="minorEastAsia"/>
          <w:kern w:val="0"/>
          <w:szCs w:val="21"/>
        </w:rPr>
        <w:t>3、投资估算与效益分析；</w:t>
      </w:r>
    </w:p>
    <w:p>
      <w:pPr>
        <w:snapToGrid w:val="0"/>
        <w:spacing w:line="360" w:lineRule="auto"/>
        <w:ind w:firstLine="420" w:firstLineChars="200"/>
        <w:rPr>
          <w:rFonts w:eastAsiaTheme="minorEastAsia"/>
          <w:kern w:val="0"/>
          <w:szCs w:val="21"/>
        </w:rPr>
      </w:pPr>
      <w:r>
        <w:rPr>
          <w:rFonts w:eastAsiaTheme="minorEastAsia"/>
          <w:kern w:val="0"/>
          <w:szCs w:val="21"/>
        </w:rPr>
        <w:t>4、规划文件的编制、规划图的绘制。</w:t>
      </w:r>
    </w:p>
    <w:p>
      <w:pPr>
        <w:snapToGrid w:val="0"/>
        <w:spacing w:line="360" w:lineRule="auto"/>
        <w:rPr>
          <w:rFonts w:eastAsiaTheme="minorEastAsia"/>
          <w:b/>
          <w:szCs w:val="21"/>
        </w:rPr>
      </w:pPr>
      <w:r>
        <w:rPr>
          <w:rFonts w:eastAsiaTheme="minorEastAsia"/>
          <w:b/>
          <w:szCs w:val="21"/>
        </w:rPr>
        <w:t>三、考核要求</w:t>
      </w:r>
    </w:p>
    <w:p>
      <w:pPr>
        <w:snapToGrid w:val="0"/>
        <w:spacing w:line="360" w:lineRule="auto"/>
        <w:rPr>
          <w:rFonts w:eastAsiaTheme="minorEastAsia"/>
          <w:b/>
          <w:szCs w:val="21"/>
        </w:rPr>
      </w:pPr>
      <w:r>
        <w:rPr>
          <w:rFonts w:eastAsiaTheme="minorEastAsia"/>
          <w:b/>
          <w:szCs w:val="21"/>
        </w:rPr>
        <w:t>1、识记</w:t>
      </w:r>
      <w:r>
        <w:rPr>
          <w:rFonts w:eastAsiaTheme="minorEastAsia"/>
          <w:szCs w:val="21"/>
        </w:rPr>
        <w:t>：</w:t>
      </w:r>
      <w:r>
        <w:rPr>
          <w:rFonts w:eastAsiaTheme="minorEastAsia"/>
          <w:kern w:val="0"/>
          <w:szCs w:val="21"/>
        </w:rPr>
        <w:t>农业园区详细规划、竖向规划设计</w:t>
      </w:r>
      <w:r>
        <w:rPr>
          <w:rFonts w:eastAsiaTheme="minorEastAsia"/>
          <w:szCs w:val="21"/>
        </w:rPr>
        <w:t>。</w:t>
      </w:r>
    </w:p>
    <w:p>
      <w:pPr>
        <w:snapToGrid w:val="0"/>
        <w:spacing w:line="360" w:lineRule="auto"/>
        <w:rPr>
          <w:rFonts w:eastAsiaTheme="minorEastAsia"/>
          <w:szCs w:val="21"/>
        </w:rPr>
      </w:pPr>
      <w:r>
        <w:rPr>
          <w:rFonts w:eastAsiaTheme="minorEastAsia"/>
          <w:b/>
          <w:szCs w:val="21"/>
        </w:rPr>
        <w:t>2、领会</w:t>
      </w:r>
      <w:r>
        <w:rPr>
          <w:rFonts w:eastAsiaTheme="minorEastAsia"/>
          <w:szCs w:val="21"/>
        </w:rPr>
        <w:t>：</w:t>
      </w:r>
      <w:r>
        <w:rPr>
          <w:rFonts w:eastAsiaTheme="minorEastAsia"/>
          <w:kern w:val="0"/>
          <w:szCs w:val="21"/>
        </w:rPr>
        <w:t>景观生态学原理、景观美学原理、景观安全格局原理。</w:t>
      </w:r>
    </w:p>
    <w:p>
      <w:pPr>
        <w:snapToGrid w:val="0"/>
        <w:spacing w:line="360" w:lineRule="auto"/>
        <w:rPr>
          <w:rFonts w:eastAsiaTheme="minorEastAsia"/>
          <w:b/>
          <w:szCs w:val="21"/>
        </w:rPr>
      </w:pPr>
      <w:r>
        <w:rPr>
          <w:rFonts w:eastAsiaTheme="minorEastAsia"/>
          <w:b/>
          <w:szCs w:val="21"/>
        </w:rPr>
        <w:t>3、简单应用</w:t>
      </w:r>
      <w:r>
        <w:rPr>
          <w:rFonts w:eastAsiaTheme="minorEastAsia"/>
          <w:szCs w:val="21"/>
        </w:rPr>
        <w:t>：</w:t>
      </w:r>
      <w:r>
        <w:rPr>
          <w:rFonts w:eastAsiaTheme="minorEastAsia"/>
          <w:kern w:val="0"/>
          <w:szCs w:val="21"/>
        </w:rPr>
        <w:t>农业园区产业规划应遵循的原则。</w:t>
      </w:r>
    </w:p>
    <w:p>
      <w:pPr>
        <w:snapToGrid w:val="0"/>
        <w:spacing w:line="360" w:lineRule="auto"/>
        <w:rPr>
          <w:rFonts w:eastAsiaTheme="minorEastAsia"/>
          <w:b/>
          <w:szCs w:val="21"/>
        </w:rPr>
      </w:pPr>
      <w:r>
        <w:rPr>
          <w:rFonts w:eastAsiaTheme="minorEastAsia"/>
          <w:b/>
          <w:szCs w:val="21"/>
        </w:rPr>
        <w:t>4、综合应用</w:t>
      </w:r>
      <w:r>
        <w:rPr>
          <w:rFonts w:eastAsiaTheme="minorEastAsia"/>
          <w:szCs w:val="21"/>
        </w:rPr>
        <w:t>：会对农业产业园区进行详细规划设计。</w:t>
      </w:r>
    </w:p>
    <w:p>
      <w:pPr>
        <w:snapToGrid w:val="0"/>
        <w:spacing w:line="360" w:lineRule="auto"/>
        <w:ind w:firstLine="103" w:firstLineChars="49"/>
        <w:jc w:val="center"/>
        <w:rPr>
          <w:rFonts w:eastAsiaTheme="minorEastAsia"/>
          <w:b/>
          <w:szCs w:val="21"/>
        </w:rPr>
      </w:pPr>
      <w:r>
        <w:rPr>
          <w:rFonts w:eastAsiaTheme="minorEastAsia"/>
          <w:b/>
          <w:szCs w:val="21"/>
        </w:rPr>
        <w:t>第五章  生态休闲类园区的详细规划</w:t>
      </w:r>
    </w:p>
    <w:p>
      <w:pPr>
        <w:snapToGrid w:val="0"/>
        <w:spacing w:line="360" w:lineRule="auto"/>
        <w:rPr>
          <w:rFonts w:eastAsiaTheme="minorEastAsia"/>
          <w:b/>
          <w:szCs w:val="21"/>
        </w:rPr>
      </w:pPr>
      <w:r>
        <w:rPr>
          <w:rFonts w:eastAsiaTheme="minorEastAsia"/>
          <w:b/>
          <w:szCs w:val="21"/>
        </w:rPr>
        <w:t>一、一般学习目的与要求</w:t>
      </w:r>
    </w:p>
    <w:p>
      <w:pPr>
        <w:snapToGrid w:val="0"/>
        <w:spacing w:line="360" w:lineRule="auto"/>
        <w:rPr>
          <w:rFonts w:eastAsiaTheme="minorEastAsia"/>
          <w:szCs w:val="21"/>
        </w:rPr>
      </w:pPr>
      <w:r>
        <w:rPr>
          <w:rFonts w:eastAsiaTheme="minorEastAsia"/>
          <w:b/>
          <w:szCs w:val="21"/>
        </w:rPr>
        <w:t>1. 一般了解</w:t>
      </w:r>
      <w:r>
        <w:rPr>
          <w:rFonts w:eastAsiaTheme="minorEastAsia"/>
          <w:szCs w:val="21"/>
        </w:rPr>
        <w:t>：生态休闲类园区的发展趋势和特点</w:t>
      </w:r>
      <w:r>
        <w:rPr>
          <w:rFonts w:eastAsiaTheme="minorEastAsia"/>
          <w:kern w:val="0"/>
          <w:szCs w:val="21"/>
        </w:rPr>
        <w:t>。</w:t>
      </w:r>
    </w:p>
    <w:p>
      <w:pPr>
        <w:snapToGrid w:val="0"/>
        <w:spacing w:line="360" w:lineRule="auto"/>
        <w:rPr>
          <w:rFonts w:eastAsiaTheme="minorEastAsia"/>
          <w:szCs w:val="21"/>
        </w:rPr>
      </w:pPr>
      <w:r>
        <w:rPr>
          <w:rFonts w:eastAsiaTheme="minorEastAsia"/>
          <w:b/>
          <w:szCs w:val="21"/>
        </w:rPr>
        <w:t>2. 一般掌握</w:t>
      </w:r>
      <w:r>
        <w:rPr>
          <w:rFonts w:eastAsiaTheme="minorEastAsia"/>
          <w:szCs w:val="21"/>
        </w:rPr>
        <w:t>：</w:t>
      </w:r>
      <w:r>
        <w:rPr>
          <w:rFonts w:eastAsiaTheme="minorEastAsia"/>
          <w:kern w:val="0"/>
          <w:szCs w:val="21"/>
        </w:rPr>
        <w:t>对不同类型生态休闲农业园区各单体项目的定位、定性、定量，并能对规划设计的风格、特点、技术要求、技术指标以及经营管理方式等做出明确说明。</w:t>
      </w:r>
    </w:p>
    <w:p>
      <w:pPr>
        <w:snapToGrid w:val="0"/>
        <w:spacing w:line="360" w:lineRule="auto"/>
        <w:rPr>
          <w:rFonts w:eastAsiaTheme="minorEastAsia"/>
          <w:kern w:val="0"/>
          <w:szCs w:val="21"/>
        </w:rPr>
      </w:pPr>
      <w:r>
        <w:rPr>
          <w:rFonts w:eastAsiaTheme="minorEastAsia"/>
          <w:b/>
          <w:szCs w:val="21"/>
        </w:rPr>
        <w:t>3. 熟练掌握</w:t>
      </w:r>
      <w:r>
        <w:rPr>
          <w:rFonts w:eastAsiaTheme="minorEastAsia"/>
          <w:szCs w:val="21"/>
        </w:rPr>
        <w:t>：</w:t>
      </w:r>
      <w:r>
        <w:rPr>
          <w:rFonts w:eastAsiaTheme="minorEastAsia"/>
          <w:kern w:val="0"/>
          <w:szCs w:val="21"/>
        </w:rPr>
        <w:t>项目规划，包括生态休闲农业园区项目规划的原则和项目的具体内容；专项规划；能编制规划文件及绘制各专项规划的平面布局图。</w:t>
      </w:r>
    </w:p>
    <w:p>
      <w:pPr>
        <w:snapToGrid w:val="0"/>
        <w:spacing w:line="360" w:lineRule="auto"/>
        <w:rPr>
          <w:rFonts w:eastAsiaTheme="minorEastAsia"/>
          <w:szCs w:val="21"/>
        </w:rPr>
      </w:pPr>
      <w:r>
        <w:rPr>
          <w:rFonts w:eastAsiaTheme="minorEastAsia"/>
          <w:b/>
          <w:szCs w:val="21"/>
        </w:rPr>
        <w:t>二、考核知识点</w:t>
      </w:r>
    </w:p>
    <w:p>
      <w:pPr>
        <w:widowControl/>
        <w:spacing w:line="360" w:lineRule="auto"/>
        <w:ind w:firstLine="420" w:firstLineChars="200"/>
        <w:jc w:val="left"/>
        <w:rPr>
          <w:rFonts w:eastAsiaTheme="minorEastAsia"/>
          <w:kern w:val="0"/>
          <w:szCs w:val="21"/>
        </w:rPr>
      </w:pPr>
      <w:r>
        <w:rPr>
          <w:rFonts w:eastAsiaTheme="minorEastAsia"/>
          <w:kern w:val="0"/>
          <w:szCs w:val="21"/>
        </w:rPr>
        <w:t>1、生态休闲农业概念和相关理论；</w:t>
      </w:r>
    </w:p>
    <w:p>
      <w:pPr>
        <w:widowControl/>
        <w:spacing w:line="360" w:lineRule="auto"/>
        <w:ind w:firstLine="420" w:firstLineChars="200"/>
        <w:jc w:val="left"/>
        <w:rPr>
          <w:rFonts w:eastAsiaTheme="minorEastAsia"/>
          <w:kern w:val="0"/>
          <w:szCs w:val="21"/>
        </w:rPr>
      </w:pPr>
      <w:r>
        <w:rPr>
          <w:rFonts w:eastAsiaTheme="minorEastAsia"/>
          <w:kern w:val="0"/>
          <w:szCs w:val="21"/>
        </w:rPr>
        <w:t>2、园区规划；</w:t>
      </w:r>
    </w:p>
    <w:p>
      <w:pPr>
        <w:widowControl/>
        <w:spacing w:line="360" w:lineRule="auto"/>
        <w:ind w:firstLine="420" w:firstLineChars="200"/>
        <w:jc w:val="left"/>
        <w:rPr>
          <w:rFonts w:eastAsiaTheme="minorEastAsia"/>
          <w:kern w:val="0"/>
          <w:szCs w:val="21"/>
        </w:rPr>
      </w:pPr>
      <w:r>
        <w:rPr>
          <w:rFonts w:eastAsiaTheme="minorEastAsia"/>
          <w:kern w:val="0"/>
          <w:szCs w:val="21"/>
        </w:rPr>
        <w:t>3、专项规划；</w:t>
      </w:r>
    </w:p>
    <w:p>
      <w:pPr>
        <w:snapToGrid w:val="0"/>
        <w:spacing w:line="360" w:lineRule="auto"/>
        <w:ind w:firstLine="420" w:firstLineChars="200"/>
        <w:rPr>
          <w:rFonts w:eastAsiaTheme="minorEastAsia"/>
          <w:kern w:val="0"/>
          <w:szCs w:val="21"/>
        </w:rPr>
      </w:pPr>
      <w:r>
        <w:rPr>
          <w:rFonts w:eastAsiaTheme="minorEastAsia"/>
          <w:kern w:val="0"/>
          <w:szCs w:val="21"/>
        </w:rPr>
        <w:t>4、规划文件的编制、规划图的绘制。</w:t>
      </w:r>
    </w:p>
    <w:p>
      <w:pPr>
        <w:snapToGrid w:val="0"/>
        <w:spacing w:line="360" w:lineRule="auto"/>
        <w:rPr>
          <w:rFonts w:eastAsiaTheme="minorEastAsia"/>
          <w:b/>
          <w:szCs w:val="21"/>
        </w:rPr>
      </w:pPr>
      <w:r>
        <w:rPr>
          <w:rFonts w:eastAsiaTheme="minorEastAsia"/>
          <w:b/>
          <w:szCs w:val="21"/>
        </w:rPr>
        <w:t>三、考核要求</w:t>
      </w:r>
    </w:p>
    <w:p>
      <w:pPr>
        <w:snapToGrid w:val="0"/>
        <w:spacing w:line="360" w:lineRule="auto"/>
        <w:rPr>
          <w:rFonts w:eastAsiaTheme="minorEastAsia"/>
          <w:b/>
          <w:szCs w:val="21"/>
        </w:rPr>
      </w:pPr>
      <w:r>
        <w:rPr>
          <w:rFonts w:eastAsiaTheme="minorEastAsia"/>
          <w:b/>
          <w:szCs w:val="21"/>
        </w:rPr>
        <w:t>1、识记</w:t>
      </w:r>
      <w:r>
        <w:rPr>
          <w:rFonts w:eastAsiaTheme="minorEastAsia"/>
          <w:szCs w:val="21"/>
        </w:rPr>
        <w:t>：</w:t>
      </w:r>
      <w:r>
        <w:rPr>
          <w:rFonts w:eastAsiaTheme="minorEastAsia"/>
          <w:kern w:val="0"/>
          <w:szCs w:val="21"/>
        </w:rPr>
        <w:t>都市农业相关概念、规划的相关原理</w:t>
      </w:r>
      <w:r>
        <w:rPr>
          <w:rFonts w:eastAsiaTheme="minorEastAsia"/>
          <w:szCs w:val="21"/>
        </w:rPr>
        <w:t>。</w:t>
      </w:r>
    </w:p>
    <w:p>
      <w:pPr>
        <w:snapToGrid w:val="0"/>
        <w:spacing w:line="360" w:lineRule="auto"/>
        <w:rPr>
          <w:rFonts w:eastAsiaTheme="minorEastAsia"/>
          <w:szCs w:val="21"/>
        </w:rPr>
      </w:pPr>
      <w:r>
        <w:rPr>
          <w:rFonts w:eastAsiaTheme="minorEastAsia"/>
          <w:b/>
          <w:szCs w:val="21"/>
        </w:rPr>
        <w:t>2、领会</w:t>
      </w:r>
      <w:r>
        <w:rPr>
          <w:rFonts w:eastAsiaTheme="minorEastAsia"/>
          <w:szCs w:val="21"/>
        </w:rPr>
        <w:t>：</w:t>
      </w:r>
      <w:r>
        <w:rPr>
          <w:rFonts w:eastAsiaTheme="minorEastAsia"/>
          <w:kern w:val="0"/>
          <w:szCs w:val="21"/>
        </w:rPr>
        <w:t>不同类型生态休闲农业园区的特点和规划重点。</w:t>
      </w:r>
    </w:p>
    <w:p>
      <w:pPr>
        <w:snapToGrid w:val="0"/>
        <w:spacing w:line="360" w:lineRule="auto"/>
        <w:rPr>
          <w:rFonts w:eastAsiaTheme="minorEastAsia"/>
          <w:b/>
          <w:szCs w:val="21"/>
        </w:rPr>
      </w:pPr>
      <w:r>
        <w:rPr>
          <w:rFonts w:eastAsiaTheme="minorEastAsia"/>
          <w:b/>
          <w:szCs w:val="21"/>
        </w:rPr>
        <w:t>3、简单应用</w:t>
      </w:r>
      <w:r>
        <w:rPr>
          <w:rFonts w:eastAsiaTheme="minorEastAsia"/>
          <w:szCs w:val="21"/>
        </w:rPr>
        <w:t>：生态休闲</w:t>
      </w:r>
      <w:r>
        <w:rPr>
          <w:rFonts w:eastAsiaTheme="minorEastAsia"/>
          <w:kern w:val="0"/>
          <w:szCs w:val="21"/>
        </w:rPr>
        <w:t>农业园区产业规划应遵循的原则。</w:t>
      </w:r>
    </w:p>
    <w:p>
      <w:pPr>
        <w:snapToGrid w:val="0"/>
        <w:spacing w:line="360" w:lineRule="auto"/>
        <w:rPr>
          <w:rFonts w:eastAsiaTheme="minorEastAsia"/>
          <w:b/>
          <w:szCs w:val="21"/>
        </w:rPr>
      </w:pPr>
      <w:r>
        <w:rPr>
          <w:rFonts w:eastAsiaTheme="minorEastAsia"/>
          <w:b/>
          <w:szCs w:val="21"/>
        </w:rPr>
        <w:t>4、综合应用</w:t>
      </w:r>
      <w:r>
        <w:rPr>
          <w:rFonts w:eastAsiaTheme="minorEastAsia"/>
          <w:szCs w:val="21"/>
        </w:rPr>
        <w:t>：会对生态休闲农业园区进行详细规划设计。</w:t>
      </w:r>
    </w:p>
    <w:p>
      <w:pPr>
        <w:snapToGrid w:val="0"/>
        <w:spacing w:line="360" w:lineRule="auto"/>
        <w:ind w:firstLine="103" w:firstLineChars="49"/>
        <w:jc w:val="center"/>
        <w:rPr>
          <w:rFonts w:eastAsiaTheme="minorEastAsia"/>
          <w:b/>
          <w:szCs w:val="21"/>
        </w:rPr>
      </w:pPr>
      <w:r>
        <w:rPr>
          <w:rFonts w:eastAsiaTheme="minorEastAsia"/>
          <w:b/>
          <w:szCs w:val="21"/>
        </w:rPr>
        <w:t>第六章  农业园区的管理</w:t>
      </w:r>
    </w:p>
    <w:p>
      <w:pPr>
        <w:snapToGrid w:val="0"/>
        <w:spacing w:line="360" w:lineRule="auto"/>
        <w:rPr>
          <w:rFonts w:eastAsiaTheme="minorEastAsia"/>
          <w:b/>
          <w:szCs w:val="21"/>
        </w:rPr>
      </w:pPr>
      <w:r>
        <w:rPr>
          <w:rFonts w:eastAsiaTheme="minorEastAsia"/>
          <w:b/>
          <w:szCs w:val="21"/>
        </w:rPr>
        <w:t>一、一般学习目的与要求</w:t>
      </w:r>
    </w:p>
    <w:p>
      <w:pPr>
        <w:snapToGrid w:val="0"/>
        <w:spacing w:line="360" w:lineRule="auto"/>
        <w:rPr>
          <w:rFonts w:eastAsiaTheme="minorEastAsia"/>
          <w:szCs w:val="21"/>
        </w:rPr>
      </w:pPr>
      <w:r>
        <w:rPr>
          <w:rFonts w:eastAsiaTheme="minorEastAsia"/>
          <w:b/>
          <w:szCs w:val="21"/>
        </w:rPr>
        <w:t>1. 一般了解</w:t>
      </w:r>
      <w:r>
        <w:rPr>
          <w:rFonts w:eastAsiaTheme="minorEastAsia"/>
          <w:szCs w:val="21"/>
        </w:rPr>
        <w:t>：</w:t>
      </w:r>
      <w:r>
        <w:rPr>
          <w:rFonts w:eastAsiaTheme="minorEastAsia"/>
          <w:kern w:val="0"/>
          <w:szCs w:val="21"/>
        </w:rPr>
        <w:t>了解生产过程的概念、生产过程组织的要求、生产类型、生产运作组织方式的选择、流水生产组织。</w:t>
      </w:r>
    </w:p>
    <w:p>
      <w:pPr>
        <w:snapToGrid w:val="0"/>
        <w:spacing w:line="360" w:lineRule="auto"/>
        <w:rPr>
          <w:rFonts w:eastAsiaTheme="minorEastAsia"/>
          <w:szCs w:val="21"/>
        </w:rPr>
      </w:pPr>
      <w:r>
        <w:rPr>
          <w:rFonts w:eastAsiaTheme="minorEastAsia"/>
          <w:b/>
          <w:szCs w:val="21"/>
        </w:rPr>
        <w:t>2. 一般掌握</w:t>
      </w:r>
      <w:r>
        <w:rPr>
          <w:rFonts w:eastAsiaTheme="minorEastAsia"/>
          <w:szCs w:val="21"/>
        </w:rPr>
        <w:t>：农业园区的组织管理和战略领导；</w:t>
      </w:r>
      <w:r>
        <w:rPr>
          <w:rFonts w:eastAsiaTheme="minorEastAsia"/>
          <w:kern w:val="0"/>
          <w:szCs w:val="21"/>
        </w:rPr>
        <w:t>掌握现代先进的生产管理方式；掌握质量管理理论、全面质量管理，质量管理的常规方法。</w:t>
      </w:r>
    </w:p>
    <w:p>
      <w:pPr>
        <w:snapToGrid w:val="0"/>
        <w:spacing w:line="360" w:lineRule="auto"/>
        <w:rPr>
          <w:rFonts w:eastAsiaTheme="minorEastAsia"/>
          <w:kern w:val="0"/>
          <w:szCs w:val="21"/>
        </w:rPr>
      </w:pPr>
      <w:r>
        <w:rPr>
          <w:rFonts w:eastAsiaTheme="minorEastAsia"/>
          <w:b/>
          <w:szCs w:val="21"/>
        </w:rPr>
        <w:t>3. 熟练掌握</w:t>
      </w:r>
      <w:r>
        <w:rPr>
          <w:rFonts w:eastAsiaTheme="minorEastAsia"/>
          <w:szCs w:val="21"/>
        </w:rPr>
        <w:t>：</w:t>
      </w:r>
      <w:r>
        <w:rPr>
          <w:rFonts w:eastAsiaTheme="minorEastAsia"/>
          <w:kern w:val="0"/>
          <w:szCs w:val="21"/>
        </w:rPr>
        <w:t>掌握生产与运作管理的基本概念、生产与运作管理的目标、生产与运作管理的要素、生产运作管理的内容；掌握要素管理的内容；掌握技术管理的内容。</w:t>
      </w:r>
    </w:p>
    <w:p>
      <w:pPr>
        <w:snapToGrid w:val="0"/>
        <w:spacing w:line="360" w:lineRule="auto"/>
        <w:rPr>
          <w:rFonts w:eastAsiaTheme="minorEastAsia"/>
          <w:szCs w:val="21"/>
        </w:rPr>
      </w:pPr>
      <w:r>
        <w:rPr>
          <w:rFonts w:eastAsiaTheme="minorEastAsia"/>
          <w:b/>
          <w:szCs w:val="21"/>
        </w:rPr>
        <w:t>二、考核知识点</w:t>
      </w:r>
    </w:p>
    <w:p>
      <w:pPr>
        <w:widowControl/>
        <w:spacing w:line="360" w:lineRule="auto"/>
        <w:ind w:firstLine="420" w:firstLineChars="200"/>
        <w:jc w:val="left"/>
        <w:rPr>
          <w:rFonts w:eastAsiaTheme="minorEastAsia"/>
          <w:kern w:val="0"/>
          <w:szCs w:val="21"/>
        </w:rPr>
      </w:pPr>
      <w:r>
        <w:rPr>
          <w:rFonts w:eastAsiaTheme="minorEastAsia"/>
          <w:kern w:val="0"/>
          <w:szCs w:val="21"/>
        </w:rPr>
        <w:t>1、生产与运作管理的基本概念；</w:t>
      </w:r>
    </w:p>
    <w:p>
      <w:pPr>
        <w:widowControl/>
        <w:spacing w:line="360" w:lineRule="auto"/>
        <w:ind w:firstLine="420" w:firstLineChars="200"/>
        <w:jc w:val="left"/>
        <w:rPr>
          <w:rFonts w:eastAsiaTheme="minorEastAsia"/>
          <w:kern w:val="0"/>
          <w:szCs w:val="21"/>
        </w:rPr>
      </w:pPr>
      <w:r>
        <w:rPr>
          <w:rFonts w:eastAsiaTheme="minorEastAsia"/>
          <w:kern w:val="0"/>
          <w:szCs w:val="21"/>
        </w:rPr>
        <w:t>2、生产与运作管理的目标、要素和内容；</w:t>
      </w:r>
    </w:p>
    <w:p>
      <w:pPr>
        <w:widowControl/>
        <w:spacing w:line="360" w:lineRule="auto"/>
        <w:ind w:firstLine="420" w:firstLineChars="200"/>
        <w:jc w:val="left"/>
        <w:rPr>
          <w:rFonts w:eastAsiaTheme="minorEastAsia"/>
          <w:kern w:val="0"/>
          <w:szCs w:val="21"/>
        </w:rPr>
      </w:pPr>
      <w:r>
        <w:rPr>
          <w:rFonts w:eastAsiaTheme="minorEastAsia"/>
          <w:kern w:val="0"/>
          <w:szCs w:val="21"/>
        </w:rPr>
        <w:t>3、现代先进的生产管理方式；</w:t>
      </w:r>
    </w:p>
    <w:p>
      <w:pPr>
        <w:snapToGrid w:val="0"/>
        <w:spacing w:line="360" w:lineRule="auto"/>
        <w:ind w:firstLine="420" w:firstLineChars="200"/>
        <w:rPr>
          <w:rFonts w:eastAsiaTheme="minorEastAsia"/>
          <w:kern w:val="0"/>
          <w:szCs w:val="21"/>
        </w:rPr>
      </w:pPr>
      <w:r>
        <w:rPr>
          <w:rFonts w:eastAsiaTheme="minorEastAsia"/>
          <w:kern w:val="0"/>
          <w:szCs w:val="21"/>
        </w:rPr>
        <w:t>4、质量管理理论、全面质量管理；</w:t>
      </w:r>
    </w:p>
    <w:p>
      <w:pPr>
        <w:snapToGrid w:val="0"/>
        <w:spacing w:line="360" w:lineRule="auto"/>
        <w:ind w:firstLine="420" w:firstLineChars="200"/>
        <w:rPr>
          <w:rFonts w:eastAsiaTheme="minorEastAsia"/>
          <w:kern w:val="0"/>
          <w:szCs w:val="21"/>
        </w:rPr>
      </w:pPr>
      <w:r>
        <w:rPr>
          <w:rFonts w:eastAsiaTheme="minorEastAsia"/>
          <w:kern w:val="0"/>
          <w:szCs w:val="21"/>
        </w:rPr>
        <w:t>5、要素管理方式；</w:t>
      </w:r>
    </w:p>
    <w:p>
      <w:pPr>
        <w:snapToGrid w:val="0"/>
        <w:spacing w:line="360" w:lineRule="auto"/>
        <w:ind w:firstLine="420" w:firstLineChars="200"/>
        <w:rPr>
          <w:rFonts w:eastAsiaTheme="minorEastAsia"/>
          <w:kern w:val="0"/>
          <w:szCs w:val="21"/>
        </w:rPr>
      </w:pPr>
      <w:r>
        <w:rPr>
          <w:rFonts w:eastAsiaTheme="minorEastAsia"/>
          <w:kern w:val="0"/>
          <w:szCs w:val="21"/>
        </w:rPr>
        <w:t>6、技术管理方式。</w:t>
      </w:r>
    </w:p>
    <w:p>
      <w:pPr>
        <w:snapToGrid w:val="0"/>
        <w:spacing w:line="360" w:lineRule="auto"/>
        <w:rPr>
          <w:rFonts w:eastAsiaTheme="minorEastAsia"/>
          <w:b/>
          <w:szCs w:val="21"/>
        </w:rPr>
      </w:pPr>
      <w:r>
        <w:rPr>
          <w:rFonts w:eastAsiaTheme="minorEastAsia"/>
          <w:b/>
          <w:szCs w:val="21"/>
        </w:rPr>
        <w:t>三、考核要求</w:t>
      </w:r>
    </w:p>
    <w:p>
      <w:pPr>
        <w:snapToGrid w:val="0"/>
        <w:spacing w:line="360" w:lineRule="auto"/>
        <w:rPr>
          <w:rFonts w:eastAsiaTheme="minorEastAsia"/>
          <w:b/>
          <w:szCs w:val="21"/>
        </w:rPr>
      </w:pPr>
      <w:r>
        <w:rPr>
          <w:rFonts w:eastAsiaTheme="minorEastAsia"/>
          <w:b/>
          <w:szCs w:val="21"/>
        </w:rPr>
        <w:t>1、识记</w:t>
      </w:r>
      <w:r>
        <w:rPr>
          <w:rFonts w:eastAsiaTheme="minorEastAsia"/>
          <w:szCs w:val="21"/>
        </w:rPr>
        <w:t>：</w:t>
      </w:r>
      <w:r>
        <w:rPr>
          <w:rFonts w:eastAsiaTheme="minorEastAsia"/>
          <w:kern w:val="0"/>
          <w:szCs w:val="21"/>
        </w:rPr>
        <w:t>生产管理的基本概念、要素及内容</w:t>
      </w:r>
      <w:r>
        <w:rPr>
          <w:rFonts w:eastAsiaTheme="minorEastAsia"/>
          <w:szCs w:val="21"/>
        </w:rPr>
        <w:t>。</w:t>
      </w:r>
    </w:p>
    <w:p>
      <w:pPr>
        <w:snapToGrid w:val="0"/>
        <w:spacing w:line="360" w:lineRule="auto"/>
        <w:rPr>
          <w:rFonts w:eastAsiaTheme="minorEastAsia"/>
          <w:szCs w:val="21"/>
        </w:rPr>
      </w:pPr>
      <w:r>
        <w:rPr>
          <w:rFonts w:eastAsiaTheme="minorEastAsia"/>
          <w:b/>
          <w:szCs w:val="21"/>
        </w:rPr>
        <w:t>2、领会</w:t>
      </w:r>
      <w:r>
        <w:rPr>
          <w:rFonts w:eastAsiaTheme="minorEastAsia"/>
          <w:szCs w:val="21"/>
        </w:rPr>
        <w:t>：</w:t>
      </w:r>
      <w:r>
        <w:rPr>
          <w:rFonts w:eastAsiaTheme="minorEastAsia"/>
          <w:kern w:val="0"/>
          <w:szCs w:val="21"/>
        </w:rPr>
        <w:t>生产管理、要素管理和质量管理的目标。</w:t>
      </w:r>
    </w:p>
    <w:p>
      <w:pPr>
        <w:snapToGrid w:val="0"/>
        <w:spacing w:line="360" w:lineRule="auto"/>
        <w:rPr>
          <w:rFonts w:eastAsiaTheme="minorEastAsia"/>
          <w:b/>
          <w:szCs w:val="21"/>
        </w:rPr>
      </w:pPr>
      <w:r>
        <w:rPr>
          <w:rFonts w:eastAsiaTheme="minorEastAsia"/>
          <w:b/>
          <w:szCs w:val="21"/>
        </w:rPr>
        <w:t>3、简单应用</w:t>
      </w:r>
      <w:r>
        <w:rPr>
          <w:rFonts w:eastAsiaTheme="minorEastAsia"/>
          <w:szCs w:val="21"/>
        </w:rPr>
        <w:t>：</w:t>
      </w:r>
      <w:r>
        <w:rPr>
          <w:rFonts w:eastAsiaTheme="minorEastAsia"/>
          <w:kern w:val="0"/>
          <w:szCs w:val="21"/>
        </w:rPr>
        <w:t>现代先进的生产、要素和技术管理方式。</w:t>
      </w:r>
    </w:p>
    <w:p>
      <w:pPr>
        <w:snapToGrid w:val="0"/>
        <w:spacing w:line="360" w:lineRule="auto"/>
        <w:rPr>
          <w:rFonts w:eastAsiaTheme="minorEastAsia"/>
          <w:b/>
          <w:szCs w:val="21"/>
        </w:rPr>
      </w:pPr>
      <w:r>
        <w:rPr>
          <w:rFonts w:eastAsiaTheme="minorEastAsia"/>
          <w:b/>
          <w:szCs w:val="21"/>
        </w:rPr>
        <w:t>4、综合应用</w:t>
      </w:r>
      <w:r>
        <w:rPr>
          <w:rFonts w:eastAsiaTheme="minorEastAsia"/>
          <w:szCs w:val="21"/>
        </w:rPr>
        <w:t>：质量管理理论。</w:t>
      </w:r>
    </w:p>
    <w:p>
      <w:pPr>
        <w:snapToGrid w:val="0"/>
        <w:spacing w:line="360" w:lineRule="auto"/>
        <w:rPr>
          <w:rFonts w:eastAsiaTheme="minorEastAsia"/>
          <w:b/>
          <w:szCs w:val="21"/>
        </w:rPr>
      </w:pPr>
    </w:p>
    <w:p>
      <w:pPr>
        <w:snapToGrid w:val="0"/>
        <w:spacing w:line="360" w:lineRule="auto"/>
        <w:rPr>
          <w:rFonts w:eastAsiaTheme="minorEastAsia"/>
          <w:b/>
          <w:szCs w:val="21"/>
        </w:rPr>
      </w:pPr>
    </w:p>
    <w:p>
      <w:pPr>
        <w:snapToGrid w:val="0"/>
        <w:spacing w:line="360" w:lineRule="auto"/>
        <w:rPr>
          <w:rFonts w:eastAsiaTheme="minorEastAsia"/>
          <w:b/>
          <w:szCs w:val="21"/>
        </w:rPr>
      </w:pPr>
      <w:r>
        <w:rPr>
          <w:rFonts w:eastAsiaTheme="minorEastAsia"/>
          <w:b/>
          <w:szCs w:val="21"/>
        </w:rPr>
        <w:t>三、实验、实习教学部分的考核要求</w:t>
      </w:r>
    </w:p>
    <w:p>
      <w:pPr>
        <w:widowControl/>
        <w:adjustRightInd w:val="0"/>
        <w:snapToGrid w:val="0"/>
        <w:spacing w:line="360" w:lineRule="auto"/>
        <w:ind w:firstLine="105" w:firstLineChars="50"/>
        <w:jc w:val="left"/>
        <w:rPr>
          <w:rFonts w:eastAsiaTheme="minorEastAsia"/>
          <w:b/>
          <w:bCs/>
          <w:kern w:val="0"/>
          <w:szCs w:val="21"/>
        </w:rPr>
      </w:pPr>
      <w:r>
        <w:rPr>
          <w:rFonts w:eastAsiaTheme="minorEastAsia"/>
          <w:b/>
          <w:bCs/>
          <w:kern w:val="0"/>
          <w:szCs w:val="21"/>
        </w:rPr>
        <w:t>1、实验教学考核要求</w:t>
      </w:r>
    </w:p>
    <w:p>
      <w:pPr>
        <w:widowControl/>
        <w:adjustRightInd w:val="0"/>
        <w:snapToGrid w:val="0"/>
        <w:spacing w:line="360" w:lineRule="auto"/>
        <w:ind w:firstLine="105" w:firstLineChars="50"/>
        <w:jc w:val="left"/>
        <w:rPr>
          <w:rFonts w:eastAsiaTheme="minorEastAsia"/>
          <w:bCs/>
          <w:kern w:val="0"/>
          <w:szCs w:val="21"/>
        </w:rPr>
      </w:pPr>
      <w:r>
        <w:rPr>
          <w:rFonts w:eastAsiaTheme="minorEastAsia"/>
          <w:bCs/>
          <w:kern w:val="0"/>
          <w:szCs w:val="21"/>
        </w:rPr>
        <w:t>（1）工厂化育苗场的规划：明确工厂化育苗场应具备的功能分区和相关的设备；能根据育苗工厂的工艺流程，科学设计育苗场功能分区的布局；能进行各功能区的详细设计</w:t>
      </w:r>
      <w:r>
        <w:rPr>
          <w:rFonts w:hint="eastAsia" w:eastAsiaTheme="minorEastAsia"/>
          <w:bCs/>
          <w:kern w:val="0"/>
          <w:szCs w:val="21"/>
        </w:rPr>
        <w:t>。</w:t>
      </w:r>
      <w:r>
        <w:rPr>
          <w:rFonts w:eastAsiaTheme="minorEastAsia"/>
          <w:bCs/>
          <w:kern w:val="0"/>
          <w:szCs w:val="21"/>
        </w:rPr>
        <w:t>绘制育苗场平面布局图。</w:t>
      </w:r>
    </w:p>
    <w:p>
      <w:pPr>
        <w:widowControl/>
        <w:adjustRightInd w:val="0"/>
        <w:snapToGrid w:val="0"/>
        <w:spacing w:line="360" w:lineRule="auto"/>
        <w:ind w:firstLine="105" w:firstLineChars="50"/>
        <w:jc w:val="left"/>
        <w:rPr>
          <w:rFonts w:eastAsiaTheme="minorEastAsia"/>
          <w:bCs/>
          <w:kern w:val="0"/>
          <w:szCs w:val="21"/>
        </w:rPr>
      </w:pPr>
      <w:r>
        <w:rPr>
          <w:rFonts w:eastAsiaTheme="minorEastAsia"/>
          <w:bCs/>
          <w:kern w:val="0"/>
          <w:szCs w:val="21"/>
        </w:rPr>
        <w:t>（2）设施蔬菜标准园的规划：明确设施蔬菜标准园应具备的功能；能根据栽培和管理的需求科学进行蔬菜标准园的布局；能进行各功能区的详细设计。绘制育蔬菜标准园平面布局图。</w:t>
      </w:r>
    </w:p>
    <w:p>
      <w:pPr>
        <w:widowControl/>
        <w:adjustRightInd w:val="0"/>
        <w:snapToGrid w:val="0"/>
        <w:spacing w:line="360" w:lineRule="auto"/>
        <w:ind w:firstLine="105" w:firstLineChars="50"/>
        <w:jc w:val="left"/>
        <w:rPr>
          <w:rFonts w:eastAsiaTheme="minorEastAsia"/>
          <w:bCs/>
          <w:kern w:val="0"/>
          <w:szCs w:val="21"/>
        </w:rPr>
      </w:pPr>
      <w:r>
        <w:rPr>
          <w:rFonts w:eastAsiaTheme="minorEastAsia"/>
          <w:bCs/>
          <w:kern w:val="0"/>
          <w:szCs w:val="21"/>
        </w:rPr>
        <w:t>（3）现代农产品物流园的规划：明确农产品物流园应具备的功能分区和相关的设备；能根据农产品物流园的物流流程，科学设计物流园功能分区的布局；能进行各功能区的详细设计。绘制物流园平面布局图。</w:t>
      </w:r>
    </w:p>
    <w:p>
      <w:pPr>
        <w:widowControl/>
        <w:adjustRightInd w:val="0"/>
        <w:snapToGrid w:val="0"/>
        <w:spacing w:line="360" w:lineRule="auto"/>
        <w:ind w:firstLine="105" w:firstLineChars="50"/>
        <w:jc w:val="left"/>
        <w:rPr>
          <w:rFonts w:eastAsiaTheme="minorEastAsia"/>
          <w:bCs/>
          <w:kern w:val="0"/>
          <w:szCs w:val="21"/>
        </w:rPr>
      </w:pPr>
      <w:r>
        <w:rPr>
          <w:rFonts w:eastAsiaTheme="minorEastAsia"/>
          <w:bCs/>
          <w:kern w:val="0"/>
          <w:szCs w:val="21"/>
        </w:rPr>
        <w:t>（4）科普教育农园的规划：明确科普教育农园应具备的功能分区；能科学设计科普教育农园的布局；能进行各功能区的详细设计。绘制育科普教育农园平面布局图。</w:t>
      </w:r>
    </w:p>
    <w:p>
      <w:pPr>
        <w:widowControl/>
        <w:adjustRightInd w:val="0"/>
        <w:snapToGrid w:val="0"/>
        <w:spacing w:line="360" w:lineRule="auto"/>
        <w:ind w:firstLine="105" w:firstLineChars="50"/>
        <w:jc w:val="left"/>
        <w:rPr>
          <w:rFonts w:eastAsiaTheme="minorEastAsia"/>
          <w:bCs/>
          <w:kern w:val="0"/>
          <w:szCs w:val="21"/>
        </w:rPr>
      </w:pPr>
      <w:r>
        <w:rPr>
          <w:rFonts w:eastAsiaTheme="minorEastAsia"/>
          <w:bCs/>
          <w:kern w:val="0"/>
          <w:szCs w:val="21"/>
        </w:rPr>
        <w:t>（5）生态休闲采摘园的规划：明确生态休闲采摘园应具备的功能分区；能科学设计生态休闲采摘园的布局；能进行各功能区的详细设计。绘制生态休闲采摘园平面布局图。</w:t>
      </w:r>
    </w:p>
    <w:p>
      <w:pPr>
        <w:widowControl/>
        <w:adjustRightInd w:val="0"/>
        <w:snapToGrid w:val="0"/>
        <w:spacing w:line="360" w:lineRule="auto"/>
        <w:ind w:firstLine="105" w:firstLineChars="50"/>
        <w:jc w:val="left"/>
        <w:rPr>
          <w:rFonts w:eastAsiaTheme="minorEastAsia"/>
          <w:b/>
          <w:bCs/>
          <w:kern w:val="0"/>
          <w:szCs w:val="21"/>
        </w:rPr>
      </w:pPr>
      <w:r>
        <w:rPr>
          <w:rFonts w:eastAsiaTheme="minorEastAsia"/>
          <w:b/>
          <w:bCs/>
          <w:kern w:val="0"/>
          <w:szCs w:val="21"/>
        </w:rPr>
        <w:t>2、实习教学部分考核要求</w:t>
      </w:r>
    </w:p>
    <w:p>
      <w:pPr>
        <w:widowControl/>
        <w:tabs>
          <w:tab w:val="left" w:pos="2730"/>
        </w:tabs>
        <w:snapToGrid w:val="0"/>
        <w:spacing w:line="360" w:lineRule="auto"/>
        <w:ind w:firstLine="525" w:firstLineChars="250"/>
        <w:jc w:val="left"/>
        <w:rPr>
          <w:rFonts w:eastAsiaTheme="minorEastAsia"/>
          <w:kern w:val="0"/>
          <w:szCs w:val="21"/>
        </w:rPr>
      </w:pPr>
      <w:r>
        <w:rPr>
          <w:rFonts w:eastAsiaTheme="minorEastAsia"/>
          <w:kern w:val="0"/>
          <w:szCs w:val="21"/>
        </w:rPr>
        <w:t>于实习结束后1周内，每位同学提交实习报告一份。实习成绩根据学生在实习过程中三个方面的表现评定成绩。</w:t>
      </w:r>
    </w:p>
    <w:p>
      <w:pPr>
        <w:widowControl/>
        <w:tabs>
          <w:tab w:val="left" w:pos="2730"/>
        </w:tabs>
        <w:snapToGrid w:val="0"/>
        <w:spacing w:line="360" w:lineRule="auto"/>
        <w:ind w:firstLine="420" w:firstLineChars="200"/>
        <w:jc w:val="left"/>
        <w:rPr>
          <w:rFonts w:eastAsiaTheme="minorEastAsia"/>
          <w:kern w:val="0"/>
          <w:szCs w:val="21"/>
        </w:rPr>
      </w:pPr>
      <w:r>
        <w:rPr>
          <w:rFonts w:eastAsiaTheme="minorEastAsia"/>
          <w:kern w:val="0"/>
          <w:szCs w:val="21"/>
        </w:rPr>
        <w:t>其中：（1）综合表现（思想表现、实习态度、团结互助、劳动观念以及遵守纪律等）占20%；（2）实际观察能力占30%；（3）实习报告占50%。</w:t>
      </w:r>
    </w:p>
    <w:p>
      <w:pPr>
        <w:widowControl/>
        <w:adjustRightInd w:val="0"/>
        <w:snapToGrid w:val="0"/>
        <w:spacing w:line="360" w:lineRule="auto"/>
        <w:ind w:firstLine="105" w:firstLineChars="50"/>
        <w:jc w:val="left"/>
        <w:rPr>
          <w:rFonts w:eastAsiaTheme="minorEastAsia"/>
          <w:bCs/>
          <w:kern w:val="0"/>
          <w:szCs w:val="21"/>
        </w:rPr>
      </w:pPr>
    </w:p>
    <w:p>
      <w:pPr>
        <w:snapToGrid w:val="0"/>
        <w:spacing w:line="360" w:lineRule="auto"/>
        <w:rPr>
          <w:rFonts w:eastAsiaTheme="minorEastAsia"/>
          <w:b/>
          <w:szCs w:val="21"/>
        </w:rPr>
      </w:pPr>
      <w:r>
        <w:rPr>
          <w:rFonts w:eastAsiaTheme="minorEastAsia"/>
          <w:b/>
          <w:szCs w:val="21"/>
        </w:rPr>
        <w:t>四、考试题型</w:t>
      </w:r>
    </w:p>
    <w:p>
      <w:pPr>
        <w:snapToGrid w:val="0"/>
        <w:spacing w:line="360" w:lineRule="auto"/>
        <w:ind w:firstLine="211" w:firstLineChars="100"/>
        <w:rPr>
          <w:rFonts w:eastAsiaTheme="minorEastAsia"/>
          <w:b/>
          <w:szCs w:val="21"/>
        </w:rPr>
      </w:pPr>
      <w:r>
        <w:rPr>
          <w:rFonts w:eastAsiaTheme="minorEastAsia"/>
          <w:b/>
          <w:szCs w:val="21"/>
        </w:rPr>
        <w:t>1、规划设计报告。</w:t>
      </w:r>
    </w:p>
    <w:p>
      <w:pPr>
        <w:snapToGrid w:val="0"/>
        <w:spacing w:line="360" w:lineRule="auto"/>
        <w:ind w:firstLine="211" w:firstLineChars="100"/>
        <w:rPr>
          <w:rFonts w:eastAsiaTheme="minorEastAsia"/>
          <w:b/>
          <w:szCs w:val="21"/>
        </w:rPr>
      </w:pPr>
      <w:r>
        <w:rPr>
          <w:rFonts w:eastAsiaTheme="minorEastAsia"/>
          <w:b/>
          <w:szCs w:val="21"/>
        </w:rPr>
        <w:t>2、要求：</w:t>
      </w:r>
    </w:p>
    <w:p>
      <w:pPr>
        <w:spacing w:line="360" w:lineRule="auto"/>
        <w:ind w:firstLine="315" w:firstLineChars="150"/>
        <w:rPr>
          <w:rFonts w:eastAsiaTheme="minorEastAsia"/>
          <w:szCs w:val="21"/>
        </w:rPr>
      </w:pPr>
      <w:r>
        <w:rPr>
          <w:rFonts w:eastAsiaTheme="minorEastAsia"/>
          <w:szCs w:val="21"/>
        </w:rPr>
        <w:t>1）原始创新：作品要以各自的家乡为主，切合实际，切忌照抄；</w:t>
      </w:r>
    </w:p>
    <w:p>
      <w:pPr>
        <w:spacing w:line="360" w:lineRule="auto"/>
        <w:ind w:firstLine="315" w:firstLineChars="150"/>
        <w:rPr>
          <w:rFonts w:eastAsiaTheme="minorEastAsia"/>
          <w:szCs w:val="21"/>
        </w:rPr>
      </w:pPr>
      <w:r>
        <w:rPr>
          <w:rFonts w:eastAsiaTheme="minorEastAsia"/>
          <w:szCs w:val="21"/>
        </w:rPr>
        <w:t>2）作品要实：作品主要从规划理念、园区布局、项目设计、管理及运行策略几个方面进行。切忌空洞无物、切忌华而不实。</w:t>
      </w:r>
    </w:p>
    <w:p>
      <w:pPr>
        <w:spacing w:line="360" w:lineRule="auto"/>
        <w:ind w:firstLine="315" w:firstLineChars="150"/>
        <w:rPr>
          <w:rFonts w:eastAsiaTheme="minorEastAsia"/>
          <w:szCs w:val="21"/>
        </w:rPr>
      </w:pPr>
      <w:r>
        <w:rPr>
          <w:rFonts w:eastAsiaTheme="minorEastAsia"/>
          <w:szCs w:val="21"/>
        </w:rPr>
        <w:t>3）可落地性：作品要因地制宜，主要内容要详实，要具有可操作性，设计方案要切实可行。</w:t>
      </w:r>
    </w:p>
    <w:p>
      <w:pPr>
        <w:snapToGrid w:val="0"/>
        <w:spacing w:line="360" w:lineRule="auto"/>
        <w:rPr>
          <w:rFonts w:eastAsiaTheme="minorEastAsia"/>
          <w:b/>
          <w:szCs w:val="21"/>
        </w:rPr>
      </w:pPr>
      <w:r>
        <w:rPr>
          <w:rFonts w:eastAsiaTheme="minorEastAsia"/>
          <w:b/>
          <w:szCs w:val="21"/>
        </w:rPr>
        <w:t>五、考</w:t>
      </w:r>
      <w:r>
        <w:rPr>
          <w:rFonts w:hint="eastAsia" w:eastAsiaTheme="minorEastAsia"/>
          <w:b/>
          <w:szCs w:val="21"/>
        </w:rPr>
        <w:t>核</w:t>
      </w:r>
      <w:r>
        <w:rPr>
          <w:rFonts w:eastAsiaTheme="minorEastAsia"/>
          <w:b/>
          <w:szCs w:val="21"/>
        </w:rPr>
        <w:t>方式</w:t>
      </w:r>
    </w:p>
    <w:p>
      <w:pPr>
        <w:snapToGrid w:val="0"/>
        <w:spacing w:line="360" w:lineRule="auto"/>
        <w:ind w:firstLine="420" w:firstLineChars="200"/>
        <w:rPr>
          <w:rFonts w:eastAsiaTheme="minorEastAsia"/>
          <w:szCs w:val="21"/>
        </w:rPr>
      </w:pPr>
      <w:r>
        <w:rPr>
          <w:rFonts w:eastAsiaTheme="minorEastAsia"/>
          <w:szCs w:val="21"/>
        </w:rPr>
        <w:t>考试包括过程性评价和终结性评价。</w:t>
      </w:r>
    </w:p>
    <w:p>
      <w:pPr>
        <w:snapToGrid w:val="0"/>
        <w:spacing w:line="360" w:lineRule="auto"/>
        <w:ind w:firstLine="420" w:firstLineChars="200"/>
        <w:rPr>
          <w:rFonts w:eastAsiaTheme="minorEastAsia"/>
          <w:szCs w:val="21"/>
        </w:rPr>
      </w:pPr>
      <w:r>
        <w:rPr>
          <w:rFonts w:eastAsiaTheme="minorEastAsia"/>
          <w:szCs w:val="21"/>
        </w:rPr>
        <w:t>过程性评价包括课堂表现、实验实践、小组讨论等。</w:t>
      </w:r>
    </w:p>
    <w:p>
      <w:pPr>
        <w:snapToGrid w:val="0"/>
        <w:spacing w:line="360" w:lineRule="auto"/>
        <w:ind w:firstLine="420" w:firstLineChars="200"/>
        <w:rPr>
          <w:rFonts w:eastAsiaTheme="minorEastAsia"/>
          <w:szCs w:val="21"/>
        </w:rPr>
      </w:pPr>
      <w:r>
        <w:rPr>
          <w:rFonts w:eastAsiaTheme="minorEastAsia"/>
          <w:szCs w:val="21"/>
        </w:rPr>
        <w:t>终结性评价采取设计作品大赛的方式进行。以《农业园区规划与管理》课程为主，结合教学实习所了解园区的情况。以自己所在的家乡为项目实施区域，根据家乡所在地区的实际情况，设计一份“心目中的家乡现代高效农业园区”，以此作为《农业园区规划与管理》这门课程的期末考试。</w:t>
      </w:r>
    </w:p>
    <w:p>
      <w:pPr>
        <w:snapToGrid w:val="0"/>
        <w:spacing w:line="360" w:lineRule="auto"/>
        <w:rPr>
          <w:rFonts w:eastAsiaTheme="minorEastAsia"/>
          <w:b/>
          <w:szCs w:val="21"/>
        </w:rPr>
      </w:pPr>
      <w:r>
        <w:rPr>
          <w:rFonts w:eastAsiaTheme="minorEastAsia"/>
          <w:b/>
          <w:szCs w:val="21"/>
        </w:rPr>
        <w:t>六、成绩评定</w:t>
      </w:r>
    </w:p>
    <w:p>
      <w:pPr>
        <w:snapToGrid w:val="0"/>
        <w:spacing w:line="360" w:lineRule="auto"/>
        <w:ind w:firstLine="420" w:firstLineChars="200"/>
        <w:rPr>
          <w:rFonts w:eastAsiaTheme="minorEastAsia"/>
          <w:szCs w:val="21"/>
        </w:rPr>
      </w:pPr>
      <w:r>
        <w:rPr>
          <w:rFonts w:eastAsiaTheme="minorEastAsia"/>
          <w:szCs w:val="21"/>
        </w:rPr>
        <w:t>成绩评定</w:t>
      </w:r>
      <w:r>
        <w:rPr>
          <w:rFonts w:hint="eastAsia" w:eastAsiaTheme="minorEastAsia"/>
          <w:szCs w:val="21"/>
        </w:rPr>
        <w:t>由</w:t>
      </w:r>
      <w:r>
        <w:rPr>
          <w:rFonts w:eastAsiaTheme="minorEastAsia"/>
          <w:szCs w:val="21"/>
        </w:rPr>
        <w:t>平时成绩、实验报告成绩和期末规划报告成绩三部分组成，其中平时成绩占20%，实验报告成绩占30%，期末规划报告成绩占50%。</w:t>
      </w:r>
    </w:p>
    <w:p>
      <w:pPr>
        <w:snapToGrid w:val="0"/>
        <w:spacing w:line="360" w:lineRule="auto"/>
        <w:ind w:firstLine="420" w:firstLineChars="200"/>
        <w:rPr>
          <w:rFonts w:eastAsiaTheme="minorEastAsia"/>
          <w:szCs w:val="21"/>
        </w:rPr>
      </w:pPr>
      <w:r>
        <w:rPr>
          <w:rFonts w:eastAsiaTheme="minorEastAsia"/>
          <w:szCs w:val="21"/>
        </w:rPr>
        <w:t>综合成绩=平时成绩×20%+实验报告成绩×30%+期末成绩×50%</w:t>
      </w:r>
    </w:p>
    <w:p>
      <w:pPr>
        <w:widowControl/>
        <w:snapToGrid w:val="0"/>
        <w:spacing w:line="360" w:lineRule="auto"/>
        <w:jc w:val="left"/>
        <w:outlineLvl w:val="1"/>
        <w:rPr>
          <w:rFonts w:eastAsiaTheme="majorEastAsia"/>
          <w:b/>
          <w:bCs/>
          <w:kern w:val="0"/>
          <w:szCs w:val="21"/>
        </w:rPr>
      </w:pPr>
      <w:bookmarkStart w:id="1168" w:name="_Toc8784"/>
      <w:bookmarkStart w:id="1169" w:name="_Toc138070831"/>
      <w:bookmarkStart w:id="1170" w:name="_Toc138076769"/>
      <w:bookmarkStart w:id="1171" w:name="_Toc138068929"/>
      <w:bookmarkStart w:id="1172" w:name="_Toc138070560"/>
      <w:bookmarkStart w:id="1173" w:name="_Toc138068530"/>
      <w:bookmarkStart w:id="1174" w:name="_Toc138076474"/>
      <w:bookmarkStart w:id="1175" w:name="_Toc138076225"/>
      <w:r>
        <w:rPr>
          <w:rFonts w:eastAsiaTheme="majorEastAsia"/>
          <w:b/>
          <w:bCs/>
          <w:kern w:val="0"/>
          <w:szCs w:val="21"/>
        </w:rPr>
        <w:t>七、考核结果分析反馈</w:t>
      </w:r>
      <w:bookmarkEnd w:id="1168"/>
      <w:bookmarkEnd w:id="1169"/>
      <w:bookmarkEnd w:id="1170"/>
      <w:bookmarkEnd w:id="1171"/>
      <w:bookmarkEnd w:id="1172"/>
      <w:bookmarkEnd w:id="1173"/>
      <w:bookmarkEnd w:id="1174"/>
      <w:bookmarkEnd w:id="1175"/>
    </w:p>
    <w:p>
      <w:pPr>
        <w:snapToGrid w:val="0"/>
        <w:spacing w:line="360" w:lineRule="auto"/>
        <w:ind w:firstLine="420" w:firstLineChars="200"/>
        <w:rPr>
          <w:szCs w:val="21"/>
        </w:rPr>
      </w:pPr>
      <w:r>
        <w:rPr>
          <w:szCs w:val="21"/>
        </w:rPr>
        <w:t>考试结束后，通过综合成绩的评定，得出最终成绩并反馈给学生。对学生</w:t>
      </w:r>
      <w:r>
        <w:rPr>
          <w:rFonts w:hint="eastAsia"/>
          <w:szCs w:val="21"/>
        </w:rPr>
        <w:t>提交的规划设计报告</w:t>
      </w:r>
      <w:r>
        <w:rPr>
          <w:szCs w:val="21"/>
        </w:rPr>
        <w:t>进行分析，掌握学生的成绩分布，判断是否符合正态分布。根据学生考试成绩分布判断期末考试的难易程度是否合适，对今后</w:t>
      </w:r>
      <w:r>
        <w:rPr>
          <w:rFonts w:hint="eastAsia"/>
          <w:szCs w:val="21"/>
        </w:rPr>
        <w:t>课堂授课内容的</w:t>
      </w:r>
      <w:r>
        <w:rPr>
          <w:szCs w:val="21"/>
        </w:rPr>
        <w:t>重点和难点进行调整，提高教学效果。</w:t>
      </w:r>
    </w:p>
    <w:p>
      <w:pPr>
        <w:rPr>
          <w:sz w:val="28"/>
        </w:rPr>
      </w:pPr>
      <w:bookmarkStart w:id="1176" w:name="_Toc138076770"/>
      <w:bookmarkStart w:id="1177" w:name="_Toc138076226"/>
      <w:r>
        <w:rPr>
          <w:rFonts w:hint="eastAsia"/>
          <w:sz w:val="28"/>
        </w:rPr>
        <w:br w:type="page"/>
      </w:r>
    </w:p>
    <w:p>
      <w:pPr>
        <w:pStyle w:val="21"/>
        <w:rPr>
          <w:sz w:val="28"/>
        </w:rPr>
      </w:pPr>
      <w:bookmarkStart w:id="1178" w:name="_Toc6439"/>
      <w:r>
        <w:rPr>
          <w:rFonts w:hint="eastAsia"/>
          <w:sz w:val="28"/>
        </w:rPr>
        <w:t>都市</w:t>
      </w:r>
      <w:r>
        <w:rPr>
          <w:sz w:val="28"/>
        </w:rPr>
        <w:t>园艺</w:t>
      </w:r>
      <w:bookmarkEnd w:id="1176"/>
      <w:bookmarkEnd w:id="1177"/>
      <w:bookmarkEnd w:id="1178"/>
      <w:r>
        <w:rPr>
          <w:rFonts w:hint="eastAsia"/>
          <w:sz w:val="28"/>
        </w:rPr>
        <w:t>考核大纲</w:t>
      </w:r>
    </w:p>
    <w:p>
      <w:pPr>
        <w:snapToGrid w:val="0"/>
        <w:spacing w:line="360" w:lineRule="auto"/>
        <w:jc w:val="center"/>
        <w:rPr>
          <w:sz w:val="24"/>
        </w:rPr>
      </w:pPr>
      <w:r>
        <w:rPr>
          <w:rFonts w:hint="eastAsia"/>
          <w:sz w:val="24"/>
        </w:rPr>
        <w:t>（</w:t>
      </w:r>
      <w:r>
        <w:rPr>
          <w:sz w:val="24"/>
        </w:rPr>
        <w:t>City Horticulture</w:t>
      </w:r>
      <w:r>
        <w:rPr>
          <w:rFonts w:hint="eastAsia"/>
          <w:sz w:val="24"/>
        </w:rPr>
        <w:t>）</w:t>
      </w:r>
    </w:p>
    <w:p>
      <w:pPr>
        <w:widowControl/>
        <w:snapToGrid w:val="0"/>
        <w:spacing w:before="120" w:after="120" w:line="360" w:lineRule="auto"/>
        <w:jc w:val="center"/>
        <w:outlineLvl w:val="0"/>
        <w:rPr>
          <w:rFonts w:eastAsia="黑体"/>
          <w:b/>
          <w:bCs/>
          <w:kern w:val="36"/>
          <w:sz w:val="24"/>
        </w:rPr>
      </w:pPr>
    </w:p>
    <w:p>
      <w:pPr>
        <w:snapToGrid w:val="0"/>
        <w:spacing w:line="360" w:lineRule="auto"/>
        <w:jc w:val="center"/>
        <w:rPr>
          <w:b/>
          <w:szCs w:val="21"/>
        </w:rPr>
      </w:pPr>
      <w:r>
        <w:rPr>
          <w:b/>
          <w:szCs w:val="21"/>
        </w:rPr>
        <w:t>课程基本信息</w:t>
      </w:r>
    </w:p>
    <w:tbl>
      <w:tblPr>
        <w:tblStyle w:val="23"/>
        <w:tblW w:w="505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72"/>
        <w:gridCol w:w="2275"/>
        <w:gridCol w:w="3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666" w:type="pct"/>
            <w:vAlign w:val="center"/>
          </w:tcPr>
          <w:p>
            <w:pPr>
              <w:tabs>
                <w:tab w:val="left" w:pos="1740"/>
              </w:tabs>
              <w:snapToGrid w:val="0"/>
              <w:rPr>
                <w:b/>
                <w:bCs/>
                <w:szCs w:val="21"/>
              </w:rPr>
            </w:pPr>
            <w:r>
              <w:rPr>
                <w:b/>
                <w:bCs/>
                <w:szCs w:val="21"/>
              </w:rPr>
              <w:t>课程编号：19011041</w:t>
            </w:r>
          </w:p>
        </w:tc>
        <w:tc>
          <w:tcPr>
            <w:tcW w:w="1234" w:type="pct"/>
            <w:vAlign w:val="center"/>
          </w:tcPr>
          <w:p>
            <w:pPr>
              <w:snapToGrid w:val="0"/>
              <w:rPr>
                <w:b/>
                <w:bCs/>
                <w:szCs w:val="21"/>
              </w:rPr>
            </w:pPr>
            <w:r>
              <w:rPr>
                <w:b/>
                <w:bCs/>
                <w:szCs w:val="21"/>
              </w:rPr>
              <w:t>课程学时：32</w:t>
            </w:r>
          </w:p>
        </w:tc>
        <w:tc>
          <w:tcPr>
            <w:tcW w:w="2100" w:type="pct"/>
            <w:vAlign w:val="center"/>
          </w:tcPr>
          <w:p>
            <w:pPr>
              <w:snapToGrid w:val="0"/>
              <w:rPr>
                <w:b/>
                <w:bCs/>
                <w:szCs w:val="21"/>
              </w:rPr>
            </w:pPr>
            <w:r>
              <w:rPr>
                <w:b/>
                <w:bCs/>
                <w:szCs w:val="21"/>
              </w:rPr>
              <w:t>课程学分：2.0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666" w:type="pct"/>
            <w:vAlign w:val="center"/>
          </w:tcPr>
          <w:p>
            <w:pPr>
              <w:snapToGrid w:val="0"/>
              <w:rPr>
                <w:b/>
                <w:bCs/>
                <w:szCs w:val="21"/>
              </w:rPr>
            </w:pPr>
            <w:r>
              <w:rPr>
                <w:b/>
                <w:bCs/>
                <w:szCs w:val="21"/>
              </w:rPr>
              <w:t>主撰人：</w:t>
            </w:r>
            <w:r>
              <w:rPr>
                <w:rFonts w:hint="eastAsia"/>
                <w:b/>
                <w:bCs/>
                <w:szCs w:val="21"/>
              </w:rPr>
              <w:t>崔丹丹</w:t>
            </w:r>
          </w:p>
        </w:tc>
        <w:tc>
          <w:tcPr>
            <w:tcW w:w="1234" w:type="pct"/>
            <w:vAlign w:val="center"/>
          </w:tcPr>
          <w:p>
            <w:pPr>
              <w:snapToGrid w:val="0"/>
              <w:rPr>
                <w:b/>
                <w:bCs/>
                <w:szCs w:val="21"/>
              </w:rPr>
            </w:pPr>
            <w:r>
              <w:rPr>
                <w:b/>
                <w:bCs/>
                <w:szCs w:val="21"/>
              </w:rPr>
              <w:t>审核人：李阳</w:t>
            </w:r>
          </w:p>
        </w:tc>
        <w:tc>
          <w:tcPr>
            <w:tcW w:w="2100" w:type="pct"/>
            <w:vAlign w:val="center"/>
          </w:tcPr>
          <w:p>
            <w:pPr>
              <w:snapToGrid w:val="0"/>
              <w:rPr>
                <w:b/>
                <w:bCs/>
                <w:szCs w:val="21"/>
              </w:rPr>
            </w:pPr>
            <w:r>
              <w:rPr>
                <w:b/>
                <w:bCs/>
                <w:szCs w:val="21"/>
              </w:rPr>
              <w:t>大纲制定（修订）日期：</w:t>
            </w:r>
            <w:r>
              <w:rPr>
                <w:rFonts w:hint="eastAsia"/>
                <w:b/>
                <w:bCs/>
                <w:szCs w:val="21"/>
              </w:rPr>
              <w:t>2023.05</w:t>
            </w:r>
          </w:p>
        </w:tc>
      </w:tr>
    </w:tbl>
    <w:p>
      <w:pPr>
        <w:widowControl/>
        <w:snapToGrid w:val="0"/>
        <w:spacing w:line="360" w:lineRule="auto"/>
        <w:jc w:val="left"/>
        <w:outlineLvl w:val="1"/>
        <w:rPr>
          <w:rFonts w:eastAsiaTheme="majorEastAsia"/>
          <w:b/>
          <w:bCs/>
          <w:kern w:val="0"/>
          <w:szCs w:val="21"/>
        </w:rPr>
      </w:pPr>
    </w:p>
    <w:p>
      <w:pPr>
        <w:widowControl/>
        <w:snapToGrid w:val="0"/>
        <w:spacing w:line="360" w:lineRule="auto"/>
        <w:jc w:val="left"/>
        <w:outlineLvl w:val="1"/>
        <w:rPr>
          <w:rFonts w:eastAsiaTheme="majorEastAsia"/>
          <w:b/>
          <w:bCs/>
          <w:kern w:val="0"/>
          <w:szCs w:val="21"/>
        </w:rPr>
      </w:pPr>
      <w:bookmarkStart w:id="1179" w:name="_Toc138070562"/>
      <w:bookmarkStart w:id="1180" w:name="_Toc138070833"/>
      <w:bookmarkStart w:id="1181" w:name="_Toc138076227"/>
      <w:bookmarkStart w:id="1182" w:name="_Toc138076476"/>
      <w:bookmarkStart w:id="1183" w:name="_Toc138068931"/>
      <w:bookmarkStart w:id="1184" w:name="_Toc17707"/>
      <w:bookmarkStart w:id="1185" w:name="_Toc138068532"/>
      <w:bookmarkStart w:id="1186" w:name="_Toc138076771"/>
      <w:r>
        <w:rPr>
          <w:rFonts w:eastAsiaTheme="majorEastAsia"/>
          <w:b/>
          <w:bCs/>
          <w:kern w:val="0"/>
          <w:szCs w:val="21"/>
        </w:rPr>
        <w:t>一、课程的性质和地位</w:t>
      </w:r>
      <w:bookmarkEnd w:id="1179"/>
      <w:bookmarkEnd w:id="1180"/>
      <w:bookmarkEnd w:id="1181"/>
      <w:bookmarkEnd w:id="1182"/>
      <w:bookmarkEnd w:id="1183"/>
      <w:bookmarkEnd w:id="1184"/>
      <w:bookmarkEnd w:id="1185"/>
      <w:bookmarkEnd w:id="1186"/>
    </w:p>
    <w:p>
      <w:pPr>
        <w:adjustRightInd w:val="0"/>
        <w:snapToGrid w:val="0"/>
        <w:spacing w:line="360" w:lineRule="auto"/>
        <w:ind w:firstLine="420" w:firstLineChars="200"/>
        <w:rPr>
          <w:kern w:val="0"/>
          <w:szCs w:val="21"/>
        </w:rPr>
      </w:pPr>
      <w:r>
        <w:rPr>
          <w:rFonts w:hint="eastAsia"/>
          <w:kern w:val="0"/>
          <w:szCs w:val="21"/>
        </w:rPr>
        <w:t>《都市园艺》是园艺专业的一门选修课。课程以园艺植物栽培学、设施园艺学、园艺植物病虫害防治、园林景观设计等知识为基础，通过讲授都市园艺设计的基本理论、基本方法，分析家庭园艺、都市生态观光旅游规划与设计的案例，使学生初步具备阳台与屋顶花园园艺植物制作、插花艺术设计与制作、压花艺术设计与制作、盆景艺术设计、造景设计、室内花艺、无土栽培等方面的能力。使学生能够将园艺生产与生活、文化、艺术等紧密结合，具备通过都市园艺进一步提升农业产值和效益的方法和技能。在培养学生理论与生产实践紧密联系，综合性思维和创新性思维提升方面有重要地位。</w:t>
      </w:r>
    </w:p>
    <w:p>
      <w:pPr>
        <w:widowControl/>
        <w:snapToGrid w:val="0"/>
        <w:spacing w:line="360" w:lineRule="auto"/>
        <w:jc w:val="left"/>
        <w:outlineLvl w:val="1"/>
        <w:rPr>
          <w:rFonts w:eastAsiaTheme="majorEastAsia"/>
          <w:b/>
          <w:bCs/>
          <w:kern w:val="0"/>
          <w:szCs w:val="21"/>
        </w:rPr>
      </w:pPr>
      <w:bookmarkStart w:id="1187" w:name="_Toc138076228"/>
      <w:bookmarkStart w:id="1188" w:name="_Toc138068932"/>
      <w:bookmarkStart w:id="1189" w:name="_Toc138068533"/>
      <w:bookmarkStart w:id="1190" w:name="_Toc138070563"/>
      <w:bookmarkStart w:id="1191" w:name="_Toc12851"/>
      <w:bookmarkStart w:id="1192" w:name="_Toc138076477"/>
      <w:bookmarkStart w:id="1193" w:name="_Toc138070834"/>
      <w:bookmarkStart w:id="1194" w:name="_Toc138076772"/>
      <w:r>
        <w:rPr>
          <w:rFonts w:eastAsiaTheme="majorEastAsia"/>
          <w:b/>
          <w:bCs/>
          <w:kern w:val="0"/>
          <w:szCs w:val="21"/>
        </w:rPr>
        <w:t>二、理论教学部分的考核目标</w:t>
      </w:r>
      <w:bookmarkEnd w:id="1187"/>
      <w:bookmarkEnd w:id="1188"/>
      <w:bookmarkEnd w:id="1189"/>
      <w:bookmarkEnd w:id="1190"/>
      <w:bookmarkEnd w:id="1191"/>
      <w:bookmarkEnd w:id="1192"/>
      <w:bookmarkEnd w:id="1193"/>
      <w:bookmarkEnd w:id="1194"/>
    </w:p>
    <w:p>
      <w:pPr>
        <w:snapToGrid w:val="0"/>
        <w:spacing w:line="360" w:lineRule="auto"/>
        <w:ind w:firstLine="420" w:firstLineChars="200"/>
        <w:rPr>
          <w:kern w:val="0"/>
          <w:szCs w:val="21"/>
        </w:rPr>
      </w:pPr>
      <w:r>
        <w:rPr>
          <w:kern w:val="0"/>
          <w:szCs w:val="21"/>
        </w:rPr>
        <w:t>了解都市园艺的功能、美学原理、设计</w:t>
      </w:r>
      <w:r>
        <w:rPr>
          <w:rFonts w:hint="eastAsia"/>
          <w:kern w:val="0"/>
          <w:szCs w:val="21"/>
        </w:rPr>
        <w:t>原则</w:t>
      </w:r>
      <w:r>
        <w:rPr>
          <w:kern w:val="0"/>
          <w:szCs w:val="21"/>
        </w:rPr>
        <w:t>等，理解都市园艺对人们生活的重要性；</w:t>
      </w:r>
      <w:r>
        <w:rPr>
          <w:rFonts w:hint="eastAsia"/>
          <w:kern w:val="0"/>
          <w:szCs w:val="21"/>
        </w:rPr>
        <w:t>了解室内</w:t>
      </w:r>
      <w:r>
        <w:rPr>
          <w:kern w:val="0"/>
          <w:szCs w:val="21"/>
        </w:rPr>
        <w:t>园艺、庭院园艺、休闲观光园区的规划设计与管理、园艺造景等基础知识；了解插花和压花技术；了解园艺疗法的特点和疗效；掌握园艺植物栽培管理相关的基础知识及病虫害防治技术。</w:t>
      </w:r>
    </w:p>
    <w:p>
      <w:pPr>
        <w:snapToGrid w:val="0"/>
        <w:spacing w:after="156" w:afterLines="50" w:line="360" w:lineRule="auto"/>
        <w:ind w:firstLine="103" w:firstLineChars="49"/>
        <w:jc w:val="center"/>
        <w:rPr>
          <w:b/>
          <w:szCs w:val="21"/>
        </w:rPr>
      </w:pPr>
    </w:p>
    <w:p>
      <w:pPr>
        <w:snapToGrid w:val="0"/>
        <w:spacing w:after="156" w:afterLines="50" w:line="360" w:lineRule="auto"/>
        <w:ind w:firstLine="103" w:firstLineChars="49"/>
        <w:jc w:val="center"/>
        <w:rPr>
          <w:b/>
          <w:szCs w:val="21"/>
        </w:rPr>
      </w:pPr>
      <w:r>
        <w:rPr>
          <w:b/>
          <w:szCs w:val="21"/>
        </w:rPr>
        <w:t>绪论</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rFonts w:hint="eastAsia"/>
          <w:kern w:val="0"/>
          <w:szCs w:val="21"/>
        </w:rPr>
        <w:t>都市</w:t>
      </w:r>
      <w:r>
        <w:rPr>
          <w:kern w:val="0"/>
          <w:szCs w:val="21"/>
        </w:rPr>
        <w:t>园艺的发展缘由和历程。</w:t>
      </w:r>
    </w:p>
    <w:p>
      <w:pPr>
        <w:snapToGrid w:val="0"/>
        <w:spacing w:line="360" w:lineRule="auto"/>
        <w:ind w:firstLine="422" w:firstLineChars="200"/>
        <w:rPr>
          <w:szCs w:val="21"/>
        </w:rPr>
      </w:pPr>
      <w:r>
        <w:rPr>
          <w:b/>
          <w:szCs w:val="21"/>
        </w:rPr>
        <w:t>2. 一般掌握</w:t>
      </w:r>
      <w:r>
        <w:rPr>
          <w:szCs w:val="21"/>
        </w:rPr>
        <w:t>：</w:t>
      </w:r>
      <w:r>
        <w:rPr>
          <w:rFonts w:hint="eastAsia"/>
          <w:kern w:val="0"/>
          <w:szCs w:val="21"/>
        </w:rPr>
        <w:t>都市</w:t>
      </w:r>
      <w:r>
        <w:rPr>
          <w:kern w:val="0"/>
          <w:szCs w:val="21"/>
        </w:rPr>
        <w:t>园艺的作用。</w:t>
      </w:r>
    </w:p>
    <w:p>
      <w:pPr>
        <w:snapToGrid w:val="0"/>
        <w:spacing w:line="360" w:lineRule="auto"/>
        <w:ind w:firstLine="422" w:firstLineChars="200"/>
        <w:rPr>
          <w:szCs w:val="21"/>
        </w:rPr>
      </w:pPr>
      <w:r>
        <w:rPr>
          <w:b/>
          <w:szCs w:val="21"/>
        </w:rPr>
        <w:t>3. 熟练掌握</w:t>
      </w:r>
      <w:r>
        <w:rPr>
          <w:szCs w:val="21"/>
        </w:rPr>
        <w:t>：</w:t>
      </w:r>
      <w:r>
        <w:rPr>
          <w:rFonts w:hint="eastAsia"/>
          <w:kern w:val="0"/>
          <w:szCs w:val="21"/>
        </w:rPr>
        <w:t>都市</w:t>
      </w:r>
      <w:r>
        <w:rPr>
          <w:kern w:val="0"/>
          <w:szCs w:val="21"/>
        </w:rPr>
        <w:t>园艺的概念</w:t>
      </w:r>
      <w:r>
        <w:rPr>
          <w:rFonts w:hint="eastAsia"/>
          <w:kern w:val="0"/>
          <w:szCs w:val="21"/>
        </w:rPr>
        <w:t>、</w:t>
      </w:r>
      <w:r>
        <w:rPr>
          <w:kern w:val="0"/>
          <w:szCs w:val="21"/>
        </w:rPr>
        <w:t>特点和意义。</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rFonts w:hint="eastAsia"/>
          <w:kern w:val="0"/>
          <w:szCs w:val="21"/>
        </w:rPr>
        <w:t>都市</w:t>
      </w:r>
      <w:r>
        <w:rPr>
          <w:kern w:val="0"/>
          <w:szCs w:val="21"/>
        </w:rPr>
        <w:t>园艺的概念；</w:t>
      </w:r>
      <w:r>
        <w:rPr>
          <w:rFonts w:hint="eastAsia"/>
          <w:kern w:val="0"/>
          <w:szCs w:val="21"/>
        </w:rPr>
        <w:t>都市</w:t>
      </w:r>
      <w:r>
        <w:rPr>
          <w:kern w:val="0"/>
          <w:szCs w:val="21"/>
        </w:rPr>
        <w:t>园艺的特点；</w:t>
      </w:r>
      <w:r>
        <w:rPr>
          <w:rFonts w:hint="eastAsia"/>
          <w:kern w:val="0"/>
          <w:szCs w:val="21"/>
        </w:rPr>
        <w:t>都市</w:t>
      </w:r>
      <w:r>
        <w:rPr>
          <w:kern w:val="0"/>
          <w:szCs w:val="21"/>
        </w:rPr>
        <w:t>园艺的兴起原因。</w:t>
      </w:r>
    </w:p>
    <w:p>
      <w:pPr>
        <w:snapToGrid w:val="0"/>
        <w:spacing w:line="360" w:lineRule="auto"/>
        <w:rPr>
          <w:b/>
          <w:szCs w:val="21"/>
        </w:rPr>
      </w:pPr>
      <w:r>
        <w:rPr>
          <w:b/>
          <w:szCs w:val="21"/>
        </w:rPr>
        <w:t>（三）考核要求</w:t>
      </w:r>
    </w:p>
    <w:p>
      <w:pPr>
        <w:snapToGrid w:val="0"/>
        <w:spacing w:line="360" w:lineRule="auto"/>
        <w:ind w:firstLine="422" w:firstLineChars="200"/>
        <w:rPr>
          <w:bCs/>
          <w:szCs w:val="21"/>
        </w:rPr>
      </w:pPr>
      <w:r>
        <w:rPr>
          <w:b/>
          <w:szCs w:val="21"/>
        </w:rPr>
        <w:t>1. 识记</w:t>
      </w:r>
      <w:r>
        <w:rPr>
          <w:szCs w:val="21"/>
        </w:rPr>
        <w:t>：</w:t>
      </w:r>
      <w:r>
        <w:rPr>
          <w:rFonts w:hint="eastAsia"/>
          <w:kern w:val="0"/>
          <w:szCs w:val="21"/>
        </w:rPr>
        <w:t>都市</w:t>
      </w:r>
      <w:r>
        <w:rPr>
          <w:kern w:val="0"/>
          <w:szCs w:val="21"/>
        </w:rPr>
        <w:t>园艺的概念</w:t>
      </w:r>
    </w:p>
    <w:p>
      <w:pPr>
        <w:snapToGrid w:val="0"/>
        <w:spacing w:line="360" w:lineRule="auto"/>
        <w:ind w:firstLine="422" w:firstLineChars="200"/>
        <w:rPr>
          <w:b/>
          <w:szCs w:val="21"/>
        </w:rPr>
      </w:pPr>
      <w:r>
        <w:rPr>
          <w:b/>
          <w:szCs w:val="21"/>
        </w:rPr>
        <w:t>2. 领会</w:t>
      </w:r>
      <w:r>
        <w:rPr>
          <w:szCs w:val="21"/>
        </w:rPr>
        <w:t>：</w:t>
      </w:r>
      <w:r>
        <w:rPr>
          <w:rFonts w:hint="eastAsia"/>
          <w:kern w:val="0"/>
          <w:szCs w:val="21"/>
        </w:rPr>
        <w:t>都市</w:t>
      </w:r>
      <w:r>
        <w:rPr>
          <w:kern w:val="0"/>
          <w:szCs w:val="21"/>
        </w:rPr>
        <w:t>园艺的特点</w:t>
      </w:r>
    </w:p>
    <w:p>
      <w:pPr>
        <w:snapToGrid w:val="0"/>
        <w:spacing w:line="360" w:lineRule="auto"/>
        <w:ind w:firstLine="422" w:firstLineChars="200"/>
        <w:rPr>
          <w:szCs w:val="21"/>
        </w:rPr>
      </w:pPr>
      <w:r>
        <w:rPr>
          <w:b/>
          <w:szCs w:val="21"/>
        </w:rPr>
        <w:t>3. 应用</w:t>
      </w:r>
      <w:r>
        <w:rPr>
          <w:szCs w:val="21"/>
        </w:rPr>
        <w:t>：</w:t>
      </w:r>
      <w:r>
        <w:rPr>
          <w:rFonts w:hint="eastAsia"/>
          <w:kern w:val="0"/>
          <w:szCs w:val="21"/>
        </w:rPr>
        <w:t>都市</w:t>
      </w:r>
      <w:r>
        <w:rPr>
          <w:kern w:val="0"/>
          <w:szCs w:val="21"/>
        </w:rPr>
        <w:t>园艺的意义</w:t>
      </w:r>
    </w:p>
    <w:p>
      <w:pPr>
        <w:snapToGrid w:val="0"/>
        <w:spacing w:line="360" w:lineRule="auto"/>
        <w:ind w:firstLine="422" w:firstLineChars="200"/>
        <w:rPr>
          <w:b/>
          <w:szCs w:val="21"/>
        </w:rPr>
      </w:pPr>
      <w:r>
        <w:rPr>
          <w:b/>
          <w:szCs w:val="21"/>
        </w:rPr>
        <w:t>4. 分析：</w:t>
      </w:r>
      <w:r>
        <w:rPr>
          <w:rFonts w:hint="eastAsia"/>
          <w:kern w:val="0"/>
          <w:szCs w:val="21"/>
        </w:rPr>
        <w:t>都市</w:t>
      </w:r>
      <w:r>
        <w:rPr>
          <w:kern w:val="0"/>
          <w:szCs w:val="21"/>
        </w:rPr>
        <w:t>园艺兴起的原因</w:t>
      </w:r>
    </w:p>
    <w:p>
      <w:pPr>
        <w:snapToGrid w:val="0"/>
        <w:spacing w:line="360" w:lineRule="auto"/>
        <w:ind w:firstLine="422" w:firstLineChars="200"/>
        <w:rPr>
          <w:b/>
          <w:szCs w:val="21"/>
        </w:rPr>
      </w:pPr>
      <w:r>
        <w:rPr>
          <w:b/>
          <w:szCs w:val="21"/>
        </w:rPr>
        <w:t>5. 评价：</w:t>
      </w:r>
      <w:r>
        <w:rPr>
          <w:rFonts w:hint="eastAsia"/>
          <w:kern w:val="0"/>
          <w:szCs w:val="21"/>
        </w:rPr>
        <w:t>都市</w:t>
      </w:r>
      <w:r>
        <w:rPr>
          <w:kern w:val="0"/>
          <w:szCs w:val="21"/>
        </w:rPr>
        <w:t>园艺</w:t>
      </w:r>
      <w:r>
        <w:rPr>
          <w:rFonts w:hint="eastAsia"/>
          <w:kern w:val="0"/>
          <w:szCs w:val="21"/>
        </w:rPr>
        <w:t>的</w:t>
      </w:r>
      <w:r>
        <w:rPr>
          <w:kern w:val="0"/>
          <w:szCs w:val="21"/>
        </w:rPr>
        <w:t>效益</w:t>
      </w:r>
    </w:p>
    <w:p>
      <w:pPr>
        <w:pStyle w:val="10"/>
        <w:snapToGrid w:val="0"/>
        <w:spacing w:line="360" w:lineRule="auto"/>
        <w:jc w:val="center"/>
        <w:rPr>
          <w:rFonts w:ascii="Times New Roman" w:hAnsi="Times New Roman" w:cs="Times New Roman"/>
          <w:b/>
        </w:rPr>
      </w:pPr>
    </w:p>
    <w:p>
      <w:pPr>
        <w:pStyle w:val="10"/>
        <w:snapToGrid w:val="0"/>
        <w:spacing w:line="360" w:lineRule="auto"/>
        <w:jc w:val="center"/>
        <w:rPr>
          <w:rFonts w:ascii="Times New Roman" w:hAnsi="Times New Roman" w:cs="Times New Roman"/>
          <w:b/>
        </w:rPr>
      </w:pPr>
      <w:r>
        <w:rPr>
          <w:rFonts w:ascii="Times New Roman" w:hAnsi="Times New Roman" w:cs="Times New Roman"/>
          <w:b/>
        </w:rPr>
        <w:t xml:space="preserve">第一章  </w:t>
      </w:r>
      <w:r>
        <w:rPr>
          <w:rFonts w:hint="eastAsia" w:ascii="Times New Roman" w:hAnsi="Times New Roman" w:cs="Times New Roman"/>
          <w:b/>
          <w:kern w:val="0"/>
        </w:rPr>
        <w:t>室内</w:t>
      </w:r>
      <w:r>
        <w:rPr>
          <w:rFonts w:ascii="Times New Roman" w:hAnsi="Times New Roman" w:cs="Times New Roman"/>
          <w:b/>
          <w:kern w:val="0"/>
        </w:rPr>
        <w:t>园艺</w:t>
      </w:r>
      <w:r>
        <w:rPr>
          <w:rFonts w:hint="eastAsia" w:ascii="Times New Roman" w:hAnsi="Times New Roman" w:cs="Times New Roman"/>
          <w:b/>
          <w:kern w:val="0"/>
        </w:rPr>
        <w:t xml:space="preserve"> </w:t>
      </w:r>
      <w:r>
        <w:rPr>
          <w:rFonts w:ascii="Times New Roman" w:hAnsi="Times New Roman" w:cs="Times New Roman"/>
          <w:b/>
          <w:kern w:val="0"/>
        </w:rPr>
        <w:t xml:space="preserve"> </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：室内园艺植物的栽培方法；阳台园艺的种类、栽培过程和管理措施。</w:t>
      </w:r>
    </w:p>
    <w:p>
      <w:pPr>
        <w:snapToGrid w:val="0"/>
        <w:spacing w:line="360" w:lineRule="auto"/>
        <w:ind w:firstLine="422" w:firstLineChars="200"/>
        <w:rPr>
          <w:szCs w:val="21"/>
        </w:rPr>
      </w:pPr>
      <w:r>
        <w:rPr>
          <w:b/>
          <w:szCs w:val="21"/>
        </w:rPr>
        <w:t>2. 一般掌握</w:t>
      </w:r>
      <w:r>
        <w:rPr>
          <w:szCs w:val="21"/>
        </w:rPr>
        <w:t>：</w:t>
      </w:r>
      <w:r>
        <w:rPr>
          <w:rFonts w:hint="eastAsia"/>
          <w:kern w:val="0"/>
          <w:szCs w:val="21"/>
        </w:rPr>
        <w:t>常见</w:t>
      </w:r>
      <w:r>
        <w:rPr>
          <w:kern w:val="0"/>
          <w:szCs w:val="21"/>
        </w:rPr>
        <w:t>室内园艺植物的栽培管理技术；无土栽培和种苗繁育的关键技术。</w:t>
      </w:r>
    </w:p>
    <w:p>
      <w:pPr>
        <w:snapToGrid w:val="0"/>
        <w:spacing w:line="360" w:lineRule="auto"/>
        <w:ind w:firstLine="422" w:firstLineChars="200"/>
        <w:rPr>
          <w:b/>
          <w:szCs w:val="21"/>
        </w:rPr>
      </w:pPr>
      <w:r>
        <w:rPr>
          <w:b/>
          <w:szCs w:val="21"/>
        </w:rPr>
        <w:t>3. 熟练掌握</w:t>
      </w:r>
      <w:r>
        <w:rPr>
          <w:szCs w:val="21"/>
        </w:rPr>
        <w:t>：阳台园艺的特点</w:t>
      </w:r>
      <w:r>
        <w:rPr>
          <w:bCs/>
          <w:szCs w:val="21"/>
        </w:rPr>
        <w:t>。</w:t>
      </w:r>
    </w:p>
    <w:p>
      <w:pPr>
        <w:snapToGrid w:val="0"/>
        <w:spacing w:line="360" w:lineRule="auto"/>
        <w:rPr>
          <w:szCs w:val="21"/>
        </w:rPr>
      </w:pPr>
      <w:r>
        <w:rPr>
          <w:b/>
          <w:szCs w:val="21"/>
        </w:rPr>
        <w:t>（二）考核内容</w:t>
      </w:r>
    </w:p>
    <w:p>
      <w:pPr>
        <w:widowControl/>
        <w:snapToGrid w:val="0"/>
        <w:spacing w:line="360" w:lineRule="auto"/>
        <w:ind w:firstLine="525" w:firstLineChars="250"/>
        <w:jc w:val="left"/>
        <w:rPr>
          <w:kern w:val="0"/>
          <w:szCs w:val="21"/>
        </w:rPr>
      </w:pPr>
      <w:r>
        <w:rPr>
          <w:rFonts w:hint="eastAsia"/>
          <w:kern w:val="0"/>
          <w:szCs w:val="21"/>
        </w:rPr>
        <w:t>室内</w:t>
      </w:r>
      <w:r>
        <w:rPr>
          <w:kern w:val="0"/>
          <w:szCs w:val="21"/>
        </w:rPr>
        <w:t>园艺植物的种植管理技术及所需环境条件；无土栽培的定义、分类及环境控制技术；育苗常用的基质、容器类型与特点，苗床的基质准备与消毒技术；嫁接育苗、扦插育苗、分枝育苗和压条繁殖等技术要点</w:t>
      </w:r>
      <w:r>
        <w:rPr>
          <w:rFonts w:hint="eastAsia"/>
          <w:kern w:val="0"/>
          <w:szCs w:val="21"/>
        </w:rPr>
        <w:t>；</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 识记</w:t>
      </w:r>
      <w:r>
        <w:rPr>
          <w:szCs w:val="21"/>
        </w:rPr>
        <w:t>：</w:t>
      </w:r>
      <w:r>
        <w:rPr>
          <w:rFonts w:hint="eastAsia"/>
          <w:kern w:val="0"/>
          <w:szCs w:val="21"/>
        </w:rPr>
        <w:t>室内</w:t>
      </w:r>
      <w:r>
        <w:rPr>
          <w:kern w:val="0"/>
          <w:szCs w:val="21"/>
        </w:rPr>
        <w:t>园艺植物所需环境条件及种植管理技术；无土栽培的定义与分类。</w:t>
      </w:r>
    </w:p>
    <w:p>
      <w:pPr>
        <w:widowControl/>
        <w:snapToGrid w:val="0"/>
        <w:spacing w:line="360" w:lineRule="auto"/>
        <w:ind w:firstLine="422" w:firstLineChars="200"/>
        <w:jc w:val="left"/>
        <w:rPr>
          <w:kern w:val="0"/>
          <w:szCs w:val="21"/>
        </w:rPr>
      </w:pPr>
      <w:r>
        <w:rPr>
          <w:b/>
          <w:szCs w:val="21"/>
        </w:rPr>
        <w:t>2. 领会</w:t>
      </w:r>
      <w:r>
        <w:rPr>
          <w:szCs w:val="21"/>
        </w:rPr>
        <w:t>：育苗常用的容器类型与特点；无土栽培条件下植物的水肥等需求规律。</w:t>
      </w:r>
      <w:r>
        <w:rPr>
          <w:rFonts w:hint="eastAsia"/>
          <w:kern w:val="0"/>
          <w:szCs w:val="21"/>
        </w:rPr>
        <w:t xml:space="preserve"> </w:t>
      </w:r>
    </w:p>
    <w:p>
      <w:pPr>
        <w:snapToGrid w:val="0"/>
        <w:spacing w:line="360" w:lineRule="auto"/>
        <w:ind w:firstLine="422" w:firstLineChars="200"/>
        <w:rPr>
          <w:kern w:val="0"/>
          <w:szCs w:val="21"/>
        </w:rPr>
      </w:pPr>
      <w:r>
        <w:rPr>
          <w:b/>
          <w:szCs w:val="21"/>
        </w:rPr>
        <w:t>3. 应用</w:t>
      </w:r>
      <w:r>
        <w:rPr>
          <w:szCs w:val="21"/>
        </w:rPr>
        <w:t>：无土栽培的环境控制技术；</w:t>
      </w:r>
      <w:r>
        <w:rPr>
          <w:rFonts w:hint="eastAsia"/>
          <w:kern w:val="0"/>
          <w:szCs w:val="21"/>
        </w:rPr>
        <w:t>嫁接育苗、扦插育苗、分枝育苗和压条繁殖技术；</w:t>
      </w:r>
      <w:r>
        <w:rPr>
          <w:szCs w:val="21"/>
        </w:rPr>
        <w:t>阳台植物常见病虫害的识别的诊断。</w:t>
      </w:r>
    </w:p>
    <w:p>
      <w:pPr>
        <w:snapToGrid w:val="0"/>
        <w:spacing w:line="360" w:lineRule="auto"/>
        <w:ind w:firstLine="422" w:firstLineChars="200"/>
        <w:rPr>
          <w:szCs w:val="21"/>
        </w:rPr>
      </w:pPr>
      <w:r>
        <w:rPr>
          <w:b/>
          <w:szCs w:val="21"/>
        </w:rPr>
        <w:t xml:space="preserve">4. </w:t>
      </w:r>
      <w:r>
        <w:rPr>
          <w:rFonts w:hint="eastAsia"/>
          <w:b/>
          <w:szCs w:val="21"/>
        </w:rPr>
        <w:t>综合</w:t>
      </w:r>
      <w:r>
        <w:rPr>
          <w:b/>
          <w:szCs w:val="21"/>
        </w:rPr>
        <w:t>：</w:t>
      </w:r>
      <w:r>
        <w:rPr>
          <w:szCs w:val="21"/>
        </w:rPr>
        <w:t>室内常见</w:t>
      </w:r>
      <w:r>
        <w:rPr>
          <w:kern w:val="0"/>
          <w:szCs w:val="21"/>
        </w:rPr>
        <w:t>园艺植物的病虫害</w:t>
      </w:r>
      <w:r>
        <w:rPr>
          <w:szCs w:val="21"/>
        </w:rPr>
        <w:t>防治。</w:t>
      </w:r>
    </w:p>
    <w:p>
      <w:pPr>
        <w:snapToGrid w:val="0"/>
        <w:spacing w:line="360" w:lineRule="auto"/>
        <w:rPr>
          <w:b/>
          <w:szCs w:val="21"/>
        </w:rPr>
      </w:pPr>
    </w:p>
    <w:p>
      <w:pPr>
        <w:pStyle w:val="10"/>
        <w:snapToGrid w:val="0"/>
        <w:spacing w:line="360" w:lineRule="auto"/>
        <w:jc w:val="center"/>
        <w:rPr>
          <w:rFonts w:ascii="Times New Roman" w:hAnsi="Times New Roman" w:cs="Times New Roman"/>
          <w:b/>
        </w:rPr>
      </w:pPr>
      <w:r>
        <w:rPr>
          <w:rFonts w:ascii="Times New Roman" w:hAnsi="Times New Roman" w:cs="Times New Roman"/>
          <w:b/>
        </w:rPr>
        <w:t xml:space="preserve">第二章  </w:t>
      </w:r>
      <w:r>
        <w:rPr>
          <w:rFonts w:hint="eastAsia" w:ascii="Times New Roman" w:hAnsi="Times New Roman" w:cs="Times New Roman"/>
          <w:b/>
          <w:bCs/>
          <w:kern w:val="0"/>
        </w:rPr>
        <w:t>庭院</w:t>
      </w:r>
      <w:r>
        <w:rPr>
          <w:rFonts w:ascii="Times New Roman" w:hAnsi="Times New Roman" w:cs="Times New Roman"/>
          <w:b/>
          <w:bCs/>
          <w:kern w:val="0"/>
        </w:rPr>
        <w:t xml:space="preserve">绿化  </w:t>
      </w:r>
    </w:p>
    <w:p>
      <w:pPr>
        <w:snapToGrid w:val="0"/>
        <w:spacing w:line="360" w:lineRule="auto"/>
        <w:rPr>
          <w:b/>
          <w:szCs w:val="21"/>
        </w:rPr>
      </w:pPr>
      <w:r>
        <w:rPr>
          <w:b/>
          <w:szCs w:val="21"/>
        </w:rPr>
        <w:t>（一）学习目标</w:t>
      </w:r>
    </w:p>
    <w:p>
      <w:pPr>
        <w:snapToGrid w:val="0"/>
        <w:spacing w:line="360" w:lineRule="auto"/>
        <w:ind w:firstLine="422" w:firstLineChars="200"/>
        <w:rPr>
          <w:kern w:val="0"/>
          <w:szCs w:val="21"/>
        </w:rPr>
      </w:pPr>
      <w:r>
        <w:rPr>
          <w:b/>
          <w:szCs w:val="21"/>
        </w:rPr>
        <w:t>1. 一般了解</w:t>
      </w:r>
      <w:r>
        <w:rPr>
          <w:szCs w:val="21"/>
        </w:rPr>
        <w:t>：庭院设计的理念、要素及原则、设计风格和搭配技巧；屋顶花园的植物搭配和植物养护管理技术。</w:t>
      </w:r>
    </w:p>
    <w:p>
      <w:pPr>
        <w:snapToGrid w:val="0"/>
        <w:spacing w:line="360" w:lineRule="auto"/>
        <w:ind w:firstLine="422" w:firstLineChars="200"/>
        <w:rPr>
          <w:szCs w:val="21"/>
        </w:rPr>
      </w:pPr>
      <w:r>
        <w:rPr>
          <w:b/>
          <w:szCs w:val="21"/>
        </w:rPr>
        <w:t>2. 一般掌握</w:t>
      </w:r>
      <w:r>
        <w:rPr>
          <w:szCs w:val="21"/>
        </w:rPr>
        <w:t>：</w:t>
      </w:r>
      <w:r>
        <w:rPr>
          <w:kern w:val="0"/>
          <w:szCs w:val="21"/>
        </w:rPr>
        <w:t>屋顶花园的设计要点；</w:t>
      </w:r>
      <w:r>
        <w:rPr>
          <w:rFonts w:hint="eastAsia"/>
          <w:kern w:val="0"/>
          <w:szCs w:val="21"/>
        </w:rPr>
        <w:t>屋顶花园</w:t>
      </w:r>
      <w:r>
        <w:rPr>
          <w:kern w:val="0"/>
          <w:szCs w:val="21"/>
        </w:rPr>
        <w:t>的功能和效益。</w:t>
      </w:r>
    </w:p>
    <w:p>
      <w:pPr>
        <w:snapToGrid w:val="0"/>
        <w:spacing w:line="360" w:lineRule="auto"/>
        <w:ind w:firstLine="422" w:firstLineChars="200"/>
        <w:rPr>
          <w:szCs w:val="21"/>
        </w:rPr>
      </w:pPr>
      <w:r>
        <w:rPr>
          <w:b/>
          <w:szCs w:val="21"/>
        </w:rPr>
        <w:t>3. 熟练掌握</w:t>
      </w:r>
      <w:r>
        <w:rPr>
          <w:szCs w:val="21"/>
        </w:rPr>
        <w:t>：</w:t>
      </w:r>
      <w:r>
        <w:rPr>
          <w:rFonts w:hint="eastAsia"/>
          <w:kern w:val="0"/>
          <w:szCs w:val="21"/>
        </w:rPr>
        <w:t>民宿</w:t>
      </w:r>
      <w:r>
        <w:rPr>
          <w:kern w:val="0"/>
          <w:szCs w:val="21"/>
        </w:rPr>
        <w:t>庭院的绿化及管理技术。</w:t>
      </w:r>
    </w:p>
    <w:p>
      <w:pPr>
        <w:snapToGrid w:val="0"/>
        <w:spacing w:line="360" w:lineRule="auto"/>
        <w:rPr>
          <w:szCs w:val="21"/>
        </w:rPr>
      </w:pPr>
      <w:r>
        <w:rPr>
          <w:b/>
          <w:szCs w:val="21"/>
        </w:rPr>
        <w:t>（二）考核内容</w:t>
      </w:r>
    </w:p>
    <w:p>
      <w:pPr>
        <w:snapToGrid w:val="0"/>
        <w:spacing w:line="360" w:lineRule="auto"/>
        <w:ind w:firstLine="420" w:firstLineChars="200"/>
        <w:rPr>
          <w:kern w:val="0"/>
          <w:szCs w:val="21"/>
        </w:rPr>
      </w:pPr>
      <w:r>
        <w:rPr>
          <w:kern w:val="0"/>
          <w:szCs w:val="21"/>
        </w:rPr>
        <w:t>民宿庭院的规划设计；庭院绿化的养护管理；屋顶花园的功能；屋顶花园的规划设计；屋顶花园的管理。</w:t>
      </w:r>
    </w:p>
    <w:p>
      <w:pPr>
        <w:snapToGrid w:val="0"/>
        <w:spacing w:line="360" w:lineRule="auto"/>
        <w:rPr>
          <w:b/>
          <w:szCs w:val="21"/>
        </w:rPr>
      </w:pPr>
      <w:r>
        <w:rPr>
          <w:b/>
          <w:szCs w:val="21"/>
        </w:rPr>
        <w:t>（三）考核要求</w:t>
      </w:r>
    </w:p>
    <w:p>
      <w:pPr>
        <w:snapToGrid w:val="0"/>
        <w:spacing w:line="360" w:lineRule="auto"/>
        <w:ind w:firstLine="422" w:firstLineChars="200"/>
        <w:rPr>
          <w:kern w:val="0"/>
          <w:szCs w:val="21"/>
        </w:rPr>
      </w:pPr>
      <w:r>
        <w:rPr>
          <w:b/>
          <w:szCs w:val="21"/>
        </w:rPr>
        <w:t>1. 识记</w:t>
      </w:r>
      <w:r>
        <w:rPr>
          <w:szCs w:val="21"/>
        </w:rPr>
        <w:t>：</w:t>
      </w:r>
      <w:r>
        <w:rPr>
          <w:rFonts w:hint="eastAsia"/>
          <w:kern w:val="0"/>
          <w:szCs w:val="21"/>
        </w:rPr>
        <w:t>屋顶花园的功能、效益和设计要点。</w:t>
      </w:r>
    </w:p>
    <w:p>
      <w:pPr>
        <w:snapToGrid w:val="0"/>
        <w:spacing w:line="360" w:lineRule="auto"/>
        <w:ind w:firstLine="422" w:firstLineChars="200"/>
        <w:rPr>
          <w:bCs/>
          <w:szCs w:val="21"/>
        </w:rPr>
      </w:pPr>
      <w:r>
        <w:rPr>
          <w:b/>
          <w:szCs w:val="21"/>
        </w:rPr>
        <w:t>2. 领会</w:t>
      </w:r>
      <w:r>
        <w:rPr>
          <w:szCs w:val="21"/>
        </w:rPr>
        <w:t>：</w:t>
      </w:r>
      <w:r>
        <w:rPr>
          <w:rFonts w:hint="eastAsia"/>
          <w:kern w:val="0"/>
          <w:szCs w:val="21"/>
        </w:rPr>
        <w:t>民宿</w:t>
      </w:r>
      <w:r>
        <w:rPr>
          <w:kern w:val="0"/>
          <w:szCs w:val="21"/>
        </w:rPr>
        <w:t>庭院的设计理念、设计风格和搭配技巧。</w:t>
      </w:r>
    </w:p>
    <w:p>
      <w:pPr>
        <w:snapToGrid w:val="0"/>
        <w:spacing w:line="360" w:lineRule="auto"/>
        <w:ind w:firstLine="422" w:firstLineChars="200"/>
        <w:rPr>
          <w:szCs w:val="21"/>
        </w:rPr>
      </w:pPr>
      <w:r>
        <w:rPr>
          <w:b/>
          <w:szCs w:val="21"/>
        </w:rPr>
        <w:t>3. 应用</w:t>
      </w:r>
      <w:r>
        <w:rPr>
          <w:szCs w:val="21"/>
        </w:rPr>
        <w:t>：屋顶花园的植物搭配、养护管理；民宿庭院的绿化及管理技术。</w:t>
      </w:r>
    </w:p>
    <w:p>
      <w:pPr>
        <w:snapToGrid w:val="0"/>
        <w:spacing w:line="360" w:lineRule="auto"/>
        <w:ind w:firstLine="422" w:firstLineChars="200"/>
        <w:rPr>
          <w:kern w:val="0"/>
          <w:szCs w:val="21"/>
        </w:rPr>
      </w:pPr>
      <w:r>
        <w:rPr>
          <w:b/>
          <w:szCs w:val="21"/>
        </w:rPr>
        <w:t>4. 分析：</w:t>
      </w:r>
      <w:r>
        <w:rPr>
          <w:rFonts w:hint="eastAsia"/>
          <w:kern w:val="0"/>
          <w:szCs w:val="21"/>
        </w:rPr>
        <w:t>不同类型庭院的设计风格</w:t>
      </w:r>
      <w:r>
        <w:rPr>
          <w:kern w:val="0"/>
          <w:szCs w:val="21"/>
        </w:rPr>
        <w:t>。</w:t>
      </w:r>
    </w:p>
    <w:p>
      <w:pPr>
        <w:snapToGrid w:val="0"/>
        <w:spacing w:line="360" w:lineRule="auto"/>
        <w:ind w:firstLine="422" w:firstLineChars="200"/>
        <w:rPr>
          <w:b/>
          <w:szCs w:val="21"/>
        </w:rPr>
      </w:pPr>
      <w:r>
        <w:rPr>
          <w:b/>
          <w:szCs w:val="21"/>
        </w:rPr>
        <w:t>5. 评价：</w:t>
      </w:r>
      <w:r>
        <w:rPr>
          <w:rFonts w:hint="eastAsia"/>
          <w:kern w:val="0"/>
          <w:szCs w:val="21"/>
        </w:rPr>
        <w:t>民宿</w:t>
      </w:r>
      <w:r>
        <w:rPr>
          <w:kern w:val="0"/>
          <w:szCs w:val="21"/>
        </w:rPr>
        <w:t>庭院和屋顶花园的搭配技巧。</w:t>
      </w:r>
    </w:p>
    <w:p>
      <w:pPr>
        <w:pStyle w:val="10"/>
        <w:snapToGrid w:val="0"/>
        <w:spacing w:line="360" w:lineRule="auto"/>
        <w:jc w:val="center"/>
        <w:rPr>
          <w:rFonts w:ascii="Times New Roman" w:hAnsi="Times New Roman" w:cs="Times New Roman"/>
          <w:b/>
        </w:rPr>
      </w:pPr>
      <w:r>
        <w:rPr>
          <w:rFonts w:ascii="Times New Roman" w:hAnsi="Times New Roman" w:cs="Times New Roman"/>
          <w:b/>
        </w:rPr>
        <w:t xml:space="preserve">第三章  </w:t>
      </w:r>
      <w:r>
        <w:rPr>
          <w:rFonts w:hint="eastAsia" w:ascii="Times New Roman" w:hAnsi="Times New Roman" w:cs="Times New Roman"/>
          <w:b/>
          <w:bCs/>
          <w:kern w:val="0"/>
        </w:rPr>
        <w:t>街头</w:t>
      </w:r>
      <w:r>
        <w:rPr>
          <w:rFonts w:ascii="Times New Roman" w:hAnsi="Times New Roman" w:cs="Times New Roman"/>
          <w:b/>
          <w:bCs/>
          <w:kern w:val="0"/>
        </w:rPr>
        <w:t>景观</w:t>
      </w:r>
      <w:r>
        <w:rPr>
          <w:rFonts w:hint="eastAsia" w:ascii="Times New Roman" w:hAnsi="Times New Roman" w:cs="Times New Roman"/>
          <w:b/>
          <w:bCs/>
          <w:kern w:val="0"/>
        </w:rPr>
        <w:t xml:space="preserve"> </w:t>
      </w:r>
      <w:r>
        <w:rPr>
          <w:rFonts w:ascii="Times New Roman" w:hAnsi="Times New Roman" w:cs="Times New Roman"/>
          <w:b/>
          <w:bCs/>
          <w:kern w:val="0"/>
        </w:rPr>
        <w:t xml:space="preserve"> </w:t>
      </w:r>
    </w:p>
    <w:p>
      <w:pPr>
        <w:snapToGrid w:val="0"/>
        <w:spacing w:line="360" w:lineRule="auto"/>
        <w:rPr>
          <w:b/>
          <w:szCs w:val="21"/>
        </w:rPr>
      </w:pPr>
      <w:r>
        <w:rPr>
          <w:b/>
          <w:szCs w:val="21"/>
        </w:rPr>
        <w:t>（一）学习目标</w:t>
      </w:r>
    </w:p>
    <w:p>
      <w:pPr>
        <w:snapToGrid w:val="0"/>
        <w:spacing w:line="360" w:lineRule="auto"/>
        <w:ind w:firstLine="422" w:firstLineChars="200"/>
        <w:rPr>
          <w:kern w:val="0"/>
          <w:szCs w:val="21"/>
        </w:rPr>
      </w:pPr>
      <w:r>
        <w:rPr>
          <w:b/>
          <w:szCs w:val="21"/>
        </w:rPr>
        <w:t>1. 一般了解</w:t>
      </w:r>
      <w:r>
        <w:rPr>
          <w:szCs w:val="21"/>
        </w:rPr>
        <w:t>：</w:t>
      </w:r>
      <w:r>
        <w:rPr>
          <w:rFonts w:hint="eastAsia"/>
          <w:kern w:val="0"/>
          <w:szCs w:val="21"/>
        </w:rPr>
        <w:t>城市</w:t>
      </w:r>
      <w:r>
        <w:rPr>
          <w:kern w:val="0"/>
          <w:szCs w:val="21"/>
        </w:rPr>
        <w:t>绿地的效益和规划原则；都市商业与园艺要素、园艺文化的结合。</w:t>
      </w:r>
    </w:p>
    <w:p>
      <w:pPr>
        <w:snapToGrid w:val="0"/>
        <w:spacing w:line="360" w:lineRule="auto"/>
        <w:ind w:firstLine="422" w:firstLineChars="200"/>
        <w:rPr>
          <w:szCs w:val="21"/>
        </w:rPr>
      </w:pPr>
      <w:r>
        <w:rPr>
          <w:b/>
          <w:szCs w:val="21"/>
        </w:rPr>
        <w:t>2. 一般掌握</w:t>
      </w:r>
      <w:r>
        <w:rPr>
          <w:szCs w:val="21"/>
        </w:rPr>
        <w:t>：</w:t>
      </w:r>
      <w:r>
        <w:rPr>
          <w:rFonts w:hint="eastAsia"/>
          <w:kern w:val="0"/>
          <w:szCs w:val="21"/>
        </w:rPr>
        <w:t>城市</w:t>
      </w:r>
      <w:r>
        <w:rPr>
          <w:kern w:val="0"/>
          <w:szCs w:val="21"/>
        </w:rPr>
        <w:t>绿地的类型与布局。</w:t>
      </w:r>
    </w:p>
    <w:p>
      <w:pPr>
        <w:snapToGrid w:val="0"/>
        <w:spacing w:line="360" w:lineRule="auto"/>
        <w:rPr>
          <w:szCs w:val="21"/>
        </w:rPr>
      </w:pPr>
      <w:r>
        <w:rPr>
          <w:b/>
          <w:szCs w:val="21"/>
        </w:rPr>
        <w:t>（二）考核内容</w:t>
      </w:r>
    </w:p>
    <w:p>
      <w:pPr>
        <w:snapToGrid w:val="0"/>
        <w:spacing w:line="360" w:lineRule="auto"/>
        <w:ind w:firstLine="525" w:firstLineChars="250"/>
        <w:rPr>
          <w:kern w:val="0"/>
          <w:szCs w:val="21"/>
        </w:rPr>
      </w:pPr>
      <w:r>
        <w:rPr>
          <w:kern w:val="0"/>
          <w:szCs w:val="21"/>
        </w:rPr>
        <w:t>城市绿地的社会效益、生态效益和经济效益；城市园林绿地的类型和布局形式；城市发展与园艺文化传承。</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 领会</w:t>
      </w:r>
      <w:r>
        <w:rPr>
          <w:szCs w:val="21"/>
        </w:rPr>
        <w:t>：</w:t>
      </w:r>
      <w:r>
        <w:rPr>
          <w:rFonts w:hint="eastAsia"/>
          <w:kern w:val="0"/>
          <w:szCs w:val="21"/>
        </w:rPr>
        <w:t>城市</w:t>
      </w:r>
      <w:r>
        <w:rPr>
          <w:kern w:val="0"/>
          <w:szCs w:val="21"/>
        </w:rPr>
        <w:t>园林绿地的规划设计原则。</w:t>
      </w:r>
    </w:p>
    <w:p>
      <w:pPr>
        <w:snapToGrid w:val="0"/>
        <w:spacing w:line="360" w:lineRule="auto"/>
        <w:ind w:firstLine="422" w:firstLineChars="200"/>
        <w:rPr>
          <w:szCs w:val="21"/>
        </w:rPr>
      </w:pPr>
      <w:r>
        <w:rPr>
          <w:b/>
          <w:szCs w:val="21"/>
        </w:rPr>
        <w:t>2. 应用</w:t>
      </w:r>
      <w:r>
        <w:rPr>
          <w:szCs w:val="21"/>
        </w:rPr>
        <w:t>：</w:t>
      </w:r>
      <w:r>
        <w:rPr>
          <w:rFonts w:hint="eastAsia"/>
          <w:kern w:val="0"/>
          <w:szCs w:val="21"/>
        </w:rPr>
        <w:t>都市商业中园艺要素的重要性。</w:t>
      </w:r>
    </w:p>
    <w:p>
      <w:pPr>
        <w:snapToGrid w:val="0"/>
        <w:spacing w:line="360" w:lineRule="auto"/>
        <w:ind w:firstLine="422" w:firstLineChars="200"/>
        <w:rPr>
          <w:b/>
          <w:szCs w:val="21"/>
        </w:rPr>
      </w:pPr>
      <w:r>
        <w:rPr>
          <w:b/>
          <w:szCs w:val="21"/>
        </w:rPr>
        <w:t>3 分析：</w:t>
      </w:r>
      <w:r>
        <w:rPr>
          <w:rFonts w:hint="eastAsia"/>
          <w:kern w:val="0"/>
          <w:szCs w:val="21"/>
        </w:rPr>
        <w:t>城市</w:t>
      </w:r>
      <w:r>
        <w:rPr>
          <w:kern w:val="0"/>
          <w:szCs w:val="21"/>
        </w:rPr>
        <w:t>发展与园艺文化传承之间的联系。</w:t>
      </w:r>
    </w:p>
    <w:p>
      <w:pPr>
        <w:snapToGrid w:val="0"/>
        <w:spacing w:line="360" w:lineRule="auto"/>
        <w:ind w:firstLine="422" w:firstLineChars="200"/>
        <w:rPr>
          <w:szCs w:val="21"/>
        </w:rPr>
      </w:pPr>
      <w:r>
        <w:rPr>
          <w:b/>
          <w:szCs w:val="21"/>
        </w:rPr>
        <w:t>4. 综合</w:t>
      </w:r>
      <w:r>
        <w:rPr>
          <w:szCs w:val="21"/>
        </w:rPr>
        <w:t>：</w:t>
      </w:r>
      <w:r>
        <w:rPr>
          <w:rFonts w:hint="eastAsia"/>
          <w:kern w:val="0"/>
          <w:szCs w:val="21"/>
        </w:rPr>
        <w:t>都市</w:t>
      </w:r>
      <w:r>
        <w:rPr>
          <w:kern w:val="0"/>
          <w:szCs w:val="21"/>
        </w:rPr>
        <w:t>商业与园艺的紧密融合。</w:t>
      </w:r>
    </w:p>
    <w:p>
      <w:pPr>
        <w:snapToGrid w:val="0"/>
        <w:spacing w:after="156" w:afterLines="50" w:line="360" w:lineRule="auto"/>
        <w:ind w:firstLine="103" w:firstLineChars="49"/>
        <w:jc w:val="center"/>
        <w:rPr>
          <w:b/>
          <w:szCs w:val="21"/>
        </w:rPr>
      </w:pPr>
      <w:r>
        <w:rPr>
          <w:rFonts w:hint="eastAsia"/>
          <w:b/>
          <w:szCs w:val="21"/>
        </w:rPr>
        <w:t xml:space="preserve">第四章 </w:t>
      </w:r>
      <w:r>
        <w:rPr>
          <w:b/>
          <w:szCs w:val="21"/>
        </w:rPr>
        <w:t xml:space="preserve"> 都市花艺</w:t>
      </w:r>
      <w:r>
        <w:rPr>
          <w:rFonts w:hint="eastAsia"/>
          <w:b/>
          <w:szCs w:val="21"/>
        </w:rPr>
        <w:t xml:space="preserve"> </w:t>
      </w:r>
      <w:r>
        <w:rPr>
          <w:b/>
          <w:szCs w:val="21"/>
        </w:rPr>
        <w:t xml:space="preserve"> </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rFonts w:hint="eastAsia"/>
          <w:kern w:val="0"/>
          <w:szCs w:val="21"/>
        </w:rPr>
        <w:t>插花艺术的范畴、分类和应用；压花用具和花材的选择。</w:t>
      </w:r>
    </w:p>
    <w:p>
      <w:pPr>
        <w:snapToGrid w:val="0"/>
        <w:spacing w:line="360" w:lineRule="auto"/>
        <w:ind w:firstLine="422" w:firstLineChars="200"/>
        <w:rPr>
          <w:szCs w:val="21"/>
        </w:rPr>
      </w:pPr>
      <w:r>
        <w:rPr>
          <w:b/>
          <w:szCs w:val="21"/>
        </w:rPr>
        <w:t>2. 一般掌握</w:t>
      </w:r>
      <w:r>
        <w:rPr>
          <w:szCs w:val="21"/>
        </w:rPr>
        <w:t>：</w:t>
      </w:r>
      <w:r>
        <w:rPr>
          <w:rFonts w:hint="eastAsia"/>
          <w:kern w:val="0"/>
          <w:szCs w:val="21"/>
        </w:rPr>
        <w:t>插花的美学理论；花材的收集、压制和保存。</w:t>
      </w:r>
    </w:p>
    <w:p>
      <w:pPr>
        <w:snapToGrid w:val="0"/>
        <w:spacing w:line="360" w:lineRule="auto"/>
        <w:ind w:firstLine="422" w:firstLineChars="200"/>
        <w:rPr>
          <w:szCs w:val="21"/>
        </w:rPr>
      </w:pPr>
      <w:r>
        <w:rPr>
          <w:b/>
          <w:szCs w:val="21"/>
        </w:rPr>
        <w:t>3. 熟练掌握</w:t>
      </w:r>
      <w:r>
        <w:rPr>
          <w:szCs w:val="21"/>
        </w:rPr>
        <w:t>：花材的保色技术；压花作品的制作过程。</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rFonts w:hint="eastAsia"/>
          <w:kern w:val="0"/>
          <w:szCs w:val="21"/>
        </w:rPr>
        <w:t>插花艺术的特点与功能；插花艺术的分类和应用；插花的色彩配置和造型法则；插花的步骤、技巧和方法；压花艺术的定义、特点与作用；花材的分解、制作和保存；花材的保色技术；压花艺术的构图理论；压花作品的制作过程。</w:t>
      </w:r>
    </w:p>
    <w:p>
      <w:pPr>
        <w:snapToGrid w:val="0"/>
        <w:spacing w:line="360" w:lineRule="auto"/>
        <w:rPr>
          <w:b/>
          <w:szCs w:val="21"/>
        </w:rPr>
      </w:pPr>
      <w:r>
        <w:rPr>
          <w:b/>
          <w:szCs w:val="21"/>
        </w:rPr>
        <w:t>（三）考核要求</w:t>
      </w:r>
    </w:p>
    <w:p>
      <w:pPr>
        <w:snapToGrid w:val="0"/>
        <w:spacing w:line="360" w:lineRule="auto"/>
        <w:ind w:firstLine="422" w:firstLineChars="200"/>
        <w:rPr>
          <w:bCs/>
          <w:szCs w:val="21"/>
        </w:rPr>
      </w:pPr>
      <w:r>
        <w:rPr>
          <w:b/>
          <w:szCs w:val="21"/>
        </w:rPr>
        <w:t>1. 识记</w:t>
      </w:r>
      <w:r>
        <w:rPr>
          <w:szCs w:val="21"/>
        </w:rPr>
        <w:t>：插花和压花艺术的概念。</w:t>
      </w:r>
    </w:p>
    <w:p>
      <w:pPr>
        <w:snapToGrid w:val="0"/>
        <w:spacing w:line="360" w:lineRule="auto"/>
        <w:ind w:firstLine="422" w:firstLineChars="200"/>
        <w:rPr>
          <w:b/>
          <w:szCs w:val="21"/>
        </w:rPr>
      </w:pPr>
      <w:r>
        <w:rPr>
          <w:b/>
          <w:szCs w:val="21"/>
        </w:rPr>
        <w:t>2. 领会</w:t>
      </w:r>
      <w:r>
        <w:rPr>
          <w:szCs w:val="21"/>
        </w:rPr>
        <w:t>：</w:t>
      </w:r>
      <w:r>
        <w:rPr>
          <w:rFonts w:hint="eastAsia"/>
          <w:kern w:val="0"/>
          <w:szCs w:val="21"/>
        </w:rPr>
        <w:t>插花和压花艺术的色彩答案和美学理论。</w:t>
      </w:r>
    </w:p>
    <w:p>
      <w:pPr>
        <w:snapToGrid w:val="0"/>
        <w:spacing w:line="360" w:lineRule="auto"/>
        <w:ind w:firstLine="422" w:firstLineChars="200"/>
        <w:rPr>
          <w:szCs w:val="21"/>
        </w:rPr>
      </w:pPr>
      <w:r>
        <w:rPr>
          <w:b/>
          <w:szCs w:val="21"/>
        </w:rPr>
        <w:t>3. 应用</w:t>
      </w:r>
      <w:r>
        <w:rPr>
          <w:szCs w:val="21"/>
        </w:rPr>
        <w:t>：</w:t>
      </w:r>
      <w:r>
        <w:rPr>
          <w:rFonts w:hint="eastAsia"/>
          <w:kern w:val="0"/>
          <w:szCs w:val="21"/>
        </w:rPr>
        <w:t>插花和压花的制作过程；花材的保色技术；压花作品的制作过程。</w:t>
      </w:r>
    </w:p>
    <w:p>
      <w:pPr>
        <w:widowControl/>
        <w:adjustRightInd w:val="0"/>
        <w:snapToGrid w:val="0"/>
        <w:spacing w:line="360" w:lineRule="auto"/>
        <w:ind w:firstLine="422" w:firstLineChars="200"/>
        <w:jc w:val="left"/>
        <w:rPr>
          <w:rFonts w:eastAsiaTheme="majorEastAsia"/>
          <w:b/>
          <w:bCs/>
          <w:kern w:val="0"/>
          <w:szCs w:val="21"/>
        </w:rPr>
      </w:pPr>
      <w:r>
        <w:rPr>
          <w:rFonts w:hint="eastAsia" w:eastAsiaTheme="majorEastAsia"/>
          <w:b/>
          <w:bCs/>
          <w:kern w:val="0"/>
          <w:szCs w:val="21"/>
        </w:rPr>
        <w:t>4</w:t>
      </w:r>
      <w:r>
        <w:rPr>
          <w:rFonts w:eastAsiaTheme="majorEastAsia"/>
          <w:b/>
          <w:bCs/>
          <w:kern w:val="0"/>
          <w:szCs w:val="21"/>
        </w:rPr>
        <w:t xml:space="preserve">. </w:t>
      </w:r>
      <w:r>
        <w:rPr>
          <w:rFonts w:hint="eastAsia" w:eastAsiaTheme="majorEastAsia"/>
          <w:b/>
          <w:bCs/>
          <w:kern w:val="0"/>
          <w:szCs w:val="21"/>
        </w:rPr>
        <w:t>综合</w:t>
      </w:r>
      <w:r>
        <w:rPr>
          <w:rFonts w:eastAsiaTheme="majorEastAsia"/>
          <w:b/>
          <w:bCs/>
          <w:kern w:val="0"/>
          <w:szCs w:val="21"/>
        </w:rPr>
        <w:t>：</w:t>
      </w:r>
      <w:r>
        <w:rPr>
          <w:rFonts w:hint="eastAsia"/>
          <w:kern w:val="0"/>
          <w:szCs w:val="21"/>
        </w:rPr>
        <w:t>花材变色的影响因素；压花的染色原理。</w:t>
      </w:r>
    </w:p>
    <w:p>
      <w:pPr>
        <w:snapToGrid w:val="0"/>
        <w:spacing w:after="156" w:afterLines="50" w:line="360" w:lineRule="auto"/>
        <w:ind w:firstLine="103" w:firstLineChars="49"/>
        <w:jc w:val="center"/>
        <w:rPr>
          <w:b/>
          <w:szCs w:val="21"/>
        </w:rPr>
      </w:pPr>
      <w:r>
        <w:rPr>
          <w:rFonts w:hint="eastAsia"/>
          <w:b/>
          <w:szCs w:val="21"/>
        </w:rPr>
        <w:t xml:space="preserve">第五章 </w:t>
      </w:r>
      <w:r>
        <w:rPr>
          <w:b/>
          <w:szCs w:val="21"/>
        </w:rPr>
        <w:t xml:space="preserve"> </w:t>
      </w:r>
      <w:r>
        <w:rPr>
          <w:rFonts w:hint="eastAsia"/>
          <w:b/>
          <w:szCs w:val="21"/>
        </w:rPr>
        <w:t>园艺</w:t>
      </w:r>
      <w:r>
        <w:rPr>
          <w:b/>
          <w:szCs w:val="21"/>
        </w:rPr>
        <w:t>疗法</w:t>
      </w:r>
      <w:r>
        <w:rPr>
          <w:rFonts w:hint="eastAsia"/>
          <w:b/>
          <w:szCs w:val="21"/>
        </w:rPr>
        <w:t xml:space="preserve"> </w:t>
      </w:r>
      <w:r>
        <w:rPr>
          <w:b/>
          <w:szCs w:val="21"/>
        </w:rPr>
        <w:t xml:space="preserve"> </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rFonts w:hint="eastAsia"/>
          <w:kern w:val="0"/>
          <w:szCs w:val="21"/>
        </w:rPr>
        <w:t>园艺疗法的疗效和研究进展。</w:t>
      </w:r>
    </w:p>
    <w:p>
      <w:pPr>
        <w:snapToGrid w:val="0"/>
        <w:spacing w:line="360" w:lineRule="auto"/>
        <w:ind w:firstLine="422" w:firstLineChars="200"/>
        <w:rPr>
          <w:szCs w:val="21"/>
        </w:rPr>
      </w:pPr>
      <w:r>
        <w:rPr>
          <w:b/>
          <w:szCs w:val="21"/>
        </w:rPr>
        <w:t>2. 一般掌握</w:t>
      </w:r>
      <w:r>
        <w:rPr>
          <w:szCs w:val="21"/>
        </w:rPr>
        <w:t>：</w:t>
      </w:r>
      <w:r>
        <w:rPr>
          <w:rFonts w:hint="eastAsia"/>
          <w:kern w:val="0"/>
          <w:szCs w:val="21"/>
        </w:rPr>
        <w:t>园艺植物的保健功能。</w:t>
      </w:r>
    </w:p>
    <w:p>
      <w:pPr>
        <w:snapToGrid w:val="0"/>
        <w:spacing w:line="360" w:lineRule="auto"/>
        <w:ind w:firstLine="422" w:firstLineChars="200"/>
        <w:rPr>
          <w:szCs w:val="21"/>
        </w:rPr>
      </w:pPr>
      <w:r>
        <w:rPr>
          <w:b/>
          <w:szCs w:val="21"/>
        </w:rPr>
        <w:t>3. 熟练掌握</w:t>
      </w:r>
      <w:r>
        <w:rPr>
          <w:szCs w:val="21"/>
        </w:rPr>
        <w:t>：园艺疗法的定义、特点和应用范围。</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rFonts w:hint="eastAsia"/>
          <w:kern w:val="0"/>
          <w:szCs w:val="21"/>
        </w:rPr>
        <w:t>园艺疗法的概念、特点和应用范围；园艺疗法与心理疗法的异同；果品、蔬菜和花卉的保健功能；园艺疗法的功效和研究进展。</w:t>
      </w:r>
    </w:p>
    <w:p>
      <w:pPr>
        <w:snapToGrid w:val="0"/>
        <w:spacing w:line="360" w:lineRule="auto"/>
        <w:rPr>
          <w:b/>
          <w:szCs w:val="21"/>
        </w:rPr>
      </w:pPr>
      <w:r>
        <w:rPr>
          <w:b/>
          <w:szCs w:val="21"/>
        </w:rPr>
        <w:t>（三）考核要求</w:t>
      </w:r>
    </w:p>
    <w:p>
      <w:pPr>
        <w:snapToGrid w:val="0"/>
        <w:spacing w:line="360" w:lineRule="auto"/>
        <w:ind w:firstLine="422" w:firstLineChars="200"/>
        <w:rPr>
          <w:bCs/>
          <w:szCs w:val="21"/>
        </w:rPr>
      </w:pPr>
      <w:r>
        <w:rPr>
          <w:b/>
          <w:szCs w:val="21"/>
        </w:rPr>
        <w:t>1. 识记</w:t>
      </w:r>
      <w:r>
        <w:rPr>
          <w:szCs w:val="21"/>
        </w:rPr>
        <w:t>：</w:t>
      </w:r>
      <w:r>
        <w:rPr>
          <w:rFonts w:hint="eastAsia"/>
          <w:szCs w:val="21"/>
        </w:rPr>
        <w:t>园艺</w:t>
      </w:r>
      <w:r>
        <w:rPr>
          <w:szCs w:val="21"/>
        </w:rPr>
        <w:t>疗法的定义和特点。</w:t>
      </w:r>
    </w:p>
    <w:p>
      <w:pPr>
        <w:snapToGrid w:val="0"/>
        <w:spacing w:line="360" w:lineRule="auto"/>
        <w:ind w:firstLine="422" w:firstLineChars="200"/>
        <w:rPr>
          <w:b/>
          <w:szCs w:val="21"/>
        </w:rPr>
      </w:pPr>
      <w:r>
        <w:rPr>
          <w:b/>
          <w:szCs w:val="21"/>
        </w:rPr>
        <w:t>2. 领会</w:t>
      </w:r>
      <w:r>
        <w:rPr>
          <w:szCs w:val="21"/>
        </w:rPr>
        <w:t>：</w:t>
      </w:r>
      <w:r>
        <w:rPr>
          <w:rFonts w:hint="eastAsia"/>
          <w:kern w:val="0"/>
          <w:szCs w:val="21"/>
        </w:rPr>
        <w:t>果品、蔬菜、花卉的保健功能。</w:t>
      </w:r>
    </w:p>
    <w:p>
      <w:pPr>
        <w:snapToGrid w:val="0"/>
        <w:spacing w:line="360" w:lineRule="auto"/>
        <w:ind w:firstLine="422" w:firstLineChars="200"/>
        <w:rPr>
          <w:szCs w:val="21"/>
        </w:rPr>
      </w:pPr>
      <w:r>
        <w:rPr>
          <w:b/>
          <w:szCs w:val="21"/>
        </w:rPr>
        <w:t>3. 应用</w:t>
      </w:r>
      <w:r>
        <w:rPr>
          <w:szCs w:val="21"/>
        </w:rPr>
        <w:t>：</w:t>
      </w:r>
      <w:r>
        <w:rPr>
          <w:rFonts w:hint="eastAsia"/>
          <w:kern w:val="0"/>
          <w:szCs w:val="21"/>
        </w:rPr>
        <w:t>园艺疗法的应用范围。</w:t>
      </w:r>
    </w:p>
    <w:p>
      <w:pPr>
        <w:widowControl/>
        <w:adjustRightInd w:val="0"/>
        <w:snapToGrid w:val="0"/>
        <w:spacing w:line="360" w:lineRule="auto"/>
        <w:ind w:firstLine="422" w:firstLineChars="200"/>
        <w:jc w:val="left"/>
        <w:rPr>
          <w:rFonts w:eastAsiaTheme="majorEastAsia"/>
          <w:b/>
          <w:bCs/>
          <w:kern w:val="0"/>
          <w:szCs w:val="21"/>
        </w:rPr>
      </w:pPr>
      <w:r>
        <w:rPr>
          <w:rFonts w:hint="eastAsia" w:eastAsiaTheme="majorEastAsia"/>
          <w:b/>
          <w:bCs/>
          <w:kern w:val="0"/>
          <w:szCs w:val="21"/>
        </w:rPr>
        <w:t>4</w:t>
      </w:r>
      <w:r>
        <w:rPr>
          <w:rFonts w:eastAsiaTheme="majorEastAsia"/>
          <w:b/>
          <w:bCs/>
          <w:kern w:val="0"/>
          <w:szCs w:val="21"/>
        </w:rPr>
        <w:t xml:space="preserve">. </w:t>
      </w:r>
      <w:r>
        <w:rPr>
          <w:rFonts w:hint="eastAsia" w:eastAsiaTheme="majorEastAsia"/>
          <w:b/>
          <w:bCs/>
          <w:kern w:val="0"/>
          <w:szCs w:val="21"/>
        </w:rPr>
        <w:t>综合</w:t>
      </w:r>
      <w:r>
        <w:rPr>
          <w:rFonts w:eastAsiaTheme="majorEastAsia"/>
          <w:b/>
          <w:bCs/>
          <w:kern w:val="0"/>
          <w:szCs w:val="21"/>
        </w:rPr>
        <w:t>：</w:t>
      </w:r>
      <w:r>
        <w:rPr>
          <w:rFonts w:hint="eastAsia"/>
          <w:kern w:val="0"/>
          <w:szCs w:val="21"/>
        </w:rPr>
        <w:t>园艺疗法的适用人群和疗效。</w:t>
      </w:r>
    </w:p>
    <w:p>
      <w:pPr>
        <w:snapToGrid w:val="0"/>
        <w:spacing w:after="156" w:afterLines="50" w:line="360" w:lineRule="auto"/>
        <w:ind w:firstLine="103" w:firstLineChars="49"/>
        <w:jc w:val="center"/>
        <w:rPr>
          <w:b/>
          <w:szCs w:val="21"/>
        </w:rPr>
      </w:pPr>
    </w:p>
    <w:p>
      <w:pPr>
        <w:snapToGrid w:val="0"/>
        <w:spacing w:after="156" w:afterLines="50" w:line="360" w:lineRule="auto"/>
        <w:ind w:firstLine="103" w:firstLineChars="49"/>
        <w:jc w:val="center"/>
        <w:rPr>
          <w:b/>
          <w:szCs w:val="21"/>
        </w:rPr>
      </w:pPr>
      <w:r>
        <w:rPr>
          <w:rFonts w:hint="eastAsia"/>
          <w:b/>
          <w:szCs w:val="21"/>
        </w:rPr>
        <w:t xml:space="preserve">第六章 </w:t>
      </w:r>
      <w:r>
        <w:rPr>
          <w:b/>
          <w:szCs w:val="21"/>
        </w:rPr>
        <w:t xml:space="preserve"> 园艺造景</w:t>
      </w:r>
      <w:r>
        <w:rPr>
          <w:rFonts w:hint="eastAsia"/>
          <w:b/>
          <w:szCs w:val="21"/>
        </w:rPr>
        <w:t xml:space="preserve"> </w:t>
      </w:r>
      <w:r>
        <w:rPr>
          <w:b/>
          <w:szCs w:val="21"/>
        </w:rPr>
        <w:t xml:space="preserve"> </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rFonts w:hint="eastAsia"/>
          <w:kern w:val="0"/>
          <w:szCs w:val="21"/>
        </w:rPr>
        <w:t>盆景的艺术特点和效益；盆景的分类和艺术风格；盆景的养护；植物造景的基本原理；植物造景的植物配置和艺术手法；微景观的功能。</w:t>
      </w:r>
    </w:p>
    <w:p>
      <w:pPr>
        <w:snapToGrid w:val="0"/>
        <w:spacing w:line="360" w:lineRule="auto"/>
        <w:ind w:firstLine="422" w:firstLineChars="200"/>
        <w:rPr>
          <w:szCs w:val="21"/>
        </w:rPr>
      </w:pPr>
      <w:r>
        <w:rPr>
          <w:b/>
          <w:szCs w:val="21"/>
        </w:rPr>
        <w:t>2. 一般掌握</w:t>
      </w:r>
      <w:r>
        <w:rPr>
          <w:szCs w:val="21"/>
        </w:rPr>
        <w:t>：</w:t>
      </w:r>
      <w:r>
        <w:rPr>
          <w:rFonts w:hint="eastAsia"/>
          <w:kern w:val="0"/>
          <w:szCs w:val="21"/>
        </w:rPr>
        <w:t>微景观的制作流程。</w:t>
      </w:r>
    </w:p>
    <w:p>
      <w:pPr>
        <w:snapToGrid w:val="0"/>
        <w:spacing w:line="360" w:lineRule="auto"/>
        <w:ind w:firstLine="422" w:firstLineChars="200"/>
        <w:rPr>
          <w:szCs w:val="21"/>
        </w:rPr>
      </w:pPr>
      <w:r>
        <w:rPr>
          <w:b/>
          <w:szCs w:val="21"/>
        </w:rPr>
        <w:t>3. 熟练掌握</w:t>
      </w:r>
      <w:r>
        <w:rPr>
          <w:szCs w:val="21"/>
        </w:rPr>
        <w:t>：</w:t>
      </w:r>
      <w:r>
        <w:rPr>
          <w:rFonts w:hint="eastAsia"/>
          <w:szCs w:val="21"/>
        </w:rPr>
        <w:t>盆景</w:t>
      </w:r>
      <w:r>
        <w:rPr>
          <w:szCs w:val="21"/>
        </w:rPr>
        <w:t>的定义。</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rFonts w:hint="eastAsia"/>
          <w:kern w:val="0"/>
          <w:szCs w:val="21"/>
        </w:rPr>
        <w:t>盆景的定义、分类、艺术风格和效益；盆景的养护方法；植物造景的生态学原理；植物造景的美学原理；植物造景的植物搭配技巧和艺术手法；微景观的作用及制作流程。</w:t>
      </w:r>
    </w:p>
    <w:p>
      <w:pPr>
        <w:snapToGrid w:val="0"/>
        <w:spacing w:line="360" w:lineRule="auto"/>
        <w:rPr>
          <w:b/>
          <w:szCs w:val="21"/>
        </w:rPr>
      </w:pPr>
      <w:r>
        <w:rPr>
          <w:b/>
          <w:szCs w:val="21"/>
        </w:rPr>
        <w:t>（三）考核要求</w:t>
      </w:r>
    </w:p>
    <w:p>
      <w:pPr>
        <w:snapToGrid w:val="0"/>
        <w:spacing w:line="360" w:lineRule="auto"/>
        <w:ind w:firstLine="422" w:firstLineChars="200"/>
        <w:rPr>
          <w:bCs/>
          <w:szCs w:val="21"/>
        </w:rPr>
      </w:pPr>
      <w:r>
        <w:rPr>
          <w:b/>
          <w:szCs w:val="21"/>
        </w:rPr>
        <w:t>1. 识记</w:t>
      </w:r>
      <w:r>
        <w:rPr>
          <w:szCs w:val="21"/>
        </w:rPr>
        <w:t>：盆景的概念。</w:t>
      </w:r>
    </w:p>
    <w:p>
      <w:pPr>
        <w:snapToGrid w:val="0"/>
        <w:spacing w:line="360" w:lineRule="auto"/>
        <w:ind w:firstLine="422" w:firstLineChars="200"/>
        <w:rPr>
          <w:b/>
          <w:szCs w:val="21"/>
        </w:rPr>
      </w:pPr>
      <w:r>
        <w:rPr>
          <w:b/>
          <w:szCs w:val="21"/>
        </w:rPr>
        <w:t>2. 领会</w:t>
      </w:r>
      <w:r>
        <w:rPr>
          <w:szCs w:val="21"/>
        </w:rPr>
        <w:t>：盆景的艺术特点和风格；植物造景的生态学原理和美学原理。</w:t>
      </w:r>
    </w:p>
    <w:p>
      <w:pPr>
        <w:snapToGrid w:val="0"/>
        <w:spacing w:line="360" w:lineRule="auto"/>
        <w:ind w:firstLine="422" w:firstLineChars="200"/>
        <w:rPr>
          <w:szCs w:val="21"/>
        </w:rPr>
      </w:pPr>
      <w:r>
        <w:rPr>
          <w:b/>
          <w:szCs w:val="21"/>
        </w:rPr>
        <w:t>3. 应用</w:t>
      </w:r>
      <w:r>
        <w:rPr>
          <w:szCs w:val="21"/>
        </w:rPr>
        <w:t>：</w:t>
      </w:r>
      <w:r>
        <w:rPr>
          <w:rFonts w:hint="eastAsia"/>
          <w:kern w:val="0"/>
          <w:szCs w:val="21"/>
        </w:rPr>
        <w:t>盆景的养护；植物造景的植物选配技巧；微景观的制作流程。</w:t>
      </w:r>
    </w:p>
    <w:p>
      <w:pPr>
        <w:widowControl/>
        <w:adjustRightInd w:val="0"/>
        <w:snapToGrid w:val="0"/>
        <w:spacing w:line="360" w:lineRule="auto"/>
        <w:ind w:firstLine="422" w:firstLineChars="200"/>
        <w:jc w:val="left"/>
        <w:rPr>
          <w:rFonts w:eastAsiaTheme="majorEastAsia"/>
          <w:bCs/>
          <w:kern w:val="0"/>
          <w:szCs w:val="21"/>
        </w:rPr>
      </w:pPr>
      <w:r>
        <w:rPr>
          <w:rFonts w:hint="eastAsia" w:eastAsiaTheme="majorEastAsia"/>
          <w:b/>
          <w:bCs/>
          <w:kern w:val="0"/>
          <w:szCs w:val="21"/>
        </w:rPr>
        <w:t>4</w:t>
      </w:r>
      <w:r>
        <w:rPr>
          <w:rFonts w:eastAsiaTheme="majorEastAsia"/>
          <w:b/>
          <w:bCs/>
          <w:kern w:val="0"/>
          <w:szCs w:val="21"/>
        </w:rPr>
        <w:t xml:space="preserve">. </w:t>
      </w:r>
      <w:r>
        <w:rPr>
          <w:rFonts w:hint="eastAsia" w:eastAsiaTheme="majorEastAsia"/>
          <w:b/>
          <w:bCs/>
          <w:kern w:val="0"/>
          <w:szCs w:val="21"/>
        </w:rPr>
        <w:t>评价</w:t>
      </w:r>
      <w:r>
        <w:rPr>
          <w:rFonts w:eastAsiaTheme="majorEastAsia"/>
          <w:b/>
          <w:bCs/>
          <w:kern w:val="0"/>
          <w:szCs w:val="21"/>
        </w:rPr>
        <w:t>：</w:t>
      </w:r>
      <w:r>
        <w:rPr>
          <w:rFonts w:eastAsiaTheme="majorEastAsia"/>
          <w:bCs/>
          <w:kern w:val="0"/>
          <w:szCs w:val="21"/>
        </w:rPr>
        <w:t>盆景、植物造景和微景观的风格和功能。</w:t>
      </w:r>
    </w:p>
    <w:p>
      <w:pPr>
        <w:widowControl/>
        <w:adjustRightInd w:val="0"/>
        <w:snapToGrid w:val="0"/>
        <w:spacing w:line="360" w:lineRule="auto"/>
        <w:jc w:val="left"/>
        <w:rPr>
          <w:rFonts w:eastAsiaTheme="majorEastAsia"/>
          <w:b/>
          <w:bCs/>
          <w:kern w:val="0"/>
          <w:szCs w:val="21"/>
        </w:rPr>
      </w:pPr>
    </w:p>
    <w:p>
      <w:pPr>
        <w:snapToGrid w:val="0"/>
        <w:spacing w:after="156" w:afterLines="50" w:line="360" w:lineRule="auto"/>
        <w:ind w:firstLine="103" w:firstLineChars="49"/>
        <w:jc w:val="center"/>
        <w:rPr>
          <w:b/>
          <w:szCs w:val="21"/>
        </w:rPr>
      </w:pPr>
      <w:r>
        <w:rPr>
          <w:rFonts w:hint="eastAsia"/>
          <w:b/>
          <w:szCs w:val="21"/>
        </w:rPr>
        <w:t xml:space="preserve">第七章 </w:t>
      </w:r>
      <w:r>
        <w:rPr>
          <w:b/>
          <w:szCs w:val="21"/>
        </w:rPr>
        <w:t xml:space="preserve"> 都市休闲农业园区</w:t>
      </w:r>
      <w:r>
        <w:rPr>
          <w:rFonts w:hint="eastAsia"/>
          <w:b/>
          <w:szCs w:val="21"/>
        </w:rPr>
        <w:t xml:space="preserve"> </w:t>
      </w:r>
      <w:r>
        <w:rPr>
          <w:b/>
          <w:szCs w:val="21"/>
        </w:rPr>
        <w:t xml:space="preserve"> </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rFonts w:hint="eastAsia"/>
          <w:kern w:val="0"/>
          <w:szCs w:val="21"/>
        </w:rPr>
        <w:t>休闲农业园区的特征和类型；休闲农业园区规划设计的原则、方法和步骤；农业园区的规划设计。</w:t>
      </w:r>
    </w:p>
    <w:p>
      <w:pPr>
        <w:snapToGrid w:val="0"/>
        <w:spacing w:line="360" w:lineRule="auto"/>
        <w:ind w:firstLine="422" w:firstLineChars="200"/>
        <w:rPr>
          <w:szCs w:val="21"/>
        </w:rPr>
      </w:pPr>
      <w:r>
        <w:rPr>
          <w:b/>
          <w:szCs w:val="21"/>
        </w:rPr>
        <w:t>2. 一般掌握</w:t>
      </w:r>
      <w:r>
        <w:rPr>
          <w:szCs w:val="21"/>
        </w:rPr>
        <w:t>：</w:t>
      </w:r>
      <w:r>
        <w:rPr>
          <w:rFonts w:hint="eastAsia"/>
          <w:kern w:val="0"/>
          <w:szCs w:val="21"/>
        </w:rPr>
        <w:t>休闲农业园区的绿化设计和植被规划。</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rFonts w:hint="eastAsia"/>
          <w:kern w:val="0"/>
          <w:szCs w:val="21"/>
        </w:rPr>
        <w:t>休闲农业园区的类型和特征；休闲农业园区规划设计的要素、原则和步骤；园区的选址、布局、景观规划和绿化设计等。</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 领会</w:t>
      </w:r>
      <w:r>
        <w:rPr>
          <w:szCs w:val="21"/>
        </w:rPr>
        <w:t>：</w:t>
      </w:r>
      <w:r>
        <w:rPr>
          <w:rFonts w:hint="eastAsia"/>
          <w:kern w:val="0"/>
          <w:szCs w:val="21"/>
        </w:rPr>
        <w:t>休闲农业园区的设计原则、方法和步骤。</w:t>
      </w:r>
    </w:p>
    <w:p>
      <w:pPr>
        <w:snapToGrid w:val="0"/>
        <w:spacing w:line="360" w:lineRule="auto"/>
        <w:ind w:firstLine="422" w:firstLineChars="200"/>
        <w:rPr>
          <w:szCs w:val="21"/>
        </w:rPr>
      </w:pPr>
      <w:r>
        <w:rPr>
          <w:b/>
          <w:szCs w:val="21"/>
        </w:rPr>
        <w:t>2. 应用</w:t>
      </w:r>
      <w:r>
        <w:rPr>
          <w:szCs w:val="21"/>
        </w:rPr>
        <w:t>：</w:t>
      </w:r>
      <w:r>
        <w:rPr>
          <w:rFonts w:hint="eastAsia"/>
          <w:kern w:val="0"/>
          <w:szCs w:val="21"/>
        </w:rPr>
        <w:t>休闲农业园区规划设计包含的要素、设计依据和过程。</w:t>
      </w:r>
    </w:p>
    <w:p>
      <w:pPr>
        <w:widowControl/>
        <w:adjustRightInd w:val="0"/>
        <w:snapToGrid w:val="0"/>
        <w:spacing w:line="360" w:lineRule="auto"/>
        <w:ind w:firstLine="420" w:firstLineChars="200"/>
        <w:jc w:val="left"/>
        <w:rPr>
          <w:kern w:val="0"/>
          <w:szCs w:val="21"/>
        </w:rPr>
      </w:pPr>
    </w:p>
    <w:p>
      <w:pPr>
        <w:widowControl/>
        <w:snapToGrid w:val="0"/>
        <w:spacing w:line="360" w:lineRule="auto"/>
        <w:jc w:val="left"/>
        <w:outlineLvl w:val="1"/>
        <w:rPr>
          <w:rFonts w:eastAsiaTheme="majorEastAsia"/>
          <w:b/>
          <w:bCs/>
          <w:kern w:val="0"/>
          <w:szCs w:val="21"/>
        </w:rPr>
      </w:pPr>
      <w:bookmarkStart w:id="1195" w:name="_Toc138070564"/>
      <w:bookmarkStart w:id="1196" w:name="_Toc138076229"/>
      <w:bookmarkStart w:id="1197" w:name="_Toc138076773"/>
      <w:bookmarkStart w:id="1198" w:name="_Toc138076478"/>
      <w:bookmarkStart w:id="1199" w:name="_Toc138068534"/>
      <w:bookmarkStart w:id="1200" w:name="_Toc28620"/>
      <w:bookmarkStart w:id="1201" w:name="_Toc138068933"/>
      <w:bookmarkStart w:id="1202" w:name="_Toc138070835"/>
      <w:r>
        <w:rPr>
          <w:rFonts w:eastAsiaTheme="majorEastAsia"/>
          <w:b/>
          <w:bCs/>
          <w:kern w:val="0"/>
          <w:szCs w:val="21"/>
        </w:rPr>
        <w:t>四、考核方式</w:t>
      </w:r>
      <w:bookmarkEnd w:id="1195"/>
      <w:bookmarkEnd w:id="1196"/>
      <w:bookmarkEnd w:id="1197"/>
      <w:bookmarkEnd w:id="1198"/>
      <w:bookmarkEnd w:id="1199"/>
      <w:bookmarkEnd w:id="1200"/>
      <w:bookmarkEnd w:id="1201"/>
      <w:bookmarkEnd w:id="1202"/>
    </w:p>
    <w:p>
      <w:pPr>
        <w:widowControl/>
        <w:adjustRightInd w:val="0"/>
        <w:snapToGrid w:val="0"/>
        <w:spacing w:line="360" w:lineRule="auto"/>
        <w:ind w:firstLine="420" w:firstLineChars="200"/>
        <w:jc w:val="left"/>
        <w:rPr>
          <w:bCs/>
          <w:kern w:val="0"/>
          <w:szCs w:val="21"/>
        </w:rPr>
      </w:pPr>
      <w:r>
        <w:rPr>
          <w:bCs/>
          <w:kern w:val="0"/>
          <w:szCs w:val="21"/>
        </w:rPr>
        <w:t>本课程根据过程性评价和期末成绩考核。过程性考核评价包括：出勤、课堂提问、小组讨论和分组汇报等；</w:t>
      </w:r>
      <w:r>
        <w:rPr>
          <w:rFonts w:hint="eastAsia"/>
          <w:bCs/>
          <w:kern w:val="0"/>
          <w:szCs w:val="21"/>
        </w:rPr>
        <w:t>期末</w:t>
      </w:r>
      <w:r>
        <w:rPr>
          <w:bCs/>
          <w:kern w:val="0"/>
          <w:szCs w:val="21"/>
        </w:rPr>
        <w:t>考核方式采用课程论文。</w:t>
      </w:r>
    </w:p>
    <w:p>
      <w:pPr>
        <w:widowControl/>
        <w:snapToGrid w:val="0"/>
        <w:spacing w:line="360" w:lineRule="auto"/>
        <w:jc w:val="left"/>
        <w:outlineLvl w:val="1"/>
        <w:rPr>
          <w:rFonts w:eastAsiaTheme="majorEastAsia"/>
          <w:b/>
          <w:bCs/>
          <w:kern w:val="0"/>
          <w:szCs w:val="21"/>
        </w:rPr>
      </w:pPr>
      <w:bookmarkStart w:id="1203" w:name="_Toc138068535"/>
      <w:bookmarkStart w:id="1204" w:name="_Toc138076774"/>
      <w:bookmarkStart w:id="1205" w:name="_Toc138070836"/>
      <w:bookmarkStart w:id="1206" w:name="_Toc138070565"/>
      <w:bookmarkStart w:id="1207" w:name="_Toc138076230"/>
      <w:bookmarkStart w:id="1208" w:name="_Toc24866"/>
      <w:bookmarkStart w:id="1209" w:name="_Toc138076479"/>
      <w:bookmarkStart w:id="1210" w:name="_Toc138068934"/>
      <w:r>
        <w:rPr>
          <w:rFonts w:eastAsiaTheme="majorEastAsia"/>
          <w:b/>
          <w:bCs/>
          <w:kern w:val="0"/>
          <w:szCs w:val="21"/>
        </w:rPr>
        <w:t>五、成绩评定</w:t>
      </w:r>
      <w:bookmarkEnd w:id="1203"/>
      <w:bookmarkEnd w:id="1204"/>
      <w:bookmarkEnd w:id="1205"/>
      <w:bookmarkEnd w:id="1206"/>
      <w:bookmarkEnd w:id="1207"/>
      <w:bookmarkEnd w:id="1208"/>
      <w:bookmarkEnd w:id="1209"/>
      <w:bookmarkEnd w:id="1210"/>
    </w:p>
    <w:p>
      <w:pPr>
        <w:snapToGrid w:val="0"/>
        <w:spacing w:line="360" w:lineRule="auto"/>
        <w:ind w:firstLine="420" w:firstLineChars="200"/>
        <w:rPr>
          <w:szCs w:val="21"/>
        </w:rPr>
      </w:pPr>
      <w:r>
        <w:rPr>
          <w:szCs w:val="21"/>
        </w:rPr>
        <w:t xml:space="preserve">1. </w:t>
      </w:r>
      <w:r>
        <w:rPr>
          <w:rFonts w:hint="eastAsia"/>
          <w:szCs w:val="21"/>
        </w:rPr>
        <w:t>过程性</w:t>
      </w:r>
      <w:r>
        <w:rPr>
          <w:szCs w:val="21"/>
        </w:rPr>
        <w:t>评价。</w:t>
      </w:r>
      <w:r>
        <w:rPr>
          <w:bCs/>
          <w:kern w:val="0"/>
          <w:szCs w:val="21"/>
        </w:rPr>
        <w:t>考勤、课堂</w:t>
      </w:r>
      <w:r>
        <w:rPr>
          <w:rFonts w:hint="eastAsia"/>
          <w:bCs/>
          <w:kern w:val="0"/>
          <w:szCs w:val="21"/>
        </w:rPr>
        <w:t>讨论</w:t>
      </w:r>
      <w:r>
        <w:rPr>
          <w:bCs/>
          <w:kern w:val="0"/>
          <w:szCs w:val="21"/>
        </w:rPr>
        <w:t>及分组展示等环节评价</w:t>
      </w:r>
      <w:r>
        <w:rPr>
          <w:kern w:val="0"/>
          <w:szCs w:val="21"/>
        </w:rPr>
        <w:t>，占总成绩的50%。</w:t>
      </w:r>
    </w:p>
    <w:p>
      <w:pPr>
        <w:snapToGrid w:val="0"/>
        <w:spacing w:line="360" w:lineRule="auto"/>
        <w:ind w:firstLine="420" w:firstLineChars="200"/>
        <w:rPr>
          <w:szCs w:val="21"/>
        </w:rPr>
      </w:pPr>
      <w:r>
        <w:rPr>
          <w:szCs w:val="21"/>
        </w:rPr>
        <w:t xml:space="preserve">2. </w:t>
      </w:r>
      <w:r>
        <w:t>期末成绩：撰写课程论文</w:t>
      </w:r>
      <w:r>
        <w:rPr>
          <w:szCs w:val="21"/>
        </w:rPr>
        <w:t>。</w:t>
      </w:r>
    </w:p>
    <w:p>
      <w:pPr>
        <w:snapToGrid w:val="0"/>
        <w:spacing w:line="360" w:lineRule="auto"/>
        <w:ind w:firstLine="420" w:firstLineChars="200"/>
        <w:rPr>
          <w:szCs w:val="21"/>
        </w:rPr>
      </w:pPr>
      <w:r>
        <w:rPr>
          <w:szCs w:val="21"/>
        </w:rPr>
        <w:t>3. 综合成绩：平时成绩×50%+期末成绩×50%</w:t>
      </w:r>
    </w:p>
    <w:p>
      <w:pPr>
        <w:widowControl/>
        <w:snapToGrid w:val="0"/>
        <w:spacing w:line="360" w:lineRule="auto"/>
        <w:jc w:val="left"/>
        <w:outlineLvl w:val="1"/>
        <w:rPr>
          <w:rFonts w:eastAsiaTheme="majorEastAsia"/>
          <w:b/>
          <w:bCs/>
          <w:kern w:val="0"/>
          <w:szCs w:val="21"/>
        </w:rPr>
      </w:pPr>
      <w:bookmarkStart w:id="1211" w:name="_Toc138068536"/>
      <w:bookmarkStart w:id="1212" w:name="_Toc138070566"/>
      <w:bookmarkStart w:id="1213" w:name="_Toc138076231"/>
      <w:bookmarkStart w:id="1214" w:name="_Toc138076480"/>
      <w:bookmarkStart w:id="1215" w:name="_Toc138076775"/>
      <w:bookmarkStart w:id="1216" w:name="_Toc138068935"/>
      <w:bookmarkStart w:id="1217" w:name="_Toc138070837"/>
      <w:bookmarkStart w:id="1218" w:name="_Toc9779"/>
      <w:r>
        <w:rPr>
          <w:rFonts w:eastAsiaTheme="majorEastAsia"/>
          <w:b/>
          <w:bCs/>
          <w:kern w:val="0"/>
          <w:szCs w:val="21"/>
        </w:rPr>
        <w:t>六、考核结果分析反馈</w:t>
      </w:r>
      <w:bookmarkEnd w:id="1211"/>
      <w:bookmarkEnd w:id="1212"/>
      <w:bookmarkEnd w:id="1213"/>
      <w:bookmarkEnd w:id="1214"/>
      <w:bookmarkEnd w:id="1215"/>
      <w:bookmarkEnd w:id="1216"/>
      <w:bookmarkEnd w:id="1217"/>
      <w:bookmarkEnd w:id="1218"/>
    </w:p>
    <w:p>
      <w:pPr>
        <w:snapToGrid w:val="0"/>
        <w:spacing w:line="360" w:lineRule="auto"/>
        <w:ind w:firstLine="420" w:firstLineChars="200"/>
        <w:rPr>
          <w:szCs w:val="21"/>
        </w:rPr>
      </w:pPr>
      <w:r>
        <w:rPr>
          <w:szCs w:val="21"/>
        </w:rPr>
        <w:t>及时向学生反馈</w:t>
      </w:r>
      <w:r>
        <w:rPr>
          <w:bCs/>
          <w:kern w:val="0"/>
          <w:szCs w:val="21"/>
        </w:rPr>
        <w:t>分组展示的</w:t>
      </w:r>
      <w:r>
        <w:rPr>
          <w:szCs w:val="21"/>
        </w:rPr>
        <w:t>成绩，及时接受教学督导听课评价、接受教师听课评价、接受学生评教，不断改进教学内容与方法，提高教学效果。</w:t>
      </w:r>
    </w:p>
    <w:p>
      <w:pPr>
        <w:rPr>
          <w:sz w:val="28"/>
        </w:rPr>
      </w:pPr>
      <w:bookmarkStart w:id="1219" w:name="_Toc138076776"/>
      <w:bookmarkStart w:id="1220" w:name="_Toc138076232"/>
      <w:r>
        <w:rPr>
          <w:rFonts w:hint="eastAsia"/>
          <w:sz w:val="28"/>
        </w:rPr>
        <w:br w:type="page"/>
      </w:r>
    </w:p>
    <w:p>
      <w:pPr>
        <w:pStyle w:val="21"/>
        <w:rPr>
          <w:rFonts w:hint="default" w:eastAsiaTheme="majorEastAsia"/>
          <w:sz w:val="28"/>
          <w:lang w:val="en-US" w:eastAsia="zh-CN"/>
        </w:rPr>
      </w:pPr>
      <w:bookmarkStart w:id="1221" w:name="_Toc1400"/>
      <w:r>
        <w:rPr>
          <w:rFonts w:hint="eastAsia"/>
          <w:sz w:val="28"/>
        </w:rPr>
        <w:t>果蔬产品加工</w:t>
      </w:r>
      <w:bookmarkEnd w:id="1219"/>
      <w:bookmarkEnd w:id="1220"/>
      <w:bookmarkEnd w:id="1221"/>
      <w:r>
        <w:rPr>
          <w:rFonts w:hint="eastAsia"/>
          <w:sz w:val="28"/>
          <w:lang w:val="en-US" w:eastAsia="zh-CN"/>
        </w:rPr>
        <w:t>考核大纲</w:t>
      </w:r>
    </w:p>
    <w:p>
      <w:pPr>
        <w:snapToGrid w:val="0"/>
        <w:spacing w:line="360" w:lineRule="auto"/>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r>
        <w:rPr>
          <w:rFonts w:hint="eastAsia" w:ascii="宋体" w:hAnsi="宋体"/>
          <w:b/>
          <w:bCs/>
          <w:color w:val="000000" w:themeColor="text1"/>
          <w:sz w:val="24"/>
          <w:szCs w:val="24"/>
          <w14:textFill>
            <w14:solidFill>
              <w14:schemeClr w14:val="tx1"/>
            </w14:solidFill>
          </w14:textFill>
        </w:rPr>
        <w:t>Fruits and Vegetable Processing</w:t>
      </w:r>
      <w:r>
        <w:rPr>
          <w:color w:val="000000" w:themeColor="text1"/>
          <w:sz w:val="24"/>
          <w:szCs w:val="24"/>
          <w14:textFill>
            <w14:solidFill>
              <w14:schemeClr w14:val="tx1"/>
            </w14:solidFill>
          </w14:textFill>
        </w:rPr>
        <w:t>）</w:t>
      </w:r>
    </w:p>
    <w:p>
      <w:pPr>
        <w:widowControl/>
        <w:wordWrap w:val="0"/>
        <w:spacing w:line="360" w:lineRule="auto"/>
        <w:jc w:val="center"/>
        <w:outlineLvl w:val="0"/>
        <w:rPr>
          <w:rFonts w:hAnsi="宋体" w:eastAsia="黑体" w:cs="宋体"/>
          <w:b/>
          <w:bCs/>
          <w:color w:val="000000" w:themeColor="text1"/>
          <w:kern w:val="36"/>
          <w:sz w:val="24"/>
          <w14:textFill>
            <w14:solidFill>
              <w14:schemeClr w14:val="tx1"/>
            </w14:solidFill>
          </w14:textFill>
        </w:rPr>
      </w:pPr>
    </w:p>
    <w:p>
      <w:pPr>
        <w:snapToGrid w:val="0"/>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课程编号：</w:t>
            </w:r>
            <w:r>
              <w:rPr>
                <w:rFonts w:ascii="宋体" w:hAnsi="宋体"/>
                <w:b/>
                <w:bCs/>
                <w:color w:val="000000" w:themeColor="text1"/>
                <w:szCs w:val="21"/>
                <w14:textFill>
                  <w14:solidFill>
                    <w14:schemeClr w14:val="tx1"/>
                  </w14:solidFill>
                </w14:textFill>
              </w:rPr>
              <w:t>19011036</w:t>
            </w:r>
          </w:p>
        </w:tc>
        <w:tc>
          <w:tcPr>
            <w:tcW w:w="1453" w:type="pct"/>
          </w:tcPr>
          <w:p>
            <w:pPr>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课程学时：24</w:t>
            </w:r>
          </w:p>
        </w:tc>
        <w:tc>
          <w:tcPr>
            <w:tcW w:w="1881" w:type="pct"/>
          </w:tcPr>
          <w:p>
            <w:pPr>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课程学分：1.5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主撰人：</w:t>
            </w:r>
            <w:r>
              <w:rPr>
                <w:rFonts w:hAnsi="宋体"/>
                <w:b/>
                <w:color w:val="000000" w:themeColor="text1"/>
                <w:szCs w:val="21"/>
                <w14:textFill>
                  <w14:solidFill>
                    <w14:schemeClr w14:val="tx1"/>
                  </w14:solidFill>
                </w14:textFill>
              </w:rPr>
              <w:t>胡青霞、叶霞、王伟</w:t>
            </w:r>
            <w:r>
              <w:rPr>
                <w:rFonts w:hint="eastAsia" w:hAnsi="宋体"/>
                <w:b/>
                <w:color w:val="000000" w:themeColor="text1"/>
                <w:szCs w:val="21"/>
                <w14:textFill>
                  <w14:solidFill>
                    <w14:schemeClr w14:val="tx1"/>
                  </w14:solidFill>
                </w14:textFill>
              </w:rPr>
              <w:t>、侯娟、李营、何畅</w:t>
            </w:r>
          </w:p>
        </w:tc>
        <w:tc>
          <w:tcPr>
            <w:tcW w:w="1453" w:type="pct"/>
          </w:tcPr>
          <w:p>
            <w:pPr>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审核人：</w:t>
            </w:r>
            <w:r>
              <w:rPr>
                <w:rFonts w:hint="eastAsia"/>
                <w:b/>
                <w:bCs/>
                <w:szCs w:val="21"/>
              </w:rPr>
              <w:t>王兰菊</w:t>
            </w:r>
          </w:p>
        </w:tc>
        <w:tc>
          <w:tcPr>
            <w:tcW w:w="1881" w:type="pct"/>
          </w:tcPr>
          <w:p>
            <w:pPr>
              <w:spacing w:line="36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大纲制定（修订）日期:</w:t>
            </w:r>
            <w:r>
              <w:rPr>
                <w:rFonts w:ascii="宋体" w:hAnsi="宋体"/>
                <w:b/>
                <w:bCs/>
                <w:color w:val="000000" w:themeColor="text1"/>
                <w:szCs w:val="21"/>
                <w14:textFill>
                  <w14:solidFill>
                    <w14:schemeClr w14:val="tx1"/>
                  </w14:solidFill>
                </w14:textFill>
              </w:rPr>
              <w:t>2023</w:t>
            </w:r>
            <w:r>
              <w:rPr>
                <w:rFonts w:hint="eastAsia" w:ascii="宋体" w:hAnsi="宋体"/>
                <w:b/>
                <w:bCs/>
                <w:color w:val="000000" w:themeColor="text1"/>
                <w:szCs w:val="21"/>
                <w14:textFill>
                  <w14:solidFill>
                    <w14:schemeClr w14:val="tx1"/>
                  </w14:solidFill>
                </w14:textFill>
              </w:rPr>
              <w:t>.05</w:t>
            </w:r>
          </w:p>
        </w:tc>
      </w:tr>
    </w:tbl>
    <w:p>
      <w:pPr>
        <w:widowControl/>
        <w:snapToGrid w:val="0"/>
        <w:spacing w:line="360" w:lineRule="auto"/>
        <w:jc w:val="left"/>
        <w:outlineLvl w:val="1"/>
        <w:rPr>
          <w:rFonts w:ascii="宋体" w:hAnsi="宋体" w:cs="宋体"/>
          <w:b/>
          <w:bCs/>
          <w:color w:val="000000" w:themeColor="text1"/>
          <w:kern w:val="0"/>
          <w:szCs w:val="21"/>
          <w14:textFill>
            <w14:solidFill>
              <w14:schemeClr w14:val="tx1"/>
            </w14:solidFill>
          </w14:textFill>
        </w:rPr>
      </w:pPr>
      <w:bookmarkStart w:id="1222" w:name="_Toc138076233"/>
      <w:bookmarkStart w:id="1223" w:name="_Toc138070839"/>
      <w:bookmarkStart w:id="1224" w:name="_Toc138068538"/>
      <w:bookmarkStart w:id="1225" w:name="_Toc138076777"/>
      <w:bookmarkStart w:id="1226" w:name="_Toc138068937"/>
      <w:bookmarkStart w:id="1227" w:name="_Toc138076482"/>
      <w:bookmarkStart w:id="1228" w:name="_Toc12080"/>
      <w:bookmarkStart w:id="1229" w:name="_Toc138070568"/>
      <w:r>
        <w:rPr>
          <w:rFonts w:hint="eastAsia" w:ascii="宋体" w:hAnsi="宋体" w:cs="宋体"/>
          <w:b/>
          <w:bCs/>
          <w:color w:val="000000" w:themeColor="text1"/>
          <w:kern w:val="0"/>
          <w:szCs w:val="21"/>
          <w14:textFill>
            <w14:solidFill>
              <w14:schemeClr w14:val="tx1"/>
            </w14:solidFill>
          </w14:textFill>
        </w:rPr>
        <w:t>一、课程的性质和地位</w:t>
      </w:r>
      <w:bookmarkEnd w:id="1222"/>
      <w:bookmarkEnd w:id="1223"/>
      <w:bookmarkEnd w:id="1224"/>
      <w:bookmarkEnd w:id="1225"/>
      <w:bookmarkEnd w:id="1226"/>
      <w:bookmarkEnd w:id="1227"/>
      <w:bookmarkEnd w:id="1228"/>
      <w:bookmarkEnd w:id="1229"/>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根据《果蔬产品加工》教学大纲要求，本课程为园艺专业本科生设置的选修课。学习本课程的主要目的是使同学们明确果蔬加工在果蔬生产这一产业链中的位置，掌握果蔬加工的基本原理及常见的加工品制作的加工工艺流程和注意事项，为园艺产品的增产增收准备丰厚的知识。</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二、理论教学部分的考核目标</w:t>
      </w:r>
    </w:p>
    <w:p>
      <w:pPr>
        <w:snapToGrid w:val="0"/>
        <w:spacing w:line="360" w:lineRule="auto"/>
        <w:ind w:firstLine="117" w:firstLineChars="49"/>
        <w:jc w:val="center"/>
        <w:rPr>
          <w:rFonts w:ascii="宋体" w:hAnsi="宋体"/>
          <w:b/>
          <w:color w:val="000000" w:themeColor="text1"/>
          <w:szCs w:val="21"/>
          <w14:textFill>
            <w14:solidFill>
              <w14:schemeClr w14:val="tx1"/>
            </w14:solidFill>
          </w14:textFill>
        </w:rPr>
      </w:pPr>
      <w:r>
        <w:rPr>
          <w:rFonts w:hint="eastAsia" w:ascii="黑体" w:hAnsi="宋体" w:eastAsia="黑体"/>
          <w:color w:val="000000" w:themeColor="text1"/>
          <w:sz w:val="24"/>
          <w14:textFill>
            <w14:solidFill>
              <w14:schemeClr w14:val="tx1"/>
            </w14:solidFill>
          </w14:textFill>
        </w:rPr>
        <w:t>绪 论</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：发展果蔬加工业的意义；我国果蔬加工发展的现状；发展果蔬加工业的注意事项；蔬菜在人们生活。</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农业生产和国民经济中的地位和作用。</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果蔬加工品的定义及其特点。</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1．果蔬加工品的定义。</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2．果蔬加工品的特点。</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3．果蔬加工在整个果蔬生产产业链中的地位。</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果蔬加工的定义。</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果蔬加工的</w:t>
      </w:r>
      <w:r>
        <w:rPr>
          <w:rFonts w:ascii="宋体" w:hAnsi="宋体"/>
          <w:bCs/>
          <w:color w:val="000000" w:themeColor="text1"/>
          <w:szCs w:val="21"/>
          <w14:textFill>
            <w14:solidFill>
              <w14:schemeClr w14:val="tx1"/>
            </w14:solidFill>
          </w14:textFill>
        </w:rPr>
        <w:t>意义。</w:t>
      </w:r>
      <w:r>
        <w:rPr>
          <w:rFonts w:hint="eastAsia" w:ascii="宋体" w:hAnsi="宋体"/>
          <w:bCs/>
          <w:color w:val="000000" w:themeColor="text1"/>
          <w:szCs w:val="21"/>
          <w14:textFill>
            <w14:solidFill>
              <w14:schemeClr w14:val="tx1"/>
            </w14:solidFill>
          </w14:textFill>
        </w:rPr>
        <w:t xml:space="preserve"> </w:t>
      </w: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第一章  果蔬加工基本原理及加工原料的预处理</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果蔬加工品的种类及原料预处理的方法。</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果蔬加工品的种类及原料预处理的方法、目的及意义。</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果蔬加工保藏的基本原理（无生机原理、假死原理、生化原理）。</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1．果蔬加工品的种类。</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2．烫漂及其作用。</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3．半成品保存方法、加工原理（无生机原理、假死原理、生化原理）以及 保存措施 SO2的作用。</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果蔬加工的基本原理。</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果蔬加工保藏的意义</w:t>
      </w:r>
      <w:r>
        <w:rPr>
          <w:rFonts w:ascii="宋体" w:hAnsi="宋体"/>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 xml:space="preserve"> </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：利用</w:t>
      </w:r>
      <w:r>
        <w:rPr>
          <w:rFonts w:hint="eastAsia" w:ascii="宋体" w:hAnsi="宋体"/>
          <w:bCs/>
          <w:color w:val="000000" w:themeColor="text1"/>
          <w:szCs w:val="21"/>
          <w14:textFill>
            <w14:solidFill>
              <w14:schemeClr w14:val="tx1"/>
            </w14:solidFill>
          </w14:textFill>
        </w:rPr>
        <w:t>果蔬加工保藏的基本原理，</w:t>
      </w:r>
      <w:r>
        <w:rPr>
          <w:rFonts w:ascii="宋体" w:hAnsi="宋体"/>
          <w:bCs/>
          <w:color w:val="000000" w:themeColor="text1"/>
          <w:szCs w:val="21"/>
          <w14:textFill>
            <w14:solidFill>
              <w14:schemeClr w14:val="tx1"/>
            </w14:solidFill>
          </w14:textFill>
        </w:rPr>
        <w:t>进行加工保鲜的改良与应用。</w:t>
      </w: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第二章  果蔬的罐藏</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：罐藏果蔬制品的原料要求、罐制品的优缺点及其发展方向。</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罐藏的基本加工原理、工艺流程及技术操作关键。</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针对某一种果蔬提出罐藏技术操作规程。</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1．基本概念：罐藏  F值  商业无菌  马口铁  顶隙  高压杀菌  常压杀菌  软罐头。</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2．基本知识：杀菌公式的意义  F值的计算  影响杀菌的因素  罐头制作的工艺流程  罐头败坏的种类。</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果蔬罐藏的定义。</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果蔬罐藏的</w:t>
      </w:r>
      <w:r>
        <w:rPr>
          <w:rFonts w:ascii="宋体" w:hAnsi="宋体"/>
          <w:bCs/>
          <w:color w:val="000000" w:themeColor="text1"/>
          <w:szCs w:val="21"/>
          <w14:textFill>
            <w14:solidFill>
              <w14:schemeClr w14:val="tx1"/>
            </w14:solidFill>
          </w14:textFill>
        </w:rPr>
        <w:t>意义。</w:t>
      </w:r>
      <w:r>
        <w:rPr>
          <w:rFonts w:hint="eastAsia" w:ascii="宋体" w:hAnsi="宋体"/>
          <w:bCs/>
          <w:color w:val="000000" w:themeColor="text1"/>
          <w:szCs w:val="21"/>
          <w14:textFill>
            <w14:solidFill>
              <w14:schemeClr w14:val="tx1"/>
            </w14:solidFill>
          </w14:textFill>
        </w:rPr>
        <w:t xml:space="preserve"> </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：利用</w:t>
      </w:r>
      <w:r>
        <w:rPr>
          <w:rFonts w:hint="eastAsia" w:ascii="宋体" w:hAnsi="宋体"/>
          <w:bCs/>
          <w:color w:val="000000" w:themeColor="text1"/>
          <w:szCs w:val="21"/>
          <w14:textFill>
            <w14:solidFill>
              <w14:schemeClr w14:val="tx1"/>
            </w14:solidFill>
          </w14:textFill>
        </w:rPr>
        <w:t>罐藏的基本加工原理、工艺流程及技术操作关键规程</w:t>
      </w:r>
      <w:r>
        <w:rPr>
          <w:rFonts w:ascii="宋体" w:hAnsi="宋体"/>
          <w:bCs/>
          <w:color w:val="000000" w:themeColor="text1"/>
          <w:szCs w:val="21"/>
          <w14:textFill>
            <w14:solidFill>
              <w14:schemeClr w14:val="tx1"/>
            </w14:solidFill>
          </w14:textFill>
        </w:rPr>
        <w:t>，改进罐藏工艺</w:t>
      </w:r>
      <w:r>
        <w:rPr>
          <w:rFonts w:hint="eastAsia" w:ascii="宋体" w:hAnsi="宋体"/>
          <w:bCs/>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4</w:t>
      </w:r>
      <w:r>
        <w:rPr>
          <w:rFonts w:hint="eastAsia" w:ascii="宋体" w:hAnsi="宋体"/>
          <w:b/>
          <w:color w:val="000000" w:themeColor="text1"/>
          <w:szCs w:val="21"/>
          <w14:textFill>
            <w14:solidFill>
              <w14:schemeClr w14:val="tx1"/>
            </w14:solidFill>
          </w14:textFill>
        </w:rPr>
        <w:t>.综合</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掌握现存</w:t>
      </w:r>
      <w:r>
        <w:rPr>
          <w:rFonts w:hint="eastAsia" w:ascii="宋体" w:hAnsi="宋体"/>
          <w:color w:val="000000" w:themeColor="text1"/>
          <w:szCs w:val="21"/>
          <w14:textFill>
            <w14:solidFill>
              <w14:schemeClr w14:val="tx1"/>
            </w14:solidFill>
          </w14:textFill>
        </w:rPr>
        <w:t>罐制品的优缺点，未来</w:t>
      </w:r>
      <w:r>
        <w:rPr>
          <w:rFonts w:ascii="宋体" w:hAnsi="宋体"/>
          <w:color w:val="000000" w:themeColor="text1"/>
          <w:szCs w:val="21"/>
          <w14:textFill>
            <w14:solidFill>
              <w14:schemeClr w14:val="tx1"/>
            </w14:solidFill>
          </w14:textFill>
        </w:rPr>
        <w:t>发展方向。</w:t>
      </w:r>
    </w:p>
    <w:p>
      <w:pPr>
        <w:pStyle w:val="10"/>
        <w:snapToGrid w:val="0"/>
        <w:spacing w:line="360" w:lineRule="auto"/>
        <w:jc w:val="center"/>
        <w:rPr>
          <w:rFonts w:hAnsi="宋体"/>
          <w:b/>
          <w:color w:val="000000" w:themeColor="text1"/>
          <w14:textFill>
            <w14:solidFill>
              <w14:schemeClr w14:val="tx1"/>
            </w14:solidFill>
          </w14:textFill>
        </w:rPr>
      </w:pP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第三章  果汁菜汁的加工</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：果菜汁加工新进展及其发展方向。</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果汁菜汁的种类。</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果汁菜汁的种类，制作的基本工艺流程。</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果菜汁加工</w:t>
      </w:r>
      <w:r>
        <w:rPr>
          <w:rFonts w:hint="eastAsia" w:ascii="宋体" w:hAnsi="宋体"/>
          <w:bCs/>
          <w:color w:val="000000" w:themeColor="text1"/>
          <w:szCs w:val="21"/>
          <w14:textFill>
            <w14:solidFill>
              <w14:schemeClr w14:val="tx1"/>
            </w14:solidFill>
          </w14:textFill>
        </w:rPr>
        <w:t>的定义。</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果菜汁加工</w:t>
      </w:r>
      <w:r>
        <w:rPr>
          <w:rFonts w:hint="eastAsia" w:ascii="宋体" w:hAnsi="宋体"/>
          <w:bCs/>
          <w:color w:val="000000" w:themeColor="text1"/>
          <w:szCs w:val="21"/>
          <w14:textFill>
            <w14:solidFill>
              <w14:schemeClr w14:val="tx1"/>
            </w14:solidFill>
          </w14:textFill>
        </w:rPr>
        <w:t>的特点。</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3．果汁菜汁的种类，制作的基本工艺流程。</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果汁菜汁加工的基本概念。</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各种果菜汁加工的基本工艺流程及区别</w:t>
      </w:r>
      <w:r>
        <w:rPr>
          <w:rFonts w:ascii="宋体" w:hAnsi="宋体"/>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 xml:space="preserve"> </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利用所学果汁菜汁的加工的</w:t>
      </w:r>
      <w:r>
        <w:rPr>
          <w:rFonts w:ascii="宋体" w:hAnsi="宋体"/>
          <w:bCs/>
          <w:color w:val="000000" w:themeColor="text1"/>
          <w:szCs w:val="21"/>
          <w14:textFill>
            <w14:solidFill>
              <w14:schemeClr w14:val="tx1"/>
            </w14:solidFill>
          </w14:textFill>
        </w:rPr>
        <w:t>理论知识，进行果汁菜汁加工。</w:t>
      </w: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第四章  果酒的加工</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：果酒加工的起源，发展，品酒及饮酒的一般常识</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w:t>
      </w:r>
      <w:r>
        <w:rPr>
          <w:rFonts w:hint="eastAsia" w:ascii="宋体" w:hAnsi="宋体"/>
          <w:b/>
          <w:color w:val="000000" w:themeColor="text1"/>
          <w:szCs w:val="21"/>
          <w14:textFill>
            <w14:solidFill>
              <w14:schemeClr w14:val="tx1"/>
            </w14:solidFill>
          </w14:textFill>
        </w:rPr>
        <w:t>.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果酒的种类、果酒加工的关键工艺及果酒加工的基本工艺流程。</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1．基本概念：果酒的概念，葡萄酒的概念。</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2．基本知识：果酒的种类、SO2在果酒酿造中的作用、添桶的概念及意义、换桶的概念及意义、下胶的概念及意义、葡萄酒酵母的来源以及制作及添加。</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掌握葡萄酒的种类。</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不同葡萄酒制作的基本工艺流程及关键的操作步骤</w:t>
      </w:r>
      <w:r>
        <w:rPr>
          <w:rFonts w:ascii="宋体" w:hAnsi="宋体"/>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 xml:space="preserve"> </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：掌握</w:t>
      </w:r>
      <w:r>
        <w:rPr>
          <w:rFonts w:hint="eastAsia" w:ascii="宋体" w:hAnsi="宋体"/>
          <w:bCs/>
          <w:color w:val="000000" w:themeColor="text1"/>
          <w:szCs w:val="21"/>
          <w14:textFill>
            <w14:solidFill>
              <w14:schemeClr w14:val="tx1"/>
            </w14:solidFill>
          </w14:textFill>
        </w:rPr>
        <w:t>不同葡萄酒制作的基本工艺流程，进行不同</w:t>
      </w:r>
      <w:r>
        <w:rPr>
          <w:rFonts w:ascii="宋体" w:hAnsi="宋体"/>
          <w:bCs/>
          <w:color w:val="000000" w:themeColor="text1"/>
          <w:szCs w:val="21"/>
          <w14:textFill>
            <w14:solidFill>
              <w14:schemeClr w14:val="tx1"/>
            </w14:solidFill>
          </w14:textFill>
        </w:rPr>
        <w:t>种类葡萄酒</w:t>
      </w:r>
      <w:r>
        <w:rPr>
          <w:rFonts w:hint="eastAsia" w:ascii="宋体" w:hAnsi="宋体"/>
          <w:bCs/>
          <w:color w:val="000000" w:themeColor="text1"/>
          <w:szCs w:val="21"/>
          <w14:textFill>
            <w14:solidFill>
              <w14:schemeClr w14:val="tx1"/>
            </w14:solidFill>
          </w14:textFill>
        </w:rPr>
        <w:t>加工并对加工工艺</w:t>
      </w:r>
      <w:r>
        <w:rPr>
          <w:rFonts w:ascii="宋体" w:hAnsi="宋体"/>
          <w:bCs/>
          <w:color w:val="000000" w:themeColor="text1"/>
          <w:szCs w:val="21"/>
          <w14:textFill>
            <w14:solidFill>
              <w14:schemeClr w14:val="tx1"/>
            </w14:solidFill>
          </w14:textFill>
        </w:rPr>
        <w:t>进行改进。</w:t>
      </w: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第五章  速冻保藏加工技术</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：速冻加工的优缺点、速冻制品的发展前景。</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：果蔬的速冻制品的保藏与解冻</w:t>
      </w:r>
      <w:r>
        <w:rPr>
          <w:rFonts w:hint="eastAsia" w:ascii="宋体" w:hAnsi="宋体"/>
          <w:bCs/>
          <w:color w:val="000000" w:themeColor="text1"/>
          <w:szCs w:val="21"/>
          <w14:textFill>
            <w14:solidFill>
              <w14:schemeClr w14:val="tx1"/>
            </w14:solidFill>
          </w14:textFill>
        </w:rPr>
        <w:t>。</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速冻的原理，速冻对原料的要求，速冻的方法和工艺流程。。</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1．速冻保藏的原理。</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2．速冻与缓冻的区别。</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3．适宜速冻的产品种类。</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4</w:t>
      </w:r>
      <w:r>
        <w:rPr>
          <w:rFonts w:hint="eastAsia" w:ascii="宋体" w:hAnsi="宋体"/>
          <w:bCs/>
          <w:color w:val="000000" w:themeColor="text1"/>
          <w:szCs w:val="21"/>
          <w14:textFill>
            <w14:solidFill>
              <w14:schemeClr w14:val="tx1"/>
            </w14:solidFill>
          </w14:textFill>
        </w:rPr>
        <w:t>．速冻的工艺流程、速冻的方法。</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5</w:t>
      </w:r>
      <w:r>
        <w:rPr>
          <w:rFonts w:hint="eastAsia" w:ascii="宋体" w:hAnsi="宋体"/>
          <w:bCs/>
          <w:color w:val="000000" w:themeColor="text1"/>
          <w:szCs w:val="21"/>
          <w14:textFill>
            <w14:solidFill>
              <w14:schemeClr w14:val="tx1"/>
            </w14:solidFill>
          </w14:textFill>
        </w:rPr>
        <w:t>．解冻应该注意的事项。</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速冻对原料的要求、速冻加工工艺流程及速冻的方法。</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速冻与缓冻的区别</w:t>
      </w:r>
      <w:r>
        <w:rPr>
          <w:rFonts w:ascii="宋体" w:hAnsi="宋体"/>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 xml:space="preserve"> </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利用速冻的原理，</w:t>
      </w:r>
      <w:r>
        <w:rPr>
          <w:rFonts w:ascii="宋体" w:hAnsi="宋体"/>
          <w:bCs/>
          <w:color w:val="000000" w:themeColor="text1"/>
          <w:szCs w:val="21"/>
          <w14:textFill>
            <w14:solidFill>
              <w14:schemeClr w14:val="tx1"/>
            </w14:solidFill>
          </w14:textFill>
        </w:rPr>
        <w:t>进行</w:t>
      </w:r>
      <w:r>
        <w:rPr>
          <w:rFonts w:hint="eastAsia" w:ascii="宋体" w:hAnsi="宋体"/>
          <w:bCs/>
          <w:color w:val="000000" w:themeColor="text1"/>
          <w:szCs w:val="21"/>
          <w14:textFill>
            <w14:solidFill>
              <w14:schemeClr w14:val="tx1"/>
            </w14:solidFill>
          </w14:textFill>
        </w:rPr>
        <w:t>速冻的工艺流程、速冻的方法应用</w:t>
      </w:r>
      <w:r>
        <w:rPr>
          <w:rFonts w:ascii="宋体" w:hAnsi="宋体"/>
          <w:bCs/>
          <w:color w:val="000000" w:themeColor="text1"/>
          <w:szCs w:val="21"/>
          <w14:textFill>
            <w14:solidFill>
              <w14:schemeClr w14:val="tx1"/>
            </w14:solidFill>
          </w14:textFill>
        </w:rPr>
        <w:t>与改进。</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4</w:t>
      </w:r>
      <w:r>
        <w:rPr>
          <w:rFonts w:hint="eastAsia" w:ascii="宋体" w:hAnsi="宋体"/>
          <w:b/>
          <w:color w:val="000000" w:themeColor="text1"/>
          <w:szCs w:val="21"/>
          <w14:textFill>
            <w14:solidFill>
              <w14:schemeClr w14:val="tx1"/>
            </w14:solidFill>
          </w14:textFill>
        </w:rPr>
        <w:t>.综合</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熟练</w:t>
      </w:r>
      <w:r>
        <w:rPr>
          <w:rFonts w:ascii="宋体" w:hAnsi="宋体"/>
          <w:bCs/>
          <w:color w:val="000000" w:themeColor="text1"/>
          <w:szCs w:val="21"/>
          <w14:textFill>
            <w14:solidFill>
              <w14:schemeClr w14:val="tx1"/>
            </w14:solidFill>
          </w14:textFill>
        </w:rPr>
        <w:t>掌握速冻保鲜加工技术，掌握速冻保鲜加工技术</w:t>
      </w:r>
      <w:r>
        <w:rPr>
          <w:rFonts w:hint="eastAsia" w:ascii="宋体" w:hAnsi="宋体"/>
          <w:bCs/>
          <w:color w:val="000000" w:themeColor="text1"/>
          <w:szCs w:val="21"/>
          <w14:textFill>
            <w14:solidFill>
              <w14:schemeClr w14:val="tx1"/>
            </w14:solidFill>
          </w14:textFill>
        </w:rPr>
        <w:t>的</w:t>
      </w:r>
      <w:r>
        <w:rPr>
          <w:rFonts w:ascii="宋体" w:hAnsi="宋体"/>
          <w:bCs/>
          <w:color w:val="000000" w:themeColor="text1"/>
          <w:szCs w:val="21"/>
          <w14:textFill>
            <w14:solidFill>
              <w14:schemeClr w14:val="tx1"/>
            </w14:solidFill>
          </w14:textFill>
        </w:rPr>
        <w:t>发展方向。</w:t>
      </w: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第六章  果品蔬菜干制</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：干制品的种类，干制品加工的意义。</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干制原料的选择及处理，干制的方法与设备。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3</w:t>
      </w:r>
      <w:r>
        <w:rPr>
          <w:rFonts w:hint="eastAsia" w:ascii="宋体" w:hAnsi="宋体"/>
          <w:b/>
          <w:color w:val="000000" w:themeColor="text1"/>
          <w:szCs w:val="21"/>
          <w14:textFill>
            <w14:solidFill>
              <w14:schemeClr w14:val="tx1"/>
            </w14:solidFill>
          </w14:textFill>
        </w:rPr>
        <w:t>.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干制的原理、干制的加工工艺流程。</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适宜干制的原料的特点。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热烫处理的优点。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干制的方法及其优缺点。</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 干制的工艺流程。</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干制原理及干制方法。</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干制的原理、干制的加工工艺流程</w:t>
      </w:r>
      <w:r>
        <w:rPr>
          <w:rFonts w:ascii="宋体" w:hAnsi="宋体"/>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 xml:space="preserve"> </w:t>
      </w: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第七章  果蔬糖制</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：了解果蔬糖制品加工的关键步骤及其发展趋势。</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糖制品的种类、基本原理及制作方法。</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1．糖制品的种类。</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2．高甲氧基果胶和低甲氧基果胶。</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3．糖制的基本原理。</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4</w:t>
      </w:r>
      <w:r>
        <w:rPr>
          <w:rFonts w:hint="eastAsia" w:ascii="宋体" w:hAnsi="宋体"/>
          <w:bCs/>
          <w:color w:val="000000" w:themeColor="text1"/>
          <w:szCs w:val="21"/>
          <w14:textFill>
            <w14:solidFill>
              <w14:schemeClr w14:val="tx1"/>
            </w14:solidFill>
          </w14:textFill>
        </w:rPr>
        <w:t>．判断糖制品熬制终点的方法。</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ascii="宋体" w:hAnsi="宋体"/>
          <w:bCs/>
          <w:color w:val="000000" w:themeColor="text1"/>
          <w:szCs w:val="21"/>
          <w14:textFill>
            <w14:solidFill>
              <w14:schemeClr w14:val="tx1"/>
            </w14:solidFill>
          </w14:textFill>
        </w:rPr>
        <w:t>5</w:t>
      </w:r>
      <w:r>
        <w:rPr>
          <w:rFonts w:hint="eastAsia" w:ascii="宋体" w:hAnsi="宋体"/>
          <w:bCs/>
          <w:color w:val="000000" w:themeColor="text1"/>
          <w:szCs w:val="21"/>
          <w14:textFill>
            <w14:solidFill>
              <w14:schemeClr w14:val="tx1"/>
            </w14:solidFill>
          </w14:textFill>
        </w:rPr>
        <w:t>．影响胶凝的因素。</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各种糖制品基本工艺流程。</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糖制的基本原理及</w:t>
      </w:r>
      <w:r>
        <w:rPr>
          <w:rFonts w:ascii="宋体" w:hAnsi="宋体"/>
          <w:bCs/>
          <w:color w:val="000000" w:themeColor="text1"/>
          <w:szCs w:val="21"/>
          <w14:textFill>
            <w14:solidFill>
              <w14:schemeClr w14:val="tx1"/>
            </w14:solidFill>
          </w14:textFill>
        </w:rPr>
        <w:t>意义。</w:t>
      </w:r>
      <w:r>
        <w:rPr>
          <w:rFonts w:hint="eastAsia" w:ascii="宋体" w:hAnsi="宋体"/>
          <w:bCs/>
          <w:color w:val="000000" w:themeColor="text1"/>
          <w:szCs w:val="21"/>
          <w14:textFill>
            <w14:solidFill>
              <w14:schemeClr w14:val="tx1"/>
            </w14:solidFill>
          </w14:textFill>
        </w:rPr>
        <w:t xml:space="preserve"> </w:t>
      </w:r>
    </w:p>
    <w:p>
      <w:pPr>
        <w:pStyle w:val="10"/>
        <w:snapToGrid w:val="0"/>
        <w:spacing w:line="360" w:lineRule="auto"/>
        <w:jc w:val="center"/>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第八章  果品蔬菜的腌制</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：蔬菜腌制品的分类和各种腌制品的特点，腌制品加工的有缺点等及发展趋势。</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蔬菜腌制过程中微生物的发酵作用及蛋白质的分解对腌制品质量的影响。</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蔬菜腌制品的保藏原理，蔬菜腌制品原料选择及不同制品的加工工艺。</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基本知识：腌制品的种类，食盐的保藏作用，乳酸发酵。</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综合知识：主要腌制品的特点及其各自的加工工艺流程。</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腌制品的种类、腌制品的加工原理原理、食盐的保藏作用。</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ascii="宋体" w:hAnsi="宋体"/>
          <w:b/>
          <w:color w:val="000000" w:themeColor="text1"/>
          <w:szCs w:val="21"/>
          <w14:textFill>
            <w14:solidFill>
              <w14:schemeClr w14:val="tx1"/>
            </w14:solidFill>
          </w14:textFill>
        </w:rPr>
        <w:t>2</w:t>
      </w:r>
      <w:r>
        <w:rPr>
          <w:rFonts w:hint="eastAsia" w:ascii="宋体" w:hAnsi="宋体"/>
          <w:b/>
          <w:color w:val="000000" w:themeColor="text1"/>
          <w:szCs w:val="21"/>
          <w14:textFill>
            <w14:solidFill>
              <w14:schemeClr w14:val="tx1"/>
            </w14:solidFill>
          </w14:textFill>
        </w:rPr>
        <w:t>.应用</w:t>
      </w:r>
      <w:r>
        <w:rPr>
          <w:rFonts w:hint="eastAsia" w:ascii="宋体" w:hAnsi="宋体"/>
          <w:color w:val="000000" w:themeColor="text1"/>
          <w:szCs w:val="21"/>
          <w14:textFill>
            <w14:solidFill>
              <w14:schemeClr w14:val="tx1"/>
            </w14:solidFill>
          </w14:textFill>
        </w:rPr>
        <w:t>：腌制品的加工方法。</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三、实验部分的考核要求</w:t>
      </w:r>
    </w:p>
    <w:p>
      <w:pPr>
        <w:widowControl/>
        <w:adjustRightInd w:val="0"/>
        <w:snapToGrid w:val="0"/>
        <w:spacing w:line="360" w:lineRule="auto"/>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1.</w:t>
      </w:r>
      <w:r>
        <w:rPr>
          <w:rFonts w:hint="eastAsia"/>
        </w:rPr>
        <w:t xml:space="preserve"> </w:t>
      </w:r>
      <w:r>
        <w:rPr>
          <w:rFonts w:hint="eastAsia" w:ascii="宋体" w:hAnsi="宋体"/>
          <w:bCs/>
          <w:color w:val="000000" w:themeColor="text1"/>
          <w:szCs w:val="21"/>
          <w14:textFill>
            <w14:solidFill>
              <w14:schemeClr w14:val="tx1"/>
            </w14:solidFill>
          </w14:textFill>
        </w:rPr>
        <w:t>熟悉并掌握各种常见加工制品的加工工艺流程。</w:t>
      </w:r>
    </w:p>
    <w:p>
      <w:pPr>
        <w:widowControl/>
        <w:adjustRightInd w:val="0"/>
        <w:snapToGrid w:val="0"/>
        <w:spacing w:line="360" w:lineRule="auto"/>
        <w:ind w:firstLine="420" w:firstLineChars="200"/>
        <w:jc w:val="left"/>
        <w:rPr>
          <w:rFonts w:ascii="宋体" w:hAnsi="宋体"/>
          <w:bCs/>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2.</w:t>
      </w:r>
      <w:r>
        <w:rPr>
          <w:rFonts w:hint="eastAsia"/>
        </w:rPr>
        <w:t xml:space="preserve"> </w:t>
      </w:r>
      <w:r>
        <w:rPr>
          <w:rFonts w:hint="eastAsia" w:ascii="宋体" w:hAnsi="宋体"/>
          <w:bCs/>
          <w:color w:val="000000" w:themeColor="text1"/>
          <w:szCs w:val="21"/>
          <w14:textFill>
            <w14:solidFill>
              <w14:schemeClr w14:val="tx1"/>
            </w14:solidFill>
          </w14:textFill>
        </w:rPr>
        <w:t>理解各种预处理方法的作用及其原理。</w:t>
      </w:r>
    </w:p>
    <w:p>
      <w:pPr>
        <w:widowControl/>
        <w:adjustRightInd w:val="0"/>
        <w:snapToGrid w:val="0"/>
        <w:spacing w:line="360" w:lineRule="auto"/>
        <w:ind w:firstLine="420" w:firstLineChars="200"/>
        <w:jc w:val="left"/>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掌握果蔬加工制品品质鉴评的方法。</w:t>
      </w:r>
    </w:p>
    <w:p>
      <w:pPr>
        <w:widowControl/>
        <w:adjustRightInd w:val="0"/>
        <w:snapToGrid w:val="0"/>
        <w:spacing w:line="360" w:lineRule="auto"/>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 掌握果蔬加工中确定单元操作参数的试验设计。</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四、考核方式</w:t>
      </w:r>
    </w:p>
    <w:p>
      <w:pPr>
        <w:adjustRightInd w:val="0"/>
        <w:snapToGrid w:val="0"/>
        <w:spacing w:line="360" w:lineRule="auto"/>
        <w:ind w:firstLine="308" w:firstLineChars="147"/>
        <w:rPr>
          <w:szCs w:val="21"/>
        </w:rPr>
      </w:pPr>
      <w:r>
        <w:rPr>
          <w:rFonts w:hint="eastAsia" w:ascii="宋体" w:hAnsi="宋体"/>
          <w:bCs/>
          <w:color w:val="000000" w:themeColor="text1"/>
          <w:szCs w:val="21"/>
          <w14:textFill>
            <w14:solidFill>
              <w14:schemeClr w14:val="tx1"/>
            </w14:solidFill>
          </w14:textFill>
        </w:rPr>
        <w:t>1</w:t>
      </w:r>
      <w:r>
        <w:rPr>
          <w:rFonts w:ascii="宋体" w:hAnsi="宋体"/>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结</w:t>
      </w:r>
      <w:r>
        <w:rPr>
          <w:rFonts w:hint="eastAsia"/>
          <w:szCs w:val="21"/>
        </w:rPr>
        <w:t>合每章节的线下课程考核和课堂讨论，增加理论教学的过程性评价</w:t>
      </w:r>
    </w:p>
    <w:p>
      <w:pPr>
        <w:adjustRightInd w:val="0"/>
        <w:snapToGrid w:val="0"/>
        <w:spacing w:line="360" w:lineRule="auto"/>
        <w:ind w:firstLine="308" w:firstLineChars="147"/>
        <w:rPr>
          <w:szCs w:val="21"/>
        </w:rPr>
      </w:pPr>
      <w:r>
        <w:rPr>
          <w:rFonts w:hint="eastAsia"/>
          <w:szCs w:val="21"/>
        </w:rPr>
        <w:t>平时成绩的考核增加每章节的线下知识点考核和课堂讨论，占比10%；</w:t>
      </w:r>
    </w:p>
    <w:p>
      <w:pPr>
        <w:adjustRightInd w:val="0"/>
        <w:snapToGrid w:val="0"/>
        <w:spacing w:line="360" w:lineRule="auto"/>
        <w:ind w:firstLine="308" w:firstLineChars="147"/>
        <w:rPr>
          <w:szCs w:val="21"/>
        </w:rPr>
      </w:pPr>
      <w:r>
        <w:rPr>
          <w:rFonts w:hint="eastAsia"/>
          <w:szCs w:val="21"/>
        </w:rPr>
        <w:t>2</w:t>
      </w:r>
      <w:r>
        <w:rPr>
          <w:szCs w:val="21"/>
        </w:rPr>
        <w:t>.</w:t>
      </w:r>
      <w:r>
        <w:rPr>
          <w:rFonts w:hint="eastAsia"/>
          <w:szCs w:val="21"/>
        </w:rPr>
        <w:t>期末理论教学采用笔试，闭卷，考试时间为1</w:t>
      </w:r>
      <w:r>
        <w:rPr>
          <w:szCs w:val="21"/>
        </w:rPr>
        <w:t>2</w:t>
      </w:r>
      <w:r>
        <w:rPr>
          <w:rFonts w:hint="eastAsia"/>
          <w:szCs w:val="21"/>
        </w:rPr>
        <w:t>0分钟，在课程结束后的期末进行，占比50%。</w:t>
      </w:r>
    </w:p>
    <w:p>
      <w:pPr>
        <w:adjustRightInd w:val="0"/>
        <w:snapToGrid w:val="0"/>
        <w:spacing w:line="360" w:lineRule="auto"/>
        <w:ind w:firstLine="420" w:firstLineChars="200"/>
        <w:rPr>
          <w:szCs w:val="21"/>
        </w:rPr>
      </w:pPr>
      <w:r>
        <w:rPr>
          <w:rFonts w:hint="eastAsia"/>
          <w:szCs w:val="21"/>
        </w:rPr>
        <w:t>增加案例教学，进行反转课堂考核，拓宽课程考核的广度，采</w:t>
      </w:r>
      <w:r>
        <w:rPr>
          <w:rFonts w:hint="eastAsia"/>
          <w:color w:val="000000" w:themeColor="text1"/>
          <w:szCs w:val="21"/>
          <w14:textFill>
            <w14:solidFill>
              <w14:schemeClr w14:val="tx1"/>
            </w14:solidFill>
          </w14:textFill>
        </w:rPr>
        <w:t>用分小组进行课程相关内容的</w:t>
      </w:r>
      <w:r>
        <w:rPr>
          <w:color w:val="000000" w:themeColor="text1"/>
          <w:szCs w:val="21"/>
          <w14:textFill>
            <w14:solidFill>
              <w14:schemeClr w14:val="tx1"/>
            </w14:solidFill>
          </w14:textFill>
        </w:rPr>
        <w:t>PPT</w:t>
      </w:r>
      <w:r>
        <w:rPr>
          <w:rFonts w:hint="eastAsia"/>
          <w:color w:val="000000" w:themeColor="text1"/>
          <w:szCs w:val="21"/>
          <w14:textFill>
            <w14:solidFill>
              <w14:schemeClr w14:val="tx1"/>
            </w14:solidFill>
          </w14:textFill>
        </w:rPr>
        <w:t>制作和讲解，将理论教学内容和实践相结合，占比</w:t>
      </w: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w:t>
      </w:r>
    </w:p>
    <w:p>
      <w:pPr>
        <w:adjustRightInd w:val="0"/>
        <w:snapToGrid w:val="0"/>
        <w:spacing w:line="360" w:lineRule="auto"/>
        <w:ind w:firstLine="308" w:firstLineChars="147"/>
        <w:rPr>
          <w:szCs w:val="21"/>
        </w:rPr>
      </w:pPr>
      <w:r>
        <w:rPr>
          <w:rFonts w:hint="eastAsia"/>
          <w:szCs w:val="21"/>
        </w:rPr>
        <w:t>3</w:t>
      </w:r>
      <w:r>
        <w:rPr>
          <w:szCs w:val="21"/>
        </w:rPr>
        <w:t>.</w:t>
      </w:r>
      <w:r>
        <w:rPr>
          <w:rFonts w:hint="eastAsia"/>
          <w:szCs w:val="21"/>
        </w:rPr>
        <w:t>增加开放性试题的比例，加强综合性考核评价</w:t>
      </w:r>
    </w:p>
    <w:p>
      <w:pPr>
        <w:adjustRightInd w:val="0"/>
        <w:snapToGrid w:val="0"/>
        <w:spacing w:line="360" w:lineRule="auto"/>
        <w:ind w:firstLine="308" w:firstLineChars="147"/>
        <w:rPr>
          <w:szCs w:val="21"/>
        </w:rPr>
      </w:pPr>
      <w:r>
        <w:rPr>
          <w:rFonts w:hint="eastAsia"/>
          <w:szCs w:val="21"/>
        </w:rPr>
        <w:t>考试题型包括：名词解释、填空题、判断题、简答题和问答题等5种类型。问答题侧重能用理论知识结合实践进行应用评价，并与产业的发展相结合，重点考核和评价学生的综合应用能力。</w:t>
      </w:r>
    </w:p>
    <w:p>
      <w:pPr>
        <w:adjustRightInd w:val="0"/>
        <w:snapToGrid w:val="0"/>
        <w:spacing w:line="360" w:lineRule="auto"/>
        <w:ind w:firstLine="308" w:firstLineChars="147"/>
        <w:rPr>
          <w:szCs w:val="21"/>
        </w:rPr>
      </w:pPr>
      <w:r>
        <w:rPr>
          <w:rFonts w:hint="eastAsia"/>
          <w:szCs w:val="21"/>
        </w:rPr>
        <w:t>4</w:t>
      </w:r>
      <w:r>
        <w:rPr>
          <w:szCs w:val="21"/>
        </w:rPr>
        <w:t>.</w:t>
      </w:r>
      <w:r>
        <w:rPr>
          <w:rFonts w:hint="eastAsia"/>
          <w:szCs w:val="21"/>
        </w:rPr>
        <w:t>实践教学采用实验操作技能和实验报告撰写的方式进行考评，占比30%。</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五、成绩评定</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理论教学部分的考试成绩满分为100分，占期末成绩</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0%；实验教学成绩满分为100分，占期末成绩30%；平时成绩1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；过程性评价1</w:t>
      </w:r>
      <w:r>
        <w:rPr>
          <w:rFonts w:ascii="宋体" w:hAnsi="宋体"/>
          <w:color w:val="000000" w:themeColor="text1"/>
          <w:szCs w:val="21"/>
          <w14:textFill>
            <w14:solidFill>
              <w14:schemeClr w14:val="tx1"/>
            </w14:solidFill>
          </w14:textFill>
        </w:rPr>
        <w:t>0%</w:t>
      </w:r>
      <w:r>
        <w:rPr>
          <w:rFonts w:hint="eastAsia" w:ascii="宋体" w:hAnsi="宋体"/>
          <w:color w:val="000000" w:themeColor="text1"/>
          <w:szCs w:val="21"/>
          <w14:textFill>
            <w14:solidFill>
              <w14:schemeClr w14:val="tx1"/>
            </w14:solidFill>
          </w14:textFill>
        </w:rPr>
        <w:t>。</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六、考核结果分析反馈</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果蔬产品加工是一门理论知识丰富，应用性较强的课程，理论与实践相结合，能够较好的促进学生对理论知识的理解。由于本课程涉及的基本概念和理论知识较多，有必要实时跟踪学生的学习效果，根据学生学校习效果反馈，适时改进教学方法，促进教学效果提高。通过对学生各环节成绩进行成绩分析（含平时成绩），不仅可以获得学生学习效果和教学中存在的问题等一系列反馈信息，还可在一定程度上反应教学质量的优点和不足劣。从而促使课程组任课教师进行教学反思总结，为教师下一步有针对性性调整教学内容、改进教学方法提供依据，促进提高教学质量提高。</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ab/>
      </w:r>
      <w:r>
        <w:rPr>
          <w:rFonts w:hint="eastAsia" w:ascii="宋体" w:hAnsi="宋体"/>
          <w:color w:val="000000" w:themeColor="text1"/>
          <w:szCs w:val="21"/>
          <w14:textFill>
            <w14:solidFill>
              <w14:schemeClr w14:val="tx1"/>
            </w14:solidFill>
          </w14:textFill>
        </w:rPr>
        <w:t>考核结果分析</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任课教师提供的本门课程考核结果分析应包括各环节成绩分析、总评成绩分析和分析报告三部分。成绩分析包括平均分、最高分、最低分、标准差等，主要体现课程成绩总体分布情况。分析报告应包括分析依据、分析内容、综合评价，以及总结或建议。</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ab/>
      </w:r>
      <w:r>
        <w:rPr>
          <w:rFonts w:hint="eastAsia" w:ascii="宋体" w:hAnsi="宋体"/>
          <w:color w:val="000000" w:themeColor="text1"/>
          <w:szCs w:val="21"/>
          <w14:textFill>
            <w14:solidFill>
              <w14:schemeClr w14:val="tx1"/>
            </w14:solidFill>
          </w14:textFill>
        </w:rPr>
        <w:t>考核结果反馈</w:t>
      </w:r>
    </w:p>
    <w:p>
      <w:pPr>
        <w:snapToGrid w:val="0"/>
        <w:spacing w:line="360" w:lineRule="auto"/>
        <w:ind w:firstLine="420" w:firstLineChars="200"/>
        <w:rPr>
          <w:color w:val="000000" w:themeColor="text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针对本门课程以提高注重学生对果蔬产品加工知识的综合应用能力培养提高的为教学目标，考核形式分为理论课教学考核与实验课考核。针对理论课教学考核，反馈形式体现在课堂教学过程中，采用课堂集中形式对考核结果的共性问题进行统一讲解，查找原因。对于实验课考核，反馈形式体现在学生对实验的操作技能的熟练程度以及实验原理的理解，主要体现形式为实验报告的撰写以及对实验结果的分析。针对考核结果分析中成绩呈现严重偏态分布的情况，应及时调整教学内容、教学方法、强化过程性考核。 </w:t>
      </w:r>
    </w:p>
    <w:p>
      <w:pPr>
        <w:pStyle w:val="21"/>
        <w:rPr>
          <w:sz w:val="28"/>
        </w:rPr>
      </w:pPr>
      <w:bookmarkStart w:id="1230" w:name="_Toc138076234"/>
      <w:bookmarkStart w:id="1231" w:name="_Toc138076778"/>
    </w:p>
    <w:p>
      <w:pPr>
        <w:rPr>
          <w:sz w:val="28"/>
        </w:rPr>
      </w:pPr>
      <w:r>
        <w:rPr>
          <w:rFonts w:hint="eastAsia"/>
          <w:sz w:val="28"/>
        </w:rPr>
        <w:br w:type="page"/>
      </w:r>
    </w:p>
    <w:p>
      <w:pPr>
        <w:pStyle w:val="21"/>
        <w:rPr>
          <w:sz w:val="28"/>
        </w:rPr>
      </w:pPr>
      <w:bookmarkStart w:id="1232" w:name="_Toc8863"/>
      <w:r>
        <w:rPr>
          <w:rFonts w:hint="eastAsia"/>
          <w:sz w:val="28"/>
        </w:rPr>
        <w:t>工厂化育苗原理与技术考核大纲</w:t>
      </w:r>
      <w:bookmarkEnd w:id="1230"/>
      <w:bookmarkEnd w:id="1231"/>
      <w:bookmarkEnd w:id="1232"/>
    </w:p>
    <w:p>
      <w:pPr>
        <w:snapToGrid w:val="0"/>
        <w:spacing w:line="360" w:lineRule="auto"/>
        <w:jc w:val="center"/>
        <w:rPr>
          <w:sz w:val="24"/>
        </w:rPr>
      </w:pPr>
      <w:r>
        <w:rPr>
          <w:sz w:val="24"/>
        </w:rPr>
        <w:t>（Principles and Technologies for Industrialized Seedling Production）</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课程编号：1</w:t>
            </w:r>
            <w:r>
              <w:rPr>
                <w:rFonts w:ascii="宋体" w:hAnsi="宋体"/>
                <w:b/>
                <w:bCs/>
                <w:szCs w:val="21"/>
              </w:rPr>
              <w:t>9011042</w:t>
            </w:r>
          </w:p>
        </w:tc>
        <w:tc>
          <w:tcPr>
            <w:tcW w:w="1234" w:type="pct"/>
          </w:tcPr>
          <w:p>
            <w:pPr>
              <w:spacing w:line="300" w:lineRule="auto"/>
              <w:rPr>
                <w:rFonts w:ascii="宋体" w:hAnsi="宋体"/>
                <w:b/>
                <w:bCs/>
                <w:szCs w:val="21"/>
              </w:rPr>
            </w:pPr>
            <w:r>
              <w:rPr>
                <w:rFonts w:hint="eastAsia" w:ascii="宋体" w:hAnsi="宋体"/>
                <w:b/>
                <w:bCs/>
                <w:szCs w:val="21"/>
              </w:rPr>
              <w:t>课程学时：3</w:t>
            </w:r>
            <w:r>
              <w:rPr>
                <w:rFonts w:ascii="宋体" w:hAnsi="宋体"/>
                <w:b/>
                <w:bCs/>
                <w:szCs w:val="21"/>
              </w:rPr>
              <w:t>2</w:t>
            </w:r>
          </w:p>
        </w:tc>
        <w:tc>
          <w:tcPr>
            <w:tcW w:w="2100" w:type="pct"/>
          </w:tcPr>
          <w:p>
            <w:pPr>
              <w:spacing w:line="300" w:lineRule="auto"/>
              <w:rPr>
                <w:rFonts w:ascii="宋体" w:hAnsi="宋体"/>
                <w:b/>
                <w:bCs/>
                <w:szCs w:val="21"/>
              </w:rPr>
            </w:pPr>
            <w:r>
              <w:rPr>
                <w:rFonts w:hint="eastAsia" w:ascii="宋体" w:hAnsi="宋体"/>
                <w:b/>
                <w:bCs/>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主撰人：李阳</w:t>
            </w:r>
          </w:p>
        </w:tc>
        <w:tc>
          <w:tcPr>
            <w:tcW w:w="1234" w:type="pct"/>
          </w:tcPr>
          <w:p>
            <w:pPr>
              <w:spacing w:line="300" w:lineRule="auto"/>
              <w:rPr>
                <w:rFonts w:ascii="宋体" w:hAnsi="宋体"/>
                <w:b/>
                <w:bCs/>
                <w:szCs w:val="21"/>
              </w:rPr>
            </w:pPr>
            <w:r>
              <w:rPr>
                <w:rFonts w:hint="eastAsia" w:ascii="宋体" w:hAnsi="宋体"/>
                <w:b/>
                <w:bCs/>
                <w:szCs w:val="21"/>
              </w:rPr>
              <w:t>审核人：李胜利</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233" w:name="_Toc138068939"/>
      <w:bookmarkStart w:id="1234" w:name="_Toc138068540"/>
      <w:bookmarkStart w:id="1235" w:name="_Toc138076779"/>
      <w:bookmarkStart w:id="1236" w:name="_Toc138076484"/>
      <w:bookmarkStart w:id="1237" w:name="_Toc24826"/>
      <w:bookmarkStart w:id="1238" w:name="_Toc138076235"/>
      <w:bookmarkStart w:id="1239" w:name="_Toc138070570"/>
      <w:bookmarkStart w:id="1240" w:name="_Toc138070841"/>
      <w:r>
        <w:rPr>
          <w:rFonts w:hint="eastAsia" w:asciiTheme="majorEastAsia" w:hAnsiTheme="majorEastAsia" w:eastAsiaTheme="majorEastAsia" w:cstheme="majorEastAsia"/>
          <w:b/>
          <w:bCs/>
          <w:kern w:val="0"/>
          <w:szCs w:val="21"/>
        </w:rPr>
        <w:t>一、课程的性质和地位</w:t>
      </w:r>
      <w:bookmarkEnd w:id="1233"/>
      <w:bookmarkEnd w:id="1234"/>
      <w:bookmarkEnd w:id="1235"/>
      <w:bookmarkEnd w:id="1236"/>
      <w:bookmarkEnd w:id="1237"/>
      <w:bookmarkEnd w:id="1238"/>
      <w:bookmarkEnd w:id="1239"/>
      <w:bookmarkEnd w:id="1240"/>
    </w:p>
    <w:p>
      <w:pPr>
        <w:snapToGrid w:val="0"/>
        <w:spacing w:line="360" w:lineRule="auto"/>
        <w:ind w:firstLine="420" w:firstLineChars="200"/>
        <w:rPr>
          <w:rFonts w:ascii="宋体" w:hAnsi="宋体"/>
          <w:bCs/>
          <w:szCs w:val="21"/>
        </w:rPr>
      </w:pPr>
      <w:r>
        <w:rPr>
          <w:rFonts w:hint="eastAsia" w:ascii="宋体" w:hAnsi="宋体"/>
          <w:bCs/>
          <w:szCs w:val="21"/>
        </w:rPr>
        <w:t>《工厂化育苗原理与技术》是设施园艺学的一个重要分支，是设施农业科学与工程专业必修的专业课。近年来以蔬菜和花卉穴盘育苗为代表的工厂化育苗技术发展迅速，所形成的种苗产业是我国设施农业应用的主要领域，工厂化育苗已成为我国园艺作物实现标准化生产的重要组成部分。课程内容主要包括育苗基础知识、育苗设施与设备、育苗基质、育苗方式、育苗质量控制、主要园艺作物工厂化育苗技术、种苗的经营与管理等内容，是一门涉及现代生物技术、工程技术、环境调控技术、信息技术等方面的跨学科综合性课程。通过课程学习，培养学生掌握现代化、集约化、机械化、智能化园艺作物育苗相关的基本知识和理论，课程重在拓宽学生的专业视野，强化园艺植物育苗方面的知识与技能，使学生具备能够从事种苗科学研究、种苗生产技术指导及与育苗产业相关工作的知识和能力，满足现代种苗产业兴起和快速发展对高素质专门人才的需求，实现宽口径培养人才的目标。</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241" w:name="_Toc138068541"/>
      <w:bookmarkStart w:id="1242" w:name="_Toc138076236"/>
      <w:bookmarkStart w:id="1243" w:name="_Toc138068940"/>
      <w:bookmarkStart w:id="1244" w:name="_Toc138070571"/>
      <w:bookmarkStart w:id="1245" w:name="_Toc23713"/>
      <w:bookmarkStart w:id="1246" w:name="_Toc138076780"/>
      <w:bookmarkStart w:id="1247" w:name="_Toc138070842"/>
      <w:bookmarkStart w:id="1248" w:name="_Toc138076485"/>
      <w:r>
        <w:rPr>
          <w:rFonts w:hint="eastAsia" w:asciiTheme="majorEastAsia" w:hAnsiTheme="majorEastAsia" w:eastAsiaTheme="majorEastAsia" w:cstheme="majorEastAsia"/>
          <w:b/>
          <w:bCs/>
          <w:kern w:val="0"/>
          <w:szCs w:val="21"/>
        </w:rPr>
        <w:t>二、理论教学部分的考核目标</w:t>
      </w:r>
      <w:bookmarkEnd w:id="1241"/>
      <w:bookmarkEnd w:id="1242"/>
      <w:bookmarkEnd w:id="1243"/>
      <w:bookmarkEnd w:id="1244"/>
      <w:bookmarkEnd w:id="1245"/>
      <w:bookmarkEnd w:id="1246"/>
      <w:bookmarkEnd w:id="1247"/>
      <w:bookmarkEnd w:id="1248"/>
    </w:p>
    <w:p>
      <w:pPr>
        <w:snapToGrid w:val="0"/>
        <w:spacing w:line="360" w:lineRule="auto"/>
        <w:ind w:firstLine="420" w:firstLineChars="200"/>
        <w:rPr>
          <w:rFonts w:ascii="宋体" w:hAnsi="宋体"/>
          <w:szCs w:val="21"/>
        </w:rPr>
      </w:pPr>
      <w:r>
        <w:rPr>
          <w:rFonts w:hint="eastAsia" w:ascii="宋体" w:hAnsi="宋体"/>
          <w:bCs/>
          <w:szCs w:val="21"/>
        </w:rPr>
        <w:t>学习本课程的主要目的是使学生系统掌握作物幼苗的生长发育规律及其对环境条件的要求，工厂化育苗的基本原理、方式和技术，掌握育苗质量调控、园艺作物工厂化育苗技术和工厂化的经营与管理，学会根据不同作物生物学特性理论联系实际地制定具体育苗措施。主要任务是利用现代生物科学理论和先进的管理技术创造适宜工厂化育苗的方法和技术，以适应种苗产业的快速发展。</w:t>
      </w:r>
    </w:p>
    <w:p>
      <w:pPr>
        <w:snapToGrid w:val="0"/>
        <w:spacing w:line="360" w:lineRule="auto"/>
        <w:ind w:firstLine="103" w:firstLineChars="49"/>
        <w:jc w:val="center"/>
        <w:rPr>
          <w:rFonts w:ascii="宋体" w:hAnsi="宋体"/>
          <w:b/>
          <w:szCs w:val="21"/>
        </w:rPr>
      </w:pPr>
      <w:r>
        <w:rPr>
          <w:rFonts w:hint="eastAsia" w:ascii="宋体" w:hAnsi="宋体"/>
          <w:b/>
          <w:szCs w:val="21"/>
        </w:rPr>
        <w:t>绪论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bCs/>
          <w:szCs w:val="21"/>
        </w:rPr>
        <w:t>工厂化育苗的发展历史；国内外工厂化育苗发展现状和趋势。</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bCs/>
          <w:szCs w:val="21"/>
        </w:rPr>
        <w:t>国内外工厂化育苗的特点；工厂化育苗在人们生活，农业生产和国民经济中的地位和作用。</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ascii="宋体" w:hAnsi="宋体"/>
          <w:bCs/>
          <w:szCs w:val="21"/>
        </w:rPr>
        <w:t>工厂化育苗的概念与特点。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bCs/>
          <w:szCs w:val="21"/>
        </w:rPr>
        <w:t>工厂化育苗的基本概念，工厂化育苗的发展史，国内外工厂化育苗的特征，工厂化育苗未来的发展趋势。</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w:t>
      </w:r>
      <w:r>
        <w:rPr>
          <w:rFonts w:hint="eastAsia"/>
          <w:kern w:val="0"/>
          <w:szCs w:val="21"/>
        </w:rPr>
        <w:t>理解工厂化育苗的概念</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rFonts w:hint="eastAsia"/>
          <w:szCs w:val="21"/>
        </w:rPr>
        <w:t>国内外</w:t>
      </w:r>
      <w:r>
        <w:rPr>
          <w:rFonts w:hint="eastAsia"/>
          <w:kern w:val="0"/>
          <w:szCs w:val="21"/>
        </w:rPr>
        <w:t>工厂化育苗的特点</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rFonts w:hint="eastAsia"/>
          <w:szCs w:val="21"/>
        </w:rPr>
        <w:t>国内外</w:t>
      </w:r>
      <w:r>
        <w:rPr>
          <w:rFonts w:hint="eastAsia"/>
          <w:kern w:val="0"/>
          <w:szCs w:val="21"/>
        </w:rPr>
        <w:t>工厂化育苗存在的异同和差距</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bCs/>
          <w:szCs w:val="21"/>
        </w:rPr>
        <w:t>国内外工厂化育苗水平差异存在的原因</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rFonts w:hint="eastAsia" w:ascii="宋体" w:hAnsi="宋体"/>
          <w:bCs/>
          <w:szCs w:val="21"/>
        </w:rPr>
        <w:t>工厂化育苗产业发展的趋势</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bCs/>
          <w:szCs w:val="21"/>
        </w:rPr>
        <w:t>工厂化育苗在现代农业中的地位</w:t>
      </w:r>
    </w:p>
    <w:p>
      <w:pPr>
        <w:pStyle w:val="10"/>
        <w:snapToGrid w:val="0"/>
        <w:spacing w:line="360" w:lineRule="auto"/>
        <w:jc w:val="center"/>
        <w:rPr>
          <w:rFonts w:hAnsi="宋体"/>
          <w:b/>
        </w:rPr>
      </w:pPr>
      <w:r>
        <w:rPr>
          <w:rFonts w:hint="eastAsia" w:hAnsi="宋体"/>
          <w:b/>
        </w:rPr>
        <w:t>第一章  育苗基础知识</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：种子形态与结构；种子萌发条件</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：种子催芽；壮苗的判断及其指标</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szCs w:val="21"/>
        </w:rPr>
        <w:t>种子质量</w:t>
      </w:r>
      <w:r>
        <w:rPr>
          <w:rFonts w:hint="eastAsia"/>
          <w:szCs w:val="21"/>
        </w:rPr>
        <w:t>检验</w:t>
      </w:r>
      <w:r>
        <w:rPr>
          <w:szCs w:val="21"/>
        </w:rPr>
        <w:t>与播前处理技术</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种子的形态结构，种子萌发所需要的环境条件，种子质量检验指标及其测定，种子播种前的</w:t>
      </w:r>
      <w:r>
        <w:rPr>
          <w:rFonts w:ascii="宋体" w:hAnsi="宋体"/>
          <w:bCs/>
          <w:szCs w:val="21"/>
        </w:rPr>
        <w:t>处理</w:t>
      </w:r>
      <w:r>
        <w:rPr>
          <w:rFonts w:hint="eastAsia" w:ascii="宋体" w:hAnsi="宋体"/>
          <w:bCs/>
          <w:szCs w:val="21"/>
        </w:rPr>
        <w:t>方法，种子催芽和种子引发的方法。</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：种子形态与结构</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：种子萌发的环境条件</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rFonts w:hint="eastAsia"/>
          <w:kern w:val="0"/>
          <w:szCs w:val="21"/>
        </w:rPr>
        <w:t>播种前种子的处理方法</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szCs w:val="21"/>
        </w:rPr>
        <w:t>不同种子处理方法对种子萌发的影响</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：种子处理技术在工厂化育苗种的应用</w:t>
      </w:r>
    </w:p>
    <w:p>
      <w:pPr>
        <w:snapToGrid w:val="0"/>
        <w:spacing w:line="360" w:lineRule="auto"/>
        <w:ind w:firstLine="422" w:firstLineChars="200"/>
        <w:rPr>
          <w:rFonts w:ascii="宋体" w:hAnsi="宋体"/>
          <w:szCs w:val="21"/>
        </w:rPr>
      </w:pPr>
      <w:r>
        <w:rPr>
          <w:rFonts w:hint="eastAsia" w:ascii="宋体" w:hAnsi="宋体"/>
          <w:b/>
          <w:szCs w:val="21"/>
        </w:rPr>
        <w:t>6.评价：</w:t>
      </w:r>
      <w:r>
        <w:rPr>
          <w:rFonts w:hint="eastAsia" w:ascii="宋体" w:hAnsi="宋体"/>
          <w:szCs w:val="21"/>
        </w:rPr>
        <w:t>不同种子引发技术优缺点对比分析</w:t>
      </w:r>
    </w:p>
    <w:p>
      <w:pPr>
        <w:pStyle w:val="10"/>
        <w:snapToGrid w:val="0"/>
        <w:spacing w:line="360" w:lineRule="auto"/>
        <w:jc w:val="center"/>
        <w:rPr>
          <w:rFonts w:hAnsi="宋体"/>
          <w:b/>
        </w:rPr>
      </w:pPr>
      <w:r>
        <w:rPr>
          <w:rFonts w:hint="eastAsia" w:hAnsi="宋体"/>
          <w:b/>
        </w:rPr>
        <w:t>第二章  植物组织培养</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
          <w:szCs w:val="21"/>
        </w:rPr>
      </w:pPr>
      <w:r>
        <w:rPr>
          <w:rFonts w:hint="eastAsia" w:ascii="宋体" w:hAnsi="宋体"/>
          <w:b/>
          <w:szCs w:val="21"/>
        </w:rPr>
        <w:t>1. 一般了解：</w:t>
      </w:r>
      <w:r>
        <w:rPr>
          <w:rFonts w:hint="eastAsia"/>
          <w:kern w:val="0"/>
          <w:szCs w:val="21"/>
        </w:rPr>
        <w:t>植物组织培养的发展史，植物组织培养在农业中的应用</w:t>
      </w:r>
    </w:p>
    <w:p>
      <w:pPr>
        <w:adjustRightInd w:val="0"/>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kern w:val="0"/>
          <w:szCs w:val="21"/>
        </w:rPr>
        <w:t>细胞的全能性和器官发生进程</w:t>
      </w:r>
    </w:p>
    <w:p>
      <w:pPr>
        <w:adjustRightInd w:val="0"/>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：植物组织培养实验室的构成、植物组织培养的基本方法与技术</w:t>
      </w:r>
    </w:p>
    <w:p>
      <w:pPr>
        <w:adjustRightInd w:val="0"/>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before="156" w:beforeLines="50" w:line="360" w:lineRule="auto"/>
        <w:ind w:firstLine="420" w:firstLineChars="200"/>
        <w:rPr>
          <w:kern w:val="0"/>
          <w:szCs w:val="21"/>
        </w:rPr>
      </w:pPr>
      <w:r>
        <w:rPr>
          <w:rFonts w:hint="eastAsia"/>
          <w:szCs w:val="21"/>
        </w:rPr>
        <w:t>植物组织培养技术的历史沿革</w:t>
      </w:r>
      <w:r>
        <w:rPr>
          <w:rFonts w:hint="eastAsia"/>
          <w:kern w:val="0"/>
          <w:szCs w:val="21"/>
        </w:rPr>
        <w:t>，</w:t>
      </w:r>
      <w:r>
        <w:rPr>
          <w:rFonts w:hint="eastAsia"/>
          <w:szCs w:val="21"/>
        </w:rPr>
        <w:t>植物组织培养技术的理论基础</w:t>
      </w:r>
      <w:r>
        <w:rPr>
          <w:rFonts w:hint="eastAsia"/>
          <w:kern w:val="0"/>
          <w:szCs w:val="21"/>
        </w:rPr>
        <w:t>，</w:t>
      </w:r>
      <w:r>
        <w:rPr>
          <w:rFonts w:hint="eastAsia"/>
          <w:szCs w:val="21"/>
        </w:rPr>
        <w:t>植物组织培养实验室的构成</w:t>
      </w:r>
      <w:r>
        <w:rPr>
          <w:rFonts w:hint="eastAsia"/>
          <w:kern w:val="0"/>
          <w:szCs w:val="21"/>
        </w:rPr>
        <w:t>，</w:t>
      </w:r>
      <w:r>
        <w:rPr>
          <w:rFonts w:hint="eastAsia"/>
          <w:szCs w:val="21"/>
        </w:rPr>
        <w:t>植物组织培养所需要的设备</w:t>
      </w:r>
      <w:r>
        <w:rPr>
          <w:rFonts w:hint="eastAsia"/>
          <w:kern w:val="0"/>
          <w:szCs w:val="21"/>
        </w:rPr>
        <w:t>，</w:t>
      </w:r>
      <w:r>
        <w:rPr>
          <w:rFonts w:hint="eastAsia"/>
          <w:szCs w:val="21"/>
        </w:rPr>
        <w:t>植物组织培养中培养基的配制技术</w:t>
      </w:r>
      <w:r>
        <w:rPr>
          <w:rFonts w:hint="eastAsia"/>
          <w:kern w:val="0"/>
          <w:szCs w:val="21"/>
        </w:rPr>
        <w:t>，植物组织培养的操作技术</w:t>
      </w:r>
    </w:p>
    <w:p>
      <w:pPr>
        <w:adjustRightInd w:val="0"/>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w:t>
      </w:r>
      <w:r>
        <w:rPr>
          <w:rFonts w:hint="eastAsia"/>
          <w:szCs w:val="21"/>
        </w:rPr>
        <w:t>植物组织培养的由来</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rFonts w:hint="eastAsia"/>
          <w:szCs w:val="21"/>
        </w:rPr>
        <w:t>细胞的全能性与器官发生途径</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rFonts w:hint="eastAsia"/>
          <w:szCs w:val="21"/>
        </w:rPr>
        <w:t>植物组织培养实验室的建设</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植物组织培养失败的原因及对策</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w:t>
      </w:r>
      <w:r>
        <w:rPr>
          <w:rFonts w:hint="eastAsia"/>
          <w:szCs w:val="21"/>
        </w:rPr>
        <w:t>植物组织培养在园艺生产中的应用</w:t>
      </w:r>
    </w:p>
    <w:p>
      <w:pPr>
        <w:snapToGrid w:val="0"/>
        <w:spacing w:line="360" w:lineRule="auto"/>
        <w:ind w:firstLine="422" w:firstLineChars="200"/>
        <w:rPr>
          <w:rFonts w:ascii="宋体" w:hAnsi="宋体"/>
          <w:bCs/>
          <w:color w:val="0000FF"/>
          <w:szCs w:val="21"/>
        </w:rPr>
      </w:pPr>
      <w:r>
        <w:rPr>
          <w:rFonts w:hint="eastAsia" w:ascii="宋体" w:hAnsi="宋体"/>
          <w:b/>
          <w:szCs w:val="21"/>
        </w:rPr>
        <w:t>6.评价：</w:t>
      </w:r>
      <w:r>
        <w:rPr>
          <w:rFonts w:hint="eastAsia" w:ascii="宋体" w:hAnsi="宋体"/>
          <w:bCs/>
          <w:szCs w:val="21"/>
        </w:rPr>
        <w:t>植物组织培养在工厂化育苗中的普及与应用</w:t>
      </w:r>
    </w:p>
    <w:p>
      <w:pPr>
        <w:pStyle w:val="10"/>
        <w:snapToGrid w:val="0"/>
        <w:spacing w:line="360" w:lineRule="auto"/>
        <w:jc w:val="center"/>
        <w:rPr>
          <w:rFonts w:hAnsi="宋体"/>
          <w:b/>
        </w:rPr>
      </w:pPr>
      <w:r>
        <w:rPr>
          <w:rFonts w:hint="eastAsia" w:hAnsi="宋体"/>
          <w:b/>
        </w:rPr>
        <w:t>第三章  工厂化育苗设施与设备</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
          <w:szCs w:val="21"/>
        </w:rPr>
      </w:pPr>
      <w:r>
        <w:rPr>
          <w:rFonts w:hint="eastAsia" w:ascii="宋体" w:hAnsi="宋体"/>
          <w:b/>
          <w:szCs w:val="21"/>
        </w:rPr>
        <w:t>1. 一般了解：</w:t>
      </w:r>
      <w:r>
        <w:rPr>
          <w:rFonts w:hint="eastAsia" w:ascii="宋体" w:hAnsi="宋体"/>
          <w:bCs/>
          <w:szCs w:val="21"/>
        </w:rPr>
        <w:t>灌溉施肥设备；穴盘育苗</w:t>
      </w:r>
    </w:p>
    <w:p>
      <w:pPr>
        <w:adjustRightInd w:val="0"/>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kern w:val="0"/>
          <w:szCs w:val="21"/>
        </w:rPr>
        <w:t>工厂化育苗的工艺流程</w:t>
      </w:r>
    </w:p>
    <w:p>
      <w:pPr>
        <w:adjustRightInd w:val="0"/>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szCs w:val="21"/>
        </w:rPr>
        <w:t>工厂化育苗的设施和生产设备的类型及其应用</w:t>
      </w:r>
    </w:p>
    <w:p>
      <w:pPr>
        <w:adjustRightInd w:val="0"/>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szCs w:val="21"/>
        </w:rPr>
      </w:pPr>
      <w:r>
        <w:rPr>
          <w:rFonts w:hint="eastAsia"/>
          <w:szCs w:val="21"/>
        </w:rPr>
        <w:t>工厂化基质育苗的工艺流程，育苗设施的组成部分，育苗温室环境控制系统，厂化育苗的生产设备，灌溉施肥设备，辅助育苗设备。</w:t>
      </w:r>
    </w:p>
    <w:p>
      <w:pPr>
        <w:adjustRightInd w:val="0"/>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：工厂化育苗的设施和生产设备类型</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w:t>
      </w:r>
      <w:r>
        <w:rPr>
          <w:rFonts w:hint="eastAsia"/>
          <w:szCs w:val="21"/>
        </w:rPr>
        <w:t>工厂化育苗的设施和生产设备的应用</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rFonts w:hint="eastAsia"/>
          <w:szCs w:val="21"/>
        </w:rPr>
        <w:t>工厂化育苗的环境控制与设备需求</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szCs w:val="21"/>
        </w:rPr>
        <w:t>工厂化基质育苗工艺各环节的衔接与改进</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w:t>
      </w:r>
      <w:r>
        <w:rPr>
          <w:rFonts w:hint="eastAsia"/>
          <w:szCs w:val="21"/>
        </w:rPr>
        <w:t>工厂化育苗场的设计与建造</w:t>
      </w:r>
    </w:p>
    <w:p>
      <w:pPr>
        <w:snapToGrid w:val="0"/>
        <w:spacing w:line="360" w:lineRule="auto"/>
        <w:ind w:firstLine="422" w:firstLineChars="200"/>
        <w:rPr>
          <w:rFonts w:ascii="宋体" w:hAnsi="宋体"/>
          <w:bCs/>
          <w:color w:val="0000FF"/>
          <w:szCs w:val="21"/>
        </w:rPr>
      </w:pPr>
      <w:r>
        <w:rPr>
          <w:rFonts w:hint="eastAsia" w:ascii="宋体" w:hAnsi="宋体"/>
          <w:b/>
          <w:szCs w:val="21"/>
        </w:rPr>
        <w:t>6.评价：</w:t>
      </w:r>
      <w:r>
        <w:rPr>
          <w:rFonts w:hint="eastAsia" w:ascii="宋体" w:hAnsi="宋体"/>
          <w:bCs/>
          <w:szCs w:val="21"/>
        </w:rPr>
        <w:t>工厂化育苗设施布局、装备技术先进性和产能预估</w:t>
      </w:r>
    </w:p>
    <w:p>
      <w:pPr>
        <w:pStyle w:val="10"/>
        <w:snapToGrid w:val="0"/>
        <w:spacing w:line="360" w:lineRule="auto"/>
        <w:jc w:val="center"/>
        <w:rPr>
          <w:rFonts w:hAnsi="宋体"/>
          <w:b/>
        </w:rPr>
      </w:pPr>
      <w:r>
        <w:rPr>
          <w:rFonts w:hint="eastAsia" w:hAnsi="宋体"/>
          <w:b/>
        </w:rPr>
        <w:t>第四章  工厂化育苗方式</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：不同育苗方式所需要的设施与设备</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：不同育苗方式的特点和不同方式育苗相关技术</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：不同方式育苗的技术流程</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穴盘育苗、水培育苗、容器育苗的概念和技术流程、设施和关键设备和技术要点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：不同育苗方式的概念</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：不同育苗方式的特征</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w:t>
      </w:r>
      <w:r>
        <w:rPr>
          <w:rFonts w:hint="eastAsia"/>
          <w:kern w:val="0"/>
          <w:szCs w:val="21"/>
        </w:rPr>
        <w:t>不同育苗方式的技术流程</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szCs w:val="21"/>
        </w:rPr>
        <w:t>不同育苗方式的优缺点</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：根据作物类型和生活习性如何选择适宜的育苗方式</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szCs w:val="21"/>
        </w:rPr>
        <w:t>不同育苗方式在果类蔬菜和叶类蔬菜的应用效果</w:t>
      </w:r>
    </w:p>
    <w:p>
      <w:pPr>
        <w:pStyle w:val="10"/>
        <w:snapToGrid w:val="0"/>
        <w:spacing w:line="360" w:lineRule="auto"/>
        <w:jc w:val="center"/>
        <w:rPr>
          <w:rFonts w:hAnsi="宋体"/>
          <w:b/>
        </w:rPr>
      </w:pPr>
      <w:r>
        <w:rPr>
          <w:rFonts w:hint="eastAsia" w:hAnsi="宋体"/>
          <w:b/>
        </w:rPr>
        <w:t>第五章  育苗基质与营养</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color w:val="000000"/>
          <w:szCs w:val="21"/>
        </w:rPr>
        <w:t>基质</w:t>
      </w:r>
      <w:r>
        <w:rPr>
          <w:rFonts w:hint="eastAsia"/>
          <w:color w:val="000000"/>
          <w:szCs w:val="21"/>
        </w:rPr>
        <w:t>的种类和</w:t>
      </w:r>
      <w:r>
        <w:rPr>
          <w:color w:val="000000"/>
          <w:szCs w:val="21"/>
        </w:rPr>
        <w:t>理化性状指标</w:t>
      </w:r>
      <w:r>
        <w:rPr>
          <w:rFonts w:hint="eastAsia"/>
          <w:color w:val="000000"/>
          <w:szCs w:val="21"/>
        </w:rPr>
        <w:t>。</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color w:val="000000"/>
          <w:szCs w:val="21"/>
        </w:rPr>
        <w:t>育苗对基质要求及不同基质特性</w:t>
      </w:r>
      <w:r>
        <w:rPr>
          <w:rFonts w:hint="eastAsia" w:ascii="宋体" w:hAnsi="宋体"/>
          <w:szCs w:val="21"/>
        </w:rPr>
        <w:t>。</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color w:val="000000"/>
          <w:szCs w:val="21"/>
        </w:rPr>
        <w:t>育苗基质理化性状检测及复合基质组配。</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育苗基质的概念、种类和各自特点，育苗对基质理化性状的要求，育苗基质的消毒目的和方法，育苗各个阶段幼苗对营养的需求特性，种苗不同阶段养分管理的策略。</w:t>
      </w:r>
    </w:p>
    <w:p>
      <w:pPr>
        <w:snapToGrid w:val="0"/>
        <w:spacing w:line="360" w:lineRule="auto"/>
        <w:rPr>
          <w:rFonts w:ascii="宋体" w:hAnsi="宋体"/>
          <w:bCs/>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：育苗基质的概念和分类</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：育苗基质理化性质的概念</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：根据不同单一基质的理化性质特征配制育苗基质</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：新型环保基质优缺点对比</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：根据作物特点选择适宜的基质配方</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如何根据作物类型和生活习性合理进行养分管理</w:t>
      </w:r>
    </w:p>
    <w:p>
      <w:pPr>
        <w:pStyle w:val="10"/>
        <w:snapToGrid w:val="0"/>
        <w:spacing w:line="360" w:lineRule="auto"/>
        <w:jc w:val="center"/>
        <w:rPr>
          <w:rFonts w:hAnsi="宋体"/>
          <w:b/>
        </w:rPr>
      </w:pPr>
      <w:r>
        <w:rPr>
          <w:rFonts w:hint="eastAsia" w:hAnsi="宋体"/>
          <w:b/>
        </w:rPr>
        <w:t>第六章  工厂化嫁接育苗</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rFonts w:hint="eastAsia" w:ascii="宋体" w:hAnsi="宋体"/>
          <w:color w:val="000000" w:themeColor="text1"/>
          <w:szCs w:val="21"/>
          <w14:textFill>
            <w14:solidFill>
              <w14:schemeClr w14:val="tx1"/>
            </w14:solidFill>
          </w14:textFill>
        </w:rPr>
        <w:t>嫁接技术的发展与应用；园艺植物嫁接育苗的意义和作用</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rFonts w:hint="eastAsia" w:ascii="宋体" w:hAnsi="宋体"/>
          <w:color w:val="000000" w:themeColor="text1"/>
          <w:szCs w:val="21"/>
          <w14:textFill>
            <w14:solidFill>
              <w14:schemeClr w14:val="tx1"/>
            </w14:solidFill>
          </w14:textFill>
        </w:rPr>
        <w:t>嫁接成活机理及其影响因素。</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rFonts w:hint="eastAsia" w:ascii="宋体" w:hAnsi="宋体"/>
          <w:color w:val="000000" w:themeColor="text1"/>
          <w:szCs w:val="21"/>
          <w14:textFill>
            <w14:solidFill>
              <w14:schemeClr w14:val="tx1"/>
            </w14:solidFill>
          </w14:textFill>
        </w:rPr>
        <w:t>不同园艺作物嫁接的方法和各自的技术要点</w:t>
      </w:r>
      <w:r>
        <w:rPr>
          <w:rFonts w:ascii="宋体" w:hAnsi="宋体"/>
          <w:color w:val="000000" w:themeColor="text1"/>
          <w:szCs w:val="21"/>
          <w14:textFill>
            <w14:solidFill>
              <w14:schemeClr w14:val="tx1"/>
            </w14:solidFill>
          </w14:textFill>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bCs/>
          <w:szCs w:val="21"/>
        </w:rPr>
        <w:t>园艺植物嫁接育苗的意义与作用，嫁接成活的机理，影响嫁接成活的主要因素，嫁接育苗砧木选择的原则和条件，主要蔬菜、果树、花卉嫁接育苗常用的砧木种类及其特点，蔬菜嫁接常用的方法及其技术要点，蔬菜果树和花卉嫁接苗的管理技术，果树和花卉嫁接常用的方法及其技术要点。</w:t>
      </w:r>
    </w:p>
    <w:p>
      <w:pPr>
        <w:snapToGrid w:val="0"/>
        <w:spacing w:line="360" w:lineRule="auto"/>
        <w:rPr>
          <w:rFonts w:ascii="宋体" w:hAnsi="宋体"/>
          <w:bCs/>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：园艺植物嫁接的意义和目的</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：嫁接成活的机理</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：影响嫁接成活的主要因素</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：不同嫁接方法的优点和缺点</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：针对不同蔬菜作物茎秆特征选择适宜的嫁接方法</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嫁接育苗的工艺流程及嫁接苗的管理技术</w:t>
      </w:r>
    </w:p>
    <w:p>
      <w:pPr>
        <w:pStyle w:val="10"/>
        <w:snapToGrid w:val="0"/>
        <w:spacing w:line="360" w:lineRule="auto"/>
        <w:jc w:val="center"/>
        <w:rPr>
          <w:rFonts w:hAnsi="宋体"/>
          <w:b/>
        </w:rPr>
      </w:pPr>
      <w:r>
        <w:rPr>
          <w:rFonts w:hint="eastAsia" w:hAnsi="宋体"/>
          <w:b/>
        </w:rPr>
        <w:t>第七章  工厂化育苗质量控制</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
          <w:szCs w:val="21"/>
        </w:rPr>
      </w:pPr>
      <w:r>
        <w:rPr>
          <w:rFonts w:hint="eastAsia" w:ascii="宋体" w:hAnsi="宋体"/>
          <w:b/>
          <w:szCs w:val="21"/>
        </w:rPr>
        <w:t>1. 一般了解：</w:t>
      </w:r>
      <w:r>
        <w:rPr>
          <w:rFonts w:hint="eastAsia"/>
          <w:color w:val="000000"/>
          <w:szCs w:val="21"/>
        </w:rPr>
        <w:t>秧苗质量的概念及其控制的意义；秧苗的贮藏和运输</w:t>
      </w:r>
    </w:p>
    <w:p>
      <w:pPr>
        <w:adjustRightInd w:val="0"/>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color w:val="000000"/>
          <w:szCs w:val="21"/>
        </w:rPr>
        <w:t>工厂化育苗的质量标准，影响</w:t>
      </w:r>
      <w:r>
        <w:rPr>
          <w:color w:val="000000"/>
          <w:szCs w:val="21"/>
        </w:rPr>
        <w:t>育苗质量的因素</w:t>
      </w:r>
      <w:r>
        <w:rPr>
          <w:rFonts w:hint="eastAsia"/>
          <w:color w:val="000000"/>
          <w:szCs w:val="21"/>
        </w:rPr>
        <w:t>和调控。</w:t>
      </w:r>
    </w:p>
    <w:p>
      <w:pPr>
        <w:adjustRightInd w:val="0"/>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color w:val="000000"/>
          <w:szCs w:val="21"/>
        </w:rPr>
        <w:t>秧苗质量控制的关键技术</w:t>
      </w:r>
      <w:r>
        <w:rPr>
          <w:color w:val="000000"/>
          <w:szCs w:val="21"/>
        </w:rPr>
        <w:t>。</w:t>
      </w:r>
    </w:p>
    <w:p>
      <w:pPr>
        <w:adjustRightInd w:val="0"/>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szCs w:val="21"/>
        </w:rPr>
      </w:pPr>
      <w:r>
        <w:rPr>
          <w:rFonts w:hint="eastAsia"/>
          <w:szCs w:val="21"/>
        </w:rPr>
        <w:t>工厂化育苗不同阶段的环境调控，工厂化育苗的质量标准包含的含义，工厂化育苗质量控制的关键技术，工厂化育苗贮运质量保持的技术手段，预防幼苗贮运过程中冻害、热害和风干的措施，育苗过程中主要生理性病害、传染性病害和虫害的种类和防治方法</w:t>
      </w:r>
    </w:p>
    <w:p>
      <w:pPr>
        <w:adjustRightInd w:val="0"/>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：工厂化育苗的质量标准包含的含义</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：工厂化育苗的质量控制的重要性和意义</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：培育优质壮苗技术和育苗过程中病虫害的防治方法</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育苗过程和运输过程中出现残次苗的原因与对策</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w:t>
      </w:r>
      <w:r>
        <w:rPr>
          <w:rFonts w:hint="eastAsia"/>
          <w:szCs w:val="21"/>
        </w:rPr>
        <w:t>工厂化育苗质量控制的关键技术</w:t>
      </w:r>
    </w:p>
    <w:p>
      <w:pPr>
        <w:snapToGrid w:val="0"/>
        <w:spacing w:line="360" w:lineRule="auto"/>
        <w:ind w:firstLine="422" w:firstLineChars="200"/>
        <w:rPr>
          <w:rFonts w:ascii="宋体" w:hAnsi="宋体"/>
          <w:bCs/>
          <w:color w:val="0000FF"/>
          <w:szCs w:val="21"/>
        </w:rPr>
      </w:pPr>
      <w:r>
        <w:rPr>
          <w:rFonts w:hint="eastAsia" w:ascii="宋体" w:hAnsi="宋体"/>
          <w:b/>
          <w:szCs w:val="21"/>
        </w:rPr>
        <w:t>6.评价：</w:t>
      </w:r>
      <w:r>
        <w:rPr>
          <w:rFonts w:hint="eastAsia" w:ascii="宋体" w:hAnsi="宋体"/>
          <w:bCs/>
          <w:szCs w:val="21"/>
        </w:rPr>
        <w:t>种苗质量评价和贮运质量保持评价</w:t>
      </w:r>
    </w:p>
    <w:p>
      <w:pPr>
        <w:pStyle w:val="10"/>
        <w:snapToGrid w:val="0"/>
        <w:spacing w:line="360" w:lineRule="auto"/>
        <w:jc w:val="center"/>
        <w:rPr>
          <w:rFonts w:hAnsi="宋体"/>
          <w:b/>
        </w:rPr>
      </w:pPr>
      <w:r>
        <w:rPr>
          <w:rFonts w:hint="eastAsia" w:hAnsi="宋体"/>
          <w:b/>
        </w:rPr>
        <w:t>第八章  蔬菜工厂化育苗</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
          <w:szCs w:val="21"/>
        </w:rPr>
      </w:pPr>
      <w:r>
        <w:rPr>
          <w:rFonts w:hint="eastAsia" w:ascii="宋体" w:hAnsi="宋体"/>
          <w:b/>
          <w:szCs w:val="21"/>
        </w:rPr>
        <w:t>1. 一般了解：</w:t>
      </w:r>
      <w:r>
        <w:rPr>
          <w:color w:val="000000"/>
          <w:szCs w:val="21"/>
        </w:rPr>
        <w:t>蔬菜幼苗对环境</w:t>
      </w:r>
      <w:r>
        <w:rPr>
          <w:rFonts w:hint="eastAsia"/>
          <w:color w:val="000000"/>
          <w:szCs w:val="21"/>
        </w:rPr>
        <w:t>条件</w:t>
      </w:r>
      <w:r>
        <w:rPr>
          <w:color w:val="000000"/>
          <w:szCs w:val="21"/>
        </w:rPr>
        <w:t>的要求</w:t>
      </w:r>
      <w:r>
        <w:rPr>
          <w:rFonts w:hint="eastAsia"/>
          <w:color w:val="000000"/>
          <w:szCs w:val="21"/>
        </w:rPr>
        <w:t>。</w:t>
      </w:r>
    </w:p>
    <w:p>
      <w:pPr>
        <w:adjustRightInd w:val="0"/>
        <w:snapToGrid w:val="0"/>
        <w:spacing w:line="360" w:lineRule="auto"/>
        <w:ind w:firstLine="422" w:firstLineChars="200"/>
        <w:rPr>
          <w:rFonts w:ascii="宋体" w:hAnsi="宋体"/>
          <w:szCs w:val="21"/>
        </w:rPr>
      </w:pPr>
      <w:r>
        <w:rPr>
          <w:rFonts w:hint="eastAsia" w:ascii="宋体" w:hAnsi="宋体"/>
          <w:b/>
          <w:szCs w:val="21"/>
        </w:rPr>
        <w:t>2. 一般掌握：</w:t>
      </w:r>
      <w:bookmarkStart w:id="1249" w:name="_Hlk136422786"/>
      <w:r>
        <w:rPr>
          <w:rFonts w:hint="eastAsia" w:ascii="宋体" w:hAnsi="宋体"/>
          <w:szCs w:val="21"/>
        </w:rPr>
        <w:t>芦笋、生菜、甘蓝类蔬菜穴盘育苗技术</w:t>
      </w:r>
    </w:p>
    <w:p>
      <w:pPr>
        <w:adjustRightInd w:val="0"/>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color w:val="000000"/>
          <w:szCs w:val="21"/>
        </w:rPr>
        <w:t>茄果类和瓜类蔬菜的穴盘育苗技术</w:t>
      </w:r>
      <w:r>
        <w:rPr>
          <w:color w:val="000000"/>
          <w:szCs w:val="21"/>
        </w:rPr>
        <w:t>。</w:t>
      </w:r>
    </w:p>
    <w:bookmarkEnd w:id="1249"/>
    <w:p>
      <w:pPr>
        <w:adjustRightInd w:val="0"/>
        <w:snapToGrid w:val="0"/>
        <w:spacing w:before="156" w:beforeLines="50"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szCs w:val="21"/>
        </w:rPr>
      </w:pPr>
      <w:r>
        <w:rPr>
          <w:rFonts w:hint="eastAsia"/>
          <w:szCs w:val="21"/>
        </w:rPr>
        <w:t>瓜类蔬菜直播苗穴盘育苗技术要点，黄瓜嫁接苗穴盘育苗技术要点，西瓜嫁接苗穴盘育苗技术要点，番茄直播苗穴盘育苗的技术要点，斜切嫁接法进行工厂化番茄嫁接苗的生产技术要点，茄子、辣椒的穴盘育苗技术要点，芦笋、生菜、甘蓝类蔬菜穴盘育苗技术，蔬菜穴盘育苗常见问题与对策</w:t>
      </w:r>
    </w:p>
    <w:p>
      <w:pPr>
        <w:adjustRightInd w:val="0"/>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szCs w:val="21"/>
        </w:rPr>
      </w:pPr>
      <w:r>
        <w:rPr>
          <w:rFonts w:hint="eastAsia" w:ascii="宋体" w:hAnsi="宋体"/>
          <w:b/>
          <w:szCs w:val="21"/>
        </w:rPr>
        <w:t>1.识记</w:t>
      </w:r>
      <w:r>
        <w:rPr>
          <w:rFonts w:hint="eastAsia" w:ascii="宋体" w:hAnsi="宋体"/>
          <w:szCs w:val="21"/>
        </w:rPr>
        <w:t>：</w:t>
      </w:r>
      <w:r>
        <w:rPr>
          <w:color w:val="000000"/>
          <w:szCs w:val="21"/>
        </w:rPr>
        <w:t>蔬菜幼苗对环境</w:t>
      </w:r>
      <w:r>
        <w:rPr>
          <w:rFonts w:hint="eastAsia"/>
          <w:color w:val="000000"/>
          <w:szCs w:val="21"/>
        </w:rPr>
        <w:t>条件</w:t>
      </w:r>
      <w:r>
        <w:rPr>
          <w:color w:val="000000"/>
          <w:szCs w:val="21"/>
        </w:rPr>
        <w:t>的要求</w:t>
      </w:r>
      <w:r>
        <w:rPr>
          <w:rFonts w:hint="eastAsia"/>
          <w:color w:val="000000"/>
          <w:szCs w:val="21"/>
        </w:rPr>
        <w:t>。</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：蔬菜穴盘直播育苗和嫁接育苗的差异</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：茄果类蔬菜、瓜类蔬菜、芦笋、生菜、甘蓝类蔬菜优质穴盘育苗生产技术</w:t>
      </w:r>
    </w:p>
    <w:p>
      <w:pPr>
        <w:snapToGrid w:val="0"/>
        <w:spacing w:line="360" w:lineRule="auto"/>
        <w:ind w:firstLine="422" w:firstLineChars="200"/>
        <w:rPr>
          <w:rFonts w:ascii="宋体" w:hAnsi="宋体"/>
          <w:bCs/>
          <w:color w:val="0000FF"/>
          <w:szCs w:val="21"/>
        </w:rPr>
      </w:pPr>
      <w:r>
        <w:rPr>
          <w:rFonts w:hint="eastAsia" w:ascii="宋体" w:hAnsi="宋体"/>
          <w:b/>
          <w:szCs w:val="21"/>
        </w:rPr>
        <w:t>4.分析：</w:t>
      </w:r>
      <w:r>
        <w:rPr>
          <w:rFonts w:hint="eastAsia" w:ascii="宋体" w:hAnsi="宋体"/>
          <w:bCs/>
          <w:szCs w:val="21"/>
        </w:rPr>
        <w:t>蔬菜工厂化育苗关键技术各环节注意事项</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：蔬菜工厂化育苗全要素生产技术应用</w:t>
      </w:r>
    </w:p>
    <w:p>
      <w:pPr>
        <w:snapToGrid w:val="0"/>
        <w:spacing w:line="360" w:lineRule="auto"/>
        <w:ind w:firstLine="422" w:firstLineChars="200"/>
        <w:rPr>
          <w:rFonts w:ascii="宋体" w:hAnsi="宋体"/>
          <w:color w:val="0000FF"/>
          <w:szCs w:val="21"/>
        </w:rPr>
      </w:pPr>
      <w:r>
        <w:rPr>
          <w:rFonts w:hint="eastAsia" w:ascii="宋体" w:hAnsi="宋体"/>
          <w:b/>
          <w:szCs w:val="21"/>
        </w:rPr>
        <w:t>6.评价：</w:t>
      </w:r>
      <w:r>
        <w:rPr>
          <w:rFonts w:hint="eastAsia" w:ascii="宋体" w:hAnsi="宋体"/>
          <w:szCs w:val="21"/>
        </w:rPr>
        <w:t>蔬菜工厂化商品苗质量标准</w:t>
      </w:r>
    </w:p>
    <w:p>
      <w:pPr>
        <w:pStyle w:val="10"/>
        <w:snapToGrid w:val="0"/>
        <w:spacing w:line="360" w:lineRule="auto"/>
        <w:jc w:val="center"/>
        <w:rPr>
          <w:rFonts w:hAnsi="宋体"/>
          <w:b/>
        </w:rPr>
      </w:pPr>
      <w:r>
        <w:rPr>
          <w:rFonts w:hint="eastAsia" w:hAnsi="宋体"/>
          <w:b/>
        </w:rPr>
        <w:t>第九章  闭锁型育苗系统的科学原理与应用</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：闭锁型育苗系统产生的背景</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：闭锁型育苗系统的硬件组成</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：闭锁型育苗系统运行的原理及日常管理</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szCs w:val="21"/>
        </w:rPr>
      </w:pPr>
      <w:r>
        <w:rPr>
          <w:rFonts w:hint="eastAsia" w:ascii="宋体" w:hAnsi="宋体"/>
          <w:szCs w:val="21"/>
        </w:rPr>
        <w:t>闭锁型育苗系统产生的背景，闭锁型育苗系统产生的软件和硬件构成，闭锁型育苗系统运行的原理。</w:t>
      </w:r>
    </w:p>
    <w:p>
      <w:pPr>
        <w:snapToGrid w:val="0"/>
        <w:spacing w:line="360" w:lineRule="auto"/>
        <w:rPr>
          <w:rFonts w:ascii="宋体" w:hAnsi="宋体"/>
          <w:bCs/>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：根据目前育苗产业的水平，分析闭锁型育苗系统产生的背景</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：闭锁型育苗系统给植物生长提供温、光、水、气、肥等环节条件所需的硬件设备</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：闭锁型育苗系统在不同种类蔬菜和不同规格穴盘苗上的应用效果</w:t>
      </w:r>
    </w:p>
    <w:p>
      <w:pPr>
        <w:snapToGrid w:val="0"/>
        <w:spacing w:line="360" w:lineRule="auto"/>
        <w:ind w:firstLine="422" w:firstLineChars="200"/>
        <w:rPr>
          <w:rFonts w:ascii="宋体" w:hAnsi="宋体"/>
          <w:b/>
          <w:color w:val="0000FF"/>
          <w:szCs w:val="21"/>
        </w:rPr>
      </w:pPr>
      <w:r>
        <w:rPr>
          <w:rFonts w:hint="eastAsia" w:ascii="宋体" w:hAnsi="宋体"/>
          <w:b/>
          <w:szCs w:val="21"/>
        </w:rPr>
        <w:t>4.分析</w:t>
      </w:r>
      <w:r>
        <w:rPr>
          <w:rFonts w:hint="eastAsia" w:ascii="宋体" w:hAnsi="宋体"/>
          <w:bCs/>
          <w:szCs w:val="21"/>
        </w:rPr>
        <w:t>：对比闭锁型育苗系统和连栋温室在设施设备上的投入和运行的费用</w:t>
      </w:r>
    </w:p>
    <w:p>
      <w:pPr>
        <w:snapToGrid w:val="0"/>
        <w:spacing w:line="360" w:lineRule="auto"/>
        <w:ind w:firstLine="422" w:firstLineChars="200"/>
        <w:rPr>
          <w:rFonts w:ascii="宋体" w:hAnsi="宋体"/>
          <w:color w:val="0000FF"/>
          <w:szCs w:val="21"/>
        </w:rPr>
      </w:pPr>
      <w:r>
        <w:rPr>
          <w:rFonts w:hint="eastAsia" w:ascii="宋体" w:hAnsi="宋体"/>
          <w:b/>
          <w:szCs w:val="21"/>
        </w:rPr>
        <w:t>5.综合</w:t>
      </w:r>
      <w:r>
        <w:rPr>
          <w:rFonts w:hint="eastAsia" w:ascii="宋体" w:hAnsi="宋体"/>
          <w:szCs w:val="21"/>
        </w:rPr>
        <w:t>：闭锁型育苗系统各硬件之间如何配合运行</w:t>
      </w:r>
    </w:p>
    <w:p>
      <w:pPr>
        <w:snapToGrid w:val="0"/>
        <w:spacing w:line="360" w:lineRule="auto"/>
        <w:ind w:firstLine="422" w:firstLineChars="200"/>
        <w:rPr>
          <w:rFonts w:ascii="宋体" w:hAnsi="宋体"/>
          <w:b/>
          <w:color w:val="0000FF"/>
          <w:szCs w:val="21"/>
        </w:rPr>
      </w:pPr>
      <w:r>
        <w:rPr>
          <w:rFonts w:hint="eastAsia" w:ascii="宋体" w:hAnsi="宋体"/>
          <w:b/>
          <w:szCs w:val="21"/>
        </w:rPr>
        <w:t>6.评价：</w:t>
      </w:r>
      <w:r>
        <w:rPr>
          <w:rFonts w:hint="eastAsia" w:ascii="宋体" w:hAnsi="宋体"/>
          <w:bCs/>
          <w:szCs w:val="21"/>
        </w:rPr>
        <w:t>闭锁型育苗系统在未来工厂化育苗产业中的应用前景</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250" w:name="_Toc138076237"/>
      <w:bookmarkStart w:id="1251" w:name="_Toc138068941"/>
      <w:bookmarkStart w:id="1252" w:name="_Toc138070843"/>
      <w:bookmarkStart w:id="1253" w:name="_Toc138076486"/>
      <w:bookmarkStart w:id="1254" w:name="_Toc138070572"/>
      <w:bookmarkStart w:id="1255" w:name="_Toc138068542"/>
      <w:bookmarkStart w:id="1256" w:name="_Toc887"/>
      <w:bookmarkStart w:id="1257" w:name="_Toc138076781"/>
      <w:r>
        <w:rPr>
          <w:rFonts w:hint="eastAsia" w:asciiTheme="majorEastAsia" w:hAnsiTheme="majorEastAsia" w:eastAsiaTheme="majorEastAsia" w:cstheme="majorEastAsia"/>
          <w:b/>
          <w:bCs/>
          <w:kern w:val="0"/>
          <w:szCs w:val="21"/>
        </w:rPr>
        <w:t>三、实验、实习教学部分的考核要求</w:t>
      </w:r>
      <w:bookmarkEnd w:id="1250"/>
      <w:bookmarkEnd w:id="1251"/>
      <w:bookmarkEnd w:id="1252"/>
      <w:bookmarkEnd w:id="1253"/>
      <w:bookmarkEnd w:id="1254"/>
      <w:bookmarkEnd w:id="1255"/>
      <w:bookmarkEnd w:id="1256"/>
      <w:bookmarkEnd w:id="1257"/>
    </w:p>
    <w:p>
      <w:pPr>
        <w:widowControl/>
        <w:snapToGrid w:val="0"/>
        <w:spacing w:line="360" w:lineRule="auto"/>
        <w:ind w:firstLine="420" w:firstLineChars="200"/>
        <w:jc w:val="left"/>
        <w:outlineLvl w:val="1"/>
        <w:rPr>
          <w:rFonts w:ascii="宋体" w:hAnsi="宋体" w:cs="宋体"/>
          <w:bCs/>
          <w:kern w:val="0"/>
          <w:szCs w:val="21"/>
        </w:rPr>
      </w:pPr>
      <w:bookmarkStart w:id="1258" w:name="_Toc138068543"/>
      <w:bookmarkStart w:id="1259" w:name="_Toc138068942"/>
      <w:bookmarkStart w:id="1260" w:name="_Toc138076487"/>
      <w:bookmarkStart w:id="1261" w:name="_Toc138076238"/>
      <w:bookmarkStart w:id="1262" w:name="_Toc138076782"/>
      <w:bookmarkStart w:id="1263" w:name="_Toc138070573"/>
      <w:bookmarkStart w:id="1264" w:name="_Toc138070844"/>
      <w:bookmarkStart w:id="1265" w:name="_Toc18372"/>
      <w:r>
        <w:rPr>
          <w:rFonts w:hint="eastAsia" w:ascii="宋体" w:hAnsi="宋体" w:cs="宋体"/>
          <w:bCs/>
          <w:kern w:val="0"/>
          <w:szCs w:val="21"/>
        </w:rPr>
        <w:t>工厂化育苗原理与技术实验课是在理论课掌握的基础上进行的实践操作，主要考察学生将理论知识应用于实践的能力和数据的分析能力。实验成绩结果部分占</w:t>
      </w:r>
      <w:r>
        <w:rPr>
          <w:rFonts w:ascii="宋体" w:hAnsi="宋体" w:cs="宋体"/>
          <w:bCs/>
          <w:kern w:val="0"/>
          <w:szCs w:val="21"/>
        </w:rPr>
        <w:t>80%</w:t>
      </w:r>
      <w:r>
        <w:rPr>
          <w:rFonts w:hint="eastAsia" w:ascii="宋体" w:hAnsi="宋体" w:cs="宋体"/>
          <w:bCs/>
          <w:kern w:val="0"/>
          <w:szCs w:val="21"/>
        </w:rPr>
        <w:t>，考勤占2</w:t>
      </w:r>
      <w:r>
        <w:rPr>
          <w:rFonts w:ascii="宋体" w:hAnsi="宋体" w:cs="宋体"/>
          <w:bCs/>
          <w:kern w:val="0"/>
          <w:szCs w:val="21"/>
        </w:rPr>
        <w:t>0%</w:t>
      </w:r>
      <w:r>
        <w:rPr>
          <w:rFonts w:hint="eastAsia" w:ascii="宋体" w:hAnsi="宋体" w:cs="宋体"/>
          <w:bCs/>
          <w:kern w:val="0"/>
          <w:szCs w:val="21"/>
        </w:rPr>
        <w:t>。</w:t>
      </w:r>
      <w:bookmarkEnd w:id="1258"/>
      <w:bookmarkEnd w:id="1259"/>
      <w:bookmarkEnd w:id="1260"/>
      <w:bookmarkEnd w:id="1261"/>
      <w:bookmarkEnd w:id="1262"/>
      <w:bookmarkEnd w:id="1263"/>
      <w:bookmarkEnd w:id="1264"/>
      <w:bookmarkEnd w:id="1265"/>
    </w:p>
    <w:p>
      <w:pPr>
        <w:widowControl/>
        <w:snapToGrid w:val="0"/>
        <w:spacing w:line="360" w:lineRule="auto"/>
        <w:ind w:firstLine="422" w:firstLineChars="200"/>
        <w:jc w:val="left"/>
        <w:outlineLvl w:val="1"/>
        <w:rPr>
          <w:rFonts w:asciiTheme="majorEastAsia" w:hAnsiTheme="majorEastAsia" w:eastAsiaTheme="majorEastAsia" w:cstheme="majorEastAsia"/>
          <w:b/>
          <w:bCs/>
          <w:kern w:val="0"/>
          <w:szCs w:val="21"/>
        </w:rPr>
      </w:pPr>
      <w:bookmarkStart w:id="1266" w:name="_Toc138076783"/>
      <w:bookmarkStart w:id="1267" w:name="_Toc138076488"/>
      <w:bookmarkStart w:id="1268" w:name="_Toc32231"/>
      <w:bookmarkStart w:id="1269" w:name="_Toc138070845"/>
      <w:bookmarkStart w:id="1270" w:name="_Toc138068544"/>
      <w:bookmarkStart w:id="1271" w:name="_Toc138070574"/>
      <w:bookmarkStart w:id="1272" w:name="_Toc138076239"/>
      <w:bookmarkStart w:id="1273" w:name="_Toc138068943"/>
      <w:r>
        <w:rPr>
          <w:rFonts w:hint="eastAsia" w:asciiTheme="majorEastAsia" w:hAnsiTheme="majorEastAsia" w:eastAsiaTheme="majorEastAsia" w:cstheme="majorEastAsia"/>
          <w:b/>
          <w:bCs/>
          <w:kern w:val="0"/>
          <w:szCs w:val="21"/>
        </w:rPr>
        <w:t>四、考核方式</w:t>
      </w:r>
      <w:bookmarkEnd w:id="1266"/>
      <w:bookmarkEnd w:id="1267"/>
      <w:bookmarkEnd w:id="1268"/>
      <w:bookmarkEnd w:id="1269"/>
      <w:bookmarkEnd w:id="1270"/>
      <w:bookmarkEnd w:id="1271"/>
      <w:bookmarkEnd w:id="1272"/>
      <w:bookmarkEnd w:id="1273"/>
    </w:p>
    <w:p>
      <w:pPr>
        <w:snapToGrid w:val="0"/>
        <w:spacing w:line="360" w:lineRule="auto"/>
        <w:ind w:firstLine="420" w:firstLineChars="200"/>
        <w:rPr>
          <w:rFonts w:eastAsiaTheme="majorEastAsia"/>
          <w:szCs w:val="21"/>
        </w:rPr>
      </w:pPr>
      <w:r>
        <w:rPr>
          <w:rFonts w:eastAsiaTheme="majorEastAsia"/>
          <w:szCs w:val="21"/>
        </w:rPr>
        <w:t>课程采用</w:t>
      </w:r>
      <w:r>
        <w:rPr>
          <w:rFonts w:eastAsiaTheme="majorEastAsia"/>
          <w:bCs/>
          <w:szCs w:val="21"/>
        </w:rPr>
        <w:t>过程考核和终结性考核相结合的方法，</w:t>
      </w:r>
      <w:r>
        <w:rPr>
          <w:rFonts w:eastAsiaTheme="majorEastAsia"/>
          <w:szCs w:val="21"/>
        </w:rPr>
        <w:t>过程</w:t>
      </w:r>
      <w:r>
        <w:rPr>
          <w:rFonts w:hint="eastAsia" w:eastAsiaTheme="majorEastAsia"/>
          <w:szCs w:val="21"/>
        </w:rPr>
        <w:t>性</w:t>
      </w:r>
      <w:r>
        <w:rPr>
          <w:rFonts w:eastAsiaTheme="majorEastAsia"/>
          <w:szCs w:val="21"/>
        </w:rPr>
        <w:t>评价</w:t>
      </w:r>
      <w:r>
        <w:rPr>
          <w:rFonts w:hint="eastAsia" w:eastAsiaTheme="majorEastAsia"/>
          <w:szCs w:val="21"/>
        </w:rPr>
        <w:t>占比4</w:t>
      </w:r>
      <w:r>
        <w:rPr>
          <w:rFonts w:eastAsiaTheme="majorEastAsia"/>
          <w:szCs w:val="21"/>
        </w:rPr>
        <w:t>0%</w:t>
      </w:r>
      <w:r>
        <w:rPr>
          <w:rFonts w:hint="eastAsia" w:eastAsiaTheme="majorEastAsia"/>
          <w:szCs w:val="21"/>
        </w:rPr>
        <w:t>，</w:t>
      </w:r>
      <w:r>
        <w:rPr>
          <w:rFonts w:eastAsiaTheme="majorEastAsia"/>
          <w:szCs w:val="21"/>
        </w:rPr>
        <w:t>终结性评价</w:t>
      </w:r>
      <w:r>
        <w:rPr>
          <w:rFonts w:hint="eastAsia" w:eastAsiaTheme="majorEastAsia"/>
          <w:szCs w:val="21"/>
        </w:rPr>
        <w:t>占比</w:t>
      </w:r>
      <w:r>
        <w:rPr>
          <w:rFonts w:eastAsiaTheme="majorEastAsia"/>
          <w:szCs w:val="21"/>
        </w:rPr>
        <w:t>60%。</w:t>
      </w:r>
    </w:p>
    <w:p>
      <w:pPr>
        <w:snapToGrid w:val="0"/>
        <w:spacing w:line="360" w:lineRule="auto"/>
        <w:ind w:firstLine="422" w:firstLineChars="200"/>
        <w:rPr>
          <w:rFonts w:ascii="宋体" w:hAnsi="宋体"/>
          <w:szCs w:val="21"/>
        </w:rPr>
      </w:pPr>
      <w:r>
        <w:rPr>
          <w:rFonts w:hint="eastAsia" w:hAnsi="宋体"/>
          <w:b/>
          <w:bCs/>
          <w:kern w:val="0"/>
          <w:szCs w:val="21"/>
        </w:rPr>
        <w:t>1.过程性评价：</w:t>
      </w:r>
      <w:r>
        <w:rPr>
          <w:rFonts w:eastAsiaTheme="majorEastAsia"/>
          <w:szCs w:val="21"/>
        </w:rPr>
        <w:t>过程</w:t>
      </w:r>
      <w:r>
        <w:rPr>
          <w:rFonts w:hint="eastAsia" w:eastAsiaTheme="majorEastAsia"/>
          <w:szCs w:val="21"/>
        </w:rPr>
        <w:t>性</w:t>
      </w:r>
      <w:r>
        <w:rPr>
          <w:rFonts w:eastAsiaTheme="majorEastAsia"/>
          <w:szCs w:val="21"/>
        </w:rPr>
        <w:t>评价计分点主要包括对课前学习、考勤、课堂</w:t>
      </w:r>
      <w:r>
        <w:rPr>
          <w:rFonts w:hint="eastAsia" w:eastAsiaTheme="majorEastAsia"/>
          <w:szCs w:val="21"/>
        </w:rPr>
        <w:t>问答</w:t>
      </w:r>
      <w:r>
        <w:rPr>
          <w:rFonts w:eastAsiaTheme="majorEastAsia"/>
          <w:szCs w:val="21"/>
        </w:rPr>
        <w:t>、</w:t>
      </w:r>
      <w:r>
        <w:rPr>
          <w:rFonts w:hint="eastAsia" w:eastAsiaTheme="majorEastAsia"/>
          <w:szCs w:val="21"/>
        </w:rPr>
        <w:t>课后作业、实验报告，嫁接竞赛</w:t>
      </w:r>
      <w:r>
        <w:rPr>
          <w:rFonts w:eastAsiaTheme="majorEastAsia"/>
          <w:szCs w:val="21"/>
        </w:rPr>
        <w:t>的考评</w:t>
      </w:r>
      <w:r>
        <w:rPr>
          <w:rFonts w:hint="eastAsia" w:eastAsiaTheme="majorEastAsia"/>
          <w:szCs w:val="21"/>
        </w:rPr>
        <w:t>结果</w:t>
      </w:r>
      <w:r>
        <w:rPr>
          <w:rFonts w:eastAsiaTheme="majorEastAsia"/>
          <w:szCs w:val="21"/>
        </w:rPr>
        <w:t>。</w:t>
      </w:r>
    </w:p>
    <w:p>
      <w:pPr>
        <w:spacing w:line="360" w:lineRule="auto"/>
        <w:ind w:firstLine="422" w:firstLineChars="200"/>
        <w:jc w:val="left"/>
        <w:rPr>
          <w:rFonts w:hAnsi="宋体"/>
          <w:b/>
          <w:bCs/>
          <w:color w:val="0000FF"/>
          <w:kern w:val="0"/>
          <w:szCs w:val="21"/>
        </w:rPr>
      </w:pPr>
      <w:r>
        <w:rPr>
          <w:rFonts w:hint="eastAsia" w:hAnsi="宋体"/>
          <w:b/>
          <w:bCs/>
          <w:kern w:val="0"/>
          <w:szCs w:val="21"/>
        </w:rPr>
        <w:t>2.终结性评价：</w:t>
      </w:r>
      <w:r>
        <w:rPr>
          <w:rFonts w:eastAsiaTheme="majorEastAsia"/>
          <w:szCs w:val="21"/>
        </w:rPr>
        <w:t>终结性考核以</w:t>
      </w:r>
      <w:r>
        <w:rPr>
          <w:rFonts w:hint="eastAsia" w:eastAsiaTheme="majorEastAsia"/>
          <w:szCs w:val="21"/>
        </w:rPr>
        <w:t>研究论文形式进行，成绩占比6</w:t>
      </w:r>
      <w:r>
        <w:rPr>
          <w:rFonts w:eastAsiaTheme="majorEastAsia"/>
          <w:szCs w:val="21"/>
        </w:rPr>
        <w:t>0%</w:t>
      </w:r>
      <w:r>
        <w:rPr>
          <w:rFonts w:hint="eastAsia" w:eastAsiaTheme="majorEastAsia"/>
          <w:szCs w:val="21"/>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274" w:name="_Toc138076489"/>
      <w:bookmarkStart w:id="1275" w:name="_Toc138068944"/>
      <w:bookmarkStart w:id="1276" w:name="_Toc138076784"/>
      <w:bookmarkStart w:id="1277" w:name="_Toc138076240"/>
      <w:bookmarkStart w:id="1278" w:name="_Toc138070575"/>
      <w:bookmarkStart w:id="1279" w:name="_Toc138068545"/>
      <w:bookmarkStart w:id="1280" w:name="_Toc2575"/>
      <w:bookmarkStart w:id="1281" w:name="_Toc138070846"/>
      <w:r>
        <w:rPr>
          <w:rFonts w:hint="eastAsia" w:asciiTheme="majorEastAsia" w:hAnsiTheme="majorEastAsia" w:eastAsiaTheme="majorEastAsia" w:cstheme="majorEastAsia"/>
          <w:b/>
          <w:bCs/>
          <w:kern w:val="0"/>
          <w:szCs w:val="21"/>
        </w:rPr>
        <w:t>五、成绩评定</w:t>
      </w:r>
      <w:bookmarkEnd w:id="1274"/>
      <w:bookmarkEnd w:id="1275"/>
      <w:bookmarkEnd w:id="1276"/>
      <w:bookmarkEnd w:id="1277"/>
      <w:bookmarkEnd w:id="1278"/>
      <w:bookmarkEnd w:id="1279"/>
      <w:bookmarkEnd w:id="1280"/>
      <w:bookmarkEnd w:id="1281"/>
    </w:p>
    <w:p>
      <w:pPr>
        <w:snapToGrid w:val="0"/>
        <w:spacing w:line="360" w:lineRule="auto"/>
        <w:ind w:firstLine="420" w:firstLineChars="200"/>
        <w:rPr>
          <w:rFonts w:ascii="宋体" w:hAnsi="宋体"/>
          <w:szCs w:val="21"/>
        </w:rPr>
      </w:pPr>
      <w:r>
        <w:rPr>
          <w:rFonts w:hint="eastAsia" w:ascii="宋体" w:hAnsi="宋体"/>
          <w:szCs w:val="21"/>
        </w:rPr>
        <w:t>1.平时成绩主要包括对线上平台预习、考勤、课堂问答参与度、实验报告和嫁接比赛的考评。学生在学习过程中的行为均被记录并评分，得出平时成绩，其中，线上平台学习、考勤、课堂问答各占</w:t>
      </w:r>
      <w:r>
        <w:rPr>
          <w:rFonts w:ascii="宋体" w:hAnsi="宋体"/>
          <w:szCs w:val="21"/>
        </w:rPr>
        <w:t>10</w:t>
      </w:r>
      <w:r>
        <w:rPr>
          <w:rFonts w:hint="eastAsia" w:ascii="宋体" w:hAnsi="宋体"/>
          <w:szCs w:val="21"/>
        </w:rPr>
        <w:t>%，3次实验报告各占15%，嫁接竞赛成绩占</w:t>
      </w:r>
      <w:r>
        <w:rPr>
          <w:rFonts w:ascii="宋体" w:hAnsi="宋体"/>
          <w:szCs w:val="21"/>
        </w:rPr>
        <w:t>25</w:t>
      </w:r>
      <w:r>
        <w:rPr>
          <w:rFonts w:hint="eastAsia" w:ascii="宋体" w:hAnsi="宋体"/>
          <w:szCs w:val="21"/>
        </w:rPr>
        <w:t>%，并采取学生和教师共同评价的方式。</w:t>
      </w:r>
    </w:p>
    <w:p>
      <w:pPr>
        <w:snapToGrid w:val="0"/>
        <w:spacing w:line="360" w:lineRule="auto"/>
        <w:ind w:firstLine="420" w:firstLineChars="200"/>
        <w:rPr>
          <w:rFonts w:ascii="宋体" w:hAnsi="宋体"/>
          <w:bCs/>
          <w:szCs w:val="21"/>
        </w:rPr>
      </w:pPr>
      <w:r>
        <w:rPr>
          <w:rFonts w:hint="eastAsia" w:ascii="宋体" w:hAnsi="宋体"/>
        </w:rPr>
        <w:t>2.期末成绩</w:t>
      </w:r>
      <w:r>
        <w:rPr>
          <w:rFonts w:hint="eastAsia" w:ascii="宋体" w:hAnsi="宋体"/>
          <w:bCs/>
          <w:szCs w:val="21"/>
        </w:rPr>
        <w:t>采用研究论文形式进行，占总成绩的6</w:t>
      </w:r>
      <w:r>
        <w:rPr>
          <w:rFonts w:ascii="宋体" w:hAnsi="宋体"/>
          <w:bCs/>
          <w:szCs w:val="21"/>
        </w:rPr>
        <w:t>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rPr>
        <w:t>3.综合成绩</w:t>
      </w:r>
      <w:r>
        <w:rPr>
          <w:rFonts w:hint="eastAsia" w:ascii="宋体" w:hAnsi="宋体"/>
          <w:bCs/>
          <w:szCs w:val="21"/>
        </w:rPr>
        <w:t>中平时成绩占4</w:t>
      </w:r>
      <w:r>
        <w:rPr>
          <w:rFonts w:ascii="宋体" w:hAnsi="宋体"/>
          <w:bCs/>
          <w:szCs w:val="21"/>
        </w:rPr>
        <w:t>0%</w:t>
      </w:r>
      <w:r>
        <w:rPr>
          <w:rFonts w:hint="eastAsia" w:ascii="宋体" w:hAnsi="宋体"/>
          <w:bCs/>
          <w:szCs w:val="21"/>
        </w:rPr>
        <w:t>，期末成绩占6</w:t>
      </w:r>
      <w:r>
        <w:rPr>
          <w:rFonts w:ascii="宋体" w:hAnsi="宋体"/>
          <w:bCs/>
          <w:szCs w:val="21"/>
        </w:rPr>
        <w:t>0%</w:t>
      </w:r>
      <w:r>
        <w:rPr>
          <w:rFonts w:hint="eastAsia" w:ascii="宋体" w:hAnsi="宋体"/>
          <w:bCs/>
          <w:szCs w:val="21"/>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282" w:name="_Toc138068546"/>
      <w:bookmarkStart w:id="1283" w:name="_Toc138070576"/>
      <w:bookmarkStart w:id="1284" w:name="_Toc138070847"/>
      <w:bookmarkStart w:id="1285" w:name="_Toc138076490"/>
      <w:bookmarkStart w:id="1286" w:name="_Toc138068945"/>
      <w:bookmarkStart w:id="1287" w:name="_Toc138076785"/>
      <w:bookmarkStart w:id="1288" w:name="_Toc29394"/>
      <w:bookmarkStart w:id="1289" w:name="_Toc138076241"/>
      <w:r>
        <w:rPr>
          <w:rFonts w:hint="eastAsia" w:asciiTheme="majorEastAsia" w:hAnsiTheme="majorEastAsia" w:eastAsiaTheme="majorEastAsia" w:cstheme="majorEastAsia"/>
          <w:b/>
          <w:bCs/>
          <w:kern w:val="0"/>
          <w:szCs w:val="21"/>
        </w:rPr>
        <w:t>六、考核结果分析反馈</w:t>
      </w:r>
      <w:bookmarkEnd w:id="1282"/>
      <w:bookmarkEnd w:id="1283"/>
      <w:bookmarkEnd w:id="1284"/>
      <w:bookmarkEnd w:id="1285"/>
      <w:bookmarkEnd w:id="1286"/>
      <w:bookmarkEnd w:id="1287"/>
      <w:bookmarkEnd w:id="1288"/>
      <w:bookmarkEnd w:id="1289"/>
    </w:p>
    <w:p>
      <w:pPr>
        <w:snapToGrid w:val="0"/>
        <w:spacing w:line="360" w:lineRule="auto"/>
        <w:ind w:firstLine="420" w:firstLineChars="200"/>
        <w:rPr>
          <w:rFonts w:hAnsi="宋体"/>
          <w:bCs/>
          <w:szCs w:val="21"/>
        </w:rPr>
      </w:pPr>
      <w:r>
        <w:rPr>
          <w:rFonts w:hint="eastAsia" w:hAnsi="宋体"/>
          <w:bCs/>
          <w:szCs w:val="21"/>
        </w:rPr>
        <w:t>考核结果是对学生掌握本课程知识理论体系的直接体现，也是对教学效果的最直观反馈，因此有必要对考核结果进行分析并改进教学手段。考核分为过程性考核和终结性考核，需从这两部分逐一分析。</w:t>
      </w:r>
    </w:p>
    <w:p>
      <w:pPr>
        <w:snapToGrid w:val="0"/>
        <w:spacing w:line="360" w:lineRule="auto"/>
        <w:ind w:firstLine="420" w:firstLineChars="200"/>
        <w:rPr>
          <w:rFonts w:hAnsi="宋体"/>
          <w:bCs/>
          <w:szCs w:val="21"/>
        </w:rPr>
      </w:pPr>
      <w:r>
        <w:rPr>
          <w:rFonts w:hint="eastAsia" w:hAnsi="宋体"/>
          <w:bCs/>
          <w:szCs w:val="21"/>
        </w:rPr>
        <w:t>1</w:t>
      </w:r>
      <w:r>
        <w:rPr>
          <w:rFonts w:hAnsi="宋体"/>
          <w:bCs/>
          <w:szCs w:val="21"/>
        </w:rPr>
        <w:t xml:space="preserve">. </w:t>
      </w:r>
      <w:r>
        <w:rPr>
          <w:rFonts w:hint="eastAsia" w:hAnsi="宋体"/>
          <w:bCs/>
          <w:szCs w:val="21"/>
        </w:rPr>
        <w:t>过程性考核结果分析</w:t>
      </w:r>
    </w:p>
    <w:p>
      <w:pPr>
        <w:snapToGrid w:val="0"/>
        <w:spacing w:line="360" w:lineRule="auto"/>
        <w:ind w:firstLine="420" w:firstLineChars="200"/>
        <w:rPr>
          <w:rFonts w:hAnsi="宋体"/>
          <w:bCs/>
          <w:szCs w:val="21"/>
        </w:rPr>
      </w:pPr>
      <w:r>
        <w:rPr>
          <w:rFonts w:hint="eastAsia" w:hAnsi="宋体"/>
          <w:bCs/>
          <w:szCs w:val="21"/>
        </w:rPr>
        <w:t>（1）课前预习和课堂提问互动是检验学生对本科课程认识的第一个环节，可从学生的课堂反馈引导学生学习的方法和方式。</w:t>
      </w:r>
    </w:p>
    <w:p>
      <w:pPr>
        <w:snapToGrid w:val="0"/>
        <w:spacing w:line="360" w:lineRule="auto"/>
        <w:ind w:firstLine="420" w:firstLineChars="200"/>
        <w:rPr>
          <w:rFonts w:hAnsi="宋体"/>
          <w:bCs/>
          <w:szCs w:val="21"/>
        </w:rPr>
      </w:pPr>
      <w:r>
        <w:rPr>
          <w:rFonts w:hint="eastAsia" w:hAnsi="宋体"/>
          <w:bCs/>
          <w:szCs w:val="21"/>
        </w:rPr>
        <w:t>（2）课后作业是经过预习和教师讲授后学生对本章节知识点的反馈，通过一些开放性题目的设置反馈出学生对章节知识点的总体掌握程度，教师针对作业情况掌握难点，并在下一堂课对难点进行复习解析。</w:t>
      </w:r>
    </w:p>
    <w:p>
      <w:pPr>
        <w:snapToGrid w:val="0"/>
        <w:spacing w:line="360" w:lineRule="auto"/>
        <w:ind w:firstLine="420" w:firstLineChars="200"/>
        <w:rPr>
          <w:rFonts w:hAnsi="宋体"/>
          <w:bCs/>
          <w:szCs w:val="21"/>
        </w:rPr>
      </w:pPr>
      <w:r>
        <w:rPr>
          <w:rFonts w:hint="eastAsia" w:hAnsi="宋体"/>
          <w:bCs/>
          <w:szCs w:val="21"/>
        </w:rPr>
        <w:t>（3）实验是检验学生实践能力和数据分析能力的体现，针对学生在实验课现场表现和实验报告书写质量掌握学生学习情况，并当场对学生进行指导。</w:t>
      </w:r>
    </w:p>
    <w:p>
      <w:pPr>
        <w:snapToGrid w:val="0"/>
        <w:spacing w:line="360" w:lineRule="auto"/>
        <w:ind w:firstLine="420" w:firstLineChars="200"/>
        <w:rPr>
          <w:rFonts w:hAnsi="宋体"/>
          <w:bCs/>
          <w:szCs w:val="21"/>
        </w:rPr>
      </w:pPr>
      <w:r>
        <w:rPr>
          <w:rFonts w:hint="eastAsia" w:hAnsi="宋体"/>
          <w:bCs/>
          <w:szCs w:val="21"/>
        </w:rPr>
        <w:t>（4）嫁接作为本门课程的关键知识点，采用竞赛的方式进行考核，通过设置比赛细则，教师可对实验的每个细节得分点进行把握，有重点地引导学生复习巩固。</w:t>
      </w:r>
    </w:p>
    <w:p>
      <w:pPr>
        <w:snapToGrid w:val="0"/>
        <w:spacing w:line="360" w:lineRule="auto"/>
        <w:ind w:firstLine="420" w:firstLineChars="200"/>
        <w:rPr>
          <w:rFonts w:hAnsi="宋体"/>
          <w:bCs/>
          <w:szCs w:val="21"/>
        </w:rPr>
      </w:pPr>
      <w:r>
        <w:rPr>
          <w:rFonts w:hAnsi="宋体"/>
          <w:bCs/>
          <w:szCs w:val="21"/>
        </w:rPr>
        <w:t xml:space="preserve">2. </w:t>
      </w:r>
      <w:r>
        <w:rPr>
          <w:rFonts w:hint="eastAsia" w:hAnsi="宋体"/>
          <w:bCs/>
          <w:szCs w:val="21"/>
        </w:rPr>
        <w:t>终结性考核结果分析</w:t>
      </w:r>
    </w:p>
    <w:p>
      <w:pPr>
        <w:snapToGrid w:val="0"/>
        <w:spacing w:line="360" w:lineRule="auto"/>
        <w:ind w:firstLine="420" w:firstLineChars="200"/>
        <w:rPr>
          <w:rFonts w:hAnsi="宋体"/>
          <w:bCs/>
          <w:szCs w:val="21"/>
        </w:rPr>
      </w:pPr>
      <w:r>
        <w:rPr>
          <w:rFonts w:hint="eastAsia" w:hAnsi="宋体"/>
          <w:bCs/>
          <w:szCs w:val="21"/>
        </w:rPr>
        <w:t>终结性考核以调查研究论文的形式进行，要求学生对本门课程各个章节有全局性和统一性的把握，只有将基本理论、知识应用和实践操作结合起来才能完成，因此教师可通过论文的写作了解学生各方面的能力和对各章节的掌握，从而在今后教学工作中做出调整，梳理分析结果并在下一学年的做出修改和调整，形成持续改进的闭环。</w:t>
      </w:r>
    </w:p>
    <w:p>
      <w:pPr>
        <w:rPr>
          <w:sz w:val="28"/>
        </w:rPr>
      </w:pPr>
      <w:bookmarkStart w:id="1290" w:name="_Toc138076786"/>
      <w:bookmarkStart w:id="1291" w:name="_Toc138076242"/>
      <w:r>
        <w:rPr>
          <w:rFonts w:hint="eastAsia"/>
          <w:sz w:val="28"/>
        </w:rPr>
        <w:br w:type="page"/>
      </w:r>
    </w:p>
    <w:p>
      <w:pPr>
        <w:pStyle w:val="21"/>
        <w:rPr>
          <w:sz w:val="28"/>
        </w:rPr>
      </w:pPr>
      <w:bookmarkStart w:id="1292" w:name="_Toc1542"/>
      <w:r>
        <w:rPr>
          <w:rFonts w:hint="eastAsia"/>
          <w:sz w:val="28"/>
        </w:rPr>
        <w:t>盆景学考核大纲</w:t>
      </w:r>
      <w:bookmarkEnd w:id="1290"/>
      <w:bookmarkEnd w:id="1291"/>
      <w:bookmarkEnd w:id="1292"/>
    </w:p>
    <w:p>
      <w:pPr>
        <w:snapToGrid w:val="0"/>
        <w:spacing w:line="360" w:lineRule="auto"/>
        <w:jc w:val="center"/>
        <w:rPr>
          <w:sz w:val="24"/>
        </w:rPr>
      </w:pPr>
      <w:r>
        <w:rPr>
          <w:sz w:val="24"/>
        </w:rPr>
        <w:t>（</w:t>
      </w:r>
      <w:r>
        <w:rPr>
          <w:rFonts w:hint="eastAsia"/>
          <w:sz w:val="24"/>
          <w:lang w:val="en-US" w:eastAsia="zh-CN"/>
        </w:rPr>
        <w:t>Penfing</w:t>
      </w:r>
      <w:r>
        <w:rPr>
          <w:sz w:val="24"/>
        </w:rPr>
        <w:t>）</w:t>
      </w:r>
    </w:p>
    <w:p>
      <w:pPr>
        <w:snapToGrid w:val="0"/>
        <w:spacing w:line="360" w:lineRule="auto"/>
        <w:jc w:val="center"/>
        <w:rPr>
          <w:rFonts w:ascii="宋体" w:hAnsi="宋体" w:cs="宋体"/>
          <w:sz w:val="24"/>
        </w:rPr>
      </w:pPr>
    </w:p>
    <w:p>
      <w:pPr>
        <w:snapToGrid w:val="0"/>
        <w:spacing w:line="360" w:lineRule="auto"/>
        <w:jc w:val="center"/>
        <w:rPr>
          <w:rFonts w:ascii="宋体" w:hAnsi="宋体" w:cs="宋体"/>
          <w:b/>
          <w:szCs w:val="21"/>
        </w:rPr>
      </w:pPr>
      <w:r>
        <w:rPr>
          <w:rFonts w:hint="eastAsia" w:ascii="宋体" w:hAnsi="宋体" w:cs="宋体"/>
          <w:b/>
          <w:szCs w:val="21"/>
        </w:rPr>
        <w:t xml:space="preserve">课程基本信息 </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60" w:lineRule="auto"/>
              <w:rPr>
                <w:rFonts w:ascii="宋体" w:hAnsi="宋体" w:cs="宋体"/>
                <w:b/>
                <w:bCs/>
                <w:szCs w:val="21"/>
              </w:rPr>
            </w:pPr>
            <w:r>
              <w:rPr>
                <w:rFonts w:hint="eastAsia" w:ascii="宋体" w:hAnsi="宋体" w:cs="宋体"/>
                <w:b/>
                <w:bCs/>
                <w:szCs w:val="21"/>
              </w:rPr>
              <w:t>课程编号：</w:t>
            </w:r>
            <w:r>
              <w:rPr>
                <w:rFonts w:ascii="宋体" w:hAnsi="宋体"/>
                <w:b/>
                <w:bCs/>
                <w:szCs w:val="21"/>
              </w:rPr>
              <w:t>19011124</w:t>
            </w:r>
          </w:p>
        </w:tc>
        <w:tc>
          <w:tcPr>
            <w:tcW w:w="1234" w:type="pct"/>
          </w:tcPr>
          <w:p>
            <w:pPr>
              <w:spacing w:line="360" w:lineRule="auto"/>
              <w:rPr>
                <w:rFonts w:ascii="宋体" w:hAnsi="宋体" w:cs="宋体"/>
                <w:b/>
                <w:bCs/>
                <w:szCs w:val="21"/>
              </w:rPr>
            </w:pPr>
            <w:r>
              <w:rPr>
                <w:rFonts w:hint="eastAsia" w:ascii="宋体" w:hAnsi="宋体" w:cs="宋体"/>
                <w:b/>
                <w:bCs/>
                <w:szCs w:val="21"/>
              </w:rPr>
              <w:t>课程学时：32</w:t>
            </w:r>
          </w:p>
        </w:tc>
        <w:tc>
          <w:tcPr>
            <w:tcW w:w="2100" w:type="pct"/>
          </w:tcPr>
          <w:p>
            <w:pPr>
              <w:spacing w:line="360" w:lineRule="auto"/>
              <w:rPr>
                <w:rFonts w:ascii="宋体" w:hAnsi="宋体" w:cs="宋体"/>
                <w:b/>
                <w:bCs/>
                <w:szCs w:val="21"/>
              </w:rPr>
            </w:pPr>
            <w:r>
              <w:rPr>
                <w:rFonts w:hint="eastAsia" w:ascii="宋体" w:hAnsi="宋体" w:cs="宋体"/>
                <w:b/>
                <w:bCs/>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60" w:lineRule="auto"/>
              <w:rPr>
                <w:rFonts w:ascii="宋体" w:hAnsi="宋体" w:cs="宋体"/>
                <w:b/>
                <w:bCs/>
                <w:szCs w:val="21"/>
              </w:rPr>
            </w:pPr>
            <w:r>
              <w:rPr>
                <w:rFonts w:hint="eastAsia" w:ascii="宋体" w:hAnsi="宋体" w:cs="宋体"/>
                <w:b/>
                <w:bCs/>
                <w:szCs w:val="21"/>
              </w:rPr>
              <w:t>主撰人：</w:t>
            </w:r>
            <w:r>
              <w:rPr>
                <w:rFonts w:hint="eastAsia" w:ascii="宋体" w:hAnsi="宋体"/>
                <w:b/>
                <w:bCs/>
                <w:szCs w:val="21"/>
              </w:rPr>
              <w:t>花卉栽培学课程组</w:t>
            </w:r>
          </w:p>
        </w:tc>
        <w:tc>
          <w:tcPr>
            <w:tcW w:w="1234" w:type="pct"/>
          </w:tcPr>
          <w:p>
            <w:pPr>
              <w:spacing w:line="360" w:lineRule="auto"/>
              <w:rPr>
                <w:rFonts w:ascii="宋体" w:hAnsi="宋体" w:cs="宋体"/>
                <w:b/>
                <w:bCs/>
                <w:szCs w:val="21"/>
              </w:rPr>
            </w:pPr>
            <w:r>
              <w:rPr>
                <w:rFonts w:hint="eastAsia" w:ascii="宋体" w:hAnsi="宋体" w:cs="宋体"/>
                <w:b/>
                <w:bCs/>
                <w:szCs w:val="21"/>
              </w:rPr>
              <w:t>审核人：薛东齐</w:t>
            </w:r>
          </w:p>
        </w:tc>
        <w:tc>
          <w:tcPr>
            <w:tcW w:w="2100" w:type="pct"/>
          </w:tcPr>
          <w:p>
            <w:pPr>
              <w:spacing w:line="360" w:lineRule="auto"/>
              <w:rPr>
                <w:rFonts w:ascii="宋体" w:hAnsi="宋体" w:cs="宋体"/>
                <w:b/>
                <w:bCs/>
                <w:szCs w:val="21"/>
              </w:rPr>
            </w:pPr>
            <w:r>
              <w:rPr>
                <w:rFonts w:hint="eastAsia" w:ascii="宋体" w:hAnsi="宋体" w:cs="宋体"/>
                <w:b/>
                <w:bCs/>
                <w:szCs w:val="21"/>
              </w:rPr>
              <w:t>大纲制定（修订）日期：2023</w:t>
            </w:r>
            <w:r>
              <w:rPr>
                <w:rFonts w:hint="eastAsia" w:ascii="宋体" w:hAnsi="宋体" w:cs="宋体"/>
                <w:b/>
                <w:bCs/>
                <w:szCs w:val="21"/>
                <w:lang w:val="en-US" w:eastAsia="zh-CN"/>
              </w:rPr>
              <w:t>.</w:t>
            </w:r>
            <w:r>
              <w:rPr>
                <w:rFonts w:hint="eastAsia" w:ascii="宋体" w:hAnsi="宋体" w:cs="宋体"/>
                <w:b/>
                <w:bCs/>
                <w:szCs w:val="21"/>
              </w:rPr>
              <w:t>05</w:t>
            </w:r>
          </w:p>
        </w:tc>
      </w:tr>
    </w:tbl>
    <w:p>
      <w:pPr>
        <w:widowControl/>
        <w:snapToGrid w:val="0"/>
        <w:spacing w:line="360" w:lineRule="auto"/>
        <w:jc w:val="left"/>
        <w:outlineLvl w:val="1"/>
        <w:rPr>
          <w:rFonts w:ascii="宋体" w:hAnsi="宋体" w:cs="宋体"/>
          <w:b/>
          <w:bCs/>
          <w:kern w:val="0"/>
          <w:szCs w:val="21"/>
        </w:rPr>
      </w:pPr>
      <w:bookmarkStart w:id="1293" w:name="_Toc138070578"/>
      <w:bookmarkStart w:id="1294" w:name="_Toc138076243"/>
      <w:bookmarkStart w:id="1295" w:name="_Toc138068947"/>
      <w:bookmarkStart w:id="1296" w:name="_Toc138076492"/>
      <w:bookmarkStart w:id="1297" w:name="_Toc138068548"/>
      <w:bookmarkStart w:id="1298" w:name="_Toc138076787"/>
      <w:bookmarkStart w:id="1299" w:name="_Toc17506"/>
      <w:bookmarkStart w:id="1300" w:name="_Toc138070849"/>
      <w:r>
        <w:rPr>
          <w:rFonts w:hint="eastAsia" w:ascii="宋体" w:hAnsi="宋体" w:cs="宋体"/>
          <w:b/>
          <w:bCs/>
          <w:kern w:val="0"/>
          <w:szCs w:val="21"/>
        </w:rPr>
        <w:t>一、课程的性质和地位</w:t>
      </w:r>
      <w:bookmarkEnd w:id="1293"/>
      <w:bookmarkEnd w:id="1294"/>
      <w:bookmarkEnd w:id="1295"/>
      <w:bookmarkEnd w:id="1296"/>
      <w:bookmarkEnd w:id="1297"/>
      <w:bookmarkEnd w:id="1298"/>
      <w:bookmarkEnd w:id="1299"/>
      <w:bookmarkEnd w:id="1300"/>
    </w:p>
    <w:p>
      <w:pPr>
        <w:spacing w:line="360" w:lineRule="auto"/>
        <w:ind w:firstLine="420" w:firstLineChars="200"/>
        <w:rPr>
          <w:rFonts w:hAnsi="宋体"/>
          <w:bCs/>
          <w:kern w:val="0"/>
          <w:szCs w:val="21"/>
        </w:rPr>
      </w:pPr>
      <w:r>
        <w:rPr>
          <w:rFonts w:hint="eastAsia" w:hAnsi="宋体"/>
          <w:bCs/>
          <w:kern w:val="0"/>
          <w:szCs w:val="21"/>
        </w:rPr>
        <w:t>本课程为园艺、设工、茶学等专业学生的选修课程，重点在于培养学生热爱自然的兴趣，拓宽专业视野，利用学习的知识为社会服务。盆景即在盆中表现自然景观的艺术品，是在盆栽和赏石基础上发展起来的，据考据这一园艺艺术的珍宝，起源于我国，它在为国争光，搞好经济，丰富文化生活，美化环境等方面都起着一起的作用，随着物质文明和精神文明建设的不断提高，盆景艺术也不断向前发展。教学任务是让学生了解盆景起源、流派与发展历史，国内外现状及发展趋势，系统地掌握树桩盆景和山水盆景的制作方法及艺术表现技艺的基本理论和技术。通过学习本课程，使学生掌握盆景艺术的基本理论及基本技法,并能利用基本知识指导实际操作。</w:t>
      </w:r>
    </w:p>
    <w:p>
      <w:pPr>
        <w:spacing w:line="360" w:lineRule="auto"/>
        <w:rPr>
          <w:rFonts w:ascii="宋体" w:hAnsi="宋体" w:cs="宋体"/>
          <w:b/>
          <w:bCs/>
          <w:kern w:val="0"/>
          <w:szCs w:val="21"/>
        </w:rPr>
      </w:pPr>
      <w:r>
        <w:rPr>
          <w:rFonts w:hint="eastAsia" w:ascii="宋体" w:hAnsi="宋体" w:cs="宋体"/>
          <w:b/>
          <w:bCs/>
          <w:kern w:val="0"/>
          <w:szCs w:val="21"/>
        </w:rPr>
        <w:t>二、理论教学部分的考核目标</w:t>
      </w:r>
    </w:p>
    <w:p>
      <w:pPr>
        <w:spacing w:line="360" w:lineRule="auto"/>
        <w:ind w:firstLine="420" w:firstLineChars="200"/>
        <w:rPr>
          <w:rFonts w:ascii="宋体" w:hAnsi="宋体" w:cs="宋体"/>
          <w:kern w:val="0"/>
          <w:szCs w:val="21"/>
        </w:rPr>
      </w:pPr>
      <w:r>
        <w:rPr>
          <w:rFonts w:hint="eastAsia" w:ascii="宋体" w:hAnsi="宋体" w:cs="宋体"/>
          <w:szCs w:val="21"/>
        </w:rPr>
        <w:t>通过系统的教学使学生能够掌握盆景的制作原理及制作技艺，盆景的养护及管理方式及方法。内容尽可能反映出该学科的国内外最新发展态势。</w:t>
      </w:r>
    </w:p>
    <w:p>
      <w:pPr>
        <w:spacing w:line="360" w:lineRule="auto"/>
        <w:jc w:val="center"/>
        <w:rPr>
          <w:rFonts w:ascii="宋体" w:hAnsi="宋体" w:cs="宋体"/>
          <w:b/>
          <w:bCs/>
          <w:szCs w:val="21"/>
        </w:rPr>
      </w:pPr>
      <w:r>
        <w:rPr>
          <w:rFonts w:hint="eastAsia" w:ascii="宋体" w:hAnsi="宋体" w:cs="宋体"/>
          <w:b/>
        </w:rPr>
        <w:t xml:space="preserve">第一章  </w:t>
      </w:r>
      <w:r>
        <w:rPr>
          <w:rFonts w:hint="eastAsia" w:ascii="宋体" w:hAnsi="宋体" w:cs="宋体"/>
          <w:b/>
          <w:bCs/>
          <w:szCs w:val="21"/>
        </w:rPr>
        <w:t>中国盆景史</w:t>
      </w:r>
    </w:p>
    <w:p>
      <w:pPr>
        <w:snapToGrid w:val="0"/>
        <w:spacing w:line="360" w:lineRule="auto"/>
        <w:rPr>
          <w:rFonts w:ascii="宋体" w:hAnsi="宋体" w:cs="宋体"/>
          <w:b/>
          <w:szCs w:val="21"/>
        </w:rPr>
      </w:pPr>
      <w:r>
        <w:rPr>
          <w:rFonts w:hint="eastAsia" w:ascii="宋体" w:hAnsi="宋体" w:cs="宋体"/>
          <w:b/>
          <w:szCs w:val="21"/>
        </w:rPr>
        <w:t>（一）学习目标</w:t>
      </w:r>
    </w:p>
    <w:p>
      <w:pPr>
        <w:spacing w:line="360" w:lineRule="auto"/>
        <w:ind w:firstLine="422" w:firstLineChars="200"/>
        <w:rPr>
          <w:rFonts w:ascii="宋体" w:hAnsi="宋体" w:cs="宋体"/>
          <w:szCs w:val="21"/>
        </w:rPr>
      </w:pPr>
      <w:r>
        <w:rPr>
          <w:rFonts w:hint="eastAsia" w:ascii="宋体" w:hAnsi="宋体" w:cs="宋体"/>
          <w:b/>
          <w:szCs w:val="21"/>
        </w:rPr>
        <w:t>1．</w:t>
      </w:r>
      <w:r>
        <w:rPr>
          <w:rFonts w:hint="eastAsia" w:ascii="宋体" w:hAnsi="宋体" w:cs="宋体"/>
          <w:b/>
          <w:bCs/>
          <w:szCs w:val="21"/>
        </w:rPr>
        <w:t>一般了解：</w:t>
      </w:r>
      <w:r>
        <w:rPr>
          <w:rFonts w:hint="eastAsia" w:ascii="宋体" w:hAnsi="宋体" w:cs="宋体"/>
          <w:bCs/>
          <w:szCs w:val="21"/>
        </w:rPr>
        <w:t>中国盆景史的意义、关于盆景起源的几种学说</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szCs w:val="21"/>
        </w:rPr>
        <w:t>2．</w:t>
      </w:r>
      <w:r>
        <w:rPr>
          <w:rFonts w:hint="eastAsia" w:ascii="宋体" w:hAnsi="宋体" w:cs="宋体"/>
          <w:b/>
          <w:bCs/>
          <w:szCs w:val="21"/>
        </w:rPr>
        <w:t>一般掌握：</w:t>
      </w:r>
      <w:r>
        <w:rPr>
          <w:rFonts w:hint="eastAsia" w:ascii="宋体" w:hAnsi="宋体" w:cs="宋体"/>
          <w:szCs w:val="21"/>
        </w:rPr>
        <w:t>近代盆景史略</w:t>
      </w:r>
      <w:r>
        <w:rPr>
          <w:rFonts w:hint="eastAsia" w:ascii="宋体" w:hAnsi="宋体" w:cs="宋体"/>
          <w:bCs/>
          <w:szCs w:val="21"/>
        </w:rPr>
        <w:t>、中国盆景通过日本传向西方、现代盆景简史及盆景著述与期刊</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szCs w:val="21"/>
        </w:rPr>
        <w:t>3．</w:t>
      </w:r>
      <w:r>
        <w:rPr>
          <w:rFonts w:hint="eastAsia" w:ascii="宋体" w:hAnsi="宋体" w:cs="宋体"/>
          <w:b/>
          <w:bCs/>
          <w:szCs w:val="21"/>
        </w:rPr>
        <w:t>熟练掌握：</w:t>
      </w:r>
      <w:r>
        <w:rPr>
          <w:rFonts w:hint="eastAsia" w:ascii="宋体" w:hAnsi="宋体" w:cs="宋体"/>
          <w:bCs/>
          <w:szCs w:val="21"/>
        </w:rPr>
        <w:t>新石器时期草本盆栽与夏商石玩、汉代木本盆栽与缶景、水盆景起源、唐代盆栽、盆池、小滩及赏石、宋代盆景、盆玩、盆山、明清盆景。</w:t>
      </w:r>
    </w:p>
    <w:p>
      <w:pPr>
        <w:spacing w:line="360" w:lineRule="auto"/>
        <w:rPr>
          <w:rFonts w:ascii="宋体" w:hAnsi="宋体" w:cs="宋体"/>
          <w:b/>
          <w:szCs w:val="21"/>
        </w:rPr>
      </w:pPr>
      <w:r>
        <w:rPr>
          <w:rFonts w:hint="eastAsia" w:ascii="宋体" w:hAnsi="宋体" w:cs="宋体"/>
          <w:b/>
          <w:szCs w:val="21"/>
        </w:rPr>
        <w:t>（二）考核内容</w:t>
      </w:r>
    </w:p>
    <w:p>
      <w:pPr>
        <w:spacing w:line="360" w:lineRule="auto"/>
        <w:ind w:firstLine="420"/>
        <w:rPr>
          <w:rFonts w:ascii="宋体" w:hAnsi="宋体" w:cs="宋体"/>
          <w:szCs w:val="21"/>
        </w:rPr>
      </w:pPr>
      <w:r>
        <w:rPr>
          <w:rFonts w:hint="eastAsia" w:ascii="宋体" w:hAnsi="宋体" w:cs="宋体"/>
          <w:szCs w:val="21"/>
        </w:rPr>
        <w:t>盆景发展的几个重大历史飞越、各时期盆景发展的代表作。</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bCs/>
          <w:szCs w:val="21"/>
        </w:rPr>
        <w:t>盆玩、盆山、盆池、小滩及赏石</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bCs/>
          <w:szCs w:val="21"/>
        </w:rPr>
        <w:t>中国盆景史的意义、关于盆景起源的几种学说</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简单应用：</w:t>
      </w:r>
      <w:r>
        <w:rPr>
          <w:rFonts w:hint="eastAsia" w:ascii="宋体" w:hAnsi="宋体" w:cs="宋体"/>
          <w:bCs/>
          <w:szCs w:val="21"/>
        </w:rPr>
        <w:t>新石器时期草本盆栽与夏商石玩、汉代木本盆栽与缶景、水盆景起源、唐代盆栽、宋代盆景、元代些子景、明清盆景。</w:t>
      </w:r>
    </w:p>
    <w:p>
      <w:pPr>
        <w:spacing w:line="360" w:lineRule="auto"/>
        <w:ind w:firstLine="422" w:firstLineChars="200"/>
        <w:rPr>
          <w:rFonts w:ascii="宋体" w:hAnsi="宋体" w:cs="宋体"/>
          <w:szCs w:val="21"/>
        </w:rPr>
      </w:pPr>
      <w:r>
        <w:rPr>
          <w:rFonts w:hint="eastAsia" w:ascii="宋体" w:hAnsi="宋体" w:cs="宋体"/>
          <w:b/>
          <w:szCs w:val="21"/>
        </w:rPr>
        <w:t>4.分析：</w:t>
      </w:r>
      <w:r>
        <w:rPr>
          <w:rFonts w:hint="eastAsia" w:ascii="宋体" w:hAnsi="宋体" w:cs="宋体"/>
          <w:szCs w:val="21"/>
        </w:rPr>
        <w:t>各时期盆景发展的代表作。</w:t>
      </w:r>
    </w:p>
    <w:p>
      <w:pPr>
        <w:spacing w:line="360" w:lineRule="auto"/>
        <w:ind w:firstLine="422" w:firstLineChars="200"/>
        <w:rPr>
          <w:rFonts w:ascii="宋体" w:hAnsi="宋体" w:cs="宋体"/>
          <w:bCs/>
          <w:szCs w:val="21"/>
        </w:rPr>
      </w:pPr>
      <w:r>
        <w:rPr>
          <w:rFonts w:hint="eastAsia" w:ascii="宋体" w:hAnsi="宋体" w:cs="宋体"/>
          <w:b/>
          <w:szCs w:val="21"/>
        </w:rPr>
        <w:t>5.综合</w:t>
      </w:r>
      <w:r>
        <w:rPr>
          <w:rFonts w:hint="eastAsia" w:ascii="宋体" w:hAnsi="宋体" w:cs="宋体"/>
          <w:szCs w:val="21"/>
        </w:rPr>
        <w:t>：</w:t>
      </w:r>
      <w:r>
        <w:rPr>
          <w:rFonts w:hint="eastAsia" w:ascii="宋体" w:hAnsi="宋体" w:cs="宋体"/>
          <w:bCs/>
          <w:szCs w:val="21"/>
        </w:rPr>
        <w:t>盆景飞跃期的条件</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bCs/>
          <w:szCs w:val="21"/>
        </w:rPr>
        <w:t>盆景的发展历程。</w:t>
      </w:r>
    </w:p>
    <w:p>
      <w:pPr>
        <w:spacing w:line="360" w:lineRule="auto"/>
        <w:jc w:val="center"/>
        <w:rPr>
          <w:rFonts w:ascii="宋体" w:hAnsi="宋体" w:cs="宋体"/>
          <w:b/>
          <w:bCs/>
          <w:szCs w:val="21"/>
        </w:rPr>
      </w:pPr>
      <w:r>
        <w:rPr>
          <w:rFonts w:hint="eastAsia" w:ascii="宋体" w:hAnsi="宋体" w:cs="宋体"/>
          <w:b/>
          <w:bCs/>
          <w:szCs w:val="21"/>
        </w:rPr>
        <w:t>第二章  中国盆景分类</w:t>
      </w:r>
    </w:p>
    <w:p>
      <w:pPr>
        <w:spacing w:line="360" w:lineRule="auto"/>
        <w:rPr>
          <w:rFonts w:ascii="宋体" w:hAnsi="宋体" w:cs="宋体"/>
          <w:b/>
          <w:bCs/>
          <w:szCs w:val="21"/>
        </w:rPr>
      </w:pPr>
      <w:r>
        <w:rPr>
          <w:rFonts w:hint="eastAsia" w:ascii="宋体" w:hAnsi="宋体" w:cs="宋体"/>
          <w:b/>
          <w:bCs/>
          <w:szCs w:val="21"/>
        </w:rPr>
        <w:t>（一）学习目标</w:t>
      </w:r>
    </w:p>
    <w:p>
      <w:pPr>
        <w:spacing w:line="360" w:lineRule="auto"/>
        <w:ind w:firstLine="420" w:firstLineChars="200"/>
        <w:rPr>
          <w:rFonts w:ascii="宋体" w:hAnsi="宋体" w:cs="宋体"/>
          <w:bCs/>
          <w:szCs w:val="21"/>
        </w:rPr>
      </w:pPr>
      <w:r>
        <w:rPr>
          <w:rFonts w:hint="eastAsia" w:ascii="宋体" w:hAnsi="宋体" w:cs="宋体"/>
          <w:szCs w:val="21"/>
        </w:rPr>
        <w:t>通过对“中国盆景分类”部分的学习，使同学们了解盆景分类方法，掌握各类型盆景的特点。</w:t>
      </w:r>
    </w:p>
    <w:p>
      <w:pPr>
        <w:spacing w:line="360" w:lineRule="auto"/>
        <w:ind w:firstLine="422" w:firstLineChars="200"/>
        <w:rPr>
          <w:rFonts w:ascii="宋体" w:hAnsi="宋体" w:cs="宋体"/>
          <w:szCs w:val="21"/>
        </w:rPr>
      </w:pPr>
      <w:r>
        <w:rPr>
          <w:rFonts w:hint="eastAsia" w:ascii="宋体" w:hAnsi="宋体" w:cs="宋体"/>
          <w:b/>
          <w:bCs/>
          <w:szCs w:val="21"/>
        </w:rPr>
        <w:t>1．一般了解：</w:t>
      </w:r>
      <w:r>
        <w:rPr>
          <w:rFonts w:hint="eastAsia" w:ascii="宋体" w:hAnsi="宋体" w:cs="宋体"/>
          <w:bCs/>
          <w:szCs w:val="21"/>
        </w:rPr>
        <w:t>分类法总述</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bCs/>
          <w:szCs w:val="21"/>
        </w:rPr>
        <w:t>2．一般掌握：</w:t>
      </w:r>
      <w:r>
        <w:rPr>
          <w:rFonts w:hint="eastAsia" w:ascii="宋体" w:hAnsi="宋体" w:cs="宋体"/>
          <w:bCs/>
          <w:szCs w:val="21"/>
        </w:rPr>
        <w:t>系统分类</w:t>
      </w:r>
      <w:r>
        <w:rPr>
          <w:rFonts w:hint="eastAsia" w:ascii="宋体" w:hAnsi="宋体" w:cs="宋体"/>
          <w:szCs w:val="21"/>
        </w:rPr>
        <w:t>方法。</w:t>
      </w:r>
    </w:p>
    <w:p>
      <w:pPr>
        <w:spacing w:line="360" w:lineRule="auto"/>
        <w:ind w:firstLine="422" w:firstLineChars="200"/>
        <w:rPr>
          <w:rFonts w:ascii="宋体" w:hAnsi="宋体" w:cs="宋体"/>
          <w:szCs w:val="21"/>
        </w:rPr>
      </w:pPr>
      <w:r>
        <w:rPr>
          <w:rFonts w:hint="eastAsia" w:ascii="宋体" w:hAnsi="宋体" w:cs="宋体"/>
          <w:b/>
          <w:bCs/>
          <w:szCs w:val="21"/>
        </w:rPr>
        <w:t>3．熟练掌握：</w:t>
      </w:r>
      <w:r>
        <w:rPr>
          <w:rFonts w:hint="eastAsia" w:ascii="宋体" w:hAnsi="宋体" w:cs="宋体"/>
          <w:bCs/>
          <w:szCs w:val="21"/>
        </w:rPr>
        <w:t>各类型盆景简介</w:t>
      </w:r>
      <w:r>
        <w:rPr>
          <w:rFonts w:hint="eastAsia" w:ascii="宋体" w:hAnsi="宋体" w:cs="宋体"/>
          <w:szCs w:val="21"/>
        </w:rPr>
        <w:t>。</w:t>
      </w:r>
    </w:p>
    <w:p>
      <w:pPr>
        <w:spacing w:line="360" w:lineRule="auto"/>
        <w:rPr>
          <w:rFonts w:ascii="宋体" w:hAnsi="宋体" w:cs="宋体"/>
          <w:b/>
          <w:szCs w:val="21"/>
        </w:rPr>
      </w:pPr>
      <w:r>
        <w:rPr>
          <w:rFonts w:hint="eastAsia" w:ascii="宋体" w:hAnsi="宋体" w:cs="宋体"/>
          <w:b/>
          <w:szCs w:val="21"/>
        </w:rPr>
        <w:t>（二）考核内容</w:t>
      </w:r>
    </w:p>
    <w:p>
      <w:pPr>
        <w:spacing w:line="360" w:lineRule="auto"/>
        <w:ind w:firstLine="420" w:firstLineChars="200"/>
        <w:rPr>
          <w:rFonts w:ascii="宋体" w:hAnsi="宋体" w:cs="宋体"/>
          <w:szCs w:val="21"/>
        </w:rPr>
      </w:pPr>
      <w:r>
        <w:rPr>
          <w:rFonts w:hint="eastAsia" w:ascii="宋体" w:hAnsi="宋体" w:cs="宋体"/>
          <w:szCs w:val="21"/>
        </w:rPr>
        <w:t>系统分类法及各类型盆景的特点。</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szCs w:val="21"/>
        </w:rPr>
        <w:t>盆景实用分类。</w:t>
      </w:r>
    </w:p>
    <w:p>
      <w:pPr>
        <w:spacing w:line="360" w:lineRule="auto"/>
        <w:ind w:firstLine="422" w:firstLineChars="200"/>
        <w:rPr>
          <w:rFonts w:ascii="宋体" w:hAnsi="宋体" w:cs="宋体"/>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bCs/>
          <w:szCs w:val="21"/>
        </w:rPr>
        <w:t>系统分类</w:t>
      </w:r>
      <w:r>
        <w:rPr>
          <w:rFonts w:hint="eastAsia" w:ascii="宋体" w:hAnsi="宋体" w:cs="宋体"/>
          <w:szCs w:val="21"/>
        </w:rPr>
        <w:t>方法。</w:t>
      </w:r>
    </w:p>
    <w:p>
      <w:pPr>
        <w:spacing w:line="360" w:lineRule="auto"/>
        <w:ind w:firstLine="422" w:firstLineChars="200"/>
        <w:rPr>
          <w:rFonts w:ascii="宋体" w:hAnsi="宋体" w:cs="宋体"/>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简单应用：</w:t>
      </w:r>
      <w:r>
        <w:rPr>
          <w:rFonts w:hint="eastAsia" w:ascii="宋体" w:hAnsi="宋体" w:cs="宋体"/>
          <w:bCs/>
          <w:szCs w:val="21"/>
        </w:rPr>
        <w:t>各类型盆景形式与表现</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szCs w:val="21"/>
        </w:rPr>
        <w:t>4.分析：</w:t>
      </w:r>
      <w:r>
        <w:rPr>
          <w:rFonts w:hint="eastAsia" w:ascii="宋体" w:hAnsi="宋体" w:cs="宋体"/>
          <w:bCs/>
          <w:szCs w:val="21"/>
        </w:rPr>
        <w:t>不同类型盆景的差异与统一。</w:t>
      </w:r>
    </w:p>
    <w:p>
      <w:pPr>
        <w:spacing w:line="360" w:lineRule="auto"/>
        <w:ind w:firstLine="422" w:firstLineChars="200"/>
        <w:rPr>
          <w:rFonts w:ascii="宋体" w:hAnsi="宋体" w:cs="宋体"/>
          <w:bCs/>
          <w:szCs w:val="21"/>
        </w:rPr>
      </w:pPr>
      <w:r>
        <w:rPr>
          <w:rFonts w:hint="eastAsia" w:ascii="宋体" w:hAnsi="宋体" w:cs="宋体"/>
          <w:b/>
          <w:szCs w:val="21"/>
        </w:rPr>
        <w:t>5.综合</w:t>
      </w:r>
      <w:r>
        <w:rPr>
          <w:rFonts w:hint="eastAsia" w:ascii="宋体" w:hAnsi="宋体" w:cs="宋体"/>
          <w:szCs w:val="21"/>
        </w:rPr>
        <w:t>：</w:t>
      </w:r>
      <w:r>
        <w:rPr>
          <w:rFonts w:hint="eastAsia" w:ascii="宋体" w:hAnsi="宋体" w:cs="宋体"/>
          <w:bCs/>
          <w:szCs w:val="21"/>
        </w:rPr>
        <w:t>盆景分类的必要性。</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bCs/>
          <w:szCs w:val="21"/>
        </w:rPr>
        <w:t>盆景分类的科学性。</w:t>
      </w:r>
    </w:p>
    <w:p>
      <w:pPr>
        <w:spacing w:line="360" w:lineRule="auto"/>
        <w:jc w:val="center"/>
        <w:rPr>
          <w:rFonts w:ascii="宋体" w:hAnsi="宋体" w:cs="宋体"/>
          <w:b/>
          <w:bCs/>
          <w:szCs w:val="21"/>
        </w:rPr>
      </w:pPr>
      <w:r>
        <w:rPr>
          <w:rFonts w:hint="eastAsia" w:ascii="宋体" w:hAnsi="宋体" w:cs="宋体"/>
          <w:b/>
          <w:bCs/>
          <w:szCs w:val="21"/>
        </w:rPr>
        <w:t>第三章  盆景风格及风格类型和流派</w:t>
      </w:r>
    </w:p>
    <w:p>
      <w:pPr>
        <w:spacing w:line="360" w:lineRule="auto"/>
        <w:rPr>
          <w:rFonts w:ascii="宋体" w:hAnsi="宋体" w:cs="宋体"/>
          <w:b/>
          <w:bCs/>
          <w:szCs w:val="21"/>
        </w:rPr>
      </w:pPr>
      <w:r>
        <w:rPr>
          <w:rFonts w:hint="eastAsia" w:ascii="宋体" w:hAnsi="宋体" w:cs="宋体"/>
          <w:b/>
          <w:bCs/>
          <w:szCs w:val="21"/>
        </w:rPr>
        <w:t>（一）学习目标</w:t>
      </w:r>
    </w:p>
    <w:p>
      <w:pPr>
        <w:spacing w:line="360" w:lineRule="auto"/>
        <w:ind w:firstLine="420" w:firstLineChars="200"/>
        <w:rPr>
          <w:rFonts w:ascii="宋体" w:hAnsi="宋体" w:cs="宋体"/>
          <w:bCs/>
          <w:szCs w:val="21"/>
        </w:rPr>
      </w:pPr>
      <w:r>
        <w:rPr>
          <w:rFonts w:hint="eastAsia" w:ascii="宋体" w:hAnsi="宋体" w:cs="宋体"/>
          <w:szCs w:val="21"/>
        </w:rPr>
        <w:t>通过对“盆景风格及风格类型—流派”部分的学习，使同学们了解盆景流派的形成与发展，掌握盆景流派的概念、划分、命名及属性以及</w:t>
      </w:r>
      <w:r>
        <w:rPr>
          <w:rFonts w:hint="eastAsia" w:ascii="宋体" w:hAnsi="宋体" w:cs="宋体"/>
          <w:bCs/>
          <w:szCs w:val="21"/>
        </w:rPr>
        <w:t>各流派造型技艺特点</w:t>
      </w:r>
      <w:r>
        <w:rPr>
          <w:rFonts w:hint="eastAsia" w:ascii="宋体" w:hAnsi="宋体" w:cs="宋体"/>
          <w:szCs w:val="21"/>
        </w:rPr>
        <w:t>。</w:t>
      </w:r>
    </w:p>
    <w:p>
      <w:pPr>
        <w:spacing w:line="360" w:lineRule="auto"/>
        <w:ind w:firstLine="422" w:firstLineChars="200"/>
        <w:rPr>
          <w:rFonts w:ascii="宋体" w:hAnsi="宋体" w:cs="宋体"/>
          <w:szCs w:val="21"/>
        </w:rPr>
      </w:pPr>
      <w:r>
        <w:rPr>
          <w:rFonts w:hint="eastAsia" w:ascii="宋体" w:hAnsi="宋体" w:cs="宋体"/>
          <w:b/>
          <w:bCs/>
          <w:szCs w:val="21"/>
        </w:rPr>
        <w:t>1．一般了解：</w:t>
      </w:r>
      <w:r>
        <w:rPr>
          <w:rFonts w:hint="eastAsia" w:ascii="宋体" w:hAnsi="宋体" w:cs="宋体"/>
          <w:szCs w:val="21"/>
        </w:rPr>
        <w:t>盆景流派的概念。</w:t>
      </w:r>
    </w:p>
    <w:p>
      <w:pPr>
        <w:spacing w:line="360" w:lineRule="auto"/>
        <w:ind w:firstLine="422" w:firstLineChars="200"/>
        <w:rPr>
          <w:rFonts w:ascii="宋体" w:hAnsi="宋体" w:cs="宋体"/>
          <w:bCs/>
          <w:szCs w:val="21"/>
        </w:rPr>
      </w:pPr>
      <w:r>
        <w:rPr>
          <w:rFonts w:hint="eastAsia" w:ascii="宋体" w:hAnsi="宋体" w:cs="宋体"/>
          <w:b/>
          <w:bCs/>
          <w:szCs w:val="21"/>
        </w:rPr>
        <w:t>2．一般掌握：</w:t>
      </w:r>
      <w:r>
        <w:rPr>
          <w:rFonts w:hint="eastAsia" w:ascii="宋体" w:hAnsi="宋体" w:cs="宋体"/>
          <w:szCs w:val="21"/>
        </w:rPr>
        <w:t>盆景流派的划分、命名及属性。</w:t>
      </w:r>
    </w:p>
    <w:p>
      <w:pPr>
        <w:spacing w:line="360" w:lineRule="auto"/>
        <w:ind w:firstLine="422" w:firstLineChars="200"/>
        <w:rPr>
          <w:rFonts w:ascii="宋体" w:hAnsi="宋体" w:cs="宋体"/>
          <w:bCs/>
          <w:szCs w:val="21"/>
        </w:rPr>
      </w:pPr>
      <w:r>
        <w:rPr>
          <w:rFonts w:hint="eastAsia" w:ascii="宋体" w:hAnsi="宋体" w:cs="宋体"/>
          <w:b/>
          <w:bCs/>
          <w:szCs w:val="21"/>
        </w:rPr>
        <w:t>3．熟练掌握：</w:t>
      </w:r>
      <w:r>
        <w:rPr>
          <w:rFonts w:hint="eastAsia" w:ascii="宋体" w:hAnsi="宋体" w:cs="宋体"/>
          <w:szCs w:val="21"/>
        </w:rPr>
        <w:t>盆景流派的形成与发展</w:t>
      </w:r>
      <w:r>
        <w:rPr>
          <w:rFonts w:hint="eastAsia" w:ascii="宋体" w:hAnsi="宋体" w:cs="宋体"/>
          <w:bCs/>
          <w:szCs w:val="21"/>
        </w:rPr>
        <w:t>。</w:t>
      </w:r>
    </w:p>
    <w:p>
      <w:pPr>
        <w:spacing w:line="360" w:lineRule="auto"/>
        <w:rPr>
          <w:rFonts w:ascii="宋体" w:hAnsi="宋体" w:cs="宋体"/>
          <w:b/>
          <w:szCs w:val="21"/>
        </w:rPr>
      </w:pPr>
      <w:r>
        <w:rPr>
          <w:rFonts w:hint="eastAsia" w:ascii="宋体" w:hAnsi="宋体" w:cs="宋体"/>
          <w:b/>
          <w:szCs w:val="21"/>
        </w:rPr>
        <w:t>（二）考核内容</w:t>
      </w:r>
    </w:p>
    <w:p>
      <w:pPr>
        <w:spacing w:line="360" w:lineRule="auto"/>
        <w:ind w:firstLine="420"/>
        <w:rPr>
          <w:rFonts w:ascii="宋体" w:hAnsi="宋体" w:cs="宋体"/>
          <w:szCs w:val="21"/>
        </w:rPr>
      </w:pPr>
      <w:r>
        <w:rPr>
          <w:rFonts w:hint="eastAsia" w:ascii="宋体" w:hAnsi="宋体" w:cs="宋体"/>
          <w:szCs w:val="21"/>
        </w:rPr>
        <w:t>盆景流派的概念、划分、命名及属性以及</w:t>
      </w:r>
      <w:r>
        <w:rPr>
          <w:rFonts w:hint="eastAsia" w:ascii="宋体" w:hAnsi="宋体" w:cs="宋体"/>
          <w:bCs/>
          <w:szCs w:val="21"/>
        </w:rPr>
        <w:t>各流派造型技艺特点</w:t>
      </w:r>
      <w:r>
        <w:rPr>
          <w:rFonts w:hint="eastAsia" w:ascii="宋体" w:hAnsi="宋体" w:cs="宋体"/>
          <w:szCs w:val="21"/>
        </w:rPr>
        <w:t>。</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bCs/>
          <w:szCs w:val="21"/>
        </w:rPr>
        <w:t>8大流派的艺术特点</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szCs w:val="21"/>
        </w:rPr>
        <w:t>盆景流派的划分、命名及属性。</w:t>
      </w:r>
    </w:p>
    <w:p>
      <w:pPr>
        <w:spacing w:line="360" w:lineRule="auto"/>
        <w:ind w:firstLine="422" w:firstLineChars="200"/>
        <w:rPr>
          <w:rFonts w:ascii="宋体" w:hAnsi="宋体" w:cs="宋体"/>
          <w:bCs/>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应用：</w:t>
      </w:r>
      <w:r>
        <w:rPr>
          <w:rFonts w:hint="eastAsia" w:ascii="宋体" w:hAnsi="宋体" w:cs="宋体"/>
          <w:szCs w:val="21"/>
        </w:rPr>
        <w:t>盆景流派的形成</w:t>
      </w:r>
      <w:r>
        <w:rPr>
          <w:rFonts w:hint="eastAsia" w:ascii="宋体" w:hAnsi="宋体" w:cs="宋体"/>
          <w:bCs/>
          <w:szCs w:val="21"/>
        </w:rPr>
        <w:t>。</w:t>
      </w:r>
    </w:p>
    <w:p>
      <w:pPr>
        <w:spacing w:line="360" w:lineRule="auto"/>
        <w:ind w:firstLine="422" w:firstLineChars="200"/>
        <w:rPr>
          <w:rFonts w:ascii="宋体" w:hAnsi="宋体" w:cs="宋体"/>
          <w:szCs w:val="21"/>
        </w:rPr>
      </w:pPr>
      <w:r>
        <w:rPr>
          <w:rFonts w:hint="eastAsia" w:ascii="宋体" w:hAnsi="宋体" w:cs="宋体"/>
          <w:b/>
          <w:szCs w:val="21"/>
        </w:rPr>
        <w:t>4.分析：</w:t>
      </w:r>
      <w:r>
        <w:rPr>
          <w:rFonts w:hint="eastAsia" w:ascii="宋体" w:hAnsi="宋体" w:cs="宋体"/>
          <w:szCs w:val="21"/>
        </w:rPr>
        <w:t>盆景流派的历史与发展的代表作。</w:t>
      </w:r>
    </w:p>
    <w:p>
      <w:pPr>
        <w:spacing w:line="360" w:lineRule="auto"/>
        <w:ind w:firstLine="422" w:firstLineChars="200"/>
        <w:rPr>
          <w:rFonts w:ascii="宋体" w:hAnsi="宋体" w:cs="宋体"/>
          <w:bCs/>
          <w:szCs w:val="21"/>
        </w:rPr>
      </w:pPr>
      <w:r>
        <w:rPr>
          <w:rFonts w:hint="eastAsia" w:ascii="宋体" w:hAnsi="宋体" w:cs="宋体"/>
          <w:b/>
          <w:szCs w:val="21"/>
        </w:rPr>
        <w:t>5.综合</w:t>
      </w:r>
      <w:r>
        <w:rPr>
          <w:rFonts w:hint="eastAsia" w:ascii="宋体" w:hAnsi="宋体" w:cs="宋体"/>
          <w:szCs w:val="21"/>
        </w:rPr>
        <w:t>：</w:t>
      </w:r>
      <w:r>
        <w:rPr>
          <w:rFonts w:hint="eastAsia" w:ascii="宋体" w:hAnsi="宋体" w:cs="宋体"/>
          <w:bCs/>
          <w:szCs w:val="21"/>
        </w:rPr>
        <w:t>盆景流派的现状。</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szCs w:val="21"/>
        </w:rPr>
        <w:t>盆景流派的传承与发展</w:t>
      </w:r>
      <w:r>
        <w:rPr>
          <w:rFonts w:hint="eastAsia" w:ascii="宋体" w:hAnsi="宋体" w:cs="宋体"/>
          <w:bCs/>
          <w:szCs w:val="21"/>
        </w:rPr>
        <w:t>。</w:t>
      </w:r>
    </w:p>
    <w:p>
      <w:pPr>
        <w:spacing w:line="360" w:lineRule="auto"/>
        <w:jc w:val="center"/>
        <w:rPr>
          <w:rFonts w:ascii="宋体" w:hAnsi="宋体" w:cs="宋体"/>
          <w:b/>
          <w:bCs/>
          <w:szCs w:val="21"/>
        </w:rPr>
      </w:pPr>
      <w:r>
        <w:rPr>
          <w:rFonts w:hint="eastAsia" w:ascii="宋体" w:hAnsi="宋体" w:cs="宋体"/>
          <w:b/>
          <w:bCs/>
          <w:szCs w:val="21"/>
        </w:rPr>
        <w:t>第四章  盆景美学</w:t>
      </w:r>
    </w:p>
    <w:p>
      <w:pPr>
        <w:spacing w:line="360" w:lineRule="auto"/>
        <w:rPr>
          <w:rFonts w:ascii="宋体" w:hAnsi="宋体" w:cs="宋体"/>
          <w:b/>
          <w:bCs/>
          <w:szCs w:val="21"/>
        </w:rPr>
      </w:pPr>
      <w:r>
        <w:rPr>
          <w:rFonts w:hint="eastAsia" w:ascii="宋体" w:hAnsi="宋体" w:cs="宋体"/>
          <w:b/>
          <w:bCs/>
          <w:szCs w:val="21"/>
        </w:rPr>
        <w:t>（一）学习目标</w:t>
      </w:r>
    </w:p>
    <w:p>
      <w:pPr>
        <w:spacing w:line="360" w:lineRule="auto"/>
        <w:ind w:firstLine="420" w:firstLineChars="200"/>
        <w:rPr>
          <w:rFonts w:ascii="宋体" w:hAnsi="宋体" w:cs="宋体"/>
          <w:bCs/>
          <w:szCs w:val="21"/>
        </w:rPr>
      </w:pPr>
      <w:r>
        <w:rPr>
          <w:rFonts w:hint="eastAsia" w:ascii="宋体" w:hAnsi="宋体" w:cs="宋体"/>
          <w:szCs w:val="21"/>
        </w:rPr>
        <w:t>通过对“盆景美学”部分的学习，使同学们了解盆景美学的概念、盆景艺术的特征、盆景美的形态以及盆景与画论、诗词的关系，掌握盆景的形式与内容、盆景艺术风格与流派。</w:t>
      </w:r>
    </w:p>
    <w:p>
      <w:pPr>
        <w:spacing w:line="360" w:lineRule="auto"/>
        <w:ind w:firstLine="422" w:firstLineChars="200"/>
        <w:rPr>
          <w:rFonts w:ascii="宋体" w:hAnsi="宋体" w:cs="宋体"/>
          <w:szCs w:val="21"/>
        </w:rPr>
      </w:pPr>
      <w:r>
        <w:rPr>
          <w:rFonts w:hint="eastAsia" w:ascii="宋体" w:hAnsi="宋体" w:cs="宋体"/>
          <w:b/>
          <w:bCs/>
          <w:szCs w:val="21"/>
        </w:rPr>
        <w:t>1．一般了解：</w:t>
      </w:r>
      <w:r>
        <w:rPr>
          <w:rFonts w:hint="eastAsia" w:ascii="宋体" w:hAnsi="宋体" w:cs="宋体"/>
          <w:bCs/>
          <w:szCs w:val="21"/>
        </w:rPr>
        <w:t>盆景美学的概念、盆景艺术活动概观</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bCs/>
          <w:szCs w:val="21"/>
        </w:rPr>
        <w:t>2．一般掌握：</w:t>
      </w:r>
      <w:r>
        <w:rPr>
          <w:rFonts w:hint="eastAsia" w:ascii="宋体" w:hAnsi="宋体" w:cs="宋体"/>
          <w:bCs/>
          <w:szCs w:val="21"/>
        </w:rPr>
        <w:t>盆景与画论、盆景与诗词。</w:t>
      </w:r>
    </w:p>
    <w:p>
      <w:pPr>
        <w:spacing w:line="360" w:lineRule="auto"/>
        <w:ind w:firstLine="422" w:firstLineChars="200"/>
        <w:rPr>
          <w:rFonts w:ascii="宋体" w:hAnsi="宋体" w:cs="宋体"/>
          <w:bCs/>
          <w:szCs w:val="21"/>
        </w:rPr>
      </w:pPr>
      <w:r>
        <w:rPr>
          <w:rFonts w:hint="eastAsia" w:ascii="宋体" w:hAnsi="宋体" w:cs="宋体"/>
          <w:b/>
          <w:bCs/>
          <w:szCs w:val="21"/>
        </w:rPr>
        <w:t>3．熟练掌握：</w:t>
      </w:r>
      <w:r>
        <w:rPr>
          <w:rFonts w:hint="eastAsia" w:ascii="宋体" w:hAnsi="宋体" w:cs="宋体"/>
        </w:rPr>
        <w:t>盆景艺术的特征、盆景美的形态、盆景形式美法则、盆景意境美原则、盆景的形式与内容。</w:t>
      </w:r>
    </w:p>
    <w:p>
      <w:pPr>
        <w:snapToGrid w:val="0"/>
        <w:spacing w:line="360" w:lineRule="auto"/>
        <w:rPr>
          <w:rFonts w:ascii="宋体" w:hAnsi="宋体" w:cs="宋体"/>
          <w:szCs w:val="21"/>
        </w:rPr>
      </w:pPr>
      <w:r>
        <w:rPr>
          <w:rFonts w:hint="eastAsia" w:ascii="宋体" w:hAnsi="宋体" w:cs="宋体"/>
          <w:b/>
          <w:szCs w:val="21"/>
        </w:rPr>
        <w:t>（二）考核内容</w:t>
      </w:r>
    </w:p>
    <w:p>
      <w:pPr>
        <w:spacing w:line="360" w:lineRule="auto"/>
        <w:ind w:firstLine="420" w:firstLineChars="200"/>
        <w:rPr>
          <w:rFonts w:ascii="宋体" w:hAnsi="宋体" w:cs="宋体"/>
          <w:szCs w:val="21"/>
        </w:rPr>
      </w:pPr>
      <w:r>
        <w:rPr>
          <w:rFonts w:hint="eastAsia" w:ascii="宋体" w:hAnsi="宋体" w:cs="宋体"/>
          <w:szCs w:val="21"/>
        </w:rPr>
        <w:t>盆景的形式与内容、盆景艺术风格与流派。</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rPr>
        <w:t>盆景形式美法则、盆景意境美原则</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bCs/>
          <w:szCs w:val="21"/>
        </w:rPr>
        <w:t>盆景美学的概念、盆景艺术活动概观</w:t>
      </w:r>
      <w:r>
        <w:rPr>
          <w:rFonts w:hint="eastAsia" w:ascii="宋体" w:hAnsi="宋体" w:cs="宋体"/>
          <w:szCs w:val="21"/>
        </w:rPr>
        <w:t>。</w:t>
      </w:r>
    </w:p>
    <w:p>
      <w:pPr>
        <w:spacing w:line="360" w:lineRule="auto"/>
        <w:ind w:firstLine="422" w:firstLineChars="200"/>
        <w:rPr>
          <w:rFonts w:ascii="宋体" w:hAnsi="宋体" w:cs="宋体"/>
          <w:bCs/>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应用：</w:t>
      </w:r>
      <w:r>
        <w:rPr>
          <w:rFonts w:hint="eastAsia" w:ascii="宋体" w:hAnsi="宋体" w:cs="宋体"/>
          <w:bCs/>
          <w:szCs w:val="21"/>
        </w:rPr>
        <w:t>盆景与画论、盆景与诗词。</w:t>
      </w:r>
    </w:p>
    <w:p>
      <w:pPr>
        <w:spacing w:line="360" w:lineRule="auto"/>
        <w:ind w:firstLine="422" w:firstLineChars="200"/>
        <w:rPr>
          <w:rFonts w:ascii="宋体" w:hAnsi="宋体" w:cs="宋体"/>
          <w:szCs w:val="21"/>
        </w:rPr>
      </w:pPr>
      <w:r>
        <w:rPr>
          <w:rFonts w:hint="eastAsia" w:ascii="宋体" w:hAnsi="宋体" w:cs="宋体"/>
          <w:b/>
          <w:szCs w:val="21"/>
        </w:rPr>
        <w:t>4.分析：</w:t>
      </w:r>
      <w:r>
        <w:rPr>
          <w:rFonts w:hint="eastAsia" w:ascii="宋体" w:hAnsi="宋体" w:cs="宋体"/>
          <w:szCs w:val="21"/>
        </w:rPr>
        <w:t>盆景的诗意。</w:t>
      </w:r>
    </w:p>
    <w:p>
      <w:pPr>
        <w:spacing w:line="360" w:lineRule="auto"/>
        <w:ind w:firstLine="422" w:firstLineChars="200"/>
        <w:rPr>
          <w:rFonts w:ascii="宋体" w:hAnsi="宋体" w:cs="宋体"/>
        </w:rPr>
      </w:pPr>
      <w:r>
        <w:rPr>
          <w:rFonts w:hint="eastAsia" w:ascii="宋体" w:hAnsi="宋体" w:cs="宋体"/>
          <w:b/>
          <w:szCs w:val="21"/>
        </w:rPr>
        <w:t>5.综合</w:t>
      </w:r>
      <w:r>
        <w:rPr>
          <w:rFonts w:hint="eastAsia" w:ascii="宋体" w:hAnsi="宋体" w:cs="宋体"/>
          <w:szCs w:val="21"/>
        </w:rPr>
        <w:t>：</w:t>
      </w:r>
      <w:r>
        <w:rPr>
          <w:rFonts w:hint="eastAsia" w:ascii="宋体" w:hAnsi="宋体" w:cs="宋体"/>
        </w:rPr>
        <w:t>盆景的形式与内容。</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szCs w:val="21"/>
        </w:rPr>
        <w:t>盆景的中国美</w:t>
      </w:r>
      <w:r>
        <w:rPr>
          <w:rFonts w:hint="eastAsia" w:ascii="宋体" w:hAnsi="宋体" w:cs="宋体"/>
          <w:bCs/>
          <w:szCs w:val="21"/>
        </w:rPr>
        <w:t>。</w:t>
      </w:r>
    </w:p>
    <w:p>
      <w:pPr>
        <w:spacing w:line="360" w:lineRule="auto"/>
        <w:jc w:val="center"/>
        <w:rPr>
          <w:rFonts w:ascii="宋体" w:hAnsi="宋体" w:cs="宋体"/>
          <w:b/>
          <w:bCs/>
          <w:szCs w:val="21"/>
        </w:rPr>
      </w:pPr>
      <w:r>
        <w:rPr>
          <w:rFonts w:hint="eastAsia" w:ascii="宋体" w:hAnsi="宋体" w:cs="宋体"/>
          <w:b/>
          <w:bCs/>
          <w:szCs w:val="21"/>
        </w:rPr>
        <w:t>第五章  桩景创作</w:t>
      </w:r>
    </w:p>
    <w:p>
      <w:pPr>
        <w:spacing w:line="360" w:lineRule="auto"/>
        <w:rPr>
          <w:rFonts w:ascii="宋体" w:hAnsi="宋体" w:cs="宋体"/>
          <w:b/>
          <w:bCs/>
          <w:szCs w:val="21"/>
        </w:rPr>
      </w:pPr>
      <w:r>
        <w:rPr>
          <w:rFonts w:hint="eastAsia" w:ascii="宋体" w:hAnsi="宋体" w:cs="宋体"/>
          <w:b/>
          <w:bCs/>
          <w:szCs w:val="21"/>
        </w:rPr>
        <w:t>（一）学习目标</w:t>
      </w:r>
    </w:p>
    <w:p>
      <w:pPr>
        <w:spacing w:line="360" w:lineRule="auto"/>
        <w:ind w:firstLine="420" w:firstLineChars="200"/>
        <w:rPr>
          <w:rFonts w:ascii="宋体" w:hAnsi="宋体" w:cs="宋体"/>
          <w:bCs/>
          <w:szCs w:val="21"/>
        </w:rPr>
      </w:pPr>
      <w:r>
        <w:rPr>
          <w:rFonts w:hint="eastAsia" w:ascii="宋体" w:hAnsi="宋体" w:cs="宋体"/>
          <w:szCs w:val="21"/>
        </w:rPr>
        <w:t>通过对“桩景创作”部分的学习，使同学们了解各流派造型技艺，掌握桩景制作的基本技艺，重点所讲的几种特殊造型制作的要点。</w:t>
      </w:r>
    </w:p>
    <w:p>
      <w:pPr>
        <w:spacing w:line="360" w:lineRule="auto"/>
        <w:ind w:firstLine="422" w:firstLineChars="200"/>
        <w:rPr>
          <w:rFonts w:ascii="宋体" w:hAnsi="宋体" w:cs="宋体"/>
          <w:szCs w:val="21"/>
        </w:rPr>
      </w:pPr>
      <w:r>
        <w:rPr>
          <w:rFonts w:hint="eastAsia" w:ascii="宋体" w:hAnsi="宋体" w:cs="宋体"/>
          <w:b/>
          <w:bCs/>
          <w:szCs w:val="21"/>
        </w:rPr>
        <w:t>1．一般了解：</w:t>
      </w:r>
      <w:r>
        <w:rPr>
          <w:rFonts w:hint="eastAsia" w:ascii="宋体" w:hAnsi="宋体" w:cs="宋体"/>
          <w:szCs w:val="21"/>
        </w:rPr>
        <w:t>桩景创作</w:t>
      </w:r>
      <w:r>
        <w:rPr>
          <w:rFonts w:hint="eastAsia" w:ascii="宋体" w:hAnsi="宋体" w:cs="宋体"/>
          <w:bCs/>
          <w:szCs w:val="21"/>
        </w:rPr>
        <w:t>基本技艺</w:t>
      </w:r>
      <w:r>
        <w:rPr>
          <w:rFonts w:hint="eastAsia" w:ascii="宋体" w:hAnsi="宋体" w:cs="宋体"/>
          <w:szCs w:val="21"/>
        </w:rPr>
        <w:t>。</w:t>
      </w:r>
    </w:p>
    <w:p>
      <w:pPr>
        <w:spacing w:line="360" w:lineRule="auto"/>
        <w:ind w:firstLine="422" w:firstLineChars="200"/>
        <w:rPr>
          <w:rFonts w:ascii="宋体" w:hAnsi="宋体" w:cs="宋体"/>
          <w:szCs w:val="21"/>
        </w:rPr>
      </w:pPr>
      <w:r>
        <w:rPr>
          <w:rFonts w:hint="eastAsia" w:ascii="宋体" w:hAnsi="宋体" w:cs="宋体"/>
          <w:b/>
          <w:bCs/>
          <w:szCs w:val="21"/>
        </w:rPr>
        <w:t>2．一般掌握：</w:t>
      </w:r>
      <w:r>
        <w:rPr>
          <w:rFonts w:hint="eastAsia" w:ascii="宋体" w:hAnsi="宋体" w:cs="宋体"/>
          <w:bCs/>
          <w:szCs w:val="21"/>
        </w:rPr>
        <w:t>各流派造</w:t>
      </w:r>
      <w:r>
        <w:rPr>
          <w:rFonts w:hint="eastAsia" w:ascii="宋体" w:hAnsi="宋体" w:cs="宋体"/>
          <w:szCs w:val="21"/>
        </w:rPr>
        <w:t>型技艺综述。</w:t>
      </w:r>
    </w:p>
    <w:p>
      <w:pPr>
        <w:spacing w:line="360" w:lineRule="auto"/>
        <w:ind w:firstLine="422" w:firstLineChars="200"/>
        <w:rPr>
          <w:rFonts w:ascii="宋体" w:hAnsi="宋体" w:cs="宋体"/>
          <w:szCs w:val="21"/>
        </w:rPr>
      </w:pPr>
      <w:r>
        <w:rPr>
          <w:rFonts w:hint="eastAsia" w:ascii="宋体" w:hAnsi="宋体" w:cs="宋体"/>
          <w:b/>
          <w:szCs w:val="21"/>
        </w:rPr>
        <w:t>3．熟练掌握：</w:t>
      </w:r>
      <w:r>
        <w:rPr>
          <w:rFonts w:hint="eastAsia" w:ascii="宋体" w:hAnsi="宋体" w:cs="宋体"/>
          <w:szCs w:val="21"/>
        </w:rPr>
        <w:t>桩景造型制作要点。</w:t>
      </w:r>
    </w:p>
    <w:p>
      <w:pPr>
        <w:spacing w:line="360" w:lineRule="auto"/>
        <w:rPr>
          <w:rFonts w:ascii="宋体" w:hAnsi="宋体" w:cs="宋体"/>
          <w:szCs w:val="21"/>
        </w:rPr>
      </w:pPr>
      <w:r>
        <w:rPr>
          <w:rFonts w:hint="eastAsia" w:ascii="宋体" w:hAnsi="宋体" w:cs="宋体"/>
          <w:b/>
          <w:szCs w:val="21"/>
        </w:rPr>
        <w:t>（二）考核内容</w:t>
      </w:r>
    </w:p>
    <w:p>
      <w:pPr>
        <w:spacing w:line="360" w:lineRule="auto"/>
        <w:ind w:firstLine="420" w:firstLineChars="200"/>
        <w:rPr>
          <w:rFonts w:ascii="宋体" w:hAnsi="宋体" w:cs="宋体"/>
          <w:szCs w:val="21"/>
        </w:rPr>
      </w:pPr>
      <w:r>
        <w:rPr>
          <w:rFonts w:hint="eastAsia" w:ascii="宋体" w:hAnsi="宋体" w:cs="宋体"/>
          <w:szCs w:val="21"/>
        </w:rPr>
        <w:t>桩景制作的基本技艺，重点所讲的几种特殊造型制作的要点。</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bCs/>
          <w:szCs w:val="21"/>
        </w:rPr>
        <w:t>各流派造</w:t>
      </w:r>
      <w:r>
        <w:rPr>
          <w:rFonts w:hint="eastAsia" w:ascii="宋体" w:hAnsi="宋体" w:cs="宋体"/>
          <w:szCs w:val="21"/>
        </w:rPr>
        <w:t>型技艺。</w:t>
      </w:r>
    </w:p>
    <w:p>
      <w:pPr>
        <w:spacing w:line="360" w:lineRule="auto"/>
        <w:ind w:firstLine="422" w:firstLineChars="200"/>
        <w:rPr>
          <w:rFonts w:ascii="宋体" w:hAnsi="宋体" w:cs="宋体"/>
          <w:bCs/>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szCs w:val="21"/>
        </w:rPr>
        <w:t>桩景制作的基本技艺流程。</w:t>
      </w:r>
    </w:p>
    <w:p>
      <w:pPr>
        <w:spacing w:line="360" w:lineRule="auto"/>
        <w:ind w:firstLine="422" w:firstLineChars="200"/>
        <w:rPr>
          <w:rFonts w:ascii="宋体" w:hAnsi="宋体" w:cs="宋体"/>
          <w:bCs/>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应用：</w:t>
      </w:r>
      <w:r>
        <w:rPr>
          <w:rFonts w:hint="eastAsia" w:ascii="宋体" w:hAnsi="宋体" w:cs="宋体"/>
          <w:bCs/>
          <w:szCs w:val="21"/>
        </w:rPr>
        <w:t>根据各流派造型技艺的特点进行模仿与评价。</w:t>
      </w:r>
    </w:p>
    <w:p>
      <w:pPr>
        <w:spacing w:line="360" w:lineRule="auto"/>
        <w:ind w:firstLine="422" w:firstLineChars="200"/>
        <w:rPr>
          <w:rFonts w:ascii="宋体" w:hAnsi="宋体" w:cs="宋体"/>
          <w:szCs w:val="21"/>
        </w:rPr>
      </w:pPr>
      <w:r>
        <w:rPr>
          <w:rFonts w:hint="eastAsia" w:ascii="宋体" w:hAnsi="宋体" w:cs="宋体"/>
          <w:b/>
          <w:szCs w:val="21"/>
        </w:rPr>
        <w:t>4.分析：</w:t>
      </w:r>
      <w:r>
        <w:rPr>
          <w:rFonts w:hint="eastAsia" w:ascii="宋体" w:hAnsi="宋体" w:cs="宋体"/>
          <w:szCs w:val="21"/>
        </w:rPr>
        <w:t>桩景制作的成本与效益。</w:t>
      </w:r>
    </w:p>
    <w:p>
      <w:pPr>
        <w:spacing w:line="360" w:lineRule="auto"/>
        <w:ind w:firstLine="422" w:firstLineChars="200"/>
        <w:rPr>
          <w:rFonts w:ascii="宋体" w:hAnsi="宋体" w:cs="宋体"/>
          <w:szCs w:val="21"/>
        </w:rPr>
      </w:pPr>
      <w:r>
        <w:rPr>
          <w:rFonts w:hint="eastAsia" w:ascii="宋体" w:hAnsi="宋体" w:cs="宋体"/>
          <w:b/>
          <w:szCs w:val="21"/>
        </w:rPr>
        <w:t>5.综合</w:t>
      </w:r>
      <w:r>
        <w:rPr>
          <w:rFonts w:hint="eastAsia" w:ascii="宋体" w:hAnsi="宋体" w:cs="宋体"/>
          <w:szCs w:val="21"/>
        </w:rPr>
        <w:t>：桩景制作的基本技艺应用。</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szCs w:val="21"/>
        </w:rPr>
        <w:t>桩景制作市场行情</w:t>
      </w:r>
      <w:r>
        <w:rPr>
          <w:rFonts w:hint="eastAsia" w:ascii="宋体" w:hAnsi="宋体" w:cs="宋体"/>
          <w:bCs/>
          <w:szCs w:val="21"/>
        </w:rPr>
        <w:t>。</w:t>
      </w:r>
    </w:p>
    <w:p>
      <w:pPr>
        <w:spacing w:line="360" w:lineRule="auto"/>
        <w:jc w:val="center"/>
        <w:rPr>
          <w:rFonts w:ascii="宋体" w:hAnsi="宋体" w:cs="宋体"/>
          <w:b/>
          <w:bCs/>
          <w:szCs w:val="21"/>
        </w:rPr>
      </w:pPr>
      <w:r>
        <w:rPr>
          <w:rFonts w:hint="eastAsia" w:ascii="宋体" w:hAnsi="宋体" w:cs="宋体"/>
          <w:b/>
          <w:bCs/>
          <w:szCs w:val="21"/>
        </w:rPr>
        <w:t>第六章  山水盆景创作</w:t>
      </w:r>
    </w:p>
    <w:p>
      <w:pPr>
        <w:spacing w:line="360" w:lineRule="auto"/>
        <w:rPr>
          <w:rFonts w:ascii="宋体" w:hAnsi="宋体" w:cs="宋体"/>
          <w:b/>
          <w:bCs/>
          <w:szCs w:val="21"/>
        </w:rPr>
      </w:pPr>
      <w:r>
        <w:rPr>
          <w:rFonts w:hint="eastAsia" w:ascii="宋体" w:hAnsi="宋体" w:cs="宋体"/>
          <w:b/>
          <w:bCs/>
          <w:szCs w:val="21"/>
        </w:rPr>
        <w:t>（一）学习目标</w:t>
      </w:r>
    </w:p>
    <w:p>
      <w:pPr>
        <w:spacing w:line="360" w:lineRule="auto"/>
        <w:ind w:firstLine="420" w:firstLineChars="200"/>
        <w:rPr>
          <w:rFonts w:ascii="宋体" w:hAnsi="宋体" w:cs="宋体"/>
          <w:szCs w:val="21"/>
        </w:rPr>
      </w:pPr>
      <w:r>
        <w:rPr>
          <w:rFonts w:hint="eastAsia" w:ascii="宋体" w:hAnsi="宋体" w:cs="宋体"/>
          <w:szCs w:val="21"/>
        </w:rPr>
        <w:t>通过对“山水盆景创作”部分的学习，使同学们了解山水盆景制作中的相石与布局以及山水盆景的题名，掌握山水盆景的基本技艺，配置与点缀及几种特殊形式山水盆景的制作要点。</w:t>
      </w:r>
    </w:p>
    <w:p>
      <w:pPr>
        <w:spacing w:line="360" w:lineRule="auto"/>
        <w:ind w:firstLine="422" w:firstLineChars="200"/>
        <w:rPr>
          <w:rFonts w:ascii="宋体" w:hAnsi="宋体" w:cs="宋体"/>
          <w:szCs w:val="21"/>
        </w:rPr>
      </w:pPr>
      <w:r>
        <w:rPr>
          <w:rFonts w:hint="eastAsia" w:ascii="宋体" w:hAnsi="宋体" w:cs="宋体"/>
          <w:b/>
          <w:bCs/>
          <w:szCs w:val="21"/>
        </w:rPr>
        <w:t>1．一般了解：</w:t>
      </w:r>
      <w:r>
        <w:rPr>
          <w:rFonts w:hint="eastAsia" w:ascii="宋体" w:hAnsi="宋体" w:cs="宋体"/>
          <w:szCs w:val="21"/>
        </w:rPr>
        <w:t>盆景题名。</w:t>
      </w:r>
    </w:p>
    <w:p>
      <w:pPr>
        <w:spacing w:line="360" w:lineRule="auto"/>
        <w:ind w:firstLine="422" w:firstLineChars="200"/>
        <w:rPr>
          <w:rFonts w:ascii="宋体" w:hAnsi="宋体" w:cs="宋体"/>
          <w:szCs w:val="21"/>
        </w:rPr>
      </w:pPr>
      <w:r>
        <w:rPr>
          <w:rFonts w:hint="eastAsia" w:ascii="宋体" w:hAnsi="宋体" w:cs="宋体"/>
          <w:b/>
          <w:bCs/>
          <w:szCs w:val="21"/>
        </w:rPr>
        <w:t>2．一般掌握：</w:t>
      </w:r>
      <w:r>
        <w:rPr>
          <w:rFonts w:hint="eastAsia" w:ascii="宋体" w:hAnsi="宋体" w:cs="宋体"/>
          <w:szCs w:val="21"/>
        </w:rPr>
        <w:t>山水盆景的相石与布局。</w:t>
      </w:r>
    </w:p>
    <w:p>
      <w:pPr>
        <w:spacing w:line="360" w:lineRule="auto"/>
        <w:ind w:firstLine="422" w:firstLineChars="200"/>
        <w:rPr>
          <w:rFonts w:ascii="宋体" w:hAnsi="宋体" w:cs="宋体"/>
          <w:szCs w:val="21"/>
        </w:rPr>
      </w:pPr>
      <w:r>
        <w:rPr>
          <w:rFonts w:hint="eastAsia" w:ascii="宋体" w:hAnsi="宋体" w:cs="宋体"/>
          <w:b/>
          <w:szCs w:val="21"/>
        </w:rPr>
        <w:t>3．熟练掌握：</w:t>
      </w:r>
      <w:r>
        <w:rPr>
          <w:rFonts w:hint="eastAsia" w:ascii="宋体" w:hAnsi="宋体" w:cs="宋体"/>
          <w:szCs w:val="21"/>
        </w:rPr>
        <w:t>山水盆景制作技艺、配植与点缀、几种特殊形式的山水盆景的制作要点。</w:t>
      </w:r>
    </w:p>
    <w:p>
      <w:pPr>
        <w:spacing w:line="360" w:lineRule="auto"/>
        <w:rPr>
          <w:rFonts w:ascii="宋体" w:hAnsi="宋体" w:cs="宋体"/>
          <w:szCs w:val="21"/>
        </w:rPr>
      </w:pPr>
      <w:r>
        <w:rPr>
          <w:rFonts w:hint="eastAsia" w:ascii="宋体" w:hAnsi="宋体" w:cs="宋体"/>
          <w:b/>
          <w:szCs w:val="21"/>
        </w:rPr>
        <w:t>（二）考核内容</w:t>
      </w:r>
    </w:p>
    <w:p>
      <w:pPr>
        <w:spacing w:line="360" w:lineRule="auto"/>
        <w:ind w:firstLine="420" w:firstLineChars="200"/>
        <w:rPr>
          <w:rFonts w:ascii="宋体" w:hAnsi="宋体" w:cs="宋体"/>
          <w:szCs w:val="21"/>
        </w:rPr>
      </w:pPr>
      <w:r>
        <w:rPr>
          <w:rFonts w:hint="eastAsia" w:ascii="宋体" w:hAnsi="宋体" w:cs="宋体"/>
          <w:szCs w:val="21"/>
        </w:rPr>
        <w:t>山水盆景的基本技艺，配置与点缀及几种特殊形式山水盆景的制作要点。</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bCs/>
          <w:szCs w:val="21"/>
        </w:rPr>
        <w:t>各风格造</w:t>
      </w:r>
      <w:r>
        <w:rPr>
          <w:rFonts w:hint="eastAsia" w:ascii="宋体" w:hAnsi="宋体" w:cs="宋体"/>
          <w:szCs w:val="21"/>
        </w:rPr>
        <w:t>型技艺。</w:t>
      </w:r>
    </w:p>
    <w:p>
      <w:pPr>
        <w:spacing w:line="360" w:lineRule="auto"/>
        <w:ind w:firstLine="422" w:firstLineChars="200"/>
        <w:rPr>
          <w:rFonts w:ascii="宋体" w:hAnsi="宋体" w:cs="宋体"/>
          <w:bCs/>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szCs w:val="21"/>
        </w:rPr>
        <w:t>山水盆景制作的基本技艺流程。</w:t>
      </w:r>
    </w:p>
    <w:p>
      <w:pPr>
        <w:spacing w:line="360" w:lineRule="auto"/>
        <w:ind w:firstLine="422" w:firstLineChars="200"/>
        <w:rPr>
          <w:rFonts w:ascii="宋体" w:hAnsi="宋体" w:cs="宋体"/>
          <w:bCs/>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应用：</w:t>
      </w:r>
      <w:r>
        <w:rPr>
          <w:rFonts w:hint="eastAsia" w:ascii="宋体" w:hAnsi="宋体" w:cs="宋体"/>
          <w:bCs/>
          <w:szCs w:val="21"/>
        </w:rPr>
        <w:t>根据各风格造型技艺的特点进行模仿与评价。</w:t>
      </w:r>
    </w:p>
    <w:p>
      <w:pPr>
        <w:spacing w:line="360" w:lineRule="auto"/>
        <w:ind w:firstLine="422" w:firstLineChars="200"/>
        <w:rPr>
          <w:rFonts w:ascii="宋体" w:hAnsi="宋体" w:cs="宋体"/>
          <w:szCs w:val="21"/>
        </w:rPr>
      </w:pPr>
      <w:r>
        <w:rPr>
          <w:rFonts w:hint="eastAsia" w:ascii="宋体" w:hAnsi="宋体" w:cs="宋体"/>
          <w:b/>
          <w:szCs w:val="21"/>
        </w:rPr>
        <w:t>4.分析：</w:t>
      </w:r>
      <w:r>
        <w:rPr>
          <w:rFonts w:hint="eastAsia" w:ascii="宋体" w:hAnsi="宋体" w:cs="宋体"/>
          <w:szCs w:val="21"/>
        </w:rPr>
        <w:t>山水盆景制作的成本与效益。</w:t>
      </w:r>
    </w:p>
    <w:p>
      <w:pPr>
        <w:spacing w:line="360" w:lineRule="auto"/>
        <w:ind w:firstLine="422" w:firstLineChars="200"/>
        <w:rPr>
          <w:rFonts w:ascii="宋体" w:hAnsi="宋体" w:cs="宋体"/>
          <w:szCs w:val="21"/>
        </w:rPr>
      </w:pPr>
      <w:r>
        <w:rPr>
          <w:rFonts w:hint="eastAsia" w:ascii="宋体" w:hAnsi="宋体" w:cs="宋体"/>
          <w:b/>
          <w:szCs w:val="21"/>
        </w:rPr>
        <w:t>5.综合</w:t>
      </w:r>
      <w:r>
        <w:rPr>
          <w:rFonts w:hint="eastAsia" w:ascii="宋体" w:hAnsi="宋体" w:cs="宋体"/>
          <w:szCs w:val="21"/>
        </w:rPr>
        <w:t>：山水盆景制作的基本技艺应用。</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szCs w:val="21"/>
        </w:rPr>
        <w:t>山水盆景制作市场行情</w:t>
      </w:r>
      <w:r>
        <w:rPr>
          <w:rFonts w:hint="eastAsia" w:ascii="宋体" w:hAnsi="宋体" w:cs="宋体"/>
          <w:bCs/>
          <w:szCs w:val="21"/>
        </w:rPr>
        <w:t>。</w:t>
      </w:r>
    </w:p>
    <w:p>
      <w:pPr>
        <w:spacing w:line="360" w:lineRule="auto"/>
        <w:jc w:val="center"/>
        <w:rPr>
          <w:rFonts w:ascii="宋体" w:hAnsi="宋体" w:cs="宋体"/>
          <w:b/>
          <w:bCs/>
          <w:szCs w:val="21"/>
        </w:rPr>
      </w:pPr>
      <w:r>
        <w:rPr>
          <w:rFonts w:hint="eastAsia" w:ascii="宋体" w:hAnsi="宋体" w:cs="宋体"/>
          <w:b/>
          <w:bCs/>
          <w:szCs w:val="21"/>
        </w:rPr>
        <w:t>第七章  花草盆景创作</w:t>
      </w:r>
    </w:p>
    <w:p>
      <w:pPr>
        <w:spacing w:line="360" w:lineRule="auto"/>
        <w:rPr>
          <w:rFonts w:ascii="宋体" w:hAnsi="宋体" w:cs="宋体"/>
          <w:b/>
          <w:bCs/>
          <w:szCs w:val="21"/>
        </w:rPr>
      </w:pPr>
      <w:r>
        <w:rPr>
          <w:rFonts w:hint="eastAsia" w:ascii="宋体" w:hAnsi="宋体" w:cs="宋体"/>
          <w:b/>
          <w:bCs/>
          <w:szCs w:val="21"/>
        </w:rPr>
        <w:t>（一）学习目标</w:t>
      </w:r>
    </w:p>
    <w:p>
      <w:pPr>
        <w:spacing w:line="360" w:lineRule="auto"/>
        <w:ind w:firstLine="420" w:firstLineChars="200"/>
        <w:rPr>
          <w:rFonts w:ascii="宋体" w:hAnsi="宋体" w:cs="宋体"/>
          <w:szCs w:val="21"/>
        </w:rPr>
      </w:pPr>
      <w:r>
        <w:rPr>
          <w:rFonts w:hint="eastAsia" w:ascii="宋体" w:hAnsi="宋体" w:cs="宋体"/>
          <w:szCs w:val="21"/>
        </w:rPr>
        <w:t>通过对“花草盆景创作”部分的学习，使同学们了解花草盆景制作中的花草布局以及花草盆景的题名，掌握花草盆景的基本技艺，配置与点缀及几种特殊形式花草盆景的制作要点。</w:t>
      </w:r>
    </w:p>
    <w:p>
      <w:pPr>
        <w:spacing w:line="360" w:lineRule="auto"/>
        <w:ind w:firstLine="422" w:firstLineChars="200"/>
        <w:rPr>
          <w:rFonts w:ascii="宋体" w:hAnsi="宋体" w:cs="宋体"/>
          <w:szCs w:val="21"/>
        </w:rPr>
      </w:pPr>
      <w:r>
        <w:rPr>
          <w:rFonts w:hint="eastAsia" w:ascii="宋体" w:hAnsi="宋体" w:cs="宋体"/>
          <w:b/>
          <w:bCs/>
          <w:szCs w:val="21"/>
        </w:rPr>
        <w:t>1．一般了解：</w:t>
      </w:r>
      <w:r>
        <w:rPr>
          <w:rFonts w:hint="eastAsia" w:ascii="宋体" w:hAnsi="宋体" w:cs="宋体"/>
          <w:szCs w:val="21"/>
        </w:rPr>
        <w:t>盆景题名。</w:t>
      </w:r>
    </w:p>
    <w:p>
      <w:pPr>
        <w:spacing w:line="360" w:lineRule="auto"/>
        <w:ind w:firstLine="422" w:firstLineChars="200"/>
        <w:rPr>
          <w:rFonts w:ascii="宋体" w:hAnsi="宋体" w:cs="宋体"/>
          <w:szCs w:val="21"/>
        </w:rPr>
      </w:pPr>
      <w:r>
        <w:rPr>
          <w:rFonts w:hint="eastAsia" w:ascii="宋体" w:hAnsi="宋体" w:cs="宋体"/>
          <w:b/>
          <w:bCs/>
          <w:szCs w:val="21"/>
        </w:rPr>
        <w:t>2．一般掌握：</w:t>
      </w:r>
      <w:r>
        <w:rPr>
          <w:rFonts w:hint="eastAsia" w:ascii="宋体" w:hAnsi="宋体" w:cs="宋体"/>
          <w:szCs w:val="21"/>
        </w:rPr>
        <w:t>花草盆景的花草布局。</w:t>
      </w:r>
    </w:p>
    <w:p>
      <w:pPr>
        <w:spacing w:line="360" w:lineRule="auto"/>
        <w:ind w:firstLine="422" w:firstLineChars="200"/>
        <w:rPr>
          <w:rFonts w:ascii="宋体" w:hAnsi="宋体" w:cs="宋体"/>
          <w:szCs w:val="21"/>
        </w:rPr>
      </w:pPr>
      <w:r>
        <w:rPr>
          <w:rFonts w:hint="eastAsia" w:ascii="宋体" w:hAnsi="宋体" w:cs="宋体"/>
          <w:b/>
          <w:szCs w:val="21"/>
        </w:rPr>
        <w:t>3．熟练掌握：</w:t>
      </w:r>
      <w:r>
        <w:rPr>
          <w:rFonts w:hint="eastAsia" w:ascii="宋体" w:hAnsi="宋体" w:cs="宋体"/>
          <w:szCs w:val="21"/>
        </w:rPr>
        <w:t>花草盆景制作技艺、配植与点缀、几种特殊形式的花草盆景的制作要点。</w:t>
      </w:r>
    </w:p>
    <w:p>
      <w:pPr>
        <w:spacing w:line="360" w:lineRule="auto"/>
        <w:rPr>
          <w:rFonts w:ascii="宋体" w:hAnsi="宋体" w:cs="宋体"/>
          <w:szCs w:val="21"/>
        </w:rPr>
      </w:pPr>
      <w:r>
        <w:rPr>
          <w:rFonts w:hint="eastAsia" w:ascii="宋体" w:hAnsi="宋体" w:cs="宋体"/>
          <w:b/>
          <w:szCs w:val="21"/>
        </w:rPr>
        <w:t>（二）考核内容</w:t>
      </w:r>
    </w:p>
    <w:p>
      <w:pPr>
        <w:spacing w:line="360" w:lineRule="auto"/>
        <w:ind w:firstLine="420" w:firstLineChars="200"/>
        <w:rPr>
          <w:rFonts w:ascii="宋体" w:hAnsi="宋体" w:cs="宋体"/>
          <w:szCs w:val="21"/>
        </w:rPr>
      </w:pPr>
      <w:r>
        <w:rPr>
          <w:rFonts w:hint="eastAsia" w:ascii="宋体" w:hAnsi="宋体" w:cs="宋体"/>
          <w:szCs w:val="21"/>
        </w:rPr>
        <w:t>花草盆景制作中的花草布局以及花草盆景的题名，花草盆景的基本技艺，配置与点缀及几种特殊形式花草盆景的制作要点</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szCs w:val="21"/>
        </w:rPr>
        <w:t>花草盆景概念。</w:t>
      </w:r>
    </w:p>
    <w:p>
      <w:pPr>
        <w:spacing w:line="360" w:lineRule="auto"/>
        <w:ind w:firstLine="422" w:firstLineChars="200"/>
        <w:rPr>
          <w:rFonts w:ascii="宋体" w:hAnsi="宋体" w:cs="宋体"/>
          <w:bCs/>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szCs w:val="21"/>
        </w:rPr>
        <w:t>花草盆景与中国画的关系。</w:t>
      </w:r>
    </w:p>
    <w:p>
      <w:pPr>
        <w:spacing w:line="360" w:lineRule="auto"/>
        <w:ind w:firstLine="422" w:firstLineChars="200"/>
        <w:rPr>
          <w:rFonts w:ascii="宋体" w:hAnsi="宋体" w:cs="宋体"/>
          <w:bCs/>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应用：</w:t>
      </w:r>
      <w:r>
        <w:rPr>
          <w:rFonts w:hint="eastAsia" w:ascii="宋体" w:hAnsi="宋体" w:cs="宋体"/>
          <w:szCs w:val="21"/>
        </w:rPr>
        <w:t>花草盆景制作</w:t>
      </w:r>
      <w:r>
        <w:rPr>
          <w:rFonts w:hint="eastAsia" w:ascii="宋体" w:hAnsi="宋体" w:cs="宋体"/>
          <w:bCs/>
          <w:szCs w:val="21"/>
        </w:rPr>
        <w:t>。</w:t>
      </w:r>
    </w:p>
    <w:p>
      <w:pPr>
        <w:spacing w:line="360" w:lineRule="auto"/>
        <w:ind w:firstLine="422" w:firstLineChars="200"/>
        <w:rPr>
          <w:rFonts w:ascii="宋体" w:hAnsi="宋体" w:cs="宋体"/>
          <w:szCs w:val="21"/>
        </w:rPr>
      </w:pPr>
      <w:r>
        <w:rPr>
          <w:rFonts w:hint="eastAsia" w:ascii="宋体" w:hAnsi="宋体" w:cs="宋体"/>
          <w:b/>
          <w:szCs w:val="21"/>
        </w:rPr>
        <w:t>4.分析：</w:t>
      </w:r>
      <w:r>
        <w:rPr>
          <w:rFonts w:hint="eastAsia" w:ascii="宋体" w:hAnsi="宋体" w:cs="宋体"/>
          <w:szCs w:val="21"/>
        </w:rPr>
        <w:t>花草盆景制作的成本与效益。</w:t>
      </w:r>
    </w:p>
    <w:p>
      <w:pPr>
        <w:spacing w:line="360" w:lineRule="auto"/>
        <w:ind w:firstLine="422" w:firstLineChars="200"/>
        <w:rPr>
          <w:rFonts w:ascii="宋体" w:hAnsi="宋体" w:cs="宋体"/>
          <w:szCs w:val="21"/>
        </w:rPr>
      </w:pPr>
      <w:r>
        <w:rPr>
          <w:rFonts w:hint="eastAsia" w:ascii="宋体" w:hAnsi="宋体" w:cs="宋体"/>
          <w:b/>
          <w:szCs w:val="21"/>
        </w:rPr>
        <w:t>5.综合</w:t>
      </w:r>
      <w:r>
        <w:rPr>
          <w:rFonts w:hint="eastAsia" w:ascii="宋体" w:hAnsi="宋体" w:cs="宋体"/>
          <w:szCs w:val="21"/>
        </w:rPr>
        <w:t>：花草盆景制作的基本技艺应用。</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szCs w:val="21"/>
        </w:rPr>
        <w:t>花草盆景制作市场行情</w:t>
      </w:r>
      <w:r>
        <w:rPr>
          <w:rFonts w:hint="eastAsia" w:ascii="宋体" w:hAnsi="宋体" w:cs="宋体"/>
          <w:bCs/>
          <w:szCs w:val="21"/>
        </w:rPr>
        <w:t>。</w:t>
      </w:r>
    </w:p>
    <w:p>
      <w:pPr>
        <w:spacing w:line="360" w:lineRule="auto"/>
        <w:jc w:val="center"/>
        <w:rPr>
          <w:b/>
          <w:bCs/>
        </w:rPr>
      </w:pPr>
      <w:r>
        <w:rPr>
          <w:rFonts w:hint="eastAsia" w:ascii="宋体" w:hAnsi="宋体" w:cs="宋体"/>
          <w:b/>
        </w:rPr>
        <w:t xml:space="preserve">第八章  </w:t>
      </w:r>
      <w:r>
        <w:rPr>
          <w:rFonts w:hint="eastAsia"/>
          <w:b/>
          <w:bCs/>
          <w:kern w:val="0"/>
          <w:szCs w:val="21"/>
        </w:rPr>
        <w:t>挂壁</w:t>
      </w:r>
      <w:r>
        <w:rPr>
          <w:rFonts w:hint="eastAsia"/>
          <w:b/>
          <w:bCs/>
        </w:rPr>
        <w:t>盆景创作</w:t>
      </w:r>
    </w:p>
    <w:p>
      <w:pPr>
        <w:spacing w:line="360" w:lineRule="auto"/>
        <w:rPr>
          <w:rFonts w:ascii="宋体" w:hAnsi="宋体" w:cs="宋体"/>
          <w:b/>
          <w:bCs/>
          <w:szCs w:val="21"/>
        </w:rPr>
      </w:pPr>
      <w:r>
        <w:rPr>
          <w:rFonts w:hint="eastAsia" w:ascii="宋体" w:hAnsi="宋体" w:cs="宋体"/>
          <w:b/>
          <w:bCs/>
          <w:szCs w:val="21"/>
        </w:rPr>
        <w:t>（一）学习目标</w:t>
      </w:r>
    </w:p>
    <w:p>
      <w:pPr>
        <w:spacing w:line="360" w:lineRule="auto"/>
        <w:ind w:firstLine="420" w:firstLineChars="200"/>
        <w:rPr>
          <w:rFonts w:ascii="宋体" w:hAnsi="宋体" w:cs="宋体"/>
          <w:szCs w:val="21"/>
        </w:rPr>
      </w:pPr>
      <w:r>
        <w:rPr>
          <w:rFonts w:hint="eastAsia" w:ascii="宋体" w:hAnsi="宋体" w:cs="宋体"/>
          <w:szCs w:val="21"/>
        </w:rPr>
        <w:t>通过对“挂壁盆景创作”部分的学习，使同学们了解挂壁盆景制作中的元素布局以及挂壁盆景的题名，掌握挂壁盆景的基本技艺，配置与点缀及几种特殊形式挂壁盆景的制作要点。</w:t>
      </w:r>
    </w:p>
    <w:p>
      <w:pPr>
        <w:spacing w:line="360" w:lineRule="auto"/>
        <w:ind w:firstLine="422" w:firstLineChars="200"/>
        <w:rPr>
          <w:rFonts w:ascii="宋体" w:hAnsi="宋体" w:cs="宋体"/>
          <w:szCs w:val="21"/>
        </w:rPr>
      </w:pPr>
      <w:r>
        <w:rPr>
          <w:rFonts w:hint="eastAsia" w:ascii="宋体" w:hAnsi="宋体" w:cs="宋体"/>
          <w:b/>
          <w:bCs/>
          <w:szCs w:val="21"/>
        </w:rPr>
        <w:t>1．一般了解：</w:t>
      </w:r>
      <w:r>
        <w:rPr>
          <w:rFonts w:hint="eastAsia" w:ascii="宋体" w:hAnsi="宋体" w:cs="宋体"/>
          <w:szCs w:val="21"/>
        </w:rPr>
        <w:t>挂壁盆景题名。</w:t>
      </w:r>
    </w:p>
    <w:p>
      <w:pPr>
        <w:spacing w:line="360" w:lineRule="auto"/>
        <w:ind w:firstLine="422" w:firstLineChars="200"/>
        <w:rPr>
          <w:rFonts w:ascii="宋体" w:hAnsi="宋体" w:cs="宋体"/>
          <w:szCs w:val="21"/>
        </w:rPr>
      </w:pPr>
      <w:r>
        <w:rPr>
          <w:rFonts w:hint="eastAsia" w:ascii="宋体" w:hAnsi="宋体" w:cs="宋体"/>
          <w:b/>
          <w:bCs/>
          <w:szCs w:val="21"/>
        </w:rPr>
        <w:t>2．一般掌握：</w:t>
      </w:r>
      <w:r>
        <w:rPr>
          <w:rFonts w:hint="eastAsia" w:ascii="宋体" w:hAnsi="宋体" w:cs="宋体"/>
          <w:szCs w:val="21"/>
        </w:rPr>
        <w:t>挂壁盆景的元素布局。</w:t>
      </w:r>
    </w:p>
    <w:p>
      <w:pPr>
        <w:spacing w:line="360" w:lineRule="auto"/>
        <w:ind w:firstLine="422" w:firstLineChars="200"/>
        <w:rPr>
          <w:rFonts w:ascii="宋体" w:hAnsi="宋体" w:cs="宋体"/>
          <w:szCs w:val="21"/>
        </w:rPr>
      </w:pPr>
      <w:r>
        <w:rPr>
          <w:rFonts w:hint="eastAsia" w:ascii="宋体" w:hAnsi="宋体" w:cs="宋体"/>
          <w:b/>
          <w:szCs w:val="21"/>
        </w:rPr>
        <w:t>3．熟练掌握：</w:t>
      </w:r>
      <w:r>
        <w:rPr>
          <w:rFonts w:hint="eastAsia" w:ascii="宋体" w:hAnsi="宋体" w:cs="宋体"/>
          <w:szCs w:val="21"/>
        </w:rPr>
        <w:t>挂壁盆景制作技艺、配植与点缀、几种特殊形式的挂壁盆景的制作要点。</w:t>
      </w:r>
    </w:p>
    <w:p>
      <w:pPr>
        <w:spacing w:line="360" w:lineRule="auto"/>
        <w:rPr>
          <w:rFonts w:ascii="宋体" w:hAnsi="宋体" w:cs="宋体"/>
          <w:szCs w:val="21"/>
        </w:rPr>
      </w:pPr>
      <w:r>
        <w:rPr>
          <w:rFonts w:hint="eastAsia" w:ascii="宋体" w:hAnsi="宋体" w:cs="宋体"/>
          <w:b/>
          <w:szCs w:val="21"/>
        </w:rPr>
        <w:t>（二）考核内容</w:t>
      </w:r>
    </w:p>
    <w:p>
      <w:pPr>
        <w:spacing w:line="360" w:lineRule="auto"/>
        <w:ind w:firstLine="420" w:firstLineChars="200"/>
        <w:rPr>
          <w:rFonts w:ascii="宋体" w:hAnsi="宋体" w:cs="宋体"/>
          <w:szCs w:val="21"/>
        </w:rPr>
      </w:pPr>
      <w:r>
        <w:rPr>
          <w:rFonts w:hint="eastAsia" w:ascii="宋体" w:hAnsi="宋体" w:cs="宋体"/>
          <w:szCs w:val="21"/>
        </w:rPr>
        <w:t>挂壁盆景制作中的元素布局以及挂壁盆景的题名，挂壁盆景的基本技艺，配置与点缀及几种特殊形式挂壁盆景的制作要点</w:t>
      </w:r>
    </w:p>
    <w:p>
      <w:pPr>
        <w:spacing w:line="360" w:lineRule="auto"/>
        <w:rPr>
          <w:rFonts w:ascii="宋体" w:hAnsi="宋体" w:cs="宋体"/>
          <w:b/>
          <w:szCs w:val="21"/>
        </w:rPr>
      </w:pPr>
      <w:r>
        <w:rPr>
          <w:rFonts w:hint="eastAsia" w:ascii="宋体" w:hAnsi="宋体" w:cs="宋体"/>
          <w:b/>
          <w:szCs w:val="21"/>
        </w:rPr>
        <w:t>（三）考核要求</w:t>
      </w:r>
    </w:p>
    <w:p>
      <w:pPr>
        <w:spacing w:line="360" w:lineRule="auto"/>
        <w:ind w:firstLine="422" w:firstLineChars="200"/>
        <w:rPr>
          <w:rFonts w:ascii="宋体" w:hAnsi="宋体" w:cs="宋体"/>
          <w:szCs w:val="21"/>
        </w:rPr>
      </w:pPr>
      <w:r>
        <w:rPr>
          <w:rFonts w:hint="eastAsia" w:ascii="宋体" w:hAnsi="宋体" w:cs="宋体"/>
          <w:b/>
          <w:bCs/>
          <w:szCs w:val="21"/>
        </w:rPr>
        <w:t>1</w:t>
      </w:r>
      <w:r>
        <w:rPr>
          <w:rFonts w:hint="eastAsia" w:ascii="宋体" w:hAnsi="宋体" w:cs="宋体"/>
          <w:b/>
          <w:szCs w:val="21"/>
        </w:rPr>
        <w:t>.</w:t>
      </w:r>
      <w:r>
        <w:rPr>
          <w:rFonts w:hint="eastAsia" w:ascii="宋体" w:hAnsi="宋体" w:cs="宋体"/>
          <w:b/>
          <w:bCs/>
          <w:szCs w:val="21"/>
        </w:rPr>
        <w:t>识记：</w:t>
      </w:r>
      <w:r>
        <w:rPr>
          <w:rFonts w:hint="eastAsia" w:ascii="宋体" w:hAnsi="宋体" w:cs="宋体"/>
          <w:szCs w:val="21"/>
        </w:rPr>
        <w:t>挂壁盆景概念。</w:t>
      </w:r>
    </w:p>
    <w:p>
      <w:pPr>
        <w:spacing w:line="360" w:lineRule="auto"/>
        <w:ind w:firstLine="422" w:firstLineChars="200"/>
        <w:rPr>
          <w:rFonts w:ascii="宋体" w:hAnsi="宋体" w:cs="宋体"/>
          <w:bCs/>
          <w:szCs w:val="21"/>
        </w:rPr>
      </w:pPr>
      <w:r>
        <w:rPr>
          <w:rFonts w:hint="eastAsia" w:ascii="宋体" w:hAnsi="宋体" w:cs="宋体"/>
          <w:b/>
          <w:bCs/>
          <w:szCs w:val="21"/>
        </w:rPr>
        <w:t>2</w:t>
      </w:r>
      <w:r>
        <w:rPr>
          <w:rFonts w:hint="eastAsia" w:ascii="宋体" w:hAnsi="宋体" w:cs="宋体"/>
          <w:b/>
          <w:szCs w:val="21"/>
        </w:rPr>
        <w:t>.</w:t>
      </w:r>
      <w:r>
        <w:rPr>
          <w:rFonts w:hint="eastAsia" w:ascii="宋体" w:hAnsi="宋体" w:cs="宋体"/>
          <w:b/>
          <w:bCs/>
          <w:szCs w:val="21"/>
        </w:rPr>
        <w:t>领会：</w:t>
      </w:r>
      <w:r>
        <w:rPr>
          <w:rFonts w:hint="eastAsia" w:ascii="宋体" w:hAnsi="宋体" w:cs="宋体"/>
          <w:szCs w:val="21"/>
        </w:rPr>
        <w:t>挂壁盆景与中国画的关系。</w:t>
      </w:r>
    </w:p>
    <w:p>
      <w:pPr>
        <w:spacing w:line="360" w:lineRule="auto"/>
        <w:ind w:firstLine="422" w:firstLineChars="200"/>
        <w:rPr>
          <w:rFonts w:ascii="宋体" w:hAnsi="宋体" w:cs="宋体"/>
          <w:bCs/>
          <w:szCs w:val="21"/>
        </w:rPr>
      </w:pPr>
      <w:r>
        <w:rPr>
          <w:rFonts w:hint="eastAsia" w:ascii="宋体" w:hAnsi="宋体" w:cs="宋体"/>
          <w:b/>
          <w:bCs/>
          <w:szCs w:val="21"/>
        </w:rPr>
        <w:t>3</w:t>
      </w:r>
      <w:r>
        <w:rPr>
          <w:rFonts w:hint="eastAsia" w:ascii="宋体" w:hAnsi="宋体" w:cs="宋体"/>
          <w:b/>
          <w:szCs w:val="21"/>
        </w:rPr>
        <w:t>.</w:t>
      </w:r>
      <w:r>
        <w:rPr>
          <w:rFonts w:hint="eastAsia" w:ascii="宋体" w:hAnsi="宋体" w:cs="宋体"/>
          <w:b/>
          <w:bCs/>
          <w:szCs w:val="21"/>
        </w:rPr>
        <w:t>应用：</w:t>
      </w:r>
      <w:r>
        <w:rPr>
          <w:rFonts w:hint="eastAsia" w:ascii="宋体" w:hAnsi="宋体" w:cs="宋体"/>
          <w:szCs w:val="21"/>
        </w:rPr>
        <w:t>挂壁盆景制作</w:t>
      </w:r>
      <w:r>
        <w:rPr>
          <w:rFonts w:hint="eastAsia" w:ascii="宋体" w:hAnsi="宋体" w:cs="宋体"/>
          <w:bCs/>
          <w:szCs w:val="21"/>
        </w:rPr>
        <w:t>。</w:t>
      </w:r>
    </w:p>
    <w:p>
      <w:pPr>
        <w:spacing w:line="360" w:lineRule="auto"/>
        <w:ind w:firstLine="422" w:firstLineChars="200"/>
        <w:rPr>
          <w:rFonts w:ascii="宋体" w:hAnsi="宋体" w:cs="宋体"/>
          <w:szCs w:val="21"/>
        </w:rPr>
      </w:pPr>
      <w:r>
        <w:rPr>
          <w:rFonts w:hint="eastAsia" w:ascii="宋体" w:hAnsi="宋体" w:cs="宋体"/>
          <w:b/>
          <w:szCs w:val="21"/>
        </w:rPr>
        <w:t>4.分析：</w:t>
      </w:r>
      <w:r>
        <w:rPr>
          <w:rFonts w:hint="eastAsia" w:ascii="宋体" w:hAnsi="宋体" w:cs="宋体"/>
          <w:szCs w:val="21"/>
        </w:rPr>
        <w:t>挂壁盆景制作的成本与效益。</w:t>
      </w:r>
    </w:p>
    <w:p>
      <w:pPr>
        <w:spacing w:line="360" w:lineRule="auto"/>
        <w:ind w:firstLine="422" w:firstLineChars="200"/>
        <w:rPr>
          <w:rFonts w:ascii="宋体" w:hAnsi="宋体" w:cs="宋体"/>
          <w:szCs w:val="21"/>
        </w:rPr>
      </w:pPr>
      <w:r>
        <w:rPr>
          <w:rFonts w:hint="eastAsia" w:ascii="宋体" w:hAnsi="宋体" w:cs="宋体"/>
          <w:b/>
          <w:szCs w:val="21"/>
        </w:rPr>
        <w:t>5.综合</w:t>
      </w:r>
      <w:r>
        <w:rPr>
          <w:rFonts w:hint="eastAsia" w:ascii="宋体" w:hAnsi="宋体" w:cs="宋体"/>
          <w:szCs w:val="21"/>
        </w:rPr>
        <w:t>：挂壁盆景制作的基本技艺应用。</w:t>
      </w:r>
    </w:p>
    <w:p>
      <w:pPr>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szCs w:val="21"/>
        </w:rPr>
        <w:t>挂壁盆景制作市场行情</w:t>
      </w:r>
      <w:r>
        <w:rPr>
          <w:rFonts w:hint="eastAsia" w:ascii="宋体" w:hAnsi="宋体" w:cs="宋体"/>
          <w:bCs/>
          <w:szCs w:val="21"/>
        </w:rPr>
        <w:t>。</w:t>
      </w:r>
    </w:p>
    <w:p>
      <w:pPr>
        <w:spacing w:line="360" w:lineRule="auto"/>
        <w:jc w:val="center"/>
        <w:rPr>
          <w:rFonts w:ascii="宋体" w:hAnsi="宋体" w:cs="宋体"/>
          <w:b/>
          <w:bCs/>
          <w:szCs w:val="21"/>
        </w:rPr>
      </w:pPr>
      <w:r>
        <w:rPr>
          <w:rFonts w:hAnsi="宋体"/>
          <w:b/>
          <w:bCs/>
          <w:kern w:val="0"/>
          <w:szCs w:val="21"/>
        </w:rPr>
        <w:t>第</w:t>
      </w:r>
      <w:r>
        <w:rPr>
          <w:rFonts w:hint="eastAsia" w:hAnsi="宋体"/>
          <w:b/>
          <w:bCs/>
          <w:kern w:val="0"/>
          <w:szCs w:val="21"/>
        </w:rPr>
        <w:t>九</w:t>
      </w:r>
      <w:r>
        <w:rPr>
          <w:rFonts w:hAnsi="宋体"/>
          <w:b/>
          <w:bCs/>
          <w:kern w:val="0"/>
          <w:szCs w:val="21"/>
        </w:rPr>
        <w:t>章</w:t>
      </w:r>
      <w:r>
        <w:rPr>
          <w:rFonts w:hint="eastAsia" w:hAnsi="宋体"/>
          <w:b/>
          <w:bCs/>
          <w:kern w:val="0"/>
          <w:szCs w:val="21"/>
        </w:rPr>
        <w:t xml:space="preserve">  </w:t>
      </w:r>
      <w:r>
        <w:rPr>
          <w:rFonts w:hint="eastAsia"/>
          <w:b/>
          <w:bCs/>
          <w:kern w:val="0"/>
          <w:szCs w:val="21"/>
        </w:rPr>
        <w:t>世界盆景园</w:t>
      </w:r>
    </w:p>
    <w:p>
      <w:pPr>
        <w:snapToGrid w:val="0"/>
        <w:spacing w:line="360" w:lineRule="auto"/>
        <w:rPr>
          <w:rFonts w:ascii="宋体" w:hAnsi="宋体" w:cs="宋体"/>
          <w:b/>
          <w:szCs w:val="21"/>
        </w:rPr>
      </w:pPr>
      <w:r>
        <w:rPr>
          <w:rFonts w:hint="eastAsia" w:ascii="宋体" w:hAnsi="宋体" w:cs="宋体"/>
          <w:b/>
          <w:szCs w:val="21"/>
        </w:rPr>
        <w:t>（一）学习目标</w:t>
      </w:r>
    </w:p>
    <w:p>
      <w:pPr>
        <w:snapToGrid w:val="0"/>
        <w:spacing w:line="360" w:lineRule="auto"/>
        <w:ind w:firstLine="422" w:firstLineChars="200"/>
        <w:rPr>
          <w:rStyle w:val="25"/>
          <w:b w:val="0"/>
          <w:szCs w:val="21"/>
        </w:rPr>
      </w:pPr>
      <w:r>
        <w:rPr>
          <w:rFonts w:hint="eastAsia" w:ascii="宋体" w:hAnsi="宋体" w:cs="宋体"/>
          <w:b/>
          <w:szCs w:val="21"/>
        </w:rPr>
        <w:t>1.一般了解</w:t>
      </w:r>
      <w:r>
        <w:rPr>
          <w:rFonts w:hint="eastAsia" w:ascii="宋体" w:hAnsi="宋体" w:cs="宋体"/>
          <w:szCs w:val="21"/>
        </w:rPr>
        <w:t>：世界盆景园有哪些。</w:t>
      </w:r>
    </w:p>
    <w:p>
      <w:pPr>
        <w:snapToGrid w:val="0"/>
        <w:spacing w:line="360" w:lineRule="auto"/>
        <w:ind w:firstLine="422" w:firstLineChars="200"/>
        <w:rPr>
          <w:rFonts w:ascii="宋体" w:hAnsi="宋体" w:cs="宋体"/>
          <w:bCs/>
          <w:szCs w:val="21"/>
        </w:rPr>
      </w:pPr>
      <w:r>
        <w:rPr>
          <w:rFonts w:hint="eastAsia" w:ascii="宋体" w:hAnsi="宋体" w:cs="宋体"/>
          <w:b/>
          <w:szCs w:val="21"/>
        </w:rPr>
        <w:t>2.一般掌握</w:t>
      </w:r>
      <w:r>
        <w:rPr>
          <w:rFonts w:hint="eastAsia" w:ascii="宋体" w:hAnsi="宋体" w:cs="宋体"/>
          <w:szCs w:val="21"/>
        </w:rPr>
        <w:t>：</w:t>
      </w:r>
      <w:r>
        <w:rPr>
          <w:rFonts w:hint="eastAsia"/>
        </w:rPr>
        <w:t>盆景</w:t>
      </w:r>
      <w:r>
        <w:rPr>
          <w:rStyle w:val="25"/>
          <w:rFonts w:hint="eastAsia"/>
          <w:szCs w:val="21"/>
        </w:rPr>
        <w:t>布展</w:t>
      </w:r>
      <w:r>
        <w:rPr>
          <w:rFonts w:hint="eastAsia" w:ascii="宋体" w:hAnsi="宋体" w:cs="宋体"/>
          <w:bCs/>
          <w:szCs w:val="21"/>
        </w:rPr>
        <w:t>。</w:t>
      </w:r>
    </w:p>
    <w:p>
      <w:pPr>
        <w:snapToGrid w:val="0"/>
        <w:spacing w:line="360" w:lineRule="auto"/>
        <w:ind w:firstLine="422" w:firstLineChars="200"/>
        <w:rPr>
          <w:rFonts w:ascii="宋体" w:hAnsi="宋体" w:cs="宋体"/>
          <w:bCs/>
          <w:szCs w:val="21"/>
        </w:rPr>
      </w:pPr>
      <w:r>
        <w:rPr>
          <w:rFonts w:hint="eastAsia" w:ascii="宋体" w:hAnsi="宋体" w:cs="宋体"/>
          <w:b/>
          <w:szCs w:val="21"/>
        </w:rPr>
        <w:t>3.熟练掌握</w:t>
      </w:r>
      <w:r>
        <w:rPr>
          <w:rFonts w:hint="eastAsia" w:ascii="宋体" w:hAnsi="宋体" w:cs="宋体"/>
          <w:szCs w:val="21"/>
        </w:rPr>
        <w:t>：</w:t>
      </w:r>
      <w:r>
        <w:rPr>
          <w:rFonts w:hint="eastAsia"/>
        </w:rPr>
        <w:t>盆景作品的养护与</w:t>
      </w:r>
      <w:r>
        <w:rPr>
          <w:rStyle w:val="25"/>
          <w:rFonts w:hint="eastAsia"/>
          <w:szCs w:val="21"/>
        </w:rPr>
        <w:t>管理原理与方法</w:t>
      </w:r>
      <w:r>
        <w:rPr>
          <w:rFonts w:hint="eastAsia" w:ascii="宋体" w:hAnsi="宋体" w:cs="宋体"/>
          <w:bCs/>
          <w:szCs w:val="21"/>
        </w:rPr>
        <w:t>。</w:t>
      </w:r>
    </w:p>
    <w:p>
      <w:pPr>
        <w:snapToGrid w:val="0"/>
        <w:spacing w:line="360" w:lineRule="auto"/>
        <w:rPr>
          <w:rFonts w:ascii="宋体" w:hAnsi="宋体" w:cs="宋体"/>
          <w:szCs w:val="21"/>
        </w:rPr>
      </w:pPr>
      <w:r>
        <w:rPr>
          <w:rFonts w:hint="eastAsia" w:ascii="宋体" w:hAnsi="宋体" w:cs="宋体"/>
          <w:b/>
          <w:szCs w:val="21"/>
        </w:rPr>
        <w:t>（二）考核内容</w:t>
      </w:r>
    </w:p>
    <w:p>
      <w:pPr>
        <w:snapToGrid w:val="0"/>
        <w:spacing w:line="360" w:lineRule="auto"/>
        <w:ind w:firstLine="420" w:firstLineChars="200"/>
        <w:rPr>
          <w:rFonts w:ascii="宋体" w:hAnsi="宋体" w:cs="宋体"/>
          <w:bCs/>
          <w:szCs w:val="21"/>
        </w:rPr>
      </w:pPr>
      <w:r>
        <w:rPr>
          <w:rFonts w:hint="eastAsia"/>
        </w:rPr>
        <w:t>盆景</w:t>
      </w:r>
      <w:r>
        <w:rPr>
          <w:rStyle w:val="25"/>
          <w:rFonts w:hint="eastAsia"/>
          <w:szCs w:val="21"/>
        </w:rPr>
        <w:t>布展</w:t>
      </w:r>
      <w:r>
        <w:rPr>
          <w:rFonts w:hint="eastAsia"/>
        </w:rPr>
        <w:t>，盆景作品的养护与</w:t>
      </w:r>
      <w:r>
        <w:rPr>
          <w:rStyle w:val="25"/>
          <w:rFonts w:hint="eastAsia"/>
          <w:szCs w:val="21"/>
        </w:rPr>
        <w:t>管理原理与方法</w:t>
      </w:r>
    </w:p>
    <w:p>
      <w:pPr>
        <w:snapToGrid w:val="0"/>
        <w:spacing w:line="360" w:lineRule="auto"/>
        <w:rPr>
          <w:rFonts w:ascii="宋体" w:hAnsi="宋体" w:cs="宋体"/>
          <w:b/>
          <w:szCs w:val="21"/>
        </w:rPr>
      </w:pPr>
      <w:r>
        <w:rPr>
          <w:rFonts w:hint="eastAsia" w:ascii="宋体" w:hAnsi="宋体" w:cs="宋体"/>
          <w:b/>
          <w:szCs w:val="21"/>
        </w:rPr>
        <w:t>（三）考核要求</w:t>
      </w:r>
    </w:p>
    <w:p>
      <w:pPr>
        <w:snapToGrid w:val="0"/>
        <w:spacing w:line="360" w:lineRule="auto"/>
        <w:ind w:firstLine="422" w:firstLineChars="200"/>
        <w:rPr>
          <w:rFonts w:ascii="宋体" w:hAnsi="宋体" w:cs="宋体"/>
          <w:bCs/>
          <w:szCs w:val="21"/>
        </w:rPr>
      </w:pPr>
      <w:r>
        <w:rPr>
          <w:rFonts w:hint="eastAsia" w:ascii="宋体" w:hAnsi="宋体" w:cs="宋体"/>
          <w:b/>
          <w:szCs w:val="21"/>
        </w:rPr>
        <w:t>1.识记</w:t>
      </w:r>
      <w:r>
        <w:rPr>
          <w:rFonts w:hint="eastAsia" w:ascii="宋体" w:hAnsi="宋体" w:cs="宋体"/>
          <w:szCs w:val="21"/>
        </w:rPr>
        <w:t>：</w:t>
      </w:r>
      <w:r>
        <w:rPr>
          <w:rFonts w:hint="eastAsia" w:ascii="宋体" w:hAnsi="宋体" w:cs="宋体"/>
          <w:bCs/>
          <w:szCs w:val="21"/>
        </w:rPr>
        <w:t>盆景园的概念。</w:t>
      </w:r>
    </w:p>
    <w:p>
      <w:pPr>
        <w:snapToGrid w:val="0"/>
        <w:spacing w:line="360" w:lineRule="auto"/>
        <w:ind w:firstLine="422" w:firstLineChars="200"/>
        <w:rPr>
          <w:rFonts w:ascii="宋体" w:hAnsi="宋体" w:cs="宋体"/>
          <w:bCs/>
          <w:szCs w:val="21"/>
        </w:rPr>
      </w:pPr>
      <w:r>
        <w:rPr>
          <w:rFonts w:hint="eastAsia" w:ascii="宋体" w:hAnsi="宋体" w:cs="宋体"/>
          <w:b/>
          <w:szCs w:val="21"/>
        </w:rPr>
        <w:t>2.领会</w:t>
      </w:r>
      <w:r>
        <w:rPr>
          <w:rFonts w:hint="eastAsia" w:ascii="宋体" w:hAnsi="宋体" w:cs="宋体"/>
          <w:bCs/>
          <w:szCs w:val="21"/>
        </w:rPr>
        <w:t>：盆景园的特点、。</w:t>
      </w:r>
    </w:p>
    <w:p>
      <w:pPr>
        <w:snapToGrid w:val="0"/>
        <w:spacing w:line="360" w:lineRule="auto"/>
        <w:ind w:firstLine="422" w:firstLineChars="200"/>
        <w:rPr>
          <w:rFonts w:ascii="宋体" w:hAnsi="宋体" w:cs="宋体"/>
          <w:bCs/>
          <w:szCs w:val="21"/>
        </w:rPr>
      </w:pPr>
      <w:r>
        <w:rPr>
          <w:rFonts w:hint="eastAsia" w:ascii="宋体" w:hAnsi="宋体" w:cs="宋体"/>
          <w:b/>
          <w:szCs w:val="21"/>
        </w:rPr>
        <w:t>3.应用</w:t>
      </w:r>
      <w:r>
        <w:rPr>
          <w:rFonts w:hint="eastAsia" w:ascii="宋体" w:hAnsi="宋体" w:cs="宋体"/>
          <w:szCs w:val="21"/>
        </w:rPr>
        <w:t>：</w:t>
      </w:r>
      <w:r>
        <w:rPr>
          <w:rFonts w:hint="eastAsia"/>
        </w:rPr>
        <w:t>盆景</w:t>
      </w:r>
      <w:r>
        <w:rPr>
          <w:rStyle w:val="25"/>
          <w:rFonts w:hint="eastAsia"/>
          <w:szCs w:val="21"/>
        </w:rPr>
        <w:t>布展</w:t>
      </w:r>
      <w:r>
        <w:rPr>
          <w:rFonts w:hint="eastAsia" w:ascii="宋体" w:hAnsi="宋体" w:cs="宋体"/>
          <w:bCs/>
          <w:szCs w:val="21"/>
        </w:rPr>
        <w:t>。</w:t>
      </w:r>
    </w:p>
    <w:p>
      <w:pPr>
        <w:snapToGrid w:val="0"/>
        <w:spacing w:line="360" w:lineRule="auto"/>
        <w:ind w:firstLine="422" w:firstLineChars="200"/>
        <w:rPr>
          <w:rFonts w:ascii="宋体" w:hAnsi="宋体" w:cs="宋体"/>
          <w:b/>
          <w:szCs w:val="21"/>
        </w:rPr>
      </w:pPr>
      <w:r>
        <w:rPr>
          <w:rFonts w:hint="eastAsia" w:ascii="宋体" w:hAnsi="宋体" w:cs="宋体"/>
          <w:b/>
          <w:szCs w:val="21"/>
        </w:rPr>
        <w:t>4.分析：</w:t>
      </w:r>
      <w:r>
        <w:rPr>
          <w:rFonts w:hint="eastAsia" w:ascii="宋体" w:hAnsi="宋体" w:cs="宋体"/>
          <w:bCs/>
          <w:szCs w:val="21"/>
        </w:rPr>
        <w:t>盆景园的效益。</w:t>
      </w:r>
    </w:p>
    <w:p>
      <w:pPr>
        <w:snapToGrid w:val="0"/>
        <w:spacing w:line="360" w:lineRule="auto"/>
        <w:ind w:firstLine="422" w:firstLineChars="200"/>
        <w:rPr>
          <w:rFonts w:ascii="宋体" w:hAnsi="宋体" w:cs="宋体"/>
          <w:bCs/>
          <w:szCs w:val="21"/>
        </w:rPr>
      </w:pPr>
      <w:r>
        <w:rPr>
          <w:rFonts w:hint="eastAsia" w:ascii="宋体" w:hAnsi="宋体" w:cs="宋体"/>
          <w:b/>
          <w:szCs w:val="21"/>
        </w:rPr>
        <w:t>5.综合</w:t>
      </w:r>
      <w:r>
        <w:rPr>
          <w:rFonts w:hint="eastAsia" w:ascii="宋体" w:hAnsi="宋体" w:cs="宋体"/>
          <w:szCs w:val="21"/>
        </w:rPr>
        <w:t>：</w:t>
      </w:r>
      <w:r>
        <w:rPr>
          <w:rFonts w:hint="eastAsia"/>
        </w:rPr>
        <w:t>盆景作品的养护与</w:t>
      </w:r>
      <w:r>
        <w:rPr>
          <w:rStyle w:val="25"/>
          <w:rFonts w:hint="eastAsia"/>
          <w:szCs w:val="21"/>
        </w:rPr>
        <w:t>管理原理与方法。</w:t>
      </w:r>
    </w:p>
    <w:p>
      <w:pPr>
        <w:snapToGrid w:val="0"/>
        <w:spacing w:line="360" w:lineRule="auto"/>
        <w:ind w:firstLine="422" w:firstLineChars="200"/>
        <w:rPr>
          <w:rFonts w:ascii="宋体" w:hAnsi="宋体" w:cs="宋体"/>
          <w:b/>
          <w:szCs w:val="21"/>
        </w:rPr>
      </w:pPr>
      <w:r>
        <w:rPr>
          <w:rFonts w:hint="eastAsia" w:ascii="宋体" w:hAnsi="宋体" w:cs="宋体"/>
          <w:b/>
          <w:szCs w:val="21"/>
        </w:rPr>
        <w:t>6.评价：</w:t>
      </w:r>
      <w:r>
        <w:rPr>
          <w:rFonts w:hint="eastAsia" w:ascii="宋体" w:hAnsi="宋体" w:cs="宋体"/>
          <w:bCs/>
          <w:szCs w:val="21"/>
        </w:rPr>
        <w:t>盆景园未来展望。</w:t>
      </w:r>
    </w:p>
    <w:p>
      <w:pPr>
        <w:widowControl/>
        <w:snapToGrid w:val="0"/>
        <w:spacing w:line="360" w:lineRule="auto"/>
        <w:jc w:val="left"/>
        <w:outlineLvl w:val="1"/>
        <w:rPr>
          <w:rFonts w:ascii="宋体" w:hAnsi="宋体" w:cs="宋体"/>
          <w:b/>
          <w:bCs/>
          <w:kern w:val="0"/>
          <w:szCs w:val="21"/>
        </w:rPr>
      </w:pPr>
      <w:bookmarkStart w:id="1301" w:name="_Toc138070850"/>
      <w:bookmarkStart w:id="1302" w:name="_Toc138076493"/>
      <w:bookmarkStart w:id="1303" w:name="_Toc16406"/>
      <w:bookmarkStart w:id="1304" w:name="_Toc138068948"/>
      <w:bookmarkStart w:id="1305" w:name="_Toc138076244"/>
      <w:bookmarkStart w:id="1306" w:name="_Toc138068549"/>
      <w:bookmarkStart w:id="1307" w:name="_Toc138070579"/>
      <w:bookmarkStart w:id="1308" w:name="_Toc138076788"/>
      <w:r>
        <w:rPr>
          <w:rFonts w:hint="eastAsia" w:ascii="宋体" w:hAnsi="宋体" w:cs="宋体"/>
          <w:b/>
          <w:bCs/>
          <w:kern w:val="0"/>
          <w:szCs w:val="21"/>
        </w:rPr>
        <w:t>四、考核方式</w:t>
      </w:r>
      <w:bookmarkEnd w:id="1301"/>
      <w:bookmarkEnd w:id="1302"/>
      <w:bookmarkEnd w:id="1303"/>
      <w:bookmarkEnd w:id="1304"/>
      <w:bookmarkEnd w:id="1305"/>
      <w:bookmarkEnd w:id="1306"/>
      <w:bookmarkEnd w:id="1307"/>
      <w:bookmarkEnd w:id="1308"/>
    </w:p>
    <w:p>
      <w:pPr>
        <w:widowControl/>
        <w:snapToGrid w:val="0"/>
        <w:spacing w:line="360" w:lineRule="auto"/>
        <w:ind w:firstLine="420" w:firstLineChars="200"/>
        <w:jc w:val="left"/>
        <w:outlineLvl w:val="1"/>
        <w:rPr>
          <w:bCs/>
          <w:szCs w:val="21"/>
        </w:rPr>
      </w:pPr>
      <w:bookmarkStart w:id="1309" w:name="_Toc138068550"/>
      <w:bookmarkStart w:id="1310" w:name="_Toc138076245"/>
      <w:bookmarkStart w:id="1311" w:name="_Toc138070851"/>
      <w:bookmarkStart w:id="1312" w:name="_Toc138070580"/>
      <w:bookmarkStart w:id="1313" w:name="_Toc138068949"/>
      <w:bookmarkStart w:id="1314" w:name="_Toc138076789"/>
      <w:bookmarkStart w:id="1315" w:name="_Toc3218"/>
      <w:bookmarkStart w:id="1316" w:name="_Toc138076494"/>
      <w:r>
        <w:rPr>
          <w:rFonts w:hint="eastAsia" w:ascii="宋体" w:hAnsi="宋体"/>
          <w:bCs/>
          <w:szCs w:val="21"/>
        </w:rPr>
        <w:t>包括过程性考核评价主要包括课堂表现、小组讨论、课程作业情况等形式。每次理论课有一次小组讨论，主要针对</w:t>
      </w:r>
      <w:r>
        <w:rPr>
          <w:rFonts w:hAnsi="宋体"/>
          <w:bCs/>
          <w:szCs w:val="21"/>
        </w:rPr>
        <w:t>当节课程内容所面临的现实问题。课程作业为实验课程考核的主要成绩标准。</w:t>
      </w:r>
      <w:bookmarkEnd w:id="1309"/>
      <w:bookmarkEnd w:id="1310"/>
      <w:bookmarkEnd w:id="1311"/>
      <w:bookmarkEnd w:id="1312"/>
      <w:bookmarkEnd w:id="1313"/>
      <w:bookmarkEnd w:id="1314"/>
      <w:bookmarkEnd w:id="1315"/>
      <w:bookmarkEnd w:id="1316"/>
    </w:p>
    <w:p>
      <w:pPr>
        <w:widowControl/>
        <w:snapToGrid w:val="0"/>
        <w:spacing w:line="360" w:lineRule="auto"/>
        <w:ind w:firstLine="420" w:firstLineChars="200"/>
        <w:jc w:val="left"/>
        <w:outlineLvl w:val="1"/>
        <w:rPr>
          <w:bCs/>
          <w:szCs w:val="21"/>
        </w:rPr>
      </w:pPr>
      <w:bookmarkStart w:id="1317" w:name="_Toc138068551"/>
      <w:bookmarkStart w:id="1318" w:name="_Toc138076495"/>
      <w:bookmarkStart w:id="1319" w:name="_Toc138076246"/>
      <w:bookmarkStart w:id="1320" w:name="_Toc31878"/>
      <w:bookmarkStart w:id="1321" w:name="_Toc138070852"/>
      <w:bookmarkStart w:id="1322" w:name="_Toc138076790"/>
      <w:bookmarkStart w:id="1323" w:name="_Toc138070581"/>
      <w:bookmarkStart w:id="1324" w:name="_Toc138068950"/>
      <w:r>
        <w:rPr>
          <w:rFonts w:hAnsi="宋体"/>
          <w:bCs/>
          <w:szCs w:val="21"/>
        </w:rPr>
        <w:t>本</w:t>
      </w:r>
      <w:r>
        <w:rPr>
          <w:rFonts w:hAnsi="宋体"/>
          <w:szCs w:val="21"/>
        </w:rPr>
        <w:t>课程考核评价的广度有所拓宽，考核评价中加入</w:t>
      </w:r>
      <w:r>
        <w:rPr>
          <w:rFonts w:hAnsi="宋体"/>
          <w:bCs/>
          <w:szCs w:val="21"/>
        </w:rPr>
        <w:t>项目书撰写作业，该项目是课程内容相结合的创业项目或科研项目，比如盆景园项目书、盆景刊物项目书等等，让学生学有所用、学有能用。期末考核是现场制作作品，</w:t>
      </w:r>
      <w:r>
        <w:rPr>
          <w:color w:val="000000"/>
          <w:kern w:val="0"/>
          <w:szCs w:val="21"/>
        </w:rPr>
        <w:t>根据要求现场独立制作一件作品，时间为120分钟</w:t>
      </w:r>
      <w:r>
        <w:rPr>
          <w:rFonts w:hAnsi="宋体"/>
          <w:bCs/>
          <w:szCs w:val="21"/>
        </w:rPr>
        <w:t>，主要考查学生综合知识的理解与应用。最后作品成绩占总成绩的</w:t>
      </w:r>
      <w:r>
        <w:rPr>
          <w:bCs/>
          <w:szCs w:val="21"/>
        </w:rPr>
        <w:t>50%</w:t>
      </w:r>
      <w:r>
        <w:rPr>
          <w:rFonts w:hAnsi="宋体"/>
          <w:bCs/>
          <w:szCs w:val="21"/>
        </w:rPr>
        <w:t>，过程性评价总成绩占比</w:t>
      </w:r>
      <w:r>
        <w:rPr>
          <w:bCs/>
          <w:szCs w:val="21"/>
        </w:rPr>
        <w:t>50%</w:t>
      </w:r>
      <w:r>
        <w:rPr>
          <w:rFonts w:hAnsi="宋体"/>
          <w:bCs/>
          <w:szCs w:val="21"/>
        </w:rPr>
        <w:t>。以制作盆景为考核内容，主要考虑到本课程实践性较强，内容要与现实紧密结合，理论要为社会服务等因素。</w:t>
      </w:r>
      <w:bookmarkEnd w:id="1317"/>
      <w:bookmarkEnd w:id="1318"/>
      <w:bookmarkEnd w:id="1319"/>
      <w:bookmarkEnd w:id="1320"/>
      <w:bookmarkEnd w:id="1321"/>
      <w:bookmarkEnd w:id="1322"/>
      <w:bookmarkEnd w:id="1323"/>
      <w:bookmarkEnd w:id="1324"/>
    </w:p>
    <w:p>
      <w:pPr>
        <w:widowControl/>
        <w:snapToGrid w:val="0"/>
        <w:spacing w:line="360" w:lineRule="auto"/>
        <w:jc w:val="left"/>
        <w:outlineLvl w:val="1"/>
        <w:rPr>
          <w:b/>
          <w:bCs/>
          <w:kern w:val="0"/>
          <w:szCs w:val="21"/>
        </w:rPr>
      </w:pPr>
      <w:bookmarkStart w:id="1325" w:name="_Toc138076247"/>
      <w:bookmarkStart w:id="1326" w:name="_Toc12252"/>
      <w:bookmarkStart w:id="1327" w:name="_Toc138068951"/>
      <w:bookmarkStart w:id="1328" w:name="_Toc138076496"/>
      <w:bookmarkStart w:id="1329" w:name="_Toc138070582"/>
      <w:bookmarkStart w:id="1330" w:name="_Toc138076791"/>
      <w:bookmarkStart w:id="1331" w:name="_Toc138068552"/>
      <w:bookmarkStart w:id="1332" w:name="_Toc138070853"/>
      <w:r>
        <w:rPr>
          <w:rFonts w:hAnsi="宋体"/>
          <w:b/>
          <w:bCs/>
          <w:kern w:val="0"/>
          <w:szCs w:val="21"/>
        </w:rPr>
        <w:t>五、成绩评定</w:t>
      </w:r>
      <w:bookmarkEnd w:id="1325"/>
      <w:bookmarkEnd w:id="1326"/>
      <w:bookmarkEnd w:id="1327"/>
      <w:bookmarkEnd w:id="1328"/>
      <w:bookmarkEnd w:id="1329"/>
      <w:bookmarkEnd w:id="1330"/>
      <w:bookmarkEnd w:id="1331"/>
      <w:bookmarkEnd w:id="1332"/>
    </w:p>
    <w:p>
      <w:pPr>
        <w:snapToGrid w:val="0"/>
        <w:spacing w:line="360" w:lineRule="auto"/>
        <w:ind w:firstLine="420" w:firstLineChars="200"/>
      </w:pPr>
      <w:r>
        <w:rPr>
          <w:szCs w:val="21"/>
        </w:rPr>
        <w:t>1.</w:t>
      </w:r>
      <w:r>
        <w:rPr>
          <w:rFonts w:hAnsi="宋体"/>
          <w:szCs w:val="21"/>
        </w:rPr>
        <w:t>平时成绩：</w:t>
      </w:r>
      <w:r>
        <w:rPr>
          <w:rFonts w:hAnsi="宋体"/>
        </w:rPr>
        <w:t>平时上课表现</w:t>
      </w:r>
      <w:r>
        <w:t>×20%+</w:t>
      </w:r>
      <w:r>
        <w:rPr>
          <w:rFonts w:hAnsi="宋体"/>
        </w:rPr>
        <w:t>小组学习讨论</w:t>
      </w:r>
      <w:r>
        <w:t>×20%+</w:t>
      </w:r>
      <w:r>
        <w:rPr>
          <w:rFonts w:hAnsi="宋体"/>
        </w:rPr>
        <w:t>课程作业</w:t>
      </w:r>
      <w:r>
        <w:t>×60%</w:t>
      </w:r>
      <w:r>
        <w:rPr>
          <w:rFonts w:hAnsi="宋体"/>
        </w:rPr>
        <w:t>。</w:t>
      </w:r>
    </w:p>
    <w:p>
      <w:pPr>
        <w:widowControl/>
        <w:snapToGrid w:val="0"/>
        <w:spacing w:line="360" w:lineRule="auto"/>
        <w:ind w:firstLine="420"/>
        <w:jc w:val="left"/>
      </w:pPr>
      <w:r>
        <w:t>2.</w:t>
      </w:r>
      <w:r>
        <w:rPr>
          <w:rFonts w:hAnsi="宋体"/>
        </w:rPr>
        <w:t>期末成绩：</w:t>
      </w:r>
      <w:r>
        <w:rPr>
          <w:kern w:val="0"/>
          <w:szCs w:val="21"/>
        </w:rPr>
        <w:t>制作大作品，占比50%</w:t>
      </w:r>
      <w:r>
        <w:rPr>
          <w:rFonts w:hAnsi="宋体"/>
        </w:rPr>
        <w:t>。</w:t>
      </w:r>
    </w:p>
    <w:p>
      <w:pPr>
        <w:widowControl/>
        <w:snapToGrid w:val="0"/>
        <w:spacing w:line="360" w:lineRule="auto"/>
        <w:ind w:firstLine="420"/>
        <w:jc w:val="left"/>
      </w:pPr>
      <w:r>
        <w:t>3.</w:t>
      </w:r>
      <w:r>
        <w:rPr>
          <w:rFonts w:hAnsi="宋体"/>
        </w:rPr>
        <w:t>综合成绩：过程性评价</w:t>
      </w:r>
      <w:r>
        <w:rPr>
          <w:bCs/>
          <w:szCs w:val="21"/>
        </w:rPr>
        <w:t>×</w:t>
      </w:r>
      <w:r>
        <w:t>50%+</w:t>
      </w:r>
      <w:r>
        <w:rPr>
          <w:rFonts w:hAnsi="宋体"/>
        </w:rPr>
        <w:t>终结性评价</w:t>
      </w:r>
      <w:r>
        <w:t>×50%</w:t>
      </w:r>
      <w:r>
        <w:rPr>
          <w:rFonts w:hAnsi="宋体"/>
        </w:rPr>
        <w:t>。</w:t>
      </w:r>
    </w:p>
    <w:p>
      <w:pPr>
        <w:widowControl/>
        <w:snapToGrid w:val="0"/>
        <w:spacing w:line="360" w:lineRule="auto"/>
        <w:jc w:val="left"/>
        <w:outlineLvl w:val="1"/>
        <w:rPr>
          <w:rFonts w:ascii="宋体" w:hAnsi="宋体" w:cs="宋体"/>
          <w:b/>
          <w:bCs/>
          <w:kern w:val="0"/>
          <w:szCs w:val="21"/>
        </w:rPr>
      </w:pPr>
      <w:bookmarkStart w:id="1333" w:name="_Toc138068952"/>
      <w:bookmarkStart w:id="1334" w:name="_Toc138076792"/>
      <w:bookmarkStart w:id="1335" w:name="_Toc138070854"/>
      <w:bookmarkStart w:id="1336" w:name="_Toc138070583"/>
      <w:bookmarkStart w:id="1337" w:name="_Toc138068553"/>
      <w:bookmarkStart w:id="1338" w:name="_Toc138076248"/>
      <w:bookmarkStart w:id="1339" w:name="_Toc138076497"/>
      <w:bookmarkStart w:id="1340" w:name="_Toc16885"/>
      <w:r>
        <w:rPr>
          <w:rFonts w:hint="eastAsia" w:ascii="宋体" w:hAnsi="宋体" w:cs="宋体"/>
          <w:b/>
          <w:bCs/>
          <w:kern w:val="0"/>
          <w:szCs w:val="21"/>
        </w:rPr>
        <w:t>六、考核结果分析反馈</w:t>
      </w:r>
      <w:bookmarkEnd w:id="1333"/>
      <w:bookmarkEnd w:id="1334"/>
      <w:bookmarkEnd w:id="1335"/>
      <w:bookmarkEnd w:id="1336"/>
      <w:bookmarkEnd w:id="1337"/>
      <w:bookmarkEnd w:id="1338"/>
      <w:bookmarkEnd w:id="1339"/>
      <w:bookmarkEnd w:id="1340"/>
    </w:p>
    <w:p>
      <w:pPr>
        <w:snapToGrid w:val="0"/>
        <w:spacing w:line="360" w:lineRule="auto"/>
        <w:ind w:firstLine="420" w:firstLineChars="200"/>
        <w:rPr>
          <w:szCs w:val="21"/>
        </w:rPr>
      </w:pPr>
      <w:r>
        <w:rPr>
          <w:rFonts w:hint="eastAsia" w:hAnsi="宋体"/>
          <w:bCs/>
          <w:szCs w:val="21"/>
        </w:rPr>
        <w:t>考核记过分析反馈主要集中在过程性评价上，将每次讨论的情况、平时作业或者报告的完成情况，通过下一节课向学生反馈，讨论并总结问题所在。最终考核结果通过教学系统向学生反馈</w:t>
      </w:r>
      <w:r>
        <w:rPr>
          <w:rFonts w:hint="eastAsia" w:hAnsi="宋体"/>
          <w:szCs w:val="21"/>
        </w:rPr>
        <w:t>。</w:t>
      </w:r>
    </w:p>
    <w:p>
      <w:pPr>
        <w:pStyle w:val="21"/>
        <w:rPr>
          <w:sz w:val="28"/>
        </w:rPr>
      </w:pPr>
      <w:bookmarkStart w:id="1341" w:name="_Toc138076249"/>
      <w:bookmarkStart w:id="1342" w:name="_Toc138076793"/>
      <w:bookmarkStart w:id="1343" w:name="_Toc9801"/>
      <w:r>
        <w:rPr>
          <w:rFonts w:hint="eastAsia"/>
          <w:sz w:val="28"/>
        </w:rPr>
        <w:t>茶文化学</w:t>
      </w:r>
      <w:bookmarkEnd w:id="1341"/>
      <w:bookmarkEnd w:id="1342"/>
      <w:bookmarkEnd w:id="1343"/>
      <w:r>
        <w:rPr>
          <w:rFonts w:hint="eastAsia"/>
          <w:sz w:val="28"/>
        </w:rPr>
        <w:t>考核大纲</w:t>
      </w:r>
    </w:p>
    <w:p>
      <w:pPr>
        <w:snapToGrid w:val="0"/>
        <w:spacing w:line="360" w:lineRule="auto"/>
        <w:jc w:val="center"/>
        <w:rPr>
          <w:rFonts w:hAnsi="宋体"/>
          <w:sz w:val="24"/>
          <w:szCs w:val="28"/>
        </w:rPr>
      </w:pPr>
      <w:r>
        <w:rPr>
          <w:rFonts w:hint="eastAsia" w:hAnsi="宋体"/>
          <w:sz w:val="24"/>
          <w:szCs w:val="28"/>
        </w:rPr>
        <w:t xml:space="preserve">（Tea </w:t>
      </w:r>
      <w:r>
        <w:rPr>
          <w:rFonts w:hAnsi="宋体"/>
          <w:sz w:val="24"/>
          <w:szCs w:val="28"/>
        </w:rPr>
        <w:t>Culture</w:t>
      </w:r>
      <w:r>
        <w:rPr>
          <w:rFonts w:hint="eastAsia" w:hAnsi="宋体"/>
          <w:sz w:val="24"/>
          <w:szCs w:val="28"/>
        </w:rPr>
        <w:t>）</w:t>
      </w:r>
    </w:p>
    <w:p>
      <w:pPr>
        <w:snapToGrid w:val="0"/>
        <w:spacing w:line="360" w:lineRule="auto"/>
        <w:jc w:val="center"/>
        <w:rPr>
          <w:b/>
          <w:szCs w:val="21"/>
        </w:rPr>
      </w:pPr>
    </w:p>
    <w:p>
      <w:pPr>
        <w:snapToGrid w:val="0"/>
        <w:spacing w:line="360" w:lineRule="auto"/>
        <w:jc w:val="center"/>
        <w:rPr>
          <w:b/>
          <w:szCs w:val="21"/>
        </w:rPr>
      </w:pPr>
      <w:r>
        <w:rPr>
          <w:rFonts w:hint="eastAsia"/>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tcPr>
          <w:p>
            <w:pPr>
              <w:spacing w:line="300" w:lineRule="auto"/>
              <w:rPr>
                <w:rFonts w:ascii="宋体"/>
                <w:b/>
                <w:bCs/>
                <w:kern w:val="0"/>
                <w:sz w:val="20"/>
                <w:szCs w:val="21"/>
              </w:rPr>
            </w:pPr>
            <w:r>
              <w:rPr>
                <w:rFonts w:hint="eastAsia" w:ascii="宋体" w:hAnsi="宋体"/>
                <w:b/>
                <w:bCs/>
                <w:kern w:val="0"/>
                <w:sz w:val="20"/>
                <w:szCs w:val="21"/>
              </w:rPr>
              <w:t>课程编号：</w:t>
            </w:r>
            <w:r>
              <w:rPr>
                <w:rFonts w:ascii="宋体" w:hAnsi="宋体"/>
                <w:b/>
                <w:bCs/>
                <w:kern w:val="0"/>
                <w:sz w:val="20"/>
                <w:szCs w:val="21"/>
              </w:rPr>
              <w:t>19011048</w:t>
            </w:r>
          </w:p>
        </w:tc>
        <w:tc>
          <w:tcPr>
            <w:tcW w:w="1453" w:type="pct"/>
          </w:tcPr>
          <w:p>
            <w:pPr>
              <w:spacing w:line="300" w:lineRule="auto"/>
              <w:rPr>
                <w:rFonts w:ascii="宋体"/>
                <w:b/>
                <w:bCs/>
                <w:kern w:val="0"/>
                <w:sz w:val="20"/>
                <w:szCs w:val="21"/>
              </w:rPr>
            </w:pPr>
            <w:r>
              <w:rPr>
                <w:rFonts w:hint="eastAsia" w:ascii="宋体" w:hAnsi="宋体"/>
                <w:b/>
                <w:bCs/>
                <w:kern w:val="0"/>
                <w:sz w:val="20"/>
                <w:szCs w:val="21"/>
              </w:rPr>
              <w:t>课程学时：32</w:t>
            </w:r>
          </w:p>
        </w:tc>
        <w:tc>
          <w:tcPr>
            <w:tcW w:w="1881" w:type="pct"/>
          </w:tcPr>
          <w:p>
            <w:pPr>
              <w:spacing w:line="300" w:lineRule="auto"/>
              <w:rPr>
                <w:rFonts w:ascii="宋体"/>
                <w:b/>
                <w:bCs/>
                <w:kern w:val="0"/>
                <w:sz w:val="20"/>
                <w:szCs w:val="21"/>
              </w:rPr>
            </w:pPr>
            <w:r>
              <w:rPr>
                <w:rFonts w:hint="eastAsia" w:ascii="宋体" w:hAnsi="宋体"/>
                <w:b/>
                <w:bCs/>
                <w:kern w:val="0"/>
                <w:sz w:val="20"/>
                <w:szCs w:val="21"/>
              </w:rPr>
              <w:t>课程学分：2</w:t>
            </w:r>
          </w:p>
        </w:tc>
      </w:tr>
      <w:tr>
        <w:tblPrEx>
          <w:tblCellMar>
            <w:top w:w="0" w:type="dxa"/>
            <w:left w:w="108" w:type="dxa"/>
            <w:bottom w:w="0" w:type="dxa"/>
            <w:right w:w="108" w:type="dxa"/>
          </w:tblCellMar>
        </w:tblPrEx>
        <w:tc>
          <w:tcPr>
            <w:tcW w:w="1666" w:type="pct"/>
          </w:tcPr>
          <w:p>
            <w:pPr>
              <w:spacing w:line="300" w:lineRule="auto"/>
              <w:rPr>
                <w:rFonts w:ascii="宋体"/>
                <w:b/>
                <w:bCs/>
                <w:kern w:val="0"/>
                <w:sz w:val="20"/>
                <w:szCs w:val="21"/>
              </w:rPr>
            </w:pPr>
            <w:r>
              <w:rPr>
                <w:rFonts w:hint="eastAsia" w:ascii="宋体" w:hAnsi="宋体"/>
                <w:b/>
                <w:bCs/>
                <w:kern w:val="0"/>
                <w:sz w:val="20"/>
                <w:szCs w:val="21"/>
              </w:rPr>
              <w:t>主撰人：贺巍</w:t>
            </w:r>
          </w:p>
        </w:tc>
        <w:tc>
          <w:tcPr>
            <w:tcW w:w="1453" w:type="pct"/>
          </w:tcPr>
          <w:p>
            <w:pPr>
              <w:spacing w:line="300" w:lineRule="auto"/>
              <w:rPr>
                <w:rFonts w:ascii="宋体"/>
                <w:b/>
                <w:bCs/>
                <w:kern w:val="0"/>
                <w:sz w:val="20"/>
                <w:szCs w:val="21"/>
              </w:rPr>
            </w:pPr>
            <w:r>
              <w:rPr>
                <w:rFonts w:hint="eastAsia" w:ascii="宋体" w:hAnsi="宋体"/>
                <w:b/>
                <w:bCs/>
                <w:kern w:val="0"/>
                <w:sz w:val="20"/>
                <w:szCs w:val="21"/>
              </w:rPr>
              <w:t>审核人：赵仁亮</w:t>
            </w:r>
          </w:p>
        </w:tc>
        <w:tc>
          <w:tcPr>
            <w:tcW w:w="1881" w:type="pct"/>
          </w:tcPr>
          <w:p>
            <w:pPr>
              <w:spacing w:line="300" w:lineRule="auto"/>
              <w:rPr>
                <w:rFonts w:ascii="宋体"/>
                <w:b/>
                <w:bCs/>
                <w:kern w:val="0"/>
                <w:sz w:val="20"/>
                <w:szCs w:val="21"/>
              </w:rPr>
            </w:pPr>
            <w:r>
              <w:rPr>
                <w:rFonts w:hint="eastAsia" w:ascii="宋体" w:hAnsi="宋体"/>
                <w:b/>
                <w:bCs/>
                <w:kern w:val="0"/>
                <w:sz w:val="20"/>
                <w:szCs w:val="21"/>
              </w:rPr>
              <w:t>大纲制定（修订）日期：2023.05</w:t>
            </w:r>
          </w:p>
        </w:tc>
      </w:tr>
    </w:tbl>
    <w:p>
      <w:pPr>
        <w:snapToGrid w:val="0"/>
        <w:spacing w:line="360" w:lineRule="auto"/>
        <w:rPr>
          <w:rFonts w:hint="eastAsia" w:ascii="宋体" w:hAnsi="宋体"/>
          <w:b/>
          <w:szCs w:val="21"/>
        </w:rPr>
      </w:pPr>
    </w:p>
    <w:p>
      <w:pPr>
        <w:snapToGrid w:val="0"/>
        <w:spacing w:line="360" w:lineRule="auto"/>
        <w:rPr>
          <w:rFonts w:ascii="宋体"/>
          <w:b/>
          <w:szCs w:val="21"/>
        </w:rPr>
      </w:pPr>
      <w:r>
        <w:rPr>
          <w:rFonts w:hint="eastAsia" w:ascii="宋体" w:hAnsi="宋体"/>
          <w:b/>
          <w:szCs w:val="21"/>
        </w:rPr>
        <w:t>一、课程的性质和地位</w:t>
      </w:r>
    </w:p>
    <w:p>
      <w:pPr>
        <w:spacing w:line="360" w:lineRule="auto"/>
        <w:ind w:firstLine="420"/>
        <w:jc w:val="left"/>
        <w:rPr>
          <w:kern w:val="0"/>
          <w:szCs w:val="21"/>
        </w:rPr>
      </w:pPr>
      <w:r>
        <w:rPr>
          <w:kern w:val="0"/>
          <w:szCs w:val="21"/>
        </w:rPr>
        <w:t>《茶文化学》课程旨在让学生了解中国茶文化，了解中国是茶树、茶叶和茶文化的发源地，在中国茶文化有着非常深厚的底蕴，了解中国茶文化的特点。《茶文化学》是—门茶学、历史学与文化学的交叉学科。本课程蕴含的内容丰富，包括茶的历史发展，茶的发现利用，茶类和茶具的发展演变，茶艺与茶道，饮茶习俗，茶对社会生活的影响，茶事文学艺术、茶的传播、茶对古代社会生活的影响、世界各国的茶文化特点等；主要从物质形态、制度形态、精神形态和行为形态等方面阐述了茶文化。承担着提高</w:t>
      </w:r>
      <w:r>
        <w:rPr>
          <w:rFonts w:hint="eastAsia"/>
          <w:kern w:val="0"/>
          <w:szCs w:val="21"/>
        </w:rPr>
        <w:t>学生</w:t>
      </w:r>
      <w:r>
        <w:rPr>
          <w:kern w:val="0"/>
          <w:szCs w:val="21"/>
        </w:rPr>
        <w:t>对茶叶、茶文化乃至传统文化的认知，弘扬传统文化的任务。</w:t>
      </w:r>
    </w:p>
    <w:p>
      <w:pPr>
        <w:snapToGrid w:val="0"/>
        <w:spacing w:line="360" w:lineRule="auto"/>
        <w:rPr>
          <w:rFonts w:ascii="宋体"/>
          <w:b/>
          <w:szCs w:val="21"/>
        </w:rPr>
      </w:pPr>
      <w:r>
        <w:rPr>
          <w:rFonts w:hint="eastAsia" w:ascii="宋体" w:hAnsi="宋体"/>
          <w:b/>
          <w:szCs w:val="21"/>
        </w:rPr>
        <w:t>二、理论教学部分的考核目标</w:t>
      </w:r>
    </w:p>
    <w:p>
      <w:pPr>
        <w:spacing w:line="360" w:lineRule="auto"/>
        <w:ind w:firstLine="420"/>
        <w:jc w:val="left"/>
      </w:pPr>
      <w:r>
        <w:rPr>
          <w:szCs w:val="18"/>
        </w:rPr>
        <w:t>通过本课程各教学环节，简明、系统地向学生阐述茶文化的基本理论及其发展规律</w:t>
      </w:r>
      <w:r>
        <w:t>。让学生对茶文化的形成与发展，茶树与茶叶，茶对社会生活的影响，茶事艺术文化作品，茶叶与茶文化的对外传播，饮茶习俗等有系统的</w:t>
      </w:r>
      <w:r>
        <w:rPr>
          <w:rFonts w:hint="eastAsia"/>
        </w:rPr>
        <w:t>掌握</w:t>
      </w:r>
      <w:r>
        <w:t>和学习。</w:t>
      </w:r>
    </w:p>
    <w:p>
      <w:pPr>
        <w:snapToGrid w:val="0"/>
        <w:spacing w:line="360" w:lineRule="auto"/>
        <w:ind w:firstLine="103" w:firstLineChars="49"/>
        <w:jc w:val="center"/>
        <w:rPr>
          <w:rFonts w:ascii="宋体"/>
          <w:b/>
          <w:szCs w:val="21"/>
        </w:rPr>
      </w:pPr>
      <w:r>
        <w:rPr>
          <w:rFonts w:hint="eastAsia" w:ascii="宋体" w:hAnsi="宋体"/>
          <w:b/>
          <w:szCs w:val="21"/>
        </w:rPr>
        <w:t>第一章</w:t>
      </w:r>
      <w:r>
        <w:rPr>
          <w:rFonts w:ascii="宋体"/>
          <w:b/>
          <w:szCs w:val="21"/>
        </w:rPr>
        <w:t>     </w:t>
      </w:r>
      <w:r>
        <w:rPr>
          <w:b/>
          <w:szCs w:val="21"/>
        </w:rPr>
        <w:t> </w:t>
      </w:r>
      <w:r>
        <w:rPr>
          <w:rFonts w:hint="eastAsia"/>
          <w:b/>
        </w:rPr>
        <w:t>茶文化简史</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rFonts w:ascii="宋体"/>
          <w:szCs w:val="21"/>
        </w:rPr>
      </w:pPr>
      <w:r>
        <w:rPr>
          <w:rFonts w:ascii="宋体" w:hAnsi="宋体"/>
          <w:b/>
          <w:szCs w:val="21"/>
        </w:rPr>
        <w:t xml:space="preserve">1. </w:t>
      </w:r>
      <w:r>
        <w:rPr>
          <w:rFonts w:hint="eastAsia" w:ascii="宋体" w:hAnsi="宋体"/>
          <w:b/>
          <w:szCs w:val="21"/>
        </w:rPr>
        <w:t>一般了解</w:t>
      </w:r>
      <w:r>
        <w:rPr>
          <w:rFonts w:hint="eastAsia" w:ascii="宋体" w:hAnsi="宋体"/>
          <w:szCs w:val="21"/>
        </w:rPr>
        <w:t>：</w:t>
      </w:r>
      <w:r>
        <w:rPr>
          <w:rFonts w:hint="eastAsia"/>
        </w:rPr>
        <w:t>茶树的起源，饮茶的起源与演变，茶具的发展，茶文化的对外传播。</w:t>
      </w:r>
    </w:p>
    <w:p>
      <w:pPr>
        <w:snapToGrid w:val="0"/>
        <w:spacing w:line="360" w:lineRule="auto"/>
        <w:ind w:firstLine="422" w:firstLineChars="200"/>
        <w:rPr>
          <w:rFonts w:ascii="宋体"/>
          <w:szCs w:val="21"/>
        </w:rPr>
      </w:pPr>
      <w:r>
        <w:rPr>
          <w:rFonts w:ascii="宋体" w:hAnsi="宋体"/>
          <w:b/>
          <w:szCs w:val="21"/>
        </w:rPr>
        <w:t xml:space="preserve">2. </w:t>
      </w:r>
      <w:r>
        <w:rPr>
          <w:rFonts w:hint="eastAsia" w:ascii="宋体" w:hAnsi="宋体"/>
          <w:b/>
          <w:szCs w:val="21"/>
        </w:rPr>
        <w:t>一般掌握</w:t>
      </w:r>
      <w:r>
        <w:rPr>
          <w:rFonts w:hint="eastAsia" w:ascii="宋体" w:hAnsi="宋体"/>
          <w:szCs w:val="21"/>
        </w:rPr>
        <w:t>：茶树的原产地，</w:t>
      </w:r>
      <w:r>
        <w:rPr>
          <w:rFonts w:hint="eastAsia"/>
          <w:kern w:val="0"/>
          <w:szCs w:val="21"/>
        </w:rPr>
        <w:t>茶文化的形成与发展。</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rPr>
          <w:rFonts w:ascii="宋体"/>
          <w:b/>
          <w:szCs w:val="21"/>
        </w:rPr>
      </w:pPr>
      <w:r>
        <w:rPr>
          <w:rFonts w:hint="eastAsia"/>
          <w:szCs w:val="21"/>
        </w:rPr>
        <w:t>茶树的起源学说，茶树的原产地，饮茶的起源与演变，，唐代煮茶法，宋代点茶法，明代以后泡茶法，茶具的发展过程与茶具的种类，茶文化的对外传播，茶叶在世界历史发展进程中的重要意义，茶文化的形成与发展。</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rFonts w:ascii="宋体"/>
          <w:b/>
          <w:szCs w:val="21"/>
        </w:rPr>
      </w:pPr>
      <w:r>
        <w:rPr>
          <w:rFonts w:ascii="宋体" w:hAnsi="宋体"/>
          <w:b/>
          <w:szCs w:val="21"/>
        </w:rPr>
        <w:t>1</w:t>
      </w:r>
      <w:r>
        <w:rPr>
          <w:rFonts w:hint="eastAsia" w:ascii="宋体" w:hAnsi="宋体"/>
          <w:b/>
          <w:szCs w:val="21"/>
        </w:rPr>
        <w:t>．识记</w:t>
      </w:r>
      <w:r>
        <w:rPr>
          <w:rFonts w:hint="eastAsia" w:ascii="宋体" w:hAnsi="宋体"/>
          <w:szCs w:val="21"/>
        </w:rPr>
        <w:t>：</w:t>
      </w:r>
      <w:r>
        <w:rPr>
          <w:rFonts w:hint="eastAsia"/>
          <w:szCs w:val="21"/>
        </w:rPr>
        <w:t>茶树的起源学说，茶树的原产地，饮茶的起源与演变，，唐代煮茶法，宋代点茶法，明代以后泡茶法，茶具的发展过程与茶具的种类，茶文化的对外传播，茶叶在世界历史发展进程中的重要意义，茶文化的形成与发展。</w:t>
      </w:r>
    </w:p>
    <w:p>
      <w:pPr>
        <w:snapToGrid w:val="0"/>
        <w:spacing w:line="360" w:lineRule="auto"/>
        <w:ind w:firstLine="103" w:firstLineChars="49"/>
        <w:jc w:val="center"/>
        <w:rPr>
          <w:rFonts w:ascii="宋体"/>
          <w:b/>
          <w:szCs w:val="21"/>
        </w:rPr>
      </w:pPr>
      <w:r>
        <w:rPr>
          <w:rFonts w:hint="eastAsia" w:ascii="宋体" w:hAnsi="宋体"/>
          <w:b/>
          <w:szCs w:val="21"/>
        </w:rPr>
        <w:t>第二章</w:t>
      </w:r>
      <w:r>
        <w:rPr>
          <w:rFonts w:ascii="宋体"/>
          <w:b/>
          <w:szCs w:val="21"/>
        </w:rPr>
        <w:t>    </w:t>
      </w:r>
      <w:r>
        <w:rPr>
          <w:rFonts w:hint="eastAsia" w:ascii="宋体" w:hAnsi="宋体"/>
          <w:b/>
          <w:szCs w:val="21"/>
        </w:rPr>
        <w:t>茶树与茶叶</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rFonts w:ascii="宋体"/>
          <w:szCs w:val="21"/>
        </w:rPr>
      </w:pPr>
      <w:r>
        <w:rPr>
          <w:rFonts w:ascii="宋体" w:hAnsi="宋体"/>
          <w:b/>
          <w:szCs w:val="21"/>
        </w:rPr>
        <w:t xml:space="preserve">1. </w:t>
      </w:r>
      <w:r>
        <w:rPr>
          <w:rFonts w:hint="eastAsia" w:ascii="宋体" w:hAnsi="宋体"/>
          <w:b/>
          <w:szCs w:val="21"/>
        </w:rPr>
        <w:t>一般了解</w:t>
      </w:r>
      <w:r>
        <w:rPr>
          <w:rFonts w:hint="eastAsia" w:ascii="宋体" w:hAnsi="宋体"/>
          <w:szCs w:val="21"/>
        </w:rPr>
        <w:t>：</w:t>
      </w:r>
      <w:r>
        <w:rPr>
          <w:rFonts w:hint="eastAsia"/>
          <w:kern w:val="0"/>
          <w:szCs w:val="21"/>
        </w:rPr>
        <w:t>茶树的生育特性，茶树的适生环境，茶叶的分类。</w:t>
      </w:r>
    </w:p>
    <w:p>
      <w:pPr>
        <w:snapToGrid w:val="0"/>
        <w:spacing w:line="360" w:lineRule="auto"/>
        <w:ind w:firstLine="422" w:firstLineChars="200"/>
        <w:rPr>
          <w:rFonts w:ascii="宋体"/>
          <w:szCs w:val="21"/>
        </w:rPr>
      </w:pPr>
      <w:r>
        <w:rPr>
          <w:rFonts w:ascii="宋体" w:hAnsi="宋体"/>
          <w:b/>
          <w:szCs w:val="21"/>
        </w:rPr>
        <w:t xml:space="preserve">2. </w:t>
      </w:r>
      <w:r>
        <w:rPr>
          <w:rFonts w:hint="eastAsia" w:ascii="宋体" w:hAnsi="宋体"/>
          <w:b/>
          <w:szCs w:val="21"/>
        </w:rPr>
        <w:t>一般掌握</w:t>
      </w:r>
      <w:r>
        <w:rPr>
          <w:rFonts w:hint="eastAsia" w:ascii="宋体" w:hAnsi="宋体"/>
          <w:szCs w:val="21"/>
        </w:rPr>
        <w:t>：</w:t>
      </w:r>
      <w:r>
        <w:rPr>
          <w:rFonts w:hint="eastAsia" w:hAnsi="宋体"/>
          <w:kern w:val="0"/>
          <w:szCs w:val="21"/>
        </w:rPr>
        <w:t>基本茶类的初制工艺和品质特点。</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pPr>
      <w:r>
        <w:rPr>
          <w:rFonts w:hint="eastAsia"/>
        </w:rPr>
        <w:t>茶树的一生，茶树的根茎叶花果，“花果香会”，茶树的适生环境，茶类的形成与发展，茶叶的分类，基本茶类的初制工艺和品质特点，再加工茶类。</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rFonts w:ascii="宋体"/>
          <w:b/>
          <w:szCs w:val="21"/>
        </w:rPr>
      </w:pPr>
      <w:r>
        <w:rPr>
          <w:rFonts w:ascii="宋体" w:hAnsi="宋体"/>
          <w:b/>
          <w:szCs w:val="21"/>
        </w:rPr>
        <w:t>1</w:t>
      </w:r>
      <w:r>
        <w:rPr>
          <w:rFonts w:hint="eastAsia" w:ascii="宋体" w:hAnsi="宋体"/>
          <w:b/>
          <w:szCs w:val="21"/>
        </w:rPr>
        <w:t>．识记</w:t>
      </w:r>
      <w:r>
        <w:rPr>
          <w:rFonts w:hint="eastAsia" w:ascii="宋体" w:hAnsi="宋体"/>
          <w:szCs w:val="21"/>
        </w:rPr>
        <w:t>：</w:t>
      </w:r>
      <w:r>
        <w:rPr>
          <w:rFonts w:hint="eastAsia"/>
        </w:rPr>
        <w:t>茶树的一生，茶树的根茎叶花果，“花果香会”，茶树的适生环境，茶类的形成与发展，茶叶的分类，再加工茶类。</w:t>
      </w:r>
    </w:p>
    <w:p>
      <w:pPr>
        <w:snapToGrid w:val="0"/>
        <w:spacing w:line="360" w:lineRule="auto"/>
        <w:ind w:firstLine="422" w:firstLineChars="200"/>
        <w:rPr>
          <w:rFonts w:ascii="宋体"/>
          <w:b/>
          <w:szCs w:val="21"/>
        </w:rPr>
      </w:pPr>
      <w:r>
        <w:rPr>
          <w:rFonts w:ascii="宋体" w:hAnsi="宋体"/>
          <w:b/>
          <w:szCs w:val="21"/>
        </w:rPr>
        <w:t>2</w:t>
      </w:r>
      <w:r>
        <w:rPr>
          <w:rFonts w:hint="eastAsia" w:ascii="宋体" w:hAnsi="宋体"/>
          <w:b/>
          <w:szCs w:val="21"/>
        </w:rPr>
        <w:t>．领会</w:t>
      </w:r>
      <w:r>
        <w:rPr>
          <w:rFonts w:hint="eastAsia" w:ascii="宋体" w:hAnsi="宋体"/>
          <w:szCs w:val="21"/>
        </w:rPr>
        <w:t>：</w:t>
      </w:r>
      <w:r>
        <w:rPr>
          <w:rFonts w:hint="eastAsia"/>
        </w:rPr>
        <w:t>基本茶类的初制工艺和品质特点。</w:t>
      </w:r>
    </w:p>
    <w:p>
      <w:pPr>
        <w:snapToGrid w:val="0"/>
        <w:spacing w:line="360" w:lineRule="auto"/>
        <w:ind w:firstLine="103" w:firstLineChars="49"/>
        <w:jc w:val="center"/>
        <w:rPr>
          <w:rFonts w:ascii="宋体"/>
          <w:b/>
          <w:szCs w:val="21"/>
        </w:rPr>
      </w:pPr>
      <w:r>
        <w:rPr>
          <w:rFonts w:hint="eastAsia" w:ascii="宋体" w:hAnsi="宋体"/>
          <w:b/>
          <w:szCs w:val="21"/>
        </w:rPr>
        <w:t>第三章</w:t>
      </w:r>
      <w:r>
        <w:rPr>
          <w:rFonts w:ascii="宋体"/>
          <w:b/>
          <w:szCs w:val="21"/>
        </w:rPr>
        <w:t>     </w:t>
      </w:r>
      <w:r>
        <w:rPr>
          <w:rFonts w:hint="eastAsia" w:ascii="宋体" w:hAnsi="宋体"/>
          <w:b/>
          <w:szCs w:val="21"/>
        </w:rPr>
        <w:t>茶与社会</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rFonts w:ascii="宋体"/>
          <w:szCs w:val="21"/>
        </w:rPr>
      </w:pPr>
      <w:r>
        <w:rPr>
          <w:rFonts w:ascii="宋体" w:hAnsi="宋体"/>
          <w:b/>
          <w:szCs w:val="21"/>
        </w:rPr>
        <w:t xml:space="preserve">1. </w:t>
      </w:r>
      <w:r>
        <w:rPr>
          <w:rFonts w:hint="eastAsia" w:ascii="宋体" w:hAnsi="宋体"/>
          <w:b/>
          <w:szCs w:val="21"/>
        </w:rPr>
        <w:t>一般了解</w:t>
      </w:r>
      <w:r>
        <w:rPr>
          <w:rFonts w:hint="eastAsia" w:ascii="宋体" w:hAnsi="宋体"/>
          <w:szCs w:val="21"/>
        </w:rPr>
        <w:t>：</w:t>
      </w:r>
      <w:r>
        <w:rPr>
          <w:rFonts w:hint="eastAsia"/>
          <w:szCs w:val="21"/>
        </w:rPr>
        <w:t>历代的茶政与茶法，茶与儒释道的关系，茶馆文化的发展。</w:t>
      </w:r>
    </w:p>
    <w:p>
      <w:pPr>
        <w:snapToGrid w:val="0"/>
        <w:spacing w:line="360" w:lineRule="auto"/>
        <w:ind w:firstLine="422" w:firstLineChars="200"/>
        <w:rPr>
          <w:rFonts w:ascii="宋体"/>
          <w:szCs w:val="21"/>
        </w:rPr>
      </w:pPr>
      <w:r>
        <w:rPr>
          <w:rFonts w:ascii="宋体" w:hAnsi="宋体"/>
          <w:b/>
          <w:szCs w:val="21"/>
        </w:rPr>
        <w:t xml:space="preserve">2. </w:t>
      </w:r>
      <w:r>
        <w:rPr>
          <w:rFonts w:hint="eastAsia" w:ascii="宋体" w:hAnsi="宋体"/>
          <w:b/>
          <w:szCs w:val="21"/>
        </w:rPr>
        <w:t>一般掌握</w:t>
      </w:r>
      <w:r>
        <w:rPr>
          <w:rFonts w:hint="eastAsia" w:ascii="宋体" w:hAnsi="宋体"/>
          <w:szCs w:val="21"/>
        </w:rPr>
        <w:t>：“茶马互市”和“榷茶制”的确立与发展。</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rPr>
          <w:rFonts w:ascii="宋体"/>
          <w:b/>
          <w:szCs w:val="21"/>
        </w:rPr>
      </w:pPr>
      <w:r>
        <w:rPr>
          <w:rFonts w:hint="eastAsia"/>
          <w:szCs w:val="21"/>
        </w:rPr>
        <w:t>历代的茶政与茶法；“茶马互市”和“榷茶制”的确立与发展；儒释道三家在茶文化发展中的作用；茶馆的发展与变迁；现代茶馆的分类与特征。</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rFonts w:ascii="宋体"/>
          <w:b/>
          <w:szCs w:val="21"/>
        </w:rPr>
      </w:pPr>
      <w:r>
        <w:rPr>
          <w:rFonts w:hint="eastAsia" w:ascii="宋体" w:hAnsi="宋体"/>
          <w:b/>
          <w:szCs w:val="21"/>
        </w:rPr>
        <w:t>1.识记</w:t>
      </w:r>
      <w:r>
        <w:rPr>
          <w:rFonts w:hint="eastAsia" w:ascii="宋体" w:hAnsi="宋体"/>
          <w:szCs w:val="21"/>
        </w:rPr>
        <w:t>：</w:t>
      </w:r>
      <w:r>
        <w:rPr>
          <w:rFonts w:hint="eastAsia"/>
          <w:szCs w:val="21"/>
        </w:rPr>
        <w:t>历代的茶政与茶法，茶与儒释道的关系，茶馆文化的发展。</w:t>
      </w:r>
    </w:p>
    <w:p>
      <w:pPr>
        <w:snapToGrid w:val="0"/>
        <w:spacing w:line="360" w:lineRule="auto"/>
        <w:ind w:firstLine="103" w:firstLineChars="49"/>
        <w:jc w:val="center"/>
        <w:rPr>
          <w:rFonts w:ascii="宋体"/>
          <w:b/>
          <w:szCs w:val="21"/>
        </w:rPr>
      </w:pPr>
      <w:r>
        <w:rPr>
          <w:rFonts w:hint="eastAsia" w:ascii="宋体" w:hAnsi="宋体"/>
          <w:b/>
          <w:szCs w:val="21"/>
        </w:rPr>
        <w:t>第四章</w:t>
      </w:r>
      <w:r>
        <w:rPr>
          <w:rFonts w:ascii="宋体"/>
          <w:b/>
          <w:szCs w:val="21"/>
        </w:rPr>
        <w:t>    </w:t>
      </w:r>
      <w:r>
        <w:rPr>
          <w:rFonts w:hint="eastAsia" w:ascii="宋体" w:hAnsi="宋体"/>
          <w:b/>
          <w:szCs w:val="21"/>
        </w:rPr>
        <w:t>茶事艺文</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rFonts w:ascii="宋体"/>
          <w:szCs w:val="21"/>
        </w:rPr>
      </w:pPr>
      <w:r>
        <w:rPr>
          <w:rFonts w:ascii="宋体" w:hAnsi="宋体"/>
          <w:b/>
          <w:szCs w:val="21"/>
        </w:rPr>
        <w:t xml:space="preserve">1. </w:t>
      </w:r>
      <w:r>
        <w:rPr>
          <w:rFonts w:hint="eastAsia" w:ascii="宋体" w:hAnsi="宋体"/>
          <w:b/>
          <w:szCs w:val="21"/>
        </w:rPr>
        <w:t>一般了解</w:t>
      </w:r>
      <w:r>
        <w:rPr>
          <w:rFonts w:hint="eastAsia" w:ascii="宋体" w:hAnsi="宋体"/>
          <w:szCs w:val="21"/>
        </w:rPr>
        <w:t>：</w:t>
      </w:r>
      <w:r>
        <w:rPr>
          <w:rFonts w:hint="eastAsia"/>
          <w:szCs w:val="21"/>
        </w:rPr>
        <w:t>历代的茶事诗词、茶事书画、茶事楹联及其他文学艺术作品</w:t>
      </w:r>
    </w:p>
    <w:p>
      <w:pPr>
        <w:snapToGrid w:val="0"/>
        <w:spacing w:line="360" w:lineRule="auto"/>
        <w:ind w:firstLine="422" w:firstLineChars="200"/>
        <w:rPr>
          <w:rFonts w:ascii="宋体"/>
          <w:szCs w:val="21"/>
        </w:rPr>
      </w:pPr>
      <w:r>
        <w:rPr>
          <w:rFonts w:ascii="宋体" w:hAnsi="宋体"/>
          <w:b/>
          <w:szCs w:val="21"/>
        </w:rPr>
        <w:t xml:space="preserve">2. </w:t>
      </w:r>
      <w:r>
        <w:rPr>
          <w:rFonts w:hint="eastAsia" w:ascii="宋体" w:hAnsi="宋体"/>
          <w:b/>
          <w:szCs w:val="21"/>
        </w:rPr>
        <w:t>一般掌握</w:t>
      </w:r>
      <w:r>
        <w:rPr>
          <w:rFonts w:hint="eastAsia" w:ascii="宋体" w:hAnsi="宋体"/>
          <w:szCs w:val="21"/>
        </w:rPr>
        <w:t>：</w:t>
      </w:r>
      <w:r>
        <w:rPr>
          <w:rFonts w:hint="eastAsia"/>
          <w:szCs w:val="21"/>
        </w:rPr>
        <w:t>历代茶事艺文的代表作。</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rPr>
          <w:rFonts w:ascii="宋体"/>
          <w:b/>
          <w:szCs w:val="21"/>
        </w:rPr>
      </w:pPr>
      <w:r>
        <w:rPr>
          <w:rFonts w:hint="eastAsia"/>
          <w:szCs w:val="21"/>
        </w:rPr>
        <w:t>历代茶事诗词；唐代元稹《一至七字诗 茶》、卢仝《七碗茶歌》等诗词作品；历代茶树书画；唐代《宫乐图》、《萧翼赚兰亭图》，宋代《文会图》、《茗园赌市图》，明代《惠山茶会图》等书画作品中展现的茶文化；历代茶事楹联及其他文学艺术作品；《红楼梦》等作品中的茶文化。</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rFonts w:ascii="宋体"/>
          <w:b/>
          <w:szCs w:val="21"/>
        </w:rPr>
      </w:pPr>
      <w:r>
        <w:rPr>
          <w:rFonts w:ascii="宋体" w:hAnsi="宋体"/>
          <w:b/>
          <w:szCs w:val="21"/>
        </w:rPr>
        <w:t>1</w:t>
      </w:r>
      <w:r>
        <w:rPr>
          <w:rFonts w:hint="eastAsia" w:ascii="宋体" w:hAnsi="宋体"/>
          <w:b/>
          <w:szCs w:val="21"/>
        </w:rPr>
        <w:t>．识记</w:t>
      </w:r>
      <w:r>
        <w:rPr>
          <w:rFonts w:hint="eastAsia" w:ascii="宋体" w:hAnsi="宋体"/>
          <w:szCs w:val="21"/>
        </w:rPr>
        <w:t>：</w:t>
      </w:r>
      <w:r>
        <w:rPr>
          <w:rFonts w:hint="eastAsia"/>
          <w:szCs w:val="21"/>
        </w:rPr>
        <w:t>历代的茶事艺文作品。</w:t>
      </w:r>
    </w:p>
    <w:p>
      <w:pPr>
        <w:snapToGrid w:val="0"/>
        <w:spacing w:line="360" w:lineRule="auto"/>
        <w:ind w:firstLine="103" w:firstLineChars="49"/>
        <w:jc w:val="center"/>
        <w:rPr>
          <w:rFonts w:ascii="宋体"/>
          <w:b/>
          <w:szCs w:val="21"/>
        </w:rPr>
      </w:pPr>
      <w:r>
        <w:rPr>
          <w:rFonts w:hint="eastAsia" w:ascii="宋体" w:hAnsi="宋体"/>
          <w:b/>
          <w:szCs w:val="21"/>
        </w:rPr>
        <w:t>第五章</w:t>
      </w:r>
      <w:r>
        <w:rPr>
          <w:rFonts w:ascii="宋体"/>
          <w:b/>
          <w:szCs w:val="21"/>
        </w:rPr>
        <w:t>     </w:t>
      </w:r>
      <w:r>
        <w:rPr>
          <w:rFonts w:hint="eastAsia" w:ascii="宋体"/>
          <w:b/>
          <w:szCs w:val="21"/>
        </w:rPr>
        <w:t>中华</w:t>
      </w:r>
      <w:r>
        <w:rPr>
          <w:rFonts w:hint="eastAsia" w:ascii="宋体" w:hAnsi="宋体"/>
          <w:b/>
          <w:szCs w:val="21"/>
        </w:rPr>
        <w:t>民族茶俗</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rFonts w:ascii="宋体"/>
          <w:szCs w:val="21"/>
        </w:rPr>
      </w:pPr>
      <w:r>
        <w:rPr>
          <w:rFonts w:ascii="宋体" w:hAnsi="宋体"/>
          <w:b/>
          <w:szCs w:val="21"/>
        </w:rPr>
        <w:t xml:space="preserve">1. </w:t>
      </w:r>
      <w:r>
        <w:rPr>
          <w:rFonts w:hint="eastAsia" w:ascii="宋体" w:hAnsi="宋体"/>
          <w:b/>
          <w:szCs w:val="21"/>
        </w:rPr>
        <w:t>一般了解</w:t>
      </w:r>
      <w:r>
        <w:rPr>
          <w:rFonts w:hint="eastAsia" w:ascii="宋体" w:hAnsi="宋体"/>
          <w:szCs w:val="21"/>
        </w:rPr>
        <w:t>：</w:t>
      </w:r>
      <w:r>
        <w:rPr>
          <w:rFonts w:hint="eastAsia"/>
          <w:szCs w:val="21"/>
        </w:rPr>
        <w:t>汉族不同地区的饮茶习惯与茶俗，不同少数民族的茶俗。</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rPr>
          <w:szCs w:val="21"/>
        </w:rPr>
      </w:pPr>
      <w:r>
        <w:rPr>
          <w:rFonts w:hint="eastAsia"/>
          <w:szCs w:val="21"/>
        </w:rPr>
        <w:t>汉族不同地区的茶俗；；茶在汉族婚仪、祭祀、丧葬等习俗中扮演的角色；不同少数民族的茶俗；藏族酥油茶、内蒙古咸奶茶、傣族竹筒香茶、白族“三道茶”、回族“三炮台盖碗茶”、南疆北疆不同饮茶习惯、基诺族吃茶、拉祜族饮烤茶、土家族擂茶、罐罐茶、打油茶、九道茶等饮茶习俗。</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rFonts w:ascii="宋体"/>
          <w:b/>
          <w:szCs w:val="21"/>
        </w:rPr>
      </w:pPr>
      <w:r>
        <w:rPr>
          <w:rFonts w:ascii="宋体" w:hAnsi="宋体"/>
          <w:b/>
          <w:szCs w:val="21"/>
        </w:rPr>
        <w:t>1</w:t>
      </w:r>
      <w:r>
        <w:rPr>
          <w:rFonts w:hint="eastAsia" w:ascii="宋体" w:hAnsi="宋体"/>
          <w:b/>
          <w:szCs w:val="21"/>
        </w:rPr>
        <w:t>．识记</w:t>
      </w:r>
      <w:r>
        <w:rPr>
          <w:rFonts w:hint="eastAsia" w:ascii="宋体" w:hAnsi="宋体"/>
          <w:szCs w:val="21"/>
        </w:rPr>
        <w:t>：</w:t>
      </w:r>
      <w:r>
        <w:rPr>
          <w:rFonts w:hint="eastAsia"/>
          <w:szCs w:val="21"/>
        </w:rPr>
        <w:t>汉族不同地区的饮茶习惯与茶俗，不同少数民族的茶俗。</w:t>
      </w:r>
    </w:p>
    <w:p>
      <w:pPr>
        <w:snapToGrid w:val="0"/>
        <w:spacing w:line="360" w:lineRule="auto"/>
        <w:ind w:firstLine="103" w:firstLineChars="49"/>
        <w:jc w:val="center"/>
        <w:rPr>
          <w:rFonts w:ascii="宋体"/>
          <w:b/>
          <w:szCs w:val="21"/>
        </w:rPr>
      </w:pPr>
      <w:r>
        <w:rPr>
          <w:rFonts w:hint="eastAsia" w:ascii="宋体" w:hAnsi="宋体"/>
          <w:b/>
          <w:szCs w:val="21"/>
        </w:rPr>
        <w:t>第六章</w:t>
      </w:r>
      <w:r>
        <w:rPr>
          <w:rFonts w:ascii="宋体"/>
          <w:b/>
          <w:szCs w:val="21"/>
        </w:rPr>
        <w:t>     </w:t>
      </w:r>
      <w:r>
        <w:rPr>
          <w:rFonts w:hint="eastAsia" w:ascii="宋体" w:hAnsi="宋体"/>
          <w:b/>
          <w:szCs w:val="21"/>
        </w:rPr>
        <w:t>外国茶文化</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rFonts w:ascii="宋体"/>
          <w:szCs w:val="21"/>
        </w:rPr>
      </w:pPr>
      <w:r>
        <w:rPr>
          <w:rFonts w:ascii="宋体" w:hAnsi="宋体"/>
          <w:b/>
          <w:szCs w:val="21"/>
        </w:rPr>
        <w:t xml:space="preserve">1. </w:t>
      </w:r>
      <w:r>
        <w:rPr>
          <w:rFonts w:hint="eastAsia" w:ascii="宋体" w:hAnsi="宋体"/>
          <w:b/>
          <w:szCs w:val="21"/>
        </w:rPr>
        <w:t>一般了解</w:t>
      </w:r>
      <w:r>
        <w:rPr>
          <w:rFonts w:hint="eastAsia" w:ascii="宋体" w:hAnsi="宋体"/>
          <w:szCs w:val="21"/>
        </w:rPr>
        <w:t>：</w:t>
      </w:r>
      <w:r>
        <w:rPr>
          <w:rFonts w:hint="eastAsia"/>
          <w:szCs w:val="21"/>
        </w:rPr>
        <w:t>不同国家的茶文化。</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rPr>
          <w:szCs w:val="21"/>
        </w:rPr>
      </w:pPr>
      <w:r>
        <w:rPr>
          <w:rFonts w:hint="eastAsia"/>
          <w:szCs w:val="21"/>
        </w:rPr>
        <w:t>日本茶道，韩国茶礼，英国下午茶，巴基斯坦、阿富汗、土耳其、新加坡、泰国、印度尼西亚、越南、美国、俄罗斯，摩洛哥等国家的茶文化。</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szCs w:val="21"/>
        </w:rPr>
      </w:pPr>
      <w:r>
        <w:rPr>
          <w:rFonts w:ascii="宋体" w:hAnsi="宋体"/>
          <w:b/>
          <w:szCs w:val="21"/>
        </w:rPr>
        <w:t>1</w:t>
      </w:r>
      <w:r>
        <w:rPr>
          <w:rFonts w:hint="eastAsia" w:ascii="宋体" w:hAnsi="宋体"/>
          <w:b/>
          <w:szCs w:val="21"/>
        </w:rPr>
        <w:t>．识记</w:t>
      </w:r>
      <w:r>
        <w:rPr>
          <w:rFonts w:hint="eastAsia" w:ascii="宋体" w:hAnsi="宋体"/>
          <w:szCs w:val="21"/>
        </w:rPr>
        <w:t>：</w:t>
      </w:r>
      <w:r>
        <w:rPr>
          <w:rFonts w:hint="eastAsia"/>
          <w:szCs w:val="21"/>
        </w:rPr>
        <w:t>不同国家的茶文化。</w:t>
      </w:r>
    </w:p>
    <w:p>
      <w:pPr>
        <w:snapToGrid w:val="0"/>
        <w:spacing w:line="360" w:lineRule="auto"/>
        <w:ind w:firstLine="103" w:firstLineChars="49"/>
        <w:jc w:val="center"/>
        <w:rPr>
          <w:rFonts w:ascii="宋体"/>
          <w:b/>
          <w:szCs w:val="21"/>
        </w:rPr>
      </w:pPr>
      <w:r>
        <w:rPr>
          <w:rFonts w:hint="eastAsia" w:ascii="宋体" w:hAnsi="宋体"/>
          <w:b/>
          <w:szCs w:val="21"/>
        </w:rPr>
        <w:t>第七章</w:t>
      </w:r>
      <w:r>
        <w:rPr>
          <w:rFonts w:ascii="宋体"/>
          <w:b/>
          <w:szCs w:val="21"/>
        </w:rPr>
        <w:t>     </w:t>
      </w:r>
      <w:r>
        <w:rPr>
          <w:rFonts w:hint="eastAsia" w:ascii="宋体" w:hAnsi="宋体"/>
          <w:b/>
          <w:szCs w:val="21"/>
        </w:rPr>
        <w:t>茶与健康</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rFonts w:ascii="宋体" w:hAnsi="宋体"/>
          <w:b/>
          <w:szCs w:val="21"/>
        </w:rPr>
      </w:pPr>
      <w:r>
        <w:rPr>
          <w:rFonts w:hint="eastAsia" w:ascii="宋体" w:hAnsi="宋体"/>
          <w:b/>
          <w:szCs w:val="21"/>
        </w:rPr>
        <w:t>1</w:t>
      </w:r>
      <w:r>
        <w:rPr>
          <w:rFonts w:ascii="宋体" w:hAnsi="宋体"/>
          <w:b/>
          <w:szCs w:val="21"/>
        </w:rPr>
        <w:t xml:space="preserve">. </w:t>
      </w:r>
      <w:r>
        <w:rPr>
          <w:rFonts w:hint="eastAsia" w:ascii="宋体" w:hAnsi="宋体"/>
          <w:b/>
          <w:szCs w:val="21"/>
        </w:rPr>
        <w:t>一般了解：</w:t>
      </w:r>
      <w:r>
        <w:rPr>
          <w:rFonts w:hint="eastAsia" w:ascii="宋体" w:hAnsi="宋体"/>
          <w:szCs w:val="21"/>
        </w:rPr>
        <w:t>科学的饮茶方法。</w:t>
      </w:r>
    </w:p>
    <w:p>
      <w:pPr>
        <w:snapToGrid w:val="0"/>
        <w:spacing w:line="360" w:lineRule="auto"/>
        <w:ind w:firstLine="422" w:firstLineChars="200"/>
        <w:rPr>
          <w:rFonts w:ascii="宋体"/>
          <w:szCs w:val="21"/>
        </w:rPr>
      </w:pPr>
      <w:r>
        <w:rPr>
          <w:rFonts w:hint="eastAsia" w:ascii="宋体" w:hAnsi="宋体"/>
          <w:b/>
          <w:szCs w:val="21"/>
        </w:rPr>
        <w:t>2. 一般掌握</w:t>
      </w:r>
      <w:r>
        <w:rPr>
          <w:rFonts w:hint="eastAsia" w:ascii="宋体" w:hAnsi="宋体"/>
          <w:szCs w:val="21"/>
        </w:rPr>
        <w:t>：</w:t>
      </w:r>
      <w:r>
        <w:rPr>
          <w:rFonts w:hint="eastAsia"/>
          <w:szCs w:val="21"/>
        </w:rPr>
        <w:t>茶叶中的主要功能性成分，及茶叶的保健功能。</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rPr>
          <w:szCs w:val="21"/>
        </w:rPr>
      </w:pPr>
      <w:r>
        <w:rPr>
          <w:rFonts w:hint="eastAsia"/>
          <w:szCs w:val="21"/>
        </w:rPr>
        <w:t>茶叶中的主要功能性成分，茶多酚的主要生理功能，咖啡碱的主要生理功能，氨基酸的主要生理功能，茶皂素的主要生理功能，氟的主要生理功能，茶叶的保健功能，适时饮茶，因人饮茶，适度饮茶。</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rFonts w:ascii="宋体"/>
          <w:b/>
          <w:szCs w:val="21"/>
        </w:rPr>
      </w:pPr>
      <w:r>
        <w:rPr>
          <w:rFonts w:ascii="宋体" w:hAnsi="宋体"/>
          <w:b/>
          <w:szCs w:val="21"/>
        </w:rPr>
        <w:t>1</w:t>
      </w:r>
      <w:r>
        <w:rPr>
          <w:rFonts w:hint="eastAsia" w:ascii="宋体" w:hAnsi="宋体"/>
          <w:b/>
          <w:szCs w:val="21"/>
        </w:rPr>
        <w:t>．识记</w:t>
      </w:r>
      <w:r>
        <w:rPr>
          <w:rFonts w:hint="eastAsia" w:ascii="宋体" w:hAnsi="宋体"/>
          <w:szCs w:val="21"/>
        </w:rPr>
        <w:t>：</w:t>
      </w:r>
      <w:r>
        <w:rPr>
          <w:rFonts w:hint="eastAsia"/>
          <w:szCs w:val="21"/>
        </w:rPr>
        <w:t>科学的饮茶方法。</w:t>
      </w:r>
    </w:p>
    <w:p>
      <w:pPr>
        <w:snapToGrid w:val="0"/>
        <w:spacing w:line="360" w:lineRule="auto"/>
        <w:ind w:firstLine="422" w:firstLineChars="200"/>
        <w:jc w:val="left"/>
        <w:rPr>
          <w:szCs w:val="21"/>
        </w:rPr>
      </w:pPr>
      <w:r>
        <w:rPr>
          <w:rFonts w:hint="eastAsia" w:ascii="宋体" w:hAnsi="宋体"/>
          <w:b/>
          <w:szCs w:val="21"/>
        </w:rPr>
        <w:t>2. 简单应用</w:t>
      </w:r>
      <w:r>
        <w:rPr>
          <w:rFonts w:hint="eastAsia" w:ascii="宋体" w:hAnsi="宋体"/>
          <w:szCs w:val="21"/>
        </w:rPr>
        <w:t>：</w:t>
      </w:r>
      <w:r>
        <w:rPr>
          <w:rFonts w:hint="eastAsia"/>
          <w:szCs w:val="21"/>
        </w:rPr>
        <w:t>茶叶中的主要功能性成分及茶叶的保健功能。</w:t>
      </w:r>
    </w:p>
    <w:p>
      <w:pPr>
        <w:snapToGrid w:val="0"/>
        <w:spacing w:line="360" w:lineRule="auto"/>
        <w:ind w:firstLine="103" w:firstLineChars="49"/>
        <w:jc w:val="center"/>
        <w:rPr>
          <w:rFonts w:ascii="宋体"/>
          <w:b/>
          <w:szCs w:val="21"/>
        </w:rPr>
      </w:pPr>
      <w:r>
        <w:rPr>
          <w:rFonts w:hint="eastAsia" w:ascii="宋体" w:hAnsi="宋体"/>
          <w:b/>
          <w:szCs w:val="21"/>
        </w:rPr>
        <w:t>第七章</w:t>
      </w:r>
      <w:r>
        <w:rPr>
          <w:rFonts w:ascii="宋体"/>
          <w:b/>
          <w:szCs w:val="21"/>
        </w:rPr>
        <w:t>     </w:t>
      </w:r>
      <w:r>
        <w:rPr>
          <w:rFonts w:hint="eastAsia" w:ascii="宋体" w:hAnsi="宋体"/>
          <w:b/>
          <w:szCs w:val="21"/>
        </w:rPr>
        <w:t>茶艺</w:t>
      </w:r>
    </w:p>
    <w:p>
      <w:pPr>
        <w:snapToGrid w:val="0"/>
        <w:spacing w:line="360" w:lineRule="auto"/>
        <w:rPr>
          <w:rFonts w:ascii="宋体"/>
          <w:b/>
          <w:szCs w:val="21"/>
        </w:rPr>
      </w:pPr>
      <w:r>
        <w:rPr>
          <w:rFonts w:hint="eastAsia" w:ascii="宋体" w:hAnsi="宋体"/>
          <w:b/>
          <w:szCs w:val="21"/>
        </w:rPr>
        <w:t>（一）学习目标</w:t>
      </w:r>
    </w:p>
    <w:p>
      <w:pPr>
        <w:snapToGrid w:val="0"/>
        <w:spacing w:line="360" w:lineRule="auto"/>
        <w:ind w:firstLine="422" w:firstLineChars="200"/>
        <w:rPr>
          <w:szCs w:val="21"/>
        </w:rPr>
      </w:pPr>
      <w:r>
        <w:rPr>
          <w:rFonts w:ascii="宋体" w:hAnsi="宋体"/>
          <w:b/>
          <w:szCs w:val="21"/>
        </w:rPr>
        <w:t xml:space="preserve">1. </w:t>
      </w:r>
      <w:r>
        <w:rPr>
          <w:rFonts w:hint="eastAsia" w:ascii="宋体" w:hAnsi="宋体"/>
          <w:b/>
          <w:szCs w:val="21"/>
        </w:rPr>
        <w:t>一般了解</w:t>
      </w:r>
      <w:r>
        <w:rPr>
          <w:rFonts w:hint="eastAsia" w:ascii="宋体" w:hAnsi="宋体"/>
          <w:szCs w:val="21"/>
        </w:rPr>
        <w:t>：</w:t>
      </w:r>
      <w:r>
        <w:rPr>
          <w:rFonts w:hint="eastAsia"/>
          <w:szCs w:val="21"/>
        </w:rPr>
        <w:t>了解茶席的布置与茶席插花。</w:t>
      </w:r>
    </w:p>
    <w:p>
      <w:pPr>
        <w:snapToGrid w:val="0"/>
        <w:spacing w:line="360" w:lineRule="auto"/>
        <w:ind w:firstLine="422" w:firstLineChars="200"/>
        <w:rPr>
          <w:rFonts w:ascii="宋体"/>
          <w:szCs w:val="21"/>
        </w:rPr>
      </w:pPr>
      <w:r>
        <w:rPr>
          <w:rFonts w:hint="eastAsia"/>
          <w:b/>
          <w:szCs w:val="21"/>
        </w:rPr>
        <w:t>2. 一般掌握：</w:t>
      </w:r>
      <w:r>
        <w:rPr>
          <w:rFonts w:hint="eastAsia"/>
          <w:szCs w:val="21"/>
        </w:rPr>
        <w:t>泡茶用水的选择；绿茶、红茶及乌龙茶茶艺。</w:t>
      </w:r>
    </w:p>
    <w:p>
      <w:pPr>
        <w:snapToGrid w:val="0"/>
        <w:spacing w:line="360" w:lineRule="auto"/>
        <w:rPr>
          <w:rFonts w:ascii="宋体"/>
          <w:szCs w:val="21"/>
        </w:rPr>
      </w:pPr>
      <w:r>
        <w:rPr>
          <w:rFonts w:hint="eastAsia" w:ascii="宋体" w:hAnsi="宋体"/>
          <w:b/>
          <w:szCs w:val="21"/>
        </w:rPr>
        <w:t>（二）考核内容</w:t>
      </w:r>
    </w:p>
    <w:p>
      <w:pPr>
        <w:snapToGrid w:val="0"/>
        <w:spacing w:line="360" w:lineRule="auto"/>
        <w:ind w:firstLine="420" w:firstLineChars="200"/>
        <w:rPr>
          <w:szCs w:val="21"/>
        </w:rPr>
      </w:pPr>
      <w:r>
        <w:rPr>
          <w:rFonts w:hint="eastAsia"/>
          <w:szCs w:val="21"/>
        </w:rPr>
        <w:t>茶艺，茶艺表演，茶席，泡茶用水的选择，绿茶、红茶及乌龙茶茶艺。</w:t>
      </w:r>
    </w:p>
    <w:p>
      <w:pPr>
        <w:snapToGrid w:val="0"/>
        <w:spacing w:line="360" w:lineRule="auto"/>
        <w:rPr>
          <w:rFonts w:ascii="宋体"/>
          <w:b/>
          <w:szCs w:val="21"/>
        </w:rPr>
      </w:pPr>
      <w:r>
        <w:rPr>
          <w:rFonts w:hint="eastAsia" w:ascii="宋体" w:hAnsi="宋体"/>
          <w:b/>
          <w:szCs w:val="21"/>
        </w:rPr>
        <w:t>（三）考核要求</w:t>
      </w:r>
    </w:p>
    <w:p>
      <w:pPr>
        <w:snapToGrid w:val="0"/>
        <w:spacing w:line="360" w:lineRule="auto"/>
        <w:ind w:firstLine="422" w:firstLineChars="200"/>
        <w:rPr>
          <w:szCs w:val="21"/>
        </w:rPr>
      </w:pPr>
      <w:r>
        <w:rPr>
          <w:rFonts w:ascii="宋体" w:hAnsi="宋体"/>
          <w:b/>
          <w:szCs w:val="21"/>
        </w:rPr>
        <w:t>1</w:t>
      </w:r>
      <w:r>
        <w:rPr>
          <w:rFonts w:hint="eastAsia" w:ascii="宋体" w:hAnsi="宋体"/>
          <w:b/>
          <w:szCs w:val="21"/>
        </w:rPr>
        <w:t>．识记</w:t>
      </w:r>
      <w:r>
        <w:rPr>
          <w:rFonts w:hint="eastAsia" w:ascii="宋体" w:hAnsi="宋体"/>
          <w:szCs w:val="21"/>
        </w:rPr>
        <w:t>：</w:t>
      </w:r>
      <w:r>
        <w:rPr>
          <w:rFonts w:hint="eastAsia"/>
          <w:szCs w:val="21"/>
        </w:rPr>
        <w:t>茶艺，茶艺表演，茶席，泡茶用水的选择，绿茶、红茶及乌龙茶茶艺。</w:t>
      </w:r>
    </w:p>
    <w:p>
      <w:pPr>
        <w:spacing w:line="360" w:lineRule="auto"/>
        <w:ind w:firstLine="420" w:firstLineChars="200"/>
        <w:rPr>
          <w:rFonts w:ascii="宋体"/>
          <w:szCs w:val="21"/>
        </w:rPr>
      </w:pPr>
    </w:p>
    <w:p>
      <w:pPr>
        <w:snapToGrid w:val="0"/>
        <w:spacing w:line="360" w:lineRule="auto"/>
        <w:rPr>
          <w:rFonts w:ascii="宋体" w:hAnsi="宋体"/>
          <w:b/>
          <w:szCs w:val="21"/>
        </w:rPr>
      </w:pPr>
      <w:r>
        <w:rPr>
          <w:rFonts w:hint="eastAsia" w:ascii="宋体" w:hAnsi="宋体"/>
          <w:b/>
          <w:szCs w:val="21"/>
        </w:rPr>
        <w:t>三、考核方式</w:t>
      </w:r>
    </w:p>
    <w:p>
      <w:pPr>
        <w:widowControl/>
        <w:snapToGrid w:val="0"/>
        <w:spacing w:line="360" w:lineRule="auto"/>
        <w:ind w:firstLine="420"/>
        <w:jc w:val="left"/>
        <w:rPr>
          <w:rFonts w:ascii="宋体" w:hAnsi="宋体"/>
          <w:bCs/>
          <w:szCs w:val="21"/>
        </w:rPr>
      </w:pPr>
      <w:r>
        <w:rPr>
          <w:rFonts w:hint="eastAsia" w:hAnsi="宋体"/>
          <w:b/>
          <w:bCs/>
          <w:kern w:val="0"/>
          <w:szCs w:val="21"/>
        </w:rPr>
        <w:t>过程性评价：</w:t>
      </w:r>
      <w:r>
        <w:t>在章节学习的过程中针对每一章节的教学目标和教学内容布置</w:t>
      </w:r>
      <w:r>
        <w:rPr>
          <w:rFonts w:hint="eastAsia"/>
        </w:rPr>
        <w:t>课前、课中、课后任务</w:t>
      </w:r>
      <w:r>
        <w:t>让学生完成</w:t>
      </w:r>
      <w:r>
        <w:rPr>
          <w:rFonts w:hint="eastAsia"/>
        </w:rPr>
        <w:t>，通过任务完成度、教学活动参与度、作业、</w:t>
      </w:r>
      <w:r>
        <w:t>定期进行随堂测验</w:t>
      </w:r>
      <w:r>
        <w:rPr>
          <w:rFonts w:hint="eastAsia"/>
        </w:rPr>
        <w:t>来对学生进行过程性评价。同时</w:t>
      </w:r>
      <w:r>
        <w:t>学期中进行期中考试</w:t>
      </w:r>
      <w:r>
        <w:rPr>
          <w:rFonts w:hint="eastAsia"/>
        </w:rPr>
        <w:t>、学期末进行期末考试来对学生进行阶段式评价</w:t>
      </w:r>
      <w:r>
        <w:t>。</w:t>
      </w:r>
      <w:r>
        <w:rPr>
          <w:rFonts w:hint="eastAsia" w:hAnsi="宋体"/>
          <w:b/>
          <w:bCs/>
          <w:kern w:val="0"/>
          <w:szCs w:val="21"/>
        </w:rPr>
        <w:t>终结性评价：</w:t>
      </w:r>
      <w:r>
        <w:rPr>
          <w:rFonts w:hint="eastAsia"/>
        </w:rPr>
        <w:t>期末进行</w:t>
      </w:r>
      <w:r>
        <w:t>闭卷考试</w:t>
      </w:r>
      <w:r>
        <w:rPr>
          <w:rFonts w:hint="eastAsia"/>
        </w:rPr>
        <w:t>来对学生进行终结性评价</w:t>
      </w:r>
      <w:r>
        <w:t>。</w:t>
      </w:r>
    </w:p>
    <w:p>
      <w:pPr>
        <w:snapToGrid w:val="0"/>
        <w:spacing w:line="360" w:lineRule="auto"/>
        <w:rPr>
          <w:rFonts w:ascii="宋体" w:hAnsi="宋体"/>
          <w:b/>
          <w:szCs w:val="21"/>
        </w:rPr>
      </w:pPr>
      <w:r>
        <w:rPr>
          <w:rFonts w:hint="eastAsia" w:ascii="宋体" w:hAnsi="宋体"/>
          <w:b/>
          <w:szCs w:val="21"/>
        </w:rPr>
        <w:t>四、成绩评定</w:t>
      </w:r>
    </w:p>
    <w:p>
      <w:pPr>
        <w:snapToGrid w:val="0"/>
        <w:spacing w:line="360" w:lineRule="auto"/>
        <w:ind w:firstLine="420" w:firstLineChars="200"/>
        <w:rPr>
          <w:rFonts w:ascii="宋体" w:hAnsi="宋体"/>
          <w:szCs w:val="21"/>
        </w:rPr>
      </w:pPr>
      <w:r>
        <w:rPr>
          <w:rFonts w:hint="eastAsia" w:ascii="宋体" w:hAnsi="宋体"/>
          <w:szCs w:val="21"/>
        </w:rPr>
        <w:t>1.平时成绩的评价方法：平时成绩以现场签到1</w:t>
      </w:r>
      <w:r>
        <w:rPr>
          <w:rFonts w:ascii="宋体" w:hAnsi="宋体"/>
          <w:szCs w:val="21"/>
        </w:rPr>
        <w:t>0</w:t>
      </w:r>
      <w:r>
        <w:rPr>
          <w:rFonts w:hint="eastAsia" w:ascii="宋体" w:hAnsi="宋体"/>
          <w:szCs w:val="21"/>
        </w:rPr>
        <w:t>%＋作业成绩3</w:t>
      </w:r>
      <w:r>
        <w:rPr>
          <w:rFonts w:ascii="宋体" w:hAnsi="宋体"/>
          <w:szCs w:val="21"/>
        </w:rPr>
        <w:t>0</w:t>
      </w:r>
      <w:r>
        <w:rPr>
          <w:rFonts w:hint="eastAsia" w:ascii="宋体" w:hAnsi="宋体"/>
          <w:szCs w:val="21"/>
        </w:rPr>
        <w:t>%+任务成绩3</w:t>
      </w:r>
      <w:r>
        <w:rPr>
          <w:rFonts w:ascii="宋体" w:hAnsi="宋体"/>
          <w:szCs w:val="21"/>
        </w:rPr>
        <w:t>0</w:t>
      </w:r>
      <w:r>
        <w:rPr>
          <w:rFonts w:hint="eastAsia" w:ascii="宋体" w:hAnsi="宋体"/>
          <w:szCs w:val="21"/>
        </w:rPr>
        <w:t>%+项目成绩3</w:t>
      </w:r>
      <w:r>
        <w:rPr>
          <w:rFonts w:ascii="宋体" w:hAnsi="宋体"/>
          <w:szCs w:val="21"/>
        </w:rPr>
        <w:t>0</w:t>
      </w:r>
      <w:r>
        <w:rPr>
          <w:rFonts w:hint="eastAsia" w:ascii="宋体" w:hAnsi="宋体"/>
          <w:szCs w:val="21"/>
        </w:rPr>
        <w:t>%进行评价。</w:t>
      </w:r>
    </w:p>
    <w:p>
      <w:pPr>
        <w:snapToGrid w:val="0"/>
        <w:spacing w:line="360" w:lineRule="auto"/>
        <w:ind w:firstLine="420" w:firstLineChars="200"/>
        <w:rPr>
          <w:rFonts w:ascii="宋体" w:hAnsi="宋体"/>
          <w:szCs w:val="21"/>
        </w:rPr>
      </w:pPr>
      <w:r>
        <w:rPr>
          <w:rFonts w:hint="eastAsia" w:ascii="宋体" w:hAnsi="宋体"/>
          <w:szCs w:val="21"/>
        </w:rPr>
        <w:t>2.最终成绩评价方法：以期末理论考试（</w:t>
      </w:r>
      <w:r>
        <w:rPr>
          <w:rFonts w:ascii="宋体" w:hAnsi="宋体"/>
          <w:szCs w:val="21"/>
        </w:rPr>
        <w:t>50</w:t>
      </w:r>
      <w:r>
        <w:rPr>
          <w:rFonts w:hint="eastAsia" w:ascii="宋体" w:hAnsi="宋体"/>
          <w:szCs w:val="21"/>
        </w:rPr>
        <w:t>%）+期中考试（20%）+平时成绩（</w:t>
      </w:r>
      <w:r>
        <w:rPr>
          <w:rFonts w:ascii="宋体" w:hAnsi="宋体"/>
          <w:szCs w:val="21"/>
        </w:rPr>
        <w:t>30</w:t>
      </w:r>
      <w:r>
        <w:rPr>
          <w:rFonts w:hint="eastAsia" w:ascii="宋体" w:hAnsi="宋体"/>
          <w:szCs w:val="21"/>
        </w:rPr>
        <w:t>%）计算最终成绩。</w:t>
      </w:r>
    </w:p>
    <w:p>
      <w:pPr>
        <w:snapToGrid w:val="0"/>
        <w:spacing w:line="360" w:lineRule="auto"/>
        <w:rPr>
          <w:rFonts w:ascii="宋体" w:hAnsi="宋体"/>
          <w:b/>
          <w:szCs w:val="21"/>
        </w:rPr>
      </w:pPr>
      <w:r>
        <w:rPr>
          <w:rFonts w:hint="eastAsia" w:ascii="宋体" w:hAnsi="宋体"/>
          <w:b/>
          <w:szCs w:val="21"/>
        </w:rPr>
        <w:t>五、考核结果分析反馈</w:t>
      </w:r>
    </w:p>
    <w:p>
      <w:pPr>
        <w:snapToGrid w:val="0"/>
        <w:spacing w:line="360" w:lineRule="auto"/>
        <w:ind w:firstLine="420" w:firstLineChars="200"/>
        <w:rPr>
          <w:rFonts w:ascii="宋体"/>
          <w:szCs w:val="21"/>
        </w:rPr>
      </w:pPr>
      <w:r>
        <w:rPr>
          <w:rFonts w:hint="eastAsia" w:ascii="宋体" w:hAnsi="宋体"/>
          <w:bCs/>
          <w:szCs w:val="21"/>
        </w:rPr>
        <w:t>学生的作业、任务完成结果、项目完成结果会、期中考试成绩等及时反馈给学生；学生在学习中提出的完善建议、学生对课堂的评价、课堂实际情况、督导和其他教师的听课结果等会适时地反馈给授课教师；学生的择业偏好，最终的就业去向等会经过一定分析结合专业达成度进行反馈。最后，根据教师收到的多方反馈结果及时对教学内容、教学方法、教学过程进行调整，并持续收集多方反馈的结果，持续改进。</w:t>
      </w:r>
    </w:p>
    <w:p>
      <w:pPr>
        <w:rPr>
          <w:sz w:val="28"/>
        </w:rPr>
      </w:pPr>
      <w:bookmarkStart w:id="1344" w:name="_Toc138076250"/>
      <w:bookmarkStart w:id="1345" w:name="_Toc138076794"/>
      <w:r>
        <w:rPr>
          <w:rFonts w:hint="eastAsia"/>
          <w:sz w:val="28"/>
        </w:rPr>
        <w:br w:type="page"/>
      </w:r>
    </w:p>
    <w:p>
      <w:pPr>
        <w:pStyle w:val="21"/>
        <w:rPr>
          <w:rFonts w:ascii="宋体" w:hAnsi="宋体"/>
          <w:b w:val="0"/>
          <w:color w:val="000000" w:themeColor="text1"/>
          <w:sz w:val="28"/>
          <w:szCs w:val="28"/>
          <w14:textFill>
            <w14:solidFill>
              <w14:schemeClr w14:val="tx1"/>
            </w14:solidFill>
          </w14:textFill>
        </w:rPr>
      </w:pPr>
      <w:bookmarkStart w:id="1346" w:name="_Toc3233"/>
      <w:r>
        <w:rPr>
          <w:rFonts w:hint="eastAsia"/>
          <w:sz w:val="28"/>
        </w:rPr>
        <w:t>园艺植物组织培养考核大纲</w:t>
      </w:r>
      <w:bookmarkEnd w:id="1344"/>
      <w:bookmarkEnd w:id="1345"/>
      <w:bookmarkEnd w:id="1346"/>
      <w:r>
        <w:rPr>
          <w:rFonts w:hint="eastAsia" w:ascii="宋体" w:hAnsi="宋体"/>
          <w:color w:val="000000" w:themeColor="text1"/>
          <w:sz w:val="28"/>
          <w:szCs w:val="28"/>
          <w14:textFill>
            <w14:solidFill>
              <w14:schemeClr w14:val="tx1"/>
            </w14:solidFill>
          </w14:textFill>
        </w:rPr>
        <w:t xml:space="preserve"> </w:t>
      </w:r>
    </w:p>
    <w:p>
      <w:pPr>
        <w:snapToGri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（Horticultural Plant Tissue Culture）</w:t>
      </w:r>
    </w:p>
    <w:p>
      <w:pPr>
        <w:widowControl/>
        <w:wordWrap w:val="0"/>
        <w:spacing w:before="120" w:after="120"/>
        <w:jc w:val="center"/>
        <w:outlineLvl w:val="0"/>
        <w:rPr>
          <w:rFonts w:hAnsi="宋体" w:eastAsia="黑体" w:cs="宋体"/>
          <w:b/>
          <w:bCs/>
          <w:color w:val="000000" w:themeColor="text1"/>
          <w:kern w:val="36"/>
          <w:sz w:val="24"/>
          <w14:textFill>
            <w14:solidFill>
              <w14:schemeClr w14:val="tx1"/>
            </w14:solidFill>
          </w14:textFill>
        </w:rPr>
      </w:pPr>
    </w:p>
    <w:p>
      <w:pPr>
        <w:snapToGrid w:val="0"/>
        <w:spacing w:line="360" w:lineRule="auto"/>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课程编号：</w:t>
            </w:r>
            <w:r>
              <w:rPr>
                <w:rFonts w:ascii="宋体" w:hAnsi="宋体"/>
                <w:b/>
                <w:bCs/>
                <w:color w:val="000000" w:themeColor="text1"/>
                <w:szCs w:val="21"/>
                <w14:textFill>
                  <w14:solidFill>
                    <w14:schemeClr w14:val="tx1"/>
                  </w14:solidFill>
                </w14:textFill>
              </w:rPr>
              <w:t>19011052</w:t>
            </w:r>
          </w:p>
        </w:tc>
        <w:tc>
          <w:tcPr>
            <w:tcW w:w="1234"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课程学时：32</w:t>
            </w:r>
          </w:p>
        </w:tc>
        <w:tc>
          <w:tcPr>
            <w:tcW w:w="2100"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主撰人：孙凯乐、侯娟、</w:t>
            </w:r>
          </w:p>
          <w:p>
            <w:pPr>
              <w:spacing w:line="300" w:lineRule="auto"/>
              <w:ind w:firstLine="900"/>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豆峻岭</w:t>
            </w:r>
          </w:p>
        </w:tc>
        <w:tc>
          <w:tcPr>
            <w:tcW w:w="1234"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审核人：胡建斌</w:t>
            </w:r>
          </w:p>
        </w:tc>
        <w:tc>
          <w:tcPr>
            <w:tcW w:w="2100" w:type="pct"/>
          </w:tcPr>
          <w:p>
            <w:pPr>
              <w:spacing w:line="300" w:lineRule="auto"/>
              <w:rPr>
                <w:rFonts w:ascii="宋体" w:hAnsi="宋体"/>
                <w:b/>
                <w:bCs/>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大纲制定（修订）日期：2023.05</w:t>
            </w:r>
          </w:p>
        </w:tc>
      </w:tr>
    </w:tbl>
    <w:p>
      <w:pPr>
        <w:widowControl/>
        <w:snapToGrid w:val="0"/>
        <w:spacing w:line="360" w:lineRule="auto"/>
        <w:jc w:val="left"/>
        <w:outlineLvl w:val="1"/>
        <w:rPr>
          <w:rFonts w:asciiTheme="majorEastAsia" w:hAnsiTheme="majorEastAsia" w:eastAsiaTheme="majorEastAsia" w:cstheme="majorEastAsia"/>
          <w:b/>
          <w:bCs/>
          <w:color w:val="000000" w:themeColor="text1"/>
          <w:kern w:val="0"/>
          <w:szCs w:val="21"/>
          <w14:textFill>
            <w14:solidFill>
              <w14:schemeClr w14:val="tx1"/>
            </w14:solidFill>
          </w14:textFill>
        </w:rPr>
      </w:pPr>
    </w:p>
    <w:p>
      <w:pPr>
        <w:widowControl/>
        <w:snapToGrid w:val="0"/>
        <w:spacing w:line="360" w:lineRule="auto"/>
        <w:jc w:val="left"/>
        <w:outlineLvl w:val="1"/>
        <w:rPr>
          <w:rFonts w:asciiTheme="majorEastAsia" w:hAnsiTheme="majorEastAsia" w:eastAsiaTheme="majorEastAsia" w:cstheme="majorEastAsia"/>
          <w:b/>
          <w:bCs/>
          <w:color w:val="000000" w:themeColor="text1"/>
          <w:kern w:val="0"/>
          <w:szCs w:val="21"/>
          <w14:textFill>
            <w14:solidFill>
              <w14:schemeClr w14:val="tx1"/>
            </w14:solidFill>
          </w14:textFill>
        </w:rPr>
      </w:pPr>
      <w:bookmarkStart w:id="1347" w:name="_Toc138068556"/>
      <w:bookmarkStart w:id="1348" w:name="_Toc138076795"/>
      <w:bookmarkStart w:id="1349" w:name="_Toc138076251"/>
      <w:bookmarkStart w:id="1350" w:name="_Toc13840"/>
      <w:bookmarkStart w:id="1351" w:name="_Toc138076500"/>
      <w:bookmarkStart w:id="1352" w:name="_Toc138068955"/>
      <w:bookmarkStart w:id="1353" w:name="_Toc138070586"/>
      <w:bookmarkStart w:id="1354" w:name="_Toc138070857"/>
      <w:r>
        <w:rPr>
          <w:rFonts w:hint="eastAsia" w:asciiTheme="majorEastAsia" w:hAnsiTheme="majorEastAsia" w:eastAsiaTheme="majorEastAsia" w:cstheme="majorEastAsia"/>
          <w:b/>
          <w:bCs/>
          <w:color w:val="000000" w:themeColor="text1"/>
          <w:kern w:val="0"/>
          <w:szCs w:val="21"/>
          <w14:textFill>
            <w14:solidFill>
              <w14:schemeClr w14:val="tx1"/>
            </w14:solidFill>
          </w14:textFill>
        </w:rPr>
        <w:t>一、课程的性质和地位</w:t>
      </w:r>
      <w:bookmarkEnd w:id="1347"/>
      <w:bookmarkEnd w:id="1348"/>
      <w:bookmarkEnd w:id="1349"/>
      <w:bookmarkEnd w:id="1350"/>
      <w:bookmarkEnd w:id="1351"/>
      <w:bookmarkEnd w:id="1352"/>
      <w:bookmarkEnd w:id="1353"/>
      <w:bookmarkEnd w:id="1354"/>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园艺植物组织培养是园艺、茶学、设施农业科学与工程专业的选修课。它是以植物生理学为基础发展起来的一项生物技术，是现代生物技术的重要组成部分之一。目前，植物组织培养技术已渗透到生物科学的各个领域，成为生物科学的重要研究技术和手段，现已广泛应用于农业、林业、工业和医药业，产生了巨大的经济效益、社会效益及生态效益，成为当代生物科学中生命力极强的一门学科。本课程的开设可进一步加强学生的综合素质和创新能力的培养，增强学生在植物生产中发现问题、分析问题和解决问题的能力，推动我国植物生物技术的研究与应用。</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通过本课程的教学，使学生了解植物组织培养的研究历史、应用状况、基本概念和基本理论，了解组织培养实验室建造和布局，掌握植物组织培养的基础理论知识和基本技能，在科学工作态度、组织培养实验技能等方面获得初步的训练，为学生将来从事植物生物技术相关教学、科研、开发和经营等多方面工作奠定良好的基础。</w:t>
      </w:r>
    </w:p>
    <w:p>
      <w:pPr>
        <w:widowControl/>
        <w:snapToGrid w:val="0"/>
        <w:spacing w:line="360" w:lineRule="auto"/>
        <w:jc w:val="left"/>
        <w:outlineLvl w:val="1"/>
        <w:rPr>
          <w:rFonts w:asciiTheme="majorEastAsia" w:hAnsiTheme="majorEastAsia" w:eastAsiaTheme="majorEastAsia" w:cstheme="majorEastAsia"/>
          <w:b/>
          <w:bCs/>
          <w:color w:val="000000" w:themeColor="text1"/>
          <w:kern w:val="0"/>
          <w:szCs w:val="21"/>
          <w14:textFill>
            <w14:solidFill>
              <w14:schemeClr w14:val="tx1"/>
            </w14:solidFill>
          </w14:textFill>
        </w:rPr>
      </w:pPr>
      <w:bookmarkStart w:id="1355" w:name="_Toc8460"/>
      <w:bookmarkStart w:id="1356" w:name="_Toc138076252"/>
      <w:bookmarkStart w:id="1357" w:name="_Toc138070858"/>
      <w:bookmarkStart w:id="1358" w:name="_Toc138068956"/>
      <w:bookmarkStart w:id="1359" w:name="_Toc138076796"/>
      <w:bookmarkStart w:id="1360" w:name="_Toc138070587"/>
      <w:bookmarkStart w:id="1361" w:name="_Toc138068557"/>
      <w:bookmarkStart w:id="1362" w:name="_Toc138076501"/>
      <w:r>
        <w:rPr>
          <w:rFonts w:hint="eastAsia" w:asciiTheme="majorEastAsia" w:hAnsiTheme="majorEastAsia" w:eastAsiaTheme="majorEastAsia" w:cstheme="majorEastAsia"/>
          <w:b/>
          <w:bCs/>
          <w:color w:val="000000" w:themeColor="text1"/>
          <w:kern w:val="0"/>
          <w:szCs w:val="21"/>
          <w14:textFill>
            <w14:solidFill>
              <w14:schemeClr w14:val="tx1"/>
            </w14:solidFill>
          </w14:textFill>
        </w:rPr>
        <w:t>二、理论教学部分的考核目标</w:t>
      </w:r>
      <w:bookmarkEnd w:id="1355"/>
      <w:bookmarkEnd w:id="1356"/>
      <w:bookmarkEnd w:id="1357"/>
      <w:bookmarkEnd w:id="1358"/>
      <w:bookmarkEnd w:id="1359"/>
      <w:bookmarkEnd w:id="1360"/>
      <w:bookmarkEnd w:id="1361"/>
      <w:bookmarkEnd w:id="1362"/>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掌握植物组织培养的基本理论、基本原理和基本操作技术，了解植株形态发生的细胞学和分子基础，并熟悉组织培养相关理论在园艺植物生产中的应用。</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绪论</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：植物组织培养的发展历史；植物培养在现代生物技术中的地位；园艺植物组织培养学的研究对象及任务。</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：植物组织培养的概念；植物组织培养研究范畴；植物组织培养技术在生产中的作用与意义。</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：植物组织培养的概念与内涵；对植物组织培养发展具有重要贡献的科学家及其贡献；组织培养在植物育种上的应用。</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植物组织培养及相关的概念。</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植物组织培养技术的发展阶段与标志性成就。</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植物组织培养在植物育种上的应用范畴。</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：植物组织培养的概念与内涵。</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：植物组织培养技术在社会生产实践中的地位与作用。</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：植物组织培养在现代园艺植物育种中的应用。</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4.综合</w:t>
      </w:r>
      <w:r>
        <w:rPr>
          <w:rFonts w:hint="eastAsia" w:ascii="宋体" w:hAnsi="宋体"/>
          <w:color w:val="000000" w:themeColor="text1"/>
          <w:szCs w:val="21"/>
          <w14:textFill>
            <w14:solidFill>
              <w14:schemeClr w14:val="tx1"/>
            </w14:solidFill>
          </w14:textFill>
        </w:rPr>
        <w:t>：植物组织培养在现代园艺植物生产中的应用。</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第一章  植物组织培养的基本技术与条件</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：植物组织培养实验室的组成、布局、功能；基本实验工具仪器的使用方法；外植体的种类与特点。</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：主要组织培养实验室的组成及其功能；培养基的种类、成分、特点；影响组织培养的内因和外因；常用的植物激素的生理作用。</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：MS培养基母液配制及工作培养基的配制方法；无菌操作基本技术；洗涤、灭菌、消毒技术；外植体的灭菌方法。</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植物组织培养实验室的构成及其功能。</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植物组织培养一般技术方法。</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植物组织培养的培养基的成分及配制。</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 影响植物组织培养培养效果的环境因素和培养基因素。</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：植物组织培养实验室的设置和布局。</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：植物组织培养灭菌的方法及无菌操作的原理。</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：植物组织培养相关的洗涤、灭菌、消毒技术的应用。</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4.分析：</w:t>
      </w:r>
      <w:r>
        <w:rPr>
          <w:rFonts w:hint="eastAsia" w:ascii="宋体" w:hAnsi="宋体"/>
          <w:color w:val="000000" w:themeColor="text1"/>
          <w:szCs w:val="21"/>
          <w14:textFill>
            <w14:solidFill>
              <w14:schemeClr w14:val="tx1"/>
            </w14:solidFill>
          </w14:textFill>
        </w:rPr>
        <w:t>能够对培养基、激素种类及其配比进行选择。</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5.综合</w:t>
      </w:r>
      <w:r>
        <w:rPr>
          <w:rFonts w:hint="eastAsia" w:ascii="宋体" w:hAnsi="宋体"/>
          <w:color w:val="000000" w:themeColor="text1"/>
          <w:szCs w:val="21"/>
          <w14:textFill>
            <w14:solidFill>
              <w14:schemeClr w14:val="tx1"/>
            </w14:solidFill>
          </w14:textFill>
        </w:rPr>
        <w:t>：能够进行植物组织培养室的设计、组织培养外界环境条件的选择与调控。</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第二章  植物细胞全能性与离体形态建成</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：植物细胞全能性的提出及其内容；植物细胞脱分化的生理及分子机制；细胞分化机理的研究进展。</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：植物细胞全能性、细胞脱分化、再分化、形态建成、器官发生、体细胞胚发生和人工种子的概念；全能性的相对性与绝对性；形态建成的调控途径。</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：细胞全能性的调控表达；愈伤组织的形成及其特点；形态建成的两种途径（器官发生途径和体细胞胚胎发生途径）、器官发生和体细胞胚发生途径的区别；人工种子的结构。</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植物细胞全能性概念、脱分化、再分化、形态建成、器官发生、体细胞胚发生和人工种子等的概念。</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全能性表达的基本条件。</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激素与细胞脱分化与再分化。</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 离体形态发生及其途径。</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5. 体细胞胚的结构特征。</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 器官发生和体细胞胚发生过程及其区别。</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7. 影响器官分化的外界因素。</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8. 人工种子结构示意图绘制及包埋剂海藻酸钠的包埋原理。</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：全能性的概念；脱分化与再分化概念；形态发生、器官发生、体细胞胚发生、生长中心、拟分生组织等概念；体细胞胚的构造与特点；影响器官发生的外界因素；影响器官发生的内在因素。</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：细胞脱分化的机理；细胞再分化的机理；各种形态建成途径名词概念；植株再生的各种途径；体细胞胚与合子胚在结构上的区别与联系；体细胞胚与器官发生的区别与联系。</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：细胞脱分化与再分化的环境条件控制；利用细胞学知识描述器官发生和体细胞胚发生的过程。</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4.分析：</w:t>
      </w:r>
      <w:r>
        <w:rPr>
          <w:rFonts w:hint="eastAsia" w:ascii="宋体" w:hAnsi="宋体"/>
          <w:color w:val="000000" w:themeColor="text1"/>
          <w:szCs w:val="21"/>
          <w14:textFill>
            <w14:solidFill>
              <w14:schemeClr w14:val="tx1"/>
            </w14:solidFill>
          </w14:textFill>
        </w:rPr>
        <w:t>外源激素对细胞脱分化与再分化的调控作用。</w:t>
      </w:r>
    </w:p>
    <w:p>
      <w:pPr>
        <w:snapToGrid w:val="0"/>
        <w:spacing w:line="360" w:lineRule="auto"/>
        <w:ind w:firstLine="422" w:firstLineChars="200"/>
        <w:rPr>
          <w:rFonts w:ascii="宋体" w:hAnsi="宋体"/>
          <w:bCs/>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5.综合</w:t>
      </w:r>
      <w:r>
        <w:rPr>
          <w:rFonts w:hint="eastAsia" w:ascii="宋体" w:hAnsi="宋体"/>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细胞全能性在植物组织培养外植体选取中的应用；器官发生的环境调控途径；提高体细胞胚形成的各种方法；植物激素在器官发生和体细胞胚发生中的作用。</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第三章  体细胞无性系变异</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：植物组织培养中体细胞无性系变异现象；体细胞无性系变异细胞学与分子学机理。</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：体细胞无性系变异的概念与一般特点；体细胞无性系变异的诱导与选择。</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：体细胞无性系变异频率与组织培养方式的关系；体细胞无性系变异与植物育种。</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体细胞无性系变异的概念与一般特点。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影响体细胞无性系变异的因素。</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体细胞无性系变异在植物育种中的应用。</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：体细胞无性系变异的概念与一般特点；影响体细胞无性系变异的因素。</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：影响体细胞无性系变异的因素的遗传学基础；体细胞无性系变异的诱导与选择。</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：控制植物组织培养中体细胞无性系变异的方法和途径。</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4.综合</w:t>
      </w:r>
      <w:r>
        <w:rPr>
          <w:rFonts w:hint="eastAsia" w:ascii="宋体" w:hAnsi="宋体"/>
          <w:color w:val="000000" w:themeColor="text1"/>
          <w:szCs w:val="21"/>
          <w14:textFill>
            <w14:solidFill>
              <w14:schemeClr w14:val="tx1"/>
            </w14:solidFill>
          </w14:textFill>
        </w:rPr>
        <w:t>：利用培养方式、激素水平等影响因素控制体细胞无性系变异；体细胞无性系变异与园艺植物育种改良。</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第四章  植物脱毒与离体快繁</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：品种退化的原因与脱毒的意义；植物脱毒技术的理论假说。</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：植物脱毒的概念与方法；影响脱毒效果的因素。</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：热处理脱毒的原理及操作技术规程；茎尖分生组织脱毒原理及操作技术规程；常见的园艺植物组织快速繁殖方式及其特点。</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植物品种退化及其原因。</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植物脱毒技术概念与意义。</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植物脱毒的原理及技术规程。</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4. 离体繁殖的流程、培养物增殖方式及其特点。</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：品种退化原因与脱毒意义；植物离体繁殖技术的概念与内涵。</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：植物脱毒的理论假说。</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：热处理脱毒和茎尖脱毒的基本方法和基本操作程序。</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4.分析：</w:t>
      </w:r>
      <w:r>
        <w:rPr>
          <w:rFonts w:hint="eastAsia" w:ascii="宋体" w:hAnsi="宋体"/>
          <w:color w:val="000000" w:themeColor="text1"/>
          <w:szCs w:val="21"/>
          <w14:textFill>
            <w14:solidFill>
              <w14:schemeClr w14:val="tx1"/>
            </w14:solidFill>
          </w14:textFill>
        </w:rPr>
        <w:t>影响植物脱毒效果的因素及其控制方法。</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5.综合</w:t>
      </w:r>
      <w:r>
        <w:rPr>
          <w:rFonts w:hint="eastAsia" w:ascii="宋体" w:hAnsi="宋体"/>
          <w:color w:val="000000" w:themeColor="text1"/>
          <w:szCs w:val="21"/>
          <w14:textFill>
            <w14:solidFill>
              <w14:schemeClr w14:val="tx1"/>
            </w14:solidFill>
          </w14:textFill>
        </w:rPr>
        <w:t>：根据不同目的选择适宜离体繁殖技术；离体繁殖技术与无性系变异的控制。</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第五章  离体条件下的倍性操作技术</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：单倍体在植物育种中的应用潜力；花粉和花药培养单倍体的起源。</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：单倍体的概念与特点；植物形成单倍体的各种途径。</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：花药、花粉培养的概念的基本程序；花药、花粉培养的常用培养基、激素和取材时期；未授粉子房培养的一般程序。</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单倍体的特点与应用领域。</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花药、花粉（小孢子）与未受精子房培养的一般程序及注意事项。</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：单倍体的概念、特点和应用；花药、花粉（小孢子）和子房培养概念。</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：花药、花粉培养的一般程序；花药及花粉取样时期的确定。</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：花粉、花药、子房培养培养基的设计及单倍体植株再生。</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4.综合</w:t>
      </w:r>
      <w:r>
        <w:rPr>
          <w:rFonts w:hint="eastAsia" w:ascii="宋体" w:hAnsi="宋体"/>
          <w:color w:val="000000" w:themeColor="text1"/>
          <w:szCs w:val="21"/>
          <w14:textFill>
            <w14:solidFill>
              <w14:schemeClr w14:val="tx1"/>
            </w14:solidFill>
          </w14:textFill>
        </w:rPr>
        <w:t>：提高花培植株再生效率的各种途径；未受精子房培养的在园艺植物育种中的应用潜力。</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第六章  植物原生质体培养</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：原生质体培养的学术意义。</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：原生质体的概念、分类和基本特征。</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：原生质体培养分离、纯化方法及植株再生的基本程序。</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原生质体的概念。</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原生质体的分离、纯化方法。</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原生质体的活力检测方法。</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：原生质体的概念、特点和分类。</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：原生质体再生植株的途径。</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：原生质体的分离纯化，通过原生质体培养获得再生植株。</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4.综合</w:t>
      </w:r>
      <w:r>
        <w:rPr>
          <w:rFonts w:hint="eastAsia" w:ascii="宋体" w:hAnsi="宋体"/>
          <w:color w:val="000000" w:themeColor="text1"/>
          <w:szCs w:val="21"/>
          <w14:textFill>
            <w14:solidFill>
              <w14:schemeClr w14:val="tx1"/>
            </w14:solidFill>
          </w14:textFill>
        </w:rPr>
        <w:t>：原生质体培养作为遗传转化体系的应用潜力。</w:t>
      </w:r>
    </w:p>
    <w:p>
      <w:pPr>
        <w:snapToGrid w:val="0"/>
        <w:spacing w:line="360" w:lineRule="auto"/>
        <w:ind w:firstLine="103" w:firstLineChars="49"/>
        <w:jc w:val="cente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第七章  植物原生质体融合</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（一）学习目标</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 一般了解</w:t>
      </w:r>
      <w:r>
        <w:rPr>
          <w:rFonts w:hint="eastAsia" w:ascii="宋体" w:hAnsi="宋体"/>
          <w:color w:val="000000" w:themeColor="text1"/>
          <w:szCs w:val="21"/>
          <w14:textFill>
            <w14:solidFill>
              <w14:schemeClr w14:val="tx1"/>
            </w14:solidFill>
          </w14:textFill>
        </w:rPr>
        <w:t>：原生质体融合技术的发展历程；细胞融合技术在种质创新中的作用。</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 一般掌握</w:t>
      </w:r>
      <w:r>
        <w:rPr>
          <w:rFonts w:hint="eastAsia" w:ascii="宋体" w:hAnsi="宋体"/>
          <w:color w:val="000000" w:themeColor="text1"/>
          <w:szCs w:val="21"/>
          <w14:textFill>
            <w14:solidFill>
              <w14:schemeClr w14:val="tx1"/>
            </w14:solidFill>
          </w14:textFill>
        </w:rPr>
        <w:t>：原生质体融合技术的基本原理与过程；杂种植株的检测方法。</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 熟练掌握</w:t>
      </w:r>
      <w:r>
        <w:rPr>
          <w:rFonts w:hint="eastAsia" w:ascii="宋体" w:hAnsi="宋体"/>
          <w:color w:val="000000" w:themeColor="text1"/>
          <w:szCs w:val="21"/>
          <w14:textFill>
            <w14:solidFill>
              <w14:schemeClr w14:val="tx1"/>
            </w14:solidFill>
          </w14:textFill>
        </w:rPr>
        <w:t>：原生质体融合的操作技术规范。</w:t>
      </w:r>
    </w:p>
    <w:p>
      <w:pPr>
        <w:snapToGrid w:val="0"/>
        <w:spacing w:line="360" w:lineRule="auto"/>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原生质体融合技术的基本原理和操作程序。</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融合子的成分及杂种植株的检测技术。</w:t>
      </w:r>
    </w:p>
    <w:p>
      <w:pPr>
        <w:snapToGrid w:val="0"/>
        <w:spacing w:line="360" w:lineRule="auto"/>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（三）考核要求</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1.识记</w:t>
      </w:r>
      <w:r>
        <w:rPr>
          <w:rFonts w:hint="eastAsia" w:ascii="宋体" w:hAnsi="宋体"/>
          <w:color w:val="000000" w:themeColor="text1"/>
          <w:szCs w:val="21"/>
          <w14:textFill>
            <w14:solidFill>
              <w14:schemeClr w14:val="tx1"/>
            </w14:solidFill>
          </w14:textFill>
        </w:rPr>
        <w:t>：原生质体融合的技术原理。</w:t>
      </w:r>
    </w:p>
    <w:p>
      <w:pPr>
        <w:snapToGrid w:val="0"/>
        <w:spacing w:line="360" w:lineRule="auto"/>
        <w:ind w:firstLine="422" w:firstLineChars="200"/>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2.领会</w:t>
      </w:r>
      <w:r>
        <w:rPr>
          <w:rFonts w:hint="eastAsia" w:ascii="宋体" w:hAnsi="宋体"/>
          <w:color w:val="000000" w:themeColor="text1"/>
          <w:szCs w:val="21"/>
          <w14:textFill>
            <w14:solidFill>
              <w14:schemeClr w14:val="tx1"/>
            </w14:solidFill>
          </w14:textFill>
        </w:rPr>
        <w:t>：融合子的分裂、生长及植株再生。</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3.应用</w:t>
      </w:r>
      <w:r>
        <w:rPr>
          <w:rFonts w:hint="eastAsia" w:ascii="宋体" w:hAnsi="宋体"/>
          <w:color w:val="000000" w:themeColor="text1"/>
          <w:szCs w:val="21"/>
          <w14:textFill>
            <w14:solidFill>
              <w14:schemeClr w14:val="tx1"/>
            </w14:solidFill>
          </w14:textFill>
        </w:rPr>
        <w:t>：原生质体融合方法；杂种植株的检测。</w:t>
      </w:r>
    </w:p>
    <w:p>
      <w:pPr>
        <w:snapToGrid w:val="0"/>
        <w:spacing w:line="360" w:lineRule="auto"/>
        <w:ind w:firstLine="422" w:firstLineChars="200"/>
        <w:rPr>
          <w:rFonts w:ascii="宋体" w:hAnsi="宋体"/>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4.综合</w:t>
      </w:r>
      <w:r>
        <w:rPr>
          <w:rFonts w:hint="eastAsia" w:ascii="宋体" w:hAnsi="宋体"/>
          <w:color w:val="000000" w:themeColor="text1"/>
          <w:szCs w:val="21"/>
          <w14:textFill>
            <w14:solidFill>
              <w14:schemeClr w14:val="tx1"/>
            </w14:solidFill>
          </w14:textFill>
        </w:rPr>
        <w:t>：细胞融合技术在植物远缘杂交中的应用。</w:t>
      </w:r>
    </w:p>
    <w:p>
      <w:pPr>
        <w:widowControl/>
        <w:snapToGrid w:val="0"/>
        <w:spacing w:line="360" w:lineRule="auto"/>
        <w:jc w:val="left"/>
        <w:outlineLvl w:val="1"/>
        <w:rPr>
          <w:rFonts w:asciiTheme="majorEastAsia" w:hAnsiTheme="majorEastAsia" w:eastAsiaTheme="majorEastAsia" w:cstheme="majorEastAsia"/>
          <w:b/>
          <w:bCs/>
          <w:color w:val="000000" w:themeColor="text1"/>
          <w:kern w:val="0"/>
          <w:szCs w:val="21"/>
          <w14:textFill>
            <w14:solidFill>
              <w14:schemeClr w14:val="tx1"/>
            </w14:solidFill>
          </w14:textFill>
        </w:rPr>
      </w:pPr>
      <w:bookmarkStart w:id="1363" w:name="_Toc138070588"/>
      <w:bookmarkStart w:id="1364" w:name="_Toc138068558"/>
      <w:bookmarkStart w:id="1365" w:name="_Toc29740"/>
      <w:bookmarkStart w:id="1366" w:name="_Toc138076797"/>
      <w:bookmarkStart w:id="1367" w:name="_Toc138076502"/>
      <w:bookmarkStart w:id="1368" w:name="_Toc138076253"/>
      <w:bookmarkStart w:id="1369" w:name="_Toc138070859"/>
      <w:bookmarkStart w:id="1370" w:name="_Toc138068957"/>
      <w:r>
        <w:rPr>
          <w:rFonts w:hint="eastAsia" w:asciiTheme="majorEastAsia" w:hAnsiTheme="majorEastAsia" w:eastAsiaTheme="majorEastAsia" w:cstheme="majorEastAsia"/>
          <w:b/>
          <w:bCs/>
          <w:color w:val="000000" w:themeColor="text1"/>
          <w:kern w:val="0"/>
          <w:szCs w:val="21"/>
          <w14:textFill>
            <w14:solidFill>
              <w14:schemeClr w14:val="tx1"/>
            </w14:solidFill>
          </w14:textFill>
        </w:rPr>
        <w:t>三、实验、实习教学部分的考核要求</w:t>
      </w:r>
      <w:bookmarkEnd w:id="1363"/>
      <w:bookmarkEnd w:id="1364"/>
      <w:bookmarkEnd w:id="1365"/>
      <w:bookmarkEnd w:id="1366"/>
      <w:bookmarkEnd w:id="1367"/>
      <w:bookmarkEnd w:id="1368"/>
      <w:bookmarkEnd w:id="1369"/>
      <w:bookmarkEnd w:id="1370"/>
    </w:p>
    <w:p>
      <w:pPr>
        <w:widowControl/>
        <w:adjustRightInd w:val="0"/>
        <w:snapToGrid w:val="0"/>
        <w:spacing w:line="360" w:lineRule="auto"/>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1.</w:t>
      </w:r>
      <w:r>
        <w:rPr>
          <w:rFonts w:hint="eastAsia"/>
          <w:color w:val="000000" w:themeColor="text1"/>
          <w14:textFill>
            <w14:solidFill>
              <w14:schemeClr w14:val="tx1"/>
            </w14:solidFill>
          </w14:textFill>
        </w:rPr>
        <w:t xml:space="preserve"> </w:t>
      </w:r>
      <w:r>
        <w:rPr>
          <w:rFonts w:hint="eastAsia" w:ascii="宋体" w:hAnsi="宋体" w:cs="宋体"/>
          <w:bCs/>
          <w:color w:val="000000" w:themeColor="text1"/>
          <w:kern w:val="0"/>
          <w:szCs w:val="21"/>
          <w14:textFill>
            <w14:solidFill>
              <w14:schemeClr w14:val="tx1"/>
            </w14:solidFill>
          </w14:textFill>
        </w:rPr>
        <w:t>考核</w:t>
      </w:r>
    </w:p>
    <w:p>
      <w:pPr>
        <w:widowControl/>
        <w:adjustRightInd w:val="0"/>
        <w:snapToGrid w:val="0"/>
        <w:spacing w:line="360" w:lineRule="auto"/>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考核方式：考查。评分标准：实验态度、实验纪律占20%，预习与操作过程占40%，实验报告占40%。每次实验按评分标准实行100分记成绩。实验部分总成绩由各次实验成绩综合后按总分≤30分计入课程总成绩。</w:t>
      </w:r>
    </w:p>
    <w:p>
      <w:pPr>
        <w:widowControl/>
        <w:adjustRightInd w:val="0"/>
        <w:snapToGrid w:val="0"/>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2.</w:t>
      </w:r>
      <w:r>
        <w:rPr>
          <w:rFonts w:hint="eastAsia"/>
          <w:color w:val="000000" w:themeColor="text1"/>
          <w14:textFill>
            <w14:solidFill>
              <w14:schemeClr w14:val="tx1"/>
            </w14:solidFill>
          </w14:textFill>
        </w:rPr>
        <w:t xml:space="preserve"> </w:t>
      </w:r>
      <w:r>
        <w:rPr>
          <w:rFonts w:hint="eastAsia" w:ascii="宋体" w:hAnsi="宋体" w:cs="宋体"/>
          <w:bCs/>
          <w:color w:val="000000" w:themeColor="text1"/>
          <w:kern w:val="0"/>
          <w:szCs w:val="21"/>
          <w14:textFill>
            <w14:solidFill>
              <w14:schemeClr w14:val="tx1"/>
            </w14:solidFill>
          </w14:textFill>
        </w:rPr>
        <w:t>报告要求</w:t>
      </w:r>
    </w:p>
    <w:p>
      <w:pPr>
        <w:widowControl/>
        <w:adjustRightInd w:val="0"/>
        <w:snapToGrid w:val="0"/>
        <w:spacing w:line="360" w:lineRule="auto"/>
        <w:ind w:firstLine="420" w:firstLineChars="200"/>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如实填写实验报告，文字精炼，讨论认真。实验步骤不要照搬，在实验前要做好充分的预习与准备。实验报告使用河南农业大学实验报告纸书写。</w:t>
      </w:r>
    </w:p>
    <w:p>
      <w:pPr>
        <w:widowControl/>
        <w:snapToGrid w:val="0"/>
        <w:spacing w:line="360" w:lineRule="auto"/>
        <w:jc w:val="left"/>
        <w:outlineLvl w:val="1"/>
        <w:rPr>
          <w:rFonts w:asciiTheme="majorEastAsia" w:hAnsiTheme="majorEastAsia" w:eastAsiaTheme="majorEastAsia" w:cstheme="majorEastAsia"/>
          <w:b/>
          <w:bCs/>
          <w:color w:val="000000" w:themeColor="text1"/>
          <w:kern w:val="0"/>
          <w:szCs w:val="21"/>
          <w14:textFill>
            <w14:solidFill>
              <w14:schemeClr w14:val="tx1"/>
            </w14:solidFill>
          </w14:textFill>
        </w:rPr>
      </w:pPr>
      <w:bookmarkStart w:id="1371" w:name="_Toc138076503"/>
      <w:bookmarkStart w:id="1372" w:name="_Toc138068559"/>
      <w:bookmarkStart w:id="1373" w:name="_Toc138068958"/>
      <w:bookmarkStart w:id="1374" w:name="_Toc138076798"/>
      <w:bookmarkStart w:id="1375" w:name="_Toc138070589"/>
      <w:bookmarkStart w:id="1376" w:name="_Toc8386"/>
      <w:bookmarkStart w:id="1377" w:name="_Toc138070860"/>
      <w:bookmarkStart w:id="1378" w:name="_Toc138076254"/>
      <w:r>
        <w:rPr>
          <w:rFonts w:hint="eastAsia" w:asciiTheme="majorEastAsia" w:hAnsiTheme="majorEastAsia" w:eastAsiaTheme="majorEastAsia" w:cstheme="majorEastAsia"/>
          <w:b/>
          <w:bCs/>
          <w:color w:val="000000" w:themeColor="text1"/>
          <w:kern w:val="0"/>
          <w:szCs w:val="21"/>
          <w14:textFill>
            <w14:solidFill>
              <w14:schemeClr w14:val="tx1"/>
            </w14:solidFill>
          </w14:textFill>
        </w:rPr>
        <w:t>四、考核方式</w:t>
      </w:r>
      <w:bookmarkEnd w:id="1371"/>
      <w:bookmarkEnd w:id="1372"/>
      <w:bookmarkEnd w:id="1373"/>
      <w:bookmarkEnd w:id="1374"/>
      <w:bookmarkEnd w:id="1375"/>
      <w:bookmarkEnd w:id="1376"/>
      <w:bookmarkEnd w:id="1377"/>
      <w:bookmarkEnd w:id="1378"/>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1.考试方法：</w:t>
      </w:r>
    </w:p>
    <w:p>
      <w:pPr>
        <w:spacing w:line="360" w:lineRule="auto"/>
        <w:ind w:firstLine="323" w:firstLineChars="154"/>
        <w:rPr>
          <w:rFonts w:hint="default" w:ascii="宋体" w:hAnsi="宋体" w:eastAsia="宋体"/>
          <w:bCs/>
          <w:color w:val="000000" w:themeColor="text1"/>
          <w:szCs w:val="21"/>
          <w:lang w:val="en-US" w:eastAsia="zh-CN"/>
          <w14:textFill>
            <w14:solidFill>
              <w14:schemeClr w14:val="tx1"/>
            </w14:solidFill>
          </w14:textFill>
        </w:rPr>
      </w:pPr>
      <w:r>
        <w:rPr>
          <w:rFonts w:hint="eastAsia" w:ascii="宋体" w:hAnsi="宋体"/>
          <w:bCs/>
          <w:color w:val="000000" w:themeColor="text1"/>
          <w:szCs w:val="21"/>
          <w14:textFill>
            <w14:solidFill>
              <w14:schemeClr w14:val="tx1"/>
            </w14:solidFill>
          </w14:textFill>
        </w:rPr>
        <w:t>（1）理论教学采用</w:t>
      </w:r>
      <w:r>
        <w:rPr>
          <w:rFonts w:hint="eastAsia" w:ascii="宋体" w:hAnsi="宋体"/>
          <w:bCs/>
          <w:color w:val="000000" w:themeColor="text1"/>
          <w:szCs w:val="21"/>
          <w:lang w:val="en-US" w:eastAsia="zh-CN"/>
          <w14:textFill>
            <w14:solidFill>
              <w14:schemeClr w14:val="tx1"/>
            </w14:solidFill>
          </w14:textFill>
        </w:rPr>
        <w:t>考核制</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（2）考试成绩计算方法：平时成绩（相关教学活动、实验）占</w:t>
      </w:r>
      <w:r>
        <w:rPr>
          <w:rFonts w:hint="eastAsia" w:ascii="宋体" w:hAnsi="宋体"/>
          <w:bCs/>
          <w:color w:val="000000" w:themeColor="text1"/>
          <w:szCs w:val="21"/>
          <w:lang w:val="en-US" w:eastAsia="zh-CN"/>
          <w14:textFill>
            <w14:solidFill>
              <w14:schemeClr w14:val="tx1"/>
            </w14:solidFill>
          </w14:textFill>
        </w:rPr>
        <w:t>6</w:t>
      </w:r>
      <w:r>
        <w:rPr>
          <w:rFonts w:hint="eastAsia" w:ascii="宋体" w:hAnsi="宋体"/>
          <w:bCs/>
          <w:color w:val="000000" w:themeColor="text1"/>
          <w:szCs w:val="21"/>
          <w14:textFill>
            <w14:solidFill>
              <w14:schemeClr w14:val="tx1"/>
            </w14:solidFill>
          </w14:textFill>
        </w:rPr>
        <w:t>0%，期末考试成绩占</w:t>
      </w:r>
      <w:r>
        <w:rPr>
          <w:rFonts w:hint="eastAsia" w:ascii="宋体" w:hAnsi="宋体"/>
          <w:bCs/>
          <w:color w:val="000000" w:themeColor="text1"/>
          <w:szCs w:val="21"/>
          <w:lang w:val="en-US" w:eastAsia="zh-CN"/>
          <w14:textFill>
            <w14:solidFill>
              <w14:schemeClr w14:val="tx1"/>
            </w14:solidFill>
          </w14:textFill>
        </w:rPr>
        <w:t>4</w:t>
      </w:r>
      <w:r>
        <w:rPr>
          <w:rFonts w:hint="eastAsia" w:ascii="宋体" w:hAnsi="宋体"/>
          <w:bCs/>
          <w:color w:val="000000" w:themeColor="text1"/>
          <w:szCs w:val="21"/>
          <w14:textFill>
            <w14:solidFill>
              <w14:schemeClr w14:val="tx1"/>
            </w14:solidFill>
          </w14:textFill>
        </w:rPr>
        <w:t>0%。</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2.过程性评价：</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在教学过程中使用各种评价方法应有利于教学活动的开展，有利于学生综合能力的提高，应简单易行，既要避免使用过于繁琐的程序而干扰日常教学，又要防止评价流于形式。</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（1）定量评价与定性评价相结合</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定量评价可采用百分制或等级制的方式。定量评价的形式有标准化作业、开放性作业等。定性评价可以采取问卷调查、表现性评价等方法，使用激励性语言全面、客观地描述学生的状况。</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（2）书面测试与试验操作技能测试相结合</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根据不同学习内容模块的目标要求，书面测试与试验操作技能测试应结合实施。试验操作技能测试应着重强调学生的操作能力、动手能力，不过分强调数量。书面测试应适当减少客观题，增加有助于学生思维表达的主观题，以检测学生的综合知识运用能力。</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（3）课内与课外相结合</w:t>
      </w:r>
    </w:p>
    <w:p>
      <w:pPr>
        <w:spacing w:line="360" w:lineRule="auto"/>
        <w:ind w:firstLine="323" w:firstLineChars="154"/>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课内与课外评价相结合，引导学生利用课余时间进行进一步的学习、巩固和提高专业知识。</w:t>
      </w:r>
    </w:p>
    <w:p>
      <w:pPr>
        <w:widowControl/>
        <w:snapToGrid w:val="0"/>
        <w:spacing w:line="360" w:lineRule="auto"/>
        <w:jc w:val="left"/>
        <w:outlineLvl w:val="1"/>
        <w:rPr>
          <w:rFonts w:asciiTheme="majorEastAsia" w:hAnsiTheme="majorEastAsia" w:eastAsiaTheme="majorEastAsia" w:cstheme="majorEastAsia"/>
          <w:b/>
          <w:bCs/>
          <w:color w:val="000000" w:themeColor="text1"/>
          <w:kern w:val="0"/>
          <w:szCs w:val="21"/>
          <w14:textFill>
            <w14:solidFill>
              <w14:schemeClr w14:val="tx1"/>
            </w14:solidFill>
          </w14:textFill>
        </w:rPr>
      </w:pPr>
      <w:bookmarkStart w:id="1379" w:name="_Toc138076504"/>
      <w:bookmarkStart w:id="1380" w:name="_Toc138070590"/>
      <w:bookmarkStart w:id="1381" w:name="_Toc138068959"/>
      <w:bookmarkStart w:id="1382" w:name="_Toc17033"/>
      <w:bookmarkStart w:id="1383" w:name="_Toc138076799"/>
      <w:bookmarkStart w:id="1384" w:name="_Toc138070861"/>
      <w:bookmarkStart w:id="1385" w:name="_Toc138076255"/>
      <w:bookmarkStart w:id="1386" w:name="_Toc138068560"/>
      <w:r>
        <w:rPr>
          <w:rFonts w:hint="eastAsia" w:asciiTheme="majorEastAsia" w:hAnsiTheme="majorEastAsia" w:eastAsiaTheme="majorEastAsia" w:cstheme="majorEastAsia"/>
          <w:b/>
          <w:bCs/>
          <w:color w:val="000000" w:themeColor="text1"/>
          <w:kern w:val="0"/>
          <w:szCs w:val="21"/>
          <w14:textFill>
            <w14:solidFill>
              <w14:schemeClr w14:val="tx1"/>
            </w14:solidFill>
          </w14:textFill>
        </w:rPr>
        <w:t>五、成绩评定</w:t>
      </w:r>
      <w:bookmarkEnd w:id="1379"/>
      <w:bookmarkEnd w:id="1380"/>
      <w:bookmarkEnd w:id="1381"/>
      <w:bookmarkEnd w:id="1382"/>
      <w:bookmarkEnd w:id="1383"/>
      <w:bookmarkEnd w:id="1384"/>
      <w:bookmarkEnd w:id="1385"/>
      <w:bookmarkEnd w:id="1386"/>
    </w:p>
    <w:p>
      <w:pPr>
        <w:snapToGrid w:val="0"/>
        <w:spacing w:line="360" w:lineRule="auto"/>
        <w:ind w:firstLine="420" w:firstLineChars="200"/>
        <w:rPr>
          <w:rFonts w:ascii="宋体" w:hAnsi="宋体"/>
          <w:color w:val="000000" w:themeColor="text1"/>
          <w:szCs w:val="21"/>
          <w14:textFill>
            <w14:solidFill>
              <w14:schemeClr w14:val="tx1"/>
            </w14:solidFill>
          </w14:textFill>
        </w:rPr>
      </w:pPr>
      <w:bookmarkStart w:id="1387" w:name="_Toc138068561"/>
      <w:bookmarkStart w:id="1388" w:name="_Toc138076800"/>
      <w:bookmarkStart w:id="1389" w:name="_Toc138070591"/>
      <w:bookmarkStart w:id="1390" w:name="_Toc23113"/>
      <w:bookmarkStart w:id="1391" w:name="_Toc138070862"/>
      <w:bookmarkStart w:id="1392" w:name="_Toc138068960"/>
      <w:bookmarkStart w:id="1393" w:name="_Toc138076505"/>
      <w:bookmarkStart w:id="1394" w:name="_Toc138076256"/>
      <w:r>
        <w:rPr>
          <w:rFonts w:hint="eastAsia" w:ascii="宋体" w:hAnsi="宋体"/>
          <w:color w:val="000000" w:themeColor="text1"/>
          <w:szCs w:val="21"/>
          <w14:textFill>
            <w14:solidFill>
              <w14:schemeClr w14:val="tx1"/>
            </w14:solidFill>
          </w14:textFill>
        </w:rPr>
        <w:t>1.平时成绩 10%</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（1）加强学风建设，严肃课堂纪律，学生考勤计入平时成绩计算方法。</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（2）鼓励学生参与创新创业活动，调动学生积极性。学生参与讨论、作业等教学内容相关活动，每项活动设定不同分数，通过教学辅助软件后台导出数据，计入平时成绩计算方法。</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2.实验成绩20%</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每次实验课依据学生完成程度进行评分，占比20%。</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3.翻转课堂30%</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szCs w:val="21"/>
        </w:rPr>
        <w:t>分小组进行课程相关内容</w:t>
      </w:r>
      <w:r>
        <w:rPr>
          <w:rFonts w:hint="eastAsia"/>
          <w:szCs w:val="21"/>
        </w:rPr>
        <w:t>的PPT制作及</w:t>
      </w:r>
      <w:r>
        <w:rPr>
          <w:szCs w:val="21"/>
        </w:rPr>
        <w:t>讲解，占比</w:t>
      </w:r>
      <w:r>
        <w:rPr>
          <w:rFonts w:hint="eastAsia" w:asciiTheme="minorEastAsia" w:hAnsiTheme="minorEastAsia" w:eastAsiaTheme="minorEastAsia"/>
          <w:szCs w:val="21"/>
        </w:rPr>
        <w:t>3</w:t>
      </w:r>
      <w:r>
        <w:rPr>
          <w:rFonts w:asciiTheme="minorEastAsia" w:hAnsiTheme="minorEastAsia" w:eastAsiaTheme="minorEastAsia"/>
          <w:szCs w:val="21"/>
        </w:rPr>
        <w:t>0%</w:t>
      </w:r>
      <w:r>
        <w:rPr>
          <w:szCs w:val="21"/>
        </w:rPr>
        <w:t>。</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4.期末成绩40%</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期末考试采用课程论文，占比40%。</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5.综合成绩</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过程性评价60%（平时成绩10%+实验成绩20%+翻转课堂30%）+终结性评价40%（期末课程论文成绩）。</w:t>
      </w:r>
    </w:p>
    <w:p>
      <w:pPr>
        <w:widowControl/>
        <w:snapToGrid w:val="0"/>
        <w:spacing w:line="360" w:lineRule="auto"/>
        <w:jc w:val="left"/>
        <w:outlineLvl w:val="1"/>
        <w:rPr>
          <w:rFonts w:asciiTheme="majorEastAsia" w:hAnsiTheme="majorEastAsia" w:eastAsiaTheme="majorEastAsia" w:cstheme="majorEastAsia"/>
          <w:b/>
          <w:bCs/>
          <w:color w:val="000000" w:themeColor="text1"/>
          <w:kern w:val="0"/>
          <w:szCs w:val="21"/>
          <w14:textFill>
            <w14:solidFill>
              <w14:schemeClr w14:val="tx1"/>
            </w14:solidFill>
          </w14:textFill>
        </w:rPr>
      </w:pPr>
      <w:r>
        <w:rPr>
          <w:rFonts w:hint="eastAsia" w:asciiTheme="majorEastAsia" w:hAnsiTheme="majorEastAsia" w:eastAsiaTheme="majorEastAsia" w:cstheme="majorEastAsia"/>
          <w:b/>
          <w:bCs/>
          <w:color w:val="000000" w:themeColor="text1"/>
          <w:kern w:val="0"/>
          <w:szCs w:val="21"/>
          <w14:textFill>
            <w14:solidFill>
              <w14:schemeClr w14:val="tx1"/>
            </w14:solidFill>
          </w14:textFill>
        </w:rPr>
        <w:t>六、考核结果分析反馈</w:t>
      </w:r>
      <w:bookmarkEnd w:id="1387"/>
      <w:bookmarkEnd w:id="1388"/>
      <w:bookmarkEnd w:id="1389"/>
      <w:bookmarkEnd w:id="1390"/>
      <w:bookmarkEnd w:id="1391"/>
      <w:bookmarkEnd w:id="1392"/>
      <w:bookmarkEnd w:id="1393"/>
      <w:bookmarkEnd w:id="1394"/>
    </w:p>
    <w:p>
      <w:pPr>
        <w:snapToGrid w:val="0"/>
        <w:spacing w:line="360" w:lineRule="auto"/>
        <w:ind w:firstLine="420" w:firstLineChars="200"/>
        <w:rPr>
          <w:rFonts w:hAnsi="宋体"/>
          <w:bCs/>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由于本课程涉及的理论知识和实验操作技能相对较多，为了让学生更好的掌握园艺植物组织培养的基本原理和技术，有必要及时跟踪了解学生的学习情况。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pPr>
        <w:snapToGrid w:val="0"/>
        <w:spacing w:line="360" w:lineRule="auto"/>
        <w:ind w:firstLine="420" w:firstLineChars="200"/>
        <w:rPr>
          <w:rFonts w:hAnsi="宋体"/>
          <w:bCs/>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1. 考核结果分析</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考核结果</w:t>
      </w:r>
      <w:r>
        <w:rPr>
          <w:rFonts w:hAnsi="宋体"/>
          <w:color w:val="000000" w:themeColor="text1"/>
          <w:szCs w:val="21"/>
          <w14:textFill>
            <w14:solidFill>
              <w14:schemeClr w14:val="tx1"/>
            </w14:solidFill>
          </w14:textFill>
        </w:rPr>
        <w:t>如何向学生反馈</w:t>
      </w:r>
      <w:r>
        <w:rPr>
          <w:rFonts w:hint="eastAsia" w:hAnsi="宋体"/>
          <w:color w:val="000000" w:themeColor="text1"/>
          <w:szCs w:val="21"/>
          <w14:textFill>
            <w14:solidFill>
              <w14:schemeClr w14:val="tx1"/>
            </w14:solidFill>
          </w14:textFill>
        </w:rPr>
        <w:t>。</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2. 考核结果反馈</w:t>
      </w:r>
    </w:p>
    <w:p>
      <w:pPr>
        <w:snapToGrid w:val="0"/>
        <w:spacing w:line="360" w:lineRule="auto"/>
        <w:ind w:firstLine="420" w:firstLineChars="200"/>
        <w:rPr>
          <w:rFonts w:ascii="宋体" w:hAnsi="宋体"/>
          <w:color w:val="0000FF"/>
          <w:szCs w:val="21"/>
        </w:rPr>
      </w:pPr>
      <w:r>
        <w:rPr>
          <w:rFonts w:hint="eastAsia" w:hAnsi="宋体"/>
          <w:color w:val="000000" w:themeColor="text1"/>
          <w:szCs w:val="21"/>
          <w14:textFill>
            <w14:solidFill>
              <w14:schemeClr w14:val="tx1"/>
            </w14:solidFill>
          </w14:textFill>
        </w:rPr>
        <w:t>针对本门课程提高学生园艺植物组织培养综合素质的教学目标，考核形式分为理论课教学考核与实验课考核。针对理论课教学考核，反馈形式体现在平时的教学过程中，采用课堂集中形式对考核结果的共性问题进行统一讲解，查找原因。例如：离体形态建成的调控、无性系变异的应用等。对于实验课考核，反馈形式体现在学生对实验的熟练操作的掌握上。针对考核结果分析中成绩严重偏态分布的情况，应及时调整教学内容、教学方法、强化过程性考核。</w:t>
      </w:r>
    </w:p>
    <w:p>
      <w:bookmarkStart w:id="1395" w:name="_Toc138076801"/>
      <w:bookmarkStart w:id="1396" w:name="_Toc138076257"/>
      <w:r>
        <w:rPr>
          <w:rFonts w:hint="eastAsia"/>
        </w:rPr>
        <w:br w:type="page"/>
      </w:r>
    </w:p>
    <w:p>
      <w:pPr>
        <w:pStyle w:val="21"/>
        <w:rPr>
          <w:sz w:val="28"/>
          <w:szCs w:val="28"/>
        </w:rPr>
      </w:pPr>
      <w:bookmarkStart w:id="1397" w:name="_Toc188"/>
      <w:r>
        <w:rPr>
          <w:rFonts w:hint="eastAsia"/>
          <w:sz w:val="28"/>
          <w:szCs w:val="28"/>
        </w:rPr>
        <w:t>无土栽培学考核大纲</w:t>
      </w:r>
      <w:bookmarkEnd w:id="1395"/>
      <w:bookmarkEnd w:id="1396"/>
      <w:bookmarkEnd w:id="1397"/>
      <w:r>
        <w:rPr>
          <w:rFonts w:hint="eastAsia"/>
          <w:sz w:val="28"/>
          <w:szCs w:val="28"/>
        </w:rPr>
        <w:t xml:space="preserve"> </w:t>
      </w:r>
    </w:p>
    <w:p>
      <w:pPr>
        <w:snapToGrid w:val="0"/>
        <w:spacing w:line="360" w:lineRule="auto"/>
        <w:jc w:val="center"/>
        <w:rPr>
          <w:b w:val="0"/>
          <w:bCs w:val="0"/>
          <w:color w:val="000000" w:themeColor="text1"/>
          <w:sz w:val="24"/>
          <w:szCs w:val="24"/>
          <w14:textFill>
            <w14:solidFill>
              <w14:schemeClr w14:val="tx1"/>
            </w14:solidFill>
          </w14:textFill>
        </w:rPr>
      </w:pPr>
      <w:r>
        <w:rPr>
          <w:b w:val="0"/>
          <w:bCs w:val="0"/>
          <w:color w:val="000000" w:themeColor="text1"/>
          <w:sz w:val="24"/>
          <w:szCs w:val="24"/>
          <w14:textFill>
            <w14:solidFill>
              <w14:schemeClr w14:val="tx1"/>
            </w14:solidFill>
          </w14:textFill>
        </w:rPr>
        <w:t>（</w:t>
      </w:r>
      <w:r>
        <w:rPr>
          <w:rFonts w:hint="eastAsia" w:hAnsi="宋体" w:eastAsia="黑体" w:cs="宋体"/>
          <w:b w:val="0"/>
          <w:bCs w:val="0"/>
          <w:color w:val="000000" w:themeColor="text1"/>
          <w:kern w:val="36"/>
          <w:sz w:val="24"/>
          <w:szCs w:val="24"/>
          <w14:textFill>
            <w14:solidFill>
              <w14:schemeClr w14:val="tx1"/>
            </w14:solidFill>
          </w14:textFill>
        </w:rPr>
        <w:t>Soilless Culture</w:t>
      </w:r>
      <w:r>
        <w:rPr>
          <w:b w:val="0"/>
          <w:bCs w:val="0"/>
          <w:color w:val="000000" w:themeColor="text1"/>
          <w:sz w:val="24"/>
          <w:szCs w:val="24"/>
          <w14:textFill>
            <w14:solidFill>
              <w14:schemeClr w14:val="tx1"/>
            </w14:solidFill>
          </w14:textFill>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课程编号：</w:t>
            </w:r>
            <w:r>
              <w:rPr>
                <w:rFonts w:ascii="宋体" w:hAnsi="宋体"/>
                <w:b/>
                <w:bCs/>
                <w:szCs w:val="21"/>
              </w:rPr>
              <w:t>19011056</w:t>
            </w:r>
          </w:p>
        </w:tc>
        <w:tc>
          <w:tcPr>
            <w:tcW w:w="1453" w:type="pct"/>
          </w:tcPr>
          <w:p>
            <w:pPr>
              <w:spacing w:line="300" w:lineRule="auto"/>
              <w:rPr>
                <w:rFonts w:ascii="宋体" w:hAnsi="宋体"/>
                <w:b/>
                <w:bCs/>
                <w:szCs w:val="21"/>
              </w:rPr>
            </w:pPr>
            <w:r>
              <w:rPr>
                <w:rFonts w:hint="eastAsia" w:ascii="宋体" w:hAnsi="宋体"/>
                <w:b/>
                <w:bCs/>
                <w:szCs w:val="21"/>
              </w:rPr>
              <w:t>课程学时：32</w:t>
            </w:r>
          </w:p>
        </w:tc>
        <w:tc>
          <w:tcPr>
            <w:tcW w:w="1881" w:type="pct"/>
          </w:tcPr>
          <w:p>
            <w:pPr>
              <w:spacing w:line="300" w:lineRule="auto"/>
              <w:rPr>
                <w:rFonts w:ascii="宋体" w:hAnsi="宋体"/>
                <w:b/>
                <w:bCs/>
                <w:szCs w:val="21"/>
              </w:rPr>
            </w:pPr>
            <w:r>
              <w:rPr>
                <w:rFonts w:hint="eastAsia" w:ascii="宋体" w:hAnsi="宋体"/>
                <w:b/>
                <w:bCs/>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宋体" w:hAnsi="宋体"/>
                <w:b/>
                <w:bCs/>
                <w:szCs w:val="21"/>
              </w:rPr>
            </w:pPr>
            <w:r>
              <w:rPr>
                <w:rFonts w:hint="eastAsia" w:ascii="宋体" w:hAnsi="宋体"/>
                <w:b/>
                <w:bCs/>
                <w:szCs w:val="21"/>
              </w:rPr>
              <w:t>主撰人：吴帼秀</w:t>
            </w:r>
          </w:p>
        </w:tc>
        <w:tc>
          <w:tcPr>
            <w:tcW w:w="1453" w:type="pct"/>
          </w:tcPr>
          <w:p>
            <w:pPr>
              <w:spacing w:line="300" w:lineRule="auto"/>
              <w:rPr>
                <w:rFonts w:ascii="宋体" w:hAnsi="宋体"/>
                <w:b/>
                <w:bCs/>
                <w:szCs w:val="21"/>
              </w:rPr>
            </w:pPr>
            <w:r>
              <w:rPr>
                <w:rFonts w:hint="eastAsia" w:ascii="宋体" w:hAnsi="宋体"/>
                <w:b/>
                <w:bCs/>
                <w:szCs w:val="21"/>
              </w:rPr>
              <w:t>审核人：孙治强</w:t>
            </w:r>
            <w:r>
              <w:rPr>
                <w:rFonts w:ascii="宋体" w:hAnsi="宋体"/>
                <w:b/>
                <w:bCs/>
                <w:szCs w:val="21"/>
              </w:rPr>
              <w:t>、李胜利、王吉庆</w:t>
            </w:r>
          </w:p>
        </w:tc>
        <w:tc>
          <w:tcPr>
            <w:tcW w:w="1881" w:type="pct"/>
          </w:tcPr>
          <w:p>
            <w:pPr>
              <w:spacing w:line="300" w:lineRule="auto"/>
              <w:rPr>
                <w:rFonts w:ascii="宋体" w:hAnsi="宋体"/>
                <w:b/>
                <w:bCs/>
                <w:szCs w:val="21"/>
              </w:rPr>
            </w:pPr>
            <w:r>
              <w:rPr>
                <w:rFonts w:hint="eastAsia" w:ascii="宋体" w:hAnsi="宋体"/>
                <w:b/>
                <w:bCs/>
                <w:szCs w:val="21"/>
              </w:rPr>
              <w:t>大纲制定（修订）日期：20</w:t>
            </w:r>
            <w:r>
              <w:rPr>
                <w:rFonts w:ascii="宋体" w:hAnsi="宋体"/>
                <w:b/>
                <w:bCs/>
                <w:szCs w:val="21"/>
              </w:rPr>
              <w:t>23</w:t>
            </w:r>
            <w:r>
              <w:rPr>
                <w:rFonts w:hint="eastAsia" w:ascii="宋体" w:hAnsi="宋体"/>
                <w:b/>
                <w:bCs/>
                <w:szCs w:val="21"/>
              </w:rPr>
              <w:t>.05</w:t>
            </w:r>
          </w:p>
        </w:tc>
      </w:tr>
    </w:tbl>
    <w:p>
      <w:pPr>
        <w:widowControl/>
        <w:snapToGrid w:val="0"/>
        <w:spacing w:before="156" w:after="156" w:line="360" w:lineRule="auto"/>
        <w:jc w:val="left"/>
        <w:outlineLvl w:val="1"/>
        <w:rPr>
          <w:rFonts w:ascii="宋体" w:hAnsi="宋体" w:cs="宋体"/>
          <w:b/>
          <w:bCs/>
          <w:kern w:val="0"/>
          <w:szCs w:val="21"/>
        </w:rPr>
      </w:pPr>
      <w:bookmarkStart w:id="1398" w:name="_Toc138068563"/>
      <w:bookmarkStart w:id="1399" w:name="_Toc138076507"/>
      <w:bookmarkStart w:id="1400" w:name="_Toc138070864"/>
      <w:bookmarkStart w:id="1401" w:name="_Toc138076802"/>
      <w:bookmarkStart w:id="1402" w:name="_Toc138068962"/>
      <w:bookmarkStart w:id="1403" w:name="_Toc138076258"/>
      <w:bookmarkStart w:id="1404" w:name="_Toc21883"/>
      <w:bookmarkStart w:id="1405" w:name="_Toc138070593"/>
      <w:r>
        <w:rPr>
          <w:rFonts w:hint="eastAsia" w:ascii="宋体" w:hAnsi="宋体" w:cs="宋体"/>
          <w:b/>
          <w:bCs/>
          <w:kern w:val="0"/>
          <w:szCs w:val="21"/>
        </w:rPr>
        <w:t>一、课程的性质和地位</w:t>
      </w:r>
      <w:bookmarkEnd w:id="1398"/>
      <w:bookmarkEnd w:id="1399"/>
      <w:bookmarkEnd w:id="1400"/>
      <w:bookmarkEnd w:id="1401"/>
      <w:bookmarkEnd w:id="1402"/>
      <w:bookmarkEnd w:id="1403"/>
      <w:bookmarkEnd w:id="1404"/>
      <w:bookmarkEnd w:id="1405"/>
    </w:p>
    <w:p>
      <w:pPr>
        <w:widowControl/>
        <w:spacing w:line="360" w:lineRule="auto"/>
        <w:ind w:firstLine="367" w:firstLineChars="175"/>
        <w:jc w:val="left"/>
        <w:rPr>
          <w:rFonts w:cs="宋体"/>
          <w:bCs/>
          <w:kern w:val="0"/>
          <w:szCs w:val="21"/>
        </w:rPr>
      </w:pPr>
      <w:r>
        <w:rPr>
          <w:rFonts w:hint="eastAsia"/>
          <w:szCs w:val="21"/>
        </w:rPr>
        <w:t>《无土栽培学》是一门研究无土栽培技术原理、栽培方式和管理技术的一门综合性应用科学，是设施农业科学与工程专业的专业核心课程。通过本课程的学习，认识植物在无土栽培条件下对养分、水分、氧气的需求规律，掌握营养液的配制及管理技术、固体基质的性质及选配原则、常用无土栽培生产设施与管理办法，为从事无土栽培生产及科学研究奠定基础，并为改造传统农业及在不适宜作物生产的地方提供新的思路与方法。</w:t>
      </w:r>
    </w:p>
    <w:p>
      <w:pPr>
        <w:snapToGrid w:val="0"/>
        <w:spacing w:before="156" w:beforeLines="50" w:line="360" w:lineRule="auto"/>
        <w:rPr>
          <w:rFonts w:ascii="宋体" w:hAnsi="宋体"/>
          <w:b/>
          <w:szCs w:val="21"/>
        </w:rPr>
      </w:pPr>
      <w:r>
        <w:rPr>
          <w:rFonts w:hint="eastAsia" w:ascii="宋体" w:hAnsi="宋体"/>
          <w:b/>
          <w:szCs w:val="21"/>
        </w:rPr>
        <w:t>二、理论教学部分的考核目标</w:t>
      </w:r>
    </w:p>
    <w:p>
      <w:pPr>
        <w:snapToGrid w:val="0"/>
        <w:spacing w:line="360" w:lineRule="auto"/>
        <w:ind w:firstLine="420" w:firstLineChars="200"/>
        <w:rPr>
          <w:rFonts w:ascii="宋体" w:hAnsi="宋体"/>
          <w:szCs w:val="21"/>
        </w:rPr>
      </w:pPr>
      <w:r>
        <w:rPr>
          <w:rFonts w:hint="eastAsia" w:ascii="宋体" w:hAnsi="宋体"/>
          <w:szCs w:val="21"/>
        </w:rPr>
        <w:t>应用所学理论知识设计一套无土栽培装置，可用于生产、家庭、观光等，画出或者制作出示意图，重点介绍装置的设施结构、运行过程、可行性及创新性，并以某种作物为例，简单讲述栽培过程。禁止照搬课本及网络资源。</w:t>
      </w:r>
    </w:p>
    <w:p>
      <w:pPr>
        <w:snapToGrid w:val="0"/>
        <w:spacing w:line="360" w:lineRule="auto"/>
        <w:ind w:firstLine="420" w:firstLineChars="200"/>
        <w:rPr>
          <w:rFonts w:ascii="宋体" w:hAnsi="宋体"/>
          <w:szCs w:val="21"/>
        </w:rPr>
      </w:pPr>
      <w:r>
        <w:rPr>
          <w:rFonts w:hint="eastAsia" w:ascii="宋体" w:hAnsi="宋体"/>
          <w:szCs w:val="21"/>
        </w:rPr>
        <w:t>1. 以ppt的形式分组介绍，并注明成员名单、学号及分工，此次汇报作为平时成绩的重要组成部分，希望大家重视。</w:t>
      </w:r>
    </w:p>
    <w:p>
      <w:pPr>
        <w:snapToGrid w:val="0"/>
        <w:spacing w:line="360" w:lineRule="auto"/>
        <w:ind w:firstLine="420" w:firstLineChars="200"/>
        <w:rPr>
          <w:rFonts w:ascii="宋体" w:hAnsi="宋体"/>
          <w:szCs w:val="21"/>
        </w:rPr>
      </w:pPr>
      <w:r>
        <w:rPr>
          <w:rFonts w:hint="eastAsia" w:ascii="宋体" w:hAnsi="宋体"/>
          <w:szCs w:val="21"/>
        </w:rPr>
        <w:t>2. 每组最多4人，最少1人。</w:t>
      </w:r>
    </w:p>
    <w:p>
      <w:pPr>
        <w:snapToGrid w:val="0"/>
        <w:spacing w:line="360" w:lineRule="auto"/>
        <w:ind w:firstLine="420" w:firstLineChars="200"/>
        <w:rPr>
          <w:rFonts w:ascii="宋体" w:hAnsi="宋体"/>
          <w:szCs w:val="21"/>
        </w:rPr>
      </w:pPr>
      <w:r>
        <w:rPr>
          <w:rFonts w:hint="eastAsia" w:ascii="宋体" w:hAnsi="宋体"/>
          <w:szCs w:val="21"/>
        </w:rPr>
        <w:t>3. 每组派一人进行ppt讲述，讲完其他同学及老师可以进行提问，可由所有组员参与回答。</w:t>
      </w:r>
    </w:p>
    <w:p>
      <w:pPr>
        <w:snapToGrid w:val="0"/>
        <w:spacing w:line="360" w:lineRule="auto"/>
        <w:ind w:firstLine="420" w:firstLineChars="200"/>
        <w:rPr>
          <w:rFonts w:ascii="宋体" w:hAnsi="宋体"/>
          <w:szCs w:val="21"/>
        </w:rPr>
      </w:pPr>
      <w:r>
        <w:rPr>
          <w:rFonts w:hint="eastAsia" w:ascii="宋体" w:hAnsi="宋体"/>
          <w:szCs w:val="21"/>
        </w:rPr>
        <w:t>4. 结束后各班学委将每组ppt集齐后发给我。</w:t>
      </w:r>
    </w:p>
    <w:p>
      <w:pPr>
        <w:snapToGrid w:val="0"/>
        <w:spacing w:line="360" w:lineRule="auto"/>
        <w:rPr>
          <w:rFonts w:ascii="宋体" w:hAnsi="宋体"/>
          <w:b/>
          <w:szCs w:val="21"/>
        </w:rPr>
      </w:pPr>
      <w:r>
        <w:rPr>
          <w:rFonts w:hint="eastAsia" w:ascii="宋体" w:hAnsi="宋体"/>
          <w:b/>
          <w:szCs w:val="21"/>
        </w:rPr>
        <w:t>三、实验、实习教学部分的考核要求</w:t>
      </w:r>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1.</w:t>
      </w:r>
      <w:r>
        <w:rPr>
          <w:rFonts w:ascii="宋体" w:hAnsi="宋体" w:cs="宋体"/>
          <w:bCs/>
          <w:kern w:val="0"/>
          <w:szCs w:val="21"/>
        </w:rPr>
        <w:t xml:space="preserve"> </w:t>
      </w:r>
      <w:r>
        <w:rPr>
          <w:rFonts w:hint="eastAsia" w:ascii="宋体" w:hAnsi="宋体" w:cs="宋体"/>
          <w:bCs/>
          <w:kern w:val="0"/>
          <w:szCs w:val="21"/>
        </w:rPr>
        <w:t>熟练掌握营养液配方的设计、配制及管理技术</w:t>
      </w:r>
    </w:p>
    <w:p>
      <w:pPr>
        <w:widowControl/>
        <w:adjustRightInd w:val="0"/>
        <w:snapToGrid w:val="0"/>
        <w:spacing w:line="360" w:lineRule="auto"/>
        <w:ind w:firstLine="420" w:firstLineChars="200"/>
        <w:jc w:val="left"/>
        <w:rPr>
          <w:rFonts w:ascii="宋体" w:hAnsi="宋体" w:cs="宋体"/>
          <w:bCs/>
          <w:kern w:val="0"/>
          <w:szCs w:val="21"/>
        </w:rPr>
      </w:pPr>
      <w:r>
        <w:rPr>
          <w:rFonts w:hint="eastAsia" w:ascii="宋体" w:hAnsi="宋体" w:cs="宋体"/>
          <w:bCs/>
          <w:kern w:val="0"/>
          <w:szCs w:val="21"/>
        </w:rPr>
        <w:t>2.</w:t>
      </w:r>
      <w:r>
        <w:rPr>
          <w:rFonts w:ascii="宋体" w:hAnsi="宋体" w:cs="宋体"/>
          <w:bCs/>
          <w:kern w:val="0"/>
          <w:szCs w:val="21"/>
        </w:rPr>
        <w:t xml:space="preserve"> </w:t>
      </w:r>
      <w:r>
        <w:rPr>
          <w:rFonts w:hint="eastAsia" w:ascii="宋体" w:hAnsi="宋体" w:cs="宋体"/>
          <w:bCs/>
          <w:kern w:val="0"/>
          <w:szCs w:val="21"/>
        </w:rPr>
        <w:t>掌握常见蔬菜无土栽培</w:t>
      </w:r>
      <w:r>
        <w:rPr>
          <w:rFonts w:ascii="宋体" w:hAnsi="宋体" w:cs="宋体"/>
          <w:bCs/>
          <w:kern w:val="0"/>
          <w:szCs w:val="21"/>
        </w:rPr>
        <w:t>技术</w:t>
      </w:r>
    </w:p>
    <w:p>
      <w:pPr>
        <w:snapToGrid w:val="0"/>
        <w:spacing w:line="360" w:lineRule="auto"/>
        <w:rPr>
          <w:rFonts w:ascii="宋体" w:hAnsi="宋体"/>
          <w:b/>
          <w:szCs w:val="21"/>
        </w:rPr>
      </w:pPr>
      <w:r>
        <w:rPr>
          <w:rFonts w:hint="eastAsia" w:ascii="宋体" w:hAnsi="宋体"/>
          <w:b/>
          <w:szCs w:val="21"/>
        </w:rPr>
        <w:t>四、考核方式</w:t>
      </w:r>
    </w:p>
    <w:p>
      <w:pPr>
        <w:spacing w:line="360" w:lineRule="auto"/>
        <w:ind w:firstLine="420" w:firstLineChars="200"/>
        <w:rPr>
          <w:rFonts w:ascii="宋体" w:hAnsi="宋体"/>
          <w:szCs w:val="21"/>
        </w:rPr>
      </w:pPr>
      <w:r>
        <w:rPr>
          <w:rFonts w:hint="eastAsia" w:ascii="宋体" w:hAnsi="宋体"/>
          <w:szCs w:val="21"/>
        </w:rPr>
        <w:t>1. 过程性</w:t>
      </w:r>
      <w:r>
        <w:rPr>
          <w:rFonts w:ascii="宋体" w:hAnsi="宋体"/>
          <w:szCs w:val="21"/>
        </w:rPr>
        <w:t>考核</w:t>
      </w:r>
    </w:p>
    <w:p>
      <w:pPr>
        <w:spacing w:line="360" w:lineRule="auto"/>
        <w:ind w:firstLine="420" w:firstLineChars="200"/>
        <w:rPr>
          <w:rFonts w:hAnsi="宋体"/>
          <w:bCs/>
          <w:kern w:val="0"/>
          <w:szCs w:val="21"/>
        </w:rPr>
      </w:pPr>
      <w:r>
        <w:rPr>
          <w:rFonts w:hint="eastAsia" w:ascii="宋体" w:hAnsi="宋体"/>
          <w:szCs w:val="21"/>
        </w:rPr>
        <w:t>包括</w:t>
      </w:r>
      <w:r>
        <w:rPr>
          <w:rFonts w:hint="eastAsia" w:hAnsi="宋体"/>
          <w:bCs/>
          <w:kern w:val="0"/>
          <w:szCs w:val="21"/>
        </w:rPr>
        <w:t>线上</w:t>
      </w:r>
      <w:r>
        <w:rPr>
          <w:rFonts w:hAnsi="宋体"/>
          <w:bCs/>
          <w:kern w:val="0"/>
          <w:szCs w:val="21"/>
        </w:rPr>
        <w:t>学习、课后作业、实验报告、考勤</w:t>
      </w:r>
      <w:r>
        <w:rPr>
          <w:rFonts w:hint="eastAsia" w:hAnsi="宋体"/>
          <w:bCs/>
          <w:kern w:val="0"/>
          <w:szCs w:val="21"/>
        </w:rPr>
        <w:t>、</w:t>
      </w:r>
      <w:r>
        <w:rPr>
          <w:rFonts w:hAnsi="宋体"/>
          <w:bCs/>
          <w:kern w:val="0"/>
          <w:szCs w:val="21"/>
        </w:rPr>
        <w:t>提问讨论</w:t>
      </w:r>
      <w:r>
        <w:rPr>
          <w:rFonts w:hint="eastAsia" w:hAnsi="宋体"/>
          <w:bCs/>
          <w:kern w:val="0"/>
          <w:szCs w:val="21"/>
        </w:rPr>
        <w:t>等。</w:t>
      </w:r>
    </w:p>
    <w:p>
      <w:pPr>
        <w:spacing w:line="360" w:lineRule="auto"/>
        <w:ind w:firstLine="420" w:firstLineChars="200"/>
        <w:rPr>
          <w:rFonts w:hAnsi="宋体"/>
          <w:bCs/>
          <w:kern w:val="0"/>
          <w:szCs w:val="21"/>
        </w:rPr>
      </w:pPr>
      <w:r>
        <w:rPr>
          <w:rFonts w:hAnsi="宋体"/>
          <w:bCs/>
          <w:kern w:val="0"/>
          <w:szCs w:val="21"/>
        </w:rPr>
        <w:t xml:space="preserve">2. </w:t>
      </w:r>
      <w:r>
        <w:rPr>
          <w:rFonts w:hint="eastAsia" w:hAnsi="宋体"/>
          <w:bCs/>
          <w:kern w:val="0"/>
          <w:szCs w:val="21"/>
        </w:rPr>
        <w:t>终结</w:t>
      </w:r>
      <w:r>
        <w:rPr>
          <w:rFonts w:hAnsi="宋体"/>
          <w:bCs/>
          <w:kern w:val="0"/>
          <w:szCs w:val="21"/>
        </w:rPr>
        <w:t>性考核</w:t>
      </w:r>
    </w:p>
    <w:p>
      <w:pPr>
        <w:spacing w:line="360" w:lineRule="auto"/>
        <w:ind w:firstLine="420" w:firstLineChars="200"/>
        <w:rPr>
          <w:rFonts w:ascii="宋体" w:hAnsi="宋体"/>
          <w:szCs w:val="21"/>
        </w:rPr>
      </w:pPr>
      <w:r>
        <w:rPr>
          <w:rFonts w:hint="eastAsia" w:hAnsi="宋体"/>
          <w:bCs/>
          <w:kern w:val="0"/>
          <w:szCs w:val="21"/>
        </w:rPr>
        <w:t>无土</w:t>
      </w:r>
      <w:r>
        <w:rPr>
          <w:rFonts w:hAnsi="宋体"/>
          <w:bCs/>
          <w:kern w:val="0"/>
          <w:szCs w:val="21"/>
        </w:rPr>
        <w:t>栽培装置设计比赛</w:t>
      </w:r>
      <w:r>
        <w:rPr>
          <w:rFonts w:hint="eastAsia" w:hAnsi="宋体"/>
          <w:bCs/>
          <w:kern w:val="0"/>
          <w:szCs w:val="21"/>
        </w:rPr>
        <w:t>。</w:t>
      </w:r>
    </w:p>
    <w:p>
      <w:pPr>
        <w:snapToGrid w:val="0"/>
        <w:spacing w:line="360" w:lineRule="auto"/>
        <w:rPr>
          <w:rFonts w:ascii="宋体" w:hAnsi="宋体"/>
          <w:b/>
          <w:szCs w:val="21"/>
        </w:rPr>
      </w:pPr>
      <w:r>
        <w:rPr>
          <w:rFonts w:hint="eastAsia" w:ascii="宋体" w:hAnsi="宋体"/>
          <w:b/>
          <w:szCs w:val="21"/>
        </w:rPr>
        <w:t>五、成绩评定</w:t>
      </w:r>
    </w:p>
    <w:p>
      <w:pPr>
        <w:spacing w:line="360" w:lineRule="auto"/>
        <w:ind w:firstLine="420" w:firstLineChars="200"/>
        <w:rPr>
          <w:rFonts w:ascii="宋体" w:hAnsi="宋体"/>
          <w:szCs w:val="21"/>
        </w:rPr>
      </w:pPr>
      <w:r>
        <w:rPr>
          <w:rFonts w:hint="eastAsia" w:ascii="宋体" w:hAnsi="宋体"/>
          <w:szCs w:val="21"/>
        </w:rPr>
        <w:t>1. 平时</w:t>
      </w:r>
      <w:r>
        <w:rPr>
          <w:rFonts w:ascii="宋体" w:hAnsi="宋体"/>
          <w:szCs w:val="21"/>
        </w:rPr>
        <w:t>成绩</w:t>
      </w:r>
    </w:p>
    <w:p>
      <w:pPr>
        <w:spacing w:line="360" w:lineRule="auto"/>
        <w:ind w:firstLine="420" w:firstLineChars="200"/>
        <w:rPr>
          <w:rFonts w:ascii="宋体" w:hAnsi="宋体"/>
          <w:szCs w:val="21"/>
        </w:rPr>
      </w:pPr>
      <w:r>
        <w:rPr>
          <w:rFonts w:hint="eastAsia" w:ascii="宋体" w:hAnsi="宋体"/>
          <w:szCs w:val="21"/>
        </w:rPr>
        <w:t>包括线上学习、课堂</w:t>
      </w:r>
      <w:r>
        <w:rPr>
          <w:rFonts w:ascii="宋体" w:hAnsi="宋体"/>
          <w:szCs w:val="21"/>
        </w:rPr>
        <w:t>表现、</w:t>
      </w:r>
      <w:r>
        <w:rPr>
          <w:rFonts w:hint="eastAsia" w:ascii="宋体" w:hAnsi="宋体"/>
          <w:szCs w:val="21"/>
        </w:rPr>
        <w:t>课后</w:t>
      </w:r>
      <w:r>
        <w:rPr>
          <w:rFonts w:ascii="宋体" w:hAnsi="宋体"/>
          <w:szCs w:val="21"/>
        </w:rPr>
        <w:t>作业、</w:t>
      </w:r>
      <w:r>
        <w:rPr>
          <w:rFonts w:hint="eastAsia" w:ascii="宋体" w:hAnsi="宋体"/>
          <w:szCs w:val="21"/>
        </w:rPr>
        <w:t>实验情况等</w:t>
      </w:r>
      <w:r>
        <w:rPr>
          <w:rFonts w:ascii="宋体" w:hAnsi="宋体"/>
          <w:szCs w:val="21"/>
        </w:rPr>
        <w:t>，共占</w:t>
      </w:r>
      <w:r>
        <w:rPr>
          <w:rFonts w:hint="eastAsia" w:ascii="宋体" w:hAnsi="宋体"/>
          <w:szCs w:val="21"/>
        </w:rPr>
        <w:t>40</w:t>
      </w:r>
      <w:r>
        <w:rPr>
          <w:rFonts w:ascii="宋体" w:hAnsi="宋体"/>
          <w:szCs w:val="21"/>
        </w:rPr>
        <w:t>%。</w:t>
      </w:r>
    </w:p>
    <w:p>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 </w:t>
      </w:r>
      <w:r>
        <w:rPr>
          <w:rFonts w:hint="eastAsia" w:ascii="宋体" w:hAnsi="宋体"/>
          <w:szCs w:val="21"/>
        </w:rPr>
        <w:t>期末</w:t>
      </w:r>
      <w:r>
        <w:rPr>
          <w:rFonts w:ascii="宋体" w:hAnsi="宋体"/>
          <w:szCs w:val="21"/>
        </w:rPr>
        <w:t>成绩</w:t>
      </w:r>
    </w:p>
    <w:p>
      <w:pPr>
        <w:spacing w:line="360" w:lineRule="auto"/>
        <w:ind w:firstLine="420" w:firstLineChars="200"/>
        <w:rPr>
          <w:rFonts w:ascii="宋体" w:hAnsi="宋体"/>
          <w:szCs w:val="21"/>
        </w:rPr>
      </w:pPr>
      <w:r>
        <w:rPr>
          <w:rFonts w:hint="eastAsia" w:ascii="宋体" w:hAnsi="宋体"/>
          <w:szCs w:val="21"/>
        </w:rPr>
        <w:t>装置设计的</w:t>
      </w:r>
      <w:r>
        <w:rPr>
          <w:rFonts w:ascii="宋体" w:hAnsi="宋体"/>
          <w:szCs w:val="21"/>
        </w:rPr>
        <w:t>可行性、创新性、实用性，</w:t>
      </w:r>
      <w:r>
        <w:rPr>
          <w:rFonts w:hint="eastAsia" w:ascii="宋体" w:hAnsi="宋体"/>
          <w:szCs w:val="21"/>
        </w:rPr>
        <w:t>ppt的制作</w:t>
      </w:r>
      <w:r>
        <w:rPr>
          <w:rFonts w:ascii="宋体" w:hAnsi="宋体"/>
          <w:szCs w:val="21"/>
        </w:rPr>
        <w:t>及讲解</w:t>
      </w:r>
      <w:r>
        <w:rPr>
          <w:rFonts w:hint="eastAsia" w:ascii="宋体" w:hAnsi="宋体"/>
          <w:szCs w:val="21"/>
        </w:rPr>
        <w:t>，</w:t>
      </w:r>
      <w:r>
        <w:rPr>
          <w:rFonts w:ascii="宋体" w:hAnsi="宋体"/>
          <w:szCs w:val="21"/>
        </w:rPr>
        <w:t>团队分工情况等，占</w:t>
      </w:r>
      <w:r>
        <w:rPr>
          <w:rFonts w:hint="eastAsia" w:ascii="宋体" w:hAnsi="宋体"/>
          <w:szCs w:val="21"/>
        </w:rPr>
        <w:t>60</w:t>
      </w:r>
      <w:r>
        <w:rPr>
          <w:rFonts w:ascii="宋体" w:hAnsi="宋体"/>
          <w:szCs w:val="21"/>
        </w:rPr>
        <w:t>%。</w:t>
      </w:r>
    </w:p>
    <w:p>
      <w:pPr>
        <w:snapToGrid w:val="0"/>
        <w:spacing w:line="360" w:lineRule="auto"/>
        <w:rPr>
          <w:rFonts w:ascii="宋体" w:hAnsi="宋体"/>
          <w:b/>
          <w:szCs w:val="21"/>
        </w:rPr>
      </w:pPr>
      <w:r>
        <w:rPr>
          <w:rFonts w:hint="eastAsia" w:ascii="宋体" w:hAnsi="宋体"/>
          <w:b/>
          <w:szCs w:val="21"/>
        </w:rPr>
        <w:t>六、考核结果</w:t>
      </w:r>
      <w:r>
        <w:rPr>
          <w:rFonts w:ascii="宋体" w:hAnsi="宋体"/>
          <w:b/>
          <w:szCs w:val="21"/>
        </w:rPr>
        <w:t>分析反馈</w:t>
      </w:r>
    </w:p>
    <w:p>
      <w:pPr>
        <w:spacing w:line="360" w:lineRule="auto"/>
        <w:rPr>
          <w:rFonts w:ascii="宋体" w:hAnsi="宋体"/>
          <w:szCs w:val="21"/>
        </w:rPr>
      </w:pPr>
      <w:r>
        <w:rPr>
          <w:rFonts w:hint="eastAsia" w:ascii="宋体" w:hAnsi="宋体"/>
          <w:szCs w:val="21"/>
        </w:rPr>
        <w:t>1.</w:t>
      </w:r>
      <w:r>
        <w:rPr>
          <w:rFonts w:ascii="宋体" w:hAnsi="宋体"/>
          <w:szCs w:val="21"/>
        </w:rPr>
        <w:t xml:space="preserve"> </w:t>
      </w:r>
      <w:r>
        <w:rPr>
          <w:rFonts w:hint="eastAsia" w:ascii="宋体" w:hAnsi="宋体"/>
          <w:szCs w:val="21"/>
        </w:rPr>
        <w:t>平时</w:t>
      </w:r>
      <w:r>
        <w:rPr>
          <w:rFonts w:ascii="宋体" w:hAnsi="宋体"/>
          <w:szCs w:val="21"/>
        </w:rPr>
        <w:t>成绩在上课的过程中及时评定，以</w:t>
      </w:r>
      <w:r>
        <w:rPr>
          <w:rFonts w:hint="eastAsia" w:ascii="宋体" w:hAnsi="宋体"/>
          <w:szCs w:val="21"/>
        </w:rPr>
        <w:t>提高</w:t>
      </w:r>
      <w:r>
        <w:rPr>
          <w:rFonts w:ascii="宋体" w:hAnsi="宋体"/>
          <w:szCs w:val="21"/>
        </w:rPr>
        <w:t>学生</w:t>
      </w:r>
      <w:r>
        <w:rPr>
          <w:rFonts w:hint="eastAsia" w:ascii="宋体" w:hAnsi="宋体"/>
          <w:szCs w:val="21"/>
        </w:rPr>
        <w:t>学习</w:t>
      </w:r>
      <w:r>
        <w:rPr>
          <w:rFonts w:ascii="宋体" w:hAnsi="宋体"/>
          <w:szCs w:val="21"/>
        </w:rPr>
        <w:t>积极性</w:t>
      </w:r>
      <w:r>
        <w:rPr>
          <w:rFonts w:hint="eastAsia" w:ascii="宋体" w:hAnsi="宋体"/>
          <w:szCs w:val="21"/>
        </w:rPr>
        <w:t>。期末</w:t>
      </w:r>
      <w:r>
        <w:rPr>
          <w:rFonts w:ascii="宋体" w:hAnsi="宋体"/>
          <w:szCs w:val="21"/>
        </w:rPr>
        <w:t>成绩统一上传教务处系统。</w:t>
      </w:r>
    </w:p>
    <w:p>
      <w:pPr>
        <w:spacing w:line="360" w:lineRule="auto"/>
        <w:ind w:firstLine="420" w:firstLineChars="200"/>
        <w:rPr>
          <w:rFonts w:ascii="宋体" w:hAnsi="宋体"/>
          <w:szCs w:val="21"/>
        </w:rPr>
      </w:pPr>
      <w:r>
        <w:rPr>
          <w:rFonts w:hint="eastAsia" w:ascii="宋体" w:hAnsi="宋体"/>
          <w:szCs w:val="21"/>
        </w:rPr>
        <w:t>线上</w:t>
      </w:r>
      <w:r>
        <w:rPr>
          <w:rFonts w:ascii="宋体" w:hAnsi="宋体"/>
          <w:szCs w:val="21"/>
        </w:rPr>
        <w:t>学习情况及时向学生</w:t>
      </w:r>
      <w:r>
        <w:rPr>
          <w:rFonts w:hint="eastAsia" w:ascii="宋体" w:hAnsi="宋体"/>
          <w:szCs w:val="21"/>
        </w:rPr>
        <w:t>反馈</w:t>
      </w:r>
      <w:r>
        <w:rPr>
          <w:rFonts w:ascii="宋体" w:hAnsi="宋体"/>
          <w:szCs w:val="21"/>
        </w:rPr>
        <w:t>，鼓励积极性高的同学，同时带动积极性差的</w:t>
      </w:r>
      <w:r>
        <w:rPr>
          <w:rFonts w:hint="eastAsia" w:ascii="宋体" w:hAnsi="宋体"/>
          <w:szCs w:val="21"/>
        </w:rPr>
        <w:t>同学</w:t>
      </w:r>
      <w:r>
        <w:rPr>
          <w:rFonts w:ascii="宋体" w:hAnsi="宋体"/>
          <w:szCs w:val="21"/>
        </w:rPr>
        <w:t>；课堂上采用提问、讨论、翻转课堂、讲授等多种形式展开，鼓励学生积极参与，提高学习效率；课后作业在下节课上课时进行讲解，并对完成情况进行总结；</w:t>
      </w:r>
      <w:r>
        <w:rPr>
          <w:rFonts w:hint="eastAsia" w:ascii="宋体" w:hAnsi="宋体"/>
          <w:szCs w:val="21"/>
        </w:rPr>
        <w:t>比赛</w:t>
      </w:r>
      <w:r>
        <w:rPr>
          <w:rFonts w:ascii="宋体" w:hAnsi="宋体"/>
          <w:szCs w:val="21"/>
        </w:rPr>
        <w:t>以小组合作的形式展开，并由专业老师进行点评。</w:t>
      </w:r>
    </w:p>
    <w:p>
      <w:pPr>
        <w:spacing w:line="360" w:lineRule="auto"/>
        <w:rPr>
          <w:rFonts w:ascii="宋体" w:hAnsi="宋体"/>
          <w:szCs w:val="21"/>
        </w:rPr>
      </w:pPr>
      <w:r>
        <w:rPr>
          <w:rFonts w:ascii="宋体" w:hAnsi="宋体"/>
          <w:szCs w:val="21"/>
        </w:rPr>
        <w:t xml:space="preserve">2. </w:t>
      </w:r>
      <w:r>
        <w:rPr>
          <w:rFonts w:hint="eastAsia" w:ascii="宋体" w:hAnsi="宋体"/>
          <w:szCs w:val="21"/>
        </w:rPr>
        <w:t>课后</w:t>
      </w:r>
      <w:r>
        <w:rPr>
          <w:rFonts w:ascii="宋体" w:hAnsi="宋体"/>
          <w:szCs w:val="21"/>
        </w:rPr>
        <w:t>对课前学生</w:t>
      </w:r>
      <w:r>
        <w:rPr>
          <w:rFonts w:hint="eastAsia" w:ascii="宋体" w:hAnsi="宋体"/>
          <w:szCs w:val="21"/>
        </w:rPr>
        <w:t>自主</w:t>
      </w:r>
      <w:r>
        <w:rPr>
          <w:rFonts w:ascii="宋体" w:hAnsi="宋体"/>
          <w:szCs w:val="21"/>
        </w:rPr>
        <w:t>学习情况</w:t>
      </w:r>
      <w:r>
        <w:rPr>
          <w:rFonts w:hint="eastAsia" w:ascii="宋体" w:hAnsi="宋体"/>
          <w:szCs w:val="21"/>
        </w:rPr>
        <w:t>、</w:t>
      </w:r>
      <w:r>
        <w:rPr>
          <w:rFonts w:ascii="宋体" w:hAnsi="宋体"/>
          <w:szCs w:val="21"/>
        </w:rPr>
        <w:t>课堂表现情况</w:t>
      </w:r>
      <w:r>
        <w:rPr>
          <w:rFonts w:hint="eastAsia" w:ascii="宋体" w:hAnsi="宋体"/>
          <w:szCs w:val="21"/>
        </w:rPr>
        <w:t>及</w:t>
      </w:r>
      <w:r>
        <w:rPr>
          <w:rFonts w:ascii="宋体" w:hAnsi="宋体"/>
          <w:szCs w:val="21"/>
        </w:rPr>
        <w:t>教师授课情况进行反思，以改进教学方法，提高教学效果；坚持以学生为中心，最大化的提高学生学习积极性及学习效率；丰富教学方法，</w:t>
      </w:r>
      <w:r>
        <w:rPr>
          <w:rFonts w:hint="eastAsia" w:ascii="宋体" w:hAnsi="宋体"/>
          <w:szCs w:val="21"/>
        </w:rPr>
        <w:t>根据</w:t>
      </w:r>
      <w:r>
        <w:rPr>
          <w:rFonts w:ascii="宋体" w:hAnsi="宋体"/>
          <w:szCs w:val="21"/>
        </w:rPr>
        <w:t>学生的学习效果</w:t>
      </w:r>
      <w:r>
        <w:rPr>
          <w:rFonts w:hint="eastAsia" w:ascii="宋体" w:hAnsi="宋体"/>
          <w:szCs w:val="21"/>
        </w:rPr>
        <w:t>反馈</w:t>
      </w:r>
      <w:r>
        <w:rPr>
          <w:rFonts w:ascii="宋体" w:hAnsi="宋体"/>
          <w:szCs w:val="21"/>
        </w:rPr>
        <w:t>情况，找出有效的教学方式。</w:t>
      </w:r>
    </w:p>
    <w:p>
      <w:pPr>
        <w:snapToGrid w:val="0"/>
        <w:spacing w:line="360" w:lineRule="auto"/>
        <w:rPr>
          <w:rFonts w:ascii="宋体" w:hAnsi="宋体"/>
          <w:b/>
          <w:szCs w:val="21"/>
        </w:rPr>
      </w:pPr>
      <w:r>
        <w:rPr>
          <w:rFonts w:hint="eastAsia" w:ascii="宋体" w:hAnsi="宋体"/>
          <w:b/>
          <w:szCs w:val="21"/>
        </w:rPr>
        <w:t xml:space="preserve">       </w:t>
      </w:r>
    </w:p>
    <w:p>
      <w:pPr>
        <w:rPr>
          <w:sz w:val="28"/>
        </w:rPr>
      </w:pPr>
      <w:bookmarkStart w:id="1406" w:name="_Toc138076803"/>
      <w:bookmarkStart w:id="1407" w:name="_Toc138076259"/>
      <w:r>
        <w:rPr>
          <w:rFonts w:hint="eastAsia"/>
          <w:sz w:val="28"/>
        </w:rPr>
        <w:br w:type="page"/>
      </w:r>
    </w:p>
    <w:p>
      <w:pPr>
        <w:pStyle w:val="21"/>
        <w:rPr>
          <w:sz w:val="28"/>
        </w:rPr>
      </w:pPr>
      <w:bookmarkStart w:id="1408" w:name="_Toc2917"/>
      <w:r>
        <w:rPr>
          <w:rFonts w:hint="eastAsia"/>
          <w:sz w:val="28"/>
        </w:rPr>
        <w:t>园艺专业外语考核大纲</w:t>
      </w:r>
      <w:bookmarkEnd w:id="1406"/>
      <w:bookmarkEnd w:id="1407"/>
      <w:bookmarkEnd w:id="1408"/>
      <w:r>
        <w:rPr>
          <w:rFonts w:hint="eastAsia"/>
          <w:sz w:val="28"/>
        </w:rPr>
        <w:t xml:space="preserve"> </w:t>
      </w:r>
    </w:p>
    <w:p>
      <w:pPr>
        <w:snapToGrid w:val="0"/>
        <w:spacing w:line="360" w:lineRule="auto"/>
        <w:jc w:val="center"/>
        <w:rPr>
          <w:rFonts w:hint="eastAsia" w:eastAsia="宋体"/>
          <w:color w:val="0000FF"/>
          <w:sz w:val="24"/>
          <w:lang w:eastAsia="zh-CN"/>
        </w:rPr>
      </w:pP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Special English for Horticulture</w:t>
      </w:r>
      <w:r>
        <w:rPr>
          <w:color w:val="0000FF"/>
          <w:sz w:val="24"/>
        </w:rPr>
        <w:t xml:space="preserve"> </w:t>
      </w:r>
      <w:r>
        <w:rPr>
          <w:rFonts w:hint="eastAsia"/>
          <w:color w:val="0000FF"/>
          <w:sz w:val="24"/>
          <w:lang w:eastAsia="zh-CN"/>
        </w:rPr>
        <w:t>）</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w:t>
            </w:r>
            <w:r>
              <w:rPr>
                <w:rFonts w:ascii="宋体" w:hAnsi="宋体"/>
                <w:b/>
                <w:bCs/>
                <w:szCs w:val="21"/>
              </w:rPr>
              <w:t>19011053</w:t>
            </w:r>
          </w:p>
        </w:tc>
        <w:tc>
          <w:tcPr>
            <w:tcW w:w="1234" w:type="pct"/>
          </w:tcPr>
          <w:p>
            <w:pPr>
              <w:spacing w:line="300" w:lineRule="auto"/>
              <w:rPr>
                <w:rFonts w:ascii="宋体" w:hAnsi="宋体"/>
                <w:b/>
                <w:bCs/>
                <w:szCs w:val="21"/>
              </w:rPr>
            </w:pPr>
            <w:r>
              <w:rPr>
                <w:rFonts w:hint="eastAsia" w:ascii="宋体" w:hAnsi="宋体"/>
                <w:b/>
                <w:bCs/>
                <w:szCs w:val="21"/>
              </w:rPr>
              <w:t>课程学时：32</w:t>
            </w:r>
          </w:p>
        </w:tc>
        <w:tc>
          <w:tcPr>
            <w:tcW w:w="2100" w:type="pct"/>
          </w:tcPr>
          <w:p>
            <w:pPr>
              <w:spacing w:line="300" w:lineRule="auto"/>
              <w:rPr>
                <w:rFonts w:ascii="宋体" w:hAnsi="宋体"/>
                <w:b/>
                <w:bCs/>
                <w:szCs w:val="21"/>
              </w:rPr>
            </w:pPr>
            <w:r>
              <w:rPr>
                <w:rFonts w:hint="eastAsia" w:ascii="宋体" w:hAnsi="宋体"/>
                <w:b/>
                <w:bCs/>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主撰人：孙凯乐、孟更、</w:t>
            </w:r>
          </w:p>
          <w:p>
            <w:pPr>
              <w:spacing w:line="300" w:lineRule="auto"/>
              <w:ind w:firstLine="900"/>
              <w:rPr>
                <w:rFonts w:ascii="宋体" w:hAnsi="宋体"/>
                <w:b/>
                <w:bCs/>
                <w:szCs w:val="21"/>
              </w:rPr>
            </w:pPr>
            <w:r>
              <w:rPr>
                <w:rFonts w:hint="eastAsia" w:ascii="宋体" w:hAnsi="宋体"/>
                <w:b/>
                <w:bCs/>
                <w:szCs w:val="21"/>
              </w:rPr>
              <w:t>张坤玺</w:t>
            </w:r>
          </w:p>
        </w:tc>
        <w:tc>
          <w:tcPr>
            <w:tcW w:w="1234" w:type="pct"/>
          </w:tcPr>
          <w:p>
            <w:pPr>
              <w:spacing w:line="300" w:lineRule="auto"/>
              <w:rPr>
                <w:rFonts w:ascii="宋体" w:hAnsi="宋体"/>
                <w:b/>
                <w:bCs/>
                <w:szCs w:val="21"/>
              </w:rPr>
            </w:pPr>
            <w:r>
              <w:rPr>
                <w:rFonts w:hint="eastAsia" w:ascii="宋体" w:hAnsi="宋体"/>
                <w:b/>
                <w:bCs/>
                <w:szCs w:val="21"/>
              </w:rPr>
              <w:t>审核人：朱华玉</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widowControl/>
        <w:snapToGrid w:val="0"/>
        <w:spacing w:line="360" w:lineRule="auto"/>
        <w:jc w:val="left"/>
        <w:outlineLvl w:val="1"/>
        <w:rPr>
          <w:rFonts w:asciiTheme="majorEastAsia" w:hAnsiTheme="majorEastAsia" w:eastAsiaTheme="majorEastAsia" w:cstheme="majorEastAsia"/>
          <w:b/>
          <w:bCs/>
          <w:kern w:val="0"/>
          <w:szCs w:val="21"/>
        </w:rPr>
      </w:pP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409" w:name="_Toc138068565"/>
      <w:bookmarkStart w:id="1410" w:name="_Toc138076260"/>
      <w:bookmarkStart w:id="1411" w:name="_Toc138070866"/>
      <w:bookmarkStart w:id="1412" w:name="_Toc138076804"/>
      <w:bookmarkStart w:id="1413" w:name="_Toc138068964"/>
      <w:bookmarkStart w:id="1414" w:name="_Toc138070595"/>
      <w:bookmarkStart w:id="1415" w:name="_Toc138076509"/>
      <w:bookmarkStart w:id="1416" w:name="_Toc26596"/>
      <w:r>
        <w:rPr>
          <w:rFonts w:hint="eastAsia" w:asciiTheme="majorEastAsia" w:hAnsiTheme="majorEastAsia" w:eastAsiaTheme="majorEastAsia" w:cstheme="majorEastAsia"/>
          <w:b/>
          <w:bCs/>
          <w:kern w:val="0"/>
          <w:szCs w:val="21"/>
        </w:rPr>
        <w:t>一、课程的性质和地位</w:t>
      </w:r>
      <w:bookmarkEnd w:id="1409"/>
      <w:bookmarkEnd w:id="1410"/>
      <w:bookmarkEnd w:id="1411"/>
      <w:bookmarkEnd w:id="1412"/>
      <w:bookmarkEnd w:id="1413"/>
      <w:bookmarkEnd w:id="1414"/>
      <w:bookmarkEnd w:id="1415"/>
      <w:bookmarkEnd w:id="1416"/>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园艺专业英语是将英语应用于园艺学科研究与实践的一门应用性课程，是园艺专业和设施工程专业本科学生的一门专业选修课。该课程主要是通过大量阅读本专业的相关英文原文资料，了解并掌握本专业的常用专业词汇，掌握专业文章的翻译技巧，还可以掌握科技英语的特点，提高学生阅读有关园艺科学方面英文文献的水平，为进一步学好有关专业知识奠定良好的英语语言基础。</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417" w:name="_Toc138076805"/>
      <w:bookmarkStart w:id="1418" w:name="_Toc138076261"/>
      <w:bookmarkStart w:id="1419" w:name="_Toc138068965"/>
      <w:bookmarkStart w:id="1420" w:name="_Toc138068566"/>
      <w:bookmarkStart w:id="1421" w:name="_Toc138076510"/>
      <w:bookmarkStart w:id="1422" w:name="_Toc138070596"/>
      <w:bookmarkStart w:id="1423" w:name="_Toc138070867"/>
      <w:bookmarkStart w:id="1424" w:name="_Toc18342"/>
      <w:r>
        <w:rPr>
          <w:rFonts w:hint="eastAsia" w:asciiTheme="majorEastAsia" w:hAnsiTheme="majorEastAsia" w:eastAsiaTheme="majorEastAsia" w:cstheme="majorEastAsia"/>
          <w:b/>
          <w:bCs/>
          <w:kern w:val="0"/>
          <w:szCs w:val="21"/>
        </w:rPr>
        <w:t>二、理论教学部分的考核目标</w:t>
      </w:r>
      <w:bookmarkEnd w:id="1417"/>
      <w:bookmarkEnd w:id="1418"/>
      <w:bookmarkEnd w:id="1419"/>
      <w:bookmarkEnd w:id="1420"/>
      <w:bookmarkEnd w:id="1421"/>
      <w:bookmarkEnd w:id="1422"/>
      <w:bookmarkEnd w:id="1423"/>
      <w:bookmarkEnd w:id="1424"/>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通过本专业英文文章和相关专题视频的学习，掌握本课程的专业词汇、语法、用词、语句结构、语态等方面与基础英语相区别的地方；掌握本专业常用的专业词汇和术语。通过对专业文章的学习，了解英文文章的书写思路，快速掌握文章主要内容，提高外文资料的阅读能力。</w:t>
      </w:r>
    </w:p>
    <w:p>
      <w:pPr>
        <w:snapToGrid w:val="0"/>
        <w:spacing w:line="360" w:lineRule="auto"/>
        <w:ind w:firstLine="103" w:firstLineChars="49"/>
        <w:jc w:val="center"/>
        <w:rPr>
          <w:b/>
          <w:szCs w:val="21"/>
        </w:rPr>
      </w:pPr>
      <w:r>
        <w:rPr>
          <w:rFonts w:hint="eastAsia"/>
          <w:b/>
          <w:szCs w:val="21"/>
        </w:rPr>
        <w:t>绪论</w:t>
      </w:r>
      <w:r>
        <w:rPr>
          <w:b/>
          <w:szCs w:val="21"/>
        </w:rPr>
        <w:t xml:space="preserve">  Horticultural terms</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rFonts w:hint="eastAsia" w:ascii="宋体" w:hAnsi="宋体"/>
          <w:bCs/>
          <w:color w:val="000000" w:themeColor="text1"/>
          <w:szCs w:val="21"/>
          <w14:textFill>
            <w14:solidFill>
              <w14:schemeClr w14:val="tx1"/>
            </w14:solidFill>
          </w14:textFill>
        </w:rPr>
        <w:t>了解园艺专业相关术语、特定词汇。</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相关术语的概念和含义，特定词汇的英语专业表达方式。</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能够熟练掌握本章的重点词汇和句子，并能够准确理解和翻译。</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园艺不同分类的英语表达：植物学、果树学、蔬菜学等。</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常见园艺植物分类和拉丁学名。</w:t>
      </w:r>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3. 园艺作物常见生理过程的重点英语词汇。</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：果树学、蔬菜学，观赏园艺学的专业词汇。</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：园艺植物的常见器官的名称。</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：常见园艺植物分类和拉丁学名与园艺作物常见生理过程的英语词汇。</w:t>
      </w:r>
    </w:p>
    <w:p>
      <w:pPr>
        <w:snapToGrid w:val="0"/>
        <w:spacing w:line="360" w:lineRule="auto"/>
        <w:ind w:firstLine="422" w:firstLineChars="200"/>
        <w:rPr>
          <w:rFonts w:ascii="宋体" w:hAnsi="宋体"/>
          <w:color w:val="0000FF"/>
          <w:szCs w:val="21"/>
        </w:rPr>
      </w:pPr>
      <w:r>
        <w:rPr>
          <w:rFonts w:hint="eastAsia" w:ascii="宋体" w:hAnsi="宋体"/>
          <w:b/>
          <w:szCs w:val="21"/>
        </w:rPr>
        <w:t>4.</w:t>
      </w:r>
      <w:r>
        <w:rPr>
          <w:rFonts w:ascii="宋体" w:hAnsi="宋体"/>
          <w:b/>
          <w:color w:val="0000FF"/>
          <w:szCs w:val="21"/>
        </w:rPr>
        <w:t xml:space="preserve"> </w:t>
      </w:r>
      <w:r>
        <w:rPr>
          <w:rFonts w:hint="eastAsia" w:ascii="宋体" w:hAnsi="宋体"/>
          <w:b/>
          <w:szCs w:val="21"/>
        </w:rPr>
        <w:t>综合</w:t>
      </w:r>
      <w:r>
        <w:rPr>
          <w:rFonts w:hint="eastAsia" w:ascii="宋体" w:hAnsi="宋体"/>
          <w:szCs w:val="21"/>
        </w:rPr>
        <w:t>：能用英语简单阐述自己的专业特征和学习经历。</w:t>
      </w:r>
    </w:p>
    <w:p>
      <w:pPr>
        <w:snapToGrid w:val="0"/>
        <w:spacing w:line="360" w:lineRule="auto"/>
        <w:ind w:firstLine="103" w:firstLineChars="49"/>
        <w:jc w:val="center"/>
        <w:rPr>
          <w:b/>
          <w:szCs w:val="21"/>
        </w:rPr>
      </w:pPr>
      <w:r>
        <w:rPr>
          <w:rFonts w:hint="eastAsia"/>
          <w:b/>
          <w:szCs w:val="21"/>
        </w:rPr>
        <w:t>第一章</w:t>
      </w:r>
      <w:r>
        <w:rPr>
          <w:b/>
          <w:szCs w:val="21"/>
        </w:rPr>
        <w:t xml:space="preserve">  Protected Cultivation</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Cs/>
          <w:color w:val="0000FF"/>
          <w:szCs w:val="21"/>
        </w:rPr>
      </w:pPr>
      <w:r>
        <w:rPr>
          <w:rFonts w:hint="eastAsia" w:ascii="宋体" w:hAnsi="宋体"/>
          <w:b/>
          <w:szCs w:val="21"/>
        </w:rPr>
        <w:t>1. 一般了解</w:t>
      </w:r>
      <w:r>
        <w:rPr>
          <w:rFonts w:hint="eastAsia" w:ascii="宋体" w:hAnsi="宋体"/>
          <w:szCs w:val="21"/>
        </w:rPr>
        <w:t>：</w:t>
      </w:r>
      <w:r>
        <w:rPr>
          <w:rFonts w:hint="eastAsia" w:ascii="宋体" w:hAnsi="宋体"/>
          <w:bCs/>
          <w:color w:val="000000" w:themeColor="text1"/>
          <w:szCs w:val="21"/>
          <w14:textFill>
            <w14:solidFill>
              <w14:schemeClr w14:val="tx1"/>
            </w14:solidFill>
          </w14:textFill>
        </w:rPr>
        <w:t>了解本章节保护地栽培相关的专业词汇的含义以及温室的历史和发展过程。</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不同形式的玻璃温室和塑料覆盖的结构特点和作用。</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本章重点词汇和重点语句，包括塑料覆盖栽培、小拱棚、温室等常用保护地设施的优缺点。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冷床、温床、玻璃罩、单屋顶温室、冬季花园、橘园、暖房和不同形式的玻璃温室和塑料覆盖专业英语表达。</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每个发展阶段温室特点。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Cs/>
          <w:color w:val="0000FF"/>
          <w:szCs w:val="21"/>
        </w:rPr>
      </w:pPr>
      <w:r>
        <w:rPr>
          <w:rFonts w:hint="eastAsia" w:ascii="宋体" w:hAnsi="宋体"/>
          <w:b/>
          <w:szCs w:val="21"/>
        </w:rPr>
        <w:t>1.识记</w:t>
      </w:r>
      <w:r>
        <w:rPr>
          <w:rFonts w:hint="eastAsia" w:ascii="宋体" w:hAnsi="宋体"/>
          <w:szCs w:val="21"/>
        </w:rPr>
        <w:t>：塑料覆盖栽培、小拱棚、温室等常用保护地设施的优缺点。</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：不同发展阶段温室的结构特点和作用。</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：翻译保护地栽培相关文献。</w:t>
      </w:r>
    </w:p>
    <w:p>
      <w:pPr>
        <w:snapToGrid w:val="0"/>
        <w:spacing w:line="360" w:lineRule="auto"/>
        <w:ind w:firstLine="422" w:firstLineChars="200"/>
        <w:rPr>
          <w:rFonts w:ascii="宋体" w:hAnsi="宋体"/>
          <w:b/>
          <w:color w:val="0000FF"/>
          <w:szCs w:val="21"/>
        </w:rPr>
      </w:pPr>
      <w:r>
        <w:rPr>
          <w:rFonts w:hint="eastAsia" w:ascii="宋体" w:hAnsi="宋体"/>
          <w:b/>
          <w:szCs w:val="21"/>
        </w:rPr>
        <w:t>4.</w:t>
      </w:r>
      <w:r>
        <w:rPr>
          <w:rFonts w:ascii="宋体" w:hAnsi="宋体"/>
          <w:b/>
          <w:color w:val="0000FF"/>
          <w:szCs w:val="21"/>
        </w:rPr>
        <w:t xml:space="preserve"> </w:t>
      </w:r>
      <w:r>
        <w:rPr>
          <w:rFonts w:hint="eastAsia" w:ascii="宋体" w:hAnsi="宋体"/>
          <w:b/>
          <w:szCs w:val="21"/>
        </w:rPr>
        <w:t>评价</w:t>
      </w:r>
      <w:r>
        <w:rPr>
          <w:rFonts w:hint="eastAsia" w:ascii="宋体" w:hAnsi="宋体"/>
          <w:szCs w:val="21"/>
        </w:rPr>
        <w:t>：观看课程相关视频后完成课后作业。</w:t>
      </w:r>
    </w:p>
    <w:p>
      <w:pPr>
        <w:snapToGrid w:val="0"/>
        <w:spacing w:line="360" w:lineRule="auto"/>
        <w:ind w:firstLine="103" w:firstLineChars="49"/>
        <w:jc w:val="center"/>
        <w:rPr>
          <w:b/>
          <w:szCs w:val="21"/>
        </w:rPr>
      </w:pPr>
      <w:r>
        <w:rPr>
          <w:rFonts w:hint="eastAsia"/>
          <w:b/>
          <w:szCs w:val="21"/>
        </w:rPr>
        <w:t>第二章</w:t>
      </w:r>
      <w:r>
        <w:rPr>
          <w:b/>
          <w:szCs w:val="21"/>
        </w:rPr>
        <w:t xml:space="preserve">  Greenhouse Climate Control</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rFonts w:hint="eastAsia" w:ascii="宋体" w:hAnsi="宋体"/>
          <w:bCs/>
          <w:color w:val="000000" w:themeColor="text1"/>
          <w:szCs w:val="21"/>
          <w14:textFill>
            <w14:solidFill>
              <w14:schemeClr w14:val="tx1"/>
            </w14:solidFill>
          </w14:textFill>
        </w:rPr>
        <w:t>本章节的重点词汇和重点语句的含义，温室气候控制的主要目标。</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掌握温室气候控制的主要因子。</w:t>
      </w:r>
    </w:p>
    <w:p>
      <w:pPr>
        <w:snapToGrid w:val="0"/>
        <w:spacing w:line="360" w:lineRule="auto"/>
        <w:ind w:firstLine="422" w:firstLineChars="200"/>
        <w:rPr>
          <w:rFonts w:ascii="宋体" w:hAnsi="宋体"/>
          <w:color w:val="0000FF"/>
          <w:szCs w:val="21"/>
        </w:rPr>
      </w:pPr>
      <w:r>
        <w:rPr>
          <w:rFonts w:hint="eastAsia" w:ascii="宋体" w:hAnsi="宋体"/>
          <w:b/>
          <w:szCs w:val="21"/>
        </w:rPr>
        <w:t>3. 熟练掌握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重点词汇和语句，能准确阅读和翻译，包括温室气候的控制目标和主要影响因子。</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温室气候控制的主要目标。</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控制温室环境的目的。</w:t>
      </w:r>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3. 温室控制的主要环境因子。</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：温室气候控制的主要目标。</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：控制温室环境的目的。</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：能用英语翻译温室控制的主要环境因子。</w:t>
      </w:r>
    </w:p>
    <w:p>
      <w:pPr>
        <w:snapToGrid w:val="0"/>
        <w:spacing w:line="360" w:lineRule="auto"/>
        <w:ind w:firstLine="422" w:firstLineChars="200"/>
        <w:rPr>
          <w:rFonts w:ascii="宋体" w:hAnsi="宋体"/>
          <w:szCs w:val="21"/>
        </w:rPr>
      </w:pPr>
      <w:r>
        <w:rPr>
          <w:rFonts w:hint="eastAsia" w:ascii="宋体" w:hAnsi="宋体"/>
          <w:b/>
          <w:szCs w:val="21"/>
        </w:rPr>
        <w:t>4.</w:t>
      </w:r>
      <w:r>
        <w:rPr>
          <w:rFonts w:ascii="宋体" w:hAnsi="宋体"/>
          <w:b/>
          <w:color w:val="0000FF"/>
          <w:szCs w:val="21"/>
        </w:rPr>
        <w:t xml:space="preserve"> </w:t>
      </w:r>
      <w:r>
        <w:rPr>
          <w:rFonts w:hint="eastAsia" w:ascii="宋体" w:hAnsi="宋体"/>
          <w:b/>
          <w:szCs w:val="21"/>
        </w:rPr>
        <w:t>综合</w:t>
      </w:r>
      <w:r>
        <w:rPr>
          <w:rFonts w:hint="eastAsia" w:ascii="宋体" w:hAnsi="宋体"/>
          <w:szCs w:val="21"/>
        </w:rPr>
        <w:t>：能用英语简单阐述温室控制的主要环境因子。</w:t>
      </w:r>
    </w:p>
    <w:p>
      <w:pPr>
        <w:snapToGrid w:val="0"/>
        <w:spacing w:line="360" w:lineRule="auto"/>
        <w:ind w:firstLine="422" w:firstLineChars="200"/>
        <w:rPr>
          <w:rFonts w:ascii="宋体" w:hAnsi="宋体"/>
          <w:b/>
          <w:color w:val="0000FF"/>
          <w:szCs w:val="21"/>
        </w:rPr>
      </w:pPr>
      <w:r>
        <w:rPr>
          <w:rFonts w:hint="eastAsia" w:ascii="宋体" w:hAnsi="宋体"/>
          <w:b/>
          <w:szCs w:val="21"/>
        </w:rPr>
        <w:t>5. 评价</w:t>
      </w:r>
      <w:r>
        <w:rPr>
          <w:rFonts w:hint="eastAsia" w:ascii="宋体" w:hAnsi="宋体"/>
          <w:szCs w:val="21"/>
        </w:rPr>
        <w:t>：观看课程相关视频后完成课后作业。</w:t>
      </w:r>
    </w:p>
    <w:p>
      <w:pPr>
        <w:snapToGrid w:val="0"/>
        <w:spacing w:line="360" w:lineRule="auto"/>
        <w:ind w:firstLine="103" w:firstLineChars="49"/>
        <w:jc w:val="center"/>
        <w:rPr>
          <w:b/>
          <w:szCs w:val="21"/>
        </w:rPr>
      </w:pPr>
      <w:r>
        <w:rPr>
          <w:rFonts w:hint="eastAsia"/>
          <w:b/>
          <w:szCs w:val="21"/>
        </w:rPr>
        <w:t>第三章</w:t>
      </w:r>
      <w:r>
        <w:rPr>
          <w:b/>
          <w:szCs w:val="21"/>
        </w:rPr>
        <w:t xml:space="preserve">  Soilless Cultivation</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color w:val="0000FF"/>
          <w:szCs w:val="21"/>
        </w:rPr>
      </w:pPr>
      <w:r>
        <w:rPr>
          <w:rFonts w:hint="eastAsia" w:ascii="宋体" w:hAnsi="宋体"/>
          <w:b/>
          <w:szCs w:val="21"/>
        </w:rPr>
        <w:t>1. 一般了解</w:t>
      </w:r>
      <w:r>
        <w:rPr>
          <w:rFonts w:hint="eastAsia" w:ascii="宋体" w:hAnsi="宋体"/>
          <w:szCs w:val="21"/>
        </w:rPr>
        <w:t>：</w:t>
      </w:r>
      <w:r>
        <w:rPr>
          <w:rFonts w:hint="eastAsia" w:ascii="宋体" w:hAnsi="宋体"/>
          <w:bCs/>
          <w:color w:val="000000" w:themeColor="text1"/>
          <w:szCs w:val="21"/>
          <w14:textFill>
            <w14:solidFill>
              <w14:schemeClr w14:val="tx1"/>
            </w14:solidFill>
          </w14:textFill>
        </w:rPr>
        <w:t>无土栽培的种类；不同固体无土栽培的优缺点。</w:t>
      </w:r>
    </w:p>
    <w:p>
      <w:pPr>
        <w:snapToGrid w:val="0"/>
        <w:spacing w:line="360" w:lineRule="auto"/>
        <w:ind w:firstLine="422" w:firstLineChars="200"/>
        <w:rPr>
          <w:rFonts w:ascii="宋体" w:hAnsi="宋体"/>
          <w:color w:val="0000FF"/>
          <w:szCs w:val="21"/>
        </w:rPr>
      </w:pPr>
      <w:r>
        <w:rPr>
          <w:rFonts w:hint="eastAsia" w:ascii="宋体" w:hAnsi="宋体"/>
          <w:b/>
          <w:szCs w:val="21"/>
        </w:rPr>
        <w:t>2. 一般掌握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无土栽培的含义，基质栽培的基本用途和常用介质。</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ascii="宋体" w:hAnsi="宋体"/>
          <w:bCs/>
          <w:color w:val="000000" w:themeColor="text1"/>
          <w:szCs w:val="21"/>
          <w14:textFill>
            <w14:solidFill>
              <w14:schemeClr w14:val="tx1"/>
            </w14:solidFill>
          </w14:textFill>
        </w:rPr>
        <w:t>本章节重点词汇和语句，包括无土栽培的含义，常用介质和优缺点。</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无土栽培的定义。</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基质栽培常用介质。</w:t>
      </w:r>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3. 岩棉块的优点。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无土栽培的含义，基质栽培的基本用途和常用介质。</w:t>
      </w:r>
    </w:p>
    <w:p>
      <w:pPr>
        <w:snapToGrid w:val="0"/>
        <w:spacing w:line="360" w:lineRule="auto"/>
        <w:ind w:firstLine="422" w:firstLineChars="200"/>
        <w:rPr>
          <w:rFonts w:ascii="宋体" w:hAnsi="宋体"/>
          <w:szCs w:val="21"/>
        </w:rPr>
      </w:pPr>
      <w:r>
        <w:rPr>
          <w:rFonts w:hint="eastAsia" w:ascii="宋体" w:hAnsi="宋体"/>
          <w:b/>
          <w:szCs w:val="21"/>
        </w:rPr>
        <w:t>2.领会：</w:t>
      </w:r>
      <w:r>
        <w:rPr>
          <w:rFonts w:hint="eastAsia" w:ascii="宋体" w:hAnsi="宋体"/>
          <w:szCs w:val="21"/>
        </w:rPr>
        <w:t>无土栽培的种类；不同固体无土栽培的优缺点。</w:t>
      </w:r>
    </w:p>
    <w:p>
      <w:pPr>
        <w:snapToGrid w:val="0"/>
        <w:spacing w:line="360" w:lineRule="auto"/>
        <w:ind w:firstLine="422" w:firstLineChars="200"/>
        <w:rPr>
          <w:rFonts w:ascii="宋体" w:hAnsi="宋体"/>
          <w:b/>
          <w:szCs w:val="21"/>
        </w:rPr>
      </w:pPr>
      <w:r>
        <w:rPr>
          <w:rFonts w:hint="eastAsia" w:ascii="宋体" w:hAnsi="宋体"/>
          <w:b/>
          <w:szCs w:val="21"/>
        </w:rPr>
        <w:t>3.评价：</w:t>
      </w:r>
      <w:r>
        <w:rPr>
          <w:rFonts w:hint="eastAsia" w:ascii="宋体" w:hAnsi="宋体"/>
          <w:szCs w:val="21"/>
        </w:rPr>
        <w:t>观看课程相关视频后完成课后作业。</w:t>
      </w:r>
    </w:p>
    <w:p>
      <w:pPr>
        <w:snapToGrid w:val="0"/>
        <w:spacing w:line="360" w:lineRule="auto"/>
        <w:ind w:firstLine="103" w:firstLineChars="49"/>
        <w:jc w:val="center"/>
        <w:rPr>
          <w:b/>
          <w:szCs w:val="21"/>
        </w:rPr>
      </w:pPr>
      <w:r>
        <w:rPr>
          <w:rFonts w:hint="eastAsia"/>
          <w:b/>
          <w:szCs w:val="21"/>
        </w:rPr>
        <w:t>第四章</w:t>
      </w:r>
      <w:r>
        <w:rPr>
          <w:b/>
          <w:szCs w:val="21"/>
        </w:rPr>
        <w:t xml:space="preserve">  Postharvest Horticulture</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
          <w:szCs w:val="21"/>
        </w:rPr>
      </w:pPr>
      <w:r>
        <w:rPr>
          <w:rFonts w:hint="eastAsia" w:ascii="宋体" w:hAnsi="宋体"/>
          <w:b/>
          <w:szCs w:val="21"/>
        </w:rPr>
        <w:t>1. 一般了解：</w:t>
      </w:r>
      <w:r>
        <w:rPr>
          <w:rFonts w:hint="eastAsia" w:ascii="宋体" w:hAnsi="宋体"/>
          <w:szCs w:val="21"/>
        </w:rPr>
        <w:t>本章的重点词汇和重要语句的含义，园艺产品质量定义、收获和采后管理方法。</w:t>
      </w:r>
    </w:p>
    <w:p>
      <w:pPr>
        <w:snapToGrid w:val="0"/>
        <w:spacing w:line="360" w:lineRule="auto"/>
        <w:ind w:firstLine="422" w:firstLineChars="200"/>
        <w:rPr>
          <w:rFonts w:ascii="宋体" w:hAnsi="宋体"/>
          <w:b/>
          <w:szCs w:val="21"/>
        </w:rPr>
      </w:pPr>
      <w:r>
        <w:rPr>
          <w:rFonts w:hint="eastAsia" w:ascii="宋体" w:hAnsi="宋体"/>
          <w:b/>
          <w:szCs w:val="21"/>
        </w:rPr>
        <w:t>2. 一般掌握：</w:t>
      </w:r>
      <w:r>
        <w:rPr>
          <w:rFonts w:hint="eastAsia" w:ascii="宋体" w:hAnsi="宋体"/>
          <w:szCs w:val="21"/>
        </w:rPr>
        <w:t>新鲜园艺产品质量因子的组成，以及采收，及采后的管理方法和注意事项。</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本章节课后的重点词汇和句子，并能够准确理解和翻译。</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园艺产品质量定义和组成因子。</w:t>
      </w:r>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2. 园艺产品采后的管理和注意事项。</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：园艺产品质量定义和组成因子。</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：园艺产品采收，及采后的管理方法和注意事项。</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：理解和翻译课后的园艺成熟、完熟和衰老的过程。</w:t>
      </w:r>
    </w:p>
    <w:p>
      <w:pPr>
        <w:snapToGrid w:val="0"/>
        <w:spacing w:line="360" w:lineRule="auto"/>
        <w:ind w:firstLine="422" w:firstLineChars="200"/>
        <w:rPr>
          <w:rFonts w:ascii="宋体" w:hAnsi="宋体"/>
          <w:b/>
          <w:color w:val="0000FF"/>
          <w:szCs w:val="21"/>
        </w:rPr>
      </w:pPr>
      <w:r>
        <w:rPr>
          <w:rFonts w:hint="eastAsia" w:ascii="宋体" w:hAnsi="宋体"/>
          <w:b/>
          <w:szCs w:val="21"/>
        </w:rPr>
        <w:t>4.评价</w:t>
      </w:r>
      <w:r>
        <w:rPr>
          <w:rFonts w:hint="eastAsia" w:ascii="宋体" w:hAnsi="宋体"/>
          <w:szCs w:val="21"/>
        </w:rPr>
        <w:t>：观看课程相关视频后完成课后作业。</w:t>
      </w:r>
    </w:p>
    <w:p>
      <w:pPr>
        <w:snapToGrid w:val="0"/>
        <w:spacing w:line="360" w:lineRule="auto"/>
        <w:ind w:firstLine="103" w:firstLineChars="49"/>
        <w:jc w:val="center"/>
        <w:rPr>
          <w:b/>
          <w:szCs w:val="21"/>
        </w:rPr>
      </w:pPr>
      <w:r>
        <w:rPr>
          <w:rFonts w:hint="eastAsia"/>
          <w:b/>
          <w:szCs w:val="21"/>
        </w:rPr>
        <w:t>第五章</w:t>
      </w:r>
      <w:r>
        <w:rPr>
          <w:b/>
          <w:szCs w:val="21"/>
        </w:rPr>
        <w:t xml:space="preserve">  Biotechnology and Horticulture</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b/>
          <w:szCs w:val="21"/>
        </w:rPr>
      </w:pPr>
      <w:r>
        <w:rPr>
          <w:rFonts w:hint="eastAsia" w:ascii="宋体" w:hAnsi="宋体"/>
          <w:b/>
          <w:szCs w:val="21"/>
        </w:rPr>
        <w:t>1. 一般了解：</w:t>
      </w:r>
      <w:r>
        <w:rPr>
          <w:rFonts w:hint="eastAsia" w:ascii="宋体" w:hAnsi="宋体"/>
          <w:szCs w:val="21"/>
        </w:rPr>
        <w:t>生物技术的发展过程，以及在改良园艺作物生物性状的应用现状及前景。</w:t>
      </w:r>
    </w:p>
    <w:p>
      <w:pPr>
        <w:snapToGrid w:val="0"/>
        <w:spacing w:line="360" w:lineRule="auto"/>
        <w:ind w:firstLine="422" w:firstLineChars="200"/>
        <w:rPr>
          <w:rFonts w:ascii="宋体" w:hAnsi="宋体"/>
          <w:b/>
          <w:szCs w:val="21"/>
        </w:rPr>
      </w:pPr>
      <w:r>
        <w:rPr>
          <w:rFonts w:hint="eastAsia" w:ascii="宋体" w:hAnsi="宋体"/>
          <w:b/>
          <w:szCs w:val="21"/>
        </w:rPr>
        <w:t>2. 一般掌握：</w:t>
      </w:r>
      <w:r>
        <w:rPr>
          <w:rFonts w:hint="eastAsia" w:ascii="宋体" w:hAnsi="宋体"/>
          <w:szCs w:val="21"/>
        </w:rPr>
        <w:t>生物技术的含义，以及转基因技术发展现状，以及此类综述性文章的撰写特点。</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熟练掌握本章节的重点词汇和重点语句，并能够准确阅读和翻译。</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5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植物基因工程的含义。</w:t>
      </w:r>
    </w:p>
    <w:p>
      <w:pPr>
        <w:snapToGrid w:val="0"/>
        <w:spacing w:line="360" w:lineRule="auto"/>
        <w:ind w:firstLine="45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植物基因工程的应用领域。</w:t>
      </w:r>
    </w:p>
    <w:p>
      <w:pPr>
        <w:snapToGrid w:val="0"/>
        <w:spacing w:line="360" w:lineRule="auto"/>
        <w:ind w:firstLine="45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 对于生物技术前景的认识。</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：生物技术的应用。</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：植物基因工程的含义。</w:t>
      </w:r>
    </w:p>
    <w:p>
      <w:pPr>
        <w:snapToGrid w:val="0"/>
        <w:spacing w:line="360" w:lineRule="auto"/>
        <w:ind w:firstLine="103" w:firstLineChars="49"/>
        <w:jc w:val="center"/>
        <w:rPr>
          <w:b/>
          <w:szCs w:val="21"/>
        </w:rPr>
      </w:pPr>
      <w:r>
        <w:rPr>
          <w:rFonts w:hint="eastAsia"/>
          <w:b/>
          <w:szCs w:val="21"/>
        </w:rPr>
        <w:t>第六章</w:t>
      </w:r>
      <w:r>
        <w:rPr>
          <w:b/>
          <w:szCs w:val="21"/>
        </w:rPr>
        <w:t xml:space="preserve">  Low-temperature effects</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园艺植物低温胁迫相关的专业英语表达方式。</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不同植物低温胁迫的表型性状以及细胞生物学的变化及原理。</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园艺植物低温胁迫相关的重点词汇，本文中重要语句，并能够准确理解和翻译。</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冷害与冻害的定义和区别。</w:t>
      </w:r>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2. 温度在植物生长发育中的重要作用。</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：冷害与冻害的定义和区别。</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：温度在植物生长发育中的重要作用。</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：准确翻译低温胁迫相关专业文献。</w:t>
      </w:r>
    </w:p>
    <w:p>
      <w:pPr>
        <w:snapToGrid w:val="0"/>
        <w:spacing w:line="360" w:lineRule="auto"/>
        <w:ind w:firstLine="422" w:firstLineChars="200"/>
        <w:rPr>
          <w:rFonts w:ascii="宋体" w:hAnsi="宋体"/>
          <w:b/>
          <w:color w:val="0000FF"/>
          <w:szCs w:val="21"/>
        </w:rPr>
      </w:pPr>
      <w:r>
        <w:rPr>
          <w:rFonts w:hint="eastAsia" w:ascii="宋体" w:hAnsi="宋体"/>
          <w:b/>
          <w:szCs w:val="21"/>
        </w:rPr>
        <w:t>4.</w:t>
      </w:r>
      <w:r>
        <w:rPr>
          <w:rFonts w:ascii="宋体" w:hAnsi="宋体"/>
          <w:b/>
          <w:color w:val="0000FF"/>
          <w:szCs w:val="21"/>
        </w:rPr>
        <w:t xml:space="preserve"> </w:t>
      </w:r>
      <w:r>
        <w:rPr>
          <w:rFonts w:hint="eastAsia" w:ascii="宋体" w:hAnsi="宋体"/>
          <w:b/>
          <w:szCs w:val="21"/>
        </w:rPr>
        <w:t>综合</w:t>
      </w:r>
      <w:r>
        <w:rPr>
          <w:rFonts w:hint="eastAsia" w:ascii="宋体" w:hAnsi="宋体"/>
          <w:szCs w:val="21"/>
        </w:rPr>
        <w:t>：理解低温胁迫对植物的影响。</w:t>
      </w:r>
    </w:p>
    <w:p>
      <w:pPr>
        <w:snapToGrid w:val="0"/>
        <w:spacing w:line="360" w:lineRule="auto"/>
        <w:ind w:firstLine="103" w:firstLineChars="49"/>
        <w:jc w:val="center"/>
        <w:rPr>
          <w:b/>
          <w:szCs w:val="21"/>
        </w:rPr>
      </w:pPr>
      <w:r>
        <w:rPr>
          <w:rFonts w:hint="eastAsia"/>
          <w:b/>
          <w:szCs w:val="21"/>
        </w:rPr>
        <w:t>第七章</w:t>
      </w:r>
      <w:r>
        <w:rPr>
          <w:b/>
          <w:szCs w:val="21"/>
        </w:rPr>
        <w:t xml:space="preserve">  Biological Pest Control in Horticulture</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360"/>
        <w:rPr>
          <w:rFonts w:ascii="宋体" w:hAnsi="宋体"/>
          <w:b/>
          <w:szCs w:val="21"/>
        </w:rPr>
      </w:pPr>
      <w:r>
        <w:rPr>
          <w:rFonts w:hint="eastAsia" w:ascii="宋体" w:hAnsi="宋体"/>
          <w:b/>
          <w:szCs w:val="21"/>
        </w:rPr>
        <w:t>1. 一般了解：</w:t>
      </w:r>
      <w:r>
        <w:rPr>
          <w:rFonts w:hint="eastAsia" w:ascii="宋体" w:hAnsi="宋体"/>
          <w:szCs w:val="21"/>
        </w:rPr>
        <w:t>生物防治相关的英语专业词汇。</w:t>
      </w:r>
    </w:p>
    <w:p>
      <w:pPr>
        <w:snapToGrid w:val="0"/>
        <w:spacing w:line="360" w:lineRule="auto"/>
        <w:ind w:firstLine="360"/>
        <w:rPr>
          <w:rFonts w:ascii="宋体" w:hAnsi="宋体"/>
          <w:b/>
          <w:szCs w:val="21"/>
        </w:rPr>
      </w:pPr>
      <w:r>
        <w:rPr>
          <w:rFonts w:hint="eastAsia" w:ascii="宋体" w:hAnsi="宋体"/>
          <w:b/>
          <w:szCs w:val="21"/>
        </w:rPr>
        <w:t>2. 一般掌握：</w:t>
      </w:r>
      <w:r>
        <w:rPr>
          <w:rFonts w:hint="eastAsia" w:ascii="宋体" w:hAnsi="宋体"/>
          <w:szCs w:val="21"/>
        </w:rPr>
        <w:t>生物防治的含义和特点，以及在温室蔬菜和观赏性园艺植物中的应用。</w:t>
      </w:r>
    </w:p>
    <w:p>
      <w:pPr>
        <w:snapToGrid w:val="0"/>
        <w:spacing w:line="360" w:lineRule="auto"/>
        <w:ind w:firstLine="360"/>
        <w:rPr>
          <w:rFonts w:ascii="宋体" w:hAnsi="宋体"/>
          <w:szCs w:val="21"/>
        </w:rPr>
      </w:pPr>
      <w:r>
        <w:rPr>
          <w:rFonts w:hint="eastAsia" w:ascii="宋体" w:hAnsi="宋体"/>
          <w:b/>
          <w:szCs w:val="21"/>
        </w:rPr>
        <w:t>3. 熟练掌握：</w:t>
      </w:r>
      <w:r>
        <w:rPr>
          <w:rFonts w:hint="eastAsia" w:ascii="宋体" w:hAnsi="宋体"/>
          <w:szCs w:val="21"/>
        </w:rPr>
        <w:t>生物防治和生物农药的定义，本章节的重点词汇和重要语句，并准确理解和翻译。</w:t>
      </w:r>
    </w:p>
    <w:p>
      <w:pPr>
        <w:snapToGrid w:val="0"/>
        <w:spacing w:line="360" w:lineRule="auto"/>
        <w:ind w:firstLine="360"/>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 生物防治的含义。</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 生物农药的定义。</w:t>
      </w:r>
    </w:p>
    <w:p>
      <w:pPr>
        <w:snapToGrid w:val="0"/>
        <w:spacing w:line="360" w:lineRule="auto"/>
        <w:ind w:firstLine="420" w:firstLineChars="200"/>
        <w:rPr>
          <w:rFonts w:ascii="宋体" w:hAnsi="宋体"/>
          <w:color w:val="0000FF"/>
          <w:szCs w:val="21"/>
        </w:rPr>
      </w:pPr>
      <w:r>
        <w:rPr>
          <w:rFonts w:hint="eastAsia" w:ascii="宋体" w:hAnsi="宋体"/>
          <w:bCs/>
          <w:color w:val="000000" w:themeColor="text1"/>
          <w:szCs w:val="21"/>
          <w14:textFill>
            <w14:solidFill>
              <w14:schemeClr w14:val="tx1"/>
            </w14:solidFill>
          </w14:textFill>
        </w:rPr>
        <w:t>3. 生物防治的优势。</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color w:val="0000FF"/>
          <w:szCs w:val="21"/>
        </w:rPr>
      </w:pPr>
      <w:r>
        <w:rPr>
          <w:rFonts w:hint="eastAsia" w:ascii="宋体" w:hAnsi="宋体"/>
          <w:b/>
          <w:szCs w:val="21"/>
        </w:rPr>
        <w:t>1.识记</w:t>
      </w:r>
      <w:r>
        <w:rPr>
          <w:rFonts w:hint="eastAsia" w:ascii="宋体" w:hAnsi="宋体"/>
          <w:szCs w:val="21"/>
        </w:rPr>
        <w:t>：生物防治的含义。</w:t>
      </w:r>
    </w:p>
    <w:p>
      <w:pPr>
        <w:snapToGrid w:val="0"/>
        <w:spacing w:line="360" w:lineRule="auto"/>
        <w:ind w:firstLine="422" w:firstLineChars="200"/>
        <w:rPr>
          <w:rFonts w:ascii="宋体" w:hAnsi="宋体"/>
          <w:b/>
          <w:color w:val="0000FF"/>
          <w:szCs w:val="21"/>
        </w:rPr>
      </w:pPr>
      <w:r>
        <w:rPr>
          <w:rFonts w:hint="eastAsia" w:ascii="宋体" w:hAnsi="宋体"/>
          <w:b/>
          <w:szCs w:val="21"/>
        </w:rPr>
        <w:t>2.领会</w:t>
      </w:r>
      <w:r>
        <w:rPr>
          <w:rFonts w:hint="eastAsia" w:ascii="宋体" w:hAnsi="宋体"/>
          <w:szCs w:val="21"/>
        </w:rPr>
        <w:t>：生物防治的优势。</w:t>
      </w:r>
    </w:p>
    <w:p>
      <w:pPr>
        <w:snapToGrid w:val="0"/>
        <w:spacing w:line="360" w:lineRule="auto"/>
        <w:ind w:firstLine="422" w:firstLineChars="200"/>
        <w:rPr>
          <w:rFonts w:ascii="宋体" w:hAnsi="宋体"/>
          <w:color w:val="0000FF"/>
          <w:szCs w:val="21"/>
        </w:rPr>
      </w:pPr>
      <w:r>
        <w:rPr>
          <w:rFonts w:hint="eastAsia" w:ascii="宋体" w:hAnsi="宋体"/>
          <w:b/>
          <w:szCs w:val="21"/>
        </w:rPr>
        <w:t>3.应用</w:t>
      </w:r>
      <w:r>
        <w:rPr>
          <w:rFonts w:hint="eastAsia" w:ascii="宋体" w:hAnsi="宋体"/>
          <w:szCs w:val="21"/>
        </w:rPr>
        <w:t>：能熟练阅读和翻译生物防治的相关专业文献。</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425" w:name="_Toc138070597"/>
      <w:bookmarkStart w:id="1426" w:name="_Toc138068567"/>
      <w:bookmarkStart w:id="1427" w:name="_Toc14549"/>
      <w:bookmarkStart w:id="1428" w:name="_Toc138076511"/>
      <w:bookmarkStart w:id="1429" w:name="_Toc138076806"/>
      <w:bookmarkStart w:id="1430" w:name="_Toc138068966"/>
      <w:bookmarkStart w:id="1431" w:name="_Toc138070868"/>
      <w:bookmarkStart w:id="1432" w:name="_Toc138076262"/>
      <w:r>
        <w:rPr>
          <w:rFonts w:hint="eastAsia" w:asciiTheme="majorEastAsia" w:hAnsiTheme="majorEastAsia" w:eastAsiaTheme="majorEastAsia" w:cstheme="majorEastAsia"/>
          <w:b/>
          <w:bCs/>
          <w:kern w:val="0"/>
          <w:szCs w:val="21"/>
        </w:rPr>
        <w:t>三、考核方式</w:t>
      </w:r>
      <w:bookmarkEnd w:id="1425"/>
      <w:bookmarkEnd w:id="1426"/>
      <w:bookmarkEnd w:id="1427"/>
      <w:bookmarkEnd w:id="1428"/>
      <w:bookmarkEnd w:id="1429"/>
      <w:bookmarkEnd w:id="1430"/>
      <w:bookmarkEnd w:id="1431"/>
      <w:bookmarkEnd w:id="1432"/>
    </w:p>
    <w:p>
      <w:pPr>
        <w:spacing w:line="360" w:lineRule="auto"/>
        <w:ind w:firstLine="323" w:firstLineChars="1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1.定量评价与定性评价相结合</w:t>
      </w:r>
    </w:p>
    <w:p>
      <w:pPr>
        <w:spacing w:line="360" w:lineRule="auto"/>
        <w:ind w:firstLine="323" w:firstLineChars="1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定量评价采用百分制或等级制的方式。定量评价的形式有课后标准化作业、开放性作业、阶段测评等。定性评价采取课堂讨论、问卷调查、表现性评价等方法，使用激励性语言全面、客观地描述学生的状况。</w:t>
      </w:r>
    </w:p>
    <w:p>
      <w:pPr>
        <w:spacing w:line="360" w:lineRule="auto"/>
        <w:ind w:firstLine="323" w:firstLineChars="1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2.书面测试与口头测试相结合</w:t>
      </w:r>
    </w:p>
    <w:p>
      <w:pPr>
        <w:spacing w:line="360" w:lineRule="auto"/>
        <w:ind w:firstLine="323" w:firstLineChars="1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根据不用学习内容模块的目标要求，书面测试与口语测试应结合实施。口语测试应着重强调学生的语言表达能力，不过分强调语音、语调。听力测试应着重检测学生理解和获取信息的能力。书面测试应适当减少客观题，增加有助于学生思维表达的主观题，以检测学生的综合语言运用能力。</w:t>
      </w:r>
    </w:p>
    <w:p>
      <w:pPr>
        <w:spacing w:line="360" w:lineRule="auto"/>
        <w:ind w:firstLine="323" w:firstLineChars="1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3.课内与课外相结合</w:t>
      </w:r>
    </w:p>
    <w:p>
      <w:pPr>
        <w:spacing w:line="360" w:lineRule="auto"/>
        <w:ind w:firstLine="323" w:firstLineChars="154"/>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课内与课外评价相结合，引导学生利用课余时间进行进一步的学习、巩固和提高英语。课外英语评价的方法以形成性评价为主，主要考查学生在实际生活中运用英语的能力，如编排小节目，英语汇报课题等。</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433" w:name="_Toc138068967"/>
      <w:bookmarkStart w:id="1434" w:name="_Toc138070869"/>
      <w:bookmarkStart w:id="1435" w:name="_Toc138070598"/>
      <w:bookmarkStart w:id="1436" w:name="_Toc138076512"/>
      <w:bookmarkStart w:id="1437" w:name="_Toc138068568"/>
      <w:bookmarkStart w:id="1438" w:name="_Toc138076263"/>
      <w:bookmarkStart w:id="1439" w:name="_Toc138076807"/>
      <w:bookmarkStart w:id="1440" w:name="_Toc9048"/>
      <w:r>
        <w:rPr>
          <w:rFonts w:hint="eastAsia" w:asciiTheme="majorEastAsia" w:hAnsiTheme="majorEastAsia" w:eastAsiaTheme="majorEastAsia" w:cstheme="majorEastAsia"/>
          <w:b/>
          <w:bCs/>
          <w:kern w:val="0"/>
          <w:szCs w:val="21"/>
        </w:rPr>
        <w:t>四、成绩评定</w:t>
      </w:r>
      <w:bookmarkEnd w:id="1433"/>
      <w:bookmarkEnd w:id="1434"/>
      <w:bookmarkEnd w:id="1435"/>
      <w:bookmarkEnd w:id="1436"/>
      <w:bookmarkEnd w:id="1437"/>
      <w:bookmarkEnd w:id="1438"/>
      <w:bookmarkEnd w:id="1439"/>
      <w:bookmarkEnd w:id="1440"/>
    </w:p>
    <w:p>
      <w:pPr>
        <w:snapToGrid w:val="0"/>
        <w:spacing w:line="360" w:lineRule="auto"/>
        <w:ind w:firstLine="420" w:firstLineChars="200"/>
        <w:rPr>
          <w:rFonts w:ascii="宋体" w:hAnsi="宋体"/>
          <w:bCs/>
          <w:color w:val="0000FF"/>
          <w:szCs w:val="21"/>
        </w:rPr>
      </w:pPr>
      <w:r>
        <w:rPr>
          <w:rFonts w:hint="eastAsia" w:ascii="宋体" w:hAnsi="宋体"/>
          <w:color w:val="000000" w:themeColor="text1"/>
          <w:szCs w:val="21"/>
          <w14:textFill>
            <w14:solidFill>
              <w14:schemeClr w14:val="tx1"/>
            </w14:solidFill>
          </w14:textFill>
        </w:rPr>
        <w:t>1.平时成绩</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1）加强学风建设，严肃课堂纪律，学生考勤计入平时成绩计算方法。</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2）鼓励学生参与活动，调动学生积极性。学生参与讨论、作业等教学内容相关活动，每项活动设定不同分数，通过教学辅助软件后台导出数据，计入平时成绩计算方法。</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3）平时成绩占最终成绩的20%</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2.个人自我介绍评判</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个人录制英文自我介绍或专业汇报视频，要求：用英文，时间：1-2分钟。该部分占期末成绩30%</w:t>
      </w:r>
    </w:p>
    <w:p>
      <w:pPr>
        <w:snapToGrid w:val="0"/>
        <w:spacing w:line="360" w:lineRule="auto"/>
        <w:ind w:firstLine="420" w:firstLineChars="200"/>
        <w:rPr>
          <w:rFonts w:ascii="宋体" w:hAnsi="宋体"/>
          <w:bCs/>
          <w:color w:val="0000FF"/>
          <w:szCs w:val="21"/>
        </w:rPr>
      </w:pPr>
      <w:r>
        <w:rPr>
          <w:rFonts w:hint="eastAsia" w:ascii="宋体" w:hAnsi="宋体"/>
          <w:color w:val="000000" w:themeColor="text1"/>
          <w14:textFill>
            <w14:solidFill>
              <w14:schemeClr w14:val="tx1"/>
            </w14:solidFill>
          </w14:textFill>
        </w:rPr>
        <w:t>3.期末成绩</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期末考试采取小组视频形式，6-8人一组，选择一种园艺植物或园艺技术，查阅资料，拍摄视频详细阐述该园艺植物或园艺技术。要求备注字幕，每个视频5-10分钟。该部分占期末成绩</w:t>
      </w:r>
      <w:r>
        <w:rPr>
          <w:rFonts w:ascii="宋体" w:hAnsi="宋体"/>
          <w:bCs/>
          <w:color w:val="000000" w:themeColor="text1"/>
          <w:szCs w:val="21"/>
          <w14:textFill>
            <w14:solidFill>
              <w14:schemeClr w14:val="tx1"/>
            </w14:solidFill>
          </w14:textFill>
        </w:rPr>
        <w:t>50%</w:t>
      </w:r>
      <w:r>
        <w:rPr>
          <w:rFonts w:hint="eastAsia" w:ascii="宋体" w:hAnsi="宋体"/>
          <w:bCs/>
          <w:color w:val="000000" w:themeColor="text1"/>
          <w:szCs w:val="21"/>
          <w14:textFill>
            <w14:solidFill>
              <w14:schemeClr w14:val="tx1"/>
            </w14:solidFill>
          </w14:textFill>
        </w:rPr>
        <w:t>。</w:t>
      </w:r>
    </w:p>
    <w:p>
      <w:pPr>
        <w:snapToGrid w:val="0"/>
        <w:spacing w:line="360" w:lineRule="auto"/>
        <w:ind w:firstLine="420" w:firstLineChars="200"/>
        <w:rPr>
          <w:rFonts w:ascii="宋体" w:hAnsi="宋体"/>
          <w:bCs/>
          <w:color w:val="0000FF"/>
          <w:szCs w:val="21"/>
        </w:rPr>
      </w:pPr>
      <w:r>
        <w:rPr>
          <w:rFonts w:hint="eastAsia" w:ascii="宋体" w:hAnsi="宋体"/>
          <w:color w:val="000000" w:themeColor="text1"/>
          <w14:textFill>
            <w14:solidFill>
              <w14:schemeClr w14:val="tx1"/>
            </w14:solidFill>
          </w14:textFill>
        </w:rPr>
        <w:t>4.综合成绩</w:t>
      </w:r>
    </w:p>
    <w:p>
      <w:pPr>
        <w:snapToGrid w:val="0"/>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平时成绩（考勤+参与教学活动）×20%+英文自我介绍或专业汇报成绩×30%+专题视频成绩×50%</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441" w:name="_Toc138068569"/>
      <w:bookmarkStart w:id="1442" w:name="_Toc138076513"/>
      <w:bookmarkStart w:id="1443" w:name="_Toc138070870"/>
      <w:bookmarkStart w:id="1444" w:name="_Toc138068968"/>
      <w:bookmarkStart w:id="1445" w:name="_Toc138076808"/>
      <w:bookmarkStart w:id="1446" w:name="_Toc138076264"/>
      <w:bookmarkStart w:id="1447" w:name="_Toc138070599"/>
      <w:bookmarkStart w:id="1448" w:name="_Toc6988"/>
      <w:r>
        <w:rPr>
          <w:rFonts w:hint="eastAsia" w:asciiTheme="majorEastAsia" w:hAnsiTheme="majorEastAsia" w:eastAsiaTheme="majorEastAsia" w:cstheme="majorEastAsia"/>
          <w:b/>
          <w:bCs/>
          <w:kern w:val="0"/>
          <w:szCs w:val="21"/>
        </w:rPr>
        <w:t>五、考核结果分析反馈</w:t>
      </w:r>
      <w:bookmarkEnd w:id="1441"/>
      <w:bookmarkEnd w:id="1442"/>
      <w:bookmarkEnd w:id="1443"/>
      <w:bookmarkEnd w:id="1444"/>
      <w:bookmarkEnd w:id="1445"/>
      <w:bookmarkEnd w:id="1446"/>
      <w:bookmarkEnd w:id="1447"/>
      <w:bookmarkEnd w:id="1448"/>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bCs/>
          <w:color w:val="000000" w:themeColor="text1"/>
          <w:szCs w:val="21"/>
          <w14:textFill>
            <w14:solidFill>
              <w14:schemeClr w14:val="tx1"/>
            </w14:solidFill>
          </w14:textFill>
        </w:rPr>
        <w:t>1. 考核结果</w:t>
      </w:r>
      <w:r>
        <w:rPr>
          <w:rFonts w:hAnsi="宋体"/>
          <w:color w:val="000000" w:themeColor="text1"/>
          <w:szCs w:val="21"/>
          <w14:textFill>
            <w14:solidFill>
              <w14:schemeClr w14:val="tx1"/>
            </w14:solidFill>
          </w14:textFill>
        </w:rPr>
        <w:t>如何向学生反馈</w:t>
      </w:r>
      <w:r>
        <w:rPr>
          <w:rFonts w:hint="eastAsia" w:hAnsi="宋体"/>
          <w:color w:val="000000" w:themeColor="text1"/>
          <w:szCs w:val="21"/>
          <w14:textFill>
            <w14:solidFill>
              <w14:schemeClr w14:val="tx1"/>
            </w14:solidFill>
          </w14:textFill>
        </w:rPr>
        <w:t>。</w:t>
      </w:r>
    </w:p>
    <w:p>
      <w:pPr>
        <w:snapToGrid w:val="0"/>
        <w:spacing w:line="360" w:lineRule="auto"/>
        <w:ind w:firstLine="4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pPr>
        <w:snapToGrid w:val="0"/>
        <w:spacing w:line="360" w:lineRule="auto"/>
        <w:ind w:firstLine="45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针对本门课程提高学生专业英语综合素质的教学目标，考核方式为过程性考核。针对过程性考核，反馈形式主要体现在平时的教学过程中，采用课堂集中形式对考核结果的共性问题进行统一讲解，查找原因。例如：专业词汇的特殊写法、用法等。针对考核结果分析中成绩严重偏态分布的情况，应及时调整教学内容、教学方法、强化过程性考核。</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2. 基于学生考核结果，如何改进</w:t>
      </w:r>
      <w:r>
        <w:rPr>
          <w:rFonts w:hAnsi="宋体"/>
          <w:color w:val="000000" w:themeColor="text1"/>
          <w:szCs w:val="21"/>
          <w14:textFill>
            <w14:solidFill>
              <w14:schemeClr w14:val="tx1"/>
            </w14:solidFill>
          </w14:textFill>
        </w:rPr>
        <w:t>课堂教学</w:t>
      </w:r>
      <w:r>
        <w:rPr>
          <w:rFonts w:hint="eastAsia" w:hAnsi="宋体"/>
          <w:color w:val="000000" w:themeColor="text1"/>
          <w:szCs w:val="21"/>
          <w14:textFill>
            <w14:solidFill>
              <w14:schemeClr w14:val="tx1"/>
            </w14:solidFill>
          </w14:textFill>
        </w:rPr>
        <w:t>。</w:t>
      </w:r>
    </w:p>
    <w:p>
      <w:pPr>
        <w:snapToGrid w:val="0"/>
        <w:spacing w:line="360" w:lineRule="auto"/>
        <w:ind w:firstLine="420" w:firstLineChars="200"/>
        <w:rPr>
          <w:rFonts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通过对学生各环节成绩进行成绩分析（含平时成绩），不仅可以获得学生学习效果和教学中存在的问题等一系列反馈信息，还可在一定程度上反应教学质量的优劣。从而促使任课教师进行教学反思，为教师有针对性性调整教学内容、改进教学方法提供依据，提高教学质量。</w:t>
      </w:r>
    </w:p>
    <w:p>
      <w:pPr>
        <w:snapToGrid w:val="0"/>
        <w:spacing w:line="360" w:lineRule="auto"/>
        <w:rPr>
          <w:rFonts w:ascii="宋体" w:hAnsi="宋体"/>
          <w:b/>
          <w:szCs w:val="21"/>
        </w:rPr>
      </w:pPr>
    </w:p>
    <w:p>
      <w:pPr>
        <w:rPr>
          <w:sz w:val="28"/>
        </w:rPr>
      </w:pPr>
      <w:bookmarkStart w:id="1449" w:name="_Toc138076809"/>
      <w:bookmarkStart w:id="1450" w:name="_Toc138076265"/>
      <w:r>
        <w:rPr>
          <w:rFonts w:hint="eastAsia"/>
          <w:sz w:val="28"/>
        </w:rPr>
        <w:br w:type="page"/>
      </w:r>
    </w:p>
    <w:p>
      <w:pPr>
        <w:pStyle w:val="21"/>
      </w:pPr>
      <w:bookmarkStart w:id="1451" w:name="_Toc30695"/>
      <w:r>
        <w:rPr>
          <w:rFonts w:hint="eastAsia"/>
          <w:sz w:val="28"/>
        </w:rPr>
        <w:t>园艺植物种子学考核大纲</w:t>
      </w:r>
      <w:bookmarkEnd w:id="1449"/>
      <w:bookmarkEnd w:id="1450"/>
      <w:bookmarkEnd w:id="1451"/>
      <w:r>
        <w:rPr>
          <w:rFonts w:hint="eastAsia"/>
        </w:rPr>
        <w:t xml:space="preserve"> </w:t>
      </w:r>
    </w:p>
    <w:p>
      <w:pPr>
        <w:snapToGrid w:val="0"/>
        <w:spacing w:line="360" w:lineRule="auto"/>
        <w:jc w:val="center"/>
        <w:rPr>
          <w:rFonts w:hAnsi="宋体"/>
          <w:sz w:val="28"/>
          <w:szCs w:val="28"/>
        </w:rPr>
      </w:pPr>
      <w:r>
        <w:rPr>
          <w:rFonts w:hint="eastAsia" w:hAnsi="宋体"/>
          <w:sz w:val="28"/>
          <w:szCs w:val="28"/>
        </w:rPr>
        <w:t>（</w:t>
      </w:r>
      <w:r>
        <w:rPr>
          <w:rFonts w:hAnsi="宋体" w:eastAsia="黑体" w:cs="宋体"/>
          <w:bCs/>
          <w:kern w:val="36"/>
          <w:sz w:val="24"/>
        </w:rPr>
        <w:t>Seed Science for Horticultural Plants</w:t>
      </w:r>
      <w:r>
        <w:rPr>
          <w:rFonts w:hint="eastAsia" w:hAnsi="宋体"/>
          <w:sz w:val="28"/>
          <w:szCs w:val="28"/>
        </w:rPr>
        <w:t>）</w:t>
      </w: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5" w:type="pct"/>
          </w:tcPr>
          <w:p>
            <w:pPr>
              <w:spacing w:line="300" w:lineRule="auto"/>
              <w:rPr>
                <w:rFonts w:ascii="宋体" w:hAnsi="宋体"/>
                <w:b/>
                <w:bCs/>
                <w:szCs w:val="21"/>
              </w:rPr>
            </w:pPr>
            <w:r>
              <w:rPr>
                <w:rFonts w:hint="eastAsia" w:ascii="宋体" w:hAnsi="宋体"/>
                <w:b/>
                <w:bCs/>
                <w:szCs w:val="21"/>
              </w:rPr>
              <w:t>课程编号：19011105</w:t>
            </w:r>
          </w:p>
        </w:tc>
        <w:tc>
          <w:tcPr>
            <w:tcW w:w="1234" w:type="pct"/>
          </w:tcPr>
          <w:p>
            <w:pPr>
              <w:spacing w:line="300" w:lineRule="auto"/>
              <w:rPr>
                <w:rFonts w:ascii="宋体" w:hAnsi="宋体"/>
                <w:b/>
                <w:bCs/>
                <w:szCs w:val="21"/>
              </w:rPr>
            </w:pPr>
            <w:r>
              <w:rPr>
                <w:rFonts w:hint="eastAsia" w:ascii="宋体" w:hAnsi="宋体"/>
                <w:b/>
                <w:bCs/>
                <w:szCs w:val="21"/>
              </w:rPr>
              <w:t>课程学时：32学时</w:t>
            </w:r>
          </w:p>
        </w:tc>
        <w:tc>
          <w:tcPr>
            <w:tcW w:w="2100" w:type="pct"/>
          </w:tcPr>
          <w:p>
            <w:pPr>
              <w:spacing w:line="300" w:lineRule="auto"/>
              <w:rPr>
                <w:rFonts w:ascii="宋体" w:hAnsi="宋体"/>
                <w:b/>
                <w:bCs/>
                <w:szCs w:val="21"/>
              </w:rPr>
            </w:pPr>
            <w:r>
              <w:rPr>
                <w:rFonts w:hint="eastAsia" w:ascii="宋体" w:hAnsi="宋体"/>
                <w:b/>
                <w:bCs/>
                <w:szCs w:val="21"/>
              </w:rPr>
              <w:t>课程学分：2学分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主撰人：刘珂珂</w:t>
            </w:r>
          </w:p>
        </w:tc>
        <w:tc>
          <w:tcPr>
            <w:tcW w:w="1234" w:type="pct"/>
          </w:tcPr>
          <w:p>
            <w:pPr>
              <w:spacing w:line="300" w:lineRule="auto"/>
              <w:rPr>
                <w:rFonts w:ascii="宋体" w:hAnsi="宋体"/>
                <w:b/>
                <w:bCs/>
                <w:szCs w:val="21"/>
              </w:rPr>
            </w:pPr>
            <w:r>
              <w:rPr>
                <w:rFonts w:hint="eastAsia" w:ascii="宋体" w:hAnsi="宋体"/>
                <w:b/>
                <w:bCs/>
                <w:szCs w:val="21"/>
              </w:rPr>
              <w:t>审核人：贾芝琪</w:t>
            </w:r>
          </w:p>
        </w:tc>
        <w:tc>
          <w:tcPr>
            <w:tcW w:w="2100" w:type="pct"/>
          </w:tcPr>
          <w:p>
            <w:pPr>
              <w:spacing w:line="300" w:lineRule="auto"/>
              <w:rPr>
                <w:rFonts w:ascii="宋体" w:hAnsi="宋体"/>
                <w:b/>
                <w:bCs/>
                <w:szCs w:val="21"/>
              </w:rPr>
            </w:pPr>
            <w:r>
              <w:rPr>
                <w:rFonts w:hint="eastAsia" w:ascii="宋体" w:hAnsi="宋体"/>
                <w:b/>
                <w:bCs/>
                <w:szCs w:val="21"/>
              </w:rPr>
              <w:t>大纲制定（修订）日期：2023.05</w:t>
            </w:r>
          </w:p>
        </w:tc>
      </w:tr>
    </w:tbl>
    <w:p>
      <w:pPr>
        <w:snapToGrid w:val="0"/>
        <w:spacing w:line="360" w:lineRule="auto"/>
        <w:rPr>
          <w:b/>
          <w:szCs w:val="21"/>
        </w:rPr>
      </w:pPr>
    </w:p>
    <w:tbl>
      <w:tblPr>
        <w:tblStyle w:val="22"/>
        <w:tblpPr w:leftFromText="180" w:rightFromText="180" w:vertAnchor="text" w:horzAnchor="page" w:tblpX="1683" w:tblpY="27"/>
        <w:tblOverlap w:val="never"/>
        <w:tblW w:w="8520" w:type="dxa"/>
        <w:tblInd w:w="0" w:type="dxa"/>
        <w:tblLayout w:type="fixed"/>
        <w:tblCellMar>
          <w:top w:w="0" w:type="dxa"/>
          <w:left w:w="108" w:type="dxa"/>
          <w:bottom w:w="0" w:type="dxa"/>
          <w:right w:w="108" w:type="dxa"/>
        </w:tblCellMar>
      </w:tblPr>
      <w:tblGrid>
        <w:gridCol w:w="8520"/>
      </w:tblGrid>
      <w:tr>
        <w:tblPrEx>
          <w:tblCellMar>
            <w:top w:w="0" w:type="dxa"/>
            <w:left w:w="108" w:type="dxa"/>
            <w:bottom w:w="0" w:type="dxa"/>
            <w:right w:w="108" w:type="dxa"/>
          </w:tblCellMar>
        </w:tblPrEx>
        <w:tc>
          <w:tcPr>
            <w:tcW w:w="8520" w:type="dxa"/>
          </w:tcPr>
          <w:p>
            <w:pPr>
              <w:widowControl/>
              <w:snapToGrid w:val="0"/>
              <w:spacing w:line="360" w:lineRule="auto"/>
              <w:jc w:val="left"/>
              <w:outlineLvl w:val="1"/>
              <w:rPr>
                <w:rFonts w:ascii="宋体" w:hAnsi="宋体"/>
                <w:b/>
                <w:bCs/>
                <w:kern w:val="0"/>
                <w:sz w:val="20"/>
                <w:szCs w:val="21"/>
              </w:rPr>
            </w:pPr>
            <w:bookmarkStart w:id="1452" w:name="_Toc138076515"/>
            <w:bookmarkStart w:id="1453" w:name="_Toc138068571"/>
            <w:bookmarkStart w:id="1454" w:name="_Toc138070872"/>
            <w:bookmarkStart w:id="1455" w:name="_Toc138076266"/>
            <w:bookmarkStart w:id="1456" w:name="_Toc138070601"/>
            <w:bookmarkStart w:id="1457" w:name="_Toc138068970"/>
            <w:bookmarkStart w:id="1458" w:name="_Toc5092"/>
            <w:bookmarkStart w:id="1459" w:name="_Toc138076810"/>
            <w:r>
              <w:rPr>
                <w:rFonts w:hint="eastAsia" w:asciiTheme="majorEastAsia" w:hAnsiTheme="majorEastAsia" w:eastAsiaTheme="majorEastAsia" w:cstheme="majorEastAsia"/>
                <w:b/>
                <w:bCs/>
                <w:kern w:val="0"/>
                <w:szCs w:val="21"/>
              </w:rPr>
              <w:t>一、课程的性质和地位</w:t>
            </w:r>
            <w:bookmarkEnd w:id="1452"/>
            <w:bookmarkEnd w:id="1453"/>
            <w:bookmarkEnd w:id="1454"/>
            <w:bookmarkEnd w:id="1455"/>
            <w:bookmarkEnd w:id="1456"/>
            <w:bookmarkEnd w:id="1457"/>
            <w:bookmarkEnd w:id="1458"/>
            <w:bookmarkEnd w:id="1459"/>
          </w:p>
        </w:tc>
      </w:tr>
    </w:tbl>
    <w:p>
      <w:pPr>
        <w:spacing w:line="360" w:lineRule="auto"/>
        <w:ind w:firstLine="420" w:firstLineChars="200"/>
        <w:rPr>
          <w:rFonts w:ascii="宋体" w:hAnsi="宋体"/>
          <w:szCs w:val="21"/>
        </w:rPr>
      </w:pPr>
      <w:r>
        <w:rPr>
          <w:rFonts w:hint="eastAsia" w:ascii="宋体" w:hAnsi="宋体"/>
          <w:szCs w:val="21"/>
        </w:rPr>
        <w:t>本课程是园艺专业的选修课程。它是研究种子特征特性和生命活动规律的一门应用科学。该课程主要介绍种子的生物学特性和种子应用技术两方面的内容。种子的生物学特性包括种子形态构造、化学成分、生理生化基础和种子生长发育、成熟过程，以及种子休眠、发芽、种子活力和寿命及其受生理生态环境的影响等；应用技术包括种子鉴定、质量检验、种子贮藏和种子加工处理等。</w:t>
      </w:r>
    </w:p>
    <w:p>
      <w:pPr>
        <w:snapToGrid w:val="0"/>
        <w:spacing w:line="360" w:lineRule="auto"/>
        <w:rPr>
          <w:rFonts w:ascii="宋体" w:hAnsi="宋体"/>
          <w:b/>
          <w:szCs w:val="21"/>
        </w:rPr>
      </w:pPr>
      <w:r>
        <w:rPr>
          <w:rFonts w:hint="eastAsia" w:ascii="宋体" w:hAnsi="宋体"/>
          <w:b/>
          <w:szCs w:val="21"/>
        </w:rPr>
        <w:t>二、理论教学部分的考核目标</w:t>
      </w:r>
    </w:p>
    <w:p>
      <w:pPr>
        <w:spacing w:line="360" w:lineRule="auto"/>
        <w:ind w:firstLine="420"/>
        <w:rPr>
          <w:rFonts w:ascii="宋体" w:hAnsi="宋体"/>
          <w:szCs w:val="21"/>
        </w:rPr>
      </w:pPr>
      <w:r>
        <w:rPr>
          <w:rFonts w:hint="eastAsia" w:ascii="宋体" w:hAnsi="宋体"/>
          <w:szCs w:val="21"/>
        </w:rPr>
        <w:t>该课程的总体要求是了解园艺植物种子的基本生物学特性特点；认识种子质量的重要性；掌握种子质量检验的一般原理和规程要求；熟悉种子生产、贮藏、加工、处理和检验管理等环节的基本原理和技术；能拟定种子的贮藏、加工和管理中合理的措施和手段，提出生产加工中控制和提高作物种子质量的途径。</w:t>
      </w:r>
    </w:p>
    <w:p>
      <w:pPr>
        <w:snapToGrid w:val="0"/>
        <w:spacing w:line="360" w:lineRule="auto"/>
        <w:jc w:val="center"/>
        <w:rPr>
          <w:rFonts w:ascii="宋体" w:hAnsi="宋体"/>
          <w:b/>
          <w:szCs w:val="21"/>
        </w:rPr>
      </w:pPr>
      <w:r>
        <w:rPr>
          <w:rFonts w:hint="eastAsia" w:ascii="宋体" w:hAnsi="宋体"/>
          <w:b/>
          <w:szCs w:val="21"/>
        </w:rPr>
        <w:t>绪论</w:t>
      </w:r>
    </w:p>
    <w:p>
      <w:pPr>
        <w:snapToGrid w:val="0"/>
        <w:spacing w:line="360" w:lineRule="auto"/>
        <w:rPr>
          <w:rFonts w:ascii="宋体" w:hAnsi="宋体"/>
          <w:b/>
          <w:szCs w:val="21"/>
        </w:rPr>
      </w:pPr>
      <w:r>
        <w:rPr>
          <w:rFonts w:hint="eastAsia" w:ascii="宋体" w:hAnsi="宋体"/>
          <w:b/>
          <w:szCs w:val="21"/>
        </w:rPr>
        <w:t>（一）、学习目标</w:t>
      </w:r>
    </w:p>
    <w:p>
      <w:pPr>
        <w:numPr>
          <w:ilvl w:val="0"/>
          <w:numId w:val="52"/>
        </w:numPr>
        <w:snapToGrid w:val="0"/>
        <w:spacing w:line="360" w:lineRule="auto"/>
        <w:ind w:firstLine="422" w:firstLineChars="200"/>
        <w:rPr>
          <w:rFonts w:ascii="宋体" w:hAnsi="宋体"/>
          <w:szCs w:val="21"/>
        </w:rPr>
      </w:pPr>
      <w:r>
        <w:rPr>
          <w:rFonts w:hint="eastAsia" w:ascii="宋体" w:hAnsi="宋体"/>
          <w:b/>
          <w:szCs w:val="21"/>
        </w:rPr>
        <w:t>一般了解</w:t>
      </w:r>
      <w:r>
        <w:rPr>
          <w:rFonts w:hint="eastAsia" w:ascii="宋体" w:hAnsi="宋体"/>
          <w:szCs w:val="21"/>
        </w:rPr>
        <w:t>：种子学的主要内容以及种子工作的发展。种子在农业生产中发挥的重要作用。</w:t>
      </w:r>
    </w:p>
    <w:p>
      <w:pPr>
        <w:snapToGrid w:val="0"/>
        <w:spacing w:line="360" w:lineRule="auto"/>
        <w:ind w:left="422"/>
        <w:rPr>
          <w:rFonts w:ascii="宋体" w:hAnsi="宋体"/>
          <w:szCs w:val="21"/>
        </w:rPr>
      </w:pPr>
      <w:r>
        <w:rPr>
          <w:rFonts w:hint="eastAsia" w:ascii="宋体" w:hAnsi="宋体"/>
          <w:b/>
          <w:szCs w:val="21"/>
        </w:rPr>
        <w:t>2. 一般掌握</w:t>
      </w:r>
      <w:r>
        <w:rPr>
          <w:rFonts w:hint="eastAsia" w:ascii="宋体" w:hAnsi="宋体"/>
          <w:szCs w:val="21"/>
        </w:rPr>
        <w:t>：</w:t>
      </w:r>
      <w:r>
        <w:rPr>
          <w:rFonts w:ascii="宋体" w:hAnsi="宋体"/>
          <w:szCs w:val="21"/>
        </w:rPr>
        <w:t xml:space="preserve"> </w:t>
      </w:r>
      <w:r>
        <w:rPr>
          <w:rFonts w:hint="eastAsia" w:ascii="宋体" w:hAnsi="宋体"/>
          <w:szCs w:val="21"/>
        </w:rPr>
        <w:t>园艺植物种子的概念及其涵义。</w:t>
      </w:r>
    </w:p>
    <w:p>
      <w:pPr>
        <w:snapToGrid w:val="0"/>
        <w:spacing w:line="360" w:lineRule="auto"/>
        <w:rPr>
          <w:rFonts w:ascii="宋体" w:hAnsi="宋体"/>
          <w:b/>
          <w:szCs w:val="21"/>
        </w:rPr>
      </w:pPr>
      <w:r>
        <w:rPr>
          <w:rFonts w:hint="eastAsia" w:ascii="宋体" w:hAnsi="宋体"/>
          <w:b/>
          <w:szCs w:val="21"/>
        </w:rPr>
        <w:t>（二）、考核内容</w:t>
      </w:r>
    </w:p>
    <w:p>
      <w:pPr>
        <w:snapToGrid w:val="0"/>
        <w:spacing w:line="360" w:lineRule="auto"/>
        <w:ind w:firstLine="421"/>
        <w:rPr>
          <w:rFonts w:ascii="宋体" w:hAnsi="宋体"/>
          <w:szCs w:val="21"/>
        </w:rPr>
      </w:pPr>
      <w:r>
        <w:rPr>
          <w:rFonts w:hint="eastAsia" w:ascii="宋体" w:hAnsi="宋体"/>
          <w:b/>
          <w:szCs w:val="21"/>
        </w:rPr>
        <w:t>知识：</w:t>
      </w:r>
      <w:r>
        <w:rPr>
          <w:rFonts w:hint="eastAsia" w:ascii="宋体" w:hAnsi="宋体"/>
          <w:szCs w:val="21"/>
        </w:rPr>
        <w:t>园艺植物物种子的概念及其涵义。</w:t>
      </w:r>
    </w:p>
    <w:p>
      <w:pPr>
        <w:snapToGrid w:val="0"/>
        <w:spacing w:line="360" w:lineRule="auto"/>
        <w:ind w:firstLine="421"/>
        <w:rPr>
          <w:rFonts w:ascii="宋体" w:hAnsi="宋体"/>
          <w:bCs/>
          <w:szCs w:val="21"/>
        </w:rPr>
      </w:pPr>
      <w:r>
        <w:rPr>
          <w:rFonts w:hint="eastAsia" w:ascii="宋体" w:hAnsi="宋体"/>
          <w:b/>
          <w:szCs w:val="21"/>
        </w:rPr>
        <w:t>能力：</w:t>
      </w:r>
      <w:r>
        <w:rPr>
          <w:rFonts w:hint="eastAsia" w:ascii="宋体" w:hAnsi="宋体"/>
          <w:bCs/>
          <w:szCs w:val="21"/>
        </w:rPr>
        <w:t>种子学在实施种子工程中的作用。</w:t>
      </w:r>
    </w:p>
    <w:p>
      <w:pPr>
        <w:snapToGrid w:val="0"/>
        <w:spacing w:line="360" w:lineRule="auto"/>
        <w:ind w:firstLine="421"/>
        <w:rPr>
          <w:rFonts w:ascii="宋体" w:hAnsi="宋体"/>
          <w:szCs w:val="21"/>
        </w:rPr>
      </w:pPr>
      <w:r>
        <w:rPr>
          <w:rFonts w:hint="eastAsia" w:ascii="宋体" w:hAnsi="宋体"/>
          <w:b/>
          <w:szCs w:val="21"/>
        </w:rPr>
        <w:t>素质：</w:t>
      </w:r>
      <w:r>
        <w:rPr>
          <w:rFonts w:hint="eastAsia" w:ascii="宋体" w:hAnsi="宋体"/>
          <w:szCs w:val="21"/>
        </w:rPr>
        <w:t>种子工作的内容和发展。</w:t>
      </w:r>
    </w:p>
    <w:p>
      <w:pPr>
        <w:snapToGrid w:val="0"/>
        <w:spacing w:line="360" w:lineRule="auto"/>
        <w:rPr>
          <w:rFonts w:ascii="宋体" w:hAnsi="宋体"/>
          <w:b/>
          <w:szCs w:val="21"/>
        </w:rPr>
      </w:pPr>
      <w:r>
        <w:rPr>
          <w:rFonts w:hint="eastAsia" w:ascii="宋体" w:hAnsi="宋体"/>
          <w:b/>
          <w:szCs w:val="21"/>
        </w:rPr>
        <w:t>（三）、考核要求</w:t>
      </w:r>
    </w:p>
    <w:p>
      <w:pPr>
        <w:spacing w:line="360" w:lineRule="auto"/>
        <w:ind w:firstLine="422" w:firstLineChars="200"/>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hint="eastAsia" w:ascii="宋体" w:hAnsi="宋体"/>
          <w:szCs w:val="21"/>
        </w:rPr>
        <w:t>园艺植物作物种子的概念。当前我国种子生产及其管理环节中的要求。种子工程和种子产业化。</w:t>
      </w:r>
    </w:p>
    <w:p>
      <w:pPr>
        <w:spacing w:line="360" w:lineRule="auto"/>
        <w:ind w:firstLine="422" w:firstLineChars="200"/>
        <w:rPr>
          <w:rFonts w:ascii="宋体" w:hAnsi="宋体"/>
          <w:szCs w:val="21"/>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hint="eastAsia" w:ascii="宋体" w:hAnsi="宋体"/>
          <w:szCs w:val="21"/>
        </w:rPr>
        <w:t>播种材料的类别及代表作物，种子遗传特性。种子在农业生产中的地位和作用；种子学的内容与种子产业化的发展。种子工程和种子产业化概念，意义。</w:t>
      </w:r>
    </w:p>
    <w:p>
      <w:pPr>
        <w:spacing w:line="360" w:lineRule="auto"/>
        <w:ind w:firstLine="422" w:firstLineChars="200"/>
        <w:rPr>
          <w:rFonts w:ascii="宋体" w:hAnsi="宋体"/>
          <w:szCs w:val="21"/>
        </w:rPr>
      </w:pPr>
      <w:r>
        <w:rPr>
          <w:rFonts w:hint="eastAsia" w:ascii="宋体" w:hAnsi="宋体"/>
          <w:b/>
          <w:bCs/>
          <w:szCs w:val="21"/>
        </w:rPr>
        <w:t>3</w:t>
      </w:r>
      <w:r>
        <w:rPr>
          <w:rFonts w:ascii="宋体" w:hAnsi="宋体"/>
          <w:b/>
          <w:bCs/>
          <w:szCs w:val="21"/>
        </w:rPr>
        <w:t>.</w:t>
      </w:r>
      <w:r>
        <w:rPr>
          <w:rFonts w:hint="eastAsia" w:ascii="宋体" w:hAnsi="宋体"/>
          <w:b/>
          <w:bCs/>
          <w:szCs w:val="21"/>
        </w:rPr>
        <w:t>应用：</w:t>
      </w:r>
      <w:r>
        <w:rPr>
          <w:rFonts w:hint="eastAsia" w:ascii="宋体" w:hAnsi="宋体"/>
          <w:bCs/>
          <w:szCs w:val="21"/>
        </w:rPr>
        <w:t>种子学在其它学科中的应用</w:t>
      </w:r>
      <w:r>
        <w:rPr>
          <w:rFonts w:hint="eastAsia" w:ascii="宋体" w:hAnsi="宋体"/>
          <w:b/>
          <w:bCs/>
          <w:szCs w:val="21"/>
        </w:rPr>
        <w:t>。</w:t>
      </w:r>
      <w:r>
        <w:rPr>
          <w:rFonts w:hint="eastAsia" w:ascii="宋体" w:hAnsi="宋体"/>
          <w:szCs w:val="21"/>
        </w:rPr>
        <w:t>种子工程和种子产业化概念、意义。种子学在种子工程上的应用。</w:t>
      </w:r>
    </w:p>
    <w:p>
      <w:pPr>
        <w:adjustRightInd w:val="0"/>
        <w:snapToGrid w:val="0"/>
        <w:spacing w:line="360" w:lineRule="auto"/>
        <w:ind w:firstLine="422" w:firstLineChars="200"/>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spacing w:line="360" w:lineRule="auto"/>
        <w:ind w:firstLine="2727"/>
        <w:rPr>
          <w:rFonts w:ascii="宋体" w:hAnsi="宋体"/>
          <w:b/>
          <w:bCs/>
          <w:szCs w:val="21"/>
        </w:rPr>
      </w:pPr>
      <w:r>
        <w:rPr>
          <w:rFonts w:hint="eastAsia" w:ascii="宋体" w:hAnsi="宋体"/>
          <w:b/>
          <w:bCs/>
          <w:szCs w:val="21"/>
        </w:rPr>
        <w:t>第一章</w:t>
      </w:r>
      <w:r>
        <w:rPr>
          <w:rFonts w:ascii="宋体" w:hAnsi="宋体"/>
          <w:b/>
          <w:bCs/>
          <w:szCs w:val="21"/>
        </w:rPr>
        <w:t xml:space="preserve">  </w:t>
      </w:r>
      <w:r>
        <w:rPr>
          <w:rFonts w:hint="eastAsia" w:ascii="宋体" w:hAnsi="宋体"/>
          <w:b/>
          <w:bCs/>
          <w:szCs w:val="21"/>
        </w:rPr>
        <w:t>种子生物学和生理生化基础</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rPr>
          <w:rFonts w:ascii="宋体" w:hAnsi="宋体"/>
          <w:b/>
          <w:szCs w:val="21"/>
        </w:rPr>
      </w:pPr>
      <w:r>
        <w:rPr>
          <w:rFonts w:ascii="宋体" w:hAnsi="宋体"/>
          <w:b/>
          <w:szCs w:val="21"/>
        </w:rPr>
        <w:t xml:space="preserve">   1.</w:t>
      </w:r>
      <w:r>
        <w:rPr>
          <w:rFonts w:hint="eastAsia" w:ascii="宋体" w:hAnsi="宋体"/>
          <w:b/>
          <w:szCs w:val="21"/>
        </w:rPr>
        <w:t>一般了解</w:t>
      </w:r>
      <w:r>
        <w:rPr>
          <w:rFonts w:hint="eastAsia" w:ascii="宋体" w:hAnsi="宋体"/>
          <w:szCs w:val="21"/>
        </w:rPr>
        <w:t>：</w:t>
      </w:r>
      <w:r>
        <w:rPr>
          <w:rFonts w:ascii="宋体" w:hAnsi="宋体"/>
          <w:szCs w:val="21"/>
        </w:rPr>
        <w:t xml:space="preserve"> </w:t>
      </w:r>
      <w:r>
        <w:rPr>
          <w:rFonts w:hint="eastAsia"/>
          <w:szCs w:val="21"/>
        </w:rPr>
        <w:t>影响种子营养成分的因素；陈种子的利用；种子寿命的预测；种子萌发的生理条件；影响种子活力的因素；种子技术的创新发展。</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 xml:space="preserve">： </w:t>
      </w:r>
      <w:r>
        <w:rPr>
          <w:rFonts w:hint="eastAsia"/>
          <w:szCs w:val="21"/>
        </w:rPr>
        <w:t>种子的主要化学成分；种子休眠的遗传和控制机理；种子寿命的影响因素；种子生活力丧失的原因；种子萌发过程的生理生化代谢特点；种子活力的生产意义。</w:t>
      </w:r>
    </w:p>
    <w:p>
      <w:pPr>
        <w:snapToGrid w:val="0"/>
        <w:spacing w:line="360" w:lineRule="auto"/>
        <w:ind w:firstLine="422" w:firstLineChars="200"/>
        <w:rPr>
          <w:rFonts w:ascii="宋体" w:hAnsi="宋体"/>
          <w:szCs w:val="21"/>
        </w:rPr>
      </w:pPr>
      <w:r>
        <w:rPr>
          <w:rFonts w:hint="eastAsia" w:ascii="宋体" w:hAnsi="宋体"/>
          <w:b/>
          <w:bCs/>
          <w:szCs w:val="21"/>
        </w:rPr>
        <w:t>3</w:t>
      </w:r>
      <w:r>
        <w:rPr>
          <w:rFonts w:ascii="宋体" w:hAnsi="宋体"/>
          <w:b/>
          <w:bCs/>
          <w:szCs w:val="21"/>
        </w:rPr>
        <w:t>.</w:t>
      </w:r>
      <w:r>
        <w:rPr>
          <w:rFonts w:hint="eastAsia" w:ascii="宋体" w:hAnsi="宋体"/>
          <w:b/>
          <w:bCs/>
          <w:szCs w:val="21"/>
        </w:rPr>
        <w:t>熟练掌握：</w:t>
      </w:r>
      <w:r>
        <w:rPr>
          <w:rFonts w:hint="eastAsia"/>
          <w:bCs/>
        </w:rPr>
        <w:t>种子的形成和发育成熟；</w:t>
      </w:r>
      <w:r>
        <w:rPr>
          <w:rFonts w:hint="eastAsia"/>
          <w:szCs w:val="21"/>
        </w:rPr>
        <w:t>种子的主要形态构造和类型；主要农作物的种子特点；临界水分、平衡水分，安全水分的概念；影响种子平衡水分的因素；种子休眠的类型和主要原因；种子休眠及其调控；种子寿命和劣变衰老；“顽拗型”种子的寿命与贮藏；种子萌发过程，发芽的概念，子叶出土型和子叶留土型幼苗；吸胀损失，吸胀冷害，发芽温度的三基点，种子萌发要求的条件；种子活力的概念和意义及种子活力测定方法。</w:t>
      </w:r>
    </w:p>
    <w:p>
      <w:pPr>
        <w:snapToGrid w:val="0"/>
        <w:spacing w:line="360" w:lineRule="auto"/>
        <w:rPr>
          <w:rFonts w:ascii="宋体" w:hAnsi="宋体"/>
          <w:b/>
          <w:szCs w:val="21"/>
        </w:rPr>
      </w:pPr>
      <w:r>
        <w:rPr>
          <w:rFonts w:hint="eastAsia" w:ascii="宋体" w:hAnsi="宋体"/>
          <w:b/>
          <w:szCs w:val="21"/>
        </w:rPr>
        <w:t>（二）、考核内容</w:t>
      </w:r>
    </w:p>
    <w:p>
      <w:pPr>
        <w:spacing w:line="360" w:lineRule="auto"/>
        <w:ind w:firstLine="420"/>
        <w:rPr>
          <w:szCs w:val="21"/>
        </w:rPr>
      </w:pPr>
      <w:r>
        <w:rPr>
          <w:rFonts w:hint="eastAsia" w:ascii="宋体" w:hAnsi="宋体"/>
          <w:b/>
          <w:szCs w:val="21"/>
        </w:rPr>
        <w:t>知识：</w:t>
      </w:r>
      <w:r>
        <w:rPr>
          <w:rFonts w:hint="eastAsia"/>
          <w:szCs w:val="21"/>
        </w:rPr>
        <w:t>了解主要作物种子的形态结构、化学含量的组成以及环境条件对种子成分的影响；掌握种子安全水分的概念及其与平衡水分的关系。了解种子休眠的含义；理解种子休眠的类型和原因，以及种子休眠性状的遗传和控制机理；了解种子寿命的含义和类型；理解影响种子寿命的因素及生命力丧失的原因；了解种子寿命的预测方法。掌握种子发芽的概念，以及种子萌发过程中对生态条件（特别是水分）的要求，理解种子萌发的含义及种子萌发的全过程。了解休眠与萌发的关系和影响种子萌发的主要因素</w:t>
      </w:r>
    </w:p>
    <w:p>
      <w:pPr>
        <w:spacing w:line="360" w:lineRule="auto"/>
        <w:ind w:firstLine="420"/>
        <w:rPr>
          <w:szCs w:val="21"/>
        </w:rPr>
      </w:pPr>
      <w:r>
        <w:rPr>
          <w:rFonts w:hint="eastAsia" w:ascii="宋体" w:hAnsi="宋体"/>
          <w:b/>
          <w:szCs w:val="21"/>
        </w:rPr>
        <w:t>能力：</w:t>
      </w:r>
      <w:r>
        <w:rPr>
          <w:rFonts w:hint="eastAsia"/>
          <w:szCs w:val="21"/>
        </w:rPr>
        <w:t>应用其形态结构及化学组成特点，鉴定农作物品种。通过自学，要进一步掌握种子休眠与生活力的关系，掌握农作物种子休眠的原因及破除休眠的一般措施。掌握一些主要农作物种子休眠调控的常用技术。掌握主要农作物种子萌发要求的基本条件。掌握种子生活力的主要影响因素（特别是贮藏环境中水分和温度的影响）及正常型种子与顽拗型种子的区别。</w:t>
      </w:r>
    </w:p>
    <w:p>
      <w:pPr>
        <w:spacing w:line="360" w:lineRule="auto"/>
        <w:ind w:firstLine="420"/>
        <w:rPr>
          <w:szCs w:val="21"/>
        </w:rPr>
      </w:pPr>
      <w:r>
        <w:rPr>
          <w:rFonts w:hint="eastAsia" w:ascii="宋体" w:hAnsi="宋体"/>
          <w:b/>
          <w:szCs w:val="21"/>
        </w:rPr>
        <w:t>素质：</w:t>
      </w:r>
      <w:r>
        <w:rPr>
          <w:rFonts w:hint="eastAsia"/>
        </w:rPr>
        <w:t>掌握种子活力、生活力、发芽力和生命力的差异及种子活力测定的一些常用方法和基本原理。</w:t>
      </w:r>
    </w:p>
    <w:p>
      <w:pPr>
        <w:snapToGrid w:val="0"/>
        <w:spacing w:line="360" w:lineRule="auto"/>
        <w:rPr>
          <w:rFonts w:ascii="宋体" w:hAnsi="宋体"/>
          <w:b/>
          <w:szCs w:val="21"/>
        </w:rPr>
      </w:pPr>
      <w:r>
        <w:rPr>
          <w:rFonts w:hint="eastAsia" w:ascii="宋体" w:hAnsi="宋体"/>
          <w:b/>
          <w:szCs w:val="21"/>
        </w:rPr>
        <w:t>（三）、考核要求</w:t>
      </w:r>
    </w:p>
    <w:p>
      <w:pPr>
        <w:spacing w:line="360" w:lineRule="auto"/>
        <w:ind w:firstLine="422" w:firstLineChars="200"/>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ascii="宋体" w:hAnsi="宋体"/>
          <w:szCs w:val="21"/>
        </w:rPr>
        <w:t>;</w:t>
      </w:r>
      <w:r>
        <w:rPr>
          <w:rFonts w:hint="eastAsia" w:ascii="宋体" w:hAnsi="宋体"/>
          <w:szCs w:val="21"/>
        </w:rPr>
        <w:t>种子形成发育的一般过程，种子成熟的阶段和特征，种子的一般形态构造；根据胚乳、子叶有无分类作物的种子；主要作物种子的形态结构；种子水分的两种状态；临界水分、平衡水分，安全水分的含义；休眠、原生休眠、次生休眠、强迫休眠、静止种子的含义。休眠期；硬实的含义，常见硬实作物。几种主要农作物种子休眠的原因；平均寿命、农业种子寿命的含义，种子生活力与种子寿命；顽拗型种子；种子萌发，吸胀，</w:t>
      </w:r>
      <w:r>
        <w:rPr>
          <w:rFonts w:ascii="宋体" w:hAnsi="宋体"/>
          <w:szCs w:val="21"/>
        </w:rPr>
        <w:t xml:space="preserve"> </w:t>
      </w:r>
      <w:r>
        <w:rPr>
          <w:rFonts w:hint="eastAsia" w:ascii="宋体" w:hAnsi="宋体"/>
          <w:szCs w:val="21"/>
        </w:rPr>
        <w:t>萌动，发芽的概念；吸胀损失，吸胀冷害，发芽的三基点温度；种子活力，种子生活力，种子发芽力的含义；幼苗生长评定，老化试验，四唑（</w:t>
      </w:r>
      <w:r>
        <w:rPr>
          <w:rFonts w:ascii="宋体" w:hAnsi="宋体"/>
          <w:szCs w:val="21"/>
        </w:rPr>
        <w:t>TTC</w:t>
      </w:r>
      <w:r>
        <w:rPr>
          <w:rFonts w:hint="eastAsia" w:ascii="宋体" w:hAnsi="宋体"/>
          <w:szCs w:val="21"/>
        </w:rPr>
        <w:t>）法。作物种子的主要化学成分，粉质种子，油质种子，蛋白质种子的定义；种子的主要营养成分；种子毒物和特殊化学成分的种类；</w:t>
      </w:r>
      <w:r>
        <w:rPr>
          <w:rFonts w:ascii="宋体" w:hAnsi="宋体"/>
          <w:szCs w:val="21"/>
        </w:rPr>
        <w:t>Harrington</w:t>
      </w:r>
      <w:r>
        <w:rPr>
          <w:rFonts w:hint="eastAsia" w:ascii="宋体" w:hAnsi="宋体"/>
          <w:szCs w:val="21"/>
        </w:rPr>
        <w:t>经验法则；种子劣变；种子萌发的物质效率。直、支链淀粉特点，酸价、碘价、酸败的含义；简单蛋白质分类；陈种子；种子新陈度、饱满度的含义；</w:t>
      </w:r>
      <w:r>
        <w:rPr>
          <w:rFonts w:ascii="宋体" w:hAnsi="宋体"/>
          <w:b/>
          <w:szCs w:val="21"/>
        </w:rPr>
        <w:t xml:space="preserve"> </w:t>
      </w:r>
      <w:r>
        <w:rPr>
          <w:rFonts w:hint="eastAsia" w:ascii="宋体" w:hAnsi="宋体"/>
          <w:szCs w:val="21"/>
        </w:rPr>
        <w:t>种子引发，超干种子贮藏，种子超低温贮藏。</w:t>
      </w:r>
    </w:p>
    <w:p>
      <w:pPr>
        <w:spacing w:line="360" w:lineRule="auto"/>
        <w:ind w:firstLine="422" w:firstLineChars="200"/>
        <w:rPr>
          <w:rFonts w:ascii="宋体" w:hAnsi="宋体"/>
          <w:szCs w:val="21"/>
        </w:rPr>
      </w:pPr>
      <w:r>
        <w:rPr>
          <w:rFonts w:ascii="宋体" w:hAnsi="宋体"/>
          <w:b/>
          <w:bCs/>
          <w:szCs w:val="21"/>
        </w:rPr>
        <w:t>2.</w:t>
      </w:r>
      <w:r>
        <w:rPr>
          <w:rFonts w:hint="eastAsia" w:ascii="宋体" w:hAnsi="宋体"/>
          <w:b/>
          <w:bCs/>
          <w:szCs w:val="21"/>
        </w:rPr>
        <w:t>理解：</w:t>
      </w:r>
      <w:r>
        <w:rPr>
          <w:rFonts w:hint="eastAsia" w:ascii="宋体" w:hAnsi="宋体"/>
          <w:szCs w:val="21"/>
        </w:rPr>
        <w:t>几种主要作物种子形成和发育及种子在发育过程中出现的异常现象；种子在成熟过程中的变化；种胚是植株的雏形；种子各部分与花器构造对应的关系；水稻、大豆、棉花等主要农作物种子的外部形态结构和解剖结构；影响种子平衡水分的因素；临界水分、平衡水分，安全水分之间的关系；</w:t>
      </w:r>
      <w:r>
        <w:rPr>
          <w:rFonts w:ascii="宋体" w:hAnsi="宋体"/>
          <w:szCs w:val="21"/>
        </w:rPr>
        <w:t xml:space="preserve"> </w:t>
      </w:r>
      <w:r>
        <w:rPr>
          <w:rFonts w:hint="eastAsia" w:ascii="宋体" w:hAnsi="宋体"/>
          <w:szCs w:val="21"/>
        </w:rPr>
        <w:t>种子休眠的原因和机理；硬实与种皮透性关系；种子休眠控制的意义；物理、化学以及生物学方法破除休眠的原因。种子寿命差异性的原因，常见的几种农作物的寿命类型；产生顽拗型种子的植物种类，以及顽拗型种子贮藏；种子发芽过程与水分吸收的关系；子叶出土型和子叶留土型幼苗形态建成的特点；种子萌发需要充足的水分，适宜的温度和一定光照等生态条件；种子活力、种子生活力、种子发芽力三者间的关系。在种子劣变过程中种子发芽力与活力的关系；各种活力测定方法的原理和结果鉴定标准；不同作物种子化学成分的含量差异，同一作物种子化学成分在种子中的不同分布；种子休眠的不同机理，种子休眠的遗传控制；延长种子休眠期，缩短和解除种子休眠期的原理及方法；种子特性对种子寿命的影响；种子水分与种子寿命的关系；贮藏温度对种子寿命的影响以及其他贮藏环境因素对种子寿命的影响。比较</w:t>
      </w:r>
      <w:r>
        <w:rPr>
          <w:rFonts w:ascii="宋体" w:hAnsi="宋体"/>
          <w:szCs w:val="21"/>
        </w:rPr>
        <w:t>Harrington</w:t>
      </w:r>
      <w:r>
        <w:rPr>
          <w:rFonts w:hint="eastAsia" w:ascii="宋体" w:hAnsi="宋体"/>
          <w:szCs w:val="21"/>
        </w:rPr>
        <w:t>与</w:t>
      </w:r>
      <w:r>
        <w:rPr>
          <w:rFonts w:ascii="宋体" w:hAnsi="宋体"/>
          <w:szCs w:val="21"/>
        </w:rPr>
        <w:t>Roberts</w:t>
      </w:r>
      <w:r>
        <w:rPr>
          <w:rFonts w:hint="eastAsia" w:ascii="宋体" w:hAnsi="宋体"/>
          <w:szCs w:val="21"/>
        </w:rPr>
        <w:t>公式的异同。种子生活力丧失的过程以及影响种子生活力丧失的外因和内因；种子萌发中的物质代谢途径；不同作物种子物质效率的比较；种子活力与出苗整齐度的关系；种子活力与早播的关系；种子活力与节约播种费用的关系；种子活力对产量的影响；种子活力与贮藏性能的关系；影响种子化学成分的因素，环境条件对种子化学成分的影响；可以利用某些作物陈种子的要求和原因；</w:t>
      </w:r>
      <w:r>
        <w:rPr>
          <w:rFonts w:ascii="宋体" w:hAnsi="宋体"/>
          <w:szCs w:val="21"/>
        </w:rPr>
        <w:t>Roberts</w:t>
      </w:r>
      <w:r>
        <w:rPr>
          <w:rFonts w:hint="eastAsia" w:ascii="宋体" w:hAnsi="宋体"/>
          <w:szCs w:val="21"/>
        </w:rPr>
        <w:t>和</w:t>
      </w:r>
      <w:r>
        <w:rPr>
          <w:rFonts w:ascii="宋体" w:hAnsi="宋体"/>
          <w:szCs w:val="21"/>
        </w:rPr>
        <w:t>Ellis</w:t>
      </w:r>
      <w:r>
        <w:rPr>
          <w:rFonts w:hint="eastAsia" w:ascii="宋体" w:hAnsi="宋体"/>
          <w:szCs w:val="21"/>
        </w:rPr>
        <w:t>对种子寿命的推导公式及其公式所表达的含义；种子萌发与休眠的关系，影响种子萌发的生理条件之间的相互关系；遗传基础、发育条件、种子贮藏和播种前对种子处理与种子活力水平的关系。种子引发的生物学意义；种子引发方法及技术。</w:t>
      </w:r>
    </w:p>
    <w:p>
      <w:pPr>
        <w:spacing w:line="360" w:lineRule="auto"/>
        <w:ind w:firstLine="422" w:firstLineChars="200"/>
        <w:rPr>
          <w:rFonts w:ascii="宋体" w:hAnsi="宋体"/>
          <w:szCs w:val="21"/>
        </w:rPr>
      </w:pPr>
      <w:r>
        <w:rPr>
          <w:rFonts w:hint="eastAsia" w:ascii="宋体" w:hAnsi="宋体"/>
          <w:b/>
          <w:bCs/>
          <w:szCs w:val="21"/>
        </w:rPr>
        <w:t>3</w:t>
      </w:r>
      <w:r>
        <w:rPr>
          <w:rFonts w:ascii="宋体" w:hAnsi="宋体"/>
          <w:b/>
          <w:bCs/>
          <w:szCs w:val="21"/>
        </w:rPr>
        <w:t>.</w:t>
      </w:r>
      <w:r>
        <w:rPr>
          <w:rFonts w:hint="eastAsia" w:ascii="宋体" w:hAnsi="宋体"/>
          <w:b/>
          <w:bCs/>
          <w:szCs w:val="21"/>
        </w:rPr>
        <w:t>应用：</w:t>
      </w:r>
      <w:r>
        <w:rPr>
          <w:rFonts w:hint="eastAsia" w:ascii="宋体" w:hAnsi="宋体"/>
          <w:szCs w:val="21"/>
        </w:rPr>
        <w:t>根据种子水分含量高低，提出种子安全贮藏的措施；硬实处理的几种常用方法；利用种子休眠特性贮藏种子；利用物理、化学以及生物学方法控制农作物种子休眠期长短；根据子叶出土型和留土型的萌发特点，确定种子播种方式；用种子活力的测定方法鉴定种子质量。根据种子化学成分的含量进行种子的分类。根据作物的生长发育条件，推测种子营养成分的高低；对种子寿命的预测应用；用各种处理措施提高种子活力。</w:t>
      </w:r>
    </w:p>
    <w:p>
      <w:pPr>
        <w:adjustRightInd w:val="0"/>
        <w:snapToGrid w:val="0"/>
        <w:spacing w:line="360" w:lineRule="auto"/>
        <w:ind w:firstLine="422" w:firstLineChars="200"/>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spacing w:line="360" w:lineRule="auto"/>
        <w:ind w:firstLine="2727"/>
        <w:rPr>
          <w:rFonts w:ascii="宋体" w:hAnsi="宋体"/>
          <w:b/>
          <w:bCs/>
          <w:szCs w:val="21"/>
        </w:rPr>
      </w:pPr>
      <w:r>
        <w:rPr>
          <w:rFonts w:hint="eastAsia" w:ascii="宋体" w:hAnsi="宋体"/>
          <w:b/>
          <w:bCs/>
          <w:szCs w:val="21"/>
        </w:rPr>
        <w:t>第二章  种子生产的原理和技术</w:t>
      </w:r>
    </w:p>
    <w:p>
      <w:pPr>
        <w:pStyle w:val="35"/>
        <w:numPr>
          <w:ilvl w:val="0"/>
          <w:numId w:val="53"/>
        </w:numPr>
        <w:snapToGrid w:val="0"/>
        <w:spacing w:line="360" w:lineRule="auto"/>
        <w:ind w:firstLineChars="0"/>
        <w:rPr>
          <w:rFonts w:ascii="宋体" w:hAnsi="宋体"/>
          <w:b/>
          <w:szCs w:val="21"/>
        </w:rPr>
      </w:pPr>
      <w:r>
        <w:rPr>
          <w:rFonts w:hint="eastAsia" w:ascii="宋体" w:hAnsi="宋体"/>
          <w:b/>
          <w:szCs w:val="21"/>
        </w:rPr>
        <w:t>、学习目标</w:t>
      </w:r>
    </w:p>
    <w:p>
      <w:pPr>
        <w:pStyle w:val="35"/>
        <w:snapToGrid w:val="0"/>
        <w:spacing w:line="360" w:lineRule="auto"/>
        <w:ind w:firstLine="422"/>
        <w:rPr>
          <w:rFonts w:ascii="宋体" w:hAnsi="宋体"/>
          <w:szCs w:val="21"/>
        </w:rPr>
      </w:pPr>
      <w:r>
        <w:rPr>
          <w:rFonts w:hint="eastAsia" w:ascii="宋体" w:hAnsi="宋体"/>
          <w:b/>
          <w:szCs w:val="21"/>
        </w:rPr>
        <w:t>1</w:t>
      </w:r>
      <w:r>
        <w:rPr>
          <w:rFonts w:ascii="宋体" w:hAnsi="宋体"/>
          <w:b/>
          <w:szCs w:val="21"/>
        </w:rPr>
        <w:t>.</w:t>
      </w:r>
      <w:r>
        <w:rPr>
          <w:rFonts w:hint="eastAsia" w:ascii="宋体" w:hAnsi="宋体"/>
          <w:b/>
          <w:szCs w:val="21"/>
        </w:rPr>
        <w:t>一般掌握</w:t>
      </w:r>
      <w:r>
        <w:rPr>
          <w:rFonts w:hint="eastAsia" w:ascii="宋体" w:hAnsi="宋体"/>
          <w:szCs w:val="21"/>
        </w:rPr>
        <w:t>：种子生产原理和生产技术，作物杂种优势利用的制种技术和现代化的种子生产技术。</w:t>
      </w:r>
      <w:r>
        <w:rPr>
          <w:rFonts w:ascii="宋体" w:hAnsi="宋体"/>
          <w:szCs w:val="21"/>
        </w:rPr>
        <w:t xml:space="preserve"> </w:t>
      </w:r>
    </w:p>
    <w:p>
      <w:pPr>
        <w:pStyle w:val="35"/>
        <w:snapToGrid w:val="0"/>
        <w:spacing w:line="360" w:lineRule="auto"/>
        <w:ind w:firstLine="422"/>
        <w:rPr>
          <w:rFonts w:ascii="宋体" w:hAnsi="宋体"/>
          <w:b/>
          <w:szCs w:val="21"/>
        </w:rPr>
      </w:pPr>
      <w:r>
        <w:rPr>
          <w:rFonts w:hint="eastAsia" w:ascii="宋体" w:hAnsi="宋体"/>
          <w:b/>
          <w:szCs w:val="21"/>
        </w:rPr>
        <w:t>2. 熟悉掌握</w:t>
      </w:r>
      <w:r>
        <w:rPr>
          <w:rFonts w:hint="eastAsia" w:ascii="宋体" w:hAnsi="宋体"/>
          <w:szCs w:val="21"/>
        </w:rPr>
        <w:t xml:space="preserve">：各类作物的先进繁殖技术，讨论高产、高效、生产出优良品种的优质的种子或种苗的生产技术。 </w:t>
      </w:r>
    </w:p>
    <w:p>
      <w:pPr>
        <w:snapToGrid w:val="0"/>
        <w:spacing w:line="360" w:lineRule="auto"/>
        <w:rPr>
          <w:rFonts w:ascii="宋体" w:hAnsi="宋体"/>
          <w:b/>
          <w:szCs w:val="21"/>
        </w:rPr>
      </w:pPr>
      <w:r>
        <w:rPr>
          <w:rFonts w:hint="eastAsia" w:ascii="宋体" w:hAnsi="宋体"/>
          <w:b/>
          <w:szCs w:val="21"/>
        </w:rPr>
        <w:t>（二）、考核内容</w:t>
      </w:r>
    </w:p>
    <w:p>
      <w:pPr>
        <w:snapToGrid w:val="0"/>
        <w:spacing w:line="360" w:lineRule="auto"/>
        <w:ind w:firstLine="422" w:firstLineChars="200"/>
        <w:rPr>
          <w:bCs/>
        </w:rPr>
      </w:pPr>
      <w:r>
        <w:rPr>
          <w:rFonts w:hint="eastAsia" w:ascii="宋体" w:hAnsi="宋体"/>
          <w:b/>
          <w:szCs w:val="21"/>
        </w:rPr>
        <w:t>知识：</w:t>
      </w:r>
      <w:r>
        <w:rPr>
          <w:rFonts w:hint="eastAsia"/>
          <w:bCs/>
        </w:rPr>
        <w:t>种子生产原理和生态条件，种子级别的分类；自花授粉和异花授粉作物种子生产原理。</w:t>
      </w:r>
    </w:p>
    <w:p>
      <w:pPr>
        <w:snapToGrid w:val="0"/>
        <w:spacing w:line="360" w:lineRule="auto"/>
        <w:ind w:firstLine="422" w:firstLineChars="200"/>
        <w:rPr>
          <w:rFonts w:ascii="宋体" w:hAnsi="宋体"/>
          <w:szCs w:val="21"/>
        </w:rPr>
      </w:pPr>
      <w:r>
        <w:rPr>
          <w:rFonts w:hint="eastAsia" w:ascii="宋体" w:hAnsi="宋体"/>
          <w:b/>
          <w:szCs w:val="21"/>
        </w:rPr>
        <w:t>能力：</w:t>
      </w:r>
      <w:r>
        <w:rPr>
          <w:rFonts w:hint="eastAsia"/>
          <w:bCs/>
        </w:rPr>
        <w:t>自花授粉和异花授粉作物种子生产技术。</w:t>
      </w:r>
    </w:p>
    <w:p>
      <w:pPr>
        <w:snapToGrid w:val="0"/>
        <w:spacing w:line="360" w:lineRule="auto"/>
        <w:rPr>
          <w:rFonts w:ascii="宋体" w:hAnsi="宋体"/>
          <w:b/>
          <w:szCs w:val="21"/>
        </w:rPr>
      </w:pPr>
      <w:r>
        <w:rPr>
          <w:rFonts w:hint="eastAsia" w:ascii="宋体" w:hAnsi="宋体"/>
          <w:b/>
          <w:szCs w:val="21"/>
        </w:rPr>
        <w:t>（三）、考核要求</w:t>
      </w:r>
    </w:p>
    <w:p>
      <w:pPr>
        <w:spacing w:line="360" w:lineRule="auto"/>
        <w:ind w:firstLine="422" w:firstLineChars="200"/>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ascii="宋体" w:hAnsi="宋体"/>
          <w:b/>
          <w:bCs/>
          <w:szCs w:val="21"/>
        </w:rPr>
        <w:t xml:space="preserve"> </w:t>
      </w:r>
      <w:r>
        <w:rPr>
          <w:rFonts w:hint="eastAsia" w:ascii="宋体" w:hAnsi="宋体"/>
          <w:szCs w:val="21"/>
        </w:rPr>
        <w:t>育种家种子，原种，良种；机械混杂，生物学混杂；三系，机械混杂，生物学混杂，品种退化，</w:t>
      </w:r>
      <w:r>
        <w:rPr>
          <w:rFonts w:hint="eastAsia" w:ascii="宋体" w:hAnsi="宋体"/>
          <w:bCs/>
          <w:szCs w:val="21"/>
        </w:rPr>
        <w:t>种子繁殖和生产的概念、任务，品种的经济类别特性。品种区域试验，生产试验；纯系学说，杂种优势，无性繁殖、有性繁殖，无性系种子，</w:t>
      </w:r>
      <w:r>
        <w:rPr>
          <w:rFonts w:hint="eastAsia" w:ascii="宋体" w:hAnsi="宋体"/>
          <w:szCs w:val="21"/>
        </w:rPr>
        <w:t>有性繁殖方式、无性繁殖方式，园艺植物种子的特点。</w:t>
      </w:r>
    </w:p>
    <w:p>
      <w:pPr>
        <w:spacing w:line="360" w:lineRule="auto"/>
        <w:ind w:firstLine="422" w:firstLineChars="200"/>
        <w:rPr>
          <w:rFonts w:ascii="宋体" w:hAnsi="宋体"/>
          <w:bCs/>
          <w:szCs w:val="21"/>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ascii="宋体" w:hAnsi="宋体"/>
          <w:b/>
          <w:szCs w:val="21"/>
        </w:rPr>
        <w:t xml:space="preserve"> </w:t>
      </w:r>
      <w:r>
        <w:rPr>
          <w:rFonts w:hint="eastAsia" w:ascii="宋体" w:hAnsi="宋体"/>
          <w:szCs w:val="21"/>
        </w:rPr>
        <w:t>种子生产的意义，品种混杂退化的原因，种子生产的生态条件和建立种子生产基地的条件要求。</w:t>
      </w:r>
      <w:r>
        <w:rPr>
          <w:rFonts w:ascii="宋体" w:hAnsi="宋体"/>
          <w:b/>
          <w:bCs/>
          <w:szCs w:val="21"/>
        </w:rPr>
        <w:t xml:space="preserve"> </w:t>
      </w:r>
      <w:r>
        <w:rPr>
          <w:rFonts w:hint="eastAsia" w:ascii="宋体" w:hAnsi="宋体"/>
          <w:bCs/>
          <w:szCs w:val="21"/>
        </w:rPr>
        <w:t>品种的区域试验和生产试验的概念、意义、技术操作要点和品种推广制度，区域试验和生产试验的作用和任务；纯系学说在种子生产中的指导意义，杂种优势理论和利用；无性繁殖作物的遗传特点，</w:t>
      </w:r>
      <w:r>
        <w:rPr>
          <w:rFonts w:hint="eastAsia" w:ascii="宋体" w:hAnsi="宋体"/>
          <w:b/>
          <w:szCs w:val="21"/>
        </w:rPr>
        <w:t>：</w:t>
      </w:r>
      <w:r>
        <w:rPr>
          <w:rFonts w:hint="eastAsia" w:ascii="宋体" w:hAnsi="宋体"/>
          <w:szCs w:val="21"/>
        </w:rPr>
        <w:t>自花授粉作物、异花授粉作物、常异花授粉作物繁殖方式及其遗传特点；营养体、无融合生殖繁殖方式和遗传特点。</w:t>
      </w:r>
    </w:p>
    <w:p>
      <w:pPr>
        <w:spacing w:line="360" w:lineRule="auto"/>
        <w:ind w:firstLine="422" w:firstLineChars="200"/>
        <w:rPr>
          <w:rFonts w:ascii="宋体" w:hAnsi="宋体"/>
          <w:szCs w:val="21"/>
        </w:rPr>
      </w:pPr>
      <w:r>
        <w:rPr>
          <w:rFonts w:hint="eastAsia" w:ascii="宋体" w:hAnsi="宋体"/>
          <w:b/>
          <w:bCs/>
          <w:szCs w:val="21"/>
        </w:rPr>
        <w:t>3</w:t>
      </w:r>
      <w:r>
        <w:rPr>
          <w:rFonts w:ascii="宋体" w:hAnsi="宋体"/>
          <w:b/>
          <w:bCs/>
          <w:szCs w:val="21"/>
        </w:rPr>
        <w:t>.</w:t>
      </w:r>
      <w:r>
        <w:rPr>
          <w:rFonts w:hint="eastAsia" w:ascii="宋体" w:hAnsi="宋体"/>
          <w:b/>
          <w:bCs/>
          <w:szCs w:val="21"/>
        </w:rPr>
        <w:t>应用：</w:t>
      </w:r>
      <w:r>
        <w:rPr>
          <w:rFonts w:ascii="宋体" w:hAnsi="宋体"/>
          <w:b/>
          <w:szCs w:val="21"/>
        </w:rPr>
        <w:t xml:space="preserve"> </w:t>
      </w:r>
      <w:r>
        <w:rPr>
          <w:rFonts w:hint="eastAsia" w:ascii="宋体" w:hAnsi="宋体"/>
          <w:szCs w:val="21"/>
        </w:rPr>
        <w:t>常规种子生产，三系杂交制种技术，</w:t>
      </w:r>
      <w:r>
        <w:rPr>
          <w:rFonts w:hint="eastAsia" w:ascii="宋体" w:hAnsi="宋体"/>
          <w:bCs/>
          <w:szCs w:val="21"/>
        </w:rPr>
        <w:t>杂交制种技术在生产上的利用。园艺植物</w:t>
      </w:r>
      <w:r>
        <w:rPr>
          <w:rFonts w:hint="eastAsia" w:ascii="宋体" w:hAnsi="宋体"/>
          <w:szCs w:val="21"/>
        </w:rPr>
        <w:t>种子生产的农业技术。</w:t>
      </w:r>
    </w:p>
    <w:p>
      <w:pPr>
        <w:adjustRightInd w:val="0"/>
        <w:snapToGrid w:val="0"/>
        <w:spacing w:line="360" w:lineRule="auto"/>
        <w:ind w:firstLine="422" w:firstLineChars="200"/>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spacing w:line="360" w:lineRule="auto"/>
        <w:ind w:firstLine="620"/>
        <w:rPr>
          <w:rFonts w:ascii="宋体" w:hAnsi="宋体"/>
          <w:szCs w:val="21"/>
        </w:rPr>
      </w:pPr>
    </w:p>
    <w:p>
      <w:pPr>
        <w:spacing w:line="360" w:lineRule="auto"/>
        <w:jc w:val="center"/>
        <w:rPr>
          <w:rFonts w:ascii="宋体" w:hAnsi="宋体"/>
          <w:b/>
          <w:szCs w:val="21"/>
        </w:rPr>
      </w:pPr>
      <w:r>
        <w:rPr>
          <w:rFonts w:hint="eastAsia" w:ascii="宋体" w:hAnsi="宋体"/>
          <w:b/>
          <w:szCs w:val="21"/>
        </w:rPr>
        <w:t>第三章</w:t>
      </w:r>
      <w:r>
        <w:rPr>
          <w:rFonts w:ascii="宋体" w:hAnsi="宋体"/>
          <w:b/>
          <w:szCs w:val="21"/>
        </w:rPr>
        <w:t xml:space="preserve"> </w:t>
      </w:r>
      <w:r>
        <w:rPr>
          <w:rFonts w:hint="eastAsia" w:ascii="宋体" w:hAnsi="宋体"/>
          <w:b/>
          <w:szCs w:val="21"/>
        </w:rPr>
        <w:t>种子检验原理和技术</w:t>
      </w:r>
    </w:p>
    <w:p>
      <w:pPr>
        <w:snapToGrid w:val="0"/>
        <w:spacing w:line="360" w:lineRule="auto"/>
        <w:rPr>
          <w:rFonts w:ascii="宋体" w:hAnsi="宋体"/>
          <w:b/>
          <w:szCs w:val="21"/>
        </w:rPr>
      </w:pPr>
      <w:r>
        <w:rPr>
          <w:rFonts w:hint="eastAsia" w:ascii="宋体" w:hAnsi="宋体"/>
          <w:b/>
          <w:szCs w:val="21"/>
        </w:rPr>
        <w:t>（一）、学习目标</w:t>
      </w:r>
    </w:p>
    <w:p>
      <w:pPr>
        <w:pStyle w:val="35"/>
        <w:snapToGrid w:val="0"/>
        <w:spacing w:line="360" w:lineRule="auto"/>
        <w:ind w:firstLine="422"/>
        <w:rPr>
          <w:rFonts w:ascii="宋体" w:hAnsi="宋体"/>
          <w:szCs w:val="21"/>
        </w:rPr>
      </w:pPr>
      <w:r>
        <w:rPr>
          <w:rFonts w:hint="eastAsia" w:ascii="宋体" w:hAnsi="宋体"/>
          <w:b/>
          <w:szCs w:val="21"/>
        </w:rPr>
        <w:t>1.一般了解</w:t>
      </w:r>
      <w:r>
        <w:rPr>
          <w:rFonts w:hint="eastAsia" w:ascii="宋体" w:hAnsi="宋体"/>
          <w:szCs w:val="21"/>
        </w:rPr>
        <w:t>：</w:t>
      </w:r>
      <w:r>
        <w:rPr>
          <w:rFonts w:ascii="宋体" w:hAnsi="宋体"/>
          <w:szCs w:val="21"/>
        </w:rPr>
        <w:t xml:space="preserve"> </w:t>
      </w:r>
      <w:r>
        <w:rPr>
          <w:rFonts w:hint="eastAsia"/>
          <w:szCs w:val="21"/>
        </w:rPr>
        <w:t>种子检验和标准化的内容和意义；</w:t>
      </w:r>
    </w:p>
    <w:p>
      <w:pPr>
        <w:pStyle w:val="35"/>
        <w:snapToGrid w:val="0"/>
        <w:spacing w:line="360" w:lineRule="auto"/>
        <w:ind w:firstLine="422"/>
        <w:rPr>
          <w:rFonts w:ascii="宋体" w:hAnsi="宋体"/>
          <w:szCs w:val="21"/>
        </w:rPr>
      </w:pPr>
      <w:r>
        <w:rPr>
          <w:rFonts w:hint="eastAsia" w:ascii="宋体" w:hAnsi="宋体"/>
          <w:b/>
          <w:szCs w:val="21"/>
        </w:rPr>
        <w:t>2.一般掌握</w:t>
      </w:r>
      <w:r>
        <w:rPr>
          <w:rFonts w:hint="eastAsia" w:ascii="宋体" w:hAnsi="宋体"/>
          <w:szCs w:val="21"/>
        </w:rPr>
        <w:t>：</w:t>
      </w:r>
      <w:r>
        <w:rPr>
          <w:rFonts w:ascii="宋体" w:hAnsi="宋体"/>
          <w:szCs w:val="21"/>
        </w:rPr>
        <w:t xml:space="preserve"> </w:t>
      </w:r>
      <w:r>
        <w:rPr>
          <w:rFonts w:hint="eastAsia"/>
          <w:szCs w:val="21"/>
        </w:rPr>
        <w:t>我国种子质量的内涵和分级标准；种子净度、纯度、发芽率和水分等主要质量项目检验的方法和依据。</w:t>
      </w:r>
    </w:p>
    <w:p>
      <w:pPr>
        <w:snapToGrid w:val="0"/>
        <w:spacing w:line="360" w:lineRule="auto"/>
        <w:rPr>
          <w:rFonts w:ascii="宋体" w:hAnsi="宋体"/>
          <w:b/>
          <w:szCs w:val="21"/>
        </w:rPr>
      </w:pPr>
      <w:r>
        <w:rPr>
          <w:rFonts w:hint="eastAsia" w:ascii="宋体" w:hAnsi="宋体"/>
          <w:b/>
          <w:szCs w:val="21"/>
        </w:rPr>
        <w:t>（二）、考核内容</w:t>
      </w:r>
    </w:p>
    <w:p>
      <w:pPr>
        <w:spacing w:line="360" w:lineRule="auto"/>
        <w:ind w:firstLine="422" w:firstLineChars="200"/>
        <w:rPr>
          <w:rFonts w:ascii="宋体" w:hAnsi="宋体"/>
          <w:szCs w:val="21"/>
        </w:rPr>
      </w:pPr>
      <w:r>
        <w:rPr>
          <w:rFonts w:hint="eastAsia" w:ascii="宋体" w:hAnsi="宋体"/>
          <w:b/>
          <w:szCs w:val="21"/>
        </w:rPr>
        <w:t>知识：</w:t>
      </w:r>
      <w:r>
        <w:rPr>
          <w:rFonts w:hint="eastAsia" w:ascii="宋体" w:hAnsi="宋体"/>
          <w:szCs w:val="21"/>
        </w:rPr>
        <w:t>要求掌握我国种子质量的内涵和分级标准；了解</w:t>
      </w:r>
      <w:bookmarkStart w:id="1460" w:name="_Hlk41144777"/>
      <w:r>
        <w:rPr>
          <w:rFonts w:hint="eastAsia" w:ascii="宋体" w:hAnsi="宋体"/>
          <w:szCs w:val="21"/>
        </w:rPr>
        <w:t>种子检验和标准化的内容和意义</w:t>
      </w:r>
      <w:bookmarkEnd w:id="1460"/>
      <w:r>
        <w:rPr>
          <w:rFonts w:hint="eastAsia" w:ascii="宋体" w:hAnsi="宋体"/>
          <w:szCs w:val="21"/>
        </w:rPr>
        <w:t>；理解种子各种检验方法的基本原理。</w:t>
      </w:r>
    </w:p>
    <w:p>
      <w:pPr>
        <w:spacing w:line="360" w:lineRule="auto"/>
        <w:ind w:firstLine="422" w:firstLineChars="200"/>
        <w:rPr>
          <w:rFonts w:ascii="宋体" w:hAnsi="宋体"/>
          <w:szCs w:val="21"/>
        </w:rPr>
      </w:pPr>
      <w:r>
        <w:rPr>
          <w:rFonts w:hint="eastAsia" w:ascii="宋体" w:hAnsi="宋体"/>
          <w:b/>
          <w:szCs w:val="21"/>
        </w:rPr>
        <w:t>能力：</w:t>
      </w:r>
      <w:r>
        <w:rPr>
          <w:rFonts w:hint="eastAsia" w:ascii="宋体" w:hAnsi="宋体"/>
          <w:szCs w:val="21"/>
        </w:rPr>
        <w:t>掌握种子净度、纯度、发芽率和水分等主要质量项目检验的方法和依据。掌握种子检验的一般程序以及种子扦样的基本原则。</w:t>
      </w:r>
    </w:p>
    <w:p>
      <w:pPr>
        <w:spacing w:line="360" w:lineRule="auto"/>
        <w:ind w:firstLine="422" w:firstLineChars="200"/>
        <w:rPr>
          <w:rFonts w:ascii="宋体" w:hAnsi="宋体"/>
          <w:szCs w:val="21"/>
        </w:rPr>
      </w:pPr>
      <w:r>
        <w:rPr>
          <w:rFonts w:hint="eastAsia" w:ascii="宋体" w:hAnsi="宋体"/>
          <w:b/>
          <w:szCs w:val="21"/>
        </w:rPr>
        <w:t>素质：</w:t>
      </w:r>
      <w:r>
        <w:rPr>
          <w:rFonts w:hint="eastAsia" w:ascii="宋体" w:hAnsi="宋体"/>
          <w:szCs w:val="21"/>
        </w:rPr>
        <w:t>种子检验的基本方法。</w:t>
      </w:r>
    </w:p>
    <w:p>
      <w:pPr>
        <w:snapToGrid w:val="0"/>
        <w:spacing w:line="360" w:lineRule="auto"/>
        <w:rPr>
          <w:rFonts w:ascii="宋体" w:hAnsi="宋体"/>
          <w:b/>
          <w:kern w:val="0"/>
          <w:szCs w:val="21"/>
        </w:rPr>
      </w:pPr>
      <w:r>
        <w:rPr>
          <w:rFonts w:hint="eastAsia" w:ascii="宋体" w:hAnsi="宋体"/>
          <w:b/>
          <w:kern w:val="0"/>
          <w:szCs w:val="21"/>
        </w:rPr>
        <w:t>（三）、考核要求</w:t>
      </w:r>
    </w:p>
    <w:p>
      <w:pPr>
        <w:spacing w:line="360" w:lineRule="auto"/>
        <w:ind w:firstLine="628"/>
        <w:rPr>
          <w:rFonts w:ascii="宋体" w:hAnsi="宋体"/>
          <w:szCs w:val="21"/>
        </w:rPr>
      </w:pPr>
      <w:r>
        <w:rPr>
          <w:rFonts w:ascii="宋体" w:hAnsi="宋体"/>
          <w:b/>
          <w:bCs/>
          <w:szCs w:val="21"/>
        </w:rPr>
        <w:t>1.</w:t>
      </w:r>
      <w:r>
        <w:rPr>
          <w:rFonts w:hint="eastAsia" w:ascii="宋体" w:hAnsi="宋体"/>
          <w:b/>
          <w:bCs/>
          <w:szCs w:val="21"/>
        </w:rPr>
        <w:t>识记：</w:t>
      </w:r>
      <w:r>
        <w:rPr>
          <w:rFonts w:hint="eastAsia" w:ascii="宋体" w:hAnsi="宋体"/>
          <w:szCs w:val="21"/>
        </w:rPr>
        <w:t>扦样，异质性测定，种子批，混合样品，送验样品，试验样品（试样）。种子净度，净种子，其他作物种子，大型杂质。发芽势，发芽率，</w:t>
      </w:r>
      <w:r>
        <w:rPr>
          <w:rFonts w:ascii="宋体" w:hAnsi="宋体"/>
          <w:szCs w:val="21"/>
        </w:rPr>
        <w:t>50%</w:t>
      </w:r>
      <w:r>
        <w:rPr>
          <w:rFonts w:hint="eastAsia" w:ascii="宋体" w:hAnsi="宋体"/>
          <w:szCs w:val="21"/>
        </w:rPr>
        <w:t>规则。种子水分，烘干减重法。品种纯度、种子真实性、品种纯度的含义。四唑染色法。种子检验，种子品质，品种品质，播种品质，种子质量，种子质量标准化。田间检验，室内检验，田间小区鉴定，种子检验的三大步骤。种子健康度，种子千粒重，千粒重测定。</w:t>
      </w:r>
    </w:p>
    <w:p>
      <w:pPr>
        <w:spacing w:line="360" w:lineRule="auto"/>
        <w:ind w:firstLine="620"/>
        <w:rPr>
          <w:rFonts w:ascii="宋体" w:hAnsi="宋体"/>
          <w:szCs w:val="21"/>
        </w:rPr>
      </w:pPr>
      <w:r>
        <w:rPr>
          <w:rFonts w:ascii="宋体" w:hAnsi="宋体"/>
          <w:b/>
          <w:bCs/>
          <w:szCs w:val="21"/>
        </w:rPr>
        <w:t>2.</w:t>
      </w:r>
      <w:r>
        <w:rPr>
          <w:rFonts w:hint="eastAsia" w:ascii="宋体" w:hAnsi="宋体"/>
          <w:b/>
          <w:bCs/>
          <w:szCs w:val="21"/>
        </w:rPr>
        <w:t>理解：</w:t>
      </w:r>
      <w:r>
        <w:rPr>
          <w:rFonts w:hint="eastAsia" w:ascii="宋体" w:hAnsi="宋体"/>
          <w:szCs w:val="21"/>
        </w:rPr>
        <w:t>扦样的目的和原则，扦样的程序，种子批划分的作用。了解混合样品、送验样品，试验样品的配置，以及备份样品保存的方法和目的。净度分析要求试样的最低重量，净度分析的一般步骤，种子净度分析的意义。种子净度分析结果的处理。发芽试验步骤，发芽试验的作用，正常幼苗的含义。发芽床应具备的基本要求；重新发芽的几种情况；发芽率结果计算与分析。种子水分测定方法的原理和步骤，烘干减重法与电子快速水分仪法的操作，预烘法的含义。田间检验的时期和步骤，结果分析，室内纯度检验的依据和方法，籽粒形态和幼苗形态鉴定的方法，田间小区鉴定的种植要求，电泳法检验品种纯度的基本原理。几种生活力测定的原理和方法，四唑染色法的试剂和原理；休眠与生活力的关系。种子标准化与质量分级，种子质量内容的发展。种子检验内容与种子检验的作用。田间检验、室内检验、田间小区鉴定的目的和要求。各种种子健康检验方法与适用的病虫害对象。种子千粒重测定方法。包衣种子的检验方法。</w:t>
      </w:r>
    </w:p>
    <w:p>
      <w:pPr>
        <w:spacing w:line="360" w:lineRule="auto"/>
        <w:ind w:firstLine="620"/>
        <w:rPr>
          <w:rFonts w:ascii="宋体" w:hAnsi="宋体"/>
          <w:szCs w:val="21"/>
        </w:rPr>
      </w:pPr>
      <w:r>
        <w:rPr>
          <w:rFonts w:ascii="宋体" w:hAnsi="宋体"/>
          <w:szCs w:val="21"/>
        </w:rPr>
        <w:t>3.</w:t>
      </w:r>
      <w:r>
        <w:rPr>
          <w:rFonts w:hint="eastAsia" w:ascii="宋体" w:hAnsi="宋体"/>
          <w:b/>
          <w:bCs/>
          <w:szCs w:val="21"/>
        </w:rPr>
        <w:t>应用：</w:t>
      </w:r>
      <w:r>
        <w:rPr>
          <w:rFonts w:hint="eastAsia" w:ascii="宋体" w:hAnsi="宋体"/>
          <w:szCs w:val="21"/>
        </w:rPr>
        <w:t>对几种主要作物种子的净度分析。主要作物种子的标准发芽实验方法及正常幼苗的特点。利用电阻式（电容式）水分测定仪对几种主要作物种子的水分测定。应用不同检验方法鉴定作物种类与种子纯度。几种主要作物种子生活力测定。种子检验的原理应用。对种子病虫害感染等健康检验。</w:t>
      </w:r>
    </w:p>
    <w:p>
      <w:pPr>
        <w:spacing w:line="360" w:lineRule="auto"/>
        <w:ind w:firstLine="620"/>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spacing w:line="360" w:lineRule="auto"/>
        <w:jc w:val="center"/>
        <w:rPr>
          <w:rFonts w:ascii="宋体" w:hAnsi="宋体"/>
          <w:b/>
          <w:szCs w:val="21"/>
        </w:rPr>
      </w:pPr>
      <w:r>
        <w:rPr>
          <w:rFonts w:hint="eastAsia" w:ascii="宋体" w:hAnsi="宋体"/>
          <w:b/>
          <w:szCs w:val="21"/>
        </w:rPr>
        <w:t>第四章 种子加工的原理和技术</w:t>
      </w:r>
    </w:p>
    <w:p>
      <w:pPr>
        <w:pStyle w:val="35"/>
        <w:numPr>
          <w:ilvl w:val="0"/>
          <w:numId w:val="54"/>
        </w:numPr>
        <w:snapToGrid w:val="0"/>
        <w:spacing w:line="360" w:lineRule="auto"/>
        <w:ind w:firstLineChars="0"/>
        <w:rPr>
          <w:rFonts w:ascii="宋体" w:hAnsi="宋体"/>
          <w:b/>
          <w:szCs w:val="21"/>
        </w:rPr>
      </w:pPr>
      <w:r>
        <w:rPr>
          <w:rFonts w:hint="eastAsia" w:ascii="宋体" w:hAnsi="宋体"/>
          <w:b/>
          <w:szCs w:val="21"/>
        </w:rPr>
        <w:t>、学习目标</w:t>
      </w:r>
    </w:p>
    <w:p>
      <w:pPr>
        <w:pStyle w:val="35"/>
        <w:snapToGrid w:val="0"/>
        <w:spacing w:line="360" w:lineRule="auto"/>
        <w:ind w:firstLine="422"/>
        <w:rPr>
          <w:rFonts w:ascii="宋体" w:hAnsi="宋体"/>
          <w:szCs w:val="21"/>
        </w:rPr>
      </w:pPr>
      <w:r>
        <w:rPr>
          <w:rFonts w:hint="eastAsia" w:ascii="宋体" w:hAnsi="宋体"/>
          <w:b/>
          <w:szCs w:val="21"/>
        </w:rPr>
        <w:t>1.一般了解</w:t>
      </w:r>
      <w:r>
        <w:rPr>
          <w:rFonts w:hint="eastAsia" w:ascii="宋体" w:hAnsi="宋体"/>
          <w:szCs w:val="21"/>
        </w:rPr>
        <w:t>：种子加工的原理、技术和一般程序，种子清选分级和干燥包装的作用和要求。</w:t>
      </w:r>
      <w:r>
        <w:rPr>
          <w:rFonts w:ascii="宋体" w:hAnsi="宋体"/>
          <w:szCs w:val="21"/>
        </w:rPr>
        <w:t xml:space="preserve"> </w:t>
      </w:r>
    </w:p>
    <w:p>
      <w:pPr>
        <w:pStyle w:val="35"/>
        <w:snapToGrid w:val="0"/>
        <w:spacing w:line="360" w:lineRule="auto"/>
        <w:ind w:firstLine="422"/>
        <w:rPr>
          <w:rFonts w:ascii="宋体" w:hAnsi="宋体"/>
          <w:b/>
          <w:szCs w:val="21"/>
        </w:rPr>
      </w:pPr>
      <w:r>
        <w:rPr>
          <w:rFonts w:hint="eastAsia" w:ascii="宋体" w:hAnsi="宋体"/>
          <w:b/>
          <w:szCs w:val="21"/>
        </w:rPr>
        <w:t>2. 一般掌握</w:t>
      </w:r>
      <w:r>
        <w:rPr>
          <w:rFonts w:hint="eastAsia" w:ascii="宋体" w:hAnsi="宋体"/>
          <w:szCs w:val="21"/>
        </w:rPr>
        <w:t>： 种子处理的作用，种子处理的几种常用方法，特别是种子包衣的作用和方法。</w:t>
      </w:r>
    </w:p>
    <w:p>
      <w:pPr>
        <w:snapToGrid w:val="0"/>
        <w:spacing w:line="360" w:lineRule="auto"/>
        <w:rPr>
          <w:rFonts w:ascii="宋体" w:hAnsi="宋体"/>
          <w:b/>
          <w:szCs w:val="21"/>
        </w:rPr>
      </w:pPr>
      <w:r>
        <w:rPr>
          <w:rFonts w:hint="eastAsia" w:ascii="宋体" w:hAnsi="宋体"/>
          <w:b/>
          <w:szCs w:val="21"/>
        </w:rPr>
        <w:t>（二）、考核内容</w:t>
      </w:r>
    </w:p>
    <w:p>
      <w:pPr>
        <w:snapToGrid w:val="0"/>
        <w:spacing w:line="360" w:lineRule="auto"/>
        <w:rPr>
          <w:rFonts w:ascii="宋体" w:hAnsi="宋体"/>
          <w:b/>
          <w:szCs w:val="21"/>
        </w:rPr>
      </w:pPr>
      <w:r>
        <w:rPr>
          <w:rFonts w:hint="eastAsia" w:ascii="宋体" w:hAnsi="宋体"/>
          <w:b/>
          <w:szCs w:val="21"/>
        </w:rPr>
        <w:t xml:space="preserve"> </w:t>
      </w:r>
      <w:r>
        <w:rPr>
          <w:rFonts w:ascii="宋体" w:hAnsi="宋体"/>
          <w:b/>
          <w:szCs w:val="21"/>
        </w:rPr>
        <w:t xml:space="preserve">   </w:t>
      </w:r>
      <w:r>
        <w:rPr>
          <w:rFonts w:hint="eastAsia" w:ascii="宋体" w:hAnsi="宋体"/>
          <w:b/>
          <w:szCs w:val="21"/>
        </w:rPr>
        <w:t>知识：</w:t>
      </w:r>
      <w:r>
        <w:rPr>
          <w:rFonts w:hint="eastAsia"/>
          <w:szCs w:val="21"/>
        </w:rPr>
        <w:t>种子清洗、精选原理；种子干燥的原理；种子处理和包衣技术原理。</w:t>
      </w:r>
    </w:p>
    <w:p>
      <w:pPr>
        <w:snapToGrid w:val="0"/>
        <w:spacing w:line="360" w:lineRule="auto"/>
        <w:ind w:firstLine="422" w:firstLineChars="200"/>
        <w:rPr>
          <w:szCs w:val="21"/>
        </w:rPr>
      </w:pPr>
      <w:r>
        <w:rPr>
          <w:rFonts w:hint="eastAsia" w:ascii="宋体" w:hAnsi="宋体"/>
          <w:b/>
          <w:szCs w:val="21"/>
        </w:rPr>
        <w:t>能力：</w:t>
      </w:r>
      <w:r>
        <w:rPr>
          <w:rFonts w:hint="eastAsia"/>
          <w:szCs w:val="21"/>
        </w:rPr>
        <w:t>种子清洗、精选技术；种子干燥的方法；种子处理和包衣技术。</w:t>
      </w:r>
    </w:p>
    <w:p>
      <w:pPr>
        <w:snapToGrid w:val="0"/>
        <w:spacing w:line="360" w:lineRule="auto"/>
        <w:ind w:firstLine="422" w:firstLineChars="200"/>
        <w:rPr>
          <w:rFonts w:ascii="宋体" w:hAnsi="宋体"/>
          <w:b/>
          <w:szCs w:val="21"/>
        </w:rPr>
      </w:pPr>
      <w:r>
        <w:rPr>
          <w:rFonts w:hint="eastAsia" w:ascii="宋体" w:hAnsi="宋体"/>
          <w:b/>
          <w:szCs w:val="21"/>
        </w:rPr>
        <w:t>素质：</w:t>
      </w:r>
      <w:r>
        <w:rPr>
          <w:rFonts w:hint="eastAsia"/>
          <w:szCs w:val="21"/>
        </w:rPr>
        <w:t>种子加工的涵义及在农业生产上的意义；种子包装材料。</w:t>
      </w:r>
      <w:r>
        <w:rPr>
          <w:rFonts w:hint="eastAsia"/>
          <w:bCs/>
        </w:rPr>
        <w:t>种子加工厂和机械设备；种子商品的特性和价值。</w:t>
      </w:r>
    </w:p>
    <w:p>
      <w:pPr>
        <w:snapToGrid w:val="0"/>
        <w:spacing w:line="360" w:lineRule="auto"/>
        <w:rPr>
          <w:rFonts w:ascii="宋体" w:hAnsi="宋体"/>
          <w:b/>
          <w:szCs w:val="21"/>
        </w:rPr>
      </w:pPr>
      <w:r>
        <w:rPr>
          <w:rFonts w:hint="eastAsia" w:ascii="宋体" w:hAnsi="宋体"/>
          <w:b/>
          <w:szCs w:val="21"/>
        </w:rPr>
        <w:t>（三）、考核要求</w:t>
      </w:r>
    </w:p>
    <w:p>
      <w:pPr>
        <w:spacing w:line="360" w:lineRule="auto"/>
        <w:ind w:firstLine="422" w:firstLineChars="200"/>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hint="eastAsia" w:ascii="宋体" w:hAnsi="宋体"/>
          <w:szCs w:val="21"/>
        </w:rPr>
        <w:t>种子清洗、精选内容；种子干燥，干燥的方式；广义、狭义的种子处理，包衣、丸化，种子剂，渗透调节种子处理的几种新技术。</w:t>
      </w:r>
      <w:r>
        <w:rPr>
          <w:rFonts w:ascii="宋体" w:hAnsi="宋体"/>
          <w:szCs w:val="21"/>
        </w:rPr>
        <w:t xml:space="preserve"> </w:t>
      </w:r>
      <w:r>
        <w:rPr>
          <w:rFonts w:hint="eastAsia" w:ascii="宋体" w:hAnsi="宋体"/>
          <w:szCs w:val="21"/>
        </w:rPr>
        <w:t>种子加工，包装，标识，包装材料的性能；种子加工设备，种子商品，种子品牌，种子商标。</w:t>
      </w:r>
    </w:p>
    <w:p>
      <w:pPr>
        <w:spacing w:line="360" w:lineRule="auto"/>
        <w:ind w:firstLine="422" w:firstLineChars="200"/>
        <w:rPr>
          <w:rFonts w:ascii="宋体" w:hAnsi="宋体"/>
          <w:szCs w:val="21"/>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hint="eastAsia" w:ascii="宋体" w:hAnsi="宋体"/>
          <w:szCs w:val="21"/>
        </w:rPr>
        <w:t>种子的清选、精选原理、方法，种子清选分级的原理。种子干燥的原理，自然干燥、机械通风干燥、加热干燥、干燥剂干燥、冷冻干燥，常用干燥剂的特性。种子处理的发展，种子处理的内容以及作用；了解种子包衣的作用，丸化和包衣处理的异同点，渗透调节处理，水合处理与湿干交替处理的基本原理。种子加工的内容、目的和在农业生产上的意义；种子包装的作用和工序，小包装系列，包装要求。典型种子加工工艺流程，种子商品的先进性、优良性、安全性、适应性、美观性、条码性；种子商品的价值。</w:t>
      </w:r>
    </w:p>
    <w:p>
      <w:pPr>
        <w:spacing w:line="360" w:lineRule="auto"/>
        <w:ind w:firstLine="420" w:firstLineChars="200"/>
        <w:rPr>
          <w:rFonts w:ascii="宋体" w:hAnsi="宋体"/>
          <w:b/>
          <w:bCs/>
          <w:szCs w:val="21"/>
        </w:rPr>
      </w:pPr>
      <w:r>
        <w:rPr>
          <w:rFonts w:ascii="宋体" w:hAnsi="宋体"/>
          <w:szCs w:val="21"/>
        </w:rPr>
        <w:t>3.</w:t>
      </w:r>
      <w:r>
        <w:rPr>
          <w:rFonts w:hint="eastAsia" w:ascii="宋体" w:hAnsi="宋体"/>
          <w:b/>
          <w:bCs/>
          <w:szCs w:val="21"/>
        </w:rPr>
        <w:t>应用：</w:t>
      </w:r>
      <w:r>
        <w:rPr>
          <w:rFonts w:hint="eastAsia" w:ascii="宋体" w:hAnsi="宋体"/>
          <w:szCs w:val="21"/>
        </w:rPr>
        <w:t>根据种子不同特点（如大小、色泽等）提出种子清选措施。用热空气、干燥剂等进行种子干燥的要点。运用不同种子处理方法提高种子质量。针对不同种子，提出合适的包装系列。种子品牌在种子市场上的应用。</w:t>
      </w:r>
    </w:p>
    <w:p>
      <w:pPr>
        <w:adjustRightInd w:val="0"/>
        <w:snapToGrid w:val="0"/>
        <w:spacing w:line="360" w:lineRule="auto"/>
        <w:ind w:firstLine="422" w:firstLineChars="200"/>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spacing w:line="360" w:lineRule="auto"/>
        <w:jc w:val="center"/>
        <w:rPr>
          <w:rFonts w:ascii="宋体" w:hAnsi="宋体"/>
          <w:b/>
          <w:szCs w:val="21"/>
        </w:rPr>
      </w:pPr>
      <w:r>
        <w:rPr>
          <w:rFonts w:hint="eastAsia" w:ascii="宋体" w:hAnsi="宋体"/>
          <w:b/>
          <w:szCs w:val="21"/>
        </w:rPr>
        <w:t>第五章</w:t>
      </w:r>
      <w:r>
        <w:rPr>
          <w:rFonts w:ascii="宋体" w:hAnsi="宋体"/>
          <w:b/>
          <w:szCs w:val="21"/>
        </w:rPr>
        <w:t xml:space="preserve"> </w:t>
      </w:r>
      <w:r>
        <w:rPr>
          <w:rFonts w:hint="eastAsia" w:ascii="宋体" w:hAnsi="宋体"/>
          <w:b/>
          <w:szCs w:val="21"/>
        </w:rPr>
        <w:t>种子贮藏</w:t>
      </w:r>
    </w:p>
    <w:p>
      <w:pPr>
        <w:snapToGrid w:val="0"/>
        <w:spacing w:line="360" w:lineRule="auto"/>
        <w:rPr>
          <w:rFonts w:ascii="宋体" w:hAnsi="宋体"/>
          <w:b/>
          <w:szCs w:val="21"/>
        </w:rPr>
      </w:pPr>
      <w:r>
        <w:rPr>
          <w:rFonts w:hint="eastAsia" w:ascii="宋体" w:hAnsi="宋体"/>
          <w:b/>
          <w:szCs w:val="21"/>
        </w:rPr>
        <w:t>（一）、学习目标</w:t>
      </w:r>
    </w:p>
    <w:p>
      <w:pPr>
        <w:pStyle w:val="35"/>
        <w:adjustRightInd w:val="0"/>
        <w:snapToGrid w:val="0"/>
        <w:spacing w:line="360" w:lineRule="auto"/>
        <w:ind w:firstLine="422"/>
        <w:rPr>
          <w:rFonts w:ascii="宋体" w:hAnsi="宋体"/>
          <w:szCs w:val="21"/>
        </w:rPr>
      </w:pPr>
      <w:r>
        <w:rPr>
          <w:rFonts w:hint="eastAsia" w:ascii="宋体" w:hAnsi="宋体"/>
          <w:b/>
          <w:szCs w:val="21"/>
        </w:rPr>
        <w:t>1.一般了解</w:t>
      </w:r>
      <w:r>
        <w:rPr>
          <w:rFonts w:hint="eastAsia" w:ascii="宋体" w:hAnsi="宋体"/>
          <w:szCs w:val="21"/>
        </w:rPr>
        <w:t>：</w:t>
      </w:r>
      <w:r>
        <w:rPr>
          <w:rFonts w:ascii="宋体" w:hAnsi="宋体"/>
          <w:szCs w:val="21"/>
        </w:rPr>
        <w:t xml:space="preserve"> </w:t>
      </w:r>
      <w:r>
        <w:rPr>
          <w:rFonts w:hint="eastAsia" w:ascii="宋体" w:hAnsi="宋体"/>
          <w:szCs w:val="21"/>
        </w:rPr>
        <w:t>种子贮藏的基本含义和贮藏的根本目的；种子的物理性与种子贮藏管理的关系。</w:t>
      </w:r>
    </w:p>
    <w:p>
      <w:pPr>
        <w:pStyle w:val="35"/>
        <w:adjustRightInd w:val="0"/>
        <w:snapToGrid w:val="0"/>
        <w:spacing w:line="360" w:lineRule="auto"/>
        <w:ind w:firstLine="422"/>
        <w:rPr>
          <w:rFonts w:ascii="宋体" w:hAnsi="宋体"/>
          <w:szCs w:val="21"/>
        </w:rPr>
      </w:pPr>
      <w:r>
        <w:rPr>
          <w:rFonts w:hint="eastAsia" w:ascii="宋体" w:hAnsi="宋体"/>
          <w:b/>
          <w:szCs w:val="21"/>
        </w:rPr>
        <w:t>2.一般掌握</w:t>
      </w:r>
      <w:r>
        <w:rPr>
          <w:rFonts w:hint="eastAsia" w:ascii="宋体" w:hAnsi="宋体"/>
          <w:szCs w:val="21"/>
        </w:rPr>
        <w:t>： 种子干燥的原理及方法。</w:t>
      </w:r>
    </w:p>
    <w:p>
      <w:pPr>
        <w:pStyle w:val="35"/>
        <w:adjustRightInd w:val="0"/>
        <w:snapToGrid w:val="0"/>
        <w:spacing w:line="360" w:lineRule="auto"/>
        <w:ind w:firstLine="422"/>
        <w:rPr>
          <w:rFonts w:ascii="宋体" w:hAnsi="宋体"/>
          <w:b/>
          <w:szCs w:val="21"/>
        </w:rPr>
      </w:pPr>
      <w:r>
        <w:rPr>
          <w:rFonts w:ascii="宋体" w:hAnsi="宋体"/>
          <w:b/>
          <w:szCs w:val="21"/>
        </w:rPr>
        <w:t>3.</w:t>
      </w:r>
      <w:r>
        <w:rPr>
          <w:rFonts w:hint="eastAsia" w:ascii="宋体" w:hAnsi="宋体"/>
          <w:b/>
          <w:szCs w:val="21"/>
        </w:rPr>
        <w:t>熟练掌握：</w:t>
      </w:r>
      <w:r>
        <w:rPr>
          <w:rFonts w:hint="eastAsia" w:ascii="宋体" w:hAnsi="宋体"/>
          <w:szCs w:val="21"/>
        </w:rPr>
        <w:t>种子贮藏的基本要求和主要园艺植物种子贮藏的技术要点。</w:t>
      </w:r>
    </w:p>
    <w:p>
      <w:pPr>
        <w:snapToGrid w:val="0"/>
        <w:spacing w:line="360" w:lineRule="auto"/>
        <w:rPr>
          <w:rFonts w:ascii="宋体" w:hAnsi="宋体"/>
          <w:b/>
          <w:szCs w:val="21"/>
        </w:rPr>
      </w:pPr>
      <w:r>
        <w:rPr>
          <w:rFonts w:hint="eastAsia" w:ascii="宋体" w:hAnsi="宋体"/>
          <w:b/>
          <w:szCs w:val="21"/>
        </w:rPr>
        <w:t>（二）、考核内容</w:t>
      </w:r>
    </w:p>
    <w:p>
      <w:pPr>
        <w:snapToGrid w:val="0"/>
        <w:spacing w:line="360" w:lineRule="auto"/>
        <w:ind w:firstLine="422" w:firstLineChars="200"/>
        <w:rPr>
          <w:szCs w:val="21"/>
        </w:rPr>
      </w:pPr>
      <w:r>
        <w:rPr>
          <w:rFonts w:hint="eastAsia" w:ascii="宋体" w:hAnsi="宋体"/>
          <w:b/>
          <w:szCs w:val="21"/>
        </w:rPr>
        <w:t>知识：</w:t>
      </w:r>
      <w:r>
        <w:rPr>
          <w:rFonts w:hint="eastAsia"/>
          <w:szCs w:val="21"/>
        </w:rPr>
        <w:t>了解贮藏其间三种生命活动对种子贮藏的不利影响；了解散落性和自动分级等物理特征在生产实验中的利用；理解贮藏间低温干燥条件的合理性。</w:t>
      </w:r>
    </w:p>
    <w:p>
      <w:pPr>
        <w:snapToGrid w:val="0"/>
        <w:spacing w:line="360" w:lineRule="auto"/>
        <w:ind w:firstLine="422" w:firstLineChars="200"/>
        <w:rPr>
          <w:szCs w:val="21"/>
        </w:rPr>
      </w:pPr>
      <w:r>
        <w:rPr>
          <w:rFonts w:hint="eastAsia" w:ascii="宋体" w:hAnsi="宋体"/>
          <w:b/>
          <w:szCs w:val="21"/>
        </w:rPr>
        <w:t>能力：</w:t>
      </w:r>
      <w:r>
        <w:rPr>
          <w:rFonts w:hint="eastAsia"/>
          <w:szCs w:val="21"/>
        </w:rPr>
        <w:t>熟悉种子干燥的原理及方法；掌握种子贮藏的基本要求和主要农作物种子贮藏的技术要点。</w:t>
      </w:r>
    </w:p>
    <w:p>
      <w:pPr>
        <w:snapToGrid w:val="0"/>
        <w:spacing w:line="360" w:lineRule="auto"/>
        <w:ind w:firstLine="422" w:firstLineChars="200"/>
        <w:rPr>
          <w:rFonts w:ascii="宋体" w:hAnsi="宋体"/>
          <w:b/>
          <w:szCs w:val="21"/>
        </w:rPr>
      </w:pPr>
      <w:r>
        <w:rPr>
          <w:rFonts w:hint="eastAsia" w:ascii="宋体" w:hAnsi="宋体"/>
          <w:b/>
          <w:szCs w:val="21"/>
        </w:rPr>
        <w:t>素质：</w:t>
      </w:r>
      <w:r>
        <w:rPr>
          <w:rFonts w:hint="eastAsia"/>
          <w:szCs w:val="21"/>
        </w:rPr>
        <w:t>了解种子贮藏的基本含义和贮藏的根本目的；了解种子的物理性与种子贮藏管理的关系。</w:t>
      </w:r>
    </w:p>
    <w:p>
      <w:pPr>
        <w:snapToGrid w:val="0"/>
        <w:spacing w:line="360" w:lineRule="auto"/>
        <w:rPr>
          <w:rFonts w:ascii="宋体" w:hAnsi="宋体"/>
          <w:b/>
          <w:szCs w:val="21"/>
        </w:rPr>
      </w:pPr>
      <w:r>
        <w:rPr>
          <w:rFonts w:hint="eastAsia" w:ascii="宋体" w:hAnsi="宋体"/>
          <w:b/>
          <w:szCs w:val="21"/>
        </w:rPr>
        <w:t>（三）、考核要求</w:t>
      </w:r>
    </w:p>
    <w:p>
      <w:pPr>
        <w:spacing w:line="360" w:lineRule="auto"/>
        <w:ind w:firstLine="422" w:firstLineChars="200"/>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hint="eastAsia" w:ascii="宋体" w:hAnsi="宋体"/>
          <w:szCs w:val="21"/>
        </w:rPr>
        <w:t>发热的含义和类型，作物种质资源的含义。主要作物种子的临界水分值。呼吸作用的含义及类型，呼吸系数，呼吸强度；贮藏真菌种类，仓库害虫种类。种子的容重，比重，种子密度，孔隙度，散落性，自动分级，导热性，导热率，种子热容量，吸附性，吸湿性。种子仓库的性能要求；仓库的基本设备。</w:t>
      </w:r>
    </w:p>
    <w:p>
      <w:pPr>
        <w:spacing w:line="360" w:lineRule="auto"/>
        <w:ind w:firstLine="422" w:firstLineChars="200"/>
        <w:rPr>
          <w:rFonts w:ascii="宋体" w:hAnsi="宋体"/>
          <w:szCs w:val="21"/>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hint="eastAsia" w:ascii="宋体" w:hAnsi="宋体"/>
          <w:szCs w:val="21"/>
        </w:rPr>
        <w:t>种子贮藏管理内容，种子发热的原因和预防，通风的目的，不同种质库保存的条件和作用。不同作物贮藏特性及其贮藏管理的异同点。影响贮藏的环境条件；贮藏真菌和仓库害虫的活动对种子呼吸强度的影响以及其他危害。种子的物理特性与种子贮藏以及贮藏管理的关系；吸附滞后效应。不同作物划分种子等级的依据，种子入库准备以及种子入库的具体步骤。</w:t>
      </w:r>
    </w:p>
    <w:p>
      <w:pPr>
        <w:spacing w:line="360" w:lineRule="auto"/>
        <w:ind w:firstLine="420" w:firstLineChars="200"/>
        <w:rPr>
          <w:rFonts w:ascii="宋体" w:hAnsi="宋体"/>
          <w:szCs w:val="21"/>
        </w:rPr>
      </w:pPr>
      <w:r>
        <w:rPr>
          <w:rFonts w:ascii="宋体" w:hAnsi="宋体"/>
          <w:szCs w:val="21"/>
        </w:rPr>
        <w:t>3.</w:t>
      </w:r>
      <w:r>
        <w:rPr>
          <w:rFonts w:hint="eastAsia" w:ascii="宋体" w:hAnsi="宋体"/>
          <w:b/>
          <w:bCs/>
          <w:szCs w:val="21"/>
        </w:rPr>
        <w:t>应用：</w:t>
      </w:r>
      <w:r>
        <w:rPr>
          <w:rFonts w:hint="eastAsia" w:ascii="宋体" w:hAnsi="宋体"/>
          <w:szCs w:val="21"/>
        </w:rPr>
        <w:t>根据贮藏管理办法中的基本措施及原则，建立种子的贮藏管理制度，进行种子的贮藏管理。针对不同作物种子，提出具体的贮藏技术要点。仓库病害虫的防治和控制。根据种子物理特性，提出合理的种子分级，干燥等加工处理方法和仓储管理要求。提出种子入库的基本要求和管理措施。</w:t>
      </w:r>
    </w:p>
    <w:p>
      <w:pPr>
        <w:adjustRightInd w:val="0"/>
        <w:snapToGrid w:val="0"/>
        <w:spacing w:line="360" w:lineRule="auto"/>
        <w:ind w:firstLine="422" w:firstLineChars="200"/>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snapToGrid w:val="0"/>
        <w:spacing w:line="360" w:lineRule="auto"/>
        <w:jc w:val="center"/>
        <w:rPr>
          <w:rFonts w:ascii="宋体" w:hAnsi="宋体"/>
          <w:b/>
          <w:kern w:val="0"/>
          <w:szCs w:val="21"/>
        </w:rPr>
      </w:pPr>
      <w:r>
        <w:rPr>
          <w:rFonts w:hint="eastAsia" w:ascii="宋体" w:hAnsi="宋体"/>
          <w:b/>
          <w:kern w:val="0"/>
          <w:szCs w:val="21"/>
        </w:rPr>
        <w:t>第六章</w:t>
      </w:r>
      <w:r>
        <w:rPr>
          <w:rFonts w:ascii="宋体" w:hAnsi="宋体"/>
          <w:b/>
          <w:kern w:val="0"/>
          <w:szCs w:val="21"/>
        </w:rPr>
        <w:t xml:space="preserve">  </w:t>
      </w:r>
      <w:r>
        <w:rPr>
          <w:rFonts w:hint="eastAsia" w:ascii="宋体" w:hAnsi="宋体"/>
          <w:b/>
          <w:kern w:val="0"/>
          <w:szCs w:val="21"/>
        </w:rPr>
        <w:t>种子法规和管理（自学）</w:t>
      </w:r>
    </w:p>
    <w:p>
      <w:pPr>
        <w:snapToGrid w:val="0"/>
        <w:spacing w:line="360" w:lineRule="auto"/>
        <w:rPr>
          <w:rFonts w:ascii="宋体" w:hAnsi="宋体"/>
          <w:b/>
          <w:szCs w:val="21"/>
        </w:rPr>
      </w:pPr>
      <w:r>
        <w:rPr>
          <w:rFonts w:hint="eastAsia" w:ascii="宋体" w:hAnsi="宋体"/>
          <w:b/>
          <w:szCs w:val="21"/>
        </w:rPr>
        <w:t>（一）、学习目标</w:t>
      </w:r>
    </w:p>
    <w:p>
      <w:pPr>
        <w:pStyle w:val="35"/>
        <w:snapToGrid w:val="0"/>
        <w:spacing w:line="360" w:lineRule="auto"/>
        <w:ind w:firstLine="422"/>
        <w:rPr>
          <w:rFonts w:ascii="宋体" w:hAnsi="宋体"/>
          <w:szCs w:val="21"/>
        </w:rPr>
      </w:pPr>
      <w:r>
        <w:rPr>
          <w:rFonts w:hint="eastAsia" w:ascii="宋体" w:hAnsi="宋体"/>
          <w:b/>
          <w:szCs w:val="21"/>
        </w:rPr>
        <w:t>1.一般了解</w:t>
      </w:r>
      <w:r>
        <w:rPr>
          <w:rFonts w:hint="eastAsia" w:ascii="宋体" w:hAnsi="宋体"/>
          <w:szCs w:val="21"/>
        </w:rPr>
        <w:t>：种子标准化的意义及种子管理工作的原则，</w:t>
      </w:r>
      <w:r>
        <w:rPr>
          <w:rFonts w:ascii="宋体" w:hAnsi="宋体"/>
          <w:szCs w:val="21"/>
        </w:rPr>
        <w:t xml:space="preserve"> </w:t>
      </w:r>
    </w:p>
    <w:p>
      <w:pPr>
        <w:pStyle w:val="35"/>
        <w:snapToGrid w:val="0"/>
        <w:spacing w:line="360" w:lineRule="auto"/>
        <w:ind w:firstLine="422"/>
        <w:rPr>
          <w:rFonts w:ascii="宋体" w:hAnsi="宋体"/>
          <w:szCs w:val="21"/>
        </w:rPr>
      </w:pPr>
      <w:r>
        <w:rPr>
          <w:rFonts w:hint="eastAsia" w:ascii="宋体" w:hAnsi="宋体"/>
          <w:b/>
          <w:szCs w:val="21"/>
        </w:rPr>
        <w:t>2.一般掌握</w:t>
      </w:r>
      <w:r>
        <w:rPr>
          <w:rFonts w:hint="eastAsia" w:ascii="宋体" w:hAnsi="宋体"/>
          <w:szCs w:val="21"/>
        </w:rPr>
        <w:t>：</w:t>
      </w:r>
      <w:r>
        <w:rPr>
          <w:rFonts w:ascii="宋体" w:hAnsi="宋体"/>
          <w:szCs w:val="21"/>
        </w:rPr>
        <w:t xml:space="preserve"> </w:t>
      </w:r>
      <w:r>
        <w:rPr>
          <w:rFonts w:hint="eastAsia" w:ascii="宋体" w:hAnsi="宋体"/>
          <w:szCs w:val="21"/>
        </w:rPr>
        <w:t>种子生产计划管理以及种子经营生产等相关法规。</w:t>
      </w:r>
    </w:p>
    <w:p>
      <w:pPr>
        <w:snapToGrid w:val="0"/>
        <w:spacing w:line="360" w:lineRule="auto"/>
        <w:rPr>
          <w:rFonts w:ascii="宋体" w:hAnsi="宋体"/>
          <w:b/>
          <w:szCs w:val="21"/>
        </w:rPr>
      </w:pPr>
      <w:r>
        <w:rPr>
          <w:rFonts w:hint="eastAsia" w:ascii="宋体" w:hAnsi="宋体"/>
          <w:b/>
          <w:szCs w:val="21"/>
        </w:rPr>
        <w:t>（二）、考核内容</w:t>
      </w:r>
    </w:p>
    <w:p>
      <w:pPr>
        <w:spacing w:line="360" w:lineRule="auto"/>
        <w:ind w:firstLine="420"/>
        <w:rPr>
          <w:rFonts w:ascii="宋体" w:hAnsi="宋体"/>
          <w:b/>
          <w:szCs w:val="21"/>
        </w:rPr>
      </w:pPr>
      <w:r>
        <w:rPr>
          <w:rFonts w:hint="eastAsia" w:ascii="宋体" w:hAnsi="宋体"/>
          <w:b/>
          <w:szCs w:val="21"/>
        </w:rPr>
        <w:t>知识：</w:t>
      </w:r>
      <w:r>
        <w:rPr>
          <w:rFonts w:hint="eastAsia" w:ascii="宋体" w:hAnsi="宋体"/>
          <w:szCs w:val="21"/>
        </w:rPr>
        <w:t>了解种子管理工作的原则。</w:t>
      </w:r>
    </w:p>
    <w:p>
      <w:pPr>
        <w:spacing w:line="360" w:lineRule="auto"/>
        <w:ind w:firstLine="420"/>
        <w:rPr>
          <w:rFonts w:ascii="宋体" w:hAnsi="宋体"/>
          <w:szCs w:val="21"/>
        </w:rPr>
      </w:pPr>
      <w:r>
        <w:rPr>
          <w:rFonts w:hint="eastAsia" w:ascii="宋体" w:hAnsi="宋体"/>
          <w:b/>
          <w:szCs w:val="21"/>
        </w:rPr>
        <w:t>能力：</w:t>
      </w:r>
      <w:r>
        <w:rPr>
          <w:rFonts w:hint="eastAsia" w:ascii="宋体" w:hAnsi="宋体"/>
          <w:szCs w:val="21"/>
        </w:rPr>
        <w:t>了解种子标准化的意义。</w:t>
      </w:r>
    </w:p>
    <w:p>
      <w:pPr>
        <w:spacing w:line="360" w:lineRule="auto"/>
        <w:ind w:firstLine="420"/>
        <w:rPr>
          <w:rFonts w:ascii="宋体" w:hAnsi="宋体"/>
          <w:szCs w:val="21"/>
        </w:rPr>
      </w:pPr>
      <w:r>
        <w:rPr>
          <w:rFonts w:hint="eastAsia" w:ascii="宋体" w:hAnsi="宋体"/>
          <w:b/>
          <w:szCs w:val="21"/>
        </w:rPr>
        <w:t>素质：</w:t>
      </w:r>
      <w:r>
        <w:rPr>
          <w:rFonts w:hint="eastAsia" w:ascii="宋体" w:hAnsi="宋体"/>
          <w:szCs w:val="21"/>
        </w:rPr>
        <w:t>掌握种子生产计划管理以及种子经营生产等相关法规。</w:t>
      </w:r>
    </w:p>
    <w:p>
      <w:pPr>
        <w:snapToGrid w:val="0"/>
        <w:spacing w:line="360" w:lineRule="auto"/>
        <w:rPr>
          <w:rFonts w:ascii="宋体" w:hAnsi="宋体"/>
          <w:szCs w:val="21"/>
        </w:rPr>
      </w:pPr>
      <w:r>
        <w:rPr>
          <w:rFonts w:hint="eastAsia" w:ascii="宋体" w:hAnsi="宋体"/>
          <w:b/>
          <w:kern w:val="0"/>
          <w:szCs w:val="21"/>
        </w:rPr>
        <w:t>（三）、考核要求</w:t>
      </w:r>
    </w:p>
    <w:p>
      <w:pPr>
        <w:adjustRightInd w:val="0"/>
        <w:snapToGrid w:val="0"/>
        <w:spacing w:line="360" w:lineRule="auto"/>
        <w:ind w:firstLine="420" w:firstLineChars="200"/>
        <w:rPr>
          <w:rFonts w:ascii="宋体" w:hAnsi="宋体"/>
          <w:szCs w:val="21"/>
        </w:rPr>
      </w:pPr>
      <w:r>
        <w:rPr>
          <w:rFonts w:ascii="宋体" w:hAnsi="宋体"/>
          <w:szCs w:val="21"/>
        </w:rPr>
        <w:t>1.</w:t>
      </w:r>
      <w:r>
        <w:rPr>
          <w:rFonts w:hint="eastAsia" w:ascii="宋体" w:hAnsi="宋体"/>
          <w:b/>
          <w:bCs/>
          <w:szCs w:val="21"/>
        </w:rPr>
        <w:t>识记：</w:t>
      </w:r>
      <w:r>
        <w:rPr>
          <w:rFonts w:hint="eastAsia" w:ascii="宋体" w:hAnsi="宋体"/>
          <w:szCs w:val="21"/>
        </w:rPr>
        <w:t>种子法对种子经营、生产的要求。种子标准化。种子认证的概念。</w:t>
      </w:r>
    </w:p>
    <w:p>
      <w:pPr>
        <w:adjustRightInd w:val="0"/>
        <w:snapToGrid w:val="0"/>
        <w:spacing w:line="360" w:lineRule="auto"/>
        <w:ind w:firstLine="422" w:firstLineChars="200"/>
        <w:rPr>
          <w:rFonts w:ascii="宋体" w:hAnsi="宋体"/>
          <w:szCs w:val="21"/>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hint="eastAsia" w:ascii="宋体" w:hAnsi="宋体"/>
          <w:szCs w:val="21"/>
        </w:rPr>
        <w:t>种子法规对规范种子市场的作用；种子生产计划管理的重要性。</w:t>
      </w:r>
      <w:r>
        <w:rPr>
          <w:rFonts w:ascii="宋体" w:hAnsi="宋体"/>
          <w:b/>
          <w:szCs w:val="21"/>
        </w:rPr>
        <w:t xml:space="preserve"> </w:t>
      </w:r>
      <w:r>
        <w:rPr>
          <w:rFonts w:hint="eastAsia" w:ascii="宋体" w:hAnsi="宋体"/>
          <w:szCs w:val="21"/>
        </w:rPr>
        <w:t>种子标准化的内容、目的意义；种子质量分级标准。种子认证的工作程序。</w:t>
      </w:r>
    </w:p>
    <w:p>
      <w:pPr>
        <w:adjustRightInd w:val="0"/>
        <w:snapToGrid w:val="0"/>
        <w:spacing w:line="360" w:lineRule="auto"/>
        <w:ind w:firstLine="422" w:firstLineChars="200"/>
        <w:rPr>
          <w:rFonts w:ascii="宋体" w:hAnsi="宋体"/>
          <w:szCs w:val="21"/>
        </w:rPr>
      </w:pPr>
      <w:r>
        <w:rPr>
          <w:rFonts w:ascii="宋体" w:hAnsi="宋体"/>
          <w:b/>
          <w:szCs w:val="21"/>
        </w:rPr>
        <w:t>3.</w:t>
      </w:r>
      <w:r>
        <w:rPr>
          <w:rFonts w:hint="eastAsia" w:ascii="宋体" w:hAnsi="宋体"/>
          <w:b/>
          <w:szCs w:val="21"/>
        </w:rPr>
        <w:t>评价：</w:t>
      </w:r>
      <w:r>
        <w:rPr>
          <w:rFonts w:hint="eastAsia" w:ascii="宋体" w:hAnsi="宋体"/>
          <w:szCs w:val="21"/>
        </w:rPr>
        <w:t>课堂提问和课后互动、小组讨论。</w:t>
      </w:r>
    </w:p>
    <w:p>
      <w:pPr>
        <w:snapToGrid w:val="0"/>
        <w:spacing w:line="360" w:lineRule="auto"/>
        <w:rPr>
          <w:rFonts w:ascii="宋体" w:hAnsi="宋体"/>
          <w:b/>
          <w:szCs w:val="21"/>
        </w:rPr>
      </w:pPr>
      <w:r>
        <w:rPr>
          <w:rFonts w:hint="eastAsia" w:ascii="宋体" w:hAnsi="宋体"/>
          <w:b/>
          <w:szCs w:val="21"/>
        </w:rPr>
        <w:t>三、实验教学部分的考核要求</w:t>
      </w:r>
    </w:p>
    <w:p>
      <w:pPr>
        <w:snapToGrid w:val="0"/>
        <w:spacing w:line="360" w:lineRule="auto"/>
        <w:ind w:firstLine="420" w:firstLineChars="200"/>
        <w:rPr>
          <w:rFonts w:ascii="宋体" w:hAnsi="宋体"/>
          <w:szCs w:val="21"/>
        </w:rPr>
      </w:pPr>
      <w:r>
        <w:rPr>
          <w:rFonts w:ascii="宋体" w:hAnsi="宋体"/>
          <w:szCs w:val="21"/>
        </w:rPr>
        <w:t>实</w:t>
      </w:r>
      <w:r>
        <w:rPr>
          <w:rFonts w:hint="eastAsia" w:ascii="宋体" w:hAnsi="宋体"/>
          <w:szCs w:val="21"/>
        </w:rPr>
        <w:t>验</w:t>
      </w:r>
      <w:r>
        <w:rPr>
          <w:rFonts w:ascii="宋体" w:hAnsi="宋体"/>
          <w:szCs w:val="21"/>
        </w:rPr>
        <w:t>教学以考核方式进行成绩评定，</w:t>
      </w:r>
      <w:r>
        <w:rPr>
          <w:rFonts w:hint="eastAsia" w:ascii="宋体" w:hAnsi="宋体"/>
          <w:szCs w:val="21"/>
        </w:rPr>
        <w:t>考核内容包括实验过程、实验纪律、实验结果、实验报告成绩。</w:t>
      </w:r>
    </w:p>
    <w:p>
      <w:pPr>
        <w:snapToGrid w:val="0"/>
        <w:spacing w:line="360" w:lineRule="auto"/>
        <w:rPr>
          <w:rFonts w:ascii="宋体" w:hAnsi="宋体"/>
          <w:szCs w:val="21"/>
        </w:rPr>
      </w:pPr>
      <w:r>
        <w:rPr>
          <w:rFonts w:hint="eastAsia" w:ascii="宋体" w:hAnsi="宋体"/>
          <w:b/>
          <w:szCs w:val="21"/>
        </w:rPr>
        <w:t>四、考核方式</w:t>
      </w:r>
    </w:p>
    <w:p>
      <w:pPr>
        <w:snapToGrid w:val="0"/>
        <w:spacing w:line="360" w:lineRule="auto"/>
        <w:ind w:firstLine="420" w:firstLineChars="200"/>
        <w:rPr>
          <w:rFonts w:ascii="宋体" w:hAnsi="宋体"/>
          <w:szCs w:val="21"/>
        </w:rPr>
      </w:pPr>
      <w:r>
        <w:rPr>
          <w:rFonts w:hint="eastAsia" w:ascii="宋体" w:hAnsi="宋体"/>
          <w:szCs w:val="21"/>
        </w:rPr>
        <w:t>本门课程的考核分为平时、期末和实验考核四个环节。平时成绩包括平时学习情况、课堂提问、小组讨论表现、作业、考勤等；期中考试采取灵活的考核方式；期末考试为课程论文；实验考核包括考勤和实验报告等。</w:t>
      </w:r>
    </w:p>
    <w:p>
      <w:pPr>
        <w:snapToGrid w:val="0"/>
        <w:spacing w:line="360" w:lineRule="auto"/>
        <w:rPr>
          <w:rFonts w:ascii="宋体" w:hAnsi="宋体"/>
          <w:b/>
          <w:szCs w:val="21"/>
        </w:rPr>
      </w:pPr>
      <w:r>
        <w:rPr>
          <w:rFonts w:hint="eastAsia" w:ascii="宋体" w:hAnsi="宋体"/>
          <w:b/>
          <w:szCs w:val="21"/>
        </w:rPr>
        <w:t>五、成绩评定</w:t>
      </w:r>
    </w:p>
    <w:p>
      <w:pPr>
        <w:spacing w:line="360" w:lineRule="auto"/>
        <w:ind w:firstLine="420"/>
        <w:rPr>
          <w:rFonts w:ascii="宋体" w:hAnsi="宋体"/>
          <w:szCs w:val="21"/>
        </w:rPr>
      </w:pPr>
    </w:p>
    <w:p>
      <w:pPr>
        <w:spacing w:line="360" w:lineRule="auto"/>
        <w:ind w:firstLine="420"/>
        <w:rPr>
          <w:rFonts w:ascii="宋体" w:hAnsi="宋体"/>
          <w:szCs w:val="21"/>
        </w:rPr>
      </w:pPr>
      <w:r>
        <w:rPr>
          <w:rFonts w:hint="eastAsia" w:ascii="宋体" w:hAnsi="宋体"/>
          <w:szCs w:val="21"/>
        </w:rPr>
        <w:t>总成绩＝课程论文成绩*</w:t>
      </w:r>
      <w:r>
        <w:rPr>
          <w:rFonts w:ascii="宋体" w:hAnsi="宋体"/>
          <w:szCs w:val="21"/>
        </w:rPr>
        <w:t>5</w:t>
      </w:r>
      <w:r>
        <w:rPr>
          <w:rFonts w:hint="eastAsia" w:ascii="宋体" w:hAnsi="宋体"/>
          <w:szCs w:val="21"/>
        </w:rPr>
        <w:t>0%+平时成绩*30%+实验成绩*20%；实验教学成绩占课程总成绩的20%，其成绩登记到期末总成绩单上。成绩评定根据实验报告确定。</w:t>
      </w:r>
    </w:p>
    <w:p>
      <w:pPr>
        <w:spacing w:line="360" w:lineRule="auto"/>
        <w:ind w:firstLine="420"/>
        <w:rPr>
          <w:rFonts w:ascii="宋体" w:hAnsi="宋体"/>
          <w:b/>
          <w:szCs w:val="21"/>
        </w:rPr>
      </w:pPr>
      <w:r>
        <w:rPr>
          <w:rFonts w:hint="eastAsia" w:ascii="宋体" w:hAnsi="宋体"/>
          <w:b/>
          <w:szCs w:val="21"/>
        </w:rPr>
        <w:t>六、考核结果分析反馈</w:t>
      </w:r>
    </w:p>
    <w:p>
      <w:pPr>
        <w:snapToGrid w:val="0"/>
        <w:spacing w:line="360" w:lineRule="auto"/>
        <w:ind w:firstLine="420" w:firstLineChars="200"/>
        <w:rPr>
          <w:rFonts w:ascii="宋体" w:hAnsi="宋体"/>
          <w:szCs w:val="21"/>
        </w:rPr>
      </w:pPr>
      <w:r>
        <w:rPr>
          <w:rFonts w:hint="eastAsia" w:ascii="宋体" w:hAnsi="宋体"/>
          <w:szCs w:val="21"/>
        </w:rPr>
        <w:t>任课教师要结合形成性评价各方面的内容，随时观察、分析每一位同学在学习、评价中的情况，及时反馈其存在的问题、不足及优点，并给出学习建议。学期结束后，对本门课程的整体考试情况、本次试卷的特点、对试卷的具体分析、反映出的问题及教师根据学情进行的改进办法等以书面形式呈现。</w:t>
      </w:r>
    </w:p>
    <w:p>
      <w:pPr>
        <w:rPr>
          <w:sz w:val="28"/>
        </w:rPr>
      </w:pPr>
      <w:bookmarkStart w:id="1461" w:name="_Toc138076267"/>
      <w:bookmarkStart w:id="1462" w:name="_Toc138076811"/>
      <w:r>
        <w:rPr>
          <w:sz w:val="28"/>
        </w:rPr>
        <w:br w:type="page"/>
      </w:r>
    </w:p>
    <w:p>
      <w:pPr>
        <w:pStyle w:val="21"/>
        <w:rPr>
          <w:b w:val="0"/>
          <w:sz w:val="28"/>
          <w:szCs w:val="28"/>
        </w:rPr>
      </w:pPr>
      <w:bookmarkStart w:id="1463" w:name="_Toc27892"/>
      <w:r>
        <w:rPr>
          <w:sz w:val="28"/>
        </w:rPr>
        <w:t>生物信息学考核大纲</w:t>
      </w:r>
      <w:bookmarkEnd w:id="1461"/>
      <w:bookmarkEnd w:id="1462"/>
      <w:bookmarkEnd w:id="1463"/>
      <w:r>
        <w:rPr>
          <w:sz w:val="28"/>
          <w:szCs w:val="28"/>
        </w:rPr>
        <w:t xml:space="preserve"> </w:t>
      </w:r>
    </w:p>
    <w:p>
      <w:pPr>
        <w:snapToGrid w:val="0"/>
        <w:spacing w:line="360" w:lineRule="auto"/>
        <w:jc w:val="center"/>
        <w:rPr>
          <w:sz w:val="24"/>
        </w:rPr>
      </w:pPr>
      <w:r>
        <w:rPr>
          <w:sz w:val="24"/>
        </w:rPr>
        <w:t>（Bioinformatics）</w:t>
      </w:r>
    </w:p>
    <w:p>
      <w:pPr>
        <w:snapToGrid w:val="0"/>
        <w:spacing w:line="360" w:lineRule="auto"/>
        <w:jc w:val="center"/>
        <w:rPr>
          <w:b/>
          <w:szCs w:val="21"/>
        </w:rPr>
      </w:pPr>
      <w:r>
        <w:rPr>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b/>
                <w:bCs/>
                <w:szCs w:val="21"/>
              </w:rPr>
            </w:pPr>
            <w:r>
              <w:rPr>
                <w:b/>
                <w:bCs/>
                <w:szCs w:val="21"/>
              </w:rPr>
              <w:t>课程编号：19011125</w:t>
            </w:r>
          </w:p>
        </w:tc>
        <w:tc>
          <w:tcPr>
            <w:tcW w:w="1234" w:type="pct"/>
          </w:tcPr>
          <w:p>
            <w:pPr>
              <w:spacing w:line="300" w:lineRule="auto"/>
              <w:rPr>
                <w:b/>
                <w:bCs/>
                <w:szCs w:val="21"/>
              </w:rPr>
            </w:pPr>
            <w:r>
              <w:rPr>
                <w:b/>
                <w:bCs/>
                <w:szCs w:val="21"/>
              </w:rPr>
              <w:t>课程学时：32</w:t>
            </w:r>
          </w:p>
        </w:tc>
        <w:tc>
          <w:tcPr>
            <w:tcW w:w="2100" w:type="pct"/>
          </w:tcPr>
          <w:p>
            <w:pPr>
              <w:spacing w:line="300" w:lineRule="auto"/>
              <w:rPr>
                <w:b/>
                <w:bCs/>
                <w:szCs w:val="21"/>
              </w:rPr>
            </w:pPr>
            <w:r>
              <w:rPr>
                <w:b/>
                <w:bCs/>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b/>
                <w:bCs/>
                <w:szCs w:val="21"/>
              </w:rPr>
            </w:pPr>
            <w:r>
              <w:rPr>
                <w:b/>
                <w:bCs/>
                <w:szCs w:val="21"/>
              </w:rPr>
              <w:t>主撰人：王盼乔、安光辉、闫文凯</w:t>
            </w:r>
          </w:p>
        </w:tc>
        <w:tc>
          <w:tcPr>
            <w:tcW w:w="1234" w:type="pct"/>
          </w:tcPr>
          <w:p>
            <w:pPr>
              <w:spacing w:line="300" w:lineRule="auto"/>
              <w:rPr>
                <w:b/>
                <w:bCs/>
                <w:szCs w:val="21"/>
              </w:rPr>
            </w:pPr>
            <w:r>
              <w:rPr>
                <w:b/>
                <w:bCs/>
                <w:szCs w:val="21"/>
              </w:rPr>
              <w:t>审核人：杨路明</w:t>
            </w:r>
          </w:p>
        </w:tc>
        <w:tc>
          <w:tcPr>
            <w:tcW w:w="2100" w:type="pct"/>
          </w:tcPr>
          <w:p>
            <w:pPr>
              <w:spacing w:line="300" w:lineRule="auto"/>
              <w:rPr>
                <w:b/>
                <w:bCs/>
                <w:szCs w:val="21"/>
              </w:rPr>
            </w:pPr>
            <w:r>
              <w:rPr>
                <w:b/>
                <w:bCs/>
                <w:szCs w:val="21"/>
              </w:rPr>
              <w:t>大纲制定（修订）日期：2023.0</w:t>
            </w:r>
            <w:r>
              <w:rPr>
                <w:rFonts w:hint="eastAsia"/>
                <w:b/>
                <w:bCs/>
                <w:szCs w:val="21"/>
              </w:rPr>
              <w:t>5</w:t>
            </w:r>
          </w:p>
        </w:tc>
      </w:tr>
    </w:tbl>
    <w:p>
      <w:pPr>
        <w:widowControl/>
        <w:snapToGrid w:val="0"/>
        <w:spacing w:line="360" w:lineRule="auto"/>
        <w:jc w:val="left"/>
        <w:outlineLvl w:val="1"/>
        <w:rPr>
          <w:b/>
          <w:bCs/>
          <w:kern w:val="0"/>
          <w:szCs w:val="21"/>
        </w:rPr>
      </w:pPr>
    </w:p>
    <w:p>
      <w:pPr>
        <w:widowControl/>
        <w:snapToGrid w:val="0"/>
        <w:spacing w:line="360" w:lineRule="auto"/>
        <w:jc w:val="left"/>
        <w:outlineLvl w:val="1"/>
        <w:rPr>
          <w:b/>
          <w:bCs/>
          <w:kern w:val="0"/>
          <w:szCs w:val="21"/>
        </w:rPr>
      </w:pPr>
      <w:bookmarkStart w:id="1464" w:name="_Toc138068972"/>
      <w:bookmarkStart w:id="1465" w:name="_Toc138070874"/>
      <w:bookmarkStart w:id="1466" w:name="_Toc138076812"/>
      <w:bookmarkStart w:id="1467" w:name="_Toc138070603"/>
      <w:bookmarkStart w:id="1468" w:name="_Toc138068573"/>
      <w:bookmarkStart w:id="1469" w:name="_Toc138076517"/>
      <w:bookmarkStart w:id="1470" w:name="_Toc21345"/>
      <w:bookmarkStart w:id="1471" w:name="_Toc138076268"/>
      <w:r>
        <w:rPr>
          <w:b/>
          <w:bCs/>
          <w:kern w:val="0"/>
          <w:szCs w:val="21"/>
        </w:rPr>
        <w:t>一、课程的性质和地位</w:t>
      </w:r>
      <w:bookmarkEnd w:id="1464"/>
      <w:bookmarkEnd w:id="1465"/>
      <w:bookmarkEnd w:id="1466"/>
      <w:bookmarkEnd w:id="1467"/>
      <w:bookmarkEnd w:id="1468"/>
      <w:bookmarkEnd w:id="1469"/>
      <w:bookmarkEnd w:id="1470"/>
      <w:bookmarkEnd w:id="1471"/>
    </w:p>
    <w:p>
      <w:pPr>
        <w:snapToGrid w:val="0"/>
        <w:spacing w:line="360" w:lineRule="auto"/>
        <w:ind w:firstLine="420" w:firstLineChars="200"/>
        <w:rPr>
          <w:szCs w:val="21"/>
        </w:rPr>
      </w:pPr>
      <w:r>
        <w:rPr>
          <w:bCs/>
          <w:szCs w:val="21"/>
        </w:rPr>
        <w:t>生物信息学课程是面向园艺、设施农业科学与工程、茶学专业的一门专业选修课程，与生物信息学实验实习课程配套。其主要任务是：使学生了解该课程的基本理论和框架，掌握相关生物信息学分析工具的应用，深入了解本学科发展方向及国际学术研究前沿；并具有能运用所学的理论和方法以及相关学科知识解决生命科学研究中实际问题的能力。</w:t>
      </w:r>
    </w:p>
    <w:p>
      <w:pPr>
        <w:widowControl/>
        <w:snapToGrid w:val="0"/>
        <w:spacing w:line="360" w:lineRule="auto"/>
        <w:jc w:val="left"/>
        <w:outlineLvl w:val="1"/>
        <w:rPr>
          <w:b/>
          <w:bCs/>
          <w:kern w:val="0"/>
          <w:szCs w:val="21"/>
        </w:rPr>
      </w:pPr>
      <w:bookmarkStart w:id="1472" w:name="_Toc8499"/>
      <w:bookmarkStart w:id="1473" w:name="_Toc138070875"/>
      <w:bookmarkStart w:id="1474" w:name="_Toc138076518"/>
      <w:bookmarkStart w:id="1475" w:name="_Toc138068574"/>
      <w:bookmarkStart w:id="1476" w:name="_Toc138076813"/>
      <w:bookmarkStart w:id="1477" w:name="_Toc138068973"/>
      <w:bookmarkStart w:id="1478" w:name="_Toc138070604"/>
      <w:bookmarkStart w:id="1479" w:name="_Toc138076269"/>
      <w:r>
        <w:rPr>
          <w:b/>
          <w:bCs/>
          <w:kern w:val="0"/>
          <w:szCs w:val="21"/>
        </w:rPr>
        <w:t>二、理论教学部分的考核目标</w:t>
      </w:r>
      <w:bookmarkEnd w:id="1472"/>
      <w:bookmarkEnd w:id="1473"/>
      <w:bookmarkEnd w:id="1474"/>
      <w:bookmarkEnd w:id="1475"/>
      <w:bookmarkEnd w:id="1476"/>
      <w:bookmarkEnd w:id="1477"/>
      <w:bookmarkEnd w:id="1478"/>
      <w:bookmarkEnd w:id="1479"/>
    </w:p>
    <w:p>
      <w:pPr>
        <w:snapToGrid w:val="0"/>
        <w:spacing w:line="360" w:lineRule="auto"/>
        <w:ind w:firstLine="420" w:firstLineChars="200"/>
        <w:rPr>
          <w:szCs w:val="21"/>
        </w:rPr>
      </w:pPr>
      <w:r>
        <w:rPr>
          <w:bCs/>
          <w:szCs w:val="21"/>
        </w:rPr>
        <w:t>掌握生物信息学概念、专业术语及生物信息学研究内容；了解生物信息数据库，掌握数据库使用方法；掌握引物设计及测序原理与方法；掌握针对核酸序列、蛋白质序列的分析原理及方法；掌握系统发育分析的概念及方法。</w:t>
      </w:r>
      <w:r>
        <w:rPr>
          <w:szCs w:val="21"/>
        </w:rPr>
        <w:t>培养学生了解生物信息学知识体系，培养学生借助计算机、互联网及相关软件运用生物信息学理论、原理、方法分析、解决生命科学研究中实际问题的能力。通过课程学习，学生应具有扎实的生物信息学专业知识，了解生物信息学领域最新动态和发展趋势。掌握生物信息学基本分析原理及分析操作，并能正确解读分析结果的生物学含义。具有能够充分应用现代信息技术手段和工具解决生物学研究中实际问题的能力。该课程支撑本专业毕业要求的第2项、第3项、第4项。</w:t>
      </w:r>
    </w:p>
    <w:p>
      <w:pPr>
        <w:snapToGrid w:val="0"/>
        <w:spacing w:line="360" w:lineRule="auto"/>
        <w:ind w:firstLine="103" w:firstLineChars="49"/>
        <w:jc w:val="center"/>
        <w:rPr>
          <w:b/>
          <w:szCs w:val="21"/>
        </w:rPr>
      </w:pPr>
      <w:r>
        <w:rPr>
          <w:b/>
          <w:szCs w:val="21"/>
        </w:rPr>
        <w:t>第一章  绪论</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bCs/>
          <w:szCs w:val="21"/>
        </w:rPr>
        <w:t>生物信息学产生与发展</w:t>
      </w:r>
    </w:p>
    <w:p>
      <w:pPr>
        <w:snapToGrid w:val="0"/>
        <w:spacing w:line="360" w:lineRule="auto"/>
        <w:ind w:firstLine="422" w:firstLineChars="200"/>
        <w:rPr>
          <w:szCs w:val="21"/>
        </w:rPr>
      </w:pPr>
      <w:r>
        <w:rPr>
          <w:b/>
          <w:szCs w:val="21"/>
        </w:rPr>
        <w:t>2. 一般掌握</w:t>
      </w:r>
      <w:r>
        <w:rPr>
          <w:szCs w:val="21"/>
        </w:rPr>
        <w:t>：</w:t>
      </w:r>
      <w:r>
        <w:rPr>
          <w:bCs/>
          <w:szCs w:val="21"/>
        </w:rPr>
        <w:t>生物信息学的应用及学习方法</w:t>
      </w:r>
    </w:p>
    <w:p>
      <w:pPr>
        <w:snapToGrid w:val="0"/>
        <w:spacing w:line="360" w:lineRule="auto"/>
        <w:ind w:firstLine="422" w:firstLineChars="200"/>
        <w:rPr>
          <w:szCs w:val="21"/>
        </w:rPr>
      </w:pPr>
      <w:r>
        <w:rPr>
          <w:b/>
          <w:szCs w:val="21"/>
        </w:rPr>
        <w:t>3. 熟练掌握</w:t>
      </w:r>
      <w:r>
        <w:rPr>
          <w:szCs w:val="21"/>
        </w:rPr>
        <w:t>：</w:t>
      </w:r>
      <w:r>
        <w:rPr>
          <w:bCs/>
          <w:szCs w:val="21"/>
        </w:rPr>
        <w:t>生物信息学概念</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bCs/>
          <w:szCs w:val="21"/>
        </w:rPr>
        <w:t>生物信息学的定义，研究内容，发展历史，以及在生命科学研究中的作用</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1.识记</w:t>
      </w:r>
      <w:r>
        <w:rPr>
          <w:szCs w:val="21"/>
        </w:rPr>
        <w:t>：生物信息学概念</w:t>
      </w:r>
    </w:p>
    <w:p>
      <w:pPr>
        <w:snapToGrid w:val="0"/>
        <w:spacing w:line="360" w:lineRule="auto"/>
        <w:ind w:firstLine="422" w:firstLineChars="200"/>
        <w:rPr>
          <w:b/>
          <w:szCs w:val="21"/>
        </w:rPr>
      </w:pPr>
      <w:r>
        <w:rPr>
          <w:b/>
          <w:szCs w:val="21"/>
        </w:rPr>
        <w:t>2.领会</w:t>
      </w:r>
      <w:r>
        <w:rPr>
          <w:szCs w:val="21"/>
        </w:rPr>
        <w:t>：</w:t>
      </w:r>
      <w:r>
        <w:rPr>
          <w:bCs/>
          <w:szCs w:val="21"/>
        </w:rPr>
        <w:t>生物信息学研究内容，人类基因组计划的意义。</w:t>
      </w:r>
    </w:p>
    <w:p>
      <w:pPr>
        <w:snapToGrid w:val="0"/>
        <w:spacing w:line="360" w:lineRule="auto"/>
        <w:ind w:firstLine="422" w:firstLineChars="200"/>
        <w:rPr>
          <w:szCs w:val="21"/>
        </w:rPr>
      </w:pPr>
      <w:r>
        <w:rPr>
          <w:b/>
          <w:szCs w:val="21"/>
        </w:rPr>
        <w:t>3.应用</w:t>
      </w:r>
      <w:r>
        <w:rPr>
          <w:szCs w:val="21"/>
        </w:rPr>
        <w:t>：</w:t>
      </w:r>
      <w:r>
        <w:rPr>
          <w:bCs/>
          <w:szCs w:val="21"/>
        </w:rPr>
        <w:t>生物信息学的科学方法和策略。</w:t>
      </w:r>
    </w:p>
    <w:p>
      <w:pPr>
        <w:snapToGrid w:val="0"/>
        <w:spacing w:line="360" w:lineRule="auto"/>
        <w:ind w:firstLine="422" w:firstLineChars="200"/>
        <w:rPr>
          <w:b/>
          <w:szCs w:val="21"/>
        </w:rPr>
      </w:pPr>
      <w:r>
        <w:rPr>
          <w:b/>
          <w:szCs w:val="21"/>
        </w:rPr>
        <w:t>4.分析：</w:t>
      </w:r>
      <w:r>
        <w:rPr>
          <w:bCs/>
          <w:szCs w:val="21"/>
        </w:rPr>
        <w:t>大数据在动物植物育种和人类疾病防控中的作用。</w:t>
      </w:r>
    </w:p>
    <w:p>
      <w:pPr>
        <w:snapToGrid w:val="0"/>
        <w:spacing w:line="360" w:lineRule="auto"/>
        <w:ind w:firstLine="422" w:firstLineChars="200"/>
        <w:rPr>
          <w:szCs w:val="21"/>
        </w:rPr>
      </w:pPr>
      <w:r>
        <w:rPr>
          <w:b/>
          <w:szCs w:val="21"/>
        </w:rPr>
        <w:t>5.综合</w:t>
      </w:r>
      <w:r>
        <w:rPr>
          <w:szCs w:val="21"/>
        </w:rPr>
        <w:t>：</w:t>
      </w:r>
      <w:r>
        <w:rPr>
          <w:bCs/>
          <w:szCs w:val="21"/>
        </w:rPr>
        <w:t>认识生物信息学和其它学科之间的关系。</w:t>
      </w:r>
    </w:p>
    <w:p>
      <w:pPr>
        <w:snapToGrid w:val="0"/>
        <w:spacing w:line="360" w:lineRule="auto"/>
        <w:ind w:firstLine="422" w:firstLineChars="200"/>
        <w:rPr>
          <w:bCs/>
          <w:szCs w:val="21"/>
        </w:rPr>
      </w:pPr>
      <w:r>
        <w:rPr>
          <w:b/>
          <w:szCs w:val="21"/>
        </w:rPr>
        <w:t>6.评价：</w:t>
      </w:r>
      <w:r>
        <w:rPr>
          <w:bCs/>
          <w:szCs w:val="21"/>
        </w:rPr>
        <w:t>生物信息学课程在生命科学中的作用和意义。</w:t>
      </w:r>
    </w:p>
    <w:p>
      <w:pPr>
        <w:snapToGrid w:val="0"/>
        <w:spacing w:line="360" w:lineRule="auto"/>
        <w:ind w:firstLine="103" w:firstLineChars="49"/>
        <w:jc w:val="center"/>
        <w:rPr>
          <w:b/>
          <w:szCs w:val="21"/>
        </w:rPr>
      </w:pPr>
      <w:r>
        <w:rPr>
          <w:b/>
          <w:szCs w:val="21"/>
        </w:rPr>
        <w:t>第二章  生物信息学常用数据库</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bCs/>
          <w:szCs w:val="21"/>
        </w:rPr>
        <w:t>生物信息学常用数据库的种类</w:t>
      </w:r>
    </w:p>
    <w:p>
      <w:pPr>
        <w:snapToGrid w:val="0"/>
        <w:spacing w:line="360" w:lineRule="auto"/>
        <w:ind w:firstLine="422" w:firstLineChars="200"/>
        <w:rPr>
          <w:szCs w:val="21"/>
        </w:rPr>
      </w:pPr>
      <w:r>
        <w:rPr>
          <w:b/>
          <w:szCs w:val="21"/>
        </w:rPr>
        <w:t>2. 一般掌握</w:t>
      </w:r>
      <w:r>
        <w:rPr>
          <w:szCs w:val="21"/>
        </w:rPr>
        <w:t>：</w:t>
      </w:r>
      <w:r>
        <w:rPr>
          <w:bCs/>
          <w:szCs w:val="21"/>
        </w:rPr>
        <w:t>数据库的使用场景及其解决问题的方法</w:t>
      </w:r>
    </w:p>
    <w:p>
      <w:pPr>
        <w:snapToGrid w:val="0"/>
        <w:spacing w:line="360" w:lineRule="auto"/>
        <w:ind w:firstLine="422" w:firstLineChars="200"/>
        <w:rPr>
          <w:szCs w:val="21"/>
        </w:rPr>
      </w:pPr>
      <w:r>
        <w:rPr>
          <w:b/>
          <w:szCs w:val="21"/>
        </w:rPr>
        <w:t>3. 熟练掌握</w:t>
      </w:r>
      <w:r>
        <w:rPr>
          <w:szCs w:val="21"/>
        </w:rPr>
        <w:t>：</w:t>
      </w:r>
      <w:r>
        <w:rPr>
          <w:bCs/>
          <w:szCs w:val="21"/>
        </w:rPr>
        <w:t>生物信息学常用数据库的应用场景和主要功能</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szCs w:val="21"/>
        </w:rPr>
        <w:t>生物信息学常用数据库的种类、主要功能和应用场景</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1.识记</w:t>
      </w:r>
      <w:r>
        <w:rPr>
          <w:szCs w:val="21"/>
        </w:rPr>
        <w:t>：</w:t>
      </w:r>
      <w:r>
        <w:rPr>
          <w:bCs/>
          <w:szCs w:val="21"/>
        </w:rPr>
        <w:t>生物信息学常用数据库的种类</w:t>
      </w:r>
    </w:p>
    <w:p>
      <w:pPr>
        <w:snapToGrid w:val="0"/>
        <w:spacing w:line="360" w:lineRule="auto"/>
        <w:ind w:firstLine="422" w:firstLineChars="200"/>
        <w:rPr>
          <w:b/>
          <w:szCs w:val="21"/>
        </w:rPr>
      </w:pPr>
      <w:r>
        <w:rPr>
          <w:b/>
          <w:szCs w:val="21"/>
        </w:rPr>
        <w:t>2.领会</w:t>
      </w:r>
      <w:r>
        <w:rPr>
          <w:szCs w:val="21"/>
        </w:rPr>
        <w:t>：</w:t>
      </w:r>
      <w:r>
        <w:rPr>
          <w:bCs/>
          <w:szCs w:val="21"/>
        </w:rPr>
        <w:t>常用数据库解决问题的思路</w:t>
      </w:r>
    </w:p>
    <w:p>
      <w:pPr>
        <w:snapToGrid w:val="0"/>
        <w:spacing w:line="360" w:lineRule="auto"/>
        <w:ind w:firstLine="422" w:firstLineChars="200"/>
        <w:rPr>
          <w:szCs w:val="21"/>
        </w:rPr>
      </w:pPr>
      <w:r>
        <w:rPr>
          <w:b/>
          <w:szCs w:val="21"/>
        </w:rPr>
        <w:t>3.应用</w:t>
      </w:r>
      <w:r>
        <w:rPr>
          <w:szCs w:val="21"/>
        </w:rPr>
        <w:t>：</w:t>
      </w:r>
      <w:r>
        <w:rPr>
          <w:bCs/>
          <w:szCs w:val="21"/>
        </w:rPr>
        <w:t>常用数据库的应用场景</w:t>
      </w:r>
    </w:p>
    <w:p>
      <w:pPr>
        <w:snapToGrid w:val="0"/>
        <w:spacing w:line="360" w:lineRule="auto"/>
        <w:ind w:firstLine="422" w:firstLineChars="200"/>
        <w:rPr>
          <w:b/>
          <w:szCs w:val="21"/>
        </w:rPr>
      </w:pPr>
      <w:r>
        <w:rPr>
          <w:b/>
          <w:szCs w:val="21"/>
        </w:rPr>
        <w:t>4.分析：</w:t>
      </w:r>
      <w:r>
        <w:rPr>
          <w:bCs/>
          <w:szCs w:val="21"/>
        </w:rPr>
        <w:t>常用数据库的主要功能</w:t>
      </w:r>
    </w:p>
    <w:p>
      <w:pPr>
        <w:snapToGrid w:val="0"/>
        <w:spacing w:line="360" w:lineRule="auto"/>
        <w:ind w:firstLine="422" w:firstLineChars="200"/>
        <w:rPr>
          <w:szCs w:val="21"/>
        </w:rPr>
      </w:pPr>
      <w:r>
        <w:rPr>
          <w:b/>
          <w:szCs w:val="21"/>
        </w:rPr>
        <w:t>5.综合</w:t>
      </w:r>
      <w:r>
        <w:rPr>
          <w:szCs w:val="21"/>
        </w:rPr>
        <w:t>：</w:t>
      </w:r>
      <w:r>
        <w:rPr>
          <w:bCs/>
          <w:szCs w:val="21"/>
        </w:rPr>
        <w:t>常用数据库解决生物学问题的方法</w:t>
      </w:r>
    </w:p>
    <w:p>
      <w:pPr>
        <w:snapToGrid w:val="0"/>
        <w:spacing w:line="360" w:lineRule="auto"/>
        <w:ind w:firstLine="422" w:firstLineChars="200"/>
        <w:rPr>
          <w:b/>
          <w:szCs w:val="21"/>
        </w:rPr>
      </w:pPr>
      <w:r>
        <w:rPr>
          <w:b/>
          <w:szCs w:val="21"/>
        </w:rPr>
        <w:t>6.评价：</w:t>
      </w:r>
      <w:r>
        <w:rPr>
          <w:bCs/>
          <w:szCs w:val="21"/>
        </w:rPr>
        <w:t>不同数据库之间的优缺点</w:t>
      </w:r>
    </w:p>
    <w:p>
      <w:pPr>
        <w:snapToGrid w:val="0"/>
        <w:spacing w:line="360" w:lineRule="auto"/>
        <w:ind w:firstLine="103" w:firstLineChars="49"/>
        <w:jc w:val="center"/>
        <w:rPr>
          <w:b/>
          <w:szCs w:val="21"/>
        </w:rPr>
      </w:pPr>
      <w:r>
        <w:rPr>
          <w:b/>
          <w:szCs w:val="21"/>
        </w:rPr>
        <w:t>第三章  序列比对与分析</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bCs/>
          <w:szCs w:val="21"/>
        </w:rPr>
        <w:t>两条序列联配和多序列联配的算法。</w:t>
      </w:r>
    </w:p>
    <w:p>
      <w:pPr>
        <w:snapToGrid w:val="0"/>
        <w:spacing w:line="360" w:lineRule="auto"/>
        <w:ind w:firstLine="422" w:firstLineChars="200"/>
        <w:rPr>
          <w:szCs w:val="21"/>
        </w:rPr>
      </w:pPr>
      <w:r>
        <w:rPr>
          <w:b/>
          <w:szCs w:val="21"/>
        </w:rPr>
        <w:t>2. 一般掌握</w:t>
      </w:r>
      <w:r>
        <w:rPr>
          <w:szCs w:val="21"/>
        </w:rPr>
        <w:t>：</w:t>
      </w:r>
      <w:r>
        <w:rPr>
          <w:bCs/>
          <w:szCs w:val="21"/>
        </w:rPr>
        <w:t>序列比对的概念。</w:t>
      </w:r>
    </w:p>
    <w:p>
      <w:pPr>
        <w:snapToGrid w:val="0"/>
        <w:spacing w:line="360" w:lineRule="auto"/>
        <w:ind w:firstLine="422" w:firstLineChars="200"/>
        <w:rPr>
          <w:szCs w:val="21"/>
        </w:rPr>
      </w:pPr>
      <w:r>
        <w:rPr>
          <w:b/>
          <w:szCs w:val="21"/>
        </w:rPr>
        <w:t>3. 熟练掌握</w:t>
      </w:r>
      <w:r>
        <w:rPr>
          <w:szCs w:val="21"/>
        </w:rPr>
        <w:t>：</w:t>
      </w:r>
      <w:r>
        <w:rPr>
          <w:bCs/>
          <w:szCs w:val="21"/>
        </w:rPr>
        <w:t>BLAST、DNAMAN、Clustal工具。</w:t>
      </w:r>
    </w:p>
    <w:p>
      <w:pPr>
        <w:snapToGrid w:val="0"/>
        <w:spacing w:line="360" w:lineRule="auto"/>
        <w:rPr>
          <w:szCs w:val="21"/>
        </w:rPr>
      </w:pPr>
      <w:r>
        <w:rPr>
          <w:b/>
          <w:szCs w:val="21"/>
        </w:rPr>
        <w:t>（二）考核内容</w:t>
      </w:r>
    </w:p>
    <w:p>
      <w:pPr>
        <w:snapToGrid w:val="0"/>
        <w:spacing w:line="360" w:lineRule="auto"/>
        <w:ind w:firstLine="420" w:firstLineChars="200"/>
        <w:rPr>
          <w:szCs w:val="21"/>
        </w:rPr>
      </w:pPr>
      <w:r>
        <w:rPr>
          <w:szCs w:val="21"/>
        </w:rPr>
        <w:t>在理解序列比对原理的基础上，通过比对基因序列，蛋白序列发现不同物种之前内在联系，具备发现基本科学问题和创新意识。</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1.识记</w:t>
      </w:r>
      <w:r>
        <w:rPr>
          <w:szCs w:val="21"/>
        </w:rPr>
        <w:t>：基因同源性、蛋白相似性、保守功能域，motif</w:t>
      </w:r>
    </w:p>
    <w:p>
      <w:pPr>
        <w:snapToGrid w:val="0"/>
        <w:spacing w:line="360" w:lineRule="auto"/>
        <w:ind w:firstLine="422" w:firstLineChars="200"/>
        <w:rPr>
          <w:b/>
          <w:szCs w:val="21"/>
        </w:rPr>
      </w:pPr>
      <w:r>
        <w:rPr>
          <w:b/>
          <w:szCs w:val="21"/>
        </w:rPr>
        <w:t>2.领会</w:t>
      </w:r>
      <w:r>
        <w:rPr>
          <w:szCs w:val="21"/>
        </w:rPr>
        <w:t>：</w:t>
      </w:r>
      <w:r>
        <w:rPr>
          <w:bCs/>
          <w:szCs w:val="21"/>
        </w:rPr>
        <w:t>同源性和相似性之间的联系。</w:t>
      </w:r>
    </w:p>
    <w:p>
      <w:pPr>
        <w:snapToGrid w:val="0"/>
        <w:spacing w:line="360" w:lineRule="auto"/>
        <w:ind w:firstLine="422" w:firstLineChars="200"/>
        <w:rPr>
          <w:szCs w:val="21"/>
        </w:rPr>
      </w:pPr>
      <w:r>
        <w:rPr>
          <w:b/>
          <w:szCs w:val="21"/>
        </w:rPr>
        <w:t>3.应用</w:t>
      </w:r>
      <w:r>
        <w:rPr>
          <w:szCs w:val="21"/>
        </w:rPr>
        <w:t>：</w:t>
      </w:r>
      <w:r>
        <w:rPr>
          <w:bCs/>
          <w:szCs w:val="21"/>
        </w:rPr>
        <w:t>DNAMAN进行两序列比对分析、多序列比对分析。</w:t>
      </w:r>
    </w:p>
    <w:p>
      <w:pPr>
        <w:snapToGrid w:val="0"/>
        <w:spacing w:line="360" w:lineRule="auto"/>
        <w:ind w:firstLine="422" w:firstLineChars="200"/>
        <w:rPr>
          <w:b/>
          <w:szCs w:val="21"/>
        </w:rPr>
      </w:pPr>
      <w:r>
        <w:rPr>
          <w:b/>
          <w:szCs w:val="21"/>
        </w:rPr>
        <w:t>4.分析：</w:t>
      </w:r>
      <w:r>
        <w:rPr>
          <w:bCs/>
          <w:szCs w:val="21"/>
        </w:rPr>
        <w:t>利用序列比对的方法解释物种进化关系。</w:t>
      </w:r>
    </w:p>
    <w:p>
      <w:pPr>
        <w:snapToGrid w:val="0"/>
        <w:spacing w:line="360" w:lineRule="auto"/>
        <w:ind w:firstLine="422" w:firstLineChars="200"/>
        <w:rPr>
          <w:szCs w:val="21"/>
        </w:rPr>
      </w:pPr>
      <w:r>
        <w:rPr>
          <w:b/>
          <w:szCs w:val="21"/>
        </w:rPr>
        <w:t>5.综合</w:t>
      </w:r>
      <w:r>
        <w:rPr>
          <w:szCs w:val="21"/>
        </w:rPr>
        <w:t>：掌握从序列到进化树分析流程和相关软件</w:t>
      </w:r>
      <w:r>
        <w:rPr>
          <w:bCs/>
          <w:szCs w:val="21"/>
        </w:rPr>
        <w:t>。</w:t>
      </w:r>
    </w:p>
    <w:p>
      <w:pPr>
        <w:snapToGrid w:val="0"/>
        <w:spacing w:line="360" w:lineRule="auto"/>
        <w:ind w:firstLine="422" w:firstLineChars="200"/>
        <w:rPr>
          <w:b/>
        </w:rPr>
      </w:pPr>
      <w:r>
        <w:rPr>
          <w:b/>
          <w:szCs w:val="21"/>
        </w:rPr>
        <w:t>6.评价：</w:t>
      </w:r>
      <w:r>
        <w:rPr>
          <w:bCs/>
          <w:szCs w:val="21"/>
        </w:rPr>
        <w:t>两序列比对和多序列比对结果的生物学意义。</w:t>
      </w:r>
    </w:p>
    <w:p>
      <w:pPr>
        <w:snapToGrid w:val="0"/>
        <w:spacing w:line="360" w:lineRule="auto"/>
        <w:ind w:firstLine="103" w:firstLineChars="49"/>
        <w:jc w:val="center"/>
        <w:rPr>
          <w:b/>
          <w:szCs w:val="21"/>
        </w:rPr>
      </w:pPr>
      <w:r>
        <w:rPr>
          <w:b/>
          <w:szCs w:val="21"/>
        </w:rPr>
        <w:t xml:space="preserve">第四章  </w:t>
      </w:r>
      <w:r>
        <w:rPr>
          <w:b/>
          <w:bCs/>
          <w:szCs w:val="21"/>
        </w:rPr>
        <w:t>基因结构与功能注释</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w:t>
      </w:r>
      <w:r>
        <w:rPr>
          <w:bCs/>
        </w:rPr>
        <w:t>生物信息学常用的基因注释工具</w:t>
      </w:r>
    </w:p>
    <w:p>
      <w:pPr>
        <w:snapToGrid w:val="0"/>
        <w:spacing w:line="360" w:lineRule="auto"/>
        <w:ind w:firstLine="422" w:firstLineChars="200"/>
        <w:rPr>
          <w:color w:val="0000FF"/>
          <w:szCs w:val="21"/>
        </w:rPr>
      </w:pPr>
      <w:r>
        <w:rPr>
          <w:b/>
          <w:szCs w:val="21"/>
        </w:rPr>
        <w:t>2. 一般掌握</w:t>
      </w:r>
      <w:r>
        <w:rPr>
          <w:szCs w:val="21"/>
        </w:rPr>
        <w:t>：</w:t>
      </w:r>
      <w:r>
        <w:rPr>
          <w:bCs/>
        </w:rPr>
        <w:t>生物信息学常用基因注释工具的使用方法</w:t>
      </w:r>
    </w:p>
    <w:p>
      <w:pPr>
        <w:snapToGrid w:val="0"/>
        <w:spacing w:line="360" w:lineRule="auto"/>
        <w:ind w:firstLine="422" w:firstLineChars="200"/>
        <w:rPr>
          <w:color w:val="0000FF"/>
          <w:szCs w:val="21"/>
        </w:rPr>
      </w:pPr>
      <w:r>
        <w:rPr>
          <w:b/>
          <w:szCs w:val="21"/>
        </w:rPr>
        <w:t>3. 熟练掌握</w:t>
      </w:r>
      <w:r>
        <w:rPr>
          <w:szCs w:val="21"/>
        </w:rPr>
        <w:t>：</w:t>
      </w:r>
      <w:r>
        <w:rPr>
          <w:kern w:val="0"/>
          <w:szCs w:val="21"/>
        </w:rPr>
        <w:t>基因结构的主要组成部分</w:t>
      </w:r>
    </w:p>
    <w:p>
      <w:pPr>
        <w:snapToGrid w:val="0"/>
        <w:spacing w:line="360" w:lineRule="auto"/>
        <w:rPr>
          <w:szCs w:val="21"/>
        </w:rPr>
      </w:pPr>
      <w:r>
        <w:rPr>
          <w:b/>
          <w:szCs w:val="21"/>
        </w:rPr>
        <w:t>（二）考核内容</w:t>
      </w:r>
    </w:p>
    <w:p>
      <w:pPr>
        <w:snapToGrid w:val="0"/>
        <w:spacing w:line="360" w:lineRule="auto"/>
        <w:ind w:firstLine="420" w:firstLineChars="200"/>
        <w:rPr>
          <w:color w:val="0000FF"/>
          <w:szCs w:val="21"/>
        </w:rPr>
      </w:pPr>
      <w:r>
        <w:rPr>
          <w:kern w:val="0"/>
          <w:szCs w:val="21"/>
        </w:rPr>
        <w:t>了解基因的结构及其分析方法，</w:t>
      </w:r>
      <w:r>
        <w:t>使用生物信息学方法解析基因的结构和功能。</w:t>
      </w:r>
    </w:p>
    <w:p>
      <w:pPr>
        <w:snapToGrid w:val="0"/>
        <w:spacing w:line="360" w:lineRule="auto"/>
        <w:rPr>
          <w:b/>
          <w:szCs w:val="21"/>
        </w:rPr>
      </w:pPr>
      <w:r>
        <w:rPr>
          <w:b/>
          <w:szCs w:val="21"/>
        </w:rPr>
        <w:t>（三）考核要求</w:t>
      </w:r>
    </w:p>
    <w:p>
      <w:pPr>
        <w:snapToGrid w:val="0"/>
        <w:spacing w:line="360" w:lineRule="auto"/>
        <w:ind w:firstLine="422" w:firstLineChars="200"/>
        <w:rPr>
          <w:b/>
          <w:color w:val="0000FF"/>
          <w:szCs w:val="21"/>
        </w:rPr>
      </w:pPr>
      <w:r>
        <w:rPr>
          <w:b/>
          <w:szCs w:val="21"/>
        </w:rPr>
        <w:t>1.识记</w:t>
      </w:r>
      <w:r>
        <w:rPr>
          <w:szCs w:val="21"/>
        </w:rPr>
        <w:t>：</w:t>
      </w:r>
      <w:r>
        <w:rPr>
          <w:bCs/>
        </w:rPr>
        <w:t>生物信息学常用的基因注释工具的种类</w:t>
      </w:r>
    </w:p>
    <w:p>
      <w:pPr>
        <w:snapToGrid w:val="0"/>
        <w:spacing w:line="360" w:lineRule="auto"/>
        <w:ind w:firstLine="422" w:firstLineChars="200"/>
        <w:rPr>
          <w:b/>
          <w:szCs w:val="21"/>
        </w:rPr>
      </w:pPr>
      <w:r>
        <w:rPr>
          <w:b/>
          <w:szCs w:val="21"/>
        </w:rPr>
        <w:t>2.领会</w:t>
      </w:r>
      <w:r>
        <w:rPr>
          <w:szCs w:val="21"/>
        </w:rPr>
        <w:t>：</w:t>
      </w:r>
      <w:r>
        <w:rPr>
          <w:bCs/>
        </w:rPr>
        <w:t>基因注释工具的使用方法</w:t>
      </w:r>
    </w:p>
    <w:p>
      <w:pPr>
        <w:snapToGrid w:val="0"/>
        <w:spacing w:line="360" w:lineRule="auto"/>
        <w:ind w:firstLine="422" w:firstLineChars="200"/>
        <w:rPr>
          <w:szCs w:val="21"/>
        </w:rPr>
      </w:pPr>
      <w:r>
        <w:rPr>
          <w:b/>
          <w:szCs w:val="21"/>
        </w:rPr>
        <w:t>3.应用</w:t>
      </w:r>
      <w:r>
        <w:rPr>
          <w:szCs w:val="21"/>
        </w:rPr>
        <w:t>：</w:t>
      </w:r>
      <w:r>
        <w:rPr>
          <w:bCs/>
          <w:szCs w:val="21"/>
        </w:rPr>
        <w:t>使用基因注释工具对基因结构和功能进行分析和注释</w:t>
      </w:r>
    </w:p>
    <w:p>
      <w:pPr>
        <w:snapToGrid w:val="0"/>
        <w:spacing w:line="360" w:lineRule="auto"/>
        <w:ind w:firstLine="422" w:firstLineChars="200"/>
        <w:rPr>
          <w:b/>
          <w:szCs w:val="21"/>
        </w:rPr>
      </w:pPr>
      <w:r>
        <w:rPr>
          <w:b/>
          <w:szCs w:val="21"/>
        </w:rPr>
        <w:t>4.分析：</w:t>
      </w:r>
      <w:r>
        <w:rPr>
          <w:kern w:val="0"/>
          <w:szCs w:val="21"/>
        </w:rPr>
        <w:t>基因结构的主要组成部分</w:t>
      </w:r>
    </w:p>
    <w:p>
      <w:pPr>
        <w:snapToGrid w:val="0"/>
        <w:spacing w:line="360" w:lineRule="auto"/>
        <w:ind w:firstLine="422" w:firstLineChars="200"/>
        <w:rPr>
          <w:szCs w:val="21"/>
        </w:rPr>
      </w:pPr>
      <w:r>
        <w:rPr>
          <w:b/>
          <w:szCs w:val="21"/>
        </w:rPr>
        <w:t>5.综合</w:t>
      </w:r>
      <w:r>
        <w:rPr>
          <w:szCs w:val="21"/>
        </w:rPr>
        <w:t>：</w:t>
      </w:r>
      <w:r>
        <w:rPr>
          <w:bCs/>
        </w:rPr>
        <w:t>基因注释常用数据库的分类和功能</w:t>
      </w:r>
    </w:p>
    <w:p>
      <w:pPr>
        <w:snapToGrid w:val="0"/>
        <w:spacing w:line="360" w:lineRule="auto"/>
        <w:ind w:firstLine="422" w:firstLineChars="200"/>
        <w:rPr>
          <w:b/>
          <w:color w:val="0000FF"/>
          <w:szCs w:val="21"/>
        </w:rPr>
      </w:pPr>
      <w:r>
        <w:rPr>
          <w:b/>
          <w:szCs w:val="21"/>
        </w:rPr>
        <w:t>6.评价：</w:t>
      </w:r>
      <w:r>
        <w:rPr>
          <w:bCs/>
          <w:szCs w:val="21"/>
        </w:rPr>
        <w:t>熟练使用</w:t>
      </w:r>
      <w:r>
        <w:rPr>
          <w:bCs/>
          <w:kern w:val="0"/>
          <w:szCs w:val="21"/>
        </w:rPr>
        <w:t>生</w:t>
      </w:r>
      <w:r>
        <w:rPr>
          <w:kern w:val="0"/>
          <w:szCs w:val="21"/>
        </w:rPr>
        <w:t>物信息学工具注释基因功能</w:t>
      </w:r>
    </w:p>
    <w:p>
      <w:pPr>
        <w:snapToGrid w:val="0"/>
        <w:spacing w:line="360" w:lineRule="auto"/>
        <w:ind w:firstLine="103" w:firstLineChars="49"/>
        <w:jc w:val="center"/>
        <w:rPr>
          <w:b/>
          <w:szCs w:val="21"/>
        </w:rPr>
      </w:pPr>
      <w:r>
        <w:rPr>
          <w:b/>
          <w:szCs w:val="21"/>
        </w:rPr>
        <w:t xml:space="preserve">第五章  </w:t>
      </w:r>
      <w:r>
        <w:rPr>
          <w:b/>
          <w:bCs/>
          <w:kern w:val="0"/>
          <w:szCs w:val="21"/>
        </w:rPr>
        <w:t>高通量测序技术概要</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：高通量测序技术的发展历程</w:t>
      </w:r>
    </w:p>
    <w:p>
      <w:pPr>
        <w:snapToGrid w:val="0"/>
        <w:spacing w:line="360" w:lineRule="auto"/>
        <w:ind w:firstLine="422" w:firstLineChars="200"/>
        <w:rPr>
          <w:color w:val="0000FF"/>
          <w:szCs w:val="21"/>
        </w:rPr>
      </w:pPr>
      <w:r>
        <w:rPr>
          <w:b/>
          <w:szCs w:val="21"/>
        </w:rPr>
        <w:t>2. 一般掌握</w:t>
      </w:r>
      <w:r>
        <w:rPr>
          <w:szCs w:val="21"/>
        </w:rPr>
        <w:t>：</w:t>
      </w:r>
      <w:r>
        <w:t>第一代测序技术（双脱氧终止法，化学降解法）；第三代测序技术（tSMS、SMRT和Nanopore三种单分子信号检测技术）</w:t>
      </w:r>
    </w:p>
    <w:p>
      <w:pPr>
        <w:snapToGrid w:val="0"/>
        <w:spacing w:line="360" w:lineRule="auto"/>
        <w:ind w:firstLine="422" w:firstLineChars="200"/>
        <w:rPr>
          <w:color w:val="0000FF"/>
          <w:szCs w:val="21"/>
        </w:rPr>
      </w:pPr>
      <w:r>
        <w:rPr>
          <w:b/>
          <w:szCs w:val="21"/>
        </w:rPr>
        <w:t>3. 熟练掌握</w:t>
      </w:r>
      <w:r>
        <w:rPr>
          <w:szCs w:val="21"/>
        </w:rPr>
        <w:t>：</w:t>
      </w:r>
      <w:r>
        <w:t>第二代测序技术（454测序技术，Solexa和Hiseq测序技术，SOLID测序技术），其中Illumina公司的Solexa和Hiseq测序技术的“边合成边测序”核心原理为重点学习内容。</w:t>
      </w:r>
    </w:p>
    <w:p>
      <w:pPr>
        <w:snapToGrid w:val="0"/>
        <w:spacing w:line="360" w:lineRule="auto"/>
        <w:rPr>
          <w:szCs w:val="21"/>
        </w:rPr>
      </w:pPr>
      <w:r>
        <w:rPr>
          <w:b/>
          <w:szCs w:val="21"/>
        </w:rPr>
        <w:t>（二）考核内容</w:t>
      </w:r>
    </w:p>
    <w:p>
      <w:pPr>
        <w:snapToGrid w:val="0"/>
        <w:spacing w:line="360" w:lineRule="auto"/>
        <w:ind w:firstLine="420" w:firstLineChars="200"/>
        <w:rPr>
          <w:bCs/>
          <w:szCs w:val="21"/>
        </w:rPr>
      </w:pPr>
      <w:r>
        <w:rPr>
          <w:bCs/>
          <w:szCs w:val="21"/>
        </w:rPr>
        <w:t>1.</w:t>
      </w:r>
      <w:r>
        <w:t xml:space="preserve"> </w:t>
      </w:r>
      <w:r>
        <w:rPr>
          <w:bCs/>
          <w:szCs w:val="21"/>
        </w:rPr>
        <w:t>高通量测序技术的发展现状</w:t>
      </w:r>
    </w:p>
    <w:p>
      <w:pPr>
        <w:snapToGrid w:val="0"/>
        <w:spacing w:line="360" w:lineRule="auto"/>
        <w:ind w:firstLine="420" w:firstLineChars="200"/>
        <w:rPr>
          <w:bCs/>
          <w:szCs w:val="21"/>
        </w:rPr>
      </w:pPr>
      <w:r>
        <w:rPr>
          <w:bCs/>
          <w:szCs w:val="21"/>
        </w:rPr>
        <w:t>2. 高通量测序技术的种类及技术原理</w:t>
      </w:r>
    </w:p>
    <w:p>
      <w:pPr>
        <w:snapToGrid w:val="0"/>
        <w:spacing w:line="360" w:lineRule="auto"/>
        <w:ind w:firstLine="420" w:firstLineChars="200"/>
        <w:rPr>
          <w:bCs/>
          <w:szCs w:val="21"/>
        </w:rPr>
      </w:pPr>
      <w:r>
        <w:rPr>
          <w:bCs/>
          <w:szCs w:val="21"/>
        </w:rPr>
        <w:t>3. 基因组重测序概念和流程</w:t>
      </w:r>
    </w:p>
    <w:p>
      <w:pPr>
        <w:snapToGrid w:val="0"/>
        <w:spacing w:line="360" w:lineRule="auto"/>
        <w:ind w:firstLine="420" w:firstLineChars="200"/>
        <w:rPr>
          <w:bCs/>
          <w:szCs w:val="21"/>
        </w:rPr>
      </w:pPr>
      <w:r>
        <w:rPr>
          <w:bCs/>
          <w:szCs w:val="21"/>
        </w:rPr>
        <w:t>4. 转录组测序（RNA-seq）概念和流程</w:t>
      </w:r>
    </w:p>
    <w:p>
      <w:pPr>
        <w:snapToGrid w:val="0"/>
        <w:spacing w:line="360" w:lineRule="auto"/>
        <w:ind w:firstLine="420" w:firstLineChars="200"/>
        <w:rPr>
          <w:szCs w:val="21"/>
        </w:rPr>
      </w:pPr>
      <w:r>
        <w:rPr>
          <w:bCs/>
          <w:szCs w:val="21"/>
        </w:rPr>
        <w:t>5. 染色质免疫共沉淀测序技术（ChIP-Seq）概念和流程</w:t>
      </w:r>
    </w:p>
    <w:p>
      <w:pPr>
        <w:snapToGrid w:val="0"/>
        <w:spacing w:line="360" w:lineRule="auto"/>
        <w:rPr>
          <w:b/>
          <w:szCs w:val="21"/>
        </w:rPr>
      </w:pPr>
      <w:r>
        <w:rPr>
          <w:b/>
          <w:szCs w:val="21"/>
        </w:rPr>
        <w:t>（三）考核要求</w:t>
      </w:r>
    </w:p>
    <w:p>
      <w:pPr>
        <w:snapToGrid w:val="0"/>
        <w:spacing w:line="360" w:lineRule="auto"/>
        <w:ind w:firstLine="422" w:firstLineChars="200"/>
        <w:rPr>
          <w:b/>
          <w:color w:val="0000FF"/>
          <w:szCs w:val="21"/>
        </w:rPr>
      </w:pPr>
      <w:r>
        <w:rPr>
          <w:b/>
          <w:szCs w:val="21"/>
        </w:rPr>
        <w:t>1.识记</w:t>
      </w:r>
      <w:r>
        <w:rPr>
          <w:szCs w:val="21"/>
        </w:rPr>
        <w:t>：</w:t>
      </w:r>
      <w:r>
        <w:rPr>
          <w:bCs/>
          <w:szCs w:val="21"/>
        </w:rPr>
        <w:t>高通量测序的概念；生物信息数据的主要类型。</w:t>
      </w:r>
    </w:p>
    <w:p>
      <w:pPr>
        <w:snapToGrid w:val="0"/>
        <w:spacing w:line="360" w:lineRule="auto"/>
        <w:ind w:firstLine="422" w:firstLineChars="200"/>
        <w:rPr>
          <w:b/>
          <w:color w:val="0000FF"/>
          <w:szCs w:val="21"/>
        </w:rPr>
      </w:pPr>
      <w:r>
        <w:rPr>
          <w:b/>
          <w:szCs w:val="21"/>
        </w:rPr>
        <w:t>2.领会</w:t>
      </w:r>
      <w:r>
        <w:rPr>
          <w:szCs w:val="21"/>
        </w:rPr>
        <w:t>：</w:t>
      </w:r>
      <w:r>
        <w:rPr>
          <w:bCs/>
          <w:szCs w:val="21"/>
        </w:rPr>
        <w:t>不同高通量测序技术的优势与劣势。</w:t>
      </w:r>
    </w:p>
    <w:p>
      <w:pPr>
        <w:snapToGrid w:val="0"/>
        <w:spacing w:line="360" w:lineRule="auto"/>
        <w:ind w:firstLine="422" w:firstLineChars="200"/>
        <w:rPr>
          <w:color w:val="0000FF"/>
          <w:szCs w:val="21"/>
        </w:rPr>
      </w:pPr>
      <w:r>
        <w:rPr>
          <w:b/>
          <w:szCs w:val="21"/>
        </w:rPr>
        <w:t>3.应用</w:t>
      </w:r>
      <w:r>
        <w:rPr>
          <w:szCs w:val="21"/>
        </w:rPr>
        <w:t>：要求学生能够解释</w:t>
      </w:r>
      <w:r>
        <w:rPr>
          <w:bCs/>
          <w:szCs w:val="21"/>
        </w:rPr>
        <w:t>高通量测序技术在园艺植物育种工作中的作用。</w:t>
      </w:r>
    </w:p>
    <w:p>
      <w:pPr>
        <w:snapToGrid w:val="0"/>
        <w:spacing w:line="360" w:lineRule="auto"/>
        <w:ind w:firstLine="422" w:firstLineChars="200"/>
        <w:rPr>
          <w:b/>
          <w:szCs w:val="21"/>
        </w:rPr>
      </w:pPr>
      <w:r>
        <w:rPr>
          <w:b/>
          <w:szCs w:val="21"/>
        </w:rPr>
        <w:t>4.分析：</w:t>
      </w:r>
      <w:r>
        <w:rPr>
          <w:bCs/>
          <w:szCs w:val="21"/>
        </w:rPr>
        <w:t>利用本章知识，解释多种遗传物质信息获取的方式。</w:t>
      </w:r>
    </w:p>
    <w:p>
      <w:pPr>
        <w:snapToGrid w:val="0"/>
        <w:spacing w:line="360" w:lineRule="auto"/>
        <w:ind w:firstLine="422" w:firstLineChars="200"/>
        <w:rPr>
          <w:szCs w:val="21"/>
        </w:rPr>
      </w:pPr>
      <w:r>
        <w:rPr>
          <w:b/>
          <w:szCs w:val="21"/>
        </w:rPr>
        <w:t>5.综合</w:t>
      </w:r>
      <w:r>
        <w:rPr>
          <w:szCs w:val="21"/>
        </w:rPr>
        <w:t>：</w:t>
      </w:r>
      <w:r>
        <w:rPr>
          <w:bCs/>
          <w:szCs w:val="21"/>
        </w:rPr>
        <w:t>要求学生能够利用本章节知识，理解传统测序技术和现代高通量测序技术的优缺点，提出解析基因组、转录组、蛋白质组等组学信息的方法和途径。</w:t>
      </w:r>
    </w:p>
    <w:p>
      <w:pPr>
        <w:snapToGrid w:val="0"/>
        <w:spacing w:line="360" w:lineRule="auto"/>
        <w:ind w:firstLine="422" w:firstLineChars="200"/>
        <w:rPr>
          <w:bCs/>
          <w:szCs w:val="21"/>
        </w:rPr>
      </w:pPr>
      <w:r>
        <w:rPr>
          <w:b/>
          <w:szCs w:val="21"/>
        </w:rPr>
        <w:t>6.评价：</w:t>
      </w:r>
      <w:r>
        <w:rPr>
          <w:bCs/>
          <w:szCs w:val="21"/>
        </w:rPr>
        <w:t>高通量测序技术对分子育种的发展进行评价。</w:t>
      </w:r>
    </w:p>
    <w:p>
      <w:pPr>
        <w:pStyle w:val="10"/>
        <w:snapToGrid w:val="0"/>
        <w:spacing w:before="312" w:beforeLines="100"/>
        <w:jc w:val="center"/>
        <w:rPr>
          <w:rFonts w:ascii="Times New Roman" w:hAnsi="Times New Roman" w:cs="Times New Roman"/>
          <w:b/>
        </w:rPr>
      </w:pPr>
      <w:r>
        <w:rPr>
          <w:rFonts w:ascii="Times New Roman" w:hAnsi="Times New Roman" w:cs="Times New Roman"/>
          <w:b/>
          <w:bCs/>
          <w:kern w:val="0"/>
        </w:rPr>
        <w:t xml:space="preserve">第六章  基因表达分析 </w:t>
      </w:r>
    </w:p>
    <w:p>
      <w:pPr>
        <w:snapToGrid w:val="0"/>
        <w:rPr>
          <w:b/>
          <w:szCs w:val="21"/>
        </w:rPr>
      </w:pPr>
      <w:r>
        <w:rPr>
          <w:b/>
          <w:szCs w:val="21"/>
        </w:rPr>
        <w:t>（一）学习目标</w:t>
      </w:r>
    </w:p>
    <w:p>
      <w:pPr>
        <w:snapToGrid w:val="0"/>
        <w:spacing w:before="156" w:beforeLines="50"/>
        <w:ind w:firstLine="422" w:firstLineChars="200"/>
        <w:rPr>
          <w:szCs w:val="21"/>
        </w:rPr>
      </w:pPr>
      <w:r>
        <w:rPr>
          <w:b/>
          <w:szCs w:val="21"/>
        </w:rPr>
        <w:t>1. 一般了解</w:t>
      </w:r>
      <w:r>
        <w:rPr>
          <w:szCs w:val="21"/>
        </w:rPr>
        <w:t>：基因表达的生物学意义。</w:t>
      </w:r>
    </w:p>
    <w:p>
      <w:pPr>
        <w:snapToGrid w:val="0"/>
        <w:spacing w:before="156" w:beforeLines="50"/>
        <w:ind w:firstLine="422" w:firstLineChars="200"/>
        <w:rPr>
          <w:szCs w:val="21"/>
        </w:rPr>
      </w:pPr>
      <w:r>
        <w:rPr>
          <w:b/>
          <w:szCs w:val="21"/>
        </w:rPr>
        <w:t>2. 一般掌握</w:t>
      </w:r>
      <w:r>
        <w:rPr>
          <w:szCs w:val="21"/>
        </w:rPr>
        <w:t>：</w:t>
      </w:r>
      <w:r>
        <w:rPr>
          <w:kern w:val="0"/>
          <w:szCs w:val="21"/>
        </w:rPr>
        <w:t>基因表达的概念和特点；转录组测序的原理和一般步骤。</w:t>
      </w:r>
    </w:p>
    <w:p>
      <w:pPr>
        <w:snapToGrid w:val="0"/>
        <w:spacing w:before="156" w:beforeLines="50"/>
        <w:ind w:firstLine="422" w:firstLineChars="200"/>
        <w:rPr>
          <w:b/>
          <w:szCs w:val="21"/>
        </w:rPr>
      </w:pPr>
      <w:r>
        <w:rPr>
          <w:b/>
          <w:szCs w:val="21"/>
        </w:rPr>
        <w:t>3. 熟练掌握</w:t>
      </w:r>
      <w:r>
        <w:rPr>
          <w:szCs w:val="21"/>
        </w:rPr>
        <w:t>：转录组数据处理和分析，差异表达基因鉴定与注释</w:t>
      </w:r>
      <w:r>
        <w:rPr>
          <w:kern w:val="0"/>
          <w:szCs w:val="21"/>
        </w:rPr>
        <w:t>。</w:t>
      </w:r>
    </w:p>
    <w:p>
      <w:pPr>
        <w:snapToGrid w:val="0"/>
        <w:spacing w:before="156" w:beforeLines="50"/>
        <w:rPr>
          <w:szCs w:val="21"/>
        </w:rPr>
      </w:pPr>
      <w:r>
        <w:rPr>
          <w:b/>
          <w:szCs w:val="21"/>
        </w:rPr>
        <w:t>（二）考核内容</w:t>
      </w:r>
    </w:p>
    <w:p>
      <w:pPr>
        <w:snapToGrid w:val="0"/>
        <w:spacing w:before="156" w:beforeLines="50"/>
        <w:ind w:firstLine="420" w:firstLineChars="200"/>
        <w:rPr>
          <w:kern w:val="0"/>
          <w:szCs w:val="21"/>
        </w:rPr>
      </w:pPr>
      <w:r>
        <w:rPr>
          <w:kern w:val="0"/>
          <w:szCs w:val="21"/>
        </w:rPr>
        <w:t>1．细胞质遗传的概念和特点，母性影响及与细胞质遗传的区别。</w:t>
      </w:r>
    </w:p>
    <w:p>
      <w:pPr>
        <w:snapToGrid w:val="0"/>
        <w:spacing w:before="156" w:beforeLines="50"/>
        <w:ind w:firstLine="420" w:firstLineChars="200"/>
        <w:rPr>
          <w:kern w:val="0"/>
          <w:szCs w:val="21"/>
        </w:rPr>
      </w:pPr>
      <w:r>
        <w:rPr>
          <w:kern w:val="0"/>
          <w:szCs w:val="21"/>
        </w:rPr>
        <w:t>2．叶绿体遗传的现象及遗传的分子基础；线粒体遗传的现象及遗传的分子学基础。</w:t>
      </w:r>
    </w:p>
    <w:p>
      <w:pPr>
        <w:snapToGrid w:val="0"/>
        <w:spacing w:before="156" w:beforeLines="50"/>
        <w:ind w:firstLine="420" w:firstLineChars="200"/>
        <w:rPr>
          <w:kern w:val="0"/>
          <w:szCs w:val="21"/>
        </w:rPr>
      </w:pPr>
      <w:r>
        <w:rPr>
          <w:kern w:val="0"/>
          <w:szCs w:val="21"/>
        </w:rPr>
        <w:t>3．雄性不育的类型及遗传特点，雄性不育发生的机理及质核不育型在三系配套制种中的应用。</w:t>
      </w:r>
    </w:p>
    <w:p>
      <w:pPr>
        <w:snapToGrid w:val="0"/>
        <w:spacing w:before="156" w:beforeLines="50"/>
        <w:rPr>
          <w:b/>
          <w:szCs w:val="21"/>
        </w:rPr>
      </w:pPr>
      <w:r>
        <w:rPr>
          <w:b/>
          <w:szCs w:val="21"/>
        </w:rPr>
        <w:t>（三）考核要求</w:t>
      </w:r>
    </w:p>
    <w:p>
      <w:pPr>
        <w:snapToGrid w:val="0"/>
        <w:spacing w:before="156" w:beforeLines="50"/>
        <w:ind w:firstLine="422" w:firstLineChars="200"/>
        <w:rPr>
          <w:b/>
          <w:szCs w:val="21"/>
        </w:rPr>
      </w:pPr>
      <w:r>
        <w:rPr>
          <w:b/>
          <w:szCs w:val="21"/>
        </w:rPr>
        <w:t>1.识记</w:t>
      </w:r>
      <w:r>
        <w:rPr>
          <w:szCs w:val="21"/>
        </w:rPr>
        <w:t>：RNA-seq、</w:t>
      </w:r>
      <w:r>
        <w:t>qPCR、FPKM</w:t>
      </w:r>
      <w:r>
        <w:rPr>
          <w:kern w:val="0"/>
          <w:szCs w:val="21"/>
        </w:rPr>
        <w:t>。</w:t>
      </w:r>
    </w:p>
    <w:p>
      <w:pPr>
        <w:snapToGrid w:val="0"/>
        <w:spacing w:before="156" w:beforeLines="50"/>
        <w:ind w:firstLine="422" w:firstLineChars="200"/>
        <w:rPr>
          <w:kern w:val="0"/>
          <w:szCs w:val="21"/>
        </w:rPr>
      </w:pPr>
      <w:r>
        <w:rPr>
          <w:b/>
          <w:szCs w:val="21"/>
        </w:rPr>
        <w:t>2.领会</w:t>
      </w:r>
      <w:r>
        <w:rPr>
          <w:szCs w:val="21"/>
        </w:rPr>
        <w:t>：</w:t>
      </w:r>
      <w:r>
        <w:t>相对定量和绝对定量的区别、转录组测序的基本原理</w:t>
      </w:r>
      <w:r>
        <w:rPr>
          <w:kern w:val="0"/>
          <w:szCs w:val="21"/>
        </w:rPr>
        <w:t>。</w:t>
      </w:r>
    </w:p>
    <w:p>
      <w:pPr>
        <w:snapToGrid w:val="0"/>
        <w:spacing w:before="156" w:beforeLines="50"/>
        <w:ind w:firstLine="422" w:firstLineChars="200"/>
      </w:pPr>
      <w:r>
        <w:rPr>
          <w:b/>
          <w:szCs w:val="21"/>
        </w:rPr>
        <w:t>3.应用</w:t>
      </w:r>
      <w:r>
        <w:rPr>
          <w:szCs w:val="21"/>
        </w:rPr>
        <w:t>：</w:t>
      </w:r>
      <w:r>
        <w:t>要求学生能够利用本章知识，熟悉转录组分析的软件，完成两个样本的转录比对分析。</w:t>
      </w:r>
    </w:p>
    <w:p>
      <w:pPr>
        <w:snapToGrid w:val="0"/>
        <w:spacing w:before="156" w:beforeLines="50"/>
        <w:ind w:firstLine="422" w:firstLineChars="200"/>
        <w:rPr>
          <w:b/>
          <w:szCs w:val="21"/>
        </w:rPr>
      </w:pPr>
      <w:r>
        <w:rPr>
          <w:b/>
          <w:bCs/>
        </w:rPr>
        <w:t>4. 分析：</w:t>
      </w:r>
      <w:r>
        <w:t>利用本章所学知识，分析差异表达基因在不同样品间作用</w:t>
      </w:r>
      <w:r>
        <w:rPr>
          <w:b/>
          <w:szCs w:val="21"/>
        </w:rPr>
        <w:t>。</w:t>
      </w:r>
    </w:p>
    <w:p>
      <w:pPr>
        <w:snapToGrid w:val="0"/>
        <w:spacing w:before="156" w:beforeLines="50"/>
        <w:ind w:firstLine="422" w:firstLineChars="200"/>
      </w:pPr>
      <w:r>
        <w:rPr>
          <w:b/>
          <w:szCs w:val="21"/>
        </w:rPr>
        <w:t>5．综合</w:t>
      </w:r>
      <w:r>
        <w:rPr>
          <w:szCs w:val="21"/>
        </w:rPr>
        <w:t>：</w:t>
      </w:r>
      <w:r>
        <w:t>要求学生能够利用本章知识，掌握转录组分析流程，能够解释基因差异表达的原因。</w:t>
      </w:r>
    </w:p>
    <w:p>
      <w:pPr>
        <w:snapToGrid w:val="0"/>
        <w:spacing w:before="156" w:beforeLines="50"/>
        <w:ind w:firstLine="422" w:firstLineChars="200"/>
        <w:rPr>
          <w:szCs w:val="21"/>
        </w:rPr>
      </w:pPr>
      <w:r>
        <w:rPr>
          <w:b/>
          <w:bCs/>
        </w:rPr>
        <w:t>6. 评价：</w:t>
      </w:r>
      <w:r>
        <w:t>要求学生通过本章节内容的学习，评价基因表达在生命活动中的角色，从表达稳定性来评价不同基因的功能重要程度。</w:t>
      </w:r>
    </w:p>
    <w:p>
      <w:pPr>
        <w:snapToGrid w:val="0"/>
        <w:spacing w:before="156" w:beforeLines="50" w:after="156" w:afterLines="50" w:line="360" w:lineRule="auto"/>
        <w:ind w:firstLine="103" w:firstLineChars="49"/>
        <w:jc w:val="center"/>
        <w:rPr>
          <w:b/>
          <w:szCs w:val="21"/>
        </w:rPr>
      </w:pPr>
      <w:r>
        <w:rPr>
          <w:b/>
          <w:szCs w:val="21"/>
        </w:rPr>
        <w:t xml:space="preserve">第七章  </w:t>
      </w:r>
      <w:r>
        <w:rPr>
          <w:b/>
          <w:bCs/>
          <w:szCs w:val="21"/>
        </w:rPr>
        <w:t>网页工具的使用</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w:t>
      </w:r>
      <w:r>
        <w:rPr>
          <w:kern w:val="0"/>
          <w:szCs w:val="21"/>
        </w:rPr>
        <w:t>生物信息学常用</w:t>
      </w:r>
      <w:r>
        <w:rPr>
          <w:szCs w:val="21"/>
        </w:rPr>
        <w:t>网页工具</w:t>
      </w:r>
      <w:r>
        <w:rPr>
          <w:kern w:val="0"/>
          <w:szCs w:val="21"/>
        </w:rPr>
        <w:t>的种类及其功能</w:t>
      </w:r>
    </w:p>
    <w:p>
      <w:pPr>
        <w:snapToGrid w:val="0"/>
        <w:spacing w:line="360" w:lineRule="auto"/>
        <w:ind w:firstLine="422" w:firstLineChars="200"/>
        <w:rPr>
          <w:color w:val="0000FF"/>
          <w:szCs w:val="21"/>
        </w:rPr>
      </w:pPr>
      <w:r>
        <w:rPr>
          <w:b/>
          <w:szCs w:val="21"/>
        </w:rPr>
        <w:t>2. 一般掌握</w:t>
      </w:r>
      <w:r>
        <w:rPr>
          <w:szCs w:val="21"/>
        </w:rPr>
        <w:t>：</w:t>
      </w:r>
      <w:r>
        <w:rPr>
          <w:kern w:val="0"/>
          <w:szCs w:val="21"/>
        </w:rPr>
        <w:t>生物信息学常用</w:t>
      </w:r>
      <w:r>
        <w:rPr>
          <w:szCs w:val="21"/>
        </w:rPr>
        <w:t>网页工具</w:t>
      </w:r>
      <w:r>
        <w:rPr>
          <w:kern w:val="0"/>
          <w:szCs w:val="21"/>
        </w:rPr>
        <w:t>的选用</w:t>
      </w:r>
    </w:p>
    <w:p>
      <w:pPr>
        <w:snapToGrid w:val="0"/>
        <w:spacing w:line="360" w:lineRule="auto"/>
        <w:ind w:firstLine="422" w:firstLineChars="200"/>
        <w:rPr>
          <w:color w:val="0000FF"/>
          <w:szCs w:val="21"/>
        </w:rPr>
      </w:pPr>
      <w:r>
        <w:rPr>
          <w:b/>
          <w:szCs w:val="21"/>
        </w:rPr>
        <w:t>3. 熟练掌握</w:t>
      </w:r>
      <w:r>
        <w:rPr>
          <w:szCs w:val="21"/>
        </w:rPr>
        <w:t>：</w:t>
      </w:r>
      <w:r>
        <w:rPr>
          <w:kern w:val="0"/>
          <w:szCs w:val="21"/>
        </w:rPr>
        <w:t>生物信息学常用</w:t>
      </w:r>
      <w:r>
        <w:rPr>
          <w:szCs w:val="21"/>
        </w:rPr>
        <w:t>网页工具</w:t>
      </w:r>
      <w:r>
        <w:rPr>
          <w:bCs/>
        </w:rPr>
        <w:t>解决生物学问题的方法</w:t>
      </w:r>
    </w:p>
    <w:p>
      <w:pPr>
        <w:snapToGrid w:val="0"/>
        <w:spacing w:line="360" w:lineRule="auto"/>
        <w:rPr>
          <w:szCs w:val="21"/>
        </w:rPr>
      </w:pPr>
      <w:r>
        <w:rPr>
          <w:b/>
          <w:szCs w:val="21"/>
        </w:rPr>
        <w:t>（二）考核内容</w:t>
      </w:r>
    </w:p>
    <w:p>
      <w:pPr>
        <w:snapToGrid w:val="0"/>
        <w:spacing w:line="360" w:lineRule="auto"/>
        <w:ind w:firstLine="420" w:firstLineChars="200"/>
        <w:rPr>
          <w:color w:val="0000FF"/>
          <w:szCs w:val="21"/>
        </w:rPr>
      </w:pPr>
      <w:r>
        <w:rPr>
          <w:bCs/>
        </w:rPr>
        <w:t>了解生物信息学常用</w:t>
      </w:r>
      <w:r>
        <w:rPr>
          <w:szCs w:val="21"/>
        </w:rPr>
        <w:t>网页工具</w:t>
      </w:r>
      <w:r>
        <w:rPr>
          <w:bCs/>
        </w:rPr>
        <w:t>的种类和应用场景，</w:t>
      </w:r>
      <w:r>
        <w:rPr>
          <w:kern w:val="0"/>
          <w:szCs w:val="21"/>
        </w:rPr>
        <w:t>熟练掌握生物信息学常用</w:t>
      </w:r>
      <w:r>
        <w:rPr>
          <w:szCs w:val="21"/>
        </w:rPr>
        <w:t>网页工具</w:t>
      </w:r>
      <w:r>
        <w:rPr>
          <w:bCs/>
        </w:rPr>
        <w:t>解决生物学问题的方法和操作步骤。</w:t>
      </w:r>
    </w:p>
    <w:p>
      <w:pPr>
        <w:snapToGrid w:val="0"/>
        <w:spacing w:line="360" w:lineRule="auto"/>
        <w:rPr>
          <w:b/>
          <w:szCs w:val="21"/>
        </w:rPr>
      </w:pPr>
      <w:r>
        <w:rPr>
          <w:b/>
          <w:szCs w:val="21"/>
        </w:rPr>
        <w:t>（三）考核要求</w:t>
      </w:r>
    </w:p>
    <w:p>
      <w:pPr>
        <w:snapToGrid w:val="0"/>
        <w:spacing w:line="360" w:lineRule="auto"/>
        <w:ind w:firstLine="422" w:firstLineChars="200"/>
        <w:rPr>
          <w:b/>
          <w:color w:val="0000FF"/>
          <w:szCs w:val="21"/>
        </w:rPr>
      </w:pPr>
      <w:r>
        <w:rPr>
          <w:b/>
          <w:szCs w:val="21"/>
        </w:rPr>
        <w:t>1.识记</w:t>
      </w:r>
      <w:r>
        <w:rPr>
          <w:szCs w:val="21"/>
        </w:rPr>
        <w:t>：</w:t>
      </w:r>
      <w:r>
        <w:rPr>
          <w:bCs/>
        </w:rPr>
        <w:t>生物信息学常用</w:t>
      </w:r>
      <w:r>
        <w:rPr>
          <w:szCs w:val="21"/>
        </w:rPr>
        <w:t>网页工具</w:t>
      </w:r>
      <w:r>
        <w:rPr>
          <w:bCs/>
        </w:rPr>
        <w:t>的种类</w:t>
      </w:r>
    </w:p>
    <w:p>
      <w:pPr>
        <w:snapToGrid w:val="0"/>
        <w:spacing w:line="360" w:lineRule="auto"/>
        <w:ind w:firstLine="422" w:firstLineChars="200"/>
        <w:rPr>
          <w:b/>
          <w:color w:val="0000FF"/>
          <w:szCs w:val="21"/>
        </w:rPr>
      </w:pPr>
      <w:r>
        <w:rPr>
          <w:b/>
          <w:szCs w:val="21"/>
        </w:rPr>
        <w:t>2.领会</w:t>
      </w:r>
      <w:r>
        <w:rPr>
          <w:szCs w:val="21"/>
        </w:rPr>
        <w:t>：</w:t>
      </w:r>
      <w:r>
        <w:rPr>
          <w:bCs/>
        </w:rPr>
        <w:t>常用</w:t>
      </w:r>
      <w:r>
        <w:rPr>
          <w:szCs w:val="21"/>
        </w:rPr>
        <w:t>网页工具</w:t>
      </w:r>
      <w:r>
        <w:rPr>
          <w:bCs/>
        </w:rPr>
        <w:t>的应用场景</w:t>
      </w:r>
    </w:p>
    <w:p>
      <w:pPr>
        <w:snapToGrid w:val="0"/>
        <w:spacing w:line="360" w:lineRule="auto"/>
        <w:ind w:firstLine="422" w:firstLineChars="200"/>
        <w:rPr>
          <w:color w:val="0000FF"/>
          <w:szCs w:val="21"/>
        </w:rPr>
      </w:pPr>
      <w:r>
        <w:rPr>
          <w:b/>
          <w:szCs w:val="21"/>
        </w:rPr>
        <w:t>3.应用</w:t>
      </w:r>
      <w:r>
        <w:rPr>
          <w:szCs w:val="21"/>
        </w:rPr>
        <w:t>：</w:t>
      </w:r>
      <w:r>
        <w:t>使用多种网页工具解决生物学问题</w:t>
      </w:r>
    </w:p>
    <w:p>
      <w:pPr>
        <w:snapToGrid w:val="0"/>
        <w:spacing w:line="360" w:lineRule="auto"/>
        <w:ind w:firstLine="422" w:firstLineChars="200"/>
        <w:rPr>
          <w:b/>
          <w:color w:val="0000FF"/>
          <w:szCs w:val="21"/>
        </w:rPr>
      </w:pPr>
      <w:r>
        <w:rPr>
          <w:b/>
          <w:szCs w:val="21"/>
        </w:rPr>
        <w:t>4.分析：</w:t>
      </w:r>
      <w:r>
        <w:rPr>
          <w:kern w:val="0"/>
          <w:szCs w:val="21"/>
        </w:rPr>
        <w:t>常用</w:t>
      </w:r>
      <w:r>
        <w:rPr>
          <w:szCs w:val="21"/>
        </w:rPr>
        <w:t>网页工具</w:t>
      </w:r>
      <w:r>
        <w:rPr>
          <w:bCs/>
        </w:rPr>
        <w:t>解决生物学问题的方法</w:t>
      </w:r>
    </w:p>
    <w:p>
      <w:pPr>
        <w:snapToGrid w:val="0"/>
        <w:spacing w:line="360" w:lineRule="auto"/>
        <w:ind w:firstLine="422" w:firstLineChars="200"/>
        <w:rPr>
          <w:color w:val="0000FF"/>
          <w:szCs w:val="21"/>
        </w:rPr>
      </w:pPr>
      <w:r>
        <w:rPr>
          <w:b/>
          <w:szCs w:val="21"/>
        </w:rPr>
        <w:t>5.综合</w:t>
      </w:r>
      <w:r>
        <w:rPr>
          <w:szCs w:val="21"/>
        </w:rPr>
        <w:t>：</w:t>
      </w:r>
      <w:r>
        <w:t>各个网页工具的优缺点</w:t>
      </w:r>
    </w:p>
    <w:p>
      <w:pPr>
        <w:snapToGrid w:val="0"/>
        <w:spacing w:line="360" w:lineRule="auto"/>
        <w:ind w:firstLine="422" w:firstLineChars="200"/>
        <w:rPr>
          <w:b/>
          <w:color w:val="0000FF"/>
          <w:szCs w:val="21"/>
        </w:rPr>
      </w:pPr>
      <w:r>
        <w:rPr>
          <w:b/>
          <w:szCs w:val="21"/>
        </w:rPr>
        <w:t>6.评价：</w:t>
      </w:r>
      <w:r>
        <w:rPr>
          <w:kern w:val="0"/>
          <w:szCs w:val="21"/>
        </w:rPr>
        <w:t>掌握生物信息学常用</w:t>
      </w:r>
      <w:r>
        <w:rPr>
          <w:szCs w:val="21"/>
        </w:rPr>
        <w:t>网页工具</w:t>
      </w:r>
      <w:r>
        <w:rPr>
          <w:kern w:val="0"/>
          <w:szCs w:val="21"/>
        </w:rPr>
        <w:t>的操作步骤</w:t>
      </w:r>
    </w:p>
    <w:p>
      <w:pPr>
        <w:pStyle w:val="10"/>
        <w:snapToGrid w:val="0"/>
        <w:spacing w:line="360" w:lineRule="auto"/>
        <w:jc w:val="center"/>
        <w:rPr>
          <w:rFonts w:ascii="Times New Roman" w:hAnsi="Times New Roman" w:cs="Times New Roman"/>
          <w:b/>
        </w:rPr>
      </w:pPr>
      <w:r>
        <w:rPr>
          <w:rFonts w:ascii="Times New Roman" w:hAnsi="Times New Roman" w:cs="Times New Roman"/>
          <w:b/>
        </w:rPr>
        <w:t xml:space="preserve">第八章  </w:t>
      </w:r>
      <w:r>
        <w:rPr>
          <w:rFonts w:ascii="Times New Roman" w:hAnsi="Times New Roman" w:cs="Times New Roman"/>
          <w:b/>
          <w:bCs/>
          <w:kern w:val="0"/>
        </w:rPr>
        <w:t>生物信息学计算机基础</w:t>
      </w:r>
    </w:p>
    <w:p>
      <w:pPr>
        <w:snapToGrid w:val="0"/>
        <w:spacing w:line="360" w:lineRule="auto"/>
        <w:rPr>
          <w:b/>
          <w:szCs w:val="21"/>
        </w:rPr>
      </w:pPr>
      <w:r>
        <w:rPr>
          <w:b/>
          <w:szCs w:val="21"/>
        </w:rPr>
        <w:t>（一）学习目标</w:t>
      </w:r>
    </w:p>
    <w:p>
      <w:pPr>
        <w:snapToGrid w:val="0"/>
        <w:spacing w:line="360" w:lineRule="auto"/>
        <w:ind w:firstLine="422" w:firstLineChars="200"/>
        <w:rPr>
          <w:color w:val="0000FF"/>
          <w:szCs w:val="21"/>
        </w:rPr>
      </w:pPr>
      <w:r>
        <w:rPr>
          <w:b/>
          <w:szCs w:val="21"/>
        </w:rPr>
        <w:t>1. 一般了解</w:t>
      </w:r>
      <w:r>
        <w:rPr>
          <w:szCs w:val="21"/>
        </w:rPr>
        <w:t>：计算机科学在生物信息学发展中的重要性；Linux操作系统、Python和R等编程语言的工作原理。</w:t>
      </w:r>
    </w:p>
    <w:p>
      <w:pPr>
        <w:snapToGrid w:val="0"/>
        <w:spacing w:line="360" w:lineRule="auto"/>
        <w:ind w:firstLine="422" w:firstLineChars="200"/>
        <w:rPr>
          <w:color w:val="0000FF"/>
          <w:szCs w:val="21"/>
        </w:rPr>
      </w:pPr>
      <w:r>
        <w:rPr>
          <w:b/>
          <w:szCs w:val="21"/>
        </w:rPr>
        <w:t>2. 一般掌握</w:t>
      </w:r>
      <w:r>
        <w:rPr>
          <w:szCs w:val="21"/>
        </w:rPr>
        <w:t>：Linux操作系统的安装、Python和R语言的安装。</w:t>
      </w:r>
    </w:p>
    <w:p>
      <w:pPr>
        <w:snapToGrid w:val="0"/>
        <w:spacing w:line="360" w:lineRule="auto"/>
        <w:ind w:firstLine="422" w:firstLineChars="200"/>
        <w:rPr>
          <w:color w:val="0000FF"/>
          <w:szCs w:val="21"/>
        </w:rPr>
      </w:pPr>
      <w:r>
        <w:rPr>
          <w:b/>
          <w:szCs w:val="21"/>
        </w:rPr>
        <w:t>3. 熟练掌握</w:t>
      </w:r>
      <w:r>
        <w:rPr>
          <w:szCs w:val="21"/>
        </w:rPr>
        <w:t>：</w:t>
      </w:r>
      <w:r>
        <w:rPr>
          <w:bCs/>
        </w:rPr>
        <w:t>Linux Shell常用命令的使用；</w:t>
      </w:r>
      <w:r>
        <w:rPr>
          <w:szCs w:val="21"/>
        </w:rPr>
        <w:t>Python和R编程语言的语法规则。</w:t>
      </w:r>
    </w:p>
    <w:p>
      <w:pPr>
        <w:snapToGrid w:val="0"/>
        <w:spacing w:line="360" w:lineRule="auto"/>
        <w:rPr>
          <w:szCs w:val="21"/>
        </w:rPr>
      </w:pPr>
      <w:r>
        <w:rPr>
          <w:b/>
          <w:szCs w:val="21"/>
        </w:rPr>
        <w:t>（二）考核内容</w:t>
      </w:r>
    </w:p>
    <w:p>
      <w:pPr>
        <w:snapToGrid w:val="0"/>
        <w:spacing w:line="360" w:lineRule="auto"/>
        <w:ind w:firstLine="422" w:firstLineChars="200"/>
        <w:rPr>
          <w:bCs/>
          <w:szCs w:val="21"/>
        </w:rPr>
      </w:pPr>
      <w:r>
        <w:rPr>
          <w:b/>
          <w:szCs w:val="21"/>
        </w:rPr>
        <w:t xml:space="preserve">1. </w:t>
      </w:r>
      <w:r>
        <w:rPr>
          <w:bCs/>
          <w:szCs w:val="21"/>
        </w:rPr>
        <w:t>Linux系统的安装；文件和目录管理；权限管理；Conda环境下软件包的管理。</w:t>
      </w:r>
    </w:p>
    <w:p>
      <w:pPr>
        <w:snapToGrid w:val="0"/>
        <w:spacing w:line="360" w:lineRule="auto"/>
        <w:ind w:firstLine="422" w:firstLineChars="200"/>
        <w:rPr>
          <w:bCs/>
          <w:color w:val="0000FF"/>
          <w:szCs w:val="21"/>
        </w:rPr>
      </w:pPr>
      <w:r>
        <w:rPr>
          <w:b/>
          <w:szCs w:val="21"/>
        </w:rPr>
        <w:t xml:space="preserve">2. </w:t>
      </w:r>
      <w:r>
        <w:rPr>
          <w:bCs/>
          <w:szCs w:val="21"/>
        </w:rPr>
        <w:t>基本数据类型；字符串和文件；函数和代码复用；程序的控制结构；程序的循环结构；图形的绘制。</w:t>
      </w:r>
    </w:p>
    <w:p>
      <w:pPr>
        <w:snapToGrid w:val="0"/>
        <w:spacing w:line="360" w:lineRule="auto"/>
        <w:ind w:firstLine="422" w:firstLineChars="200"/>
        <w:rPr>
          <w:bCs/>
          <w:color w:val="0000FF"/>
          <w:szCs w:val="21"/>
        </w:rPr>
      </w:pPr>
      <w:r>
        <w:rPr>
          <w:b/>
          <w:szCs w:val="21"/>
        </w:rPr>
        <w:t xml:space="preserve">3. </w:t>
      </w:r>
      <w:r>
        <w:rPr>
          <w:bCs/>
          <w:szCs w:val="21"/>
        </w:rPr>
        <w:t>基本数据类型；数据类型的转换；数据的读取和写入；自编函数；图形的绘制。</w:t>
      </w:r>
    </w:p>
    <w:p>
      <w:pPr>
        <w:snapToGrid w:val="0"/>
        <w:spacing w:line="360" w:lineRule="auto"/>
        <w:rPr>
          <w:b/>
          <w:szCs w:val="21"/>
        </w:rPr>
      </w:pPr>
      <w:r>
        <w:rPr>
          <w:b/>
          <w:szCs w:val="21"/>
        </w:rPr>
        <w:t>（三）考核要求</w:t>
      </w:r>
    </w:p>
    <w:p>
      <w:pPr>
        <w:snapToGrid w:val="0"/>
        <w:spacing w:line="360" w:lineRule="auto"/>
        <w:ind w:firstLine="422" w:firstLineChars="200"/>
        <w:rPr>
          <w:b/>
          <w:color w:val="0000FF"/>
          <w:szCs w:val="21"/>
        </w:rPr>
      </w:pPr>
      <w:r>
        <w:rPr>
          <w:b/>
          <w:szCs w:val="21"/>
        </w:rPr>
        <w:t>1.识记</w:t>
      </w:r>
      <w:r>
        <w:rPr>
          <w:szCs w:val="21"/>
        </w:rPr>
        <w:t>：</w:t>
      </w:r>
      <w:r>
        <w:rPr>
          <w:bCs/>
          <w:szCs w:val="21"/>
        </w:rPr>
        <w:t>Linux系统的发展、特点和框架结构。</w:t>
      </w:r>
    </w:p>
    <w:p>
      <w:pPr>
        <w:snapToGrid w:val="0"/>
        <w:spacing w:line="360" w:lineRule="auto"/>
        <w:ind w:firstLine="422" w:firstLineChars="200"/>
        <w:rPr>
          <w:b/>
          <w:color w:val="0000FF"/>
          <w:szCs w:val="21"/>
        </w:rPr>
      </w:pPr>
      <w:r>
        <w:rPr>
          <w:b/>
          <w:szCs w:val="21"/>
        </w:rPr>
        <w:t>2.领会</w:t>
      </w:r>
      <w:r>
        <w:rPr>
          <w:szCs w:val="21"/>
        </w:rPr>
        <w:t>：</w:t>
      </w:r>
      <w:r>
        <w:rPr>
          <w:bCs/>
          <w:szCs w:val="21"/>
        </w:rPr>
        <w:t>编程语言在生物信息数据分析过程中的重要性和必要性。</w:t>
      </w:r>
    </w:p>
    <w:p>
      <w:pPr>
        <w:snapToGrid w:val="0"/>
        <w:spacing w:line="360" w:lineRule="auto"/>
        <w:ind w:firstLine="422" w:firstLineChars="200"/>
        <w:rPr>
          <w:szCs w:val="21"/>
        </w:rPr>
      </w:pPr>
      <w:r>
        <w:rPr>
          <w:b/>
          <w:szCs w:val="21"/>
        </w:rPr>
        <w:t>3.应用</w:t>
      </w:r>
      <w:r>
        <w:rPr>
          <w:szCs w:val="21"/>
        </w:rPr>
        <w:t>：</w:t>
      </w:r>
      <w:r>
        <w:rPr>
          <w:bCs/>
          <w:szCs w:val="21"/>
        </w:rPr>
        <w:t>要求学生编写程序解决实际科研问题。</w:t>
      </w:r>
    </w:p>
    <w:p>
      <w:pPr>
        <w:snapToGrid w:val="0"/>
        <w:spacing w:line="360" w:lineRule="auto"/>
        <w:ind w:firstLine="422" w:firstLineChars="200"/>
        <w:rPr>
          <w:bCs/>
          <w:color w:val="0000FF"/>
          <w:szCs w:val="21"/>
        </w:rPr>
      </w:pPr>
      <w:r>
        <w:rPr>
          <w:b/>
          <w:szCs w:val="21"/>
        </w:rPr>
        <w:t>4.分析：</w:t>
      </w:r>
      <w:r>
        <w:rPr>
          <w:bCs/>
          <w:szCs w:val="21"/>
        </w:rPr>
        <w:t>利用本章节所学知识分析不同类型的生物信息数据。</w:t>
      </w:r>
    </w:p>
    <w:p>
      <w:pPr>
        <w:snapToGrid w:val="0"/>
        <w:spacing w:line="360" w:lineRule="auto"/>
        <w:ind w:firstLine="422" w:firstLineChars="200"/>
        <w:rPr>
          <w:color w:val="0000FF"/>
          <w:szCs w:val="21"/>
        </w:rPr>
      </w:pPr>
      <w:r>
        <w:rPr>
          <w:b/>
          <w:szCs w:val="21"/>
        </w:rPr>
        <w:t>5.综合</w:t>
      </w:r>
      <w:r>
        <w:rPr>
          <w:szCs w:val="21"/>
        </w:rPr>
        <w:t>：</w:t>
      </w:r>
      <w:r>
        <w:rPr>
          <w:bCs/>
          <w:szCs w:val="21"/>
        </w:rPr>
        <w:t>要求学生能够利用本章知识，能够独立完成一项组学数据的质量控制，定量分析以及生物学信息的挖掘。</w:t>
      </w:r>
    </w:p>
    <w:p>
      <w:pPr>
        <w:snapToGrid w:val="0"/>
        <w:spacing w:line="360" w:lineRule="auto"/>
        <w:ind w:firstLine="422" w:firstLineChars="200"/>
        <w:rPr>
          <w:bCs/>
          <w:szCs w:val="21"/>
        </w:rPr>
      </w:pPr>
      <w:r>
        <w:rPr>
          <w:b/>
          <w:szCs w:val="21"/>
        </w:rPr>
        <w:t>6.评价：</w:t>
      </w:r>
      <w:r>
        <w:rPr>
          <w:bCs/>
          <w:szCs w:val="21"/>
        </w:rPr>
        <w:t>从学生对计算机语言的理解程和使用程度，学生编写程序的正确性、整洁性以及高效性三方面进行评价。</w:t>
      </w:r>
    </w:p>
    <w:p>
      <w:pPr>
        <w:widowControl/>
        <w:snapToGrid w:val="0"/>
        <w:spacing w:line="360" w:lineRule="auto"/>
        <w:jc w:val="left"/>
        <w:outlineLvl w:val="1"/>
        <w:rPr>
          <w:b/>
          <w:bCs/>
          <w:kern w:val="0"/>
          <w:szCs w:val="21"/>
        </w:rPr>
      </w:pPr>
      <w:bookmarkStart w:id="1480" w:name="_Toc138068974"/>
      <w:bookmarkStart w:id="1481" w:name="_Toc138070876"/>
      <w:bookmarkStart w:id="1482" w:name="_Toc138068575"/>
      <w:bookmarkStart w:id="1483" w:name="_Toc29342"/>
      <w:bookmarkStart w:id="1484" w:name="_Toc138076270"/>
      <w:bookmarkStart w:id="1485" w:name="_Toc138076519"/>
      <w:bookmarkStart w:id="1486" w:name="_Toc138070605"/>
      <w:bookmarkStart w:id="1487" w:name="_Toc138076814"/>
      <w:r>
        <w:rPr>
          <w:b/>
          <w:bCs/>
          <w:kern w:val="0"/>
          <w:szCs w:val="21"/>
        </w:rPr>
        <w:t>三、实验、实习教学部分的考核要求</w:t>
      </w:r>
      <w:bookmarkEnd w:id="1480"/>
      <w:bookmarkEnd w:id="1481"/>
      <w:bookmarkEnd w:id="1482"/>
      <w:bookmarkEnd w:id="1483"/>
      <w:bookmarkEnd w:id="1484"/>
      <w:bookmarkEnd w:id="1485"/>
      <w:bookmarkEnd w:id="1486"/>
      <w:bookmarkEnd w:id="1487"/>
    </w:p>
    <w:p>
      <w:pPr>
        <w:widowControl/>
        <w:adjustRightInd w:val="0"/>
        <w:snapToGrid w:val="0"/>
        <w:spacing w:line="360" w:lineRule="auto"/>
        <w:ind w:firstLine="420" w:firstLineChars="200"/>
        <w:jc w:val="left"/>
        <w:rPr>
          <w:bCs/>
          <w:kern w:val="0"/>
          <w:szCs w:val="21"/>
        </w:rPr>
      </w:pPr>
      <w:r>
        <w:rPr>
          <w:bCs/>
          <w:kern w:val="0"/>
          <w:szCs w:val="21"/>
        </w:rPr>
        <w:t>1.掌握NCBI等数据库的使用方法。</w:t>
      </w:r>
    </w:p>
    <w:p>
      <w:pPr>
        <w:widowControl/>
        <w:adjustRightInd w:val="0"/>
        <w:snapToGrid w:val="0"/>
        <w:spacing w:line="360" w:lineRule="auto"/>
        <w:ind w:firstLine="420" w:firstLineChars="200"/>
        <w:jc w:val="left"/>
        <w:rPr>
          <w:bCs/>
          <w:kern w:val="0"/>
          <w:szCs w:val="21"/>
        </w:rPr>
      </w:pPr>
      <w:r>
        <w:rPr>
          <w:bCs/>
          <w:kern w:val="0"/>
          <w:szCs w:val="21"/>
        </w:rPr>
        <w:t>2.了解序列比对的基本原理，掌握进化树构建的方法。</w:t>
      </w:r>
    </w:p>
    <w:p>
      <w:pPr>
        <w:widowControl/>
        <w:adjustRightInd w:val="0"/>
        <w:snapToGrid w:val="0"/>
        <w:spacing w:line="360" w:lineRule="auto"/>
        <w:ind w:firstLine="420" w:firstLineChars="200"/>
        <w:jc w:val="left"/>
        <w:rPr>
          <w:bCs/>
          <w:kern w:val="0"/>
          <w:szCs w:val="21"/>
        </w:rPr>
      </w:pPr>
      <w:r>
        <w:rPr>
          <w:bCs/>
          <w:kern w:val="0"/>
          <w:szCs w:val="21"/>
        </w:rPr>
        <w:t>3.掌握生信在线工具的使用方法。</w:t>
      </w:r>
    </w:p>
    <w:p>
      <w:pPr>
        <w:widowControl/>
        <w:adjustRightInd w:val="0"/>
        <w:snapToGrid w:val="0"/>
        <w:spacing w:line="360" w:lineRule="auto"/>
        <w:ind w:firstLine="420" w:firstLineChars="200"/>
        <w:jc w:val="left"/>
        <w:rPr>
          <w:bCs/>
          <w:kern w:val="0"/>
          <w:szCs w:val="21"/>
        </w:rPr>
      </w:pPr>
      <w:r>
        <w:rPr>
          <w:bCs/>
          <w:kern w:val="0"/>
          <w:szCs w:val="21"/>
        </w:rPr>
        <w:t>4.了解基因注释的基本原理，完成相关基因功能注释。</w:t>
      </w:r>
    </w:p>
    <w:p>
      <w:pPr>
        <w:widowControl/>
        <w:adjustRightInd w:val="0"/>
        <w:snapToGrid w:val="0"/>
        <w:spacing w:line="360" w:lineRule="auto"/>
        <w:ind w:firstLine="420" w:firstLineChars="200"/>
        <w:jc w:val="left"/>
        <w:rPr>
          <w:bCs/>
          <w:kern w:val="0"/>
          <w:szCs w:val="21"/>
        </w:rPr>
      </w:pPr>
      <w:r>
        <w:rPr>
          <w:bCs/>
          <w:kern w:val="0"/>
          <w:szCs w:val="21"/>
        </w:rPr>
        <w:t>5.</w:t>
      </w:r>
      <w:r>
        <w:t xml:space="preserve"> </w:t>
      </w:r>
      <w:r>
        <w:rPr>
          <w:bCs/>
          <w:kern w:val="0"/>
          <w:szCs w:val="21"/>
        </w:rPr>
        <w:t>掌握蛋白质结构与启动子原件预测的方法。</w:t>
      </w:r>
    </w:p>
    <w:p>
      <w:pPr>
        <w:widowControl/>
        <w:adjustRightInd w:val="0"/>
        <w:snapToGrid w:val="0"/>
        <w:spacing w:line="360" w:lineRule="auto"/>
        <w:ind w:firstLine="420" w:firstLineChars="200"/>
        <w:jc w:val="left"/>
        <w:rPr>
          <w:bCs/>
          <w:kern w:val="0"/>
          <w:szCs w:val="21"/>
        </w:rPr>
      </w:pPr>
      <w:r>
        <w:rPr>
          <w:bCs/>
          <w:kern w:val="0"/>
          <w:szCs w:val="21"/>
        </w:rPr>
        <w:t>6.理解RNA-seq的基本原理，掌握下机数据处理分析方式。</w:t>
      </w:r>
    </w:p>
    <w:p>
      <w:pPr>
        <w:widowControl/>
        <w:adjustRightInd w:val="0"/>
        <w:snapToGrid w:val="0"/>
        <w:spacing w:line="360" w:lineRule="auto"/>
        <w:ind w:firstLine="420" w:firstLineChars="200"/>
        <w:jc w:val="left"/>
        <w:rPr>
          <w:bCs/>
          <w:kern w:val="0"/>
          <w:szCs w:val="21"/>
        </w:rPr>
      </w:pPr>
      <w:r>
        <w:rPr>
          <w:bCs/>
          <w:kern w:val="0"/>
          <w:szCs w:val="21"/>
        </w:rPr>
        <w:t>7.了解linux系统，Python,R等编程语言。</w:t>
      </w:r>
    </w:p>
    <w:p>
      <w:pPr>
        <w:widowControl/>
        <w:snapToGrid w:val="0"/>
        <w:spacing w:line="360" w:lineRule="auto"/>
        <w:jc w:val="left"/>
        <w:outlineLvl w:val="1"/>
        <w:rPr>
          <w:b/>
          <w:bCs/>
          <w:kern w:val="0"/>
          <w:szCs w:val="21"/>
        </w:rPr>
      </w:pPr>
      <w:bookmarkStart w:id="1488" w:name="_Toc138070606"/>
      <w:bookmarkStart w:id="1489" w:name="_Toc138068576"/>
      <w:bookmarkStart w:id="1490" w:name="_Toc138076520"/>
      <w:bookmarkStart w:id="1491" w:name="_Toc138076815"/>
      <w:bookmarkStart w:id="1492" w:name="_Toc138076271"/>
      <w:bookmarkStart w:id="1493" w:name="_Toc138070877"/>
      <w:bookmarkStart w:id="1494" w:name="_Toc21287"/>
      <w:bookmarkStart w:id="1495" w:name="_Toc138068975"/>
      <w:r>
        <w:rPr>
          <w:b/>
          <w:bCs/>
          <w:kern w:val="0"/>
          <w:szCs w:val="21"/>
        </w:rPr>
        <w:t>四、考核方式</w:t>
      </w:r>
      <w:bookmarkEnd w:id="1488"/>
      <w:bookmarkEnd w:id="1489"/>
      <w:bookmarkEnd w:id="1490"/>
      <w:bookmarkEnd w:id="1491"/>
      <w:bookmarkEnd w:id="1492"/>
      <w:bookmarkEnd w:id="1493"/>
      <w:bookmarkEnd w:id="1494"/>
      <w:bookmarkEnd w:id="1495"/>
    </w:p>
    <w:p>
      <w:pPr>
        <w:spacing w:line="360" w:lineRule="auto"/>
        <w:ind w:firstLine="323" w:firstLineChars="154"/>
        <w:rPr>
          <w:bCs/>
          <w:szCs w:val="21"/>
        </w:rPr>
      </w:pPr>
      <w:r>
        <w:rPr>
          <w:bCs/>
          <w:szCs w:val="21"/>
        </w:rPr>
        <w:t>1.期末考试采用课程论文方式进行评价。</w:t>
      </w:r>
    </w:p>
    <w:p>
      <w:pPr>
        <w:spacing w:line="360" w:lineRule="auto"/>
        <w:ind w:firstLine="323" w:firstLineChars="154"/>
        <w:rPr>
          <w:bCs/>
          <w:szCs w:val="21"/>
        </w:rPr>
      </w:pPr>
      <w:r>
        <w:rPr>
          <w:bCs/>
          <w:szCs w:val="21"/>
        </w:rPr>
        <w:t>2.阶段性测评为每章内容学习结束进行，设置1-2道练习题，时间为15-20分钟。</w:t>
      </w:r>
    </w:p>
    <w:p>
      <w:pPr>
        <w:spacing w:line="360" w:lineRule="auto"/>
        <w:ind w:firstLine="323" w:firstLineChars="154"/>
        <w:rPr>
          <w:bCs/>
          <w:szCs w:val="21"/>
        </w:rPr>
      </w:pPr>
      <w:r>
        <w:rPr>
          <w:bCs/>
          <w:szCs w:val="21"/>
        </w:rPr>
        <w:t>3.课堂表现主要根据课堂考勤、上课回答问题情况进行打分。</w:t>
      </w:r>
    </w:p>
    <w:p>
      <w:pPr>
        <w:spacing w:line="360" w:lineRule="auto"/>
        <w:ind w:firstLine="323" w:firstLineChars="154"/>
        <w:rPr>
          <w:bCs/>
          <w:szCs w:val="21"/>
        </w:rPr>
      </w:pPr>
      <w:r>
        <w:rPr>
          <w:bCs/>
          <w:szCs w:val="21"/>
        </w:rPr>
        <w:t>4.课程实验主要根据学生操作的熟练程度、实验结果的正确性及实验报告的撰写情况打分。</w:t>
      </w:r>
    </w:p>
    <w:p>
      <w:pPr>
        <w:widowControl/>
        <w:snapToGrid w:val="0"/>
        <w:spacing w:line="360" w:lineRule="auto"/>
        <w:jc w:val="left"/>
        <w:outlineLvl w:val="1"/>
        <w:rPr>
          <w:b/>
          <w:bCs/>
          <w:kern w:val="0"/>
          <w:szCs w:val="21"/>
        </w:rPr>
      </w:pPr>
      <w:bookmarkStart w:id="1496" w:name="_Toc25315"/>
      <w:bookmarkStart w:id="1497" w:name="_Toc138076521"/>
      <w:bookmarkStart w:id="1498" w:name="_Toc138070878"/>
      <w:bookmarkStart w:id="1499" w:name="_Toc138068577"/>
      <w:bookmarkStart w:id="1500" w:name="_Toc138076272"/>
      <w:bookmarkStart w:id="1501" w:name="_Toc138068976"/>
      <w:bookmarkStart w:id="1502" w:name="_Toc138070607"/>
      <w:bookmarkStart w:id="1503" w:name="_Toc138076816"/>
      <w:r>
        <w:rPr>
          <w:b/>
          <w:bCs/>
          <w:kern w:val="0"/>
          <w:szCs w:val="21"/>
        </w:rPr>
        <w:t>五、成绩评定</w:t>
      </w:r>
      <w:bookmarkEnd w:id="1496"/>
      <w:bookmarkEnd w:id="1497"/>
      <w:bookmarkEnd w:id="1498"/>
      <w:bookmarkEnd w:id="1499"/>
      <w:bookmarkEnd w:id="1500"/>
      <w:bookmarkEnd w:id="1501"/>
      <w:bookmarkEnd w:id="1502"/>
      <w:bookmarkEnd w:id="1503"/>
    </w:p>
    <w:p>
      <w:pPr>
        <w:snapToGrid w:val="0"/>
        <w:spacing w:line="360" w:lineRule="auto"/>
        <w:ind w:firstLine="420" w:firstLineChars="200"/>
        <w:rPr>
          <w:szCs w:val="21"/>
        </w:rPr>
      </w:pPr>
      <w:r>
        <w:rPr>
          <w:szCs w:val="21"/>
        </w:rPr>
        <w:t>1.平时成绩</w:t>
      </w:r>
    </w:p>
    <w:p>
      <w:pPr>
        <w:snapToGrid w:val="0"/>
        <w:spacing w:line="360" w:lineRule="auto"/>
        <w:ind w:firstLine="420" w:firstLineChars="200"/>
        <w:rPr>
          <w:szCs w:val="21"/>
        </w:rPr>
      </w:pPr>
      <w:r>
        <w:rPr>
          <w:bCs/>
          <w:szCs w:val="21"/>
        </w:rPr>
        <w:t>时成绩由三部分组成，分别为阶段测评、课堂表现和课程实验成绩。阶段测评：根据阶段测评的成绩评定。课堂表现：根据学生课堂考勤、上课回答问题情况进行综合评定。课程实验：依照学生实验课程课堂表现及实验报告进行综合评定。平时成绩所占比例50%。</w:t>
      </w:r>
    </w:p>
    <w:p>
      <w:pPr>
        <w:snapToGrid w:val="0"/>
        <w:spacing w:line="360" w:lineRule="auto"/>
        <w:ind w:firstLine="420" w:firstLineChars="200"/>
        <w:rPr>
          <w:bCs/>
          <w:szCs w:val="21"/>
        </w:rPr>
      </w:pPr>
      <w:r>
        <w:t>2.期末成绩</w:t>
      </w:r>
    </w:p>
    <w:p>
      <w:pPr>
        <w:snapToGrid w:val="0"/>
        <w:spacing w:line="360" w:lineRule="auto"/>
        <w:ind w:firstLine="420" w:firstLineChars="200"/>
        <w:rPr>
          <w:bCs/>
          <w:szCs w:val="21"/>
        </w:rPr>
      </w:pPr>
      <w:r>
        <w:rPr>
          <w:szCs w:val="21"/>
        </w:rPr>
        <w:t>课程论文等考核方式；所占比例</w:t>
      </w:r>
      <w:r>
        <w:rPr>
          <w:bCs/>
          <w:szCs w:val="21"/>
        </w:rPr>
        <w:t>50%</w:t>
      </w:r>
    </w:p>
    <w:p>
      <w:pPr>
        <w:snapToGrid w:val="0"/>
        <w:spacing w:line="360" w:lineRule="auto"/>
        <w:ind w:firstLine="420" w:firstLineChars="200"/>
      </w:pPr>
      <w:r>
        <w:t>3.综合成绩</w:t>
      </w:r>
    </w:p>
    <w:p>
      <w:pPr>
        <w:snapToGrid w:val="0"/>
        <w:spacing w:line="360" w:lineRule="auto"/>
        <w:ind w:firstLine="420" w:firstLineChars="200"/>
        <w:rPr>
          <w:bCs/>
          <w:szCs w:val="21"/>
        </w:rPr>
      </w:pPr>
      <w:r>
        <w:rPr>
          <w:bCs/>
          <w:szCs w:val="21"/>
        </w:rPr>
        <w:t>最终成绩100分=平时成绩×50% + 期末成绩×50%</w:t>
      </w:r>
    </w:p>
    <w:p>
      <w:pPr>
        <w:widowControl/>
        <w:snapToGrid w:val="0"/>
        <w:spacing w:line="360" w:lineRule="auto"/>
        <w:jc w:val="left"/>
        <w:outlineLvl w:val="1"/>
        <w:rPr>
          <w:b/>
          <w:bCs/>
          <w:kern w:val="0"/>
          <w:szCs w:val="21"/>
        </w:rPr>
      </w:pPr>
      <w:bookmarkStart w:id="1504" w:name="_Toc138070879"/>
      <w:bookmarkStart w:id="1505" w:name="_Toc138076273"/>
      <w:bookmarkStart w:id="1506" w:name="_Toc24045"/>
      <w:bookmarkStart w:id="1507" w:name="_Toc138076817"/>
      <w:bookmarkStart w:id="1508" w:name="_Toc138076522"/>
      <w:bookmarkStart w:id="1509" w:name="_Toc138068977"/>
      <w:bookmarkStart w:id="1510" w:name="_Toc138068578"/>
      <w:bookmarkStart w:id="1511" w:name="_Toc138070608"/>
      <w:r>
        <w:rPr>
          <w:b/>
          <w:bCs/>
          <w:kern w:val="0"/>
          <w:szCs w:val="21"/>
        </w:rPr>
        <w:t>六、考核结果分析反馈</w:t>
      </w:r>
      <w:bookmarkEnd w:id="1504"/>
      <w:bookmarkEnd w:id="1505"/>
      <w:bookmarkEnd w:id="1506"/>
      <w:bookmarkEnd w:id="1507"/>
      <w:bookmarkEnd w:id="1508"/>
      <w:bookmarkEnd w:id="1509"/>
      <w:bookmarkEnd w:id="1510"/>
      <w:bookmarkEnd w:id="1511"/>
    </w:p>
    <w:p>
      <w:pPr>
        <w:snapToGrid w:val="0"/>
        <w:spacing w:line="360" w:lineRule="auto"/>
        <w:ind w:firstLine="420" w:firstLineChars="200"/>
        <w:rPr>
          <w:szCs w:val="21"/>
        </w:rPr>
      </w:pPr>
      <w:r>
        <w:rPr>
          <w:bCs/>
          <w:szCs w:val="21"/>
        </w:rPr>
        <w:t>1. 每章结束在课程群公布学生学习情况，讲解测试题的难点重点，实验报告和期末论文成绩也及时公布，学生对于有疑问的地方可以提出异议，对实验报告进行分析，统计学生掌握知识点熟练程度</w:t>
      </w:r>
      <w:r>
        <w:rPr>
          <w:szCs w:val="21"/>
        </w:rPr>
        <w:t>。</w:t>
      </w:r>
    </w:p>
    <w:p>
      <w:pPr>
        <w:snapToGrid w:val="0"/>
        <w:spacing w:line="360" w:lineRule="auto"/>
        <w:ind w:firstLine="420" w:firstLineChars="200"/>
        <w:rPr>
          <w:szCs w:val="21"/>
        </w:rPr>
      </w:pPr>
      <w:r>
        <w:rPr>
          <w:szCs w:val="21"/>
        </w:rPr>
        <w:t>2. 建立学生与教师有效沟通机制，在了解学生难以掌握的部分知识点，在下一节课重新进行讲解，并通过学习委员和班长带动学生提问的积极性，从而更好把握课程问题和授课方式的问题，及时做出改进。</w:t>
      </w:r>
    </w:p>
    <w:p>
      <w:pPr>
        <w:snapToGrid w:val="0"/>
        <w:spacing w:line="360" w:lineRule="auto"/>
        <w:rPr>
          <w:rFonts w:ascii="宋体" w:hAnsi="宋体"/>
          <w:b/>
          <w:szCs w:val="21"/>
        </w:rPr>
      </w:pPr>
    </w:p>
    <w:p>
      <w:pPr>
        <w:rPr>
          <w:sz w:val="28"/>
        </w:rPr>
      </w:pPr>
      <w:bookmarkStart w:id="1512" w:name="_Toc138076274"/>
      <w:bookmarkStart w:id="1513" w:name="_Toc138076818"/>
      <w:r>
        <w:rPr>
          <w:rFonts w:hint="eastAsia"/>
          <w:sz w:val="28"/>
        </w:rPr>
        <w:br w:type="page"/>
      </w:r>
    </w:p>
    <w:p>
      <w:pPr>
        <w:pStyle w:val="21"/>
        <w:rPr>
          <w:rFonts w:hint="default" w:eastAsiaTheme="majorEastAsia"/>
          <w:sz w:val="28"/>
          <w:lang w:val="en-US" w:eastAsia="zh-CN"/>
        </w:rPr>
      </w:pPr>
      <w:bookmarkStart w:id="1514" w:name="_Toc27397"/>
      <w:r>
        <w:rPr>
          <w:rFonts w:hint="eastAsia"/>
          <w:sz w:val="28"/>
        </w:rPr>
        <w:t>植物生长调节剂与利用</w:t>
      </w:r>
      <w:bookmarkEnd w:id="1512"/>
      <w:bookmarkEnd w:id="1513"/>
      <w:bookmarkEnd w:id="1514"/>
      <w:r>
        <w:rPr>
          <w:rFonts w:hint="eastAsia"/>
          <w:sz w:val="28"/>
          <w:lang w:val="en-US" w:eastAsia="zh-CN"/>
        </w:rPr>
        <w:t>考核大纲</w:t>
      </w:r>
    </w:p>
    <w:p>
      <w:pPr>
        <w:snapToGrid w:val="0"/>
        <w:spacing w:line="360" w:lineRule="auto"/>
        <w:jc w:val="center"/>
        <w:rPr>
          <w:iCs/>
          <w:sz w:val="24"/>
        </w:rPr>
      </w:pPr>
      <w:r>
        <w:rPr>
          <w:rFonts w:hint="eastAsia"/>
          <w:iCs/>
          <w:sz w:val="24"/>
        </w:rPr>
        <w:t>（</w:t>
      </w:r>
      <w:r>
        <w:rPr>
          <w:rFonts w:hint="eastAsia"/>
          <w:iCs/>
          <w:sz w:val="24"/>
          <w:lang w:val="en-US" w:eastAsia="zh-CN"/>
        </w:rPr>
        <w:t>P</w:t>
      </w:r>
      <w:r>
        <w:rPr>
          <w:rFonts w:hint="eastAsia"/>
          <w:iCs/>
          <w:sz w:val="24"/>
        </w:rPr>
        <w:t>lant growth regulator and application）</w:t>
      </w:r>
    </w:p>
    <w:p>
      <w:pPr>
        <w:snapToGrid w:val="0"/>
        <w:spacing w:line="360" w:lineRule="auto"/>
        <w:jc w:val="center"/>
        <w:rPr>
          <w:i/>
          <w:sz w:val="24"/>
        </w:rPr>
      </w:pPr>
    </w:p>
    <w:p>
      <w:pPr>
        <w:snapToGrid w:val="0"/>
        <w:spacing w:line="360" w:lineRule="auto"/>
        <w:jc w:val="center"/>
        <w:rPr>
          <w:b/>
          <w:szCs w:val="21"/>
        </w:rPr>
      </w:pPr>
      <w:r>
        <w:rPr>
          <w:rFonts w:hint="eastAsia"/>
          <w:b/>
          <w:szCs w:val="21"/>
        </w:rPr>
        <w:t>课程基本信息</w:t>
      </w:r>
    </w:p>
    <w:tbl>
      <w:tblPr>
        <w:tblStyle w:val="23"/>
        <w:tblW w:w="91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25"/>
        <w:gridCol w:w="2062"/>
        <w:gridCol w:w="34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25" w:type="dxa"/>
          </w:tcPr>
          <w:p>
            <w:pPr>
              <w:spacing w:line="360" w:lineRule="auto"/>
              <w:rPr>
                <w:rFonts w:ascii="宋体" w:hAnsi="宋体"/>
                <w:b/>
                <w:bCs/>
                <w:szCs w:val="21"/>
              </w:rPr>
            </w:pPr>
            <w:r>
              <w:rPr>
                <w:rFonts w:hint="eastAsia" w:ascii="宋体" w:hAnsi="宋体"/>
                <w:b/>
                <w:bCs/>
                <w:szCs w:val="21"/>
              </w:rPr>
              <w:t>课程编号：19011051</w:t>
            </w:r>
          </w:p>
        </w:tc>
        <w:tc>
          <w:tcPr>
            <w:tcW w:w="2062" w:type="dxa"/>
          </w:tcPr>
          <w:p>
            <w:pPr>
              <w:spacing w:line="360" w:lineRule="auto"/>
              <w:rPr>
                <w:rFonts w:ascii="宋体" w:hAnsi="宋体"/>
                <w:b/>
                <w:bCs/>
                <w:szCs w:val="21"/>
              </w:rPr>
            </w:pPr>
            <w:r>
              <w:rPr>
                <w:rFonts w:hint="eastAsia" w:ascii="宋体" w:hAnsi="宋体"/>
                <w:b/>
                <w:bCs/>
                <w:szCs w:val="21"/>
              </w:rPr>
              <w:t>课程学时：16</w:t>
            </w:r>
          </w:p>
        </w:tc>
        <w:tc>
          <w:tcPr>
            <w:tcW w:w="3429" w:type="dxa"/>
          </w:tcPr>
          <w:p>
            <w:pPr>
              <w:spacing w:line="360" w:lineRule="auto"/>
              <w:rPr>
                <w:rFonts w:ascii="宋体" w:hAnsi="宋体"/>
                <w:b/>
                <w:bCs/>
                <w:szCs w:val="21"/>
              </w:rPr>
            </w:pPr>
            <w:r>
              <w:rPr>
                <w:rFonts w:hint="eastAsia" w:ascii="宋体" w:hAnsi="宋体"/>
                <w:b/>
                <w:bCs/>
                <w:szCs w:val="21"/>
              </w:rPr>
              <w:t>课程学分：1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625" w:type="dxa"/>
          </w:tcPr>
          <w:p>
            <w:pPr>
              <w:spacing w:line="360" w:lineRule="auto"/>
              <w:rPr>
                <w:rFonts w:ascii="宋体" w:hAnsi="宋体"/>
                <w:b/>
                <w:bCs/>
                <w:szCs w:val="21"/>
              </w:rPr>
            </w:pPr>
            <w:r>
              <w:rPr>
                <w:rFonts w:hint="eastAsia" w:ascii="宋体" w:hAnsi="宋体"/>
                <w:b/>
                <w:bCs/>
                <w:szCs w:val="21"/>
              </w:rPr>
              <w:t>主撰人：朱磊，</w:t>
            </w:r>
            <w:r>
              <w:rPr>
                <w:rFonts w:ascii="宋体" w:hAnsi="宋体"/>
                <w:b/>
                <w:bCs/>
                <w:szCs w:val="21"/>
              </w:rPr>
              <w:t>王永，王伟</w:t>
            </w:r>
            <w:r>
              <w:rPr>
                <w:rFonts w:hint="eastAsia" w:ascii="宋体" w:hAnsi="宋体"/>
                <w:b/>
                <w:bCs/>
                <w:szCs w:val="21"/>
              </w:rPr>
              <w:t>，</w:t>
            </w:r>
            <w:r>
              <w:rPr>
                <w:rFonts w:ascii="宋体" w:hAnsi="宋体"/>
                <w:b/>
                <w:bCs/>
                <w:szCs w:val="21"/>
              </w:rPr>
              <w:t>宋春晖</w:t>
            </w:r>
          </w:p>
        </w:tc>
        <w:tc>
          <w:tcPr>
            <w:tcW w:w="2062" w:type="dxa"/>
          </w:tcPr>
          <w:p>
            <w:pPr>
              <w:spacing w:line="360" w:lineRule="auto"/>
              <w:rPr>
                <w:rFonts w:ascii="宋体" w:hAnsi="宋体"/>
                <w:b/>
                <w:bCs/>
                <w:szCs w:val="21"/>
              </w:rPr>
            </w:pPr>
            <w:r>
              <w:rPr>
                <w:rFonts w:hint="eastAsia" w:ascii="宋体" w:hAnsi="宋体"/>
                <w:b/>
                <w:bCs/>
                <w:szCs w:val="21"/>
              </w:rPr>
              <w:t>审核人：朱磊</w:t>
            </w:r>
          </w:p>
        </w:tc>
        <w:tc>
          <w:tcPr>
            <w:tcW w:w="3429" w:type="dxa"/>
          </w:tcPr>
          <w:p>
            <w:pPr>
              <w:spacing w:line="360" w:lineRule="auto"/>
              <w:rPr>
                <w:rFonts w:ascii="宋体" w:hAnsi="宋体"/>
                <w:b/>
                <w:bCs/>
                <w:szCs w:val="21"/>
              </w:rPr>
            </w:pPr>
            <w:r>
              <w:rPr>
                <w:rFonts w:hint="eastAsia" w:ascii="宋体" w:hAnsi="宋体"/>
                <w:b/>
                <w:bCs/>
                <w:szCs w:val="21"/>
              </w:rPr>
              <w:t>大纲制定（修订）日期：2</w:t>
            </w:r>
            <w:r>
              <w:rPr>
                <w:rFonts w:ascii="宋体" w:hAnsi="宋体"/>
                <w:b/>
                <w:bCs/>
                <w:szCs w:val="21"/>
              </w:rPr>
              <w:t>023.</w:t>
            </w:r>
            <w:r>
              <w:rPr>
                <w:rFonts w:hint="eastAsia" w:ascii="宋体" w:hAnsi="宋体"/>
                <w:b/>
                <w:bCs/>
                <w:szCs w:val="21"/>
              </w:rPr>
              <w:t>0</w:t>
            </w:r>
            <w:r>
              <w:rPr>
                <w:rFonts w:ascii="宋体" w:hAnsi="宋体"/>
                <w:b/>
                <w:bCs/>
                <w:szCs w:val="21"/>
              </w:rPr>
              <w:t>5</w:t>
            </w:r>
          </w:p>
        </w:tc>
      </w:tr>
    </w:tbl>
    <w:p>
      <w:pPr>
        <w:widowControl/>
        <w:snapToGrid w:val="0"/>
        <w:spacing w:before="156" w:line="360" w:lineRule="auto"/>
        <w:jc w:val="left"/>
        <w:outlineLvl w:val="1"/>
        <w:rPr>
          <w:rFonts w:ascii="宋体" w:hAnsi="宋体" w:cs="宋体"/>
          <w:b/>
          <w:bCs/>
          <w:kern w:val="0"/>
          <w:szCs w:val="21"/>
        </w:rPr>
      </w:pPr>
      <w:bookmarkStart w:id="1515" w:name="_Toc138076819"/>
      <w:bookmarkStart w:id="1516" w:name="_Toc138076524"/>
      <w:bookmarkStart w:id="1517" w:name="_Toc138068979"/>
      <w:bookmarkStart w:id="1518" w:name="_Toc138070610"/>
      <w:bookmarkStart w:id="1519" w:name="_Toc138070881"/>
      <w:bookmarkStart w:id="1520" w:name="_Toc138076275"/>
      <w:bookmarkStart w:id="1521" w:name="_Toc15146"/>
      <w:bookmarkStart w:id="1522" w:name="_Toc138068580"/>
      <w:r>
        <w:rPr>
          <w:rFonts w:hint="eastAsia" w:ascii="宋体" w:hAnsi="宋体" w:cs="宋体"/>
          <w:b/>
          <w:bCs/>
          <w:kern w:val="0"/>
          <w:szCs w:val="21"/>
        </w:rPr>
        <w:t>一、课程的性质和地位</w:t>
      </w:r>
      <w:bookmarkEnd w:id="1515"/>
      <w:bookmarkEnd w:id="1516"/>
      <w:bookmarkEnd w:id="1517"/>
      <w:bookmarkEnd w:id="1518"/>
      <w:bookmarkEnd w:id="1519"/>
      <w:bookmarkEnd w:id="1520"/>
      <w:bookmarkEnd w:id="1521"/>
      <w:bookmarkEnd w:id="1522"/>
    </w:p>
    <w:p>
      <w:pPr>
        <w:snapToGrid w:val="0"/>
        <w:spacing w:line="360" w:lineRule="auto"/>
        <w:ind w:firstLine="420" w:firstLineChars="200"/>
      </w:pPr>
      <w:r>
        <w:rPr>
          <w:rFonts w:hint="eastAsia"/>
        </w:rPr>
        <w:t>本课程是在学习植物生理学和园艺栽培学等专业课程的基础上，对植物生长发育的化学调控的理论和实践进一步深入了解的一门选修课。它的任务是让学生了解在传统栽培的基础上，用化学方法可以调控植物的生长发育，并使学生懂得植物生长调节剂的作用原理和应用实践。</w:t>
      </w:r>
    </w:p>
    <w:p>
      <w:pPr>
        <w:numPr>
          <w:ilvl w:val="0"/>
          <w:numId w:val="51"/>
        </w:numPr>
        <w:snapToGrid w:val="0"/>
        <w:spacing w:before="156" w:beforeLines="50" w:line="360" w:lineRule="auto"/>
        <w:rPr>
          <w:rFonts w:ascii="宋体" w:hAnsi="宋体" w:cs="宋体"/>
          <w:szCs w:val="21"/>
        </w:rPr>
      </w:pPr>
      <w:r>
        <w:rPr>
          <w:rFonts w:hint="eastAsia" w:ascii="宋体" w:hAnsi="宋体"/>
          <w:b/>
          <w:szCs w:val="21"/>
        </w:rPr>
        <w:t>理论教学部分的考核目标</w:t>
      </w:r>
    </w:p>
    <w:p>
      <w:pPr>
        <w:snapToGrid w:val="0"/>
        <w:spacing w:line="360" w:lineRule="auto"/>
        <w:ind w:firstLine="420" w:firstLineChars="200"/>
        <w:rPr>
          <w:rFonts w:ascii="宋体" w:hAnsi="宋体" w:cs="宋体"/>
          <w:szCs w:val="21"/>
        </w:rPr>
      </w:pPr>
      <w:r>
        <w:rPr>
          <w:rFonts w:hint="eastAsia" w:ascii="宋体" w:hAnsi="宋体" w:cs="宋体"/>
          <w:szCs w:val="21"/>
        </w:rPr>
        <w:t>通过本课程的理论教学目的是培养学生理论联系实际的能力，将植物生长物质知识应用于农业生产，解决生产中存在的问题。要求学生掌握植物生长调节剂的种类、作用原理、生产中的应用实践和今后的应用前景。</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绪论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ascii="宋体" w:hAnsi="宋体" w:cs="宋体"/>
          <w:szCs w:val="21"/>
        </w:rPr>
        <w:t>植物激素和植物生长调节剂的种类。</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w:t>
      </w:r>
      <w:r>
        <w:rPr>
          <w:rFonts w:hint="eastAsia" w:ascii="宋体" w:hAnsi="宋体" w:cs="宋体"/>
          <w:szCs w:val="21"/>
        </w:rPr>
        <w:t>植物激素和植物生长调节剂的定义。</w:t>
      </w:r>
    </w:p>
    <w:p>
      <w:pPr>
        <w:snapToGrid w:val="0"/>
        <w:spacing w:line="360" w:lineRule="auto"/>
        <w:ind w:firstLine="422" w:firstLineChars="200"/>
        <w:rPr>
          <w:rFonts w:ascii="宋体" w:hAnsi="宋体" w:cs="宋体"/>
          <w:szCs w:val="21"/>
        </w:rPr>
      </w:pPr>
      <w:r>
        <w:rPr>
          <w:rFonts w:hint="eastAsia" w:ascii="宋体" w:hAnsi="宋体"/>
          <w:b/>
          <w:szCs w:val="21"/>
        </w:rPr>
        <w:t>3．熟练掌握</w:t>
      </w:r>
      <w:r>
        <w:rPr>
          <w:rFonts w:hint="eastAsia" w:ascii="宋体" w:hAnsi="宋体"/>
          <w:szCs w:val="21"/>
        </w:rPr>
        <w:t>：</w:t>
      </w:r>
      <w:r>
        <w:rPr>
          <w:rFonts w:hint="eastAsia" w:ascii="宋体" w:hAnsi="宋体" w:cs="宋体"/>
          <w:szCs w:val="21"/>
        </w:rPr>
        <w:t>植物激素和植物生长调节剂的生理作用。</w:t>
      </w:r>
    </w:p>
    <w:p>
      <w:pPr>
        <w:snapToGrid w:val="0"/>
        <w:spacing w:before="156" w:beforeLines="50"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cs="宋体"/>
          <w:szCs w:val="21"/>
        </w:rPr>
      </w:pPr>
      <w:r>
        <w:rPr>
          <w:rFonts w:hint="eastAsia" w:ascii="宋体" w:hAnsi="宋体" w:cs="宋体"/>
          <w:szCs w:val="21"/>
        </w:rPr>
        <w:t>植物激素和植物生长调节剂的种类；植物激素和植物生长调节剂的定义；5大类植物激素和植物生长调节剂的生理作用。</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cs="宋体"/>
          <w:szCs w:val="21"/>
        </w:rPr>
      </w:pPr>
      <w:r>
        <w:rPr>
          <w:rFonts w:hint="eastAsia" w:ascii="宋体" w:hAnsi="宋体"/>
          <w:b/>
          <w:szCs w:val="21"/>
        </w:rPr>
        <w:t>1．识记</w:t>
      </w:r>
      <w:r>
        <w:rPr>
          <w:rFonts w:hint="eastAsia" w:ascii="宋体" w:hAnsi="宋体"/>
          <w:szCs w:val="21"/>
        </w:rPr>
        <w:t>：</w:t>
      </w:r>
      <w:r>
        <w:rPr>
          <w:rFonts w:hint="eastAsia" w:ascii="宋体" w:hAnsi="宋体" w:cs="宋体"/>
          <w:szCs w:val="21"/>
        </w:rPr>
        <w:t>植物激素和植物生长调节剂的种类和定义。</w:t>
      </w:r>
    </w:p>
    <w:p>
      <w:pPr>
        <w:snapToGrid w:val="0"/>
        <w:spacing w:line="360" w:lineRule="auto"/>
        <w:ind w:firstLine="422" w:firstLineChars="200"/>
        <w:rPr>
          <w:rFonts w:ascii="宋体" w:hAnsi="宋体" w:cs="宋体"/>
          <w:szCs w:val="21"/>
        </w:rPr>
      </w:pPr>
      <w:r>
        <w:rPr>
          <w:rFonts w:hint="eastAsia" w:ascii="宋体" w:hAnsi="宋体"/>
          <w:b/>
          <w:szCs w:val="21"/>
        </w:rPr>
        <w:t>2．领会</w:t>
      </w:r>
      <w:r>
        <w:rPr>
          <w:rFonts w:hint="eastAsia" w:ascii="宋体" w:hAnsi="宋体"/>
          <w:szCs w:val="21"/>
        </w:rPr>
        <w:t>：</w:t>
      </w:r>
      <w:r>
        <w:rPr>
          <w:rFonts w:hint="eastAsia" w:ascii="宋体" w:hAnsi="宋体" w:cs="宋体"/>
          <w:szCs w:val="21"/>
        </w:rPr>
        <w:t>植物激素和植物生长调节剂的作用。</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s="宋体"/>
          <w:szCs w:val="21"/>
        </w:rPr>
        <w:t>植物生长调节剂的施用浓度和方法。</w:t>
      </w:r>
    </w:p>
    <w:p>
      <w:pPr>
        <w:snapToGrid w:val="0"/>
        <w:spacing w:line="360" w:lineRule="auto"/>
        <w:ind w:firstLine="422" w:firstLineChars="200"/>
        <w:rPr>
          <w:rFonts w:ascii="宋体" w:hAnsi="宋体" w:cs="宋体"/>
          <w:szCs w:val="21"/>
        </w:rPr>
      </w:pPr>
      <w:r>
        <w:rPr>
          <w:rFonts w:hint="eastAsia" w:ascii="宋体" w:hAnsi="宋体" w:cs="宋体"/>
          <w:b/>
          <w:bCs/>
          <w:szCs w:val="21"/>
        </w:rPr>
        <w:t>4．分析：</w:t>
      </w:r>
      <w:r>
        <w:rPr>
          <w:rFonts w:hint="eastAsia" w:ascii="宋体" w:hAnsi="宋体" w:cs="宋体"/>
          <w:szCs w:val="21"/>
        </w:rPr>
        <w:t>根据植物生长状态和使用目的选用合适的植物生长调节剂。</w:t>
      </w:r>
    </w:p>
    <w:p>
      <w:pPr>
        <w:snapToGrid w:val="0"/>
        <w:spacing w:line="360" w:lineRule="auto"/>
        <w:ind w:firstLine="422" w:firstLineChars="200"/>
        <w:rPr>
          <w:rFonts w:ascii="宋体" w:hAnsi="宋体" w:cs="宋体"/>
          <w:szCs w:val="21"/>
        </w:rPr>
      </w:pPr>
      <w:r>
        <w:rPr>
          <w:rFonts w:hint="eastAsia" w:ascii="宋体" w:hAnsi="宋体"/>
          <w:b/>
          <w:szCs w:val="21"/>
        </w:rPr>
        <w:t>5．综合</w:t>
      </w:r>
      <w:r>
        <w:rPr>
          <w:rFonts w:hint="eastAsia" w:ascii="宋体" w:hAnsi="宋体"/>
          <w:szCs w:val="21"/>
        </w:rPr>
        <w:t>：植物</w:t>
      </w:r>
      <w:r>
        <w:rPr>
          <w:rFonts w:hint="eastAsia" w:ascii="宋体" w:hAnsi="宋体" w:cs="宋体"/>
          <w:szCs w:val="21"/>
        </w:rPr>
        <w:t>生长调节剂的相互作用和使用。</w:t>
      </w:r>
    </w:p>
    <w:p>
      <w:pPr>
        <w:snapToGrid w:val="0"/>
        <w:spacing w:line="360" w:lineRule="auto"/>
        <w:ind w:firstLine="422" w:firstLineChars="200"/>
        <w:rPr>
          <w:rFonts w:ascii="宋体" w:hAnsi="宋体" w:cs="宋体"/>
          <w:b/>
          <w:bCs/>
          <w:szCs w:val="21"/>
        </w:rPr>
      </w:pPr>
      <w:r>
        <w:rPr>
          <w:rFonts w:hint="eastAsia" w:ascii="宋体" w:hAnsi="宋体" w:cs="宋体"/>
          <w:b/>
          <w:bCs/>
          <w:szCs w:val="21"/>
        </w:rPr>
        <w:t>6．评价：</w:t>
      </w:r>
      <w:r>
        <w:rPr>
          <w:rFonts w:hint="eastAsia" w:ascii="宋体" w:hAnsi="宋体"/>
          <w:szCs w:val="21"/>
        </w:rPr>
        <w:t>植物</w:t>
      </w:r>
      <w:r>
        <w:rPr>
          <w:rFonts w:hint="eastAsia" w:ascii="宋体" w:hAnsi="宋体" w:cs="宋体"/>
          <w:szCs w:val="21"/>
        </w:rPr>
        <w:t>生长调节剂的使用效果和调整措施。</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第一章 植物生长调节剂的种类及其性质</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ascii="宋体" w:hAnsi="宋体" w:cs="宋体"/>
          <w:szCs w:val="21"/>
        </w:rPr>
        <w:t>植物生长促进剂、植物生长抑制剂、植物生长延缓剂的种类和调控机理</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w:t>
      </w:r>
      <w:r>
        <w:rPr>
          <w:rFonts w:hint="eastAsia" w:ascii="宋体" w:hAnsi="宋体" w:cs="宋体"/>
          <w:szCs w:val="21"/>
        </w:rPr>
        <w:t>植物生长促进剂、植物生长抑制剂、植物生长延缓剂的生理作用</w:t>
      </w:r>
    </w:p>
    <w:p>
      <w:pPr>
        <w:snapToGrid w:val="0"/>
        <w:spacing w:line="360" w:lineRule="auto"/>
        <w:ind w:firstLine="422" w:firstLineChars="200"/>
        <w:rPr>
          <w:rFonts w:ascii="宋体" w:hAnsi="宋体"/>
          <w:b/>
          <w:szCs w:val="21"/>
        </w:rPr>
      </w:pPr>
      <w:r>
        <w:rPr>
          <w:rFonts w:hint="eastAsia" w:ascii="宋体" w:hAnsi="宋体"/>
          <w:b/>
          <w:szCs w:val="21"/>
        </w:rPr>
        <w:t>3．熟练掌握</w:t>
      </w:r>
      <w:r>
        <w:rPr>
          <w:rFonts w:hint="eastAsia" w:ascii="宋体" w:hAnsi="宋体"/>
          <w:szCs w:val="21"/>
        </w:rPr>
        <w:t>：</w:t>
      </w:r>
      <w:r>
        <w:rPr>
          <w:rFonts w:hint="eastAsia" w:ascii="宋体" w:hAnsi="宋体" w:cs="宋体"/>
          <w:szCs w:val="21"/>
        </w:rPr>
        <w:t>植物生长促进剂、植物生长抑制剂、植物生长延缓剂的应用</w:t>
      </w:r>
    </w:p>
    <w:p>
      <w:pPr>
        <w:snapToGrid w:val="0"/>
        <w:spacing w:before="156" w:beforeLines="50" w:line="360" w:lineRule="auto"/>
        <w:rPr>
          <w:rFonts w:ascii="宋体" w:hAnsi="宋体"/>
          <w:szCs w:val="21"/>
        </w:rPr>
      </w:pPr>
      <w:r>
        <w:rPr>
          <w:rFonts w:hint="eastAsia" w:ascii="宋体" w:hAnsi="宋体"/>
          <w:b/>
          <w:szCs w:val="21"/>
        </w:rPr>
        <w:t>（二）考核内容</w:t>
      </w:r>
    </w:p>
    <w:p>
      <w:pPr>
        <w:pStyle w:val="20"/>
        <w:wordWrap w:val="0"/>
        <w:spacing w:before="0" w:beforeAutospacing="0" w:after="0" w:afterAutospacing="0" w:line="360" w:lineRule="auto"/>
        <w:ind w:firstLine="420" w:firstLineChars="200"/>
        <w:jc w:val="both"/>
        <w:rPr>
          <w:rFonts w:ascii="宋体" w:hAnsi="宋体" w:eastAsia="宋体" w:cs="宋体"/>
          <w:sz w:val="21"/>
          <w:szCs w:val="21"/>
        </w:rPr>
      </w:pPr>
      <w:r>
        <w:rPr>
          <w:rFonts w:hint="eastAsia" w:ascii="宋体" w:hAnsi="宋体" w:eastAsia="宋体" w:cs="宋体"/>
          <w:sz w:val="21"/>
          <w:szCs w:val="21"/>
        </w:rPr>
        <w:t>了解激动素（KT）、CPPU的功能、作用机理和施用方法；理解</w:t>
      </w:r>
      <w:r>
        <w:rPr>
          <w:rFonts w:ascii="宋体" w:hAnsi="宋体" w:eastAsia="宋体" w:cs="宋体"/>
          <w:sz w:val="21"/>
          <w:szCs w:val="21"/>
        </w:rPr>
        <w:t>独角金内酯</w:t>
      </w:r>
      <w:r>
        <w:rPr>
          <w:rFonts w:hint="eastAsia" w:ascii="宋体" w:hAnsi="宋体" w:eastAsia="宋体" w:cs="宋体"/>
          <w:sz w:val="21"/>
          <w:szCs w:val="21"/>
        </w:rPr>
        <w:t>、乙烯利（ETH）、油菜素内酯（BR）、多胺、水杨酸等的功能、作用机理和施用方法；掌握吲哚乙酸（IAA）、吲哚丁酸 (IBA)、 萘乙酸 (NAA)）、2，4－D、防落素（PCPA或4-CPA）、赤霉素（GA</w:t>
      </w:r>
      <w:r>
        <w:rPr>
          <w:rFonts w:hint="eastAsia" w:ascii="宋体" w:hAnsi="宋体" w:eastAsia="宋体" w:cs="宋体"/>
          <w:sz w:val="21"/>
          <w:szCs w:val="21"/>
          <w:vertAlign w:val="subscript"/>
        </w:rPr>
        <w:t>3</w:t>
      </w:r>
      <w:r>
        <w:rPr>
          <w:rFonts w:hint="eastAsia" w:ascii="宋体" w:hAnsi="宋体" w:eastAsia="宋体" w:cs="宋体"/>
          <w:sz w:val="21"/>
          <w:szCs w:val="21"/>
        </w:rPr>
        <w:t>）、6-苄基氨基嘌呤（6－BA）的功能、作用机理和施用方法。了解和理解脱落酸（ABA）、青鲜素（MH）、三碘苯甲酸（TIBA）、整型素、增甘膦等生长抑制剂的功能、作用机制和施用方法等。了解和理解矮壮素（CCC）、比久（B9）、多效唑（PP333）、粉锈宁、氯化胆碱、烯效唑等生长</w:t>
      </w:r>
      <w:r>
        <w:rPr>
          <w:rFonts w:hint="eastAsia" w:ascii="宋体" w:hAnsi="宋体" w:cs="宋体"/>
          <w:sz w:val="21"/>
          <w:szCs w:val="21"/>
        </w:rPr>
        <w:t>延缓</w:t>
      </w:r>
      <w:r>
        <w:rPr>
          <w:rFonts w:hint="eastAsia" w:ascii="宋体" w:hAnsi="宋体" w:eastAsia="宋体" w:cs="宋体"/>
          <w:sz w:val="21"/>
          <w:szCs w:val="21"/>
        </w:rPr>
        <w:t>剂的功能、作用机制和施用方法等。</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s="宋体"/>
          <w:szCs w:val="21"/>
        </w:rPr>
        <w:t>植物生长促进剂、植物生长抑制剂、植物生长延缓剂的种类。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cs="宋体"/>
          <w:szCs w:val="21"/>
        </w:rPr>
        <w:t>植物生长促进剂、植物生长抑制剂、植物生长延缓剂的生理作用。</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s="宋体"/>
          <w:szCs w:val="21"/>
        </w:rPr>
        <w:t>植物生长促进剂、植物生长抑制剂、植物生长延缓剂的应用。</w:t>
      </w:r>
    </w:p>
    <w:p>
      <w:pPr>
        <w:snapToGrid w:val="0"/>
        <w:spacing w:line="360" w:lineRule="auto"/>
        <w:ind w:firstLine="422" w:firstLineChars="200"/>
        <w:rPr>
          <w:rFonts w:ascii="宋体" w:hAnsi="宋体" w:cs="宋体"/>
          <w:szCs w:val="21"/>
        </w:rPr>
      </w:pPr>
      <w:r>
        <w:rPr>
          <w:rFonts w:hint="eastAsia" w:ascii="宋体" w:hAnsi="宋体" w:cs="宋体"/>
          <w:b/>
          <w:bCs/>
          <w:szCs w:val="21"/>
        </w:rPr>
        <w:t>4．分析：</w:t>
      </w:r>
      <w:r>
        <w:rPr>
          <w:rFonts w:hint="eastAsia" w:ascii="宋体" w:hAnsi="宋体" w:cs="宋体"/>
          <w:szCs w:val="21"/>
        </w:rPr>
        <w:t>植物生长促进剂、植物生长抑制剂、植物生长延缓剂的使用效果。</w:t>
      </w:r>
    </w:p>
    <w:p>
      <w:pPr>
        <w:snapToGrid w:val="0"/>
        <w:spacing w:line="360" w:lineRule="auto"/>
        <w:ind w:firstLine="422" w:firstLineChars="200"/>
        <w:rPr>
          <w:rFonts w:ascii="宋体" w:hAnsi="宋体" w:cs="宋体"/>
          <w:szCs w:val="21"/>
        </w:rPr>
      </w:pPr>
      <w:r>
        <w:rPr>
          <w:rFonts w:hint="eastAsia" w:ascii="宋体" w:hAnsi="宋体"/>
          <w:b/>
          <w:szCs w:val="21"/>
        </w:rPr>
        <w:t>5．综合</w:t>
      </w:r>
      <w:r>
        <w:rPr>
          <w:rFonts w:hint="eastAsia" w:ascii="宋体" w:hAnsi="宋体"/>
          <w:szCs w:val="21"/>
        </w:rPr>
        <w:t>：根作物生产需求选用合适的</w:t>
      </w:r>
      <w:r>
        <w:rPr>
          <w:rFonts w:hint="eastAsia" w:ascii="宋体" w:hAnsi="宋体" w:cs="宋体"/>
          <w:szCs w:val="21"/>
        </w:rPr>
        <w:t>植物生长促进剂、植物生长抑制剂、植物生长延缓剂。</w:t>
      </w:r>
    </w:p>
    <w:p>
      <w:pPr>
        <w:snapToGrid w:val="0"/>
        <w:spacing w:line="360" w:lineRule="auto"/>
        <w:ind w:firstLine="422" w:firstLineChars="200"/>
        <w:rPr>
          <w:rFonts w:ascii="宋体" w:hAnsi="宋体" w:cs="宋体"/>
          <w:szCs w:val="21"/>
        </w:rPr>
      </w:pPr>
      <w:r>
        <w:rPr>
          <w:rFonts w:hint="eastAsia" w:ascii="宋体" w:hAnsi="宋体" w:cs="宋体"/>
          <w:b/>
          <w:bCs/>
          <w:szCs w:val="21"/>
        </w:rPr>
        <w:t>6．评价：</w:t>
      </w:r>
      <w:r>
        <w:rPr>
          <w:rFonts w:hint="eastAsia" w:ascii="宋体" w:hAnsi="宋体" w:cs="宋体"/>
          <w:szCs w:val="21"/>
        </w:rPr>
        <w:t>植物生长促进剂、植物生长抑制剂、植物生长延缓剂的使用效果和调整措施。</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第二章</w:t>
      </w:r>
      <w:r>
        <w:rPr>
          <w:rFonts w:ascii="宋体" w:hAnsi="宋体" w:cs="宋体"/>
          <w:b/>
          <w:bCs/>
          <w:kern w:val="0"/>
          <w:szCs w:val="21"/>
        </w:rPr>
        <w:t xml:space="preserve"> </w:t>
      </w:r>
      <w:r>
        <w:rPr>
          <w:rFonts w:hint="eastAsia" w:ascii="宋体" w:hAnsi="宋体" w:cs="宋体"/>
          <w:b/>
          <w:bCs/>
          <w:kern w:val="0"/>
          <w:szCs w:val="21"/>
        </w:rPr>
        <w:t>植物生长调节剂施用原理及技术</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ascii="宋体" w:hAnsi="宋体" w:cs="宋体"/>
          <w:szCs w:val="21"/>
        </w:rPr>
        <w:t>植物生长调节剂的吸收与运转的信号系统和作用机理。植物生长调节剂的合成路径。</w:t>
      </w:r>
    </w:p>
    <w:p>
      <w:pPr>
        <w:snapToGrid w:val="0"/>
        <w:spacing w:line="360" w:lineRule="auto"/>
        <w:ind w:firstLine="422" w:firstLineChars="200"/>
        <w:rPr>
          <w:rFonts w:ascii="宋体" w:hAnsi="宋体"/>
          <w:szCs w:val="21"/>
        </w:rPr>
      </w:pPr>
      <w:r>
        <w:rPr>
          <w:rFonts w:hint="eastAsia" w:ascii="宋体" w:hAnsi="宋体"/>
          <w:b/>
          <w:szCs w:val="21"/>
        </w:rPr>
        <w:t>2．一般掌握</w:t>
      </w:r>
      <w:r>
        <w:rPr>
          <w:rFonts w:hint="eastAsia" w:ascii="宋体" w:hAnsi="宋体"/>
          <w:szCs w:val="21"/>
        </w:rPr>
        <w:t>：</w:t>
      </w:r>
      <w:r>
        <w:rPr>
          <w:rFonts w:hint="eastAsia" w:ascii="宋体" w:hAnsi="宋体" w:cs="宋体"/>
          <w:szCs w:val="21"/>
        </w:rPr>
        <w:t>植物生长调节的吸收与运转的作用机制。</w:t>
      </w:r>
    </w:p>
    <w:p>
      <w:pPr>
        <w:snapToGrid w:val="0"/>
        <w:spacing w:line="360" w:lineRule="auto"/>
        <w:ind w:firstLine="422" w:firstLineChars="200"/>
        <w:rPr>
          <w:rFonts w:ascii="宋体" w:hAnsi="宋体"/>
          <w:b/>
          <w:szCs w:val="21"/>
        </w:rPr>
      </w:pPr>
      <w:r>
        <w:rPr>
          <w:rFonts w:hint="eastAsia" w:ascii="宋体" w:hAnsi="宋体"/>
          <w:b/>
          <w:szCs w:val="21"/>
        </w:rPr>
        <w:t>3．熟练掌握</w:t>
      </w:r>
      <w:r>
        <w:rPr>
          <w:rFonts w:hint="eastAsia" w:ascii="宋体" w:hAnsi="宋体"/>
          <w:szCs w:val="21"/>
        </w:rPr>
        <w:t>：</w:t>
      </w:r>
      <w:r>
        <w:rPr>
          <w:rFonts w:hint="eastAsia" w:ascii="宋体" w:hAnsi="宋体" w:cs="宋体"/>
          <w:szCs w:val="21"/>
        </w:rPr>
        <w:t>植物生长调节的剂型和施用方法。实际生产中植物生长调节的具体应用策略。</w:t>
      </w:r>
    </w:p>
    <w:p>
      <w:pPr>
        <w:snapToGrid w:val="0"/>
        <w:spacing w:before="156" w:beforeLines="50" w:line="360" w:lineRule="auto"/>
        <w:rPr>
          <w:rFonts w:ascii="宋体" w:hAnsi="宋体"/>
          <w:b/>
          <w:szCs w:val="21"/>
        </w:rPr>
      </w:pPr>
      <w:r>
        <w:rPr>
          <w:rFonts w:hint="eastAsia" w:ascii="宋体" w:hAnsi="宋体"/>
          <w:b/>
          <w:szCs w:val="21"/>
        </w:rPr>
        <w:t>（二）考核知识点</w:t>
      </w:r>
    </w:p>
    <w:p>
      <w:pPr>
        <w:pStyle w:val="20"/>
        <w:wordWrap w:val="0"/>
        <w:spacing w:before="0" w:beforeAutospacing="0" w:after="0" w:afterAutospacing="0" w:line="360" w:lineRule="auto"/>
        <w:ind w:firstLine="420"/>
        <w:jc w:val="both"/>
        <w:rPr>
          <w:rFonts w:ascii="宋体" w:hAnsi="宋体" w:eastAsia="宋体" w:cs="宋体"/>
          <w:sz w:val="21"/>
          <w:szCs w:val="21"/>
        </w:rPr>
      </w:pPr>
      <w:r>
        <w:rPr>
          <w:rFonts w:hint="eastAsia" w:ascii="宋体" w:hAnsi="宋体" w:eastAsia="宋体" w:cs="宋体"/>
          <w:sz w:val="21"/>
          <w:szCs w:val="21"/>
        </w:rPr>
        <w:t>了解生长调节剂是如何进入植物体内的？通过叶片和茎部进入、通过根部进入等不同介入部位的差异与联系。理解植物生长调节剂在植物体内是如何运转的。了解和掌握不同生长调节剂剂型的差异和应用；理解生长调节剂的配合使用；掌握不同生长调节剂的使用浓度和注意事项。了解生长调节剂施用中存在问题的实质，掌握适当的处理方案：熟练掌握生长调节剂种类的合理选用、施用时期确定、处理部位、剂型、拟定施用浓度和次数、小规模预备试验及农业配合技术措施等。</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s="宋体"/>
          <w:szCs w:val="21"/>
        </w:rPr>
        <w:t>植物生长调节剂的吸收与运转的信号系统和作用机理。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cs="宋体"/>
          <w:szCs w:val="21"/>
        </w:rPr>
        <w:t>植物生长调节剂的合成路径。</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s="宋体"/>
          <w:szCs w:val="21"/>
        </w:rPr>
        <w:t>植物生长调节的剂型；植物生长调节剂的施用方法及注意事项。</w:t>
      </w:r>
    </w:p>
    <w:p>
      <w:pPr>
        <w:snapToGrid w:val="0"/>
        <w:spacing w:line="360" w:lineRule="auto"/>
        <w:ind w:firstLine="422" w:firstLineChars="200"/>
        <w:rPr>
          <w:rFonts w:ascii="宋体" w:hAnsi="宋体" w:cs="宋体"/>
          <w:szCs w:val="21"/>
        </w:rPr>
      </w:pPr>
      <w:r>
        <w:rPr>
          <w:rFonts w:hint="eastAsia" w:ascii="宋体" w:hAnsi="宋体" w:cs="宋体"/>
          <w:b/>
          <w:bCs/>
          <w:szCs w:val="21"/>
        </w:rPr>
        <w:t>4．分析：</w:t>
      </w:r>
      <w:r>
        <w:rPr>
          <w:rFonts w:hint="eastAsia" w:ascii="宋体" w:hAnsi="宋体" w:cs="宋体"/>
          <w:szCs w:val="21"/>
        </w:rPr>
        <w:t>分析植物生长调节剂的作用机理及使用效果。</w:t>
      </w:r>
    </w:p>
    <w:p>
      <w:pPr>
        <w:snapToGrid w:val="0"/>
        <w:spacing w:line="360" w:lineRule="auto"/>
        <w:ind w:firstLine="422" w:firstLineChars="200"/>
        <w:rPr>
          <w:rFonts w:ascii="宋体" w:hAnsi="宋体" w:cs="宋体"/>
          <w:szCs w:val="21"/>
        </w:rPr>
      </w:pPr>
      <w:r>
        <w:rPr>
          <w:rFonts w:hint="eastAsia" w:ascii="宋体" w:hAnsi="宋体"/>
          <w:b/>
          <w:szCs w:val="21"/>
        </w:rPr>
        <w:t>5．综合</w:t>
      </w:r>
      <w:r>
        <w:rPr>
          <w:rFonts w:hint="eastAsia" w:ascii="宋体" w:hAnsi="宋体"/>
          <w:szCs w:val="21"/>
        </w:rPr>
        <w:t>：根据作物生产需求选用合适的</w:t>
      </w:r>
      <w:r>
        <w:rPr>
          <w:rFonts w:hint="eastAsia" w:ascii="宋体" w:hAnsi="宋体" w:cs="宋体"/>
          <w:szCs w:val="21"/>
        </w:rPr>
        <w:t>物生长调节剂组合</w:t>
      </w:r>
      <w:r>
        <w:rPr>
          <w:rFonts w:hint="eastAsia" w:ascii="宋体" w:hAnsi="宋体"/>
          <w:szCs w:val="21"/>
        </w:rPr>
        <w:t>。</w:t>
      </w:r>
    </w:p>
    <w:p>
      <w:pPr>
        <w:snapToGrid w:val="0"/>
        <w:spacing w:line="360" w:lineRule="auto"/>
        <w:ind w:firstLine="422" w:firstLineChars="200"/>
        <w:rPr>
          <w:rFonts w:ascii="宋体" w:hAnsi="宋体" w:cs="宋体"/>
          <w:szCs w:val="21"/>
        </w:rPr>
      </w:pPr>
      <w:r>
        <w:rPr>
          <w:rFonts w:hint="eastAsia" w:ascii="宋体" w:hAnsi="宋体" w:cs="宋体"/>
          <w:b/>
          <w:bCs/>
          <w:szCs w:val="21"/>
        </w:rPr>
        <w:t>6．评价：</w:t>
      </w:r>
      <w:r>
        <w:rPr>
          <w:rFonts w:hint="eastAsia" w:ascii="宋体" w:hAnsi="宋体" w:cs="宋体"/>
          <w:szCs w:val="21"/>
        </w:rPr>
        <w:t>各种植物生长调节剂的使用效果和调整措施。</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第三章</w:t>
      </w:r>
      <w:r>
        <w:rPr>
          <w:rFonts w:ascii="宋体" w:hAnsi="宋体" w:cs="宋体"/>
          <w:b/>
          <w:bCs/>
          <w:kern w:val="0"/>
          <w:szCs w:val="21"/>
        </w:rPr>
        <w:t xml:space="preserve"> </w:t>
      </w:r>
      <w:r>
        <w:rPr>
          <w:rFonts w:hint="eastAsia" w:ascii="宋体" w:hAnsi="宋体" w:cs="宋体"/>
          <w:b/>
          <w:bCs/>
          <w:kern w:val="0"/>
          <w:szCs w:val="21"/>
        </w:rPr>
        <w:t>生长调节剂在植物生长发育中的研究与应用</w:t>
      </w:r>
    </w:p>
    <w:p>
      <w:pPr>
        <w:snapToGrid w:val="0"/>
        <w:spacing w:line="360" w:lineRule="auto"/>
        <w:rPr>
          <w:rFonts w:ascii="宋体" w:hAnsi="宋体"/>
          <w:b/>
          <w:szCs w:val="21"/>
        </w:rPr>
      </w:pPr>
      <w:r>
        <w:rPr>
          <w:rFonts w:hint="eastAsia" w:ascii="宋体" w:hAnsi="宋体"/>
          <w:b/>
          <w:szCs w:val="21"/>
        </w:rPr>
        <w:t>（一）一般学习目的与要求</w:t>
      </w:r>
    </w:p>
    <w:p>
      <w:pPr>
        <w:snapToGrid w:val="0"/>
        <w:spacing w:line="360" w:lineRule="auto"/>
        <w:ind w:firstLine="422" w:firstLineChars="200"/>
        <w:rPr>
          <w:rFonts w:ascii="宋体" w:hAnsi="宋体"/>
          <w:szCs w:val="21"/>
        </w:rPr>
      </w:pPr>
      <w:r>
        <w:rPr>
          <w:rFonts w:hint="eastAsia" w:ascii="宋体" w:hAnsi="宋体"/>
          <w:b/>
          <w:szCs w:val="21"/>
        </w:rPr>
        <w:t>1．一般了解</w:t>
      </w:r>
      <w:r>
        <w:rPr>
          <w:rFonts w:hint="eastAsia" w:ascii="宋体" w:hAnsi="宋体"/>
          <w:szCs w:val="21"/>
        </w:rPr>
        <w:t>：</w:t>
      </w:r>
      <w:r>
        <w:rPr>
          <w:rFonts w:hint="eastAsia" w:ascii="宋体" w:hAnsi="宋体" w:cs="宋体"/>
          <w:szCs w:val="21"/>
        </w:rPr>
        <w:t>生长调节剂在花芽分化、化学杀雄和切花保鲜等方面的应用技术和方法。</w:t>
      </w:r>
    </w:p>
    <w:p>
      <w:pPr>
        <w:widowControl/>
        <w:snapToGrid w:val="0"/>
        <w:spacing w:line="360" w:lineRule="auto"/>
        <w:ind w:firstLine="422" w:firstLineChars="200"/>
        <w:rPr>
          <w:rFonts w:ascii="宋体" w:hAnsi="宋体" w:cs="宋体"/>
          <w:szCs w:val="21"/>
        </w:rPr>
      </w:pPr>
      <w:r>
        <w:rPr>
          <w:rFonts w:hint="eastAsia" w:ascii="宋体" w:hAnsi="宋体"/>
          <w:b/>
          <w:szCs w:val="21"/>
        </w:rPr>
        <w:t>2．一般掌握</w:t>
      </w:r>
      <w:r>
        <w:rPr>
          <w:rFonts w:hint="eastAsia" w:ascii="宋体" w:hAnsi="宋体"/>
          <w:szCs w:val="21"/>
        </w:rPr>
        <w:t>：</w:t>
      </w:r>
      <w:r>
        <w:rPr>
          <w:rFonts w:hint="eastAsia" w:ascii="宋体" w:hAnsi="宋体" w:cs="宋体"/>
          <w:szCs w:val="21"/>
        </w:rPr>
        <w:t>长调节剂在延长和打破休眠、促进生长、扦插生根和延缓衰老等方面的应</w:t>
      </w:r>
    </w:p>
    <w:p>
      <w:pPr>
        <w:snapToGrid w:val="0"/>
        <w:spacing w:line="360" w:lineRule="auto"/>
        <w:ind w:firstLine="420" w:firstLineChars="200"/>
        <w:rPr>
          <w:rFonts w:ascii="宋体" w:hAnsi="宋体"/>
          <w:szCs w:val="21"/>
        </w:rPr>
      </w:pPr>
      <w:r>
        <w:rPr>
          <w:rFonts w:hint="eastAsia" w:ascii="宋体" w:hAnsi="宋体" w:cs="宋体"/>
          <w:szCs w:val="21"/>
        </w:rPr>
        <w:t>用技术和方法。</w:t>
      </w:r>
    </w:p>
    <w:p>
      <w:pPr>
        <w:snapToGrid w:val="0"/>
        <w:spacing w:line="360" w:lineRule="auto"/>
        <w:ind w:firstLine="422" w:firstLineChars="200"/>
        <w:rPr>
          <w:rFonts w:ascii="宋体" w:hAnsi="宋体"/>
          <w:b/>
          <w:szCs w:val="21"/>
        </w:rPr>
      </w:pPr>
      <w:r>
        <w:rPr>
          <w:rFonts w:hint="eastAsia" w:ascii="宋体" w:hAnsi="宋体"/>
          <w:b/>
          <w:szCs w:val="21"/>
        </w:rPr>
        <w:t>3．熟练掌握</w:t>
      </w:r>
      <w:r>
        <w:rPr>
          <w:rFonts w:hint="eastAsia" w:ascii="宋体" w:hAnsi="宋体"/>
          <w:szCs w:val="21"/>
        </w:rPr>
        <w:t>：</w:t>
      </w:r>
      <w:r>
        <w:rPr>
          <w:rFonts w:hint="eastAsia" w:ascii="宋体" w:hAnsi="宋体" w:cs="宋体"/>
          <w:szCs w:val="21"/>
        </w:rPr>
        <w:t>生长调节剂在保花保果、果实催熟、改善产量与品质等方面的应用技术和方法。</w:t>
      </w:r>
    </w:p>
    <w:p>
      <w:pPr>
        <w:snapToGrid w:val="0"/>
        <w:spacing w:before="156" w:beforeLines="50" w:line="360" w:lineRule="auto"/>
        <w:rPr>
          <w:rFonts w:ascii="宋体" w:hAnsi="宋体"/>
          <w:b/>
          <w:szCs w:val="21"/>
        </w:rPr>
      </w:pPr>
      <w:r>
        <w:rPr>
          <w:rFonts w:hint="eastAsia" w:ascii="宋体" w:hAnsi="宋体"/>
          <w:b/>
          <w:szCs w:val="21"/>
        </w:rPr>
        <w:t>（二）考核知识点</w:t>
      </w:r>
    </w:p>
    <w:p>
      <w:pPr>
        <w:pStyle w:val="20"/>
        <w:wordWrap w:val="0"/>
        <w:spacing w:before="0" w:beforeAutospacing="0" w:after="0" w:afterAutospacing="0" w:line="360" w:lineRule="auto"/>
        <w:ind w:firstLine="420" w:firstLineChars="200"/>
        <w:jc w:val="both"/>
        <w:rPr>
          <w:rFonts w:ascii="宋体" w:hAnsi="宋体"/>
          <w:b/>
          <w:szCs w:val="21"/>
        </w:rPr>
      </w:pPr>
      <w:r>
        <w:rPr>
          <w:rFonts w:hint="eastAsia" w:ascii="宋体" w:hAnsi="宋体" w:eastAsia="宋体" w:cs="宋体"/>
          <w:sz w:val="21"/>
          <w:szCs w:val="21"/>
        </w:rPr>
        <w:t>了解打破休眠和促进萌发的技术；掌握马铃薯、洋葱、大蒜、萝卜、胡萝卜等蔬菜的贮藏技术；掌握营养生长和生殖生长调控技术；掌握延缓叶片衰老技术；熟练掌握扦插生根技术。了解保鲜剂的种类和切花保鲜技术；掌握花芽形成的调控技术；掌握诱导雌花、雄花，化学去雄等调控技术。掌握保花保果和疏花疏果常用生长调节剂的种类和应用技术；掌握乙烯的催熟技术；掌握生长调节剂提高产量、改良品质的技术方法。了解无籽果实生产技术。</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s="宋体"/>
          <w:szCs w:val="21"/>
        </w:rPr>
        <w:t>植物生长调节剂打破休眠、促进生根、延缓衰老等方面的相关实例和应用技术。</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cs="宋体"/>
          <w:szCs w:val="21"/>
        </w:rPr>
        <w:t>植物生长调节剂调控花芽形成的相关实例和应用技术。</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s="宋体"/>
          <w:szCs w:val="21"/>
        </w:rPr>
        <w:t>植物生长调节剂在促进扦插生根等方面的应用技术。</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cs="宋体"/>
          <w:szCs w:val="21"/>
        </w:rPr>
        <w:t>植物生长调节剂在花芽形成等方面的调控技术</w:t>
      </w:r>
    </w:p>
    <w:p>
      <w:pPr>
        <w:snapToGrid w:val="0"/>
        <w:spacing w:line="360" w:lineRule="auto"/>
        <w:ind w:firstLine="422" w:firstLineChars="200"/>
        <w:rPr>
          <w:rFonts w:ascii="宋体" w:hAnsi="宋体"/>
          <w:b/>
          <w:szCs w:val="21"/>
        </w:rPr>
      </w:pPr>
      <w:r>
        <w:rPr>
          <w:rFonts w:hint="eastAsia" w:ascii="宋体" w:hAnsi="宋体"/>
          <w:b/>
          <w:szCs w:val="21"/>
        </w:rPr>
        <w:t>5．综合：</w:t>
      </w:r>
      <w:r>
        <w:rPr>
          <w:rFonts w:hint="eastAsia" w:ascii="宋体" w:hAnsi="宋体" w:cs="宋体"/>
          <w:szCs w:val="21"/>
        </w:rPr>
        <w:t>植物生长调节剂在果菜催熟、提高产量和改良品质等方面的相关实例和应用技术。</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cs="宋体"/>
          <w:szCs w:val="21"/>
        </w:rPr>
        <w:t>植物生长调节剂在保花保果、疏花疏果等方面的相关实例和应用技术。</w:t>
      </w:r>
    </w:p>
    <w:p>
      <w:pPr>
        <w:snapToGrid w:val="0"/>
        <w:spacing w:before="156" w:beforeLines="50" w:after="156" w:afterLines="50" w:line="360" w:lineRule="auto"/>
        <w:ind w:firstLine="103" w:firstLineChars="49"/>
        <w:jc w:val="center"/>
        <w:rPr>
          <w:rFonts w:ascii="宋体" w:hAnsi="宋体" w:cs="宋体"/>
          <w:b/>
          <w:bCs/>
          <w:kern w:val="0"/>
          <w:szCs w:val="21"/>
        </w:rPr>
      </w:pPr>
      <w:r>
        <w:rPr>
          <w:rFonts w:hint="eastAsia" w:ascii="宋体" w:hAnsi="宋体" w:cs="宋体"/>
          <w:b/>
          <w:bCs/>
          <w:kern w:val="0"/>
          <w:szCs w:val="21"/>
        </w:rPr>
        <w:t>第四章</w:t>
      </w:r>
      <w:r>
        <w:rPr>
          <w:rFonts w:ascii="宋体" w:hAnsi="宋体" w:cs="宋体"/>
          <w:b/>
          <w:bCs/>
          <w:kern w:val="0"/>
          <w:szCs w:val="21"/>
        </w:rPr>
        <w:t xml:space="preserve"> </w:t>
      </w:r>
      <w:r>
        <w:rPr>
          <w:rFonts w:hint="eastAsia" w:ascii="宋体" w:hAnsi="宋体" w:cs="宋体"/>
          <w:b/>
          <w:bCs/>
          <w:kern w:val="0"/>
          <w:szCs w:val="21"/>
        </w:rPr>
        <w:t>生长调节剂在植物抗逆性方面的研究与应用</w:t>
      </w:r>
    </w:p>
    <w:p>
      <w:pPr>
        <w:snapToGrid w:val="0"/>
        <w:spacing w:line="360" w:lineRule="auto"/>
        <w:rPr>
          <w:rFonts w:ascii="宋体" w:hAnsi="宋体"/>
          <w:b/>
          <w:szCs w:val="21"/>
        </w:rPr>
      </w:pPr>
      <w:r>
        <w:rPr>
          <w:rFonts w:hint="eastAsia" w:ascii="宋体" w:hAnsi="宋体"/>
          <w:b/>
          <w:szCs w:val="21"/>
        </w:rPr>
        <w:t>（一）一般学习目的与要求</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宋体" w:hAnsi="宋体" w:cs="宋体"/>
          <w:szCs w:val="21"/>
        </w:rPr>
        <w:t>生长调节剂对植物抗逆性的作用。</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ascii="宋体" w:hAnsi="宋体" w:cs="宋体"/>
          <w:szCs w:val="21"/>
        </w:rPr>
        <w:t>生长调节剂在植物抗逆性中的应用。</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ascii="宋体" w:hAnsi="宋体" w:cs="宋体"/>
          <w:szCs w:val="21"/>
        </w:rPr>
        <w:t>了解乙烯、油菜素内酯、脱落酸、茉莉酸、水杨酸等生长调节剂与抗逆性的关系；理解逆境条件下生长调节剂的调控原理，及其交叉应用中的作用和原理。</w:t>
      </w:r>
    </w:p>
    <w:p>
      <w:pPr>
        <w:snapToGrid w:val="0"/>
        <w:spacing w:before="156" w:beforeLines="50" w:line="360" w:lineRule="auto"/>
        <w:rPr>
          <w:rFonts w:ascii="宋体" w:hAnsi="宋体"/>
          <w:b/>
          <w:szCs w:val="21"/>
        </w:rPr>
      </w:pPr>
      <w:r>
        <w:rPr>
          <w:rFonts w:hint="eastAsia" w:ascii="宋体" w:hAnsi="宋体"/>
          <w:b/>
          <w:szCs w:val="21"/>
        </w:rPr>
        <w:t>（二）考核内容</w:t>
      </w:r>
    </w:p>
    <w:p>
      <w:pPr>
        <w:snapToGrid w:val="0"/>
        <w:spacing w:line="360" w:lineRule="auto"/>
        <w:ind w:firstLine="420" w:firstLineChars="200"/>
        <w:rPr>
          <w:rFonts w:ascii="宋体" w:hAnsi="宋体"/>
          <w:b/>
          <w:szCs w:val="21"/>
        </w:rPr>
      </w:pPr>
      <w:r>
        <w:rPr>
          <w:rFonts w:hint="eastAsia" w:ascii="宋体" w:hAnsi="宋体" w:cs="宋体"/>
          <w:szCs w:val="21"/>
        </w:rPr>
        <w:t>了解如何使用植物生长调节剂增强抗冷性，及其在作物上的应用；了解植物生长调节剂在增强抗热性中的应用；了解植物生长调节剂在增强抗旱性中的应用；了解植物生长调节剂在增强抗病性中的应用。了解植物生长调节剂在增强抗虫性中的应用。</w:t>
      </w:r>
    </w:p>
    <w:p>
      <w:pPr>
        <w:snapToGrid w:val="0"/>
        <w:spacing w:before="156" w:beforeLines="50"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ascii="宋体" w:hAnsi="宋体" w:cs="宋体"/>
          <w:szCs w:val="21"/>
        </w:rPr>
        <w:t>不同植物生长调节剂与抗逆性的关系。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cs="宋体"/>
          <w:szCs w:val="21"/>
        </w:rPr>
        <w:t>植物生长调节剂的抗逆性研究进展和作用机理。</w:t>
      </w:r>
    </w:p>
    <w:p>
      <w:pPr>
        <w:snapToGrid w:val="0"/>
        <w:spacing w:line="360" w:lineRule="auto"/>
        <w:ind w:firstLine="422" w:firstLineChars="200"/>
        <w:rPr>
          <w:rFonts w:ascii="宋体" w:hAnsi="宋体" w:cs="宋体"/>
          <w:szCs w:val="21"/>
        </w:rPr>
      </w:pPr>
      <w:r>
        <w:rPr>
          <w:rFonts w:hint="eastAsia" w:ascii="宋体" w:hAnsi="宋体"/>
          <w:b/>
          <w:szCs w:val="21"/>
        </w:rPr>
        <w:t>3．应用</w:t>
      </w:r>
      <w:r>
        <w:rPr>
          <w:rFonts w:hint="eastAsia" w:ascii="宋体" w:hAnsi="宋体"/>
          <w:szCs w:val="21"/>
        </w:rPr>
        <w:t>：</w:t>
      </w:r>
      <w:r>
        <w:rPr>
          <w:rFonts w:hint="eastAsia" w:ascii="宋体" w:hAnsi="宋体" w:cs="宋体"/>
          <w:szCs w:val="21"/>
        </w:rPr>
        <w:t>植物生长调节剂在增强抗病性中的应用。</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cs="宋体"/>
          <w:szCs w:val="21"/>
        </w:rPr>
        <w:t>植物生长调节剂在增强抗虫性中的应用。</w:t>
      </w:r>
    </w:p>
    <w:p>
      <w:pPr>
        <w:snapToGrid w:val="0"/>
        <w:spacing w:line="360" w:lineRule="auto"/>
        <w:ind w:firstLine="422" w:firstLineChars="200"/>
        <w:rPr>
          <w:rFonts w:ascii="宋体" w:hAnsi="宋体"/>
          <w:b/>
          <w:szCs w:val="21"/>
        </w:rPr>
      </w:pPr>
      <w:r>
        <w:rPr>
          <w:rFonts w:hint="eastAsia" w:ascii="宋体" w:hAnsi="宋体"/>
          <w:b/>
          <w:szCs w:val="21"/>
        </w:rPr>
        <w:t>5．综合：</w:t>
      </w:r>
      <w:r>
        <w:rPr>
          <w:rFonts w:hint="eastAsia" w:ascii="宋体" w:hAnsi="宋体" w:cs="宋体"/>
          <w:szCs w:val="21"/>
        </w:rPr>
        <w:t>植物生长调节剂在抗逆中的交叉应用。</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cs="宋体"/>
          <w:szCs w:val="21"/>
        </w:rPr>
        <w:t>植物生长调节剂在调节生长与增强抗逆性的交叉应用。</w:t>
      </w:r>
    </w:p>
    <w:p>
      <w:pPr>
        <w:snapToGrid w:val="0"/>
        <w:spacing w:line="360" w:lineRule="auto"/>
        <w:rPr>
          <w:rFonts w:ascii="宋体" w:hAnsi="宋体"/>
          <w:b/>
          <w:szCs w:val="21"/>
        </w:rPr>
      </w:pPr>
      <w:r>
        <w:rPr>
          <w:rFonts w:hint="eastAsia" w:ascii="宋体" w:hAnsi="宋体"/>
          <w:b/>
          <w:szCs w:val="21"/>
        </w:rPr>
        <w:t>三、实验、实习教学部分的考核要求</w:t>
      </w:r>
    </w:p>
    <w:p>
      <w:pPr>
        <w:snapToGrid w:val="0"/>
        <w:spacing w:line="360" w:lineRule="auto"/>
        <w:ind w:firstLine="420" w:firstLineChars="200"/>
        <w:rPr>
          <w:rFonts w:ascii="宋体" w:hAnsi="宋体"/>
          <w:bCs/>
          <w:szCs w:val="21"/>
        </w:rPr>
      </w:pPr>
      <w:r>
        <w:rPr>
          <w:rFonts w:hint="eastAsia" w:ascii="宋体" w:hAnsi="宋体"/>
          <w:bCs/>
          <w:szCs w:val="21"/>
        </w:rPr>
        <w:t>无。</w:t>
      </w:r>
    </w:p>
    <w:p>
      <w:pPr>
        <w:snapToGrid w:val="0"/>
        <w:spacing w:line="360" w:lineRule="auto"/>
        <w:rPr>
          <w:rFonts w:ascii="宋体" w:hAnsi="宋体"/>
          <w:b/>
          <w:szCs w:val="21"/>
        </w:rPr>
      </w:pPr>
      <w:r>
        <w:rPr>
          <w:rFonts w:hint="eastAsia" w:ascii="宋体" w:hAnsi="宋体"/>
          <w:b/>
          <w:szCs w:val="21"/>
        </w:rPr>
        <w:t>四、</w:t>
      </w:r>
      <w:r>
        <w:rPr>
          <w:rFonts w:hint="eastAsia" w:asciiTheme="majorEastAsia" w:hAnsiTheme="majorEastAsia" w:eastAsiaTheme="majorEastAsia" w:cstheme="majorEastAsia"/>
          <w:b/>
          <w:bCs/>
          <w:kern w:val="0"/>
          <w:szCs w:val="21"/>
        </w:rPr>
        <w:t>考核方式</w:t>
      </w:r>
    </w:p>
    <w:p>
      <w:pPr>
        <w:snapToGrid w:val="0"/>
        <w:spacing w:line="360" w:lineRule="auto"/>
        <w:ind w:firstLine="420" w:firstLineChars="200"/>
        <w:rPr>
          <w:rFonts w:ascii="宋体" w:hAnsi="宋体"/>
          <w:bCs/>
          <w:szCs w:val="21"/>
        </w:rPr>
      </w:pPr>
      <w:r>
        <w:rPr>
          <w:rFonts w:hint="eastAsia" w:ascii="宋体" w:hAnsi="宋体"/>
          <w:bCs/>
          <w:szCs w:val="21"/>
        </w:rPr>
        <w:t>平时</w:t>
      </w:r>
      <w:r>
        <w:rPr>
          <w:rFonts w:ascii="宋体" w:hAnsi="宋体"/>
          <w:bCs/>
          <w:szCs w:val="21"/>
        </w:rPr>
        <w:t>成绩（</w:t>
      </w:r>
      <w:r>
        <w:rPr>
          <w:rFonts w:hint="eastAsia" w:ascii="宋体" w:hAnsi="宋体"/>
        </w:rPr>
        <w:t>课堂表现、考勤、课后作业、小组学习讨论</w:t>
      </w:r>
      <w:r>
        <w:rPr>
          <w:rFonts w:ascii="宋体" w:hAnsi="宋体"/>
          <w:bCs/>
          <w:szCs w:val="21"/>
        </w:rPr>
        <w:t>）</w:t>
      </w:r>
      <w:r>
        <w:rPr>
          <w:rFonts w:hint="eastAsia" w:ascii="宋体" w:hAnsi="宋体"/>
          <w:bCs/>
          <w:szCs w:val="21"/>
        </w:rPr>
        <w:t>和课程论文。</w:t>
      </w:r>
    </w:p>
    <w:p>
      <w:pPr>
        <w:snapToGrid w:val="0"/>
        <w:spacing w:line="360" w:lineRule="auto"/>
        <w:rPr>
          <w:rFonts w:ascii="宋体" w:hAnsi="宋体"/>
          <w:b/>
          <w:szCs w:val="21"/>
        </w:rPr>
      </w:pPr>
      <w:r>
        <w:rPr>
          <w:rFonts w:hint="eastAsia" w:ascii="宋体" w:hAnsi="宋体"/>
          <w:b/>
          <w:szCs w:val="21"/>
        </w:rPr>
        <w:t>五、</w:t>
      </w:r>
      <w:r>
        <w:rPr>
          <w:rFonts w:hint="eastAsia" w:asciiTheme="majorEastAsia" w:hAnsiTheme="majorEastAsia" w:eastAsiaTheme="majorEastAsia" w:cstheme="majorEastAsia"/>
          <w:b/>
          <w:bCs/>
          <w:kern w:val="0"/>
          <w:szCs w:val="21"/>
        </w:rPr>
        <w:t>成绩评定</w:t>
      </w:r>
    </w:p>
    <w:p>
      <w:pPr>
        <w:snapToGrid w:val="0"/>
        <w:spacing w:line="360" w:lineRule="auto"/>
        <w:ind w:firstLine="420" w:firstLineChars="200"/>
        <w:rPr>
          <w:rFonts w:ascii="宋体" w:hAnsi="宋体"/>
          <w:szCs w:val="21"/>
        </w:rPr>
      </w:pPr>
      <w:r>
        <w:rPr>
          <w:rFonts w:hint="eastAsia" w:ascii="宋体" w:hAnsi="宋体"/>
          <w:szCs w:val="21"/>
        </w:rPr>
        <w:t>1．平时成绩</w:t>
      </w:r>
      <w:r>
        <w:rPr>
          <w:rFonts w:hint="eastAsia" w:ascii="宋体" w:hAnsi="宋体"/>
          <w:bCs/>
          <w:szCs w:val="21"/>
        </w:rPr>
        <w:t>（</w:t>
      </w:r>
      <w:r>
        <w:rPr>
          <w:rFonts w:hint="eastAsia" w:ascii="宋体" w:hAnsi="宋体"/>
        </w:rPr>
        <w:t>课堂表现、考勤、课后作业、小组学习讨论等；</w:t>
      </w:r>
      <w:r>
        <w:rPr>
          <w:rFonts w:hint="eastAsia" w:ascii="宋体" w:hAnsi="宋体"/>
          <w:szCs w:val="21"/>
        </w:rPr>
        <w:t>所占比例</w:t>
      </w:r>
      <w:r>
        <w:rPr>
          <w:rFonts w:ascii="宋体" w:hAnsi="宋体"/>
          <w:szCs w:val="21"/>
        </w:rPr>
        <w:t>30%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rPr>
        <w:t>2．期末成绩</w:t>
      </w:r>
      <w:r>
        <w:rPr>
          <w:rFonts w:hint="eastAsia" w:ascii="宋体" w:hAnsi="宋体"/>
          <w:bCs/>
          <w:szCs w:val="21"/>
        </w:rPr>
        <w:t>（</w:t>
      </w:r>
      <w:r>
        <w:rPr>
          <w:rFonts w:hint="eastAsia" w:ascii="宋体" w:hAnsi="宋体"/>
          <w:szCs w:val="21"/>
        </w:rPr>
        <w:t>课程论文；所占比例7</w:t>
      </w:r>
      <w:r>
        <w:rPr>
          <w:rFonts w:ascii="宋体" w:hAnsi="宋体"/>
          <w:szCs w:val="21"/>
        </w:rPr>
        <w:t>0%</w:t>
      </w:r>
      <w:r>
        <w:rPr>
          <w:rFonts w:hint="eastAsia" w:ascii="宋体" w:hAnsi="宋体"/>
          <w:bCs/>
          <w:szCs w:val="21"/>
        </w:rPr>
        <w:t>）</w:t>
      </w:r>
    </w:p>
    <w:p>
      <w:pPr>
        <w:snapToGrid w:val="0"/>
        <w:spacing w:line="360" w:lineRule="auto"/>
        <w:ind w:firstLine="420" w:firstLineChars="200"/>
        <w:rPr>
          <w:rFonts w:ascii="宋体" w:hAnsi="宋体"/>
          <w:bCs/>
          <w:szCs w:val="21"/>
        </w:rPr>
      </w:pPr>
      <w:r>
        <w:rPr>
          <w:rFonts w:hint="eastAsia" w:ascii="宋体" w:hAnsi="宋体"/>
        </w:rPr>
        <w:t>3．综合成（</w:t>
      </w:r>
      <w:r>
        <w:rPr>
          <w:rFonts w:hint="eastAsia"/>
          <w:szCs w:val="21"/>
        </w:rPr>
        <w:t>平时成绩</w:t>
      </w:r>
      <w:r>
        <w:rPr>
          <w:rFonts w:hint="eastAsia" w:ascii="宋体" w:hAnsi="宋体"/>
          <w:bCs/>
          <w:szCs w:val="21"/>
        </w:rPr>
        <w:t>×</w:t>
      </w:r>
      <w:r>
        <w:rPr>
          <w:rFonts w:hint="eastAsia"/>
          <w:szCs w:val="21"/>
        </w:rPr>
        <w:t>30%+课程论文</w:t>
      </w:r>
      <w:r>
        <w:rPr>
          <w:rFonts w:hint="eastAsia" w:ascii="宋体" w:hAnsi="宋体"/>
          <w:bCs/>
          <w:szCs w:val="21"/>
        </w:rPr>
        <w:t>×</w:t>
      </w:r>
      <w:r>
        <w:rPr>
          <w:rFonts w:hint="eastAsia"/>
          <w:szCs w:val="21"/>
        </w:rPr>
        <w:t>70％</w:t>
      </w:r>
      <w:r>
        <w:rPr>
          <w:rFonts w:hint="eastAsia" w:ascii="宋体" w:hAnsi="宋体"/>
        </w:rPr>
        <w:t>）</w:t>
      </w:r>
    </w:p>
    <w:p>
      <w:pPr>
        <w:widowControl/>
        <w:snapToGrid w:val="0"/>
        <w:spacing w:line="360" w:lineRule="auto"/>
        <w:jc w:val="left"/>
        <w:outlineLvl w:val="1"/>
        <w:rPr>
          <w:rFonts w:asciiTheme="majorEastAsia" w:hAnsiTheme="majorEastAsia" w:eastAsiaTheme="majorEastAsia" w:cstheme="majorEastAsia"/>
          <w:b/>
          <w:bCs/>
          <w:kern w:val="0"/>
          <w:szCs w:val="21"/>
        </w:rPr>
      </w:pPr>
      <w:bookmarkStart w:id="1523" w:name="_Toc138076525"/>
      <w:bookmarkStart w:id="1524" w:name="_Toc138068581"/>
      <w:bookmarkStart w:id="1525" w:name="_Toc138076820"/>
      <w:bookmarkStart w:id="1526" w:name="_Toc138070882"/>
      <w:bookmarkStart w:id="1527" w:name="_Toc24671"/>
      <w:bookmarkStart w:id="1528" w:name="_Toc138070611"/>
      <w:bookmarkStart w:id="1529" w:name="_Toc138076276"/>
      <w:bookmarkStart w:id="1530" w:name="_Toc138068980"/>
      <w:r>
        <w:rPr>
          <w:rFonts w:hint="eastAsia" w:asciiTheme="majorEastAsia" w:hAnsiTheme="majorEastAsia" w:eastAsiaTheme="majorEastAsia" w:cstheme="majorEastAsia"/>
          <w:b/>
          <w:bCs/>
          <w:kern w:val="0"/>
          <w:szCs w:val="21"/>
        </w:rPr>
        <w:t>六、考核结果分析反馈</w:t>
      </w:r>
      <w:bookmarkEnd w:id="1523"/>
      <w:bookmarkEnd w:id="1524"/>
      <w:bookmarkEnd w:id="1525"/>
      <w:bookmarkEnd w:id="1526"/>
      <w:bookmarkEnd w:id="1527"/>
      <w:bookmarkEnd w:id="1528"/>
      <w:bookmarkEnd w:id="1529"/>
      <w:bookmarkEnd w:id="1530"/>
    </w:p>
    <w:p>
      <w:pPr>
        <w:snapToGrid w:val="0"/>
        <w:spacing w:line="360" w:lineRule="auto"/>
        <w:ind w:firstLine="420" w:firstLineChars="200"/>
        <w:rPr>
          <w:rFonts w:hAnsi="宋体"/>
          <w:bCs/>
          <w:szCs w:val="21"/>
        </w:rPr>
      </w:pPr>
      <w:r>
        <w:rPr>
          <w:rFonts w:hint="eastAsia" w:hAnsi="宋体"/>
          <w:bCs/>
          <w:szCs w:val="21"/>
        </w:rPr>
        <w:t>1．平时考核可立即或下一次上课反馈给学生，课程论文存在的问题，线下或线上反馈给学生。</w:t>
      </w:r>
    </w:p>
    <w:p>
      <w:pPr>
        <w:snapToGrid w:val="0"/>
        <w:spacing w:line="360" w:lineRule="auto"/>
        <w:ind w:firstLine="420" w:firstLineChars="200"/>
      </w:pPr>
      <w:r>
        <w:rPr>
          <w:rFonts w:hint="eastAsia" w:hAnsi="宋体"/>
          <w:szCs w:val="21"/>
        </w:rPr>
        <w:t>2．</w:t>
      </w:r>
      <w:r>
        <w:rPr>
          <w:rFonts w:hint="eastAsia" w:hAnsi="宋体"/>
          <w:bCs/>
          <w:szCs w:val="21"/>
        </w:rPr>
        <w:t>在平时考核中发现的问题，针对具体问题，在下节课中改进教学方法、教学内容。期末考核中存在的问题，在下一学期中改进。</w:t>
      </w:r>
    </w:p>
    <w:p>
      <w:bookmarkStart w:id="1531" w:name="_Toc138076821"/>
      <w:bookmarkStart w:id="1532" w:name="_Toc138076277"/>
      <w:r>
        <w:br w:type="page"/>
      </w:r>
    </w:p>
    <w:p>
      <w:pPr>
        <w:pStyle w:val="21"/>
      </w:pPr>
      <w:bookmarkStart w:id="1533" w:name="_Toc31746"/>
      <w:r>
        <w:t>文献检索与科技论文写作</w:t>
      </w:r>
      <w:r>
        <w:rPr>
          <w:rFonts w:hint="eastAsia"/>
        </w:rPr>
        <w:t>考核大纲</w:t>
      </w:r>
      <w:bookmarkEnd w:id="1531"/>
      <w:bookmarkEnd w:id="1532"/>
      <w:bookmarkEnd w:id="1533"/>
    </w:p>
    <w:p>
      <w:pPr>
        <w:snapToGrid w:val="0"/>
        <w:spacing w:line="360" w:lineRule="auto"/>
        <w:jc w:val="center"/>
        <w:rPr>
          <w:iCs/>
          <w:sz w:val="24"/>
        </w:rPr>
      </w:pPr>
      <w:r>
        <w:rPr>
          <w:iCs/>
          <w:sz w:val="24"/>
        </w:rPr>
        <w:t>（</w:t>
      </w:r>
      <w:r>
        <w:rPr>
          <w:rFonts w:hint="eastAsia"/>
          <w:iCs/>
          <w:sz w:val="24"/>
        </w:rPr>
        <w:t>Literature Search and</w:t>
      </w:r>
      <w:r>
        <w:rPr>
          <w:iCs/>
          <w:sz w:val="24"/>
        </w:rPr>
        <w:t xml:space="preserve"> </w:t>
      </w:r>
      <w:r>
        <w:rPr>
          <w:rFonts w:hint="eastAsia"/>
          <w:iCs/>
          <w:sz w:val="24"/>
        </w:rPr>
        <w:t xml:space="preserve">Thesis </w:t>
      </w:r>
      <w:r>
        <w:rPr>
          <w:iCs/>
          <w:sz w:val="24"/>
        </w:rPr>
        <w:t>Writing）</w:t>
      </w:r>
      <w:r>
        <w:rPr>
          <w:rFonts w:hint="eastAsia"/>
          <w:iCs/>
          <w:sz w:val="24"/>
        </w:rPr>
        <w:t xml:space="preserve"> </w:t>
      </w:r>
    </w:p>
    <w:p>
      <w:pPr>
        <w:snapToGrid w:val="0"/>
        <w:spacing w:line="360" w:lineRule="auto"/>
        <w:jc w:val="center"/>
        <w:rPr>
          <w:iCs/>
          <w:sz w:val="24"/>
        </w:rPr>
      </w:pPr>
    </w:p>
    <w:p>
      <w:pPr>
        <w:snapToGrid w:val="0"/>
        <w:spacing w:line="360" w:lineRule="auto"/>
        <w:jc w:val="center"/>
        <w:rPr>
          <w:b/>
          <w:szCs w:val="21"/>
        </w:rPr>
      </w:pPr>
      <w:r>
        <w:rPr>
          <w:b/>
          <w:szCs w:val="21"/>
        </w:rPr>
        <w:t>课程基本信息</w:t>
      </w:r>
    </w:p>
    <w:tbl>
      <w:tblPr>
        <w:tblStyle w:val="22"/>
        <w:tblW w:w="8619" w:type="dxa"/>
        <w:tblInd w:w="0" w:type="dxa"/>
        <w:tblLayout w:type="fixed"/>
        <w:tblCellMar>
          <w:top w:w="0" w:type="dxa"/>
          <w:left w:w="108" w:type="dxa"/>
          <w:bottom w:w="0" w:type="dxa"/>
          <w:right w:w="108" w:type="dxa"/>
        </w:tblCellMar>
      </w:tblPr>
      <w:tblGrid>
        <w:gridCol w:w="3019"/>
        <w:gridCol w:w="2192"/>
        <w:gridCol w:w="3408"/>
      </w:tblGrid>
      <w:tr>
        <w:tblPrEx>
          <w:tblCellMar>
            <w:top w:w="0" w:type="dxa"/>
            <w:left w:w="108" w:type="dxa"/>
            <w:bottom w:w="0" w:type="dxa"/>
            <w:right w:w="108" w:type="dxa"/>
          </w:tblCellMar>
        </w:tblPrEx>
        <w:tc>
          <w:tcPr>
            <w:tcW w:w="3019" w:type="dxa"/>
          </w:tcPr>
          <w:p>
            <w:pPr>
              <w:spacing w:line="360" w:lineRule="auto"/>
              <w:rPr>
                <w:b/>
                <w:bCs/>
                <w:szCs w:val="21"/>
              </w:rPr>
            </w:pPr>
            <w:r>
              <w:rPr>
                <w:rFonts w:hAnsi="宋体"/>
                <w:b/>
                <w:bCs/>
                <w:szCs w:val="21"/>
              </w:rPr>
              <w:t>课程编号：</w:t>
            </w:r>
            <w:r>
              <w:rPr>
                <w:b/>
                <w:bCs/>
                <w:szCs w:val="21"/>
              </w:rPr>
              <w:t>19011055</w:t>
            </w:r>
          </w:p>
        </w:tc>
        <w:tc>
          <w:tcPr>
            <w:tcW w:w="2192" w:type="dxa"/>
          </w:tcPr>
          <w:p>
            <w:pPr>
              <w:spacing w:line="360" w:lineRule="auto"/>
              <w:rPr>
                <w:b/>
                <w:bCs/>
                <w:szCs w:val="21"/>
              </w:rPr>
            </w:pPr>
            <w:r>
              <w:rPr>
                <w:rFonts w:hAnsi="宋体"/>
                <w:b/>
                <w:bCs/>
                <w:szCs w:val="21"/>
              </w:rPr>
              <w:t>课程学时：</w:t>
            </w:r>
            <w:r>
              <w:rPr>
                <w:b/>
                <w:bCs/>
                <w:szCs w:val="21"/>
              </w:rPr>
              <w:t>16</w:t>
            </w:r>
          </w:p>
        </w:tc>
        <w:tc>
          <w:tcPr>
            <w:tcW w:w="3408" w:type="dxa"/>
          </w:tcPr>
          <w:p>
            <w:pPr>
              <w:spacing w:line="360" w:lineRule="auto"/>
              <w:rPr>
                <w:b/>
                <w:bCs/>
                <w:szCs w:val="21"/>
              </w:rPr>
            </w:pPr>
            <w:r>
              <w:rPr>
                <w:rFonts w:hAnsi="宋体"/>
                <w:b/>
                <w:bCs/>
                <w:szCs w:val="21"/>
              </w:rPr>
              <w:t>课程学分：</w:t>
            </w:r>
            <w:r>
              <w:rPr>
                <w:b/>
                <w:bCs/>
                <w:szCs w:val="21"/>
              </w:rPr>
              <w:t>1</w:t>
            </w:r>
          </w:p>
        </w:tc>
      </w:tr>
      <w:tr>
        <w:tblPrEx>
          <w:tblCellMar>
            <w:top w:w="0" w:type="dxa"/>
            <w:left w:w="108" w:type="dxa"/>
            <w:bottom w:w="0" w:type="dxa"/>
            <w:right w:w="108" w:type="dxa"/>
          </w:tblCellMar>
        </w:tblPrEx>
        <w:tc>
          <w:tcPr>
            <w:tcW w:w="3019" w:type="dxa"/>
          </w:tcPr>
          <w:p>
            <w:pPr>
              <w:spacing w:line="360" w:lineRule="auto"/>
              <w:rPr>
                <w:b/>
                <w:bCs/>
                <w:szCs w:val="21"/>
              </w:rPr>
            </w:pPr>
            <w:r>
              <w:rPr>
                <w:rFonts w:hAnsi="宋体"/>
                <w:b/>
                <w:bCs/>
                <w:szCs w:val="21"/>
              </w:rPr>
              <w:t>主撰人：</w:t>
            </w:r>
            <w:r>
              <w:rPr>
                <w:rFonts w:hint="eastAsia" w:hAnsi="宋体"/>
                <w:b/>
                <w:bCs/>
                <w:szCs w:val="21"/>
              </w:rPr>
              <w:t>豆峻岭，高艳娜</w:t>
            </w:r>
          </w:p>
        </w:tc>
        <w:tc>
          <w:tcPr>
            <w:tcW w:w="2192" w:type="dxa"/>
          </w:tcPr>
          <w:p>
            <w:pPr>
              <w:spacing w:line="360" w:lineRule="auto"/>
              <w:rPr>
                <w:b/>
                <w:bCs/>
                <w:szCs w:val="21"/>
              </w:rPr>
            </w:pPr>
            <w:r>
              <w:rPr>
                <w:rFonts w:hAnsi="宋体"/>
                <w:b/>
                <w:bCs/>
                <w:szCs w:val="21"/>
              </w:rPr>
              <w:t>审核人：</w:t>
            </w:r>
            <w:r>
              <w:rPr>
                <w:rFonts w:hint="eastAsia" w:hAnsi="宋体"/>
                <w:b/>
                <w:bCs/>
                <w:szCs w:val="21"/>
              </w:rPr>
              <w:t>薛东齐</w:t>
            </w:r>
          </w:p>
        </w:tc>
        <w:tc>
          <w:tcPr>
            <w:tcW w:w="3408" w:type="dxa"/>
          </w:tcPr>
          <w:p>
            <w:pPr>
              <w:spacing w:line="360" w:lineRule="auto"/>
              <w:rPr>
                <w:rFonts w:hint="eastAsia" w:eastAsia="宋体"/>
                <w:b/>
                <w:bCs/>
                <w:szCs w:val="21"/>
                <w:lang w:eastAsia="zh-CN"/>
              </w:rPr>
            </w:pPr>
            <w:r>
              <w:rPr>
                <w:rFonts w:hAnsi="宋体"/>
                <w:b/>
                <w:bCs/>
                <w:szCs w:val="21"/>
              </w:rPr>
              <w:t>大纲制定（修订）日期：</w:t>
            </w:r>
            <w:r>
              <w:rPr>
                <w:rFonts w:hint="eastAsia"/>
                <w:b/>
                <w:bCs/>
                <w:szCs w:val="21"/>
                <w:lang w:eastAsia="zh-CN"/>
              </w:rPr>
              <w:t>2023.05</w:t>
            </w:r>
          </w:p>
        </w:tc>
      </w:tr>
    </w:tbl>
    <w:p>
      <w:pPr>
        <w:spacing w:before="156" w:beforeLines="50" w:line="360" w:lineRule="auto"/>
        <w:rPr>
          <w:b/>
          <w:bCs/>
          <w:kern w:val="0"/>
          <w:szCs w:val="21"/>
        </w:rPr>
      </w:pPr>
      <w:r>
        <w:rPr>
          <w:rFonts w:hint="eastAsia"/>
          <w:b/>
          <w:bCs/>
          <w:kern w:val="0"/>
          <w:szCs w:val="21"/>
        </w:rPr>
        <w:t>一、</w:t>
      </w:r>
      <w:r>
        <w:rPr>
          <w:b/>
          <w:bCs/>
          <w:kern w:val="0"/>
          <w:szCs w:val="21"/>
        </w:rPr>
        <w:t>课程的性质和地位</w:t>
      </w:r>
    </w:p>
    <w:p>
      <w:pPr>
        <w:spacing w:line="360" w:lineRule="auto"/>
        <w:ind w:firstLine="420"/>
        <w:rPr>
          <w:bCs/>
          <w:kern w:val="0"/>
          <w:szCs w:val="21"/>
        </w:rPr>
      </w:pPr>
      <w:r>
        <w:rPr>
          <w:rFonts w:hint="eastAsia"/>
          <w:bCs/>
          <w:kern w:val="0"/>
          <w:szCs w:val="21"/>
        </w:rPr>
        <w:t>课程性质：本课程是园艺学及其它与园艺相近专业本科生的一门专业选修课，授课对象主要是开展毕业论文（或毕业设计）的大四学生，其目的就是使大学生获得一定的文献信息收集、整理、加工与利用能力，以利其课程论文或毕业论文的顺利完成；或通过本课程的系统学习，全面掌握科技文献检索和科技论文写作的方法，为将来走上工作岗位或进一步的深造打下一个坚实的基础。</w:t>
      </w:r>
    </w:p>
    <w:p>
      <w:pPr>
        <w:spacing w:line="360" w:lineRule="auto"/>
        <w:ind w:firstLine="420"/>
        <w:rPr>
          <w:bCs/>
          <w:kern w:val="0"/>
          <w:szCs w:val="21"/>
        </w:rPr>
      </w:pPr>
      <w:r>
        <w:rPr>
          <w:bCs/>
          <w:kern w:val="0"/>
          <w:szCs w:val="21"/>
        </w:rPr>
        <w:t>主要任务：培养学生的信息素质、为提高学生的文献信息检索能力服务；阐明科学研究的基本原理和技术，介绍科学研究的基本规范。通过本课程的教学，使学生了解文献检索的基本知识和检索技术，掌握各种检索工具的使用方法和检索技巧，培养学生运用学术资料的能力、把握科研选题的能力、科研资料分析的能力、试验结果与调查资料的研判能力、撰写科技文章的能力和开展科研创新的基本能力。</w:t>
      </w:r>
    </w:p>
    <w:p>
      <w:pPr>
        <w:widowControl/>
        <w:adjustRightInd w:val="0"/>
        <w:snapToGrid w:val="0"/>
        <w:spacing w:before="156" w:beforeLines="50" w:line="360" w:lineRule="auto"/>
        <w:jc w:val="left"/>
        <w:rPr>
          <w:b/>
          <w:bCs/>
          <w:kern w:val="0"/>
          <w:szCs w:val="21"/>
        </w:rPr>
      </w:pPr>
      <w:r>
        <w:rPr>
          <w:b/>
          <w:bCs/>
          <w:kern w:val="0"/>
          <w:szCs w:val="21"/>
        </w:rPr>
        <w:t>二、理论教学部分的考核目标</w:t>
      </w:r>
    </w:p>
    <w:p>
      <w:pPr>
        <w:spacing w:line="360" w:lineRule="auto"/>
        <w:ind w:firstLine="420" w:firstLineChars="200"/>
        <w:rPr>
          <w:szCs w:val="21"/>
        </w:rPr>
      </w:pPr>
      <w:r>
        <w:rPr>
          <w:szCs w:val="21"/>
        </w:rPr>
        <w:t>通过本课程学习，使同学基本掌握常见</w:t>
      </w:r>
      <w:r>
        <w:rPr>
          <w:bCs/>
          <w:kern w:val="0"/>
          <w:szCs w:val="21"/>
        </w:rPr>
        <w:t>文献检索的基本知识和检索技术，</w:t>
      </w:r>
      <w:r>
        <w:rPr>
          <w:szCs w:val="21"/>
        </w:rPr>
        <w:t>科技论文的类型、特点、查阅方式及撰写要求，并能较自如的学出及阅读国内外最新科技文献，从而达到吸收最新科技信息的目标。</w:t>
      </w:r>
    </w:p>
    <w:p>
      <w:pPr>
        <w:spacing w:line="360" w:lineRule="auto"/>
        <w:jc w:val="center"/>
        <w:rPr>
          <w:rFonts w:hAnsi="宋体"/>
          <w:b/>
          <w:bCs/>
          <w:kern w:val="0"/>
          <w:szCs w:val="21"/>
        </w:rPr>
      </w:pPr>
      <w:r>
        <w:rPr>
          <w:rFonts w:hint="eastAsia" w:hAnsi="宋体"/>
          <w:b/>
          <w:bCs/>
          <w:kern w:val="0"/>
          <w:szCs w:val="21"/>
        </w:rPr>
        <w:t>第一章  文献检索信息概论</w:t>
      </w:r>
    </w:p>
    <w:p>
      <w:pPr>
        <w:spacing w:line="360" w:lineRule="auto"/>
        <w:jc w:val="left"/>
        <w:rPr>
          <w:b/>
          <w:szCs w:val="21"/>
        </w:rPr>
      </w:pPr>
      <w:r>
        <w:rPr>
          <w:rFonts w:hint="eastAsia"/>
          <w:b/>
          <w:szCs w:val="21"/>
        </w:rPr>
        <w:t>（一）</w:t>
      </w:r>
      <w:r>
        <w:rPr>
          <w:b/>
          <w:szCs w:val="21"/>
        </w:rPr>
        <w:t>学习目</w:t>
      </w:r>
      <w:r>
        <w:rPr>
          <w:rFonts w:hint="eastAsia"/>
          <w:b/>
          <w:szCs w:val="21"/>
        </w:rPr>
        <w:t>标</w:t>
      </w:r>
    </w:p>
    <w:p>
      <w:pPr>
        <w:spacing w:line="360" w:lineRule="auto"/>
        <w:ind w:firstLine="422" w:firstLineChars="200"/>
        <w:rPr>
          <w:szCs w:val="21"/>
        </w:rPr>
      </w:pPr>
      <w:r>
        <w:rPr>
          <w:b/>
          <w:szCs w:val="21"/>
        </w:rPr>
        <w:t>1</w:t>
      </w:r>
      <w:r>
        <w:rPr>
          <w:rFonts w:hint="eastAsia" w:ascii="宋体" w:hAnsi="宋体"/>
          <w:b/>
          <w:szCs w:val="21"/>
        </w:rPr>
        <w:t>.</w:t>
      </w:r>
      <w:r>
        <w:rPr>
          <w:b/>
          <w:szCs w:val="21"/>
        </w:rPr>
        <w:t>一般了解</w:t>
      </w:r>
      <w:r>
        <w:rPr>
          <w:rFonts w:hint="eastAsia"/>
          <w:szCs w:val="21"/>
        </w:rPr>
        <w:t>：</w:t>
      </w:r>
    </w:p>
    <w:p>
      <w:pPr>
        <w:spacing w:line="360" w:lineRule="auto"/>
        <w:ind w:firstLine="420" w:firstLineChars="200"/>
        <w:rPr>
          <w:szCs w:val="21"/>
        </w:rPr>
      </w:pPr>
      <w:r>
        <w:rPr>
          <w:szCs w:val="21"/>
        </w:rPr>
        <w:t>（1）了解理解信息资源类型及相关基础知识和信息检索概念及信息检原理；</w:t>
      </w:r>
    </w:p>
    <w:p>
      <w:pPr>
        <w:spacing w:line="360" w:lineRule="auto"/>
        <w:ind w:firstLine="420" w:firstLineChars="200"/>
        <w:rPr>
          <w:szCs w:val="21"/>
        </w:rPr>
      </w:pPr>
      <w:r>
        <w:rPr>
          <w:szCs w:val="21"/>
        </w:rPr>
        <w:t>（2）科技研究方法与写作的发展历史与学习的目的意义，科学研究方法的特性和功能</w:t>
      </w:r>
      <w:r>
        <w:rPr>
          <w:rFonts w:hint="eastAsia"/>
          <w:szCs w:val="21"/>
        </w:rPr>
        <w:t>。</w:t>
      </w:r>
    </w:p>
    <w:p>
      <w:pPr>
        <w:spacing w:line="360" w:lineRule="auto"/>
        <w:ind w:firstLine="422" w:firstLineChars="200"/>
        <w:rPr>
          <w:szCs w:val="21"/>
        </w:rPr>
      </w:pPr>
      <w:r>
        <w:rPr>
          <w:b/>
          <w:szCs w:val="21"/>
        </w:rPr>
        <w:t>2</w:t>
      </w:r>
      <w:r>
        <w:rPr>
          <w:rFonts w:hint="eastAsia" w:ascii="宋体" w:hAnsi="宋体"/>
          <w:b/>
          <w:szCs w:val="21"/>
        </w:rPr>
        <w:t>.</w:t>
      </w:r>
      <w:r>
        <w:rPr>
          <w:b/>
          <w:szCs w:val="21"/>
        </w:rPr>
        <w:t>一般掌握</w:t>
      </w:r>
      <w:r>
        <w:rPr>
          <w:rFonts w:hint="eastAsia"/>
          <w:szCs w:val="21"/>
        </w:rPr>
        <w:t>：</w:t>
      </w:r>
    </w:p>
    <w:p>
      <w:pPr>
        <w:spacing w:line="360" w:lineRule="auto"/>
        <w:ind w:firstLine="420" w:firstLineChars="200"/>
        <w:rPr>
          <w:szCs w:val="21"/>
        </w:rPr>
      </w:pPr>
      <w:r>
        <w:rPr>
          <w:szCs w:val="21"/>
        </w:rPr>
        <w:t>（1）网络搜索引擎的检索技巧；</w:t>
      </w:r>
    </w:p>
    <w:p>
      <w:pPr>
        <w:spacing w:line="360" w:lineRule="auto"/>
        <w:ind w:firstLine="420" w:firstLineChars="200"/>
        <w:rPr>
          <w:szCs w:val="21"/>
        </w:rPr>
      </w:pPr>
      <w:r>
        <w:rPr>
          <w:szCs w:val="21"/>
        </w:rPr>
        <w:t>（2）科技研究方法的概念</w:t>
      </w:r>
      <w:r>
        <w:rPr>
          <w:rFonts w:hint="eastAsia"/>
          <w:szCs w:val="21"/>
        </w:rPr>
        <w:t>。</w:t>
      </w:r>
    </w:p>
    <w:p>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pPr>
        <w:spacing w:line="360" w:lineRule="auto"/>
        <w:ind w:firstLine="420" w:firstLineChars="200"/>
        <w:rPr>
          <w:szCs w:val="21"/>
        </w:rPr>
      </w:pPr>
      <w:r>
        <w:rPr>
          <w:rFonts w:hint="eastAsia"/>
          <w:szCs w:val="21"/>
        </w:rPr>
        <w:t>1</w:t>
      </w:r>
      <w:r>
        <w:rPr>
          <w:rFonts w:hint="eastAsia" w:ascii="宋体" w:hAnsi="宋体"/>
          <w:b/>
          <w:szCs w:val="21"/>
        </w:rPr>
        <w:t>.</w:t>
      </w:r>
      <w:r>
        <w:rPr>
          <w:szCs w:val="21"/>
        </w:rPr>
        <w:t>理解信息知识、文献、情报的概念和明确资源及其类型</w:t>
      </w:r>
      <w:r>
        <w:rPr>
          <w:rFonts w:hint="eastAsia"/>
          <w:szCs w:val="21"/>
        </w:rPr>
        <w:t>。</w:t>
      </w:r>
    </w:p>
    <w:p>
      <w:pPr>
        <w:spacing w:line="360" w:lineRule="auto"/>
        <w:ind w:firstLine="420" w:firstLineChars="200"/>
        <w:rPr>
          <w:szCs w:val="21"/>
        </w:rPr>
      </w:pPr>
      <w:r>
        <w:rPr>
          <w:rFonts w:hint="eastAsia"/>
          <w:szCs w:val="21"/>
        </w:rPr>
        <w:t>2</w:t>
      </w:r>
      <w:r>
        <w:rPr>
          <w:rFonts w:hint="eastAsia" w:ascii="宋体" w:hAnsi="宋体"/>
          <w:b/>
          <w:szCs w:val="21"/>
        </w:rPr>
        <w:t>.</w:t>
      </w:r>
      <w:r>
        <w:rPr>
          <w:szCs w:val="21"/>
        </w:rPr>
        <w:t>论文的要素与功能；科技写作人称的选择与运用</w:t>
      </w:r>
      <w:r>
        <w:rPr>
          <w:rFonts w:hint="eastAsia"/>
          <w:szCs w:val="21"/>
        </w:rPr>
        <w:t>。</w:t>
      </w:r>
    </w:p>
    <w:p>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pPr>
        <w:spacing w:line="360" w:lineRule="auto"/>
        <w:ind w:firstLine="422" w:firstLineChars="200"/>
        <w:rPr>
          <w:szCs w:val="21"/>
        </w:rPr>
      </w:pPr>
      <w:r>
        <w:rPr>
          <w:b/>
          <w:szCs w:val="21"/>
        </w:rPr>
        <w:t>1</w:t>
      </w:r>
      <w:r>
        <w:rPr>
          <w:rFonts w:hint="eastAsia" w:ascii="宋体" w:hAnsi="宋体"/>
          <w:b/>
          <w:szCs w:val="21"/>
        </w:rPr>
        <w:t>.</w:t>
      </w:r>
      <w:r>
        <w:rPr>
          <w:b/>
          <w:szCs w:val="21"/>
        </w:rPr>
        <w:t>识记</w:t>
      </w:r>
      <w:r>
        <w:rPr>
          <w:rFonts w:hint="eastAsia"/>
          <w:szCs w:val="21"/>
        </w:rPr>
        <w:t>：</w:t>
      </w:r>
      <w:r>
        <w:rPr>
          <w:szCs w:val="21"/>
        </w:rPr>
        <w:t>文献、情报的概念</w:t>
      </w:r>
      <w:r>
        <w:rPr>
          <w:rFonts w:hint="eastAsia"/>
          <w:szCs w:val="21"/>
        </w:rPr>
        <w:t>。</w:t>
      </w:r>
    </w:p>
    <w:p>
      <w:pPr>
        <w:spacing w:line="360" w:lineRule="auto"/>
        <w:ind w:firstLine="422" w:firstLineChars="200"/>
        <w:rPr>
          <w:szCs w:val="21"/>
        </w:rPr>
      </w:pPr>
      <w:r>
        <w:rPr>
          <w:b/>
          <w:szCs w:val="21"/>
        </w:rPr>
        <w:t>2</w:t>
      </w:r>
      <w:r>
        <w:rPr>
          <w:rFonts w:hint="eastAsia" w:ascii="宋体" w:hAnsi="宋体"/>
          <w:b/>
          <w:szCs w:val="21"/>
        </w:rPr>
        <w:t>.</w:t>
      </w:r>
      <w:r>
        <w:rPr>
          <w:b/>
          <w:szCs w:val="21"/>
        </w:rPr>
        <w:t>领会</w:t>
      </w:r>
      <w:r>
        <w:rPr>
          <w:rFonts w:hint="eastAsia"/>
          <w:szCs w:val="21"/>
        </w:rPr>
        <w:t>：</w:t>
      </w:r>
      <w:r>
        <w:rPr>
          <w:szCs w:val="21"/>
        </w:rPr>
        <w:t>科技写作的作用</w:t>
      </w:r>
      <w:r>
        <w:rPr>
          <w:rFonts w:hint="eastAsia"/>
          <w:szCs w:val="21"/>
        </w:rPr>
        <w:t>。</w:t>
      </w:r>
    </w:p>
    <w:p>
      <w:pPr>
        <w:spacing w:line="360" w:lineRule="auto"/>
        <w:ind w:firstLine="422" w:firstLineChars="200"/>
        <w:rPr>
          <w:szCs w:val="21"/>
        </w:rPr>
      </w:pPr>
      <w:r>
        <w:rPr>
          <w:b/>
          <w:szCs w:val="21"/>
        </w:rPr>
        <w:t>3</w:t>
      </w:r>
      <w:r>
        <w:rPr>
          <w:rFonts w:hint="eastAsia" w:ascii="宋体" w:hAnsi="宋体"/>
          <w:b/>
          <w:szCs w:val="21"/>
        </w:rPr>
        <w:t>.</w:t>
      </w:r>
      <w:r>
        <w:rPr>
          <w:b/>
          <w:szCs w:val="21"/>
        </w:rPr>
        <w:t>综合</w:t>
      </w:r>
      <w:r>
        <w:rPr>
          <w:szCs w:val="21"/>
        </w:rPr>
        <w:t>：（1）掌握网络搜索引擎的检索技巧；（2）科学技术研究经历哪些发展阶段？各有何特点？（3）当代大学生如何提高科技写作能力？</w:t>
      </w:r>
    </w:p>
    <w:p>
      <w:pPr>
        <w:widowControl/>
        <w:snapToGrid w:val="0"/>
        <w:spacing w:before="156" w:beforeLines="50" w:line="360" w:lineRule="auto"/>
        <w:ind w:right="23"/>
        <w:jc w:val="center"/>
        <w:rPr>
          <w:kern w:val="0"/>
          <w:szCs w:val="21"/>
        </w:rPr>
      </w:pPr>
      <w:r>
        <w:rPr>
          <w:rFonts w:hAnsi="宋体"/>
          <w:b/>
          <w:bCs/>
          <w:kern w:val="0"/>
          <w:szCs w:val="21"/>
        </w:rPr>
        <w:t>第</w:t>
      </w:r>
      <w:r>
        <w:rPr>
          <w:rFonts w:hint="eastAsia" w:hAnsi="宋体"/>
          <w:b/>
          <w:bCs/>
          <w:kern w:val="0"/>
          <w:szCs w:val="21"/>
        </w:rPr>
        <w:t>二</w:t>
      </w:r>
      <w:r>
        <w:rPr>
          <w:rFonts w:hAnsi="宋体"/>
          <w:b/>
          <w:bCs/>
          <w:kern w:val="0"/>
          <w:szCs w:val="21"/>
        </w:rPr>
        <w:t>章</w:t>
      </w:r>
      <w:r>
        <w:rPr>
          <w:rFonts w:hint="eastAsia"/>
          <w:b/>
          <w:bCs/>
          <w:kern w:val="0"/>
          <w:szCs w:val="21"/>
        </w:rPr>
        <w:t xml:space="preserve">  </w:t>
      </w:r>
      <w:r>
        <w:rPr>
          <w:rFonts w:hAnsi="宋体"/>
          <w:b/>
          <w:bCs/>
          <w:kern w:val="0"/>
          <w:szCs w:val="21"/>
        </w:rPr>
        <w:t>信息资源及信息检索原理</w:t>
      </w:r>
    </w:p>
    <w:p>
      <w:pPr>
        <w:spacing w:line="360" w:lineRule="auto"/>
        <w:jc w:val="left"/>
        <w:rPr>
          <w:b/>
          <w:szCs w:val="21"/>
        </w:rPr>
      </w:pPr>
      <w:r>
        <w:rPr>
          <w:rFonts w:hint="eastAsia"/>
          <w:b/>
          <w:szCs w:val="21"/>
        </w:rPr>
        <w:t>（一）</w:t>
      </w:r>
      <w:r>
        <w:rPr>
          <w:b/>
          <w:szCs w:val="21"/>
        </w:rPr>
        <w:t>学习目</w:t>
      </w:r>
      <w:r>
        <w:rPr>
          <w:rFonts w:hint="eastAsia"/>
          <w:b/>
          <w:szCs w:val="21"/>
        </w:rPr>
        <w:t>标</w:t>
      </w:r>
    </w:p>
    <w:p>
      <w:pPr>
        <w:spacing w:line="360" w:lineRule="auto"/>
        <w:ind w:firstLine="422" w:firstLineChars="200"/>
        <w:rPr>
          <w:b/>
          <w:szCs w:val="21"/>
        </w:rPr>
      </w:pPr>
      <w:r>
        <w:rPr>
          <w:b/>
          <w:szCs w:val="21"/>
        </w:rPr>
        <w:t>1</w:t>
      </w:r>
      <w:r>
        <w:rPr>
          <w:rFonts w:hint="eastAsia" w:ascii="宋体" w:hAnsi="宋体"/>
          <w:b/>
          <w:szCs w:val="21"/>
        </w:rPr>
        <w:t>.</w:t>
      </w:r>
      <w:r>
        <w:rPr>
          <w:b/>
          <w:szCs w:val="21"/>
        </w:rPr>
        <w:t>一般了解:</w:t>
      </w:r>
    </w:p>
    <w:p>
      <w:pPr>
        <w:spacing w:line="360" w:lineRule="auto"/>
        <w:ind w:firstLine="420" w:firstLineChars="200"/>
        <w:rPr>
          <w:szCs w:val="21"/>
        </w:rPr>
      </w:pPr>
      <w:r>
        <w:rPr>
          <w:szCs w:val="21"/>
        </w:rPr>
        <w:t>（1）理解信息知识、文献、情报的概念和明确资源及其类型；</w:t>
      </w:r>
    </w:p>
    <w:p>
      <w:pPr>
        <w:spacing w:line="360" w:lineRule="auto"/>
        <w:ind w:firstLine="420" w:firstLineChars="200"/>
        <w:rPr>
          <w:szCs w:val="21"/>
        </w:rPr>
      </w:pPr>
      <w:r>
        <w:rPr>
          <w:szCs w:val="21"/>
        </w:rPr>
        <w:t>（2）了解积累资料的作用、科技文献的种类和资料搜集的途径</w:t>
      </w:r>
      <w:r>
        <w:rPr>
          <w:rFonts w:hint="eastAsia"/>
          <w:szCs w:val="21"/>
        </w:rPr>
        <w:t>。</w:t>
      </w:r>
    </w:p>
    <w:p>
      <w:pPr>
        <w:spacing w:line="360" w:lineRule="auto"/>
        <w:ind w:firstLine="422" w:firstLineChars="200"/>
        <w:rPr>
          <w:szCs w:val="21"/>
        </w:rPr>
      </w:pPr>
      <w:r>
        <w:rPr>
          <w:b/>
          <w:szCs w:val="21"/>
        </w:rPr>
        <w:t>2</w:t>
      </w:r>
      <w:r>
        <w:rPr>
          <w:rFonts w:hint="eastAsia" w:ascii="宋体" w:hAnsi="宋体"/>
          <w:b/>
          <w:szCs w:val="21"/>
        </w:rPr>
        <w:t>.</w:t>
      </w:r>
      <w:r>
        <w:rPr>
          <w:b/>
          <w:szCs w:val="21"/>
        </w:rPr>
        <w:t>一般掌握</w:t>
      </w:r>
      <w:r>
        <w:rPr>
          <w:szCs w:val="21"/>
        </w:rPr>
        <w:t>：</w:t>
      </w:r>
    </w:p>
    <w:p>
      <w:pPr>
        <w:spacing w:line="360" w:lineRule="auto"/>
        <w:ind w:firstLine="420" w:firstLineChars="200"/>
        <w:rPr>
          <w:szCs w:val="21"/>
        </w:rPr>
      </w:pPr>
      <w:r>
        <w:rPr>
          <w:szCs w:val="21"/>
        </w:rPr>
        <w:t>不同文献出版形式的信息资源多种类型；信息与知识、文献、情报的关系。科技综述的概念与特点、作用与意义；科技综述写作方法。</w:t>
      </w:r>
    </w:p>
    <w:p>
      <w:pPr>
        <w:spacing w:line="360" w:lineRule="auto"/>
        <w:ind w:firstLine="422" w:firstLineChars="200"/>
        <w:rPr>
          <w:szCs w:val="21"/>
        </w:rPr>
      </w:pPr>
      <w:r>
        <w:rPr>
          <w:b/>
          <w:szCs w:val="21"/>
        </w:rPr>
        <w:t>3</w:t>
      </w:r>
      <w:r>
        <w:rPr>
          <w:rFonts w:hint="eastAsia" w:ascii="宋体" w:hAnsi="宋体"/>
          <w:b/>
          <w:szCs w:val="21"/>
        </w:rPr>
        <w:t>.</w:t>
      </w:r>
      <w:r>
        <w:rPr>
          <w:rFonts w:hint="eastAsia"/>
          <w:b/>
          <w:szCs w:val="21"/>
        </w:rPr>
        <w:t>熟练掌握</w:t>
      </w:r>
      <w:r>
        <w:rPr>
          <w:szCs w:val="21"/>
        </w:rPr>
        <w:t>：</w:t>
      </w:r>
    </w:p>
    <w:p>
      <w:pPr>
        <w:spacing w:line="360" w:lineRule="auto"/>
        <w:ind w:firstLine="420" w:firstLineChars="200"/>
        <w:rPr>
          <w:szCs w:val="21"/>
        </w:rPr>
      </w:pPr>
      <w:r>
        <w:rPr>
          <w:szCs w:val="21"/>
        </w:rPr>
        <w:t>学会使用</w:t>
      </w:r>
      <w:r>
        <w:rPr>
          <w:rFonts w:hint="eastAsia"/>
          <w:szCs w:val="21"/>
        </w:rPr>
        <w:t>中国知网</w:t>
      </w:r>
      <w:r>
        <w:rPr>
          <w:szCs w:val="21"/>
        </w:rPr>
        <w:t>数据资源系统的单库检索和跨库检索，能根据检索要求正确选择多个或单个数据库进行检索。</w:t>
      </w:r>
    </w:p>
    <w:p>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pPr>
        <w:snapToGrid w:val="0"/>
        <w:spacing w:line="360" w:lineRule="auto"/>
        <w:ind w:firstLine="420" w:firstLineChars="200"/>
        <w:rPr>
          <w:b/>
          <w:szCs w:val="21"/>
        </w:rPr>
      </w:pPr>
      <w:r>
        <w:rPr>
          <w:szCs w:val="21"/>
        </w:rPr>
        <w:t>搜索引擎，科技文献分类，综述，文献资料检索</w:t>
      </w:r>
      <w:r>
        <w:rPr>
          <w:rFonts w:hint="eastAsia"/>
          <w:szCs w:val="21"/>
        </w:rPr>
        <w:t>。</w:t>
      </w:r>
    </w:p>
    <w:p>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pPr>
        <w:snapToGrid w:val="0"/>
        <w:spacing w:line="360" w:lineRule="auto"/>
        <w:ind w:firstLine="422" w:firstLineChars="200"/>
        <w:rPr>
          <w:b/>
          <w:szCs w:val="21"/>
        </w:rPr>
      </w:pPr>
      <w:r>
        <w:rPr>
          <w:b/>
          <w:szCs w:val="21"/>
        </w:rPr>
        <w:t>1</w:t>
      </w:r>
      <w:r>
        <w:rPr>
          <w:rFonts w:hint="eastAsia" w:ascii="宋体" w:hAnsi="宋体"/>
          <w:b/>
          <w:szCs w:val="21"/>
        </w:rPr>
        <w:t>.</w:t>
      </w:r>
      <w:r>
        <w:rPr>
          <w:b/>
          <w:szCs w:val="21"/>
        </w:rPr>
        <w:t>识记</w:t>
      </w:r>
      <w:r>
        <w:rPr>
          <w:szCs w:val="21"/>
        </w:rPr>
        <w:t>：基本概念：信息资源多种类型</w:t>
      </w:r>
      <w:r>
        <w:rPr>
          <w:rFonts w:hint="eastAsia"/>
          <w:szCs w:val="21"/>
        </w:rPr>
        <w:t>。</w:t>
      </w:r>
      <w:r>
        <w:rPr>
          <w:szCs w:val="21"/>
        </w:rPr>
        <w:t xml:space="preserve"> </w:t>
      </w:r>
    </w:p>
    <w:p>
      <w:pPr>
        <w:snapToGrid w:val="0"/>
        <w:spacing w:line="360" w:lineRule="auto"/>
        <w:ind w:firstLine="422" w:firstLineChars="200"/>
        <w:rPr>
          <w:b/>
          <w:szCs w:val="21"/>
        </w:rPr>
      </w:pPr>
      <w:r>
        <w:rPr>
          <w:b/>
          <w:szCs w:val="21"/>
        </w:rPr>
        <w:t>2</w:t>
      </w:r>
      <w:r>
        <w:rPr>
          <w:rFonts w:hint="eastAsia" w:ascii="宋体" w:hAnsi="宋体"/>
          <w:b/>
          <w:szCs w:val="21"/>
        </w:rPr>
        <w:t>.</w:t>
      </w:r>
      <w:r>
        <w:rPr>
          <w:b/>
          <w:szCs w:val="21"/>
        </w:rPr>
        <w:t>领会</w:t>
      </w:r>
      <w:r>
        <w:rPr>
          <w:szCs w:val="21"/>
        </w:rPr>
        <w:t>：信息与知识、文献、情报的关系</w:t>
      </w:r>
      <w:r>
        <w:rPr>
          <w:rFonts w:hint="eastAsia"/>
          <w:szCs w:val="21"/>
        </w:rPr>
        <w:t>。</w:t>
      </w:r>
    </w:p>
    <w:p>
      <w:pPr>
        <w:snapToGrid w:val="0"/>
        <w:spacing w:line="360" w:lineRule="auto"/>
        <w:ind w:firstLine="422" w:firstLineChars="200"/>
        <w:rPr>
          <w:b/>
          <w:szCs w:val="21"/>
        </w:rPr>
      </w:pPr>
      <w:r>
        <w:rPr>
          <w:b/>
          <w:szCs w:val="21"/>
        </w:rPr>
        <w:t>3</w:t>
      </w:r>
      <w:r>
        <w:rPr>
          <w:rFonts w:hint="eastAsia" w:ascii="宋体" w:hAnsi="宋体"/>
          <w:b/>
          <w:szCs w:val="21"/>
        </w:rPr>
        <w:t>.</w:t>
      </w:r>
      <w:r>
        <w:rPr>
          <w:b/>
          <w:szCs w:val="21"/>
        </w:rPr>
        <w:t>应用</w:t>
      </w:r>
      <w:r>
        <w:rPr>
          <w:szCs w:val="21"/>
        </w:rPr>
        <w:t>：网络检索方法</w:t>
      </w:r>
      <w:r>
        <w:rPr>
          <w:rFonts w:hint="eastAsia"/>
          <w:szCs w:val="21"/>
        </w:rPr>
        <w:t>。</w:t>
      </w:r>
    </w:p>
    <w:p>
      <w:pPr>
        <w:snapToGrid w:val="0"/>
        <w:spacing w:line="360" w:lineRule="auto"/>
        <w:ind w:firstLine="422" w:firstLineChars="200"/>
        <w:rPr>
          <w:b/>
          <w:sz w:val="24"/>
        </w:rPr>
      </w:pPr>
      <w:r>
        <w:rPr>
          <w:b/>
          <w:szCs w:val="21"/>
        </w:rPr>
        <w:t>4</w:t>
      </w:r>
      <w:r>
        <w:rPr>
          <w:rFonts w:hint="eastAsia" w:ascii="宋体" w:hAnsi="宋体"/>
          <w:b/>
          <w:szCs w:val="21"/>
        </w:rPr>
        <w:t>.</w:t>
      </w:r>
      <w:r>
        <w:rPr>
          <w:b/>
          <w:szCs w:val="21"/>
        </w:rPr>
        <w:t>综合</w:t>
      </w:r>
      <w:r>
        <w:rPr>
          <w:szCs w:val="21"/>
        </w:rPr>
        <w:t>：网络检索方法，科技综述观点的提炼</w:t>
      </w:r>
      <w:r>
        <w:rPr>
          <w:rFonts w:hint="eastAsia"/>
          <w:szCs w:val="21"/>
        </w:rPr>
        <w:t>。</w:t>
      </w:r>
    </w:p>
    <w:p>
      <w:pPr>
        <w:spacing w:line="360" w:lineRule="auto"/>
        <w:jc w:val="center"/>
        <w:rPr>
          <w:b/>
          <w:kern w:val="0"/>
          <w:szCs w:val="21"/>
        </w:rPr>
      </w:pPr>
      <w:r>
        <w:rPr>
          <w:b/>
          <w:bCs/>
          <w:kern w:val="0"/>
          <w:szCs w:val="21"/>
        </w:rPr>
        <w:t>第</w:t>
      </w:r>
      <w:r>
        <w:rPr>
          <w:rFonts w:hint="eastAsia"/>
          <w:b/>
          <w:bCs/>
          <w:kern w:val="0"/>
          <w:szCs w:val="21"/>
        </w:rPr>
        <w:t>三</w:t>
      </w:r>
      <w:r>
        <w:rPr>
          <w:b/>
          <w:bCs/>
          <w:kern w:val="0"/>
          <w:szCs w:val="21"/>
        </w:rPr>
        <w:t>章  课题类型与科研选题</w:t>
      </w:r>
    </w:p>
    <w:p>
      <w:pPr>
        <w:spacing w:line="360" w:lineRule="auto"/>
        <w:jc w:val="left"/>
        <w:rPr>
          <w:b/>
          <w:szCs w:val="21"/>
        </w:rPr>
      </w:pPr>
      <w:r>
        <w:rPr>
          <w:rFonts w:hint="eastAsia"/>
          <w:b/>
          <w:szCs w:val="21"/>
        </w:rPr>
        <w:t>（一）</w:t>
      </w:r>
      <w:r>
        <w:rPr>
          <w:b/>
          <w:szCs w:val="21"/>
        </w:rPr>
        <w:t>学习目</w:t>
      </w:r>
      <w:r>
        <w:rPr>
          <w:rFonts w:hint="eastAsia"/>
          <w:b/>
          <w:szCs w:val="21"/>
        </w:rPr>
        <w:t>标</w:t>
      </w:r>
    </w:p>
    <w:p>
      <w:pPr>
        <w:widowControl/>
        <w:snapToGrid w:val="0"/>
        <w:spacing w:line="360" w:lineRule="auto"/>
        <w:ind w:firstLine="422" w:firstLineChars="200"/>
        <w:rPr>
          <w:b/>
          <w:szCs w:val="21"/>
        </w:rPr>
      </w:pPr>
      <w:r>
        <w:rPr>
          <w:b/>
          <w:szCs w:val="21"/>
        </w:rPr>
        <w:t>1</w:t>
      </w:r>
      <w:r>
        <w:rPr>
          <w:rFonts w:hint="eastAsia" w:ascii="宋体" w:hAnsi="宋体"/>
          <w:b/>
          <w:szCs w:val="21"/>
        </w:rPr>
        <w:t>.</w:t>
      </w:r>
      <w:r>
        <w:rPr>
          <w:b/>
          <w:szCs w:val="21"/>
        </w:rPr>
        <w:t>一般了解</w:t>
      </w:r>
      <w:r>
        <w:rPr>
          <w:rFonts w:hint="eastAsia"/>
          <w:szCs w:val="21"/>
        </w:rPr>
        <w:t>：</w:t>
      </w:r>
    </w:p>
    <w:p>
      <w:pPr>
        <w:widowControl/>
        <w:snapToGrid w:val="0"/>
        <w:spacing w:line="360" w:lineRule="auto"/>
        <w:ind w:firstLine="420" w:firstLineChars="200"/>
        <w:rPr>
          <w:b/>
          <w:kern w:val="0"/>
          <w:szCs w:val="21"/>
        </w:rPr>
      </w:pPr>
      <w:r>
        <w:rPr>
          <w:szCs w:val="21"/>
          <w:lang w:val="zh-CN"/>
        </w:rPr>
        <w:t>科学研究课题的类型、科研选题的基本概念与目的意义</w:t>
      </w:r>
      <w:r>
        <w:rPr>
          <w:rFonts w:hint="eastAsia"/>
          <w:szCs w:val="21"/>
          <w:lang w:val="zh-CN"/>
        </w:rPr>
        <w:t>。</w:t>
      </w:r>
    </w:p>
    <w:p>
      <w:pPr>
        <w:widowControl/>
        <w:snapToGrid w:val="0"/>
        <w:spacing w:line="360" w:lineRule="auto"/>
        <w:ind w:firstLine="422" w:firstLineChars="200"/>
        <w:rPr>
          <w:szCs w:val="21"/>
        </w:rPr>
      </w:pPr>
      <w:r>
        <w:rPr>
          <w:b/>
          <w:szCs w:val="21"/>
        </w:rPr>
        <w:t>2</w:t>
      </w:r>
      <w:r>
        <w:rPr>
          <w:rFonts w:hint="eastAsia" w:ascii="宋体" w:hAnsi="宋体"/>
          <w:b/>
          <w:szCs w:val="21"/>
        </w:rPr>
        <w:t>.</w:t>
      </w:r>
      <w:r>
        <w:rPr>
          <w:b/>
          <w:szCs w:val="21"/>
        </w:rPr>
        <w:t>一般掌握</w:t>
      </w:r>
      <w:r>
        <w:rPr>
          <w:szCs w:val="21"/>
        </w:rPr>
        <w:t>：</w:t>
      </w:r>
    </w:p>
    <w:p>
      <w:pPr>
        <w:widowControl/>
        <w:snapToGrid w:val="0"/>
        <w:spacing w:line="360" w:lineRule="auto"/>
        <w:ind w:firstLine="420" w:firstLineChars="200"/>
        <w:rPr>
          <w:b/>
        </w:rPr>
      </w:pPr>
      <w:r>
        <w:rPr>
          <w:szCs w:val="21"/>
        </w:rPr>
        <w:t>不同科研项目的类型及申报形式的多种类型；信息与知识、文献、情报的关系。科研选题的概念与特点、作用与意义；科研选题常规作法。</w:t>
      </w:r>
    </w:p>
    <w:p>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pPr>
        <w:snapToGrid w:val="0"/>
        <w:spacing w:line="360" w:lineRule="auto"/>
        <w:ind w:firstLine="420" w:firstLineChars="200"/>
        <w:rPr>
          <w:b/>
          <w:szCs w:val="21"/>
        </w:rPr>
      </w:pPr>
      <w:r>
        <w:rPr>
          <w:szCs w:val="21"/>
        </w:rPr>
        <w:t>科研项目分类，项目申报程序，选题的主要途径与注意事项，申报书撰写要点</w:t>
      </w:r>
      <w:r>
        <w:rPr>
          <w:rFonts w:hint="eastAsia"/>
          <w:szCs w:val="21"/>
        </w:rPr>
        <w:t>。</w:t>
      </w:r>
    </w:p>
    <w:p>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pPr>
        <w:spacing w:line="360" w:lineRule="auto"/>
        <w:ind w:firstLine="422" w:firstLineChars="200"/>
        <w:rPr>
          <w:szCs w:val="21"/>
        </w:rPr>
      </w:pPr>
      <w:r>
        <w:rPr>
          <w:b/>
          <w:szCs w:val="21"/>
        </w:rPr>
        <w:t>1</w:t>
      </w:r>
      <w:r>
        <w:rPr>
          <w:rFonts w:hint="eastAsia" w:ascii="宋体" w:hAnsi="宋体"/>
          <w:b/>
          <w:szCs w:val="21"/>
        </w:rPr>
        <w:t>.</w:t>
      </w:r>
      <w:r>
        <w:rPr>
          <w:b/>
          <w:szCs w:val="21"/>
        </w:rPr>
        <w:t>识记</w:t>
      </w:r>
      <w:r>
        <w:rPr>
          <w:szCs w:val="21"/>
        </w:rPr>
        <w:t>：基本概念：课题；论题；题目；选题。</w:t>
      </w:r>
    </w:p>
    <w:p>
      <w:pPr>
        <w:snapToGrid w:val="0"/>
        <w:spacing w:line="360" w:lineRule="auto"/>
        <w:ind w:firstLine="422" w:firstLineChars="200"/>
        <w:rPr>
          <w:b/>
          <w:szCs w:val="21"/>
        </w:rPr>
      </w:pPr>
      <w:r>
        <w:rPr>
          <w:b/>
          <w:szCs w:val="21"/>
        </w:rPr>
        <w:t>2</w:t>
      </w:r>
      <w:r>
        <w:rPr>
          <w:rFonts w:hint="eastAsia" w:ascii="宋体" w:hAnsi="宋体"/>
          <w:b/>
          <w:szCs w:val="21"/>
        </w:rPr>
        <w:t>.</w:t>
      </w:r>
      <w:r>
        <w:rPr>
          <w:b/>
          <w:szCs w:val="21"/>
        </w:rPr>
        <w:t>领会</w:t>
      </w:r>
      <w:r>
        <w:rPr>
          <w:szCs w:val="21"/>
        </w:rPr>
        <w:t>：不同科技项目获取的途径与方法</w:t>
      </w:r>
      <w:r>
        <w:rPr>
          <w:rFonts w:hint="eastAsia"/>
          <w:szCs w:val="21"/>
        </w:rPr>
        <w:t>。</w:t>
      </w:r>
    </w:p>
    <w:p>
      <w:pPr>
        <w:snapToGrid w:val="0"/>
        <w:spacing w:line="360" w:lineRule="auto"/>
        <w:ind w:firstLine="422" w:firstLineChars="200"/>
        <w:rPr>
          <w:b/>
          <w:szCs w:val="21"/>
        </w:rPr>
      </w:pPr>
      <w:r>
        <w:rPr>
          <w:b/>
          <w:szCs w:val="21"/>
        </w:rPr>
        <w:t>3</w:t>
      </w:r>
      <w:r>
        <w:rPr>
          <w:rFonts w:hint="eastAsia" w:ascii="宋体" w:hAnsi="宋体"/>
          <w:b/>
          <w:szCs w:val="21"/>
        </w:rPr>
        <w:t>.</w:t>
      </w:r>
      <w:r>
        <w:rPr>
          <w:b/>
          <w:szCs w:val="21"/>
        </w:rPr>
        <w:t>应用</w:t>
      </w:r>
      <w:r>
        <w:rPr>
          <w:szCs w:val="21"/>
        </w:rPr>
        <w:t>：进行正确科研选题的方法步骤</w:t>
      </w:r>
      <w:r>
        <w:rPr>
          <w:rFonts w:hint="eastAsia"/>
          <w:szCs w:val="21"/>
        </w:rPr>
        <w:t>。</w:t>
      </w:r>
    </w:p>
    <w:p>
      <w:pPr>
        <w:snapToGrid w:val="0"/>
        <w:spacing w:line="360" w:lineRule="auto"/>
        <w:ind w:firstLine="422" w:firstLineChars="200"/>
        <w:rPr>
          <w:szCs w:val="21"/>
        </w:rPr>
      </w:pPr>
      <w:r>
        <w:rPr>
          <w:b/>
          <w:szCs w:val="21"/>
        </w:rPr>
        <w:t>4</w:t>
      </w:r>
      <w:r>
        <w:rPr>
          <w:rFonts w:hint="eastAsia" w:ascii="宋体" w:hAnsi="宋体"/>
          <w:b/>
          <w:szCs w:val="21"/>
        </w:rPr>
        <w:t>.</w:t>
      </w:r>
      <w:r>
        <w:rPr>
          <w:b/>
          <w:szCs w:val="21"/>
        </w:rPr>
        <w:t>综合</w:t>
      </w:r>
      <w:r>
        <w:rPr>
          <w:szCs w:val="21"/>
        </w:rPr>
        <w:t>：科技项目申报书创新点的提炼及项目书撰写。</w:t>
      </w:r>
    </w:p>
    <w:p>
      <w:pPr>
        <w:spacing w:line="360" w:lineRule="auto"/>
        <w:jc w:val="center"/>
        <w:rPr>
          <w:b/>
          <w:bCs/>
          <w:kern w:val="0"/>
          <w:szCs w:val="21"/>
        </w:rPr>
      </w:pPr>
      <w:r>
        <w:rPr>
          <w:b/>
          <w:bCs/>
          <w:kern w:val="0"/>
          <w:szCs w:val="21"/>
        </w:rPr>
        <w:t>第</w:t>
      </w:r>
      <w:r>
        <w:rPr>
          <w:rFonts w:hint="eastAsia"/>
          <w:b/>
          <w:bCs/>
          <w:kern w:val="0"/>
          <w:szCs w:val="21"/>
        </w:rPr>
        <w:t>四</w:t>
      </w:r>
      <w:r>
        <w:rPr>
          <w:b/>
          <w:bCs/>
          <w:kern w:val="0"/>
          <w:szCs w:val="21"/>
        </w:rPr>
        <w:t>章  论文规范与写作技巧</w:t>
      </w:r>
    </w:p>
    <w:p>
      <w:pPr>
        <w:spacing w:line="360" w:lineRule="auto"/>
        <w:jc w:val="left"/>
        <w:rPr>
          <w:b/>
          <w:szCs w:val="21"/>
        </w:rPr>
      </w:pPr>
      <w:r>
        <w:rPr>
          <w:rFonts w:hint="eastAsia"/>
          <w:b/>
          <w:szCs w:val="21"/>
        </w:rPr>
        <w:t>（一）</w:t>
      </w:r>
      <w:r>
        <w:rPr>
          <w:b/>
          <w:szCs w:val="21"/>
        </w:rPr>
        <w:t>学习目</w:t>
      </w:r>
      <w:r>
        <w:rPr>
          <w:rFonts w:hint="eastAsia"/>
          <w:b/>
          <w:szCs w:val="21"/>
        </w:rPr>
        <w:t>标</w:t>
      </w:r>
    </w:p>
    <w:p>
      <w:pPr>
        <w:snapToGrid w:val="0"/>
        <w:spacing w:line="360" w:lineRule="auto"/>
        <w:ind w:firstLine="422" w:firstLineChars="200"/>
        <w:rPr>
          <w:szCs w:val="21"/>
        </w:rPr>
      </w:pPr>
      <w:r>
        <w:rPr>
          <w:b/>
          <w:szCs w:val="21"/>
        </w:rPr>
        <w:t>1</w:t>
      </w:r>
      <w:r>
        <w:rPr>
          <w:rFonts w:hint="eastAsia" w:ascii="宋体" w:hAnsi="宋体"/>
          <w:b/>
          <w:szCs w:val="21"/>
        </w:rPr>
        <w:t>.</w:t>
      </w:r>
      <w:r>
        <w:rPr>
          <w:b/>
          <w:szCs w:val="21"/>
        </w:rPr>
        <w:t>一般了解</w:t>
      </w:r>
      <w:r>
        <w:rPr>
          <w:szCs w:val="21"/>
        </w:rPr>
        <w:t>：</w:t>
      </w:r>
      <w:r>
        <w:rPr>
          <w:kern w:val="0"/>
          <w:szCs w:val="21"/>
          <w:lang w:val="zh-CN"/>
        </w:rPr>
        <w:t>技论文的基本要求与撰写步骤</w:t>
      </w:r>
      <w:r>
        <w:rPr>
          <w:rFonts w:hint="eastAsia"/>
          <w:kern w:val="0"/>
          <w:szCs w:val="21"/>
          <w:lang w:val="zh-CN"/>
        </w:rPr>
        <w:t>。</w:t>
      </w:r>
    </w:p>
    <w:p>
      <w:pPr>
        <w:snapToGrid w:val="0"/>
        <w:spacing w:line="360" w:lineRule="auto"/>
        <w:ind w:firstLine="422" w:firstLineChars="200"/>
        <w:rPr>
          <w:szCs w:val="21"/>
        </w:rPr>
      </w:pPr>
      <w:r>
        <w:rPr>
          <w:b/>
          <w:szCs w:val="21"/>
        </w:rPr>
        <w:t>2</w:t>
      </w:r>
      <w:r>
        <w:rPr>
          <w:rFonts w:hint="eastAsia" w:ascii="宋体" w:hAnsi="宋体"/>
          <w:b/>
          <w:szCs w:val="21"/>
        </w:rPr>
        <w:t>.</w:t>
      </w:r>
      <w:r>
        <w:rPr>
          <w:b/>
          <w:szCs w:val="21"/>
        </w:rPr>
        <w:t>一般掌握</w:t>
      </w:r>
      <w:r>
        <w:rPr>
          <w:szCs w:val="21"/>
        </w:rPr>
        <w:t>：</w:t>
      </w:r>
      <w:r>
        <w:rPr>
          <w:kern w:val="0"/>
          <w:szCs w:val="21"/>
          <w:lang w:val="zh-CN"/>
        </w:rPr>
        <w:t>科技论文的表达方式与写作技巧</w:t>
      </w:r>
      <w:r>
        <w:rPr>
          <w:rFonts w:hint="eastAsia"/>
          <w:kern w:val="0"/>
          <w:szCs w:val="21"/>
          <w:lang w:val="zh-CN"/>
        </w:rPr>
        <w:t>。</w:t>
      </w:r>
    </w:p>
    <w:p>
      <w:pPr>
        <w:snapToGrid w:val="0"/>
        <w:spacing w:line="360" w:lineRule="auto"/>
        <w:ind w:firstLine="422" w:firstLineChars="200"/>
        <w:rPr>
          <w:b/>
          <w:szCs w:val="21"/>
        </w:rPr>
      </w:pPr>
      <w:r>
        <w:rPr>
          <w:b/>
          <w:szCs w:val="21"/>
        </w:rPr>
        <w:t>3</w:t>
      </w:r>
      <w:r>
        <w:rPr>
          <w:rFonts w:hint="eastAsia" w:ascii="宋体" w:hAnsi="宋体"/>
          <w:b/>
          <w:szCs w:val="21"/>
        </w:rPr>
        <w:t>.</w:t>
      </w:r>
      <w:r>
        <w:rPr>
          <w:b/>
          <w:szCs w:val="21"/>
        </w:rPr>
        <w:t>熟练掌握</w:t>
      </w:r>
      <w:r>
        <w:rPr>
          <w:szCs w:val="21"/>
        </w:rPr>
        <w:t>：掌握</w:t>
      </w:r>
      <w:r>
        <w:rPr>
          <w:kern w:val="0"/>
          <w:szCs w:val="21"/>
          <w:lang w:val="zh-CN"/>
        </w:rPr>
        <w:t>科技论文的写作格式</w:t>
      </w:r>
      <w:r>
        <w:rPr>
          <w:rFonts w:hint="eastAsia"/>
          <w:kern w:val="0"/>
          <w:szCs w:val="21"/>
          <w:lang w:val="zh-CN"/>
        </w:rPr>
        <w:t>。</w:t>
      </w:r>
    </w:p>
    <w:p>
      <w:pPr>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pPr>
        <w:snapToGrid w:val="0"/>
        <w:spacing w:line="360" w:lineRule="auto"/>
        <w:ind w:firstLine="420" w:firstLineChars="200"/>
        <w:rPr>
          <w:kern w:val="0"/>
          <w:szCs w:val="21"/>
          <w:lang w:val="zh-CN"/>
        </w:rPr>
      </w:pPr>
      <w:r>
        <w:rPr>
          <w:szCs w:val="21"/>
        </w:rPr>
        <w:t>科研论文；</w:t>
      </w:r>
      <w:r>
        <w:rPr>
          <w:kern w:val="0"/>
          <w:szCs w:val="21"/>
          <w:lang w:val="zh-CN"/>
        </w:rPr>
        <w:t>报道性文摘；指示性文摘；报道-指示性文摘；关键词；主题词；分类号；顺序编码制；著者—出版年制</w:t>
      </w:r>
      <w:r>
        <w:rPr>
          <w:rFonts w:hint="eastAsia"/>
          <w:kern w:val="0"/>
          <w:szCs w:val="21"/>
          <w:lang w:val="zh-CN"/>
        </w:rPr>
        <w:t>。</w:t>
      </w:r>
    </w:p>
    <w:p>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pPr>
        <w:spacing w:line="360" w:lineRule="auto"/>
        <w:ind w:firstLine="422" w:firstLineChars="200"/>
        <w:rPr>
          <w:b/>
          <w:szCs w:val="21"/>
        </w:rPr>
      </w:pPr>
      <w:r>
        <w:rPr>
          <w:b/>
          <w:szCs w:val="21"/>
        </w:rPr>
        <w:t>1</w:t>
      </w:r>
      <w:r>
        <w:rPr>
          <w:rFonts w:hint="eastAsia" w:ascii="宋体" w:hAnsi="宋体"/>
          <w:b/>
          <w:szCs w:val="21"/>
        </w:rPr>
        <w:t>.</w:t>
      </w:r>
      <w:r>
        <w:rPr>
          <w:b/>
          <w:szCs w:val="21"/>
        </w:rPr>
        <w:t>识记</w:t>
      </w:r>
      <w:r>
        <w:rPr>
          <w:szCs w:val="21"/>
        </w:rPr>
        <w:t>：学术论文分类主要内容</w:t>
      </w:r>
      <w:r>
        <w:rPr>
          <w:rFonts w:hint="eastAsia"/>
          <w:szCs w:val="21"/>
        </w:rPr>
        <w:t>。</w:t>
      </w:r>
    </w:p>
    <w:p>
      <w:pPr>
        <w:snapToGrid w:val="0"/>
        <w:spacing w:line="360" w:lineRule="auto"/>
        <w:ind w:firstLine="422" w:firstLineChars="200"/>
        <w:rPr>
          <w:b/>
          <w:szCs w:val="21"/>
        </w:rPr>
      </w:pPr>
      <w:r>
        <w:rPr>
          <w:b/>
          <w:szCs w:val="21"/>
        </w:rPr>
        <w:t>2</w:t>
      </w:r>
      <w:r>
        <w:rPr>
          <w:rFonts w:hint="eastAsia" w:ascii="宋体" w:hAnsi="宋体"/>
          <w:b/>
          <w:szCs w:val="21"/>
        </w:rPr>
        <w:t>.</w:t>
      </w:r>
      <w:r>
        <w:rPr>
          <w:b/>
          <w:szCs w:val="21"/>
        </w:rPr>
        <w:t>领会</w:t>
      </w:r>
      <w:r>
        <w:rPr>
          <w:szCs w:val="21"/>
        </w:rPr>
        <w:t>：学术论文写作标准</w:t>
      </w:r>
      <w:r>
        <w:rPr>
          <w:rFonts w:hint="eastAsia"/>
          <w:szCs w:val="21"/>
        </w:rPr>
        <w:t>。</w:t>
      </w:r>
    </w:p>
    <w:p>
      <w:pPr>
        <w:snapToGrid w:val="0"/>
        <w:spacing w:line="360" w:lineRule="auto"/>
        <w:ind w:firstLine="422" w:firstLineChars="200"/>
        <w:rPr>
          <w:b/>
          <w:szCs w:val="21"/>
        </w:rPr>
      </w:pPr>
      <w:r>
        <w:rPr>
          <w:b/>
          <w:szCs w:val="21"/>
        </w:rPr>
        <w:t>3</w:t>
      </w:r>
      <w:r>
        <w:rPr>
          <w:rFonts w:hint="eastAsia" w:ascii="宋体" w:hAnsi="宋体"/>
          <w:b/>
          <w:szCs w:val="21"/>
        </w:rPr>
        <w:t>.</w:t>
      </w:r>
      <w:r>
        <w:rPr>
          <w:b/>
          <w:szCs w:val="21"/>
        </w:rPr>
        <w:t>应用</w:t>
      </w:r>
      <w:r>
        <w:rPr>
          <w:szCs w:val="21"/>
        </w:rPr>
        <w:t>：</w:t>
      </w:r>
      <w:r>
        <w:rPr>
          <w:kern w:val="0"/>
          <w:szCs w:val="21"/>
          <w:lang w:val="zh-CN"/>
        </w:rPr>
        <w:t>科技论文的表达方式与写作技巧</w:t>
      </w:r>
      <w:r>
        <w:rPr>
          <w:rFonts w:hint="eastAsia"/>
          <w:kern w:val="0"/>
          <w:szCs w:val="21"/>
          <w:lang w:val="zh-CN"/>
        </w:rPr>
        <w:t>。</w:t>
      </w:r>
    </w:p>
    <w:p>
      <w:pPr>
        <w:snapToGrid w:val="0"/>
        <w:spacing w:line="360" w:lineRule="auto"/>
        <w:ind w:firstLine="422" w:firstLineChars="200"/>
        <w:rPr>
          <w:b/>
          <w:szCs w:val="21"/>
        </w:rPr>
      </w:pPr>
      <w:r>
        <w:rPr>
          <w:b/>
          <w:szCs w:val="21"/>
        </w:rPr>
        <w:t>4</w:t>
      </w:r>
      <w:r>
        <w:rPr>
          <w:rFonts w:hint="eastAsia" w:ascii="宋体" w:hAnsi="宋体"/>
          <w:b/>
          <w:szCs w:val="21"/>
        </w:rPr>
        <w:t>.</w:t>
      </w:r>
      <w:r>
        <w:rPr>
          <w:b/>
          <w:szCs w:val="21"/>
        </w:rPr>
        <w:t>综合：</w:t>
      </w:r>
      <w:r>
        <w:rPr>
          <w:kern w:val="0"/>
          <w:szCs w:val="21"/>
          <w:lang w:val="zh-CN"/>
        </w:rPr>
        <w:t>科技论文的层次标题</w:t>
      </w:r>
      <w:r>
        <w:rPr>
          <w:rFonts w:hint="eastAsia"/>
          <w:kern w:val="0"/>
          <w:szCs w:val="21"/>
          <w:lang w:val="zh-CN"/>
        </w:rPr>
        <w:t>。</w:t>
      </w:r>
    </w:p>
    <w:p>
      <w:pPr>
        <w:spacing w:line="360" w:lineRule="auto"/>
        <w:jc w:val="center"/>
        <w:rPr>
          <w:b/>
          <w:bCs/>
          <w:kern w:val="0"/>
          <w:szCs w:val="21"/>
        </w:rPr>
      </w:pPr>
      <w:r>
        <w:rPr>
          <w:b/>
          <w:bCs/>
          <w:kern w:val="0"/>
          <w:szCs w:val="21"/>
        </w:rPr>
        <w:t>第</w:t>
      </w:r>
      <w:r>
        <w:rPr>
          <w:rFonts w:hint="eastAsia"/>
          <w:b/>
          <w:bCs/>
          <w:kern w:val="0"/>
          <w:szCs w:val="21"/>
        </w:rPr>
        <w:t>五</w:t>
      </w:r>
      <w:r>
        <w:rPr>
          <w:b/>
          <w:bCs/>
          <w:kern w:val="0"/>
          <w:szCs w:val="21"/>
        </w:rPr>
        <w:t>章  学位论文与写作要领</w:t>
      </w:r>
    </w:p>
    <w:p>
      <w:pPr>
        <w:spacing w:line="360" w:lineRule="auto"/>
        <w:jc w:val="left"/>
        <w:rPr>
          <w:b/>
          <w:szCs w:val="21"/>
        </w:rPr>
      </w:pPr>
      <w:r>
        <w:rPr>
          <w:rFonts w:hint="eastAsia"/>
          <w:b/>
          <w:szCs w:val="21"/>
        </w:rPr>
        <w:t>（一）</w:t>
      </w:r>
      <w:r>
        <w:rPr>
          <w:b/>
          <w:szCs w:val="21"/>
        </w:rPr>
        <w:t>学习目</w:t>
      </w:r>
      <w:r>
        <w:rPr>
          <w:rFonts w:hint="eastAsia"/>
          <w:b/>
          <w:szCs w:val="21"/>
        </w:rPr>
        <w:t>标</w:t>
      </w:r>
    </w:p>
    <w:p>
      <w:pPr>
        <w:snapToGrid w:val="0"/>
        <w:spacing w:line="360" w:lineRule="auto"/>
        <w:ind w:firstLine="422" w:firstLineChars="200"/>
        <w:rPr>
          <w:szCs w:val="21"/>
        </w:rPr>
      </w:pPr>
      <w:r>
        <w:rPr>
          <w:b/>
          <w:szCs w:val="21"/>
        </w:rPr>
        <w:t>1</w:t>
      </w:r>
      <w:r>
        <w:rPr>
          <w:rFonts w:hint="eastAsia" w:ascii="宋体" w:hAnsi="宋体"/>
          <w:b/>
          <w:szCs w:val="21"/>
        </w:rPr>
        <w:t>.</w:t>
      </w:r>
      <w:r>
        <w:rPr>
          <w:b/>
          <w:szCs w:val="21"/>
        </w:rPr>
        <w:t>一般了解</w:t>
      </w:r>
      <w:r>
        <w:rPr>
          <w:szCs w:val="21"/>
        </w:rPr>
        <w:t>：学位论文的概念、特点、作用与要求</w:t>
      </w:r>
      <w:r>
        <w:rPr>
          <w:rFonts w:hint="eastAsia"/>
          <w:szCs w:val="21"/>
        </w:rPr>
        <w:t>。</w:t>
      </w:r>
    </w:p>
    <w:p>
      <w:pPr>
        <w:snapToGrid w:val="0"/>
        <w:spacing w:line="360" w:lineRule="auto"/>
        <w:ind w:firstLine="422" w:firstLineChars="200"/>
        <w:rPr>
          <w:szCs w:val="21"/>
        </w:rPr>
      </w:pPr>
      <w:r>
        <w:rPr>
          <w:b/>
          <w:szCs w:val="21"/>
        </w:rPr>
        <w:t>2</w:t>
      </w:r>
      <w:r>
        <w:rPr>
          <w:rFonts w:hint="eastAsia" w:ascii="宋体" w:hAnsi="宋体"/>
          <w:b/>
          <w:szCs w:val="21"/>
        </w:rPr>
        <w:t>.</w:t>
      </w:r>
      <w:r>
        <w:rPr>
          <w:b/>
          <w:szCs w:val="21"/>
        </w:rPr>
        <w:t>一般掌握</w:t>
      </w:r>
      <w:r>
        <w:rPr>
          <w:szCs w:val="21"/>
        </w:rPr>
        <w:t>：学位论文的选题原则，试验结果的正确处理与整理</w:t>
      </w:r>
      <w:r>
        <w:rPr>
          <w:rFonts w:hint="eastAsia"/>
          <w:szCs w:val="21"/>
        </w:rPr>
        <w:t>。</w:t>
      </w:r>
    </w:p>
    <w:p>
      <w:pPr>
        <w:snapToGrid w:val="0"/>
        <w:spacing w:line="360" w:lineRule="auto"/>
        <w:ind w:firstLine="422" w:firstLineChars="200"/>
        <w:rPr>
          <w:kern w:val="0"/>
          <w:szCs w:val="21"/>
          <w:lang w:val="zh-CN"/>
        </w:rPr>
      </w:pPr>
      <w:r>
        <w:rPr>
          <w:b/>
          <w:szCs w:val="21"/>
        </w:rPr>
        <w:t>3</w:t>
      </w:r>
      <w:r>
        <w:rPr>
          <w:rFonts w:hint="eastAsia" w:ascii="宋体" w:hAnsi="宋体"/>
          <w:b/>
          <w:szCs w:val="21"/>
        </w:rPr>
        <w:t>.</w:t>
      </w:r>
      <w:r>
        <w:rPr>
          <w:b/>
          <w:szCs w:val="21"/>
        </w:rPr>
        <w:t>熟练掌握</w:t>
      </w:r>
      <w:r>
        <w:rPr>
          <w:szCs w:val="21"/>
        </w:rPr>
        <w:t>：</w:t>
      </w:r>
      <w:r>
        <w:rPr>
          <w:kern w:val="0"/>
          <w:szCs w:val="21"/>
          <w:lang w:val="zh-CN"/>
        </w:rPr>
        <w:t>学位论文的撰写与答辩环节要求</w:t>
      </w:r>
      <w:r>
        <w:rPr>
          <w:rFonts w:hint="eastAsia"/>
          <w:kern w:val="0"/>
          <w:szCs w:val="21"/>
          <w:lang w:val="zh-CN"/>
        </w:rPr>
        <w:t>。</w:t>
      </w:r>
    </w:p>
    <w:p>
      <w:pPr>
        <w:snapToGrid w:val="0"/>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pPr>
        <w:snapToGrid w:val="0"/>
        <w:spacing w:line="360" w:lineRule="auto"/>
        <w:ind w:firstLine="420" w:firstLineChars="200"/>
        <w:rPr>
          <w:b/>
          <w:szCs w:val="21"/>
        </w:rPr>
      </w:pPr>
      <w:r>
        <w:rPr>
          <w:szCs w:val="21"/>
        </w:rPr>
        <w:t>毕业论文；学位论文；毕业设计</w:t>
      </w:r>
      <w:r>
        <w:rPr>
          <w:rFonts w:hint="eastAsia"/>
          <w:szCs w:val="21"/>
        </w:rPr>
        <w:t>。</w:t>
      </w:r>
    </w:p>
    <w:p>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pPr>
        <w:snapToGrid w:val="0"/>
        <w:spacing w:line="360" w:lineRule="auto"/>
        <w:ind w:firstLine="422" w:firstLineChars="200"/>
        <w:rPr>
          <w:b/>
          <w:szCs w:val="21"/>
        </w:rPr>
      </w:pPr>
      <w:r>
        <w:rPr>
          <w:b/>
          <w:szCs w:val="21"/>
        </w:rPr>
        <w:t>1</w:t>
      </w:r>
      <w:r>
        <w:rPr>
          <w:rFonts w:hint="eastAsia" w:ascii="宋体" w:hAnsi="宋体"/>
          <w:b/>
          <w:szCs w:val="21"/>
        </w:rPr>
        <w:t>.</w:t>
      </w:r>
      <w:r>
        <w:rPr>
          <w:b/>
          <w:szCs w:val="21"/>
        </w:rPr>
        <w:t>识记</w:t>
      </w:r>
      <w:r>
        <w:rPr>
          <w:szCs w:val="21"/>
        </w:rPr>
        <w:t>：</w:t>
      </w:r>
      <w:r>
        <w:rPr>
          <w:kern w:val="0"/>
          <w:szCs w:val="21"/>
          <w:lang w:val="zh-CN"/>
        </w:rPr>
        <w:t>学位论文的概</w:t>
      </w:r>
      <w:r>
        <w:rPr>
          <w:szCs w:val="21"/>
        </w:rPr>
        <w:t>念</w:t>
      </w:r>
      <w:r>
        <w:rPr>
          <w:rFonts w:hint="eastAsia"/>
          <w:szCs w:val="21"/>
        </w:rPr>
        <w:t>。</w:t>
      </w:r>
    </w:p>
    <w:p>
      <w:pPr>
        <w:snapToGrid w:val="0"/>
        <w:spacing w:line="360" w:lineRule="auto"/>
        <w:ind w:firstLine="422" w:firstLineChars="200"/>
        <w:rPr>
          <w:b/>
          <w:szCs w:val="21"/>
        </w:rPr>
      </w:pPr>
      <w:r>
        <w:rPr>
          <w:b/>
          <w:szCs w:val="21"/>
        </w:rPr>
        <w:t>2</w:t>
      </w:r>
      <w:r>
        <w:rPr>
          <w:rFonts w:hint="eastAsia" w:ascii="宋体" w:hAnsi="宋体"/>
          <w:b/>
          <w:szCs w:val="21"/>
        </w:rPr>
        <w:t>.</w:t>
      </w:r>
      <w:r>
        <w:rPr>
          <w:b/>
          <w:szCs w:val="21"/>
        </w:rPr>
        <w:t>领会</w:t>
      </w:r>
      <w:r>
        <w:rPr>
          <w:szCs w:val="21"/>
        </w:rPr>
        <w:t>：</w:t>
      </w:r>
      <w:r>
        <w:rPr>
          <w:kern w:val="0"/>
          <w:szCs w:val="21"/>
          <w:lang w:val="zh-CN"/>
        </w:rPr>
        <w:t>学位论文的特点与撰写</w:t>
      </w:r>
      <w:r>
        <w:rPr>
          <w:rFonts w:hint="eastAsia"/>
          <w:kern w:val="0"/>
          <w:szCs w:val="21"/>
          <w:lang w:val="zh-CN"/>
        </w:rPr>
        <w:t>。</w:t>
      </w:r>
    </w:p>
    <w:p>
      <w:pPr>
        <w:snapToGrid w:val="0"/>
        <w:spacing w:line="360" w:lineRule="auto"/>
        <w:ind w:firstLine="422" w:firstLineChars="200"/>
        <w:rPr>
          <w:szCs w:val="21"/>
        </w:rPr>
      </w:pPr>
      <w:r>
        <w:rPr>
          <w:b/>
          <w:szCs w:val="21"/>
        </w:rPr>
        <w:t>3</w:t>
      </w:r>
      <w:r>
        <w:rPr>
          <w:rFonts w:hint="eastAsia" w:ascii="宋体" w:hAnsi="宋体"/>
          <w:b/>
          <w:szCs w:val="21"/>
        </w:rPr>
        <w:t>.</w:t>
      </w:r>
      <w:r>
        <w:rPr>
          <w:b/>
          <w:szCs w:val="21"/>
        </w:rPr>
        <w:t>综合：</w:t>
      </w:r>
      <w:r>
        <w:rPr>
          <w:szCs w:val="21"/>
        </w:rPr>
        <w:t>学位论文的选题与开题报告的撰写</w:t>
      </w:r>
      <w:r>
        <w:rPr>
          <w:rFonts w:hint="eastAsia"/>
          <w:szCs w:val="21"/>
        </w:rPr>
        <w:t>。</w:t>
      </w:r>
    </w:p>
    <w:p>
      <w:pPr>
        <w:spacing w:line="360" w:lineRule="auto"/>
        <w:jc w:val="center"/>
        <w:rPr>
          <w:b/>
          <w:bCs/>
          <w:kern w:val="0"/>
          <w:szCs w:val="21"/>
        </w:rPr>
      </w:pPr>
      <w:r>
        <w:rPr>
          <w:b/>
          <w:bCs/>
          <w:kern w:val="0"/>
          <w:szCs w:val="21"/>
        </w:rPr>
        <w:t>第</w:t>
      </w:r>
      <w:r>
        <w:rPr>
          <w:rFonts w:hint="eastAsia"/>
          <w:b/>
          <w:bCs/>
          <w:kern w:val="0"/>
          <w:szCs w:val="21"/>
        </w:rPr>
        <w:t>六</w:t>
      </w:r>
      <w:r>
        <w:rPr>
          <w:b/>
          <w:bCs/>
          <w:kern w:val="0"/>
          <w:szCs w:val="21"/>
        </w:rPr>
        <w:t>章  投稿与论文发表</w:t>
      </w:r>
    </w:p>
    <w:p>
      <w:pPr>
        <w:spacing w:line="360" w:lineRule="auto"/>
        <w:jc w:val="left"/>
        <w:rPr>
          <w:b/>
          <w:szCs w:val="21"/>
        </w:rPr>
      </w:pPr>
      <w:r>
        <w:rPr>
          <w:rFonts w:hint="eastAsia"/>
          <w:b/>
          <w:szCs w:val="21"/>
        </w:rPr>
        <w:t>（一）</w:t>
      </w:r>
      <w:r>
        <w:rPr>
          <w:b/>
          <w:szCs w:val="21"/>
        </w:rPr>
        <w:t>学习目</w:t>
      </w:r>
      <w:r>
        <w:rPr>
          <w:rFonts w:hint="eastAsia"/>
          <w:b/>
          <w:szCs w:val="21"/>
        </w:rPr>
        <w:t>标</w:t>
      </w:r>
    </w:p>
    <w:p>
      <w:pPr>
        <w:snapToGrid w:val="0"/>
        <w:spacing w:line="360" w:lineRule="auto"/>
        <w:ind w:firstLine="422" w:firstLineChars="200"/>
        <w:rPr>
          <w:szCs w:val="21"/>
        </w:rPr>
      </w:pPr>
      <w:r>
        <w:rPr>
          <w:b/>
          <w:szCs w:val="21"/>
        </w:rPr>
        <w:t>1</w:t>
      </w:r>
      <w:r>
        <w:rPr>
          <w:rFonts w:hint="eastAsia" w:ascii="宋体" w:hAnsi="宋体"/>
          <w:b/>
          <w:szCs w:val="21"/>
        </w:rPr>
        <w:t>.</w:t>
      </w:r>
      <w:r>
        <w:rPr>
          <w:b/>
          <w:szCs w:val="21"/>
        </w:rPr>
        <w:t>一般了解</w:t>
      </w:r>
      <w:r>
        <w:rPr>
          <w:szCs w:val="21"/>
        </w:rPr>
        <w:t>：学术刊物的一般特点与分类</w:t>
      </w:r>
      <w:r>
        <w:rPr>
          <w:rFonts w:hint="eastAsia"/>
          <w:szCs w:val="21"/>
        </w:rPr>
        <w:t>。</w:t>
      </w:r>
    </w:p>
    <w:p>
      <w:pPr>
        <w:snapToGrid w:val="0"/>
        <w:spacing w:line="360" w:lineRule="auto"/>
        <w:ind w:firstLine="422" w:firstLineChars="200"/>
        <w:rPr>
          <w:szCs w:val="21"/>
        </w:rPr>
      </w:pPr>
      <w:r>
        <w:rPr>
          <w:b/>
          <w:szCs w:val="21"/>
        </w:rPr>
        <w:t>2</w:t>
      </w:r>
      <w:r>
        <w:rPr>
          <w:rFonts w:hint="eastAsia" w:ascii="宋体" w:hAnsi="宋体"/>
          <w:b/>
          <w:szCs w:val="21"/>
        </w:rPr>
        <w:t>.</w:t>
      </w:r>
      <w:r>
        <w:rPr>
          <w:b/>
          <w:szCs w:val="21"/>
        </w:rPr>
        <w:t>一般掌握</w:t>
      </w:r>
      <w:r>
        <w:rPr>
          <w:szCs w:val="21"/>
        </w:rPr>
        <w:t>：</w:t>
      </w:r>
      <w:r>
        <w:rPr>
          <w:kern w:val="0"/>
          <w:szCs w:val="21"/>
          <w:lang w:val="zh-CN"/>
        </w:rPr>
        <w:t>适合本专业投稿的国外刊物</w:t>
      </w:r>
      <w:r>
        <w:rPr>
          <w:rFonts w:hint="eastAsia"/>
          <w:kern w:val="0"/>
          <w:szCs w:val="21"/>
          <w:lang w:val="zh-CN"/>
        </w:rPr>
        <w:t>。</w:t>
      </w:r>
    </w:p>
    <w:p>
      <w:pPr>
        <w:snapToGrid w:val="0"/>
        <w:spacing w:line="360" w:lineRule="auto"/>
        <w:ind w:firstLine="422" w:firstLineChars="200"/>
        <w:rPr>
          <w:b/>
          <w:szCs w:val="21"/>
        </w:rPr>
      </w:pPr>
      <w:r>
        <w:rPr>
          <w:b/>
          <w:szCs w:val="21"/>
        </w:rPr>
        <w:t>3</w:t>
      </w:r>
      <w:r>
        <w:rPr>
          <w:rFonts w:hint="eastAsia" w:ascii="宋体" w:hAnsi="宋体"/>
          <w:b/>
          <w:szCs w:val="21"/>
        </w:rPr>
        <w:t>.</w:t>
      </w:r>
      <w:r>
        <w:rPr>
          <w:b/>
          <w:szCs w:val="21"/>
        </w:rPr>
        <w:t>熟练掌握</w:t>
      </w:r>
      <w:r>
        <w:rPr>
          <w:szCs w:val="21"/>
        </w:rPr>
        <w:t>：</w:t>
      </w:r>
      <w:r>
        <w:rPr>
          <w:kern w:val="0"/>
          <w:szCs w:val="21"/>
          <w:lang w:val="zh-CN"/>
        </w:rPr>
        <w:t>科技论文的投稿与修改</w:t>
      </w:r>
      <w:r>
        <w:rPr>
          <w:rFonts w:hint="eastAsia"/>
          <w:kern w:val="0"/>
          <w:szCs w:val="21"/>
          <w:lang w:val="zh-CN"/>
        </w:rPr>
        <w:t>。</w:t>
      </w:r>
    </w:p>
    <w:p>
      <w:pPr>
        <w:snapToGrid w:val="0"/>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pPr>
        <w:snapToGrid w:val="0"/>
        <w:spacing w:line="360" w:lineRule="auto"/>
        <w:ind w:firstLine="420" w:firstLineChars="200"/>
        <w:rPr>
          <w:b/>
          <w:szCs w:val="21"/>
        </w:rPr>
      </w:pPr>
      <w:r>
        <w:rPr>
          <w:szCs w:val="21"/>
        </w:rPr>
        <w:t>投稿；录用；发表；退修；退稿；校对</w:t>
      </w:r>
      <w:r>
        <w:rPr>
          <w:rFonts w:hint="eastAsia"/>
          <w:szCs w:val="21"/>
        </w:rPr>
        <w:t>。</w:t>
      </w:r>
    </w:p>
    <w:p>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pPr>
        <w:snapToGrid w:val="0"/>
        <w:spacing w:line="360" w:lineRule="auto"/>
        <w:ind w:firstLine="422" w:firstLineChars="200"/>
        <w:rPr>
          <w:b/>
          <w:szCs w:val="21"/>
        </w:rPr>
      </w:pPr>
      <w:r>
        <w:rPr>
          <w:b/>
          <w:szCs w:val="21"/>
        </w:rPr>
        <w:t>1</w:t>
      </w:r>
      <w:r>
        <w:rPr>
          <w:rFonts w:hint="eastAsia" w:ascii="宋体" w:hAnsi="宋体"/>
          <w:b/>
          <w:szCs w:val="21"/>
        </w:rPr>
        <w:t>.</w:t>
      </w:r>
      <w:r>
        <w:rPr>
          <w:b/>
          <w:szCs w:val="21"/>
        </w:rPr>
        <w:t>识记</w:t>
      </w:r>
      <w:r>
        <w:rPr>
          <w:szCs w:val="21"/>
        </w:rPr>
        <w:t>：学术刊物的一般特点</w:t>
      </w:r>
      <w:r>
        <w:rPr>
          <w:rFonts w:hint="eastAsia"/>
          <w:szCs w:val="21"/>
        </w:rPr>
        <w:t>。</w:t>
      </w:r>
    </w:p>
    <w:p>
      <w:pPr>
        <w:snapToGrid w:val="0"/>
        <w:spacing w:line="360" w:lineRule="auto"/>
        <w:ind w:firstLine="422" w:firstLineChars="200"/>
        <w:rPr>
          <w:b/>
          <w:szCs w:val="21"/>
        </w:rPr>
      </w:pPr>
      <w:r>
        <w:rPr>
          <w:b/>
          <w:szCs w:val="21"/>
        </w:rPr>
        <w:t>2</w:t>
      </w:r>
      <w:r>
        <w:rPr>
          <w:rFonts w:hint="eastAsia" w:ascii="宋体" w:hAnsi="宋体"/>
          <w:b/>
          <w:szCs w:val="21"/>
        </w:rPr>
        <w:t>.</w:t>
      </w:r>
      <w:r>
        <w:rPr>
          <w:b/>
          <w:szCs w:val="21"/>
        </w:rPr>
        <w:t>领会</w:t>
      </w:r>
      <w:r>
        <w:rPr>
          <w:szCs w:val="21"/>
        </w:rPr>
        <w:t>：投稿刊物的选择与论文修稿</w:t>
      </w:r>
      <w:r>
        <w:rPr>
          <w:rFonts w:hint="eastAsia"/>
          <w:szCs w:val="21"/>
        </w:rPr>
        <w:t>。</w:t>
      </w:r>
    </w:p>
    <w:p>
      <w:pPr>
        <w:snapToGrid w:val="0"/>
        <w:spacing w:line="360" w:lineRule="auto"/>
        <w:ind w:firstLine="422" w:firstLineChars="200"/>
        <w:rPr>
          <w:szCs w:val="21"/>
        </w:rPr>
      </w:pPr>
      <w:r>
        <w:rPr>
          <w:b/>
          <w:szCs w:val="21"/>
        </w:rPr>
        <w:t>3</w:t>
      </w:r>
      <w:r>
        <w:rPr>
          <w:rFonts w:hint="eastAsia" w:ascii="宋体" w:hAnsi="宋体"/>
          <w:b/>
          <w:szCs w:val="21"/>
        </w:rPr>
        <w:t>.</w:t>
      </w:r>
      <w:r>
        <w:rPr>
          <w:b/>
          <w:szCs w:val="21"/>
        </w:rPr>
        <w:t>应用</w:t>
      </w:r>
      <w:r>
        <w:rPr>
          <w:szCs w:val="21"/>
        </w:rPr>
        <w:t>：学术论文的评审；电子信息类核心期刊及投稿技巧</w:t>
      </w:r>
      <w:r>
        <w:rPr>
          <w:rFonts w:hint="eastAsia"/>
          <w:szCs w:val="21"/>
        </w:rPr>
        <w:t>。</w:t>
      </w:r>
    </w:p>
    <w:p>
      <w:pPr>
        <w:spacing w:line="360" w:lineRule="auto"/>
        <w:jc w:val="center"/>
        <w:rPr>
          <w:b/>
          <w:bCs/>
          <w:kern w:val="0"/>
          <w:szCs w:val="21"/>
        </w:rPr>
      </w:pPr>
      <w:r>
        <w:rPr>
          <w:b/>
          <w:bCs/>
          <w:kern w:val="0"/>
          <w:szCs w:val="21"/>
        </w:rPr>
        <w:t>第</w:t>
      </w:r>
      <w:r>
        <w:rPr>
          <w:rFonts w:hint="eastAsia"/>
          <w:b/>
          <w:bCs/>
          <w:kern w:val="0"/>
          <w:szCs w:val="21"/>
        </w:rPr>
        <w:t>七</w:t>
      </w:r>
      <w:r>
        <w:rPr>
          <w:b/>
          <w:bCs/>
          <w:kern w:val="0"/>
          <w:szCs w:val="21"/>
        </w:rPr>
        <w:t>章  外文科技论文的翻译及示例分析</w:t>
      </w:r>
    </w:p>
    <w:p>
      <w:pPr>
        <w:spacing w:line="360" w:lineRule="auto"/>
        <w:jc w:val="left"/>
        <w:rPr>
          <w:b/>
          <w:szCs w:val="21"/>
        </w:rPr>
      </w:pPr>
      <w:r>
        <w:rPr>
          <w:rFonts w:hint="eastAsia"/>
          <w:b/>
          <w:szCs w:val="21"/>
        </w:rPr>
        <w:t>（一）</w:t>
      </w:r>
      <w:r>
        <w:rPr>
          <w:b/>
          <w:szCs w:val="21"/>
        </w:rPr>
        <w:t>学习目</w:t>
      </w:r>
      <w:r>
        <w:rPr>
          <w:rFonts w:hint="eastAsia"/>
          <w:b/>
          <w:szCs w:val="21"/>
        </w:rPr>
        <w:t>标</w:t>
      </w:r>
    </w:p>
    <w:p>
      <w:pPr>
        <w:adjustRightInd w:val="0"/>
        <w:snapToGrid w:val="0"/>
        <w:spacing w:line="360" w:lineRule="auto"/>
        <w:ind w:firstLine="422" w:firstLineChars="200"/>
        <w:rPr>
          <w:szCs w:val="21"/>
        </w:rPr>
      </w:pPr>
      <w:r>
        <w:rPr>
          <w:b/>
          <w:szCs w:val="21"/>
        </w:rPr>
        <w:t>1</w:t>
      </w:r>
      <w:r>
        <w:rPr>
          <w:rFonts w:hint="eastAsia" w:ascii="宋体" w:hAnsi="宋体"/>
          <w:b/>
          <w:szCs w:val="21"/>
        </w:rPr>
        <w:t>.</w:t>
      </w:r>
      <w:r>
        <w:rPr>
          <w:b/>
          <w:szCs w:val="21"/>
        </w:rPr>
        <w:t>一般了解</w:t>
      </w:r>
      <w:r>
        <w:rPr>
          <w:szCs w:val="21"/>
        </w:rPr>
        <w:t>：2到3篇有代表性的与本专业相关的外文科技论文，进行翻译后讲解内容</w:t>
      </w:r>
      <w:r>
        <w:rPr>
          <w:rFonts w:hint="eastAsia"/>
          <w:szCs w:val="21"/>
        </w:rPr>
        <w:t>。</w:t>
      </w:r>
    </w:p>
    <w:p>
      <w:pPr>
        <w:snapToGrid w:val="0"/>
        <w:spacing w:line="360" w:lineRule="auto"/>
        <w:ind w:firstLine="422" w:firstLineChars="200"/>
        <w:rPr>
          <w:b/>
          <w:szCs w:val="21"/>
        </w:rPr>
      </w:pPr>
      <w:r>
        <w:rPr>
          <w:b/>
          <w:szCs w:val="21"/>
        </w:rPr>
        <w:t>2</w:t>
      </w:r>
      <w:r>
        <w:rPr>
          <w:rFonts w:hint="eastAsia" w:ascii="宋体" w:hAnsi="宋体"/>
          <w:b/>
          <w:szCs w:val="21"/>
        </w:rPr>
        <w:t>.</w:t>
      </w:r>
      <w:r>
        <w:rPr>
          <w:b/>
          <w:szCs w:val="21"/>
        </w:rPr>
        <w:t>一般掌握</w:t>
      </w:r>
      <w:r>
        <w:rPr>
          <w:szCs w:val="21"/>
        </w:rPr>
        <w:t>：外文行文特点。</w:t>
      </w:r>
    </w:p>
    <w:p>
      <w:pPr>
        <w:snapToGrid w:val="0"/>
        <w:spacing w:line="360" w:lineRule="auto"/>
        <w:rPr>
          <w:b/>
          <w:szCs w:val="21"/>
        </w:rPr>
      </w:pPr>
      <w:r>
        <w:rPr>
          <w:rFonts w:hint="eastAsia"/>
          <w:b/>
          <w:szCs w:val="21"/>
        </w:rPr>
        <w:t>（</w:t>
      </w:r>
      <w:r>
        <w:rPr>
          <w:b/>
          <w:szCs w:val="21"/>
        </w:rPr>
        <w:t>二</w:t>
      </w:r>
      <w:r>
        <w:rPr>
          <w:rFonts w:hint="eastAsia"/>
          <w:b/>
          <w:szCs w:val="21"/>
        </w:rPr>
        <w:t>）</w:t>
      </w:r>
      <w:r>
        <w:rPr>
          <w:b/>
          <w:szCs w:val="21"/>
        </w:rPr>
        <w:t>考核</w:t>
      </w:r>
      <w:r>
        <w:rPr>
          <w:rFonts w:hint="eastAsia"/>
          <w:b/>
          <w:szCs w:val="21"/>
        </w:rPr>
        <w:t>内容</w:t>
      </w:r>
    </w:p>
    <w:p>
      <w:pPr>
        <w:snapToGrid w:val="0"/>
        <w:spacing w:line="360" w:lineRule="auto"/>
        <w:ind w:firstLine="420" w:firstLineChars="200"/>
        <w:rPr>
          <w:szCs w:val="21"/>
        </w:rPr>
      </w:pPr>
      <w:r>
        <w:rPr>
          <w:szCs w:val="21"/>
        </w:rPr>
        <w:t>专业外语词汇</w:t>
      </w:r>
      <w:r>
        <w:rPr>
          <w:rFonts w:hint="eastAsia"/>
          <w:szCs w:val="21"/>
        </w:rPr>
        <w:t>。</w:t>
      </w:r>
    </w:p>
    <w:p>
      <w:pPr>
        <w:spacing w:line="360" w:lineRule="auto"/>
        <w:rPr>
          <w:b/>
          <w:szCs w:val="21"/>
        </w:rPr>
      </w:pPr>
      <w:r>
        <w:rPr>
          <w:rFonts w:hint="eastAsia"/>
          <w:b/>
          <w:szCs w:val="21"/>
        </w:rPr>
        <w:t>（</w:t>
      </w:r>
      <w:r>
        <w:rPr>
          <w:b/>
          <w:szCs w:val="21"/>
        </w:rPr>
        <w:t>三</w:t>
      </w:r>
      <w:r>
        <w:rPr>
          <w:rFonts w:hint="eastAsia"/>
          <w:b/>
          <w:szCs w:val="21"/>
        </w:rPr>
        <w:t>）</w:t>
      </w:r>
      <w:r>
        <w:rPr>
          <w:b/>
          <w:szCs w:val="21"/>
        </w:rPr>
        <w:t>考核要求</w:t>
      </w:r>
    </w:p>
    <w:p>
      <w:pPr>
        <w:snapToGrid w:val="0"/>
        <w:spacing w:line="360" w:lineRule="auto"/>
        <w:ind w:firstLine="422" w:firstLineChars="200"/>
        <w:rPr>
          <w:b/>
          <w:szCs w:val="21"/>
        </w:rPr>
      </w:pPr>
      <w:r>
        <w:rPr>
          <w:b/>
          <w:szCs w:val="21"/>
        </w:rPr>
        <w:t>1</w:t>
      </w:r>
      <w:r>
        <w:rPr>
          <w:rFonts w:hint="eastAsia" w:ascii="宋体" w:hAnsi="宋体"/>
          <w:b/>
          <w:szCs w:val="21"/>
        </w:rPr>
        <w:t>.</w:t>
      </w:r>
      <w:r>
        <w:rPr>
          <w:b/>
          <w:szCs w:val="21"/>
        </w:rPr>
        <w:t>领会</w:t>
      </w:r>
      <w:r>
        <w:rPr>
          <w:szCs w:val="21"/>
        </w:rPr>
        <w:t>：科技论文翻译技巧和方法</w:t>
      </w:r>
      <w:r>
        <w:rPr>
          <w:rFonts w:hint="eastAsia"/>
          <w:szCs w:val="21"/>
        </w:rPr>
        <w:t>。</w:t>
      </w:r>
    </w:p>
    <w:p>
      <w:pPr>
        <w:snapToGrid w:val="0"/>
        <w:spacing w:line="360" w:lineRule="auto"/>
        <w:ind w:firstLine="422" w:firstLineChars="200"/>
        <w:rPr>
          <w:szCs w:val="21"/>
        </w:rPr>
      </w:pPr>
      <w:r>
        <w:rPr>
          <w:b/>
          <w:szCs w:val="21"/>
        </w:rPr>
        <w:t>2</w:t>
      </w:r>
      <w:r>
        <w:rPr>
          <w:rFonts w:hint="eastAsia" w:ascii="宋体" w:hAnsi="宋体"/>
          <w:b/>
          <w:szCs w:val="21"/>
        </w:rPr>
        <w:t>.</w:t>
      </w:r>
      <w:r>
        <w:rPr>
          <w:b/>
          <w:szCs w:val="21"/>
        </w:rPr>
        <w:t>简单应用</w:t>
      </w:r>
      <w:r>
        <w:rPr>
          <w:szCs w:val="21"/>
        </w:rPr>
        <w:t>：外文的写作方法</w:t>
      </w:r>
      <w:r>
        <w:rPr>
          <w:rFonts w:hint="eastAsia"/>
          <w:szCs w:val="21"/>
        </w:rPr>
        <w:t>。</w:t>
      </w:r>
    </w:p>
    <w:p>
      <w:pPr>
        <w:snapToGrid w:val="0"/>
        <w:spacing w:before="156" w:beforeLines="50" w:line="360" w:lineRule="auto"/>
        <w:rPr>
          <w:b/>
          <w:szCs w:val="21"/>
        </w:rPr>
      </w:pPr>
      <w:r>
        <w:rPr>
          <w:rFonts w:hint="eastAsia"/>
          <w:b/>
          <w:bCs/>
          <w:kern w:val="0"/>
          <w:szCs w:val="21"/>
        </w:rPr>
        <w:t>三</w:t>
      </w:r>
      <w:r>
        <w:rPr>
          <w:b/>
          <w:bCs/>
          <w:kern w:val="0"/>
          <w:szCs w:val="21"/>
        </w:rPr>
        <w:t>、考核方式</w:t>
      </w:r>
    </w:p>
    <w:p>
      <w:pPr>
        <w:snapToGrid w:val="0"/>
        <w:spacing w:line="360" w:lineRule="auto"/>
        <w:ind w:firstLine="420"/>
        <w:rPr>
          <w:kern w:val="0"/>
          <w:szCs w:val="21"/>
          <w:lang w:val="zh-CN"/>
        </w:rPr>
      </w:pPr>
      <w:r>
        <w:rPr>
          <w:kern w:val="0"/>
          <w:szCs w:val="21"/>
          <w:lang w:val="zh-CN"/>
        </w:rPr>
        <w:t>本课程</w:t>
      </w:r>
      <w:r>
        <w:rPr>
          <w:rFonts w:hint="eastAsia"/>
          <w:kern w:val="0"/>
          <w:szCs w:val="21"/>
          <w:lang w:val="zh-CN"/>
        </w:rPr>
        <w:t>的考试模式为论文式考核，在课程结束后进行，根据学生撰写的科技论文规范程度进行评价，并结合</w:t>
      </w:r>
      <w:r>
        <w:rPr>
          <w:rFonts w:hAnsi="宋体"/>
          <w:color w:val="353535"/>
          <w:kern w:val="0"/>
          <w:szCs w:val="21"/>
        </w:rPr>
        <w:t>课堂提问、小组讨论表现、作业、考勤</w:t>
      </w:r>
      <w:r>
        <w:rPr>
          <w:rFonts w:hint="eastAsia"/>
          <w:kern w:val="0"/>
          <w:szCs w:val="21"/>
          <w:lang w:val="zh-CN"/>
        </w:rPr>
        <w:t>的</w:t>
      </w:r>
      <w:r>
        <w:rPr>
          <w:kern w:val="0"/>
          <w:szCs w:val="21"/>
          <w:lang w:val="zh-CN"/>
        </w:rPr>
        <w:t>情况进行</w:t>
      </w:r>
      <w:r>
        <w:rPr>
          <w:rFonts w:hint="eastAsia"/>
          <w:kern w:val="0"/>
          <w:szCs w:val="21"/>
          <w:lang w:val="zh-CN"/>
        </w:rPr>
        <w:t>综合</w:t>
      </w:r>
      <w:r>
        <w:rPr>
          <w:kern w:val="0"/>
          <w:szCs w:val="21"/>
          <w:lang w:val="zh-CN"/>
        </w:rPr>
        <w:t>评定，课程成绩以百分制计算</w:t>
      </w:r>
      <w:r>
        <w:rPr>
          <w:rFonts w:hint="eastAsia"/>
          <w:kern w:val="0"/>
          <w:szCs w:val="21"/>
          <w:lang w:val="zh-CN"/>
        </w:rPr>
        <w:t>。</w:t>
      </w:r>
    </w:p>
    <w:p>
      <w:pPr>
        <w:adjustRightInd w:val="0"/>
        <w:snapToGrid w:val="0"/>
        <w:spacing w:before="156" w:beforeLines="50" w:line="360" w:lineRule="auto"/>
        <w:rPr>
          <w:b/>
          <w:bCs/>
          <w:kern w:val="0"/>
          <w:szCs w:val="21"/>
        </w:rPr>
      </w:pPr>
      <w:r>
        <w:rPr>
          <w:rFonts w:hint="eastAsia"/>
          <w:b/>
          <w:bCs/>
          <w:kern w:val="0"/>
          <w:szCs w:val="21"/>
        </w:rPr>
        <w:t>四</w:t>
      </w:r>
      <w:r>
        <w:rPr>
          <w:b/>
          <w:bCs/>
          <w:kern w:val="0"/>
          <w:szCs w:val="21"/>
        </w:rPr>
        <w:t>、</w:t>
      </w:r>
      <w:r>
        <w:rPr>
          <w:b/>
          <w:szCs w:val="21"/>
        </w:rPr>
        <w:t>成绩评定</w:t>
      </w:r>
    </w:p>
    <w:p>
      <w:pPr>
        <w:snapToGrid w:val="0"/>
        <w:spacing w:line="360" w:lineRule="auto"/>
        <w:ind w:firstLine="420"/>
        <w:rPr>
          <w:szCs w:val="21"/>
        </w:rPr>
      </w:pPr>
      <w:r>
        <w:rPr>
          <w:rFonts w:hint="eastAsia"/>
          <w:szCs w:val="21"/>
        </w:rPr>
        <w:t>本课程总成绩计算办法是：</w:t>
      </w:r>
    </w:p>
    <w:p>
      <w:pPr>
        <w:snapToGrid w:val="0"/>
        <w:spacing w:line="360" w:lineRule="auto"/>
        <w:ind w:firstLine="420"/>
        <w:rPr>
          <w:kern w:val="0"/>
          <w:szCs w:val="21"/>
          <w:lang w:val="zh-CN"/>
        </w:rPr>
      </w:pPr>
      <w:r>
        <w:rPr>
          <w:kern w:val="0"/>
          <w:szCs w:val="21"/>
          <w:lang w:val="zh-CN"/>
        </w:rPr>
        <w:t>（1）平时成绩（包括</w:t>
      </w:r>
      <w:r>
        <w:rPr>
          <w:rFonts w:hint="eastAsia"/>
          <w:kern w:val="0"/>
          <w:szCs w:val="21"/>
          <w:lang w:val="zh-CN"/>
        </w:rPr>
        <w:t>小</w:t>
      </w:r>
      <w:r>
        <w:rPr>
          <w:rFonts w:hAnsi="宋体"/>
          <w:color w:val="353535"/>
          <w:kern w:val="0"/>
          <w:szCs w:val="21"/>
        </w:rPr>
        <w:t>组讨论表现、作业、考勤</w:t>
      </w:r>
      <w:r>
        <w:rPr>
          <w:kern w:val="0"/>
          <w:szCs w:val="21"/>
          <w:lang w:val="zh-CN"/>
        </w:rPr>
        <w:t>）</w:t>
      </w:r>
      <w:r>
        <w:rPr>
          <w:rFonts w:hint="eastAsia"/>
          <w:kern w:val="0"/>
          <w:szCs w:val="21"/>
          <w:lang w:val="zh-CN"/>
        </w:rPr>
        <w:t>占总成绩的</w:t>
      </w:r>
      <w:r>
        <w:rPr>
          <w:rFonts w:hint="eastAsia"/>
          <w:kern w:val="0"/>
          <w:szCs w:val="21"/>
        </w:rPr>
        <w:t>4</w:t>
      </w:r>
      <w:r>
        <w:rPr>
          <w:rFonts w:hint="eastAsia"/>
          <w:kern w:val="0"/>
          <w:szCs w:val="21"/>
          <w:lang w:val="zh-CN"/>
        </w:rPr>
        <w:t>0</w:t>
      </w:r>
      <w:r>
        <w:rPr>
          <w:kern w:val="0"/>
          <w:szCs w:val="21"/>
          <w:lang w:val="zh-CN"/>
        </w:rPr>
        <w:t>%</w:t>
      </w:r>
      <w:r>
        <w:rPr>
          <w:rFonts w:hint="eastAsia"/>
          <w:kern w:val="0"/>
          <w:szCs w:val="21"/>
          <w:lang w:val="zh-CN"/>
        </w:rPr>
        <w:t>；</w:t>
      </w:r>
    </w:p>
    <w:p>
      <w:pPr>
        <w:snapToGrid w:val="0"/>
        <w:spacing w:line="360" w:lineRule="auto"/>
        <w:ind w:firstLine="420"/>
        <w:rPr>
          <w:kern w:val="0"/>
          <w:szCs w:val="21"/>
          <w:lang w:val="zh-CN"/>
        </w:rPr>
      </w:pPr>
      <w:r>
        <w:rPr>
          <w:kern w:val="0"/>
          <w:szCs w:val="21"/>
          <w:lang w:val="zh-CN"/>
        </w:rPr>
        <w:t>（2）</w:t>
      </w:r>
      <w:r>
        <w:rPr>
          <w:rFonts w:hAnsi="宋体"/>
          <w:color w:val="353535"/>
          <w:kern w:val="0"/>
          <w:szCs w:val="21"/>
        </w:rPr>
        <w:t>期末课程论文</w:t>
      </w:r>
      <w:r>
        <w:rPr>
          <w:rFonts w:hint="eastAsia"/>
          <w:kern w:val="0"/>
          <w:szCs w:val="21"/>
          <w:lang w:val="zh-CN"/>
        </w:rPr>
        <w:t>占总成绩的</w:t>
      </w:r>
      <w:r>
        <w:rPr>
          <w:rFonts w:hint="eastAsia"/>
          <w:kern w:val="0"/>
          <w:szCs w:val="21"/>
        </w:rPr>
        <w:t>6</w:t>
      </w:r>
      <w:r>
        <w:rPr>
          <w:kern w:val="0"/>
          <w:szCs w:val="21"/>
          <w:lang w:val="zh-CN"/>
        </w:rPr>
        <w:t>0%</w:t>
      </w:r>
      <w:r>
        <w:rPr>
          <w:rFonts w:hint="eastAsia"/>
          <w:kern w:val="0"/>
          <w:szCs w:val="21"/>
          <w:lang w:val="zh-CN"/>
        </w:rPr>
        <w:t>。</w:t>
      </w:r>
    </w:p>
    <w:p>
      <w:pPr>
        <w:snapToGrid w:val="0"/>
        <w:spacing w:line="360" w:lineRule="auto"/>
        <w:ind w:firstLine="420" w:firstLineChars="200"/>
        <w:rPr>
          <w:rFonts w:ascii="宋体" w:hAnsi="宋体"/>
          <w:bCs/>
          <w:color w:val="0000FF"/>
          <w:szCs w:val="21"/>
        </w:rPr>
      </w:pPr>
      <w:r>
        <w:rPr>
          <w:rFonts w:hint="eastAsia"/>
          <w:kern w:val="0"/>
          <w:szCs w:val="21"/>
          <w:lang w:val="zh-CN"/>
        </w:rPr>
        <w:t>（</w:t>
      </w:r>
      <w:r>
        <w:rPr>
          <w:rFonts w:hint="eastAsia"/>
          <w:kern w:val="0"/>
          <w:szCs w:val="21"/>
        </w:rPr>
        <w:t>3</w:t>
      </w:r>
      <w:r>
        <w:rPr>
          <w:rFonts w:hint="eastAsia"/>
          <w:kern w:val="0"/>
          <w:szCs w:val="21"/>
          <w:lang w:val="zh-CN"/>
        </w:rPr>
        <w:t>）</w:t>
      </w:r>
      <w:r>
        <w:rPr>
          <w:rFonts w:hint="eastAsia" w:ascii="宋体" w:hAnsi="宋体"/>
          <w:color w:val="000000"/>
        </w:rPr>
        <w:t>综合成绩：</w:t>
      </w:r>
      <w:r>
        <w:rPr>
          <w:rFonts w:hint="eastAsia"/>
          <w:kern w:val="0"/>
          <w:szCs w:val="21"/>
        </w:rPr>
        <w:t>平时成绩</w:t>
      </w:r>
      <w:r>
        <w:rPr>
          <w:kern w:val="0"/>
          <w:szCs w:val="21"/>
        </w:rPr>
        <w:t>40%+期末</w:t>
      </w:r>
      <w:r>
        <w:rPr>
          <w:rFonts w:hint="eastAsia"/>
          <w:kern w:val="0"/>
          <w:szCs w:val="21"/>
        </w:rPr>
        <w:t>课程论文</w:t>
      </w:r>
      <w:r>
        <w:rPr>
          <w:kern w:val="0"/>
          <w:szCs w:val="21"/>
        </w:rPr>
        <w:t>成绩60%</w:t>
      </w:r>
    </w:p>
    <w:p>
      <w:pPr>
        <w:snapToGrid w:val="0"/>
        <w:spacing w:line="360" w:lineRule="auto"/>
        <w:ind w:firstLine="420"/>
        <w:rPr>
          <w:kern w:val="0"/>
          <w:szCs w:val="21"/>
          <w:lang w:val="zh-CN"/>
        </w:rPr>
      </w:pPr>
    </w:p>
    <w:p>
      <w:pPr>
        <w:adjustRightInd w:val="0"/>
        <w:snapToGrid w:val="0"/>
        <w:spacing w:before="156" w:beforeLines="50" w:line="360" w:lineRule="auto"/>
        <w:rPr>
          <w:rFonts w:ascii="宋体" w:hAnsi="宋体"/>
          <w:b/>
          <w:szCs w:val="21"/>
        </w:rPr>
      </w:pPr>
      <w:r>
        <w:rPr>
          <w:rFonts w:hint="eastAsia" w:ascii="宋体" w:hAnsi="宋体"/>
          <w:b/>
          <w:szCs w:val="21"/>
        </w:rPr>
        <w:t>五、考核结果分析反馈</w:t>
      </w:r>
    </w:p>
    <w:p>
      <w:pPr>
        <w:spacing w:line="360" w:lineRule="auto"/>
        <w:ind w:firstLine="420"/>
        <w:rPr>
          <w:rFonts w:ascii="宋体" w:hAnsi="宋体"/>
          <w:b/>
          <w:szCs w:val="21"/>
        </w:rPr>
      </w:pPr>
      <w:r>
        <w:rPr>
          <w:rFonts w:hint="eastAsia"/>
          <w:szCs w:val="21"/>
        </w:rPr>
        <w:t>本课程</w:t>
      </w:r>
      <w:r>
        <w:rPr>
          <w:rFonts w:hint="eastAsia" w:hAnsi="宋体"/>
          <w:szCs w:val="21"/>
        </w:rPr>
        <w:t>以全新的视角，将一些检索工具与传统的和现代的手段有机地融为一体，要求学生学习</w:t>
      </w:r>
      <w:r>
        <w:rPr>
          <w:rFonts w:hAnsi="宋体"/>
          <w:color w:val="333333"/>
          <w:kern w:val="0"/>
          <w:szCs w:val="21"/>
        </w:rPr>
        <w:t>检索语言、文献记录、检索字段等基本知识；</w:t>
      </w:r>
      <w:r>
        <w:rPr>
          <w:rFonts w:hAnsi="宋体"/>
          <w:kern w:val="0"/>
          <w:szCs w:val="21"/>
        </w:rPr>
        <w:t>熟悉科技论文的体裁、类型及各自写作特点要求，学会分析科技论文的信息，并能正确应用于科研实践</w:t>
      </w:r>
      <w:r>
        <w:rPr>
          <w:rFonts w:hint="eastAsia" w:hAnsi="宋体"/>
          <w:kern w:val="0"/>
          <w:szCs w:val="21"/>
        </w:rPr>
        <w:t>等内容。因此针对课程的考核结果分析反馈将从以下多个方面进行：</w:t>
      </w:r>
    </w:p>
    <w:p>
      <w:pPr>
        <w:adjustRightInd w:val="0"/>
        <w:snapToGrid w:val="0"/>
        <w:spacing w:line="360" w:lineRule="auto"/>
        <w:ind w:firstLine="420" w:firstLineChars="200"/>
        <w:rPr>
          <w:szCs w:val="21"/>
        </w:rPr>
      </w:pPr>
      <w:r>
        <w:rPr>
          <w:rFonts w:hint="eastAsia"/>
          <w:szCs w:val="21"/>
        </w:rPr>
        <w:t>（1</w:t>
      </w:r>
      <w:r>
        <w:rPr>
          <w:szCs w:val="21"/>
        </w:rPr>
        <w:t>）</w:t>
      </w:r>
      <w:r>
        <w:rPr>
          <w:rFonts w:hint="eastAsia"/>
          <w:szCs w:val="21"/>
        </w:rPr>
        <w:t>本门课程考试成绩的构成情况：如形成性成绩所占比例和评分依据等。</w:t>
      </w:r>
    </w:p>
    <w:p>
      <w:pPr>
        <w:adjustRightInd w:val="0"/>
        <w:snapToGrid w:val="0"/>
        <w:spacing w:line="360" w:lineRule="auto"/>
        <w:ind w:firstLine="420" w:firstLineChars="200"/>
        <w:rPr>
          <w:szCs w:val="21"/>
        </w:rPr>
      </w:pPr>
      <w:r>
        <w:rPr>
          <w:rFonts w:hint="eastAsia"/>
          <w:szCs w:val="21"/>
        </w:rPr>
        <w:t>（2）本门课程的整体考试情况：结合综合成绩分布情况，从难度、信度、效度等方面进行分析。</w:t>
      </w:r>
    </w:p>
    <w:p>
      <w:pPr>
        <w:adjustRightInd w:val="0"/>
        <w:snapToGrid w:val="0"/>
        <w:spacing w:line="360" w:lineRule="auto"/>
        <w:ind w:firstLine="420" w:firstLineChars="200"/>
        <w:rPr>
          <w:szCs w:val="21"/>
        </w:rPr>
      </w:pPr>
      <w:r>
        <w:rPr>
          <w:rFonts w:hint="eastAsia"/>
          <w:szCs w:val="21"/>
        </w:rPr>
        <w:t>（3）</w:t>
      </w:r>
      <w:r>
        <w:rPr>
          <w:rFonts w:hAnsi="宋体"/>
          <w:color w:val="353535"/>
          <w:kern w:val="0"/>
          <w:szCs w:val="21"/>
        </w:rPr>
        <w:t>期末课程论文</w:t>
      </w:r>
      <w:r>
        <w:rPr>
          <w:rFonts w:hint="eastAsia" w:hAnsi="宋体"/>
          <w:color w:val="353535"/>
          <w:kern w:val="0"/>
          <w:szCs w:val="21"/>
        </w:rPr>
        <w:t>撰写情况</w:t>
      </w:r>
      <w:r>
        <w:rPr>
          <w:rFonts w:hint="eastAsia"/>
          <w:szCs w:val="21"/>
        </w:rPr>
        <w:t>：论文各部分撰写规范程度、文章的逻辑和流畅程度等方面。</w:t>
      </w:r>
    </w:p>
    <w:p>
      <w:pPr>
        <w:adjustRightInd w:val="0"/>
        <w:snapToGrid w:val="0"/>
        <w:spacing w:line="360" w:lineRule="auto"/>
        <w:ind w:firstLine="420" w:firstLineChars="200"/>
        <w:rPr>
          <w:szCs w:val="21"/>
        </w:rPr>
      </w:pPr>
      <w:r>
        <w:rPr>
          <w:rFonts w:hint="eastAsia"/>
          <w:szCs w:val="21"/>
        </w:rPr>
        <w:t>（4）反映出的问题：包括形成性考核所反映出来的问题。如学生在知识掌握、论文撰写、学习方法等方面的问题，教师在教学过程中存在的问题等。</w:t>
      </w:r>
    </w:p>
    <w:p>
      <w:pPr>
        <w:adjustRightInd w:val="0"/>
        <w:snapToGrid w:val="0"/>
        <w:spacing w:line="360" w:lineRule="auto"/>
        <w:ind w:firstLine="420" w:firstLineChars="200"/>
        <w:rPr>
          <w:rFonts w:ascii="宋体" w:hAnsi="宋体" w:cs="宋体"/>
          <w:b/>
          <w:bCs/>
          <w:kern w:val="36"/>
          <w:sz w:val="24"/>
          <w:szCs w:val="48"/>
        </w:rPr>
      </w:pPr>
      <w:r>
        <w:rPr>
          <w:rFonts w:hint="eastAsia"/>
          <w:szCs w:val="21"/>
        </w:rPr>
        <w:t>（5）给同学们的学习建议及在今后教学中应注意的问题。</w:t>
      </w:r>
    </w:p>
    <w:p>
      <w:pPr>
        <w:rPr>
          <w:sz w:val="28"/>
        </w:rPr>
      </w:pPr>
      <w:bookmarkStart w:id="1534" w:name="_Toc138076822"/>
      <w:bookmarkStart w:id="1535" w:name="_Toc489359171"/>
      <w:bookmarkStart w:id="1536" w:name="_Toc138076278"/>
      <w:r>
        <w:rPr>
          <w:sz w:val="28"/>
        </w:rPr>
        <w:br w:type="page"/>
      </w:r>
    </w:p>
    <w:p>
      <w:pPr>
        <w:pStyle w:val="21"/>
        <w:rPr>
          <w:rFonts w:hint="default" w:eastAsiaTheme="majorEastAsia"/>
          <w:sz w:val="28"/>
          <w:lang w:val="en-US" w:eastAsia="zh-CN"/>
        </w:rPr>
      </w:pPr>
      <w:bookmarkStart w:id="1537" w:name="_Toc25287"/>
      <w:r>
        <w:rPr>
          <w:sz w:val="28"/>
        </w:rPr>
        <w:t>园艺产品营养学</w:t>
      </w:r>
      <w:bookmarkEnd w:id="1534"/>
      <w:bookmarkEnd w:id="1535"/>
      <w:bookmarkEnd w:id="1536"/>
      <w:bookmarkEnd w:id="1537"/>
      <w:r>
        <w:rPr>
          <w:rFonts w:hint="eastAsia"/>
          <w:sz w:val="28"/>
          <w:lang w:val="en-US" w:eastAsia="zh-CN"/>
        </w:rPr>
        <w:t>考核大纲</w:t>
      </w:r>
    </w:p>
    <w:p>
      <w:pPr>
        <w:snapToGrid w:val="0"/>
        <w:spacing w:line="360" w:lineRule="auto"/>
        <w:jc w:val="center"/>
        <w:rPr>
          <w:rFonts w:eastAsiaTheme="minorEastAsia"/>
          <w:iCs/>
          <w:sz w:val="24"/>
        </w:rPr>
      </w:pPr>
      <w:r>
        <w:rPr>
          <w:rFonts w:eastAsiaTheme="minorEastAsia"/>
          <w:iCs/>
          <w:sz w:val="24"/>
        </w:rPr>
        <w:t>（Horticultural products nutriology）</w:t>
      </w:r>
    </w:p>
    <w:p>
      <w:pPr>
        <w:widowControl/>
        <w:wordWrap w:val="0"/>
        <w:spacing w:before="120" w:after="120"/>
        <w:jc w:val="center"/>
        <w:outlineLvl w:val="0"/>
        <w:rPr>
          <w:rFonts w:hAnsi="宋体" w:eastAsia="黑体" w:cs="宋体"/>
          <w:b/>
          <w:bCs/>
          <w:kern w:val="36"/>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68"/>
        <w:gridCol w:w="2318"/>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pPr>
              <w:spacing w:line="300" w:lineRule="auto"/>
              <w:rPr>
                <w:rFonts w:ascii="宋体" w:hAnsi="宋体"/>
                <w:b/>
                <w:bCs/>
                <w:szCs w:val="21"/>
              </w:rPr>
            </w:pPr>
            <w:r>
              <w:rPr>
                <w:rFonts w:hint="eastAsia" w:ascii="宋体" w:hAnsi="宋体"/>
                <w:b/>
                <w:bCs/>
                <w:szCs w:val="21"/>
              </w:rPr>
              <w:t>课程编号：</w:t>
            </w:r>
            <w:r>
              <w:rPr>
                <w:rFonts w:eastAsiaTheme="minorEastAsia"/>
                <w:b/>
                <w:bCs/>
                <w:szCs w:val="21"/>
              </w:rPr>
              <w:t>19011061</w:t>
            </w:r>
          </w:p>
        </w:tc>
        <w:tc>
          <w:tcPr>
            <w:tcW w:w="1271" w:type="pct"/>
          </w:tcPr>
          <w:p>
            <w:pPr>
              <w:spacing w:line="300" w:lineRule="auto"/>
              <w:rPr>
                <w:rFonts w:ascii="宋体" w:hAnsi="宋体"/>
                <w:b/>
                <w:bCs/>
                <w:szCs w:val="21"/>
              </w:rPr>
            </w:pPr>
            <w:r>
              <w:rPr>
                <w:rFonts w:hint="eastAsia" w:ascii="宋体" w:hAnsi="宋体"/>
                <w:b/>
                <w:bCs/>
                <w:szCs w:val="21"/>
              </w:rPr>
              <w:t>课程学时：</w:t>
            </w:r>
            <w:r>
              <w:rPr>
                <w:rFonts w:eastAsiaTheme="minorEastAsia"/>
                <w:b/>
                <w:bCs/>
                <w:szCs w:val="21"/>
              </w:rPr>
              <w:t>32</w:t>
            </w:r>
          </w:p>
        </w:tc>
        <w:tc>
          <w:tcPr>
            <w:tcW w:w="1881" w:type="pct"/>
          </w:tcPr>
          <w:p>
            <w:pPr>
              <w:spacing w:line="300" w:lineRule="auto"/>
              <w:rPr>
                <w:rFonts w:ascii="宋体" w:hAnsi="宋体"/>
                <w:b/>
                <w:bCs/>
                <w:szCs w:val="21"/>
              </w:rPr>
            </w:pPr>
            <w:r>
              <w:rPr>
                <w:rFonts w:hint="eastAsia" w:ascii="宋体" w:hAnsi="宋体"/>
                <w:b/>
                <w:bCs/>
                <w:szCs w:val="21"/>
              </w:rPr>
              <w:t>课程学分：</w:t>
            </w:r>
            <w:r>
              <w:rPr>
                <w:rFonts w:eastAsiaTheme="minorEastAsia"/>
                <w:b/>
                <w:bCs/>
                <w:szCs w:val="21"/>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47" w:type="pct"/>
          </w:tcPr>
          <w:p>
            <w:pPr>
              <w:spacing w:line="300" w:lineRule="auto"/>
              <w:rPr>
                <w:rFonts w:ascii="宋体" w:hAnsi="宋体" w:eastAsiaTheme="minorEastAsia"/>
                <w:b/>
                <w:bCs/>
                <w:szCs w:val="21"/>
              </w:rPr>
            </w:pPr>
            <w:r>
              <w:rPr>
                <w:rFonts w:hint="eastAsia" w:ascii="宋体" w:hAnsi="宋体"/>
                <w:b/>
                <w:bCs/>
                <w:szCs w:val="21"/>
              </w:rPr>
              <w:t>主撰人：</w:t>
            </w:r>
            <w:r>
              <w:rPr>
                <w:rFonts w:hAnsiTheme="minorEastAsia" w:eastAsiaTheme="minorEastAsia"/>
                <w:b/>
                <w:bCs/>
                <w:szCs w:val="21"/>
              </w:rPr>
              <w:t>贾芝琪</w:t>
            </w:r>
            <w:r>
              <w:rPr>
                <w:rFonts w:hint="eastAsia" w:eastAsiaTheme="minorEastAsia"/>
                <w:b/>
                <w:bCs/>
                <w:szCs w:val="21"/>
              </w:rPr>
              <w:t>、</w:t>
            </w:r>
            <w:r>
              <w:rPr>
                <w:rFonts w:hAnsiTheme="minorEastAsia" w:eastAsiaTheme="minorEastAsia"/>
                <w:b/>
                <w:bCs/>
                <w:szCs w:val="21"/>
              </w:rPr>
              <w:t>侯娟</w:t>
            </w:r>
            <w:r>
              <w:rPr>
                <w:rFonts w:hint="eastAsia" w:hAnsiTheme="minorEastAsia" w:eastAsiaTheme="minorEastAsia"/>
                <w:b/>
                <w:bCs/>
                <w:szCs w:val="21"/>
              </w:rPr>
              <w:t>、张海朋</w:t>
            </w:r>
          </w:p>
        </w:tc>
        <w:tc>
          <w:tcPr>
            <w:tcW w:w="1271" w:type="pct"/>
          </w:tcPr>
          <w:p>
            <w:pPr>
              <w:spacing w:line="300" w:lineRule="auto"/>
              <w:rPr>
                <w:rFonts w:ascii="宋体" w:hAnsi="宋体"/>
                <w:b/>
                <w:bCs/>
                <w:szCs w:val="21"/>
              </w:rPr>
            </w:pPr>
            <w:r>
              <w:rPr>
                <w:rFonts w:hint="eastAsia" w:ascii="宋体" w:hAnsi="宋体"/>
                <w:b/>
                <w:bCs/>
                <w:szCs w:val="21"/>
              </w:rPr>
              <w:t>审核人：</w:t>
            </w:r>
            <w:r>
              <w:rPr>
                <w:rFonts w:hAnsiTheme="minorEastAsia" w:eastAsiaTheme="minorEastAsia"/>
                <w:b/>
                <w:bCs/>
                <w:szCs w:val="21"/>
              </w:rPr>
              <w:t>王兰菊</w:t>
            </w:r>
          </w:p>
        </w:tc>
        <w:tc>
          <w:tcPr>
            <w:tcW w:w="1881" w:type="pct"/>
          </w:tcPr>
          <w:p>
            <w:pPr>
              <w:spacing w:line="300" w:lineRule="auto"/>
              <w:rPr>
                <w:rFonts w:ascii="宋体" w:hAnsi="宋体" w:eastAsiaTheme="minorEastAsia"/>
                <w:b/>
                <w:bCs/>
                <w:szCs w:val="21"/>
              </w:rPr>
            </w:pPr>
            <w:r>
              <w:rPr>
                <w:rFonts w:hint="eastAsia" w:ascii="宋体" w:hAnsi="宋体"/>
                <w:b/>
                <w:bCs/>
                <w:szCs w:val="21"/>
              </w:rPr>
              <w:t>大纲制定（修订）日期</w:t>
            </w:r>
            <w:r>
              <w:rPr>
                <w:rFonts w:hAnsiTheme="minorEastAsia" w:eastAsiaTheme="minorEastAsia"/>
                <w:b/>
                <w:bCs/>
                <w:szCs w:val="21"/>
              </w:rPr>
              <w:t>：</w:t>
            </w:r>
            <w:r>
              <w:rPr>
                <w:rFonts w:hint="eastAsia" w:hAnsiTheme="minorEastAsia" w:eastAsiaTheme="minorEastAsia"/>
                <w:b/>
                <w:bCs/>
                <w:szCs w:val="21"/>
              </w:rPr>
              <w:t>2023.05</w:t>
            </w:r>
          </w:p>
        </w:tc>
      </w:tr>
    </w:tbl>
    <w:p>
      <w:pPr>
        <w:widowControl/>
        <w:snapToGrid w:val="0"/>
        <w:spacing w:line="360" w:lineRule="auto"/>
        <w:jc w:val="left"/>
        <w:outlineLvl w:val="1"/>
        <w:rPr>
          <w:rFonts w:ascii="宋体" w:hAnsi="宋体" w:cs="宋体"/>
          <w:b/>
          <w:bCs/>
          <w:kern w:val="0"/>
          <w:szCs w:val="21"/>
        </w:rPr>
      </w:pPr>
      <w:bookmarkStart w:id="1538" w:name="_Toc138076528"/>
      <w:bookmarkStart w:id="1539" w:name="_Toc12056"/>
      <w:bookmarkStart w:id="1540" w:name="_Toc138070614"/>
      <w:bookmarkStart w:id="1541" w:name="_Toc138076279"/>
      <w:bookmarkStart w:id="1542" w:name="_Toc138068584"/>
      <w:bookmarkStart w:id="1543" w:name="_Toc138070885"/>
      <w:bookmarkStart w:id="1544" w:name="_Toc138076823"/>
      <w:bookmarkStart w:id="1545" w:name="_Toc138068983"/>
      <w:r>
        <w:rPr>
          <w:rFonts w:hint="eastAsia" w:ascii="宋体" w:hAnsi="宋体" w:cs="宋体"/>
          <w:b/>
          <w:bCs/>
          <w:kern w:val="0"/>
          <w:szCs w:val="21"/>
        </w:rPr>
        <w:t>一、课程的性质和地位</w:t>
      </w:r>
      <w:bookmarkEnd w:id="1538"/>
      <w:bookmarkEnd w:id="1539"/>
      <w:bookmarkEnd w:id="1540"/>
      <w:bookmarkEnd w:id="1541"/>
      <w:bookmarkEnd w:id="1542"/>
      <w:bookmarkEnd w:id="1543"/>
      <w:bookmarkEnd w:id="1544"/>
      <w:bookmarkEnd w:id="1545"/>
    </w:p>
    <w:p>
      <w:pPr>
        <w:widowControl/>
        <w:snapToGrid w:val="0"/>
        <w:spacing w:line="360" w:lineRule="auto"/>
        <w:ind w:firstLine="420"/>
        <w:jc w:val="left"/>
        <w:rPr>
          <w:rFonts w:hAnsiTheme="minorEastAsia" w:eastAsiaTheme="minorEastAsia"/>
          <w:szCs w:val="21"/>
        </w:rPr>
      </w:pPr>
      <w:r>
        <w:rPr>
          <w:rFonts w:hint="eastAsia" w:asciiTheme="minorEastAsia" w:hAnsiTheme="minorEastAsia" w:eastAsiaTheme="minorEastAsia" w:cstheme="minorEastAsia"/>
          <w:kern w:val="0"/>
          <w:szCs w:val="21"/>
        </w:rPr>
        <w:t>《园艺产品营养学》是</w:t>
      </w:r>
      <w:r>
        <w:rPr>
          <w:rFonts w:hAnsiTheme="minorEastAsia" w:eastAsiaTheme="minorEastAsia"/>
          <w:szCs w:val="21"/>
        </w:rPr>
        <w:t>园艺、茶学、设施农业科学与工程专业的选修课</w:t>
      </w:r>
      <w:r>
        <w:rPr>
          <w:rFonts w:hint="eastAsia" w:asciiTheme="minorEastAsia" w:hAnsiTheme="minorEastAsia" w:eastAsiaTheme="minorEastAsia" w:cstheme="minorEastAsia"/>
          <w:kern w:val="0"/>
          <w:szCs w:val="21"/>
        </w:rPr>
        <w:t>，</w:t>
      </w:r>
      <w:r>
        <w:rPr>
          <w:rFonts w:hint="eastAsia"/>
          <w:szCs w:val="21"/>
          <w:shd w:val="clear" w:color="auto" w:fill="FFFFFF"/>
        </w:rPr>
        <w:t>园艺产品在人们生活中，最重要的作用之一就是提供人们日常食物中所需的果蔬产品。随着园艺产业的发展以及人们对“吃”的方面要求的提高，目前人们对果蔬等园艺产品的消费需求方向也在不断发生变化，在园艺产品的消费过程中更加注重营养品质，由此园艺产业的发展也从数量型向质量型转变。</w:t>
      </w:r>
      <w:r>
        <w:rPr>
          <w:rFonts w:hint="eastAsia" w:asciiTheme="minorEastAsia" w:hAnsiTheme="minorEastAsia" w:eastAsiaTheme="minorEastAsia" w:cstheme="minorEastAsia"/>
          <w:kern w:val="0"/>
          <w:szCs w:val="21"/>
        </w:rPr>
        <w:t>本课程从营养学角度对不同种类的园艺产品及其功能成分进行分析阐述，重点介绍了基础营养学、园艺产品的营养构成、园艺产品的营养与功能、园艺产品营养的形成与调控等。</w:t>
      </w:r>
      <w:r>
        <w:rPr>
          <w:rFonts w:hAnsiTheme="minorEastAsia" w:eastAsiaTheme="minorEastAsia"/>
          <w:szCs w:val="21"/>
        </w:rPr>
        <w:t>本课程的开设可进一步</w:t>
      </w:r>
      <w:r>
        <w:rPr>
          <w:rFonts w:hint="eastAsia" w:hAnsiTheme="minorEastAsia" w:eastAsiaTheme="minorEastAsia"/>
          <w:szCs w:val="21"/>
        </w:rPr>
        <w:t>让学生了解</w:t>
      </w:r>
      <w:r>
        <w:rPr>
          <w:rFonts w:hint="eastAsia"/>
          <w:szCs w:val="21"/>
          <w:shd w:val="clear" w:color="auto" w:fill="FFFFFF"/>
        </w:rPr>
        <w:t>园艺产品与人类生活、人体健康、产业发展等的联系</w:t>
      </w:r>
      <w:r>
        <w:rPr>
          <w:rFonts w:hint="eastAsia" w:hAnsiTheme="minorEastAsia" w:eastAsiaTheme="minorEastAsia"/>
          <w:szCs w:val="21"/>
        </w:rPr>
        <w:t>，提高对园艺产品的认知水平，</w:t>
      </w:r>
      <w:r>
        <w:rPr>
          <w:rFonts w:hAnsiTheme="minorEastAsia" w:eastAsiaTheme="minorEastAsia"/>
          <w:szCs w:val="21"/>
        </w:rPr>
        <w:t>加强学生的综合素质培养，增强学生发现问题、分析问题和解决问题的能力，推动我国</w:t>
      </w:r>
      <w:r>
        <w:rPr>
          <w:rFonts w:hint="eastAsia" w:hAnsiTheme="minorEastAsia" w:eastAsiaTheme="minorEastAsia"/>
          <w:szCs w:val="21"/>
        </w:rPr>
        <w:t>园艺产品品质调控的</w:t>
      </w:r>
      <w:r>
        <w:rPr>
          <w:rFonts w:hAnsiTheme="minorEastAsia" w:eastAsiaTheme="minorEastAsia"/>
          <w:szCs w:val="21"/>
        </w:rPr>
        <w:t>研究与应用。</w:t>
      </w:r>
      <w:r>
        <w:rPr>
          <w:rFonts w:hint="eastAsia" w:asciiTheme="minorEastAsia" w:hAnsiTheme="minorEastAsia" w:eastAsiaTheme="minorEastAsia" w:cstheme="minorEastAsia"/>
          <w:kern w:val="0"/>
          <w:szCs w:val="21"/>
        </w:rPr>
        <w:t>通过该课程的学习，</w:t>
      </w:r>
      <w:r>
        <w:rPr>
          <w:rFonts w:hint="eastAsia" w:asciiTheme="minorEastAsia" w:hAnsiTheme="minorEastAsia" w:eastAsiaTheme="minorEastAsia" w:cstheme="minorEastAsia"/>
        </w:rPr>
        <w:t>学生能全面了解园艺产品营养学理论，掌握园艺营养保健相关的功能成分、营养价值及其应用前景；熟悉园艺产品的营养保健功能，园艺产品营养形成与调控的路径，为开发高营养价值的园艺产品，调整人们膳食结构提供基本知识和信息。</w:t>
      </w:r>
    </w:p>
    <w:p>
      <w:pPr>
        <w:snapToGrid w:val="0"/>
        <w:spacing w:line="360" w:lineRule="auto"/>
        <w:rPr>
          <w:rFonts w:ascii="宋体" w:hAnsi="宋体"/>
          <w:b/>
          <w:szCs w:val="21"/>
        </w:rPr>
      </w:pPr>
      <w:r>
        <w:rPr>
          <w:rFonts w:hint="eastAsia" w:ascii="宋体" w:hAnsi="宋体"/>
          <w:b/>
          <w:szCs w:val="21"/>
        </w:rPr>
        <w:t>二、理论教学部分的考核目标</w:t>
      </w:r>
    </w:p>
    <w:p>
      <w:pPr>
        <w:snapToGrid w:val="0"/>
        <w:spacing w:line="360" w:lineRule="auto"/>
        <w:ind w:firstLine="420" w:firstLineChars="200"/>
        <w:rPr>
          <w:rFonts w:eastAsiaTheme="minorEastAsia"/>
          <w:szCs w:val="21"/>
        </w:rPr>
      </w:pPr>
      <w:r>
        <w:rPr>
          <w:rFonts w:eastAsiaTheme="minorEastAsia"/>
          <w:kern w:val="0"/>
          <w:szCs w:val="21"/>
        </w:rPr>
        <w:t>通过该课程的学习，</w:t>
      </w:r>
      <w:r>
        <w:rPr>
          <w:rFonts w:eastAsiaTheme="minorEastAsia"/>
        </w:rPr>
        <w:t>使学生能全面了解园艺产品营养学</w:t>
      </w:r>
      <w:r>
        <w:rPr>
          <w:rFonts w:hint="eastAsia" w:eastAsiaTheme="minorEastAsia"/>
        </w:rPr>
        <w:t>基础</w:t>
      </w:r>
      <w:r>
        <w:rPr>
          <w:rFonts w:eastAsiaTheme="minorEastAsia"/>
        </w:rPr>
        <w:t>理论，掌握</w:t>
      </w:r>
      <w:r>
        <w:rPr>
          <w:rFonts w:hint="eastAsia" w:eastAsiaTheme="minorEastAsia"/>
        </w:rPr>
        <w:t>园艺产品</w:t>
      </w:r>
      <w:r>
        <w:rPr>
          <w:rFonts w:eastAsiaTheme="minorEastAsia"/>
        </w:rPr>
        <w:t>营养保健相关的功能成分</w:t>
      </w:r>
      <w:r>
        <w:rPr>
          <w:rFonts w:hint="eastAsia" w:eastAsiaTheme="minorEastAsia"/>
        </w:rPr>
        <w:t>、</w:t>
      </w:r>
      <w:r>
        <w:rPr>
          <w:rFonts w:eastAsiaTheme="minorEastAsia"/>
        </w:rPr>
        <w:t>营养价值及其应用前景；熟悉园艺产品的营养保健功能，园艺产品营养形成</w:t>
      </w:r>
      <w:r>
        <w:rPr>
          <w:rFonts w:hint="eastAsia" w:eastAsiaTheme="minorEastAsia"/>
        </w:rPr>
        <w:t>与调控</w:t>
      </w:r>
      <w:r>
        <w:rPr>
          <w:rFonts w:eastAsiaTheme="minorEastAsia"/>
        </w:rPr>
        <w:t>，为</w:t>
      </w:r>
      <w:r>
        <w:rPr>
          <w:rFonts w:hint="eastAsia" w:eastAsiaTheme="minorEastAsia"/>
        </w:rPr>
        <w:t>提高园艺产品营养认知水平、</w:t>
      </w:r>
      <w:r>
        <w:rPr>
          <w:rFonts w:eastAsiaTheme="minorEastAsia"/>
        </w:rPr>
        <w:t>开发高营养价值的园艺产品</w:t>
      </w:r>
      <w:r>
        <w:rPr>
          <w:rFonts w:hint="eastAsia" w:eastAsiaTheme="minorEastAsia"/>
        </w:rPr>
        <w:t>、</w:t>
      </w:r>
      <w:r>
        <w:rPr>
          <w:rFonts w:eastAsiaTheme="minorEastAsia"/>
        </w:rPr>
        <w:t>调整人们膳食结构提供基本知识和信息。</w:t>
      </w:r>
    </w:p>
    <w:p>
      <w:pPr>
        <w:snapToGrid w:val="0"/>
        <w:spacing w:line="360" w:lineRule="auto"/>
        <w:ind w:firstLine="103" w:firstLineChars="49"/>
        <w:jc w:val="center"/>
        <w:rPr>
          <w:rFonts w:ascii="宋体" w:hAnsi="宋体"/>
          <w:b/>
          <w:szCs w:val="21"/>
        </w:rPr>
      </w:pPr>
      <w:r>
        <w:rPr>
          <w:rFonts w:hint="eastAsia" w:ascii="宋体" w:hAnsi="宋体"/>
          <w:b/>
          <w:szCs w:val="21"/>
        </w:rPr>
        <w:t>绪 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asciiTheme="minorEastAsia" w:hAnsiTheme="minorEastAsia" w:eastAsiaTheme="minorEastAsia" w:cstheme="minorEastAsia"/>
          <w:bCs/>
        </w:rPr>
        <w:t>营养学基本概念及发展简史；</w:t>
      </w:r>
      <w:r>
        <w:rPr>
          <w:rFonts w:hint="eastAsia" w:ascii="宋体" w:hAnsi="宋体"/>
          <w:szCs w:val="21"/>
        </w:rPr>
        <w:t>园艺产品营养学概念，主要营养成分组成。</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：常见园艺产品的营养成分，园艺产品对生活的意义。</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asciiTheme="minorEastAsia" w:hAnsiTheme="minorEastAsia" w:eastAsiaTheme="minorEastAsia" w:cstheme="minorEastAsia"/>
          <w:bCs/>
        </w:rPr>
        <w:t>中国居民膳食指南的内容；</w:t>
      </w:r>
      <w:r>
        <w:rPr>
          <w:rFonts w:hint="eastAsia" w:ascii="宋体" w:hAnsi="宋体"/>
          <w:bCs/>
          <w:szCs w:val="21"/>
        </w:rPr>
        <w:t>园艺产品对生活品质提升的意义和作用。</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bCs/>
          <w:szCs w:val="21"/>
        </w:rPr>
        <w:t>园艺产品主要营养成分；</w:t>
      </w:r>
      <w:r>
        <w:rPr>
          <w:rFonts w:hint="eastAsia" w:asciiTheme="minorEastAsia" w:hAnsiTheme="minorEastAsia" w:eastAsiaTheme="minorEastAsia" w:cstheme="minorEastAsia"/>
        </w:rPr>
        <w:t>营养学的相关概念；</w:t>
      </w:r>
      <w:r>
        <w:rPr>
          <w:rFonts w:hint="eastAsia" w:asciiTheme="minorEastAsia" w:hAnsiTheme="minorEastAsia" w:eastAsiaTheme="minorEastAsia" w:cstheme="minorEastAsia"/>
          <w:bCs/>
        </w:rPr>
        <w:t>园艺产品营养学的重要意义；中国居民膳食指南的内容</w:t>
      </w:r>
      <w:r>
        <w:rPr>
          <w:rFonts w:hint="eastAsia" w:ascii="宋体" w:hAnsi="宋体"/>
          <w:bCs/>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Cs/>
          <w:szCs w:val="21"/>
        </w:rPr>
      </w:pPr>
      <w:r>
        <w:rPr>
          <w:rFonts w:hint="eastAsia" w:ascii="宋体" w:hAnsi="宋体"/>
          <w:b/>
          <w:szCs w:val="21"/>
        </w:rPr>
        <w:t>1.识记</w:t>
      </w:r>
      <w:r>
        <w:rPr>
          <w:rFonts w:hint="eastAsia" w:ascii="宋体" w:hAnsi="宋体"/>
          <w:szCs w:val="21"/>
        </w:rPr>
        <w:t>：</w:t>
      </w:r>
      <w:r>
        <w:rPr>
          <w:rFonts w:hint="eastAsia" w:ascii="宋体" w:hAnsi="宋体"/>
          <w:bCs/>
          <w:szCs w:val="21"/>
        </w:rPr>
        <w:t>主要园艺产品中的营养成分。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ascii="宋体" w:hAnsi="宋体"/>
          <w:bCs/>
          <w:szCs w:val="21"/>
        </w:rPr>
        <w:t>园艺产品对生活品质提升中的意义。</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综合评价园艺产品营养物质成分；</w:t>
      </w:r>
      <w:r>
        <w:rPr>
          <w:rFonts w:hint="eastAsia" w:asciiTheme="minorEastAsia" w:hAnsiTheme="minorEastAsia" w:eastAsiaTheme="minorEastAsia" w:cstheme="minorEastAsia"/>
          <w:bCs/>
        </w:rPr>
        <w:t>中国居民膳食指南的内容</w:t>
      </w:r>
      <w:r>
        <w:rPr>
          <w:rFonts w:hint="eastAsia" w:ascii="宋体" w:hAnsi="宋体"/>
          <w:bCs/>
          <w:szCs w:val="21"/>
        </w:rPr>
        <w:t>。</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szCs w:val="21"/>
        </w:rPr>
        <w:t>分析自己的膳食结构；</w:t>
      </w:r>
      <w:r>
        <w:rPr>
          <w:rFonts w:hint="eastAsia" w:ascii="宋体" w:hAnsi="宋体"/>
          <w:bCs/>
          <w:szCs w:val="21"/>
        </w:rPr>
        <w:t>从营养成分的角度分析园艺产品的食用价值。</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w:t>
      </w:r>
      <w:r>
        <w:rPr>
          <w:rFonts w:hint="eastAsia" w:ascii="宋体" w:hAnsi="宋体"/>
          <w:bCs/>
          <w:szCs w:val="21"/>
        </w:rPr>
        <w:t>综合评价园艺产品的营养价值。</w:t>
      </w:r>
    </w:p>
    <w:p>
      <w:pPr>
        <w:snapToGrid w:val="0"/>
        <w:spacing w:line="360" w:lineRule="auto"/>
        <w:ind w:firstLine="422" w:firstLineChars="200"/>
        <w:rPr>
          <w:rFonts w:ascii="宋体" w:hAnsi="宋体"/>
          <w:b/>
          <w:szCs w:val="21"/>
        </w:rPr>
      </w:pPr>
      <w:r>
        <w:rPr>
          <w:rFonts w:hint="eastAsia" w:ascii="宋体" w:hAnsi="宋体"/>
          <w:b/>
          <w:szCs w:val="21"/>
        </w:rPr>
        <w:t>6.评价：</w:t>
      </w:r>
      <w:r>
        <w:rPr>
          <w:rFonts w:hint="eastAsia" w:ascii="宋体" w:hAnsi="宋体"/>
          <w:bCs/>
          <w:szCs w:val="21"/>
        </w:rPr>
        <w:t>掌握并明确主要园艺产品的营养价值。</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第一章  </w:t>
      </w:r>
      <w:r>
        <w:rPr>
          <w:rFonts w:hint="eastAsia" w:eastAsiaTheme="minorEastAsia"/>
          <w:b/>
          <w:bCs/>
        </w:rPr>
        <w:t>营养学基础</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：六大类营养素对人体的重要作用。</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：碳水化合物、蛋白质、脂类的分类和功能；六大类营养素的的食物来源和参考摄入量标准。</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：六大类营养素的名称和功能；矿物质、维生素缺乏症表现；</w:t>
      </w:r>
      <w:r>
        <w:rPr>
          <w:rFonts w:hint="eastAsia" w:asciiTheme="minorEastAsia" w:hAnsiTheme="minorEastAsia" w:eastAsiaTheme="minorEastAsia" w:cstheme="minorEastAsia"/>
        </w:rPr>
        <w:t>基础代谢（率）的概念；</w:t>
      </w:r>
      <w:r>
        <w:rPr>
          <w:rFonts w:hint="eastAsia" w:asciiTheme="minorEastAsia" w:hAnsiTheme="minorEastAsia" w:eastAsiaTheme="minorEastAsia" w:cstheme="minorEastAsia"/>
          <w:bCs/>
        </w:rPr>
        <w:t>产能营养素的生理有效能量的计算；</w:t>
      </w:r>
      <w:r>
        <w:rPr>
          <w:rFonts w:hint="eastAsia" w:asciiTheme="minorEastAsia" w:hAnsiTheme="minorEastAsia" w:eastAsiaTheme="minorEastAsia" w:cstheme="minorEastAsia"/>
        </w:rPr>
        <w:t>食物的血糖指生成数的概念和应用；脂溶性维生素和水溶性维生素的种类及其生理功能</w:t>
      </w:r>
      <w:r>
        <w:rPr>
          <w:rFonts w:hint="eastAsia" w:ascii="宋体" w:hAnsi="宋体"/>
          <w:bCs/>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rPr>
          <w:rFonts w:eastAsiaTheme="minorEastAsia"/>
        </w:rPr>
      </w:pPr>
      <w:r>
        <w:rPr>
          <w:rFonts w:hint="eastAsia" w:eastAsiaTheme="minorEastAsia"/>
        </w:rPr>
        <w:t>基础代谢（率）的概念；产能营养素的的计算；食物的血糖指生成数的概念和应用；脂类的营养价值评价；必需氨基酸、限制氨基酸、蛋白质互补作用的定义；食物蛋白质的营养价值评价；蛋白质的代谢及氮平衡；钙、铁、碘、锌、硒的生理功能及缺乏症表现；脂溶性维生素和水溶性维生素的种类及其生理功能；维生素缺乏的症状表现</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eastAsiaTheme="minorEastAsia"/>
          <w:b/>
          <w:szCs w:val="21"/>
        </w:rPr>
      </w:pPr>
      <w:r>
        <w:rPr>
          <w:rFonts w:hint="eastAsia" w:ascii="宋体" w:hAnsi="宋体"/>
          <w:b/>
          <w:szCs w:val="21"/>
        </w:rPr>
        <w:t>1.识记</w:t>
      </w:r>
      <w:r>
        <w:rPr>
          <w:rFonts w:hint="eastAsia" w:ascii="宋体" w:hAnsi="宋体"/>
          <w:szCs w:val="21"/>
        </w:rPr>
        <w:t>：六大类营养素的分类、功能、来源和摄入标准</w:t>
      </w:r>
      <w:r>
        <w:rPr>
          <w:rFonts w:hint="eastAsia" w:asciiTheme="minorEastAsia" w:hAnsiTheme="minorEastAsia" w:eastAsiaTheme="minorEastAsia" w:cstheme="minorEastAsia"/>
        </w:rPr>
        <w:t>；必需氨基酸、限制氨基酸、蛋白质互补作用的定义；不饱和脂肪酸定义；血糖指生成指数的概念。</w:t>
      </w:r>
    </w:p>
    <w:p>
      <w:pPr>
        <w:snapToGrid w:val="0"/>
        <w:spacing w:line="360" w:lineRule="auto"/>
        <w:ind w:firstLine="422" w:firstLineChars="200"/>
        <w:rPr>
          <w:rFonts w:ascii="宋体" w:hAnsi="宋体" w:eastAsiaTheme="minorEastAsia"/>
          <w:b/>
          <w:szCs w:val="21"/>
        </w:rPr>
      </w:pPr>
      <w:r>
        <w:rPr>
          <w:rFonts w:hint="eastAsia" w:ascii="宋体" w:hAnsi="宋体"/>
          <w:b/>
          <w:szCs w:val="21"/>
        </w:rPr>
        <w:t>2.领会</w:t>
      </w:r>
      <w:r>
        <w:rPr>
          <w:rFonts w:hint="eastAsia" w:ascii="宋体" w:hAnsi="宋体"/>
          <w:szCs w:val="21"/>
        </w:rPr>
        <w:t>：</w:t>
      </w:r>
      <w:r>
        <w:rPr>
          <w:rFonts w:hint="eastAsia" w:asciiTheme="minorEastAsia" w:hAnsiTheme="minorEastAsia" w:eastAsiaTheme="minorEastAsia" w:cstheme="minorEastAsia"/>
        </w:rPr>
        <w:t>必须脂肪酸的定义和生理功能；脂溶性维生素和水溶性维生素的种类；磷脂和胆固醇的生理功能。</w:t>
      </w:r>
    </w:p>
    <w:p>
      <w:pPr>
        <w:snapToGrid w:val="0"/>
        <w:spacing w:line="360" w:lineRule="auto"/>
        <w:ind w:firstLine="422" w:firstLineChars="200"/>
        <w:rPr>
          <w:rFonts w:asciiTheme="minorEastAsia" w:hAnsiTheme="minorEastAsia" w:eastAsiaTheme="minorEastAsia" w:cstheme="minorEastAsia"/>
        </w:rPr>
      </w:pPr>
      <w:r>
        <w:rPr>
          <w:rFonts w:hint="eastAsia" w:ascii="宋体" w:hAnsi="宋体"/>
          <w:b/>
          <w:szCs w:val="21"/>
        </w:rPr>
        <w:t>3.应用</w:t>
      </w:r>
      <w:r>
        <w:rPr>
          <w:rFonts w:hint="eastAsia" w:ascii="宋体" w:hAnsi="宋体"/>
          <w:szCs w:val="21"/>
        </w:rPr>
        <w:t>：营养素缺乏表现及判断；</w:t>
      </w:r>
      <w:r>
        <w:rPr>
          <w:rFonts w:hint="eastAsia" w:asciiTheme="minorEastAsia" w:hAnsiTheme="minorEastAsia" w:eastAsiaTheme="minorEastAsia" w:cstheme="minorEastAsia"/>
          <w:bCs/>
        </w:rPr>
        <w:t>产能营养素的计算；</w:t>
      </w:r>
      <w:r>
        <w:rPr>
          <w:rFonts w:hint="eastAsia" w:asciiTheme="minorEastAsia" w:hAnsiTheme="minorEastAsia" w:eastAsiaTheme="minorEastAsia" w:cstheme="minorEastAsia"/>
        </w:rPr>
        <w:t>人体摄入和消耗能量的计算方法；食物的血糖指生成数的应用。</w:t>
      </w:r>
    </w:p>
    <w:p>
      <w:pPr>
        <w:snapToGrid w:val="0"/>
        <w:spacing w:line="360" w:lineRule="auto"/>
        <w:ind w:firstLine="422" w:firstLineChars="200"/>
        <w:rPr>
          <w:rFonts w:ascii="宋体" w:hAnsi="宋体" w:eastAsiaTheme="minorEastAsia"/>
          <w:color w:val="0000FF"/>
          <w:szCs w:val="21"/>
        </w:rPr>
      </w:pPr>
      <w:r>
        <w:rPr>
          <w:rFonts w:hint="eastAsia" w:ascii="宋体" w:hAnsi="宋体"/>
          <w:b/>
          <w:szCs w:val="21"/>
        </w:rPr>
        <w:t>4.分析：</w:t>
      </w:r>
      <w:r>
        <w:rPr>
          <w:rFonts w:hint="eastAsia" w:ascii="宋体" w:hAnsi="宋体"/>
          <w:szCs w:val="20"/>
        </w:rPr>
        <w:t>计算能量摄入量和能量消耗量是否平衡；</w:t>
      </w:r>
      <w:r>
        <w:rPr>
          <w:rFonts w:hint="eastAsia" w:ascii="宋体" w:hAnsi="宋体"/>
          <w:szCs w:val="21"/>
        </w:rPr>
        <w:t>矿物质、维生素缺乏症表现；膳食结构合理性分析。</w:t>
      </w:r>
    </w:p>
    <w:p>
      <w:pPr>
        <w:snapToGrid w:val="0"/>
        <w:spacing w:line="360" w:lineRule="auto"/>
        <w:ind w:firstLine="422" w:firstLineChars="200"/>
        <w:rPr>
          <w:rFonts w:ascii="宋体" w:hAnsi="宋体"/>
          <w:b/>
          <w:szCs w:val="21"/>
        </w:rPr>
      </w:pPr>
      <w:r>
        <w:rPr>
          <w:rFonts w:hint="eastAsia" w:ascii="宋体" w:hAnsi="宋体"/>
          <w:b/>
          <w:szCs w:val="21"/>
        </w:rPr>
        <w:t>5.综合</w:t>
      </w:r>
      <w:r>
        <w:rPr>
          <w:rFonts w:hint="eastAsia" w:ascii="宋体" w:hAnsi="宋体"/>
          <w:szCs w:val="21"/>
        </w:rPr>
        <w:t>：能够掌握营养物质的基础和在日常生活中做到营养均衡。</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第二章  </w:t>
      </w:r>
      <w:r>
        <w:rPr>
          <w:rFonts w:eastAsiaTheme="minorEastAsia"/>
          <w:b/>
          <w:bCs/>
        </w:rPr>
        <w:t>园艺产品营养</w:t>
      </w:r>
      <w:r>
        <w:rPr>
          <w:rFonts w:hint="eastAsia" w:eastAsiaTheme="minorEastAsia"/>
          <w:b/>
          <w:bCs/>
        </w:rPr>
        <w:t>成分</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eastAsiaTheme="minorEastAsia"/>
        </w:rPr>
        <w:t>园艺产品中</w:t>
      </w:r>
      <w:r>
        <w:rPr>
          <w:rFonts w:hint="eastAsia" w:eastAsiaTheme="minorEastAsia"/>
        </w:rPr>
        <w:t>营养要素</w:t>
      </w:r>
      <w:r>
        <w:rPr>
          <w:rFonts w:eastAsiaTheme="minorEastAsia"/>
        </w:rPr>
        <w:t>的</w:t>
      </w:r>
      <w:r>
        <w:rPr>
          <w:rFonts w:hint="eastAsia" w:eastAsiaTheme="minorEastAsia"/>
        </w:rPr>
        <w:t>构成，生化属性营养物质和感官属性营养物质</w:t>
      </w:r>
      <w:r>
        <w:rPr>
          <w:rFonts w:hint="eastAsia"/>
        </w:rPr>
        <w:t>。</w:t>
      </w:r>
    </w:p>
    <w:p>
      <w:pPr>
        <w:adjustRightInd w:val="0"/>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eastAsiaTheme="minorEastAsia"/>
        </w:rPr>
        <w:t>园艺产品中的</w:t>
      </w:r>
      <w:r>
        <w:rPr>
          <w:rFonts w:hint="eastAsia" w:eastAsiaTheme="minorEastAsia"/>
        </w:rPr>
        <w:t>活性功能成分（</w:t>
      </w:r>
      <w:r>
        <w:rPr>
          <w:rFonts w:eastAsiaTheme="minorEastAsia"/>
        </w:rPr>
        <w:t>酚类、有机硫化合物、萜类、活性多糖、多不饱和脂肪酸、膳食纤维、生物碱、天然色素等</w:t>
      </w:r>
      <w:r>
        <w:rPr>
          <w:rFonts w:hint="eastAsia" w:eastAsiaTheme="minorEastAsia"/>
        </w:rPr>
        <w:t>）</w:t>
      </w:r>
      <w:r>
        <w:rPr>
          <w:rFonts w:eastAsiaTheme="minorEastAsia"/>
        </w:rPr>
        <w:t>的结构与性质、生物学作用及其食物来源。</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eastAsiaTheme="minorEastAsia"/>
        </w:rPr>
        <w:t>园艺产品中含有的营养成分及其种类。</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eastAsiaTheme="minorEastAsia"/>
        </w:rPr>
        <w:t>园艺产品的营养特点；园艺产品</w:t>
      </w:r>
      <w:r>
        <w:rPr>
          <w:rFonts w:hint="eastAsia" w:eastAsiaTheme="minorEastAsia"/>
        </w:rPr>
        <w:t>中生化属性营养成分（六大营养素）</w:t>
      </w:r>
      <w:r>
        <w:rPr>
          <w:rFonts w:eastAsiaTheme="minorEastAsia"/>
        </w:rPr>
        <w:t>；</w:t>
      </w:r>
      <w:r>
        <w:rPr>
          <w:rFonts w:hint="eastAsia" w:eastAsiaTheme="minorEastAsia"/>
        </w:rPr>
        <w:t>园艺产品</w:t>
      </w:r>
      <w:r>
        <w:rPr>
          <w:rFonts w:eastAsiaTheme="minorEastAsia"/>
        </w:rPr>
        <w:t>的生物活性物质</w:t>
      </w:r>
      <w:r>
        <w:rPr>
          <w:rFonts w:hint="eastAsia" w:eastAsiaTheme="minorEastAsia"/>
        </w:rPr>
        <w:t>及嫌忌成分</w:t>
      </w:r>
      <w:r>
        <w:rPr>
          <w:rFonts w:eastAsiaTheme="minorEastAsia"/>
        </w:rPr>
        <w:t>的种类。</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eastAsiaTheme="minorEastAsia"/>
        </w:rPr>
        <w:t>园艺产品中含有的营养成分及其种类。</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eastAsiaTheme="minorEastAsia"/>
        </w:rPr>
        <w:t>园艺产品中的</w:t>
      </w:r>
      <w:r>
        <w:rPr>
          <w:rFonts w:hint="eastAsia" w:eastAsiaTheme="minorEastAsia"/>
        </w:rPr>
        <w:t>活性成分（</w:t>
      </w:r>
      <w:r>
        <w:rPr>
          <w:rFonts w:eastAsiaTheme="minorEastAsia"/>
        </w:rPr>
        <w:t>酚类、有机硫化合物、萜类、活性多糖、多不饱和脂肪酸、膳食纤维、生物碱、天然色素等</w:t>
      </w:r>
      <w:r>
        <w:rPr>
          <w:rFonts w:hint="eastAsia" w:eastAsiaTheme="minorEastAsia"/>
        </w:rPr>
        <w:t>）</w:t>
      </w:r>
      <w:r>
        <w:rPr>
          <w:rFonts w:eastAsiaTheme="minorEastAsia"/>
        </w:rPr>
        <w:t>的结构与性质、生物学作用及其食物来源。</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：能够知晓</w:t>
      </w:r>
      <w:r>
        <w:rPr>
          <w:rFonts w:eastAsiaTheme="minorEastAsia"/>
          <w:szCs w:val="21"/>
        </w:rPr>
        <w:t>园艺产品活性物质的</w:t>
      </w:r>
      <w:r>
        <w:rPr>
          <w:rFonts w:eastAsiaTheme="minorEastAsia"/>
        </w:rPr>
        <w:t>食物来源。</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eastAsiaTheme="minorEastAsia"/>
        </w:rPr>
        <w:t>能够分析</w:t>
      </w:r>
      <w:r>
        <w:rPr>
          <w:rFonts w:eastAsiaTheme="minorEastAsia"/>
        </w:rPr>
        <w:t>果蔬中含有的</w:t>
      </w:r>
      <w:r>
        <w:rPr>
          <w:rFonts w:hint="eastAsia" w:eastAsiaTheme="minorEastAsia"/>
        </w:rPr>
        <w:t>营养</w:t>
      </w:r>
      <w:r>
        <w:rPr>
          <w:rFonts w:eastAsiaTheme="minorEastAsia"/>
        </w:rPr>
        <w:t>物质种类及保健功能</w:t>
      </w:r>
      <w:r>
        <w:rPr>
          <w:rFonts w:hint="eastAsia" w:eastAsiaTheme="minorEastAsia"/>
        </w:rPr>
        <w:t>、嫌忌成分及危害</w:t>
      </w:r>
      <w:r>
        <w:rPr>
          <w:rFonts w:eastAsiaTheme="minorEastAsia"/>
          <w:bCs/>
        </w:rPr>
        <w:t>。</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：能够掌握</w:t>
      </w:r>
      <w:r>
        <w:rPr>
          <w:rFonts w:eastAsiaTheme="minorEastAsia"/>
          <w:szCs w:val="21"/>
        </w:rPr>
        <w:t>园艺产品</w:t>
      </w:r>
      <w:r>
        <w:rPr>
          <w:rFonts w:hint="eastAsia" w:eastAsiaTheme="minorEastAsia"/>
          <w:szCs w:val="21"/>
        </w:rPr>
        <w:t>中生物活性物质与人体健康的关系</w:t>
      </w:r>
      <w:r>
        <w:rPr>
          <w:rFonts w:hint="eastAsia" w:ascii="宋体" w:hAnsi="宋体"/>
          <w:bCs/>
          <w:szCs w:val="21"/>
        </w:rPr>
        <w:t>。</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第三章  </w:t>
      </w:r>
      <w:r>
        <w:rPr>
          <w:rFonts w:eastAsiaTheme="minorEastAsia"/>
          <w:b/>
          <w:bCs/>
        </w:rPr>
        <w:t>园艺产品营养</w:t>
      </w:r>
      <w:r>
        <w:rPr>
          <w:rFonts w:hint="eastAsia" w:eastAsiaTheme="minorEastAsia"/>
          <w:b/>
          <w:bCs/>
        </w:rPr>
        <w:t>各论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eastAsiaTheme="minorEastAsia"/>
          <w:kern w:val="0"/>
          <w:szCs w:val="21"/>
        </w:rPr>
        <w:t>各类</w:t>
      </w:r>
      <w:r>
        <w:rPr>
          <w:rFonts w:hint="eastAsia" w:eastAsiaTheme="minorEastAsia"/>
          <w:kern w:val="0"/>
          <w:szCs w:val="21"/>
        </w:rPr>
        <w:t>园艺产品</w:t>
      </w:r>
      <w:r>
        <w:rPr>
          <w:rFonts w:eastAsiaTheme="minorEastAsia"/>
          <w:kern w:val="0"/>
          <w:szCs w:val="21"/>
        </w:rPr>
        <w:t>的基本生物学特性。</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eastAsiaTheme="minorEastAsia"/>
          <w:kern w:val="0"/>
          <w:szCs w:val="21"/>
        </w:rPr>
        <w:t>主要果品和蔬菜所具有的营养成分，以及部分蔬菜中的有害化学成分。</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eastAsiaTheme="minorEastAsia"/>
          <w:kern w:val="0"/>
          <w:szCs w:val="21"/>
        </w:rPr>
        <w:t>常见果品和蔬菜的营养特点及功能。</w:t>
      </w:r>
    </w:p>
    <w:p>
      <w:pPr>
        <w:snapToGrid w:val="0"/>
        <w:spacing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rFonts w:ascii="宋体" w:hAnsi="宋体"/>
          <w:bCs/>
          <w:szCs w:val="21"/>
        </w:rPr>
      </w:pPr>
      <w:r>
        <w:rPr>
          <w:rFonts w:ascii="宋体" w:hAnsi="宋体"/>
          <w:bCs/>
          <w:szCs w:val="21"/>
        </w:rPr>
        <w:t>1. 仁果类、核果类、浆果类、柑果类、荔果类、聚复果类、坚果类主要常见果品（梨、苹果、桃、枣、芒果、猕猴桃、葡萄、香蕉、蓝莓、柑橘、荔枝、草莓、核桃等）所含有的营养成分及功能。</w:t>
      </w:r>
    </w:p>
    <w:p>
      <w:pPr>
        <w:adjustRightInd w:val="0"/>
        <w:snapToGrid w:val="0"/>
        <w:spacing w:line="360" w:lineRule="auto"/>
        <w:ind w:firstLine="420" w:firstLineChars="200"/>
        <w:rPr>
          <w:rFonts w:ascii="宋体" w:hAnsi="宋体"/>
          <w:bCs/>
          <w:szCs w:val="21"/>
        </w:rPr>
      </w:pPr>
      <w:r>
        <w:rPr>
          <w:rFonts w:ascii="宋体" w:hAnsi="宋体"/>
          <w:bCs/>
          <w:szCs w:val="21"/>
        </w:rPr>
        <w:t>2. 叶菜类、根菜类、茄果类、瓜类、豆类、葱蒜类、花菜类、薯芋类、水生类、多年生、食用菌类主要常见蔬菜（大白菜、菠菜、甘蓝、萝卜、胡萝卜、番茄、茄子、辣椒、黄瓜、冬瓜、西瓜、苦瓜、菜豆、扁豆、大葱、大蒜、黄花菜、马铃薯、姜、山药、莲藕、海带、海带、竹笋、百合、黑木耳、香菇、金针菇等）的营养成分和相应</w:t>
      </w:r>
      <w:r>
        <w:rPr>
          <w:rFonts w:hint="eastAsia" w:ascii="宋体" w:hAnsi="宋体"/>
          <w:bCs/>
          <w:szCs w:val="21"/>
        </w:rPr>
        <w:t>保健</w:t>
      </w:r>
      <w:r>
        <w:rPr>
          <w:rFonts w:ascii="宋体" w:hAnsi="宋体"/>
          <w:bCs/>
          <w:szCs w:val="21"/>
        </w:rPr>
        <w:t>功能。</w:t>
      </w:r>
    </w:p>
    <w:p>
      <w:pPr>
        <w:adjustRightInd w:val="0"/>
        <w:snapToGrid w:val="0"/>
        <w:spacing w:line="360" w:lineRule="auto"/>
        <w:ind w:firstLine="420" w:firstLineChars="200"/>
        <w:rPr>
          <w:rFonts w:ascii="宋体" w:hAnsi="宋体"/>
          <w:bCs/>
          <w:szCs w:val="21"/>
        </w:rPr>
      </w:pPr>
      <w:r>
        <w:rPr>
          <w:rFonts w:ascii="宋体" w:hAnsi="宋体"/>
          <w:bCs/>
          <w:szCs w:val="21"/>
        </w:rPr>
        <w:t>3. 部分常见蔬菜（大豆、扁豆、蚕豆、莴苣、菠菜、黄花菜、马铃薯、番茄、鲜蘑菇、木耳）中的有害化学成分及危害。</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eastAsiaTheme="minorEastAsia"/>
          <w:szCs w:val="21"/>
        </w:rPr>
        <w:t>主要果品和蔬菜所具有的营养成分。</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eastAsiaTheme="minorEastAsia"/>
          <w:szCs w:val="21"/>
        </w:rPr>
        <w:t>各类果品和蔬菜的营养功能。</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eastAsiaTheme="minorEastAsia"/>
          <w:szCs w:val="21"/>
        </w:rPr>
        <w:t>常见几种蔬菜中的有害化学成分及危害。</w:t>
      </w:r>
    </w:p>
    <w:p>
      <w:pPr>
        <w:snapToGrid w:val="0"/>
        <w:spacing w:line="360" w:lineRule="auto"/>
        <w:ind w:firstLine="422" w:firstLineChars="200"/>
        <w:rPr>
          <w:rFonts w:ascii="宋体" w:hAnsi="宋体"/>
          <w:szCs w:val="21"/>
        </w:rPr>
      </w:pPr>
      <w:r>
        <w:rPr>
          <w:rFonts w:hint="eastAsia" w:ascii="宋体" w:hAnsi="宋体"/>
          <w:b/>
          <w:szCs w:val="21"/>
        </w:rPr>
        <w:t>4.综合</w:t>
      </w:r>
      <w:r>
        <w:rPr>
          <w:rFonts w:hint="eastAsia" w:ascii="宋体" w:hAnsi="宋体"/>
          <w:szCs w:val="21"/>
        </w:rPr>
        <w:t>：</w:t>
      </w:r>
      <w:r>
        <w:rPr>
          <w:rFonts w:eastAsiaTheme="minorEastAsia"/>
          <w:szCs w:val="21"/>
        </w:rPr>
        <w:t>根据各类园艺产品营养价值特点，能够提出合理膳食建议。</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第四章  </w:t>
      </w:r>
      <w:r>
        <w:rPr>
          <w:rFonts w:eastAsiaTheme="minorEastAsia"/>
          <w:b/>
          <w:bCs/>
        </w:rPr>
        <w:t>园艺产品营养</w:t>
      </w:r>
      <w:r>
        <w:rPr>
          <w:rFonts w:hint="eastAsia" w:eastAsiaTheme="minorEastAsia"/>
          <w:b/>
          <w:bCs/>
        </w:rPr>
        <w:t>的形成与调控</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eastAsiaTheme="minorEastAsia"/>
          <w:kern w:val="0"/>
          <w:szCs w:val="21"/>
        </w:rPr>
        <w:t>园艺产品营养素的形成、采后贮藏和加工对园艺产品营养素的影响。</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eastAsiaTheme="minorEastAsia"/>
          <w:kern w:val="0"/>
          <w:szCs w:val="21"/>
        </w:rPr>
        <w:t>园艺产品营养素形成的影响因素。</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eastAsiaTheme="minorEastAsia"/>
          <w:kern w:val="0"/>
          <w:szCs w:val="21"/>
        </w:rPr>
        <w:t>园艺产品营养素的调控技术。</w:t>
      </w:r>
    </w:p>
    <w:p>
      <w:pPr>
        <w:snapToGrid w:val="0"/>
        <w:spacing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rFonts w:eastAsiaTheme="minorEastAsia"/>
          <w:kern w:val="0"/>
          <w:szCs w:val="21"/>
        </w:rPr>
      </w:pPr>
      <w:r>
        <w:rPr>
          <w:rFonts w:eastAsiaTheme="minorEastAsia"/>
          <w:szCs w:val="21"/>
        </w:rPr>
        <w:t>1.</w:t>
      </w:r>
      <w:r>
        <w:rPr>
          <w:rFonts w:hint="eastAsia"/>
          <w:szCs w:val="21"/>
        </w:rPr>
        <w:t xml:space="preserve"> </w:t>
      </w:r>
      <w:r>
        <w:rPr>
          <w:rFonts w:eastAsiaTheme="minorEastAsia"/>
          <w:kern w:val="0"/>
          <w:szCs w:val="21"/>
        </w:rPr>
        <w:t>园艺产品中营养素（糖、酸、维生素、色素等）的形成。</w:t>
      </w:r>
    </w:p>
    <w:p>
      <w:pPr>
        <w:adjustRightInd w:val="0"/>
        <w:snapToGrid w:val="0"/>
        <w:spacing w:line="360" w:lineRule="auto"/>
        <w:ind w:firstLine="420" w:firstLineChars="200"/>
        <w:rPr>
          <w:rFonts w:eastAsiaTheme="minorEastAsia"/>
          <w:kern w:val="0"/>
          <w:szCs w:val="21"/>
        </w:rPr>
      </w:pPr>
      <w:r>
        <w:rPr>
          <w:rFonts w:eastAsiaTheme="minorEastAsia"/>
          <w:kern w:val="0"/>
          <w:szCs w:val="21"/>
        </w:rPr>
        <w:t>2.</w:t>
      </w:r>
      <w:r>
        <w:rPr>
          <w:rFonts w:hint="eastAsia"/>
          <w:kern w:val="0"/>
          <w:szCs w:val="21"/>
        </w:rPr>
        <w:t xml:space="preserve"> </w:t>
      </w:r>
      <w:r>
        <w:rPr>
          <w:rFonts w:eastAsiaTheme="minorEastAsia"/>
          <w:kern w:val="0"/>
          <w:szCs w:val="21"/>
        </w:rPr>
        <w:t>园艺产品营养素形成</w:t>
      </w:r>
      <w:r>
        <w:rPr>
          <w:rFonts w:hint="eastAsia" w:eastAsiaTheme="minorEastAsia"/>
          <w:kern w:val="0"/>
          <w:szCs w:val="21"/>
        </w:rPr>
        <w:t>、采后营养素变化、</w:t>
      </w:r>
      <w:r>
        <w:rPr>
          <w:rFonts w:eastAsiaTheme="minorEastAsia"/>
          <w:kern w:val="0"/>
          <w:szCs w:val="21"/>
        </w:rPr>
        <w:t>贮藏方式</w:t>
      </w:r>
      <w:r>
        <w:rPr>
          <w:rFonts w:hint="eastAsia" w:eastAsiaTheme="minorEastAsia"/>
          <w:kern w:val="0"/>
          <w:szCs w:val="21"/>
        </w:rPr>
        <w:t>及</w:t>
      </w:r>
      <w:r>
        <w:rPr>
          <w:rFonts w:eastAsiaTheme="minorEastAsia"/>
          <w:kern w:val="0"/>
          <w:szCs w:val="21"/>
        </w:rPr>
        <w:t>加工对营养素影响</w:t>
      </w:r>
      <w:r>
        <w:rPr>
          <w:rFonts w:hint="eastAsia" w:eastAsiaTheme="minorEastAsia"/>
          <w:kern w:val="0"/>
          <w:szCs w:val="21"/>
        </w:rPr>
        <w:t>的影响</w:t>
      </w:r>
      <w:r>
        <w:rPr>
          <w:rFonts w:eastAsiaTheme="minorEastAsia"/>
          <w:kern w:val="0"/>
          <w:szCs w:val="21"/>
        </w:rPr>
        <w:t>因素。</w:t>
      </w:r>
    </w:p>
    <w:p>
      <w:pPr>
        <w:adjustRightInd w:val="0"/>
        <w:snapToGrid w:val="0"/>
        <w:spacing w:line="360" w:lineRule="auto"/>
        <w:ind w:firstLine="420" w:firstLineChars="200"/>
        <w:rPr>
          <w:rFonts w:eastAsiaTheme="minorEastAsia"/>
          <w:kern w:val="0"/>
          <w:szCs w:val="21"/>
        </w:rPr>
      </w:pPr>
      <w:r>
        <w:rPr>
          <w:rFonts w:eastAsiaTheme="minorEastAsia"/>
          <w:kern w:val="0"/>
          <w:szCs w:val="21"/>
        </w:rPr>
        <w:t>3. 园艺产品生长过程中营养素形成的调控技术途径。</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eastAsiaTheme="minorEastAsia"/>
          <w:kern w:val="0"/>
          <w:szCs w:val="21"/>
        </w:rPr>
        <w:t>园艺产品营养素形成及保持的调控技术</w:t>
      </w:r>
      <w:r>
        <w:rPr>
          <w:rFonts w:eastAsiaTheme="minorEastAsia"/>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eastAsiaTheme="minorEastAsia"/>
          <w:szCs w:val="21"/>
        </w:rPr>
        <w:t>园艺产品生长过程中</w:t>
      </w:r>
      <w:r>
        <w:rPr>
          <w:rFonts w:eastAsiaTheme="minorEastAsia"/>
          <w:kern w:val="0"/>
          <w:szCs w:val="21"/>
        </w:rPr>
        <w:t>营养素形成的影响因素</w:t>
      </w:r>
      <w:r>
        <w:rPr>
          <w:rFonts w:eastAsiaTheme="minorEastAsia"/>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：能够对</w:t>
      </w:r>
      <w:r>
        <w:rPr>
          <w:rFonts w:hint="eastAsia" w:eastAsiaTheme="minorEastAsia"/>
          <w:szCs w:val="21"/>
        </w:rPr>
        <w:t>贮藏</w:t>
      </w:r>
      <w:r>
        <w:rPr>
          <w:rFonts w:eastAsiaTheme="minorEastAsia"/>
          <w:szCs w:val="21"/>
        </w:rPr>
        <w:t>、加工</w:t>
      </w:r>
      <w:r>
        <w:rPr>
          <w:rFonts w:hint="eastAsia" w:eastAsiaTheme="minorEastAsia"/>
          <w:szCs w:val="21"/>
        </w:rPr>
        <w:t>等</w:t>
      </w:r>
      <w:r>
        <w:rPr>
          <w:rFonts w:eastAsiaTheme="minorEastAsia"/>
          <w:szCs w:val="21"/>
        </w:rPr>
        <w:t>对</w:t>
      </w:r>
      <w:r>
        <w:rPr>
          <w:rFonts w:eastAsiaTheme="minorEastAsia"/>
          <w:kern w:val="0"/>
          <w:szCs w:val="21"/>
        </w:rPr>
        <w:t>园艺产品中营养素的</w:t>
      </w:r>
      <w:r>
        <w:rPr>
          <w:rFonts w:hint="eastAsia" w:eastAsiaTheme="minorEastAsia"/>
          <w:kern w:val="0"/>
          <w:szCs w:val="21"/>
        </w:rPr>
        <w:t>调控进行应用</w:t>
      </w:r>
      <w:r>
        <w:rPr>
          <w:rFonts w:eastAsiaTheme="minorEastAsia"/>
          <w:kern w:val="0"/>
          <w:szCs w:val="21"/>
        </w:rPr>
        <w:t>。</w:t>
      </w:r>
    </w:p>
    <w:p>
      <w:pPr>
        <w:snapToGrid w:val="0"/>
        <w:spacing w:line="360" w:lineRule="auto"/>
        <w:rPr>
          <w:rFonts w:ascii="宋体" w:hAnsi="宋体"/>
          <w:b/>
          <w:szCs w:val="21"/>
        </w:rPr>
      </w:pPr>
      <w:r>
        <w:rPr>
          <w:rFonts w:hint="eastAsia" w:ascii="宋体" w:hAnsi="宋体"/>
          <w:b/>
          <w:szCs w:val="21"/>
        </w:rPr>
        <w:t>三、考核方式</w:t>
      </w:r>
    </w:p>
    <w:p>
      <w:pPr>
        <w:snapToGrid w:val="0"/>
        <w:spacing w:line="360" w:lineRule="auto"/>
        <w:ind w:firstLine="630" w:firstLineChars="300"/>
        <w:rPr>
          <w:rFonts w:ascii="宋体" w:hAnsi="宋体"/>
          <w:szCs w:val="21"/>
        </w:rPr>
      </w:pPr>
      <w:r>
        <w:rPr>
          <w:rFonts w:hint="eastAsia" w:ascii="宋体" w:hAnsi="宋体"/>
          <w:szCs w:val="21"/>
        </w:rPr>
        <w:t>本课程全部为理论教学，考核方式采用过程性考核与结果性考核相结合的方式。过程性考核主要体现于考勤、课堂教学活动参与度、分组讲课答辩环节；对于课堂教学活动参与度，是将</w:t>
      </w:r>
      <w:r>
        <w:rPr>
          <w:rFonts w:hint="eastAsia" w:hAnsiTheme="minorEastAsia" w:eastAsiaTheme="minorEastAsia"/>
          <w:szCs w:val="21"/>
        </w:rPr>
        <w:t>学生参与问答、讨论、作业等教学内容相关活动设定不同分数，计入平时成绩；对于</w:t>
      </w:r>
      <w:r>
        <w:rPr>
          <w:rFonts w:hint="eastAsia" w:ascii="宋体" w:hAnsi="宋体"/>
          <w:szCs w:val="21"/>
        </w:rPr>
        <w:t>分组讲课答辩，从学生课程PPT制作、课程内容丰富度、充实度、准确度、层次性、讲解表达仪态等方面进行过程性评价。结果性考核主要应用于课程论文环节，课内与课外相结合，引导学生利用课余时间进一步学习，进行相关资源搜索，撰写课程论文，根据课程论文内容、结构、层次、深度、准确度、前沿性等进行评价。</w:t>
      </w:r>
    </w:p>
    <w:p>
      <w:pPr>
        <w:snapToGrid w:val="0"/>
        <w:spacing w:line="360" w:lineRule="auto"/>
        <w:rPr>
          <w:rFonts w:ascii="宋体" w:hAnsi="宋体"/>
          <w:b/>
          <w:szCs w:val="21"/>
        </w:rPr>
      </w:pPr>
      <w:r>
        <w:rPr>
          <w:rFonts w:hint="eastAsia" w:ascii="宋体" w:hAnsi="宋体"/>
          <w:b/>
          <w:szCs w:val="21"/>
        </w:rPr>
        <w:t>四、成绩评定</w:t>
      </w:r>
    </w:p>
    <w:p>
      <w:pPr>
        <w:pStyle w:val="35"/>
        <w:spacing w:line="360" w:lineRule="auto"/>
        <w:jc w:val="left"/>
        <w:rPr>
          <w:rFonts w:hAnsiTheme="minorEastAsia" w:eastAsiaTheme="minorEastAsia"/>
          <w:szCs w:val="21"/>
        </w:rPr>
      </w:pPr>
      <w:r>
        <w:rPr>
          <w:rFonts w:hint="eastAsia" w:hAnsiTheme="minorEastAsia" w:eastAsiaTheme="minorEastAsia"/>
          <w:szCs w:val="21"/>
        </w:rPr>
        <w:t>1.平时成绩的评价方法。</w:t>
      </w:r>
    </w:p>
    <w:p>
      <w:pPr>
        <w:pStyle w:val="35"/>
        <w:spacing w:line="360" w:lineRule="auto"/>
        <w:jc w:val="left"/>
        <w:rPr>
          <w:rFonts w:hAnsiTheme="minorEastAsia" w:eastAsiaTheme="minorEastAsia"/>
          <w:szCs w:val="21"/>
        </w:rPr>
      </w:pPr>
      <w:r>
        <w:rPr>
          <w:rFonts w:hAnsiTheme="minorEastAsia" w:eastAsiaTheme="minorEastAsia"/>
          <w:szCs w:val="21"/>
        </w:rPr>
        <w:t>1</w:t>
      </w:r>
      <w:r>
        <w:rPr>
          <w:rFonts w:hint="eastAsia" w:hAnsiTheme="minorEastAsia" w:eastAsiaTheme="minorEastAsia"/>
          <w:szCs w:val="21"/>
        </w:rPr>
        <w:t>）加强学风建设，严肃课堂纪律，学生考勤计入平时成绩计算方法。</w:t>
      </w:r>
    </w:p>
    <w:p>
      <w:pPr>
        <w:pStyle w:val="35"/>
        <w:spacing w:line="360" w:lineRule="auto"/>
        <w:jc w:val="left"/>
        <w:rPr>
          <w:rFonts w:hAnsiTheme="minorEastAsia" w:eastAsiaTheme="minorEastAsia"/>
          <w:szCs w:val="21"/>
        </w:rPr>
      </w:pPr>
      <w:r>
        <w:rPr>
          <w:rFonts w:hint="eastAsia" w:hAnsiTheme="minorEastAsia" w:eastAsiaTheme="minorEastAsia"/>
          <w:szCs w:val="21"/>
        </w:rPr>
        <w:t>2）鼓励学生参与活动，调动学生积极性。学生参与问答、讨论、作业等教学内容相关活动，每项活动设定不同分数，计入平时成绩计算方法。</w:t>
      </w:r>
    </w:p>
    <w:p>
      <w:pPr>
        <w:pStyle w:val="35"/>
        <w:spacing w:line="360" w:lineRule="auto"/>
        <w:jc w:val="left"/>
        <w:rPr>
          <w:rFonts w:hAnsiTheme="minorEastAsia" w:eastAsiaTheme="minorEastAsia"/>
          <w:szCs w:val="21"/>
        </w:rPr>
      </w:pPr>
      <w:r>
        <w:rPr>
          <w:rFonts w:hint="eastAsia" w:hAnsiTheme="minorEastAsia" w:eastAsiaTheme="minorEastAsia"/>
          <w:szCs w:val="21"/>
        </w:rPr>
        <w:t>2.最终成绩评价方法。</w:t>
      </w:r>
    </w:p>
    <w:p>
      <w:pPr>
        <w:pStyle w:val="35"/>
        <w:spacing w:line="360" w:lineRule="auto"/>
        <w:jc w:val="left"/>
        <w:rPr>
          <w:rFonts w:hAnsiTheme="minorEastAsia" w:eastAsiaTheme="minorEastAsia"/>
          <w:szCs w:val="21"/>
        </w:rPr>
      </w:pPr>
      <w:r>
        <w:rPr>
          <w:rFonts w:hAnsiTheme="minorEastAsia" w:eastAsiaTheme="minorEastAsia"/>
          <w:szCs w:val="21"/>
        </w:rPr>
        <w:t>平时成绩（考勤+参与教学活动）10%</w:t>
      </w:r>
      <w:r>
        <w:rPr>
          <w:rFonts w:hint="eastAsia" w:hAnsiTheme="minorEastAsia" w:eastAsiaTheme="minorEastAsia"/>
          <w:szCs w:val="21"/>
        </w:rPr>
        <w:t xml:space="preserve"> </w:t>
      </w:r>
      <w:r>
        <w:rPr>
          <w:rFonts w:hAnsiTheme="minorEastAsia" w:eastAsiaTheme="minorEastAsia"/>
          <w:szCs w:val="21"/>
        </w:rPr>
        <w:t>+</w:t>
      </w:r>
      <w:r>
        <w:rPr>
          <w:rFonts w:hint="eastAsia" w:hAnsiTheme="minorEastAsia" w:eastAsiaTheme="minorEastAsia"/>
          <w:szCs w:val="21"/>
        </w:rPr>
        <w:t xml:space="preserve"> </w:t>
      </w:r>
      <w:r>
        <w:rPr>
          <w:rFonts w:hAnsiTheme="minorEastAsia" w:eastAsiaTheme="minorEastAsia"/>
          <w:szCs w:val="21"/>
        </w:rPr>
        <w:t>学生讲课答辩45%</w:t>
      </w:r>
      <w:r>
        <w:rPr>
          <w:rFonts w:hint="eastAsia" w:hAnsiTheme="minorEastAsia" w:eastAsiaTheme="minorEastAsia"/>
          <w:szCs w:val="21"/>
        </w:rPr>
        <w:t xml:space="preserve"> </w:t>
      </w:r>
      <w:r>
        <w:rPr>
          <w:rFonts w:hAnsiTheme="minorEastAsia" w:eastAsiaTheme="minorEastAsia"/>
          <w:szCs w:val="21"/>
        </w:rPr>
        <w:t>+</w:t>
      </w:r>
      <w:r>
        <w:rPr>
          <w:rFonts w:hint="eastAsia" w:hAnsiTheme="minorEastAsia" w:eastAsiaTheme="minorEastAsia"/>
          <w:szCs w:val="21"/>
        </w:rPr>
        <w:t xml:space="preserve"> </w:t>
      </w:r>
      <w:r>
        <w:rPr>
          <w:rFonts w:hAnsiTheme="minorEastAsia" w:eastAsiaTheme="minorEastAsia"/>
          <w:szCs w:val="21"/>
        </w:rPr>
        <w:t>课程论文45%</w:t>
      </w:r>
    </w:p>
    <w:p>
      <w:pPr>
        <w:snapToGrid w:val="0"/>
        <w:spacing w:line="360" w:lineRule="auto"/>
        <w:rPr>
          <w:rFonts w:ascii="宋体" w:hAnsi="宋体"/>
          <w:b/>
          <w:szCs w:val="21"/>
        </w:rPr>
      </w:pPr>
      <w:r>
        <w:rPr>
          <w:rFonts w:hint="eastAsia" w:ascii="宋体" w:hAnsi="宋体"/>
          <w:b/>
          <w:szCs w:val="21"/>
        </w:rPr>
        <w:t>五、考核结果分析反馈</w:t>
      </w:r>
    </w:p>
    <w:p>
      <w:pPr>
        <w:pStyle w:val="35"/>
        <w:spacing w:line="360" w:lineRule="auto"/>
        <w:jc w:val="left"/>
        <w:rPr>
          <w:rFonts w:hAnsiTheme="minorEastAsia" w:eastAsiaTheme="minorEastAsia"/>
          <w:szCs w:val="21"/>
        </w:rPr>
      </w:pPr>
      <w:r>
        <w:rPr>
          <w:rFonts w:hint="eastAsia" w:hAnsiTheme="minorEastAsia" w:eastAsiaTheme="minorEastAsia"/>
          <w:szCs w:val="21"/>
        </w:rPr>
        <w:t>通过对学生各环节成绩进行成绩分析（含平时成绩），不仅可以获得学生学习效果和教学中存在的问题等一系列反馈信息，还可在一定程度上反应教学质量的优劣。从而促使任课教师进行教学反思，为教师有针对性的调整教学内容、改进教学方法提供依据，提高教学质量。</w:t>
      </w:r>
    </w:p>
    <w:p>
      <w:pPr>
        <w:pStyle w:val="35"/>
        <w:numPr>
          <w:ilvl w:val="0"/>
          <w:numId w:val="55"/>
        </w:numPr>
        <w:spacing w:line="360" w:lineRule="auto"/>
        <w:ind w:firstLineChars="0"/>
        <w:contextualSpacing/>
        <w:jc w:val="left"/>
        <w:rPr>
          <w:rFonts w:hAnsiTheme="minorEastAsia" w:eastAsiaTheme="minorEastAsia"/>
          <w:szCs w:val="21"/>
        </w:rPr>
      </w:pPr>
      <w:r>
        <w:rPr>
          <w:rFonts w:hint="eastAsia" w:hAnsiTheme="minorEastAsia" w:eastAsiaTheme="minorEastAsia"/>
          <w:szCs w:val="21"/>
        </w:rPr>
        <w:t>考核结果分析</w:t>
      </w:r>
    </w:p>
    <w:p>
      <w:pPr>
        <w:pStyle w:val="35"/>
        <w:spacing w:line="360" w:lineRule="auto"/>
        <w:jc w:val="left"/>
        <w:rPr>
          <w:rFonts w:hAnsiTheme="minorEastAsia" w:eastAsiaTheme="minorEastAsia"/>
          <w:szCs w:val="21"/>
        </w:rPr>
      </w:pPr>
      <w:r>
        <w:rPr>
          <w:rFonts w:hint="eastAsia" w:hAnsiTheme="minorEastAsia" w:eastAsiaTheme="minorEastAsia"/>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pPr>
        <w:pStyle w:val="35"/>
        <w:numPr>
          <w:ilvl w:val="0"/>
          <w:numId w:val="55"/>
        </w:numPr>
        <w:spacing w:line="360" w:lineRule="auto"/>
        <w:ind w:firstLine="420" w:firstLineChars="0"/>
        <w:contextualSpacing/>
        <w:jc w:val="left"/>
        <w:rPr>
          <w:rFonts w:hAnsiTheme="minorEastAsia" w:eastAsiaTheme="minorEastAsia"/>
          <w:szCs w:val="21"/>
        </w:rPr>
      </w:pPr>
      <w:r>
        <w:rPr>
          <w:rFonts w:hint="eastAsia" w:hAnsiTheme="minorEastAsia" w:eastAsiaTheme="minorEastAsia"/>
          <w:szCs w:val="21"/>
        </w:rPr>
        <w:t>考核结果反馈</w:t>
      </w:r>
    </w:p>
    <w:p>
      <w:pPr>
        <w:pStyle w:val="35"/>
        <w:spacing w:line="360" w:lineRule="auto"/>
        <w:jc w:val="left"/>
        <w:rPr>
          <w:rFonts w:hAnsiTheme="minorEastAsia" w:eastAsiaTheme="minorEastAsia"/>
          <w:szCs w:val="21"/>
        </w:rPr>
      </w:pPr>
      <w:r>
        <w:rPr>
          <w:rFonts w:hint="eastAsia" w:hAnsiTheme="minorEastAsia" w:eastAsiaTheme="minorEastAsia"/>
          <w:szCs w:val="21"/>
        </w:rPr>
        <w:t>针对本门课程提高学生园艺产品营养学认知水平的教学目标，考核方式为过程性考核。针对过程性考核，反馈形式主要体现在平时的教学过程中，采用课堂集中形式对考核结果的共性问题进行统一讲解，查找原因。例如：</w:t>
      </w:r>
      <w:r>
        <w:rPr>
          <w:rFonts w:hint="eastAsia" w:ascii="宋体" w:hAnsi="宋体"/>
          <w:szCs w:val="21"/>
        </w:rPr>
        <w:t>学生讲解答辩部分，从学生课程PPT的制作、课程内容丰富度、充实度、准确度、层次性等方面。</w:t>
      </w:r>
      <w:r>
        <w:rPr>
          <w:rFonts w:hint="eastAsia" w:hAnsiTheme="minorEastAsia" w:eastAsiaTheme="minorEastAsia"/>
          <w:szCs w:val="21"/>
        </w:rPr>
        <w:t>针对考核结果分析中成绩严重偏态分布的情况，应及时调整教学内容、教学方法、强化过程性考核。</w:t>
      </w:r>
    </w:p>
    <w:p>
      <w:pPr>
        <w:pStyle w:val="35"/>
        <w:spacing w:line="360" w:lineRule="auto"/>
        <w:jc w:val="left"/>
        <w:rPr>
          <w:rFonts w:hAnsiTheme="minorEastAsia" w:eastAsiaTheme="minorEastAsia"/>
          <w:szCs w:val="21"/>
        </w:rPr>
      </w:pPr>
    </w:p>
    <w:p>
      <w:pPr>
        <w:pStyle w:val="35"/>
        <w:spacing w:line="360" w:lineRule="auto"/>
        <w:jc w:val="left"/>
        <w:rPr>
          <w:rFonts w:hAnsiTheme="minorEastAsia" w:eastAsiaTheme="minorEastAsia"/>
          <w:szCs w:val="21"/>
        </w:rPr>
      </w:pPr>
    </w:p>
    <w:p>
      <w:pPr>
        <w:pStyle w:val="35"/>
        <w:spacing w:line="360" w:lineRule="auto"/>
        <w:jc w:val="left"/>
        <w:rPr>
          <w:rFonts w:hAnsiTheme="minorEastAsia" w:eastAsiaTheme="minorEastAsia"/>
          <w:szCs w:val="21"/>
        </w:rPr>
      </w:pPr>
    </w:p>
    <w:p>
      <w:pPr>
        <w:pStyle w:val="35"/>
        <w:spacing w:line="360" w:lineRule="auto"/>
        <w:jc w:val="left"/>
        <w:rPr>
          <w:rFonts w:hAnsiTheme="minorEastAsia" w:eastAsiaTheme="minorEastAsia"/>
          <w:szCs w:val="21"/>
        </w:rPr>
      </w:pPr>
    </w:p>
    <w:p>
      <w:pPr>
        <w:rPr>
          <w:sz w:val="28"/>
        </w:rPr>
      </w:pPr>
      <w:bookmarkStart w:id="1546" w:name="_Toc138076280"/>
      <w:bookmarkStart w:id="1547" w:name="_Toc138076824"/>
      <w:r>
        <w:rPr>
          <w:rFonts w:hint="eastAsia"/>
          <w:sz w:val="28"/>
        </w:rPr>
        <w:br w:type="page"/>
      </w:r>
    </w:p>
    <w:bookmarkEnd w:id="1546"/>
    <w:bookmarkEnd w:id="1547"/>
    <w:p>
      <w:pPr>
        <w:pStyle w:val="2"/>
      </w:pPr>
      <w:bookmarkStart w:id="1548" w:name="_Toc138076291"/>
      <w:bookmarkStart w:id="1549" w:name="_Toc138076540"/>
      <w:r>
        <w:rPr>
          <w:rFonts w:hint="eastAsia"/>
        </w:rPr>
        <w:t>生物育种考核大纲</w:t>
      </w:r>
    </w:p>
    <w:p>
      <w:pPr>
        <w:snapToGrid w:val="0"/>
        <w:spacing w:line="360" w:lineRule="auto"/>
        <w:jc w:val="center"/>
        <w:rPr>
          <w:sz w:val="24"/>
        </w:rPr>
      </w:pPr>
      <w:r>
        <w:rPr>
          <w:sz w:val="24"/>
        </w:rPr>
        <w:t>（Biotechnological</w:t>
      </w:r>
      <w:r>
        <w:rPr>
          <w:rFonts w:hint="eastAsia"/>
          <w:sz w:val="24"/>
        </w:rPr>
        <w:t xml:space="preserve"> </w:t>
      </w:r>
      <w:r>
        <w:rPr>
          <w:sz w:val="24"/>
        </w:rPr>
        <w:t>breeding）</w:t>
      </w:r>
    </w:p>
    <w:p>
      <w:pPr>
        <w:snapToGrid w:val="0"/>
        <w:spacing w:line="360" w:lineRule="auto"/>
        <w:jc w:val="center"/>
        <w:rPr>
          <w:sz w:val="24"/>
        </w:rPr>
      </w:pP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8"/>
        <w:gridCol w:w="3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65" w:type="pct"/>
          </w:tcPr>
          <w:p>
            <w:pPr>
              <w:widowControl/>
              <w:jc w:val="left"/>
              <w:rPr>
                <w:rFonts w:ascii="宋体" w:hAnsi="宋体"/>
                <w:b/>
                <w:bCs/>
                <w:szCs w:val="21"/>
              </w:rPr>
            </w:pPr>
            <w:r>
              <w:rPr>
                <w:rFonts w:hint="eastAsia" w:ascii="宋体" w:hAnsi="宋体"/>
                <w:b/>
                <w:bCs/>
                <w:szCs w:val="21"/>
              </w:rPr>
              <w:t>课程编号：</w:t>
            </w:r>
            <w:r>
              <w:rPr>
                <w:b/>
                <w:bCs/>
                <w:kern w:val="0"/>
                <w:sz w:val="18"/>
                <w:szCs w:val="18"/>
                <w:lang w:bidi="ar"/>
              </w:rPr>
              <w:t>19011126</w:t>
            </w:r>
          </w:p>
        </w:tc>
        <w:tc>
          <w:tcPr>
            <w:tcW w:w="1452" w:type="pct"/>
          </w:tcPr>
          <w:p>
            <w:pPr>
              <w:spacing w:line="300" w:lineRule="auto"/>
              <w:rPr>
                <w:rFonts w:ascii="宋体" w:hAnsi="宋体"/>
                <w:b/>
                <w:bCs/>
                <w:szCs w:val="21"/>
              </w:rPr>
            </w:pPr>
            <w:r>
              <w:rPr>
                <w:rFonts w:hint="eastAsia" w:ascii="宋体" w:hAnsi="宋体"/>
                <w:b/>
                <w:bCs/>
                <w:szCs w:val="21"/>
              </w:rPr>
              <w:t>课程总学时：32</w:t>
            </w:r>
          </w:p>
        </w:tc>
        <w:tc>
          <w:tcPr>
            <w:tcW w:w="1881" w:type="pct"/>
          </w:tcPr>
          <w:p>
            <w:pPr>
              <w:spacing w:line="300" w:lineRule="auto"/>
              <w:rPr>
                <w:rFonts w:ascii="宋体" w:hAnsi="宋体"/>
                <w:b/>
                <w:bCs/>
                <w:szCs w:val="21"/>
              </w:rPr>
            </w:pPr>
            <w:r>
              <w:rPr>
                <w:rFonts w:hint="eastAsia" w:ascii="宋体" w:hAnsi="宋体"/>
                <w:b/>
                <w:bCs/>
                <w:szCs w:val="21"/>
              </w:rPr>
              <w:t>实验学时： 8 学时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主撰人：贾芝琪、刘东明、王小贝、张海朋</w:t>
            </w:r>
          </w:p>
        </w:tc>
        <w:tc>
          <w:tcPr>
            <w:tcW w:w="1452" w:type="pct"/>
          </w:tcPr>
          <w:p>
            <w:pPr>
              <w:spacing w:line="300" w:lineRule="auto"/>
              <w:rPr>
                <w:rFonts w:ascii="宋体" w:hAnsi="宋体"/>
                <w:b/>
                <w:bCs/>
                <w:szCs w:val="21"/>
              </w:rPr>
            </w:pPr>
            <w:r>
              <w:rPr>
                <w:rFonts w:hint="eastAsia" w:ascii="宋体" w:hAnsi="宋体"/>
                <w:b/>
                <w:bCs/>
                <w:szCs w:val="21"/>
              </w:rPr>
              <w:t>审核人：谭彬</w:t>
            </w:r>
          </w:p>
        </w:tc>
        <w:tc>
          <w:tcPr>
            <w:tcW w:w="1881" w:type="pct"/>
          </w:tcPr>
          <w:p>
            <w:pPr>
              <w:spacing w:line="300" w:lineRule="auto"/>
              <w:rPr>
                <w:rFonts w:hint="default" w:ascii="宋体" w:hAnsi="宋体" w:eastAsia="宋体"/>
                <w:b/>
                <w:bCs/>
                <w:szCs w:val="21"/>
                <w:lang w:val="en-US" w:eastAsia="zh-CN"/>
              </w:rPr>
            </w:pPr>
            <w:r>
              <w:rPr>
                <w:rFonts w:hint="eastAsia" w:ascii="宋体" w:hAnsi="宋体"/>
                <w:b/>
                <w:bCs/>
                <w:szCs w:val="21"/>
              </w:rPr>
              <w:t>大纲制定（修订）日期：2023</w:t>
            </w:r>
            <w:r>
              <w:rPr>
                <w:rFonts w:hint="eastAsia" w:ascii="宋体" w:hAnsi="宋体"/>
                <w:b/>
                <w:bCs/>
                <w:szCs w:val="21"/>
                <w:lang w:val="en-US" w:eastAsia="zh-CN"/>
              </w:rPr>
              <w:t>.05</w:t>
            </w:r>
          </w:p>
        </w:tc>
      </w:tr>
    </w:tbl>
    <w:p>
      <w:pPr>
        <w:snapToGrid w:val="0"/>
        <w:spacing w:line="360" w:lineRule="auto"/>
        <w:jc w:val="center"/>
        <w:rPr>
          <w:sz w:val="24"/>
        </w:rPr>
      </w:pPr>
    </w:p>
    <w:p>
      <w:pPr>
        <w:widowControl/>
        <w:snapToGrid w:val="0"/>
        <w:spacing w:line="360" w:lineRule="auto"/>
        <w:jc w:val="left"/>
        <w:outlineLvl w:val="1"/>
        <w:rPr>
          <w:rFonts w:ascii="宋体" w:hAnsi="宋体" w:cs="宋体"/>
          <w:b/>
          <w:bCs/>
          <w:kern w:val="0"/>
          <w:szCs w:val="21"/>
        </w:rPr>
      </w:pPr>
      <w:r>
        <w:rPr>
          <w:rFonts w:hint="eastAsia" w:ascii="宋体" w:hAnsi="宋体" w:cs="宋体"/>
          <w:b/>
          <w:bCs/>
          <w:kern w:val="0"/>
          <w:szCs w:val="21"/>
        </w:rPr>
        <w:t>一、课程的性质和地位</w:t>
      </w:r>
    </w:p>
    <w:p>
      <w:pPr>
        <w:spacing w:line="360" w:lineRule="auto"/>
        <w:ind w:firstLine="420" w:firstLineChars="200"/>
        <w:rPr>
          <w:kern w:val="0"/>
          <w:szCs w:val="21"/>
        </w:rPr>
      </w:pPr>
      <w:r>
        <w:rPr>
          <w:rFonts w:hint="eastAsia"/>
          <w:kern w:val="0"/>
          <w:szCs w:val="21"/>
        </w:rPr>
        <w:t>《生物育种学》是以新方法新途径研究植物品种选育原理和方法的科学，本课程是园艺专业深化专业类课程。学习本课程的主要目的是使学生在掌握常规园艺植物新品种的方法的基础上，进一步提升育种新方法新技术。掌握细胞工程、基因工程、基因编辑、全基因组选择、多组学和分子设计育种的原理和方法。课程教学以学生为主体，科研为载体，实践为中心，采用线下授课模式，引入课堂思政，旨在培养学生的育种学理论知识和实践技能，提高学生的综合素质，培养适应创新型、复合型、应用型人才需要。本课程任务是利用最新研究方法培育园艺生产需要的新品种，以满足人民生活、多种经营、对外贸易、美化环境等各方面对园艺生产提出的复杂要求。</w:t>
      </w:r>
    </w:p>
    <w:p>
      <w:pPr>
        <w:snapToGrid w:val="0"/>
        <w:spacing w:line="360" w:lineRule="auto"/>
        <w:rPr>
          <w:rFonts w:ascii="宋体" w:hAnsi="宋体"/>
          <w:b/>
          <w:szCs w:val="21"/>
        </w:rPr>
      </w:pPr>
      <w:r>
        <w:rPr>
          <w:rFonts w:hint="eastAsia" w:ascii="宋体" w:hAnsi="宋体"/>
          <w:b/>
          <w:szCs w:val="21"/>
        </w:rPr>
        <w:t>二、理论教学部分的考核目标</w:t>
      </w:r>
    </w:p>
    <w:p>
      <w:pPr>
        <w:snapToGrid w:val="0"/>
        <w:spacing w:line="360" w:lineRule="auto"/>
        <w:ind w:firstLine="420" w:firstLineChars="200"/>
        <w:rPr>
          <w:rFonts w:eastAsiaTheme="minorEastAsia"/>
          <w:szCs w:val="21"/>
        </w:rPr>
      </w:pPr>
      <w:r>
        <w:rPr>
          <w:rFonts w:eastAsiaTheme="minorEastAsia"/>
          <w:kern w:val="0"/>
          <w:szCs w:val="21"/>
        </w:rPr>
        <w:t>通过该课程的学习，</w:t>
      </w:r>
      <w:r>
        <w:rPr>
          <w:rFonts w:eastAsiaTheme="minorEastAsia"/>
        </w:rPr>
        <w:t>使学生能全面了解</w:t>
      </w:r>
      <w:r>
        <w:rPr>
          <w:rFonts w:hint="eastAsia" w:eastAsiaTheme="minorEastAsia"/>
        </w:rPr>
        <w:t>生物育种基础</w:t>
      </w:r>
      <w:r>
        <w:rPr>
          <w:rFonts w:eastAsiaTheme="minorEastAsia"/>
        </w:rPr>
        <w:t>理论，掌握</w:t>
      </w:r>
      <w:r>
        <w:rPr>
          <w:rFonts w:hint="eastAsia" w:eastAsiaTheme="minorEastAsia"/>
        </w:rPr>
        <w:t>主要生物育种技术概念和应用、细胞工程育种、植物基因工程育种、基因编辑育种、全基因选择育种、多组学分析育种和分子设计育种。</w:t>
      </w:r>
      <w:r>
        <w:rPr>
          <w:rFonts w:eastAsiaTheme="minorEastAsia"/>
        </w:rPr>
        <w:t>为</w:t>
      </w:r>
      <w:r>
        <w:rPr>
          <w:rFonts w:hint="eastAsia" w:eastAsiaTheme="minorEastAsia"/>
        </w:rPr>
        <w:t>提高育种技术提升和新技术应用于育种</w:t>
      </w:r>
      <w:r>
        <w:rPr>
          <w:rFonts w:eastAsiaTheme="minorEastAsia"/>
        </w:rPr>
        <w:t>提供基本知识和信息。</w:t>
      </w:r>
    </w:p>
    <w:p>
      <w:pPr>
        <w:snapToGrid w:val="0"/>
        <w:spacing w:line="360" w:lineRule="auto"/>
        <w:ind w:firstLine="103" w:firstLineChars="49"/>
        <w:jc w:val="center"/>
        <w:rPr>
          <w:rFonts w:ascii="宋体" w:hAnsi="宋体"/>
          <w:b/>
          <w:szCs w:val="21"/>
        </w:rPr>
      </w:pPr>
      <w:r>
        <w:rPr>
          <w:rFonts w:hint="eastAsia" w:ascii="宋体" w:hAnsi="宋体"/>
          <w:b/>
          <w:szCs w:val="21"/>
        </w:rPr>
        <w:t>绪 论</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：生物育种概念和发展史。</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：生物育种在育种中的作用和应用。</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：生物育种对育种技术提升中的应用</w:t>
      </w:r>
      <w:r>
        <w:rPr>
          <w:rFonts w:hint="eastAsia" w:ascii="宋体" w:hAnsi="宋体"/>
          <w:bCs/>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生物育种</w:t>
      </w:r>
      <w:r>
        <w:rPr>
          <w:rFonts w:hint="eastAsia" w:ascii="宋体" w:hAnsi="宋体"/>
          <w:bCs/>
          <w:szCs w:val="21"/>
        </w:rPr>
        <w:t>；</w:t>
      </w:r>
      <w:r>
        <w:rPr>
          <w:rFonts w:hint="eastAsia" w:ascii="宋体" w:hAnsi="宋体"/>
          <w:szCs w:val="21"/>
        </w:rPr>
        <w:t>生物育种在育种中的作用和应用</w:t>
      </w:r>
      <w:r>
        <w:rPr>
          <w:rFonts w:hint="eastAsia" w:ascii="宋体" w:hAnsi="宋体"/>
          <w:bCs/>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Cs/>
          <w:szCs w:val="21"/>
        </w:rPr>
      </w:pPr>
      <w:r>
        <w:rPr>
          <w:rFonts w:hint="eastAsia" w:ascii="宋体" w:hAnsi="宋体"/>
          <w:b/>
          <w:szCs w:val="21"/>
        </w:rPr>
        <w:t>1.识记</w:t>
      </w:r>
      <w:r>
        <w:rPr>
          <w:rFonts w:hint="eastAsia" w:ascii="宋体" w:hAnsi="宋体"/>
          <w:szCs w:val="21"/>
        </w:rPr>
        <w:t>：生物育种发展史</w:t>
      </w:r>
      <w:r>
        <w:rPr>
          <w:rFonts w:hint="eastAsia" w:ascii="宋体" w:hAnsi="宋体"/>
          <w:bCs/>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：生物育种对育种技术提升的意义</w:t>
      </w:r>
      <w:r>
        <w:rPr>
          <w:rFonts w:hint="eastAsia" w:ascii="宋体" w:hAnsi="宋体"/>
          <w:bCs/>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：生物育种在育种中的具体应用及解决方案</w:t>
      </w:r>
      <w:r>
        <w:rPr>
          <w:rFonts w:hint="eastAsia" w:ascii="宋体" w:hAnsi="宋体"/>
          <w:bCs/>
          <w:szCs w:val="21"/>
        </w:rPr>
        <w:t>。</w:t>
      </w:r>
    </w:p>
    <w:p>
      <w:pPr>
        <w:snapToGrid w:val="0"/>
        <w:spacing w:line="360" w:lineRule="auto"/>
        <w:ind w:firstLine="422" w:firstLineChars="200"/>
        <w:rPr>
          <w:rFonts w:ascii="宋体" w:hAnsi="宋体"/>
          <w:szCs w:val="21"/>
        </w:rPr>
      </w:pPr>
      <w:r>
        <w:rPr>
          <w:rFonts w:hint="eastAsia" w:ascii="宋体" w:hAnsi="宋体"/>
          <w:b/>
          <w:szCs w:val="21"/>
        </w:rPr>
        <w:t>4.综合</w:t>
      </w:r>
      <w:r>
        <w:rPr>
          <w:rFonts w:hint="eastAsia" w:ascii="宋体" w:hAnsi="宋体"/>
          <w:szCs w:val="21"/>
        </w:rPr>
        <w:t>：生物育种对传统育种的提升中的价值</w:t>
      </w:r>
      <w:r>
        <w:rPr>
          <w:rFonts w:hint="eastAsia" w:ascii="宋体" w:hAnsi="宋体"/>
          <w:bCs/>
          <w:szCs w:val="21"/>
        </w:rPr>
        <w:t>。</w:t>
      </w:r>
    </w:p>
    <w:p>
      <w:pPr>
        <w:snapToGrid w:val="0"/>
        <w:spacing w:line="360" w:lineRule="auto"/>
        <w:ind w:firstLine="103" w:firstLineChars="49"/>
        <w:jc w:val="center"/>
        <w:rPr>
          <w:rFonts w:ascii="宋体" w:hAnsi="宋体"/>
          <w:b/>
          <w:szCs w:val="21"/>
        </w:rPr>
      </w:pPr>
      <w:r>
        <w:rPr>
          <w:rFonts w:hint="eastAsia" w:ascii="宋体" w:hAnsi="宋体"/>
          <w:b/>
          <w:szCs w:val="21"/>
        </w:rPr>
        <w:t>第一章  细胞工程育种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：细胞工程概念和基本原理</w:t>
      </w:r>
      <w:r>
        <w:rPr>
          <w:rFonts w:hint="eastAsia" w:ascii="宋体" w:hAnsi="宋体"/>
          <w:bCs/>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：体细胞杂交的技术特点及在育种中的作用</w:t>
      </w:r>
      <w:r>
        <w:rPr>
          <w:rFonts w:hint="eastAsia" w:ascii="宋体" w:hAnsi="宋体"/>
          <w:bCs/>
          <w:szCs w:val="21"/>
        </w:rPr>
        <w:t>。</w:t>
      </w:r>
    </w:p>
    <w:p>
      <w:pPr>
        <w:snapToGrid w:val="0"/>
        <w:spacing w:line="360" w:lineRule="auto"/>
        <w:ind w:firstLine="422" w:firstLineChars="200"/>
        <w:rPr>
          <w:rFonts w:ascii="宋体" w:hAnsi="宋体"/>
          <w:b/>
          <w:szCs w:val="21"/>
        </w:rPr>
      </w:pPr>
      <w:r>
        <w:rPr>
          <w:rFonts w:hint="eastAsia" w:ascii="宋体" w:hAnsi="宋体"/>
          <w:b/>
          <w:szCs w:val="21"/>
        </w:rPr>
        <w:t>3. 熟练掌握</w:t>
      </w:r>
      <w:r>
        <w:rPr>
          <w:rFonts w:hint="eastAsia" w:ascii="宋体" w:hAnsi="宋体"/>
          <w:szCs w:val="21"/>
        </w:rPr>
        <w:t>：</w:t>
      </w:r>
      <w:r>
        <w:rPr>
          <w:rFonts w:hint="eastAsia" w:ascii="仿宋_GB2312"/>
          <w:kern w:val="0"/>
          <w:szCs w:val="21"/>
        </w:rPr>
        <w:t>体细胞杂交的原理及方法</w:t>
      </w:r>
      <w:r>
        <w:rPr>
          <w:rFonts w:hint="eastAsia" w:ascii="宋体" w:hAnsi="宋体"/>
          <w:bCs/>
          <w:szCs w:val="21"/>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ascii="宋体" w:hAnsi="宋体"/>
          <w:szCs w:val="21"/>
        </w:rPr>
        <w:t>细胞工程概念</w:t>
      </w:r>
      <w:r>
        <w:rPr>
          <w:rFonts w:eastAsiaTheme="minorEastAsia"/>
        </w:rPr>
        <w:t>；</w:t>
      </w:r>
      <w:r>
        <w:rPr>
          <w:rFonts w:hint="eastAsia" w:ascii="宋体" w:hAnsi="宋体"/>
          <w:szCs w:val="21"/>
        </w:rPr>
        <w:t>细胞工程原理；体细胞杂交的原理和方法</w:t>
      </w:r>
      <w:r>
        <w:rPr>
          <w:rFonts w:hint="eastAsia" w:eastAsiaTheme="minorEastAsia"/>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：细胞工程概念</w:t>
      </w:r>
      <w:r>
        <w:rPr>
          <w:rFonts w:hint="eastAsia" w:ascii="宋体" w:hAnsi="宋体"/>
          <w:bCs/>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：细胞工程育种的原理</w:t>
      </w:r>
      <w:r>
        <w:rPr>
          <w:rFonts w:hint="eastAsia" w:ascii="宋体" w:hAnsi="宋体"/>
          <w:bCs/>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ascii="宋体" w:hAnsi="宋体"/>
          <w:bCs/>
          <w:szCs w:val="21"/>
        </w:rPr>
        <w:t>体细胞杂交在育种中的作用和运用。</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ascii="宋体" w:hAnsi="宋体"/>
          <w:szCs w:val="21"/>
        </w:rPr>
        <w:t>：体细胞杂交的检测方法。</w:t>
      </w:r>
    </w:p>
    <w:p>
      <w:pPr>
        <w:snapToGrid w:val="0"/>
        <w:spacing w:line="360" w:lineRule="auto"/>
        <w:ind w:firstLine="422" w:firstLineChars="200"/>
        <w:rPr>
          <w:rFonts w:ascii="宋体" w:hAnsi="宋体"/>
          <w:b/>
          <w:szCs w:val="21"/>
        </w:rPr>
      </w:pPr>
      <w:r>
        <w:rPr>
          <w:rFonts w:hint="eastAsia" w:ascii="宋体" w:hAnsi="宋体"/>
          <w:b/>
          <w:szCs w:val="21"/>
        </w:rPr>
        <w:t>5.综合</w:t>
      </w:r>
      <w:r>
        <w:rPr>
          <w:rFonts w:hint="eastAsia" w:ascii="宋体" w:hAnsi="宋体"/>
          <w:szCs w:val="21"/>
        </w:rPr>
        <w:t>：能够掌握体细胞杂交的具体步骤和方法。</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第二章  </w:t>
      </w:r>
      <w:r>
        <w:rPr>
          <w:rFonts w:hint="eastAsia" w:eastAsiaTheme="minorEastAsia"/>
          <w:b/>
          <w:bCs/>
        </w:rPr>
        <w:t>基因工程育种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：植物</w:t>
      </w:r>
      <w:r>
        <w:rPr>
          <w:rFonts w:hint="eastAsia" w:eastAsiaTheme="minorEastAsia"/>
        </w:rPr>
        <w:t>基因工程概念和发展史</w:t>
      </w:r>
      <w:r>
        <w:rPr>
          <w:rFonts w:hint="eastAsia"/>
        </w:rPr>
        <w:t>。</w:t>
      </w:r>
    </w:p>
    <w:p>
      <w:pPr>
        <w:adjustRightInd w:val="0"/>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kern w:val="0"/>
          <w:szCs w:val="21"/>
        </w:rPr>
        <w:t>目的基因克隆和转基因植物鉴定的方法</w:t>
      </w:r>
      <w:r>
        <w:rPr>
          <w:rFonts w:eastAsiaTheme="minorEastAsia"/>
        </w:rPr>
        <w:t>。</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kern w:val="0"/>
          <w:szCs w:val="21"/>
        </w:rPr>
        <w:t>植物基因工程的基本步骤；植物基因工程在园艺植物育种中的应用</w:t>
      </w:r>
      <w:r>
        <w:rPr>
          <w:rFonts w:eastAsiaTheme="minorEastAsia"/>
        </w:rPr>
        <w:t>。</w:t>
      </w:r>
    </w:p>
    <w:p>
      <w:pPr>
        <w:snapToGrid w:val="0"/>
        <w:spacing w:line="360" w:lineRule="auto"/>
        <w:rPr>
          <w:rFonts w:ascii="宋体" w:hAnsi="宋体"/>
          <w:szCs w:val="21"/>
        </w:rPr>
      </w:pPr>
      <w:r>
        <w:rPr>
          <w:rFonts w:hint="eastAsia" w:ascii="宋体" w:hAnsi="宋体"/>
          <w:b/>
          <w:szCs w:val="21"/>
        </w:rPr>
        <w:t>（二）考核内容</w:t>
      </w:r>
    </w:p>
    <w:p>
      <w:pPr>
        <w:snapToGrid w:val="0"/>
        <w:spacing w:line="360" w:lineRule="auto"/>
        <w:ind w:firstLine="420" w:firstLineChars="200"/>
        <w:rPr>
          <w:rFonts w:ascii="宋体" w:hAnsi="宋体"/>
          <w:szCs w:val="21"/>
        </w:rPr>
      </w:pPr>
      <w:r>
        <w:rPr>
          <w:rFonts w:hint="eastAsia"/>
          <w:kern w:val="0"/>
          <w:szCs w:val="21"/>
        </w:rPr>
        <w:t>植物基因工程概念；植物基因工程的基本步骤；植物基因工程在园艺植物育种中的应用</w:t>
      </w:r>
      <w:r>
        <w:rPr>
          <w:rFonts w:eastAsiaTheme="minorEastAsia"/>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kern w:val="0"/>
          <w:szCs w:val="21"/>
        </w:rPr>
        <w:t>植物基因工程概念和发展史</w:t>
      </w:r>
      <w:r>
        <w:rPr>
          <w:rFonts w:eastAsiaTheme="minorEastAsia"/>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kern w:val="0"/>
          <w:szCs w:val="21"/>
        </w:rPr>
        <w:t>植物基因工程的基本步骤</w:t>
      </w:r>
      <w:r>
        <w:rPr>
          <w:rFonts w:eastAsiaTheme="minorEastAsia"/>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w:t>
      </w:r>
      <w:r>
        <w:rPr>
          <w:rFonts w:hint="eastAsia"/>
          <w:kern w:val="0"/>
          <w:szCs w:val="21"/>
        </w:rPr>
        <w:t>植物基因工程在园艺植物育种中的应用</w:t>
      </w:r>
      <w:r>
        <w:rPr>
          <w:rFonts w:eastAsiaTheme="minorEastAsia"/>
        </w:rPr>
        <w:t>。</w:t>
      </w:r>
    </w:p>
    <w:p>
      <w:pPr>
        <w:snapToGrid w:val="0"/>
        <w:spacing w:line="360" w:lineRule="auto"/>
        <w:ind w:firstLine="422" w:firstLineChars="200"/>
        <w:rPr>
          <w:rFonts w:ascii="宋体" w:hAnsi="宋体"/>
          <w:b/>
          <w:szCs w:val="21"/>
        </w:rPr>
      </w:pPr>
      <w:r>
        <w:rPr>
          <w:rFonts w:hint="eastAsia" w:ascii="宋体" w:hAnsi="宋体"/>
          <w:b/>
          <w:szCs w:val="21"/>
        </w:rPr>
        <w:t>4.分析：</w:t>
      </w:r>
      <w:r>
        <w:rPr>
          <w:rFonts w:hint="eastAsia"/>
          <w:kern w:val="0"/>
          <w:szCs w:val="21"/>
        </w:rPr>
        <w:t>目的基因克隆和转基因植物鉴定的方法</w:t>
      </w:r>
      <w:r>
        <w:rPr>
          <w:rFonts w:eastAsiaTheme="minorEastAsia"/>
          <w:bCs/>
        </w:rPr>
        <w:t>。</w:t>
      </w:r>
    </w:p>
    <w:p>
      <w:pPr>
        <w:snapToGrid w:val="0"/>
        <w:spacing w:line="360" w:lineRule="auto"/>
        <w:ind w:firstLine="422" w:firstLineChars="200"/>
        <w:rPr>
          <w:rFonts w:ascii="宋体" w:hAnsi="宋体"/>
          <w:szCs w:val="21"/>
        </w:rPr>
      </w:pPr>
      <w:r>
        <w:rPr>
          <w:rFonts w:hint="eastAsia" w:ascii="宋体" w:hAnsi="宋体"/>
          <w:b/>
          <w:szCs w:val="21"/>
        </w:rPr>
        <w:t>5.综合</w:t>
      </w:r>
      <w:r>
        <w:rPr>
          <w:rFonts w:hint="eastAsia" w:ascii="宋体" w:hAnsi="宋体"/>
          <w:szCs w:val="21"/>
        </w:rPr>
        <w:t>：能够掌握植物基因工程育种方法和检测技术</w:t>
      </w:r>
      <w:r>
        <w:rPr>
          <w:rFonts w:hint="eastAsia" w:ascii="宋体" w:hAnsi="宋体"/>
          <w:bCs/>
          <w:szCs w:val="21"/>
        </w:rPr>
        <w:t>。</w:t>
      </w:r>
    </w:p>
    <w:p>
      <w:pPr>
        <w:snapToGrid w:val="0"/>
        <w:spacing w:line="360" w:lineRule="auto"/>
        <w:ind w:firstLine="103" w:firstLineChars="49"/>
        <w:jc w:val="center"/>
        <w:rPr>
          <w:rFonts w:ascii="宋体" w:hAnsi="宋体" w:eastAsiaTheme="minorEastAsia"/>
          <w:b/>
          <w:bCs/>
          <w:szCs w:val="21"/>
        </w:rPr>
      </w:pPr>
      <w:r>
        <w:rPr>
          <w:rFonts w:hint="eastAsia" w:ascii="宋体" w:hAnsi="宋体"/>
          <w:b/>
          <w:szCs w:val="21"/>
        </w:rPr>
        <w:t xml:space="preserve">第三章  </w:t>
      </w:r>
      <w:r>
        <w:rPr>
          <w:rFonts w:hint="eastAsia" w:eastAsiaTheme="minorEastAsia"/>
          <w:b/>
          <w:bCs/>
        </w:rPr>
        <w:t>基因编辑育种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eastAsiaTheme="minorEastAsia"/>
          <w:kern w:val="0"/>
          <w:szCs w:val="21"/>
        </w:rPr>
        <w:t>基因编辑的概念，基因编辑的原理及在育种中的作用</w:t>
      </w:r>
      <w:r>
        <w:rPr>
          <w:rFonts w:eastAsiaTheme="minor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eastAsiaTheme="minorEastAsia"/>
          <w:kern w:val="0"/>
          <w:szCs w:val="21"/>
        </w:rPr>
        <w:t>基因编辑</w:t>
      </w:r>
      <w:r>
        <w:rPr>
          <w:rFonts w:hint="eastAsia"/>
          <w:bCs/>
        </w:rPr>
        <w:t>育种</w:t>
      </w:r>
      <w:r>
        <w:t>的概念</w:t>
      </w:r>
      <w:r>
        <w:rPr>
          <w:rFonts w:hint="eastAsia"/>
        </w:rPr>
        <w:t>，</w:t>
      </w:r>
      <w:r>
        <w:rPr>
          <w:rFonts w:hint="eastAsia" w:eastAsiaTheme="minorEastAsia"/>
          <w:kern w:val="0"/>
          <w:szCs w:val="21"/>
        </w:rPr>
        <w:t>基因编辑</w:t>
      </w:r>
      <w:r>
        <w:rPr>
          <w:rFonts w:hint="eastAsia"/>
          <w:bCs/>
        </w:rPr>
        <w:t>在</w:t>
      </w:r>
      <w:r>
        <w:rPr>
          <w:rFonts w:hint="eastAsia"/>
        </w:rPr>
        <w:t>育种发</w:t>
      </w:r>
      <w:r>
        <w:t>展</w:t>
      </w:r>
      <w:r>
        <w:rPr>
          <w:rFonts w:hint="eastAsia"/>
        </w:rPr>
        <w:t>中</w:t>
      </w:r>
      <w:r>
        <w:t>的贡献</w:t>
      </w:r>
      <w:r>
        <w:rPr>
          <w:rFonts w:eastAsiaTheme="minor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eastAsiaTheme="minorEastAsia"/>
          <w:kern w:val="0"/>
          <w:szCs w:val="21"/>
        </w:rPr>
        <w:t>基因编辑</w:t>
      </w:r>
      <w:r>
        <w:rPr>
          <w:rFonts w:hint="eastAsia"/>
          <w:bCs/>
        </w:rPr>
        <w:t>的原理和作用</w:t>
      </w:r>
      <w:r>
        <w:rPr>
          <w:rFonts w:eastAsiaTheme="minorEastAsia"/>
          <w:kern w:val="0"/>
          <w:szCs w:val="21"/>
        </w:rPr>
        <w:t>。</w:t>
      </w:r>
    </w:p>
    <w:p>
      <w:pPr>
        <w:snapToGrid w:val="0"/>
        <w:spacing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rFonts w:ascii="宋体" w:hAnsi="宋体"/>
          <w:bCs/>
          <w:szCs w:val="21"/>
        </w:rPr>
      </w:pPr>
      <w:r>
        <w:rPr>
          <w:rFonts w:hint="eastAsia" w:eastAsiaTheme="minorEastAsia"/>
          <w:kern w:val="0"/>
          <w:szCs w:val="21"/>
        </w:rPr>
        <w:t>基因编辑</w:t>
      </w:r>
      <w:r>
        <w:rPr>
          <w:rFonts w:hint="eastAsia" w:ascii="宋体" w:hAnsi="宋体"/>
          <w:bCs/>
          <w:szCs w:val="21"/>
        </w:rPr>
        <w:t>概念</w:t>
      </w:r>
      <w:r>
        <w:rPr>
          <w:rFonts w:ascii="宋体" w:hAnsi="宋体"/>
          <w:bCs/>
          <w:szCs w:val="21"/>
        </w:rPr>
        <w:t>、</w:t>
      </w:r>
      <w:r>
        <w:rPr>
          <w:rFonts w:hint="eastAsia" w:eastAsiaTheme="minorEastAsia"/>
          <w:kern w:val="0"/>
          <w:szCs w:val="21"/>
        </w:rPr>
        <w:t>基因编辑</w:t>
      </w:r>
      <w:r>
        <w:rPr>
          <w:rFonts w:hint="eastAsia" w:ascii="宋体" w:hAnsi="宋体"/>
          <w:bCs/>
          <w:szCs w:val="21"/>
        </w:rPr>
        <w:t>的技术和原理</w:t>
      </w:r>
      <w:r>
        <w:rPr>
          <w:rFonts w:ascii="宋体" w:hAnsi="宋体"/>
          <w:bCs/>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eastAsiaTheme="minorEastAsia"/>
          <w:kern w:val="0"/>
          <w:szCs w:val="21"/>
        </w:rPr>
        <w:t>基因编辑</w:t>
      </w:r>
      <w:r>
        <w:rPr>
          <w:rFonts w:hint="eastAsia" w:ascii="宋体" w:hAnsi="宋体"/>
          <w:szCs w:val="21"/>
        </w:rPr>
        <w:t>育种的概念和作用</w:t>
      </w:r>
      <w:r>
        <w:rPr>
          <w:rFonts w:eastAsiaTheme="minorEastAsia"/>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eastAsiaTheme="minorEastAsia"/>
          <w:kern w:val="0"/>
          <w:szCs w:val="21"/>
        </w:rPr>
        <w:t>基因编辑</w:t>
      </w:r>
      <w:r>
        <w:rPr>
          <w:rFonts w:hint="eastAsia" w:ascii="宋体" w:hAnsi="宋体"/>
          <w:szCs w:val="21"/>
        </w:rPr>
        <w:t>育种的理论基础</w:t>
      </w:r>
      <w:r>
        <w:rPr>
          <w:rFonts w:eastAsiaTheme="minorEastAsia"/>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：常见作物中</w:t>
      </w:r>
      <w:r>
        <w:rPr>
          <w:rFonts w:hint="eastAsia" w:eastAsiaTheme="minorEastAsia"/>
          <w:kern w:val="0"/>
          <w:szCs w:val="21"/>
        </w:rPr>
        <w:t>基因编辑</w:t>
      </w:r>
      <w:r>
        <w:rPr>
          <w:rFonts w:hint="eastAsia" w:ascii="宋体" w:hAnsi="宋体"/>
          <w:szCs w:val="21"/>
        </w:rPr>
        <w:t>育种的案例和进展</w:t>
      </w:r>
      <w:r>
        <w:rPr>
          <w:rFonts w:eastAsiaTheme="minorEastAsia"/>
          <w:szCs w:val="21"/>
        </w:rPr>
        <w:t>。</w:t>
      </w:r>
    </w:p>
    <w:p>
      <w:pPr>
        <w:snapToGrid w:val="0"/>
        <w:spacing w:line="360" w:lineRule="auto"/>
        <w:ind w:firstLine="422" w:firstLineChars="200"/>
        <w:rPr>
          <w:rFonts w:ascii="宋体" w:hAnsi="宋体"/>
          <w:szCs w:val="21"/>
        </w:rPr>
      </w:pPr>
      <w:r>
        <w:rPr>
          <w:rFonts w:hint="eastAsia" w:ascii="宋体" w:hAnsi="宋体"/>
          <w:b/>
          <w:szCs w:val="21"/>
        </w:rPr>
        <w:t>4.综合</w:t>
      </w:r>
      <w:r>
        <w:rPr>
          <w:rFonts w:hint="eastAsia" w:ascii="宋体" w:hAnsi="宋体"/>
          <w:szCs w:val="21"/>
        </w:rPr>
        <w:t>：利用</w:t>
      </w:r>
      <w:r>
        <w:rPr>
          <w:rFonts w:hint="eastAsia" w:eastAsiaTheme="minorEastAsia"/>
          <w:kern w:val="0"/>
          <w:szCs w:val="21"/>
        </w:rPr>
        <w:t>基因编辑</w:t>
      </w:r>
      <w:r>
        <w:rPr>
          <w:rFonts w:hint="eastAsia" w:ascii="宋体" w:hAnsi="宋体"/>
          <w:szCs w:val="21"/>
        </w:rPr>
        <w:t>技术对常见果菜花茶等作物进行选择分析</w:t>
      </w:r>
      <w:r>
        <w:rPr>
          <w:rFonts w:eastAsiaTheme="minorEastAsia"/>
          <w:szCs w:val="21"/>
        </w:rPr>
        <w:t>。</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第四章  </w:t>
      </w:r>
      <w:r>
        <w:rPr>
          <w:rFonts w:hint="eastAsia" w:eastAsiaTheme="minorEastAsia"/>
          <w:b/>
          <w:bCs/>
        </w:rPr>
        <w:t>全基因选择育种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eastAsiaTheme="minorEastAsia"/>
          <w:kern w:val="0"/>
          <w:szCs w:val="21"/>
        </w:rPr>
        <w:t>全基因选择的概念，全基因选择的原理及在育种中的作用</w:t>
      </w:r>
      <w:r>
        <w:rPr>
          <w:rFonts w:eastAsiaTheme="minor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bCs/>
        </w:rPr>
        <w:t>全基因选择育种</w:t>
      </w:r>
      <w:r>
        <w:t>的概念</w:t>
      </w:r>
      <w:r>
        <w:rPr>
          <w:rFonts w:hint="eastAsia"/>
        </w:rPr>
        <w:t>，</w:t>
      </w:r>
      <w:r>
        <w:rPr>
          <w:rFonts w:hint="eastAsia"/>
          <w:bCs/>
        </w:rPr>
        <w:t>全基因选择在</w:t>
      </w:r>
      <w:r>
        <w:rPr>
          <w:rFonts w:hint="eastAsia"/>
        </w:rPr>
        <w:t>育种发</w:t>
      </w:r>
      <w:r>
        <w:t>展</w:t>
      </w:r>
      <w:r>
        <w:rPr>
          <w:rFonts w:hint="eastAsia"/>
        </w:rPr>
        <w:t>中</w:t>
      </w:r>
      <w:r>
        <w:t>的贡献</w:t>
      </w:r>
      <w:r>
        <w:rPr>
          <w:rFonts w:eastAsiaTheme="minor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3. 熟练掌握</w:t>
      </w:r>
      <w:r>
        <w:rPr>
          <w:rFonts w:hint="eastAsia" w:ascii="宋体" w:hAnsi="宋体"/>
          <w:szCs w:val="21"/>
        </w:rPr>
        <w:t>：</w:t>
      </w:r>
      <w:r>
        <w:rPr>
          <w:rFonts w:hint="eastAsia"/>
          <w:bCs/>
        </w:rPr>
        <w:t>全基因选择的原理和作用</w:t>
      </w:r>
      <w:r>
        <w:rPr>
          <w:rFonts w:eastAsiaTheme="minorEastAsia"/>
          <w:kern w:val="0"/>
          <w:szCs w:val="21"/>
        </w:rPr>
        <w:t>。</w:t>
      </w:r>
    </w:p>
    <w:p>
      <w:pPr>
        <w:snapToGrid w:val="0"/>
        <w:spacing w:line="360" w:lineRule="auto"/>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rFonts w:ascii="宋体" w:hAnsi="宋体"/>
          <w:bCs/>
          <w:szCs w:val="21"/>
        </w:rPr>
      </w:pPr>
      <w:r>
        <w:rPr>
          <w:rFonts w:hint="eastAsia" w:ascii="宋体" w:hAnsi="宋体"/>
          <w:bCs/>
          <w:szCs w:val="21"/>
        </w:rPr>
        <w:t>全基因选择概念</w:t>
      </w:r>
      <w:r>
        <w:rPr>
          <w:rFonts w:ascii="宋体" w:hAnsi="宋体"/>
          <w:bCs/>
          <w:szCs w:val="21"/>
        </w:rPr>
        <w:t>、</w:t>
      </w:r>
      <w:r>
        <w:rPr>
          <w:rFonts w:hint="eastAsia" w:ascii="宋体" w:hAnsi="宋体"/>
          <w:bCs/>
          <w:szCs w:val="21"/>
        </w:rPr>
        <w:t>全基因选择的技术和原理</w:t>
      </w:r>
      <w:r>
        <w:rPr>
          <w:rFonts w:ascii="宋体" w:hAnsi="宋体"/>
          <w:bCs/>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：全基因选择育种的概念和作用</w:t>
      </w:r>
      <w:r>
        <w:rPr>
          <w:rFonts w:eastAsiaTheme="minorEastAsia"/>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：全基因选择育种的理论基础</w:t>
      </w:r>
      <w:r>
        <w:rPr>
          <w:rFonts w:eastAsiaTheme="minorEastAsia"/>
          <w:szCs w:val="21"/>
        </w:rPr>
        <w:t>。</w:t>
      </w:r>
    </w:p>
    <w:p>
      <w:pPr>
        <w:snapToGrid w:val="0"/>
        <w:spacing w:line="360" w:lineRule="auto"/>
        <w:ind w:firstLine="422" w:firstLineChars="200"/>
        <w:rPr>
          <w:rFonts w:ascii="宋体" w:hAnsi="宋体"/>
          <w:szCs w:val="21"/>
        </w:rPr>
      </w:pPr>
      <w:r>
        <w:rPr>
          <w:rFonts w:hint="eastAsia" w:ascii="宋体" w:hAnsi="宋体"/>
          <w:b/>
          <w:szCs w:val="21"/>
        </w:rPr>
        <w:t>3.应用</w:t>
      </w:r>
      <w:r>
        <w:rPr>
          <w:rFonts w:hint="eastAsia" w:ascii="宋体" w:hAnsi="宋体"/>
          <w:szCs w:val="21"/>
        </w:rPr>
        <w:t>：常见作物中全基因选择育种的案例和进展</w:t>
      </w:r>
      <w:r>
        <w:rPr>
          <w:rFonts w:eastAsiaTheme="minorEastAsia"/>
          <w:szCs w:val="21"/>
        </w:rPr>
        <w:t>。</w:t>
      </w:r>
    </w:p>
    <w:p>
      <w:pPr>
        <w:snapToGrid w:val="0"/>
        <w:spacing w:line="360" w:lineRule="auto"/>
        <w:ind w:firstLine="422" w:firstLineChars="200"/>
        <w:rPr>
          <w:rFonts w:ascii="宋体" w:hAnsi="宋体"/>
          <w:szCs w:val="21"/>
        </w:rPr>
      </w:pPr>
      <w:r>
        <w:rPr>
          <w:rFonts w:hint="eastAsia" w:ascii="宋体" w:hAnsi="宋体"/>
          <w:b/>
          <w:szCs w:val="21"/>
        </w:rPr>
        <w:t>4.综合</w:t>
      </w:r>
      <w:r>
        <w:rPr>
          <w:rFonts w:hint="eastAsia" w:ascii="宋体" w:hAnsi="宋体"/>
          <w:szCs w:val="21"/>
        </w:rPr>
        <w:t>：利用全基因选择技术对常见果菜花茶等作物进行选择分析</w:t>
      </w:r>
      <w:r>
        <w:rPr>
          <w:rFonts w:eastAsiaTheme="minorEastAsia"/>
          <w:szCs w:val="21"/>
        </w:rPr>
        <w:t>。</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第五章  </w:t>
      </w:r>
      <w:r>
        <w:rPr>
          <w:rFonts w:hint="eastAsia" w:eastAsiaTheme="minorEastAsia"/>
          <w:b/>
          <w:bCs/>
        </w:rPr>
        <w:t>多组学技术育种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w:t>
      </w:r>
      <w:r>
        <w:rPr>
          <w:rFonts w:hint="eastAsia" w:eastAsiaTheme="minorEastAsia"/>
          <w:kern w:val="0"/>
          <w:szCs w:val="21"/>
        </w:rPr>
        <w:t>基因组、转录组、蛋白组和代谢组学的定义及应用</w:t>
      </w:r>
      <w:r>
        <w:rPr>
          <w:rFonts w:eastAsiaTheme="minor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w:t>
      </w:r>
      <w:r>
        <w:rPr>
          <w:rFonts w:hint="eastAsia" w:eastAsiaTheme="minorEastAsia"/>
          <w:kern w:val="0"/>
          <w:szCs w:val="21"/>
        </w:rPr>
        <w:t>多组学联合分析在育种中的作用</w:t>
      </w:r>
      <w:r>
        <w:rPr>
          <w:rFonts w:eastAsiaTheme="minorEastAsia"/>
          <w:kern w:val="0"/>
          <w:szCs w:val="21"/>
        </w:rPr>
        <w:t>。</w:t>
      </w:r>
    </w:p>
    <w:p>
      <w:pPr>
        <w:snapToGrid w:val="0"/>
        <w:spacing w:line="360" w:lineRule="auto"/>
        <w:ind w:firstLine="422" w:firstLineChars="200"/>
        <w:rPr>
          <w:rFonts w:eastAsiaTheme="minorEastAsia"/>
          <w:kern w:val="0"/>
          <w:szCs w:val="21"/>
        </w:rPr>
      </w:pPr>
      <w:r>
        <w:rPr>
          <w:rFonts w:hint="eastAsia" w:ascii="宋体" w:hAnsi="宋体"/>
          <w:b/>
          <w:szCs w:val="21"/>
        </w:rPr>
        <w:t>3. 熟练掌握</w:t>
      </w:r>
      <w:r>
        <w:rPr>
          <w:rFonts w:hint="eastAsia" w:ascii="宋体" w:hAnsi="宋体"/>
          <w:szCs w:val="21"/>
        </w:rPr>
        <w:t>：</w:t>
      </w:r>
      <w:r>
        <w:fldChar w:fldCharType="begin"/>
      </w:r>
      <w:r>
        <w:instrText xml:space="preserve"> HYPERLINK "mailto:多组学分析的技术要点和。Liubao@m.fafu.edu.com" </w:instrText>
      </w:r>
      <w:r>
        <w:fldChar w:fldCharType="separate"/>
      </w:r>
      <w:r>
        <w:rPr>
          <w:rStyle w:val="27"/>
          <w:rFonts w:hint="eastAsia" w:eastAsiaTheme="minorEastAsia"/>
          <w:color w:val="auto"/>
          <w:kern w:val="0"/>
          <w:szCs w:val="21"/>
          <w:u w:val="none"/>
        </w:rPr>
        <w:t>多组学分析的技术要点和分析策略</w:t>
      </w:r>
      <w:r>
        <w:rPr>
          <w:rStyle w:val="27"/>
          <w:rFonts w:eastAsiaTheme="minorEastAsia"/>
          <w:color w:val="auto"/>
          <w:kern w:val="0"/>
          <w:szCs w:val="21"/>
          <w:u w:val="none"/>
        </w:rPr>
        <w:t>。</w:t>
      </w:r>
      <w:r>
        <w:rPr>
          <w:rStyle w:val="27"/>
          <w:rFonts w:eastAsiaTheme="minorEastAsia"/>
          <w:color w:val="auto"/>
          <w:kern w:val="0"/>
          <w:szCs w:val="21"/>
          <w:u w:val="none"/>
        </w:rPr>
        <w:fldChar w:fldCharType="end"/>
      </w:r>
    </w:p>
    <w:p>
      <w:pPr>
        <w:snapToGrid w:val="0"/>
        <w:spacing w:line="360" w:lineRule="auto"/>
        <w:ind w:firstLine="422" w:firstLineChars="200"/>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rFonts w:eastAsiaTheme="minorEastAsia"/>
          <w:kern w:val="0"/>
          <w:szCs w:val="21"/>
        </w:rPr>
      </w:pPr>
      <w:r>
        <w:rPr>
          <w:rFonts w:eastAsiaTheme="minorEastAsia"/>
          <w:szCs w:val="21"/>
        </w:rPr>
        <w:t>1.</w:t>
      </w:r>
      <w:r>
        <w:rPr>
          <w:rFonts w:hint="eastAsia"/>
          <w:szCs w:val="21"/>
        </w:rPr>
        <w:t xml:space="preserve"> </w:t>
      </w:r>
      <w:r>
        <w:rPr>
          <w:rFonts w:hint="eastAsia" w:eastAsiaTheme="minorEastAsia"/>
          <w:kern w:val="0"/>
          <w:szCs w:val="21"/>
        </w:rPr>
        <w:t>基因组、转录组、蛋白组和代谢组学概念</w:t>
      </w:r>
      <w:r>
        <w:rPr>
          <w:rFonts w:eastAsiaTheme="minorEastAsia"/>
          <w:kern w:val="0"/>
          <w:szCs w:val="21"/>
        </w:rPr>
        <w:t>。</w:t>
      </w:r>
    </w:p>
    <w:p>
      <w:pPr>
        <w:adjustRightInd w:val="0"/>
        <w:snapToGrid w:val="0"/>
        <w:spacing w:line="360" w:lineRule="auto"/>
        <w:ind w:firstLine="420" w:firstLineChars="200"/>
        <w:rPr>
          <w:rFonts w:eastAsiaTheme="minorEastAsia"/>
          <w:kern w:val="0"/>
          <w:szCs w:val="21"/>
        </w:rPr>
      </w:pPr>
      <w:r>
        <w:rPr>
          <w:rFonts w:eastAsiaTheme="minorEastAsia"/>
          <w:kern w:val="0"/>
          <w:szCs w:val="21"/>
        </w:rPr>
        <w:t>2.</w:t>
      </w:r>
      <w:r>
        <w:rPr>
          <w:rFonts w:hint="eastAsia"/>
          <w:kern w:val="0"/>
          <w:szCs w:val="21"/>
        </w:rPr>
        <w:t xml:space="preserve"> </w:t>
      </w:r>
      <w:r>
        <w:rPr>
          <w:rFonts w:hint="eastAsia" w:eastAsiaTheme="minorEastAsia"/>
          <w:kern w:val="0"/>
          <w:szCs w:val="21"/>
        </w:rPr>
        <w:t>多组学联合分析中需注意的事项</w:t>
      </w:r>
      <w:r>
        <w:rPr>
          <w:rFonts w:eastAsiaTheme="minorEastAsia"/>
          <w:kern w:val="0"/>
          <w:szCs w:val="21"/>
        </w:rPr>
        <w:t>。</w:t>
      </w:r>
    </w:p>
    <w:p>
      <w:pPr>
        <w:adjustRightInd w:val="0"/>
        <w:snapToGrid w:val="0"/>
        <w:spacing w:line="360" w:lineRule="auto"/>
        <w:ind w:firstLine="420" w:firstLineChars="200"/>
        <w:rPr>
          <w:rFonts w:eastAsiaTheme="minorEastAsia"/>
          <w:kern w:val="0"/>
          <w:szCs w:val="21"/>
        </w:rPr>
      </w:pPr>
      <w:r>
        <w:rPr>
          <w:rFonts w:eastAsiaTheme="minorEastAsia"/>
          <w:kern w:val="0"/>
          <w:szCs w:val="21"/>
        </w:rPr>
        <w:t xml:space="preserve">3. </w:t>
      </w:r>
      <w:r>
        <w:rPr>
          <w:rFonts w:hint="eastAsia" w:eastAsiaTheme="minorEastAsia"/>
          <w:kern w:val="0"/>
          <w:szCs w:val="21"/>
        </w:rPr>
        <w:t>多组学联合分析在育种中的应用</w:t>
      </w:r>
      <w:r>
        <w:rPr>
          <w:rFonts w:eastAsiaTheme="minorEastAsia"/>
          <w:kern w:val="0"/>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w:t>
      </w:r>
      <w:r>
        <w:rPr>
          <w:rFonts w:hint="eastAsia" w:eastAsiaTheme="minorEastAsia"/>
          <w:kern w:val="0"/>
          <w:szCs w:val="21"/>
        </w:rPr>
        <w:t>基因组、转录组、蛋白组和代谢组学概念和发展史</w:t>
      </w:r>
      <w:r>
        <w:rPr>
          <w:rFonts w:eastAsiaTheme="minorEastAsia"/>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w:t>
      </w:r>
      <w:r>
        <w:rPr>
          <w:rFonts w:hint="eastAsia" w:eastAsiaTheme="minorEastAsia"/>
          <w:szCs w:val="21"/>
        </w:rPr>
        <w:t>多组学分析中的常见问题及解决方案</w:t>
      </w:r>
      <w:r>
        <w:rPr>
          <w:rFonts w:eastAsiaTheme="minorEastAsia"/>
          <w:szCs w:val="21"/>
        </w:rPr>
        <w:t>。</w:t>
      </w:r>
    </w:p>
    <w:p>
      <w:pPr>
        <w:snapToGrid w:val="0"/>
        <w:spacing w:line="360" w:lineRule="auto"/>
        <w:ind w:firstLine="422" w:firstLineChars="200"/>
        <w:rPr>
          <w:rFonts w:eastAsiaTheme="minorEastAsia"/>
          <w:kern w:val="0"/>
          <w:szCs w:val="21"/>
        </w:rPr>
      </w:pPr>
      <w:r>
        <w:rPr>
          <w:rFonts w:hint="eastAsia" w:ascii="宋体" w:hAnsi="宋体"/>
          <w:b/>
          <w:szCs w:val="21"/>
        </w:rPr>
        <w:t>3.应用</w:t>
      </w:r>
      <w:r>
        <w:rPr>
          <w:rFonts w:hint="eastAsia" w:ascii="宋体" w:hAnsi="宋体"/>
          <w:szCs w:val="21"/>
        </w:rPr>
        <w:t>：</w:t>
      </w:r>
      <w:r>
        <w:rPr>
          <w:rFonts w:hint="eastAsia" w:eastAsiaTheme="minorEastAsia"/>
          <w:kern w:val="0"/>
          <w:szCs w:val="21"/>
        </w:rPr>
        <w:t>基因组、转录组、蛋白组和代谢组学联合分析应用育种</w:t>
      </w:r>
      <w:r>
        <w:rPr>
          <w:rFonts w:eastAsiaTheme="minorEastAsia"/>
          <w:kern w:val="0"/>
          <w:szCs w:val="21"/>
        </w:rPr>
        <w:t>。</w:t>
      </w:r>
    </w:p>
    <w:p>
      <w:pPr>
        <w:snapToGrid w:val="0"/>
        <w:spacing w:line="360" w:lineRule="auto"/>
        <w:ind w:firstLine="103" w:firstLineChars="49"/>
        <w:jc w:val="center"/>
        <w:rPr>
          <w:rFonts w:ascii="宋体" w:hAnsi="宋体"/>
          <w:b/>
          <w:szCs w:val="21"/>
        </w:rPr>
      </w:pPr>
      <w:r>
        <w:rPr>
          <w:rFonts w:hint="eastAsia" w:ascii="宋体" w:hAnsi="宋体"/>
          <w:b/>
          <w:szCs w:val="21"/>
        </w:rPr>
        <w:t xml:space="preserve">第六章  </w:t>
      </w:r>
      <w:r>
        <w:rPr>
          <w:rFonts w:hint="eastAsia" w:eastAsiaTheme="minorEastAsia"/>
          <w:b/>
          <w:bCs/>
        </w:rPr>
        <w:t>分子设计育种</w:t>
      </w:r>
    </w:p>
    <w:p>
      <w:pPr>
        <w:snapToGrid w:val="0"/>
        <w:spacing w:line="360" w:lineRule="auto"/>
        <w:rPr>
          <w:rFonts w:ascii="宋体" w:hAnsi="宋体"/>
          <w:b/>
          <w:szCs w:val="21"/>
        </w:rPr>
      </w:pPr>
      <w:r>
        <w:rPr>
          <w:rFonts w:hint="eastAsia" w:ascii="宋体" w:hAnsi="宋体"/>
          <w:b/>
          <w:szCs w:val="21"/>
        </w:rPr>
        <w:t>（一）学习目标</w:t>
      </w:r>
    </w:p>
    <w:p>
      <w:pPr>
        <w:snapToGrid w:val="0"/>
        <w:spacing w:line="360" w:lineRule="auto"/>
        <w:ind w:firstLine="422" w:firstLineChars="200"/>
        <w:rPr>
          <w:rFonts w:ascii="宋体" w:hAnsi="宋体"/>
          <w:szCs w:val="21"/>
        </w:rPr>
      </w:pPr>
      <w:r>
        <w:rPr>
          <w:rFonts w:hint="eastAsia" w:ascii="宋体" w:hAnsi="宋体"/>
          <w:b/>
          <w:szCs w:val="21"/>
        </w:rPr>
        <w:t>1. 一般了解</w:t>
      </w:r>
      <w:r>
        <w:rPr>
          <w:rFonts w:hint="eastAsia" w:ascii="宋体" w:hAnsi="宋体"/>
          <w:szCs w:val="21"/>
        </w:rPr>
        <w:t>：分子设计育种</w:t>
      </w:r>
      <w:r>
        <w:rPr>
          <w:rFonts w:hint="eastAsia" w:eastAsiaTheme="minorEastAsia"/>
          <w:kern w:val="0"/>
          <w:szCs w:val="21"/>
        </w:rPr>
        <w:t>的定义及应用</w:t>
      </w:r>
      <w:r>
        <w:rPr>
          <w:rFonts w:eastAsiaTheme="minorEastAsia"/>
          <w:kern w:val="0"/>
          <w:szCs w:val="21"/>
        </w:rPr>
        <w:t>。</w:t>
      </w:r>
    </w:p>
    <w:p>
      <w:pPr>
        <w:snapToGrid w:val="0"/>
        <w:spacing w:line="360" w:lineRule="auto"/>
        <w:ind w:firstLine="422" w:firstLineChars="200"/>
        <w:rPr>
          <w:rFonts w:ascii="宋体" w:hAnsi="宋体"/>
          <w:szCs w:val="21"/>
        </w:rPr>
      </w:pPr>
      <w:r>
        <w:rPr>
          <w:rFonts w:hint="eastAsia" w:ascii="宋体" w:hAnsi="宋体"/>
          <w:b/>
          <w:szCs w:val="21"/>
        </w:rPr>
        <w:t>2. 一般掌握</w:t>
      </w:r>
      <w:r>
        <w:rPr>
          <w:rFonts w:hint="eastAsia" w:ascii="宋体" w:hAnsi="宋体"/>
          <w:szCs w:val="21"/>
        </w:rPr>
        <w:t>：分子设计育种</w:t>
      </w:r>
      <w:r>
        <w:rPr>
          <w:rFonts w:hint="eastAsia" w:eastAsiaTheme="minorEastAsia"/>
          <w:kern w:val="0"/>
          <w:szCs w:val="21"/>
        </w:rPr>
        <w:t>在育种中的作用</w:t>
      </w:r>
      <w:r>
        <w:rPr>
          <w:rFonts w:eastAsiaTheme="minorEastAsia"/>
          <w:kern w:val="0"/>
          <w:szCs w:val="21"/>
        </w:rPr>
        <w:t>。</w:t>
      </w:r>
    </w:p>
    <w:p>
      <w:pPr>
        <w:snapToGrid w:val="0"/>
        <w:spacing w:line="360" w:lineRule="auto"/>
        <w:ind w:firstLine="422" w:firstLineChars="200"/>
        <w:rPr>
          <w:rFonts w:eastAsiaTheme="minorEastAsia"/>
          <w:kern w:val="0"/>
          <w:szCs w:val="21"/>
        </w:rPr>
      </w:pPr>
      <w:r>
        <w:rPr>
          <w:rFonts w:hint="eastAsia" w:ascii="宋体" w:hAnsi="宋体"/>
          <w:b/>
          <w:szCs w:val="21"/>
        </w:rPr>
        <w:t>3. 熟练掌握</w:t>
      </w:r>
      <w:r>
        <w:rPr>
          <w:rFonts w:hint="eastAsia" w:ascii="宋体" w:hAnsi="宋体"/>
          <w:szCs w:val="21"/>
        </w:rPr>
        <w:t>：</w:t>
      </w:r>
      <w:r>
        <w:fldChar w:fldCharType="begin"/>
      </w:r>
      <w:r>
        <w:instrText xml:space="preserve"> HYPERLINK "mailto:多组学分析的技术要点和。Liubao@m.fafu.edu.com" </w:instrText>
      </w:r>
      <w:r>
        <w:fldChar w:fldCharType="separate"/>
      </w:r>
      <w:r>
        <w:rPr>
          <w:rFonts w:hint="eastAsia" w:ascii="宋体" w:hAnsi="宋体"/>
          <w:szCs w:val="21"/>
        </w:rPr>
        <w:t>分子设计育种</w:t>
      </w:r>
      <w:r>
        <w:rPr>
          <w:rStyle w:val="27"/>
          <w:rFonts w:hint="eastAsia" w:eastAsiaTheme="minorEastAsia"/>
          <w:color w:val="auto"/>
          <w:kern w:val="0"/>
          <w:szCs w:val="21"/>
          <w:u w:val="none"/>
        </w:rPr>
        <w:t>的技术要点和分析策略</w:t>
      </w:r>
      <w:r>
        <w:rPr>
          <w:rStyle w:val="27"/>
          <w:rFonts w:eastAsiaTheme="minorEastAsia"/>
          <w:color w:val="auto"/>
          <w:kern w:val="0"/>
          <w:szCs w:val="21"/>
          <w:u w:val="none"/>
        </w:rPr>
        <w:t>。</w:t>
      </w:r>
      <w:r>
        <w:rPr>
          <w:rStyle w:val="27"/>
          <w:rFonts w:eastAsiaTheme="minorEastAsia"/>
          <w:color w:val="auto"/>
          <w:kern w:val="0"/>
          <w:szCs w:val="21"/>
          <w:u w:val="none"/>
        </w:rPr>
        <w:fldChar w:fldCharType="end"/>
      </w:r>
    </w:p>
    <w:p>
      <w:pPr>
        <w:snapToGrid w:val="0"/>
        <w:spacing w:line="360" w:lineRule="auto"/>
        <w:ind w:firstLine="422" w:firstLineChars="200"/>
        <w:rPr>
          <w:rFonts w:ascii="宋体" w:hAnsi="宋体"/>
          <w:szCs w:val="21"/>
        </w:rPr>
      </w:pPr>
      <w:r>
        <w:rPr>
          <w:rFonts w:hint="eastAsia" w:ascii="宋体" w:hAnsi="宋体"/>
          <w:b/>
          <w:szCs w:val="21"/>
        </w:rPr>
        <w:t>(二）考核内容</w:t>
      </w:r>
    </w:p>
    <w:p>
      <w:pPr>
        <w:adjustRightInd w:val="0"/>
        <w:snapToGrid w:val="0"/>
        <w:spacing w:line="360" w:lineRule="auto"/>
        <w:ind w:firstLine="420" w:firstLineChars="200"/>
        <w:rPr>
          <w:rFonts w:eastAsiaTheme="minorEastAsia"/>
          <w:kern w:val="0"/>
          <w:szCs w:val="21"/>
        </w:rPr>
      </w:pPr>
      <w:r>
        <w:rPr>
          <w:rFonts w:eastAsiaTheme="minorEastAsia"/>
          <w:szCs w:val="21"/>
        </w:rPr>
        <w:t>1.</w:t>
      </w:r>
      <w:r>
        <w:rPr>
          <w:rFonts w:hint="eastAsia"/>
          <w:szCs w:val="21"/>
        </w:rPr>
        <w:t xml:space="preserve"> </w:t>
      </w:r>
      <w:r>
        <w:rPr>
          <w:rFonts w:hint="eastAsia" w:ascii="宋体" w:hAnsi="宋体"/>
          <w:szCs w:val="21"/>
        </w:rPr>
        <w:t>分子设计育种</w:t>
      </w:r>
      <w:r>
        <w:rPr>
          <w:rFonts w:hint="eastAsia" w:eastAsiaTheme="minorEastAsia"/>
          <w:kern w:val="0"/>
          <w:szCs w:val="21"/>
        </w:rPr>
        <w:t>概念</w:t>
      </w:r>
      <w:r>
        <w:rPr>
          <w:rFonts w:eastAsiaTheme="minorEastAsia"/>
          <w:kern w:val="0"/>
          <w:szCs w:val="21"/>
        </w:rPr>
        <w:t>。</w:t>
      </w:r>
    </w:p>
    <w:p>
      <w:pPr>
        <w:adjustRightInd w:val="0"/>
        <w:snapToGrid w:val="0"/>
        <w:spacing w:line="360" w:lineRule="auto"/>
        <w:ind w:firstLine="420" w:firstLineChars="200"/>
        <w:rPr>
          <w:rFonts w:eastAsiaTheme="minorEastAsia"/>
          <w:kern w:val="0"/>
          <w:szCs w:val="21"/>
        </w:rPr>
      </w:pPr>
      <w:r>
        <w:rPr>
          <w:rFonts w:eastAsiaTheme="minorEastAsia"/>
          <w:kern w:val="0"/>
          <w:szCs w:val="21"/>
        </w:rPr>
        <w:t>2.</w:t>
      </w:r>
      <w:r>
        <w:rPr>
          <w:rFonts w:hint="eastAsia"/>
          <w:kern w:val="0"/>
          <w:szCs w:val="21"/>
        </w:rPr>
        <w:t xml:space="preserve"> </w:t>
      </w:r>
      <w:r>
        <w:rPr>
          <w:rFonts w:hint="eastAsia" w:ascii="宋体" w:hAnsi="宋体"/>
          <w:szCs w:val="21"/>
        </w:rPr>
        <w:t>分子设计育种</w:t>
      </w:r>
      <w:r>
        <w:rPr>
          <w:rFonts w:hint="eastAsia" w:eastAsiaTheme="minorEastAsia"/>
          <w:kern w:val="0"/>
          <w:szCs w:val="21"/>
        </w:rPr>
        <w:t>中需注意的事项</w:t>
      </w:r>
      <w:r>
        <w:rPr>
          <w:rFonts w:eastAsiaTheme="minorEastAsia"/>
          <w:kern w:val="0"/>
          <w:szCs w:val="21"/>
        </w:rPr>
        <w:t>。</w:t>
      </w:r>
    </w:p>
    <w:p>
      <w:pPr>
        <w:adjustRightInd w:val="0"/>
        <w:snapToGrid w:val="0"/>
        <w:spacing w:line="360" w:lineRule="auto"/>
        <w:ind w:firstLine="420" w:firstLineChars="200"/>
        <w:rPr>
          <w:rFonts w:eastAsiaTheme="minorEastAsia"/>
          <w:kern w:val="0"/>
          <w:szCs w:val="21"/>
        </w:rPr>
      </w:pPr>
      <w:r>
        <w:rPr>
          <w:rFonts w:eastAsiaTheme="minorEastAsia"/>
          <w:kern w:val="0"/>
          <w:szCs w:val="21"/>
        </w:rPr>
        <w:t xml:space="preserve">3. </w:t>
      </w:r>
      <w:r>
        <w:rPr>
          <w:rFonts w:hint="eastAsia" w:ascii="宋体" w:hAnsi="宋体"/>
          <w:szCs w:val="21"/>
        </w:rPr>
        <w:t>分子设计育种</w:t>
      </w:r>
      <w:r>
        <w:rPr>
          <w:rFonts w:hint="eastAsia" w:eastAsiaTheme="minorEastAsia"/>
          <w:kern w:val="0"/>
          <w:szCs w:val="21"/>
        </w:rPr>
        <w:t>在育种中的应用</w:t>
      </w:r>
      <w:r>
        <w:rPr>
          <w:rFonts w:eastAsiaTheme="minorEastAsia"/>
          <w:kern w:val="0"/>
          <w:szCs w:val="21"/>
        </w:rPr>
        <w:t>。</w:t>
      </w:r>
    </w:p>
    <w:p>
      <w:pPr>
        <w:snapToGrid w:val="0"/>
        <w:spacing w:line="360" w:lineRule="auto"/>
        <w:rPr>
          <w:rFonts w:ascii="宋体" w:hAnsi="宋体"/>
          <w:b/>
          <w:szCs w:val="21"/>
        </w:rPr>
      </w:pPr>
      <w:r>
        <w:rPr>
          <w:rFonts w:hint="eastAsia" w:ascii="宋体" w:hAnsi="宋体"/>
          <w:b/>
          <w:szCs w:val="21"/>
        </w:rPr>
        <w:t>（三）考核要求</w:t>
      </w:r>
    </w:p>
    <w:p>
      <w:pPr>
        <w:snapToGrid w:val="0"/>
        <w:spacing w:line="360" w:lineRule="auto"/>
        <w:ind w:firstLine="422" w:firstLineChars="200"/>
        <w:rPr>
          <w:rFonts w:ascii="宋体" w:hAnsi="宋体"/>
          <w:b/>
          <w:szCs w:val="21"/>
        </w:rPr>
      </w:pPr>
      <w:r>
        <w:rPr>
          <w:rFonts w:hint="eastAsia" w:ascii="宋体" w:hAnsi="宋体"/>
          <w:b/>
          <w:szCs w:val="21"/>
        </w:rPr>
        <w:t>1.识记</w:t>
      </w:r>
      <w:r>
        <w:rPr>
          <w:rFonts w:hint="eastAsia" w:ascii="宋体" w:hAnsi="宋体"/>
          <w:szCs w:val="21"/>
        </w:rPr>
        <w:t>：分子设计育种</w:t>
      </w:r>
      <w:r>
        <w:rPr>
          <w:rFonts w:hint="eastAsia" w:eastAsiaTheme="minorEastAsia"/>
          <w:kern w:val="0"/>
          <w:szCs w:val="21"/>
        </w:rPr>
        <w:t>概念和发展史</w:t>
      </w:r>
      <w:r>
        <w:rPr>
          <w:rFonts w:eastAsiaTheme="minorEastAsia"/>
          <w:szCs w:val="21"/>
        </w:rPr>
        <w:t>。</w:t>
      </w:r>
    </w:p>
    <w:p>
      <w:pPr>
        <w:snapToGrid w:val="0"/>
        <w:spacing w:line="360" w:lineRule="auto"/>
        <w:ind w:firstLine="422" w:firstLineChars="200"/>
        <w:rPr>
          <w:rFonts w:ascii="宋体" w:hAnsi="宋体"/>
          <w:b/>
          <w:szCs w:val="21"/>
        </w:rPr>
      </w:pPr>
      <w:r>
        <w:rPr>
          <w:rFonts w:hint="eastAsia" w:ascii="宋体" w:hAnsi="宋体"/>
          <w:b/>
          <w:szCs w:val="21"/>
        </w:rPr>
        <w:t>2.领会</w:t>
      </w:r>
      <w:r>
        <w:rPr>
          <w:rFonts w:hint="eastAsia" w:ascii="宋体" w:hAnsi="宋体"/>
          <w:szCs w:val="21"/>
        </w:rPr>
        <w:t>：分子设计育种</w:t>
      </w:r>
      <w:r>
        <w:rPr>
          <w:rFonts w:hint="eastAsia" w:eastAsiaTheme="minorEastAsia"/>
          <w:szCs w:val="21"/>
        </w:rPr>
        <w:t>中的常见问题及解决方案</w:t>
      </w:r>
      <w:r>
        <w:rPr>
          <w:rFonts w:eastAsiaTheme="minorEastAsia"/>
          <w:szCs w:val="21"/>
        </w:rPr>
        <w:t>。</w:t>
      </w:r>
    </w:p>
    <w:p>
      <w:pPr>
        <w:snapToGrid w:val="0"/>
        <w:spacing w:line="360" w:lineRule="auto"/>
        <w:ind w:firstLine="422" w:firstLineChars="200"/>
        <w:rPr>
          <w:rFonts w:eastAsiaTheme="minorEastAsia"/>
          <w:kern w:val="0"/>
          <w:szCs w:val="21"/>
        </w:rPr>
      </w:pPr>
      <w:r>
        <w:rPr>
          <w:rFonts w:hint="eastAsia" w:ascii="宋体" w:hAnsi="宋体"/>
          <w:b/>
          <w:szCs w:val="21"/>
        </w:rPr>
        <w:t>3.应用</w:t>
      </w:r>
      <w:r>
        <w:rPr>
          <w:rFonts w:hint="eastAsia" w:ascii="宋体" w:hAnsi="宋体"/>
          <w:szCs w:val="21"/>
        </w:rPr>
        <w:t>：分子设计育种在</w:t>
      </w:r>
      <w:r>
        <w:rPr>
          <w:rFonts w:hint="eastAsia" w:eastAsiaTheme="minorEastAsia"/>
          <w:kern w:val="0"/>
          <w:szCs w:val="21"/>
        </w:rPr>
        <w:t>育种中的应用和优势</w:t>
      </w:r>
      <w:r>
        <w:rPr>
          <w:rFonts w:eastAsiaTheme="minorEastAsia"/>
          <w:kern w:val="0"/>
          <w:szCs w:val="21"/>
        </w:rPr>
        <w:t>。</w:t>
      </w:r>
    </w:p>
    <w:p>
      <w:pPr>
        <w:snapToGrid w:val="0"/>
        <w:spacing w:line="360" w:lineRule="auto"/>
        <w:rPr>
          <w:rFonts w:ascii="宋体" w:hAnsi="宋体"/>
          <w:b/>
          <w:szCs w:val="21"/>
        </w:rPr>
      </w:pPr>
      <w:r>
        <w:rPr>
          <w:rFonts w:hint="eastAsia" w:ascii="宋体" w:hAnsi="宋体"/>
          <w:b/>
          <w:szCs w:val="21"/>
        </w:rPr>
        <w:t>三、考核方式</w:t>
      </w:r>
    </w:p>
    <w:p>
      <w:pPr>
        <w:snapToGrid w:val="0"/>
        <w:spacing w:line="360" w:lineRule="auto"/>
        <w:ind w:firstLine="630" w:firstLineChars="300"/>
        <w:rPr>
          <w:rFonts w:ascii="宋体" w:hAnsi="宋体"/>
          <w:szCs w:val="21"/>
        </w:rPr>
      </w:pPr>
      <w:r>
        <w:rPr>
          <w:rFonts w:hint="eastAsia" w:ascii="宋体" w:hAnsi="宋体"/>
          <w:szCs w:val="21"/>
        </w:rPr>
        <w:t>本课程为理论教学和实验教学相结合，考核方式采用过程性考核与结果性考核相结合的方式。过程性考核主要体现于出勤率、课堂教学活动参与度、讨论参与度和课后作业完成度等环节；对于课堂教学活动参与度，是将</w:t>
      </w:r>
      <w:r>
        <w:rPr>
          <w:rFonts w:hint="eastAsia" w:hAnsiTheme="minorEastAsia" w:eastAsiaTheme="minorEastAsia"/>
          <w:szCs w:val="21"/>
        </w:rPr>
        <w:t>学生参与问答、讨论、作业等教学内容相关活动设定不同分数，计入平时成绩</w:t>
      </w:r>
      <w:r>
        <w:rPr>
          <w:rFonts w:hint="eastAsia" w:ascii="宋体" w:hAnsi="宋体"/>
          <w:szCs w:val="21"/>
        </w:rPr>
        <w:t>。结果性考核主要应用于课程论文环节，课内与课外相结合，引导学生利用课余时间进一步学习，进行相关资源搜索，撰写课程论文，根据课程论文内容、结构、层次、深度、准确度、前沿性等进行评价。</w:t>
      </w:r>
    </w:p>
    <w:p>
      <w:pPr>
        <w:snapToGrid w:val="0"/>
        <w:spacing w:line="360" w:lineRule="auto"/>
        <w:rPr>
          <w:rFonts w:ascii="宋体" w:hAnsi="宋体"/>
          <w:b/>
          <w:szCs w:val="21"/>
        </w:rPr>
      </w:pPr>
      <w:r>
        <w:rPr>
          <w:rFonts w:hint="eastAsia" w:ascii="宋体" w:hAnsi="宋体"/>
          <w:b/>
          <w:szCs w:val="21"/>
        </w:rPr>
        <w:t>四、成绩评定</w:t>
      </w:r>
    </w:p>
    <w:p>
      <w:pPr>
        <w:pStyle w:val="35"/>
        <w:spacing w:line="360" w:lineRule="auto"/>
        <w:jc w:val="left"/>
        <w:rPr>
          <w:rFonts w:hAnsiTheme="minorEastAsia" w:eastAsiaTheme="minorEastAsia"/>
          <w:szCs w:val="21"/>
        </w:rPr>
      </w:pPr>
      <w:r>
        <w:rPr>
          <w:rFonts w:hint="eastAsia" w:hAnsiTheme="minorEastAsia" w:eastAsiaTheme="minorEastAsia"/>
          <w:szCs w:val="21"/>
        </w:rPr>
        <w:t>1.平时成绩的评价方法。</w:t>
      </w:r>
    </w:p>
    <w:p>
      <w:pPr>
        <w:pStyle w:val="35"/>
        <w:spacing w:line="360" w:lineRule="auto"/>
        <w:jc w:val="left"/>
        <w:rPr>
          <w:rFonts w:hAnsiTheme="minorEastAsia" w:eastAsiaTheme="minorEastAsia"/>
          <w:szCs w:val="21"/>
        </w:rPr>
      </w:pPr>
      <w:r>
        <w:rPr>
          <w:rFonts w:hAnsiTheme="minorEastAsia" w:eastAsiaTheme="minorEastAsia"/>
          <w:szCs w:val="21"/>
        </w:rPr>
        <w:t>1</w:t>
      </w:r>
      <w:r>
        <w:rPr>
          <w:rFonts w:hint="eastAsia" w:hAnsiTheme="minorEastAsia" w:eastAsiaTheme="minorEastAsia"/>
          <w:szCs w:val="21"/>
        </w:rPr>
        <w:t>）加强学风建设，严肃课堂纪律，学生考勤计入平时成绩计算方法。</w:t>
      </w:r>
    </w:p>
    <w:p>
      <w:pPr>
        <w:pStyle w:val="35"/>
        <w:spacing w:line="360" w:lineRule="auto"/>
        <w:jc w:val="left"/>
        <w:rPr>
          <w:rFonts w:hAnsiTheme="minorEastAsia" w:eastAsiaTheme="minorEastAsia"/>
          <w:szCs w:val="21"/>
        </w:rPr>
      </w:pPr>
      <w:r>
        <w:rPr>
          <w:rFonts w:hint="eastAsia" w:hAnsiTheme="minorEastAsia" w:eastAsiaTheme="minorEastAsia"/>
          <w:szCs w:val="21"/>
        </w:rPr>
        <w:t>2）鼓励学生参与活动，调动学生积极性。学生参与问答、讨论、作业等教学内容相关活动，每项活动设定不同分数，计入平时成绩计算方法。</w:t>
      </w:r>
    </w:p>
    <w:p>
      <w:pPr>
        <w:pStyle w:val="35"/>
        <w:spacing w:line="360" w:lineRule="auto"/>
        <w:jc w:val="left"/>
        <w:rPr>
          <w:rFonts w:hAnsiTheme="minorEastAsia" w:eastAsiaTheme="minorEastAsia"/>
          <w:szCs w:val="21"/>
        </w:rPr>
      </w:pPr>
      <w:r>
        <w:rPr>
          <w:rFonts w:hint="eastAsia" w:hAnsiTheme="minorEastAsia" w:eastAsiaTheme="minorEastAsia"/>
          <w:szCs w:val="21"/>
        </w:rPr>
        <w:t>2.最终成绩评价方法。</w:t>
      </w:r>
    </w:p>
    <w:p>
      <w:pPr>
        <w:pStyle w:val="35"/>
        <w:spacing w:line="360" w:lineRule="auto"/>
        <w:jc w:val="left"/>
        <w:rPr>
          <w:rFonts w:hAnsiTheme="minorEastAsia" w:eastAsiaTheme="minorEastAsia"/>
          <w:szCs w:val="21"/>
        </w:rPr>
      </w:pPr>
      <w:r>
        <w:rPr>
          <w:rFonts w:hAnsiTheme="minorEastAsia" w:eastAsiaTheme="minorEastAsia"/>
          <w:szCs w:val="21"/>
        </w:rPr>
        <w:t>平时成绩（考勤+参与教学活动</w:t>
      </w:r>
      <w:r>
        <w:rPr>
          <w:rFonts w:hint="eastAsia" w:hAnsiTheme="minorEastAsia" w:eastAsiaTheme="minorEastAsia"/>
          <w:szCs w:val="21"/>
        </w:rPr>
        <w:t>+作业完成度</w:t>
      </w:r>
      <w:r>
        <w:rPr>
          <w:rFonts w:hAnsiTheme="minorEastAsia" w:eastAsiaTheme="minorEastAsia"/>
          <w:szCs w:val="21"/>
        </w:rPr>
        <w:t>）</w:t>
      </w:r>
      <w:r>
        <w:rPr>
          <w:rFonts w:hint="eastAsia" w:hAnsiTheme="minorEastAsia" w:eastAsiaTheme="minorEastAsia"/>
          <w:szCs w:val="21"/>
        </w:rPr>
        <w:t xml:space="preserve">40% </w:t>
      </w:r>
      <w:r>
        <w:rPr>
          <w:rFonts w:hAnsiTheme="minorEastAsia" w:eastAsiaTheme="minorEastAsia"/>
          <w:szCs w:val="21"/>
        </w:rPr>
        <w:t>+</w:t>
      </w:r>
      <w:r>
        <w:rPr>
          <w:rFonts w:hint="eastAsia" w:hAnsiTheme="minorEastAsia" w:eastAsiaTheme="minorEastAsia"/>
          <w:szCs w:val="21"/>
        </w:rPr>
        <w:t xml:space="preserve"> </w:t>
      </w:r>
      <w:r>
        <w:rPr>
          <w:rFonts w:hAnsiTheme="minorEastAsia" w:eastAsiaTheme="minorEastAsia"/>
          <w:szCs w:val="21"/>
        </w:rPr>
        <w:t>课程论文</w:t>
      </w:r>
      <w:r>
        <w:rPr>
          <w:rFonts w:hint="eastAsia" w:hAnsiTheme="minorEastAsia" w:eastAsiaTheme="minorEastAsia"/>
          <w:szCs w:val="21"/>
        </w:rPr>
        <w:t>60</w:t>
      </w:r>
      <w:r>
        <w:rPr>
          <w:rFonts w:hAnsiTheme="minorEastAsia" w:eastAsiaTheme="minorEastAsia"/>
          <w:szCs w:val="21"/>
        </w:rPr>
        <w:t>%</w:t>
      </w:r>
    </w:p>
    <w:p>
      <w:pPr>
        <w:snapToGrid w:val="0"/>
        <w:spacing w:line="360" w:lineRule="auto"/>
        <w:rPr>
          <w:rFonts w:ascii="宋体" w:hAnsi="宋体"/>
          <w:b/>
          <w:szCs w:val="21"/>
        </w:rPr>
      </w:pPr>
      <w:r>
        <w:rPr>
          <w:rFonts w:hint="eastAsia" w:ascii="宋体" w:hAnsi="宋体"/>
          <w:b/>
          <w:szCs w:val="21"/>
        </w:rPr>
        <w:t>五、考核结果分析反馈</w:t>
      </w:r>
    </w:p>
    <w:p>
      <w:pPr>
        <w:pStyle w:val="35"/>
        <w:spacing w:line="360" w:lineRule="auto"/>
        <w:jc w:val="left"/>
        <w:rPr>
          <w:rFonts w:hAnsiTheme="minorEastAsia" w:eastAsiaTheme="minorEastAsia"/>
          <w:szCs w:val="21"/>
        </w:rPr>
      </w:pPr>
      <w:r>
        <w:rPr>
          <w:rFonts w:hint="eastAsia" w:hAnsiTheme="minorEastAsia" w:eastAsiaTheme="minorEastAsia"/>
          <w:szCs w:val="21"/>
        </w:rPr>
        <w:t>通过对学生各环节成绩进行成绩分析（含平时成绩），不仅可以获得学生学习效果和教学中存在的问题等一系列反馈信息，还可在一定程度上反应教学质量的优劣。从而促使任课教师进行教学反思，为教师有针对性的调整教学内容、改进教学方法提供依据，提高教学质量。</w:t>
      </w:r>
    </w:p>
    <w:p>
      <w:pPr>
        <w:pStyle w:val="35"/>
        <w:spacing w:line="360" w:lineRule="auto"/>
        <w:ind w:left="420" w:leftChars="200" w:firstLine="0" w:firstLineChars="0"/>
        <w:jc w:val="left"/>
        <w:rPr>
          <w:rFonts w:hAnsiTheme="minorEastAsia" w:eastAsiaTheme="minorEastAsia"/>
          <w:szCs w:val="21"/>
        </w:rPr>
      </w:pPr>
      <w:r>
        <w:rPr>
          <w:rFonts w:hint="eastAsia" w:hAnsiTheme="minorEastAsia" w:eastAsiaTheme="minorEastAsia"/>
          <w:szCs w:val="21"/>
        </w:rPr>
        <w:t>1、考核结果分析</w:t>
      </w:r>
    </w:p>
    <w:p>
      <w:pPr>
        <w:pStyle w:val="35"/>
        <w:spacing w:line="360" w:lineRule="auto"/>
        <w:jc w:val="left"/>
        <w:rPr>
          <w:rFonts w:hAnsiTheme="minorEastAsia" w:eastAsiaTheme="minorEastAsia"/>
          <w:szCs w:val="21"/>
        </w:rPr>
      </w:pPr>
      <w:r>
        <w:rPr>
          <w:rFonts w:hint="eastAsia" w:hAnsiTheme="minorEastAsia" w:eastAsiaTheme="minorEastAsia"/>
          <w:szCs w:val="21"/>
        </w:rPr>
        <w:t>任课教师提供的本门课程考核结果分析应包括各环节成绩分析、总评成绩分析和分析报告三部分。成绩分析应包括平均分、最高分、最低分、标准差等，主要体现课程成绩总体分布情况。分析报告应包括分析依据、分析内容、综合评价以及总结或建议。</w:t>
      </w:r>
    </w:p>
    <w:p>
      <w:pPr>
        <w:pStyle w:val="35"/>
        <w:spacing w:line="360" w:lineRule="auto"/>
        <w:ind w:left="420" w:leftChars="200" w:firstLine="0" w:firstLineChars="0"/>
        <w:jc w:val="left"/>
        <w:rPr>
          <w:rFonts w:hAnsiTheme="minorEastAsia" w:eastAsiaTheme="minorEastAsia"/>
          <w:szCs w:val="21"/>
        </w:rPr>
      </w:pPr>
      <w:r>
        <w:rPr>
          <w:rFonts w:hint="eastAsia" w:hAnsiTheme="minorEastAsia" w:eastAsiaTheme="minorEastAsia"/>
          <w:szCs w:val="21"/>
        </w:rPr>
        <w:t>2、考核结果反馈</w:t>
      </w:r>
    </w:p>
    <w:p>
      <w:pPr>
        <w:pStyle w:val="2"/>
        <w:ind w:firstLine="420" w:firstLineChars="200"/>
        <w:jc w:val="left"/>
        <w:rPr>
          <w:b w:val="0"/>
          <w:bCs w:val="0"/>
          <w:sz w:val="21"/>
          <w:szCs w:val="21"/>
        </w:rPr>
      </w:pPr>
      <w:r>
        <w:rPr>
          <w:rFonts w:hint="eastAsia" w:hAnsiTheme="minorEastAsia" w:eastAsiaTheme="minorEastAsia"/>
          <w:b w:val="0"/>
          <w:bCs w:val="0"/>
          <w:sz w:val="21"/>
          <w:szCs w:val="21"/>
        </w:rPr>
        <w:t>针对本门课程提高学生生物育种的认知水平的教学目标，考核方式为过程性考核。针对过程性考核，反馈形式主要体现在平时的教学过程中</w:t>
      </w:r>
      <w:r>
        <w:rPr>
          <w:rFonts w:hint="eastAsia"/>
          <w:b w:val="0"/>
          <w:bCs w:val="0"/>
          <w:sz w:val="21"/>
          <w:szCs w:val="21"/>
        </w:rPr>
        <w:t>。</w:t>
      </w:r>
      <w:r>
        <w:rPr>
          <w:rFonts w:hint="eastAsia" w:hAnsiTheme="minorEastAsia" w:eastAsiaTheme="minorEastAsia"/>
          <w:b w:val="0"/>
          <w:bCs w:val="0"/>
          <w:sz w:val="21"/>
          <w:szCs w:val="21"/>
        </w:rPr>
        <w:t>针对考核结果分析中成绩严重偏态分布的情况，应及时调整教学内容、教学方法、强化过程性考核。</w:t>
      </w:r>
    </w:p>
    <w:p>
      <w:r>
        <w:rPr>
          <w:rFonts w:hint="eastAsia"/>
        </w:rPr>
        <w:br w:type="page"/>
      </w:r>
    </w:p>
    <w:p>
      <w:pPr>
        <w:pStyle w:val="2"/>
      </w:pPr>
      <w:bookmarkStart w:id="1550" w:name="_Toc22967"/>
      <w:r>
        <w:rPr>
          <w:rFonts w:hint="eastAsia"/>
        </w:rPr>
        <w:t>农业信息技术考核大纲</w:t>
      </w:r>
      <w:bookmarkEnd w:id="1548"/>
      <w:bookmarkEnd w:id="1549"/>
      <w:bookmarkEnd w:id="1550"/>
    </w:p>
    <w:p>
      <w:pPr>
        <w:shd w:val="clear" w:color="auto" w:fill="FFFFFF"/>
        <w:spacing w:line="360" w:lineRule="auto"/>
        <w:ind w:right="-31"/>
        <w:jc w:val="center"/>
        <w:rPr>
          <w:b/>
          <w:bCs/>
          <w:sz w:val="24"/>
        </w:rPr>
      </w:pPr>
      <w:r>
        <w:rPr>
          <w:sz w:val="24"/>
        </w:rPr>
        <w:t>（</w:t>
      </w:r>
      <w:r>
        <w:rPr>
          <w:sz w:val="24"/>
          <w:shd w:val="clear" w:color="auto" w:fill="FFFFFF"/>
        </w:rPr>
        <w:t>Agricultural Information Technology)</w:t>
      </w:r>
    </w:p>
    <w:p>
      <w:pPr>
        <w:widowControl/>
        <w:wordWrap w:val="0"/>
        <w:spacing w:before="120" w:after="120"/>
        <w:jc w:val="center"/>
        <w:outlineLvl w:val="0"/>
        <w:rPr>
          <w:rFonts w:eastAsia="黑体"/>
          <w:b/>
          <w:bCs/>
          <w:kern w:val="36"/>
          <w:sz w:val="24"/>
        </w:rPr>
      </w:pPr>
    </w:p>
    <w:p>
      <w:pPr>
        <w:snapToGrid w:val="0"/>
        <w:spacing w:line="360" w:lineRule="auto"/>
        <w:jc w:val="center"/>
        <w:rPr>
          <w:b/>
          <w:szCs w:val="21"/>
        </w:rPr>
      </w:pPr>
      <w:r>
        <w:rPr>
          <w:b/>
          <w:szCs w:val="21"/>
        </w:rPr>
        <w:t>课程基本信息</w:t>
      </w:r>
    </w:p>
    <w:tbl>
      <w:tblPr>
        <w:tblStyle w:val="22"/>
        <w:tblW w:w="5000" w:type="pct"/>
        <w:tblInd w:w="0" w:type="dxa"/>
        <w:tblLayout w:type="autofit"/>
        <w:tblCellMar>
          <w:top w:w="0" w:type="dxa"/>
          <w:left w:w="108" w:type="dxa"/>
          <w:bottom w:w="0" w:type="dxa"/>
          <w:right w:w="108" w:type="dxa"/>
        </w:tblCellMar>
      </w:tblPr>
      <w:tblGrid>
        <w:gridCol w:w="3037"/>
        <w:gridCol w:w="2649"/>
        <w:gridCol w:w="3430"/>
      </w:tblGrid>
      <w:tr>
        <w:tblPrEx>
          <w:tblCellMar>
            <w:top w:w="0" w:type="dxa"/>
            <w:left w:w="108" w:type="dxa"/>
            <w:bottom w:w="0" w:type="dxa"/>
            <w:right w:w="108" w:type="dxa"/>
          </w:tblCellMar>
        </w:tblPrEx>
        <w:tc>
          <w:tcPr>
            <w:tcW w:w="1666" w:type="pct"/>
            <w:shd w:val="clear" w:color="auto" w:fill="auto"/>
          </w:tcPr>
          <w:p>
            <w:pPr>
              <w:spacing w:line="300" w:lineRule="auto"/>
              <w:rPr>
                <w:b/>
                <w:bCs/>
                <w:szCs w:val="21"/>
              </w:rPr>
            </w:pPr>
            <w:r>
              <w:rPr>
                <w:b/>
                <w:bCs/>
                <w:szCs w:val="21"/>
              </w:rPr>
              <w:t>课程编号：</w:t>
            </w:r>
            <w:r>
              <w:rPr>
                <w:b/>
                <w:bCs/>
                <w:color w:val="000000"/>
                <w:szCs w:val="21"/>
              </w:rPr>
              <w:t>19011060</w:t>
            </w:r>
          </w:p>
        </w:tc>
        <w:tc>
          <w:tcPr>
            <w:tcW w:w="1453" w:type="pct"/>
            <w:shd w:val="clear" w:color="auto" w:fill="auto"/>
          </w:tcPr>
          <w:p>
            <w:pPr>
              <w:spacing w:line="300" w:lineRule="auto"/>
              <w:rPr>
                <w:b/>
                <w:bCs/>
                <w:szCs w:val="21"/>
              </w:rPr>
            </w:pPr>
            <w:r>
              <w:rPr>
                <w:b/>
                <w:bCs/>
                <w:szCs w:val="21"/>
              </w:rPr>
              <w:t>课程学时：32</w:t>
            </w:r>
          </w:p>
        </w:tc>
        <w:tc>
          <w:tcPr>
            <w:tcW w:w="1881" w:type="pct"/>
            <w:shd w:val="clear" w:color="auto" w:fill="auto"/>
          </w:tcPr>
          <w:p>
            <w:pPr>
              <w:spacing w:line="300" w:lineRule="auto"/>
              <w:rPr>
                <w:b/>
                <w:bCs/>
                <w:szCs w:val="21"/>
              </w:rPr>
            </w:pPr>
            <w:r>
              <w:rPr>
                <w:b/>
                <w:bCs/>
                <w:szCs w:val="21"/>
              </w:rPr>
              <w:t>课程学分：2</w:t>
            </w:r>
            <w:r>
              <w:rPr>
                <w:rFonts w:hint="eastAsia"/>
                <w:b/>
                <w:bCs/>
                <w:szCs w:val="21"/>
              </w:rPr>
              <w:t>.</w:t>
            </w:r>
            <w:r>
              <w:rPr>
                <w:b/>
                <w:bCs/>
                <w:szCs w:val="21"/>
              </w:rPr>
              <w:t>0</w:t>
            </w:r>
          </w:p>
        </w:tc>
      </w:tr>
      <w:tr>
        <w:tblPrEx>
          <w:tblCellMar>
            <w:top w:w="0" w:type="dxa"/>
            <w:left w:w="108" w:type="dxa"/>
            <w:bottom w:w="0" w:type="dxa"/>
            <w:right w:w="108" w:type="dxa"/>
          </w:tblCellMar>
        </w:tblPrEx>
        <w:tc>
          <w:tcPr>
            <w:tcW w:w="1666" w:type="pct"/>
            <w:shd w:val="clear" w:color="auto" w:fill="auto"/>
          </w:tcPr>
          <w:p>
            <w:pPr>
              <w:spacing w:line="300" w:lineRule="auto"/>
              <w:rPr>
                <w:b/>
                <w:bCs/>
                <w:szCs w:val="21"/>
              </w:rPr>
            </w:pPr>
            <w:r>
              <w:rPr>
                <w:b/>
                <w:bCs/>
                <w:szCs w:val="21"/>
              </w:rPr>
              <w:t>主撰人：</w:t>
            </w:r>
            <w:r>
              <w:rPr>
                <w:b/>
                <w:bCs/>
                <w:color w:val="000000"/>
                <w:szCs w:val="21"/>
              </w:rPr>
              <w:t>何畅、毛文文</w:t>
            </w:r>
          </w:p>
        </w:tc>
        <w:tc>
          <w:tcPr>
            <w:tcW w:w="1453" w:type="pct"/>
            <w:shd w:val="clear" w:color="auto" w:fill="auto"/>
          </w:tcPr>
          <w:p>
            <w:pPr>
              <w:spacing w:line="300" w:lineRule="auto"/>
              <w:rPr>
                <w:b/>
                <w:bCs/>
                <w:szCs w:val="21"/>
              </w:rPr>
            </w:pPr>
            <w:r>
              <w:rPr>
                <w:b/>
                <w:bCs/>
                <w:szCs w:val="21"/>
              </w:rPr>
              <w:t>审核人：何畅</w:t>
            </w:r>
          </w:p>
        </w:tc>
        <w:tc>
          <w:tcPr>
            <w:tcW w:w="1881" w:type="pct"/>
            <w:shd w:val="clear" w:color="auto" w:fill="auto"/>
          </w:tcPr>
          <w:p>
            <w:pPr>
              <w:spacing w:line="300" w:lineRule="auto"/>
              <w:rPr>
                <w:b/>
                <w:bCs/>
                <w:szCs w:val="21"/>
              </w:rPr>
            </w:pPr>
            <w:r>
              <w:rPr>
                <w:b/>
                <w:bCs/>
                <w:szCs w:val="21"/>
              </w:rPr>
              <w:t>大纲制定（修订）日期：</w:t>
            </w:r>
            <w:r>
              <w:rPr>
                <w:rFonts w:hint="eastAsia"/>
                <w:b/>
                <w:bCs/>
                <w:szCs w:val="21"/>
              </w:rPr>
              <w:t>2023.05</w:t>
            </w:r>
          </w:p>
        </w:tc>
      </w:tr>
    </w:tbl>
    <w:p>
      <w:pPr>
        <w:pStyle w:val="59"/>
      </w:pPr>
      <w:bookmarkStart w:id="1551" w:name="_Toc138076292"/>
      <w:bookmarkStart w:id="1552" w:name="_Toc27478"/>
      <w:bookmarkStart w:id="1553" w:name="_Toc138076836"/>
      <w:bookmarkStart w:id="1554" w:name="_Toc138076541"/>
      <w:r>
        <w:rPr>
          <w:rFonts w:hint="eastAsia"/>
        </w:rPr>
        <w:t>一、课程的性质和地位</w:t>
      </w:r>
      <w:bookmarkEnd w:id="1551"/>
      <w:bookmarkEnd w:id="1552"/>
      <w:bookmarkEnd w:id="1553"/>
      <w:bookmarkEnd w:id="1554"/>
    </w:p>
    <w:p>
      <w:pPr>
        <w:snapToGrid w:val="0"/>
        <w:spacing w:line="360" w:lineRule="auto"/>
        <w:ind w:firstLine="420" w:firstLineChars="200"/>
        <w:rPr>
          <w:rFonts w:ascii="宋体" w:hAnsi="宋体"/>
          <w:szCs w:val="21"/>
        </w:rPr>
      </w:pPr>
      <w:r>
        <w:rPr>
          <w:rFonts w:hint="eastAsia" w:ascii="宋体" w:hAnsi="宋体"/>
          <w:szCs w:val="21"/>
        </w:rPr>
        <w:t>《农业信息技术》是园艺本科专业的选修课程之一，是一门农业科学与现代信息技术相结合的新兴交叉性学科。通过本课程的学习，使学生初步了解农业信息采集、农业数据库系统、农业数据分析、农业遥感监测、地理信息系统、作物模拟模型、农业专家系统、精确农业技术和农业信息网络等技术的技术原理、应用现状与发展趋势，具备利用现代信息技术带来的新的思想方法和技术手段，改造传统农业的研究、示范、生产、经营和管理方法与手段的能力。</w:t>
      </w:r>
    </w:p>
    <w:p>
      <w:pPr>
        <w:pStyle w:val="59"/>
      </w:pPr>
      <w:bookmarkStart w:id="1555" w:name="_Toc11331"/>
      <w:bookmarkStart w:id="1556" w:name="_Toc138076542"/>
      <w:bookmarkStart w:id="1557" w:name="_Toc138076293"/>
      <w:bookmarkStart w:id="1558" w:name="_Toc138076837"/>
      <w:r>
        <w:rPr>
          <w:rFonts w:hint="eastAsia"/>
        </w:rPr>
        <w:t>二、理论教学部分的考核目标</w:t>
      </w:r>
      <w:bookmarkEnd w:id="1555"/>
      <w:bookmarkEnd w:id="1556"/>
      <w:bookmarkEnd w:id="1557"/>
      <w:bookmarkEnd w:id="1558"/>
    </w:p>
    <w:p>
      <w:pPr>
        <w:spacing w:line="360" w:lineRule="auto"/>
        <w:ind w:firstLine="420" w:firstLineChars="200"/>
        <w:rPr>
          <w:rFonts w:ascii="宋体" w:hAnsi="宋体"/>
          <w:szCs w:val="21"/>
        </w:rPr>
      </w:pPr>
      <w:r>
        <w:rPr>
          <w:rFonts w:hint="eastAsia" w:ascii="宋体" w:hAnsi="宋体"/>
          <w:szCs w:val="21"/>
        </w:rPr>
        <w:t>通过理论学习，使学生了解农业信息技术的主要内容、发展应用情况、技术现状和发展趋势，并在一定深度上对各主要技术产生适度的理解和认识。了解或掌握常用的农业信息系统的功能，开发建设及使用方法，具体要求掌握如下概念、知识和相关技术的使用：</w:t>
      </w:r>
    </w:p>
    <w:p>
      <w:pPr>
        <w:snapToGrid w:val="0"/>
        <w:spacing w:line="360" w:lineRule="auto"/>
        <w:ind w:firstLine="102" w:firstLineChars="49"/>
        <w:jc w:val="center"/>
        <w:rPr>
          <w:rFonts w:ascii="宋体" w:hAnsi="宋体"/>
          <w:szCs w:val="21"/>
        </w:rPr>
      </w:pPr>
    </w:p>
    <w:p>
      <w:pPr>
        <w:snapToGrid w:val="0"/>
        <w:spacing w:line="360" w:lineRule="auto"/>
        <w:jc w:val="center"/>
        <w:rPr>
          <w:b/>
          <w:bCs/>
          <w:color w:val="262600"/>
          <w:szCs w:val="21"/>
        </w:rPr>
      </w:pPr>
      <w:r>
        <w:rPr>
          <w:b/>
          <w:bCs/>
          <w:color w:val="262600"/>
          <w:szCs w:val="21"/>
        </w:rPr>
        <w:t>第一章  绪论</w:t>
      </w:r>
    </w:p>
    <w:p>
      <w:pPr>
        <w:pStyle w:val="60"/>
        <w:rPr>
          <w:rFonts w:ascii="Times New Roman" w:hAnsi="Times New Roman"/>
        </w:rPr>
      </w:pPr>
      <w:r>
        <w:rPr>
          <w:rFonts w:ascii="Times New Roman" w:hAnsi="Times New Roman"/>
        </w:rPr>
        <w:t>（一）学习目标</w:t>
      </w:r>
    </w:p>
    <w:p>
      <w:pPr>
        <w:snapToGrid w:val="0"/>
        <w:spacing w:line="360" w:lineRule="auto"/>
        <w:ind w:firstLine="422" w:firstLineChars="200"/>
        <w:rPr>
          <w:bCs/>
          <w:color w:val="000000"/>
          <w:szCs w:val="21"/>
        </w:rPr>
      </w:pPr>
      <w:r>
        <w:rPr>
          <w:b/>
          <w:szCs w:val="21"/>
        </w:rPr>
        <w:t>1. 一般了解</w:t>
      </w:r>
      <w:r>
        <w:rPr>
          <w:color w:val="000000"/>
          <w:szCs w:val="21"/>
        </w:rPr>
        <w:t>：</w:t>
      </w:r>
      <w:r>
        <w:rPr>
          <w:szCs w:val="21"/>
        </w:rPr>
        <w:t>农业信息技术的发展背景与形成过程</w:t>
      </w:r>
      <w:r>
        <w:rPr>
          <w:bCs/>
          <w:color w:val="000000"/>
          <w:szCs w:val="21"/>
        </w:rPr>
        <w:t>。</w:t>
      </w:r>
    </w:p>
    <w:p>
      <w:pPr>
        <w:snapToGrid w:val="0"/>
        <w:spacing w:line="360" w:lineRule="auto"/>
        <w:ind w:firstLine="422" w:firstLineChars="200"/>
        <w:rPr>
          <w:bCs/>
          <w:color w:val="000000"/>
          <w:szCs w:val="21"/>
        </w:rPr>
      </w:pPr>
      <w:r>
        <w:rPr>
          <w:b/>
          <w:color w:val="000000"/>
          <w:szCs w:val="21"/>
        </w:rPr>
        <w:t>2. 一般掌握</w:t>
      </w:r>
      <w:r>
        <w:rPr>
          <w:color w:val="000000"/>
          <w:szCs w:val="21"/>
        </w:rPr>
        <w:t>：</w:t>
      </w:r>
      <w:r>
        <w:rPr>
          <w:szCs w:val="21"/>
        </w:rPr>
        <w:t>农业信息技术研究的关键技术</w:t>
      </w:r>
      <w:r>
        <w:rPr>
          <w:bCs/>
          <w:color w:val="000000"/>
          <w:szCs w:val="21"/>
        </w:rPr>
        <w:t>。</w:t>
      </w:r>
    </w:p>
    <w:p>
      <w:pPr>
        <w:snapToGrid w:val="0"/>
        <w:spacing w:line="360" w:lineRule="auto"/>
        <w:ind w:firstLine="422" w:firstLineChars="200"/>
        <w:rPr>
          <w:bCs/>
          <w:color w:val="000000"/>
          <w:szCs w:val="21"/>
        </w:rPr>
      </w:pPr>
      <w:r>
        <w:rPr>
          <w:b/>
          <w:color w:val="000000"/>
          <w:szCs w:val="21"/>
        </w:rPr>
        <w:t>3. 熟练掌握</w:t>
      </w:r>
      <w:r>
        <w:rPr>
          <w:color w:val="000000"/>
          <w:szCs w:val="21"/>
        </w:rPr>
        <w:t>：</w:t>
      </w:r>
      <w:r>
        <w:rPr>
          <w:szCs w:val="21"/>
        </w:rPr>
        <w:t>农业信息技术的定义、内涵与基本特征</w:t>
      </w:r>
      <w:r>
        <w:rPr>
          <w:bCs/>
          <w:color w:val="000000"/>
          <w:szCs w:val="21"/>
        </w:rPr>
        <w:t>。</w:t>
      </w:r>
    </w:p>
    <w:p>
      <w:pPr>
        <w:snapToGrid w:val="0"/>
        <w:spacing w:before="156" w:beforeLines="50" w:line="360" w:lineRule="auto"/>
        <w:rPr>
          <w:b/>
          <w:szCs w:val="21"/>
        </w:rPr>
      </w:pPr>
      <w:r>
        <w:rPr>
          <w:b/>
          <w:szCs w:val="21"/>
        </w:rPr>
        <w:t>（二）考核内容</w:t>
      </w:r>
    </w:p>
    <w:p>
      <w:pPr>
        <w:snapToGrid w:val="0"/>
        <w:spacing w:line="360" w:lineRule="auto"/>
        <w:ind w:firstLine="420" w:firstLineChars="200"/>
        <w:rPr>
          <w:bCs/>
          <w:color w:val="000000"/>
          <w:szCs w:val="21"/>
        </w:rPr>
      </w:pPr>
      <w:r>
        <w:rPr>
          <w:bCs/>
          <w:color w:val="000000"/>
          <w:szCs w:val="21"/>
        </w:rPr>
        <w:t>知识：现代信息技术的概念、发展历程和及其包含内容。</w:t>
      </w:r>
    </w:p>
    <w:p>
      <w:pPr>
        <w:snapToGrid w:val="0"/>
        <w:spacing w:line="360" w:lineRule="auto"/>
        <w:ind w:firstLine="420" w:firstLineChars="200"/>
        <w:rPr>
          <w:bCs/>
          <w:color w:val="000000"/>
          <w:szCs w:val="21"/>
        </w:rPr>
      </w:pPr>
      <w:r>
        <w:rPr>
          <w:bCs/>
          <w:color w:val="000000"/>
          <w:szCs w:val="21"/>
        </w:rPr>
        <w:t>能力和素质：</w:t>
      </w:r>
      <w:r>
        <w:rPr>
          <w:color w:val="262600"/>
        </w:rPr>
        <w:t>农业信息技术在园艺及相关农业领域中的应用</w:t>
      </w:r>
      <w:r>
        <w:rPr>
          <w:bCs/>
          <w:color w:val="000000"/>
          <w:szCs w:val="21"/>
        </w:rPr>
        <w:t>。</w:t>
      </w:r>
    </w:p>
    <w:p>
      <w:pPr>
        <w:pStyle w:val="60"/>
        <w:rPr>
          <w:rFonts w:ascii="Times New Roman" w:hAnsi="Times New Roman"/>
        </w:rPr>
      </w:pPr>
      <w:r>
        <w:rPr>
          <w:rFonts w:ascii="Times New Roman" w:hAnsi="Times New Roman"/>
        </w:rPr>
        <w:t>（三）考核要求</w:t>
      </w:r>
    </w:p>
    <w:p>
      <w:pPr>
        <w:snapToGrid w:val="0"/>
        <w:spacing w:line="360" w:lineRule="auto"/>
        <w:ind w:firstLine="422" w:firstLineChars="200"/>
        <w:rPr>
          <w:szCs w:val="21"/>
        </w:rPr>
      </w:pPr>
      <w:r>
        <w:rPr>
          <w:b/>
          <w:szCs w:val="21"/>
        </w:rPr>
        <w:t>1. 识记</w:t>
      </w:r>
      <w:r>
        <w:rPr>
          <w:szCs w:val="21"/>
        </w:rPr>
        <w:t>：农业信息技术的发展历史和现状。</w:t>
      </w:r>
    </w:p>
    <w:p>
      <w:pPr>
        <w:snapToGrid w:val="0"/>
        <w:spacing w:line="360" w:lineRule="auto"/>
        <w:ind w:firstLine="422" w:firstLineChars="200"/>
        <w:rPr>
          <w:szCs w:val="21"/>
        </w:rPr>
      </w:pPr>
      <w:r>
        <w:rPr>
          <w:b/>
          <w:szCs w:val="21"/>
        </w:rPr>
        <w:t>2. 领会</w:t>
      </w:r>
      <w:r>
        <w:rPr>
          <w:szCs w:val="21"/>
        </w:rPr>
        <w:t>：</w:t>
      </w:r>
      <w:r>
        <w:rPr>
          <w:color w:val="262600"/>
        </w:rPr>
        <w:t>农业信息技术包含的内容</w:t>
      </w:r>
      <w:r>
        <w:rPr>
          <w:bCs/>
          <w:color w:val="000000"/>
          <w:szCs w:val="21"/>
        </w:rPr>
        <w:t>。</w:t>
      </w:r>
    </w:p>
    <w:p>
      <w:pPr>
        <w:snapToGrid w:val="0"/>
        <w:spacing w:line="360" w:lineRule="auto"/>
        <w:jc w:val="center"/>
        <w:rPr>
          <w:b/>
          <w:bCs/>
          <w:szCs w:val="21"/>
        </w:rPr>
      </w:pPr>
      <w:r>
        <w:rPr>
          <w:b/>
          <w:bCs/>
          <w:color w:val="262600"/>
          <w:szCs w:val="21"/>
        </w:rPr>
        <w:t xml:space="preserve">第二章  </w:t>
      </w:r>
      <w:r>
        <w:rPr>
          <w:b/>
          <w:bCs/>
        </w:rPr>
        <w:t>农业信息技术概述</w:t>
      </w:r>
    </w:p>
    <w:p>
      <w:pPr>
        <w:pStyle w:val="60"/>
        <w:rPr>
          <w:rFonts w:ascii="Times New Roman" w:hAnsi="Times New Roman"/>
        </w:rPr>
      </w:pPr>
      <w:r>
        <w:rPr>
          <w:rFonts w:ascii="Times New Roman" w:hAnsi="Times New Roman"/>
        </w:rPr>
        <w:t>（一）学习目标</w:t>
      </w:r>
    </w:p>
    <w:p>
      <w:pPr>
        <w:snapToGrid w:val="0"/>
        <w:spacing w:line="360" w:lineRule="auto"/>
        <w:ind w:firstLine="422" w:firstLineChars="200"/>
        <w:rPr>
          <w:color w:val="000000"/>
          <w:szCs w:val="21"/>
        </w:rPr>
      </w:pPr>
      <w:r>
        <w:rPr>
          <w:b/>
          <w:szCs w:val="21"/>
        </w:rPr>
        <w:t>1. 一般了解</w:t>
      </w:r>
      <w:r>
        <w:rPr>
          <w:color w:val="000000"/>
          <w:szCs w:val="21"/>
        </w:rPr>
        <w:t>：国外农业信息技术的发展现状与趋势，我国农业信息技术的发展状况</w:t>
      </w:r>
      <w:r>
        <w:rPr>
          <w:bCs/>
          <w:color w:val="000000"/>
          <w:szCs w:val="21"/>
        </w:rPr>
        <w:t>。</w:t>
      </w:r>
    </w:p>
    <w:p>
      <w:pPr>
        <w:snapToGrid w:val="0"/>
        <w:spacing w:line="360" w:lineRule="auto"/>
        <w:ind w:firstLine="422" w:firstLineChars="200"/>
        <w:rPr>
          <w:bCs/>
          <w:color w:val="000000"/>
          <w:szCs w:val="21"/>
        </w:rPr>
      </w:pPr>
      <w:r>
        <w:rPr>
          <w:b/>
          <w:color w:val="000000"/>
          <w:szCs w:val="21"/>
        </w:rPr>
        <w:t>2. 一般掌握</w:t>
      </w:r>
      <w:r>
        <w:rPr>
          <w:color w:val="000000"/>
          <w:szCs w:val="21"/>
        </w:rPr>
        <w:t>：</w:t>
      </w:r>
      <w:r>
        <w:rPr>
          <w:bCs/>
          <w:color w:val="000000"/>
          <w:szCs w:val="21"/>
        </w:rPr>
        <w:t>农业信息技术的主要应用领域，我国农业信息技术发展过程与阶段划分。</w:t>
      </w:r>
    </w:p>
    <w:p>
      <w:pPr>
        <w:snapToGrid w:val="0"/>
        <w:spacing w:line="360" w:lineRule="auto"/>
        <w:ind w:firstLine="422" w:firstLineChars="200"/>
        <w:rPr>
          <w:color w:val="000000"/>
          <w:szCs w:val="21"/>
        </w:rPr>
      </w:pPr>
      <w:r>
        <w:rPr>
          <w:b/>
          <w:color w:val="000000"/>
          <w:szCs w:val="21"/>
        </w:rPr>
        <w:t>3. 熟练掌握</w:t>
      </w:r>
      <w:r>
        <w:rPr>
          <w:color w:val="000000"/>
          <w:szCs w:val="21"/>
        </w:rPr>
        <w:t>：</w:t>
      </w:r>
      <w:r>
        <w:rPr>
          <w:bCs/>
          <w:color w:val="000000"/>
          <w:szCs w:val="21"/>
        </w:rPr>
        <w:t>农业信息技术的概念与内涵，农业信息技术的作用与影响，我国农业信息技术发展中存在的问题及主要对策。</w:t>
      </w:r>
    </w:p>
    <w:p>
      <w:pPr>
        <w:pStyle w:val="60"/>
        <w:rPr>
          <w:rFonts w:ascii="Times New Roman" w:hAnsi="Times New Roman"/>
        </w:rPr>
      </w:pPr>
      <w:r>
        <w:rPr>
          <w:rFonts w:ascii="Times New Roman" w:hAnsi="Times New Roman"/>
        </w:rPr>
        <w:t>（二）考核内容</w:t>
      </w:r>
    </w:p>
    <w:p>
      <w:pPr>
        <w:snapToGrid w:val="0"/>
        <w:spacing w:line="360" w:lineRule="auto"/>
        <w:ind w:firstLine="420" w:firstLineChars="200"/>
        <w:rPr>
          <w:bCs/>
          <w:color w:val="000000"/>
          <w:szCs w:val="21"/>
        </w:rPr>
      </w:pPr>
      <w:r>
        <w:rPr>
          <w:bCs/>
          <w:color w:val="000000"/>
          <w:szCs w:val="21"/>
        </w:rPr>
        <w:t>知识：</w:t>
      </w:r>
      <w:r>
        <w:rPr>
          <w:color w:val="262600"/>
        </w:rPr>
        <w:t>农业信息技术的概念与内涵。</w:t>
      </w:r>
    </w:p>
    <w:p>
      <w:pPr>
        <w:snapToGrid w:val="0"/>
        <w:spacing w:line="360" w:lineRule="auto"/>
        <w:ind w:firstLine="420" w:firstLineChars="200"/>
        <w:rPr>
          <w:bCs/>
          <w:color w:val="000000"/>
          <w:szCs w:val="21"/>
        </w:rPr>
      </w:pPr>
      <w:r>
        <w:rPr>
          <w:bCs/>
          <w:color w:val="000000"/>
          <w:szCs w:val="21"/>
        </w:rPr>
        <w:t>能力和素质：</w:t>
      </w:r>
      <w:r>
        <w:rPr>
          <w:color w:val="262600"/>
        </w:rPr>
        <w:t>我国农业信息技术发展现状、问题及对策</w:t>
      </w:r>
      <w:r>
        <w:rPr>
          <w:bCs/>
          <w:color w:val="000000"/>
          <w:szCs w:val="21"/>
        </w:rPr>
        <w:t>。</w:t>
      </w:r>
    </w:p>
    <w:p>
      <w:pPr>
        <w:pStyle w:val="60"/>
        <w:rPr>
          <w:rFonts w:ascii="Times New Roman" w:hAnsi="Times New Roman"/>
        </w:rPr>
      </w:pPr>
      <w:r>
        <w:rPr>
          <w:rFonts w:ascii="Times New Roman" w:hAnsi="Times New Roman"/>
        </w:rPr>
        <w:t>（三）考核要求</w:t>
      </w:r>
    </w:p>
    <w:p>
      <w:pPr>
        <w:snapToGrid w:val="0"/>
        <w:spacing w:line="360" w:lineRule="auto"/>
        <w:ind w:firstLine="422" w:firstLineChars="200"/>
        <w:rPr>
          <w:szCs w:val="21"/>
        </w:rPr>
      </w:pPr>
      <w:r>
        <w:rPr>
          <w:b/>
          <w:szCs w:val="21"/>
        </w:rPr>
        <w:t>1. 识记</w:t>
      </w:r>
      <w:r>
        <w:rPr>
          <w:szCs w:val="21"/>
        </w:rPr>
        <w:t>：农</w:t>
      </w:r>
      <w:r>
        <w:rPr>
          <w:color w:val="262600"/>
        </w:rPr>
        <w:t>业信息技术的关键内容</w:t>
      </w:r>
      <w:r>
        <w:rPr>
          <w:szCs w:val="21"/>
        </w:rPr>
        <w:t>。</w:t>
      </w:r>
    </w:p>
    <w:p>
      <w:pPr>
        <w:snapToGrid w:val="0"/>
        <w:spacing w:line="360" w:lineRule="auto"/>
        <w:ind w:firstLine="422" w:firstLineChars="200"/>
        <w:rPr>
          <w:b/>
          <w:szCs w:val="21"/>
        </w:rPr>
      </w:pPr>
      <w:r>
        <w:rPr>
          <w:b/>
          <w:szCs w:val="21"/>
        </w:rPr>
        <w:t>2. 领会</w:t>
      </w:r>
      <w:r>
        <w:rPr>
          <w:szCs w:val="21"/>
        </w:rPr>
        <w:t>：</w:t>
      </w:r>
      <w:r>
        <w:rPr>
          <w:color w:val="262600"/>
        </w:rPr>
        <w:t>农业信息技术的概念</w:t>
      </w:r>
      <w:r>
        <w:rPr>
          <w:bCs/>
          <w:color w:val="000000"/>
          <w:szCs w:val="21"/>
        </w:rPr>
        <w:t>。</w:t>
      </w:r>
    </w:p>
    <w:p>
      <w:pPr>
        <w:snapToGrid w:val="0"/>
        <w:spacing w:line="360" w:lineRule="auto"/>
        <w:ind w:firstLine="422" w:firstLineChars="200"/>
        <w:rPr>
          <w:b/>
          <w:szCs w:val="21"/>
        </w:rPr>
      </w:pPr>
      <w:r>
        <w:rPr>
          <w:b/>
          <w:szCs w:val="21"/>
        </w:rPr>
        <w:t>3. 应用：</w:t>
      </w:r>
      <w:r>
        <w:rPr>
          <w:color w:val="262600"/>
        </w:rPr>
        <w:t>农业信息技术在园艺产业科学研究与生产中运用</w:t>
      </w:r>
      <w:r>
        <w:rPr>
          <w:szCs w:val="21"/>
        </w:rPr>
        <w:t>。</w:t>
      </w:r>
    </w:p>
    <w:p>
      <w:pPr>
        <w:spacing w:line="360" w:lineRule="auto"/>
        <w:jc w:val="center"/>
        <w:rPr>
          <w:b/>
          <w:bCs/>
          <w:color w:val="262600"/>
          <w:szCs w:val="21"/>
        </w:rPr>
      </w:pPr>
      <w:r>
        <w:rPr>
          <w:b/>
          <w:bCs/>
          <w:color w:val="262600"/>
          <w:szCs w:val="21"/>
        </w:rPr>
        <w:t xml:space="preserve">第三章  </w:t>
      </w:r>
      <w:r>
        <w:rPr>
          <w:b/>
          <w:bCs/>
          <w:color w:val="262600"/>
        </w:rPr>
        <w:t>农业信息采集</w:t>
      </w:r>
    </w:p>
    <w:p>
      <w:pPr>
        <w:pStyle w:val="60"/>
        <w:rPr>
          <w:rFonts w:ascii="Times New Roman" w:hAnsi="Times New Roman"/>
        </w:rPr>
      </w:pPr>
      <w:r>
        <w:rPr>
          <w:rFonts w:ascii="Times New Roman" w:hAnsi="Times New Roman"/>
        </w:rPr>
        <w:t>（一）学习目标</w:t>
      </w:r>
    </w:p>
    <w:p>
      <w:pPr>
        <w:snapToGrid w:val="0"/>
        <w:spacing w:line="360" w:lineRule="auto"/>
        <w:ind w:firstLine="422" w:firstLineChars="200"/>
        <w:rPr>
          <w:szCs w:val="21"/>
        </w:rPr>
      </w:pPr>
      <w:r>
        <w:rPr>
          <w:b/>
          <w:szCs w:val="21"/>
        </w:rPr>
        <w:t>1. 一般了解：</w:t>
      </w:r>
      <w:r>
        <w:rPr>
          <w:szCs w:val="21"/>
        </w:rPr>
        <w:t>农田生物信息的特点与信息采集方法。</w:t>
      </w:r>
    </w:p>
    <w:p>
      <w:pPr>
        <w:snapToGrid w:val="0"/>
        <w:spacing w:line="360" w:lineRule="auto"/>
        <w:ind w:firstLine="422" w:firstLineChars="200"/>
        <w:rPr>
          <w:szCs w:val="21"/>
        </w:rPr>
      </w:pPr>
      <w:r>
        <w:rPr>
          <w:b/>
          <w:szCs w:val="21"/>
        </w:rPr>
        <w:t>2. 一般掌握：</w:t>
      </w:r>
      <w:r>
        <w:rPr>
          <w:szCs w:val="21"/>
        </w:rPr>
        <w:t>农田气候信息的自动采集与处理方法。</w:t>
      </w:r>
    </w:p>
    <w:p>
      <w:pPr>
        <w:snapToGrid w:val="0"/>
        <w:spacing w:line="360" w:lineRule="auto"/>
        <w:ind w:firstLine="422" w:firstLineChars="200"/>
        <w:rPr>
          <w:szCs w:val="21"/>
        </w:rPr>
      </w:pPr>
      <w:r>
        <w:rPr>
          <w:b/>
          <w:szCs w:val="21"/>
        </w:rPr>
        <w:t>3. 熟练掌握：</w:t>
      </w:r>
      <w:r>
        <w:rPr>
          <w:szCs w:val="21"/>
        </w:rPr>
        <w:t>数字图像与数字信号的一般原理与处理方法。</w:t>
      </w:r>
    </w:p>
    <w:p>
      <w:pPr>
        <w:pStyle w:val="60"/>
        <w:rPr>
          <w:rFonts w:ascii="Times New Roman" w:hAnsi="Times New Roman"/>
        </w:rPr>
      </w:pPr>
      <w:r>
        <w:rPr>
          <w:rFonts w:ascii="Times New Roman" w:hAnsi="Times New Roman"/>
        </w:rPr>
        <w:t>（二）考核内容</w:t>
      </w:r>
    </w:p>
    <w:p>
      <w:pPr>
        <w:snapToGrid w:val="0"/>
        <w:spacing w:line="360" w:lineRule="auto"/>
        <w:ind w:firstLine="420" w:firstLineChars="200"/>
        <w:rPr>
          <w:szCs w:val="21"/>
        </w:rPr>
      </w:pPr>
      <w:r>
        <w:rPr>
          <w:color w:val="262600"/>
          <w:szCs w:val="21"/>
        </w:rPr>
        <w:t>知识：</w:t>
      </w:r>
      <w:r>
        <w:rPr>
          <w:color w:val="262600"/>
        </w:rPr>
        <w:t>田间生物、气象、土壤信息采集仪器的一般原理和使用方法</w:t>
      </w:r>
      <w:r>
        <w:rPr>
          <w:szCs w:val="21"/>
        </w:rPr>
        <w:t>。</w:t>
      </w:r>
    </w:p>
    <w:p>
      <w:pPr>
        <w:snapToGrid w:val="0"/>
        <w:spacing w:line="360" w:lineRule="auto"/>
        <w:ind w:firstLine="420" w:firstLineChars="200"/>
        <w:rPr>
          <w:szCs w:val="21"/>
        </w:rPr>
      </w:pPr>
      <w:r>
        <w:rPr>
          <w:szCs w:val="21"/>
        </w:rPr>
        <w:t>能力和素质：农田生物信息采集</w:t>
      </w:r>
      <w:r>
        <w:rPr>
          <w:color w:val="262600"/>
        </w:rPr>
        <w:t>的方法，农业生产中的信息采集过程</w:t>
      </w:r>
      <w:r>
        <w:rPr>
          <w:szCs w:val="21"/>
        </w:rPr>
        <w:t>。</w:t>
      </w:r>
    </w:p>
    <w:p>
      <w:pPr>
        <w:pStyle w:val="60"/>
        <w:rPr>
          <w:rFonts w:ascii="Times New Roman" w:hAnsi="Times New Roman"/>
        </w:rPr>
      </w:pPr>
      <w:r>
        <w:rPr>
          <w:rFonts w:ascii="Times New Roman" w:hAnsi="Times New Roman"/>
        </w:rPr>
        <w:t>（三）考核要求</w:t>
      </w:r>
    </w:p>
    <w:p>
      <w:pPr>
        <w:snapToGrid w:val="0"/>
        <w:spacing w:line="360" w:lineRule="auto"/>
        <w:ind w:firstLine="422" w:firstLineChars="200"/>
        <w:rPr>
          <w:szCs w:val="21"/>
        </w:rPr>
      </w:pPr>
      <w:r>
        <w:rPr>
          <w:b/>
          <w:bCs/>
          <w:szCs w:val="21"/>
        </w:rPr>
        <w:t>1</w:t>
      </w:r>
      <w:r>
        <w:rPr>
          <w:rFonts w:hint="eastAsia"/>
          <w:b/>
          <w:bCs/>
          <w:szCs w:val="21"/>
        </w:rPr>
        <w:t>.</w:t>
      </w:r>
      <w:r>
        <w:rPr>
          <w:b/>
          <w:bCs/>
          <w:szCs w:val="21"/>
        </w:rPr>
        <w:t xml:space="preserve"> 识记</w:t>
      </w:r>
      <w:r>
        <w:rPr>
          <w:szCs w:val="21"/>
        </w:rPr>
        <w:t>：</w:t>
      </w:r>
      <w:r>
        <w:rPr>
          <w:color w:val="262600"/>
        </w:rPr>
        <w:t>农田生物信息的特点与信息</w:t>
      </w:r>
      <w:r>
        <w:rPr>
          <w:szCs w:val="21"/>
        </w:rPr>
        <w:t>，</w:t>
      </w:r>
      <w:r>
        <w:rPr>
          <w:color w:val="262600"/>
        </w:rPr>
        <w:t>数据采集仪器的结构与功能</w:t>
      </w:r>
      <w:r>
        <w:rPr>
          <w:szCs w:val="21"/>
        </w:rPr>
        <w:t>。</w:t>
      </w:r>
    </w:p>
    <w:p>
      <w:pPr>
        <w:snapToGrid w:val="0"/>
        <w:spacing w:line="360" w:lineRule="auto"/>
        <w:ind w:firstLine="422" w:firstLineChars="200"/>
        <w:rPr>
          <w:color w:val="262600"/>
          <w:szCs w:val="21"/>
        </w:rPr>
      </w:pPr>
      <w:r>
        <w:rPr>
          <w:b/>
          <w:bCs/>
          <w:szCs w:val="21"/>
        </w:rPr>
        <w:t>2. 领会</w:t>
      </w:r>
      <w:r>
        <w:rPr>
          <w:szCs w:val="21"/>
        </w:rPr>
        <w:t>：各类信息技术采集与处理的一般方法与原理</w:t>
      </w:r>
      <w:r>
        <w:rPr>
          <w:color w:val="262600"/>
          <w:szCs w:val="21"/>
        </w:rPr>
        <w:t>。</w:t>
      </w:r>
    </w:p>
    <w:p>
      <w:pPr>
        <w:snapToGrid w:val="0"/>
        <w:spacing w:line="360" w:lineRule="auto"/>
        <w:ind w:firstLine="422" w:firstLineChars="200"/>
        <w:rPr>
          <w:szCs w:val="21"/>
        </w:rPr>
      </w:pPr>
      <w:r>
        <w:rPr>
          <w:b/>
          <w:bCs/>
          <w:szCs w:val="21"/>
        </w:rPr>
        <w:t>3</w:t>
      </w:r>
      <w:r>
        <w:rPr>
          <w:rFonts w:hint="eastAsia"/>
          <w:b/>
          <w:bCs/>
          <w:szCs w:val="21"/>
        </w:rPr>
        <w:t>.</w:t>
      </w:r>
      <w:r>
        <w:rPr>
          <w:b/>
          <w:bCs/>
          <w:szCs w:val="21"/>
        </w:rPr>
        <w:t xml:space="preserve"> 应用</w:t>
      </w:r>
      <w:r>
        <w:rPr>
          <w:szCs w:val="21"/>
        </w:rPr>
        <w:t>：田间生物、气象、土壤信息采集仪器的使用方法。</w:t>
      </w:r>
    </w:p>
    <w:p>
      <w:pPr>
        <w:spacing w:line="360" w:lineRule="auto"/>
        <w:ind w:firstLine="141" w:firstLineChars="67"/>
        <w:jc w:val="center"/>
        <w:rPr>
          <w:b/>
          <w:bCs/>
          <w:color w:val="262600"/>
          <w:szCs w:val="21"/>
        </w:rPr>
      </w:pPr>
      <w:r>
        <w:rPr>
          <w:b/>
          <w:bCs/>
          <w:color w:val="262600"/>
          <w:szCs w:val="21"/>
        </w:rPr>
        <w:t xml:space="preserve">第四章  </w:t>
      </w:r>
      <w:r>
        <w:rPr>
          <w:b/>
          <w:color w:val="262600"/>
        </w:rPr>
        <w:t>农业数据库系统</w:t>
      </w:r>
    </w:p>
    <w:p>
      <w:pPr>
        <w:pStyle w:val="60"/>
        <w:rPr>
          <w:rFonts w:ascii="Times New Roman" w:hAnsi="Times New Roman"/>
        </w:rPr>
      </w:pPr>
      <w:r>
        <w:rPr>
          <w:rFonts w:ascii="Times New Roman" w:hAnsi="Times New Roman"/>
        </w:rPr>
        <w:t>（一）学习目标</w:t>
      </w:r>
    </w:p>
    <w:p>
      <w:pPr>
        <w:snapToGrid w:val="0"/>
        <w:spacing w:line="360" w:lineRule="auto"/>
        <w:ind w:firstLine="422" w:firstLineChars="200"/>
        <w:rPr>
          <w:color w:val="262600"/>
          <w:szCs w:val="21"/>
        </w:rPr>
      </w:pPr>
      <w:r>
        <w:rPr>
          <w:b/>
          <w:bCs/>
          <w:szCs w:val="21"/>
        </w:rPr>
        <w:t>1. 一般了解</w:t>
      </w:r>
      <w:r>
        <w:rPr>
          <w:szCs w:val="21"/>
        </w:rPr>
        <w:t>：国内外农业数据库及农业信息网络的发展状况及发展趋势</w:t>
      </w:r>
      <w:r>
        <w:rPr>
          <w:color w:val="262600"/>
          <w:szCs w:val="21"/>
        </w:rPr>
        <w:t>。</w:t>
      </w:r>
    </w:p>
    <w:p>
      <w:pPr>
        <w:snapToGrid w:val="0"/>
        <w:spacing w:line="360" w:lineRule="auto"/>
        <w:ind w:firstLine="422" w:firstLineChars="200"/>
        <w:rPr>
          <w:color w:val="262600"/>
          <w:szCs w:val="21"/>
        </w:rPr>
      </w:pPr>
      <w:r>
        <w:rPr>
          <w:b/>
          <w:bCs/>
          <w:szCs w:val="21"/>
        </w:rPr>
        <w:t>2. 一般掌握</w:t>
      </w:r>
      <w:r>
        <w:rPr>
          <w:szCs w:val="21"/>
        </w:rPr>
        <w:t>：世界4个大型农业数据库、AGNET、CGRIS的基本情况</w:t>
      </w:r>
      <w:r>
        <w:rPr>
          <w:color w:val="262600"/>
          <w:szCs w:val="21"/>
        </w:rPr>
        <w:t>。</w:t>
      </w:r>
    </w:p>
    <w:p>
      <w:pPr>
        <w:snapToGrid w:val="0"/>
        <w:spacing w:line="360" w:lineRule="auto"/>
        <w:ind w:firstLine="422" w:firstLineChars="200"/>
        <w:rPr>
          <w:color w:val="262600"/>
          <w:szCs w:val="21"/>
        </w:rPr>
      </w:pPr>
      <w:r>
        <w:rPr>
          <w:b/>
          <w:bCs/>
          <w:szCs w:val="21"/>
        </w:rPr>
        <w:t>3. 熟练掌握</w:t>
      </w:r>
      <w:r>
        <w:rPr>
          <w:szCs w:val="21"/>
        </w:rPr>
        <w:t>：农业数据库、农业信息网络、农业信息系统以及三者之间的关系</w:t>
      </w:r>
      <w:r>
        <w:rPr>
          <w:color w:val="262600"/>
          <w:szCs w:val="21"/>
        </w:rPr>
        <w:t>。</w:t>
      </w:r>
    </w:p>
    <w:p>
      <w:pPr>
        <w:pStyle w:val="60"/>
        <w:rPr>
          <w:rFonts w:ascii="Times New Roman" w:hAnsi="Times New Roman"/>
        </w:rPr>
      </w:pPr>
      <w:r>
        <w:rPr>
          <w:rFonts w:ascii="Times New Roman" w:hAnsi="Times New Roman"/>
        </w:rPr>
        <w:t>（二）考核内容</w:t>
      </w:r>
    </w:p>
    <w:p>
      <w:pPr>
        <w:snapToGrid w:val="0"/>
        <w:spacing w:line="360" w:lineRule="auto"/>
        <w:ind w:firstLine="420" w:firstLineChars="200"/>
        <w:rPr>
          <w:szCs w:val="21"/>
        </w:rPr>
      </w:pPr>
      <w:r>
        <w:rPr>
          <w:color w:val="262600"/>
          <w:szCs w:val="21"/>
        </w:rPr>
        <w:t>知识：</w:t>
      </w:r>
      <w:r>
        <w:rPr>
          <w:szCs w:val="21"/>
        </w:rPr>
        <w:t>数据库系统的一般概念，</w:t>
      </w:r>
      <w:r>
        <w:rPr>
          <w:color w:val="262600"/>
        </w:rPr>
        <w:t>数据库数据与数据组织方法、数据库系统的构成</w:t>
      </w:r>
      <w:r>
        <w:rPr>
          <w:szCs w:val="21"/>
        </w:rPr>
        <w:t>。</w:t>
      </w:r>
    </w:p>
    <w:p>
      <w:pPr>
        <w:spacing w:line="360" w:lineRule="auto"/>
        <w:ind w:firstLine="420" w:firstLineChars="200"/>
        <w:rPr>
          <w:color w:val="262600"/>
          <w:szCs w:val="21"/>
        </w:rPr>
      </w:pPr>
      <w:r>
        <w:rPr>
          <w:szCs w:val="21"/>
        </w:rPr>
        <w:t>能力和素质：数据库设计的基本步骤与关系数据库设计方法，重要农业数据库的使用方法</w:t>
      </w:r>
      <w:r>
        <w:rPr>
          <w:color w:val="262600"/>
          <w:szCs w:val="21"/>
        </w:rPr>
        <w:t>。</w:t>
      </w:r>
    </w:p>
    <w:p>
      <w:pPr>
        <w:pStyle w:val="60"/>
        <w:rPr>
          <w:rFonts w:ascii="Times New Roman" w:hAnsi="Times New Roman"/>
        </w:rPr>
      </w:pPr>
      <w:r>
        <w:rPr>
          <w:rFonts w:ascii="Times New Roman" w:hAnsi="Times New Roman"/>
        </w:rPr>
        <w:t>（三）考核要求</w:t>
      </w:r>
    </w:p>
    <w:p>
      <w:pPr>
        <w:snapToGrid w:val="0"/>
        <w:spacing w:line="360" w:lineRule="auto"/>
        <w:ind w:firstLine="422" w:firstLineChars="200"/>
        <w:rPr>
          <w:b/>
          <w:bCs/>
          <w:szCs w:val="21"/>
        </w:rPr>
      </w:pPr>
      <w:r>
        <w:rPr>
          <w:b/>
          <w:bCs/>
          <w:szCs w:val="21"/>
        </w:rPr>
        <w:t>1. 识记</w:t>
      </w:r>
      <w:r>
        <w:rPr>
          <w:szCs w:val="21"/>
        </w:rPr>
        <w:t>：数据库系统的构成、数据库管理系统、数据模型的概念</w:t>
      </w:r>
      <w:r>
        <w:rPr>
          <w:color w:val="262600"/>
          <w:szCs w:val="21"/>
        </w:rPr>
        <w:t>。</w:t>
      </w:r>
    </w:p>
    <w:p>
      <w:pPr>
        <w:snapToGrid w:val="0"/>
        <w:spacing w:line="360" w:lineRule="auto"/>
        <w:ind w:firstLine="422" w:firstLineChars="200"/>
        <w:rPr>
          <w:b/>
          <w:bCs/>
          <w:szCs w:val="21"/>
        </w:rPr>
      </w:pPr>
      <w:r>
        <w:rPr>
          <w:b/>
          <w:bCs/>
          <w:szCs w:val="21"/>
        </w:rPr>
        <w:t>2</w:t>
      </w:r>
      <w:r>
        <w:rPr>
          <w:rFonts w:hint="eastAsia"/>
          <w:b/>
          <w:bCs/>
          <w:szCs w:val="21"/>
        </w:rPr>
        <w:t>.</w:t>
      </w:r>
      <w:r>
        <w:rPr>
          <w:b/>
          <w:bCs/>
          <w:szCs w:val="21"/>
        </w:rPr>
        <w:t xml:space="preserve"> 领会</w:t>
      </w:r>
      <w:r>
        <w:rPr>
          <w:szCs w:val="21"/>
        </w:rPr>
        <w:t>：数据模型三个层次及其关系</w:t>
      </w:r>
      <w:r>
        <w:rPr>
          <w:color w:val="262600"/>
          <w:szCs w:val="21"/>
        </w:rPr>
        <w:t>。</w:t>
      </w:r>
    </w:p>
    <w:p>
      <w:pPr>
        <w:snapToGrid w:val="0"/>
        <w:spacing w:line="360" w:lineRule="auto"/>
        <w:ind w:firstLine="422" w:firstLineChars="200"/>
        <w:rPr>
          <w:color w:val="262600"/>
          <w:szCs w:val="21"/>
        </w:rPr>
      </w:pPr>
      <w:r>
        <w:rPr>
          <w:b/>
          <w:bCs/>
          <w:szCs w:val="21"/>
        </w:rPr>
        <w:t>3</w:t>
      </w:r>
      <w:r>
        <w:rPr>
          <w:rFonts w:hint="eastAsia"/>
          <w:b/>
          <w:bCs/>
          <w:szCs w:val="21"/>
        </w:rPr>
        <w:t>.</w:t>
      </w:r>
      <w:r>
        <w:rPr>
          <w:b/>
          <w:bCs/>
          <w:szCs w:val="21"/>
        </w:rPr>
        <w:t xml:space="preserve"> 应用</w:t>
      </w:r>
      <w:r>
        <w:rPr>
          <w:szCs w:val="21"/>
        </w:rPr>
        <w:t>：信息、数据与数据处理</w:t>
      </w:r>
      <w:r>
        <w:rPr>
          <w:color w:val="262600"/>
          <w:szCs w:val="21"/>
        </w:rPr>
        <w:t>。</w:t>
      </w:r>
    </w:p>
    <w:p>
      <w:pPr>
        <w:spacing w:line="360" w:lineRule="auto"/>
        <w:jc w:val="center"/>
        <w:rPr>
          <w:b/>
          <w:bCs/>
          <w:color w:val="262600"/>
          <w:szCs w:val="21"/>
        </w:rPr>
      </w:pPr>
      <w:r>
        <w:rPr>
          <w:b/>
          <w:bCs/>
          <w:color w:val="262600"/>
          <w:szCs w:val="21"/>
        </w:rPr>
        <w:t xml:space="preserve">第五章  </w:t>
      </w:r>
      <w:r>
        <w:rPr>
          <w:b/>
          <w:bCs/>
          <w:color w:val="262600"/>
        </w:rPr>
        <w:t>农业遥感监测</w:t>
      </w:r>
    </w:p>
    <w:p>
      <w:pPr>
        <w:pStyle w:val="60"/>
        <w:rPr>
          <w:rFonts w:ascii="Times New Roman" w:hAnsi="Times New Roman"/>
        </w:rPr>
      </w:pPr>
      <w:r>
        <w:rPr>
          <w:rFonts w:ascii="Times New Roman" w:hAnsi="Times New Roman"/>
        </w:rPr>
        <w:t>（一）学习目标</w:t>
      </w:r>
    </w:p>
    <w:p>
      <w:pPr>
        <w:snapToGrid w:val="0"/>
        <w:spacing w:line="360" w:lineRule="auto"/>
        <w:ind w:firstLine="422" w:firstLineChars="200"/>
        <w:rPr>
          <w:szCs w:val="21"/>
        </w:rPr>
      </w:pPr>
      <w:r>
        <w:rPr>
          <w:b/>
          <w:bCs/>
          <w:szCs w:val="21"/>
        </w:rPr>
        <w:t>1. 一般了解</w:t>
      </w:r>
      <w:r>
        <w:rPr>
          <w:szCs w:val="21"/>
        </w:rPr>
        <w:t>：</w:t>
      </w:r>
      <w:r>
        <w:t>农业遥感监测领域</w:t>
      </w:r>
      <w:r>
        <w:rPr>
          <w:color w:val="262600"/>
          <w:szCs w:val="21"/>
        </w:rPr>
        <w:t>。</w:t>
      </w:r>
    </w:p>
    <w:p>
      <w:pPr>
        <w:snapToGrid w:val="0"/>
        <w:spacing w:line="360" w:lineRule="auto"/>
        <w:ind w:firstLine="422" w:firstLineChars="200"/>
        <w:rPr>
          <w:color w:val="262600"/>
          <w:szCs w:val="21"/>
        </w:rPr>
      </w:pPr>
      <w:r>
        <w:rPr>
          <w:b/>
          <w:bCs/>
          <w:szCs w:val="21"/>
        </w:rPr>
        <w:t>2. 一般掌握</w:t>
      </w:r>
      <w:r>
        <w:rPr>
          <w:szCs w:val="21"/>
        </w:rPr>
        <w:t>：</w:t>
      </w:r>
      <w:r>
        <w:t>遥感技术的概念、特点、分类和系统构成</w:t>
      </w:r>
      <w:r>
        <w:rPr>
          <w:color w:val="262600"/>
          <w:szCs w:val="21"/>
        </w:rPr>
        <w:t>。</w:t>
      </w:r>
    </w:p>
    <w:p>
      <w:pPr>
        <w:snapToGrid w:val="0"/>
        <w:spacing w:line="360" w:lineRule="auto"/>
        <w:ind w:firstLine="422" w:firstLineChars="200"/>
        <w:rPr>
          <w:color w:val="262600"/>
          <w:szCs w:val="21"/>
        </w:rPr>
      </w:pPr>
      <w:r>
        <w:rPr>
          <w:b/>
          <w:bCs/>
          <w:szCs w:val="21"/>
        </w:rPr>
        <w:t>3. 熟练掌握</w:t>
      </w:r>
      <w:r>
        <w:rPr>
          <w:szCs w:val="21"/>
        </w:rPr>
        <w:t>：</w:t>
      </w:r>
      <w:r>
        <w:t>农业遥感监测技术原理</w:t>
      </w:r>
      <w:r>
        <w:rPr>
          <w:color w:val="262600"/>
          <w:szCs w:val="21"/>
        </w:rPr>
        <w:t>。</w:t>
      </w:r>
    </w:p>
    <w:p>
      <w:pPr>
        <w:pStyle w:val="60"/>
        <w:rPr>
          <w:rFonts w:ascii="Times New Roman" w:hAnsi="Times New Roman"/>
        </w:rPr>
      </w:pPr>
      <w:r>
        <w:rPr>
          <w:rFonts w:ascii="Times New Roman" w:hAnsi="Times New Roman"/>
        </w:rPr>
        <w:t>（二）考核内容</w:t>
      </w:r>
    </w:p>
    <w:p>
      <w:pPr>
        <w:spacing w:line="360" w:lineRule="auto"/>
        <w:ind w:firstLine="420" w:firstLineChars="200"/>
        <w:rPr>
          <w:color w:val="262600"/>
          <w:szCs w:val="21"/>
        </w:rPr>
      </w:pPr>
      <w:r>
        <w:rPr>
          <w:color w:val="262600"/>
          <w:szCs w:val="21"/>
        </w:rPr>
        <w:t>知识：园艺物联网概念及其特征。</w:t>
      </w:r>
    </w:p>
    <w:p>
      <w:pPr>
        <w:spacing w:line="360" w:lineRule="auto"/>
        <w:ind w:firstLine="420" w:firstLineChars="200"/>
        <w:rPr>
          <w:color w:val="262600"/>
          <w:szCs w:val="21"/>
        </w:rPr>
      </w:pPr>
      <w:r>
        <w:rPr>
          <w:color w:val="262600"/>
          <w:szCs w:val="21"/>
        </w:rPr>
        <w:t>能力和素质：</w:t>
      </w:r>
      <w:r>
        <w:rPr>
          <w:color w:val="262600"/>
        </w:rPr>
        <w:t>遥感技术发展与展望与农业领域的应用</w:t>
      </w:r>
      <w:r>
        <w:rPr>
          <w:color w:val="262600"/>
          <w:szCs w:val="21"/>
        </w:rPr>
        <w:t>。</w:t>
      </w:r>
    </w:p>
    <w:p>
      <w:pPr>
        <w:pStyle w:val="60"/>
        <w:rPr>
          <w:rFonts w:ascii="Times New Roman" w:hAnsi="Times New Roman"/>
        </w:rPr>
      </w:pPr>
      <w:r>
        <w:rPr>
          <w:rFonts w:ascii="Times New Roman" w:hAnsi="Times New Roman"/>
        </w:rPr>
        <w:t>（三）考核要求</w:t>
      </w:r>
    </w:p>
    <w:p>
      <w:pPr>
        <w:snapToGrid w:val="0"/>
        <w:spacing w:line="360" w:lineRule="auto"/>
        <w:ind w:firstLine="422" w:firstLineChars="200"/>
        <w:rPr>
          <w:b/>
          <w:bCs/>
          <w:szCs w:val="21"/>
        </w:rPr>
      </w:pPr>
      <w:r>
        <w:rPr>
          <w:b/>
          <w:bCs/>
          <w:szCs w:val="21"/>
        </w:rPr>
        <w:t>1</w:t>
      </w:r>
      <w:r>
        <w:rPr>
          <w:rFonts w:hint="eastAsia"/>
          <w:b/>
          <w:bCs/>
          <w:szCs w:val="21"/>
        </w:rPr>
        <w:t>.</w:t>
      </w:r>
      <w:r>
        <w:rPr>
          <w:b/>
          <w:bCs/>
          <w:szCs w:val="21"/>
        </w:rPr>
        <w:t xml:space="preserve"> 识记</w:t>
      </w:r>
      <w:r>
        <w:rPr>
          <w:szCs w:val="21"/>
        </w:rPr>
        <w:t>：</w:t>
      </w:r>
      <w:r>
        <w:rPr>
          <w:color w:val="262600"/>
          <w:szCs w:val="21"/>
        </w:rPr>
        <w:t>遥感技术的基本概念，应用与开发，历史与现状。</w:t>
      </w:r>
    </w:p>
    <w:p>
      <w:pPr>
        <w:snapToGrid w:val="0"/>
        <w:spacing w:line="360" w:lineRule="auto"/>
        <w:ind w:firstLine="422" w:firstLineChars="200"/>
        <w:rPr>
          <w:b/>
          <w:bCs/>
          <w:szCs w:val="21"/>
        </w:rPr>
      </w:pPr>
      <w:r>
        <w:rPr>
          <w:b/>
          <w:bCs/>
          <w:szCs w:val="21"/>
        </w:rPr>
        <w:t>2</w:t>
      </w:r>
      <w:r>
        <w:rPr>
          <w:rFonts w:hint="eastAsia"/>
          <w:b/>
          <w:bCs/>
          <w:szCs w:val="21"/>
        </w:rPr>
        <w:t>.</w:t>
      </w:r>
      <w:r>
        <w:rPr>
          <w:b/>
          <w:bCs/>
          <w:szCs w:val="21"/>
        </w:rPr>
        <w:t xml:space="preserve"> 领会</w:t>
      </w:r>
      <w:r>
        <w:rPr>
          <w:szCs w:val="21"/>
        </w:rPr>
        <w:t>：</w:t>
      </w:r>
      <w:r>
        <w:t>遥感的主要理论依据</w:t>
      </w:r>
      <w:r>
        <w:rPr>
          <w:color w:val="262600"/>
          <w:szCs w:val="21"/>
        </w:rPr>
        <w:t>。</w:t>
      </w:r>
    </w:p>
    <w:p>
      <w:pPr>
        <w:snapToGrid w:val="0"/>
        <w:spacing w:line="360" w:lineRule="auto"/>
        <w:ind w:firstLine="422" w:firstLineChars="200"/>
        <w:rPr>
          <w:color w:val="262600"/>
          <w:szCs w:val="21"/>
        </w:rPr>
      </w:pPr>
      <w:r>
        <w:rPr>
          <w:b/>
          <w:bCs/>
          <w:szCs w:val="21"/>
        </w:rPr>
        <w:t>3</w:t>
      </w:r>
      <w:r>
        <w:rPr>
          <w:rFonts w:hint="eastAsia"/>
          <w:b/>
          <w:bCs/>
          <w:szCs w:val="21"/>
        </w:rPr>
        <w:t>.</w:t>
      </w:r>
      <w:r>
        <w:rPr>
          <w:b/>
          <w:bCs/>
          <w:szCs w:val="21"/>
        </w:rPr>
        <w:t xml:space="preserve"> 应用</w:t>
      </w:r>
      <w:r>
        <w:rPr>
          <w:szCs w:val="21"/>
        </w:rPr>
        <w:t>：</w:t>
      </w:r>
      <w:r>
        <w:t>遥感影像获取、解译与处理方法的一般过程</w:t>
      </w:r>
      <w:r>
        <w:rPr>
          <w:color w:val="262600"/>
          <w:szCs w:val="21"/>
        </w:rPr>
        <w:t>。</w:t>
      </w:r>
    </w:p>
    <w:p>
      <w:pPr>
        <w:snapToGrid w:val="0"/>
        <w:spacing w:line="360" w:lineRule="auto"/>
        <w:ind w:firstLine="422" w:firstLineChars="200"/>
        <w:rPr>
          <w:szCs w:val="21"/>
        </w:rPr>
      </w:pPr>
      <w:r>
        <w:rPr>
          <w:b/>
          <w:bCs/>
          <w:szCs w:val="21"/>
        </w:rPr>
        <w:t>4</w:t>
      </w:r>
      <w:r>
        <w:rPr>
          <w:rFonts w:hint="eastAsia"/>
          <w:b/>
          <w:bCs/>
          <w:szCs w:val="21"/>
        </w:rPr>
        <w:t>.</w:t>
      </w:r>
      <w:r>
        <w:rPr>
          <w:b/>
          <w:bCs/>
          <w:szCs w:val="21"/>
        </w:rPr>
        <w:t xml:space="preserve"> 综合</w:t>
      </w:r>
      <w:r>
        <w:rPr>
          <w:szCs w:val="21"/>
        </w:rPr>
        <w:t>：</w:t>
      </w:r>
      <w:r>
        <w:rPr>
          <w:color w:val="262600"/>
        </w:rPr>
        <w:t>掌握遥感的基本概念、分类、系统构成，以及</w:t>
      </w:r>
      <w:r>
        <w:rPr>
          <w:color w:val="262600"/>
          <w:szCs w:val="21"/>
        </w:rPr>
        <w:t>农业遥感技术在农业生产中的应用</w:t>
      </w:r>
      <w:r>
        <w:rPr>
          <w:szCs w:val="21"/>
        </w:rPr>
        <w:t>。</w:t>
      </w:r>
    </w:p>
    <w:p>
      <w:pPr>
        <w:spacing w:line="360" w:lineRule="auto"/>
        <w:ind w:firstLine="422" w:firstLineChars="200"/>
        <w:jc w:val="center"/>
        <w:rPr>
          <w:b/>
          <w:bCs/>
          <w:color w:val="262600"/>
          <w:szCs w:val="21"/>
        </w:rPr>
      </w:pPr>
      <w:r>
        <w:rPr>
          <w:b/>
          <w:bCs/>
          <w:color w:val="262600"/>
          <w:szCs w:val="21"/>
        </w:rPr>
        <w:t xml:space="preserve">第六章  </w:t>
      </w:r>
      <w:r>
        <w:rPr>
          <w:b/>
          <w:bCs/>
          <w:color w:val="262600"/>
        </w:rPr>
        <w:t>地理信息系统</w:t>
      </w:r>
    </w:p>
    <w:p>
      <w:pPr>
        <w:pStyle w:val="60"/>
        <w:rPr>
          <w:rFonts w:ascii="Times New Roman" w:hAnsi="Times New Roman"/>
        </w:rPr>
      </w:pPr>
      <w:r>
        <w:rPr>
          <w:rFonts w:ascii="Times New Roman" w:hAnsi="Times New Roman"/>
        </w:rPr>
        <w:t>（一）学习目标</w:t>
      </w:r>
    </w:p>
    <w:p>
      <w:pPr>
        <w:snapToGrid w:val="0"/>
        <w:spacing w:line="360" w:lineRule="auto"/>
        <w:ind w:firstLine="422" w:firstLineChars="200"/>
        <w:rPr>
          <w:color w:val="262600"/>
          <w:szCs w:val="21"/>
        </w:rPr>
      </w:pPr>
      <w:r>
        <w:rPr>
          <w:b/>
          <w:bCs/>
          <w:szCs w:val="21"/>
        </w:rPr>
        <w:t>1. 一般了解</w:t>
      </w:r>
      <w:r>
        <w:rPr>
          <w:szCs w:val="21"/>
        </w:rPr>
        <w:t>：</w:t>
      </w:r>
      <w:r>
        <w:rPr>
          <w:color w:val="262600"/>
        </w:rPr>
        <w:t>地理信息系统</w:t>
      </w:r>
      <w:r>
        <w:rPr>
          <w:szCs w:val="21"/>
        </w:rPr>
        <w:t>在农业领域的应用</w:t>
      </w:r>
      <w:r>
        <w:rPr>
          <w:color w:val="262600"/>
          <w:szCs w:val="21"/>
        </w:rPr>
        <w:t>。</w:t>
      </w:r>
    </w:p>
    <w:p>
      <w:pPr>
        <w:snapToGrid w:val="0"/>
        <w:spacing w:line="360" w:lineRule="auto"/>
        <w:ind w:firstLine="422" w:firstLineChars="200"/>
        <w:rPr>
          <w:szCs w:val="21"/>
        </w:rPr>
      </w:pPr>
      <w:r>
        <w:rPr>
          <w:b/>
          <w:bCs/>
          <w:szCs w:val="21"/>
        </w:rPr>
        <w:t>2. 一般掌握</w:t>
      </w:r>
      <w:r>
        <w:rPr>
          <w:szCs w:val="21"/>
        </w:rPr>
        <w:t>：</w:t>
      </w:r>
      <w:r>
        <w:rPr>
          <w:color w:val="262600"/>
        </w:rPr>
        <w:t>地理信息系统</w:t>
      </w:r>
      <w:r>
        <w:rPr>
          <w:szCs w:val="21"/>
        </w:rPr>
        <w:t>的数据组织与处理方法。</w:t>
      </w:r>
    </w:p>
    <w:p>
      <w:pPr>
        <w:snapToGrid w:val="0"/>
        <w:spacing w:line="360" w:lineRule="auto"/>
        <w:ind w:firstLine="422" w:firstLineChars="200"/>
        <w:rPr>
          <w:color w:val="262600"/>
          <w:szCs w:val="21"/>
        </w:rPr>
      </w:pPr>
      <w:r>
        <w:rPr>
          <w:b/>
          <w:bCs/>
          <w:szCs w:val="21"/>
        </w:rPr>
        <w:t>3. 熟练掌握</w:t>
      </w:r>
      <w:r>
        <w:rPr>
          <w:szCs w:val="21"/>
        </w:rPr>
        <w:t>：</w:t>
      </w:r>
      <w:r>
        <w:rPr>
          <w:color w:val="262600"/>
        </w:rPr>
        <w:t>地理信息系统的基本概念，功能，类型，</w:t>
      </w:r>
      <w:r>
        <w:rPr>
          <w:szCs w:val="21"/>
        </w:rPr>
        <w:t>应用与开发历史与现状。</w:t>
      </w:r>
    </w:p>
    <w:p>
      <w:pPr>
        <w:pStyle w:val="60"/>
        <w:rPr>
          <w:rFonts w:ascii="Times New Roman" w:hAnsi="Times New Roman"/>
        </w:rPr>
      </w:pPr>
      <w:r>
        <w:rPr>
          <w:rFonts w:ascii="Times New Roman" w:hAnsi="Times New Roman"/>
        </w:rPr>
        <w:t>（二）考核内容</w:t>
      </w:r>
    </w:p>
    <w:p>
      <w:pPr>
        <w:spacing w:line="360" w:lineRule="auto"/>
        <w:ind w:firstLine="420" w:firstLineChars="200"/>
        <w:rPr>
          <w:color w:val="262600"/>
          <w:szCs w:val="21"/>
        </w:rPr>
      </w:pPr>
      <w:r>
        <w:rPr>
          <w:color w:val="262600"/>
          <w:szCs w:val="21"/>
        </w:rPr>
        <w:t>知识：地理信息系统软件系统构成、常用的地理信息系统工具软件。</w:t>
      </w:r>
    </w:p>
    <w:p>
      <w:pPr>
        <w:spacing w:line="360" w:lineRule="auto"/>
        <w:ind w:firstLine="420" w:firstLineChars="200"/>
        <w:rPr>
          <w:color w:val="262600"/>
          <w:szCs w:val="21"/>
        </w:rPr>
      </w:pPr>
      <w:r>
        <w:rPr>
          <w:color w:val="262600"/>
          <w:szCs w:val="21"/>
        </w:rPr>
        <w:t>能力和素质：</w:t>
      </w:r>
      <w:r>
        <w:rPr>
          <w:color w:val="262600"/>
        </w:rPr>
        <w:t>地理信息系统技术在园艺产业</w:t>
      </w:r>
      <w:r>
        <w:rPr>
          <w:color w:val="000000"/>
          <w:kern w:val="0"/>
          <w:szCs w:val="21"/>
          <w:lang w:bidi="ar"/>
        </w:rPr>
        <w:t>中的应用</w:t>
      </w:r>
      <w:r>
        <w:rPr>
          <w:color w:val="262600"/>
          <w:szCs w:val="21"/>
        </w:rPr>
        <w:t>。</w:t>
      </w:r>
    </w:p>
    <w:p>
      <w:pPr>
        <w:pStyle w:val="60"/>
        <w:rPr>
          <w:rFonts w:ascii="Times New Roman" w:hAnsi="Times New Roman"/>
        </w:rPr>
      </w:pPr>
      <w:r>
        <w:rPr>
          <w:rFonts w:ascii="Times New Roman" w:hAnsi="Times New Roman"/>
        </w:rPr>
        <w:t>（三）考核要求</w:t>
      </w:r>
    </w:p>
    <w:p>
      <w:pPr>
        <w:snapToGrid w:val="0"/>
        <w:spacing w:line="360" w:lineRule="auto"/>
        <w:ind w:firstLine="422" w:firstLineChars="200"/>
        <w:rPr>
          <w:b/>
          <w:bCs/>
          <w:szCs w:val="21"/>
        </w:rPr>
      </w:pPr>
      <w:r>
        <w:rPr>
          <w:b/>
          <w:bCs/>
          <w:szCs w:val="21"/>
        </w:rPr>
        <w:t>1</w:t>
      </w:r>
      <w:r>
        <w:rPr>
          <w:rFonts w:hint="eastAsia"/>
          <w:b/>
          <w:bCs/>
          <w:szCs w:val="21"/>
        </w:rPr>
        <w:t>.</w:t>
      </w:r>
      <w:r>
        <w:rPr>
          <w:b/>
          <w:bCs/>
          <w:szCs w:val="21"/>
        </w:rPr>
        <w:t xml:space="preserve"> 识记</w:t>
      </w:r>
      <w:r>
        <w:rPr>
          <w:szCs w:val="21"/>
        </w:rPr>
        <w:t>：</w:t>
      </w:r>
      <w:r>
        <w:rPr>
          <w:color w:val="262600"/>
          <w:szCs w:val="21"/>
        </w:rPr>
        <w:t>地理信息系统的概念和基本原理</w:t>
      </w:r>
      <w:r>
        <w:rPr>
          <w:szCs w:val="21"/>
        </w:rPr>
        <w:t>。</w:t>
      </w:r>
    </w:p>
    <w:p>
      <w:pPr>
        <w:snapToGrid w:val="0"/>
        <w:spacing w:line="360" w:lineRule="auto"/>
        <w:ind w:firstLine="422" w:firstLineChars="200"/>
        <w:rPr>
          <w:color w:val="262600"/>
          <w:szCs w:val="21"/>
        </w:rPr>
      </w:pPr>
      <w:r>
        <w:rPr>
          <w:b/>
          <w:bCs/>
          <w:szCs w:val="21"/>
        </w:rPr>
        <w:t>2. 领会</w:t>
      </w:r>
      <w:r>
        <w:rPr>
          <w:szCs w:val="21"/>
        </w:rPr>
        <w:t>：</w:t>
      </w:r>
      <w:r>
        <w:rPr>
          <w:color w:val="262600"/>
          <w:szCs w:val="21"/>
        </w:rPr>
        <w:t>地理信息系统的软件系统，</w:t>
      </w:r>
      <w:r>
        <w:rPr>
          <w:szCs w:val="21"/>
        </w:rPr>
        <w:t>数据来源，地图的基本原理</w:t>
      </w:r>
      <w:r>
        <w:rPr>
          <w:color w:val="262600"/>
          <w:szCs w:val="21"/>
        </w:rPr>
        <w:t>。</w:t>
      </w:r>
    </w:p>
    <w:p>
      <w:pPr>
        <w:snapToGrid w:val="0"/>
        <w:spacing w:line="360" w:lineRule="auto"/>
        <w:ind w:firstLine="422" w:firstLineChars="200"/>
        <w:rPr>
          <w:b/>
          <w:bCs/>
          <w:szCs w:val="21"/>
        </w:rPr>
      </w:pPr>
      <w:r>
        <w:rPr>
          <w:b/>
          <w:bCs/>
          <w:szCs w:val="21"/>
        </w:rPr>
        <w:t>3</w:t>
      </w:r>
      <w:r>
        <w:rPr>
          <w:rFonts w:hint="eastAsia"/>
          <w:b/>
          <w:bCs/>
          <w:szCs w:val="21"/>
        </w:rPr>
        <w:t>.</w:t>
      </w:r>
      <w:r>
        <w:rPr>
          <w:b/>
          <w:bCs/>
          <w:szCs w:val="21"/>
        </w:rPr>
        <w:t xml:space="preserve"> 应用</w:t>
      </w:r>
      <w:r>
        <w:rPr>
          <w:szCs w:val="21"/>
        </w:rPr>
        <w:t>：数字地图的存储、显示与输出，</w:t>
      </w:r>
      <w:r>
        <w:rPr>
          <w:color w:val="262600"/>
          <w:szCs w:val="21"/>
        </w:rPr>
        <w:t>地理信息系统</w:t>
      </w:r>
      <w:r>
        <w:rPr>
          <w:szCs w:val="21"/>
        </w:rPr>
        <w:t>的数据组织与处理方法。</w:t>
      </w:r>
    </w:p>
    <w:p>
      <w:pPr>
        <w:snapToGrid w:val="0"/>
        <w:spacing w:line="360" w:lineRule="auto"/>
        <w:ind w:firstLine="422" w:firstLineChars="200"/>
        <w:rPr>
          <w:szCs w:val="21"/>
        </w:rPr>
      </w:pPr>
      <w:r>
        <w:rPr>
          <w:b/>
          <w:bCs/>
          <w:szCs w:val="21"/>
        </w:rPr>
        <w:t>4</w:t>
      </w:r>
      <w:r>
        <w:rPr>
          <w:rFonts w:hint="eastAsia"/>
          <w:b/>
          <w:bCs/>
          <w:szCs w:val="21"/>
        </w:rPr>
        <w:t>.</w:t>
      </w:r>
      <w:r>
        <w:rPr>
          <w:b/>
          <w:bCs/>
          <w:szCs w:val="21"/>
        </w:rPr>
        <w:t xml:space="preserve"> 综合</w:t>
      </w:r>
      <w:r>
        <w:rPr>
          <w:szCs w:val="21"/>
        </w:rPr>
        <w:t>：能够将地理信息系统相关技术在园艺产业中应用。</w:t>
      </w:r>
    </w:p>
    <w:p>
      <w:pPr>
        <w:pStyle w:val="10"/>
        <w:snapToGrid w:val="0"/>
        <w:spacing w:before="312" w:beforeLines="100" w:line="360" w:lineRule="auto"/>
        <w:ind w:firstLine="422"/>
        <w:jc w:val="center"/>
        <w:rPr>
          <w:rFonts w:ascii="Times New Roman" w:hAnsi="Times New Roman" w:cs="Times New Roman"/>
          <w:b/>
        </w:rPr>
      </w:pPr>
      <w:r>
        <w:rPr>
          <w:rFonts w:ascii="Times New Roman" w:hAnsi="Times New Roman" w:cs="Times New Roman"/>
          <w:b/>
          <w:bCs/>
          <w:kern w:val="0"/>
        </w:rPr>
        <w:t xml:space="preserve">第七章  </w:t>
      </w:r>
      <w:r>
        <w:rPr>
          <w:rFonts w:ascii="Times New Roman" w:hAnsi="Times New Roman" w:cs="Times New Roman"/>
          <w:b/>
          <w:bCs/>
          <w:color w:val="262600"/>
        </w:rPr>
        <w:t>农业专家系统</w:t>
      </w:r>
    </w:p>
    <w:p>
      <w:pPr>
        <w:snapToGrid w:val="0"/>
        <w:spacing w:line="360" w:lineRule="auto"/>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color w:val="262600"/>
        </w:rPr>
        <w:t>农业专家系统基本原理</w:t>
      </w:r>
      <w:r>
        <w:rPr>
          <w:szCs w:val="21"/>
        </w:rPr>
        <w:t>。</w:t>
      </w:r>
    </w:p>
    <w:p>
      <w:pPr>
        <w:snapToGrid w:val="0"/>
        <w:spacing w:line="360" w:lineRule="auto"/>
        <w:ind w:firstLine="422" w:firstLineChars="200"/>
        <w:rPr>
          <w:kern w:val="0"/>
          <w:szCs w:val="21"/>
        </w:rPr>
      </w:pPr>
      <w:r>
        <w:rPr>
          <w:b/>
          <w:szCs w:val="21"/>
        </w:rPr>
        <w:t>2. 一般掌握</w:t>
      </w:r>
      <w:r>
        <w:rPr>
          <w:szCs w:val="21"/>
        </w:rPr>
        <w:t>：农业专家系统的概念、结构</w:t>
      </w:r>
      <w:r>
        <w:t>。</w:t>
      </w:r>
    </w:p>
    <w:p>
      <w:pPr>
        <w:snapToGrid w:val="0"/>
        <w:spacing w:line="360" w:lineRule="auto"/>
        <w:ind w:firstLine="422" w:firstLineChars="200"/>
        <w:rPr>
          <w:b/>
          <w:szCs w:val="21"/>
        </w:rPr>
      </w:pPr>
      <w:r>
        <w:rPr>
          <w:b/>
          <w:szCs w:val="21"/>
        </w:rPr>
        <w:t>3. 熟练掌握</w:t>
      </w:r>
      <w:r>
        <w:rPr>
          <w:szCs w:val="21"/>
        </w:rPr>
        <w:t>：</w:t>
      </w:r>
      <w:r>
        <w:rPr>
          <w:color w:val="262600"/>
        </w:rPr>
        <w:t>农业专家系统的特点与应用</w:t>
      </w:r>
      <w:r>
        <w:rPr>
          <w:kern w:val="0"/>
          <w:szCs w:val="21"/>
        </w:rPr>
        <w:t>。</w:t>
      </w:r>
    </w:p>
    <w:p>
      <w:pPr>
        <w:snapToGrid w:val="0"/>
        <w:spacing w:line="360" w:lineRule="auto"/>
        <w:rPr>
          <w:szCs w:val="21"/>
        </w:rPr>
      </w:pPr>
      <w:r>
        <w:rPr>
          <w:b/>
          <w:szCs w:val="21"/>
        </w:rPr>
        <w:t>（二）考核内容</w:t>
      </w:r>
    </w:p>
    <w:p>
      <w:pPr>
        <w:snapToGrid w:val="0"/>
        <w:spacing w:line="360" w:lineRule="auto"/>
        <w:ind w:firstLine="420" w:firstLineChars="200"/>
        <w:rPr>
          <w:kern w:val="0"/>
          <w:szCs w:val="21"/>
        </w:rPr>
      </w:pPr>
      <w:r>
        <w:rPr>
          <w:color w:val="262600"/>
          <w:szCs w:val="21"/>
        </w:rPr>
        <w:t>知识：</w:t>
      </w:r>
      <w:r>
        <w:rPr>
          <w:color w:val="262600"/>
        </w:rPr>
        <w:t>农业专家系统的基本结构、开发工具、发展概况</w:t>
      </w:r>
      <w:r>
        <w:rPr>
          <w:kern w:val="0"/>
          <w:szCs w:val="21"/>
        </w:rPr>
        <w:t>。</w:t>
      </w:r>
    </w:p>
    <w:p>
      <w:pPr>
        <w:snapToGrid w:val="0"/>
        <w:spacing w:line="360" w:lineRule="auto"/>
        <w:ind w:firstLine="420" w:firstLineChars="200"/>
        <w:rPr>
          <w:kern w:val="0"/>
          <w:szCs w:val="21"/>
        </w:rPr>
      </w:pPr>
      <w:r>
        <w:rPr>
          <w:color w:val="262600"/>
          <w:szCs w:val="21"/>
        </w:rPr>
        <w:t>能力和素质：</w:t>
      </w:r>
      <w:r>
        <w:rPr>
          <w:color w:val="262600"/>
        </w:rPr>
        <w:t>农业专家系统的概念、结构、特点与应用</w:t>
      </w:r>
      <w:r>
        <w:rPr>
          <w:kern w:val="0"/>
          <w:szCs w:val="21"/>
        </w:rPr>
        <w:t>。</w:t>
      </w:r>
    </w:p>
    <w:p>
      <w:pPr>
        <w:snapToGrid w:val="0"/>
        <w:spacing w:line="360" w:lineRule="auto"/>
        <w:rPr>
          <w:b/>
          <w:szCs w:val="21"/>
        </w:rPr>
      </w:pPr>
      <w:r>
        <w:rPr>
          <w:b/>
          <w:szCs w:val="21"/>
        </w:rPr>
        <w:t>（三）考核要求</w:t>
      </w:r>
    </w:p>
    <w:p>
      <w:pPr>
        <w:snapToGrid w:val="0"/>
        <w:spacing w:line="360" w:lineRule="auto"/>
        <w:ind w:firstLine="422" w:firstLineChars="200"/>
        <w:rPr>
          <w:b/>
          <w:szCs w:val="21"/>
        </w:rPr>
      </w:pPr>
      <w:r>
        <w:rPr>
          <w:b/>
          <w:szCs w:val="21"/>
        </w:rPr>
        <w:t>1. 识记</w:t>
      </w:r>
      <w:r>
        <w:rPr>
          <w:szCs w:val="21"/>
        </w:rPr>
        <w:t>：</w:t>
      </w:r>
      <w:r>
        <w:rPr>
          <w:color w:val="262600"/>
        </w:rPr>
        <w:t>农业专家系统的</w:t>
      </w:r>
      <w:r>
        <w:rPr>
          <w:kern w:val="0"/>
          <w:szCs w:val="21"/>
        </w:rPr>
        <w:t>概念。</w:t>
      </w:r>
    </w:p>
    <w:p>
      <w:pPr>
        <w:snapToGrid w:val="0"/>
        <w:spacing w:line="360" w:lineRule="auto"/>
        <w:ind w:firstLine="422" w:firstLineChars="200"/>
        <w:rPr>
          <w:kern w:val="0"/>
          <w:szCs w:val="21"/>
        </w:rPr>
      </w:pPr>
      <w:r>
        <w:rPr>
          <w:b/>
          <w:szCs w:val="21"/>
        </w:rPr>
        <w:t>2. 领会</w:t>
      </w:r>
      <w:r>
        <w:rPr>
          <w:szCs w:val="21"/>
        </w:rPr>
        <w:t>：</w:t>
      </w:r>
      <w:r>
        <w:rPr>
          <w:color w:val="262600"/>
        </w:rPr>
        <w:t>农业专家系统的基本结构</w:t>
      </w:r>
      <w:r>
        <w:rPr>
          <w:szCs w:val="21"/>
        </w:rPr>
        <w:t>。</w:t>
      </w:r>
    </w:p>
    <w:p>
      <w:pPr>
        <w:snapToGrid w:val="0"/>
        <w:spacing w:line="360" w:lineRule="auto"/>
        <w:ind w:firstLine="422" w:firstLineChars="200"/>
        <w:rPr>
          <w:szCs w:val="21"/>
        </w:rPr>
      </w:pPr>
      <w:r>
        <w:rPr>
          <w:b/>
          <w:szCs w:val="21"/>
        </w:rPr>
        <w:t>3. 应用</w:t>
      </w:r>
      <w:r>
        <w:rPr>
          <w:szCs w:val="21"/>
        </w:rPr>
        <w:t>：</w:t>
      </w:r>
      <w:r>
        <w:t>要求学生能够利用</w:t>
      </w:r>
      <w:r>
        <w:rPr>
          <w:color w:val="262600"/>
        </w:rPr>
        <w:t>农业专家系统</w:t>
      </w:r>
      <w:r>
        <w:rPr>
          <w:szCs w:val="21"/>
        </w:rPr>
        <w:t>。</w:t>
      </w:r>
    </w:p>
    <w:p>
      <w:pPr>
        <w:snapToGrid w:val="0"/>
        <w:spacing w:line="360" w:lineRule="auto"/>
        <w:ind w:firstLine="422" w:firstLineChars="200"/>
        <w:rPr>
          <w:szCs w:val="21"/>
        </w:rPr>
      </w:pPr>
      <w:r>
        <w:rPr>
          <w:b/>
          <w:bCs/>
        </w:rPr>
        <w:t>4. 分析：</w:t>
      </w:r>
      <w:r>
        <w:t>利用本章知识，分析农业专家系统的特点</w:t>
      </w:r>
      <w:r>
        <w:rPr>
          <w:szCs w:val="21"/>
        </w:rPr>
        <w:t>。</w:t>
      </w:r>
    </w:p>
    <w:p>
      <w:pPr>
        <w:snapToGrid w:val="0"/>
        <w:spacing w:line="360" w:lineRule="auto"/>
        <w:ind w:firstLine="422" w:firstLineChars="200"/>
      </w:pPr>
      <w:r>
        <w:rPr>
          <w:b/>
          <w:szCs w:val="21"/>
        </w:rPr>
        <w:t>5. 综合</w:t>
      </w:r>
      <w:r>
        <w:rPr>
          <w:szCs w:val="21"/>
        </w:rPr>
        <w:t>：</w:t>
      </w:r>
      <w:r>
        <w:t>要求学生能够利用本章知识，综合分析农业专家系统的发展概况。</w:t>
      </w:r>
    </w:p>
    <w:p>
      <w:pPr>
        <w:snapToGrid w:val="0"/>
        <w:spacing w:line="360" w:lineRule="auto"/>
        <w:ind w:firstLine="422" w:firstLineChars="200"/>
        <w:rPr>
          <w:highlight w:val="yellow"/>
        </w:rPr>
      </w:pPr>
      <w:r>
        <w:rPr>
          <w:b/>
          <w:bCs/>
        </w:rPr>
        <w:t>6. 评价：</w:t>
      </w:r>
      <w:r>
        <w:t>对</w:t>
      </w:r>
      <w:r>
        <w:rPr>
          <w:color w:val="262600"/>
        </w:rPr>
        <w:t>农业专家系统研究和应用中存在的问题</w:t>
      </w:r>
      <w:r>
        <w:t>进行正确评价。</w:t>
      </w:r>
    </w:p>
    <w:p>
      <w:pPr>
        <w:pStyle w:val="10"/>
        <w:snapToGrid w:val="0"/>
        <w:spacing w:before="312" w:beforeLines="100" w:line="360" w:lineRule="auto"/>
        <w:ind w:firstLine="422"/>
        <w:jc w:val="center"/>
        <w:rPr>
          <w:rFonts w:ascii="Times New Roman" w:hAnsi="Times New Roman" w:cs="Times New Roman"/>
          <w:b/>
        </w:rPr>
      </w:pPr>
      <w:r>
        <w:rPr>
          <w:rFonts w:ascii="Times New Roman" w:hAnsi="Times New Roman" w:cs="Times New Roman"/>
          <w:b/>
          <w:bCs/>
          <w:kern w:val="0"/>
        </w:rPr>
        <w:t xml:space="preserve">第八章  精确农业技术 </w:t>
      </w:r>
    </w:p>
    <w:p>
      <w:pPr>
        <w:pStyle w:val="60"/>
        <w:rPr>
          <w:rFonts w:ascii="Times New Roman" w:hAnsi="Times New Roman"/>
        </w:rPr>
      </w:pPr>
      <w:r>
        <w:rPr>
          <w:rFonts w:ascii="Times New Roman" w:hAnsi="Times New Roman"/>
        </w:rPr>
        <w:t>（一）学习目标</w:t>
      </w:r>
    </w:p>
    <w:p>
      <w:pPr>
        <w:snapToGrid w:val="0"/>
        <w:spacing w:line="360" w:lineRule="auto"/>
        <w:ind w:firstLine="422" w:firstLineChars="200"/>
        <w:rPr>
          <w:szCs w:val="21"/>
        </w:rPr>
      </w:pPr>
      <w:r>
        <w:rPr>
          <w:b/>
          <w:szCs w:val="21"/>
        </w:rPr>
        <w:t>1. 一般了解</w:t>
      </w:r>
      <w:r>
        <w:rPr>
          <w:szCs w:val="21"/>
        </w:rPr>
        <w:t>：</w:t>
      </w:r>
      <w:r>
        <w:rPr>
          <w:color w:val="262600"/>
        </w:rPr>
        <w:t>智能化农业机械装备</w:t>
      </w:r>
      <w:r>
        <w:rPr>
          <w:szCs w:val="21"/>
        </w:rPr>
        <w:t>。</w:t>
      </w:r>
    </w:p>
    <w:p>
      <w:pPr>
        <w:snapToGrid w:val="0"/>
        <w:spacing w:line="360" w:lineRule="auto"/>
        <w:ind w:firstLine="422" w:firstLineChars="200"/>
        <w:rPr>
          <w:szCs w:val="21"/>
        </w:rPr>
      </w:pPr>
      <w:r>
        <w:rPr>
          <w:b/>
          <w:szCs w:val="21"/>
        </w:rPr>
        <w:t>2. 一般掌握</w:t>
      </w:r>
      <w:r>
        <w:rPr>
          <w:szCs w:val="21"/>
        </w:rPr>
        <w:t>：</w:t>
      </w:r>
      <w:r>
        <w:rPr>
          <w:color w:val="262600"/>
        </w:rPr>
        <w:t>精确农业技术的概念</w:t>
      </w:r>
      <w:r>
        <w:rPr>
          <w:kern w:val="0"/>
          <w:szCs w:val="21"/>
        </w:rPr>
        <w:t>。</w:t>
      </w:r>
    </w:p>
    <w:p>
      <w:pPr>
        <w:snapToGrid w:val="0"/>
        <w:spacing w:line="360" w:lineRule="auto"/>
        <w:ind w:firstLine="422" w:firstLineChars="200"/>
        <w:rPr>
          <w:b/>
          <w:szCs w:val="21"/>
        </w:rPr>
      </w:pPr>
      <w:r>
        <w:rPr>
          <w:b/>
          <w:szCs w:val="21"/>
        </w:rPr>
        <w:t>3. 熟练掌握</w:t>
      </w:r>
      <w:r>
        <w:rPr>
          <w:szCs w:val="21"/>
        </w:rPr>
        <w:t>：</w:t>
      </w:r>
      <w:r>
        <w:rPr>
          <w:kern w:val="0"/>
          <w:szCs w:val="21"/>
        </w:rPr>
        <w:t>精确农业的</w:t>
      </w:r>
      <w:r>
        <w:rPr>
          <w:color w:val="262600"/>
        </w:rPr>
        <w:t>技术体系与关键技术、主要问题与发展方向</w:t>
      </w:r>
      <w:r>
        <w:rPr>
          <w:kern w:val="0"/>
          <w:szCs w:val="21"/>
        </w:rPr>
        <w:t>。</w:t>
      </w:r>
    </w:p>
    <w:p>
      <w:pPr>
        <w:snapToGrid w:val="0"/>
        <w:spacing w:before="156" w:beforeLines="50" w:line="360" w:lineRule="auto"/>
        <w:rPr>
          <w:szCs w:val="21"/>
        </w:rPr>
      </w:pPr>
      <w:r>
        <w:rPr>
          <w:b/>
          <w:szCs w:val="21"/>
        </w:rPr>
        <w:t>（二）考核内容</w:t>
      </w:r>
    </w:p>
    <w:p>
      <w:pPr>
        <w:snapToGrid w:val="0"/>
        <w:spacing w:line="360" w:lineRule="auto"/>
        <w:ind w:firstLine="420" w:firstLineChars="200"/>
        <w:rPr>
          <w:kern w:val="0"/>
          <w:szCs w:val="21"/>
        </w:rPr>
      </w:pPr>
      <w:r>
        <w:rPr>
          <w:color w:val="262600"/>
          <w:szCs w:val="21"/>
        </w:rPr>
        <w:t>知识：</w:t>
      </w:r>
      <w:r>
        <w:rPr>
          <w:color w:val="262600"/>
        </w:rPr>
        <w:t>精确农业技术概念</w:t>
      </w:r>
      <w:r>
        <w:rPr>
          <w:rFonts w:hint="eastAsia"/>
          <w:color w:val="262600"/>
        </w:rPr>
        <w:t>和</w:t>
      </w:r>
      <w:r>
        <w:rPr>
          <w:kern w:val="0"/>
          <w:szCs w:val="21"/>
        </w:rPr>
        <w:t>GPS简介。</w:t>
      </w:r>
    </w:p>
    <w:p>
      <w:pPr>
        <w:snapToGrid w:val="0"/>
        <w:spacing w:line="360" w:lineRule="auto"/>
        <w:ind w:firstLine="420" w:firstLineChars="200"/>
        <w:rPr>
          <w:kern w:val="0"/>
          <w:szCs w:val="21"/>
        </w:rPr>
      </w:pPr>
      <w:r>
        <w:rPr>
          <w:color w:val="262600"/>
          <w:szCs w:val="21"/>
        </w:rPr>
        <w:t>能力和素质：</w:t>
      </w:r>
      <w:r>
        <w:rPr>
          <w:kern w:val="0"/>
          <w:szCs w:val="21"/>
        </w:rPr>
        <w:t>精确农业产生与发展、技术体系、</w:t>
      </w:r>
      <w:r>
        <w:rPr>
          <w:color w:val="262600"/>
        </w:rPr>
        <w:t>关键技术、发展的主要问题与发展方向</w:t>
      </w:r>
      <w:r>
        <w:rPr>
          <w:kern w:val="0"/>
          <w:szCs w:val="21"/>
        </w:rPr>
        <w:t>。</w:t>
      </w:r>
    </w:p>
    <w:p>
      <w:pPr>
        <w:snapToGrid w:val="0"/>
        <w:spacing w:before="156" w:beforeLines="50" w:line="360" w:lineRule="auto"/>
        <w:rPr>
          <w:b/>
          <w:szCs w:val="21"/>
        </w:rPr>
      </w:pPr>
      <w:r>
        <w:rPr>
          <w:b/>
          <w:szCs w:val="21"/>
        </w:rPr>
        <w:t>（三）考核要求</w:t>
      </w:r>
    </w:p>
    <w:p>
      <w:pPr>
        <w:snapToGrid w:val="0"/>
        <w:spacing w:line="360" w:lineRule="auto"/>
        <w:ind w:firstLine="422" w:firstLineChars="200"/>
        <w:rPr>
          <w:b/>
          <w:szCs w:val="21"/>
        </w:rPr>
      </w:pPr>
      <w:r>
        <w:rPr>
          <w:b/>
          <w:szCs w:val="21"/>
        </w:rPr>
        <w:t>1. 识记</w:t>
      </w:r>
      <w:r>
        <w:rPr>
          <w:szCs w:val="21"/>
        </w:rPr>
        <w:t>：</w:t>
      </w:r>
      <w:r>
        <w:rPr>
          <w:color w:val="262600"/>
        </w:rPr>
        <w:t>精确农业技术概念</w:t>
      </w:r>
      <w:r>
        <w:rPr>
          <w:kern w:val="0"/>
          <w:szCs w:val="21"/>
        </w:rPr>
        <w:t>。</w:t>
      </w:r>
    </w:p>
    <w:p>
      <w:pPr>
        <w:snapToGrid w:val="0"/>
        <w:spacing w:line="360" w:lineRule="auto"/>
        <w:ind w:firstLine="422" w:firstLineChars="200"/>
        <w:rPr>
          <w:kern w:val="0"/>
          <w:szCs w:val="21"/>
        </w:rPr>
      </w:pPr>
      <w:r>
        <w:rPr>
          <w:b/>
          <w:szCs w:val="21"/>
        </w:rPr>
        <w:t>2. 领会</w:t>
      </w:r>
      <w:r>
        <w:rPr>
          <w:szCs w:val="21"/>
        </w:rPr>
        <w:t>：</w:t>
      </w:r>
      <w:r>
        <w:rPr>
          <w:kern w:val="0"/>
          <w:szCs w:val="21"/>
        </w:rPr>
        <w:t>精确农业产生与发展。</w:t>
      </w:r>
    </w:p>
    <w:p>
      <w:pPr>
        <w:snapToGrid w:val="0"/>
        <w:spacing w:line="360" w:lineRule="auto"/>
        <w:ind w:firstLine="422" w:firstLineChars="200"/>
      </w:pPr>
      <w:r>
        <w:rPr>
          <w:b/>
          <w:szCs w:val="21"/>
        </w:rPr>
        <w:t>3. 应用</w:t>
      </w:r>
      <w:r>
        <w:rPr>
          <w:szCs w:val="21"/>
        </w:rPr>
        <w:t>：</w:t>
      </w:r>
      <w:r>
        <w:t>GPS</w:t>
      </w:r>
      <w:r>
        <w:rPr>
          <w:rFonts w:hint="eastAsia"/>
        </w:rPr>
        <w:t>在园艺生产中的应用</w:t>
      </w:r>
      <w:r>
        <w:t>。</w:t>
      </w:r>
    </w:p>
    <w:p>
      <w:pPr>
        <w:snapToGrid w:val="0"/>
        <w:spacing w:line="360" w:lineRule="auto"/>
        <w:ind w:firstLine="422" w:firstLineChars="200"/>
        <w:rPr>
          <w:b/>
          <w:szCs w:val="21"/>
        </w:rPr>
      </w:pPr>
      <w:r>
        <w:rPr>
          <w:b/>
          <w:bCs/>
        </w:rPr>
        <w:t>4. 分析：</w:t>
      </w:r>
      <w:r>
        <w:t>利用本章所学知识，分析精确农业技术的主要问题</w:t>
      </w:r>
      <w:r>
        <w:rPr>
          <w:b/>
          <w:szCs w:val="21"/>
        </w:rPr>
        <w:t>。</w:t>
      </w:r>
    </w:p>
    <w:p>
      <w:pPr>
        <w:snapToGrid w:val="0"/>
        <w:spacing w:line="360" w:lineRule="auto"/>
        <w:ind w:firstLine="422" w:firstLineChars="200"/>
      </w:pPr>
      <w:r>
        <w:rPr>
          <w:b/>
          <w:szCs w:val="21"/>
        </w:rPr>
        <w:t>5. 综合</w:t>
      </w:r>
      <w:r>
        <w:rPr>
          <w:szCs w:val="21"/>
        </w:rPr>
        <w:t>：</w:t>
      </w:r>
      <w:r>
        <w:t>要求学生能够利用本章知识，把握精确农业的发展方向。</w:t>
      </w:r>
    </w:p>
    <w:p>
      <w:pPr>
        <w:snapToGrid w:val="0"/>
        <w:spacing w:line="360" w:lineRule="auto"/>
        <w:ind w:firstLine="422" w:firstLineChars="200"/>
        <w:rPr>
          <w:szCs w:val="21"/>
        </w:rPr>
      </w:pPr>
      <w:r>
        <w:rPr>
          <w:b/>
          <w:bCs/>
        </w:rPr>
        <w:t>6. 评价：</w:t>
      </w:r>
      <w:r>
        <w:t>要求学生通过本章节内容的学习，评价精确农业技术的关键技术，对精确农业技术有进一步的认知。</w:t>
      </w:r>
    </w:p>
    <w:p>
      <w:pPr>
        <w:pStyle w:val="10"/>
        <w:snapToGrid w:val="0"/>
        <w:spacing w:before="312" w:beforeLines="100" w:line="360" w:lineRule="auto"/>
        <w:ind w:firstLine="422"/>
        <w:jc w:val="center"/>
        <w:rPr>
          <w:rFonts w:ascii="Times New Roman" w:hAnsi="Times New Roman" w:cs="Times New Roman"/>
          <w:b/>
        </w:rPr>
      </w:pPr>
      <w:r>
        <w:rPr>
          <w:rFonts w:ascii="Times New Roman" w:hAnsi="Times New Roman" w:cs="Times New Roman"/>
          <w:b/>
          <w:bCs/>
          <w:kern w:val="0"/>
        </w:rPr>
        <w:t>第九章  农业信息网络</w:t>
      </w:r>
    </w:p>
    <w:p>
      <w:pPr>
        <w:snapToGrid w:val="0"/>
        <w:spacing w:line="360" w:lineRule="auto"/>
        <w:jc w:val="left"/>
        <w:rPr>
          <w:b/>
          <w:szCs w:val="21"/>
        </w:rPr>
      </w:pPr>
      <w:r>
        <w:rPr>
          <w:b/>
          <w:szCs w:val="21"/>
        </w:rPr>
        <w:t>（一）学习目标</w:t>
      </w:r>
    </w:p>
    <w:p>
      <w:pPr>
        <w:snapToGrid w:val="0"/>
        <w:spacing w:line="360" w:lineRule="auto"/>
        <w:ind w:firstLine="422" w:firstLineChars="200"/>
        <w:rPr>
          <w:szCs w:val="21"/>
        </w:rPr>
      </w:pPr>
      <w:r>
        <w:rPr>
          <w:b/>
          <w:szCs w:val="21"/>
        </w:rPr>
        <w:t>1. 一般了解</w:t>
      </w:r>
      <w:r>
        <w:rPr>
          <w:szCs w:val="21"/>
        </w:rPr>
        <w:t>：</w:t>
      </w:r>
      <w:r>
        <w:rPr>
          <w:kern w:val="0"/>
          <w:szCs w:val="21"/>
        </w:rPr>
        <w:t>计算机网络原理</w:t>
      </w:r>
      <w:r>
        <w:rPr>
          <w:szCs w:val="21"/>
        </w:rPr>
        <w:t>。</w:t>
      </w:r>
    </w:p>
    <w:p>
      <w:pPr>
        <w:snapToGrid w:val="0"/>
        <w:spacing w:line="360" w:lineRule="auto"/>
        <w:ind w:firstLine="422" w:firstLineChars="200"/>
        <w:rPr>
          <w:szCs w:val="21"/>
        </w:rPr>
      </w:pPr>
      <w:r>
        <w:rPr>
          <w:b/>
          <w:szCs w:val="21"/>
        </w:rPr>
        <w:t>2. 一般掌握</w:t>
      </w:r>
      <w:r>
        <w:rPr>
          <w:szCs w:val="21"/>
        </w:rPr>
        <w:t>：</w:t>
      </w:r>
      <w:r>
        <w:rPr>
          <w:kern w:val="0"/>
          <w:szCs w:val="21"/>
        </w:rPr>
        <w:t>计算机网络的分类、局域网与Internet的基本原理。</w:t>
      </w:r>
    </w:p>
    <w:p>
      <w:pPr>
        <w:snapToGrid w:val="0"/>
        <w:spacing w:line="360" w:lineRule="auto"/>
        <w:ind w:firstLine="422" w:firstLineChars="200"/>
        <w:rPr>
          <w:b/>
          <w:szCs w:val="21"/>
        </w:rPr>
      </w:pPr>
      <w:r>
        <w:rPr>
          <w:b/>
          <w:szCs w:val="21"/>
        </w:rPr>
        <w:t>3. 熟练掌握</w:t>
      </w:r>
      <w:r>
        <w:rPr>
          <w:szCs w:val="21"/>
        </w:rPr>
        <w:t>：农业网络信息的获取与农业信息资源的检索</w:t>
      </w:r>
      <w:r>
        <w:rPr>
          <w:kern w:val="0"/>
          <w:szCs w:val="21"/>
        </w:rPr>
        <w:t>。</w:t>
      </w:r>
    </w:p>
    <w:p>
      <w:pPr>
        <w:snapToGrid w:val="0"/>
        <w:spacing w:before="156" w:beforeLines="50" w:line="360" w:lineRule="auto"/>
        <w:rPr>
          <w:szCs w:val="21"/>
        </w:rPr>
      </w:pPr>
      <w:r>
        <w:rPr>
          <w:b/>
          <w:szCs w:val="21"/>
        </w:rPr>
        <w:t>（二）考核内容</w:t>
      </w:r>
    </w:p>
    <w:p>
      <w:pPr>
        <w:snapToGrid w:val="0"/>
        <w:spacing w:line="360" w:lineRule="auto"/>
        <w:ind w:firstLine="420" w:firstLineChars="200"/>
        <w:rPr>
          <w:kern w:val="0"/>
          <w:szCs w:val="21"/>
        </w:rPr>
      </w:pPr>
      <w:r>
        <w:rPr>
          <w:color w:val="262600"/>
          <w:szCs w:val="21"/>
        </w:rPr>
        <w:t>知识：</w:t>
      </w:r>
      <w:r>
        <w:rPr>
          <w:kern w:val="0"/>
          <w:szCs w:val="21"/>
        </w:rPr>
        <w:t>计算机网络的定义和功能</w:t>
      </w:r>
      <w:r>
        <w:rPr>
          <w:rFonts w:hint="eastAsia"/>
          <w:kern w:val="0"/>
          <w:szCs w:val="21"/>
        </w:rPr>
        <w:t>；</w:t>
      </w:r>
      <w:r>
        <w:rPr>
          <w:kern w:val="0"/>
          <w:szCs w:val="21"/>
        </w:rPr>
        <w:t>计算机网络的分类和拓扑结构、</w:t>
      </w:r>
      <w:r>
        <w:rPr>
          <w:color w:val="262600"/>
        </w:rPr>
        <w:t>局域网基础、Internet基础</w:t>
      </w:r>
      <w:r>
        <w:rPr>
          <w:kern w:val="0"/>
          <w:szCs w:val="21"/>
        </w:rPr>
        <w:t>。</w:t>
      </w:r>
    </w:p>
    <w:p>
      <w:pPr>
        <w:snapToGrid w:val="0"/>
        <w:spacing w:line="360" w:lineRule="auto"/>
        <w:ind w:firstLine="420" w:firstLineChars="200"/>
        <w:rPr>
          <w:kern w:val="0"/>
          <w:szCs w:val="21"/>
        </w:rPr>
      </w:pPr>
      <w:r>
        <w:rPr>
          <w:color w:val="262600"/>
          <w:szCs w:val="21"/>
        </w:rPr>
        <w:t>能力和素质：</w:t>
      </w:r>
      <w:r>
        <w:rPr>
          <w:color w:val="262600"/>
        </w:rPr>
        <w:t>互联网上主要农业信息资源的检索</w:t>
      </w:r>
      <w:r>
        <w:rPr>
          <w:kern w:val="0"/>
          <w:szCs w:val="21"/>
        </w:rPr>
        <w:t>。</w:t>
      </w:r>
    </w:p>
    <w:p>
      <w:pPr>
        <w:snapToGrid w:val="0"/>
        <w:spacing w:before="156" w:beforeLines="50" w:line="360" w:lineRule="auto"/>
        <w:rPr>
          <w:b/>
          <w:szCs w:val="21"/>
        </w:rPr>
      </w:pPr>
      <w:r>
        <w:rPr>
          <w:b/>
          <w:szCs w:val="21"/>
        </w:rPr>
        <w:t>（三）考核要求</w:t>
      </w:r>
    </w:p>
    <w:p>
      <w:pPr>
        <w:snapToGrid w:val="0"/>
        <w:spacing w:line="360" w:lineRule="auto"/>
        <w:ind w:firstLine="422" w:firstLineChars="200"/>
        <w:rPr>
          <w:b/>
          <w:szCs w:val="21"/>
        </w:rPr>
      </w:pPr>
      <w:r>
        <w:rPr>
          <w:b/>
          <w:szCs w:val="21"/>
        </w:rPr>
        <w:t>1. 识记</w:t>
      </w:r>
      <w:r>
        <w:rPr>
          <w:szCs w:val="21"/>
        </w:rPr>
        <w:t>：计算机网络的定义和功能</w:t>
      </w:r>
      <w:r>
        <w:rPr>
          <w:kern w:val="0"/>
          <w:szCs w:val="21"/>
        </w:rPr>
        <w:t>。</w:t>
      </w:r>
    </w:p>
    <w:p>
      <w:pPr>
        <w:snapToGrid w:val="0"/>
        <w:spacing w:line="360" w:lineRule="auto"/>
        <w:ind w:firstLine="422" w:firstLineChars="200"/>
        <w:rPr>
          <w:kern w:val="0"/>
          <w:szCs w:val="21"/>
        </w:rPr>
      </w:pPr>
      <w:r>
        <w:rPr>
          <w:b/>
          <w:szCs w:val="21"/>
        </w:rPr>
        <w:t>2. 领会</w:t>
      </w:r>
      <w:r>
        <w:rPr>
          <w:szCs w:val="21"/>
        </w:rPr>
        <w:t>：</w:t>
      </w:r>
      <w:r>
        <w:rPr>
          <w:color w:val="262600"/>
        </w:rPr>
        <w:t>电子商务的概念与类型</w:t>
      </w:r>
      <w:r>
        <w:rPr>
          <w:kern w:val="0"/>
          <w:szCs w:val="21"/>
        </w:rPr>
        <w:t>。</w:t>
      </w:r>
    </w:p>
    <w:p>
      <w:pPr>
        <w:snapToGrid w:val="0"/>
        <w:spacing w:line="360" w:lineRule="auto"/>
        <w:ind w:firstLine="422" w:firstLineChars="200"/>
      </w:pPr>
      <w:r>
        <w:rPr>
          <w:b/>
          <w:szCs w:val="21"/>
        </w:rPr>
        <w:t>3. 应用</w:t>
      </w:r>
      <w:r>
        <w:rPr>
          <w:szCs w:val="21"/>
        </w:rPr>
        <w:t>：</w:t>
      </w:r>
      <w:r>
        <w:t>要求学生能够利用本章知识</w:t>
      </w:r>
      <w:r>
        <w:rPr>
          <w:szCs w:val="21"/>
        </w:rPr>
        <w:t>检索园艺领域信息资源</w:t>
      </w:r>
      <w:r>
        <w:t>。</w:t>
      </w:r>
    </w:p>
    <w:p>
      <w:pPr>
        <w:snapToGrid w:val="0"/>
        <w:spacing w:line="360" w:lineRule="auto"/>
        <w:ind w:firstLine="422" w:firstLineChars="200"/>
        <w:rPr>
          <w:b/>
          <w:bCs/>
          <w:szCs w:val="21"/>
        </w:rPr>
      </w:pPr>
      <w:r>
        <w:rPr>
          <w:b/>
          <w:bCs/>
        </w:rPr>
        <w:t>4. 分析：</w:t>
      </w:r>
      <w:r>
        <w:t>利用本章节所学知识，了解分析农业电子商务发展现状与特点。</w:t>
      </w:r>
    </w:p>
    <w:p>
      <w:pPr>
        <w:snapToGrid w:val="0"/>
        <w:spacing w:line="360" w:lineRule="auto"/>
        <w:ind w:firstLine="422" w:firstLineChars="200"/>
      </w:pPr>
      <w:r>
        <w:rPr>
          <w:b/>
          <w:szCs w:val="21"/>
        </w:rPr>
        <w:t>5. 综合</w:t>
      </w:r>
      <w:r>
        <w:rPr>
          <w:szCs w:val="21"/>
        </w:rPr>
        <w:t>：</w:t>
      </w:r>
      <w:r>
        <w:t>要求学生能够利用本章知识获取农业信息网络。</w:t>
      </w:r>
    </w:p>
    <w:p>
      <w:pPr>
        <w:snapToGrid w:val="0"/>
        <w:spacing w:line="360" w:lineRule="auto"/>
        <w:ind w:firstLine="422" w:firstLineChars="200"/>
        <w:rPr>
          <w:b/>
          <w:bCs/>
        </w:rPr>
      </w:pPr>
      <w:r>
        <w:rPr>
          <w:b/>
          <w:bCs/>
        </w:rPr>
        <w:t>6. 评价：</w:t>
      </w:r>
      <w:r>
        <w:t>通过本章学习，对农业信息网络在园艺产业中的应用进行评价。</w:t>
      </w:r>
    </w:p>
    <w:p>
      <w:pPr>
        <w:pStyle w:val="59"/>
      </w:pPr>
      <w:bookmarkStart w:id="1559" w:name="_Toc138076543"/>
      <w:bookmarkStart w:id="1560" w:name="_Toc20363"/>
      <w:bookmarkStart w:id="1561" w:name="_Toc138076838"/>
      <w:bookmarkStart w:id="1562" w:name="_Toc138076294"/>
      <w:r>
        <w:rPr>
          <w:rFonts w:hint="eastAsia"/>
        </w:rPr>
        <w:t>三、考核</w:t>
      </w:r>
      <w:r>
        <w:t>方式</w:t>
      </w:r>
      <w:bookmarkEnd w:id="1559"/>
      <w:bookmarkEnd w:id="1560"/>
      <w:bookmarkEnd w:id="1561"/>
      <w:bookmarkEnd w:id="1562"/>
    </w:p>
    <w:p>
      <w:pPr>
        <w:snapToGrid w:val="0"/>
        <w:spacing w:line="360" w:lineRule="auto"/>
        <w:ind w:firstLine="420" w:firstLineChars="200"/>
        <w:rPr>
          <w:rFonts w:ascii="宋体" w:hAnsi="宋体"/>
          <w:szCs w:val="21"/>
        </w:rPr>
      </w:pPr>
      <w:r>
        <w:rPr>
          <w:rFonts w:hint="eastAsia" w:ascii="宋体" w:hAnsi="宋体"/>
          <w:szCs w:val="21"/>
        </w:rPr>
        <w:t>本课程考核采用理论与实践教学相结合的方式进行。根据课程的学习情况，采用阶段测评、课堂提问、小组讨论、课堂表现、考勤考纪、期末考试等多种考核评价方式，平时成绩由三部分组成，分别为阶段测评、课堂表现和考勤考纪等。</w:t>
      </w:r>
    </w:p>
    <w:p>
      <w:pPr>
        <w:snapToGrid w:val="0"/>
        <w:spacing w:line="360" w:lineRule="auto"/>
        <w:ind w:firstLine="420" w:firstLineChars="200"/>
        <w:rPr>
          <w:rFonts w:ascii="宋体" w:hAnsi="宋体"/>
          <w:color w:val="000000"/>
          <w:szCs w:val="21"/>
        </w:rPr>
      </w:pPr>
      <w:r>
        <w:rPr>
          <w:rFonts w:hint="eastAsia" w:ascii="宋体" w:hAnsi="宋体"/>
          <w:color w:val="000000"/>
          <w:szCs w:val="21"/>
        </w:rPr>
        <w:t>考试时间为课程结束后</w:t>
      </w:r>
      <w:r>
        <w:rPr>
          <w:color w:val="000000"/>
          <w:szCs w:val="21"/>
        </w:rPr>
        <w:t>1～3</w:t>
      </w:r>
      <w:r>
        <w:rPr>
          <w:rFonts w:hint="eastAsia" w:ascii="宋体" w:hAnsi="宋体"/>
          <w:color w:val="000000"/>
          <w:szCs w:val="21"/>
        </w:rPr>
        <w:t>周内进行，其他考核随课程章节学习结束进行。</w:t>
      </w:r>
    </w:p>
    <w:p>
      <w:pPr>
        <w:snapToGrid w:val="0"/>
        <w:spacing w:before="156" w:beforeLines="50" w:line="360" w:lineRule="auto"/>
        <w:rPr>
          <w:rFonts w:ascii="宋体" w:hAnsi="宋体"/>
          <w:b/>
          <w:szCs w:val="21"/>
        </w:rPr>
      </w:pPr>
      <w:r>
        <w:rPr>
          <w:rFonts w:hint="eastAsia" w:ascii="宋体" w:hAnsi="宋体"/>
          <w:b/>
          <w:szCs w:val="21"/>
        </w:rPr>
        <w:t>四、成绩评定</w:t>
      </w:r>
    </w:p>
    <w:p>
      <w:pPr>
        <w:snapToGrid w:val="0"/>
        <w:spacing w:line="360" w:lineRule="auto"/>
        <w:ind w:firstLine="420" w:firstLineChars="200"/>
        <w:rPr>
          <w:bCs/>
          <w:kern w:val="0"/>
          <w:szCs w:val="21"/>
        </w:rPr>
      </w:pPr>
      <w:r>
        <w:rPr>
          <w:bCs/>
          <w:kern w:val="0"/>
          <w:szCs w:val="21"/>
        </w:rPr>
        <w:t>1. 平时成绩</w:t>
      </w:r>
    </w:p>
    <w:p>
      <w:pPr>
        <w:snapToGrid w:val="0"/>
        <w:spacing w:line="360" w:lineRule="auto"/>
        <w:ind w:firstLine="420" w:firstLineChars="200"/>
        <w:rPr>
          <w:bCs/>
          <w:kern w:val="0"/>
          <w:szCs w:val="21"/>
        </w:rPr>
      </w:pPr>
      <w:bookmarkStart w:id="1563" w:name="_Hlk138058291"/>
      <w:r>
        <w:rPr>
          <w:bCs/>
          <w:kern w:val="0"/>
          <w:szCs w:val="21"/>
        </w:rPr>
        <w:t>平时成绩由三部分组成，分别为</w:t>
      </w:r>
      <w:bookmarkStart w:id="1564" w:name="_Hlk138058118"/>
      <w:r>
        <w:rPr>
          <w:bCs/>
          <w:kern w:val="0"/>
          <w:szCs w:val="21"/>
        </w:rPr>
        <w:t>阶段测评、课堂表现和</w:t>
      </w:r>
      <w:bookmarkStart w:id="1565" w:name="_Hlk138057863"/>
      <w:r>
        <w:rPr>
          <w:bCs/>
          <w:kern w:val="0"/>
          <w:szCs w:val="21"/>
        </w:rPr>
        <w:t>考勤</w:t>
      </w:r>
      <w:r>
        <w:rPr>
          <w:szCs w:val="21"/>
        </w:rPr>
        <w:t>考纪</w:t>
      </w:r>
      <w:bookmarkEnd w:id="1564"/>
      <w:bookmarkEnd w:id="1565"/>
      <w:r>
        <w:rPr>
          <w:szCs w:val="21"/>
        </w:rPr>
        <w:t>等</w:t>
      </w:r>
      <w:bookmarkEnd w:id="1563"/>
      <w:r>
        <w:rPr>
          <w:bCs/>
          <w:kern w:val="0"/>
          <w:szCs w:val="21"/>
        </w:rPr>
        <w:t>。阶段测评：根据阶段测评的成绩评定。课堂表现：根据学生上课回答问题情况进行综合评定。考勤考纪：根据学生课堂考勤、上课纪律情况进行综合评定。平时成绩所占比例40%。</w:t>
      </w:r>
    </w:p>
    <w:p>
      <w:pPr>
        <w:snapToGrid w:val="0"/>
        <w:spacing w:line="360" w:lineRule="auto"/>
        <w:ind w:firstLine="420" w:firstLineChars="200"/>
        <w:rPr>
          <w:bCs/>
          <w:kern w:val="0"/>
          <w:szCs w:val="21"/>
        </w:rPr>
      </w:pPr>
      <w:r>
        <w:rPr>
          <w:bCs/>
          <w:kern w:val="0"/>
          <w:szCs w:val="21"/>
        </w:rPr>
        <w:t>2. 期末成绩</w:t>
      </w:r>
    </w:p>
    <w:p>
      <w:pPr>
        <w:snapToGrid w:val="0"/>
        <w:spacing w:line="360" w:lineRule="auto"/>
        <w:ind w:firstLine="420" w:firstLineChars="200"/>
        <w:rPr>
          <w:bCs/>
          <w:kern w:val="0"/>
          <w:szCs w:val="21"/>
        </w:rPr>
      </w:pPr>
      <w:r>
        <w:rPr>
          <w:bCs/>
          <w:kern w:val="0"/>
          <w:szCs w:val="21"/>
        </w:rPr>
        <w:t>考核方式为</w:t>
      </w:r>
      <w:r>
        <w:rPr>
          <w:color w:val="000000"/>
          <w:szCs w:val="21"/>
        </w:rPr>
        <w:t>试卷考试</w:t>
      </w:r>
      <w:r>
        <w:rPr>
          <w:bCs/>
          <w:kern w:val="0"/>
          <w:szCs w:val="21"/>
        </w:rPr>
        <w:t>，所占比例60%。</w:t>
      </w:r>
    </w:p>
    <w:p>
      <w:pPr>
        <w:snapToGrid w:val="0"/>
        <w:spacing w:line="360" w:lineRule="auto"/>
        <w:ind w:firstLine="420" w:firstLineChars="200"/>
        <w:rPr>
          <w:szCs w:val="21"/>
        </w:rPr>
      </w:pPr>
      <w:r>
        <w:t>3.</w:t>
      </w:r>
      <w:r>
        <w:rPr>
          <w:szCs w:val="21"/>
        </w:rPr>
        <w:t xml:space="preserve"> 综合成绩</w:t>
      </w:r>
    </w:p>
    <w:p>
      <w:pPr>
        <w:snapToGrid w:val="0"/>
        <w:spacing w:line="360" w:lineRule="auto"/>
        <w:ind w:firstLine="420" w:firstLineChars="200"/>
        <w:rPr>
          <w:bCs/>
          <w:kern w:val="0"/>
          <w:szCs w:val="21"/>
        </w:rPr>
      </w:pPr>
      <w:r>
        <w:t>最终成绩为100分，</w:t>
      </w:r>
      <w:r>
        <w:rPr>
          <w:bCs/>
          <w:szCs w:val="21"/>
        </w:rPr>
        <w:t>平时成绩×40%+期末成绩×60%。</w:t>
      </w:r>
    </w:p>
    <w:p>
      <w:pPr>
        <w:snapToGrid w:val="0"/>
        <w:spacing w:before="156" w:beforeLines="50" w:line="360" w:lineRule="auto"/>
        <w:rPr>
          <w:rFonts w:ascii="宋体" w:hAnsi="宋体"/>
          <w:b/>
          <w:szCs w:val="21"/>
        </w:rPr>
      </w:pPr>
      <w:r>
        <w:rPr>
          <w:rFonts w:hint="eastAsia" w:ascii="宋体" w:hAnsi="宋体"/>
          <w:b/>
          <w:szCs w:val="21"/>
        </w:rPr>
        <w:t>五、考核结果分析反馈</w:t>
      </w:r>
    </w:p>
    <w:p>
      <w:pPr>
        <w:snapToGrid w:val="0"/>
        <w:spacing w:line="360" w:lineRule="auto"/>
        <w:ind w:firstLine="420" w:firstLineChars="200"/>
        <w:rPr>
          <w:rFonts w:ascii="宋体" w:hAnsi="宋体"/>
        </w:rPr>
      </w:pPr>
      <w:r>
        <w:rPr>
          <w:rFonts w:hint="eastAsia" w:ascii="宋体" w:hAnsi="宋体"/>
        </w:rPr>
        <w:t>1.在</w:t>
      </w:r>
      <w:r>
        <w:rPr>
          <w:rFonts w:ascii="宋体" w:hAnsi="宋体"/>
        </w:rPr>
        <w:t>每章</w:t>
      </w:r>
      <w:r>
        <w:rPr>
          <w:rFonts w:hint="eastAsia" w:ascii="宋体" w:hAnsi="宋体"/>
        </w:rPr>
        <w:t>理论</w:t>
      </w:r>
      <w:r>
        <w:rPr>
          <w:rFonts w:ascii="宋体" w:hAnsi="宋体"/>
        </w:rPr>
        <w:t>课结束</w:t>
      </w:r>
      <w:r>
        <w:rPr>
          <w:rFonts w:hint="eastAsia" w:ascii="宋体" w:hAnsi="宋体"/>
        </w:rPr>
        <w:t>后</w:t>
      </w:r>
      <w:r>
        <w:rPr>
          <w:rFonts w:ascii="宋体" w:hAnsi="宋体"/>
        </w:rPr>
        <w:t>，进行</w:t>
      </w:r>
      <w:r>
        <w:rPr>
          <w:rFonts w:ascii="宋体" w:hAnsi="宋体"/>
          <w:szCs w:val="21"/>
        </w:rPr>
        <w:t>阶段</w:t>
      </w:r>
      <w:r>
        <w:rPr>
          <w:rFonts w:hint="eastAsia" w:ascii="宋体" w:hAnsi="宋体"/>
          <w:szCs w:val="21"/>
        </w:rPr>
        <w:t>测评</w:t>
      </w:r>
      <w:r>
        <w:rPr>
          <w:rFonts w:ascii="宋体" w:hAnsi="宋体"/>
        </w:rPr>
        <w:t>，</w:t>
      </w:r>
      <w:r>
        <w:rPr>
          <w:rFonts w:hint="eastAsia" w:ascii="宋体" w:hAnsi="宋体"/>
        </w:rPr>
        <w:t>通过</w:t>
      </w:r>
      <w:r>
        <w:rPr>
          <w:rFonts w:hint="eastAsia" w:ascii="宋体" w:hAnsi="宋体"/>
          <w:bCs/>
          <w:szCs w:val="21"/>
        </w:rPr>
        <w:t>作业的汇报与展示、课堂提问等方式</w:t>
      </w:r>
      <w:r>
        <w:rPr>
          <w:rFonts w:ascii="宋体" w:hAnsi="宋体"/>
        </w:rPr>
        <w:t>检</w:t>
      </w:r>
      <w:r>
        <w:rPr>
          <w:rFonts w:hint="eastAsia" w:ascii="宋体" w:hAnsi="宋体"/>
        </w:rPr>
        <w:t>查</w:t>
      </w:r>
      <w:r>
        <w:rPr>
          <w:rFonts w:ascii="宋体" w:hAnsi="宋体"/>
        </w:rPr>
        <w:t>学生章节学习情况，并</w:t>
      </w:r>
      <w:r>
        <w:rPr>
          <w:rFonts w:hint="eastAsia" w:ascii="宋体" w:hAnsi="宋体"/>
        </w:rPr>
        <w:t>在</w:t>
      </w:r>
      <w:r>
        <w:rPr>
          <w:rFonts w:ascii="宋体" w:hAnsi="宋体"/>
        </w:rPr>
        <w:t>课堂上给学生</w:t>
      </w:r>
      <w:r>
        <w:rPr>
          <w:rFonts w:hint="eastAsia" w:ascii="宋体" w:hAnsi="宋体"/>
        </w:rPr>
        <w:t>详细</w:t>
      </w:r>
      <w:r>
        <w:rPr>
          <w:rFonts w:ascii="宋体" w:hAnsi="宋体"/>
        </w:rPr>
        <w:t>讲解</w:t>
      </w:r>
      <w:r>
        <w:rPr>
          <w:rFonts w:ascii="宋体" w:hAnsi="宋体"/>
          <w:szCs w:val="21"/>
        </w:rPr>
        <w:t>阶段</w:t>
      </w:r>
      <w:r>
        <w:rPr>
          <w:rFonts w:hint="eastAsia" w:ascii="宋体" w:hAnsi="宋体"/>
          <w:szCs w:val="21"/>
        </w:rPr>
        <w:t>测评</w:t>
      </w:r>
      <w:r>
        <w:rPr>
          <w:rFonts w:hint="eastAsia" w:ascii="宋体" w:hAnsi="宋体"/>
        </w:rPr>
        <w:t>中</w:t>
      </w:r>
      <w:r>
        <w:rPr>
          <w:rFonts w:ascii="宋体" w:hAnsi="宋体"/>
        </w:rPr>
        <w:t>的重点难点</w:t>
      </w:r>
      <w:r>
        <w:rPr>
          <w:rFonts w:hint="eastAsia" w:ascii="宋体" w:hAnsi="宋体"/>
        </w:rPr>
        <w:t>，及时反馈。</w:t>
      </w:r>
    </w:p>
    <w:p>
      <w:pPr>
        <w:snapToGrid w:val="0"/>
        <w:spacing w:line="360" w:lineRule="auto"/>
        <w:ind w:firstLine="420" w:firstLineChars="200"/>
        <w:rPr>
          <w:rFonts w:ascii="宋体" w:hAnsi="宋体"/>
          <w:b/>
          <w:szCs w:val="21"/>
        </w:rPr>
      </w:pPr>
      <w:r>
        <w:rPr>
          <w:rFonts w:hint="eastAsia" w:ascii="宋体" w:hAnsi="宋体"/>
        </w:rPr>
        <w:t>2.建立</w:t>
      </w:r>
      <w:r>
        <w:rPr>
          <w:rFonts w:ascii="宋体" w:hAnsi="宋体"/>
        </w:rPr>
        <w:t>学生和老师之间的反馈通道，</w:t>
      </w:r>
      <w:r>
        <w:rPr>
          <w:rFonts w:hint="eastAsia" w:ascii="宋体" w:hAnsi="宋体"/>
        </w:rPr>
        <w:t>例如通过学生评教及建议，</w:t>
      </w:r>
      <w:r>
        <w:rPr>
          <w:rFonts w:ascii="宋体" w:hAnsi="宋体"/>
        </w:rPr>
        <w:t>对教师的教学工作做出合理的评价。</w:t>
      </w:r>
    </w:p>
    <w:p>
      <w:pPr>
        <w:pStyle w:val="59"/>
      </w:pPr>
      <w:bookmarkStart w:id="1566" w:name="_Toc138076839"/>
      <w:bookmarkStart w:id="1567" w:name="_Toc138076295"/>
      <w:bookmarkStart w:id="1568" w:name="_Toc7480"/>
      <w:bookmarkStart w:id="1569" w:name="_Toc138076544"/>
      <w:r>
        <w:rPr>
          <w:rFonts w:hint="eastAsia"/>
        </w:rPr>
        <w:t>六、考核结果分析反馈</w:t>
      </w:r>
      <w:bookmarkEnd w:id="1566"/>
      <w:bookmarkEnd w:id="1567"/>
      <w:bookmarkEnd w:id="1568"/>
      <w:bookmarkEnd w:id="1569"/>
    </w:p>
    <w:p>
      <w:pPr>
        <w:snapToGrid w:val="0"/>
        <w:spacing w:line="360" w:lineRule="auto"/>
        <w:ind w:firstLine="420" w:firstLineChars="200"/>
        <w:rPr>
          <w:rFonts w:ascii="宋体" w:hAnsi="宋体"/>
          <w:bCs/>
          <w:szCs w:val="21"/>
        </w:rPr>
      </w:pPr>
      <w:r>
        <w:rPr>
          <w:rFonts w:hint="eastAsia" w:ascii="宋体" w:hAnsi="宋体"/>
          <w:bCs/>
          <w:szCs w:val="21"/>
        </w:rPr>
        <w:t>农业信息技术课程是以农业科学的基本理论为基础,以农业生产活动信息为对象，以信息技术为支撑，研究计算机在农业的各个领域应用情况，用以揭示和把握农业生产活动信息的变化规律的一门综合性课程。</w:t>
      </w:r>
      <w:r>
        <w:rPr>
          <w:rFonts w:hint="eastAsia" w:ascii="宋体" w:hAnsi="宋体"/>
          <w:color w:val="000000" w:themeColor="text1"/>
          <w:szCs w:val="21"/>
          <w14:textFill>
            <w14:solidFill>
              <w14:schemeClr w14:val="tx1"/>
            </w14:solidFill>
          </w14:textFill>
        </w:rPr>
        <w:t>由于本课程是</w:t>
      </w:r>
      <w:r>
        <w:rPr>
          <w:rFonts w:hint="eastAsia" w:ascii="宋体" w:hAnsi="宋体"/>
          <w:bCs/>
          <w:szCs w:val="21"/>
        </w:rPr>
        <w:t>园艺专业应当了解和掌握的一门重要的选修课，</w:t>
      </w:r>
      <w:r>
        <w:rPr>
          <w:rFonts w:hint="eastAsia" w:ascii="宋体" w:hAnsi="宋体"/>
          <w:color w:val="000000" w:themeColor="text1"/>
          <w:szCs w:val="21"/>
          <w14:textFill>
            <w14:solidFill>
              <w14:schemeClr w14:val="tx1"/>
            </w14:solidFill>
          </w14:textFill>
        </w:rPr>
        <w:t>涉及的基本概念和理论知识较多，有必要及时根据学生的习效果进行分析和反馈，改进教学方法，提高教学质量提高。具体措施如下：</w:t>
      </w:r>
    </w:p>
    <w:p>
      <w:pPr>
        <w:snapToGrid w:val="0"/>
        <w:spacing w:line="360" w:lineRule="auto"/>
        <w:ind w:firstLine="420" w:firstLineChars="200"/>
        <w:rPr>
          <w:rFonts w:ascii="宋体" w:hAnsi="宋体"/>
          <w:bCs/>
          <w:szCs w:val="21"/>
        </w:rPr>
      </w:pPr>
      <w:r>
        <w:rPr>
          <w:rFonts w:hint="eastAsia" w:ascii="宋体" w:hAnsi="宋体"/>
          <w:bCs/>
          <w:szCs w:val="21"/>
        </w:rPr>
        <w:t>1、对本门课程的考核结果进行分析，包括平时成绩分析、期末成绩分析和总结分析报告三部分内容。</w:t>
      </w:r>
    </w:p>
    <w:p>
      <w:pPr>
        <w:snapToGrid w:val="0"/>
        <w:spacing w:line="360" w:lineRule="auto"/>
        <w:ind w:firstLine="420" w:firstLineChars="200"/>
        <w:rPr>
          <w:rFonts w:ascii="宋体" w:hAnsi="宋体"/>
          <w:bCs/>
          <w:szCs w:val="21"/>
        </w:rPr>
      </w:pPr>
      <w:r>
        <w:rPr>
          <w:rFonts w:hint="eastAsia" w:ascii="宋体" w:hAnsi="宋体"/>
          <w:bCs/>
          <w:szCs w:val="21"/>
        </w:rPr>
        <w:t>2、根据学生平时的上课表现和作业完成情况，任课教师及时在课外和课堂上进行指导与点评，及时进行反馈。</w:t>
      </w:r>
    </w:p>
    <w:p>
      <w:pPr>
        <w:snapToGrid w:val="0"/>
        <w:spacing w:line="360" w:lineRule="auto"/>
        <w:ind w:firstLine="420" w:firstLineChars="200"/>
        <w:rPr>
          <w:color w:val="0000FF"/>
          <w:szCs w:val="21"/>
        </w:rPr>
      </w:pPr>
    </w:p>
    <w:p>
      <w:pPr>
        <w:snapToGrid w:val="0"/>
        <w:spacing w:line="360" w:lineRule="auto"/>
        <w:rPr>
          <w:rFonts w:ascii="宋体" w:hAnsi="宋体"/>
          <w:color w:val="0000FF"/>
          <w:szCs w:val="21"/>
        </w:rPr>
      </w:pPr>
    </w:p>
    <w:p>
      <w:pPr>
        <w:rPr>
          <w:rFonts w:ascii="Times New Roman" w:hAnsi="Times New Roman" w:eastAsia="宋体" w:cs="Times New Roman"/>
          <w:b/>
          <w:bCs/>
          <w:kern w:val="36"/>
          <w:sz w:val="28"/>
          <w:szCs w:val="28"/>
        </w:rPr>
      </w:pPr>
      <w:r>
        <w:rPr>
          <w:rFonts w:ascii="Times New Roman" w:hAnsi="Times New Roman" w:eastAsia="宋体" w:cs="Times New Roman"/>
          <w:b/>
          <w:bCs/>
          <w:kern w:val="36"/>
          <w:sz w:val="28"/>
          <w:szCs w:val="28"/>
        </w:rPr>
        <w:br w:type="page"/>
      </w:r>
    </w:p>
    <w:p>
      <w:pPr>
        <w:spacing w:line="340" w:lineRule="exact"/>
        <w:jc w:val="center"/>
        <w:rPr>
          <w:rFonts w:hint="default" w:ascii="Times New Roman" w:hAnsi="Times New Roman" w:eastAsia="宋体" w:cs="Times New Roman"/>
          <w:b/>
          <w:bCs/>
          <w:sz w:val="28"/>
          <w:szCs w:val="28"/>
          <w:lang w:val="en-US" w:eastAsia="zh-CN"/>
        </w:rPr>
      </w:pPr>
      <w:r>
        <w:rPr>
          <w:rFonts w:ascii="Times New Roman" w:hAnsi="Times New Roman" w:eastAsia="宋体" w:cs="Times New Roman"/>
          <w:b/>
          <w:bCs/>
          <w:kern w:val="36"/>
          <w:sz w:val="28"/>
          <w:szCs w:val="28"/>
        </w:rPr>
        <w:t>园艺学概论</w:t>
      </w:r>
      <w:r>
        <w:rPr>
          <w:rFonts w:hint="eastAsia" w:ascii="Times New Roman" w:hAnsi="Times New Roman" w:eastAsia="宋体" w:cs="Times New Roman"/>
          <w:b/>
          <w:bCs/>
          <w:kern w:val="36"/>
          <w:sz w:val="28"/>
          <w:szCs w:val="28"/>
          <w:lang w:val="en-US" w:eastAsia="zh-CN"/>
        </w:rPr>
        <w:t>考核大纲</w:t>
      </w:r>
    </w:p>
    <w:p>
      <w:pPr>
        <w:spacing w:line="360" w:lineRule="auto"/>
        <w:jc w:val="center"/>
        <w:rPr>
          <w:rFonts w:ascii="Times New Roman" w:hAnsi="Times New Roman" w:eastAsia="宋体" w:cs="Times New Roman"/>
          <w:i/>
          <w:iCs/>
          <w:sz w:val="24"/>
        </w:rPr>
      </w:pPr>
      <w:r>
        <w:rPr>
          <w:rFonts w:ascii="Times New Roman" w:hAnsi="Times New Roman" w:eastAsia="宋体" w:cs="Times New Roman"/>
          <w:iCs/>
          <w:sz w:val="24"/>
        </w:rPr>
        <w:t>（</w:t>
      </w:r>
      <w:r>
        <w:rPr>
          <w:rFonts w:ascii="Times New Roman" w:hAnsi="Times New Roman" w:eastAsia="宋体" w:cs="Times New Roman"/>
          <w:sz w:val="24"/>
        </w:rPr>
        <w:t>General Horticulture</w:t>
      </w:r>
      <w:r>
        <w:rPr>
          <w:rFonts w:ascii="Times New Roman" w:hAnsi="Times New Roman" w:eastAsia="宋体" w:cs="Times New Roman"/>
          <w:iCs/>
          <w:sz w:val="24"/>
        </w:rPr>
        <w:t>）</w:t>
      </w:r>
    </w:p>
    <w:p>
      <w:pPr>
        <w:snapToGrid w:val="0"/>
        <w:spacing w:line="360" w:lineRule="auto"/>
        <w:jc w:val="center"/>
        <w:rPr>
          <w:rFonts w:ascii="Times New Roman" w:hAnsi="Times New Roman" w:eastAsia="宋体" w:cs="Times New Roman"/>
          <w:b/>
          <w:szCs w:val="21"/>
        </w:rPr>
      </w:pPr>
    </w:p>
    <w:p>
      <w:pPr>
        <w:snapToGrid w:val="0"/>
        <w:spacing w:line="360" w:lineRule="auto"/>
        <w:jc w:val="center"/>
        <w:rPr>
          <w:rFonts w:ascii="Times New Roman" w:hAnsi="Times New Roman" w:eastAsia="宋体" w:cs="Times New Roman"/>
          <w:b/>
          <w:szCs w:val="21"/>
        </w:rPr>
      </w:pPr>
      <w:r>
        <w:rPr>
          <w:rFonts w:ascii="Times New Roman" w:hAnsi="Times New Roman" w:eastAsia="宋体" w:cs="Times New Roman"/>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7"/>
        <w:gridCol w:w="2649"/>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Times New Roman" w:hAnsi="Times New Roman" w:eastAsia="宋体" w:cs="Times New Roman"/>
                <w:b/>
                <w:bCs/>
                <w:kern w:val="0"/>
                <w:szCs w:val="21"/>
              </w:rPr>
            </w:pPr>
            <w:r>
              <w:rPr>
                <w:rFonts w:ascii="Times New Roman" w:hAnsi="Times New Roman" w:eastAsia="宋体" w:cs="Times New Roman"/>
                <w:b/>
                <w:bCs/>
                <w:kern w:val="0"/>
                <w:szCs w:val="21"/>
              </w:rPr>
              <w:t>课程编号：0211310</w:t>
            </w:r>
          </w:p>
        </w:tc>
        <w:tc>
          <w:tcPr>
            <w:tcW w:w="1453" w:type="pct"/>
          </w:tcPr>
          <w:p>
            <w:pPr>
              <w:spacing w:line="300" w:lineRule="auto"/>
              <w:rPr>
                <w:rFonts w:ascii="Times New Roman" w:hAnsi="Times New Roman" w:eastAsia="宋体" w:cs="Times New Roman"/>
                <w:b/>
                <w:bCs/>
                <w:kern w:val="0"/>
                <w:szCs w:val="21"/>
              </w:rPr>
            </w:pPr>
            <w:r>
              <w:rPr>
                <w:rFonts w:ascii="Times New Roman" w:hAnsi="Times New Roman" w:eastAsia="宋体" w:cs="Times New Roman"/>
                <w:b/>
                <w:bCs/>
                <w:kern w:val="0"/>
                <w:szCs w:val="21"/>
              </w:rPr>
              <w:t>课程学时：32</w:t>
            </w:r>
          </w:p>
        </w:tc>
        <w:tc>
          <w:tcPr>
            <w:tcW w:w="1881" w:type="pct"/>
          </w:tcPr>
          <w:p>
            <w:pPr>
              <w:spacing w:line="300" w:lineRule="auto"/>
              <w:rPr>
                <w:rFonts w:ascii="Times New Roman" w:hAnsi="Times New Roman" w:eastAsia="宋体" w:cs="Times New Roman"/>
                <w:b/>
                <w:bCs/>
                <w:kern w:val="0"/>
                <w:szCs w:val="21"/>
              </w:rPr>
            </w:pPr>
            <w:r>
              <w:rPr>
                <w:rFonts w:ascii="Times New Roman" w:hAnsi="Times New Roman" w:eastAsia="宋体" w:cs="Times New Roman"/>
                <w:b/>
                <w:bCs/>
                <w:kern w:val="0"/>
                <w:szCs w:val="21"/>
              </w:rPr>
              <w:t>课程学分：2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6" w:type="pct"/>
          </w:tcPr>
          <w:p>
            <w:pPr>
              <w:spacing w:line="300" w:lineRule="auto"/>
              <w:rPr>
                <w:rFonts w:ascii="Times New Roman" w:hAnsi="Times New Roman" w:eastAsia="宋体" w:cs="Times New Roman"/>
                <w:b/>
                <w:bCs/>
                <w:kern w:val="0"/>
                <w:szCs w:val="21"/>
              </w:rPr>
            </w:pPr>
            <w:r>
              <w:rPr>
                <w:rFonts w:ascii="Times New Roman" w:hAnsi="Times New Roman" w:eastAsia="宋体" w:cs="Times New Roman"/>
                <w:b/>
                <w:bCs/>
                <w:kern w:val="0"/>
                <w:szCs w:val="21"/>
              </w:rPr>
              <w:t>主撰人：</w:t>
            </w:r>
            <w:r>
              <w:rPr>
                <w:rFonts w:hint="eastAsia" w:ascii="Times New Roman" w:hAnsi="Times New Roman" w:eastAsia="宋体" w:cs="Times New Roman"/>
                <w:b/>
                <w:bCs/>
                <w:kern w:val="0"/>
                <w:szCs w:val="21"/>
              </w:rPr>
              <w:t>谭彬、杨路明</w:t>
            </w:r>
          </w:p>
        </w:tc>
        <w:tc>
          <w:tcPr>
            <w:tcW w:w="1453" w:type="pct"/>
          </w:tcPr>
          <w:p>
            <w:pPr>
              <w:spacing w:line="300" w:lineRule="auto"/>
              <w:rPr>
                <w:rFonts w:hint="eastAsia" w:ascii="Times New Roman" w:hAnsi="Times New Roman" w:eastAsia="宋体" w:cs="Times New Roman"/>
                <w:b/>
                <w:bCs/>
                <w:kern w:val="0"/>
                <w:szCs w:val="21"/>
                <w:lang w:eastAsia="zh-CN"/>
              </w:rPr>
            </w:pPr>
            <w:r>
              <w:rPr>
                <w:rFonts w:ascii="Times New Roman" w:hAnsi="Times New Roman" w:eastAsia="宋体" w:cs="Times New Roman"/>
                <w:b/>
                <w:bCs/>
                <w:kern w:val="0"/>
                <w:szCs w:val="21"/>
              </w:rPr>
              <w:t>审核人：</w:t>
            </w:r>
            <w:r>
              <w:rPr>
                <w:rFonts w:hint="eastAsia" w:cs="Times New Roman"/>
                <w:b/>
                <w:bCs/>
                <w:kern w:val="0"/>
                <w:szCs w:val="21"/>
                <w:lang w:val="en-US" w:eastAsia="zh-CN"/>
              </w:rPr>
              <w:t>贾芝琪</w:t>
            </w:r>
          </w:p>
        </w:tc>
        <w:tc>
          <w:tcPr>
            <w:tcW w:w="1881" w:type="pct"/>
          </w:tcPr>
          <w:p>
            <w:pPr>
              <w:spacing w:line="300" w:lineRule="auto"/>
              <w:rPr>
                <w:rFonts w:hint="default" w:ascii="Times New Roman" w:hAnsi="Times New Roman" w:eastAsia="宋体" w:cs="Times New Roman"/>
                <w:b/>
                <w:bCs/>
                <w:kern w:val="0"/>
                <w:szCs w:val="21"/>
                <w:lang w:val="en-US" w:eastAsia="zh-CN"/>
              </w:rPr>
            </w:pPr>
            <w:r>
              <w:rPr>
                <w:rFonts w:ascii="Times New Roman" w:hAnsi="Times New Roman" w:eastAsia="宋体" w:cs="Times New Roman"/>
                <w:b/>
                <w:bCs/>
                <w:kern w:val="0"/>
                <w:szCs w:val="21"/>
              </w:rPr>
              <w:t>大纲制定（修订）日期：2023</w:t>
            </w:r>
            <w:r>
              <w:rPr>
                <w:rFonts w:hint="eastAsia" w:ascii="Times New Roman" w:hAnsi="Times New Roman" w:eastAsia="宋体" w:cs="Times New Roman"/>
                <w:b/>
                <w:bCs/>
                <w:kern w:val="0"/>
                <w:szCs w:val="21"/>
                <w:lang w:val="en-US" w:eastAsia="zh-CN"/>
              </w:rPr>
              <w:t>.05</w:t>
            </w:r>
          </w:p>
        </w:tc>
      </w:tr>
    </w:tbl>
    <w:p>
      <w:pPr>
        <w:widowControl/>
        <w:snapToGrid w:val="0"/>
        <w:spacing w:before="156" w:line="360" w:lineRule="auto"/>
        <w:jc w:val="left"/>
        <w:outlineLvl w:val="1"/>
        <w:rPr>
          <w:rFonts w:ascii="Times New Roman" w:hAnsi="Times New Roman" w:eastAsia="宋体" w:cs="Times New Roman"/>
          <w:b/>
          <w:bCs/>
          <w:kern w:val="0"/>
          <w:szCs w:val="21"/>
        </w:rPr>
      </w:pPr>
      <w:r>
        <w:rPr>
          <w:rFonts w:ascii="Times New Roman" w:hAnsi="Times New Roman" w:eastAsia="宋体" w:cs="Times New Roman"/>
          <w:b/>
          <w:bCs/>
          <w:kern w:val="0"/>
          <w:szCs w:val="21"/>
        </w:rPr>
        <w:t>一、课程的性质和地位</w:t>
      </w:r>
    </w:p>
    <w:p>
      <w:pPr>
        <w:widowControl/>
        <w:adjustRightInd w:val="0"/>
        <w:snapToGrid w:val="0"/>
        <w:spacing w:line="360" w:lineRule="auto"/>
        <w:ind w:firstLine="420" w:firstLineChars="200"/>
        <w:jc w:val="left"/>
        <w:rPr>
          <w:rFonts w:ascii="Times New Roman" w:hAnsi="Times New Roman" w:eastAsia="宋体" w:cs="Times New Roman"/>
          <w:bCs/>
          <w:kern w:val="0"/>
          <w:szCs w:val="21"/>
        </w:rPr>
      </w:pPr>
      <w:r>
        <w:rPr>
          <w:rFonts w:ascii="Times New Roman" w:hAnsi="Times New Roman" w:eastAsia="宋体" w:cs="Times New Roman"/>
          <w:szCs w:val="21"/>
        </w:rPr>
        <w:t>《园艺学概论》是为农科园艺专业以外的其他专业，如农学、植保、农经、</w:t>
      </w:r>
      <w:r>
        <w:rPr>
          <w:rFonts w:ascii="Times New Roman" w:hAnsi="Times New Roman" w:eastAsia="宋体" w:cs="Times New Roman"/>
          <w:kern w:val="0"/>
          <w:szCs w:val="21"/>
        </w:rPr>
        <w:t>食品、资环等专业，以及非农科类的学生提供的一门拓展专业类选修课程。本课程主要介绍园艺植物的分类、园艺植物的生物学特性及其与环境条件的关系、园艺植物的品种选育、改良及繁殖、园艺设施、园艺生产的基本技术、果树园艺、蔬菜园艺、观赏园艺、园艺产品采后处理及贮藏等内容。</w:t>
      </w:r>
      <w:r>
        <w:rPr>
          <w:rFonts w:ascii="Times New Roman" w:hAnsi="Times New Roman" w:eastAsia="宋体" w:cs="Times New Roman"/>
          <w:kern w:val="0"/>
        </w:rPr>
        <w:t>在此基础上，能够利用现代园艺产业的优势和先进的管理技术来关心园艺产业、发展和促进园艺生产，促进学生感知园艺生产的乐趣，创造适宜于园艺生产的基本条件，以获得</w:t>
      </w:r>
      <w:r>
        <w:rPr>
          <w:rFonts w:ascii="Times New Roman" w:hAnsi="Times New Roman" w:eastAsia="宋体" w:cs="Times New Roman"/>
        </w:rPr>
        <w:t>和具备一定的园艺生产技艺，成为一个亲近自然和热爱生活的人。</w:t>
      </w:r>
    </w:p>
    <w:p>
      <w:pPr>
        <w:keepNext w:val="0"/>
        <w:keepLines w:val="0"/>
        <w:pageBreakBefore w:val="0"/>
        <w:kinsoku/>
        <w:wordWrap/>
        <w:overflowPunct/>
        <w:topLinePunct w:val="0"/>
        <w:autoSpaceDE/>
        <w:autoSpaceDN/>
        <w:bidi w:val="0"/>
        <w:snapToGrid w:val="0"/>
        <w:spacing w:line="360" w:lineRule="auto"/>
        <w:textAlignment w:val="auto"/>
        <w:rPr>
          <w:rFonts w:ascii="Times New Roman" w:hAnsi="Times New Roman" w:eastAsia="宋体" w:cs="Times New Roman"/>
          <w:b/>
          <w:szCs w:val="21"/>
        </w:rPr>
      </w:pPr>
      <w:r>
        <w:rPr>
          <w:rFonts w:ascii="Times New Roman" w:hAnsi="Times New Roman" w:eastAsia="宋体" w:cs="Times New Roman"/>
          <w:b/>
          <w:szCs w:val="21"/>
        </w:rPr>
        <w:t>二、理论教学部分的考核目标</w:t>
      </w:r>
    </w:p>
    <w:p>
      <w:pPr>
        <w:keepNext w:val="0"/>
        <w:keepLines w:val="0"/>
        <w:pageBreakBefore w:val="0"/>
        <w:kinsoku/>
        <w:wordWrap/>
        <w:overflowPunct/>
        <w:topLinePunct w:val="0"/>
        <w:autoSpaceDE/>
        <w:autoSpaceDN/>
        <w:bidi w:val="0"/>
        <w:snapToGrid w:val="0"/>
        <w:spacing w:line="360" w:lineRule="auto"/>
        <w:jc w:val="center"/>
        <w:textAlignment w:val="auto"/>
        <w:rPr>
          <w:rFonts w:ascii="Times New Roman" w:hAnsi="Times New Roman" w:eastAsia="宋体" w:cs="Times New Roman"/>
          <w:b/>
          <w:szCs w:val="21"/>
        </w:rPr>
      </w:pPr>
      <w:r>
        <w:rPr>
          <w:rFonts w:ascii="Times New Roman" w:hAnsi="Times New Roman" w:eastAsia="宋体" w:cs="Times New Roman"/>
          <w:b/>
          <w:bCs/>
          <w:szCs w:val="21"/>
        </w:rPr>
        <w:t>绪  论</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 w:val="24"/>
        </w:rPr>
      </w:pPr>
      <w:r>
        <w:rPr>
          <w:rFonts w:ascii="宋体" w:hAnsi="宋体" w:eastAsia="宋体" w:cs="Times New Roman"/>
          <w:b/>
          <w:szCs w:val="21"/>
        </w:rPr>
        <w:t>1. 一般了解</w:t>
      </w:r>
      <w:r>
        <w:rPr>
          <w:rFonts w:ascii="宋体" w:hAnsi="宋体" w:eastAsia="宋体" w:cs="Times New Roman"/>
          <w:szCs w:val="21"/>
        </w:rPr>
        <w:t>：园艺学发展的历史、现状和今后发展趋势。</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2. 一般掌握</w:t>
      </w:r>
      <w:r>
        <w:rPr>
          <w:rFonts w:ascii="宋体" w:hAnsi="宋体" w:eastAsia="宋体" w:cs="Times New Roman"/>
          <w:szCs w:val="21"/>
        </w:rPr>
        <w:t>：园艺植物利用的特点。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3. 熟练掌握</w:t>
      </w:r>
      <w:r>
        <w:rPr>
          <w:rFonts w:ascii="宋体" w:hAnsi="宋体" w:eastAsia="宋体" w:cs="Times New Roman"/>
          <w:szCs w:val="21"/>
        </w:rPr>
        <w:t>：园艺植物的类型及其产业价值。</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bCs/>
          <w:szCs w:val="21"/>
        </w:rPr>
        <w:t>1.</w:t>
      </w:r>
      <w:r>
        <w:rPr>
          <w:rFonts w:ascii="宋体" w:hAnsi="宋体" w:eastAsia="宋体" w:cs="Times New Roman"/>
          <w:szCs w:val="21"/>
        </w:rPr>
        <w:t xml:space="preserve"> 园艺学的概念。</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bCs/>
          <w:szCs w:val="21"/>
        </w:rPr>
        <w:t>2.</w:t>
      </w:r>
      <w:r>
        <w:rPr>
          <w:rFonts w:ascii="宋体" w:hAnsi="宋体" w:eastAsia="宋体" w:cs="Times New Roman"/>
          <w:szCs w:val="21"/>
        </w:rPr>
        <w:t xml:space="preserve"> 园艺学的发展历程。</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1.识记</w:t>
      </w:r>
      <w:r>
        <w:rPr>
          <w:rFonts w:ascii="宋体" w:hAnsi="宋体" w:eastAsia="宋体" w:cs="Times New Roman"/>
          <w:szCs w:val="21"/>
        </w:rPr>
        <w:t>：园艺学的概念、发展历程。</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2.领会</w:t>
      </w:r>
      <w:r>
        <w:rPr>
          <w:rFonts w:ascii="宋体" w:hAnsi="宋体" w:eastAsia="宋体" w:cs="Times New Roman"/>
          <w:szCs w:val="21"/>
        </w:rPr>
        <w:t>：园艺学发展与农业现代化。</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3.应用</w:t>
      </w:r>
      <w:r>
        <w:rPr>
          <w:rFonts w:ascii="宋体" w:hAnsi="宋体" w:eastAsia="宋体" w:cs="Times New Roman"/>
          <w:szCs w:val="21"/>
        </w:rPr>
        <w:t>：园艺植物的应用。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4.综合</w:t>
      </w:r>
      <w:r>
        <w:rPr>
          <w:rFonts w:ascii="宋体" w:hAnsi="宋体" w:eastAsia="宋体" w:cs="Times New Roman"/>
          <w:szCs w:val="21"/>
        </w:rPr>
        <w:t>：园艺产业的发展概况。</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Times New Roman"/>
          <w:b/>
          <w:szCs w:val="21"/>
        </w:rPr>
      </w:pPr>
      <w:r>
        <w:rPr>
          <w:rFonts w:ascii="宋体" w:hAnsi="宋体" w:eastAsia="宋体" w:cs="Times New Roman"/>
          <w:b/>
          <w:bCs/>
        </w:rPr>
        <w:t xml:space="preserve">第一章  </w:t>
      </w:r>
      <w:r>
        <w:rPr>
          <w:rFonts w:ascii="宋体" w:hAnsi="宋体" w:eastAsia="宋体" w:cs="Times New Roman"/>
          <w:b/>
          <w:szCs w:val="21"/>
        </w:rPr>
        <w:t>园艺植物分类与识别</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rPr>
        <w:t>园艺植物分类方法。</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kern w:val="0"/>
          <w:szCs w:val="21"/>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rPr>
        <w:t>分类的依据。</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kern w:val="0"/>
          <w:szCs w:val="21"/>
        </w:rPr>
        <w:t>植物学分类法的主要内容。</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bCs/>
          <w:szCs w:val="21"/>
        </w:rPr>
        <w:t xml:space="preserve">1. </w:t>
      </w:r>
      <w:r>
        <w:rPr>
          <w:rFonts w:ascii="宋体" w:hAnsi="宋体" w:eastAsia="宋体" w:cs="Times New Roman"/>
          <w:kern w:val="0"/>
          <w:szCs w:val="21"/>
        </w:rPr>
        <w:t>植物学分类法。</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bCs/>
          <w:szCs w:val="21"/>
        </w:rPr>
        <w:t>2.</w:t>
      </w:r>
      <w:r>
        <w:rPr>
          <w:rFonts w:ascii="宋体" w:hAnsi="宋体" w:eastAsia="宋体" w:cs="Times New Roman"/>
          <w:szCs w:val="21"/>
        </w:rPr>
        <w:t xml:space="preserve"> </w:t>
      </w:r>
      <w:r>
        <w:rPr>
          <w:rFonts w:ascii="宋体" w:hAnsi="宋体" w:eastAsia="宋体" w:cs="Times New Roman"/>
          <w:kern w:val="0"/>
          <w:szCs w:val="21"/>
        </w:rPr>
        <w:t>栽培学分类法</w:t>
      </w:r>
      <w:r>
        <w:rPr>
          <w:rFonts w:ascii="宋体" w:hAnsi="宋体" w:eastAsia="宋体" w:cs="Times New Roman"/>
          <w:szCs w:val="21"/>
        </w:rPr>
        <w:t>。</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1.识记</w:t>
      </w:r>
      <w:r>
        <w:rPr>
          <w:rFonts w:ascii="宋体" w:hAnsi="宋体" w:eastAsia="宋体" w:cs="Times New Roman"/>
          <w:szCs w:val="21"/>
        </w:rPr>
        <w:t>：主要科属的园艺植物类型和特点。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rPr>
      </w:pPr>
      <w:r>
        <w:rPr>
          <w:rFonts w:ascii="宋体" w:hAnsi="宋体" w:eastAsia="宋体" w:cs="Times New Roman"/>
          <w:b/>
          <w:szCs w:val="21"/>
        </w:rPr>
        <w:t>2.领会</w:t>
      </w:r>
      <w:r>
        <w:rPr>
          <w:rFonts w:ascii="宋体" w:hAnsi="宋体" w:eastAsia="宋体" w:cs="Times New Roman"/>
          <w:szCs w:val="21"/>
        </w:rPr>
        <w:t>：不同</w:t>
      </w:r>
      <w:r>
        <w:rPr>
          <w:rFonts w:ascii="宋体" w:hAnsi="宋体" w:eastAsia="宋体" w:cs="Times New Roman"/>
        </w:rPr>
        <w:t>分类法的原理与应用。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rPr>
      </w:pPr>
      <w:r>
        <w:rPr>
          <w:rFonts w:ascii="宋体" w:hAnsi="宋体" w:eastAsia="宋体" w:cs="Times New Roman"/>
          <w:b/>
          <w:szCs w:val="21"/>
        </w:rPr>
        <w:t>3.应用</w:t>
      </w:r>
      <w:r>
        <w:rPr>
          <w:rFonts w:ascii="宋体" w:hAnsi="宋体" w:eastAsia="宋体" w:cs="Times New Roman"/>
          <w:szCs w:val="21"/>
        </w:rPr>
        <w:t>：</w:t>
      </w:r>
      <w:r>
        <w:rPr>
          <w:rFonts w:ascii="宋体" w:hAnsi="宋体" w:eastAsia="宋体" w:cs="Times New Roman"/>
        </w:rPr>
        <w:t>区分习见园林植物。</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kern w:val="0"/>
          <w:szCs w:val="21"/>
        </w:rPr>
      </w:pPr>
      <w:r>
        <w:rPr>
          <w:rFonts w:ascii="宋体" w:hAnsi="宋体" w:eastAsia="宋体" w:cs="Times New Roman"/>
          <w:b/>
          <w:szCs w:val="21"/>
        </w:rPr>
        <w:t>4.综合</w:t>
      </w:r>
      <w:r>
        <w:rPr>
          <w:rFonts w:ascii="宋体" w:hAnsi="宋体" w:eastAsia="宋体" w:cs="Times New Roman"/>
          <w:szCs w:val="21"/>
        </w:rPr>
        <w:t>：</w:t>
      </w:r>
      <w:r>
        <w:rPr>
          <w:rFonts w:ascii="宋体" w:hAnsi="宋体" w:eastAsia="宋体" w:cs="Times New Roman"/>
          <w:kern w:val="0"/>
          <w:szCs w:val="21"/>
        </w:rPr>
        <w:t>代表性园艺植物的分类和辨别。</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Times New Roman"/>
          <w:b/>
          <w:szCs w:val="21"/>
        </w:rPr>
      </w:pPr>
      <w:r>
        <w:rPr>
          <w:rFonts w:ascii="宋体" w:hAnsi="宋体" w:eastAsia="宋体" w:cs="Times New Roman"/>
          <w:b/>
          <w:bCs/>
          <w:szCs w:val="21"/>
        </w:rPr>
        <w:t xml:space="preserve">第二章  </w:t>
      </w:r>
      <w:r>
        <w:rPr>
          <w:rFonts w:ascii="宋体" w:hAnsi="宋体" w:eastAsia="宋体" w:cs="Times New Roman"/>
          <w:b/>
          <w:szCs w:val="21"/>
        </w:rPr>
        <w:t>园艺植物生物学</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kern w:val="0"/>
          <w:szCs w:val="21"/>
        </w:rPr>
        <w:t>主要园艺植物的形态特征。</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kern w:val="0"/>
          <w:szCs w:val="21"/>
        </w:rPr>
        <w:t>园艺植物的形态变化。</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kern w:val="0"/>
          <w:szCs w:val="21"/>
        </w:rPr>
        <w:t>生长发育一般规律；生长发育的管理措施。</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bCs/>
          <w:szCs w:val="21"/>
        </w:rPr>
        <w:t>1.</w:t>
      </w:r>
      <w:r>
        <w:rPr>
          <w:rFonts w:ascii="宋体" w:hAnsi="宋体" w:eastAsia="宋体" w:cs="Times New Roman"/>
          <w:szCs w:val="21"/>
        </w:rPr>
        <w:t xml:space="preserve"> </w:t>
      </w:r>
      <w:r>
        <w:rPr>
          <w:rFonts w:ascii="宋体" w:hAnsi="宋体" w:eastAsia="宋体" w:cs="Times New Roman"/>
          <w:kern w:val="0"/>
          <w:szCs w:val="21"/>
        </w:rPr>
        <w:t>不同器官的概念。</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bCs/>
          <w:kern w:val="0"/>
          <w:szCs w:val="21"/>
        </w:rPr>
        <w:t>2.</w:t>
      </w:r>
      <w:r>
        <w:rPr>
          <w:rFonts w:ascii="宋体" w:hAnsi="宋体" w:eastAsia="宋体" w:cs="Times New Roman"/>
          <w:kern w:val="0"/>
          <w:szCs w:val="21"/>
        </w:rPr>
        <w:t xml:space="preserve"> </w:t>
      </w:r>
      <w:r>
        <w:rPr>
          <w:rFonts w:ascii="宋体" w:hAnsi="宋体" w:eastAsia="宋体" w:cs="Times New Roman"/>
          <w:bCs/>
        </w:rPr>
        <w:t>植物解剖学的构造特点。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bCs/>
          <w:kern w:val="0"/>
          <w:szCs w:val="21"/>
        </w:rPr>
        <w:t>3.</w:t>
      </w:r>
      <w:r>
        <w:rPr>
          <w:rFonts w:ascii="宋体" w:hAnsi="宋体" w:eastAsia="宋体" w:cs="Times New Roman"/>
          <w:kern w:val="0"/>
          <w:szCs w:val="21"/>
        </w:rPr>
        <w:t xml:space="preserve"> </w:t>
      </w:r>
      <w:r>
        <w:rPr>
          <w:rFonts w:ascii="宋体" w:hAnsi="宋体" w:eastAsia="宋体" w:cs="Times New Roman"/>
          <w:bCs/>
        </w:rPr>
        <w:t>生长发育的调控原理和技术。</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1.识记</w:t>
      </w:r>
      <w:r>
        <w:rPr>
          <w:rFonts w:ascii="宋体" w:hAnsi="宋体" w:eastAsia="宋体" w:cs="Times New Roman"/>
          <w:szCs w:val="21"/>
        </w:rPr>
        <w:t>：</w:t>
      </w:r>
      <w:r>
        <w:rPr>
          <w:rFonts w:ascii="宋体" w:hAnsi="宋体" w:eastAsia="宋体" w:cs="Times New Roman"/>
          <w:bCs/>
        </w:rPr>
        <w:t>主要为考核知识点的几个概念。</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2.领会</w:t>
      </w:r>
      <w:r>
        <w:rPr>
          <w:rFonts w:ascii="宋体" w:hAnsi="宋体" w:eastAsia="宋体" w:cs="Times New Roman"/>
          <w:szCs w:val="21"/>
        </w:rPr>
        <w:t>：</w:t>
      </w:r>
      <w:r>
        <w:rPr>
          <w:rFonts w:ascii="宋体" w:hAnsi="宋体" w:eastAsia="宋体" w:cs="Times New Roman"/>
          <w:bCs/>
        </w:rPr>
        <w:t>生长调控应考虑的环境因素。</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3.应用</w:t>
      </w:r>
      <w:r>
        <w:rPr>
          <w:rFonts w:ascii="宋体" w:hAnsi="宋体" w:eastAsia="宋体" w:cs="Times New Roman"/>
          <w:szCs w:val="21"/>
        </w:rPr>
        <w:t>：</w:t>
      </w:r>
      <w:r>
        <w:rPr>
          <w:rFonts w:ascii="宋体" w:hAnsi="宋体" w:eastAsia="宋体" w:cs="Times New Roman"/>
          <w:bCs/>
        </w:rPr>
        <w:t>植物栽培的操作技术程序；花果管理。</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4.综合</w:t>
      </w:r>
      <w:r>
        <w:rPr>
          <w:rFonts w:ascii="宋体" w:hAnsi="宋体" w:eastAsia="宋体" w:cs="Times New Roman"/>
          <w:szCs w:val="21"/>
        </w:rPr>
        <w:t>：</w:t>
      </w:r>
      <w:r>
        <w:rPr>
          <w:rFonts w:ascii="宋体" w:hAnsi="宋体" w:eastAsia="宋体" w:cs="Times New Roman"/>
          <w:bCs/>
        </w:rPr>
        <w:t>根据生物学规律能进行栽培技术和措施的设计；根据不同植物及发育阶段的要求制定管理措施。</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Times New Roman"/>
          <w:b/>
          <w:bCs/>
          <w:szCs w:val="21"/>
        </w:rPr>
      </w:pPr>
      <w:r>
        <w:rPr>
          <w:rFonts w:ascii="宋体" w:hAnsi="宋体" w:eastAsia="宋体" w:cs="Times New Roman"/>
          <w:b/>
          <w:bCs/>
          <w:szCs w:val="21"/>
        </w:rPr>
        <w:t>第三章  园艺植物的品种改良</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bCs/>
        </w:rPr>
        <w:t>常见园艺植物品种的合理利用。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bCs/>
        </w:rPr>
        <w:t>根据不同的植物资源筛选育种材料。</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bCs/>
        </w:rPr>
        <w:t>有性杂交的作用；品种选择和选用的原则。</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1.</w:t>
      </w:r>
      <w:r>
        <w:rPr>
          <w:rFonts w:ascii="宋体" w:hAnsi="宋体" w:eastAsia="宋体" w:cs="Times New Roman"/>
          <w:bCs/>
        </w:rPr>
        <w:t xml:space="preserve"> 有性杂交、远缘杂交、生物技术育种、倍性育种、杂种优势。</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2.</w:t>
      </w:r>
      <w:r>
        <w:rPr>
          <w:rFonts w:ascii="宋体" w:hAnsi="宋体" w:eastAsia="宋体" w:cs="Times New Roman"/>
          <w:bCs/>
        </w:rPr>
        <w:t xml:space="preserve"> 单倍体育种、品种、品系。</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1.识记</w:t>
      </w:r>
      <w:r>
        <w:rPr>
          <w:rFonts w:ascii="宋体" w:hAnsi="宋体" w:eastAsia="宋体" w:cs="Times New Roman"/>
          <w:szCs w:val="21"/>
        </w:rPr>
        <w:t>：</w:t>
      </w:r>
      <w:r>
        <w:rPr>
          <w:rFonts w:ascii="宋体" w:hAnsi="宋体" w:eastAsia="宋体" w:cs="Times New Roman"/>
          <w:bCs/>
        </w:rPr>
        <w:t>有关品种特性的概念。</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2.领会</w:t>
      </w:r>
      <w:r>
        <w:rPr>
          <w:rFonts w:ascii="宋体" w:hAnsi="宋体" w:eastAsia="宋体" w:cs="Times New Roman"/>
          <w:szCs w:val="21"/>
        </w:rPr>
        <w:t>：</w:t>
      </w:r>
      <w:r>
        <w:rPr>
          <w:rFonts w:ascii="宋体" w:hAnsi="宋体" w:eastAsia="宋体" w:cs="Times New Roman"/>
          <w:bCs/>
        </w:rPr>
        <w:t>优良品种的作用、亲本选用原则。</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3.应用</w:t>
      </w:r>
      <w:r>
        <w:rPr>
          <w:rFonts w:ascii="宋体" w:hAnsi="宋体" w:eastAsia="宋体" w:cs="Times New Roman"/>
          <w:szCs w:val="21"/>
        </w:rPr>
        <w:t>：</w:t>
      </w:r>
      <w:r>
        <w:rPr>
          <w:rFonts w:ascii="宋体" w:hAnsi="宋体" w:eastAsia="宋体" w:cs="Times New Roman"/>
          <w:bCs/>
        </w:rPr>
        <w:t>常规杂技技术运用。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4.综合</w:t>
      </w:r>
      <w:r>
        <w:rPr>
          <w:rFonts w:ascii="宋体" w:hAnsi="宋体" w:eastAsia="宋体" w:cs="Times New Roman"/>
          <w:szCs w:val="21"/>
        </w:rPr>
        <w:t>：</w:t>
      </w:r>
      <w:r>
        <w:rPr>
          <w:rFonts w:ascii="宋体" w:hAnsi="宋体" w:eastAsia="宋体" w:cs="Times New Roman"/>
          <w:bCs/>
        </w:rPr>
        <w:t>根据育种目标进行亲本的选择和制定育种计划。</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Times New Roman"/>
          <w:b/>
          <w:bCs/>
          <w:szCs w:val="21"/>
        </w:rPr>
      </w:pPr>
      <w:r>
        <w:rPr>
          <w:rFonts w:ascii="宋体" w:hAnsi="宋体" w:eastAsia="宋体" w:cs="Times New Roman"/>
          <w:b/>
          <w:bCs/>
          <w:szCs w:val="21"/>
        </w:rPr>
        <w:t>第四章  园艺设施及其利用</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bCs/>
        </w:rPr>
        <w:t>常见设施结构特点。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bCs/>
        </w:rPr>
        <w:t>无土栽培的设施结构。</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bCs/>
        </w:rPr>
        <w:t>常见设施特定结构及管理要点。</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 xml:space="preserve">1. </w:t>
      </w:r>
      <w:r>
        <w:rPr>
          <w:rFonts w:ascii="宋体" w:hAnsi="宋体" w:eastAsia="宋体" w:cs="Times New Roman"/>
          <w:bCs/>
        </w:rPr>
        <w:t>设施的类型及特点。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2.</w:t>
      </w:r>
      <w:r>
        <w:rPr>
          <w:rFonts w:ascii="宋体" w:hAnsi="宋体" w:eastAsia="宋体" w:cs="Times New Roman"/>
          <w:bCs/>
        </w:rPr>
        <w:t xml:space="preserve"> 设施栽培管理技术的概念、特征及管理要点。</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1.识记</w:t>
      </w:r>
      <w:r>
        <w:rPr>
          <w:rFonts w:ascii="宋体" w:hAnsi="宋体" w:eastAsia="宋体" w:cs="Times New Roman"/>
          <w:szCs w:val="21"/>
        </w:rPr>
        <w:t>：</w:t>
      </w:r>
      <w:r>
        <w:rPr>
          <w:rFonts w:ascii="宋体" w:hAnsi="宋体" w:eastAsia="宋体" w:cs="Times New Roman"/>
          <w:bCs/>
        </w:rPr>
        <w:t>设施栽培的概念。</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2.领会</w:t>
      </w:r>
      <w:r>
        <w:rPr>
          <w:rFonts w:ascii="宋体" w:hAnsi="宋体" w:eastAsia="宋体" w:cs="Times New Roman"/>
          <w:szCs w:val="21"/>
        </w:rPr>
        <w:t>：</w:t>
      </w:r>
      <w:r>
        <w:rPr>
          <w:rFonts w:ascii="宋体" w:hAnsi="宋体" w:eastAsia="宋体" w:cs="Times New Roman"/>
          <w:bCs/>
        </w:rPr>
        <w:t>设施栽培的主要类型、发展趋势。</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3.应用</w:t>
      </w:r>
      <w:r>
        <w:rPr>
          <w:rFonts w:ascii="宋体" w:hAnsi="宋体" w:eastAsia="宋体" w:cs="Times New Roman"/>
          <w:szCs w:val="21"/>
        </w:rPr>
        <w:t>：简易温室的</w:t>
      </w:r>
      <w:r>
        <w:rPr>
          <w:rFonts w:ascii="宋体" w:hAnsi="宋体" w:eastAsia="宋体" w:cs="Times New Roman"/>
          <w:bCs/>
        </w:rPr>
        <w:t>设计和应用。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4.综合</w:t>
      </w:r>
      <w:r>
        <w:rPr>
          <w:rFonts w:ascii="宋体" w:hAnsi="宋体" w:eastAsia="宋体" w:cs="Times New Roman"/>
          <w:szCs w:val="21"/>
        </w:rPr>
        <w:t>：现代化温室条件下园艺植物</w:t>
      </w:r>
      <w:r>
        <w:rPr>
          <w:rFonts w:ascii="宋体" w:hAnsi="宋体" w:eastAsia="宋体" w:cs="Times New Roman"/>
          <w:bCs/>
        </w:rPr>
        <w:t>栽培的管理技术。</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Times New Roman"/>
          <w:b/>
          <w:bCs/>
          <w:szCs w:val="21"/>
        </w:rPr>
      </w:pPr>
      <w:r>
        <w:rPr>
          <w:rFonts w:ascii="宋体" w:hAnsi="宋体" w:eastAsia="宋体" w:cs="Times New Roman"/>
          <w:b/>
          <w:bCs/>
          <w:szCs w:val="21"/>
        </w:rPr>
        <w:t>第五章  园艺生产基本技术</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：园艺栽培技术的发展。</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 一般掌握</w:t>
      </w:r>
      <w:r>
        <w:rPr>
          <w:rFonts w:ascii="宋体" w:hAnsi="宋体" w:eastAsia="宋体" w:cs="Times New Roman"/>
          <w:szCs w:val="21"/>
        </w:rPr>
        <w:t>：主要栽培技术的分类和应用。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3. 熟练掌握</w:t>
      </w:r>
      <w:r>
        <w:rPr>
          <w:rFonts w:ascii="宋体" w:hAnsi="宋体" w:eastAsia="宋体" w:cs="Times New Roman"/>
          <w:szCs w:val="21"/>
        </w:rPr>
        <w:t>：常用的栽培类型及群体结构调整。</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bCs/>
          <w:szCs w:val="21"/>
        </w:rPr>
        <w:t>1.</w:t>
      </w:r>
      <w:r>
        <w:rPr>
          <w:rFonts w:ascii="宋体" w:hAnsi="宋体" w:eastAsia="宋体" w:cs="Times New Roman"/>
          <w:szCs w:val="21"/>
        </w:rPr>
        <w:t xml:space="preserve"> 嫁接的概念、类型及特点。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bCs/>
          <w:szCs w:val="21"/>
        </w:rPr>
        <w:t>2.</w:t>
      </w:r>
      <w:r>
        <w:rPr>
          <w:rFonts w:ascii="宋体" w:hAnsi="宋体" w:eastAsia="宋体" w:cs="Times New Roman"/>
          <w:szCs w:val="21"/>
        </w:rPr>
        <w:t xml:space="preserve"> 园艺植物苗木的特点及应用。</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1.识记</w:t>
      </w:r>
      <w:r>
        <w:rPr>
          <w:rFonts w:ascii="宋体" w:hAnsi="宋体" w:eastAsia="宋体" w:cs="Times New Roman"/>
          <w:szCs w:val="21"/>
        </w:rPr>
        <w:t>：常见园艺植物栽培技术。</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2.领会</w:t>
      </w:r>
      <w:r>
        <w:rPr>
          <w:rFonts w:ascii="宋体" w:hAnsi="宋体" w:eastAsia="宋体" w:cs="Times New Roman"/>
          <w:szCs w:val="21"/>
        </w:rPr>
        <w:t>：有机生态型园艺植物栽培的特点及应用。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 w:val="24"/>
        </w:rPr>
      </w:pPr>
      <w:r>
        <w:rPr>
          <w:rFonts w:ascii="宋体" w:hAnsi="宋体" w:eastAsia="宋体" w:cs="Times New Roman"/>
          <w:b/>
          <w:szCs w:val="21"/>
        </w:rPr>
        <w:t>3.应用</w:t>
      </w:r>
      <w:r>
        <w:rPr>
          <w:rFonts w:ascii="宋体" w:hAnsi="宋体" w:eastAsia="宋体" w:cs="Times New Roman"/>
          <w:szCs w:val="21"/>
        </w:rPr>
        <w:t>：嫁接、扦插等栽培技术的应用。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szCs w:val="21"/>
        </w:rPr>
      </w:pPr>
      <w:r>
        <w:rPr>
          <w:rFonts w:ascii="宋体" w:hAnsi="宋体" w:eastAsia="宋体" w:cs="Times New Roman"/>
          <w:b/>
          <w:szCs w:val="21"/>
        </w:rPr>
        <w:t>4.综合</w:t>
      </w:r>
      <w:r>
        <w:rPr>
          <w:rFonts w:ascii="宋体" w:hAnsi="宋体" w:eastAsia="宋体" w:cs="Times New Roman"/>
          <w:szCs w:val="21"/>
        </w:rPr>
        <w:t>：有机生态型园艺植物栽培技术的应用。</w:t>
      </w:r>
    </w:p>
    <w:p>
      <w:pPr>
        <w:keepNext w:val="0"/>
        <w:keepLines w:val="0"/>
        <w:pageBreakBefore w:val="0"/>
        <w:kinsoku/>
        <w:wordWrap/>
        <w:overflowPunct/>
        <w:topLinePunct w:val="0"/>
        <w:autoSpaceDE/>
        <w:autoSpaceDN/>
        <w:bidi w:val="0"/>
        <w:snapToGrid w:val="0"/>
        <w:spacing w:line="360" w:lineRule="auto"/>
        <w:jc w:val="center"/>
        <w:textAlignment w:val="auto"/>
        <w:rPr>
          <w:rFonts w:ascii="宋体" w:hAnsi="宋体" w:eastAsia="宋体" w:cs="Times New Roman"/>
          <w:b/>
          <w:bCs/>
          <w:szCs w:val="21"/>
        </w:rPr>
      </w:pPr>
      <w:r>
        <w:rPr>
          <w:rFonts w:ascii="宋体" w:hAnsi="宋体" w:eastAsia="宋体" w:cs="Times New Roman"/>
          <w:b/>
          <w:bCs/>
          <w:szCs w:val="21"/>
        </w:rPr>
        <w:t>第六章  果树园艺</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bCs/>
        </w:rPr>
        <w:t>果树育苗的特点。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bCs/>
        </w:rPr>
        <w:t>常见果树的管理要求。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bCs/>
        </w:rPr>
        <w:t>果树土肥水管理要点以及树体的管理。</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1.</w:t>
      </w:r>
      <w:r>
        <w:rPr>
          <w:rFonts w:ascii="宋体" w:hAnsi="宋体" w:eastAsia="宋体" w:cs="Times New Roman"/>
          <w:bCs/>
        </w:rPr>
        <w:t xml:space="preserve"> 不同果树种类识别。</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2.</w:t>
      </w:r>
      <w:r>
        <w:rPr>
          <w:rFonts w:ascii="宋体" w:hAnsi="宋体" w:eastAsia="宋体" w:cs="Times New Roman"/>
          <w:bCs/>
        </w:rPr>
        <w:t xml:space="preserve"> 果树育苗的主要方式。</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3.</w:t>
      </w:r>
      <w:r>
        <w:rPr>
          <w:rFonts w:ascii="宋体" w:hAnsi="宋体" w:eastAsia="宋体" w:cs="Times New Roman"/>
          <w:bCs/>
        </w:rPr>
        <w:t xml:space="preserve"> 果树修剪的技术要点。</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1.识记</w:t>
      </w:r>
      <w:r>
        <w:rPr>
          <w:rFonts w:ascii="宋体" w:hAnsi="宋体" w:eastAsia="宋体" w:cs="Times New Roman"/>
          <w:szCs w:val="21"/>
        </w:rPr>
        <w:t>：不同方法繁殖苗木的特点。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2.领会</w:t>
      </w:r>
      <w:r>
        <w:rPr>
          <w:rFonts w:ascii="宋体" w:hAnsi="宋体" w:eastAsia="宋体" w:cs="Times New Roman"/>
          <w:szCs w:val="21"/>
        </w:rPr>
        <w:t>：</w:t>
      </w:r>
      <w:r>
        <w:rPr>
          <w:rFonts w:ascii="宋体" w:hAnsi="宋体" w:eastAsia="宋体" w:cs="Times New Roman"/>
          <w:bCs/>
        </w:rPr>
        <w:t>无性系苗木的繁育及特点。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3.应用</w:t>
      </w:r>
      <w:r>
        <w:rPr>
          <w:rFonts w:ascii="宋体" w:hAnsi="宋体" w:eastAsia="宋体" w:cs="Times New Roman"/>
          <w:szCs w:val="21"/>
        </w:rPr>
        <w:t>：</w:t>
      </w:r>
      <w:r>
        <w:rPr>
          <w:rFonts w:ascii="宋体" w:hAnsi="宋体" w:eastAsia="宋体" w:cs="Times New Roman"/>
          <w:bCs/>
        </w:rPr>
        <w:t>嫁接的主要环节，关键技术。</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bCs/>
        </w:rPr>
      </w:pPr>
      <w:r>
        <w:rPr>
          <w:rFonts w:ascii="宋体" w:hAnsi="宋体" w:eastAsia="宋体" w:cs="Times New Roman"/>
          <w:b/>
          <w:szCs w:val="21"/>
        </w:rPr>
        <w:t>4.综合</w:t>
      </w:r>
      <w:r>
        <w:rPr>
          <w:rFonts w:ascii="宋体" w:hAnsi="宋体" w:eastAsia="宋体" w:cs="Times New Roman"/>
          <w:szCs w:val="21"/>
        </w:rPr>
        <w:t>：</w:t>
      </w:r>
      <w:r>
        <w:rPr>
          <w:rFonts w:ascii="宋体" w:hAnsi="宋体" w:eastAsia="宋体" w:cs="Times New Roman"/>
          <w:bCs/>
        </w:rPr>
        <w:t>果树田间管理的要求及树体管理技术要点。</w:t>
      </w:r>
    </w:p>
    <w:p>
      <w:pPr>
        <w:keepNext w:val="0"/>
        <w:keepLines w:val="0"/>
        <w:pageBreakBefore w:val="0"/>
        <w:kinsoku/>
        <w:wordWrap/>
        <w:overflowPunct/>
        <w:topLinePunct w:val="0"/>
        <w:autoSpaceDE/>
        <w:autoSpaceDN/>
        <w:bidi w:val="0"/>
        <w:snapToGrid w:val="0"/>
        <w:spacing w:line="360" w:lineRule="auto"/>
        <w:jc w:val="center"/>
        <w:textAlignment w:val="auto"/>
        <w:rPr>
          <w:rFonts w:ascii="宋体" w:hAnsi="宋体" w:eastAsia="宋体" w:cs="Times New Roman"/>
          <w:b/>
          <w:bCs/>
          <w:szCs w:val="21"/>
        </w:rPr>
      </w:pPr>
      <w:r>
        <w:rPr>
          <w:rFonts w:ascii="宋体" w:hAnsi="宋体" w:eastAsia="宋体" w:cs="Times New Roman"/>
          <w:b/>
          <w:bCs/>
          <w:szCs w:val="21"/>
        </w:rPr>
        <w:t>第七章  蔬菜园艺</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bCs/>
        </w:rPr>
        <w:t>芽苗菜的无土栽培技术。</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宋体" w:hAnsi="宋体" w:eastAsia="宋体" w:cs="Times New Roman"/>
          <w:bCs/>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bCs/>
        </w:rPr>
        <w:t>黄瓜、番茄、生菜的植物学特性及无土栽培方式的选择。</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宋体" w:hAnsi="宋体" w:eastAsia="宋体" w:cs="Times New Roman"/>
          <w:bCs/>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bCs/>
        </w:rPr>
        <w:t>番茄的基质栽培技术。</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ascii="宋体" w:hAnsi="宋体" w:eastAsia="宋体" w:cs="Times New Roman"/>
          <w:b/>
          <w:szCs w:val="21"/>
        </w:rPr>
      </w:pPr>
      <w:r>
        <w:rPr>
          <w:rFonts w:ascii="宋体" w:hAnsi="宋体" w:eastAsia="宋体" w:cs="Times New Roman"/>
          <w:bCs/>
        </w:rPr>
        <w:t>番茄、黄瓜、生菜无土栽培技术要点。</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1.识记</w:t>
      </w:r>
      <w:r>
        <w:rPr>
          <w:rFonts w:ascii="宋体" w:hAnsi="宋体" w:eastAsia="宋体" w:cs="Times New Roman"/>
          <w:szCs w:val="21"/>
        </w:rPr>
        <w:t>：番茄、黄瓜、生菜无土栽培的关键技术。</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2.领会</w:t>
      </w:r>
      <w:r>
        <w:rPr>
          <w:rFonts w:ascii="宋体" w:hAnsi="宋体" w:eastAsia="宋体" w:cs="Times New Roman"/>
          <w:szCs w:val="21"/>
        </w:rPr>
        <w:t>：</w:t>
      </w:r>
      <w:r>
        <w:rPr>
          <w:rFonts w:ascii="宋体" w:hAnsi="宋体" w:eastAsia="宋体" w:cs="Times New Roman"/>
          <w:bCs/>
        </w:rPr>
        <w:t>黄瓜、番茄、生菜的植物学特性。</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3.应用</w:t>
      </w:r>
      <w:r>
        <w:rPr>
          <w:rFonts w:ascii="宋体" w:hAnsi="宋体" w:eastAsia="宋体" w:cs="Times New Roman"/>
          <w:szCs w:val="21"/>
        </w:rPr>
        <w:t>：</w:t>
      </w:r>
      <w:r>
        <w:rPr>
          <w:rFonts w:ascii="宋体" w:hAnsi="宋体" w:eastAsia="宋体" w:cs="Times New Roman"/>
          <w:bCs/>
        </w:rPr>
        <w:t>芽苗菜的无土栽培方式及关键管理技术。</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bCs/>
        </w:rPr>
      </w:pPr>
      <w:r>
        <w:rPr>
          <w:rFonts w:ascii="宋体" w:hAnsi="宋体" w:eastAsia="宋体" w:cs="Times New Roman"/>
          <w:b/>
          <w:szCs w:val="21"/>
        </w:rPr>
        <w:t>4.综合</w:t>
      </w:r>
      <w:r>
        <w:rPr>
          <w:rFonts w:ascii="宋体" w:hAnsi="宋体" w:eastAsia="宋体" w:cs="Times New Roman"/>
          <w:szCs w:val="21"/>
        </w:rPr>
        <w:t>：</w:t>
      </w:r>
      <w:r>
        <w:rPr>
          <w:rFonts w:ascii="宋体" w:hAnsi="宋体" w:eastAsia="宋体" w:cs="Times New Roman"/>
          <w:bCs/>
        </w:rPr>
        <w:t>番茄的基质栽培技术、生菜的水培技术。</w:t>
      </w:r>
    </w:p>
    <w:p>
      <w:pPr>
        <w:keepNext w:val="0"/>
        <w:keepLines w:val="0"/>
        <w:pageBreakBefore w:val="0"/>
        <w:kinsoku/>
        <w:wordWrap/>
        <w:overflowPunct/>
        <w:topLinePunct w:val="0"/>
        <w:autoSpaceDE/>
        <w:autoSpaceDN/>
        <w:bidi w:val="0"/>
        <w:snapToGrid w:val="0"/>
        <w:spacing w:line="360" w:lineRule="auto"/>
        <w:ind w:firstLine="105" w:firstLineChars="50"/>
        <w:jc w:val="center"/>
        <w:textAlignment w:val="auto"/>
        <w:rPr>
          <w:rFonts w:ascii="宋体" w:hAnsi="宋体" w:eastAsia="宋体" w:cs="Times New Roman"/>
          <w:b/>
          <w:bCs/>
          <w:szCs w:val="21"/>
        </w:rPr>
      </w:pPr>
      <w:r>
        <w:rPr>
          <w:rFonts w:ascii="宋体" w:hAnsi="宋体" w:eastAsia="宋体" w:cs="Times New Roman"/>
          <w:b/>
          <w:bCs/>
          <w:szCs w:val="21"/>
        </w:rPr>
        <w:t xml:space="preserve">第八章  观赏园艺 </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bCs/>
        </w:rPr>
        <w:t>常见花卉及分类。</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bCs/>
        </w:rPr>
        <w:t>观赏植物简单栽培技术。</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宋体" w:hAnsi="宋体" w:eastAsia="宋体" w:cs="Times New Roman"/>
          <w:bCs/>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bCs/>
        </w:rPr>
        <w:t>盆栽花卉栽培关键技术、家庭花卉栽培的类型及特点。</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1.</w:t>
      </w:r>
      <w:r>
        <w:rPr>
          <w:rFonts w:ascii="宋体" w:hAnsi="宋体" w:eastAsia="宋体" w:cs="Times New Roman"/>
          <w:bCs/>
        </w:rPr>
        <w:t xml:space="preserve"> 家庭花卉栽培的类型及特点。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2.</w:t>
      </w:r>
      <w:r>
        <w:rPr>
          <w:rFonts w:ascii="宋体" w:hAnsi="宋体" w:eastAsia="宋体" w:cs="Times New Roman"/>
          <w:bCs/>
        </w:rPr>
        <w:t xml:space="preserve"> 花卉栽培类型及栽培关键技术。</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1.识记</w:t>
      </w:r>
      <w:r>
        <w:rPr>
          <w:rFonts w:ascii="宋体" w:hAnsi="宋体" w:eastAsia="宋体" w:cs="Times New Roman"/>
          <w:szCs w:val="21"/>
        </w:rPr>
        <w:t>：</w:t>
      </w:r>
      <w:r>
        <w:rPr>
          <w:rFonts w:ascii="宋体" w:hAnsi="宋体" w:eastAsia="宋体" w:cs="Times New Roman"/>
          <w:bCs/>
        </w:rPr>
        <w:t>花卉植物的分类特点。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2.领会</w:t>
      </w:r>
      <w:r>
        <w:rPr>
          <w:rFonts w:ascii="宋体" w:hAnsi="宋体" w:eastAsia="宋体" w:cs="Times New Roman"/>
          <w:szCs w:val="21"/>
        </w:rPr>
        <w:t>：</w:t>
      </w:r>
      <w:r>
        <w:rPr>
          <w:rFonts w:ascii="宋体" w:hAnsi="宋体" w:eastAsia="宋体" w:cs="Times New Roman"/>
          <w:bCs/>
        </w:rPr>
        <w:t>球根花卉栽培的种类及特点。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3.应用</w:t>
      </w:r>
      <w:r>
        <w:rPr>
          <w:rFonts w:ascii="宋体" w:hAnsi="宋体" w:eastAsia="宋体" w:cs="Times New Roman"/>
          <w:szCs w:val="21"/>
        </w:rPr>
        <w:t>：</w:t>
      </w:r>
      <w:r>
        <w:rPr>
          <w:rFonts w:ascii="宋体" w:hAnsi="宋体" w:eastAsia="宋体" w:cs="Times New Roman"/>
          <w:bCs/>
        </w:rPr>
        <w:t>一二年说花卉栽培技术。</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4.综合</w:t>
      </w:r>
      <w:r>
        <w:rPr>
          <w:rFonts w:ascii="宋体" w:hAnsi="宋体" w:eastAsia="宋体" w:cs="Times New Roman"/>
          <w:szCs w:val="21"/>
        </w:rPr>
        <w:t>：</w:t>
      </w:r>
      <w:r>
        <w:rPr>
          <w:rFonts w:ascii="宋体" w:hAnsi="宋体" w:eastAsia="宋体" w:cs="Times New Roman"/>
          <w:bCs/>
        </w:rPr>
        <w:t>家庭花卉栽培的类型及应用技术。</w:t>
      </w:r>
    </w:p>
    <w:p>
      <w:pPr>
        <w:keepNext w:val="0"/>
        <w:keepLines w:val="0"/>
        <w:pageBreakBefore w:val="0"/>
        <w:kinsoku/>
        <w:wordWrap/>
        <w:overflowPunct/>
        <w:topLinePunct w:val="0"/>
        <w:autoSpaceDE/>
        <w:autoSpaceDN/>
        <w:bidi w:val="0"/>
        <w:spacing w:line="360" w:lineRule="auto"/>
        <w:jc w:val="center"/>
        <w:textAlignment w:val="auto"/>
        <w:rPr>
          <w:rFonts w:ascii="宋体" w:hAnsi="宋体" w:eastAsia="宋体" w:cs="Times New Roman"/>
          <w:szCs w:val="21"/>
        </w:rPr>
      </w:pPr>
      <w:r>
        <w:rPr>
          <w:rFonts w:ascii="宋体" w:hAnsi="宋体" w:eastAsia="宋体" w:cs="Times New Roman"/>
          <w:b/>
          <w:bCs/>
          <w:szCs w:val="21"/>
        </w:rPr>
        <w:t>第九章  园艺产品采后商品处理及贮藏</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（一）学习目标</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 一般了解</w:t>
      </w:r>
      <w:r>
        <w:rPr>
          <w:rFonts w:ascii="宋体" w:hAnsi="宋体" w:eastAsia="宋体" w:cs="Times New Roman"/>
          <w:szCs w:val="21"/>
        </w:rPr>
        <w:t>：</w:t>
      </w:r>
      <w:r>
        <w:rPr>
          <w:rFonts w:ascii="宋体" w:hAnsi="宋体" w:eastAsia="宋体" w:cs="Times New Roman"/>
          <w:bCs/>
        </w:rPr>
        <w:t>常见采后技术及分类。</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 一般掌握</w:t>
      </w:r>
      <w:r>
        <w:rPr>
          <w:rFonts w:ascii="宋体" w:hAnsi="宋体" w:eastAsia="宋体" w:cs="Times New Roman"/>
          <w:szCs w:val="21"/>
        </w:rPr>
        <w:t>：</w:t>
      </w:r>
      <w:r>
        <w:rPr>
          <w:rFonts w:ascii="宋体" w:hAnsi="宋体" w:eastAsia="宋体" w:cs="Times New Roman"/>
          <w:bCs/>
        </w:rPr>
        <w:t>简单贮藏技术特点。</w:t>
      </w:r>
    </w:p>
    <w:p>
      <w:pPr>
        <w:keepNext w:val="0"/>
        <w:keepLines w:val="0"/>
        <w:pageBreakBefore w:val="0"/>
        <w:widowControl/>
        <w:kinsoku/>
        <w:wordWrap/>
        <w:overflowPunct/>
        <w:topLinePunct w:val="0"/>
        <w:autoSpaceDE/>
        <w:autoSpaceDN/>
        <w:bidi w:val="0"/>
        <w:snapToGrid w:val="0"/>
        <w:spacing w:line="360" w:lineRule="auto"/>
        <w:ind w:firstLine="422" w:firstLineChars="200"/>
        <w:jc w:val="left"/>
        <w:textAlignment w:val="auto"/>
        <w:rPr>
          <w:rFonts w:ascii="宋体" w:hAnsi="宋体" w:eastAsia="宋体" w:cs="Times New Roman"/>
          <w:bCs/>
        </w:rPr>
      </w:pPr>
      <w:r>
        <w:rPr>
          <w:rFonts w:ascii="宋体" w:hAnsi="宋体" w:eastAsia="宋体" w:cs="Times New Roman"/>
          <w:b/>
          <w:szCs w:val="21"/>
        </w:rPr>
        <w:t>3. 熟练掌握</w:t>
      </w:r>
      <w:r>
        <w:rPr>
          <w:rFonts w:ascii="宋体" w:hAnsi="宋体" w:eastAsia="宋体" w:cs="Times New Roman"/>
          <w:szCs w:val="21"/>
        </w:rPr>
        <w:t>：</w:t>
      </w:r>
      <w:r>
        <w:rPr>
          <w:rFonts w:ascii="宋体" w:hAnsi="宋体" w:eastAsia="宋体" w:cs="Times New Roman"/>
          <w:bCs/>
        </w:rPr>
        <w:t>主要园艺植物产品贮藏的关键技术。</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（二）考核内容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1.</w:t>
      </w:r>
      <w:r>
        <w:rPr>
          <w:rFonts w:ascii="宋体" w:hAnsi="宋体" w:eastAsia="宋体" w:cs="Times New Roman"/>
          <w:bCs/>
        </w:rPr>
        <w:t xml:space="preserve"> </w:t>
      </w:r>
      <w:r>
        <w:rPr>
          <w:rFonts w:ascii="宋体" w:hAnsi="宋体" w:eastAsia="宋体" w:cs="Times New Roman"/>
          <w:kern w:val="0"/>
        </w:rPr>
        <w:t>分级、包装、预冷及其他采后处理的特点</w:t>
      </w:r>
      <w:r>
        <w:rPr>
          <w:rFonts w:ascii="宋体" w:hAnsi="宋体" w:eastAsia="宋体" w:cs="Times New Roman"/>
          <w:bCs/>
        </w:rPr>
        <w:t>。</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rPr>
        <w:t>2.</w:t>
      </w:r>
      <w:r>
        <w:rPr>
          <w:rFonts w:ascii="宋体" w:hAnsi="宋体" w:eastAsia="宋体" w:cs="Times New Roman"/>
          <w:bCs/>
        </w:rPr>
        <w:t xml:space="preserve"> 不同贮藏技术</w:t>
      </w:r>
      <w:r>
        <w:rPr>
          <w:rFonts w:ascii="宋体" w:hAnsi="宋体" w:eastAsia="宋体" w:cs="Times New Roman"/>
          <w:kern w:val="0"/>
        </w:rPr>
        <w:t>的主要原理和技术特点。</w:t>
      </w:r>
    </w:p>
    <w:p>
      <w:pPr>
        <w:keepNext w:val="0"/>
        <w:keepLines w:val="0"/>
        <w:pageBreakBefore w:val="0"/>
        <w:kinsoku/>
        <w:wordWrap/>
        <w:overflowPunct/>
        <w:topLinePunct w:val="0"/>
        <w:autoSpaceDE/>
        <w:autoSpaceDN/>
        <w:bidi w:val="0"/>
        <w:snapToGrid w:val="0"/>
        <w:spacing w:line="360" w:lineRule="auto"/>
        <w:textAlignment w:val="auto"/>
        <w:rPr>
          <w:rFonts w:ascii="宋体" w:hAnsi="宋体" w:eastAsia="宋体" w:cs="Times New Roman"/>
          <w:b/>
          <w:szCs w:val="21"/>
        </w:rPr>
      </w:pPr>
      <w:r>
        <w:rPr>
          <w:rFonts w:ascii="宋体" w:hAnsi="宋体" w:eastAsia="宋体" w:cs="Times New Roman"/>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1.识记</w:t>
      </w:r>
      <w:r>
        <w:rPr>
          <w:rFonts w:ascii="宋体" w:hAnsi="宋体" w:eastAsia="宋体" w:cs="Times New Roman"/>
          <w:szCs w:val="21"/>
        </w:rPr>
        <w:t>：</w:t>
      </w:r>
      <w:r>
        <w:rPr>
          <w:rFonts w:ascii="宋体" w:hAnsi="宋体" w:eastAsia="宋体" w:cs="Times New Roman"/>
          <w:bCs/>
        </w:rPr>
        <w:t>园艺植物采后生理变化特点。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
          <w:szCs w:val="21"/>
        </w:rPr>
      </w:pPr>
      <w:r>
        <w:rPr>
          <w:rFonts w:ascii="宋体" w:hAnsi="宋体" w:eastAsia="宋体" w:cs="Times New Roman"/>
          <w:b/>
          <w:szCs w:val="21"/>
        </w:rPr>
        <w:t>2.领会</w:t>
      </w:r>
      <w:r>
        <w:rPr>
          <w:rFonts w:ascii="宋体" w:hAnsi="宋体" w:eastAsia="宋体" w:cs="Times New Roman"/>
          <w:szCs w:val="21"/>
        </w:rPr>
        <w:t>：</w:t>
      </w:r>
      <w:r>
        <w:rPr>
          <w:rFonts w:ascii="宋体" w:hAnsi="宋体" w:eastAsia="宋体" w:cs="Times New Roman"/>
          <w:bCs/>
        </w:rPr>
        <w:t>成熟器官的后熟及特点。</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3.应用</w:t>
      </w:r>
      <w:r>
        <w:rPr>
          <w:rFonts w:ascii="宋体" w:hAnsi="宋体" w:eastAsia="宋体" w:cs="Times New Roman"/>
          <w:szCs w:val="21"/>
        </w:rPr>
        <w:t>：</w:t>
      </w:r>
      <w:r>
        <w:rPr>
          <w:rFonts w:ascii="宋体" w:hAnsi="宋体" w:eastAsia="宋体" w:cs="Times New Roman"/>
          <w:bCs/>
        </w:rPr>
        <w:t>简易家庭贮藏技术。</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eastAsia="宋体" w:cs="Times New Roman"/>
          <w:bCs/>
        </w:rPr>
      </w:pPr>
      <w:r>
        <w:rPr>
          <w:rFonts w:ascii="宋体" w:hAnsi="宋体" w:eastAsia="宋体" w:cs="Times New Roman"/>
          <w:b/>
          <w:szCs w:val="21"/>
        </w:rPr>
        <w:t>4.综合</w:t>
      </w:r>
      <w:r>
        <w:rPr>
          <w:rFonts w:ascii="宋体" w:hAnsi="宋体" w:eastAsia="宋体" w:cs="Times New Roman"/>
          <w:szCs w:val="21"/>
        </w:rPr>
        <w:t>：大型贮存库</w:t>
      </w:r>
      <w:r>
        <w:rPr>
          <w:rFonts w:ascii="宋体" w:hAnsi="宋体" w:eastAsia="宋体" w:cs="Times New Roman"/>
          <w:bCs/>
        </w:rPr>
        <w:t>的类型及主要技术应用特点。</w:t>
      </w:r>
    </w:p>
    <w:p>
      <w:pPr>
        <w:keepNext w:val="0"/>
        <w:keepLines w:val="0"/>
        <w:pageBreakBefore w:val="0"/>
        <w:kinsoku/>
        <w:wordWrap/>
        <w:overflowPunct/>
        <w:topLinePunct w:val="0"/>
        <w:autoSpaceDE/>
        <w:autoSpaceDN/>
        <w:bidi w:val="0"/>
        <w:snapToGrid w:val="0"/>
        <w:spacing w:line="360" w:lineRule="auto"/>
        <w:textAlignment w:val="auto"/>
        <w:rPr>
          <w:rFonts w:ascii="Times New Roman" w:hAnsi="Times New Roman" w:eastAsia="宋体" w:cs="Times New Roman"/>
          <w:b/>
          <w:szCs w:val="21"/>
        </w:rPr>
      </w:pPr>
      <w:r>
        <w:rPr>
          <w:rFonts w:ascii="Times New Roman" w:hAnsi="Times New Roman" w:eastAsia="宋体" w:cs="Times New Roman"/>
          <w:b/>
          <w:szCs w:val="21"/>
        </w:rPr>
        <w:t>三、实验、实习教学部分的考核要求</w:t>
      </w:r>
    </w:p>
    <w:p>
      <w:pPr>
        <w:keepNext w:val="0"/>
        <w:keepLines w:val="0"/>
        <w:pageBreakBefore w:val="0"/>
        <w:widowControl/>
        <w:kinsoku/>
        <w:wordWrap/>
        <w:overflowPunct/>
        <w:topLinePunct w:val="0"/>
        <w:autoSpaceDE/>
        <w:autoSpaceDN/>
        <w:bidi w:val="0"/>
        <w:adjustRightInd w:val="0"/>
        <w:snapToGrid w:val="0"/>
        <w:spacing w:line="360" w:lineRule="auto"/>
        <w:ind w:firstLine="420"/>
        <w:jc w:val="left"/>
        <w:textAlignment w:val="auto"/>
        <w:rPr>
          <w:rFonts w:ascii="Times New Roman" w:hAnsi="Times New Roman" w:eastAsia="宋体" w:cs="Times New Roman"/>
          <w:bCs/>
          <w:kern w:val="0"/>
          <w:szCs w:val="21"/>
        </w:rPr>
      </w:pPr>
      <w:r>
        <w:rPr>
          <w:rFonts w:ascii="Times New Roman" w:hAnsi="Times New Roman" w:eastAsia="宋体" w:cs="Times New Roman"/>
          <w:bCs/>
          <w:kern w:val="0"/>
          <w:szCs w:val="21"/>
        </w:rPr>
        <w:t>无</w:t>
      </w:r>
    </w:p>
    <w:p>
      <w:pPr>
        <w:keepNext w:val="0"/>
        <w:keepLines w:val="0"/>
        <w:pageBreakBefore w:val="0"/>
        <w:kinsoku/>
        <w:wordWrap/>
        <w:overflowPunct/>
        <w:topLinePunct w:val="0"/>
        <w:autoSpaceDE/>
        <w:autoSpaceDN/>
        <w:bidi w:val="0"/>
        <w:snapToGrid w:val="0"/>
        <w:spacing w:line="360" w:lineRule="auto"/>
        <w:textAlignment w:val="auto"/>
        <w:rPr>
          <w:rFonts w:ascii="Times New Roman" w:hAnsi="Times New Roman" w:eastAsia="宋体" w:cs="Times New Roman"/>
          <w:b/>
          <w:szCs w:val="21"/>
        </w:rPr>
      </w:pPr>
      <w:r>
        <w:rPr>
          <w:rFonts w:ascii="Times New Roman" w:hAnsi="Times New Roman" w:eastAsia="宋体" w:cs="Times New Roman"/>
          <w:b/>
          <w:szCs w:val="21"/>
        </w:rPr>
        <w:t>四、考核方式</w:t>
      </w:r>
    </w:p>
    <w:p>
      <w:pPr>
        <w:keepNext w:val="0"/>
        <w:keepLines w:val="0"/>
        <w:pageBreakBefore w:val="0"/>
        <w:kinsoku/>
        <w:wordWrap/>
        <w:overflowPunct/>
        <w:topLinePunct w:val="0"/>
        <w:autoSpaceDE/>
        <w:autoSpaceDN/>
        <w:bidi w:val="0"/>
        <w:snapToGrid w:val="0"/>
        <w:spacing w:line="360" w:lineRule="auto"/>
        <w:ind w:firstLine="420"/>
        <w:textAlignment w:val="auto"/>
        <w:rPr>
          <w:rFonts w:ascii="Times New Roman" w:hAnsi="Times New Roman" w:eastAsia="宋体" w:cs="Times New Roman"/>
          <w:kern w:val="0"/>
          <w:szCs w:val="21"/>
          <w:lang w:val="zh-CN"/>
        </w:rPr>
      </w:pPr>
      <w:r>
        <w:rPr>
          <w:rFonts w:ascii="Times New Roman" w:hAnsi="Times New Roman" w:eastAsia="宋体" w:cs="Times New Roman"/>
          <w:szCs w:val="21"/>
        </w:rPr>
        <w:t>本课程采用闭卷的形式进行，时间为120分钟；考试题型有名词解释、填空题、判读题、简答题、问答题，或课程小论文；</w:t>
      </w:r>
      <w:r>
        <w:rPr>
          <w:rFonts w:ascii="Times New Roman" w:hAnsi="Times New Roman" w:eastAsia="宋体" w:cs="Times New Roman"/>
          <w:kern w:val="0"/>
          <w:szCs w:val="21"/>
          <w:lang w:val="zh-CN"/>
        </w:rPr>
        <w:t>并结合</w:t>
      </w:r>
      <w:r>
        <w:rPr>
          <w:rFonts w:ascii="Times New Roman" w:hAnsi="Times New Roman" w:eastAsia="宋体" w:cs="Times New Roman"/>
          <w:color w:val="353535"/>
          <w:kern w:val="0"/>
          <w:szCs w:val="21"/>
        </w:rPr>
        <w:t>课堂提问、小组讨论表现、作业、考勤</w:t>
      </w:r>
      <w:r>
        <w:rPr>
          <w:rFonts w:ascii="Times New Roman" w:hAnsi="Times New Roman" w:eastAsia="宋体" w:cs="Times New Roman"/>
          <w:kern w:val="0"/>
          <w:szCs w:val="21"/>
          <w:lang w:val="zh-CN"/>
        </w:rPr>
        <w:t>的情况进行平时成绩的评定，课程成绩以百分制计算。</w:t>
      </w:r>
    </w:p>
    <w:p>
      <w:pPr>
        <w:keepNext w:val="0"/>
        <w:keepLines w:val="0"/>
        <w:pageBreakBefore w:val="0"/>
        <w:kinsoku/>
        <w:wordWrap/>
        <w:overflowPunct/>
        <w:topLinePunct w:val="0"/>
        <w:autoSpaceDE/>
        <w:autoSpaceDN/>
        <w:bidi w:val="0"/>
        <w:snapToGrid w:val="0"/>
        <w:spacing w:line="360" w:lineRule="auto"/>
        <w:textAlignment w:val="auto"/>
        <w:rPr>
          <w:rFonts w:ascii="Times New Roman" w:hAnsi="Times New Roman" w:eastAsia="宋体" w:cs="Times New Roman"/>
          <w:b/>
          <w:szCs w:val="21"/>
        </w:rPr>
      </w:pPr>
      <w:r>
        <w:rPr>
          <w:rFonts w:ascii="Times New Roman" w:hAnsi="Times New Roman" w:eastAsia="宋体" w:cs="Times New Roman"/>
          <w:b/>
          <w:szCs w:val="21"/>
        </w:rPr>
        <w:t>五、成绩评定</w:t>
      </w:r>
    </w:p>
    <w:p>
      <w:pPr>
        <w:keepNext w:val="0"/>
        <w:keepLines w:val="0"/>
        <w:pageBreakBefore w:val="0"/>
        <w:kinsoku/>
        <w:wordWrap/>
        <w:overflowPunct/>
        <w:topLinePunct w:val="0"/>
        <w:autoSpaceDE/>
        <w:autoSpaceDN/>
        <w:bidi w:val="0"/>
        <w:snapToGrid w:val="0"/>
        <w:spacing w:line="360" w:lineRule="auto"/>
        <w:ind w:firstLine="420"/>
        <w:textAlignment w:val="auto"/>
        <w:rPr>
          <w:rFonts w:ascii="Times New Roman" w:hAnsi="Times New Roman" w:eastAsia="宋体" w:cs="Times New Roman"/>
          <w:szCs w:val="21"/>
        </w:rPr>
      </w:pPr>
      <w:r>
        <w:rPr>
          <w:rFonts w:ascii="Times New Roman" w:hAnsi="Times New Roman" w:eastAsia="宋体" w:cs="Times New Roman"/>
          <w:szCs w:val="21"/>
        </w:rPr>
        <w:t>本课程总成绩计算办法是：</w:t>
      </w:r>
    </w:p>
    <w:p>
      <w:pPr>
        <w:keepNext w:val="0"/>
        <w:keepLines w:val="0"/>
        <w:pageBreakBefore w:val="0"/>
        <w:kinsoku/>
        <w:wordWrap/>
        <w:overflowPunct/>
        <w:topLinePunct w:val="0"/>
        <w:autoSpaceDE/>
        <w:autoSpaceDN/>
        <w:bidi w:val="0"/>
        <w:snapToGrid w:val="0"/>
        <w:spacing w:line="360" w:lineRule="auto"/>
        <w:ind w:firstLine="420"/>
        <w:textAlignment w:val="auto"/>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1</w:t>
      </w:r>
      <w:r>
        <w:rPr>
          <w:rFonts w:hint="eastAsia" w:ascii="Times New Roman" w:hAnsi="Times New Roman" w:eastAsia="宋体" w:cs="Times New Roman"/>
          <w:kern w:val="0"/>
          <w:szCs w:val="21"/>
          <w:lang w:val="zh-CN"/>
        </w:rPr>
        <w:t>．</w:t>
      </w:r>
      <w:r>
        <w:rPr>
          <w:rFonts w:ascii="Times New Roman" w:hAnsi="Times New Roman" w:eastAsia="宋体" w:cs="Times New Roman"/>
          <w:kern w:val="0"/>
          <w:szCs w:val="21"/>
          <w:lang w:val="zh-CN"/>
        </w:rPr>
        <w:t>平时成绩（</w:t>
      </w:r>
      <w:bookmarkStart w:id="1570" w:name="_Hlk138711867"/>
      <w:r>
        <w:rPr>
          <w:rFonts w:ascii="Times New Roman" w:hAnsi="Times New Roman" w:eastAsia="宋体" w:cs="Times New Roman"/>
          <w:kern w:val="0"/>
          <w:szCs w:val="21"/>
          <w:lang w:val="zh-CN"/>
        </w:rPr>
        <w:t>包括结合</w:t>
      </w:r>
      <w:r>
        <w:rPr>
          <w:rFonts w:ascii="Times New Roman" w:hAnsi="Times New Roman" w:eastAsia="宋体" w:cs="Times New Roman"/>
          <w:color w:val="353535"/>
          <w:kern w:val="0"/>
          <w:szCs w:val="21"/>
        </w:rPr>
        <w:t>课堂提问、</w:t>
      </w:r>
      <w:r>
        <w:rPr>
          <w:rFonts w:ascii="Times New Roman" w:hAnsi="Times New Roman" w:eastAsia="宋体" w:cs="Times New Roman"/>
          <w:kern w:val="0"/>
          <w:szCs w:val="21"/>
          <w:lang w:val="zh-CN"/>
        </w:rPr>
        <w:t>小</w:t>
      </w:r>
      <w:r>
        <w:rPr>
          <w:rFonts w:ascii="Times New Roman" w:hAnsi="Times New Roman" w:eastAsia="宋体" w:cs="Times New Roman"/>
          <w:color w:val="353535"/>
          <w:kern w:val="0"/>
          <w:szCs w:val="21"/>
        </w:rPr>
        <w:t>组讨论表现、作业、考勤四个部分组成。</w:t>
      </w:r>
      <w:r>
        <w:rPr>
          <w:rFonts w:ascii="Times New Roman" w:hAnsi="Times New Roman" w:eastAsia="宋体" w:cs="Times New Roman"/>
          <w:szCs w:val="21"/>
        </w:rPr>
        <w:t>总成绩100分，四个部分各占比25%</w:t>
      </w:r>
      <w:bookmarkEnd w:id="1570"/>
      <w:r>
        <w:rPr>
          <w:rFonts w:ascii="Times New Roman" w:hAnsi="Times New Roman" w:eastAsia="宋体" w:cs="Times New Roman"/>
          <w:szCs w:val="21"/>
        </w:rPr>
        <w:t>）。</w:t>
      </w:r>
    </w:p>
    <w:p>
      <w:pPr>
        <w:keepNext w:val="0"/>
        <w:keepLines w:val="0"/>
        <w:pageBreakBefore w:val="0"/>
        <w:kinsoku/>
        <w:wordWrap/>
        <w:overflowPunct/>
        <w:topLinePunct w:val="0"/>
        <w:autoSpaceDE/>
        <w:autoSpaceDN/>
        <w:bidi w:val="0"/>
        <w:snapToGrid w:val="0"/>
        <w:spacing w:line="360" w:lineRule="auto"/>
        <w:ind w:firstLine="420"/>
        <w:textAlignment w:val="auto"/>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2</w:t>
      </w:r>
      <w:r>
        <w:rPr>
          <w:rFonts w:hint="eastAsia" w:ascii="Times New Roman" w:hAnsi="Times New Roman" w:eastAsia="宋体" w:cs="Times New Roman"/>
          <w:kern w:val="0"/>
          <w:szCs w:val="21"/>
          <w:lang w:val="zh-CN"/>
        </w:rPr>
        <w:t>．</w:t>
      </w:r>
      <w:r>
        <w:rPr>
          <w:rFonts w:ascii="Times New Roman" w:hAnsi="Times New Roman" w:eastAsia="宋体" w:cs="Times New Roman"/>
          <w:color w:val="353535"/>
          <w:kern w:val="0"/>
          <w:szCs w:val="21"/>
        </w:rPr>
        <w:t>期末成绩（</w:t>
      </w:r>
      <w:r>
        <w:rPr>
          <w:rFonts w:ascii="Times New Roman" w:hAnsi="Times New Roman" w:eastAsia="宋体" w:cs="Times New Roman"/>
          <w:szCs w:val="21"/>
        </w:rPr>
        <w:t>闭卷考试考核方式，</w:t>
      </w:r>
      <w:r>
        <w:rPr>
          <w:rFonts w:ascii="Times New Roman" w:hAnsi="Times New Roman" w:eastAsia="宋体" w:cs="Times New Roman"/>
          <w:color w:val="353535"/>
          <w:kern w:val="0"/>
          <w:szCs w:val="21"/>
        </w:rPr>
        <w:t>成绩</w:t>
      </w:r>
      <w:r>
        <w:rPr>
          <w:rFonts w:ascii="Times New Roman" w:hAnsi="Times New Roman" w:eastAsia="宋体" w:cs="Times New Roman"/>
          <w:kern w:val="0"/>
          <w:szCs w:val="21"/>
          <w:lang w:val="zh-CN"/>
        </w:rPr>
        <w:t>100分）。</w:t>
      </w:r>
    </w:p>
    <w:p>
      <w:pPr>
        <w:keepNext w:val="0"/>
        <w:keepLines w:val="0"/>
        <w:pageBreakBefore w:val="0"/>
        <w:kinsoku/>
        <w:wordWrap/>
        <w:overflowPunct/>
        <w:topLinePunct w:val="0"/>
        <w:autoSpaceDE/>
        <w:autoSpaceDN/>
        <w:bidi w:val="0"/>
        <w:snapToGrid w:val="0"/>
        <w:spacing w:line="360" w:lineRule="auto"/>
        <w:ind w:firstLine="420"/>
        <w:textAlignment w:val="auto"/>
        <w:rPr>
          <w:rFonts w:ascii="Times New Roman" w:hAnsi="Times New Roman" w:eastAsia="宋体" w:cs="Times New Roman"/>
          <w:kern w:val="0"/>
          <w:szCs w:val="21"/>
          <w:lang w:val="zh-CN"/>
        </w:rPr>
      </w:pPr>
      <w:r>
        <w:rPr>
          <w:rFonts w:ascii="Times New Roman" w:hAnsi="Times New Roman" w:eastAsia="宋体" w:cs="Times New Roman"/>
          <w:kern w:val="0"/>
          <w:szCs w:val="21"/>
          <w:lang w:val="zh-CN"/>
        </w:rPr>
        <w:t>3</w:t>
      </w:r>
      <w:r>
        <w:rPr>
          <w:rFonts w:hint="eastAsia" w:ascii="Times New Roman" w:hAnsi="Times New Roman" w:eastAsia="宋体" w:cs="Times New Roman"/>
          <w:kern w:val="0"/>
          <w:szCs w:val="21"/>
          <w:lang w:val="zh-CN"/>
        </w:rPr>
        <w:t>．</w:t>
      </w:r>
      <w:r>
        <w:rPr>
          <w:rFonts w:ascii="Times New Roman" w:hAnsi="Times New Roman" w:eastAsia="宋体" w:cs="Times New Roman"/>
          <w:kern w:val="0"/>
          <w:szCs w:val="21"/>
          <w:lang w:val="zh-CN"/>
        </w:rPr>
        <w:t>综合成绩（平时成绩×40%+期末成绩</w:t>
      </w:r>
      <w:r>
        <w:rPr>
          <w:rFonts w:ascii="Times New Roman" w:hAnsi="Times New Roman" w:eastAsia="宋体" w:cs="Times New Roman"/>
          <w:szCs w:val="21"/>
        </w:rPr>
        <w:t>×60%</w:t>
      </w:r>
      <w:r>
        <w:rPr>
          <w:rFonts w:ascii="Times New Roman" w:hAnsi="Times New Roman" w:eastAsia="宋体" w:cs="Times New Roman"/>
          <w:kern w:val="0"/>
          <w:szCs w:val="21"/>
          <w:lang w:val="zh-CN"/>
        </w:rPr>
        <w:t>）。</w:t>
      </w:r>
    </w:p>
    <w:p>
      <w:pPr>
        <w:keepNext w:val="0"/>
        <w:keepLines w:val="0"/>
        <w:pageBreakBefore w:val="0"/>
        <w:kinsoku/>
        <w:wordWrap/>
        <w:overflowPunct/>
        <w:topLinePunct w:val="0"/>
        <w:autoSpaceDE/>
        <w:autoSpaceDN/>
        <w:bidi w:val="0"/>
        <w:snapToGrid w:val="0"/>
        <w:spacing w:line="360" w:lineRule="auto"/>
        <w:textAlignment w:val="auto"/>
        <w:rPr>
          <w:rFonts w:ascii="Times New Roman" w:hAnsi="Times New Roman" w:eastAsia="宋体" w:cs="Times New Roman"/>
          <w:b/>
          <w:szCs w:val="21"/>
        </w:rPr>
      </w:pPr>
      <w:r>
        <w:rPr>
          <w:rFonts w:ascii="Times New Roman" w:hAnsi="Times New Roman" w:eastAsia="宋体" w:cs="Times New Roman"/>
          <w:b/>
          <w:szCs w:val="21"/>
        </w:rPr>
        <w:t>六、考核结果分析反馈</w:t>
      </w:r>
    </w:p>
    <w:p>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宋体" w:hAnsi="宋体"/>
          <w:b/>
          <w:sz w:val="28"/>
          <w:szCs w:val="28"/>
          <w:lang w:val="en-US" w:eastAsia="zh-CN"/>
        </w:rPr>
      </w:pPr>
      <w:r>
        <w:rPr>
          <w:rFonts w:ascii="Times New Roman" w:hAnsi="Times New Roman" w:eastAsia="宋体" w:cs="Times New Roman"/>
          <w:szCs w:val="21"/>
        </w:rPr>
        <w:t>本课程以全面的介绍了园艺学所涉及到诸如</w:t>
      </w:r>
      <w:r>
        <w:rPr>
          <w:rFonts w:ascii="Times New Roman" w:hAnsi="Times New Roman" w:eastAsia="宋体" w:cs="Times New Roman"/>
          <w:kern w:val="0"/>
          <w:szCs w:val="21"/>
        </w:rPr>
        <w:t>园艺植物的分类、园艺植物的生物学特性及其与环境条件的关系、园艺植物的品种选育、改良及繁殖、园艺设施、园艺生产的基本技术、果树园艺、蔬菜园艺、观赏园艺、园艺产品采后处理及贮藏等</w:t>
      </w:r>
      <w:r>
        <w:rPr>
          <w:rFonts w:ascii="Times New Roman" w:hAnsi="Times New Roman" w:eastAsia="宋体" w:cs="Times New Roman"/>
          <w:szCs w:val="21"/>
        </w:rPr>
        <w:t>的基本概念、基本知识等众多内容。在教学过程中，针对基本概念、要求学生在理解的基础上，用自己的语言表达；关于基本只是、方法，要求学生通过自己的理解，进行概括和总结；对于需要综合运用所学知识分析、解决问题的内容，要求结合实际阐述自己的观点。针对课程的考试结果分析和反馈，主要包括：本门课程形成性成绩所占比例和评分依据；整体考试综合成绩分布情况；学生在知识掌握、学习方法等等方面的问题，教师在教学过程中存在的问题等；今后教学中应注意的问题。</w:t>
      </w:r>
      <w:r>
        <w:rPr>
          <w:rFonts w:hint="eastAsia" w:ascii="宋体" w:hAnsi="宋体"/>
          <w:b/>
          <w:sz w:val="28"/>
          <w:szCs w:val="28"/>
          <w:lang w:val="en-US" w:eastAsia="zh-CN"/>
        </w:rPr>
        <w:br w:type="page"/>
      </w:r>
    </w:p>
    <w:p>
      <w:pPr>
        <w:snapToGrid w:val="0"/>
        <w:spacing w:line="360" w:lineRule="auto"/>
        <w:jc w:val="center"/>
        <w:rPr>
          <w:rFonts w:hint="default" w:ascii="宋体" w:hAnsi="宋体" w:eastAsia="宋体"/>
          <w:b/>
          <w:sz w:val="28"/>
          <w:szCs w:val="28"/>
          <w:lang w:val="en-US" w:eastAsia="zh-CN"/>
        </w:rPr>
      </w:pPr>
      <w:r>
        <w:rPr>
          <w:rFonts w:hint="eastAsia" w:ascii="宋体" w:hAnsi="宋体"/>
          <w:b/>
          <w:sz w:val="28"/>
          <w:szCs w:val="28"/>
          <w:lang w:val="en-US" w:eastAsia="zh-CN"/>
        </w:rPr>
        <w:t>阳台园艺考核大纲</w:t>
      </w:r>
    </w:p>
    <w:p>
      <w:pPr>
        <w:snapToGrid w:val="0"/>
        <w:spacing w:line="360" w:lineRule="auto"/>
        <w:jc w:val="center"/>
        <w:rPr>
          <w:rFonts w:hAnsi="宋体"/>
          <w:sz w:val="28"/>
          <w:szCs w:val="28"/>
        </w:rPr>
      </w:pPr>
      <w:r>
        <w:rPr>
          <w:rFonts w:hint="default" w:ascii="Times New Roman" w:hAnsi="Times New Roman" w:cs="Times New Roman"/>
          <w:i w:val="0"/>
          <w:iCs w:val="0"/>
          <w:sz w:val="28"/>
          <w:szCs w:val="28"/>
        </w:rPr>
        <w:t>（</w:t>
      </w:r>
      <w:r>
        <w:rPr>
          <w:rFonts w:hint="default" w:ascii="Times New Roman" w:hAnsi="Times New Roman" w:eastAsia="黑体" w:cs="Times New Roman"/>
          <w:bCs/>
          <w:i w:val="0"/>
          <w:iCs w:val="0"/>
          <w:kern w:val="36"/>
          <w:sz w:val="24"/>
          <w:lang w:val="en-US" w:eastAsia="zh-CN"/>
        </w:rPr>
        <w:t>Balcony gardening</w:t>
      </w:r>
      <w:r>
        <w:rPr>
          <w:rFonts w:hAnsi="宋体"/>
          <w:sz w:val="28"/>
          <w:szCs w:val="28"/>
        </w:rPr>
        <w:t>）</w:t>
      </w:r>
    </w:p>
    <w:p>
      <w:pPr>
        <w:snapToGrid w:val="0"/>
        <w:spacing w:line="360" w:lineRule="auto"/>
        <w:jc w:val="center"/>
        <w:rPr>
          <w:b/>
          <w:szCs w:val="21"/>
        </w:rPr>
      </w:pPr>
      <w:r>
        <w:rPr>
          <w:rFonts w:hint="eastAsia"/>
          <w:b/>
          <w:szCs w:val="21"/>
        </w:rPr>
        <w:t>课程基本信息</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36"/>
        <w:gridCol w:w="2250"/>
        <w:gridCol w:w="3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ascii="宋体" w:hAnsi="宋体"/>
                <w:b/>
                <w:bCs/>
                <w:szCs w:val="21"/>
              </w:rPr>
            </w:pPr>
            <w:r>
              <w:rPr>
                <w:rFonts w:hint="eastAsia" w:ascii="宋体" w:hAnsi="宋体"/>
                <w:b/>
                <w:bCs/>
                <w:szCs w:val="21"/>
              </w:rPr>
              <w:t>课程编号：</w:t>
            </w:r>
            <w:r>
              <w:rPr>
                <w:rFonts w:hint="eastAsia" w:ascii="宋体" w:hAnsi="宋体"/>
                <w:b/>
                <w:bCs/>
                <w:kern w:val="0"/>
                <w:szCs w:val="21"/>
                <w:lang w:val="en-US" w:eastAsia="zh-CN"/>
              </w:rPr>
              <w:t>19011165</w:t>
            </w:r>
          </w:p>
        </w:tc>
        <w:tc>
          <w:tcPr>
            <w:tcW w:w="1234" w:type="pct"/>
          </w:tcPr>
          <w:p>
            <w:pPr>
              <w:spacing w:line="300" w:lineRule="auto"/>
              <w:rPr>
                <w:rFonts w:hint="eastAsia" w:ascii="宋体" w:hAnsi="宋体" w:eastAsia="宋体"/>
                <w:b/>
                <w:bCs/>
                <w:szCs w:val="21"/>
                <w:lang w:val="en-US" w:eastAsia="zh-CN"/>
              </w:rPr>
            </w:pPr>
            <w:r>
              <w:rPr>
                <w:rFonts w:hint="eastAsia" w:ascii="宋体" w:hAnsi="宋体"/>
                <w:b/>
                <w:bCs/>
                <w:szCs w:val="21"/>
              </w:rPr>
              <w:t>课程学时：</w:t>
            </w:r>
            <w:r>
              <w:rPr>
                <w:rFonts w:hint="eastAsia" w:ascii="宋体" w:hAnsi="宋体"/>
                <w:b/>
                <w:bCs/>
                <w:kern w:val="0"/>
                <w:sz w:val="20"/>
                <w:szCs w:val="21"/>
                <w:lang w:val="en-US" w:eastAsia="zh-CN"/>
              </w:rPr>
              <w:t>16学时</w:t>
            </w:r>
          </w:p>
        </w:tc>
        <w:tc>
          <w:tcPr>
            <w:tcW w:w="2100" w:type="pct"/>
          </w:tcPr>
          <w:p>
            <w:pPr>
              <w:spacing w:line="300" w:lineRule="auto"/>
              <w:rPr>
                <w:rFonts w:ascii="宋体" w:hAnsi="宋体"/>
                <w:b/>
                <w:bCs/>
                <w:szCs w:val="21"/>
              </w:rPr>
            </w:pPr>
            <w:r>
              <w:rPr>
                <w:rFonts w:hint="eastAsia" w:ascii="宋体" w:hAnsi="宋体"/>
                <w:b/>
                <w:bCs/>
                <w:szCs w:val="21"/>
              </w:rPr>
              <w:t>课程学分：</w:t>
            </w:r>
            <w:r>
              <w:rPr>
                <w:rFonts w:hint="eastAsia" w:ascii="宋体" w:hAnsi="宋体"/>
                <w:b/>
                <w:bCs/>
                <w:szCs w:val="21"/>
                <w:lang w:val="en-US" w:eastAsia="zh-CN"/>
              </w:rPr>
              <w:t>1学分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5" w:type="pct"/>
          </w:tcPr>
          <w:p>
            <w:pPr>
              <w:spacing w:line="300" w:lineRule="auto"/>
              <w:rPr>
                <w:rFonts w:hint="eastAsia" w:ascii="宋体" w:hAnsi="宋体" w:eastAsia="宋体"/>
                <w:b/>
                <w:bCs/>
                <w:szCs w:val="21"/>
                <w:lang w:val="en-US" w:eastAsia="zh-CN"/>
              </w:rPr>
            </w:pPr>
            <w:r>
              <w:rPr>
                <w:rFonts w:hint="eastAsia" w:ascii="宋体" w:hAnsi="宋体"/>
                <w:b/>
                <w:bCs/>
                <w:szCs w:val="21"/>
              </w:rPr>
              <w:t>主撰人：</w:t>
            </w:r>
            <w:r>
              <w:rPr>
                <w:rFonts w:hint="eastAsia" w:ascii="宋体" w:hAnsi="宋体"/>
                <w:b/>
                <w:bCs/>
                <w:szCs w:val="21"/>
                <w:lang w:val="en-US" w:eastAsia="zh-CN"/>
              </w:rPr>
              <w:t>刘珂珂</w:t>
            </w:r>
          </w:p>
        </w:tc>
        <w:tc>
          <w:tcPr>
            <w:tcW w:w="1234" w:type="pct"/>
          </w:tcPr>
          <w:p>
            <w:pPr>
              <w:spacing w:line="300" w:lineRule="auto"/>
              <w:rPr>
                <w:rFonts w:hint="eastAsia" w:ascii="宋体" w:hAnsi="宋体" w:eastAsia="宋体"/>
                <w:b/>
                <w:bCs/>
                <w:szCs w:val="21"/>
                <w:lang w:val="en-US" w:eastAsia="zh-CN"/>
              </w:rPr>
            </w:pPr>
            <w:r>
              <w:rPr>
                <w:rFonts w:hint="eastAsia" w:ascii="宋体" w:hAnsi="宋体"/>
                <w:b/>
                <w:bCs/>
                <w:szCs w:val="21"/>
              </w:rPr>
              <w:t>审核人：</w:t>
            </w:r>
            <w:r>
              <w:rPr>
                <w:rFonts w:hint="eastAsia" w:ascii="宋体" w:hAnsi="宋体"/>
                <w:b/>
                <w:bCs/>
                <w:szCs w:val="21"/>
                <w:lang w:val="en-US" w:eastAsia="zh-CN"/>
              </w:rPr>
              <w:t>贾芝琪</w:t>
            </w:r>
          </w:p>
        </w:tc>
        <w:tc>
          <w:tcPr>
            <w:tcW w:w="2100" w:type="pct"/>
          </w:tcPr>
          <w:p>
            <w:pPr>
              <w:spacing w:line="300" w:lineRule="auto"/>
              <w:rPr>
                <w:rFonts w:hint="default" w:ascii="宋体" w:hAnsi="宋体" w:eastAsia="宋体"/>
                <w:b/>
                <w:bCs/>
                <w:szCs w:val="21"/>
                <w:lang w:val="en-US" w:eastAsia="zh-CN"/>
              </w:rPr>
            </w:pPr>
            <w:r>
              <w:rPr>
                <w:rFonts w:hint="eastAsia" w:ascii="宋体" w:hAnsi="宋体"/>
                <w:b/>
                <w:bCs/>
                <w:szCs w:val="21"/>
              </w:rPr>
              <w:t>大纲制定（修订）日期：</w:t>
            </w:r>
            <w:r>
              <w:rPr>
                <w:rFonts w:hint="eastAsia" w:ascii="宋体" w:hAnsi="宋体"/>
                <w:b/>
                <w:bCs/>
                <w:szCs w:val="21"/>
                <w:lang w:val="en-US" w:eastAsia="zh-CN"/>
              </w:rPr>
              <w:t>2023.05</w:t>
            </w:r>
          </w:p>
        </w:tc>
      </w:tr>
    </w:tbl>
    <w:p>
      <w:pPr>
        <w:snapToGrid w:val="0"/>
        <w:spacing w:line="360" w:lineRule="auto"/>
        <w:rPr>
          <w:b/>
          <w:szCs w:val="21"/>
        </w:rPr>
      </w:pPr>
    </w:p>
    <w:p>
      <w:pPr>
        <w:keepNext w:val="0"/>
        <w:keepLines w:val="0"/>
        <w:pageBreakBefore w:val="0"/>
        <w:widowControl/>
        <w:kinsoku/>
        <w:wordWrap/>
        <w:overflowPunct/>
        <w:topLinePunct w:val="0"/>
        <w:autoSpaceDE/>
        <w:autoSpaceDN/>
        <w:bidi w:val="0"/>
        <w:snapToGrid w:val="0"/>
        <w:spacing w:line="360" w:lineRule="auto"/>
        <w:jc w:val="left"/>
        <w:textAlignment w:val="auto"/>
        <w:rPr>
          <w:rFonts w:hint="eastAsia" w:ascii="宋体" w:hAnsi="宋体"/>
          <w:kern w:val="0"/>
          <w:szCs w:val="21"/>
        </w:rPr>
      </w:pPr>
      <w:r>
        <w:rPr>
          <w:rFonts w:hint="eastAsia" w:asciiTheme="majorEastAsia" w:hAnsiTheme="majorEastAsia" w:eastAsiaTheme="majorEastAsia" w:cstheme="majorEastAsia"/>
          <w:b/>
          <w:bCs/>
          <w:kern w:val="0"/>
          <w:szCs w:val="21"/>
        </w:rPr>
        <w:t>一、课程的性质和地位</w:t>
      </w:r>
    </w:p>
    <w:p>
      <w:pPr>
        <w:keepNext w:val="0"/>
        <w:keepLines w:val="0"/>
        <w:pageBreakBefore w:val="0"/>
        <w:widowControl/>
        <w:kinsoku/>
        <w:wordWrap/>
        <w:overflowPunct/>
        <w:topLinePunct w:val="0"/>
        <w:autoSpaceDE/>
        <w:autoSpaceDN/>
        <w:bidi w:val="0"/>
        <w:snapToGrid w:val="0"/>
        <w:spacing w:line="360" w:lineRule="auto"/>
        <w:ind w:firstLine="420" w:firstLineChars="200"/>
        <w:jc w:val="left"/>
        <w:textAlignment w:val="auto"/>
        <w:rPr>
          <w:rFonts w:hint="default" w:ascii="宋体" w:hAnsi="宋体" w:eastAsia="宋体"/>
          <w:kern w:val="0"/>
          <w:szCs w:val="21"/>
          <w:lang w:val="en-US" w:eastAsia="zh-CN"/>
        </w:rPr>
      </w:pPr>
      <w:r>
        <w:rPr>
          <w:rFonts w:hint="eastAsia" w:ascii="宋体" w:hAnsi="宋体"/>
          <w:kern w:val="0"/>
          <w:szCs w:val="21"/>
        </w:rPr>
        <w:t>《阳台园艺》是</w:t>
      </w:r>
      <w:r>
        <w:rPr>
          <w:rFonts w:hint="eastAsia" w:ascii="宋体" w:hAnsi="宋体"/>
          <w:kern w:val="0"/>
          <w:szCs w:val="21"/>
          <w:lang w:val="en-US" w:eastAsia="zh-CN"/>
        </w:rPr>
        <w:t>园艺学院教师</w:t>
      </w:r>
      <w:r>
        <w:rPr>
          <w:rFonts w:hint="eastAsia" w:ascii="宋体" w:hAnsi="宋体"/>
          <w:kern w:val="0"/>
          <w:szCs w:val="21"/>
        </w:rPr>
        <w:t>面向所有热爱园艺植物的学生、专业和非专业人士，精心奉献的</w:t>
      </w:r>
      <w:r>
        <w:rPr>
          <w:rFonts w:hint="eastAsia" w:ascii="宋体" w:hAnsi="宋体"/>
          <w:kern w:val="0"/>
          <w:szCs w:val="21"/>
          <w:lang w:val="en-US" w:eastAsia="zh-CN"/>
        </w:rPr>
        <w:t>公共选修</w:t>
      </w:r>
      <w:r>
        <w:rPr>
          <w:rFonts w:hint="eastAsia" w:ascii="宋体" w:hAnsi="宋体"/>
          <w:kern w:val="0"/>
          <w:szCs w:val="21"/>
        </w:rPr>
        <w:t>课程。课程</w:t>
      </w:r>
      <w:r>
        <w:rPr>
          <w:rFonts w:hint="eastAsia" w:ascii="宋体" w:hAnsi="宋体"/>
          <w:kern w:val="0"/>
          <w:szCs w:val="21"/>
          <w:lang w:val="en-US" w:eastAsia="zh-CN"/>
        </w:rPr>
        <w:t>对</w:t>
      </w:r>
      <w:r>
        <w:rPr>
          <w:rFonts w:hint="eastAsia" w:ascii="宋体" w:hAnsi="宋体"/>
          <w:kern w:val="0"/>
          <w:szCs w:val="21"/>
        </w:rPr>
        <w:t>阳台园艺基本知识、阳台花园、阳台菜园等知识的学习，使学习者掌握阳台园艺种植技术，感受阳台园艺之美。</w:t>
      </w:r>
      <w:r>
        <w:rPr>
          <w:rFonts w:hint="eastAsia" w:ascii="宋体" w:hAnsi="宋体"/>
          <w:kern w:val="0"/>
          <w:szCs w:val="21"/>
          <w:lang w:val="en-US" w:eastAsia="zh-CN"/>
        </w:rPr>
        <w:t>培养学习者绿色生态的理念和感受美好、创造美好的能力。</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二、理论教学部分的考核目标</w:t>
      </w:r>
    </w:p>
    <w:p>
      <w:pPr>
        <w:keepNext w:val="0"/>
        <w:keepLines w:val="0"/>
        <w:pageBreakBefore w:val="0"/>
        <w:kinsoku/>
        <w:wordWrap/>
        <w:overflowPunct/>
        <w:topLinePunct w:val="0"/>
        <w:autoSpaceDE/>
        <w:autoSpaceDN/>
        <w:bidi w:val="0"/>
        <w:spacing w:line="360" w:lineRule="auto"/>
        <w:ind w:firstLine="420"/>
        <w:textAlignment w:val="auto"/>
        <w:rPr>
          <w:rFonts w:hint="default" w:ascii="宋体" w:hAnsi="宋体"/>
          <w:szCs w:val="21"/>
          <w:lang w:val="en-US"/>
        </w:rPr>
      </w:pPr>
      <w:r>
        <w:rPr>
          <w:rFonts w:ascii="Times New Roman"/>
          <w:szCs w:val="21"/>
        </w:rPr>
        <w:t>使学生了解园艺</w:t>
      </w:r>
      <w:r>
        <w:rPr>
          <w:rFonts w:hint="eastAsia" w:ascii="Times New Roman"/>
          <w:szCs w:val="21"/>
          <w:lang w:val="en-US" w:eastAsia="zh-CN"/>
        </w:rPr>
        <w:t>阳台园艺</w:t>
      </w:r>
      <w:r>
        <w:rPr>
          <w:rFonts w:ascii="Times New Roman"/>
          <w:szCs w:val="21"/>
        </w:rPr>
        <w:t>的</w:t>
      </w:r>
      <w:r>
        <w:rPr>
          <w:rFonts w:hint="eastAsia" w:ascii="Times New Roman"/>
          <w:szCs w:val="21"/>
          <w:lang w:val="en-US" w:eastAsia="zh-CN"/>
        </w:rPr>
        <w:t>设施、工具、基质、类型</w:t>
      </w:r>
      <w:r>
        <w:rPr>
          <w:rFonts w:ascii="Times New Roman"/>
          <w:szCs w:val="21"/>
        </w:rPr>
        <w:t>，了解和掌握</w:t>
      </w:r>
      <w:r>
        <w:rPr>
          <w:rFonts w:hint="eastAsia" w:ascii="Times New Roman"/>
          <w:szCs w:val="21"/>
          <w:lang w:val="en-US" w:eastAsia="zh-CN"/>
        </w:rPr>
        <w:t>常见阳台园艺植物的栽植和管理技术。能够根据不同阳台环境选择合适园艺植物，制定合理的栽培措施。</w:t>
      </w:r>
    </w:p>
    <w:p>
      <w:pPr>
        <w:keepNext w:val="0"/>
        <w:keepLines w:val="0"/>
        <w:pageBreakBefore w:val="0"/>
        <w:kinsoku/>
        <w:wordWrap/>
        <w:overflowPunct/>
        <w:topLinePunct w:val="0"/>
        <w:autoSpaceDE/>
        <w:autoSpaceDN/>
        <w:bidi w:val="0"/>
        <w:snapToGrid w:val="0"/>
        <w:spacing w:line="360" w:lineRule="auto"/>
        <w:jc w:val="center"/>
        <w:textAlignment w:val="auto"/>
        <w:rPr>
          <w:rFonts w:ascii="宋体" w:hAnsi="宋体"/>
          <w:b/>
          <w:szCs w:val="21"/>
        </w:rPr>
      </w:pPr>
      <w:r>
        <w:rPr>
          <w:rFonts w:hint="eastAsia" w:ascii="宋体" w:hAnsi="宋体"/>
          <w:b/>
          <w:szCs w:val="21"/>
        </w:rPr>
        <w:t>绪论</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（一）学习目标</w:t>
      </w:r>
    </w:p>
    <w:p>
      <w:pPr>
        <w:keepNext w:val="0"/>
        <w:keepLines w:val="0"/>
        <w:pageBreakBefore w:val="0"/>
        <w:widowControl w:val="0"/>
        <w:numPr>
          <w:ilvl w:val="0"/>
          <w:numId w:val="56"/>
        </w:numPr>
        <w:kinsoku/>
        <w:wordWrap/>
        <w:overflowPunct/>
        <w:topLinePunct w:val="0"/>
        <w:autoSpaceDE/>
        <w:autoSpaceDN/>
        <w:bidi w:val="0"/>
        <w:adjustRightInd/>
        <w:snapToGrid w:val="0"/>
        <w:spacing w:line="360" w:lineRule="auto"/>
        <w:ind w:firstLine="422" w:firstLineChars="200"/>
        <w:textAlignment w:val="auto"/>
        <w:rPr>
          <w:rFonts w:ascii="宋体" w:hAnsi="宋体"/>
          <w:szCs w:val="21"/>
        </w:rPr>
      </w:pPr>
      <w:r>
        <w:rPr>
          <w:rFonts w:hint="eastAsia" w:ascii="宋体" w:hAnsi="宋体"/>
          <w:b/>
          <w:szCs w:val="21"/>
          <w:lang w:val="en-US" w:eastAsia="zh-CN"/>
        </w:rPr>
        <w:t>一般</w:t>
      </w:r>
      <w:r>
        <w:rPr>
          <w:rFonts w:hint="eastAsia" w:ascii="宋体" w:hAnsi="宋体"/>
          <w:b/>
          <w:szCs w:val="21"/>
        </w:rPr>
        <w:t>了解</w:t>
      </w:r>
      <w:r>
        <w:rPr>
          <w:rFonts w:hint="eastAsia" w:ascii="宋体" w:hAnsi="宋体"/>
          <w:szCs w:val="21"/>
        </w:rPr>
        <w:t>：</w:t>
      </w:r>
      <w:r>
        <w:rPr>
          <w:rFonts w:hint="eastAsia" w:hAnsi="宋体"/>
          <w:szCs w:val="21"/>
          <w:lang w:val="en-US" w:eastAsia="zh-CN"/>
        </w:rPr>
        <w:t>阳台园艺</w:t>
      </w:r>
      <w:r>
        <w:rPr>
          <w:rFonts w:hAnsi="宋体"/>
          <w:szCs w:val="21"/>
        </w:rPr>
        <w:t>的发展</w:t>
      </w:r>
      <w:r>
        <w:rPr>
          <w:rFonts w:hint="eastAsia" w:hAnsi="宋体"/>
          <w:szCs w:val="21"/>
        </w:rPr>
        <w:t>。</w:t>
      </w:r>
    </w:p>
    <w:p>
      <w:pPr>
        <w:keepNext w:val="0"/>
        <w:keepLines w:val="0"/>
        <w:pageBreakBefore w:val="0"/>
        <w:widowControl w:val="0"/>
        <w:kinsoku/>
        <w:wordWrap/>
        <w:overflowPunct/>
        <w:topLinePunct w:val="0"/>
        <w:autoSpaceDE/>
        <w:autoSpaceDN/>
        <w:bidi w:val="0"/>
        <w:adjustRightInd/>
        <w:snapToGrid w:val="0"/>
        <w:spacing w:line="360" w:lineRule="auto"/>
        <w:ind w:left="422"/>
        <w:textAlignment w:val="auto"/>
        <w:rPr>
          <w:rFonts w:ascii="宋体" w:hAnsi="宋体"/>
          <w:szCs w:val="21"/>
        </w:rPr>
      </w:pPr>
      <w:r>
        <w:rPr>
          <w:rFonts w:hint="eastAsia" w:ascii="宋体" w:hAnsi="宋体"/>
          <w:b/>
          <w:szCs w:val="21"/>
        </w:rPr>
        <w:t xml:space="preserve">2. </w:t>
      </w:r>
      <w:r>
        <w:rPr>
          <w:rFonts w:hint="eastAsia" w:ascii="宋体" w:hAnsi="宋体"/>
          <w:b/>
          <w:szCs w:val="21"/>
          <w:lang w:val="en-US" w:eastAsia="zh-CN"/>
        </w:rPr>
        <w:t>一般</w:t>
      </w:r>
      <w:r>
        <w:rPr>
          <w:rFonts w:hint="eastAsia" w:ascii="宋体" w:hAnsi="宋体"/>
          <w:b/>
          <w:szCs w:val="21"/>
        </w:rPr>
        <w:t>掌握</w:t>
      </w:r>
      <w:r>
        <w:rPr>
          <w:rFonts w:hint="eastAsia" w:ascii="宋体" w:hAnsi="宋体"/>
          <w:szCs w:val="21"/>
        </w:rPr>
        <w:t>：</w:t>
      </w:r>
      <w:r>
        <w:rPr>
          <w:rFonts w:hint="eastAsia" w:hAnsi="宋体"/>
          <w:szCs w:val="21"/>
          <w:lang w:val="en-US" w:eastAsia="zh-CN"/>
        </w:rPr>
        <w:t>园艺</w:t>
      </w:r>
      <w:r>
        <w:rPr>
          <w:rFonts w:hAnsi="宋体"/>
          <w:szCs w:val="21"/>
        </w:rPr>
        <w:t>的涵义</w:t>
      </w:r>
      <w:r>
        <w:rPr>
          <w:rFonts w:hint="eastAsia" w:hAnsi="宋体"/>
          <w:szCs w:val="21"/>
        </w:rPr>
        <w:t>。</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ascii="宋体" w:hAnsi="宋体"/>
          <w:szCs w:val="21"/>
        </w:rPr>
      </w:pPr>
      <w:r>
        <w:rPr>
          <w:rFonts w:hint="eastAsia" w:ascii="宋体" w:hAnsi="宋体"/>
          <w:b/>
          <w:szCs w:val="21"/>
          <w:lang w:val="en-US" w:eastAsia="zh-CN"/>
        </w:rPr>
        <w:t>1.</w:t>
      </w:r>
      <w:r>
        <w:rPr>
          <w:rFonts w:hint="eastAsia" w:hAnsi="宋体"/>
          <w:szCs w:val="21"/>
          <w:lang w:val="en-US" w:eastAsia="zh-CN"/>
        </w:rPr>
        <w:t>园艺</w:t>
      </w:r>
      <w:r>
        <w:rPr>
          <w:rFonts w:hAnsi="宋体"/>
          <w:szCs w:val="21"/>
        </w:rPr>
        <w:t>的涵义</w:t>
      </w:r>
      <w:r>
        <w:rPr>
          <w:rFonts w:hint="eastAsia" w:hAnsi="宋体"/>
          <w:szCs w:val="21"/>
        </w:rPr>
        <w:t>。</w:t>
      </w:r>
    </w:p>
    <w:p>
      <w:pPr>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ascii="宋体" w:hAnsi="宋体"/>
          <w:szCs w:val="21"/>
        </w:rPr>
      </w:pPr>
      <w:r>
        <w:rPr>
          <w:rFonts w:hint="eastAsia" w:ascii="宋体" w:hAnsi="宋体"/>
          <w:b/>
          <w:szCs w:val="21"/>
          <w:lang w:val="en-US" w:eastAsia="zh-CN"/>
        </w:rPr>
        <w:t>2.</w:t>
      </w:r>
      <w:r>
        <w:rPr>
          <w:rFonts w:hint="eastAsia" w:hAnsi="宋体"/>
          <w:szCs w:val="21"/>
          <w:lang w:val="en-US" w:eastAsia="zh-CN"/>
        </w:rPr>
        <w:t>阳台园艺</w:t>
      </w:r>
      <w:r>
        <w:rPr>
          <w:rFonts w:hAnsi="宋体"/>
          <w:szCs w:val="21"/>
        </w:rPr>
        <w:t>的发展</w:t>
      </w:r>
      <w:r>
        <w:rPr>
          <w:rFonts w:hint="eastAsia" w:ascii="宋体" w:hAnsi="宋体"/>
          <w:szCs w:val="21"/>
        </w:rPr>
        <w:t>。</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（三）考核要求</w:t>
      </w:r>
    </w:p>
    <w:p>
      <w:pPr>
        <w:keepNext w:val="0"/>
        <w:keepLines w:val="0"/>
        <w:pageBreakBefore w:val="0"/>
        <w:widowControl w:val="0"/>
        <w:kinsoku/>
        <w:wordWrap/>
        <w:overflowPunct/>
        <w:topLinePunct w:val="0"/>
        <w:autoSpaceDE/>
        <w:autoSpaceDN/>
        <w:bidi w:val="0"/>
        <w:spacing w:line="360" w:lineRule="auto"/>
        <w:ind w:firstLine="422" w:firstLineChars="200"/>
        <w:jc w:val="left"/>
        <w:textAlignment w:val="auto"/>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hint="eastAsia" w:hAnsi="宋体"/>
          <w:szCs w:val="21"/>
          <w:lang w:val="en-US" w:eastAsia="zh-CN"/>
        </w:rPr>
        <w:t>园艺</w:t>
      </w:r>
      <w:r>
        <w:rPr>
          <w:rFonts w:hAnsi="宋体"/>
          <w:szCs w:val="21"/>
        </w:rPr>
        <w:t>的涵义</w:t>
      </w:r>
      <w:r>
        <w:rPr>
          <w:rFonts w:hint="eastAsia" w:hAnsi="宋体"/>
          <w:szCs w:val="21"/>
        </w:rPr>
        <w:t>。</w:t>
      </w:r>
    </w:p>
    <w:p>
      <w:pPr>
        <w:keepNext w:val="0"/>
        <w:keepLines w:val="0"/>
        <w:pageBreakBefore w:val="0"/>
        <w:widowControl w:val="0"/>
        <w:kinsoku/>
        <w:wordWrap/>
        <w:overflowPunct/>
        <w:topLinePunct w:val="0"/>
        <w:autoSpaceDE/>
        <w:autoSpaceDN/>
        <w:bidi w:val="0"/>
        <w:spacing w:line="360" w:lineRule="auto"/>
        <w:ind w:firstLine="422" w:firstLineChars="200"/>
        <w:jc w:val="left"/>
        <w:textAlignment w:val="auto"/>
        <w:rPr>
          <w:rFonts w:hint="eastAsia" w:ascii="宋体" w:hAnsi="宋体"/>
          <w:b/>
          <w:bCs/>
          <w:szCs w:val="21"/>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hint="eastAsia" w:hAnsi="宋体"/>
          <w:szCs w:val="21"/>
          <w:lang w:val="en-US" w:eastAsia="zh-CN"/>
        </w:rPr>
        <w:t>阳台园艺</w:t>
      </w:r>
      <w:r>
        <w:rPr>
          <w:rFonts w:hAnsi="宋体"/>
          <w:szCs w:val="21"/>
        </w:rPr>
        <w:t>的发展</w:t>
      </w:r>
      <w:r>
        <w:rPr>
          <w:rFonts w:hint="eastAsia" w:hAnsi="宋体"/>
          <w:szCs w:val="21"/>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hint="default" w:hAnsi="宋体"/>
          <w:szCs w:val="21"/>
          <w:lang w:val="en-US" w:eastAsia="zh-CN"/>
        </w:rPr>
      </w:pPr>
      <w:r>
        <w:rPr>
          <w:rFonts w:hint="eastAsia" w:ascii="宋体" w:hAnsi="宋体"/>
          <w:b/>
          <w:bCs/>
          <w:szCs w:val="21"/>
        </w:rPr>
        <w:t>3</w:t>
      </w:r>
      <w:r>
        <w:rPr>
          <w:rFonts w:ascii="宋体" w:hAnsi="宋体"/>
          <w:b/>
          <w:bCs/>
          <w:szCs w:val="21"/>
        </w:rPr>
        <w:t>.</w:t>
      </w:r>
      <w:r>
        <w:rPr>
          <w:rFonts w:hint="eastAsia" w:ascii="宋体" w:hAnsi="宋体"/>
          <w:b/>
          <w:bCs/>
          <w:szCs w:val="21"/>
        </w:rPr>
        <w:t>应用：</w:t>
      </w:r>
      <w:r>
        <w:rPr>
          <w:rFonts w:hint="eastAsia" w:hAnsi="宋体"/>
          <w:szCs w:val="21"/>
          <w:lang w:val="en-US" w:eastAsia="zh-CN"/>
        </w:rPr>
        <w:t>阳台是个特殊的栽培环境，有自身的特点。</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left"/>
        <w:textAlignment w:val="auto"/>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keepNext w:val="0"/>
        <w:keepLines w:val="0"/>
        <w:pageBreakBefore w:val="0"/>
        <w:kinsoku/>
        <w:wordWrap/>
        <w:overflowPunct/>
        <w:topLinePunct w:val="0"/>
        <w:autoSpaceDE/>
        <w:autoSpaceDN/>
        <w:bidi w:val="0"/>
        <w:spacing w:line="360" w:lineRule="auto"/>
        <w:ind w:firstLine="2727"/>
        <w:textAlignment w:val="auto"/>
        <w:rPr>
          <w:rFonts w:ascii="宋体" w:hAnsi="宋体"/>
          <w:b/>
          <w:bCs/>
          <w:szCs w:val="21"/>
        </w:rPr>
      </w:pPr>
      <w:r>
        <w:rPr>
          <w:rFonts w:hint="eastAsia" w:ascii="宋体" w:hAnsi="宋体"/>
          <w:b/>
          <w:bCs/>
          <w:szCs w:val="21"/>
        </w:rPr>
        <w:t>第一章</w:t>
      </w:r>
      <w:r>
        <w:rPr>
          <w:rFonts w:ascii="宋体" w:hAnsi="宋体"/>
          <w:b/>
          <w:bCs/>
          <w:szCs w:val="21"/>
        </w:rPr>
        <w:t xml:space="preserve">  </w:t>
      </w:r>
      <w:r>
        <w:rPr>
          <w:rFonts w:hint="eastAsia"/>
          <w:b/>
          <w:bCs/>
          <w:szCs w:val="21"/>
          <w:lang w:val="en-US" w:eastAsia="zh-CN"/>
        </w:rPr>
        <w:t>阳台园艺的设施工具和栽培基质</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（一）学习目标</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b/>
          <w:szCs w:val="21"/>
          <w:lang w:val="en-US" w:eastAsia="zh-CN"/>
        </w:rPr>
      </w:pPr>
      <w:r>
        <w:rPr>
          <w:rFonts w:ascii="宋体" w:hAnsi="宋体"/>
          <w:b/>
          <w:szCs w:val="21"/>
        </w:rPr>
        <w:t xml:space="preserve">   </w:t>
      </w:r>
      <w:r>
        <w:rPr>
          <w:rFonts w:hint="eastAsia" w:ascii="宋体" w:hAnsi="宋体"/>
          <w:b/>
          <w:szCs w:val="21"/>
          <w:lang w:val="en-US" w:eastAsia="zh-CN"/>
        </w:rPr>
        <w:t xml:space="preserve"> </w:t>
      </w:r>
      <w:r>
        <w:rPr>
          <w:rFonts w:ascii="宋体" w:hAnsi="宋体"/>
          <w:b/>
          <w:szCs w:val="21"/>
        </w:rPr>
        <w:t>1.</w:t>
      </w:r>
      <w:r>
        <w:rPr>
          <w:rFonts w:hint="eastAsia" w:ascii="宋体" w:hAnsi="宋体"/>
          <w:b/>
          <w:szCs w:val="21"/>
        </w:rPr>
        <w:t>一般了解</w:t>
      </w:r>
      <w:r>
        <w:rPr>
          <w:rFonts w:hint="eastAsia" w:ascii="宋体" w:hAnsi="宋体"/>
          <w:szCs w:val="21"/>
        </w:rPr>
        <w:t>：</w:t>
      </w:r>
      <w:r>
        <w:rPr>
          <w:rFonts w:hint="eastAsia" w:ascii="宋体" w:hAnsi="宋体"/>
          <w:szCs w:val="21"/>
          <w:lang w:val="en-US" w:eastAsia="zh-CN"/>
        </w:rPr>
        <w:t>阳台园艺设施的种类与特点</w:t>
      </w:r>
      <w:r>
        <w:rPr>
          <w:rFonts w:hint="eastAsia"/>
          <w:szCs w:val="21"/>
          <w:lang w:eastAsia="zh-CN"/>
        </w:rPr>
        <w:t>；</w:t>
      </w:r>
      <w:r>
        <w:rPr>
          <w:rFonts w:hint="eastAsia"/>
          <w:szCs w:val="21"/>
          <w:lang w:val="en-US" w:eastAsia="zh-CN"/>
        </w:rPr>
        <w:t>阳台基质的种类和特点；常见的固体基质配方。</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宋体" w:hAnsi="宋体" w:eastAsia="宋体"/>
          <w:szCs w:val="21"/>
          <w:lang w:val="en-US" w:eastAsia="zh-CN"/>
        </w:rPr>
      </w:pPr>
      <w:r>
        <w:rPr>
          <w:rFonts w:hint="eastAsia" w:ascii="宋体" w:hAnsi="宋体"/>
          <w:b/>
          <w:szCs w:val="21"/>
        </w:rPr>
        <w:t>2.一般掌握</w:t>
      </w:r>
      <w:r>
        <w:rPr>
          <w:rFonts w:hint="eastAsia" w:ascii="宋体" w:hAnsi="宋体"/>
          <w:szCs w:val="21"/>
        </w:rPr>
        <w:t>：</w:t>
      </w:r>
      <w:r>
        <w:rPr>
          <w:rFonts w:hint="eastAsia" w:ascii="宋体" w:hAnsi="宋体"/>
          <w:szCs w:val="21"/>
          <w:lang w:val="en-US" w:eastAsia="zh-CN"/>
        </w:rPr>
        <w:t>阳台园艺设施选择的原则；固体</w:t>
      </w:r>
      <w:r>
        <w:rPr>
          <w:rFonts w:hint="eastAsia"/>
          <w:szCs w:val="21"/>
          <w:lang w:val="en-US" w:eastAsia="zh-CN"/>
        </w:rPr>
        <w:t>基质的性质；固体基质的消毒。</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宋体" w:hAnsi="宋体"/>
          <w:szCs w:val="21"/>
          <w:lang w:val="en-US" w:eastAsia="zh-CN"/>
        </w:rPr>
      </w:pPr>
      <w:r>
        <w:rPr>
          <w:rFonts w:hint="eastAsia" w:ascii="宋体" w:hAnsi="宋体"/>
          <w:b/>
          <w:bCs/>
          <w:szCs w:val="21"/>
        </w:rPr>
        <w:t>3</w:t>
      </w:r>
      <w:r>
        <w:rPr>
          <w:rFonts w:ascii="宋体" w:hAnsi="宋体"/>
          <w:b/>
          <w:bCs/>
          <w:szCs w:val="21"/>
        </w:rPr>
        <w:t>.</w:t>
      </w:r>
      <w:r>
        <w:rPr>
          <w:rFonts w:hint="eastAsia" w:ascii="宋体" w:hAnsi="宋体"/>
          <w:b/>
          <w:bCs/>
          <w:szCs w:val="21"/>
        </w:rPr>
        <w:t>熟练掌握：</w:t>
      </w:r>
      <w:r>
        <w:rPr>
          <w:rFonts w:hint="eastAsia" w:ascii="宋体" w:hAnsi="宋体"/>
          <w:szCs w:val="21"/>
          <w:lang w:val="en-US" w:eastAsia="zh-CN"/>
        </w:rPr>
        <w:t>阳台园艺常用的工具；固体基质的组成与配制。</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szCs w:val="21"/>
          <w:lang w:val="en-US" w:eastAsia="zh-CN"/>
        </w:rPr>
      </w:pPr>
      <w:r>
        <w:rPr>
          <w:rFonts w:hint="eastAsia" w:ascii="宋体" w:hAnsi="宋体"/>
          <w:b/>
          <w:szCs w:val="21"/>
          <w:lang w:val="en-US" w:eastAsia="zh-CN"/>
        </w:rPr>
        <w:t>1.</w:t>
      </w:r>
      <w:r>
        <w:rPr>
          <w:rFonts w:hint="eastAsia" w:ascii="宋体" w:hAnsi="宋体"/>
          <w:szCs w:val="21"/>
          <w:lang w:val="en-US" w:eastAsia="zh-CN"/>
        </w:rPr>
        <w:t>了解阳台园艺设施的种类与特点</w:t>
      </w:r>
      <w:r>
        <w:rPr>
          <w:rFonts w:hint="eastAsia"/>
          <w:szCs w:val="21"/>
          <w:lang w:eastAsia="zh-CN"/>
        </w:rPr>
        <w:t>；</w:t>
      </w:r>
      <w:r>
        <w:rPr>
          <w:rFonts w:hint="eastAsia"/>
          <w:szCs w:val="21"/>
          <w:lang w:val="en-US" w:eastAsia="zh-CN"/>
        </w:rPr>
        <w:t>了解</w:t>
      </w:r>
      <w:r>
        <w:rPr>
          <w:rFonts w:hint="eastAsia" w:ascii="宋体" w:hAnsi="宋体"/>
          <w:szCs w:val="21"/>
          <w:lang w:val="en-US" w:eastAsia="zh-CN"/>
        </w:rPr>
        <w:t>阳台园艺常用的工具；掌握阳台园艺设施选择的原则；了解</w:t>
      </w:r>
      <w:r>
        <w:rPr>
          <w:rFonts w:hint="eastAsia"/>
          <w:szCs w:val="21"/>
          <w:lang w:val="en-US" w:eastAsia="zh-CN"/>
        </w:rPr>
        <w:t>阳台基质的种类和特点；了解常见的固体基质配方；</w:t>
      </w:r>
      <w:r>
        <w:rPr>
          <w:rFonts w:hint="eastAsia" w:ascii="宋体" w:hAnsi="宋体"/>
          <w:szCs w:val="21"/>
          <w:lang w:val="en-US" w:eastAsia="zh-CN"/>
        </w:rPr>
        <w:t>掌握固体</w:t>
      </w:r>
      <w:r>
        <w:rPr>
          <w:rFonts w:hint="eastAsia"/>
          <w:szCs w:val="21"/>
          <w:lang w:val="en-US" w:eastAsia="zh-CN"/>
        </w:rPr>
        <w:t>基质的性质；</w:t>
      </w:r>
      <w:r>
        <w:rPr>
          <w:rFonts w:hint="eastAsia" w:ascii="宋体" w:hAnsi="宋体"/>
          <w:szCs w:val="21"/>
          <w:lang w:val="en-US" w:eastAsia="zh-CN"/>
        </w:rPr>
        <w:t>掌握固体基质的组成与配制；</w:t>
      </w:r>
      <w:r>
        <w:rPr>
          <w:rFonts w:hint="eastAsia"/>
          <w:szCs w:val="21"/>
          <w:lang w:val="en-US" w:eastAsia="zh-CN"/>
        </w:rPr>
        <w:t>掌握固体基质的消毒。</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szCs w:val="21"/>
          <w:lang w:val="en-US" w:eastAsia="zh-CN"/>
        </w:rPr>
      </w:pPr>
      <w:r>
        <w:rPr>
          <w:rFonts w:hint="eastAsia" w:ascii="宋体" w:hAnsi="宋体"/>
          <w:b/>
          <w:szCs w:val="21"/>
          <w:lang w:val="en-US" w:eastAsia="zh-CN"/>
        </w:rPr>
        <w:t>2.</w:t>
      </w:r>
      <w:r>
        <w:rPr>
          <w:rFonts w:hint="eastAsia" w:ascii="宋体" w:hAnsi="宋体"/>
          <w:szCs w:val="21"/>
          <w:lang w:val="en-US" w:eastAsia="zh-CN"/>
        </w:rPr>
        <w:t>根据阳台实际情况和种植的园艺植物，选择合适的栽培方式。根据需求和基质特性，配置合适的栽培基质，选择合适的栽培工具。</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ascii="Times New Roman" w:hAnsi="Times New Roman"/>
          <w:szCs w:val="21"/>
        </w:rPr>
      </w:pPr>
      <w:r>
        <w:rPr>
          <w:rFonts w:hint="eastAsia" w:ascii="宋体" w:hAnsi="宋体"/>
          <w:b/>
          <w:szCs w:val="21"/>
          <w:lang w:val="en-US" w:eastAsia="zh-CN"/>
        </w:rPr>
        <w:t>3.</w:t>
      </w:r>
      <w:r>
        <w:rPr>
          <w:rFonts w:hint="eastAsia" w:ascii="宋体" w:hAnsi="宋体"/>
          <w:szCs w:val="21"/>
          <w:lang w:val="en-US" w:eastAsia="zh-CN"/>
        </w:rPr>
        <w:t>掌握固体</w:t>
      </w:r>
      <w:r>
        <w:rPr>
          <w:rFonts w:hint="eastAsia"/>
          <w:szCs w:val="21"/>
          <w:lang w:val="en-US" w:eastAsia="zh-CN"/>
        </w:rPr>
        <w:t>基质的性质；</w:t>
      </w:r>
      <w:r>
        <w:rPr>
          <w:rFonts w:hint="eastAsia" w:ascii="宋体" w:hAnsi="宋体"/>
          <w:szCs w:val="21"/>
          <w:lang w:val="en-US" w:eastAsia="zh-CN"/>
        </w:rPr>
        <w:t>掌握固体基质的组成与配制；</w:t>
      </w:r>
      <w:r>
        <w:rPr>
          <w:rFonts w:hint="eastAsia"/>
          <w:szCs w:val="21"/>
          <w:lang w:val="en-US" w:eastAsia="zh-CN"/>
        </w:rPr>
        <w:t>掌握固体基质的消毒。</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default" w:ascii="宋体" w:hAnsi="宋体"/>
          <w:szCs w:val="21"/>
          <w:lang w:val="en-US" w:eastAsia="zh-CN"/>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hint="eastAsia" w:ascii="宋体" w:hAnsi="宋体"/>
          <w:szCs w:val="21"/>
          <w:lang w:val="en-US" w:eastAsia="zh-CN"/>
        </w:rPr>
        <w:t>阳台园艺设施的种类与特点</w:t>
      </w:r>
      <w:r>
        <w:rPr>
          <w:rFonts w:hint="eastAsia"/>
          <w:szCs w:val="21"/>
          <w:lang w:eastAsia="zh-CN"/>
        </w:rPr>
        <w:t>；</w:t>
      </w:r>
      <w:r>
        <w:rPr>
          <w:rFonts w:hint="eastAsia" w:ascii="宋体" w:hAnsi="宋体"/>
          <w:szCs w:val="21"/>
          <w:lang w:val="en-US" w:eastAsia="zh-CN"/>
        </w:rPr>
        <w:t>阳台园艺常用的工具；</w:t>
      </w:r>
      <w:r>
        <w:rPr>
          <w:rFonts w:hint="eastAsia"/>
          <w:szCs w:val="21"/>
          <w:lang w:val="en-US" w:eastAsia="zh-CN"/>
        </w:rPr>
        <w:t>阳台基质的种类和特点；</w:t>
      </w:r>
      <w:r>
        <w:rPr>
          <w:rFonts w:hint="eastAsia" w:ascii="宋体" w:hAnsi="宋体"/>
          <w:szCs w:val="21"/>
          <w:lang w:val="en-US" w:eastAsia="zh-CN"/>
        </w:rPr>
        <w:t>固体</w:t>
      </w:r>
      <w:r>
        <w:rPr>
          <w:rFonts w:hint="eastAsia"/>
          <w:szCs w:val="21"/>
          <w:lang w:val="en-US" w:eastAsia="zh-CN"/>
        </w:rPr>
        <w:t>基质的性质；固体基质的消毒；常见的固体基质配方；</w:t>
      </w:r>
      <w:r>
        <w:rPr>
          <w:rFonts w:hint="eastAsia" w:ascii="宋体" w:hAnsi="宋体"/>
          <w:szCs w:val="21"/>
          <w:lang w:val="en-US" w:eastAsia="zh-CN"/>
        </w:rPr>
        <w:t>固体机制的组成与配制。</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宋体" w:hAnsi="宋体"/>
          <w:b/>
          <w:bCs/>
          <w:szCs w:val="21"/>
          <w:lang w:val="en-US"/>
        </w:rPr>
      </w:pPr>
      <w:r>
        <w:rPr>
          <w:rFonts w:ascii="宋体" w:hAnsi="宋体"/>
          <w:b/>
          <w:bCs/>
          <w:szCs w:val="21"/>
        </w:rPr>
        <w:t>2.</w:t>
      </w:r>
      <w:r>
        <w:rPr>
          <w:rFonts w:hint="eastAsia" w:ascii="宋体" w:hAnsi="宋体"/>
          <w:b/>
          <w:bCs/>
          <w:szCs w:val="21"/>
        </w:rPr>
        <w:t>理解：</w:t>
      </w:r>
      <w:r>
        <w:rPr>
          <w:rFonts w:hint="eastAsia" w:ascii="宋体" w:hAnsi="宋体"/>
          <w:szCs w:val="21"/>
          <w:lang w:val="en-US" w:eastAsia="zh-CN"/>
        </w:rPr>
        <w:t>阳台园艺设施选择的原则；液体基质的类型；液体基质的原理。</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default" w:ascii="宋体" w:hAnsi="宋体" w:eastAsia="宋体"/>
          <w:szCs w:val="21"/>
          <w:lang w:val="en-US" w:eastAsia="zh-CN"/>
        </w:rPr>
      </w:pPr>
      <w:r>
        <w:rPr>
          <w:rFonts w:hint="eastAsia" w:ascii="宋体" w:hAnsi="宋体"/>
          <w:b/>
          <w:bCs/>
          <w:szCs w:val="21"/>
        </w:rPr>
        <w:t>3</w:t>
      </w:r>
      <w:r>
        <w:rPr>
          <w:rFonts w:ascii="宋体" w:hAnsi="宋体"/>
          <w:b/>
          <w:bCs/>
          <w:szCs w:val="21"/>
        </w:rPr>
        <w:t>.</w:t>
      </w:r>
      <w:r>
        <w:rPr>
          <w:rFonts w:hint="eastAsia" w:ascii="宋体" w:hAnsi="宋体"/>
          <w:b/>
          <w:bCs/>
          <w:szCs w:val="21"/>
        </w:rPr>
        <w:t>应用：</w:t>
      </w:r>
      <w:r>
        <w:rPr>
          <w:rFonts w:hint="eastAsia" w:ascii="宋体" w:hAnsi="宋体"/>
          <w:szCs w:val="21"/>
          <w:lang w:val="en-US" w:eastAsia="zh-CN"/>
        </w:rPr>
        <w:t>不同基质的应用范围，</w:t>
      </w:r>
      <w:r>
        <w:rPr>
          <w:rFonts w:hint="eastAsia"/>
          <w:szCs w:val="21"/>
          <w:lang w:val="en-US" w:eastAsia="zh-CN"/>
        </w:rPr>
        <w:t>常见的固体基质配方及适合的园艺植物。</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lang w:val="en-US" w:eastAsia="zh-CN"/>
        </w:rPr>
        <w:t>课后题、</w:t>
      </w:r>
      <w:r>
        <w:rPr>
          <w:rFonts w:hint="eastAsia" w:ascii="宋体" w:hAnsi="宋体"/>
          <w:szCs w:val="21"/>
        </w:rPr>
        <w:t>课堂提问和课后互动、小组讨论。</w:t>
      </w:r>
    </w:p>
    <w:p>
      <w:pPr>
        <w:keepNext w:val="0"/>
        <w:keepLines w:val="0"/>
        <w:pageBreakBefore w:val="0"/>
        <w:kinsoku/>
        <w:wordWrap/>
        <w:overflowPunct/>
        <w:topLinePunct w:val="0"/>
        <w:autoSpaceDE/>
        <w:autoSpaceDN/>
        <w:bidi w:val="0"/>
        <w:spacing w:line="360" w:lineRule="auto"/>
        <w:ind w:firstLine="2727"/>
        <w:textAlignment w:val="auto"/>
        <w:rPr>
          <w:rFonts w:ascii="宋体" w:hAnsi="宋体"/>
          <w:b/>
          <w:bCs/>
          <w:szCs w:val="21"/>
        </w:rPr>
      </w:pPr>
      <w:r>
        <w:rPr>
          <w:rFonts w:hint="eastAsia" w:ascii="宋体" w:hAnsi="宋体"/>
          <w:b/>
          <w:bCs/>
          <w:szCs w:val="21"/>
        </w:rPr>
        <w:t xml:space="preserve">第二章  </w:t>
      </w:r>
      <w:r>
        <w:rPr>
          <w:rFonts w:hint="eastAsia"/>
          <w:b/>
          <w:bCs/>
          <w:szCs w:val="21"/>
          <w:lang w:val="en-US" w:eastAsia="zh-CN"/>
        </w:rPr>
        <w:t>阳台环境</w:t>
      </w:r>
    </w:p>
    <w:p>
      <w:pPr>
        <w:keepNext w:val="0"/>
        <w:keepLines w:val="0"/>
        <w:pageBreakBefore w:val="0"/>
        <w:widowControl/>
        <w:kinsoku/>
        <w:wordWrap/>
        <w:overflowPunct/>
        <w:topLinePunct w:val="0"/>
        <w:autoSpaceDE/>
        <w:autoSpaceDN/>
        <w:bidi w:val="0"/>
        <w:spacing w:line="360" w:lineRule="auto"/>
        <w:jc w:val="left"/>
        <w:textAlignment w:val="auto"/>
        <w:rPr>
          <w:rFonts w:hint="eastAsia" w:ascii="宋体" w:hAnsi="宋体" w:cs="宋体"/>
          <w:color w:val="auto"/>
          <w:kern w:val="0"/>
          <w:sz w:val="24"/>
        </w:rPr>
      </w:pPr>
      <w:r>
        <w:rPr>
          <w:rFonts w:hint="eastAsia" w:ascii="宋体" w:hAnsi="宋体"/>
          <w:b/>
          <w:color w:val="auto"/>
          <w:szCs w:val="21"/>
        </w:rPr>
        <w:t>（一）学习目标</w:t>
      </w:r>
      <w:r>
        <w:rPr>
          <w:rFonts w:hint="eastAsia" w:ascii="宋体" w:hAnsi="宋体" w:cs="宋体"/>
          <w:color w:val="auto"/>
          <w:kern w:val="0"/>
          <w:sz w:val="24"/>
        </w:rPr>
        <w:t xml:space="preserve"> </w:t>
      </w:r>
      <w:r>
        <w:rPr>
          <w:rFonts w:hint="eastAsia" w:ascii="黑体" w:hAnsi="宋体" w:eastAsia="黑体"/>
          <w:color w:val="auto"/>
          <w:szCs w:val="21"/>
        </w:rPr>
        <w:t xml:space="preserve"> </w:t>
      </w:r>
      <w:r>
        <w:rPr>
          <w:rFonts w:hint="eastAsia" w:ascii="宋体" w:hAnsi="宋体"/>
          <w:b/>
          <w:color w:val="auto"/>
          <w:szCs w:val="21"/>
        </w:rPr>
        <w:t xml:space="preserve"> </w:t>
      </w:r>
    </w:p>
    <w:p>
      <w:pPr>
        <w:keepNext w:val="0"/>
        <w:keepLines w:val="0"/>
        <w:pageBreakBefore w:val="0"/>
        <w:widowControl/>
        <w:kinsoku/>
        <w:wordWrap/>
        <w:overflowPunct/>
        <w:topLinePunct w:val="0"/>
        <w:autoSpaceDE/>
        <w:autoSpaceDN/>
        <w:bidi w:val="0"/>
        <w:spacing w:line="360" w:lineRule="auto"/>
        <w:ind w:firstLine="422" w:firstLineChars="200"/>
        <w:jc w:val="left"/>
        <w:textAlignment w:val="auto"/>
        <w:rPr>
          <w:rFonts w:hint="eastAsia" w:ascii="黑体" w:hAnsi="宋体" w:eastAsia="黑体"/>
          <w:color w:val="auto"/>
          <w:szCs w:val="21"/>
        </w:rPr>
      </w:pPr>
      <w:r>
        <w:rPr>
          <w:rFonts w:hint="eastAsia" w:ascii="宋体" w:hAnsi="宋体"/>
          <w:b/>
          <w:color w:val="auto"/>
          <w:szCs w:val="21"/>
        </w:rPr>
        <w:t>1. 一般了解：</w:t>
      </w:r>
      <w:r>
        <w:rPr>
          <w:rFonts w:hint="eastAsia" w:ascii="黑体" w:hAnsi="宋体" w:eastAsia="黑体"/>
          <w:color w:val="auto"/>
          <w:szCs w:val="21"/>
        </w:rPr>
        <w:t xml:space="preserve"> </w:t>
      </w:r>
      <w:r>
        <w:rPr>
          <w:rFonts w:hint="eastAsia" w:ascii="宋体" w:hAnsi="宋体"/>
          <w:color w:val="auto"/>
          <w:szCs w:val="21"/>
          <w:lang w:val="en-US" w:eastAsia="zh-CN"/>
        </w:rPr>
        <w:t>园艺植物</w:t>
      </w:r>
      <w:r>
        <w:rPr>
          <w:rFonts w:hint="eastAsia" w:ascii="宋体" w:hAnsi="宋体"/>
          <w:color w:val="auto"/>
          <w:szCs w:val="21"/>
        </w:rPr>
        <w:t>作物与光、热、水、肥、气等条件的相互关系及对逆境条件的反应。</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olor w:val="auto"/>
          <w:szCs w:val="21"/>
        </w:rPr>
      </w:pPr>
      <w:r>
        <w:rPr>
          <w:rFonts w:hint="eastAsia" w:ascii="宋体" w:hAnsi="宋体"/>
          <w:b/>
          <w:color w:val="auto"/>
          <w:szCs w:val="21"/>
        </w:rPr>
        <w:t xml:space="preserve"> </w:t>
      </w:r>
      <w:r>
        <w:rPr>
          <w:rFonts w:ascii="宋体" w:hAnsi="宋体"/>
          <w:b/>
          <w:color w:val="auto"/>
          <w:szCs w:val="21"/>
        </w:rPr>
        <w:t xml:space="preserve">   </w:t>
      </w:r>
      <w:r>
        <w:rPr>
          <w:rFonts w:hint="eastAsia" w:ascii="宋体" w:hAnsi="宋体"/>
          <w:b/>
          <w:color w:val="auto"/>
          <w:szCs w:val="21"/>
        </w:rPr>
        <w:t>2. 一般掌握</w:t>
      </w:r>
      <w:r>
        <w:rPr>
          <w:rFonts w:hint="eastAsia" w:ascii="宋体" w:hAnsi="宋体"/>
          <w:color w:val="auto"/>
          <w:szCs w:val="21"/>
        </w:rPr>
        <w:t>：</w:t>
      </w:r>
      <w:r>
        <w:rPr>
          <w:rFonts w:hint="eastAsia" w:ascii="宋体" w:hAnsi="宋体"/>
          <w:color w:val="auto"/>
          <w:szCs w:val="21"/>
          <w:lang w:val="en-US" w:eastAsia="zh-CN"/>
        </w:rPr>
        <w:t>园艺植物</w:t>
      </w:r>
      <w:r>
        <w:rPr>
          <w:rFonts w:hint="eastAsia" w:ascii="宋体" w:hAnsi="宋体"/>
          <w:color w:val="auto"/>
          <w:szCs w:val="21"/>
        </w:rPr>
        <w:t>形态特征；</w:t>
      </w:r>
      <w:r>
        <w:rPr>
          <w:rFonts w:hint="eastAsia" w:ascii="宋体" w:hAnsi="宋体"/>
          <w:color w:val="auto"/>
          <w:szCs w:val="21"/>
          <w:lang w:eastAsia="zh-CN"/>
        </w:rPr>
        <w:t>园艺植物</w:t>
      </w:r>
      <w:r>
        <w:rPr>
          <w:rFonts w:hint="eastAsia" w:ascii="宋体" w:hAnsi="宋体"/>
          <w:color w:val="auto"/>
          <w:szCs w:val="21"/>
        </w:rPr>
        <w:t>作物的起源</w:t>
      </w:r>
      <w:r>
        <w:rPr>
          <w:rFonts w:hint="eastAsia" w:ascii="宋体" w:hAnsi="宋体"/>
          <w:color w:val="auto"/>
          <w:szCs w:val="21"/>
          <w:lang w:eastAsia="zh-CN"/>
        </w:rPr>
        <w:t>，</w:t>
      </w:r>
      <w:r>
        <w:rPr>
          <w:rFonts w:hint="eastAsia" w:ascii="宋体" w:hAnsi="宋体"/>
          <w:color w:val="auto"/>
          <w:szCs w:val="21"/>
        </w:rPr>
        <w:t>分类与分布。</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olor w:val="auto"/>
          <w:szCs w:val="21"/>
        </w:rPr>
      </w:pPr>
      <w:r>
        <w:rPr>
          <w:rFonts w:hint="eastAsia" w:ascii="宋体" w:hAnsi="宋体"/>
          <w:b/>
          <w:color w:val="auto"/>
          <w:szCs w:val="21"/>
        </w:rPr>
        <w:t>3.</w:t>
      </w:r>
      <w:r>
        <w:rPr>
          <w:rFonts w:ascii="宋体" w:hAnsi="宋体"/>
          <w:b/>
          <w:color w:val="auto"/>
          <w:szCs w:val="21"/>
        </w:rPr>
        <w:t xml:space="preserve"> </w:t>
      </w:r>
      <w:r>
        <w:rPr>
          <w:rFonts w:hint="eastAsia" w:ascii="宋体" w:hAnsi="宋体"/>
          <w:b/>
          <w:color w:val="auto"/>
          <w:szCs w:val="21"/>
        </w:rPr>
        <w:t>熟练掌握：</w:t>
      </w:r>
      <w:r>
        <w:rPr>
          <w:rFonts w:hint="eastAsia" w:ascii="宋体" w:hAnsi="宋体"/>
          <w:color w:val="auto"/>
          <w:szCs w:val="21"/>
          <w:lang w:eastAsia="zh-CN"/>
        </w:rPr>
        <w:t>园艺植物</w:t>
      </w:r>
      <w:r>
        <w:rPr>
          <w:rFonts w:hint="eastAsia" w:ascii="宋体" w:hAnsi="宋体"/>
          <w:color w:val="auto"/>
          <w:szCs w:val="21"/>
        </w:rPr>
        <w:t>品质形成因素的调控生理及其特点。</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b/>
          <w:color w:val="auto"/>
          <w:szCs w:val="21"/>
        </w:rPr>
      </w:pPr>
      <w:r>
        <w:rPr>
          <w:rFonts w:hint="eastAsia" w:ascii="宋体" w:hAnsi="宋体"/>
          <w:b/>
          <w:color w:val="auto"/>
          <w:szCs w:val="21"/>
        </w:rPr>
        <w:t>（二）考核内容</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ascii="宋体" w:hAnsi="宋体"/>
          <w:bCs/>
          <w:color w:val="auto"/>
          <w:szCs w:val="21"/>
        </w:rPr>
      </w:pPr>
      <w:r>
        <w:rPr>
          <w:rFonts w:hint="eastAsia" w:ascii="宋体" w:hAnsi="宋体"/>
          <w:b/>
          <w:color w:val="auto"/>
          <w:szCs w:val="21"/>
          <w:lang w:val="en-US" w:eastAsia="zh-CN"/>
        </w:rPr>
        <w:t>1.</w:t>
      </w:r>
      <w:r>
        <w:rPr>
          <w:rFonts w:hint="eastAsia"/>
          <w:color w:val="auto"/>
          <w:szCs w:val="21"/>
          <w:lang w:eastAsia="zh-CN"/>
        </w:rPr>
        <w:t>园艺</w:t>
      </w:r>
      <w:r>
        <w:rPr>
          <w:rFonts w:hint="eastAsia"/>
          <w:color w:val="auto"/>
          <w:szCs w:val="21"/>
        </w:rPr>
        <w:t>植物的</w:t>
      </w:r>
      <w:r>
        <w:rPr>
          <w:rFonts w:hint="eastAsia"/>
          <w:color w:val="auto"/>
          <w:szCs w:val="21"/>
          <w:lang w:val="en-US" w:eastAsia="zh-CN"/>
        </w:rPr>
        <w:t>生态学</w:t>
      </w:r>
      <w:r>
        <w:rPr>
          <w:rFonts w:hint="eastAsia"/>
          <w:color w:val="auto"/>
          <w:szCs w:val="21"/>
        </w:rPr>
        <w:t>分类方法；</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ascii="宋体" w:hAnsi="宋体"/>
          <w:bCs/>
          <w:color w:val="auto"/>
          <w:szCs w:val="21"/>
        </w:rPr>
      </w:pPr>
      <w:r>
        <w:rPr>
          <w:rFonts w:hint="eastAsia" w:ascii="宋体" w:hAnsi="宋体"/>
          <w:b/>
          <w:color w:val="auto"/>
          <w:szCs w:val="21"/>
          <w:lang w:val="en-US" w:eastAsia="zh-CN"/>
        </w:rPr>
        <w:t>2.</w:t>
      </w:r>
      <w:r>
        <w:rPr>
          <w:rFonts w:hint="eastAsia"/>
          <w:color w:val="auto"/>
          <w:szCs w:val="21"/>
          <w:lang w:eastAsia="zh-CN"/>
        </w:rPr>
        <w:t>园艺</w:t>
      </w:r>
      <w:r>
        <w:rPr>
          <w:rFonts w:hint="eastAsia"/>
          <w:color w:val="auto"/>
          <w:szCs w:val="21"/>
        </w:rPr>
        <w:t>植物生长发育的特点及其对环境条件的要求；</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olor w:val="auto"/>
          <w:szCs w:val="21"/>
        </w:rPr>
      </w:pPr>
      <w:r>
        <w:rPr>
          <w:rFonts w:hint="eastAsia" w:ascii="宋体" w:hAnsi="宋体"/>
          <w:b/>
          <w:color w:val="auto"/>
          <w:szCs w:val="21"/>
          <w:lang w:val="en-US" w:eastAsia="zh-CN"/>
        </w:rPr>
        <w:t>3.</w:t>
      </w:r>
      <w:r>
        <w:rPr>
          <w:rFonts w:hint="eastAsia"/>
          <w:color w:val="auto"/>
          <w:szCs w:val="21"/>
        </w:rPr>
        <w:t>提高</w:t>
      </w:r>
      <w:r>
        <w:rPr>
          <w:rFonts w:hint="eastAsia"/>
          <w:color w:val="auto"/>
          <w:szCs w:val="21"/>
          <w:lang w:eastAsia="zh-CN"/>
        </w:rPr>
        <w:t>园艺植物</w:t>
      </w:r>
      <w:r>
        <w:rPr>
          <w:rFonts w:hint="eastAsia"/>
          <w:color w:val="auto"/>
          <w:szCs w:val="21"/>
        </w:rPr>
        <w:t xml:space="preserve">产量和品质的原理和方法。 </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b/>
          <w:color w:val="auto"/>
          <w:szCs w:val="21"/>
        </w:rPr>
      </w:pPr>
      <w:r>
        <w:rPr>
          <w:rFonts w:hint="eastAsia" w:ascii="宋体" w:hAnsi="宋体"/>
          <w:b/>
          <w:color w:val="auto"/>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Cs w:val="21"/>
        </w:rPr>
      </w:pPr>
      <w:r>
        <w:rPr>
          <w:rFonts w:hint="eastAsia" w:ascii="宋体" w:hAnsi="宋体"/>
          <w:b/>
          <w:color w:val="auto"/>
          <w:szCs w:val="21"/>
        </w:rPr>
        <w:t>1.识记</w:t>
      </w:r>
      <w:r>
        <w:rPr>
          <w:rFonts w:hint="eastAsia" w:ascii="宋体" w:hAnsi="宋体"/>
          <w:color w:val="auto"/>
          <w:szCs w:val="21"/>
        </w:rPr>
        <w:t>：</w:t>
      </w:r>
      <w:r>
        <w:rPr>
          <w:rFonts w:hint="eastAsia" w:ascii="宋体" w:hAnsi="宋体"/>
          <w:color w:val="auto"/>
          <w:szCs w:val="21"/>
          <w:lang w:eastAsia="zh-CN"/>
        </w:rPr>
        <w:t>园艺</w:t>
      </w:r>
      <w:r>
        <w:rPr>
          <w:rFonts w:hint="eastAsia" w:ascii="宋体" w:hAnsi="宋体"/>
          <w:color w:val="auto"/>
          <w:szCs w:val="21"/>
        </w:rPr>
        <w:t>植物学</w:t>
      </w:r>
      <w:r>
        <w:rPr>
          <w:rFonts w:hint="eastAsia" w:ascii="宋体" w:hAnsi="宋体"/>
          <w:color w:val="auto"/>
          <w:szCs w:val="21"/>
          <w:lang w:val="en-US" w:eastAsia="zh-CN"/>
        </w:rPr>
        <w:t>根据温度、需水量等的分类方法</w:t>
      </w:r>
      <w:r>
        <w:rPr>
          <w:rFonts w:hint="eastAsia" w:ascii="宋体" w:hAnsi="宋体"/>
          <w:color w:val="auto"/>
          <w:szCs w:val="21"/>
        </w:rPr>
        <w:t>；根据</w:t>
      </w:r>
      <w:r>
        <w:rPr>
          <w:rFonts w:hint="eastAsia" w:ascii="宋体" w:hAnsi="宋体"/>
          <w:color w:val="auto"/>
          <w:szCs w:val="21"/>
          <w:lang w:val="en-US" w:eastAsia="zh-CN"/>
        </w:rPr>
        <w:t>不同</w:t>
      </w:r>
      <w:r>
        <w:rPr>
          <w:rFonts w:hint="eastAsia" w:ascii="宋体" w:hAnsi="宋体"/>
          <w:color w:val="auto"/>
          <w:szCs w:val="21"/>
        </w:rPr>
        <w:t>分类法可以把</w:t>
      </w:r>
      <w:r>
        <w:rPr>
          <w:rFonts w:hint="eastAsia" w:ascii="宋体" w:hAnsi="宋体"/>
          <w:color w:val="auto"/>
          <w:szCs w:val="21"/>
          <w:lang w:eastAsia="zh-CN"/>
        </w:rPr>
        <w:t>园艺植物</w:t>
      </w:r>
      <w:r>
        <w:rPr>
          <w:rFonts w:hint="eastAsia" w:ascii="宋体" w:hAnsi="宋体"/>
          <w:color w:val="auto"/>
          <w:szCs w:val="21"/>
        </w:rPr>
        <w:t>分为哪几类，各类的栽培共性和代表作物。</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Cs w:val="21"/>
        </w:rPr>
      </w:pPr>
      <w:r>
        <w:rPr>
          <w:rFonts w:hint="eastAsia" w:ascii="宋体" w:hAnsi="宋体"/>
          <w:b/>
          <w:color w:val="auto"/>
          <w:szCs w:val="21"/>
        </w:rPr>
        <w:t>2.领会</w:t>
      </w:r>
      <w:r>
        <w:rPr>
          <w:rFonts w:hint="eastAsia" w:ascii="宋体" w:hAnsi="宋体"/>
          <w:color w:val="auto"/>
          <w:szCs w:val="21"/>
        </w:rPr>
        <w:t>：中国栽培</w:t>
      </w:r>
      <w:r>
        <w:rPr>
          <w:rFonts w:hint="eastAsia" w:ascii="宋体" w:hAnsi="宋体"/>
          <w:color w:val="auto"/>
          <w:szCs w:val="21"/>
          <w:lang w:eastAsia="zh-CN"/>
        </w:rPr>
        <w:t>园艺植物</w:t>
      </w:r>
      <w:r>
        <w:rPr>
          <w:rFonts w:hint="eastAsia" w:ascii="宋体" w:hAnsi="宋体"/>
          <w:color w:val="auto"/>
          <w:szCs w:val="21"/>
        </w:rPr>
        <w:t>的来源，</w:t>
      </w:r>
      <w:r>
        <w:rPr>
          <w:rFonts w:hint="eastAsia" w:ascii="宋体" w:hAnsi="宋体"/>
          <w:color w:val="auto"/>
          <w:szCs w:val="21"/>
          <w:lang w:eastAsia="zh-CN"/>
        </w:rPr>
        <w:t>园艺植物</w:t>
      </w:r>
      <w:r>
        <w:rPr>
          <w:rFonts w:hint="eastAsia" w:ascii="宋体" w:hAnsi="宋体"/>
          <w:color w:val="auto"/>
          <w:szCs w:val="21"/>
        </w:rPr>
        <w:t>栽培特性与原产地环境的关系；</w:t>
      </w:r>
      <w:r>
        <w:rPr>
          <w:rFonts w:hint="eastAsia" w:ascii="宋体" w:hAnsi="宋体"/>
          <w:color w:val="auto"/>
          <w:szCs w:val="21"/>
          <w:lang w:eastAsia="zh-CN"/>
        </w:rPr>
        <w:t>园艺植物</w:t>
      </w:r>
      <w:r>
        <w:rPr>
          <w:rFonts w:hint="eastAsia" w:ascii="宋体" w:hAnsi="宋体"/>
          <w:color w:val="auto"/>
          <w:szCs w:val="21"/>
        </w:rPr>
        <w:t>对栽培措施的要求。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color w:val="auto"/>
          <w:szCs w:val="21"/>
        </w:rPr>
      </w:pPr>
      <w:r>
        <w:rPr>
          <w:rFonts w:hint="eastAsia" w:ascii="宋体" w:hAnsi="宋体"/>
          <w:b/>
          <w:color w:val="auto"/>
          <w:szCs w:val="21"/>
        </w:rPr>
        <w:t>3.应用</w:t>
      </w:r>
      <w:r>
        <w:rPr>
          <w:rFonts w:hint="eastAsia" w:ascii="宋体" w:hAnsi="宋体"/>
          <w:color w:val="auto"/>
          <w:szCs w:val="21"/>
        </w:rPr>
        <w:t>：</w:t>
      </w:r>
      <w:r>
        <w:rPr>
          <w:rFonts w:hint="eastAsia" w:ascii="宋体" w:hAnsi="宋体"/>
          <w:color w:val="auto"/>
          <w:szCs w:val="21"/>
          <w:lang w:eastAsia="zh-CN"/>
        </w:rPr>
        <w:t>园艺植物</w:t>
      </w:r>
      <w:r>
        <w:rPr>
          <w:rFonts w:hint="eastAsia" w:ascii="宋体" w:hAnsi="宋体"/>
          <w:color w:val="auto"/>
          <w:szCs w:val="21"/>
        </w:rPr>
        <w:t>生长发育规律及其对环境条件的要求与栽培措施的关系。</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宋体" w:hAnsi="宋体"/>
          <w:b/>
          <w:color w:val="auto"/>
          <w:szCs w:val="21"/>
        </w:rPr>
      </w:pPr>
      <w:r>
        <w:rPr>
          <w:rFonts w:hint="eastAsia" w:ascii="宋体" w:hAnsi="宋体"/>
          <w:b/>
          <w:color w:val="auto"/>
          <w:szCs w:val="21"/>
        </w:rPr>
        <w:t>4.分析：</w:t>
      </w:r>
      <w:r>
        <w:rPr>
          <w:rFonts w:hint="eastAsia" w:ascii="宋体" w:hAnsi="宋体"/>
          <w:bCs/>
          <w:color w:val="auto"/>
          <w:szCs w:val="21"/>
        </w:rPr>
        <w:t>生物学</w:t>
      </w:r>
      <w:r>
        <w:rPr>
          <w:rFonts w:ascii="宋体" w:hAnsi="宋体"/>
          <w:bCs/>
          <w:color w:val="auto"/>
          <w:szCs w:val="21"/>
        </w:rPr>
        <w:t>基础在</w:t>
      </w:r>
      <w:r>
        <w:rPr>
          <w:rFonts w:hint="eastAsia" w:ascii="宋体" w:hAnsi="宋体"/>
          <w:bCs/>
          <w:color w:val="auto"/>
          <w:szCs w:val="21"/>
          <w:lang w:eastAsia="zh-CN"/>
        </w:rPr>
        <w:t>园艺植物</w:t>
      </w:r>
      <w:r>
        <w:rPr>
          <w:rFonts w:ascii="宋体" w:hAnsi="宋体"/>
          <w:bCs/>
          <w:color w:val="auto"/>
          <w:szCs w:val="21"/>
        </w:rPr>
        <w:t>栽培中的应用。</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color w:val="auto"/>
          <w:szCs w:val="21"/>
        </w:rPr>
      </w:pPr>
      <w:r>
        <w:rPr>
          <w:rFonts w:hint="eastAsia" w:ascii="宋体" w:hAnsi="宋体"/>
          <w:b/>
          <w:color w:val="auto"/>
          <w:szCs w:val="21"/>
        </w:rPr>
        <w:t>5.综合</w:t>
      </w:r>
      <w:r>
        <w:rPr>
          <w:rFonts w:hint="eastAsia" w:ascii="宋体" w:hAnsi="宋体"/>
          <w:color w:val="auto"/>
          <w:szCs w:val="21"/>
        </w:rPr>
        <w:t>：</w:t>
      </w:r>
      <w:r>
        <w:rPr>
          <w:rFonts w:hint="eastAsia" w:ascii="宋体" w:hAnsi="宋体"/>
          <w:color w:val="auto"/>
          <w:szCs w:val="21"/>
          <w:lang w:eastAsia="zh-CN"/>
        </w:rPr>
        <w:t>园艺植物</w:t>
      </w:r>
      <w:r>
        <w:rPr>
          <w:rFonts w:hint="eastAsia" w:ascii="宋体" w:hAnsi="宋体"/>
          <w:color w:val="auto"/>
          <w:szCs w:val="21"/>
        </w:rPr>
        <w:t>春化作用和光周期反应特点对</w:t>
      </w:r>
      <w:r>
        <w:rPr>
          <w:rFonts w:hint="eastAsia" w:ascii="宋体" w:hAnsi="宋体"/>
          <w:color w:val="auto"/>
          <w:szCs w:val="21"/>
          <w:lang w:eastAsia="zh-CN"/>
        </w:rPr>
        <w:t>园艺植物</w:t>
      </w:r>
      <w:r>
        <w:rPr>
          <w:rFonts w:hint="eastAsia" w:ascii="宋体" w:hAnsi="宋体"/>
          <w:color w:val="auto"/>
          <w:szCs w:val="21"/>
        </w:rPr>
        <w:t>生产的指导作用；有害气体产生的原因与科学施肥；提高</w:t>
      </w:r>
      <w:r>
        <w:rPr>
          <w:rFonts w:hint="eastAsia" w:ascii="宋体" w:hAnsi="宋体"/>
          <w:color w:val="auto"/>
          <w:szCs w:val="21"/>
          <w:lang w:eastAsia="zh-CN"/>
        </w:rPr>
        <w:t>园艺植物</w:t>
      </w:r>
      <w:r>
        <w:rPr>
          <w:rFonts w:hint="eastAsia" w:ascii="宋体" w:hAnsi="宋体"/>
          <w:color w:val="auto"/>
          <w:szCs w:val="21"/>
        </w:rPr>
        <w:t>产量和品质的原理和主要方法。</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szCs w:val="21"/>
        </w:rPr>
      </w:pPr>
      <w:r>
        <w:rPr>
          <w:rFonts w:hint="eastAsia" w:ascii="宋体" w:hAnsi="宋体"/>
          <w:b/>
          <w:color w:val="auto"/>
          <w:szCs w:val="21"/>
        </w:rPr>
        <w:t>6.评价：</w:t>
      </w:r>
      <w:r>
        <w:rPr>
          <w:rFonts w:hint="eastAsia"/>
          <w:color w:val="auto"/>
          <w:szCs w:val="21"/>
        </w:rPr>
        <w:t>课堂</w:t>
      </w:r>
      <w:r>
        <w:rPr>
          <w:color w:val="auto"/>
          <w:szCs w:val="21"/>
        </w:rPr>
        <w:t>提问和课后</w:t>
      </w:r>
      <w:r>
        <w:rPr>
          <w:rFonts w:hint="eastAsia"/>
          <w:color w:val="auto"/>
          <w:szCs w:val="21"/>
        </w:rPr>
        <w:t>作业。</w:t>
      </w:r>
    </w:p>
    <w:p>
      <w:pPr>
        <w:keepNext w:val="0"/>
        <w:keepLines w:val="0"/>
        <w:pageBreakBefore w:val="0"/>
        <w:kinsoku/>
        <w:wordWrap/>
        <w:overflowPunct/>
        <w:topLinePunct w:val="0"/>
        <w:autoSpaceDE/>
        <w:autoSpaceDN/>
        <w:bidi w:val="0"/>
        <w:spacing w:line="360" w:lineRule="auto"/>
        <w:jc w:val="center"/>
        <w:textAlignment w:val="auto"/>
        <w:rPr>
          <w:rFonts w:ascii="宋体" w:hAnsi="宋体"/>
          <w:b/>
          <w:szCs w:val="21"/>
        </w:rPr>
      </w:pPr>
      <w:r>
        <w:rPr>
          <w:rFonts w:hint="eastAsia" w:ascii="宋体" w:hAnsi="宋体"/>
          <w:b/>
          <w:szCs w:val="21"/>
        </w:rPr>
        <w:t>第三章</w:t>
      </w:r>
      <w:r>
        <w:rPr>
          <w:rFonts w:ascii="宋体" w:hAnsi="宋体"/>
          <w:b/>
          <w:szCs w:val="21"/>
        </w:rPr>
        <w:t xml:space="preserve"> </w:t>
      </w:r>
      <w:r>
        <w:rPr>
          <w:rFonts w:hint="eastAsia"/>
          <w:b/>
          <w:bCs/>
          <w:szCs w:val="21"/>
          <w:lang w:val="en-US" w:eastAsia="zh-CN"/>
        </w:rPr>
        <w:t>阳台上的菜园</w:t>
      </w:r>
    </w:p>
    <w:p>
      <w:pPr>
        <w:keepNext w:val="0"/>
        <w:keepLines w:val="0"/>
        <w:pageBreakBefore w:val="0"/>
        <w:widowControl/>
        <w:kinsoku/>
        <w:wordWrap/>
        <w:overflowPunct/>
        <w:topLinePunct w:val="0"/>
        <w:autoSpaceDE/>
        <w:autoSpaceDN/>
        <w:bidi w:val="0"/>
        <w:spacing w:line="360" w:lineRule="auto"/>
        <w:jc w:val="left"/>
        <w:textAlignment w:val="auto"/>
        <w:rPr>
          <w:rFonts w:ascii="宋体" w:hAnsi="宋体" w:cs="宋体"/>
          <w:color w:val="auto"/>
          <w:kern w:val="0"/>
          <w:sz w:val="24"/>
        </w:rPr>
      </w:pPr>
      <w:r>
        <w:rPr>
          <w:rFonts w:hint="eastAsia" w:ascii="宋体" w:hAnsi="宋体"/>
          <w:b/>
          <w:color w:val="auto"/>
          <w:szCs w:val="21"/>
        </w:rPr>
        <w:t>（一）学习目标</w:t>
      </w:r>
      <w:r>
        <w:rPr>
          <w:rFonts w:hint="eastAsia" w:ascii="宋体" w:hAnsi="宋体" w:cs="宋体"/>
          <w:color w:val="auto"/>
          <w:kern w:val="0"/>
          <w:sz w:val="24"/>
        </w:rPr>
        <w:t xml:space="preserve"> </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Cs w:val="21"/>
        </w:rPr>
      </w:pPr>
      <w:r>
        <w:rPr>
          <w:rFonts w:hint="eastAsia" w:ascii="宋体" w:hAnsi="宋体"/>
          <w:b/>
          <w:color w:val="auto"/>
          <w:szCs w:val="21"/>
        </w:rPr>
        <w:t xml:space="preserve"> </w:t>
      </w:r>
      <w:r>
        <w:rPr>
          <w:rFonts w:ascii="宋体" w:hAnsi="宋体"/>
          <w:b/>
          <w:color w:val="auto"/>
          <w:szCs w:val="21"/>
        </w:rPr>
        <w:t xml:space="preserve">   </w:t>
      </w:r>
      <w:r>
        <w:rPr>
          <w:rFonts w:hint="eastAsia" w:ascii="宋体" w:hAnsi="宋体"/>
          <w:b/>
          <w:color w:val="auto"/>
          <w:szCs w:val="21"/>
        </w:rPr>
        <w:t>1．一般了解</w:t>
      </w:r>
      <w:r>
        <w:rPr>
          <w:rFonts w:hint="eastAsia" w:ascii="宋体" w:hAnsi="宋体"/>
          <w:color w:val="auto"/>
          <w:szCs w:val="21"/>
        </w:rPr>
        <w:t>: 了解</w:t>
      </w:r>
      <w:r>
        <w:rPr>
          <w:rFonts w:hint="eastAsia" w:ascii="宋体" w:hAnsi="宋体"/>
          <w:color w:val="auto"/>
          <w:szCs w:val="21"/>
          <w:lang w:val="en-US" w:eastAsia="zh-CN"/>
        </w:rPr>
        <w:t>绿叶菜类蔬菜、</w:t>
      </w:r>
      <w:r>
        <w:rPr>
          <w:rFonts w:hint="eastAsia" w:ascii="宋体" w:hAnsi="宋体"/>
          <w:color w:val="auto"/>
          <w:szCs w:val="21"/>
        </w:rPr>
        <w:t>茄果类蔬菜</w:t>
      </w:r>
      <w:r>
        <w:rPr>
          <w:rFonts w:hint="eastAsia" w:ascii="宋体" w:hAnsi="宋体"/>
          <w:color w:val="auto"/>
          <w:szCs w:val="21"/>
          <w:lang w:eastAsia="zh-CN"/>
        </w:rPr>
        <w:t>、</w:t>
      </w:r>
      <w:r>
        <w:rPr>
          <w:rFonts w:hint="eastAsia" w:ascii="宋体" w:hAnsi="宋体"/>
          <w:color w:val="auto"/>
          <w:szCs w:val="21"/>
          <w:lang w:val="en-US" w:eastAsia="zh-CN"/>
        </w:rPr>
        <w:t>瓜类蔬菜、豆类蔬菜、根菜类蔬菜、豆类蔬菜</w:t>
      </w:r>
      <w:r>
        <w:rPr>
          <w:rFonts w:hint="eastAsia" w:ascii="宋体" w:hAnsi="宋体"/>
          <w:color w:val="auto"/>
          <w:szCs w:val="21"/>
        </w:rPr>
        <w:t>的种类和共性特点；了解果</w:t>
      </w:r>
      <w:r>
        <w:rPr>
          <w:rFonts w:hint="eastAsia" w:ascii="宋体" w:hAnsi="宋体"/>
          <w:color w:val="auto"/>
          <w:szCs w:val="21"/>
          <w:lang w:val="en-US" w:eastAsia="zh-CN"/>
        </w:rPr>
        <w:t>菜</w:t>
      </w:r>
      <w:r>
        <w:rPr>
          <w:rFonts w:hint="eastAsia" w:ascii="宋体" w:hAnsi="宋体"/>
          <w:color w:val="auto"/>
          <w:szCs w:val="21"/>
        </w:rPr>
        <w:t>类蔬菜开花结果习性。</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olor w:val="auto"/>
          <w:szCs w:val="21"/>
        </w:rPr>
      </w:pPr>
      <w:r>
        <w:rPr>
          <w:rFonts w:hint="eastAsia" w:ascii="宋体" w:hAnsi="宋体"/>
          <w:b/>
          <w:color w:val="auto"/>
          <w:szCs w:val="21"/>
        </w:rPr>
        <w:t>2．一般掌握:</w:t>
      </w:r>
      <w:r>
        <w:rPr>
          <w:rFonts w:hint="eastAsia" w:ascii="宋体" w:hAnsi="宋体"/>
          <w:color w:val="auto"/>
          <w:szCs w:val="21"/>
          <w:lang w:val="en-US" w:eastAsia="zh-CN"/>
        </w:rPr>
        <w:t>适合阳台种植的各类蔬菜主要品</w:t>
      </w:r>
      <w:r>
        <w:rPr>
          <w:rFonts w:hint="eastAsia" w:ascii="宋体" w:hAnsi="宋体"/>
          <w:color w:val="auto"/>
          <w:szCs w:val="21"/>
        </w:rPr>
        <w:t>种特性、生育期划分、不同生育阶段的特点、周年生产茬次安排。</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olor w:val="auto"/>
          <w:szCs w:val="21"/>
        </w:rPr>
      </w:pPr>
      <w:r>
        <w:rPr>
          <w:rFonts w:hint="eastAsia" w:ascii="宋体" w:hAnsi="宋体"/>
          <w:b/>
          <w:color w:val="auto"/>
          <w:szCs w:val="21"/>
        </w:rPr>
        <w:t xml:space="preserve">3．熟练掌握: </w:t>
      </w:r>
      <w:r>
        <w:rPr>
          <w:rFonts w:hint="eastAsia" w:ascii="宋体" w:hAnsi="宋体"/>
          <w:color w:val="auto"/>
          <w:szCs w:val="21"/>
        </w:rPr>
        <w:t>掌握</w:t>
      </w:r>
      <w:r>
        <w:rPr>
          <w:rFonts w:hint="eastAsia" w:ascii="宋体" w:hAnsi="宋体"/>
          <w:color w:val="auto"/>
          <w:szCs w:val="21"/>
          <w:lang w:val="en-US" w:eastAsia="zh-CN"/>
        </w:rPr>
        <w:t>主要蔬菜</w:t>
      </w:r>
      <w:r>
        <w:rPr>
          <w:rFonts w:hint="eastAsia" w:ascii="宋体" w:hAnsi="宋体"/>
          <w:color w:val="auto"/>
          <w:szCs w:val="21"/>
        </w:rPr>
        <w:t>主栽茬次的育苗期、定植期和收获期；培育壮苗的技术；熟练掌握植株调整的技术；熟练掌握保花保果技术；主栽茬次的栽培技术要点。</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b/>
          <w:color w:val="auto"/>
          <w:szCs w:val="21"/>
        </w:rPr>
      </w:pPr>
      <w:r>
        <w:rPr>
          <w:rFonts w:hint="eastAsia" w:ascii="宋体" w:hAnsi="宋体"/>
          <w:b/>
          <w:color w:val="auto"/>
          <w:szCs w:val="21"/>
        </w:rPr>
        <w:t>（二）考核内容</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ascii="宋体" w:hAnsi="宋体"/>
          <w:bCs/>
          <w:color w:val="auto"/>
          <w:szCs w:val="21"/>
        </w:rPr>
      </w:pPr>
      <w:r>
        <w:rPr>
          <w:rFonts w:hint="eastAsia" w:ascii="宋体" w:hAnsi="宋体"/>
          <w:b/>
          <w:color w:val="auto"/>
          <w:szCs w:val="21"/>
          <w:lang w:val="en-US" w:eastAsia="zh-CN"/>
        </w:rPr>
        <w:t>1.</w:t>
      </w:r>
      <w:r>
        <w:rPr>
          <w:rFonts w:hint="eastAsia" w:ascii="宋体" w:hAnsi="宋体"/>
          <w:color w:val="auto"/>
          <w:szCs w:val="21"/>
          <w:lang w:val="en-US" w:eastAsia="zh-CN"/>
        </w:rPr>
        <w:t>适合阳台种植的各类蔬菜</w:t>
      </w:r>
      <w:r>
        <w:rPr>
          <w:rFonts w:hint="eastAsia" w:ascii="宋体" w:hAnsi="宋体"/>
          <w:color w:val="auto"/>
          <w:szCs w:val="21"/>
        </w:rPr>
        <w:t>的生物学特性，生长发育过程，对环境条件要求等。</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eastAsia="宋体"/>
          <w:bCs/>
          <w:color w:val="auto"/>
          <w:szCs w:val="21"/>
          <w:lang w:eastAsia="zh-CN"/>
        </w:rPr>
      </w:pPr>
      <w:r>
        <w:rPr>
          <w:rFonts w:hint="eastAsia" w:ascii="宋体" w:hAnsi="宋体"/>
          <w:b/>
          <w:color w:val="auto"/>
          <w:szCs w:val="21"/>
          <w:lang w:val="en-US" w:eastAsia="zh-CN"/>
        </w:rPr>
        <w:t>2.</w:t>
      </w:r>
      <w:r>
        <w:rPr>
          <w:rFonts w:hint="eastAsia" w:ascii="宋体" w:hAnsi="宋体"/>
          <w:color w:val="auto"/>
          <w:szCs w:val="21"/>
        </w:rPr>
        <w:t>番茄、辣椒、</w:t>
      </w:r>
      <w:r>
        <w:rPr>
          <w:rFonts w:hint="eastAsia" w:ascii="宋体" w:hAnsi="宋体"/>
          <w:color w:val="auto"/>
          <w:szCs w:val="21"/>
          <w:lang w:val="en-US" w:eastAsia="zh-CN"/>
        </w:rPr>
        <w:t>黄瓜、生菜、小白菜、萝卜、菜豆</w:t>
      </w:r>
      <w:r>
        <w:rPr>
          <w:rFonts w:hint="eastAsia" w:ascii="宋体" w:hAnsi="宋体"/>
          <w:color w:val="auto"/>
          <w:szCs w:val="21"/>
        </w:rPr>
        <w:t>的栽培管理技术</w:t>
      </w:r>
      <w:r>
        <w:rPr>
          <w:rFonts w:hint="eastAsia" w:ascii="宋体" w:hAnsi="宋体"/>
          <w:color w:val="auto"/>
          <w:szCs w:val="21"/>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22" w:firstLineChars="200"/>
        <w:textAlignment w:val="auto"/>
        <w:rPr>
          <w:rFonts w:hint="eastAsia" w:ascii="宋体" w:hAnsi="宋体"/>
          <w:color w:val="auto"/>
          <w:szCs w:val="21"/>
        </w:rPr>
      </w:pPr>
      <w:r>
        <w:rPr>
          <w:rFonts w:hint="eastAsia" w:ascii="宋体" w:hAnsi="宋体"/>
          <w:b/>
          <w:color w:val="auto"/>
          <w:szCs w:val="21"/>
          <w:lang w:val="en-US" w:eastAsia="zh-CN"/>
        </w:rPr>
        <w:t>3.</w:t>
      </w:r>
      <w:r>
        <w:rPr>
          <w:rFonts w:hint="eastAsia" w:ascii="宋体" w:hAnsi="宋体"/>
          <w:color w:val="auto"/>
          <w:szCs w:val="21"/>
        </w:rPr>
        <w:t>品种选用、茬口安排、栽培季节、培育壮苗、植株调整、保花保果等</w:t>
      </w:r>
      <w:r>
        <w:rPr>
          <w:rFonts w:ascii="宋体" w:hAnsi="宋体"/>
          <w:color w:val="auto"/>
          <w:szCs w:val="21"/>
        </w:rPr>
        <w:t>技术的应用</w:t>
      </w:r>
      <w:r>
        <w:rPr>
          <w:rFonts w:hint="eastAsia" w:ascii="宋体" w:hAnsi="宋体"/>
          <w:color w:val="auto"/>
          <w:szCs w:val="21"/>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b/>
          <w:color w:val="auto"/>
          <w:szCs w:val="21"/>
        </w:rPr>
      </w:pPr>
      <w:r>
        <w:rPr>
          <w:rFonts w:hint="eastAsia" w:ascii="宋体" w:hAnsi="宋体"/>
          <w:b/>
          <w:color w:val="auto"/>
          <w:szCs w:val="21"/>
        </w:rPr>
        <w:t>（三）考核要求</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Cs w:val="21"/>
        </w:rPr>
      </w:pPr>
      <w:r>
        <w:rPr>
          <w:rFonts w:hint="eastAsia" w:ascii="宋体" w:hAnsi="宋体"/>
          <w:b/>
          <w:color w:val="auto"/>
          <w:szCs w:val="21"/>
        </w:rPr>
        <w:t>1.识记</w:t>
      </w:r>
      <w:r>
        <w:rPr>
          <w:rFonts w:hint="eastAsia" w:ascii="宋体" w:hAnsi="宋体"/>
          <w:color w:val="auto"/>
          <w:szCs w:val="21"/>
        </w:rPr>
        <w:t>：</w:t>
      </w:r>
      <w:r>
        <w:rPr>
          <w:rFonts w:hint="eastAsia" w:ascii="宋体" w:hAnsi="宋体"/>
          <w:color w:val="auto"/>
          <w:szCs w:val="21"/>
          <w:lang w:val="en-US" w:eastAsia="zh-CN"/>
        </w:rPr>
        <w:t>适合阳台种植的各类蔬菜</w:t>
      </w:r>
      <w:r>
        <w:rPr>
          <w:rFonts w:hint="eastAsia" w:ascii="宋体" w:hAnsi="宋体"/>
          <w:color w:val="auto"/>
          <w:szCs w:val="21"/>
        </w:rPr>
        <w:t>蔬菜所包括的主要种类和品种；蔬菜植物的分支类型；番茄成熟的几个阶段</w:t>
      </w:r>
      <w:r>
        <w:rPr>
          <w:rFonts w:hint="eastAsia" w:ascii="宋体" w:hAnsi="宋体"/>
          <w:color w:val="auto"/>
          <w:szCs w:val="21"/>
          <w:lang w:eastAsia="zh-CN"/>
        </w:rPr>
        <w:t>；</w:t>
      </w:r>
      <w:r>
        <w:rPr>
          <w:rFonts w:hint="eastAsia" w:ascii="宋体" w:hAnsi="宋体"/>
          <w:color w:val="auto"/>
          <w:szCs w:val="21"/>
          <w:lang w:val="en-US" w:eastAsia="zh-CN"/>
        </w:rPr>
        <w:t>黄瓜的单性结实</w:t>
      </w:r>
      <w:r>
        <w:rPr>
          <w:rFonts w:hint="eastAsia" w:ascii="宋体" w:hAnsi="宋体"/>
          <w:color w:val="auto"/>
          <w:szCs w:val="21"/>
        </w:rPr>
        <w:t>。</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b/>
          <w:color w:val="auto"/>
          <w:szCs w:val="21"/>
        </w:rPr>
      </w:pPr>
      <w:r>
        <w:rPr>
          <w:rFonts w:hint="eastAsia" w:ascii="宋体" w:hAnsi="宋体"/>
          <w:b/>
          <w:color w:val="auto"/>
          <w:szCs w:val="21"/>
        </w:rPr>
        <w:t>2.领会</w:t>
      </w:r>
      <w:r>
        <w:rPr>
          <w:rFonts w:hint="eastAsia" w:ascii="宋体" w:hAnsi="宋体"/>
          <w:color w:val="auto"/>
          <w:szCs w:val="21"/>
        </w:rPr>
        <w:t>：</w:t>
      </w:r>
      <w:r>
        <w:rPr>
          <w:rFonts w:hint="eastAsia" w:ascii="宋体" w:hAnsi="宋体"/>
          <w:color w:val="auto"/>
          <w:szCs w:val="21"/>
          <w:lang w:val="en-US" w:eastAsia="zh-CN"/>
        </w:rPr>
        <w:t>适合阳台种植的各类蔬菜</w:t>
      </w:r>
      <w:r>
        <w:rPr>
          <w:rFonts w:hint="eastAsia" w:ascii="宋体" w:hAnsi="宋体"/>
          <w:color w:val="auto"/>
          <w:szCs w:val="21"/>
        </w:rPr>
        <w:t>生物学特性、生长发育过程、对环境条件要求与栽培的关系。环境条件与培育壮的关系；开花坐果与保花保果。</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宋体" w:hAnsi="宋体"/>
          <w:color w:val="auto"/>
          <w:szCs w:val="21"/>
        </w:rPr>
      </w:pPr>
      <w:r>
        <w:rPr>
          <w:rFonts w:hint="eastAsia" w:ascii="宋体" w:hAnsi="宋体"/>
          <w:b/>
          <w:color w:val="auto"/>
          <w:szCs w:val="21"/>
        </w:rPr>
        <w:t>3.应用</w:t>
      </w:r>
      <w:r>
        <w:rPr>
          <w:rFonts w:hint="eastAsia" w:ascii="宋体" w:hAnsi="宋体"/>
          <w:color w:val="auto"/>
          <w:szCs w:val="21"/>
        </w:rPr>
        <w:t>：</w:t>
      </w:r>
      <w:r>
        <w:rPr>
          <w:rFonts w:hint="eastAsia" w:ascii="宋体" w:hAnsi="宋体"/>
          <w:color w:val="auto"/>
          <w:szCs w:val="21"/>
          <w:lang w:val="en-US" w:eastAsia="zh-CN"/>
        </w:rPr>
        <w:t>不同温度要求的蔬菜</w:t>
      </w:r>
      <w:r>
        <w:rPr>
          <w:rFonts w:hint="eastAsia" w:ascii="宋体" w:hAnsi="宋体"/>
          <w:color w:val="auto"/>
          <w:szCs w:val="21"/>
        </w:rPr>
        <w:t>主栽茬次安排，植株调整技术，保花保果技术。</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宋体" w:hAnsi="宋体"/>
          <w:b/>
          <w:color w:val="auto"/>
          <w:szCs w:val="21"/>
        </w:rPr>
      </w:pPr>
      <w:r>
        <w:rPr>
          <w:rFonts w:hint="eastAsia" w:ascii="宋体" w:hAnsi="宋体"/>
          <w:b/>
          <w:color w:val="auto"/>
          <w:szCs w:val="21"/>
        </w:rPr>
        <w:t>4.分析：</w:t>
      </w:r>
      <w:r>
        <w:rPr>
          <w:rFonts w:hint="eastAsia" w:ascii="宋体" w:hAnsi="宋体"/>
          <w:bCs/>
          <w:color w:val="auto"/>
          <w:szCs w:val="21"/>
        </w:rPr>
        <w:t>如何</w:t>
      </w:r>
      <w:r>
        <w:rPr>
          <w:rFonts w:hint="eastAsia" w:ascii="宋体" w:hAnsi="宋体"/>
          <w:color w:val="auto"/>
          <w:szCs w:val="21"/>
        </w:rPr>
        <w:t>解决</w:t>
      </w:r>
      <w:r>
        <w:rPr>
          <w:rFonts w:ascii="宋体" w:hAnsi="宋体"/>
          <w:color w:val="auto"/>
          <w:szCs w:val="21"/>
        </w:rPr>
        <w:t>反季节栽培中</w:t>
      </w:r>
      <w:r>
        <w:rPr>
          <w:rFonts w:hint="eastAsia" w:ascii="宋体" w:hAnsi="宋体"/>
          <w:color w:val="auto"/>
          <w:szCs w:val="21"/>
          <w:lang w:val="en-US" w:eastAsia="zh-CN"/>
        </w:rPr>
        <w:t>果菜类</w:t>
      </w:r>
      <w:r>
        <w:rPr>
          <w:rFonts w:ascii="宋体" w:hAnsi="宋体"/>
          <w:color w:val="auto"/>
          <w:szCs w:val="21"/>
        </w:rPr>
        <w:t>的落花落果现象，有哪些</w:t>
      </w:r>
      <w:r>
        <w:rPr>
          <w:rFonts w:hint="eastAsia" w:ascii="宋体" w:hAnsi="宋体"/>
          <w:color w:val="auto"/>
          <w:szCs w:val="21"/>
        </w:rPr>
        <w:t>措施</w:t>
      </w:r>
      <w:r>
        <w:rPr>
          <w:rFonts w:ascii="宋体" w:hAnsi="宋体"/>
          <w:color w:val="auto"/>
          <w:szCs w:val="21"/>
        </w:rPr>
        <w:t>？</w:t>
      </w:r>
    </w:p>
    <w:p>
      <w:pPr>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ascii="宋体" w:hAnsi="宋体" w:eastAsia="宋体"/>
          <w:b/>
          <w:color w:val="auto"/>
          <w:szCs w:val="21"/>
          <w:lang w:val="en-US" w:eastAsia="zh-CN"/>
        </w:rPr>
      </w:pPr>
      <w:r>
        <w:rPr>
          <w:rFonts w:hint="eastAsia" w:ascii="宋体" w:hAnsi="宋体"/>
          <w:b/>
          <w:color w:val="auto"/>
          <w:szCs w:val="21"/>
          <w:lang w:val="en-US" w:eastAsia="zh-CN"/>
        </w:rPr>
        <w:t>5</w:t>
      </w:r>
      <w:r>
        <w:rPr>
          <w:rFonts w:hint="eastAsia" w:ascii="宋体" w:hAnsi="宋体"/>
          <w:b/>
          <w:color w:val="auto"/>
          <w:szCs w:val="21"/>
        </w:rPr>
        <w:t>.评价：</w:t>
      </w:r>
      <w:r>
        <w:rPr>
          <w:rFonts w:hint="eastAsia"/>
          <w:color w:val="auto"/>
          <w:szCs w:val="21"/>
        </w:rPr>
        <w:t>课堂</w:t>
      </w:r>
      <w:r>
        <w:rPr>
          <w:color w:val="auto"/>
          <w:szCs w:val="21"/>
        </w:rPr>
        <w:t>提问</w:t>
      </w:r>
      <w:r>
        <w:rPr>
          <w:rFonts w:hint="eastAsia"/>
          <w:color w:val="auto"/>
          <w:szCs w:val="21"/>
        </w:rPr>
        <w:t>，学生</w:t>
      </w:r>
      <w:r>
        <w:rPr>
          <w:color w:val="auto"/>
          <w:szCs w:val="21"/>
        </w:rPr>
        <w:t>互动，</w:t>
      </w:r>
      <w:r>
        <w:rPr>
          <w:rFonts w:hint="eastAsia"/>
          <w:color w:val="auto"/>
          <w:szCs w:val="21"/>
        </w:rPr>
        <w:t>课下讨论</w:t>
      </w:r>
      <w:r>
        <w:rPr>
          <w:color w:val="auto"/>
          <w:szCs w:val="21"/>
        </w:rPr>
        <w:t>，抢答环节</w:t>
      </w:r>
      <w:r>
        <w:rPr>
          <w:rFonts w:hint="eastAsia"/>
          <w:color w:val="auto"/>
          <w:szCs w:val="21"/>
          <w:lang w:eastAsia="zh-CN"/>
        </w:rPr>
        <w:t>。</w:t>
      </w:r>
    </w:p>
    <w:p>
      <w:pPr>
        <w:keepNext w:val="0"/>
        <w:keepLines w:val="0"/>
        <w:pageBreakBefore w:val="0"/>
        <w:kinsoku/>
        <w:wordWrap/>
        <w:overflowPunct/>
        <w:topLinePunct w:val="0"/>
        <w:autoSpaceDE/>
        <w:autoSpaceDN/>
        <w:bidi w:val="0"/>
        <w:spacing w:line="360" w:lineRule="auto"/>
        <w:jc w:val="center"/>
        <w:textAlignment w:val="auto"/>
        <w:rPr>
          <w:rFonts w:ascii="宋体" w:hAnsi="宋体"/>
          <w:b/>
          <w:szCs w:val="21"/>
        </w:rPr>
      </w:pPr>
      <w:r>
        <w:rPr>
          <w:b/>
          <w:bCs/>
          <w:szCs w:val="21"/>
        </w:rPr>
        <w:t xml:space="preserve">第四章  </w:t>
      </w:r>
      <w:r>
        <w:rPr>
          <w:rFonts w:hint="eastAsia"/>
          <w:b/>
          <w:bCs/>
          <w:szCs w:val="21"/>
          <w:lang w:val="en-US" w:eastAsia="zh-CN"/>
        </w:rPr>
        <w:t>阳台上的花园</w:t>
      </w:r>
      <w:r>
        <w:rPr>
          <w:rFonts w:hint="eastAsia"/>
          <w:b/>
          <w:bCs/>
          <w:szCs w:val="21"/>
        </w:rPr>
        <w:t xml:space="preserve"> </w:t>
      </w:r>
    </w:p>
    <w:p>
      <w:pPr>
        <w:pStyle w:val="35"/>
        <w:keepNext w:val="0"/>
        <w:keepLines w:val="0"/>
        <w:pageBreakBefore w:val="0"/>
        <w:numPr>
          <w:ilvl w:val="0"/>
          <w:numId w:val="0"/>
        </w:numPr>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lang w:eastAsia="zh-CN"/>
        </w:rPr>
        <w:t>（</w:t>
      </w:r>
      <w:r>
        <w:rPr>
          <w:rFonts w:hint="eastAsia" w:ascii="宋体" w:hAnsi="宋体"/>
          <w:b/>
          <w:szCs w:val="21"/>
          <w:lang w:val="en-US" w:eastAsia="zh-CN"/>
        </w:rPr>
        <w:t>一</w:t>
      </w:r>
      <w:r>
        <w:rPr>
          <w:rFonts w:hint="eastAsia" w:ascii="宋体" w:hAnsi="宋体"/>
          <w:b/>
          <w:szCs w:val="21"/>
          <w:lang w:eastAsia="zh-CN"/>
        </w:rPr>
        <w:t>）</w:t>
      </w:r>
      <w:r>
        <w:rPr>
          <w:rFonts w:hint="eastAsia" w:ascii="宋体" w:hAnsi="宋体"/>
          <w:b/>
          <w:szCs w:val="21"/>
        </w:rPr>
        <w:t>学习目标</w:t>
      </w:r>
    </w:p>
    <w:p>
      <w:pPr>
        <w:keepNext w:val="0"/>
        <w:keepLines w:val="0"/>
        <w:pageBreakBefore w:val="0"/>
        <w:kinsoku/>
        <w:wordWrap/>
        <w:overflowPunct/>
        <w:topLinePunct w:val="0"/>
        <w:autoSpaceDE/>
        <w:autoSpaceDN/>
        <w:bidi w:val="0"/>
        <w:spacing w:line="360" w:lineRule="auto"/>
        <w:ind w:firstLine="422" w:firstLineChars="200"/>
        <w:textAlignment w:val="auto"/>
        <w:rPr>
          <w:rFonts w:hint="eastAsia" w:hAnsi="宋体" w:eastAsia="宋体"/>
          <w:szCs w:val="21"/>
          <w:lang w:eastAsia="zh-CN"/>
        </w:rPr>
      </w:pPr>
      <w:r>
        <w:rPr>
          <w:rFonts w:hint="eastAsia" w:ascii="宋体" w:hAnsi="宋体"/>
          <w:b/>
          <w:szCs w:val="21"/>
        </w:rPr>
        <w:t>1.一般了解</w:t>
      </w:r>
      <w:r>
        <w:rPr>
          <w:rFonts w:hint="eastAsia" w:ascii="宋体" w:hAnsi="宋体"/>
          <w:szCs w:val="21"/>
        </w:rPr>
        <w:t>：</w:t>
      </w:r>
      <w:r>
        <w:rPr>
          <w:rFonts w:hint="eastAsia" w:hAnsi="宋体"/>
          <w:szCs w:val="21"/>
          <w:lang w:val="en-US" w:eastAsia="zh-CN"/>
        </w:rPr>
        <w:t>阳台花卉的选择依据与准备；阳台微景观</w:t>
      </w:r>
      <w:r>
        <w:rPr>
          <w:rFonts w:hint="eastAsia" w:hAnsi="宋体"/>
          <w:szCs w:val="21"/>
          <w:lang w:eastAsia="zh-CN"/>
        </w:rPr>
        <w:t>。</w:t>
      </w:r>
    </w:p>
    <w:p>
      <w:pPr>
        <w:pStyle w:val="35"/>
        <w:keepNext w:val="0"/>
        <w:keepLines w:val="0"/>
        <w:pageBreakBefore w:val="0"/>
        <w:kinsoku/>
        <w:wordWrap/>
        <w:overflowPunct/>
        <w:topLinePunct w:val="0"/>
        <w:autoSpaceDE/>
        <w:autoSpaceDN/>
        <w:bidi w:val="0"/>
        <w:snapToGrid w:val="0"/>
        <w:spacing w:line="360" w:lineRule="auto"/>
        <w:ind w:firstLine="422"/>
        <w:textAlignment w:val="auto"/>
        <w:rPr>
          <w:rFonts w:ascii="宋体" w:hAnsi="宋体"/>
          <w:b/>
          <w:szCs w:val="21"/>
        </w:rPr>
      </w:pPr>
      <w:r>
        <w:rPr>
          <w:rFonts w:hint="eastAsia" w:ascii="宋体" w:hAnsi="宋体"/>
          <w:b/>
          <w:szCs w:val="21"/>
        </w:rPr>
        <w:t>2. 一般掌握</w:t>
      </w:r>
      <w:r>
        <w:rPr>
          <w:rFonts w:hint="eastAsia" w:ascii="宋体" w:hAnsi="宋体"/>
          <w:szCs w:val="21"/>
        </w:rPr>
        <w:t xml:space="preserve">： </w:t>
      </w:r>
      <w:r>
        <w:rPr>
          <w:rFonts w:hint="eastAsia" w:hAnsi="宋体"/>
          <w:szCs w:val="21"/>
          <w:lang w:val="en-US" w:eastAsia="zh-CN"/>
        </w:rPr>
        <w:t>阳台观花植物、观叶植物、多肉植物的基本栽植方法。</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lang w:eastAsia="zh-CN"/>
        </w:rPr>
        <w:t>（</w:t>
      </w:r>
      <w:r>
        <w:rPr>
          <w:rFonts w:hint="eastAsia" w:ascii="宋体" w:hAnsi="宋体"/>
          <w:b/>
          <w:szCs w:val="21"/>
          <w:lang w:val="en-US" w:eastAsia="zh-CN"/>
        </w:rPr>
        <w:t>二</w:t>
      </w:r>
      <w:r>
        <w:rPr>
          <w:rFonts w:hint="eastAsia" w:ascii="宋体" w:hAnsi="宋体"/>
          <w:b/>
          <w:szCs w:val="21"/>
          <w:lang w:eastAsia="zh-CN"/>
        </w:rPr>
        <w:t>）</w:t>
      </w:r>
      <w:r>
        <w:rPr>
          <w:rFonts w:hint="eastAsia" w:ascii="宋体" w:hAnsi="宋体"/>
          <w:b/>
          <w:szCs w:val="21"/>
        </w:rPr>
        <w:t>考核内容</w:t>
      </w:r>
    </w:p>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Calibri" w:hAnsi="宋体" w:eastAsia="宋体" w:cs="Times New Roman"/>
          <w:b w:val="0"/>
          <w:bCs/>
          <w:kern w:val="2"/>
          <w:sz w:val="21"/>
          <w:szCs w:val="21"/>
          <w:lang w:val="en-US" w:eastAsia="zh-CN" w:bidi="ar-SA"/>
        </w:rPr>
      </w:pPr>
      <w:r>
        <w:rPr>
          <w:rFonts w:hint="eastAsia" w:ascii="宋体" w:hAnsi="宋体"/>
          <w:b/>
          <w:szCs w:val="21"/>
        </w:rPr>
        <w:t xml:space="preserve"> </w:t>
      </w:r>
      <w:r>
        <w:rPr>
          <w:rFonts w:ascii="宋体" w:hAnsi="宋体"/>
          <w:b/>
          <w:szCs w:val="21"/>
        </w:rPr>
        <w:t xml:space="preserve">   </w:t>
      </w:r>
      <w:r>
        <w:rPr>
          <w:rFonts w:hint="eastAsia" w:ascii="宋体" w:hAnsi="宋体"/>
          <w:b/>
          <w:szCs w:val="21"/>
          <w:lang w:val="en-US" w:eastAsia="zh-CN"/>
        </w:rPr>
        <w:t>1.</w:t>
      </w:r>
      <w:r>
        <w:rPr>
          <w:rFonts w:hint="eastAsia" w:ascii="宋体" w:hAnsi="宋体"/>
          <w:b w:val="0"/>
          <w:bCs/>
          <w:szCs w:val="21"/>
          <w:lang w:val="en-US" w:eastAsia="zh-CN"/>
        </w:rPr>
        <w:t>阳台花卉种植槽的选择，阳台观花植物的主要特点和种类；阳台</w:t>
      </w:r>
      <w:r>
        <w:rPr>
          <w:rFonts w:hint="eastAsia" w:hAnsi="宋体"/>
          <w:b w:val="0"/>
          <w:bCs/>
          <w:szCs w:val="21"/>
          <w:lang w:val="en-US" w:eastAsia="zh-CN"/>
        </w:rPr>
        <w:t>观叶植物、多肉植物</w:t>
      </w:r>
      <w:r>
        <w:rPr>
          <w:rFonts w:hint="eastAsia" w:ascii="宋体" w:hAnsi="宋体"/>
          <w:b w:val="0"/>
          <w:bCs/>
          <w:szCs w:val="21"/>
          <w:lang w:val="en-US" w:eastAsia="zh-CN"/>
        </w:rPr>
        <w:t>主要特点和种类；</w:t>
      </w:r>
      <w:r>
        <w:rPr>
          <w:rFonts w:hint="eastAsia" w:hAnsi="宋体"/>
          <w:b w:val="0"/>
          <w:bCs/>
          <w:szCs w:val="21"/>
          <w:lang w:val="en-US" w:eastAsia="zh-CN"/>
        </w:rPr>
        <w:t>阳台观花植物、观叶植物、多肉植物的基本栽植方法</w:t>
      </w:r>
      <w:r>
        <w:rPr>
          <w:rFonts w:hint="eastAsia" w:hAnsi="宋体"/>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b/>
          <w:szCs w:val="21"/>
          <w:lang w:val="en-US" w:eastAsia="zh-CN"/>
        </w:rPr>
      </w:pPr>
      <w:r>
        <w:rPr>
          <w:rFonts w:hint="eastAsia" w:ascii="宋体" w:hAnsi="宋体"/>
          <w:b w:val="0"/>
          <w:bCs/>
          <w:szCs w:val="21"/>
          <w:lang w:val="en-US" w:eastAsia="zh-CN"/>
        </w:rPr>
        <w:t>2.不同阳台温度、水分、空气流动等管理。</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b/>
          <w:szCs w:val="21"/>
          <w:lang w:val="en-US"/>
        </w:rPr>
      </w:pPr>
      <w:r>
        <w:rPr>
          <w:rFonts w:hint="eastAsia" w:ascii="宋体" w:hAnsi="宋体"/>
          <w:b w:val="0"/>
          <w:bCs/>
          <w:szCs w:val="21"/>
          <w:lang w:val="en-US" w:eastAsia="zh-CN"/>
        </w:rPr>
        <w:t>3.了解不适合种植在阳台的花卉。</w:t>
      </w:r>
    </w:p>
    <w:p>
      <w:pPr>
        <w:keepNext w:val="0"/>
        <w:keepLines w:val="0"/>
        <w:pageBreakBefore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（三）考核要求</w:t>
      </w:r>
    </w:p>
    <w:p>
      <w:pPr>
        <w:keepNext w:val="0"/>
        <w:keepLines w:val="0"/>
        <w:pageBreakBefore w:val="0"/>
        <w:widowControl w:val="0"/>
        <w:kinsoku/>
        <w:wordWrap/>
        <w:overflowPunct/>
        <w:topLinePunct w:val="0"/>
        <w:autoSpaceDE/>
        <w:autoSpaceDN/>
        <w:bidi w:val="0"/>
        <w:snapToGrid w:val="0"/>
        <w:spacing w:line="360" w:lineRule="auto"/>
        <w:ind w:firstLine="422" w:firstLineChars="200"/>
        <w:textAlignment w:val="auto"/>
        <w:rPr>
          <w:rFonts w:hint="default" w:ascii="Calibri" w:hAnsi="宋体" w:eastAsia="宋体" w:cs="Times New Roman"/>
          <w:b w:val="0"/>
          <w:bCs/>
          <w:kern w:val="2"/>
          <w:sz w:val="21"/>
          <w:szCs w:val="21"/>
          <w:lang w:val="en-US" w:eastAsia="zh-CN" w:bidi="ar-SA"/>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hint="eastAsia" w:ascii="宋体" w:hAnsi="宋体"/>
          <w:b w:val="0"/>
          <w:bCs/>
          <w:szCs w:val="21"/>
          <w:lang w:val="en-US" w:eastAsia="zh-CN"/>
        </w:rPr>
        <w:t>阳台花卉种植槽的选择，阳台观花植物的主要特点和种类；阳台</w:t>
      </w:r>
      <w:r>
        <w:rPr>
          <w:rFonts w:hint="eastAsia" w:hAnsi="宋体"/>
          <w:b w:val="0"/>
          <w:bCs/>
          <w:szCs w:val="21"/>
          <w:lang w:val="en-US" w:eastAsia="zh-CN"/>
        </w:rPr>
        <w:t>观叶植物、多肉植物</w:t>
      </w:r>
      <w:r>
        <w:rPr>
          <w:rFonts w:hint="eastAsia" w:ascii="宋体" w:hAnsi="宋体"/>
          <w:b w:val="0"/>
          <w:bCs/>
          <w:szCs w:val="21"/>
          <w:lang w:val="en-US" w:eastAsia="zh-CN"/>
        </w:rPr>
        <w:t>主要特点和种类；</w:t>
      </w:r>
      <w:r>
        <w:rPr>
          <w:rFonts w:hint="eastAsia" w:hAnsi="宋体"/>
          <w:b w:val="0"/>
          <w:bCs/>
          <w:szCs w:val="21"/>
          <w:lang w:val="en-US" w:eastAsia="zh-CN"/>
        </w:rPr>
        <w:t>阳台观花植物、观叶植物、多肉植物的基本栽植方法</w:t>
      </w:r>
      <w:r>
        <w:rPr>
          <w:rFonts w:hint="eastAsia" w:hAnsi="宋体"/>
          <w:szCs w:val="21"/>
          <w:lang w:val="en-US" w:eastAsia="zh-CN"/>
        </w:rPr>
        <w:t>。</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宋体" w:hAnsi="宋体"/>
          <w:b w:val="0"/>
          <w:bCs/>
          <w:szCs w:val="21"/>
          <w:lang w:val="en-US" w:eastAsia="zh-CN"/>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hint="eastAsia" w:ascii="宋体" w:hAnsi="宋体"/>
          <w:b w:val="0"/>
          <w:bCs/>
          <w:szCs w:val="21"/>
          <w:lang w:val="en-US" w:eastAsia="zh-CN"/>
        </w:rPr>
        <w:t>不同朝向阳台的不同环境特点及适合的花卉类型。</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宋体" w:hAnsi="宋体"/>
          <w:b w:val="0"/>
          <w:bCs/>
          <w:szCs w:val="21"/>
          <w:lang w:val="en-US" w:eastAsia="zh-CN"/>
        </w:rPr>
      </w:pPr>
      <w:r>
        <w:rPr>
          <w:rFonts w:ascii="宋体" w:hAnsi="宋体"/>
          <w:b/>
          <w:bCs/>
          <w:szCs w:val="21"/>
        </w:rPr>
        <w:t>3.</w:t>
      </w:r>
      <w:r>
        <w:rPr>
          <w:rFonts w:hint="eastAsia" w:ascii="宋体" w:hAnsi="宋体"/>
          <w:b/>
          <w:bCs/>
          <w:szCs w:val="21"/>
        </w:rPr>
        <w:t>应用：</w:t>
      </w:r>
      <w:r>
        <w:rPr>
          <w:rFonts w:hint="eastAsia" w:ascii="宋体" w:hAnsi="宋体"/>
          <w:b w:val="0"/>
          <w:bCs/>
          <w:szCs w:val="21"/>
          <w:lang w:val="en-US" w:eastAsia="zh-CN"/>
        </w:rPr>
        <w:t>不同花卉植物栽植的特点。</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keepNext w:val="0"/>
        <w:keepLines w:val="0"/>
        <w:pageBreakBefore w:val="0"/>
        <w:kinsoku/>
        <w:wordWrap/>
        <w:overflowPunct/>
        <w:topLinePunct w:val="0"/>
        <w:autoSpaceDE/>
        <w:autoSpaceDN/>
        <w:bidi w:val="0"/>
        <w:spacing w:line="360" w:lineRule="auto"/>
        <w:jc w:val="center"/>
        <w:textAlignment w:val="auto"/>
        <w:rPr>
          <w:rFonts w:ascii="宋体" w:hAnsi="宋体"/>
          <w:b/>
          <w:szCs w:val="21"/>
        </w:rPr>
      </w:pPr>
      <w:r>
        <w:rPr>
          <w:rFonts w:hint="eastAsia" w:ascii="宋体" w:hAnsi="宋体"/>
          <w:b/>
          <w:szCs w:val="21"/>
        </w:rPr>
        <w:t>第五章</w:t>
      </w:r>
      <w:r>
        <w:rPr>
          <w:rFonts w:ascii="宋体" w:hAnsi="宋体"/>
          <w:b/>
          <w:szCs w:val="21"/>
        </w:rPr>
        <w:t xml:space="preserve"> </w:t>
      </w:r>
      <w:r>
        <w:rPr>
          <w:rFonts w:hint="eastAsia"/>
          <w:b/>
          <w:bCs/>
          <w:szCs w:val="21"/>
          <w:lang w:val="en-US" w:eastAsia="zh-CN"/>
        </w:rPr>
        <w:t>阳台植物常见病虫害</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（一）学习目标</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hAnsi="宋体"/>
          <w:szCs w:val="21"/>
          <w:lang w:val="en-US" w:eastAsia="zh-CN"/>
        </w:rPr>
      </w:pPr>
      <w:r>
        <w:rPr>
          <w:rFonts w:hint="eastAsia" w:ascii="宋体" w:hAnsi="宋体"/>
          <w:b/>
          <w:szCs w:val="21"/>
        </w:rPr>
        <w:t>1.一般了解</w:t>
      </w:r>
      <w:r>
        <w:rPr>
          <w:rFonts w:hint="eastAsia" w:ascii="宋体" w:hAnsi="宋体"/>
          <w:szCs w:val="21"/>
        </w:rPr>
        <w:t>：</w:t>
      </w:r>
      <w:r>
        <w:rPr>
          <w:rFonts w:hint="eastAsia" w:ascii="宋体" w:hAnsi="宋体"/>
          <w:szCs w:val="21"/>
          <w:lang w:val="en-US" w:eastAsia="zh-CN"/>
        </w:rPr>
        <w:t>了</w:t>
      </w:r>
      <w:r>
        <w:rPr>
          <w:rFonts w:hint="eastAsia" w:hAnsi="宋体"/>
          <w:szCs w:val="21"/>
        </w:rPr>
        <w:t>解</w:t>
      </w:r>
      <w:r>
        <w:rPr>
          <w:rFonts w:hint="eastAsia" w:hAnsi="宋体"/>
          <w:szCs w:val="21"/>
          <w:lang w:val="en-US" w:eastAsia="zh-CN"/>
        </w:rPr>
        <w:t>阳台植物常见病虫害类型及防治方法。</w:t>
      </w:r>
    </w:p>
    <w:p>
      <w:pPr>
        <w:pStyle w:val="3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ascii="宋体" w:hAnsi="宋体"/>
          <w:szCs w:val="21"/>
        </w:rPr>
      </w:pPr>
      <w:r>
        <w:rPr>
          <w:rFonts w:hint="eastAsia" w:ascii="宋体" w:hAnsi="宋体"/>
          <w:b/>
          <w:szCs w:val="21"/>
        </w:rPr>
        <w:t>2.一般掌握</w:t>
      </w:r>
      <w:r>
        <w:rPr>
          <w:rFonts w:hint="eastAsia" w:ascii="宋体" w:hAnsi="宋体"/>
          <w:szCs w:val="21"/>
        </w:rPr>
        <w:t>：</w:t>
      </w:r>
      <w:r>
        <w:rPr>
          <w:rFonts w:hint="eastAsia" w:hAnsi="宋体"/>
          <w:szCs w:val="21"/>
          <w:lang w:val="en-US" w:eastAsia="zh-CN"/>
        </w:rPr>
        <w:t>阳台植物常见病虫害无农药防治方法</w:t>
      </w:r>
      <w:r>
        <w:rPr>
          <w:rFonts w:hint="eastAsia" w:hAnsi="宋体"/>
          <w:szCs w:val="21"/>
        </w:rPr>
        <w:t>。</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（二）考核内容</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hAnsi="宋体"/>
          <w:szCs w:val="21"/>
          <w:lang w:val="en-US" w:eastAsia="zh-CN"/>
        </w:rPr>
      </w:pPr>
      <w:r>
        <w:rPr>
          <w:rFonts w:hint="eastAsia" w:hAnsi="宋体"/>
          <w:szCs w:val="21"/>
          <w:lang w:val="en-US" w:eastAsia="zh-CN"/>
        </w:rPr>
        <w:t>1.真菌、细菌和病毒病害的特点；阳台植物常见病害的特点；阳台植物常见的虫害；常见物理防虫方法。</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hAnsi="宋体"/>
          <w:szCs w:val="21"/>
          <w:lang w:val="en-US" w:eastAsia="zh-CN"/>
        </w:rPr>
      </w:pPr>
      <w:r>
        <w:rPr>
          <w:rFonts w:hint="eastAsia" w:ascii="宋体" w:hAnsi="宋体"/>
          <w:b/>
          <w:szCs w:val="21"/>
          <w:lang w:val="en-US" w:eastAsia="zh-CN"/>
        </w:rPr>
        <w:t>2.</w:t>
      </w:r>
      <w:r>
        <w:rPr>
          <w:rFonts w:hint="eastAsia" w:hAnsi="宋体"/>
          <w:szCs w:val="21"/>
          <w:lang w:val="en-US" w:eastAsia="zh-CN"/>
        </w:rPr>
        <w:t>应用病害特点判断病害类型，能用物理防治方法防治病虫害。</w:t>
      </w:r>
    </w:p>
    <w:p>
      <w:pPr>
        <w:pStyle w:val="3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b/>
          <w:szCs w:val="21"/>
          <w:lang w:eastAsia="zh-CN"/>
        </w:rPr>
      </w:pPr>
      <w:r>
        <w:rPr>
          <w:rFonts w:hint="eastAsia" w:ascii="宋体" w:hAnsi="宋体"/>
          <w:b/>
          <w:szCs w:val="21"/>
          <w:lang w:val="en-US" w:eastAsia="zh-CN"/>
        </w:rPr>
        <w:t>3.</w:t>
      </w:r>
      <w:r>
        <w:rPr>
          <w:rFonts w:hint="eastAsia" w:hAnsi="宋体"/>
          <w:szCs w:val="21"/>
          <w:lang w:val="en-US" w:eastAsia="zh-CN"/>
        </w:rPr>
        <w:t>阳台植物常见病虫害无农药防治方法</w:t>
      </w:r>
      <w:r>
        <w:rPr>
          <w:rFonts w:hint="eastAsia" w:hAnsi="宋体"/>
          <w:szCs w:val="21"/>
        </w:rPr>
        <w:t>。</w:t>
      </w:r>
    </w:p>
    <w:p>
      <w:pPr>
        <w:keepNext w:val="0"/>
        <w:keepLines w:val="0"/>
        <w:pageBreakBefore w:val="0"/>
        <w:widowControl w:val="0"/>
        <w:kinsoku/>
        <w:wordWrap/>
        <w:overflowPunct/>
        <w:topLinePunct w:val="0"/>
        <w:autoSpaceDE/>
        <w:autoSpaceDN/>
        <w:bidi w:val="0"/>
        <w:snapToGrid w:val="0"/>
        <w:spacing w:line="360" w:lineRule="auto"/>
        <w:textAlignment w:val="auto"/>
        <w:rPr>
          <w:rFonts w:ascii="宋体" w:hAnsi="宋体"/>
          <w:b/>
          <w:szCs w:val="21"/>
        </w:rPr>
      </w:pPr>
      <w:r>
        <w:rPr>
          <w:rFonts w:hint="eastAsia" w:ascii="宋体" w:hAnsi="宋体"/>
          <w:b/>
          <w:szCs w:val="21"/>
        </w:rPr>
        <w:t>（三）考核要求</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识记：</w:t>
      </w:r>
      <w:r>
        <w:rPr>
          <w:rFonts w:hint="eastAsia" w:hAnsi="宋体"/>
          <w:szCs w:val="21"/>
          <w:lang w:val="en-US" w:eastAsia="zh-CN"/>
        </w:rPr>
        <w:t>真菌、细菌和病毒病害的特点；阳台植物常见病害的特点；阳台植物常见的虫害；常见物理防虫方法。</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default" w:ascii="宋体" w:hAnsi="宋体"/>
          <w:szCs w:val="21"/>
          <w:lang w:val="en-US"/>
        </w:rPr>
      </w:pPr>
      <w:r>
        <w:rPr>
          <w:rFonts w:hint="eastAsia" w:ascii="宋体" w:hAnsi="宋体"/>
          <w:b/>
          <w:bCs/>
          <w:szCs w:val="21"/>
        </w:rPr>
        <w:t>2</w:t>
      </w:r>
      <w:r>
        <w:rPr>
          <w:rFonts w:ascii="宋体" w:hAnsi="宋体"/>
          <w:b/>
          <w:bCs/>
          <w:szCs w:val="21"/>
        </w:rPr>
        <w:t>.</w:t>
      </w:r>
      <w:r>
        <w:rPr>
          <w:rFonts w:hint="eastAsia" w:ascii="宋体" w:hAnsi="宋体"/>
          <w:b/>
          <w:bCs/>
          <w:szCs w:val="21"/>
        </w:rPr>
        <w:t>理解：</w:t>
      </w:r>
      <w:r>
        <w:rPr>
          <w:rFonts w:hint="eastAsia" w:hAnsi="宋体"/>
          <w:szCs w:val="21"/>
          <w:lang w:val="en-US" w:eastAsia="zh-CN"/>
        </w:rPr>
        <w:t>物理防治方法的原理。</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ascii="宋体" w:hAnsi="宋体"/>
          <w:szCs w:val="21"/>
        </w:rPr>
      </w:pPr>
      <w:r>
        <w:rPr>
          <w:rFonts w:ascii="宋体" w:hAnsi="宋体"/>
          <w:szCs w:val="21"/>
        </w:rPr>
        <w:t>3.</w:t>
      </w:r>
      <w:r>
        <w:rPr>
          <w:rFonts w:hint="eastAsia" w:ascii="宋体" w:hAnsi="宋体"/>
          <w:b/>
          <w:bCs/>
          <w:szCs w:val="21"/>
        </w:rPr>
        <w:t>应用：</w:t>
      </w:r>
      <w:r>
        <w:rPr>
          <w:rFonts w:hint="eastAsia" w:hAnsi="宋体"/>
          <w:szCs w:val="21"/>
          <w:lang w:val="en-US" w:eastAsia="zh-CN"/>
        </w:rPr>
        <w:t>应用病害特点判断病害类型，能用物理防治方法防治病虫害。</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ascii="宋体" w:hAnsi="宋体"/>
          <w:szCs w:val="21"/>
        </w:rPr>
      </w:pPr>
      <w:r>
        <w:rPr>
          <w:rFonts w:ascii="宋体" w:hAnsi="宋体"/>
          <w:b/>
          <w:szCs w:val="21"/>
        </w:rPr>
        <w:t>4.</w:t>
      </w:r>
      <w:r>
        <w:rPr>
          <w:rFonts w:hint="eastAsia" w:ascii="宋体" w:hAnsi="宋体"/>
          <w:b/>
          <w:szCs w:val="21"/>
        </w:rPr>
        <w:t>评价：</w:t>
      </w:r>
      <w:r>
        <w:rPr>
          <w:rFonts w:hint="eastAsia" w:ascii="宋体" w:hAnsi="宋体"/>
          <w:szCs w:val="21"/>
        </w:rPr>
        <w:t>课堂提问和课后互动、小组讨论。</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szCs w:val="21"/>
        </w:rPr>
      </w:pPr>
      <w:r>
        <w:rPr>
          <w:rFonts w:hint="eastAsia" w:ascii="宋体" w:hAnsi="宋体"/>
          <w:b/>
          <w:szCs w:val="21"/>
          <w:lang w:val="en-US" w:eastAsia="zh-CN"/>
        </w:rPr>
        <w:t>三</w:t>
      </w:r>
      <w:r>
        <w:rPr>
          <w:rFonts w:hint="eastAsia" w:ascii="宋体" w:hAnsi="宋体"/>
          <w:b/>
          <w:szCs w:val="21"/>
        </w:rPr>
        <w:t>、考核方式</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szCs w:val="21"/>
        </w:rPr>
      </w:pPr>
      <w:r>
        <w:rPr>
          <w:rFonts w:hint="eastAsia" w:ascii="宋体" w:hAnsi="宋体"/>
          <w:szCs w:val="21"/>
        </w:rPr>
        <w:t>本门课程的考核分为平时、期末和实验考核</w:t>
      </w:r>
      <w:r>
        <w:rPr>
          <w:rFonts w:hint="eastAsia" w:ascii="宋体" w:hAnsi="宋体"/>
          <w:szCs w:val="21"/>
          <w:lang w:eastAsia="zh-CN"/>
        </w:rPr>
        <w:t>三</w:t>
      </w:r>
      <w:r>
        <w:rPr>
          <w:rFonts w:hint="eastAsia" w:ascii="宋体" w:hAnsi="宋体"/>
          <w:szCs w:val="21"/>
        </w:rPr>
        <w:t>个环节。平时成绩包括平时学习情况、课堂提问、小组讨论表现、作业、考勤等；期末考试为</w:t>
      </w:r>
      <w:r>
        <w:rPr>
          <w:rFonts w:hint="eastAsia" w:ascii="宋体" w:hAnsi="宋体"/>
          <w:szCs w:val="21"/>
          <w:lang w:val="en-US" w:eastAsia="zh-CN"/>
        </w:rPr>
        <w:t>课程论文</w:t>
      </w:r>
      <w:r>
        <w:rPr>
          <w:rFonts w:hint="eastAsia" w:ascii="宋体" w:hAnsi="宋体"/>
          <w:szCs w:val="21"/>
        </w:rPr>
        <w:t>；实验考核包括考勤和实验报告等。</w:t>
      </w:r>
    </w:p>
    <w:p>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b/>
          <w:szCs w:val="21"/>
        </w:rPr>
      </w:pPr>
      <w:r>
        <w:rPr>
          <w:rFonts w:hint="eastAsia" w:ascii="宋体" w:hAnsi="宋体"/>
          <w:b/>
          <w:szCs w:val="21"/>
          <w:lang w:val="en-US" w:eastAsia="zh-CN"/>
        </w:rPr>
        <w:t>四</w:t>
      </w:r>
      <w:r>
        <w:rPr>
          <w:rFonts w:hint="eastAsia" w:ascii="宋体" w:hAnsi="宋体"/>
          <w:b/>
          <w:szCs w:val="21"/>
        </w:rPr>
        <w:t>、成绩评定</w:t>
      </w:r>
    </w:p>
    <w:p>
      <w:pPr>
        <w:keepNext w:val="0"/>
        <w:keepLines w:val="0"/>
        <w:pageBreakBefore w:val="0"/>
        <w:widowControl w:val="0"/>
        <w:kinsoku/>
        <w:wordWrap/>
        <w:overflowPunct/>
        <w:topLinePunct w:val="0"/>
        <w:autoSpaceDE/>
        <w:autoSpaceDN/>
        <w:bidi w:val="0"/>
        <w:spacing w:line="360" w:lineRule="auto"/>
        <w:ind w:firstLine="420"/>
        <w:textAlignment w:val="auto"/>
        <w:rPr>
          <w:rFonts w:hint="eastAsia" w:ascii="宋体" w:hAnsi="宋体"/>
          <w:szCs w:val="21"/>
        </w:rPr>
      </w:pPr>
      <w:r>
        <w:rPr>
          <w:rFonts w:hint="eastAsia" w:ascii="宋体" w:hAnsi="宋体"/>
          <w:szCs w:val="21"/>
        </w:rPr>
        <w:t>总成绩＝</w:t>
      </w:r>
      <w:r>
        <w:rPr>
          <w:rFonts w:hint="eastAsia" w:ascii="宋体" w:hAnsi="宋体"/>
          <w:szCs w:val="21"/>
          <w:lang w:val="en-US" w:eastAsia="zh-CN"/>
        </w:rPr>
        <w:t>课程论文</w:t>
      </w:r>
      <w:r>
        <w:rPr>
          <w:rFonts w:hint="eastAsia" w:ascii="宋体" w:hAnsi="宋体"/>
          <w:szCs w:val="21"/>
        </w:rPr>
        <w:t>成绩</w:t>
      </w:r>
      <w:r>
        <w:rPr>
          <w:rFonts w:hint="eastAsia" w:ascii="宋体" w:hAnsi="宋体"/>
          <w:bCs/>
          <w:color w:val="auto"/>
          <w:szCs w:val="21"/>
        </w:rPr>
        <w:t>×</w:t>
      </w:r>
      <w:r>
        <w:rPr>
          <w:rFonts w:hint="eastAsia" w:ascii="宋体" w:hAnsi="宋体"/>
          <w:szCs w:val="21"/>
          <w:lang w:val="en-US" w:eastAsia="zh-CN"/>
        </w:rPr>
        <w:t>40-</w:t>
      </w:r>
      <w:r>
        <w:rPr>
          <w:rFonts w:ascii="宋体" w:hAnsi="宋体"/>
          <w:szCs w:val="21"/>
        </w:rPr>
        <w:t>5</w:t>
      </w:r>
      <w:r>
        <w:rPr>
          <w:rFonts w:hint="eastAsia" w:ascii="宋体" w:hAnsi="宋体"/>
          <w:szCs w:val="21"/>
        </w:rPr>
        <w:t>0%+平时成绩</w:t>
      </w:r>
      <w:r>
        <w:rPr>
          <w:rFonts w:hint="eastAsia" w:ascii="宋体" w:hAnsi="宋体"/>
          <w:bCs/>
          <w:color w:val="auto"/>
          <w:szCs w:val="21"/>
        </w:rPr>
        <w:t>×</w:t>
      </w:r>
      <w:r>
        <w:rPr>
          <w:rFonts w:hint="eastAsia" w:ascii="宋体" w:hAnsi="宋体"/>
          <w:szCs w:val="21"/>
          <w:lang w:val="en-US" w:eastAsia="zh-CN"/>
        </w:rPr>
        <w:t>20-3</w:t>
      </w:r>
      <w:r>
        <w:rPr>
          <w:rFonts w:hint="eastAsia" w:ascii="宋体" w:hAnsi="宋体"/>
          <w:szCs w:val="21"/>
        </w:rPr>
        <w:t>0%+</w:t>
      </w:r>
      <w:r>
        <w:rPr>
          <w:rFonts w:hint="eastAsia" w:ascii="宋体" w:hAnsi="宋体"/>
          <w:szCs w:val="21"/>
          <w:lang w:val="en-US" w:eastAsia="zh-CN"/>
        </w:rPr>
        <w:t>实验</w:t>
      </w:r>
      <w:r>
        <w:rPr>
          <w:rFonts w:hint="eastAsia" w:ascii="宋体" w:hAnsi="宋体"/>
          <w:szCs w:val="21"/>
        </w:rPr>
        <w:t>成绩</w:t>
      </w:r>
      <w:r>
        <w:rPr>
          <w:rFonts w:hint="eastAsia" w:ascii="宋体" w:hAnsi="宋体"/>
          <w:bCs/>
          <w:color w:val="auto"/>
          <w:szCs w:val="21"/>
        </w:rPr>
        <w:t>×</w:t>
      </w:r>
      <w:r>
        <w:rPr>
          <w:rFonts w:hint="eastAsia" w:ascii="宋体" w:hAnsi="宋体"/>
          <w:szCs w:val="21"/>
          <w:lang w:val="en-US" w:eastAsia="zh-CN"/>
        </w:rPr>
        <w:t>2</w:t>
      </w:r>
      <w:r>
        <w:rPr>
          <w:rFonts w:hint="eastAsia" w:ascii="宋体" w:hAnsi="宋体"/>
          <w:szCs w:val="21"/>
        </w:rPr>
        <w:t>0</w:t>
      </w:r>
      <w:r>
        <w:rPr>
          <w:rFonts w:hint="eastAsia" w:ascii="宋体" w:hAnsi="宋体"/>
          <w:szCs w:val="21"/>
          <w:lang w:val="en-US" w:eastAsia="zh-CN"/>
        </w:rPr>
        <w:t>-30</w:t>
      </w:r>
      <w:r>
        <w:rPr>
          <w:rFonts w:hint="eastAsia" w:ascii="宋体" w:hAnsi="宋体"/>
          <w:szCs w:val="21"/>
        </w:rPr>
        <w:t>%；实验教学成绩占课程总成绩的</w:t>
      </w:r>
      <w:r>
        <w:rPr>
          <w:rFonts w:hint="eastAsia" w:ascii="宋体" w:hAnsi="宋体"/>
          <w:szCs w:val="21"/>
          <w:lang w:val="en-US" w:eastAsia="zh-CN"/>
        </w:rPr>
        <w:t>2</w:t>
      </w:r>
      <w:r>
        <w:rPr>
          <w:rFonts w:hint="eastAsia" w:ascii="宋体" w:hAnsi="宋体"/>
          <w:szCs w:val="21"/>
        </w:rPr>
        <w:t>0%，其成绩登记到期末总成绩单上。成绩评定根据实验报告确定。</w:t>
      </w:r>
    </w:p>
    <w:p>
      <w:pPr>
        <w:keepNext w:val="0"/>
        <w:keepLines w:val="0"/>
        <w:pageBreakBefore w:val="0"/>
        <w:widowControl w:val="0"/>
        <w:kinsoku/>
        <w:wordWrap/>
        <w:overflowPunct/>
        <w:topLinePunct w:val="0"/>
        <w:autoSpaceDE/>
        <w:autoSpaceDN/>
        <w:bidi w:val="0"/>
        <w:spacing w:line="360" w:lineRule="auto"/>
        <w:textAlignment w:val="auto"/>
        <w:rPr>
          <w:rFonts w:ascii="宋体" w:hAnsi="宋体"/>
          <w:b/>
          <w:szCs w:val="21"/>
        </w:rPr>
      </w:pPr>
      <w:r>
        <w:rPr>
          <w:rFonts w:hint="eastAsia" w:ascii="宋体" w:hAnsi="宋体"/>
          <w:b/>
          <w:szCs w:val="21"/>
          <w:lang w:val="en-US" w:eastAsia="zh-CN"/>
        </w:rPr>
        <w:t>五</w:t>
      </w:r>
      <w:r>
        <w:rPr>
          <w:rFonts w:hint="eastAsia" w:ascii="宋体" w:hAnsi="宋体"/>
          <w:b/>
          <w:szCs w:val="21"/>
        </w:rPr>
        <w:t>、考核结果分析反馈</w:t>
      </w:r>
    </w:p>
    <w:p>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ascii="宋体" w:hAnsi="宋体"/>
          <w:szCs w:val="21"/>
        </w:rPr>
      </w:pPr>
      <w:r>
        <w:rPr>
          <w:rFonts w:hint="eastAsia" w:ascii="宋体" w:hAnsi="宋体"/>
          <w:szCs w:val="21"/>
        </w:rPr>
        <w:t>任课教师要结合形成性评价各方面的内容，随时观察、分析每一位同学在学习、评价中的情况，及时反馈其存在的问题、不足及优点，并给出学习建议。学期结束后，对本门课程的整体考试情况、本次</w:t>
      </w:r>
      <w:r>
        <w:rPr>
          <w:rFonts w:hint="eastAsia" w:ascii="宋体" w:hAnsi="宋体"/>
          <w:szCs w:val="21"/>
          <w:lang w:val="en-US" w:eastAsia="zh-CN"/>
        </w:rPr>
        <w:t>论文</w:t>
      </w:r>
      <w:r>
        <w:rPr>
          <w:rFonts w:hint="eastAsia" w:ascii="宋体" w:hAnsi="宋体"/>
          <w:szCs w:val="21"/>
        </w:rPr>
        <w:t>的特点、反映出的问题及教师根据学情进行的改进办法等以书面形式呈现。</w:t>
      </w:r>
    </w:p>
    <w:p>
      <w:pPr>
        <w:keepNext w:val="0"/>
        <w:keepLines w:val="0"/>
        <w:pageBreakBefore w:val="0"/>
        <w:kinsoku/>
        <w:wordWrap/>
        <w:overflowPunct/>
        <w:topLinePunct w:val="0"/>
        <w:autoSpaceDE/>
        <w:autoSpaceDN/>
        <w:bidi w:val="0"/>
        <w:spacing w:line="360" w:lineRule="auto"/>
        <w:textAlignment w:val="auto"/>
      </w:pPr>
    </w:p>
    <w:p>
      <w:pPr>
        <w:snapToGrid w:val="0"/>
        <w:spacing w:line="360" w:lineRule="auto"/>
        <w:rPr>
          <w:color w:val="0000FF"/>
          <w:szCs w:val="21"/>
        </w:rPr>
      </w:pPr>
    </w:p>
    <w:p>
      <w:pPr>
        <w:widowControl/>
        <w:snapToGrid w:val="0"/>
        <w:spacing w:line="360" w:lineRule="auto"/>
        <w:ind w:firstLine="420"/>
        <w:jc w:val="left"/>
      </w:pPr>
    </w:p>
    <w:p>
      <w:pPr>
        <w:snapToGrid w:val="0"/>
        <w:spacing w:line="360" w:lineRule="auto"/>
        <w:rPr>
          <w:rFonts w:ascii="宋体" w:hAnsi="宋体"/>
          <w:szCs w:val="21"/>
        </w:rPr>
      </w:pPr>
    </w:p>
    <w:p>
      <w:pPr>
        <w:spacing w:line="360" w:lineRule="auto"/>
        <w:ind w:firstLine="323" w:firstLineChars="154"/>
        <w:rPr>
          <w:rFonts w:ascii="宋体" w:hAnsi="宋体"/>
          <w:color w:val="0000FF"/>
          <w:szCs w:val="21"/>
        </w:rPr>
      </w:pPr>
    </w:p>
    <w:p>
      <w:pPr>
        <w:snapToGrid w:val="0"/>
        <w:spacing w:line="360" w:lineRule="auto"/>
        <w:rPr>
          <w:rFonts w:ascii="宋体" w:hAnsi="宋体"/>
          <w:color w:val="0000FF"/>
          <w:szCs w:val="21"/>
        </w:rPr>
      </w:pPr>
    </w:p>
    <w:p>
      <w:pPr>
        <w:rPr>
          <w:rFonts w:ascii="宋体" w:hAnsi="宋体"/>
        </w:rPr>
      </w:pPr>
    </w:p>
    <w:sectPr>
      <w:footerReference r:id="rId12" w:type="default"/>
      <w:footerReference r:id="rId13" w:type="even"/>
      <w:pgSz w:w="11906" w:h="16838"/>
      <w:pgMar w:top="1418" w:right="1588" w:bottom="1588" w:left="1418" w:header="851" w:footer="850" w:gutter="0"/>
      <w:pgBorders>
        <w:top w:val="none" w:sz="0" w:space="0"/>
        <w:left w:val="none" w:sz="0" w:space="0"/>
        <w:bottom w:val="none" w:sz="0" w:space="0"/>
        <w:right w:val="none" w:sz="0" w:space="0"/>
      </w:pgBorders>
      <w:pgNumType w:start="405"/>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pingfangSC">
    <w:altName w:val="Segoe Print"/>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
    <w:altName w:val="宋体"/>
    <w:panose1 w:val="00000000000000000000"/>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Microsoft JhengHei">
    <w:panose1 w:val="020B0604030504040204"/>
    <w:charset w:val="88"/>
    <w:family w:val="swiss"/>
    <w:pitch w:val="default"/>
    <w:sig w:usb0="0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 w:name="䅂䍄䕅⯋컌">
    <w:altName w:val="Segoe Print"/>
    <w:panose1 w:val="00000000000000000000"/>
    <w:charset w:val="00"/>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780558"/>
    </w:sdtPr>
    <w:sdtContent>
      <w:p>
        <w:pPr>
          <w:pStyle w:val="13"/>
          <w:jc w:val="right"/>
        </w:pPr>
        <w:r>
          <w:fldChar w:fldCharType="begin"/>
        </w:r>
        <w:r>
          <w:instrText xml:space="preserve">PAGE   \* MERGEFORMAT</w:instrText>
        </w:r>
        <w:r>
          <w:fldChar w:fldCharType="separate"/>
        </w:r>
        <w:r>
          <w:rPr>
            <w:lang w:val="zh-CN"/>
          </w:rPr>
          <w:t>1</w:t>
        </w:r>
        <w:r>
          <w:fldChar w:fldCharType="end"/>
        </w:r>
      </w:p>
    </w:sdtContent>
  </w:sdt>
  <w:p>
    <w:pPr>
      <w:pStyle w:val="1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780558"/>
    </w:sdtPr>
    <w:sdtContent>
      <w:p>
        <w:pPr>
          <w:pStyle w:val="13"/>
          <w:jc w:val="right"/>
        </w:pPr>
        <w:r>
          <w:fldChar w:fldCharType="begin"/>
        </w:r>
        <w:r>
          <w:instrText xml:space="preserve">PAGE   \* MERGEFORMAT</w:instrText>
        </w:r>
        <w:r>
          <w:fldChar w:fldCharType="separate"/>
        </w:r>
        <w:r>
          <w:rPr>
            <w:lang w:val="zh-CN"/>
          </w:rPr>
          <w:t>1</w:t>
        </w:r>
        <w:r>
          <w:fldChar w:fldCharType="end"/>
        </w:r>
      </w:p>
    </w:sdtContent>
  </w:sdt>
  <w:p>
    <w:pPr>
      <w:pStyle w:val="1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5415833"/>
    </w:sdtPr>
    <w:sdtContent>
      <w:p>
        <w:pPr>
          <w:pStyle w:val="13"/>
        </w:pPr>
        <w:r>
          <w:fldChar w:fldCharType="begin"/>
        </w:r>
        <w:r>
          <w:instrText xml:space="preserve">PAGE   \* MERGEFORMAT</w:instrText>
        </w:r>
        <w:r>
          <w:fldChar w:fldCharType="separate"/>
        </w:r>
        <w:r>
          <w:rPr>
            <w:lang w:val="zh-CN"/>
          </w:rPr>
          <w:t>2</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5415833"/>
    </w:sdtPr>
    <w:sdtContent>
      <w:p>
        <w:pPr>
          <w:pStyle w:val="13"/>
        </w:pPr>
        <w:r>
          <w:fldChar w:fldCharType="begin"/>
        </w:r>
        <w:r>
          <w:instrText xml:space="preserve">PAGE   \* MERGEFORMAT</w:instrText>
        </w:r>
        <w:r>
          <w:fldChar w:fldCharType="separate"/>
        </w:r>
        <w:r>
          <w:rPr>
            <w:lang w:val="zh-CN"/>
          </w:rPr>
          <w:t>2</w:t>
        </w:r>
        <w:r>
          <w:fldChar w:fldCharType="end"/>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694083"/>
    </w:sdtPr>
    <w:sdtContent>
      <w:p>
        <w:pPr>
          <w:pStyle w:val="13"/>
          <w:jc w:val="right"/>
        </w:pPr>
        <w:r>
          <w:fldChar w:fldCharType="begin"/>
        </w:r>
        <w:r>
          <w:instrText xml:space="preserve">PAGE   \* MERGEFORMAT</w:instrText>
        </w:r>
        <w:r>
          <w:fldChar w:fldCharType="separate"/>
        </w:r>
        <w:r>
          <w:rPr>
            <w:lang w:val="zh-CN"/>
          </w:rPr>
          <w:t>1</w:t>
        </w:r>
        <w:r>
          <w:fldChar w:fldCharType="end"/>
        </w:r>
      </w:p>
    </w:sdtContent>
  </w:sdt>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780558"/>
    </w:sdtPr>
    <w:sdtContent>
      <w:p>
        <w:pPr>
          <w:pStyle w:val="13"/>
          <w:jc w:val="right"/>
        </w:pPr>
        <w:r>
          <w:fldChar w:fldCharType="begin"/>
        </w:r>
        <w:r>
          <w:instrText xml:space="preserve">PAGE   \* MERGEFORMAT</w:instrText>
        </w:r>
        <w:r>
          <w:fldChar w:fldCharType="separate"/>
        </w:r>
        <w:r>
          <w:rPr>
            <w:lang w:val="zh-CN"/>
          </w:rPr>
          <w:t>1</w:t>
        </w:r>
        <w:r>
          <w:fldChar w:fldCharType="end"/>
        </w:r>
      </w:p>
    </w:sdtContent>
  </w:sdt>
  <w:p>
    <w:pPr>
      <w:pStyle w:val="1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5415833"/>
    </w:sdtPr>
    <w:sdtContent>
      <w:p>
        <w:pPr>
          <w:pStyle w:val="13"/>
        </w:pPr>
        <w:r>
          <w:fldChar w:fldCharType="begin"/>
        </w:r>
        <w:r>
          <w:instrText xml:space="preserve">PAGE   \* MERGEFORMAT</w:instrText>
        </w:r>
        <w:r>
          <w:fldChar w:fldCharType="separate"/>
        </w:r>
        <w:r>
          <w:rPr>
            <w:lang w:val="zh-CN"/>
          </w:rPr>
          <w:t>2</w:t>
        </w:r>
        <w:r>
          <w:fldChar w:fldCharType="end"/>
        </w:r>
      </w:p>
    </w:sdtContent>
  </w:sdt>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684AF"/>
    <w:multiLevelType w:val="singleLevel"/>
    <w:tmpl w:val="822684AF"/>
    <w:lvl w:ilvl="0" w:tentative="0">
      <w:start w:val="1"/>
      <w:numFmt w:val="chineseCounting"/>
      <w:suff w:val="space"/>
      <w:lvlText w:val="第%1节"/>
      <w:lvlJc w:val="left"/>
      <w:rPr>
        <w:rFonts w:hint="eastAsia"/>
      </w:rPr>
    </w:lvl>
  </w:abstractNum>
  <w:abstractNum w:abstractNumId="1">
    <w:nsid w:val="853119AE"/>
    <w:multiLevelType w:val="singleLevel"/>
    <w:tmpl w:val="853119AE"/>
    <w:lvl w:ilvl="0" w:tentative="0">
      <w:start w:val="1"/>
      <w:numFmt w:val="chineseCounting"/>
      <w:suff w:val="space"/>
      <w:lvlText w:val="第%1节"/>
      <w:lvlJc w:val="left"/>
      <w:rPr>
        <w:rFonts w:hint="eastAsia"/>
      </w:rPr>
    </w:lvl>
  </w:abstractNum>
  <w:abstractNum w:abstractNumId="2">
    <w:nsid w:val="8C59DDA7"/>
    <w:multiLevelType w:val="singleLevel"/>
    <w:tmpl w:val="8C59DDA7"/>
    <w:lvl w:ilvl="0" w:tentative="0">
      <w:start w:val="2"/>
      <w:numFmt w:val="decimal"/>
      <w:lvlText w:val="%1."/>
      <w:lvlJc w:val="left"/>
      <w:pPr>
        <w:tabs>
          <w:tab w:val="left" w:pos="312"/>
        </w:tabs>
      </w:pPr>
    </w:lvl>
  </w:abstractNum>
  <w:abstractNum w:abstractNumId="3">
    <w:nsid w:val="93C305A9"/>
    <w:multiLevelType w:val="singleLevel"/>
    <w:tmpl w:val="93C305A9"/>
    <w:lvl w:ilvl="0" w:tentative="0">
      <w:start w:val="1"/>
      <w:numFmt w:val="chineseCounting"/>
      <w:suff w:val="space"/>
      <w:lvlText w:val="第%1节"/>
      <w:lvlJc w:val="left"/>
      <w:rPr>
        <w:rFonts w:hint="eastAsia"/>
      </w:rPr>
    </w:lvl>
  </w:abstractNum>
  <w:abstractNum w:abstractNumId="4">
    <w:nsid w:val="977A85EA"/>
    <w:multiLevelType w:val="singleLevel"/>
    <w:tmpl w:val="977A85EA"/>
    <w:lvl w:ilvl="0" w:tentative="0">
      <w:start w:val="1"/>
      <w:numFmt w:val="decimal"/>
      <w:suff w:val="nothing"/>
      <w:lvlText w:val="（%1）"/>
      <w:lvlJc w:val="left"/>
    </w:lvl>
  </w:abstractNum>
  <w:abstractNum w:abstractNumId="5">
    <w:nsid w:val="A17042CE"/>
    <w:multiLevelType w:val="singleLevel"/>
    <w:tmpl w:val="A17042CE"/>
    <w:lvl w:ilvl="0" w:tentative="0">
      <w:start w:val="2"/>
      <w:numFmt w:val="decimal"/>
      <w:lvlText w:val="%1."/>
      <w:lvlJc w:val="left"/>
      <w:pPr>
        <w:tabs>
          <w:tab w:val="left" w:pos="312"/>
        </w:tabs>
      </w:pPr>
    </w:lvl>
  </w:abstractNum>
  <w:abstractNum w:abstractNumId="6">
    <w:nsid w:val="A75B3FB3"/>
    <w:multiLevelType w:val="singleLevel"/>
    <w:tmpl w:val="A75B3FB3"/>
    <w:lvl w:ilvl="0" w:tentative="0">
      <w:start w:val="1"/>
      <w:numFmt w:val="chineseCounting"/>
      <w:suff w:val="space"/>
      <w:lvlText w:val="第%1节"/>
      <w:lvlJc w:val="left"/>
      <w:rPr>
        <w:rFonts w:hint="eastAsia"/>
      </w:rPr>
    </w:lvl>
  </w:abstractNum>
  <w:abstractNum w:abstractNumId="7">
    <w:nsid w:val="B5AA903C"/>
    <w:multiLevelType w:val="singleLevel"/>
    <w:tmpl w:val="B5AA903C"/>
    <w:lvl w:ilvl="0" w:tentative="0">
      <w:start w:val="2"/>
      <w:numFmt w:val="chineseCounting"/>
      <w:suff w:val="space"/>
      <w:lvlText w:val="第%1节"/>
      <w:lvlJc w:val="left"/>
      <w:rPr>
        <w:rFonts w:hint="eastAsia"/>
      </w:rPr>
    </w:lvl>
  </w:abstractNum>
  <w:abstractNum w:abstractNumId="8">
    <w:nsid w:val="C01B5644"/>
    <w:multiLevelType w:val="singleLevel"/>
    <w:tmpl w:val="C01B5644"/>
    <w:lvl w:ilvl="0" w:tentative="0">
      <w:start w:val="4"/>
      <w:numFmt w:val="decimal"/>
      <w:suff w:val="nothing"/>
      <w:lvlText w:val="（%1）"/>
      <w:lvlJc w:val="left"/>
    </w:lvl>
  </w:abstractNum>
  <w:abstractNum w:abstractNumId="9">
    <w:nsid w:val="C5BD2166"/>
    <w:multiLevelType w:val="singleLevel"/>
    <w:tmpl w:val="C5BD2166"/>
    <w:lvl w:ilvl="0" w:tentative="0">
      <w:start w:val="2"/>
      <w:numFmt w:val="decimal"/>
      <w:lvlText w:val="%1."/>
      <w:lvlJc w:val="left"/>
      <w:pPr>
        <w:tabs>
          <w:tab w:val="left" w:pos="312"/>
        </w:tabs>
      </w:pPr>
    </w:lvl>
  </w:abstractNum>
  <w:abstractNum w:abstractNumId="10">
    <w:nsid w:val="D3EB7CC3"/>
    <w:multiLevelType w:val="singleLevel"/>
    <w:tmpl w:val="D3EB7CC3"/>
    <w:lvl w:ilvl="0" w:tentative="0">
      <w:start w:val="4"/>
      <w:numFmt w:val="chineseCounting"/>
      <w:suff w:val="nothing"/>
      <w:lvlText w:val="%1、"/>
      <w:lvlJc w:val="left"/>
      <w:rPr>
        <w:rFonts w:hint="eastAsia"/>
      </w:rPr>
    </w:lvl>
  </w:abstractNum>
  <w:abstractNum w:abstractNumId="11">
    <w:nsid w:val="DAF736B9"/>
    <w:multiLevelType w:val="singleLevel"/>
    <w:tmpl w:val="DAF736B9"/>
    <w:lvl w:ilvl="0" w:tentative="0">
      <w:start w:val="1"/>
      <w:numFmt w:val="decimal"/>
      <w:suff w:val="nothing"/>
      <w:lvlText w:val="%1．"/>
      <w:lvlJc w:val="left"/>
      <w:pPr>
        <w:ind w:left="17" w:firstLine="403"/>
      </w:pPr>
      <w:rPr>
        <w:rFonts w:hint="default"/>
      </w:rPr>
    </w:lvl>
  </w:abstractNum>
  <w:abstractNum w:abstractNumId="12">
    <w:nsid w:val="E11BD7E3"/>
    <w:multiLevelType w:val="singleLevel"/>
    <w:tmpl w:val="E11BD7E3"/>
    <w:lvl w:ilvl="0" w:tentative="0">
      <w:start w:val="1"/>
      <w:numFmt w:val="chineseCounting"/>
      <w:suff w:val="space"/>
      <w:lvlText w:val="第%1章"/>
      <w:lvlJc w:val="left"/>
      <w:rPr>
        <w:rFonts w:hint="eastAsia"/>
      </w:rPr>
    </w:lvl>
  </w:abstractNum>
  <w:abstractNum w:abstractNumId="13">
    <w:nsid w:val="E19AFBE4"/>
    <w:multiLevelType w:val="singleLevel"/>
    <w:tmpl w:val="E19AFBE4"/>
    <w:lvl w:ilvl="0" w:tentative="0">
      <w:start w:val="9"/>
      <w:numFmt w:val="chineseCounting"/>
      <w:suff w:val="nothing"/>
      <w:lvlText w:val="%1、"/>
      <w:lvlJc w:val="left"/>
      <w:rPr>
        <w:rFonts w:hint="eastAsia"/>
      </w:rPr>
    </w:lvl>
  </w:abstractNum>
  <w:abstractNum w:abstractNumId="14">
    <w:nsid w:val="E5E58ABC"/>
    <w:multiLevelType w:val="singleLevel"/>
    <w:tmpl w:val="E5E58ABC"/>
    <w:lvl w:ilvl="0" w:tentative="0">
      <w:start w:val="1"/>
      <w:numFmt w:val="chineseCounting"/>
      <w:suff w:val="space"/>
      <w:lvlText w:val="第%1章"/>
      <w:lvlJc w:val="left"/>
      <w:rPr>
        <w:rFonts w:hint="eastAsia"/>
      </w:rPr>
    </w:lvl>
  </w:abstractNum>
  <w:abstractNum w:abstractNumId="15">
    <w:nsid w:val="FC2AE25D"/>
    <w:multiLevelType w:val="singleLevel"/>
    <w:tmpl w:val="FC2AE25D"/>
    <w:lvl w:ilvl="0" w:tentative="0">
      <w:start w:val="4"/>
      <w:numFmt w:val="chineseCounting"/>
      <w:suff w:val="nothing"/>
      <w:lvlText w:val="%1、"/>
      <w:lvlJc w:val="left"/>
      <w:rPr>
        <w:rFonts w:hint="eastAsia"/>
      </w:rPr>
    </w:lvl>
  </w:abstractNum>
  <w:abstractNum w:abstractNumId="16">
    <w:nsid w:val="00000013"/>
    <w:multiLevelType w:val="singleLevel"/>
    <w:tmpl w:val="00000013"/>
    <w:lvl w:ilvl="0" w:tentative="0">
      <w:start w:val="1"/>
      <w:numFmt w:val="decimal"/>
      <w:suff w:val="space"/>
      <w:lvlText w:val="%1."/>
      <w:lvlJc w:val="left"/>
      <w:pPr>
        <w:ind w:left="0" w:firstLine="0"/>
      </w:pPr>
    </w:lvl>
  </w:abstractNum>
  <w:abstractNum w:abstractNumId="17">
    <w:nsid w:val="06498C62"/>
    <w:multiLevelType w:val="singleLevel"/>
    <w:tmpl w:val="06498C62"/>
    <w:lvl w:ilvl="0" w:tentative="0">
      <w:start w:val="4"/>
      <w:numFmt w:val="chineseCounting"/>
      <w:suff w:val="nothing"/>
      <w:lvlText w:val="（%1）"/>
      <w:lvlJc w:val="left"/>
      <w:rPr>
        <w:rFonts w:hint="eastAsia"/>
      </w:rPr>
    </w:lvl>
  </w:abstractNum>
  <w:abstractNum w:abstractNumId="18">
    <w:nsid w:val="071852CE"/>
    <w:multiLevelType w:val="multilevel"/>
    <w:tmpl w:val="071852C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93F7991"/>
    <w:multiLevelType w:val="multilevel"/>
    <w:tmpl w:val="093F7991"/>
    <w:lvl w:ilvl="0" w:tentative="0">
      <w:start w:val="1"/>
      <w:numFmt w:val="japaneseCounting"/>
      <w:lvlText w:val="第%1节"/>
      <w:lvlJc w:val="left"/>
      <w:pPr>
        <w:ind w:left="1245" w:hanging="735"/>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20">
    <w:nsid w:val="0EB01702"/>
    <w:multiLevelType w:val="multilevel"/>
    <w:tmpl w:val="0EB01702"/>
    <w:lvl w:ilvl="0" w:tentative="0">
      <w:start w:val="1"/>
      <w:numFmt w:val="japaneseCounting"/>
      <w:lvlText w:val="第%1节"/>
      <w:lvlJc w:val="left"/>
      <w:pPr>
        <w:ind w:left="1245" w:hanging="735"/>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21">
    <w:nsid w:val="138753C7"/>
    <w:multiLevelType w:val="multilevel"/>
    <w:tmpl w:val="138753C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16E21C7B"/>
    <w:multiLevelType w:val="multilevel"/>
    <w:tmpl w:val="16E21C7B"/>
    <w:lvl w:ilvl="0" w:tentative="0">
      <w:start w:val="1"/>
      <w:numFmt w:val="decimal"/>
      <w:lvlText w:val="%1）"/>
      <w:lvlJc w:val="left"/>
      <w:pPr>
        <w:tabs>
          <w:tab w:val="left" w:pos="360"/>
        </w:tabs>
        <w:ind w:left="36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24F92227"/>
    <w:multiLevelType w:val="multilevel"/>
    <w:tmpl w:val="24F9222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7E54652"/>
    <w:multiLevelType w:val="multilevel"/>
    <w:tmpl w:val="27E54652"/>
    <w:lvl w:ilvl="0" w:tentative="0">
      <w:start w:val="3"/>
      <w:numFmt w:val="decimal"/>
      <w:lvlText w:val="（%1）"/>
      <w:lvlJc w:val="left"/>
      <w:pPr>
        <w:ind w:left="1035" w:hanging="720"/>
      </w:pPr>
      <w:rPr>
        <w:rFonts w:hint="default"/>
      </w:rPr>
    </w:lvl>
    <w:lvl w:ilvl="1" w:tentative="0">
      <w:start w:val="1"/>
      <w:numFmt w:val="lowerLetter"/>
      <w:lvlText w:val="%2)"/>
      <w:lvlJc w:val="left"/>
      <w:pPr>
        <w:ind w:left="1155" w:hanging="420"/>
      </w:pPr>
    </w:lvl>
    <w:lvl w:ilvl="2" w:tentative="0">
      <w:start w:val="1"/>
      <w:numFmt w:val="lowerRoman"/>
      <w:lvlText w:val="%3."/>
      <w:lvlJc w:val="right"/>
      <w:pPr>
        <w:ind w:left="1575" w:hanging="420"/>
      </w:pPr>
    </w:lvl>
    <w:lvl w:ilvl="3" w:tentative="0">
      <w:start w:val="1"/>
      <w:numFmt w:val="decimal"/>
      <w:lvlText w:val="%4."/>
      <w:lvlJc w:val="left"/>
      <w:pPr>
        <w:ind w:left="1995" w:hanging="420"/>
      </w:pPr>
    </w:lvl>
    <w:lvl w:ilvl="4" w:tentative="0">
      <w:start w:val="1"/>
      <w:numFmt w:val="lowerLetter"/>
      <w:lvlText w:val="%5)"/>
      <w:lvlJc w:val="left"/>
      <w:pPr>
        <w:ind w:left="2415" w:hanging="420"/>
      </w:pPr>
    </w:lvl>
    <w:lvl w:ilvl="5" w:tentative="0">
      <w:start w:val="1"/>
      <w:numFmt w:val="lowerRoman"/>
      <w:lvlText w:val="%6."/>
      <w:lvlJc w:val="right"/>
      <w:pPr>
        <w:ind w:left="2835" w:hanging="420"/>
      </w:pPr>
    </w:lvl>
    <w:lvl w:ilvl="6" w:tentative="0">
      <w:start w:val="1"/>
      <w:numFmt w:val="decimal"/>
      <w:lvlText w:val="%7."/>
      <w:lvlJc w:val="left"/>
      <w:pPr>
        <w:ind w:left="3255" w:hanging="420"/>
      </w:pPr>
    </w:lvl>
    <w:lvl w:ilvl="7" w:tentative="0">
      <w:start w:val="1"/>
      <w:numFmt w:val="lowerLetter"/>
      <w:lvlText w:val="%8)"/>
      <w:lvlJc w:val="left"/>
      <w:pPr>
        <w:ind w:left="3675" w:hanging="420"/>
      </w:pPr>
    </w:lvl>
    <w:lvl w:ilvl="8" w:tentative="0">
      <w:start w:val="1"/>
      <w:numFmt w:val="lowerRoman"/>
      <w:lvlText w:val="%9."/>
      <w:lvlJc w:val="right"/>
      <w:pPr>
        <w:ind w:left="4095" w:hanging="420"/>
      </w:pPr>
    </w:lvl>
  </w:abstractNum>
  <w:abstractNum w:abstractNumId="25">
    <w:nsid w:val="28332B1B"/>
    <w:multiLevelType w:val="singleLevel"/>
    <w:tmpl w:val="28332B1B"/>
    <w:lvl w:ilvl="0" w:tentative="0">
      <w:start w:val="1"/>
      <w:numFmt w:val="chineseCounting"/>
      <w:suff w:val="nothing"/>
      <w:lvlText w:val="%1、"/>
      <w:lvlJc w:val="left"/>
      <w:rPr>
        <w:rFonts w:hint="eastAsia"/>
      </w:rPr>
    </w:lvl>
  </w:abstractNum>
  <w:abstractNum w:abstractNumId="26">
    <w:nsid w:val="2BAD4D42"/>
    <w:multiLevelType w:val="multilevel"/>
    <w:tmpl w:val="2BAD4D4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2EA658AE"/>
    <w:multiLevelType w:val="multilevel"/>
    <w:tmpl w:val="2EA658AE"/>
    <w:lvl w:ilvl="0" w:tentative="0">
      <w:start w:val="1"/>
      <w:numFmt w:val="decimal"/>
      <w:lvlText w:val="%1）"/>
      <w:lvlJc w:val="left"/>
      <w:pPr>
        <w:tabs>
          <w:tab w:val="left" w:pos="360"/>
        </w:tabs>
        <w:ind w:left="360" w:hanging="36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8">
    <w:nsid w:val="31E0164E"/>
    <w:multiLevelType w:val="multilevel"/>
    <w:tmpl w:val="31E0164E"/>
    <w:lvl w:ilvl="0" w:tentative="0">
      <w:start w:val="1"/>
      <w:numFmt w:val="decimal"/>
      <w:lvlText w:val="%1．"/>
      <w:lvlJc w:val="left"/>
      <w:pPr>
        <w:ind w:left="801" w:hanging="375"/>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29">
    <w:nsid w:val="32022F9D"/>
    <w:multiLevelType w:val="multilevel"/>
    <w:tmpl w:val="32022F9D"/>
    <w:lvl w:ilvl="0" w:tentative="0">
      <w:start w:val="1"/>
      <w:numFmt w:val="japaneseCounting"/>
      <w:lvlText w:val="第%1节"/>
      <w:lvlJc w:val="left"/>
      <w:pPr>
        <w:ind w:left="1245" w:hanging="735"/>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30">
    <w:nsid w:val="34AB320D"/>
    <w:multiLevelType w:val="multilevel"/>
    <w:tmpl w:val="34AB320D"/>
    <w:lvl w:ilvl="0" w:tentative="0">
      <w:start w:val="1"/>
      <w:numFmt w:val="japaneseCounting"/>
      <w:lvlText w:val="第%1节"/>
      <w:lvlJc w:val="left"/>
      <w:pPr>
        <w:ind w:left="1245" w:hanging="735"/>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31">
    <w:nsid w:val="46016A31"/>
    <w:multiLevelType w:val="multilevel"/>
    <w:tmpl w:val="46016A31"/>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48D30FC2"/>
    <w:multiLevelType w:val="multilevel"/>
    <w:tmpl w:val="48D30FC2"/>
    <w:lvl w:ilvl="0" w:tentative="0">
      <w:start w:val="1"/>
      <w:numFmt w:val="japaneseCounting"/>
      <w:lvlText w:val="第%1节"/>
      <w:lvlJc w:val="left"/>
      <w:pPr>
        <w:ind w:left="1245" w:hanging="735"/>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33">
    <w:nsid w:val="4F29D7B7"/>
    <w:multiLevelType w:val="singleLevel"/>
    <w:tmpl w:val="4F29D7B7"/>
    <w:lvl w:ilvl="0" w:tentative="0">
      <w:start w:val="4"/>
      <w:numFmt w:val="chineseCounting"/>
      <w:suff w:val="nothing"/>
      <w:lvlText w:val="%1、"/>
      <w:lvlJc w:val="left"/>
      <w:rPr>
        <w:rFonts w:hint="eastAsia"/>
      </w:rPr>
    </w:lvl>
  </w:abstractNum>
  <w:abstractNum w:abstractNumId="34">
    <w:nsid w:val="55555EF7"/>
    <w:multiLevelType w:val="multilevel"/>
    <w:tmpl w:val="55555EF7"/>
    <w:lvl w:ilvl="0" w:tentative="0">
      <w:start w:val="1"/>
      <w:numFmt w:val="japaneseCounting"/>
      <w:lvlText w:val="第%1节"/>
      <w:lvlJc w:val="left"/>
      <w:pPr>
        <w:ind w:left="1140" w:hanging="735"/>
      </w:pPr>
      <w:rPr>
        <w:rFonts w:hint="default"/>
      </w:rPr>
    </w:lvl>
    <w:lvl w:ilvl="1" w:tentative="0">
      <w:start w:val="1"/>
      <w:numFmt w:val="lowerLetter"/>
      <w:lvlText w:val="%2)"/>
      <w:lvlJc w:val="left"/>
      <w:pPr>
        <w:ind w:left="1245" w:hanging="420"/>
      </w:pPr>
    </w:lvl>
    <w:lvl w:ilvl="2" w:tentative="0">
      <w:start w:val="1"/>
      <w:numFmt w:val="lowerRoman"/>
      <w:lvlText w:val="%3."/>
      <w:lvlJc w:val="right"/>
      <w:pPr>
        <w:ind w:left="1665" w:hanging="420"/>
      </w:pPr>
    </w:lvl>
    <w:lvl w:ilvl="3" w:tentative="0">
      <w:start w:val="1"/>
      <w:numFmt w:val="decimal"/>
      <w:lvlText w:val="%4."/>
      <w:lvlJc w:val="left"/>
      <w:pPr>
        <w:ind w:left="2085" w:hanging="420"/>
      </w:pPr>
    </w:lvl>
    <w:lvl w:ilvl="4" w:tentative="0">
      <w:start w:val="1"/>
      <w:numFmt w:val="lowerLetter"/>
      <w:lvlText w:val="%5)"/>
      <w:lvlJc w:val="left"/>
      <w:pPr>
        <w:ind w:left="2505" w:hanging="420"/>
      </w:pPr>
    </w:lvl>
    <w:lvl w:ilvl="5" w:tentative="0">
      <w:start w:val="1"/>
      <w:numFmt w:val="lowerRoman"/>
      <w:lvlText w:val="%6."/>
      <w:lvlJc w:val="right"/>
      <w:pPr>
        <w:ind w:left="2925" w:hanging="420"/>
      </w:pPr>
    </w:lvl>
    <w:lvl w:ilvl="6" w:tentative="0">
      <w:start w:val="1"/>
      <w:numFmt w:val="decimal"/>
      <w:lvlText w:val="%7."/>
      <w:lvlJc w:val="left"/>
      <w:pPr>
        <w:ind w:left="3345" w:hanging="420"/>
      </w:pPr>
    </w:lvl>
    <w:lvl w:ilvl="7" w:tentative="0">
      <w:start w:val="1"/>
      <w:numFmt w:val="lowerLetter"/>
      <w:lvlText w:val="%8)"/>
      <w:lvlJc w:val="left"/>
      <w:pPr>
        <w:ind w:left="3765" w:hanging="420"/>
      </w:pPr>
    </w:lvl>
    <w:lvl w:ilvl="8" w:tentative="0">
      <w:start w:val="1"/>
      <w:numFmt w:val="lowerRoman"/>
      <w:lvlText w:val="%9."/>
      <w:lvlJc w:val="right"/>
      <w:pPr>
        <w:ind w:left="4185" w:hanging="420"/>
      </w:pPr>
    </w:lvl>
  </w:abstractNum>
  <w:abstractNum w:abstractNumId="35">
    <w:nsid w:val="5575C1D7"/>
    <w:multiLevelType w:val="singleLevel"/>
    <w:tmpl w:val="5575C1D7"/>
    <w:lvl w:ilvl="0" w:tentative="0">
      <w:start w:val="7"/>
      <w:numFmt w:val="chineseCounting"/>
      <w:lvlText w:val="(%1)"/>
      <w:lvlJc w:val="left"/>
      <w:pPr>
        <w:tabs>
          <w:tab w:val="left" w:pos="312"/>
        </w:tabs>
      </w:pPr>
      <w:rPr>
        <w:rFonts w:hint="eastAsia"/>
      </w:rPr>
    </w:lvl>
  </w:abstractNum>
  <w:abstractNum w:abstractNumId="36">
    <w:nsid w:val="59560168"/>
    <w:multiLevelType w:val="singleLevel"/>
    <w:tmpl w:val="59560168"/>
    <w:lvl w:ilvl="0" w:tentative="0">
      <w:start w:val="2"/>
      <w:numFmt w:val="chineseCounting"/>
      <w:suff w:val="space"/>
      <w:lvlText w:val="第%1节"/>
      <w:lvlJc w:val="left"/>
    </w:lvl>
  </w:abstractNum>
  <w:abstractNum w:abstractNumId="37">
    <w:nsid w:val="595609AD"/>
    <w:multiLevelType w:val="singleLevel"/>
    <w:tmpl w:val="595609AD"/>
    <w:lvl w:ilvl="0" w:tentative="0">
      <w:start w:val="2"/>
      <w:numFmt w:val="chineseCounting"/>
      <w:suff w:val="space"/>
      <w:lvlText w:val="第%1节"/>
      <w:lvlJc w:val="left"/>
    </w:lvl>
  </w:abstractNum>
  <w:abstractNum w:abstractNumId="38">
    <w:nsid w:val="5956113A"/>
    <w:multiLevelType w:val="singleLevel"/>
    <w:tmpl w:val="5956113A"/>
    <w:lvl w:ilvl="0" w:tentative="0">
      <w:start w:val="3"/>
      <w:numFmt w:val="chineseCounting"/>
      <w:suff w:val="space"/>
      <w:lvlText w:val="第%1节"/>
      <w:lvlJc w:val="left"/>
    </w:lvl>
  </w:abstractNum>
  <w:abstractNum w:abstractNumId="39">
    <w:nsid w:val="59561A11"/>
    <w:multiLevelType w:val="singleLevel"/>
    <w:tmpl w:val="59561A11"/>
    <w:lvl w:ilvl="0" w:tentative="0">
      <w:start w:val="1"/>
      <w:numFmt w:val="decimal"/>
      <w:suff w:val="nothing"/>
      <w:lvlText w:val="%1．"/>
      <w:lvlJc w:val="left"/>
    </w:lvl>
  </w:abstractNum>
  <w:abstractNum w:abstractNumId="40">
    <w:nsid w:val="59561A3B"/>
    <w:multiLevelType w:val="singleLevel"/>
    <w:tmpl w:val="59561A3B"/>
    <w:lvl w:ilvl="0" w:tentative="0">
      <w:start w:val="2"/>
      <w:numFmt w:val="chineseCounting"/>
      <w:suff w:val="space"/>
      <w:lvlText w:val="第%1节"/>
      <w:lvlJc w:val="left"/>
    </w:lvl>
  </w:abstractNum>
  <w:abstractNum w:abstractNumId="41">
    <w:nsid w:val="59562206"/>
    <w:multiLevelType w:val="singleLevel"/>
    <w:tmpl w:val="59562206"/>
    <w:lvl w:ilvl="0" w:tentative="0">
      <w:start w:val="2"/>
      <w:numFmt w:val="chineseCounting"/>
      <w:suff w:val="nothing"/>
      <w:lvlText w:val="%1、"/>
      <w:lvlJc w:val="left"/>
    </w:lvl>
  </w:abstractNum>
  <w:abstractNum w:abstractNumId="42">
    <w:nsid w:val="596C2B0C"/>
    <w:multiLevelType w:val="singleLevel"/>
    <w:tmpl w:val="596C2B0C"/>
    <w:lvl w:ilvl="0" w:tentative="0">
      <w:start w:val="1"/>
      <w:numFmt w:val="decimal"/>
      <w:suff w:val="nothing"/>
      <w:lvlText w:val="%1."/>
      <w:lvlJc w:val="left"/>
    </w:lvl>
  </w:abstractNum>
  <w:abstractNum w:abstractNumId="43">
    <w:nsid w:val="597D4C3E"/>
    <w:multiLevelType w:val="multilevel"/>
    <w:tmpl w:val="597D4C3E"/>
    <w:lvl w:ilvl="0" w:tentative="0">
      <w:start w:val="1"/>
      <w:numFmt w:val="japaneseCounting"/>
      <w:lvlText w:val="第%1节"/>
      <w:lvlJc w:val="left"/>
      <w:pPr>
        <w:ind w:left="1245" w:hanging="735"/>
      </w:pPr>
      <w:rPr>
        <w:rFonts w:hint="default"/>
      </w:rPr>
    </w:lvl>
    <w:lvl w:ilvl="1" w:tentative="0">
      <w:start w:val="1"/>
      <w:numFmt w:val="lowerLetter"/>
      <w:lvlText w:val="%2)"/>
      <w:lvlJc w:val="left"/>
      <w:pPr>
        <w:ind w:left="1350" w:hanging="420"/>
      </w:pPr>
    </w:lvl>
    <w:lvl w:ilvl="2" w:tentative="0">
      <w:start w:val="1"/>
      <w:numFmt w:val="lowerRoman"/>
      <w:lvlText w:val="%3."/>
      <w:lvlJc w:val="right"/>
      <w:pPr>
        <w:ind w:left="1770" w:hanging="420"/>
      </w:pPr>
    </w:lvl>
    <w:lvl w:ilvl="3" w:tentative="0">
      <w:start w:val="1"/>
      <w:numFmt w:val="decimal"/>
      <w:lvlText w:val="%4."/>
      <w:lvlJc w:val="left"/>
      <w:pPr>
        <w:ind w:left="2190" w:hanging="420"/>
      </w:pPr>
    </w:lvl>
    <w:lvl w:ilvl="4" w:tentative="0">
      <w:start w:val="1"/>
      <w:numFmt w:val="lowerLetter"/>
      <w:lvlText w:val="%5)"/>
      <w:lvlJc w:val="left"/>
      <w:pPr>
        <w:ind w:left="2610" w:hanging="420"/>
      </w:pPr>
    </w:lvl>
    <w:lvl w:ilvl="5" w:tentative="0">
      <w:start w:val="1"/>
      <w:numFmt w:val="lowerRoman"/>
      <w:lvlText w:val="%6."/>
      <w:lvlJc w:val="right"/>
      <w:pPr>
        <w:ind w:left="3030" w:hanging="420"/>
      </w:pPr>
    </w:lvl>
    <w:lvl w:ilvl="6" w:tentative="0">
      <w:start w:val="1"/>
      <w:numFmt w:val="decimal"/>
      <w:lvlText w:val="%7."/>
      <w:lvlJc w:val="left"/>
      <w:pPr>
        <w:ind w:left="3450" w:hanging="420"/>
      </w:pPr>
    </w:lvl>
    <w:lvl w:ilvl="7" w:tentative="0">
      <w:start w:val="1"/>
      <w:numFmt w:val="lowerLetter"/>
      <w:lvlText w:val="%8)"/>
      <w:lvlJc w:val="left"/>
      <w:pPr>
        <w:ind w:left="3870" w:hanging="420"/>
      </w:pPr>
    </w:lvl>
    <w:lvl w:ilvl="8" w:tentative="0">
      <w:start w:val="1"/>
      <w:numFmt w:val="lowerRoman"/>
      <w:lvlText w:val="%9."/>
      <w:lvlJc w:val="right"/>
      <w:pPr>
        <w:ind w:left="4290" w:hanging="420"/>
      </w:pPr>
    </w:lvl>
  </w:abstractNum>
  <w:abstractNum w:abstractNumId="44">
    <w:nsid w:val="59981D28"/>
    <w:multiLevelType w:val="singleLevel"/>
    <w:tmpl w:val="59981D28"/>
    <w:lvl w:ilvl="0" w:tentative="0">
      <w:start w:val="1"/>
      <w:numFmt w:val="decimal"/>
      <w:suff w:val="nothing"/>
      <w:lvlText w:val="%1．"/>
      <w:lvlJc w:val="left"/>
      <w:pPr>
        <w:ind w:left="0" w:firstLine="400"/>
      </w:pPr>
      <w:rPr>
        <w:rFonts w:hint="default"/>
      </w:rPr>
    </w:lvl>
  </w:abstractNum>
  <w:abstractNum w:abstractNumId="45">
    <w:nsid w:val="5AE26B0F"/>
    <w:multiLevelType w:val="multilevel"/>
    <w:tmpl w:val="5AE26B0F"/>
    <w:lvl w:ilvl="0" w:tentative="0">
      <w:start w:val="1"/>
      <w:numFmt w:val="japaneseCounting"/>
      <w:lvlText w:val="%1、"/>
      <w:lvlJc w:val="left"/>
      <w:pPr>
        <w:ind w:left="435" w:hanging="435"/>
      </w:pPr>
      <w:rPr>
        <w:rFonts w:hint="default" w:hAnsi="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D9A34EC"/>
    <w:multiLevelType w:val="multilevel"/>
    <w:tmpl w:val="5D9A34E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642E981A"/>
    <w:multiLevelType w:val="singleLevel"/>
    <w:tmpl w:val="642E981A"/>
    <w:lvl w:ilvl="0" w:tentative="0">
      <w:start w:val="1"/>
      <w:numFmt w:val="decimal"/>
      <w:suff w:val="nothing"/>
      <w:lvlText w:val="%1．"/>
      <w:lvlJc w:val="left"/>
      <w:pPr>
        <w:ind w:left="0" w:firstLine="400"/>
      </w:pPr>
      <w:rPr>
        <w:rFonts w:hint="default"/>
      </w:rPr>
    </w:lvl>
  </w:abstractNum>
  <w:abstractNum w:abstractNumId="48">
    <w:nsid w:val="674A592D"/>
    <w:multiLevelType w:val="multilevel"/>
    <w:tmpl w:val="674A592D"/>
    <w:lvl w:ilvl="0" w:tentative="0">
      <w:start w:val="1"/>
      <w:numFmt w:val="japaneseCounting"/>
      <w:lvlText w:val="第%1节"/>
      <w:lvlJc w:val="left"/>
      <w:pPr>
        <w:ind w:left="750" w:hanging="7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6D5939A6"/>
    <w:multiLevelType w:val="multilevel"/>
    <w:tmpl w:val="6D5939A6"/>
    <w:lvl w:ilvl="0" w:tentative="0">
      <w:start w:val="1"/>
      <w:numFmt w:val="japaneseCounting"/>
      <w:lvlText w:val="第%1节"/>
      <w:lvlJc w:val="left"/>
      <w:pPr>
        <w:ind w:left="864" w:hanging="86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6F85078C"/>
    <w:multiLevelType w:val="multilevel"/>
    <w:tmpl w:val="6F85078C"/>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72991818"/>
    <w:multiLevelType w:val="multilevel"/>
    <w:tmpl w:val="72991818"/>
    <w:lvl w:ilvl="0" w:tentative="0">
      <w:start w:val="1"/>
      <w:numFmt w:val="decimal"/>
      <w:lvlText w:val="%1．"/>
      <w:lvlJc w:val="left"/>
      <w:pPr>
        <w:ind w:left="801" w:hanging="375"/>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52">
    <w:nsid w:val="784D03D7"/>
    <w:multiLevelType w:val="multilevel"/>
    <w:tmpl w:val="784D03D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3">
    <w:nsid w:val="7ECA7C26"/>
    <w:multiLevelType w:val="singleLevel"/>
    <w:tmpl w:val="7ECA7C26"/>
    <w:lvl w:ilvl="0" w:tentative="0">
      <w:start w:val="3"/>
      <w:numFmt w:val="chineseCounting"/>
      <w:suff w:val="nothing"/>
      <w:lvlText w:val="（%1）"/>
      <w:lvlJc w:val="left"/>
      <w:rPr>
        <w:rFonts w:hint="eastAsia"/>
      </w:rPr>
    </w:lvl>
  </w:abstractNum>
  <w:num w:numId="1">
    <w:abstractNumId w:val="11"/>
  </w:num>
  <w:num w:numId="2">
    <w:abstractNumId w:val="44"/>
  </w:num>
  <w:num w:numId="3">
    <w:abstractNumId w:val="47"/>
  </w:num>
  <w:num w:numId="4">
    <w:abstractNumId w:val="46"/>
  </w:num>
  <w:num w:numId="5">
    <w:abstractNumId w:val="45"/>
  </w:num>
  <w:num w:numId="6">
    <w:abstractNumId w:val="18"/>
  </w:num>
  <w:num w:numId="7">
    <w:abstractNumId w:val="26"/>
  </w:num>
  <w:num w:numId="8">
    <w:abstractNumId w:val="22"/>
  </w:num>
  <w:num w:numId="9">
    <w:abstractNumId w:val="52"/>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1"/>
  </w:num>
  <w:num w:numId="13">
    <w:abstractNumId w:val="49"/>
  </w:num>
  <w:num w:numId="14">
    <w:abstractNumId w:val="17"/>
  </w:num>
  <w:num w:numId="15">
    <w:abstractNumId w:val="2"/>
  </w:num>
  <w:num w:numId="16">
    <w:abstractNumId w:val="53"/>
  </w:num>
  <w:num w:numId="17">
    <w:abstractNumId w:val="7"/>
  </w:num>
  <w:num w:numId="18">
    <w:abstractNumId w:val="50"/>
  </w:num>
  <w:num w:numId="19">
    <w:abstractNumId w:val="1"/>
  </w:num>
  <w:num w:numId="20">
    <w:abstractNumId w:val="13"/>
  </w:num>
  <w:num w:numId="21">
    <w:abstractNumId w:val="4"/>
  </w:num>
  <w:num w:numId="22">
    <w:abstractNumId w:val="3"/>
  </w:num>
  <w:num w:numId="23">
    <w:abstractNumId w:val="0"/>
  </w:num>
  <w:num w:numId="24">
    <w:abstractNumId w:val="6"/>
  </w:num>
  <w:num w:numId="25">
    <w:abstractNumId w:val="35"/>
  </w:num>
  <w:num w:numId="26">
    <w:abstractNumId w:val="10"/>
  </w:num>
  <w:num w:numId="27">
    <w:abstractNumId w:val="48"/>
  </w:num>
  <w:num w:numId="28">
    <w:abstractNumId w:val="8"/>
  </w:num>
  <w:num w:numId="29">
    <w:abstractNumId w:val="19"/>
  </w:num>
  <w:num w:numId="30">
    <w:abstractNumId w:val="20"/>
  </w:num>
  <w:num w:numId="31">
    <w:abstractNumId w:val="29"/>
  </w:num>
  <w:num w:numId="32">
    <w:abstractNumId w:val="43"/>
  </w:num>
  <w:num w:numId="33">
    <w:abstractNumId w:val="30"/>
  </w:num>
  <w:num w:numId="34">
    <w:abstractNumId w:val="34"/>
  </w:num>
  <w:num w:numId="35">
    <w:abstractNumId w:val="32"/>
  </w:num>
  <w:num w:numId="36">
    <w:abstractNumId w:val="24"/>
  </w:num>
  <w:num w:numId="37">
    <w:abstractNumId w:val="36"/>
  </w:num>
  <w:num w:numId="38">
    <w:abstractNumId w:val="37"/>
  </w:num>
  <w:num w:numId="39">
    <w:abstractNumId w:val="38"/>
  </w:num>
  <w:num w:numId="40">
    <w:abstractNumId w:val="39"/>
  </w:num>
  <w:num w:numId="41">
    <w:abstractNumId w:val="42"/>
  </w:num>
  <w:num w:numId="42">
    <w:abstractNumId w:val="40"/>
  </w:num>
  <w:num w:numId="43">
    <w:abstractNumId w:val="15"/>
  </w:num>
  <w:num w:numId="44">
    <w:abstractNumId w:val="14"/>
  </w:num>
  <w:num w:numId="45">
    <w:abstractNumId w:val="5"/>
  </w:num>
  <w:num w:numId="46">
    <w:abstractNumId w:val="9"/>
  </w:num>
  <w:num w:numId="47">
    <w:abstractNumId w:val="51"/>
  </w:num>
  <w:num w:numId="48">
    <w:abstractNumId w:val="25"/>
  </w:num>
  <w:num w:numId="49">
    <w:abstractNumId w:val="12"/>
  </w:num>
  <w:num w:numId="50">
    <w:abstractNumId w:val="33"/>
  </w:num>
  <w:num w:numId="51">
    <w:abstractNumId w:val="41"/>
  </w:num>
  <w:num w:numId="52">
    <w:abstractNumId w:val="16"/>
    <w:lvlOverride w:ilvl="0">
      <w:startOverride w:val="1"/>
    </w:lvlOverride>
  </w:num>
  <w:num w:numId="53">
    <w:abstractNumId w:val="31"/>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num>
  <w:num w:numId="56">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Q3sDA0sDQyMTMAAiUdpeDU4uLM/DyQAsNaALmDCtYsAAAA"/>
    <w:docVar w:name="commondata" w:val="eyJoZGlkIjoiYTY5OTdmZTU2MGQ2MTUwNWQ2YTMwYTJiMWNmMGQ3ZjgifQ=="/>
  </w:docVars>
  <w:rsids>
    <w:rsidRoot w:val="00DB312F"/>
    <w:rsid w:val="000104B0"/>
    <w:rsid w:val="000535FB"/>
    <w:rsid w:val="00066B8C"/>
    <w:rsid w:val="000B3498"/>
    <w:rsid w:val="00136CD8"/>
    <w:rsid w:val="00242ED5"/>
    <w:rsid w:val="002945CE"/>
    <w:rsid w:val="002B157C"/>
    <w:rsid w:val="002D65CB"/>
    <w:rsid w:val="002F613E"/>
    <w:rsid w:val="003028E4"/>
    <w:rsid w:val="0034220B"/>
    <w:rsid w:val="00377130"/>
    <w:rsid w:val="003E69F5"/>
    <w:rsid w:val="00432F62"/>
    <w:rsid w:val="004B6F8D"/>
    <w:rsid w:val="004C31D8"/>
    <w:rsid w:val="004D0277"/>
    <w:rsid w:val="005A3048"/>
    <w:rsid w:val="005A372A"/>
    <w:rsid w:val="005A70E9"/>
    <w:rsid w:val="00600190"/>
    <w:rsid w:val="00656437"/>
    <w:rsid w:val="00667897"/>
    <w:rsid w:val="006767E6"/>
    <w:rsid w:val="007674A9"/>
    <w:rsid w:val="0077760D"/>
    <w:rsid w:val="00785CA0"/>
    <w:rsid w:val="007D22CC"/>
    <w:rsid w:val="008168FB"/>
    <w:rsid w:val="00862E17"/>
    <w:rsid w:val="008F0574"/>
    <w:rsid w:val="009239CE"/>
    <w:rsid w:val="009F39A5"/>
    <w:rsid w:val="009F555D"/>
    <w:rsid w:val="00A32074"/>
    <w:rsid w:val="00A51DDC"/>
    <w:rsid w:val="00A83B05"/>
    <w:rsid w:val="00AE5394"/>
    <w:rsid w:val="00B432C5"/>
    <w:rsid w:val="00B76829"/>
    <w:rsid w:val="00B9788E"/>
    <w:rsid w:val="00BF2F9D"/>
    <w:rsid w:val="00D00386"/>
    <w:rsid w:val="00D42A87"/>
    <w:rsid w:val="00D46F49"/>
    <w:rsid w:val="00DB03AB"/>
    <w:rsid w:val="00DB312F"/>
    <w:rsid w:val="00DF33F7"/>
    <w:rsid w:val="00E44799"/>
    <w:rsid w:val="00E65AC3"/>
    <w:rsid w:val="00E82E35"/>
    <w:rsid w:val="00E86CB3"/>
    <w:rsid w:val="00E97905"/>
    <w:rsid w:val="00EB33DF"/>
    <w:rsid w:val="00ED395B"/>
    <w:rsid w:val="00EF349A"/>
    <w:rsid w:val="00F17211"/>
    <w:rsid w:val="00F6721B"/>
    <w:rsid w:val="02B13AB7"/>
    <w:rsid w:val="02DB3924"/>
    <w:rsid w:val="04874863"/>
    <w:rsid w:val="053E445E"/>
    <w:rsid w:val="05774635"/>
    <w:rsid w:val="065555BF"/>
    <w:rsid w:val="073754EC"/>
    <w:rsid w:val="07731E9A"/>
    <w:rsid w:val="0969226A"/>
    <w:rsid w:val="09FA1527"/>
    <w:rsid w:val="0B6455E5"/>
    <w:rsid w:val="0E9F658C"/>
    <w:rsid w:val="0FD95254"/>
    <w:rsid w:val="14D743D8"/>
    <w:rsid w:val="15376FA7"/>
    <w:rsid w:val="16BD733B"/>
    <w:rsid w:val="19F70C35"/>
    <w:rsid w:val="1A3D17EE"/>
    <w:rsid w:val="1C703781"/>
    <w:rsid w:val="1C9F2E51"/>
    <w:rsid w:val="1E807F4F"/>
    <w:rsid w:val="20C87199"/>
    <w:rsid w:val="20D12777"/>
    <w:rsid w:val="210016D5"/>
    <w:rsid w:val="21F37CA5"/>
    <w:rsid w:val="232E7D6A"/>
    <w:rsid w:val="23C91E2B"/>
    <w:rsid w:val="2AF8173F"/>
    <w:rsid w:val="2B8C5C18"/>
    <w:rsid w:val="2C4209CD"/>
    <w:rsid w:val="2D2A06FA"/>
    <w:rsid w:val="2D3C390E"/>
    <w:rsid w:val="2DD268E3"/>
    <w:rsid w:val="2F797FA4"/>
    <w:rsid w:val="30D54A70"/>
    <w:rsid w:val="3300608A"/>
    <w:rsid w:val="33CD2241"/>
    <w:rsid w:val="33D77C4D"/>
    <w:rsid w:val="34B85052"/>
    <w:rsid w:val="3576787D"/>
    <w:rsid w:val="37D214B4"/>
    <w:rsid w:val="383C2774"/>
    <w:rsid w:val="38F35ABE"/>
    <w:rsid w:val="393952F3"/>
    <w:rsid w:val="3B201426"/>
    <w:rsid w:val="3BB26615"/>
    <w:rsid w:val="3D4F6D7F"/>
    <w:rsid w:val="3D9A641E"/>
    <w:rsid w:val="3DD05E38"/>
    <w:rsid w:val="3F1C77F7"/>
    <w:rsid w:val="40B37547"/>
    <w:rsid w:val="40F621C4"/>
    <w:rsid w:val="417B3A16"/>
    <w:rsid w:val="44A72F7D"/>
    <w:rsid w:val="45017990"/>
    <w:rsid w:val="46096BFD"/>
    <w:rsid w:val="487A3C80"/>
    <w:rsid w:val="48967DCD"/>
    <w:rsid w:val="4A76627D"/>
    <w:rsid w:val="4AA523FB"/>
    <w:rsid w:val="4CE9627A"/>
    <w:rsid w:val="4D714816"/>
    <w:rsid w:val="4EAC4B23"/>
    <w:rsid w:val="4F191EA4"/>
    <w:rsid w:val="50016325"/>
    <w:rsid w:val="50C3182D"/>
    <w:rsid w:val="530F6FAB"/>
    <w:rsid w:val="542D281D"/>
    <w:rsid w:val="57625293"/>
    <w:rsid w:val="580E5A83"/>
    <w:rsid w:val="582E1C82"/>
    <w:rsid w:val="585A0045"/>
    <w:rsid w:val="58937D37"/>
    <w:rsid w:val="591E694E"/>
    <w:rsid w:val="5BB61B6B"/>
    <w:rsid w:val="5E2A10B8"/>
    <w:rsid w:val="5E435D5B"/>
    <w:rsid w:val="5F557AF4"/>
    <w:rsid w:val="5F5D0E23"/>
    <w:rsid w:val="60941B3F"/>
    <w:rsid w:val="62F67C61"/>
    <w:rsid w:val="632B573B"/>
    <w:rsid w:val="64CB5D3A"/>
    <w:rsid w:val="67FC1454"/>
    <w:rsid w:val="67FC1489"/>
    <w:rsid w:val="69F15BD9"/>
    <w:rsid w:val="6A0A6CA7"/>
    <w:rsid w:val="6A6400EA"/>
    <w:rsid w:val="6ACC1781"/>
    <w:rsid w:val="6DAE06CA"/>
    <w:rsid w:val="6EC03BD0"/>
    <w:rsid w:val="701A0CA0"/>
    <w:rsid w:val="705362D1"/>
    <w:rsid w:val="72751563"/>
    <w:rsid w:val="72884106"/>
    <w:rsid w:val="7394020F"/>
    <w:rsid w:val="74F71921"/>
    <w:rsid w:val="769F5FB4"/>
    <w:rsid w:val="78E27F49"/>
    <w:rsid w:val="79110AD8"/>
    <w:rsid w:val="798D4602"/>
    <w:rsid w:val="7BCC7C28"/>
    <w:rsid w:val="7D2D7769"/>
    <w:rsid w:val="7E6A05DB"/>
    <w:rsid w:val="7E776D60"/>
    <w:rsid w:val="7E810C2A"/>
    <w:rsid w:val="7F462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widowControl/>
      <w:spacing w:line="360" w:lineRule="auto"/>
      <w:jc w:val="center"/>
      <w:outlineLvl w:val="0"/>
    </w:pPr>
    <w:rPr>
      <w:rFonts w:ascii="宋体" w:hAnsi="宋体" w:cs="宋体"/>
      <w:b/>
      <w:bCs/>
      <w:kern w:val="36"/>
      <w:sz w:val="28"/>
      <w:szCs w:val="48"/>
    </w:rPr>
  </w:style>
  <w:style w:type="paragraph" w:styleId="3">
    <w:name w:val="heading 2"/>
    <w:basedOn w:val="1"/>
    <w:next w:val="1"/>
    <w:link w:val="5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8"/>
    <w:semiHidden/>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6">
    <w:name w:val="Body Text"/>
    <w:basedOn w:val="1"/>
    <w:link w:val="53"/>
    <w:qFormat/>
    <w:uiPriority w:val="1"/>
    <w:pPr>
      <w:spacing w:after="120"/>
    </w:pPr>
  </w:style>
  <w:style w:type="paragraph" w:styleId="7">
    <w:name w:val="Body Text Indent"/>
    <w:basedOn w:val="1"/>
    <w:link w:val="30"/>
    <w:qFormat/>
    <w:uiPriority w:val="0"/>
    <w:pPr>
      <w:tabs>
        <w:tab w:val="left" w:pos="540"/>
      </w:tabs>
      <w:ind w:firstLine="420" w:firstLineChars="200"/>
    </w:pPr>
    <w:rPr>
      <w:rFonts w:ascii="仿宋_GB2312"/>
      <w:szCs w:val="20"/>
    </w:rPr>
  </w:style>
  <w:style w:type="paragraph" w:styleId="8">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9">
    <w:name w:val="toc 3"/>
    <w:basedOn w:val="1"/>
    <w:next w:val="1"/>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qFormat/>
    <w:uiPriority w:val="0"/>
    <w:rPr>
      <w:rFonts w:ascii="宋体" w:hAnsi="Courier New" w:cs="Courier New"/>
      <w:szCs w:val="21"/>
    </w:rPr>
  </w:style>
  <w:style w:type="paragraph" w:styleId="11">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2">
    <w:name w:val="Balloon Text"/>
    <w:basedOn w:val="1"/>
    <w:link w:val="32"/>
    <w:qFormat/>
    <w:uiPriority w:val="0"/>
    <w:rPr>
      <w:sz w:val="18"/>
      <w:szCs w:val="18"/>
    </w:rPr>
  </w:style>
  <w:style w:type="paragraph" w:styleId="13">
    <w:name w:val="footer"/>
    <w:basedOn w:val="1"/>
    <w:link w:val="33"/>
    <w:qFormat/>
    <w:uiPriority w:val="99"/>
    <w:pPr>
      <w:tabs>
        <w:tab w:val="center" w:pos="4153"/>
        <w:tab w:val="right" w:pos="8306"/>
      </w:tabs>
      <w:snapToGrid w:val="0"/>
      <w:jc w:val="left"/>
    </w:pPr>
    <w:rPr>
      <w:sz w:val="18"/>
      <w:szCs w:val="18"/>
    </w:rPr>
  </w:style>
  <w:style w:type="paragraph" w:styleId="14">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7">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8">
    <w:name w:val="toc 2"/>
    <w:basedOn w:val="1"/>
    <w:next w:val="1"/>
    <w:qFormat/>
    <w:uiPriority w:val="39"/>
    <w:pPr>
      <w:tabs>
        <w:tab w:val="right" w:leader="dot" w:pos="8890"/>
      </w:tabs>
      <w:ind w:left="420" w:leftChars="200"/>
      <w:jc w:val="left"/>
    </w:pPr>
  </w:style>
  <w:style w:type="paragraph" w:styleId="19">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21">
    <w:name w:val="Title"/>
    <w:basedOn w:val="1"/>
    <w:next w:val="1"/>
    <w:link w:val="36"/>
    <w:qFormat/>
    <w:uiPriority w:val="0"/>
    <w:pPr>
      <w:spacing w:before="240" w:after="60"/>
      <w:jc w:val="center"/>
      <w:outlineLvl w:val="0"/>
    </w:pPr>
    <w:rPr>
      <w:rFonts w:asciiTheme="majorHAnsi" w:hAnsiTheme="majorHAnsi" w:eastAsiaTheme="majorEastAsia" w:cstheme="majorBidi"/>
      <w:b/>
      <w:bCs/>
      <w:sz w:val="32"/>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99"/>
    <w:rPr>
      <w:b/>
      <w:bCs/>
    </w:rPr>
  </w:style>
  <w:style w:type="character" w:styleId="26">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7">
    <w:name w:val="Hyperlink"/>
    <w:basedOn w:val="24"/>
    <w:unhideWhenUsed/>
    <w:qFormat/>
    <w:uiPriority w:val="99"/>
    <w:rPr>
      <w:color w:val="0000FF" w:themeColor="hyperlink"/>
      <w:u w:val="single"/>
      <w14:textFill>
        <w14:solidFill>
          <w14:schemeClr w14:val="hlink"/>
        </w14:solidFill>
      </w14:textFill>
    </w:rPr>
  </w:style>
  <w:style w:type="character" w:styleId="28">
    <w:name w:val="annotation reference"/>
    <w:unhideWhenUsed/>
    <w:qFormat/>
    <w:uiPriority w:val="0"/>
    <w:rPr>
      <w:sz w:val="21"/>
      <w:szCs w:val="21"/>
    </w:rPr>
  </w:style>
  <w:style w:type="character" w:customStyle="1" w:styleId="29">
    <w:name w:val="标题 1 Char"/>
    <w:basedOn w:val="24"/>
    <w:link w:val="2"/>
    <w:qFormat/>
    <w:uiPriority w:val="0"/>
    <w:rPr>
      <w:rFonts w:ascii="宋体" w:hAnsi="宋体" w:cs="宋体"/>
      <w:b/>
      <w:bCs/>
      <w:kern w:val="36"/>
      <w:sz w:val="28"/>
      <w:szCs w:val="48"/>
    </w:rPr>
  </w:style>
  <w:style w:type="character" w:customStyle="1" w:styleId="30">
    <w:name w:val="正文文本缩进 Char"/>
    <w:basedOn w:val="24"/>
    <w:link w:val="7"/>
    <w:qFormat/>
    <w:uiPriority w:val="0"/>
    <w:rPr>
      <w:rFonts w:ascii="仿宋_GB2312"/>
      <w:kern w:val="2"/>
      <w:sz w:val="21"/>
    </w:rPr>
  </w:style>
  <w:style w:type="character" w:customStyle="1" w:styleId="31">
    <w:name w:val="纯文本 Char"/>
    <w:basedOn w:val="24"/>
    <w:link w:val="10"/>
    <w:qFormat/>
    <w:uiPriority w:val="0"/>
    <w:rPr>
      <w:rFonts w:ascii="宋体" w:hAnsi="Courier New" w:cs="Courier New"/>
      <w:kern w:val="2"/>
      <w:sz w:val="21"/>
      <w:szCs w:val="21"/>
    </w:rPr>
  </w:style>
  <w:style w:type="character" w:customStyle="1" w:styleId="32">
    <w:name w:val="批注框文本 Char"/>
    <w:basedOn w:val="24"/>
    <w:link w:val="12"/>
    <w:qFormat/>
    <w:uiPriority w:val="0"/>
    <w:rPr>
      <w:kern w:val="2"/>
      <w:sz w:val="18"/>
      <w:szCs w:val="18"/>
    </w:rPr>
  </w:style>
  <w:style w:type="character" w:customStyle="1" w:styleId="33">
    <w:name w:val="页脚 Char"/>
    <w:basedOn w:val="24"/>
    <w:link w:val="13"/>
    <w:qFormat/>
    <w:uiPriority w:val="99"/>
    <w:rPr>
      <w:kern w:val="2"/>
      <w:sz w:val="18"/>
      <w:szCs w:val="18"/>
    </w:rPr>
  </w:style>
  <w:style w:type="character" w:customStyle="1" w:styleId="34">
    <w:name w:val="页眉 Char"/>
    <w:basedOn w:val="24"/>
    <w:link w:val="14"/>
    <w:qFormat/>
    <w:uiPriority w:val="99"/>
    <w:rPr>
      <w:kern w:val="2"/>
      <w:sz w:val="18"/>
      <w:szCs w:val="18"/>
    </w:rPr>
  </w:style>
  <w:style w:type="paragraph" w:styleId="35">
    <w:name w:val="List Paragraph"/>
    <w:basedOn w:val="1"/>
    <w:qFormat/>
    <w:uiPriority w:val="34"/>
    <w:pPr>
      <w:ind w:firstLine="420" w:firstLineChars="200"/>
    </w:pPr>
  </w:style>
  <w:style w:type="character" w:customStyle="1" w:styleId="36">
    <w:name w:val="标题 Char"/>
    <w:basedOn w:val="24"/>
    <w:link w:val="21"/>
    <w:qFormat/>
    <w:uiPriority w:val="0"/>
    <w:rPr>
      <w:rFonts w:asciiTheme="majorHAnsi" w:hAnsiTheme="majorHAnsi" w:eastAsiaTheme="majorEastAsia" w:cstheme="majorBidi"/>
      <w:b/>
      <w:bCs/>
      <w:kern w:val="2"/>
      <w:sz w:val="32"/>
      <w:szCs w:val="32"/>
    </w:rPr>
  </w:style>
  <w:style w:type="paragraph" w:customStyle="1" w:styleId="37">
    <w:name w:val="遗传学名称"/>
    <w:basedOn w:val="21"/>
    <w:link w:val="38"/>
    <w:qFormat/>
    <w:uiPriority w:val="0"/>
    <w:pPr>
      <w:snapToGrid w:val="0"/>
      <w:spacing w:line="360" w:lineRule="auto"/>
    </w:pPr>
    <w:rPr>
      <w:rFonts w:ascii="宋体" w:hAnsi="宋体"/>
      <w:b w:val="0"/>
      <w:sz w:val="28"/>
      <w:szCs w:val="28"/>
    </w:rPr>
  </w:style>
  <w:style w:type="character" w:customStyle="1" w:styleId="38">
    <w:name w:val="遗传学名称 字符"/>
    <w:basedOn w:val="24"/>
    <w:link w:val="37"/>
    <w:qFormat/>
    <w:uiPriority w:val="0"/>
    <w:rPr>
      <w:rFonts w:ascii="宋体" w:hAnsi="宋体" w:eastAsiaTheme="majorEastAsia" w:cstheme="majorBidi"/>
      <w:bCs/>
      <w:kern w:val="2"/>
      <w:sz w:val="28"/>
      <w:szCs w:val="28"/>
    </w:rPr>
  </w:style>
  <w:style w:type="paragraph" w:customStyle="1" w:styleId="39">
    <w:name w:val="遗传学章节"/>
    <w:basedOn w:val="21"/>
    <w:next w:val="21"/>
    <w:link w:val="40"/>
    <w:qFormat/>
    <w:uiPriority w:val="0"/>
    <w:pPr>
      <w:widowControl/>
      <w:wordWrap w:val="0"/>
      <w:snapToGrid w:val="0"/>
      <w:spacing w:line="360" w:lineRule="auto"/>
      <w:jc w:val="right"/>
    </w:pPr>
    <w:rPr>
      <w:bCs w:val="0"/>
      <w:kern w:val="0"/>
      <w:sz w:val="21"/>
      <w:szCs w:val="21"/>
    </w:rPr>
  </w:style>
  <w:style w:type="character" w:customStyle="1" w:styleId="40">
    <w:name w:val="遗传学章节 字符"/>
    <w:basedOn w:val="24"/>
    <w:link w:val="39"/>
    <w:qFormat/>
    <w:uiPriority w:val="0"/>
    <w:rPr>
      <w:rFonts w:asciiTheme="majorHAnsi" w:hAnsiTheme="majorHAnsi" w:eastAsiaTheme="majorEastAsia" w:cstheme="majorBidi"/>
      <w:b/>
      <w:sz w:val="21"/>
      <w:szCs w:val="21"/>
    </w:rPr>
  </w:style>
  <w:style w:type="paragraph" w:customStyle="1" w:styleId="41">
    <w:name w:val="考试大纲"/>
    <w:basedOn w:val="21"/>
    <w:link w:val="42"/>
    <w:qFormat/>
    <w:uiPriority w:val="0"/>
    <w:pPr>
      <w:snapToGrid w:val="0"/>
      <w:spacing w:before="156" w:beforeLines="50" w:after="156" w:afterLines="50" w:line="360" w:lineRule="auto"/>
      <w:ind w:firstLine="103" w:firstLineChars="49"/>
    </w:pPr>
    <w:rPr>
      <w:rFonts w:hAnsi="宋体"/>
      <w:bCs w:val="0"/>
      <w:szCs w:val="21"/>
    </w:rPr>
  </w:style>
  <w:style w:type="character" w:customStyle="1" w:styleId="42">
    <w:name w:val="考试大纲 字符"/>
    <w:basedOn w:val="36"/>
    <w:link w:val="41"/>
    <w:qFormat/>
    <w:uiPriority w:val="0"/>
    <w:rPr>
      <w:rFonts w:hAnsi="宋体" w:asciiTheme="majorHAnsi" w:eastAsiaTheme="majorEastAsia" w:cstheme="majorBidi"/>
      <w:bCs w:val="0"/>
      <w:kern w:val="2"/>
      <w:sz w:val="32"/>
      <w:szCs w:val="21"/>
    </w:rPr>
  </w:style>
  <w:style w:type="paragraph" w:customStyle="1" w:styleId="43">
    <w:name w:val="TOC 标题1"/>
    <w:basedOn w:val="2"/>
    <w:next w:val="1"/>
    <w:unhideWhenUsed/>
    <w:qFormat/>
    <w:uiPriority w:val="39"/>
    <w:pPr>
      <w:keepNext/>
      <w:keepLines/>
      <w:spacing w:before="24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4">
    <w:name w:val="遗传学标题234"/>
    <w:basedOn w:val="39"/>
    <w:link w:val="45"/>
    <w:qFormat/>
    <w:uiPriority w:val="0"/>
    <w:pPr>
      <w:jc w:val="left"/>
    </w:pPr>
    <w:rPr>
      <w:rFonts w:hAnsi="宋体"/>
      <w:bCs/>
    </w:rPr>
  </w:style>
  <w:style w:type="character" w:customStyle="1" w:styleId="45">
    <w:name w:val="遗传学标题234 字符"/>
    <w:basedOn w:val="40"/>
    <w:link w:val="44"/>
    <w:qFormat/>
    <w:uiPriority w:val="0"/>
    <w:rPr>
      <w:rFonts w:hAnsi="宋体" w:asciiTheme="majorHAnsi" w:eastAsiaTheme="majorEastAsia" w:cstheme="majorBidi"/>
      <w:bCs/>
      <w:sz w:val="21"/>
      <w:szCs w:val="21"/>
    </w:rPr>
  </w:style>
  <w:style w:type="character" w:customStyle="1" w:styleId="46">
    <w:name w:val="NormalCharacter"/>
    <w:qFormat/>
    <w:uiPriority w:val="0"/>
    <w:rPr>
      <w:rFonts w:eastAsia="仿宋_GB2312"/>
      <w:sz w:val="30"/>
      <w:szCs w:val="30"/>
    </w:rPr>
  </w:style>
  <w:style w:type="paragraph" w:styleId="47">
    <w:name w:val="No Spacing"/>
    <w:qFormat/>
    <w:uiPriority w:val="99"/>
    <w:rPr>
      <w:rFonts w:ascii="Calibri" w:hAnsi="Calibri" w:eastAsia="宋体" w:cs="Times New Roman"/>
      <w:sz w:val="22"/>
      <w:szCs w:val="22"/>
      <w:lang w:val="en-US" w:eastAsia="zh-CN" w:bidi="ar-SA"/>
    </w:rPr>
  </w:style>
  <w:style w:type="paragraph" w:customStyle="1" w:styleId="48">
    <w:name w:val="列出段落1"/>
    <w:basedOn w:val="1"/>
    <w:qFormat/>
    <w:uiPriority w:val="0"/>
    <w:pPr>
      <w:ind w:firstLine="420" w:firstLineChars="200"/>
    </w:pPr>
    <w:rPr>
      <w:szCs w:val="20"/>
    </w:rPr>
  </w:style>
  <w:style w:type="paragraph" w:customStyle="1" w:styleId="49">
    <w:name w:val="列出段落2"/>
    <w:basedOn w:val="1"/>
    <w:qFormat/>
    <w:uiPriority w:val="34"/>
    <w:pPr>
      <w:ind w:firstLine="420" w:firstLineChars="200"/>
    </w:pPr>
    <w:rPr>
      <w:szCs w:val="20"/>
    </w:rPr>
  </w:style>
  <w:style w:type="character" w:customStyle="1" w:styleId="50">
    <w:name w:val="style31"/>
    <w:basedOn w:val="24"/>
    <w:qFormat/>
    <w:uiPriority w:val="0"/>
  </w:style>
  <w:style w:type="paragraph" w:customStyle="1" w:styleId="51">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52">
    <w:name w:val="p0"/>
    <w:basedOn w:val="1"/>
    <w:qFormat/>
    <w:uiPriority w:val="0"/>
    <w:pPr>
      <w:widowControl/>
    </w:pPr>
    <w:rPr>
      <w:kern w:val="0"/>
      <w:szCs w:val="21"/>
    </w:rPr>
  </w:style>
  <w:style w:type="character" w:customStyle="1" w:styleId="53">
    <w:name w:val="正文文本 Char"/>
    <w:basedOn w:val="24"/>
    <w:link w:val="6"/>
    <w:qFormat/>
    <w:uiPriority w:val="1"/>
    <w:rPr>
      <w:kern w:val="2"/>
      <w:sz w:val="21"/>
      <w:szCs w:val="24"/>
    </w:rPr>
  </w:style>
  <w:style w:type="table" w:customStyle="1" w:styleId="54">
    <w:name w:val="网格型1"/>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
    <w:name w:val="subject-cast"/>
    <w:qFormat/>
    <w:uiPriority w:val="0"/>
  </w:style>
  <w:style w:type="paragraph" w:customStyle="1" w:styleId="56">
    <w:name w:val="TOC 标题2"/>
    <w:basedOn w:val="2"/>
    <w:next w:val="1"/>
    <w:unhideWhenUsed/>
    <w:qFormat/>
    <w:uiPriority w:val="39"/>
    <w:pPr>
      <w:keepNext/>
      <w:keepLines/>
      <w:spacing w:before="48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57">
    <w:name w:val="标题 2 Char"/>
    <w:basedOn w:val="24"/>
    <w:link w:val="3"/>
    <w:qFormat/>
    <w:uiPriority w:val="0"/>
    <w:rPr>
      <w:rFonts w:asciiTheme="majorHAnsi" w:hAnsiTheme="majorHAnsi" w:eastAsiaTheme="majorEastAsia" w:cstheme="majorBidi"/>
      <w:b/>
      <w:bCs/>
      <w:kern w:val="2"/>
      <w:sz w:val="32"/>
      <w:szCs w:val="32"/>
    </w:rPr>
  </w:style>
  <w:style w:type="character" w:customStyle="1" w:styleId="58">
    <w:name w:val="标题 3 Char"/>
    <w:basedOn w:val="24"/>
    <w:link w:val="4"/>
    <w:semiHidden/>
    <w:qFormat/>
    <w:uiPriority w:val="9"/>
    <w:rPr>
      <w:b/>
      <w:bCs/>
      <w:kern w:val="2"/>
      <w:sz w:val="32"/>
      <w:szCs w:val="32"/>
    </w:rPr>
  </w:style>
  <w:style w:type="paragraph" w:customStyle="1" w:styleId="59">
    <w:name w:val="标题2"/>
    <w:basedOn w:val="1"/>
    <w:link w:val="61"/>
    <w:qFormat/>
    <w:uiPriority w:val="0"/>
    <w:pPr>
      <w:widowControl/>
      <w:snapToGrid w:val="0"/>
      <w:spacing w:before="156" w:beforeLines="50" w:line="360" w:lineRule="auto"/>
      <w:jc w:val="left"/>
      <w:outlineLvl w:val="1"/>
    </w:pPr>
    <w:rPr>
      <w:rFonts w:ascii="宋体" w:hAnsi="宋体" w:cs="宋体"/>
      <w:b/>
      <w:bCs/>
      <w:kern w:val="0"/>
      <w:szCs w:val="21"/>
    </w:rPr>
  </w:style>
  <w:style w:type="paragraph" w:customStyle="1" w:styleId="60">
    <w:name w:val="标题3"/>
    <w:basedOn w:val="1"/>
    <w:link w:val="62"/>
    <w:qFormat/>
    <w:uiPriority w:val="0"/>
    <w:pPr>
      <w:snapToGrid w:val="0"/>
      <w:spacing w:before="156" w:beforeLines="50" w:line="360" w:lineRule="auto"/>
    </w:pPr>
    <w:rPr>
      <w:rFonts w:ascii="宋体" w:hAnsi="宋体"/>
      <w:b/>
      <w:szCs w:val="21"/>
    </w:rPr>
  </w:style>
  <w:style w:type="character" w:customStyle="1" w:styleId="61">
    <w:name w:val="标题2 字符"/>
    <w:basedOn w:val="24"/>
    <w:link w:val="59"/>
    <w:qFormat/>
    <w:uiPriority w:val="0"/>
    <w:rPr>
      <w:rFonts w:ascii="宋体" w:hAnsi="宋体" w:cs="宋体"/>
      <w:b/>
      <w:bCs/>
      <w:sz w:val="21"/>
      <w:szCs w:val="21"/>
    </w:rPr>
  </w:style>
  <w:style w:type="character" w:customStyle="1" w:styleId="62">
    <w:name w:val="标题3 字符"/>
    <w:basedOn w:val="24"/>
    <w:link w:val="60"/>
    <w:qFormat/>
    <w:uiPriority w:val="0"/>
    <w:rPr>
      <w:rFonts w:ascii="宋体" w:hAnsi="宋体"/>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C8B751-CE94-4B1D-8AE9-4BDFA9E93EA2}">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626</Pages>
  <Words>442988</Words>
  <Characters>460104</Characters>
  <Lines>3389</Lines>
  <Paragraphs>954</Paragraphs>
  <TotalTime>16</TotalTime>
  <ScaleCrop>false</ScaleCrop>
  <LinksUpToDate>false</LinksUpToDate>
  <CharactersWithSpaces>473508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2023-06-20T09:01:00Z</dcterms:created>
  <dc:creator>微软用户</dc:creator>
  <cp:lastModifiedBy>博纳东方-李纪锁</cp:lastModifiedBy>
  <cp:lastPrinted>2023-06-27T03:29:00Z</cp:lastPrinted>
  <dcterms:modified xsi:type="dcterms:W3CDTF">2023-06-30T00:41:37Z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D7245566A9204FA19712FDBC1B5F4C4B_13</vt:lpwstr>
  </property>
</Properties>
</file>